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20"/>
        <w:jc w:val="both"/>
      </w:pPr>
      <w:r>
        <w:rPr>
          <w:rFonts w:ascii="Arial" w:hAnsi="Arial" w:cs="Arial"/>
          <w:sz w:val="22"/>
          <w:szCs w:val="22"/>
        </w:rPr>
        <w:t xml:space="preserve"/>
      </w:r>
    </w:p>
    <w:p>
      <w:pPr>
        <w:keepNext/>
        <w:shd w:val="clear" w:color="auto" w:fill="2F633A"/>
        <w:spacing w:before="120" w:after="240"/>
        <w:jc w:val="center"/>
      </w:pPr>
      <w:r>
        <w:rPr>
          <w:rFonts w:ascii="Arial" w:hAnsi="Arial" w:cs="Arial"/>
          <w:b/>
          <w:bCs/>
          <w:color w:val="FAFAFA"/>
          <w:sz w:val="22"/>
          <w:szCs w:val="22"/>
        </w:rPr>
        <w:t xml:space="preserve">CONVOCATORIA DE EMERGENCIA PARA LA RECUPERACIÓN Y GENERACIÓN DE CAPACIDADES TRANSFORMADORAS, EN EL MARCO DEL DECRETO 1414 DE 17 DE SEPTIEMBRE DE 2026.</w:t>
      </w:r>
    </w:p>
    <w:p>
      <w:pPr>
        <w:keepNext/>
        <w:spacing w:before="0" w:after="360"/>
        <w:jc w:val="center"/>
      </w:pPr>
      <w:r>
        <w:rPr>
          <w:rFonts w:ascii="Arial" w:hAnsi="Arial" w:cs="Arial"/>
          <w:b/>
          <w:bCs/>
          <w:sz w:val="22"/>
          <w:szCs w:val="22"/>
        </w:rPr>
        <w:t xml:space="preserve">ANEXO 2. DOCUMENTO TÉCNICO</w:t>
      </w:r>
    </w:p>
    <w:p>
      <w:pPr>
        <w:keepNext/>
        <w:spacing w:before="0" w:after="120"/>
        <w:jc w:val="center"/>
      </w:pPr>
      <w:r>
        <w:rPr>
          <w:rFonts w:ascii="Arial" w:hAnsi="Arial" w:cs="Arial"/>
          <w:b/>
          <w:bCs/>
          <w:sz w:val="26"/>
          <w:szCs w:val="26"/>
        </w:rPr>
        <w:t xml:space="preserve">Red IoT híbrida Edge-Cloud y gemelo digital para la gestión anticipada del riesgo por material particulado posterremoto</w:t>
      </w:r>
    </w:p>
    <w:p>
      <w:pPr>
        <w:keepNext/>
        <w:spacing w:before="0" w:after="360"/>
        <w:jc w:val="center"/>
      </w:pPr>
      <w:r>
        <w:rPr>
          <w:rFonts w:ascii="Arial" w:hAnsi="Arial" w:cs="Arial"/>
          <w:b/>
          <w:bCs/>
          <w:sz w:val="22"/>
          <w:szCs w:val="22"/>
        </w:rPr>
        <w:t xml:space="preserve">Proyecto completo SGR_CONV56_AIRE</w:t>
      </w:r>
    </w:p>
    <w:p>
      <w:pPr>
        <w:spacing w:before="0" w:after="120"/>
        <w:jc w:val="center"/>
      </w:pPr>
      <w:r>
        <w:rPr>
          <w:rFonts w:ascii="Arial" w:hAnsi="Arial" w:cs="Arial"/>
          <w:sz w:val="22"/>
          <w:szCs w:val="22"/>
        </w:rPr>
        <w:t xml:space="preserve">Proponente: [DATO_USUARIO: universidad con grupo de investigación reconocido por MinCiencias]</w:t>
      </w:r>
    </w:p>
    <w:p>
      <w:pPr>
        <w:spacing w:before="0" w:after="120"/>
        <w:jc w:val="center"/>
      </w:pPr>
      <w:r>
        <w:rPr>
          <w:rFonts w:ascii="Arial" w:hAnsi="Arial" w:cs="Arial"/>
          <w:sz w:val="22"/>
          <w:szCs w:val="22"/>
        </w:rPr>
        <w:t xml:space="preserve">Alianza: municipio de Cundinamarca, Risaralda, Caldas o Valle del Cauca; actor reconocido por MinCiencias; empresa aliada</w:t>
      </w:r>
    </w:p>
    <w:p>
      <w:pPr>
        <w:keepNext/>
        <w:spacing w:before="0" w:after="120"/>
        <w:jc w:val="center"/>
      </w:pPr>
      <w:r>
        <w:rPr>
          <w:rFonts w:ascii="Arial" w:hAnsi="Arial" w:cs="Arial"/>
          <w:b/>
          <w:bCs/>
          <w:sz w:val="22"/>
          <w:szCs w:val="22"/>
        </w:rPr>
        <w:t xml:space="preserve">Estado: borrador con vacíos · Fecha de corte: 16 de octubre de 2026 · Cierre de la convocatoria: 3 de noviembre de 2026, 4:00 p. m.</w:t>
      </w:r>
    </w:p>
    <w:p>
      <w:pPr>
        <w:keepNext/>
        <w:spacing w:before="240" w:after="120"/>
        <w:jc w:val="left"/>
      </w:pPr>
      <w:r>
        <w:rPr>
          <w:rFonts w:ascii="Arial" w:hAnsi="Arial" w:cs="Arial"/>
          <w:b/>
          <w:bCs/>
          <w:sz w:val="22"/>
          <w:szCs w:val="22"/>
        </w:rPr>
        <w:t xml:space="preserve">Notas:</w:t>
      </w:r>
    </w:p>
    <w:p>
      <w:pPr>
        <w:spacing w:before="0" w:after="100"/>
        <w:ind w:left="426" w:hanging="426"/>
        <w:jc w:val="both"/>
      </w:pPr>
      <w:r>
        <w:rPr>
          <w:rFonts w:ascii="Arial" w:hAnsi="Arial" w:cs="Arial"/>
          <w:sz w:val="22"/>
          <w:szCs w:val="22"/>
        </w:rPr>
        <w:t xml:space="preserve">●  Este archivo reúne la parte de soporte de la solicitud, el documento técnico de las 30 secciones del Anexo 2 y el expediente ampliado de formulación.</w:t>
      </w:r>
    </w:p>
    <w:p>
      <w:pPr>
        <w:spacing w:before="0" w:after="100"/>
        <w:ind w:left="426" w:hanging="426"/>
        <w:jc w:val="both"/>
      </w:pPr>
      <w:r>
        <w:rPr>
          <w:rFonts w:ascii="Arial" w:hAnsi="Arial" w:cs="Arial"/>
          <w:sz w:val="22"/>
          <w:szCs w:val="22"/>
        </w:rPr>
        <w:t xml:space="preserve">●  Cada tabla y figura lleva un rótulo con el prefijo de su parte. Los índices de contenido, de tablas y de figuras se actualizan con el comando Actualizar campos de Word.</w:t>
      </w:r>
    </w:p>
    <w:p>
      <w:pPr>
        <w:spacing w:before="0" w:after="100"/>
        <w:ind w:left="426" w:hanging="426"/>
        <w:jc w:val="both"/>
      </w:pPr>
      <w:r>
        <w:rPr>
          <w:rFonts w:ascii="Arial" w:hAnsi="Arial" w:cs="Arial"/>
          <w:color w:val="00B050"/>
          <w:sz w:val="22"/>
          <w:szCs w:val="22"/>
        </w:rPr>
        <w:t xml:space="preserve">●  El texto entre corchetes, como [DATO_USUARIO], corresponde a información que solo la Universidad, el municipio, el actor reconocido o la empresa aliada pueden aportar.</w:t>
      </w:r>
    </w:p>
    <w:p>
      <w:pPr>
        <w:spacing w:before="0" w:after="100"/>
        <w:ind w:left="426" w:hanging="426"/>
        <w:jc w:val="both"/>
      </w:pPr>
      <w:r>
        <w:rPr>
          <w:rFonts w:ascii="Arial" w:hAnsi="Arial" w:cs="Arial"/>
          <w:color w:val="FF0000"/>
          <w:sz w:val="22"/>
          <w:szCs w:val="22"/>
        </w:rPr>
        <w:t xml:space="preserve">●  Para radicar se usa solo la parte B (secciones 1 a 30); la convocatoria limita cada PDF a 3 MB.</w:t>
      </w:r>
    </w:p>
    <w:p>
      <w:r>
        <w:br w:type="page"/>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"1-3" \h \z \u </w:instrText>
          </w:r>
          <w:r>
            <w:fldChar w:fldCharType="separate"/>
          </w:r>
          <w:hyperlink w:anchor="_Toc00900001" w:history="1">
            <w:r>
              <w:t xml:space="preserve">Guía de lectura</w:t>
            </w:r>
            <w:r>
              <w:tab/>
            </w:r>
            <w:r>
              <w:t>15</w:t>
            </w:r>
          </w:hyperlink>
        </w:p>
        <w:p>
          <w:pPr>
            <w:pStyle w:val="TOC2"/>
            <w:tabs>
              <w:tab w:val="right" w:leader="dot" w:pos="9974"/>
            </w:tabs>
          </w:pPr>
          <w:hyperlink w:anchor="estructura" w:history="1">
            <w:r>
              <w:t xml:space="preserve">Estructura</w:t>
            </w:r>
            <w:r>
              <w:tab/>
            </w:r>
            <w:r>
              <w:t>15</w:t>
            </w:r>
          </w:hyperlink>
        </w:p>
        <w:p>
          <w:pPr>
            <w:pStyle w:val="TOC2"/>
            <w:tabs>
              <w:tab w:val="right" w:leader="dot" w:pos="9974"/>
            </w:tabs>
          </w:pPr>
          <w:hyperlink w:anchor="convenciones" w:history="1">
            <w:r>
              <w:t xml:space="preserve">Convenciones</w:t>
            </w:r>
            <w:r>
              <w:tab/>
            </w:r>
            <w:r>
              <w:t>15</w:t>
            </w:r>
          </w:hyperlink>
        </w:p>
        <w:p>
          <w:pPr>
            <w:pStyle w:val="TOC2"/>
            <w:tabs>
              <w:tab w:val="right" w:leader="dot" w:pos="9974"/>
            </w:tabs>
          </w:pPr>
          <w:hyperlink w:anchor="_Toc00900002" w:history="1">
            <w:r>
              <w:t xml:space="preserve">Qué contiene y qué no</w:t>
            </w:r>
            <w:r>
              <w:tab/>
            </w:r>
            <w:r>
              <w:t>16</w:t>
            </w:r>
          </w:hyperlink>
        </w:p>
        <w:p>
          <w:pPr>
            <w:pStyle w:val="TOC2"/>
            <w:tabs>
              <w:tab w:val="right" w:leader="dot" w:pos="9974"/>
            </w:tabs>
          </w:pPr>
          <w:hyperlink w:anchor="_Toc00900003" w:history="1">
            <w:r>
              <w:t xml:space="preserve">Actualización de índices</w:t>
            </w:r>
            <w:r>
              <w:tab/>
            </w:r>
            <w:r>
              <w:t>16</w:t>
            </w:r>
          </w:hyperlink>
        </w:p>
        <w:p>
          <w:pPr>
            <w:pStyle w:val="TOC1"/>
            <w:tabs>
              <w:tab w:val="right" w:leader="dot" w:pos="9974"/>
            </w:tabs>
          </w:pPr>
          <w:hyperlink w:anchor="_Toc00900004" w:history="1">
            <w:r>
              <w:t xml:space="preserve">Lista de tablas</w:t>
            </w:r>
            <w:r>
              <w:tab/>
            </w:r>
            <w:r>
              <w:t>16</w:t>
            </w:r>
          </w:hyperlink>
        </w:p>
        <w:p>
          <w:pPr>
            <w:pStyle w:val="TOC1"/>
            <w:tabs>
              <w:tab w:val="right" w:leader="dot" w:pos="9974"/>
            </w:tabs>
          </w:pPr>
          <w:hyperlink w:anchor="_Toc00900005" w:history="1">
            <w:r>
              <w:t xml:space="preserve">Lista de figuras</w:t>
            </w:r>
            <w:r>
              <w:tab/>
            </w:r>
            <w:r>
              <w:t>29</w:t>
            </w:r>
          </w:hyperlink>
        </w:p>
        <w:p>
          <w:pPr>
            <w:pStyle w:val="TOC1"/>
            <w:tabs>
              <w:tab w:val="right" w:leader="dot" w:pos="9974"/>
            </w:tabs>
          </w:pPr>
          <w:hyperlink w:anchor="_Toc00900006" w:history="1">
            <w:r>
              <w:t xml:space="preserve">Soporte de la solicitud</w:t>
            </w:r>
            <w:r>
              <w:tab/>
            </w:r>
            <w:r>
              <w:t>32</w:t>
            </w:r>
          </w:hyperlink>
        </w:p>
        <w:p>
          <w:pPr>
            <w:pStyle w:val="TOC2"/>
            <w:tabs>
              <w:tab w:val="right" w:leader="dot" w:pos="9974"/>
            </w:tabs>
          </w:pPr>
          <w:hyperlink w:anchor="_Toc00900007" w:history="1">
            <w:r>
              <w:t xml:space="preserve">S.1 Mensaje recibido</w:t>
            </w:r>
            <w:r>
              <w:tab/>
            </w:r>
            <w:r>
              <w:t>33</w:t>
            </w:r>
          </w:hyperlink>
        </w:p>
        <w:p>
          <w:pPr>
            <w:pStyle w:val="TOC2"/>
            <w:tabs>
              <w:tab w:val="right" w:leader="dot" w:pos="9974"/>
            </w:tabs>
          </w:pPr>
          <w:hyperlink w:anchor="Xbe4381c78eaadd59346cee7f1f9c16ec6a47b9d" w:history="1">
            <w:r>
              <w:t xml:space="preserve">S.2 Qué pide el mensaje y dónde se responde</w:t>
            </w:r>
            <w:r>
              <w:tab/>
            </w:r>
            <w:r>
              <w:t>33</w:t>
            </w:r>
          </w:hyperlink>
        </w:p>
        <w:p>
          <w:pPr>
            <w:pStyle w:val="TOC2"/>
            <w:tabs>
              <w:tab w:val="right" w:leader="dot" w:pos="9974"/>
            </w:tabs>
          </w:pPr>
          <w:hyperlink w:anchor="_Toc00900008" w:history="1">
            <w:r>
              <w:t xml:space="preserve">S.3 El proyecto en una página</w:t>
            </w:r>
            <w:r>
              <w:tab/>
            </w:r>
            <w:r>
              <w:t>34</w:t>
            </w:r>
          </w:hyperlink>
        </w:p>
        <w:p>
          <w:pPr>
            <w:pStyle w:val="TOC2"/>
            <w:tabs>
              <w:tab w:val="right" w:leader="dot" w:pos="9974"/>
            </w:tabs>
          </w:pPr>
          <w:hyperlink w:anchor="_Toc00900009" w:history="1">
            <w:r>
              <w:t xml:space="preserve">S.4 Conformación de la alianza</w:t>
            </w:r>
            <w:r>
              <w:tab/>
            </w:r>
            <w:r>
              <w:t>35</w:t>
            </w:r>
          </w:hyperlink>
        </w:p>
        <w:p>
          <w:pPr>
            <w:pStyle w:val="TOC2"/>
            <w:tabs>
              <w:tab w:val="right" w:leader="dot" w:pos="9974"/>
            </w:tabs>
          </w:pPr>
          <w:hyperlink w:anchor="X2e0046cf9b48ad40cfc57ff84c535ea72babd2c" w:history="1">
            <w:r>
              <w:t xml:space="preserve">S.5 Objetivo, producto e indicador por actor</w:t>
            </w:r>
            <w:r>
              <w:tab/>
            </w:r>
            <w:r>
              <w:t>37</w:t>
            </w:r>
          </w:hyperlink>
        </w:p>
        <w:p>
          <w:pPr>
            <w:pStyle w:val="TOC2"/>
            <w:tabs>
              <w:tab w:val="right" w:leader="dot" w:pos="9974"/>
            </w:tabs>
          </w:pPr>
          <w:hyperlink w:anchor="_Toc00900010" w:history="1">
            <w:r>
              <w:t xml:space="preserve">S.6 Actividades por actor</w:t>
            </w:r>
            <w:r>
              <w:tab/>
            </w:r>
            <w:r>
              <w:t>37</w:t>
            </w:r>
          </w:hyperlink>
        </w:p>
        <w:p>
          <w:pPr>
            <w:pStyle w:val="TOC2"/>
            <w:tabs>
              <w:tab w:val="right" w:leader="dot" w:pos="9974"/>
            </w:tabs>
          </w:pPr>
          <w:hyperlink w:anchor="_Toc00900011" w:history="1">
            <w:r>
              <w:t xml:space="preserve">S.7 Presupuesto por actor</w:t>
            </w:r>
            <w:r>
              <w:tab/>
            </w:r>
            <w:r>
              <w:t>39</w:t>
            </w:r>
          </w:hyperlink>
        </w:p>
        <w:p>
          <w:pPr>
            <w:pStyle w:val="TOC2"/>
            <w:tabs>
              <w:tab w:val="right" w:leader="dot" w:pos="9974"/>
            </w:tabs>
          </w:pPr>
          <w:hyperlink w:anchor="_Toc00900012" w:history="1">
            <w:r>
              <w:t xml:space="preserve">S.8 Beneficio que recibe cada actor</w:t>
            </w:r>
            <w:r>
              <w:tab/>
            </w:r>
            <w:r>
              <w:t>43</w:t>
            </w:r>
          </w:hyperlink>
        </w:p>
        <w:p>
          <w:pPr>
            <w:pStyle w:val="TOC2"/>
            <w:tabs>
              <w:tab w:val="right" w:leader="dot" w:pos="9974"/>
            </w:tabs>
          </w:pPr>
          <w:hyperlink w:anchor="Xe5d1f55d5c58d69369864459041a8d5d94e9362" w:history="1">
            <w:r>
              <w:t xml:space="preserve">S.9 Calendario hacia el documento técnico completo</w:t>
            </w:r>
            <w:r>
              <w:tab/>
            </w:r>
            <w:r>
              <w:t>44</w:t>
            </w:r>
          </w:hyperlink>
        </w:p>
        <w:p>
          <w:pPr>
            <w:pStyle w:val="TOC2"/>
            <w:tabs>
              <w:tab w:val="right" w:leader="dot" w:pos="9974"/>
            </w:tabs>
          </w:pPr>
          <w:hyperlink w:anchor="Xd06a668fd7b87c0470c27cc304d0c2823abc1da" w:history="1">
            <w:r>
              <w:t xml:space="preserve">S.10 Agenda de la reunión con la Universidad</w:t>
            </w:r>
            <w:r>
              <w:tab/>
            </w:r>
            <w:r>
              <w:t>45</w:t>
            </w:r>
          </w:hyperlink>
        </w:p>
        <w:p>
          <w:pPr>
            <w:pStyle w:val="TOC2"/>
            <w:tabs>
              <w:tab w:val="right" w:leader="dot" w:pos="9974"/>
            </w:tabs>
          </w:pPr>
          <w:hyperlink w:anchor="_Toc00900013" w:history="1">
            <w:r>
              <w:t xml:space="preserve">S.11 Borrador del correo</w:t>
            </w:r>
            <w:r>
              <w:tab/>
            </w:r>
            <w:r>
              <w:t>46</w:t>
            </w:r>
          </w:hyperlink>
        </w:p>
        <w:p>
          <w:pPr>
            <w:pStyle w:val="TOC2"/>
            <w:tabs>
              <w:tab w:val="right" w:leader="dot" w:pos="9974"/>
            </w:tabs>
          </w:pPr>
          <w:hyperlink w:anchor="_Toc00900014" w:history="1">
            <w:r>
              <w:t xml:space="preserve">S.12 ¿Qué se me escapa?</w:t>
            </w:r>
            <w:r>
              <w:tab/>
            </w:r>
            <w:r>
              <w:t>47</w:t>
            </w:r>
          </w:hyperlink>
        </w:p>
        <w:p>
          <w:pPr>
            <w:pStyle w:val="TOC2"/>
            <w:tabs>
              <w:tab w:val="right" w:leader="dot" w:pos="9974"/>
            </w:tabs>
          </w:pPr>
          <w:hyperlink w:anchor="X088c59783f55b37b0e688032a1616a6ae4e142f" w:history="1">
            <w:r>
              <w:t xml:space="preserve">S.13 Verificación del presupuesto frente a la Convocatoria 56</w:t>
            </w:r>
            <w:r>
              <w:tab/>
            </w:r>
            <w:r>
              <w:t>47</w:t>
            </w:r>
          </w:hyperlink>
        </w:p>
        <w:p>
          <w:pPr>
            <w:pStyle w:val="TOC1"/>
            <w:tabs>
              <w:tab w:val="right" w:leader="dot" w:pos="9974"/>
            </w:tabs>
          </w:pPr>
          <w:hyperlink w:anchor="Xba62e6b28faabf1b8a3051bee67bb3ad501066c" w:history="1">
            <w:r>
              <w:t xml:space="preserve">Documento técnico de la propuesta (formato del Anexo 2)</w:t>
            </w:r>
            <w:r>
              <w:tab/>
            </w:r>
            <w:r>
              <w:t>51</w:t>
            </w:r>
          </w:hyperlink>
        </w:p>
        <w:p>
          <w:pPr>
            <w:pStyle w:val="TOC1"/>
            <w:tabs>
              <w:tab w:val="right" w:leader="dot" w:pos="9974"/>
            </w:tabs>
          </w:pPr>
          <w:hyperlink w:anchor="_Toc00900015" w:history="1">
            <w:r>
              <w:t xml:space="preserve">1. IDENTIFICACIÓN DEL PROYECTO</w:t>
            </w:r>
            <w:r>
              <w:tab/>
            </w:r>
            <w:r>
              <w:t>51</w:t>
            </w:r>
          </w:hyperlink>
        </w:p>
        <w:p>
          <w:pPr>
            <w:pStyle w:val="TOC1"/>
            <w:tabs>
              <w:tab w:val="right" w:leader="dot" w:pos="9974"/>
            </w:tabs>
          </w:pPr>
          <w:hyperlink w:anchor="_Toc00900016" w:history="1">
            <w:r>
              <w:t xml:space="preserve">2. RESUMEN EJECUTIVO</w:t>
            </w:r>
            <w:r>
              <w:tab/>
            </w:r>
            <w:r>
              <w:t>53</w:t>
            </w:r>
          </w:hyperlink>
        </w:p>
        <w:p>
          <w:pPr>
            <w:pStyle w:val="TOC1"/>
            <w:tabs>
              <w:tab w:val="right" w:leader="dot" w:pos="9974"/>
            </w:tabs>
          </w:pPr>
          <w:hyperlink w:anchor="_Toc00900017" w:history="1">
            <w:r>
              <w:t xml:space="preserve">3. PALABRAS CLAVE</w:t>
            </w:r>
            <w:r>
              <w:tab/>
            </w:r>
            <w:r>
              <w:t>54</w:t>
            </w:r>
          </w:hyperlink>
        </w:p>
        <w:p>
          <w:pPr>
            <w:pStyle w:val="TOC1"/>
            <w:tabs>
              <w:tab w:val="right" w:leader="dot" w:pos="9974"/>
            </w:tabs>
          </w:pPr>
          <w:hyperlink w:anchor="_Toc00900018" w:history="1">
            <w:r>
              <w:t xml:space="preserve">4. ALINEACIÓN CON LA POLÍTICA PÚBLICA</w:t>
            </w:r>
            <w:r>
              <w:tab/>
            </w:r>
            <w:r>
              <w:t>54</w:t>
            </w:r>
          </w:hyperlink>
        </w:p>
        <w:p>
          <w:pPr>
            <w:pStyle w:val="TOC2"/>
            <w:tabs>
              <w:tab w:val="right" w:leader="dot" w:pos="9974"/>
            </w:tabs>
          </w:pPr>
          <w:hyperlink w:anchor="_Toc00900019" w:history="1">
            <w:r>
              <w:t xml:space="preserve">4.1 Afectación y relación con la emergencia</w:t>
            </w:r>
            <w:r>
              <w:tab/>
            </w:r>
            <w:r>
              <w:t>55</w:t>
            </w:r>
          </w:hyperlink>
        </w:p>
        <w:p>
          <w:pPr>
            <w:pStyle w:val="TOC1"/>
            <w:tabs>
              <w:tab w:val="right" w:leader="dot" w:pos="9974"/>
            </w:tabs>
          </w:pPr>
          <w:hyperlink w:anchor="X31a2408ea8cacdb89bff4f1e7ca489b0dd1157b" w:history="1">
            <w:r>
              <w:t xml:space="preserve">5. IDENTIFICACIÓN Y DESCRIPCIÓN DEL PROBLEMA</w:t>
            </w:r>
            <w:r>
              <w:tab/>
            </w:r>
            <w:r>
              <w:t>55</w:t>
            </w:r>
          </w:hyperlink>
        </w:p>
        <w:p>
          <w:pPr>
            <w:pStyle w:val="TOC2"/>
            <w:tabs>
              <w:tab w:val="right" w:leader="dot" w:pos="9974"/>
            </w:tabs>
          </w:pPr>
          <w:hyperlink w:anchor="_Toc00900020" w:history="1">
            <w:r>
              <w:t xml:space="preserve">5.1 Problema central</w:t>
            </w:r>
            <w:r>
              <w:tab/>
            </w:r>
            <w:r>
              <w:t>55</w:t>
            </w:r>
          </w:hyperlink>
        </w:p>
        <w:p>
          <w:pPr>
            <w:pStyle w:val="TOC2"/>
            <w:tabs>
              <w:tab w:val="right" w:leader="dot" w:pos="9974"/>
            </w:tabs>
          </w:pPr>
          <w:hyperlink w:anchor="Xe225b43b89a3b13b27d4d049bfa9fc760f51d58" w:history="1">
            <w:r>
              <w:t xml:space="preserve">5.2 Descripción del problema y la situación existente</w:t>
            </w:r>
            <w:r>
              <w:tab/>
            </w:r>
            <w:r>
              <w:t>55</w:t>
            </w:r>
          </w:hyperlink>
        </w:p>
        <w:p>
          <w:pPr>
            <w:pStyle w:val="TOC2"/>
            <w:tabs>
              <w:tab w:val="right" w:leader="dot" w:pos="9974"/>
            </w:tabs>
          </w:pPr>
          <w:hyperlink w:anchor="X1bc1bd1b979aa19a67cd8efcb18834c2845376d" w:history="1">
            <w:r>
              <w:t xml:space="preserve">5.3 Magnitud actual del problema e indicadores de referencia</w:t>
            </w:r>
            <w:r>
              <w:tab/>
            </w:r>
            <w:r>
              <w:t>56</w:t>
            </w:r>
          </w:hyperlink>
        </w:p>
        <w:p>
          <w:pPr>
            <w:pStyle w:val="TOC2"/>
            <w:tabs>
              <w:tab w:val="right" w:leader="dot" w:pos="9974"/>
            </w:tabs>
          </w:pPr>
          <w:hyperlink w:anchor="_Toc00900021" w:history="1">
            <w:r>
              <w:t xml:space="preserve">5.4 Árbol de problemas</w:t>
            </w:r>
            <w:r>
              <w:tab/>
            </w:r>
            <w:r>
              <w:t>56</w:t>
            </w:r>
          </w:hyperlink>
        </w:p>
        <w:p>
          <w:pPr>
            <w:pStyle w:val="TOC1"/>
            <w:tabs>
              <w:tab w:val="right" w:leader="dot" w:pos="9974"/>
            </w:tabs>
          </w:pPr>
          <w:hyperlink w:anchor="antecedentes" w:history="1">
            <w:r>
              <w:t xml:space="preserve">6. ANTECEDENTES</w:t>
            </w:r>
            <w:r>
              <w:tab/>
            </w:r>
            <w:r>
              <w:t>57</w:t>
            </w:r>
          </w:hyperlink>
        </w:p>
        <w:p>
          <w:pPr>
            <w:pStyle w:val="TOC1"/>
            <w:tabs>
              <w:tab w:val="right" w:leader="dot" w:pos="9974"/>
            </w:tabs>
          </w:pPr>
          <w:hyperlink w:anchor="_Toc00900022" w:history="1">
            <w:r>
              <w:t xml:space="preserve">7. JUSTIFICACIÓN</w:t>
            </w:r>
            <w:r>
              <w:tab/>
            </w:r>
            <w:r>
              <w:t>58</w:t>
            </w:r>
          </w:hyperlink>
        </w:p>
        <w:p>
          <w:pPr>
            <w:pStyle w:val="TOC1"/>
            <w:tabs>
              <w:tab w:val="right" w:leader="dot" w:pos="9974"/>
            </w:tabs>
          </w:pPr>
          <w:hyperlink w:anchor="Xf66d44cffa3bba1f7c78cf005002cc170c88363" w:history="1">
            <w:r>
              <w:t xml:space="preserve">8. ARTICULACIÓN DEL PROYECTO EN RESPUESTA A LOS RETOS ESTRATÉGICOS Y DEMANDAS TERRITORIALES, A PARTIR DE LOS ALCANCES TEMÁTICOS</w:t>
            </w:r>
            <w:r>
              <w:tab/>
            </w:r>
            <w:r>
              <w:t>58</w:t>
            </w:r>
          </w:hyperlink>
        </w:p>
        <w:p>
          <w:pPr>
            <w:pStyle w:val="TOC1"/>
            <w:tabs>
              <w:tab w:val="right" w:leader="dot" w:pos="9974"/>
            </w:tabs>
          </w:pPr>
          <w:hyperlink w:anchor="_Toc00900023" w:history="1">
            <w:r>
              <w:t xml:space="preserve">9. MARCO CONCEPTUAL</w:t>
            </w:r>
            <w:r>
              <w:tab/>
            </w:r>
            <w:r>
              <w:t>59</w:t>
            </w:r>
          </w:hyperlink>
        </w:p>
        <w:p>
          <w:pPr>
            <w:pStyle w:val="TOC2"/>
            <w:tabs>
              <w:tab w:val="right" w:leader="dot" w:pos="9974"/>
            </w:tabs>
          </w:pPr>
          <w:hyperlink w:anchor="X0440dba4889555ae238e4f30e966088cd4f41f0" w:history="1">
            <w:r>
              <w:t xml:space="preserve">9.1 Marco de política pública y marco normativo</w:t>
            </w:r>
            <w:r>
              <w:tab/>
            </w:r>
            <w:r>
              <w:t>59</w:t>
            </w:r>
          </w:hyperlink>
        </w:p>
        <w:p>
          <w:pPr>
            <w:pStyle w:val="TOC1"/>
            <w:tabs>
              <w:tab w:val="right" w:leader="dot" w:pos="9974"/>
            </w:tabs>
          </w:pPr>
          <w:hyperlink w:anchor="_Toc00900024" w:history="1">
            <w:r>
              <w:t xml:space="preserve">10. ANÁLISIS DE PARTICIPANTES</w:t>
            </w:r>
            <w:r>
              <w:tab/>
            </w:r>
            <w:r>
              <w:t>59</w:t>
            </w:r>
          </w:hyperlink>
        </w:p>
        <w:p>
          <w:pPr>
            <w:pStyle w:val="TOC1"/>
            <w:tabs>
              <w:tab w:val="right" w:leader="dot" w:pos="9974"/>
            </w:tabs>
          </w:pPr>
          <w:hyperlink w:anchor="_Toc00900025" w:history="1">
            <w:r>
              <w:t xml:space="preserve">11. POBLACIÓN</w:t>
            </w:r>
            <w:r>
              <w:tab/>
            </w:r>
            <w:r>
              <w:t>60</w:t>
            </w:r>
          </w:hyperlink>
        </w:p>
        <w:p>
          <w:pPr>
            <w:pStyle w:val="TOC2"/>
            <w:tabs>
              <w:tab w:val="right" w:leader="dot" w:pos="9974"/>
            </w:tabs>
          </w:pPr>
          <w:hyperlink w:anchor="_Toc00900026" w:history="1">
            <w:r>
              <w:t xml:space="preserve">11.1 Población afectada</w:t>
            </w:r>
            <w:r>
              <w:tab/>
            </w:r>
            <w:r>
              <w:t>60</w:t>
            </w:r>
          </w:hyperlink>
        </w:p>
        <w:p>
          <w:pPr>
            <w:pStyle w:val="TOC2"/>
            <w:tabs>
              <w:tab w:val="right" w:leader="dot" w:pos="9974"/>
            </w:tabs>
          </w:pPr>
          <w:hyperlink w:anchor="_Toc00900027" w:history="1">
            <w:r>
              <w:t xml:space="preserve">11.2 Población objetivo</w:t>
            </w:r>
            <w:r>
              <w:tab/>
            </w:r>
            <w:r>
              <w:t>61</w:t>
            </w:r>
          </w:hyperlink>
        </w:p>
        <w:p>
          <w:pPr>
            <w:pStyle w:val="TOC2"/>
            <w:tabs>
              <w:tab w:val="right" w:leader="dot" w:pos="9974"/>
            </w:tabs>
          </w:pPr>
          <w:hyperlink w:anchor="Xc216d4e4d5e1279a47eb3e538c8a258c8fbccf2" w:history="1">
            <w:r>
              <w:t xml:space="preserve">11.3 Características demográficas de la población objetivo</w:t>
            </w:r>
            <w:r>
              <w:tab/>
            </w:r>
            <w:r>
              <w:t>61</w:t>
            </w:r>
          </w:hyperlink>
        </w:p>
        <w:p>
          <w:pPr>
            <w:pStyle w:val="TOC2"/>
            <w:tabs>
              <w:tab w:val="right" w:leader="dot" w:pos="9974"/>
            </w:tabs>
          </w:pPr>
          <w:hyperlink w:anchor="X74bb63e11433ed9a2100a644c723e52be388e36" w:history="1">
            <w:r>
              <w:t xml:space="preserve">11.4 Porcentaje de población con enfoque diferencial a vincular al proyecto</w:t>
            </w:r>
            <w:r>
              <w:tab/>
            </w:r>
            <w:r>
              <w:t>62</w:t>
            </w:r>
          </w:hyperlink>
        </w:p>
        <w:p>
          <w:pPr>
            <w:pStyle w:val="TOC1"/>
            <w:tabs>
              <w:tab w:val="right" w:leader="dot" w:pos="9974"/>
            </w:tabs>
          </w:pPr>
          <w:hyperlink w:anchor="objetivos" w:history="1">
            <w:r>
              <w:t xml:space="preserve">12. OBJETIVOS</w:t>
            </w:r>
            <w:r>
              <w:tab/>
            </w:r>
            <w:r>
              <w:t>62</w:t>
            </w:r>
          </w:hyperlink>
        </w:p>
        <w:p>
          <w:pPr>
            <w:pStyle w:val="TOC2"/>
            <w:tabs>
              <w:tab w:val="right" w:leader="dot" w:pos="9974"/>
            </w:tabs>
          </w:pPr>
          <w:hyperlink w:anchor="_Toc00900028" w:history="1">
            <w:r>
              <w:t xml:space="preserve">12.1 Objetivo general</w:t>
            </w:r>
            <w:r>
              <w:tab/>
            </w:r>
            <w:r>
              <w:t>62</w:t>
            </w:r>
          </w:hyperlink>
        </w:p>
        <w:p>
          <w:pPr>
            <w:pStyle w:val="TOC2"/>
            <w:tabs>
              <w:tab w:val="right" w:leader="dot" w:pos="9974"/>
            </w:tabs>
          </w:pPr>
          <w:hyperlink w:anchor="_Toc00900029" w:history="1">
            <w:r>
              <w:t xml:space="preserve">12.2 Objetivos específicos</w:t>
            </w:r>
            <w:r>
              <w:tab/>
            </w:r>
            <w:r>
              <w:t>62</w:t>
            </w:r>
          </w:hyperlink>
        </w:p>
        <w:p>
          <w:pPr>
            <w:pStyle w:val="TOC2"/>
            <w:tabs>
              <w:tab w:val="right" w:leader="dot" w:pos="9974"/>
            </w:tabs>
          </w:pPr>
          <w:hyperlink w:anchor="_Toc00900030" w:history="1">
            <w:r>
              <w:t xml:space="preserve">12.3 Árbol de objetivos</w:t>
            </w:r>
            <w:r>
              <w:tab/>
            </w:r>
            <w:r>
              <w:t>63</w:t>
            </w:r>
          </w:hyperlink>
        </w:p>
        <w:p>
          <w:pPr>
            <w:pStyle w:val="TOC1"/>
            <w:tabs>
              <w:tab w:val="right" w:leader="dot" w:pos="9974"/>
            </w:tabs>
          </w:pPr>
          <w:hyperlink w:anchor="_Toc00900031" w:history="1">
            <w:r>
              <w:t xml:space="preserve">13. ANÁLISIS DE LAS ALTERNATIVAS</w:t>
            </w:r>
            <w:r>
              <w:tab/>
            </w:r>
            <w:r>
              <w:t>64</w:t>
            </w:r>
          </w:hyperlink>
        </w:p>
        <w:p>
          <w:pPr>
            <w:pStyle w:val="TOC2"/>
            <w:tabs>
              <w:tab w:val="right" w:leader="dot" w:pos="9974"/>
            </w:tabs>
          </w:pPr>
          <w:hyperlink w:anchor="X50d2af8ce102570bcd65e9ec7447b91a89d1b96" w:history="1">
            <w:r>
              <w:t xml:space="preserve">13.1 Análisis técnico de la alternativa seleccionada</w:t>
            </w:r>
            <w:r>
              <w:tab/>
            </w:r>
            <w:r>
              <w:t>64</w:t>
            </w:r>
          </w:hyperlink>
        </w:p>
        <w:p>
          <w:pPr>
            <w:pStyle w:val="TOC2"/>
            <w:tabs>
              <w:tab w:val="right" w:leader="dot" w:pos="9974"/>
            </w:tabs>
          </w:pPr>
          <w:hyperlink w:anchor="X1a52b11524ca980d54f4cb0f353ea6a83f4c125" w:history="1">
            <w:r>
              <w:t xml:space="preserve">13.2 Estado de desarrollo y madurez tecnológica</w:t>
            </w:r>
            <w:r>
              <w:tab/>
            </w:r>
            <w:r>
              <w:t>65</w:t>
            </w:r>
          </w:hyperlink>
        </w:p>
        <w:p>
          <w:pPr>
            <w:pStyle w:val="TOC1"/>
            <w:tabs>
              <w:tab w:val="right" w:leader="dot" w:pos="9974"/>
            </w:tabs>
          </w:pPr>
          <w:hyperlink w:anchor="Xf39ac899f991f00da5bcef87a9dca810689bdb6" w:history="1">
            <w:r>
              <w:t xml:space="preserve">14. METODOLOGÍA PARA DESARROLLAR LA ALTERNATIVA SELECCIONADA</w:t>
            </w:r>
            <w:r>
              <w:tab/>
            </w:r>
            <w:r>
              <w:t>65</w:t>
            </w:r>
          </w:hyperlink>
        </w:p>
        <w:p>
          <w:pPr>
            <w:pStyle w:val="TOC2"/>
            <w:tabs>
              <w:tab w:val="right" w:leader="dot" w:pos="9974"/>
            </w:tabs>
          </w:pPr>
          <w:hyperlink w:anchor="_Toc00900032" w:history="1">
            <w:r>
              <w:t xml:space="preserve">14.1 Metodología para el logro del OE1</w:t>
            </w:r>
            <w:r>
              <w:tab/>
            </w:r>
            <w:r>
              <w:t>66</w:t>
            </w:r>
          </w:hyperlink>
        </w:p>
        <w:p>
          <w:pPr>
            <w:pStyle w:val="TOC2"/>
            <w:tabs>
              <w:tab w:val="right" w:leader="dot" w:pos="9974"/>
            </w:tabs>
          </w:pPr>
          <w:hyperlink w:anchor="_Toc00900033" w:history="1">
            <w:r>
              <w:t xml:space="preserve">14.2 Metodología para el logro del OE2</w:t>
            </w:r>
            <w:r>
              <w:tab/>
            </w:r>
            <w:r>
              <w:t>67</w:t>
            </w:r>
          </w:hyperlink>
        </w:p>
        <w:p>
          <w:pPr>
            <w:pStyle w:val="TOC2"/>
            <w:tabs>
              <w:tab w:val="right" w:leader="dot" w:pos="9974"/>
            </w:tabs>
          </w:pPr>
          <w:hyperlink w:anchor="_Toc00900034" w:history="1">
            <w:r>
              <w:t xml:space="preserve">14.3 Metodología para el logro del OE3</w:t>
            </w:r>
            <w:r>
              <w:tab/>
            </w:r>
            <w:r>
              <w:t>68</w:t>
            </w:r>
          </w:hyperlink>
        </w:p>
        <w:p>
          <w:pPr>
            <w:pStyle w:val="TOC1"/>
            <w:tabs>
              <w:tab w:val="right" w:leader="dot" w:pos="9974"/>
            </w:tabs>
          </w:pPr>
          <w:hyperlink w:anchor="_Toc00900035" w:history="1">
            <w:r>
              <w:t xml:space="preserve">15. CADENA DE VALOR</w:t>
            </w:r>
            <w:r>
              <w:tab/>
            </w:r>
            <w:r>
              <w:t>69</w:t>
            </w:r>
          </w:hyperlink>
        </w:p>
        <w:p>
          <w:pPr>
            <w:pStyle w:val="TOC1"/>
            <w:tabs>
              <w:tab w:val="right" w:leader="dot" w:pos="9974"/>
            </w:tabs>
          </w:pPr>
          <w:hyperlink w:anchor="X6eda6f26400c0ebfb01e1eb3fcfc7622a70617e" w:history="1">
            <w:r>
              <w:t xml:space="preserve">16. SOSTENIBILIDAD SOCIAL Y AMBIENTAL DEL PROYECTO</w:t>
            </w:r>
            <w:r>
              <w:tab/>
            </w:r>
            <w:r>
              <w:t>71</w:t>
            </w:r>
          </w:hyperlink>
        </w:p>
        <w:p>
          <w:pPr>
            <w:pStyle w:val="TOC1"/>
            <w:tabs>
              <w:tab w:val="right" w:leader="dot" w:pos="9974"/>
            </w:tabs>
          </w:pPr>
          <w:hyperlink w:anchor="Xac2dc2fefbd7bdd6ca7fd63789903adb0a5e1fb" w:history="1">
            <w:r>
              <w:t xml:space="preserve">17. RESULTADOS E IMPACTOS PARA EL DEPARTAMENTO OBJETO DEL PROYECTO</w:t>
            </w:r>
            <w:r>
              <w:tab/>
            </w:r>
            <w:r>
              <w:t>72</w:t>
            </w:r>
          </w:hyperlink>
        </w:p>
        <w:p>
          <w:pPr>
            <w:pStyle w:val="TOC2"/>
            <w:tabs>
              <w:tab w:val="right" w:leader="dot" w:pos="9974"/>
            </w:tabs>
          </w:pPr>
          <w:hyperlink w:anchor="X911fec0b76bcae3fc700e75f381281b25cfabd9" w:history="1">
            <w:r>
              <w:t xml:space="preserve">17.1 Efectos sobre el medio ambiente y la salud humana</w:t>
            </w:r>
            <w:r>
              <w:tab/>
            </w:r>
            <w:r>
              <w:t>73</w:t>
            </w:r>
          </w:hyperlink>
        </w:p>
        <w:p>
          <w:pPr>
            <w:pStyle w:val="TOC1"/>
            <w:tabs>
              <w:tab w:val="right" w:leader="dot" w:pos="9974"/>
            </w:tabs>
          </w:pPr>
          <w:hyperlink w:anchor="X092cdebf599a2ce8b8d7568980c1eae9820d072" w:history="1">
            <w:r>
              <w:t xml:space="preserve">18. COMPONENTE TRANSVERSAL DE TRANSFERENCIA, ADOPCIÓN Y VALORACIÓN TECNOLÓGICA DEL CONOCIMIENTO</w:t>
            </w:r>
            <w:r>
              <w:tab/>
            </w:r>
            <w:r>
              <w:t>73</w:t>
            </w:r>
          </w:hyperlink>
        </w:p>
        <w:p>
          <w:pPr>
            <w:pStyle w:val="TOC2"/>
            <w:tabs>
              <w:tab w:val="right" w:leader="dot" w:pos="9974"/>
            </w:tabs>
          </w:pPr>
          <w:hyperlink w:anchor="Xebc480b37e73dee809dc9a95cb07b402b924b61" w:history="1">
            <w:r>
              <w:t xml:space="preserve">18.1 Plan de transferencia, adopción y valoración tecnológica del conocimiento</w:t>
            </w:r>
            <w:r>
              <w:tab/>
            </w:r>
            <w:r>
              <w:t>73</w:t>
            </w:r>
          </w:hyperlink>
        </w:p>
        <w:p>
          <w:pPr>
            <w:pStyle w:val="TOC2"/>
            <w:tabs>
              <w:tab w:val="right" w:leader="dot" w:pos="9974"/>
            </w:tabs>
          </w:pPr>
          <w:hyperlink w:anchor="X978ab04e45886d249db09f89c42a4bd7172612c" w:history="1">
            <w:r>
              <w:t xml:space="preserve">18.2 Resultados, usuarios y oportunidades de transferencia</w:t>
            </w:r>
            <w:r>
              <w:tab/>
            </w:r>
            <w:r>
              <w:t>73</w:t>
            </w:r>
          </w:hyperlink>
        </w:p>
        <w:p>
          <w:pPr>
            <w:pStyle w:val="TOC2"/>
            <w:tabs>
              <w:tab w:val="right" w:leader="dot" w:pos="9974"/>
            </w:tabs>
          </w:pPr>
          <w:hyperlink w:anchor="X46b9e6e59775374799528e5c61982811a8bab94" w:history="1">
            <w:r>
              <w:t xml:space="preserve">18.3 Estrategia o ruta de transferencia, adopción y valoración tecnológica</w:t>
            </w:r>
            <w:r>
              <w:tab/>
            </w:r>
            <w:r>
              <w:t>74</w:t>
            </w:r>
          </w:hyperlink>
        </w:p>
        <w:p>
          <w:pPr>
            <w:pStyle w:val="TOC2"/>
            <w:tabs>
              <w:tab w:val="right" w:leader="dot" w:pos="9974"/>
            </w:tabs>
          </w:pPr>
          <w:hyperlink w:anchor="X9c768653d2e6080d16a153ef3ee65972a881feb" w:history="1">
            <w:r>
              <w:t xml:space="preserve">18.4 Actividades, productos, indicadores y presupuesto</w:t>
            </w:r>
            <w:r>
              <w:tab/>
            </w:r>
            <w:r>
              <w:t>75</w:t>
            </w:r>
          </w:hyperlink>
        </w:p>
        <w:p>
          <w:pPr>
            <w:pStyle w:val="TOC2"/>
            <w:tabs>
              <w:tab w:val="right" w:leader="dot" w:pos="9974"/>
            </w:tabs>
          </w:pPr>
          <w:hyperlink w:anchor="_Toc00900036" w:history="1">
            <w:r>
              <w:t xml:space="preserve">18.5 Continuidad del proceso</w:t>
            </w:r>
            <w:r>
              <w:tab/>
            </w:r>
            <w:r>
              <w:t>75</w:t>
            </w:r>
          </w:hyperlink>
        </w:p>
        <w:p>
          <w:pPr>
            <w:pStyle w:val="TOC1"/>
            <w:tabs>
              <w:tab w:val="right" w:leader="dot" w:pos="9974"/>
            </w:tabs>
          </w:pPr>
          <w:hyperlink w:anchor="X9797c94a4ceeeaa8a66ba037cbfb98da391a11b" w:history="1">
            <w:r>
              <w:t xml:space="preserve">19. COMPONENTE TRANSVERSAL DE APROPIACIÓN SOCIAL DEL CONOCIMIENTO (ASC)</w:t>
            </w:r>
            <w:r>
              <w:tab/>
            </w:r>
            <w:r>
              <w:t>76</w:t>
            </w:r>
          </w:hyperlink>
        </w:p>
        <w:p>
          <w:pPr>
            <w:pStyle w:val="TOC2"/>
            <w:tabs>
              <w:tab w:val="right" w:leader="dot" w:pos="9974"/>
            </w:tabs>
          </w:pPr>
          <w:hyperlink w:anchor="Xee4ee6937537342bdcbc549c09593d4f7f39741" w:history="1">
            <w:r>
              <w:t xml:space="preserve">19.1 Estrategia de apropiación social del conocimiento</w:t>
            </w:r>
            <w:r>
              <w:tab/>
            </w:r>
            <w:r>
              <w:t>76</w:t>
            </w:r>
          </w:hyperlink>
        </w:p>
        <w:p>
          <w:pPr>
            <w:pStyle w:val="TOC1"/>
            <w:tabs>
              <w:tab w:val="right" w:leader="dot" w:pos="9974"/>
            </w:tabs>
          </w:pPr>
          <w:hyperlink w:anchor="_Toc00900037" w:history="1">
            <w:r>
              <w:t xml:space="preserve">20. PRODUCTOS ESPERADOS</w:t>
            </w:r>
            <w:r>
              <w:tab/>
            </w:r>
            <w:r>
              <w:t>77</w:t>
            </w:r>
          </w:hyperlink>
        </w:p>
        <w:p>
          <w:pPr>
            <w:pStyle w:val="TOC1"/>
            <w:tabs>
              <w:tab w:val="right" w:leader="dot" w:pos="9974"/>
            </w:tabs>
          </w:pPr>
          <w:hyperlink w:anchor="cronograma" w:history="1">
            <w:r>
              <w:t xml:space="preserve">21. CRONOGRAMA</w:t>
            </w:r>
            <w:r>
              <w:tab/>
            </w:r>
            <w:r>
              <w:t>78</w:t>
            </w:r>
          </w:hyperlink>
        </w:p>
        <w:p>
          <w:pPr>
            <w:pStyle w:val="TOC1"/>
            <w:tabs>
              <w:tab w:val="right" w:leader="dot" w:pos="9974"/>
            </w:tabs>
          </w:pPr>
          <w:hyperlink w:anchor="_Toc00900038" w:history="1">
            <w:r>
              <w:t xml:space="preserve">22. ANÁLISIS DE RIESGOS</w:t>
            </w:r>
            <w:r>
              <w:tab/>
            </w:r>
            <w:r>
              <w:t>80</w:t>
            </w:r>
          </w:hyperlink>
        </w:p>
        <w:p>
          <w:pPr>
            <w:pStyle w:val="TOC1"/>
            <w:tabs>
              <w:tab w:val="right" w:leader="dot" w:pos="9974"/>
            </w:tabs>
          </w:pPr>
          <w:hyperlink w:anchor="_Toc00900039" w:history="1">
            <w:r>
              <w:t xml:space="preserve">23. INDICADORES DE GESTIÓN</w:t>
            </w:r>
            <w:r>
              <w:tab/>
            </w:r>
            <w:r>
              <w:t>81</w:t>
            </w:r>
          </w:hyperlink>
        </w:p>
        <w:p>
          <w:pPr>
            <w:pStyle w:val="TOC1"/>
            <w:tabs>
              <w:tab w:val="right" w:leader="dot" w:pos="9974"/>
            </w:tabs>
          </w:pPr>
          <w:hyperlink w:anchor="_Toc00900040" w:history="1">
            <w:r>
              <w:t xml:space="preserve">24. INDICADORES DE PRODUCTO</w:t>
            </w:r>
            <w:r>
              <w:tab/>
            </w:r>
            <w:r>
              <w:t>82</w:t>
            </w:r>
          </w:hyperlink>
        </w:p>
        <w:p>
          <w:pPr>
            <w:pStyle w:val="TOC1"/>
            <w:tabs>
              <w:tab w:val="right" w:leader="dot" w:pos="9974"/>
            </w:tabs>
          </w:pPr>
          <w:hyperlink w:anchor="_Toc00900041" w:history="1">
            <w:r>
              <w:t xml:space="preserve">25. ASPECTOS ÉTICOS</w:t>
            </w:r>
            <w:r>
              <w:tab/>
            </w:r>
            <w:r>
              <w:t>83</w:t>
            </w:r>
          </w:hyperlink>
        </w:p>
        <w:p>
          <w:pPr>
            <w:pStyle w:val="TOC1"/>
            <w:tabs>
              <w:tab w:val="right" w:leader="dot" w:pos="9974"/>
            </w:tabs>
          </w:pPr>
          <w:hyperlink w:anchor="X5fd263d41ce508b94d9d1994bbc9bc82074d724" w:history="1">
            <w:r>
              <w:t xml:space="preserve">26. IDONEIDAD Y TRAYECTORIA DE LA ENTIDAD PROPONENTE Y DEMÁS PARTICIPANTES</w:t>
            </w:r>
            <w:r>
              <w:tab/>
            </w:r>
            <w:r>
              <w:t>83</w:t>
            </w:r>
          </w:hyperlink>
        </w:p>
        <w:p>
          <w:pPr>
            <w:pStyle w:val="TOC1"/>
            <w:tabs>
              <w:tab w:val="right" w:leader="dot" w:pos="9974"/>
            </w:tabs>
          </w:pPr>
          <w:hyperlink w:anchor="_Toc00900042" w:history="1">
            <w:r>
              <w:t xml:space="preserve">27. ANÁLISIS DE LICENCIAS Y PERMISOS</w:t>
            </w:r>
            <w:r>
              <w:tab/>
            </w:r>
            <w:r>
              <w:t>84</w:t>
            </w:r>
          </w:hyperlink>
        </w:p>
        <w:p>
          <w:pPr>
            <w:pStyle w:val="TOC1"/>
            <w:tabs>
              <w:tab w:val="right" w:leader="dot" w:pos="9974"/>
            </w:tabs>
          </w:pPr>
          <w:hyperlink w:anchor="_Toc00900043" w:history="1">
            <w:r>
              <w:t xml:space="preserve">28. RESUMEN DE FUENTES DE FINANCIACIÓN</w:t>
            </w:r>
            <w:r>
              <w:tab/>
            </w:r>
            <w:r>
              <w:t>85</w:t>
            </w:r>
          </w:hyperlink>
        </w:p>
        <w:p>
          <w:pPr>
            <w:pStyle w:val="TOC1"/>
            <w:tabs>
              <w:tab w:val="right" w:leader="dot" w:pos="9974"/>
            </w:tabs>
          </w:pPr>
          <w:hyperlink w:anchor="_Toc00900044" w:history="1">
            <w:r>
              <w:t xml:space="preserve">29. BIBLIOGRAFÍA</w:t>
            </w:r>
            <w:r>
              <w:tab/>
            </w:r>
            <w:r>
              <w:t>86</w:t>
            </w:r>
          </w:hyperlink>
        </w:p>
        <w:p>
          <w:pPr>
            <w:pStyle w:val="TOC2"/>
            <w:tabs>
              <w:tab w:val="right" w:leader="dot" w:pos="9974"/>
            </w:tabs>
          </w:pPr>
          <w:hyperlink w:anchor="_Toc00900045" w:history="1">
            <w:r>
              <w:t xml:space="preserve">29.1 Referencias bibliográficas</w:t>
            </w:r>
            <w:r>
              <w:tab/>
            </w:r>
            <w:r>
              <w:t>86</w:t>
            </w:r>
          </w:hyperlink>
        </w:p>
        <w:p>
          <w:pPr>
            <w:pStyle w:val="TOC2"/>
            <w:tabs>
              <w:tab w:val="right" w:leader="dot" w:pos="9974"/>
            </w:tabs>
          </w:pPr>
          <w:hyperlink w:anchor="Xcd8e5bde144f80a5540825920ee77cded3f6794" w:history="1">
            <w:r>
              <w:t xml:space="preserve">29.2 Análisis bibliométrico de las referencias</w:t>
            </w:r>
            <w:r>
              <w:tab/>
            </w:r>
            <w:r>
              <w:t>96</w:t>
            </w:r>
          </w:hyperlink>
        </w:p>
        <w:p>
          <w:pPr>
            <w:pStyle w:val="TOC1"/>
            <w:tabs>
              <w:tab w:val="right" w:leader="dot" w:pos="9974"/>
            </w:tabs>
          </w:pPr>
          <w:hyperlink w:anchor="X72393a5b3773a58e0187c6d9eaee04933e019e6" w:history="1">
            <w:r>
              <w:t xml:space="preserve">30. ANEXOS REQUISITOS SECTORIALES QUE LE SEAN APLICABLES</w:t>
            </w:r>
            <w:r>
              <w:tab/>
            </w:r>
            <w:r>
              <w:t>97</w:t>
            </w:r>
          </w:hyperlink>
        </w:p>
        <w:p>
          <w:pPr>
            <w:pStyle w:val="TOC1"/>
            <w:tabs>
              <w:tab w:val="right" w:leader="dot" w:pos="9974"/>
            </w:tabs>
          </w:pPr>
          <w:hyperlink w:anchor="X4a63f71f8df7a24ae3a288d0f10a2c865d5150d" w:history="1">
            <w:r>
              <w:t xml:space="preserve">ANEXOS TÉCNICOS DE LA SECCIÓN 30. EXPEDIENTE AMPLIADO DEL PROYECTO</w:t>
            </w:r>
            <w:r>
              <w:tab/>
            </w:r>
            <w:r>
              <w:t>98</w:t>
            </w:r>
          </w:hyperlink>
        </w:p>
        <w:p>
          <w:pPr>
            <w:pStyle w:val="TOC1"/>
            <w:tabs>
              <w:tab w:val="right" w:leader="dot" w:pos="9974"/>
            </w:tabs>
          </w:pPr>
          <w:hyperlink w:anchor="Xf84576a3fca2f10a3b84a07e2caf6a236ebf413" w:history="1">
            <w:r>
              <w:t xml:space="preserve">Paso 0. Configuración de la convocatoria y del documento</w:t>
            </w:r>
            <w:r>
              <w:tab/>
            </w:r>
            <w:r>
              <w:t>98</w:t>
            </w:r>
          </w:hyperlink>
        </w:p>
        <w:p>
          <w:pPr>
            <w:pStyle w:val="TOC2"/>
            <w:tabs>
              <w:tab w:val="right" w:leader="dot" w:pos="9974"/>
            </w:tabs>
          </w:pPr>
          <w:hyperlink w:anchor="_Toc00900046" w:history="1">
            <w:r>
              <w:t xml:space="preserve">F0.1 Identificación de la convocatoria</w:t>
            </w:r>
            <w:r>
              <w:tab/>
            </w:r>
            <w:r>
              <w:t>98</w:t>
            </w:r>
          </w:hyperlink>
        </w:p>
        <w:p>
          <w:pPr>
            <w:pStyle w:val="TOC2"/>
            <w:tabs>
              <w:tab w:val="right" w:leader="dot" w:pos="9974"/>
            </w:tabs>
          </w:pPr>
          <w:hyperlink w:anchor="_Toc00900047" w:history="1">
            <w:r>
              <w:t xml:space="preserve">F0.2 Requisitos técnicos</w:t>
            </w:r>
            <w:r>
              <w:tab/>
            </w:r>
            <w:r>
              <w:t>99</w:t>
            </w:r>
          </w:hyperlink>
        </w:p>
        <w:p>
          <w:pPr>
            <w:pStyle w:val="TOC2"/>
            <w:tabs>
              <w:tab w:val="right" w:leader="dot" w:pos="9974"/>
            </w:tabs>
          </w:pPr>
          <w:hyperlink w:anchor="_Toc00900048" w:history="1">
            <w:r>
              <w:t xml:space="preserve">F0.3 Estructura del documento</w:t>
            </w:r>
            <w:r>
              <w:tab/>
            </w:r>
            <w:r>
              <w:t>100</w:t>
            </w:r>
          </w:hyperlink>
        </w:p>
        <w:p>
          <w:pPr>
            <w:pStyle w:val="TOC2"/>
            <w:tabs>
              <w:tab w:val="right" w:leader="dot" w:pos="9974"/>
            </w:tabs>
          </w:pPr>
          <w:hyperlink w:anchor="_Toc00900049" w:history="1">
            <w:r>
              <w:t xml:space="preserve">F0.4 Convenciones de presentación</w:t>
            </w:r>
            <w:r>
              <w:tab/>
            </w:r>
            <w:r>
              <w:t>101</w:t>
            </w:r>
          </w:hyperlink>
        </w:p>
        <w:p>
          <w:pPr>
            <w:pStyle w:val="TOC3"/>
            <w:tabs>
              <w:tab w:val="right" w:leader="dot" w:pos="9974"/>
            </w:tabs>
          </w:pPr>
          <w:hyperlink w:anchor="_Toc00900050" w:history="1">
            <w:r>
              <w:t xml:space="preserve">F0.4.1 Jerarquía de encabezados</w:t>
            </w:r>
            <w:r>
              <w:tab/>
            </w:r>
            <w:r>
              <w:t>101</w:t>
            </w:r>
          </w:hyperlink>
        </w:p>
        <w:p>
          <w:pPr>
            <w:pStyle w:val="TOC3"/>
            <w:tabs>
              <w:tab w:val="right" w:leader="dot" w:pos="9974"/>
            </w:tabs>
          </w:pPr>
          <w:hyperlink w:anchor="_Toc00900051" w:history="1">
            <w:r>
              <w:t xml:space="preserve">F0.4.2 Plantilla visual</w:t>
            </w:r>
            <w:r>
              <w:tab/>
            </w:r>
            <w:r>
              <w:t>101</w:t>
            </w:r>
          </w:hyperlink>
        </w:p>
        <w:p>
          <w:pPr>
            <w:pStyle w:val="TOC3"/>
            <w:tabs>
              <w:tab w:val="right" w:leader="dot" w:pos="9974"/>
            </w:tabs>
          </w:pPr>
          <w:hyperlink w:anchor="Xb994f9b7a3e57018fcd479c8d52e76bdb388b6f" w:history="1">
            <w:r>
              <w:t xml:space="preserve">F0.4.3 Convenciones de redacción y de trazabilidad</w:t>
            </w:r>
            <w:r>
              <w:tab/>
            </w:r>
            <w:r>
              <w:t>103</w:t>
            </w:r>
          </w:hyperlink>
        </w:p>
        <w:p>
          <w:pPr>
            <w:pStyle w:val="TOC2"/>
            <w:tabs>
              <w:tab w:val="right" w:leader="dot" w:pos="9974"/>
            </w:tabs>
          </w:pPr>
          <w:hyperlink w:anchor="_Toc00900052" w:history="1">
            <w:r>
              <w:t xml:space="preserve">F0.5 Decisiones de formulación</w:t>
            </w:r>
            <w:r>
              <w:tab/>
            </w:r>
            <w:r>
              <w:t>103</w:t>
            </w:r>
          </w:hyperlink>
        </w:p>
        <w:p>
          <w:pPr>
            <w:pStyle w:val="TOC2"/>
            <w:tabs>
              <w:tab w:val="right" w:leader="dot" w:pos="9974"/>
            </w:tabs>
          </w:pPr>
          <w:hyperlink w:anchor="_Toc00900053" w:history="1">
            <w:r>
              <w:t xml:space="preserve">F0.6 Valor que crea el paso</w:t>
            </w:r>
            <w:r>
              <w:tab/>
            </w:r>
            <w:r>
              <w:t>104</w:t>
            </w:r>
          </w:hyperlink>
        </w:p>
        <w:p>
          <w:pPr>
            <w:pStyle w:val="TOC1"/>
            <w:tabs>
              <w:tab w:val="right" w:leader="dot" w:pos="9974"/>
            </w:tabs>
          </w:pPr>
          <w:hyperlink w:anchor="_Toc00900054" w:history="1">
            <w:r>
              <w:t xml:space="preserve">Paso 1. Información básica del proyecto</w:t>
            </w:r>
            <w:r>
              <w:tab/>
            </w:r>
            <w:r>
              <w:t>104</w:t>
            </w:r>
          </w:hyperlink>
        </w:p>
        <w:p>
          <w:pPr>
            <w:pStyle w:val="TOC2"/>
            <w:tabs>
              <w:tab w:val="right" w:leader="dot" w:pos="9974"/>
            </w:tabs>
          </w:pPr>
          <w:hyperlink w:anchor="X174dcc7b1d6d15383d0c5d1cceca571ff1d5bc7" w:history="1">
            <w:r>
              <w:t xml:space="preserve">F1.1 Identificación del proyecto (Sección A)</w:t>
            </w:r>
            <w:r>
              <w:tab/>
            </w:r>
            <w:r>
              <w:t>105</w:t>
            </w:r>
          </w:hyperlink>
        </w:p>
        <w:p>
          <w:pPr>
            <w:pStyle w:val="TOC2"/>
            <w:tabs>
              <w:tab w:val="right" w:leader="dot" w:pos="9974"/>
            </w:tabs>
          </w:pPr>
          <w:hyperlink w:anchor="X2431b23c198c3128bc21666600174b7ee091456" w:history="1">
            <w:r>
              <w:t xml:space="preserve">F1.2 Caracterización del problema (Sección B)</w:t>
            </w:r>
            <w:r>
              <w:tab/>
            </w:r>
            <w:r>
              <w:t>106</w:t>
            </w:r>
          </w:hyperlink>
        </w:p>
        <w:p>
          <w:pPr>
            <w:pStyle w:val="TOC3"/>
            <w:tabs>
              <w:tab w:val="right" w:leader="dot" w:pos="9974"/>
            </w:tabs>
          </w:pPr>
          <w:hyperlink w:anchor="_Toc00900055" w:history="1">
            <w:r>
              <w:t xml:space="preserve">F1.2.1 Descripción del problema</w:t>
            </w:r>
            <w:r>
              <w:tab/>
            </w:r>
            <w:r>
              <w:t>106</w:t>
            </w:r>
          </w:hyperlink>
        </w:p>
        <w:p>
          <w:pPr>
            <w:pStyle w:val="TOC2"/>
            <w:tabs>
              <w:tab w:val="right" w:leader="dot" w:pos="9974"/>
            </w:tabs>
          </w:pPr>
          <w:hyperlink w:anchor="_Toc00900056" w:history="1">
            <w:r>
              <w:t xml:space="preserve">F1.3 Hipótesis de solución (Sección C)</w:t>
            </w:r>
            <w:r>
              <w:tab/>
            </w:r>
            <w:r>
              <w:t>108</w:t>
            </w:r>
          </w:hyperlink>
        </w:p>
        <w:p>
          <w:pPr>
            <w:pStyle w:val="TOC2"/>
            <w:tabs>
              <w:tab w:val="right" w:leader="dot" w:pos="9974"/>
            </w:tabs>
          </w:pPr>
          <w:hyperlink w:anchor="_Toc00900057" w:history="1">
            <w:r>
              <w:t xml:space="preserve">F1.4 Contexto y alcance (Sección D)</w:t>
            </w:r>
            <w:r>
              <w:tab/>
            </w:r>
            <w:r>
              <w:t>109</w:t>
            </w:r>
          </w:hyperlink>
        </w:p>
        <w:p>
          <w:pPr>
            <w:pStyle w:val="TOC2"/>
            <w:tabs>
              <w:tab w:val="right" w:leader="dot" w:pos="9974"/>
            </w:tabs>
          </w:pPr>
          <w:hyperlink w:anchor="X4da1aacdf1f1866c95f0757cf3f8d8101fbde18" w:history="1">
            <w:r>
              <w:t xml:space="preserve">F1.5 Capacidades y antecedentes (Sección E)</w:t>
            </w:r>
            <w:r>
              <w:tab/>
            </w:r>
            <w:r>
              <w:t>110</w:t>
            </w:r>
          </w:hyperlink>
        </w:p>
        <w:p>
          <w:pPr>
            <w:pStyle w:val="TOC2"/>
            <w:tabs>
              <w:tab w:val="right" w:leader="dot" w:pos="9974"/>
            </w:tabs>
          </w:pPr>
          <w:hyperlink w:anchor="Xe4263ebeec94dad672400df51a351a838a907a3" w:history="1">
            <w:r>
              <w:t xml:space="preserve">F1.6 Verificación de completitud del paso</w:t>
            </w:r>
            <w:r>
              <w:tab/>
            </w:r>
            <w:r>
              <w:t>111</w:t>
            </w:r>
          </w:hyperlink>
        </w:p>
        <w:p>
          <w:pPr>
            <w:pStyle w:val="TOC1"/>
            <w:tabs>
              <w:tab w:val="right" w:leader="dot" w:pos="9974"/>
            </w:tabs>
          </w:pPr>
          <w:hyperlink w:anchor="X956b21080b160c15e6d57d0c7a6d75895192b16" w:history="1">
            <w:r>
              <w:t xml:space="preserve">Paso 2. Ecuaciones de búsqueda para la vigilancia tecnológica</w:t>
            </w:r>
            <w:r>
              <w:tab/>
            </w:r>
            <w:r>
              <w:t>112</w:t>
            </w:r>
          </w:hyperlink>
        </w:p>
        <w:p>
          <w:pPr>
            <w:pStyle w:val="TOC2"/>
            <w:tabs>
              <w:tab w:val="right" w:leader="dot" w:pos="9974"/>
            </w:tabs>
          </w:pPr>
          <w:hyperlink w:anchor="_Toc00900058" w:history="1">
            <w:r>
              <w:t xml:space="preserve">F2.1 Palabras clave identificadas</w:t>
            </w:r>
            <w:r>
              <w:tab/>
            </w:r>
            <w:r>
              <w:t>112</w:t>
            </w:r>
          </w:hyperlink>
        </w:p>
        <w:p>
          <w:pPr>
            <w:pStyle w:val="TOC2"/>
            <w:tabs>
              <w:tab w:val="right" w:leader="dot" w:pos="9974"/>
            </w:tabs>
          </w:pPr>
          <w:hyperlink w:anchor="_Toc00900059" w:history="1">
            <w:r>
              <w:t xml:space="preserve">F2.2 Ecuaciones para bases científicas</w:t>
            </w:r>
            <w:r>
              <w:tab/>
            </w:r>
            <w:r>
              <w:t>113</w:t>
            </w:r>
          </w:hyperlink>
        </w:p>
        <w:p>
          <w:pPr>
            <w:pStyle w:val="TOC2"/>
            <w:tabs>
              <w:tab w:val="right" w:leader="dot" w:pos="9974"/>
            </w:tabs>
          </w:pPr>
          <w:hyperlink w:anchor="_Toc00900060" w:history="1">
            <w:r>
              <w:t xml:space="preserve">F2.3 Ecuaciones para bases de patentes</w:t>
            </w:r>
            <w:r>
              <w:tab/>
            </w:r>
            <w:r>
              <w:t>114</w:t>
            </w:r>
          </w:hyperlink>
        </w:p>
        <w:p>
          <w:pPr>
            <w:pStyle w:val="TOC2"/>
            <w:tabs>
              <w:tab w:val="right" w:leader="dot" w:pos="9974"/>
            </w:tabs>
          </w:pPr>
          <w:hyperlink w:anchor="X3b5847a5bbd9ae6a49c696b2ce7af79c5cf240d" w:history="1">
            <w:r>
              <w:t xml:space="preserve">F2.4 Protocolo PRISMA-VT de selección sistemática</w:t>
            </w:r>
            <w:r>
              <w:tab/>
            </w:r>
            <w:r>
              <w:t>115</w:t>
            </w:r>
          </w:hyperlink>
        </w:p>
        <w:p>
          <w:pPr>
            <w:pStyle w:val="TOC2"/>
            <w:tabs>
              <w:tab w:val="right" w:leader="dot" w:pos="9974"/>
            </w:tabs>
          </w:pPr>
          <w:hyperlink w:anchor="_Toc00900061" w:history="1">
            <w:r>
              <w:t xml:space="preserve">F2.5 Métricas bibliométricas a registrar</w:t>
            </w:r>
            <w:r>
              <w:tab/>
            </w:r>
            <w:r>
              <w:t>116</w:t>
            </w:r>
          </w:hyperlink>
        </w:p>
        <w:p>
          <w:pPr>
            <w:pStyle w:val="TOC2"/>
            <w:tabs>
              <w:tab w:val="right" w:leader="dot" w:pos="9974"/>
            </w:tabs>
          </w:pPr>
          <w:hyperlink w:anchor="_Toc00900062" w:history="1">
            <w:r>
              <w:t xml:space="preserve">F2.6 Requisitos de documentos</w:t>
            </w:r>
            <w:r>
              <w:tab/>
            </w:r>
            <w:r>
              <w:t>117</w:t>
            </w:r>
          </w:hyperlink>
        </w:p>
        <w:p>
          <w:pPr>
            <w:pStyle w:val="TOC2"/>
            <w:tabs>
              <w:tab w:val="right" w:leader="dot" w:pos="9974"/>
            </w:tabs>
          </w:pPr>
          <w:hyperlink w:anchor="Xc52c622165f2a43d9aeb4d6d407496a14889e94" w:history="1">
            <w:r>
              <w:t xml:space="preserve">F2.7 Herramientas de análisis bibliométrico</w:t>
            </w:r>
            <w:r>
              <w:tab/>
            </w:r>
            <w:r>
              <w:t>118</w:t>
            </w:r>
          </w:hyperlink>
        </w:p>
        <w:p>
          <w:pPr>
            <w:pStyle w:val="TOC2"/>
            <w:tabs>
              <w:tab w:val="right" w:leader="dot" w:pos="9974"/>
            </w:tabs>
          </w:pPr>
          <w:hyperlink w:anchor="X3537242e55f777f67c25eecb9c6a0b9cafdeca6" w:history="1">
            <w:r>
              <w:t xml:space="preserve">F2.8 Instrucciones para el equipo y valor del paso</w:t>
            </w:r>
            <w:r>
              <w:tab/>
            </w:r>
            <w:r>
              <w:t>118</w:t>
            </w:r>
          </w:hyperlink>
        </w:p>
        <w:p>
          <w:pPr>
            <w:pStyle w:val="TOC1"/>
            <w:tabs>
              <w:tab w:val="right" w:leader="dot" w:pos="9974"/>
            </w:tabs>
          </w:pPr>
          <w:hyperlink w:anchor="X75d344233a9d6a33733461c44ba0e33e81d62cf" w:history="1">
            <w:r>
              <w:t xml:space="preserve">Paso 3. Procesamiento bibliométrico del corpus de vigilancia tecnológica</w:t>
            </w:r>
            <w:r>
              <w:tab/>
            </w:r>
            <w:r>
              <w:t>119</w:t>
            </w:r>
          </w:hyperlink>
        </w:p>
        <w:p>
          <w:pPr>
            <w:pStyle w:val="TOC2"/>
            <w:tabs>
              <w:tab w:val="right" w:leader="dot" w:pos="9974"/>
            </w:tabs>
          </w:pPr>
          <w:hyperlink w:anchor="_Toc00900063" w:history="1">
            <w:r>
              <w:t xml:space="preserve">3.1 Verificación de completitud del corpus</w:t>
            </w:r>
            <w:r>
              <w:tab/>
            </w:r>
            <w:r>
              <w:t>119</w:t>
            </w:r>
          </w:hyperlink>
        </w:p>
        <w:p>
          <w:pPr>
            <w:pStyle w:val="TOC3"/>
            <w:tabs>
              <w:tab w:val="right" w:leader="dot" w:pos="9974"/>
            </w:tabs>
          </w:pPr>
          <w:hyperlink w:anchor="_Toc00900064" w:history="1">
            <w:r>
              <w:t xml:space="preserve">3.1.1 Inventario de los 42 documentos</w:t>
            </w:r>
            <w:r>
              <w:tab/>
            </w:r>
            <w:r>
              <w:t>119</w:t>
            </w:r>
          </w:hyperlink>
        </w:p>
        <w:p>
          <w:pPr>
            <w:pStyle w:val="TOC3"/>
            <w:tabs>
              <w:tab w:val="right" w:leader="dot" w:pos="9974"/>
            </w:tabs>
          </w:pPr>
          <w:hyperlink w:anchor="_Toc00900065" w:history="1">
            <w:r>
              <w:t xml:space="preserve">3.1.2 Composición por grupo documental</w:t>
            </w:r>
            <w:r>
              <w:tab/>
            </w:r>
            <w:r>
              <w:t>121</w:t>
            </w:r>
          </w:hyperlink>
        </w:p>
        <w:p>
          <w:pPr>
            <w:pStyle w:val="TOC3"/>
            <w:tabs>
              <w:tab w:val="right" w:leader="dot" w:pos="9974"/>
            </w:tabs>
          </w:pPr>
          <w:hyperlink w:anchor="_Toc00900066" w:history="1">
            <w:r>
              <w:t xml:space="preserve">3.1.3 Verificación documento por documento</w:t>
            </w:r>
            <w:r>
              <w:tab/>
            </w:r>
            <w:r>
              <w:t>122</w:t>
            </w:r>
          </w:hyperlink>
        </w:p>
        <w:p>
          <w:pPr>
            <w:pStyle w:val="TOC2"/>
            <w:tabs>
              <w:tab w:val="right" w:leader="dot" w:pos="9974"/>
            </w:tabs>
          </w:pPr>
          <w:hyperlink w:anchor="Xc8c9304fda0a3c576167d2eca9a0fb323902a69" w:history="1">
            <w:r>
              <w:t xml:space="preserve">3.2 Diagrama PRISMA y parámetros de selección</w:t>
            </w:r>
            <w:r>
              <w:tab/>
            </w:r>
            <w:r>
              <w:t>124</w:t>
            </w:r>
          </w:hyperlink>
        </w:p>
        <w:p>
          <w:pPr>
            <w:pStyle w:val="TOC2"/>
            <w:tabs>
              <w:tab w:val="right" w:leader="dot" w:pos="9974"/>
            </w:tabs>
          </w:pPr>
          <w:hyperlink w:anchor="_Toc00900067" w:history="1">
            <w:r>
              <w:t xml:space="preserve">3.3 Parámetros reproducibles del análisis</w:t>
            </w:r>
            <w:r>
              <w:tab/>
            </w:r>
            <w:r>
              <w:t>126</w:t>
            </w:r>
          </w:hyperlink>
        </w:p>
        <w:p>
          <w:pPr>
            <w:pStyle w:val="TOC3"/>
            <w:tabs>
              <w:tab w:val="right" w:leader="dot" w:pos="9974"/>
            </w:tabs>
          </w:pPr>
          <w:hyperlink w:anchor="_Toc00900068" w:history="1">
            <w:r>
              <w:t xml:space="preserve">3.3.1 Entorno, semillas y definiciones</w:t>
            </w:r>
            <w:r>
              <w:tab/>
            </w:r>
            <w:r>
              <w:t>126</w:t>
            </w:r>
          </w:hyperlink>
        </w:p>
        <w:p>
          <w:pPr>
            <w:pStyle w:val="TOC3"/>
            <w:tabs>
              <w:tab w:val="right" w:leader="dot" w:pos="9974"/>
            </w:tabs>
          </w:pPr>
          <w:hyperlink w:anchor="_Toc00900069" w:history="1">
            <w:r>
              <w:t xml:space="preserve">3.3.2 Definiciones operativas</w:t>
            </w:r>
            <w:r>
              <w:tab/>
            </w:r>
            <w:r>
              <w:t>127</w:t>
            </w:r>
          </w:hyperlink>
        </w:p>
        <w:p>
          <w:pPr>
            <w:pStyle w:val="TOC2"/>
            <w:tabs>
              <w:tab w:val="right" w:leader="dot" w:pos="9974"/>
            </w:tabs>
          </w:pPr>
          <w:hyperlink w:anchor="X0efde146865472ad2cd3a5830dd2aa426544bf7" w:history="1">
            <w:r>
              <w:t xml:space="preserve">3.4 Reglas de corpus pequeño aplicadas a Lotka y a Bradford</w:t>
            </w:r>
            <w:r>
              <w:tab/>
            </w:r>
            <w:r>
              <w:t>128</w:t>
            </w:r>
          </w:hyperlink>
        </w:p>
        <w:p>
          <w:pPr>
            <w:pStyle w:val="TOC2"/>
            <w:tabs>
              <w:tab w:val="right" w:leader="dot" w:pos="9974"/>
            </w:tabs>
          </w:pPr>
          <w:hyperlink w:anchor="X341f4ad90f3d7e3043557112df6472761627fe0" w:history="1">
            <w:r>
              <w:t xml:space="preserve">3.5 Resultados del Paso 3 y remisión al Capítulo 2</w:t>
            </w:r>
            <w:r>
              <w:tab/>
            </w:r>
            <w:r>
              <w:t>129</w:t>
            </w:r>
          </w:hyperlink>
        </w:p>
        <w:p>
          <w:pPr>
            <w:pStyle w:val="TOC2"/>
            <w:tabs>
              <w:tab w:val="right" w:leader="dot" w:pos="9974"/>
            </w:tabs>
          </w:pPr>
          <w:hyperlink w:anchor="X0a12cccf5beb1759463e2f01103b71733b59422" w:history="1">
            <w:r>
              <w:t xml:space="preserve">3.6 Síntesis ejecutiva del análisis bibliométrico</w:t>
            </w:r>
            <w:r>
              <w:tab/>
            </w:r>
            <w:r>
              <w:t>130</w:t>
            </w:r>
          </w:hyperlink>
        </w:p>
        <w:p>
          <w:pPr>
            <w:pStyle w:val="TOC2"/>
            <w:tabs>
              <w:tab w:val="right" w:leader="dot" w:pos="9974"/>
            </w:tabs>
          </w:pPr>
          <w:hyperlink w:anchor="_Toc00900070" w:history="1">
            <w:r>
              <w:t xml:space="preserve">3.7 Limitaciones del Paso 3</w:t>
            </w:r>
            <w:r>
              <w:tab/>
            </w:r>
            <w:r>
              <w:t>131</w:t>
            </w:r>
          </w:hyperlink>
        </w:p>
        <w:p>
          <w:pPr>
            <w:pStyle w:val="TOC1"/>
            <w:tabs>
              <w:tab w:val="right" w:leader="dot" w:pos="9974"/>
            </w:tabs>
          </w:pPr>
          <w:hyperlink w:anchor="_Toc00900071" w:history="1">
            <w:r>
              <w:t xml:space="preserve">Paso 4. Análisis causal completo</w:t>
            </w:r>
            <w:r>
              <w:tab/>
            </w:r>
            <w:r>
              <w:t>131</w:t>
            </w:r>
          </w:hyperlink>
        </w:p>
        <w:p>
          <w:pPr>
            <w:pStyle w:val="TOC2"/>
            <w:tabs>
              <w:tab w:val="right" w:leader="dot" w:pos="9974"/>
            </w:tabs>
          </w:pPr>
          <w:hyperlink w:anchor="Xb845c504589b093225de7cbd53bf00e724d6bbe" w:history="1">
            <w:r>
              <w:t xml:space="preserve">F4.1 Identificación de causas con evidencia</w:t>
            </w:r>
            <w:r>
              <w:tab/>
            </w:r>
            <w:r>
              <w:t>132</w:t>
            </w:r>
          </w:hyperlink>
        </w:p>
        <w:p>
          <w:pPr>
            <w:pStyle w:val="TOC3"/>
            <w:tabs>
              <w:tab w:val="right" w:leader="dot" w:pos="9974"/>
            </w:tabs>
          </w:pPr>
          <w:hyperlink w:anchor="Xf96cd47dbf2610beb3f5ab52ab89fec8c39406b" w:history="1">
            <w:r>
              <w:t xml:space="preserve">F4.1.1 Validación de la articulación territorial de las causas</w:t>
            </w:r>
            <w:r>
              <w:tab/>
            </w:r>
            <w:r>
              <w:t>134</w:t>
            </w:r>
          </w:hyperlink>
        </w:p>
        <w:p>
          <w:pPr>
            <w:pStyle w:val="TOC2"/>
            <w:tabs>
              <w:tab w:val="right" w:leader="dot" w:pos="9974"/>
            </w:tabs>
          </w:pPr>
          <w:hyperlink w:anchor="_Toc00900072" w:history="1">
            <w:r>
              <w:t xml:space="preserve">F4.2 Desmantelamiento de ortodoxias</w:t>
            </w:r>
            <w:r>
              <w:tab/>
            </w:r>
            <w:r>
              <w:t>136</w:t>
            </w:r>
          </w:hyperlink>
        </w:p>
        <w:p>
          <w:pPr>
            <w:pStyle w:val="TOC2"/>
            <w:tabs>
              <w:tab w:val="right" w:leader="dot" w:pos="9974"/>
            </w:tabs>
          </w:pPr>
          <w:hyperlink w:anchor="X48d01c14ab0288b327fda7e99470b3b9d9a4cf8" w:history="1">
            <w:r>
              <w:t xml:space="preserve">F4.3 Clasificación de variables para inferencia causal</w:t>
            </w:r>
            <w:r>
              <w:tab/>
            </w:r>
            <w:r>
              <w:t>140</w:t>
            </w:r>
          </w:hyperlink>
        </w:p>
        <w:p>
          <w:pPr>
            <w:pStyle w:val="TOC3"/>
            <w:tabs>
              <w:tab w:val="right" w:leader="dot" w:pos="9974"/>
            </w:tabs>
          </w:pPr>
          <w:hyperlink w:anchor="_Toc00900073" w:history="1">
            <w:r>
              <w:t xml:space="preserve">F4.3.1 Estimando antes del ajuste causal</w:t>
            </w:r>
            <w:r>
              <w:tab/>
            </w:r>
            <w:r>
              <w:t>140</w:t>
            </w:r>
          </w:hyperlink>
        </w:p>
        <w:p>
          <w:pPr>
            <w:pStyle w:val="TOC3"/>
            <w:tabs>
              <w:tab w:val="right" w:leader="dot" w:pos="9974"/>
            </w:tabs>
          </w:pPr>
          <w:hyperlink w:anchor="_Toc00900074" w:history="1">
            <w:r>
              <w:t xml:space="preserve">F4.3.2 Roles del DAG y regla de ajuste</w:t>
            </w:r>
            <w:r>
              <w:tab/>
            </w:r>
            <w:r>
              <w:t>141</w:t>
            </w:r>
          </w:hyperlink>
        </w:p>
        <w:p>
          <w:pPr>
            <w:pStyle w:val="TOC3"/>
            <w:tabs>
              <w:tab w:val="right" w:leader="dot" w:pos="9974"/>
            </w:tabs>
          </w:pPr>
          <w:hyperlink w:anchor="Xb7244fa1c832a5f51676ba6801cf62d416d8384" w:history="1">
            <w:r>
              <w:t xml:space="preserve">F4.3.3 Tabla de clasificación DAG para el estimando E1</w:t>
            </w:r>
            <w:r>
              <w:tab/>
            </w:r>
            <w:r>
              <w:t>142</w:t>
            </w:r>
          </w:hyperlink>
        </w:p>
        <w:p>
          <w:pPr>
            <w:pStyle w:val="TOC3"/>
            <w:tabs>
              <w:tab w:val="right" w:leader="dot" w:pos="9974"/>
            </w:tabs>
          </w:pPr>
          <w:hyperlink w:anchor="_Toc00900075" w:history="1">
            <w:r>
              <w:t xml:space="preserve">F4.3.4 Identificación y DAGs rivales</w:t>
            </w:r>
            <w:r>
              <w:tab/>
            </w:r>
            <w:r>
              <w:t>144</w:t>
            </w:r>
          </w:hyperlink>
        </w:p>
        <w:p>
          <w:pPr>
            <w:pStyle w:val="TOC3"/>
            <w:tabs>
              <w:tab w:val="right" w:leader="dot" w:pos="9974"/>
            </w:tabs>
          </w:pPr>
          <w:hyperlink w:anchor="_Toc00900076" w:history="1">
            <w:r>
              <w:t xml:space="preserve">F4.3.5 Estatutos de afirmación causal</w:t>
            </w:r>
            <w:r>
              <w:tab/>
            </w:r>
            <w:r>
              <w:t>145</w:t>
            </w:r>
          </w:hyperlink>
        </w:p>
        <w:p>
          <w:pPr>
            <w:pStyle w:val="TOC3"/>
            <w:tabs>
              <w:tab w:val="right" w:leader="dot" w:pos="9974"/>
            </w:tabs>
          </w:pPr>
          <w:hyperlink w:anchor="_Toc00900077" w:history="1">
            <w:r>
              <w:t xml:space="preserve">F4.3.6 Pruebas de robustez</w:t>
            </w:r>
            <w:r>
              <w:tab/>
            </w:r>
            <w:r>
              <w:t>146</w:t>
            </w:r>
          </w:hyperlink>
        </w:p>
        <w:p>
          <w:pPr>
            <w:pStyle w:val="TOC2"/>
            <w:tabs>
              <w:tab w:val="right" w:leader="dot" w:pos="9974"/>
            </w:tabs>
          </w:pPr>
          <w:hyperlink w:anchor="X7ce23dbf7c0c4ab51a664241f8d5392bd135539" w:history="1">
            <w:r>
              <w:t xml:space="preserve">F4.4 Vester y MICMAC: protocolo paritario integrado</w:t>
            </w:r>
            <w:r>
              <w:tab/>
            </w:r>
            <w:r>
              <w:t>149</w:t>
            </w:r>
          </w:hyperlink>
        </w:p>
        <w:p>
          <w:pPr>
            <w:pStyle w:val="TOC3"/>
            <w:tabs>
              <w:tab w:val="right" w:leader="dot" w:pos="9974"/>
            </w:tabs>
          </w:pPr>
          <w:hyperlink w:anchor="Xb7be886f437648469d8ea1e5bfb2510c47ac670" w:history="1">
            <w:r>
              <w:t xml:space="preserve">F4.4.1 Procedencia, estado y alcance de los objetos</w:t>
            </w:r>
            <w:r>
              <w:tab/>
            </w:r>
            <w:r>
              <w:t>149</w:t>
            </w:r>
          </w:hyperlink>
        </w:p>
        <w:p>
          <w:pPr>
            <w:pStyle w:val="TOC3"/>
            <w:tabs>
              <w:tab w:val="right" w:leader="dot" w:pos="9974"/>
            </w:tabs>
          </w:pPr>
          <w:hyperlink w:anchor="X0dfc0f4150a47e06a88cbb53cea87e9bc88a566" w:history="1">
            <w:r>
              <w:t xml:space="preserve">F4.4.2 Diccionario revisado y tabla de escala con anclas y límites</w:t>
            </w:r>
            <w:r>
              <w:tab/>
            </w:r>
            <w:r>
              <w:t>152</w:t>
            </w:r>
          </w:hyperlink>
        </w:p>
        <w:p>
          <w:pPr>
            <w:pStyle w:val="TOC3"/>
            <w:tabs>
              <w:tab w:val="right" w:leader="dot" w:pos="9974"/>
            </w:tabs>
          </w:pPr>
          <w:hyperlink w:anchor="X12692d56ce0b30727320ae9aee2e3e11942f398" w:history="1">
            <w:r>
              <w:t xml:space="preserve">F4.4.3 Plan paritario completo, semilla y orden de ejecución</w:t>
            </w:r>
            <w:r>
              <w:tab/>
            </w:r>
            <w:r>
              <w:t>155</w:t>
            </w:r>
          </w:hyperlink>
        </w:p>
        <w:p>
          <w:pPr>
            <w:pStyle w:val="TOC3"/>
            <w:tabs>
              <w:tab w:val="right" w:leader="dot" w:pos="9974"/>
            </w:tabs>
          </w:pPr>
          <w:hyperlink w:anchor="X4c055dfb06bf3aa76152aa6e3b50414e94f939d" w:history="1">
            <w:r>
              <w:t xml:space="preserve">F4.4.4 Fichas bidireccionales con mecanismos, fundamentos y estados</w:t>
            </w:r>
            <w:r>
              <w:tab/>
            </w:r>
            <w:r>
              <w:t>156</w:t>
            </w:r>
          </w:hyperlink>
        </w:p>
        <w:p>
          <w:pPr>
            <w:pStyle w:val="TOC3"/>
            <w:tabs>
              <w:tab w:val="right" w:leader="dot" w:pos="9974"/>
            </w:tabs>
          </w:pPr>
          <w:hyperlink w:anchor="X5896287f39103f779fa58f84c1aeb80db8045c1" w:history="1">
            <w:r>
              <w:t xml:space="preserve">F4.4.5 Vester completa: matriz formal y matrices de trabajo por escenario</w:t>
            </w:r>
            <w:r>
              <w:tab/>
            </w:r>
            <w:r>
              <w:t>157</w:t>
            </w:r>
          </w:hyperlink>
        </w:p>
        <w:p>
          <w:pPr>
            <w:pStyle w:val="TOC3"/>
            <w:tabs>
              <w:tab w:val="right" w:leader="dot" w:pos="9974"/>
            </w:tabs>
          </w:pPr>
          <w:hyperlink w:anchor="Xbe2bbf90bab89ca2284b6df8f29cd213ae21f6e" w:history="1">
            <w:r>
              <w:t xml:space="preserve">F4.4.6 Controles numéricos y metodológicos</w:t>
            </w:r>
            <w:r>
              <w:tab/>
            </w:r>
            <w:r>
              <w:t>170</w:t>
            </w:r>
          </w:hyperlink>
        </w:p>
        <w:p>
          <w:pPr>
            <w:pStyle w:val="TOC3"/>
            <w:tabs>
              <w:tab w:val="right" w:leader="dot" w:pos="9974"/>
            </w:tabs>
          </w:pPr>
          <w:hyperlink w:anchor="_Toc00900078" w:history="1">
            <w:r>
              <w:t xml:space="preserve">F4.4.7 Plano Vester por escenario</w:t>
            </w:r>
            <w:r>
              <w:tab/>
            </w:r>
            <w:r>
              <w:t>172</w:t>
            </w:r>
          </w:hyperlink>
        </w:p>
        <w:p>
          <w:pPr>
            <w:pStyle w:val="TOC3"/>
            <w:tabs>
              <w:tab w:val="right" w:leader="dot" w:pos="9974"/>
            </w:tabs>
          </w:pPr>
          <w:hyperlink w:anchor="Xca6a6554b659dbc1d9edcaea42cf1f7d6680ef0" w:history="1">
            <w:r>
              <w:t xml:space="preserve">F4.4.8 Clasificación directa por variable, rangos y contraste media-mediana</w:t>
            </w:r>
            <w:r>
              <w:tab/>
            </w:r>
            <w:r>
              <w:t>177</w:t>
            </w:r>
          </w:hyperlink>
        </w:p>
        <w:p>
          <w:pPr>
            <w:pStyle w:val="TOC3"/>
            <w:tabs>
              <w:tab w:val="right" w:leader="dot" w:pos="9974"/>
            </w:tabs>
          </w:pPr>
          <w:hyperlink w:anchor="X4b45f6fe20a4bad3e90c813ddf6cd3ccc6d3de0" w:history="1">
            <w:r>
              <w:t xml:space="preserve">F4.4.9 MID de MICMAC idéntica a Vester dentro de cada escenario</w:t>
            </w:r>
            <w:r>
              <w:tab/>
            </w:r>
            <w:r>
              <w:t>183</w:t>
            </w:r>
          </w:hyperlink>
        </w:p>
        <w:p>
          <w:pPr>
            <w:pStyle w:val="TOC3"/>
            <w:tabs>
              <w:tab w:val="right" w:leader="dot" w:pos="9974"/>
            </w:tabs>
          </w:pPr>
          <w:hyperlink w:anchor="X533d00bde90d46a3009b0ac7d50abbcad88f2c0" w:history="1">
            <w:r>
              <w:t xml:space="preserve">F4.4.10 Influencias potenciales (MIDP) y máscara</w:t>
            </w:r>
            <w:r>
              <w:tab/>
            </w:r>
            <w:r>
              <w:t>184</w:t>
            </w:r>
          </w:hyperlink>
        </w:p>
        <w:p>
          <w:pPr>
            <w:pStyle w:val="TOC3"/>
            <w:tabs>
              <w:tab w:val="right" w:leader="dot" w:pos="9974"/>
            </w:tabs>
          </w:pPr>
          <w:hyperlink w:anchor="X383c2e49dd3d660be479d6d98b9771cf83e5b13" w:history="1">
            <w:r>
              <w:t xml:space="preserve">F4.4.11 Potencias completas A¹ a Aᵏ, terminales y estabilidad observada</w:t>
            </w:r>
            <w:r>
              <w:tab/>
            </w:r>
            <w:r>
              <w:t>184</w:t>
            </w:r>
          </w:hyperlink>
        </w:p>
        <w:p>
          <w:pPr>
            <w:pStyle w:val="TOC3"/>
            <w:tabs>
              <w:tab w:val="right" w:leader="dot" w:pos="9974"/>
            </w:tabs>
          </w:pPr>
          <w:hyperlink w:anchor="X0b03fe3840daf9c6d36689ef2c3b5524af51c4e" w:history="1">
            <w:r>
              <w:t xml:space="preserve">F4.4.12 Plano indirecto, desplazamiento de rangos y variables ocultas</w:t>
            </w:r>
            <w:r>
              <w:tab/>
            </w:r>
            <w:r>
              <w:t>188</w:t>
            </w:r>
          </w:hyperlink>
        </w:p>
        <w:p>
          <w:pPr>
            <w:pStyle w:val="TOC3"/>
            <w:tabs>
              <w:tab w:val="right" w:leader="dot" w:pos="9974"/>
            </w:tabs>
          </w:pPr>
          <w:hyperlink w:anchor="X31283ff0835c2b700c88ee16c16adab527c9689" w:history="1">
            <w:r>
              <w:t xml:space="preserve">F4.4.13 Contraste directo-indirecto, escenarios, rutas explicativas y sensibilidad ordinal</w:t>
            </w:r>
            <w:r>
              <w:tab/>
            </w:r>
            <w:r>
              <w:t>191</w:t>
            </w:r>
          </w:hyperlink>
        </w:p>
        <w:p>
          <w:pPr>
            <w:pStyle w:val="TOC3"/>
            <w:tabs>
              <w:tab w:val="right" w:leader="dot" w:pos="9974"/>
            </w:tabs>
          </w:pPr>
          <w:hyperlink w:anchor="Xfb53918a924ac1f16828e976262f0459a39833c" w:history="1">
            <w:r>
              <w:t xml:space="preserve">F4.4.14 Interpretación estructural, límites, brechas, evidencias de ejecución y checkpoint</w:t>
            </w:r>
            <w:r>
              <w:tab/>
            </w:r>
            <w:r>
              <w:t>197</w:t>
            </w:r>
          </w:hyperlink>
        </w:p>
        <w:p>
          <w:pPr>
            <w:pStyle w:val="TOC2"/>
            <w:tabs>
              <w:tab w:val="right" w:leader="dot" w:pos="9974"/>
            </w:tabs>
          </w:pPr>
          <w:hyperlink w:anchor="X2397dc72e2541ea22cd5be85fb19dfecc5baeaf" w:history="1">
            <w:r>
              <w:t xml:space="preserve">F4.4-MDR Metodología integrada de decisión y resolución</w:t>
            </w:r>
            <w:r>
              <w:tab/>
            </w:r>
            <w:r>
              <w:t>202</w:t>
            </w:r>
          </w:hyperlink>
        </w:p>
        <w:p>
          <w:pPr>
            <w:pStyle w:val="TOC3"/>
            <w:tabs>
              <w:tab w:val="right" w:leader="dot" w:pos="9974"/>
            </w:tabs>
          </w:pPr>
          <w:hyperlink w:anchor="_Toc00900079" w:history="1">
            <w:r>
              <w:t xml:space="preserve">F4.4-MDR.1 Síntesis decisional</w:t>
            </w:r>
            <w:r>
              <w:tab/>
            </w:r>
            <w:r>
              <w:t>202</w:t>
            </w:r>
          </w:hyperlink>
        </w:p>
        <w:p>
          <w:pPr>
            <w:pStyle w:val="TOC3"/>
            <w:tabs>
              <w:tab w:val="right" w:leader="dot" w:pos="9974"/>
            </w:tabs>
          </w:pPr>
          <w:hyperlink w:anchor="X9de46a0d78d7d6c3bd11b3f482b3ceb75925b02" w:history="1">
            <w:r>
              <w:t xml:space="preserve">F4.4-MDR.2 Árbol de decisión A-DEC y árbol de teoría del cambio A-TDC</w:t>
            </w:r>
            <w:r>
              <w:tab/>
            </w:r>
            <w:r>
              <w:t>203</w:t>
            </w:r>
          </w:hyperlink>
        </w:p>
        <w:p>
          <w:pPr>
            <w:pStyle w:val="TOC3"/>
            <w:tabs>
              <w:tab w:val="right" w:leader="dot" w:pos="9974"/>
            </w:tabs>
          </w:pPr>
          <w:hyperlink w:anchor="Xd467185e580a207bdcbae07cfae0757f5994ef2" w:history="1">
            <w:r>
              <w:t xml:space="preserve">F4.4-MDR.3 Construcción y dominio del fenómeno</w:t>
            </w:r>
            <w:r>
              <w:tab/>
            </w:r>
            <w:r>
              <w:t>210</w:t>
            </w:r>
          </w:hyperlink>
        </w:p>
        <w:p>
          <w:pPr>
            <w:pStyle w:val="TOC3"/>
            <w:tabs>
              <w:tab w:val="right" w:leader="dot" w:pos="9974"/>
            </w:tabs>
          </w:pPr>
          <w:hyperlink w:anchor="Xd6c6ad8e69982b3bf09a5b7d9a8b78e379126e5" w:history="1">
            <w:r>
              <w:t xml:space="preserve">F4.4-MDR.4 Entorno estructural e institucional</w:t>
            </w:r>
            <w:r>
              <w:tab/>
            </w:r>
            <w:r>
              <w:t>215</w:t>
            </w:r>
          </w:hyperlink>
        </w:p>
        <w:p>
          <w:pPr>
            <w:pStyle w:val="TOC3"/>
            <w:tabs>
              <w:tab w:val="right" w:leader="dot" w:pos="9974"/>
            </w:tabs>
          </w:pPr>
          <w:hyperlink w:anchor="Xbfe3dda17502f6b57e7f7a356f8e5c2ff0cebda" w:history="1">
            <w:r>
              <w:t xml:space="preserve">F4.4-MDR.5 Actores, poder e interdependencia</w:t>
            </w:r>
            <w:r>
              <w:tab/>
            </w:r>
            <w:r>
              <w:t>219</w:t>
            </w:r>
          </w:hyperlink>
        </w:p>
        <w:p>
          <w:pPr>
            <w:pStyle w:val="TOC3"/>
            <w:tabs>
              <w:tab w:val="right" w:leader="dot" w:pos="9974"/>
            </w:tabs>
          </w:pPr>
          <w:hyperlink w:anchor="_Toc00900080" w:history="1">
            <w:r>
              <w:t xml:space="preserve">F4.4-MDR.6 Encuadre y modelo decisional</w:t>
            </w:r>
            <w:r>
              <w:tab/>
            </w:r>
            <w:r>
              <w:t>222</w:t>
            </w:r>
          </w:hyperlink>
        </w:p>
        <w:p>
          <w:pPr>
            <w:pStyle w:val="TOC3"/>
            <w:tabs>
              <w:tab w:val="right" w:leader="dot" w:pos="9974"/>
            </w:tabs>
          </w:pPr>
          <w:hyperlink w:anchor="X1a7e5e836d289d94723512d5aad73c4cd7f4a6e" w:history="1">
            <w:r>
              <w:t xml:space="preserve">F4.4-MDR.7 Alternativas, método, sensibilidad y sesgos</w:t>
            </w:r>
            <w:r>
              <w:tab/>
            </w:r>
            <w:r>
              <w:t>224</w:t>
            </w:r>
          </w:hyperlink>
        </w:p>
        <w:p>
          <w:pPr>
            <w:pStyle w:val="TOC3"/>
            <w:tabs>
              <w:tab w:val="right" w:leader="dot" w:pos="9974"/>
            </w:tabs>
          </w:pPr>
          <w:hyperlink w:anchor="X0b477750a4599dc81b6d773df9cd84e4847ccca" w:history="1">
            <w:r>
              <w:t xml:space="preserve">F4.4-MDR.8 Teoría del cambio, supuestos, techo y matriz de efectos</w:t>
            </w:r>
            <w:r>
              <w:tab/>
            </w:r>
            <w:r>
              <w:t>229</w:t>
            </w:r>
          </w:hyperlink>
        </w:p>
        <w:p>
          <w:pPr>
            <w:pStyle w:val="TOC3"/>
            <w:tabs>
              <w:tab w:val="right" w:leader="dot" w:pos="9974"/>
            </w:tabs>
          </w:pPr>
          <w:hyperlink w:anchor="_Toc00900081" w:history="1">
            <w:r>
              <w:t xml:space="preserve">F4.4-MDR.9 Validación argumentativa</w:t>
            </w:r>
            <w:r>
              <w:tab/>
            </w:r>
            <w:r>
              <w:t>233</w:t>
            </w:r>
          </w:hyperlink>
        </w:p>
        <w:p>
          <w:pPr>
            <w:pStyle w:val="TOC3"/>
            <w:tabs>
              <w:tab w:val="right" w:leader="dot" w:pos="9974"/>
            </w:tabs>
          </w:pPr>
          <w:hyperlink w:anchor="_Toc00900082" w:history="1">
            <w:r>
              <w:t xml:space="preserve">F4.4-MDR.10 Sostenibilidad posproyecto</w:t>
            </w:r>
            <w:r>
              <w:tab/>
            </w:r>
            <w:r>
              <w:t>236</w:t>
            </w:r>
          </w:hyperlink>
        </w:p>
        <w:p>
          <w:pPr>
            <w:pStyle w:val="TOC3"/>
            <w:tabs>
              <w:tab w:val="right" w:leader="dot" w:pos="9974"/>
            </w:tabs>
          </w:pPr>
          <w:hyperlink w:anchor="X6586d5d711a730773e865e76aa323d81b99b39e" w:history="1">
            <w:r>
              <w:t xml:space="preserve">F4.4-MDR.11 Ejecución, evaluación y aprendizaje</w:t>
            </w:r>
            <w:r>
              <w:tab/>
            </w:r>
            <w:r>
              <w:t>242</w:t>
            </w:r>
          </w:hyperlink>
        </w:p>
        <w:p>
          <w:pPr>
            <w:pStyle w:val="TOC3"/>
            <w:tabs>
              <w:tab w:val="right" w:leader="dot" w:pos="9974"/>
            </w:tabs>
          </w:pPr>
          <w:hyperlink w:anchor="_Toc00900083" w:history="1">
            <w:r>
              <w:t xml:space="preserve">F4.4-MDR.12 Premortem y escenarios</w:t>
            </w:r>
            <w:r>
              <w:tab/>
            </w:r>
            <w:r>
              <w:t>245</w:t>
            </w:r>
          </w:hyperlink>
        </w:p>
        <w:p>
          <w:pPr>
            <w:pStyle w:val="TOC3"/>
            <w:tabs>
              <w:tab w:val="right" w:leader="dot" w:pos="9974"/>
            </w:tabs>
          </w:pPr>
          <w:hyperlink w:anchor="X449a4d206391ef26f536aa1a920532f49b76350" w:history="1">
            <w:r>
              <w:t xml:space="preserve">F4.4-MDR.13 Valor, vacíos y consecuencias para el árbol de problemas</w:t>
            </w:r>
            <w:r>
              <w:tab/>
            </w:r>
            <w:r>
              <w:t>249</w:t>
            </w:r>
          </w:hyperlink>
        </w:p>
        <w:p>
          <w:pPr>
            <w:pStyle w:val="TOC2"/>
            <w:tabs>
              <w:tab w:val="right" w:leader="dot" w:pos="9974"/>
            </w:tabs>
          </w:pPr>
          <w:hyperlink w:anchor="_Toc00900084" w:history="1">
            <w:r>
              <w:t xml:space="preserve">F4.5 ÁRBOL DE PROBLEMAS COMPLETO</w:t>
            </w:r>
            <w:r>
              <w:tab/>
            </w:r>
            <w:r>
              <w:t>252</w:t>
            </w:r>
          </w:hyperlink>
        </w:p>
        <w:p>
          <w:pPr>
            <w:pStyle w:val="TOC3"/>
            <w:tabs>
              <w:tab w:val="right" w:leader="dot" w:pos="9974"/>
            </w:tabs>
          </w:pPr>
          <w:hyperlink w:anchor="X9a09b2512fd34670820f74c8b1e07f54604d8bd" w:history="1">
            <w:r>
              <w:t xml:space="preserve">F4.5.1 Problema central y criterios de construcción</w:t>
            </w:r>
            <w:r>
              <w:tab/>
            </w:r>
            <w:r>
              <w:t>253</w:t>
            </w:r>
          </w:hyperlink>
        </w:p>
        <w:p>
          <w:pPr>
            <w:pStyle w:val="TOC3"/>
            <w:tabs>
              <w:tab w:val="right" w:leader="dot" w:pos="9974"/>
            </w:tabs>
          </w:pPr>
          <w:hyperlink w:anchor="_Toc00900085" w:history="1">
            <w:r>
              <w:t xml:space="preserve">F4.5.2 Árbol A-PROB</w:t>
            </w:r>
            <w:r>
              <w:tab/>
            </w:r>
            <w:r>
              <w:t>253</w:t>
            </w:r>
          </w:hyperlink>
        </w:p>
        <w:p>
          <w:pPr>
            <w:pStyle w:val="TOC3"/>
            <w:tabs>
              <w:tab w:val="right" w:leader="dot" w:pos="9974"/>
            </w:tabs>
          </w:pPr>
          <w:hyperlink w:anchor="X375d0e7594692cb79e597339298f4cde92e4ba3" w:history="1">
            <w:r>
              <w:t xml:space="preserve">F4.5.3 Nodos y relaciones con su evidencia</w:t>
            </w:r>
            <w:r>
              <w:tab/>
            </w:r>
            <w:r>
              <w:t>255</w:t>
            </w:r>
          </w:hyperlink>
        </w:p>
        <w:p>
          <w:pPr>
            <w:pStyle w:val="TOC3"/>
            <w:tabs>
              <w:tab w:val="right" w:leader="dot" w:pos="9974"/>
            </w:tabs>
          </w:pPr>
          <w:hyperlink w:anchor="Xba21d1c68bf26d7d5eb35d81d58cc69d05e9af9" w:history="1">
            <w:r>
              <w:t xml:space="preserve">F4.5.4 Contraste con el árbol de problemas del expediente E3</w:t>
            </w:r>
            <w:r>
              <w:tab/>
            </w:r>
            <w:r>
              <w:t>257</w:t>
            </w:r>
          </w:hyperlink>
        </w:p>
        <w:p>
          <w:pPr>
            <w:pStyle w:val="TOC3"/>
            <w:tabs>
              <w:tab w:val="right" w:leader="dot" w:pos="9974"/>
            </w:tabs>
          </w:pPr>
          <w:hyperlink w:anchor="_Toc00900086" w:history="1">
            <w:r>
              <w:t xml:space="preserve">F4.5.5 Lo que el árbol no representa</w:t>
            </w:r>
            <w:r>
              <w:tab/>
            </w:r>
            <w:r>
              <w:t>258</w:t>
            </w:r>
          </w:hyperlink>
        </w:p>
        <w:p>
          <w:pPr>
            <w:pStyle w:val="TOC3"/>
            <w:tabs>
              <w:tab w:val="right" w:leader="dot" w:pos="9974"/>
            </w:tabs>
          </w:pPr>
          <w:hyperlink w:anchor="_Toc00900087" w:history="1">
            <w:r>
              <w:t xml:space="preserve">F4.5.6 Estado y consecuencias</w:t>
            </w:r>
            <w:r>
              <w:tab/>
            </w:r>
            <w:r>
              <w:t>259</w:t>
            </w:r>
          </w:hyperlink>
        </w:p>
        <w:p>
          <w:pPr>
            <w:pStyle w:val="TOC2"/>
            <w:tabs>
              <w:tab w:val="right" w:leader="dot" w:pos="9974"/>
            </w:tabs>
          </w:pPr>
          <w:hyperlink w:anchor="_Toc00900088" w:history="1">
            <w:r>
              <w:t xml:space="preserve">F4.6 Técnica de los cinco porqués</w:t>
            </w:r>
            <w:r>
              <w:tab/>
            </w:r>
            <w:r>
              <w:t>259</w:t>
            </w:r>
          </w:hyperlink>
        </w:p>
        <w:p>
          <w:pPr>
            <w:pStyle w:val="TOC2"/>
            <w:tabs>
              <w:tab w:val="right" w:leader="dot" w:pos="9974"/>
            </w:tabs>
          </w:pPr>
          <w:hyperlink w:anchor="X510b25ce32dcdeffc12ccbce3f8ec6a227926e6" w:history="1">
            <w:r>
              <w:t xml:space="preserve">F4.7 Causas priorizadas para intervención</w:t>
            </w:r>
            <w:r>
              <w:tab/>
            </w:r>
            <w:r>
              <w:t>260</w:t>
            </w:r>
          </w:hyperlink>
        </w:p>
        <w:p>
          <w:pPr>
            <w:pStyle w:val="TOC2"/>
            <w:tabs>
              <w:tab w:val="right" w:leader="dot" w:pos="9974"/>
            </w:tabs>
          </w:pPr>
          <w:hyperlink w:anchor="_Toc00900089" w:history="1">
            <w:r>
              <w:t xml:space="preserve">F4.8 Causa raíz identificada</w:t>
            </w:r>
            <w:r>
              <w:tab/>
            </w:r>
            <w:r>
              <w:t>261</w:t>
            </w:r>
          </w:hyperlink>
        </w:p>
        <w:p>
          <w:pPr>
            <w:pStyle w:val="TOC1"/>
            <w:tabs>
              <w:tab w:val="right" w:leader="dot" w:pos="9974"/>
            </w:tabs>
          </w:pPr>
          <w:hyperlink w:anchor="X1d2b4c334fa7ba3f6ea72a2128337e645751b05" w:history="1">
            <w:r>
              <w:t xml:space="preserve">Paso 5. Formalización tripartita del problema</w:t>
            </w:r>
            <w:r>
              <w:tab/>
            </w:r>
            <w:r>
              <w:t>263</w:t>
            </w:r>
          </w:hyperlink>
        </w:p>
        <w:p>
          <w:pPr>
            <w:pStyle w:val="TOC2"/>
            <w:tabs>
              <w:tab w:val="right" w:leader="dot" w:pos="9974"/>
            </w:tabs>
          </w:pPr>
          <w:hyperlink w:anchor="X616813ffd0ed19b73ddcd67e1df6a8d60d5bdc7" w:history="1">
            <w:r>
              <w:t xml:space="preserve">F5.0 Validación de la articulación territorial del problema</w:t>
            </w:r>
            <w:r>
              <w:tab/>
            </w:r>
            <w:r>
              <w:t>263</w:t>
            </w:r>
          </w:hyperlink>
        </w:p>
        <w:p>
          <w:pPr>
            <w:pStyle w:val="TOC2"/>
            <w:tabs>
              <w:tab w:val="right" w:leader="dot" w:pos="9974"/>
            </w:tabs>
          </w:pPr>
          <w:hyperlink w:anchor="_Toc00900090" w:history="1">
            <w:r>
              <w:t xml:space="preserve">F5.1 Metaproblema (nivel abstracto)</w:t>
            </w:r>
            <w:r>
              <w:tab/>
            </w:r>
            <w:r>
              <w:t>265</w:t>
            </w:r>
          </w:hyperlink>
        </w:p>
        <w:p>
          <w:pPr>
            <w:pStyle w:val="TOC2"/>
            <w:tabs>
              <w:tab w:val="right" w:leader="dot" w:pos="9974"/>
            </w:tabs>
          </w:pPr>
          <w:hyperlink w:anchor="X37bef8a7b044077c9694dbc78c572f1e1ff00b4" w:history="1">
            <w:r>
              <w:t xml:space="preserve">F5.2 Problema sustantivo (nivel contextual)</w:t>
            </w:r>
            <w:r>
              <w:tab/>
            </w:r>
            <w:r>
              <w:t>266</w:t>
            </w:r>
          </w:hyperlink>
        </w:p>
        <w:p>
          <w:pPr>
            <w:pStyle w:val="TOC2"/>
            <w:tabs>
              <w:tab w:val="right" w:leader="dot" w:pos="9974"/>
            </w:tabs>
          </w:pPr>
          <w:hyperlink w:anchor="_Toc00900091" w:history="1">
            <w:r>
              <w:t xml:space="preserve">F5.3 Problema formal (nivel operacional)</w:t>
            </w:r>
            <w:r>
              <w:tab/>
            </w:r>
            <w:r>
              <w:t>267</w:t>
            </w:r>
          </w:hyperlink>
        </w:p>
        <w:p>
          <w:pPr>
            <w:pStyle w:val="TOC2"/>
            <w:tabs>
              <w:tab w:val="right" w:leader="dot" w:pos="9974"/>
            </w:tabs>
          </w:pPr>
          <w:hyperlink w:anchor="_Toc00900092" w:history="1">
            <w:r>
              <w:t xml:space="preserve">F5.4 Incógnitas declaradas</w:t>
            </w:r>
            <w:r>
              <w:tab/>
            </w:r>
            <w:r>
              <w:t>268</w:t>
            </w:r>
          </w:hyperlink>
        </w:p>
        <w:p>
          <w:pPr>
            <w:pStyle w:val="TOC1"/>
            <w:tabs>
              <w:tab w:val="right" w:leader="dot" w:pos="9974"/>
            </w:tabs>
          </w:pPr>
          <w:hyperlink w:anchor="X97241117283bea53b0bcf6af0a044200d9d7875" w:history="1">
            <w:r>
              <w:t xml:space="preserve">Paso 6. Generación y evaluación de alternativas</w:t>
            </w:r>
            <w:r>
              <w:tab/>
            </w:r>
            <w:r>
              <w:t>270</w:t>
            </w:r>
          </w:hyperlink>
        </w:p>
        <w:p>
          <w:pPr>
            <w:pStyle w:val="TOC2"/>
            <w:tabs>
              <w:tab w:val="right" w:leader="dot" w:pos="9974"/>
            </w:tabs>
          </w:pPr>
          <w:hyperlink w:anchor="_Toc00900093" w:history="1">
            <w:r>
              <w:t xml:space="preserve">F6.1 Árbol de objetivos</w:t>
            </w:r>
            <w:r>
              <w:tab/>
            </w:r>
            <w:r>
              <w:t>271</w:t>
            </w:r>
          </w:hyperlink>
        </w:p>
        <w:p>
          <w:pPr>
            <w:pStyle w:val="TOC2"/>
            <w:tabs>
              <w:tab w:val="right" w:leader="dot" w:pos="9974"/>
            </w:tabs>
          </w:pPr>
          <w:hyperlink w:anchor="_Toc00900094" w:history="1">
            <w:r>
              <w:t xml:space="preserve">F6.2 Identificación de alternativas</w:t>
            </w:r>
            <w:r>
              <w:tab/>
            </w:r>
            <w:r>
              <w:t>272</w:t>
            </w:r>
          </w:hyperlink>
        </w:p>
        <w:p>
          <w:pPr>
            <w:pStyle w:val="TOC3"/>
            <w:tabs>
              <w:tab w:val="right" w:leader="dot" w:pos="9974"/>
            </w:tabs>
          </w:pPr>
          <w:hyperlink w:anchor="X74bf6fb61d0f858b91e5a806660d5cbcb5d6531" w:history="1">
            <w:r>
              <w:t xml:space="preserve">F6.2.1 Test de autenticidad contrainductiva</w:t>
            </w:r>
            <w:r>
              <w:tab/>
            </w:r>
            <w:r>
              <w:t>275</w:t>
            </w:r>
          </w:hyperlink>
        </w:p>
        <w:p>
          <w:pPr>
            <w:pStyle w:val="TOC3"/>
            <w:tabs>
              <w:tab w:val="right" w:leader="dot" w:pos="9974"/>
            </w:tabs>
          </w:pPr>
          <w:hyperlink w:anchor="_Toc00900095" w:history="1">
            <w:r>
              <w:t xml:space="preserve">F6.2.2 Analogías entre dominios</w:t>
            </w:r>
            <w:r>
              <w:tab/>
            </w:r>
            <w:r>
              <w:t>276</w:t>
            </w:r>
          </w:hyperlink>
        </w:p>
        <w:p>
          <w:pPr>
            <w:pStyle w:val="TOC2"/>
            <w:tabs>
              <w:tab w:val="right" w:leader="dot" w:pos="9974"/>
            </w:tabs>
          </w:pPr>
          <w:hyperlink w:anchor="_Toc00900096" w:history="1">
            <w:r>
              <w:t xml:space="preserve">F6.3 Evaluación multicriterio</w:t>
            </w:r>
            <w:r>
              <w:tab/>
            </w:r>
            <w:r>
              <w:t>278</w:t>
            </w:r>
          </w:hyperlink>
        </w:p>
        <w:p>
          <w:pPr>
            <w:pStyle w:val="TOC3"/>
            <w:tabs>
              <w:tab w:val="right" w:leader="dot" w:pos="9974"/>
            </w:tabs>
          </w:pPr>
          <w:hyperlink w:anchor="_Toc00900097" w:history="1">
            <w:r>
              <w:t xml:space="preserve">F6.3.1 Análisis de sensibilidad</w:t>
            </w:r>
            <w:r>
              <w:tab/>
            </w:r>
            <w:r>
              <w:t>279</w:t>
            </w:r>
          </w:hyperlink>
        </w:p>
        <w:p>
          <w:pPr>
            <w:pStyle w:val="TOC3"/>
            <w:tabs>
              <w:tab w:val="right" w:leader="dot" w:pos="9974"/>
            </w:tabs>
          </w:pPr>
          <w:hyperlink w:anchor="_Toc00900098" w:history="1">
            <w:r>
              <w:t xml:space="preserve">F6.3.2 Optimización metaheurística (GWO)</w:t>
            </w:r>
            <w:r>
              <w:tab/>
            </w:r>
            <w:r>
              <w:t>281</w:t>
            </w:r>
          </w:hyperlink>
        </w:p>
        <w:p>
          <w:pPr>
            <w:pStyle w:val="TOC2"/>
            <w:tabs>
              <w:tab w:val="right" w:leader="dot" w:pos="9974"/>
            </w:tabs>
          </w:pPr>
          <w:hyperlink w:anchor="_Toc00900099" w:history="1">
            <w:r>
              <w:t xml:space="preserve">F6.4 Alternativa seleccionada</w:t>
            </w:r>
            <w:r>
              <w:tab/>
            </w:r>
            <w:r>
              <w:t>282</w:t>
            </w:r>
          </w:hyperlink>
        </w:p>
        <w:p>
          <w:pPr>
            <w:pStyle w:val="TOC1"/>
            <w:tabs>
              <w:tab w:val="right" w:leader="dot" w:pos="9974"/>
            </w:tabs>
          </w:pPr>
          <w:hyperlink w:anchor="_Toc00900100" w:history="1">
            <w:r>
              <w:t xml:space="preserve">Paso 7. Sistema de indicadores PERS</w:t>
            </w:r>
            <w:r>
              <w:tab/>
            </w:r>
            <w:r>
              <w:t>285</w:t>
            </w:r>
          </w:hyperlink>
        </w:p>
        <w:p>
          <w:pPr>
            <w:pStyle w:val="TOC2"/>
            <w:tabs>
              <w:tab w:val="right" w:leader="dot" w:pos="9974"/>
            </w:tabs>
          </w:pPr>
          <w:hyperlink w:anchor="X7894a2415ff2ab54aa29657407cc332b184b001" w:history="1">
            <w:r>
              <w:t xml:space="preserve">F7.0 Taxonomía obligatoria: outputs, outcomes e impact</w:t>
            </w:r>
            <w:r>
              <w:tab/>
            </w:r>
            <w:r>
              <w:t>286</w:t>
            </w:r>
          </w:hyperlink>
        </w:p>
        <w:p>
          <w:pPr>
            <w:pStyle w:val="TOC2"/>
            <w:tabs>
              <w:tab w:val="right" w:leader="dot" w:pos="9974"/>
            </w:tabs>
          </w:pPr>
          <w:hyperlink w:anchor="X01a71f2a89ebe8366427602e0e8f77deca2c571" w:history="1">
            <w:r>
              <w:t xml:space="preserve">F7.1 Estructura jerárquica PERS articulada con el SGR</w:t>
            </w:r>
            <w:r>
              <w:tab/>
            </w:r>
            <w:r>
              <w:t>290</w:t>
            </w:r>
          </w:hyperlink>
        </w:p>
        <w:p>
          <w:pPr>
            <w:pStyle w:val="TOC3"/>
            <w:tabs>
              <w:tab w:val="right" w:leader="dot" w:pos="9974"/>
            </w:tabs>
          </w:pPr>
          <w:hyperlink w:anchor="Xcf9f2e889254c2bf486c2b5460d2f1436248d8d" w:history="1">
            <w:r>
              <w:t xml:space="preserve">F7.1.1 Articulación con los criterios de viabilidad del SGR</w:t>
            </w:r>
            <w:r>
              <w:tab/>
            </w:r>
            <w:r>
              <w:t>290</w:t>
            </w:r>
          </w:hyperlink>
        </w:p>
        <w:p>
          <w:pPr>
            <w:pStyle w:val="TOC3"/>
            <w:tabs>
              <w:tab w:val="right" w:leader="dot" w:pos="9974"/>
            </w:tabs>
          </w:pPr>
          <w:hyperlink w:anchor="X76ffdfeffd4afdc196b578e7121a7302b9474f7" w:history="1">
            <w:r>
              <w:t xml:space="preserve">F7.1.2 Validación meta-recurso-cronograma</w:t>
            </w:r>
            <w:r>
              <w:tab/>
            </w:r>
            <w:r>
              <w:t>291</w:t>
            </w:r>
          </w:hyperlink>
        </w:p>
        <w:p>
          <w:pPr>
            <w:pStyle w:val="TOC2"/>
            <w:tabs>
              <w:tab w:val="right" w:leader="dot" w:pos="9974"/>
            </w:tabs>
          </w:pPr>
          <w:hyperlink w:anchor="Xd957f104bd861c326202e6ca4206969be784d34" w:history="1">
            <w:r>
              <w:t xml:space="preserve">F7.2 Registro de las fichas técnicas de los 15 indicadores</w:t>
            </w:r>
            <w:r>
              <w:tab/>
            </w:r>
            <w:r>
              <w:t>292</w:t>
            </w:r>
          </w:hyperlink>
        </w:p>
        <w:p>
          <w:pPr>
            <w:pStyle w:val="TOC1"/>
            <w:tabs>
              <w:tab w:val="right" w:leader="dot" w:pos="9974"/>
            </w:tabs>
          </w:pPr>
          <w:hyperlink w:anchor="_Toc00900101" w:history="1">
            <w:r>
              <w:t xml:space="preserve">Capítulo 1. Planteamiento del Problema</w:t>
            </w:r>
            <w:r>
              <w:tab/>
            </w:r>
            <w:r>
              <w:t>296</w:t>
            </w:r>
          </w:hyperlink>
        </w:p>
        <w:p>
          <w:pPr>
            <w:pStyle w:val="TOC2"/>
            <w:tabs>
              <w:tab w:val="right" w:leader="dot" w:pos="9974"/>
            </w:tabs>
          </w:pPr>
          <w:hyperlink w:anchor="_Toc00900102" w:history="1">
            <w:r>
              <w:t xml:space="preserve">1.1 Contexto General del Problema</w:t>
            </w:r>
            <w:r>
              <w:tab/>
            </w:r>
            <w:r>
              <w:t>296</w:t>
            </w:r>
          </w:hyperlink>
        </w:p>
        <w:p>
          <w:pPr>
            <w:pStyle w:val="TOC3"/>
            <w:tabs>
              <w:tab w:val="right" w:leader="dot" w:pos="9974"/>
            </w:tabs>
          </w:pPr>
          <w:hyperlink w:anchor="Xa01481ab5b8783226be34f17849a67e61f2b319" w:history="1">
            <w:r>
              <w:t xml:space="preserve">1.1.1 Dominio de la vigilancia del material particulado</w:t>
            </w:r>
            <w:r>
              <w:tab/>
            </w:r>
            <w:r>
              <w:t>297</w:t>
            </w:r>
          </w:hyperlink>
        </w:p>
        <w:p>
          <w:pPr>
            <w:pStyle w:val="TOC3"/>
            <w:tabs>
              <w:tab w:val="right" w:leader="dot" w:pos="9974"/>
            </w:tabs>
          </w:pPr>
          <w:hyperlink w:anchor="_Toc00900103" w:history="1">
            <w:r>
              <w:t xml:space="preserve">1.1.2 Tendencias globales y regionales</w:t>
            </w:r>
            <w:r>
              <w:tab/>
            </w:r>
            <w:r>
              <w:t>297</w:t>
            </w:r>
          </w:hyperlink>
        </w:p>
        <w:p>
          <w:pPr>
            <w:pStyle w:val="TOC3"/>
            <w:tabs>
              <w:tab w:val="right" w:leader="dot" w:pos="9974"/>
            </w:tabs>
          </w:pPr>
          <w:hyperlink w:anchor="_Toc00900104" w:history="1">
            <w:r>
              <w:t xml:space="preserve">1.1.3 Marco situacional del territorio</w:t>
            </w:r>
            <w:r>
              <w:tab/>
            </w:r>
            <w:r>
              <w:t>300</w:t>
            </w:r>
          </w:hyperlink>
        </w:p>
        <w:p>
          <w:pPr>
            <w:pStyle w:val="TOC3"/>
            <w:tabs>
              <w:tab w:val="right" w:leader="dot" w:pos="9974"/>
            </w:tabs>
          </w:pPr>
          <w:hyperlink w:anchor="X2655df52634f21ae61ffc6ddaed93cf2994e590" w:history="1">
            <w:r>
              <w:t xml:space="preserve">1.1.4 Referencia a los Objetivos de Desarrollo Sostenible y a las políticas públicas</w:t>
            </w:r>
            <w:r>
              <w:tab/>
            </w:r>
            <w:r>
              <w:t>302</w:t>
            </w:r>
          </w:hyperlink>
        </w:p>
        <w:p>
          <w:pPr>
            <w:pStyle w:val="TOC2"/>
            <w:tabs>
              <w:tab w:val="right" w:leader="dot" w:pos="9974"/>
            </w:tabs>
          </w:pPr>
          <w:hyperlink w:anchor="_Toc00900105" w:history="1">
            <w:r>
              <w:t xml:space="preserve">1.2 Descripción del Problema</w:t>
            </w:r>
            <w:r>
              <w:tab/>
            </w:r>
            <w:r>
              <w:t>303</w:t>
            </w:r>
          </w:hyperlink>
        </w:p>
        <w:p>
          <w:pPr>
            <w:pStyle w:val="TOC3"/>
            <w:tabs>
              <w:tab w:val="right" w:leader="dot" w:pos="9974"/>
            </w:tabs>
          </w:pPr>
          <w:hyperlink w:anchor="_Toc00900106" w:history="1">
            <w:r>
              <w:t xml:space="preserve">1.2.1 Problema trascendente identificado</w:t>
            </w:r>
            <w:r>
              <w:tab/>
            </w:r>
            <w:r>
              <w:t>303</w:t>
            </w:r>
          </w:hyperlink>
        </w:p>
        <w:p>
          <w:pPr>
            <w:pStyle w:val="TOC3"/>
            <w:tabs>
              <w:tab w:val="right" w:leader="dot" w:pos="9974"/>
            </w:tabs>
          </w:pPr>
          <w:hyperlink w:anchor="_Toc00900107" w:history="1">
            <w:r>
              <w:t xml:space="preserve">1.2.2 Deficiencia oculta que se tolera</w:t>
            </w:r>
            <w:r>
              <w:tab/>
            </w:r>
            <w:r>
              <w:t>304</w:t>
            </w:r>
          </w:hyperlink>
        </w:p>
        <w:p>
          <w:pPr>
            <w:pStyle w:val="TOC3"/>
            <w:tabs>
              <w:tab w:val="right" w:leader="dot" w:pos="9974"/>
            </w:tabs>
          </w:pPr>
          <w:hyperlink w:anchor="Xe8813d8376677182818d132960c4bdb29f5492f" w:history="1">
            <w:r>
              <w:t xml:space="preserve">1.2.3 Manifestación específica en el territorio</w:t>
            </w:r>
            <w:r>
              <w:tab/>
            </w:r>
            <w:r>
              <w:t>304</w:t>
            </w:r>
          </w:hyperlink>
        </w:p>
        <w:p>
          <w:pPr>
            <w:pStyle w:val="TOC3"/>
            <w:tabs>
              <w:tab w:val="right" w:leader="dot" w:pos="9974"/>
            </w:tabs>
          </w:pPr>
          <w:hyperlink w:anchor="_Toc00900108" w:history="1">
            <w:r>
              <w:t xml:space="preserve">1.2.4 Cuantificación con datos y fuentes</w:t>
            </w:r>
            <w:r>
              <w:tab/>
            </w:r>
            <w:r>
              <w:t>305</w:t>
            </w:r>
          </w:hyperlink>
        </w:p>
        <w:p>
          <w:pPr>
            <w:pStyle w:val="TOC2"/>
            <w:tabs>
              <w:tab w:val="right" w:leader="dot" w:pos="9974"/>
            </w:tabs>
          </w:pPr>
          <w:hyperlink w:anchor="_Toc00900109" w:history="1">
            <w:r>
              <w:t xml:space="preserve">1.3 Análisis estructural Vester-MICMAC</w:t>
            </w:r>
            <w:r>
              <w:tab/>
            </w:r>
            <w:r>
              <w:t>307</w:t>
            </w:r>
          </w:hyperlink>
        </w:p>
        <w:p>
          <w:pPr>
            <w:pStyle w:val="TOC3"/>
            <w:tabs>
              <w:tab w:val="right" w:leader="dot" w:pos="9974"/>
            </w:tabs>
          </w:pPr>
          <w:hyperlink w:anchor="_Toc00900110" w:history="1">
            <w:r>
              <w:t xml:space="preserve">1.3.1 Resumen de la matriz de Vester</w:t>
            </w:r>
            <w:r>
              <w:tab/>
            </w:r>
            <w:r>
              <w:t>307</w:t>
            </w:r>
          </w:hyperlink>
        </w:p>
        <w:p>
          <w:pPr>
            <w:pStyle w:val="TOC3"/>
            <w:tabs>
              <w:tab w:val="right" w:leader="dot" w:pos="9974"/>
            </w:tabs>
          </w:pPr>
          <w:hyperlink w:anchor="Xc0ee0c03b7e9957ffd2171aa20cbebcfec11c8b" w:history="1">
            <w:r>
              <w:t xml:space="preserve">1.3.2 Técnica de los cinco porqués y causa raíz</w:t>
            </w:r>
            <w:r>
              <w:tab/>
            </w:r>
            <w:r>
              <w:t>308</w:t>
            </w:r>
          </w:hyperlink>
        </w:p>
        <w:p>
          <w:pPr>
            <w:pStyle w:val="TOC3"/>
            <w:tabs>
              <w:tab w:val="right" w:leader="dot" w:pos="9974"/>
            </w:tabs>
          </w:pPr>
          <w:hyperlink w:anchor="X9a29489009406e972626798ce307bbdc003cc6d" w:history="1">
            <w:r>
              <w:t xml:space="preserve">1.3.3 Validación contra las ortodoxias desmanteladas</w:t>
            </w:r>
            <w:r>
              <w:tab/>
            </w:r>
            <w:r>
              <w:t>310</w:t>
            </w:r>
          </w:hyperlink>
        </w:p>
        <w:p>
          <w:pPr>
            <w:pStyle w:val="TOC2"/>
            <w:tabs>
              <w:tab w:val="right" w:leader="dot" w:pos="9974"/>
            </w:tabs>
          </w:pPr>
          <w:hyperlink w:anchor="_Toc00900111" w:history="1">
            <w:r>
              <w:t xml:space="preserve">1.4 Efectos y Consecuencias</w:t>
            </w:r>
            <w:r>
              <w:tab/>
            </w:r>
            <w:r>
              <w:t>311</w:t>
            </w:r>
          </w:hyperlink>
        </w:p>
        <w:p>
          <w:pPr>
            <w:pStyle w:val="TOC3"/>
            <w:tabs>
              <w:tab w:val="right" w:leader="dot" w:pos="9974"/>
            </w:tabs>
          </w:pPr>
          <w:hyperlink w:anchor="_Toc00900112" w:history="1">
            <w:r>
              <w:t xml:space="preserve">1.4.1 Efectos directos (nivel 1)</w:t>
            </w:r>
            <w:r>
              <w:tab/>
            </w:r>
            <w:r>
              <w:t>311</w:t>
            </w:r>
          </w:hyperlink>
        </w:p>
        <w:p>
          <w:pPr>
            <w:pStyle w:val="TOC3"/>
            <w:tabs>
              <w:tab w:val="right" w:leader="dot" w:pos="9974"/>
            </w:tabs>
          </w:pPr>
          <w:hyperlink w:anchor="_Toc00900113" w:history="1">
            <w:r>
              <w:t xml:space="preserve">1.4.2 Efectos indirectos (nivel 2)</w:t>
            </w:r>
            <w:r>
              <w:tab/>
            </w:r>
            <w:r>
              <w:t>312</w:t>
            </w:r>
          </w:hyperlink>
        </w:p>
        <w:p>
          <w:pPr>
            <w:pStyle w:val="TOC3"/>
            <w:tabs>
              <w:tab w:val="right" w:leader="dot" w:pos="9974"/>
            </w:tabs>
          </w:pPr>
          <w:hyperlink w:anchor="_Toc00900114" w:history="1">
            <w:r>
              <w:t xml:space="preserve">1.4.3 Impactos de largo plazo (nivel 3)</w:t>
            </w:r>
            <w:r>
              <w:tab/>
            </w:r>
            <w:r>
              <w:t>313</w:t>
            </w:r>
          </w:hyperlink>
        </w:p>
        <w:p>
          <w:pPr>
            <w:pStyle w:val="TOC3"/>
            <w:tabs>
              <w:tab w:val="right" w:leader="dot" w:pos="9974"/>
            </w:tabs>
          </w:pPr>
          <w:hyperlink w:anchor="_Toc00900115" w:history="1">
            <w:r>
              <w:t xml:space="preserve">1.4.4 Proyección sin intervención</w:t>
            </w:r>
            <w:r>
              <w:tab/>
            </w:r>
            <w:r>
              <w:t>314</w:t>
            </w:r>
          </w:hyperlink>
        </w:p>
        <w:p>
          <w:pPr>
            <w:pStyle w:val="TOC2"/>
            <w:tabs>
              <w:tab w:val="right" w:leader="dot" w:pos="9974"/>
            </w:tabs>
          </w:pPr>
          <w:hyperlink w:anchor="_Toc00900116" w:history="1">
            <w:r>
              <w:t xml:space="preserve">1.5 Formulación del Problema</w:t>
            </w:r>
            <w:r>
              <w:tab/>
            </w:r>
            <w:r>
              <w:t>315</w:t>
            </w:r>
          </w:hyperlink>
        </w:p>
        <w:p>
          <w:pPr>
            <w:pStyle w:val="TOC3"/>
            <w:tabs>
              <w:tab w:val="right" w:leader="dot" w:pos="9974"/>
            </w:tabs>
          </w:pPr>
          <w:hyperlink w:anchor="_Toc00900117" w:history="1">
            <w:r>
              <w:t xml:space="preserve">1.5.1 Enunciado tripartito</w:t>
            </w:r>
            <w:r>
              <w:tab/>
            </w:r>
            <w:r>
              <w:t>315</w:t>
            </w:r>
          </w:hyperlink>
        </w:p>
        <w:p>
          <w:pPr>
            <w:pStyle w:val="TOC3"/>
            <w:tabs>
              <w:tab w:val="right" w:leader="dot" w:pos="9974"/>
            </w:tabs>
          </w:pPr>
          <w:hyperlink w:anchor="_Toc00900118" w:history="1">
            <w:r>
              <w:t xml:space="preserve">1.5.2 Variables del problema formal</w:t>
            </w:r>
            <w:r>
              <w:tab/>
            </w:r>
            <w:r>
              <w:t>315</w:t>
            </w:r>
          </w:hyperlink>
        </w:p>
        <w:p>
          <w:pPr>
            <w:pStyle w:val="TOC3"/>
            <w:tabs>
              <w:tab w:val="right" w:leader="dot" w:pos="9974"/>
            </w:tabs>
          </w:pPr>
          <w:hyperlink w:anchor="_Toc00900119" w:history="1">
            <w:r>
              <w:t xml:space="preserve">1.5.3 Brechas cuantificadas</w:t>
            </w:r>
            <w:r>
              <w:tab/>
            </w:r>
            <w:r>
              <w:t>317</w:t>
            </w:r>
          </w:hyperlink>
        </w:p>
        <w:p>
          <w:pPr>
            <w:pStyle w:val="TOC1"/>
            <w:tabs>
              <w:tab w:val="right" w:leader="dot" w:pos="9974"/>
            </w:tabs>
          </w:pPr>
          <w:hyperlink w:anchor="Xe0e33dcba89e719b252b0aa1d30520276ac3383" w:history="1">
            <w:r>
              <w:t xml:space="preserve">Capítulo 2. Estado del arte y vigilancia tecnológica</w:t>
            </w:r>
            <w:r>
              <w:tab/>
            </w:r>
            <w:r>
              <w:t>318</w:t>
            </w:r>
          </w:hyperlink>
        </w:p>
        <w:p>
          <w:pPr>
            <w:pStyle w:val="TOC2"/>
            <w:tabs>
              <w:tab w:val="right" w:leader="dot" w:pos="9974"/>
            </w:tabs>
          </w:pPr>
          <w:hyperlink w:anchor="_Toc00900120" w:history="1">
            <w:r>
              <w:t xml:space="preserve">2.1 Metodología de vigilancia tecnológica</w:t>
            </w:r>
            <w:r>
              <w:tab/>
            </w:r>
            <w:r>
              <w:t>318</w:t>
            </w:r>
          </w:hyperlink>
        </w:p>
        <w:p>
          <w:pPr>
            <w:pStyle w:val="TOC3"/>
            <w:tabs>
              <w:tab w:val="right" w:leader="dot" w:pos="9974"/>
            </w:tabs>
          </w:pPr>
          <w:hyperlink w:anchor="X5f8cda2d03998991dcf5be8687f1dba5ff1ea07" w:history="1">
            <w:r>
              <w:t xml:space="preserve">2.1.1 Origen del corpus y ecuaciones de búsqueda</w:t>
            </w:r>
            <w:r>
              <w:tab/>
            </w:r>
            <w:r>
              <w:t>318</w:t>
            </w:r>
          </w:hyperlink>
        </w:p>
        <w:p>
          <w:pPr>
            <w:pStyle w:val="TOC3"/>
            <w:tabs>
              <w:tab w:val="right" w:leader="dot" w:pos="9974"/>
            </w:tabs>
          </w:pPr>
          <w:hyperlink w:anchor="_Toc00900121" w:history="1">
            <w:r>
              <w:t xml:space="preserve">2.1.2 Bases, período y criterios</w:t>
            </w:r>
            <w:r>
              <w:tab/>
            </w:r>
            <w:r>
              <w:t>320</w:t>
            </w:r>
          </w:hyperlink>
        </w:p>
        <w:p>
          <w:pPr>
            <w:pStyle w:val="TOC2"/>
            <w:tabs>
              <w:tab w:val="right" w:leader="dot" w:pos="9974"/>
            </w:tabs>
          </w:pPr>
          <w:hyperlink w:anchor="_Toc00900122" w:history="1">
            <w:r>
              <w:t xml:space="preserve">2.2 Análisis cienciométrico</w:t>
            </w:r>
            <w:r>
              <w:tab/>
            </w:r>
            <w:r>
              <w:t>321</w:t>
            </w:r>
          </w:hyperlink>
        </w:p>
        <w:p>
          <w:pPr>
            <w:pStyle w:val="TOC3"/>
            <w:tabs>
              <w:tab w:val="right" w:leader="dot" w:pos="9974"/>
            </w:tabs>
          </w:pPr>
          <w:hyperlink w:anchor="_Toc00900123" w:history="1">
            <w:r>
              <w:t xml:space="preserve">2.2.1 Diagrama PRISMA y selección sistemática</w:t>
            </w:r>
            <w:r>
              <w:tab/>
            </w:r>
            <w:r>
              <w:t>321</w:t>
            </w:r>
          </w:hyperlink>
        </w:p>
        <w:p>
          <w:pPr>
            <w:pStyle w:val="TOC3"/>
            <w:tabs>
              <w:tab w:val="right" w:leader="dot" w:pos="9974"/>
            </w:tabs>
          </w:pPr>
          <w:hyperlink w:anchor="_Toc00900124" w:history="1">
            <w:r>
              <w:t xml:space="preserve">2.2.2 Producción científica temporal</w:t>
            </w:r>
            <w:r>
              <w:tab/>
            </w:r>
            <w:r>
              <w:t>324</w:t>
            </w:r>
          </w:hyperlink>
        </w:p>
        <w:p>
          <w:pPr>
            <w:pStyle w:val="TOC3"/>
            <w:tabs>
              <w:tab w:val="right" w:leader="dot" w:pos="9974"/>
            </w:tabs>
          </w:pPr>
          <w:hyperlink w:anchor="_Toc00900125" w:history="1">
            <w:r>
              <w:t xml:space="preserve">2.2.3 Autores y productividad: ley de Lotka</w:t>
            </w:r>
            <w:r>
              <w:tab/>
            </w:r>
            <w:r>
              <w:t>326</w:t>
            </w:r>
          </w:hyperlink>
        </w:p>
        <w:p>
          <w:pPr>
            <w:pStyle w:val="TOC3"/>
            <w:tabs>
              <w:tab w:val="right" w:leader="dot" w:pos="9974"/>
            </w:tabs>
          </w:pPr>
          <w:hyperlink w:anchor="_Toc00900126" w:history="1">
            <w:r>
              <w:t xml:space="preserve">2.2.4 Fuentes y dispersión: ley de Bradford</w:t>
            </w:r>
            <w:r>
              <w:tab/>
            </w:r>
            <w:r>
              <w:t>329</w:t>
            </w:r>
          </w:hyperlink>
        </w:p>
        <w:p>
          <w:pPr>
            <w:pStyle w:val="TOC3"/>
            <w:tabs>
              <w:tab w:val="right" w:leader="dot" w:pos="9974"/>
            </w:tabs>
          </w:pPr>
          <w:hyperlink w:anchor="_Toc00900127" w:history="1">
            <w:r>
              <w:t xml:space="preserve">2.2.5 Red de co-ocurrencia de palabras clave</w:t>
            </w:r>
            <w:r>
              <w:tab/>
            </w:r>
            <w:r>
              <w:t>332</w:t>
            </w:r>
          </w:hyperlink>
        </w:p>
        <w:p>
          <w:pPr>
            <w:pStyle w:val="TOC3"/>
            <w:tabs>
              <w:tab w:val="right" w:leader="dot" w:pos="9974"/>
            </w:tabs>
          </w:pPr>
          <w:hyperlink w:anchor="X6c8b0a86b7856d08bf837a5546fdd1c46e47fd8" w:history="1">
            <w:r>
              <w:t xml:space="preserve">2.2.6 Red de co-citación y acoplamiento bibliográfico</w:t>
            </w:r>
            <w:r>
              <w:tab/>
            </w:r>
            <w:r>
              <w:t>336</w:t>
            </w:r>
          </w:hyperlink>
        </w:p>
        <w:p>
          <w:pPr>
            <w:pStyle w:val="TOC3"/>
            <w:tabs>
              <w:tab w:val="right" w:leader="dot" w:pos="9974"/>
            </w:tabs>
          </w:pPr>
          <w:hyperlink w:anchor="_Toc00900128" w:history="1">
            <w:r>
              <w:t xml:space="preserve">2.2.7 Mapa estratégico de cuatro cuadrantes</w:t>
            </w:r>
            <w:r>
              <w:tab/>
            </w:r>
            <w:r>
              <w:t>339</w:t>
            </w:r>
          </w:hyperlink>
        </w:p>
        <w:p>
          <w:pPr>
            <w:pStyle w:val="TOC3"/>
            <w:tabs>
              <w:tab w:val="right" w:leader="dot" w:pos="9974"/>
            </w:tabs>
          </w:pPr>
          <w:hyperlink w:anchor="_Toc00900129" w:history="1">
            <w:r>
              <w:t xml:space="preserve">2.2.8 Evolución temática por períodos</w:t>
            </w:r>
            <w:r>
              <w:tab/>
            </w:r>
            <w:r>
              <w:t>341</w:t>
            </w:r>
          </w:hyperlink>
        </w:p>
        <w:p>
          <w:pPr>
            <w:pStyle w:val="TOC3"/>
            <w:tabs>
              <w:tab w:val="right" w:leader="dot" w:pos="9974"/>
            </w:tabs>
          </w:pPr>
          <w:hyperlink w:anchor="_Toc00900130" w:history="1">
            <w:r>
              <w:t xml:space="preserve">2.2.9 Complejidad frente a adopción</w:t>
            </w:r>
            <w:r>
              <w:tab/>
            </w:r>
            <w:r>
              <w:t>344</w:t>
            </w:r>
          </w:hyperlink>
        </w:p>
        <w:p>
          <w:pPr>
            <w:pStyle w:val="TOC3"/>
            <w:tabs>
              <w:tab w:val="right" w:leader="dot" w:pos="9974"/>
            </w:tabs>
          </w:pPr>
          <w:hyperlink w:anchor="X579ab8e8818d30c24d64ab39a2b27b23c248130" w:history="1">
            <w:r>
              <w:t xml:space="preserve">2.2.10 Radar de cobertura por criterios de evaluación</w:t>
            </w:r>
            <w:r>
              <w:tab/>
            </w:r>
            <w:r>
              <w:t>346</w:t>
            </w:r>
          </w:hyperlink>
        </w:p>
        <w:p>
          <w:pPr>
            <w:pStyle w:val="TOC3"/>
            <w:tabs>
              <w:tab w:val="right" w:leader="dot" w:pos="9974"/>
            </w:tabs>
          </w:pPr>
          <w:hyperlink w:anchor="X34015fd9ea279491d3bea86d9034758823410a6" w:history="1">
            <w:r>
              <w:t xml:space="preserve">2.2.11 Mapa de calor de líneas tecnológicas y madurez</w:t>
            </w:r>
            <w:r>
              <w:tab/>
            </w:r>
            <w:r>
              <w:t>348</w:t>
            </w:r>
          </w:hyperlink>
        </w:p>
        <w:p>
          <w:pPr>
            <w:pStyle w:val="TOC3"/>
            <w:tabs>
              <w:tab w:val="right" w:leader="dot" w:pos="9974"/>
            </w:tabs>
          </w:pPr>
          <w:hyperlink w:anchor="_Toc00900131" w:history="1">
            <w:r>
              <w:t xml:space="preserve">2.2.12 Distribución geográfica</w:t>
            </w:r>
            <w:r>
              <w:tab/>
            </w:r>
            <w:r>
              <w:t>350</w:t>
            </w:r>
          </w:hyperlink>
        </w:p>
        <w:p>
          <w:pPr>
            <w:pStyle w:val="TOC3"/>
            <w:tabs>
              <w:tab w:val="right" w:leader="dot" w:pos="9974"/>
            </w:tabs>
          </w:pPr>
          <w:hyperlink w:anchor="_Toc00900132" w:history="1">
            <w:r>
              <w:t xml:space="preserve">2.2.13 Robustez metodológica</w:t>
            </w:r>
            <w:r>
              <w:tab/>
            </w:r>
            <w:r>
              <w:t>352</w:t>
            </w:r>
          </w:hyperlink>
        </w:p>
        <w:p>
          <w:pPr>
            <w:pStyle w:val="TOC3"/>
            <w:tabs>
              <w:tab w:val="right" w:leader="dot" w:pos="9974"/>
            </w:tabs>
          </w:pPr>
          <w:hyperlink w:anchor="X2973bdc1aeab36a30f4edf122c7b6b906474f7a" w:history="1">
            <w:r>
              <w:t xml:space="preserve">2.2.14 Síntesis cienciométrica, brechas cuantitativas y marco de análisis de brechas</w:t>
            </w:r>
            <w:r>
              <w:tab/>
            </w:r>
            <w:r>
              <w:t>354</w:t>
            </w:r>
          </w:hyperlink>
        </w:p>
        <w:p>
          <w:pPr>
            <w:pStyle w:val="TOC2"/>
            <w:tabs>
              <w:tab w:val="right" w:leader="dot" w:pos="9974"/>
            </w:tabs>
          </w:pPr>
          <w:hyperlink w:anchor="X416af1c26c02709fff9112307cb59f87c49b0f4" w:history="1">
            <w:r>
              <w:t xml:space="preserve">2.3 Análisis de patentes y vigilancia tecnológica</w:t>
            </w:r>
            <w:r>
              <w:tab/>
            </w:r>
            <w:r>
              <w:t>356</w:t>
            </w:r>
          </w:hyperlink>
        </w:p>
        <w:p>
          <w:pPr>
            <w:pStyle w:val="TOC3"/>
            <w:tabs>
              <w:tab w:val="right" w:leader="dot" w:pos="9974"/>
            </w:tabs>
          </w:pPr>
          <w:hyperlink w:anchor="_Toc00900133" w:history="1">
            <w:r>
              <w:t xml:space="preserve">2.3.1 Titulares y clasificaciones</w:t>
            </w:r>
            <w:r>
              <w:tab/>
            </w:r>
            <w:r>
              <w:t>356</w:t>
            </w:r>
          </w:hyperlink>
        </w:p>
        <w:p>
          <w:pPr>
            <w:pStyle w:val="TOC3"/>
            <w:tabs>
              <w:tab w:val="right" w:leader="dot" w:pos="9974"/>
            </w:tabs>
          </w:pPr>
          <w:hyperlink w:anchor="_Toc00900134" w:history="1">
            <w:r>
              <w:t xml:space="preserve">2.3.2 Tendencia de patentamiento</w:t>
            </w:r>
            <w:r>
              <w:tab/>
            </w:r>
            <w:r>
              <w:t>358</w:t>
            </w:r>
          </w:hyperlink>
        </w:p>
        <w:p>
          <w:pPr>
            <w:pStyle w:val="TOC3"/>
            <w:tabs>
              <w:tab w:val="right" w:leader="dot" w:pos="9974"/>
            </w:tabs>
          </w:pPr>
          <w:hyperlink w:anchor="_Toc00900135" w:history="1">
            <w:r>
              <w:t xml:space="preserve">2.3.3 Libertad de operación</w:t>
            </w:r>
            <w:r>
              <w:tab/>
            </w:r>
            <w:r>
              <w:t>358</w:t>
            </w:r>
          </w:hyperlink>
        </w:p>
        <w:p>
          <w:pPr>
            <w:pStyle w:val="TOC3"/>
            <w:tabs>
              <w:tab w:val="right" w:leader="dot" w:pos="9974"/>
            </w:tabs>
          </w:pPr>
          <w:hyperlink w:anchor="_Toc00900136" w:history="1">
            <w:r>
              <w:t xml:space="preserve">2.3.4 Evidencia de validación en las patentes</w:t>
            </w:r>
            <w:r>
              <w:tab/>
            </w:r>
            <w:r>
              <w:t>361</w:t>
            </w:r>
          </w:hyperlink>
        </w:p>
        <w:p>
          <w:pPr>
            <w:pStyle w:val="TOC2"/>
            <w:tabs>
              <w:tab w:val="right" w:leader="dot" w:pos="9974"/>
            </w:tabs>
          </w:pPr>
          <w:hyperlink w:anchor="Xc5c919127df9f62bc934aaaf75507f496398397" w:history="1">
            <w:r>
              <w:t xml:space="preserve">2.4 Estado del arte temático: síntesis analítica</w:t>
            </w:r>
            <w:r>
              <w:tab/>
            </w:r>
            <w:r>
              <w:t>361</w:t>
            </w:r>
          </w:hyperlink>
        </w:p>
        <w:p>
          <w:pPr>
            <w:pStyle w:val="TOC3"/>
            <w:tabs>
              <w:tab w:val="right" w:leader="dot" w:pos="9974"/>
            </w:tabs>
          </w:pPr>
          <w:hyperlink w:anchor="_Toc00900137" w:history="1">
            <w:r>
              <w:t xml:space="preserve">2.4.1 Dimensión 1: base teórica del problema</w:t>
            </w:r>
            <w:r>
              <w:tab/>
            </w:r>
            <w:r>
              <w:t>362</w:t>
            </w:r>
          </w:hyperlink>
        </w:p>
        <w:p>
          <w:pPr>
            <w:pStyle w:val="TOC3"/>
            <w:tabs>
              <w:tab w:val="right" w:leader="dot" w:pos="9974"/>
            </w:tabs>
          </w:pPr>
          <w:hyperlink w:anchor="_Toc00900138" w:history="1">
            <w:r>
              <w:t xml:space="preserve">2.4.2 Dimensión 2: metodologías y enfoques</w:t>
            </w:r>
            <w:r>
              <w:tab/>
            </w:r>
            <w:r>
              <w:t>363</w:t>
            </w:r>
          </w:hyperlink>
        </w:p>
        <w:p>
          <w:pPr>
            <w:pStyle w:val="TOC3"/>
            <w:tabs>
              <w:tab w:val="right" w:leader="dot" w:pos="9974"/>
            </w:tabs>
          </w:pPr>
          <w:hyperlink w:anchor="X6a0d0afb4bca35bb752f462448f9b8c57675af7" w:history="1">
            <w:r>
              <w:t xml:space="preserve">2.4.3 Dimensión 3: contexto territorial y sectorial</w:t>
            </w:r>
            <w:r>
              <w:tab/>
            </w:r>
            <w:r>
              <w:t>366</w:t>
            </w:r>
          </w:hyperlink>
        </w:p>
        <w:p>
          <w:pPr>
            <w:pStyle w:val="TOC3"/>
            <w:tabs>
              <w:tab w:val="right" w:leader="dot" w:pos="9974"/>
            </w:tabs>
          </w:pPr>
          <w:hyperlink w:anchor="Xc814280fe2d8d35041ec63e160b9d938a03efd4" w:history="1">
            <w:r>
              <w:t xml:space="preserve">2.4.4 Dimensión 4: innovaciones y tendencias emergentes</w:t>
            </w:r>
            <w:r>
              <w:tab/>
            </w:r>
            <w:r>
              <w:t>367</w:t>
            </w:r>
          </w:hyperlink>
        </w:p>
        <w:p>
          <w:pPr>
            <w:pStyle w:val="TOC3"/>
            <w:tabs>
              <w:tab w:val="right" w:leader="dot" w:pos="9974"/>
            </w:tabs>
          </w:pPr>
          <w:hyperlink w:anchor="X09e5bf42be906606fecc307ff71bbf1d918dc29" w:history="1">
            <w:r>
              <w:t xml:space="preserve">2.4.5 Síntesis integrativa de hallazgos por dimensión</w:t>
            </w:r>
            <w:r>
              <w:tab/>
            </w:r>
            <w:r>
              <w:t>370</w:t>
            </w:r>
          </w:hyperlink>
        </w:p>
        <w:p>
          <w:pPr>
            <w:pStyle w:val="TOC2"/>
            <w:tabs>
              <w:tab w:val="right" w:leader="dot" w:pos="9974"/>
            </w:tabs>
          </w:pPr>
          <w:hyperlink w:anchor="X018669025dbb4a2f5094ca847a0244e903731a6" w:history="1">
            <w:r>
              <w:t xml:space="preserve">2.5 Brechas, oportunidades y posicionamiento del proyecto</w:t>
            </w:r>
            <w:r>
              <w:tab/>
            </w:r>
            <w:r>
              <w:t>373</w:t>
            </w:r>
          </w:hyperlink>
        </w:p>
        <w:p>
          <w:pPr>
            <w:pStyle w:val="TOC3"/>
            <w:tabs>
              <w:tab w:val="right" w:leader="dot" w:pos="9974"/>
            </w:tabs>
          </w:pPr>
          <w:hyperlink w:anchor="_Toc00900139" w:history="1">
            <w:r>
              <w:t xml:space="preserve">2.5.1 Consolidación de brechas</w:t>
            </w:r>
            <w:r>
              <w:tab/>
            </w:r>
            <w:r>
              <w:t>373</w:t>
            </w:r>
          </w:hyperlink>
        </w:p>
        <w:p>
          <w:pPr>
            <w:pStyle w:val="TOC3"/>
            <w:tabs>
              <w:tab w:val="right" w:leader="dot" w:pos="9974"/>
            </w:tabs>
          </w:pPr>
          <w:hyperlink w:anchor="X751ae02e9673130a6a67028b898fa673e7cd2ea" w:history="1">
            <w:r>
              <w:t xml:space="preserve">2.5.2 Oportunidades de diferenciación y ventana temporal</w:t>
            </w:r>
            <w:r>
              <w:tab/>
            </w:r>
            <w:r>
              <w:t>376</w:t>
            </w:r>
          </w:hyperlink>
        </w:p>
        <w:p>
          <w:pPr>
            <w:pStyle w:val="TOC3"/>
            <w:tabs>
              <w:tab w:val="right" w:leader="dot" w:pos="9974"/>
            </w:tabs>
          </w:pPr>
          <w:hyperlink w:anchor="X1cfdac57067659e388f17243ad0f29c5c24d415" w:history="1">
            <w:r>
              <w:t xml:space="preserve">2.5.3 Posicionamiento, nicho de investigación y nivel de madurez comparado</w:t>
            </w:r>
            <w:r>
              <w:tab/>
            </w:r>
            <w:r>
              <w:t>377</w:t>
            </w:r>
          </w:hyperlink>
        </w:p>
        <w:p>
          <w:pPr>
            <w:pStyle w:val="TOC2"/>
            <w:tabs>
              <w:tab w:val="right" w:leader="dot" w:pos="9974"/>
            </w:tabs>
          </w:pPr>
          <w:hyperlink w:anchor="X787642341d538b5778eb9fce1a0f8e6f73efb4d" w:history="1">
            <w:r>
              <w:t xml:space="preserve">2.6 Fichas bibliográficas analíticas de referencias clave</w:t>
            </w:r>
            <w:r>
              <w:tab/>
            </w:r>
            <w:r>
              <w:t>381</w:t>
            </w:r>
          </w:hyperlink>
        </w:p>
        <w:p>
          <w:pPr>
            <w:pStyle w:val="TOC3"/>
            <w:tabs>
              <w:tab w:val="right" w:leader="dot" w:pos="9974"/>
            </w:tabs>
          </w:pPr>
          <w:hyperlink w:anchor="_Toc00900140" w:history="1">
            <w:r>
              <w:t xml:space="preserve">2.6.1 Criterio de selección</w:t>
            </w:r>
            <w:r>
              <w:tab/>
            </w:r>
            <w:r>
              <w:t>381</w:t>
            </w:r>
          </w:hyperlink>
        </w:p>
        <w:p>
          <w:pPr>
            <w:pStyle w:val="TOC3"/>
            <w:tabs>
              <w:tab w:val="right" w:leader="dot" w:pos="9974"/>
            </w:tabs>
          </w:pPr>
          <w:hyperlink w:anchor="_Toc00900141" w:history="1">
            <w:r>
              <w:t xml:space="preserve">2.6.2 Fichas analíticas</w:t>
            </w:r>
            <w:r>
              <w:tab/>
            </w:r>
            <w:r>
              <w:t>382</w:t>
            </w:r>
          </w:hyperlink>
        </w:p>
        <w:p>
          <w:pPr>
            <w:pStyle w:val="TOC3"/>
            <w:tabs>
              <w:tab w:val="right" w:leader="dot" w:pos="9974"/>
            </w:tabs>
          </w:pPr>
          <w:hyperlink w:anchor="Xda5858d87390ca530d0295e2c5edecfb6ce38de" w:history="1">
            <w:r>
              <w:t xml:space="preserve">2.6.3 Matriz de conexiones entre referencias clave</w:t>
            </w:r>
            <w:r>
              <w:tab/>
            </w:r>
            <w:r>
              <w:t>389</w:t>
            </w:r>
          </w:hyperlink>
        </w:p>
        <w:p>
          <w:pPr>
            <w:pStyle w:val="TOC3"/>
            <w:tabs>
              <w:tab w:val="right" w:leader="dot" w:pos="9974"/>
            </w:tabs>
          </w:pPr>
          <w:hyperlink w:anchor="Xb0dbad62b22254320615133869e352550ddfab8" w:history="1">
            <w:r>
              <w:t xml:space="preserve">2.6.4 Verificación bibliográfica del Capítulo 2</w:t>
            </w:r>
            <w:r>
              <w:tab/>
            </w:r>
            <w:r>
              <w:t>392</w:t>
            </w:r>
          </w:hyperlink>
        </w:p>
        <w:p>
          <w:pPr>
            <w:pStyle w:val="TOC1"/>
            <w:tabs>
              <w:tab w:val="right" w:leader="dot" w:pos="9974"/>
            </w:tabs>
          </w:pPr>
          <w:hyperlink w:anchor="_Toc00900142" w:history="1">
            <w:r>
              <w:t xml:space="preserve">Capítulo 3. Objetivos</w:t>
            </w:r>
            <w:r>
              <w:tab/>
            </w:r>
            <w:r>
              <w:t>393</w:t>
            </w:r>
          </w:hyperlink>
        </w:p>
        <w:p>
          <w:pPr>
            <w:pStyle w:val="TOC2"/>
            <w:tabs>
              <w:tab w:val="right" w:leader="dot" w:pos="9974"/>
            </w:tabs>
          </w:pPr>
          <w:hyperlink w:anchor="_Toc00900143" w:history="1">
            <w:r>
              <w:t xml:space="preserve">3.1 Objetivo general</w:t>
            </w:r>
            <w:r>
              <w:tab/>
            </w:r>
            <w:r>
              <w:t>393</w:t>
            </w:r>
          </w:hyperlink>
        </w:p>
        <w:p>
          <w:pPr>
            <w:pStyle w:val="TOC2"/>
            <w:tabs>
              <w:tab w:val="right" w:leader="dot" w:pos="9974"/>
            </w:tabs>
          </w:pPr>
          <w:hyperlink w:anchor="_Toc00900144" w:history="1">
            <w:r>
              <w:t xml:space="preserve">3.2 Objetivos específicos</w:t>
            </w:r>
            <w:r>
              <w:tab/>
            </w:r>
            <w:r>
              <w:t>395</w:t>
            </w:r>
          </w:hyperlink>
        </w:p>
        <w:p>
          <w:pPr>
            <w:pStyle w:val="TOC2"/>
            <w:tabs>
              <w:tab w:val="right" w:leader="dot" w:pos="9974"/>
            </w:tabs>
          </w:pPr>
          <w:hyperlink w:anchor="_Toc00900145" w:history="1">
            <w:r>
              <w:t xml:space="preserve">3.3 Metas e indicadores asociados</w:t>
            </w:r>
            <w:r>
              <w:tab/>
            </w:r>
            <w:r>
              <w:t>399</w:t>
            </w:r>
          </w:hyperlink>
        </w:p>
        <w:p>
          <w:pPr>
            <w:pStyle w:val="TOC1"/>
            <w:tabs>
              <w:tab w:val="right" w:leader="dot" w:pos="9974"/>
            </w:tabs>
          </w:pPr>
          <w:hyperlink w:anchor="_Toc00900146" w:history="1">
            <w:r>
              <w:t xml:space="preserve">Capítulo 4. Marco teórico y conceptual</w:t>
            </w:r>
            <w:r>
              <w:tab/>
            </w:r>
            <w:r>
              <w:t>404</w:t>
            </w:r>
          </w:hyperlink>
        </w:p>
        <w:p>
          <w:pPr>
            <w:pStyle w:val="TOC2"/>
            <w:tabs>
              <w:tab w:val="right" w:leader="dot" w:pos="9974"/>
            </w:tabs>
          </w:pPr>
          <w:hyperlink w:anchor="_Toc00900147" w:history="1">
            <w:r>
              <w:t xml:space="preserve">4.1 Fundamentos teóricos</w:t>
            </w:r>
            <w:r>
              <w:tab/>
            </w:r>
            <w:r>
              <w:t>404</w:t>
            </w:r>
          </w:hyperlink>
        </w:p>
        <w:p>
          <w:pPr>
            <w:pStyle w:val="TOC3"/>
            <w:tabs>
              <w:tab w:val="right" w:leader="dot" w:pos="9974"/>
            </w:tabs>
          </w:pPr>
          <w:hyperlink w:anchor="X9a952d124a938fbc7367ecf07d08a54bf87ad88" w:history="1">
            <w:r>
              <w:t xml:space="preserve">4.1.1 Metrología y calibración de sensores de bajo costo</w:t>
            </w:r>
            <w:r>
              <w:tab/>
            </w:r>
            <w:r>
              <w:t>404</w:t>
            </w:r>
          </w:hyperlink>
        </w:p>
        <w:p>
          <w:pPr>
            <w:pStyle w:val="TOC3"/>
            <w:tabs>
              <w:tab w:val="right" w:leader="dot" w:pos="9974"/>
            </w:tabs>
          </w:pPr>
          <w:hyperlink w:anchor="_Toc00900148" w:history="1">
            <w:r>
              <w:t xml:space="preserve">4.1.2 Computación en el borde, TinyML y LoRaWAN</w:t>
            </w:r>
            <w:r>
              <w:tab/>
            </w:r>
            <w:r>
              <w:t>405</w:t>
            </w:r>
          </w:hyperlink>
        </w:p>
        <w:p>
          <w:pPr>
            <w:pStyle w:val="TOC3"/>
            <w:tabs>
              <w:tab w:val="right" w:leader="dot" w:pos="9974"/>
            </w:tabs>
          </w:pPr>
          <w:hyperlink w:anchor="_Toc00900149" w:history="1">
            <w:r>
              <w:t xml:space="preserve">4.1.3 Gemelos digitales</w:t>
            </w:r>
            <w:r>
              <w:tab/>
            </w:r>
            <w:r>
              <w:t>406</w:t>
            </w:r>
          </w:hyperlink>
        </w:p>
        <w:p>
          <w:pPr>
            <w:pStyle w:val="TOC3"/>
            <w:tabs>
              <w:tab w:val="right" w:leader="dot" w:pos="9974"/>
            </w:tabs>
          </w:pPr>
          <w:hyperlink w:anchor="_Toc00900150" w:history="1">
            <w:r>
              <w:t xml:space="preserve">4.1.4 Gestión del riesgo y alerta temprana</w:t>
            </w:r>
            <w:r>
              <w:tab/>
            </w:r>
            <w:r>
              <w:t>408</w:t>
            </w:r>
          </w:hyperlink>
        </w:p>
        <w:p>
          <w:pPr>
            <w:pStyle w:val="TOC3"/>
            <w:tabs>
              <w:tab w:val="right" w:leader="dot" w:pos="9974"/>
            </w:tabs>
          </w:pPr>
          <w:hyperlink w:anchor="_Toc00900151" w:history="1">
            <w:r>
              <w:t xml:space="preserve">4.1.5 Difusión y adopción de innovaciones</w:t>
            </w:r>
            <w:r>
              <w:tab/>
            </w:r>
            <w:r>
              <w:t>409</w:t>
            </w:r>
          </w:hyperlink>
        </w:p>
        <w:p>
          <w:pPr>
            <w:pStyle w:val="TOC3"/>
            <w:tabs>
              <w:tab w:val="right" w:leader="dot" w:pos="9974"/>
            </w:tabs>
          </w:pPr>
          <w:hyperlink w:anchor="_Toc00900152" w:history="1">
            <w:r>
              <w:t xml:space="preserve">4.1.6 Gobernanza de bienes comunes y custodia</w:t>
            </w:r>
            <w:r>
              <w:tab/>
            </w:r>
            <w:r>
              <w:t>409</w:t>
            </w:r>
          </w:hyperlink>
        </w:p>
        <w:p>
          <w:pPr>
            <w:pStyle w:val="TOC3"/>
            <w:tabs>
              <w:tab w:val="right" w:leader="dot" w:pos="9974"/>
            </w:tabs>
          </w:pPr>
          <w:hyperlink w:anchor="_Toc00900153" w:history="1">
            <w:r>
              <w:t xml:space="preserve">4.1.7 Aprendizaje de doble bucle</w:t>
            </w:r>
            <w:r>
              <w:tab/>
            </w:r>
            <w:r>
              <w:t>410</w:t>
            </w:r>
          </w:hyperlink>
        </w:p>
        <w:p>
          <w:pPr>
            <w:pStyle w:val="TOC3"/>
            <w:tabs>
              <w:tab w:val="right" w:leader="dot" w:pos="9974"/>
            </w:tabs>
          </w:pPr>
          <w:hyperlink w:anchor="_Toc00900154" w:history="1">
            <w:r>
              <w:t xml:space="preserve">4.1.8 Integración teórica del proyecto</w:t>
            </w:r>
            <w:r>
              <w:tab/>
            </w:r>
            <w:r>
              <w:t>411</w:t>
            </w:r>
          </w:hyperlink>
        </w:p>
        <w:p>
          <w:pPr>
            <w:pStyle w:val="TOC2"/>
            <w:tabs>
              <w:tab w:val="right" w:leader="dot" w:pos="9974"/>
            </w:tabs>
          </w:pPr>
          <w:hyperlink w:anchor="_Toc00900155" w:history="1">
            <w:r>
              <w:t xml:space="preserve">4.2 Marco conceptual</w:t>
            </w:r>
            <w:r>
              <w:tab/>
            </w:r>
            <w:r>
              <w:t>414</w:t>
            </w:r>
          </w:hyperlink>
        </w:p>
        <w:p>
          <w:pPr>
            <w:pStyle w:val="TOC3"/>
            <w:tabs>
              <w:tab w:val="right" w:leader="dot" w:pos="9974"/>
            </w:tabs>
          </w:pPr>
          <w:hyperlink w:anchor="Xf1d4fc25dc0fbfe0913f51d91e3e89007a68b22" w:history="1">
            <w:r>
              <w:t xml:space="preserve">4.2.1 Definiciones operacionales de los conceptos clave</w:t>
            </w:r>
            <w:r>
              <w:tab/>
            </w:r>
            <w:r>
              <w:t>414</w:t>
            </w:r>
          </w:hyperlink>
        </w:p>
        <w:p>
          <w:pPr>
            <w:pStyle w:val="TOC3"/>
            <w:tabs>
              <w:tab w:val="right" w:leader="dot" w:pos="9974"/>
            </w:tabs>
          </w:pPr>
          <w:hyperlink w:anchor="_Toc00900156" w:history="1">
            <w:r>
              <w:t xml:space="preserve">4.2.2 Relaciones entre conceptos</w:t>
            </w:r>
            <w:r>
              <w:tab/>
            </w:r>
            <w:r>
              <w:t>418</w:t>
            </w:r>
          </w:hyperlink>
        </w:p>
        <w:p>
          <w:pPr>
            <w:pStyle w:val="TOC3"/>
            <w:tabs>
              <w:tab w:val="right" w:leader="dot" w:pos="9974"/>
            </w:tabs>
          </w:pPr>
          <w:hyperlink w:anchor="_Toc00900157" w:history="1">
            <w:r>
              <w:t xml:space="preserve">4.2.3 Operacionalización de variables</w:t>
            </w:r>
            <w:r>
              <w:tab/>
            </w:r>
            <w:r>
              <w:t>420</w:t>
            </w:r>
          </w:hyperlink>
        </w:p>
        <w:p>
          <w:pPr>
            <w:pStyle w:val="TOC2"/>
            <w:tabs>
              <w:tab w:val="right" w:leader="dot" w:pos="9974"/>
            </w:tabs>
          </w:pPr>
          <w:hyperlink w:anchor="_Toc00900158" w:history="1">
            <w:r>
              <w:t xml:space="preserve">4.3 Marco normativo y de política</w:t>
            </w:r>
            <w:r>
              <w:tab/>
            </w:r>
            <w:r>
              <w:t>424</w:t>
            </w:r>
          </w:hyperlink>
        </w:p>
        <w:p>
          <w:pPr>
            <w:pStyle w:val="TOC3"/>
            <w:tabs>
              <w:tab w:val="right" w:leader="dot" w:pos="9974"/>
            </w:tabs>
          </w:pPr>
          <w:hyperlink w:anchor="_Toc00900159" w:history="1">
            <w:r>
              <w:t xml:space="preserve">4.3.1 Normatividad internacional aplicable</w:t>
            </w:r>
            <w:r>
              <w:tab/>
            </w:r>
            <w:r>
              <w:t>424</w:t>
            </w:r>
          </w:hyperlink>
        </w:p>
        <w:p>
          <w:pPr>
            <w:pStyle w:val="TOC3"/>
            <w:tabs>
              <w:tab w:val="right" w:leader="dot" w:pos="9974"/>
            </w:tabs>
          </w:pPr>
          <w:hyperlink w:anchor="_Toc00900160" w:history="1">
            <w:r>
              <w:t xml:space="preserve">4.3.2 Normatividad nacional</w:t>
            </w:r>
            <w:r>
              <w:tab/>
            </w:r>
            <w:r>
              <w:t>424</w:t>
            </w:r>
          </w:hyperlink>
        </w:p>
        <w:p>
          <w:pPr>
            <w:pStyle w:val="TOC3"/>
            <w:tabs>
              <w:tab w:val="right" w:leader="dot" w:pos="9974"/>
            </w:tabs>
          </w:pPr>
          <w:hyperlink w:anchor="_Toc00900161" w:history="1">
            <w:r>
              <w:t xml:space="preserve">4.3.3 Políticas públicas relacionadas</w:t>
            </w:r>
            <w:r>
              <w:tab/>
            </w:r>
            <w:r>
              <w:t>425</w:t>
            </w:r>
          </w:hyperlink>
        </w:p>
        <w:p>
          <w:pPr>
            <w:pStyle w:val="TOC3"/>
            <w:tabs>
              <w:tab w:val="right" w:leader="dot" w:pos="9974"/>
            </w:tabs>
          </w:pPr>
          <w:hyperlink w:anchor="_Toc00900162" w:history="1">
            <w:r>
              <w:t xml:space="preserve">4.3.4 Alineación con planes de desarrollo</w:t>
            </w:r>
            <w:r>
              <w:tab/>
            </w:r>
            <w:r>
              <w:t>426</w:t>
            </w:r>
          </w:hyperlink>
        </w:p>
        <w:p>
          <w:pPr>
            <w:pStyle w:val="TOC2"/>
            <w:tabs>
              <w:tab w:val="right" w:leader="dot" w:pos="9974"/>
            </w:tabs>
          </w:pPr>
          <w:hyperlink w:anchor="_Toc00900163" w:history="1">
            <w:r>
              <w:t xml:space="preserve">4.4 Antecedentes y experiencias relevantes</w:t>
            </w:r>
            <w:r>
              <w:tab/>
            </w:r>
            <w:r>
              <w:t>429</w:t>
            </w:r>
          </w:hyperlink>
        </w:p>
        <w:p>
          <w:pPr>
            <w:pStyle w:val="TOC3"/>
            <w:tabs>
              <w:tab w:val="right" w:leader="dot" w:pos="9974"/>
            </w:tabs>
          </w:pPr>
          <w:hyperlink w:anchor="_Toc00900164" w:history="1">
            <w:r>
              <w:t xml:space="preserve">4.4.1 Proyectos y diseños nacionales</w:t>
            </w:r>
            <w:r>
              <w:tab/>
            </w:r>
            <w:r>
              <w:t>429</w:t>
            </w:r>
          </w:hyperlink>
        </w:p>
        <w:p>
          <w:pPr>
            <w:pStyle w:val="TOC3"/>
            <w:tabs>
              <w:tab w:val="right" w:leader="dot" w:pos="9974"/>
            </w:tabs>
          </w:pPr>
          <w:hyperlink w:anchor="_Toc00900165" w:history="1">
            <w:r>
              <w:t xml:space="preserve">4.4.2 Experiencias internacionales</w:t>
            </w:r>
            <w:r>
              <w:tab/>
            </w:r>
            <w:r>
              <w:t>430</w:t>
            </w:r>
          </w:hyperlink>
        </w:p>
        <w:p>
          <w:pPr>
            <w:pStyle w:val="TOC3"/>
            <w:tabs>
              <w:tab w:val="right" w:leader="dot" w:pos="9974"/>
            </w:tabs>
          </w:pPr>
          <w:hyperlink w:anchor="_Toc00900166" w:history="1">
            <w:r>
              <w:t xml:space="preserve">4.4.3 Lecciones aprendidas</w:t>
            </w:r>
            <w:r>
              <w:tab/>
            </w:r>
            <w:r>
              <w:t>430</w:t>
            </w:r>
          </w:hyperlink>
        </w:p>
        <w:p>
          <w:pPr>
            <w:pStyle w:val="TOC1"/>
            <w:tabs>
              <w:tab w:val="right" w:leader="dot" w:pos="9974"/>
            </w:tabs>
          </w:pPr>
          <w:hyperlink w:anchor="_Toc00900167" w:history="1">
            <w:r>
              <w:t xml:space="preserve">Capítulo 5. Justificación y Pertinencia</w:t>
            </w:r>
            <w:r>
              <w:tab/>
            </w:r>
            <w:r>
              <w:t>434</w:t>
            </w:r>
          </w:hyperlink>
        </w:p>
        <w:p>
          <w:pPr>
            <w:pStyle w:val="TOC2"/>
            <w:tabs>
              <w:tab w:val="right" w:leader="dot" w:pos="9974"/>
            </w:tabs>
          </w:pPr>
          <w:hyperlink w:anchor="X0994a9c77a50f6e9e124061c9295b3d221df8ee" w:history="1">
            <w:r>
              <w:t xml:space="preserve">5.1 Contextualización e Identificación del Problema</w:t>
            </w:r>
            <w:r>
              <w:tab/>
            </w:r>
            <w:r>
              <w:t>434</w:t>
            </w:r>
          </w:hyperlink>
        </w:p>
        <w:p>
          <w:pPr>
            <w:pStyle w:val="TOC3"/>
            <w:tabs>
              <w:tab w:val="right" w:leader="dot" w:pos="9974"/>
            </w:tabs>
          </w:pPr>
          <w:hyperlink w:anchor="X0d8e3cbbb3aec2d97b4ecd8afc4ac2373f01c27" w:history="1">
            <w:r>
              <w:t xml:space="preserve">5.1.1 Delimitación del tema y definición de la problemática</w:t>
            </w:r>
            <w:r>
              <w:tab/>
            </w:r>
            <w:r>
              <w:t>434</w:t>
            </w:r>
          </w:hyperlink>
        </w:p>
        <w:p>
          <w:pPr>
            <w:pStyle w:val="TOC3"/>
            <w:tabs>
              <w:tab w:val="right" w:leader="dot" w:pos="9974"/>
            </w:tabs>
          </w:pPr>
          <w:hyperlink w:anchor="X92e98ddbd62df06b9217826bca70f7ee4a9f3c6" w:history="1">
            <w:r>
              <w:t xml:space="preserve">5.1.2 Naturaleza y magnitud del problema: línea base</w:t>
            </w:r>
            <w:r>
              <w:tab/>
            </w:r>
            <w:r>
              <w:t>434</w:t>
            </w:r>
          </w:hyperlink>
        </w:p>
        <w:p>
          <w:pPr>
            <w:pStyle w:val="TOC3"/>
            <w:tabs>
              <w:tab w:val="right" w:leader="dot" w:pos="9974"/>
            </w:tabs>
          </w:pPr>
          <w:hyperlink w:anchor="X5764d2d2cb83b24fde04c795510cf4cff87ccec" w:history="1">
            <w:r>
              <w:t xml:space="preserve">5.1.3 Situación regional, nacional e internacional y tendencias</w:t>
            </w:r>
            <w:r>
              <w:tab/>
            </w:r>
            <w:r>
              <w:t>436</w:t>
            </w:r>
          </w:hyperlink>
        </w:p>
        <w:p>
          <w:pPr>
            <w:pStyle w:val="TOC2"/>
            <w:tabs>
              <w:tab w:val="right" w:leader="dot" w:pos="9974"/>
            </w:tabs>
          </w:pPr>
          <w:hyperlink w:anchor="X229ef6ec35c8907a4528039f395d6b06690d6ad" w:history="1">
            <w:r>
              <w:t xml:space="preserve">5.2 Vacío de Conocimiento: Construcción del Nicho (CARS)</w:t>
            </w:r>
            <w:r>
              <w:tab/>
            </w:r>
            <w:r>
              <w:t>437</w:t>
            </w:r>
          </w:hyperlink>
        </w:p>
        <w:p>
          <w:pPr>
            <w:pStyle w:val="TOC3"/>
            <w:tabs>
              <w:tab w:val="right" w:leader="dot" w:pos="9974"/>
            </w:tabs>
          </w:pPr>
          <w:hyperlink w:anchor="_Toc00900168" w:history="1">
            <w:r>
              <w:t xml:space="preserve">5.2.1 Segunda movida: declaración de la brecha</w:t>
            </w:r>
            <w:r>
              <w:tab/>
            </w:r>
            <w:r>
              <w:t>437</w:t>
            </w:r>
          </w:hyperlink>
        </w:p>
        <w:p>
          <w:pPr>
            <w:pStyle w:val="TOC3"/>
            <w:tabs>
              <w:tab w:val="right" w:leader="dot" w:pos="9974"/>
            </w:tabs>
          </w:pPr>
          <w:hyperlink w:anchor="_Toc00900169" w:history="1">
            <w:r>
              <w:t xml:space="preserve">5.2.2 Tercera movida: ocupación del nicho</w:t>
            </w:r>
            <w:r>
              <w:tab/>
            </w:r>
            <w:r>
              <w:t>439</w:t>
            </w:r>
          </w:hyperlink>
        </w:p>
        <w:p>
          <w:pPr>
            <w:pStyle w:val="TOC3"/>
            <w:tabs>
              <w:tab w:val="right" w:leader="dot" w:pos="9974"/>
            </w:tabs>
          </w:pPr>
          <w:hyperlink w:anchor="_Toc00900170" w:history="1">
            <w:r>
              <w:t xml:space="preserve">5.2.3 Estructura argumentativa de Toulmin</w:t>
            </w:r>
            <w:r>
              <w:tab/>
            </w:r>
            <w:r>
              <w:t>440</w:t>
            </w:r>
          </w:hyperlink>
        </w:p>
        <w:p>
          <w:pPr>
            <w:pStyle w:val="TOC2"/>
            <w:tabs>
              <w:tab w:val="right" w:leader="dot" w:pos="9974"/>
            </w:tabs>
          </w:pPr>
          <w:hyperlink w:anchor="Xded02af714bfdf5f2de8c5b0100e8ad0831ebd9" w:history="1">
            <w:r>
              <w:t xml:space="preserve">5.3 Alineación Estratégica con Políticas Públicas y Territoriales</w:t>
            </w:r>
            <w:r>
              <w:tab/>
            </w:r>
            <w:r>
              <w:t>442</w:t>
            </w:r>
          </w:hyperlink>
        </w:p>
        <w:p>
          <w:pPr>
            <w:pStyle w:val="TOC3"/>
            <w:tabs>
              <w:tab w:val="right" w:leader="dot" w:pos="9974"/>
            </w:tabs>
          </w:pPr>
          <w:hyperlink w:anchor="Xe765528355330395498d46a815318e47694d8b1" w:history="1">
            <w:r>
              <w:t xml:space="preserve">5.3.1 Articulación con el Plan Nacional de Desarrollo, las misiones y la Misión de Sabios</w:t>
            </w:r>
            <w:r>
              <w:tab/>
            </w:r>
            <w:r>
              <w:t>442</w:t>
            </w:r>
          </w:hyperlink>
        </w:p>
        <w:p>
          <w:pPr>
            <w:pStyle w:val="TOC3"/>
            <w:tabs>
              <w:tab w:val="right" w:leader="dot" w:pos="9974"/>
            </w:tabs>
          </w:pPr>
          <w:hyperlink w:anchor="Xeb31050160340b00855743563b58325ac30f75f" w:history="1">
            <w:r>
              <w:t xml:space="preserve">5.3.2 Articulación con documentos CONPES, normas y marco internacional</w:t>
            </w:r>
            <w:r>
              <w:tab/>
            </w:r>
            <w:r>
              <w:t>443</w:t>
            </w:r>
          </w:hyperlink>
        </w:p>
        <w:p>
          <w:pPr>
            <w:pStyle w:val="TOC3"/>
            <w:tabs>
              <w:tab w:val="right" w:leader="dot" w:pos="9974"/>
            </w:tabs>
          </w:pPr>
          <w:hyperlink w:anchor="X9d6b8e44d1a0fe373bf491b6bf12b4beebb55b4" w:history="1">
            <w:r>
              <w:t xml:space="preserve">5.3.3 Demandas territoriales y planes de desarrollo</w:t>
            </w:r>
            <w:r>
              <w:tab/>
            </w:r>
            <w:r>
              <w:t>445</w:t>
            </w:r>
          </w:hyperlink>
        </w:p>
        <w:p>
          <w:pPr>
            <w:pStyle w:val="TOC3"/>
            <w:tabs>
              <w:tab w:val="right" w:leader="dot" w:pos="9974"/>
            </w:tabs>
          </w:pPr>
          <w:hyperlink w:anchor="X3e9d9c3ca44980089f8638542f65a83f10448f2" w:history="1">
            <w:r>
              <w:t xml:space="preserve">5.3.4 Justificación de hasta 3.500 caracteres para el aporte a políticas públicas</w:t>
            </w:r>
            <w:r>
              <w:tab/>
            </w:r>
            <w:r>
              <w:t>446</w:t>
            </w:r>
          </w:hyperlink>
        </w:p>
        <w:p>
          <w:pPr>
            <w:pStyle w:val="TOC2"/>
            <w:tabs>
              <w:tab w:val="right" w:leader="dot" w:pos="9974"/>
            </w:tabs>
          </w:pPr>
          <w:hyperlink w:anchor="Xfe47ee2355e09b81c08e45c873afbdec7fdeb0c" w:history="1">
            <w:r>
              <w:t xml:space="preserve">5.4 Relevancia, Beneficios e Impacto Potencial</w:t>
            </w:r>
            <w:r>
              <w:tab/>
            </w:r>
            <w:r>
              <w:t>447</w:t>
            </w:r>
          </w:hyperlink>
        </w:p>
        <w:p>
          <w:pPr>
            <w:pStyle w:val="TOC3"/>
            <w:tabs>
              <w:tab w:val="right" w:leader="dot" w:pos="9974"/>
            </w:tabs>
          </w:pPr>
          <w:hyperlink w:anchor="_Toc00900171" w:history="1">
            <w:r>
              <w:t xml:space="preserve">5.4.1 Pertinencia social y efectos potenciales</w:t>
            </w:r>
            <w:r>
              <w:tab/>
            </w:r>
            <w:r>
              <w:t>447</w:t>
            </w:r>
          </w:hyperlink>
        </w:p>
        <w:p>
          <w:pPr>
            <w:pStyle w:val="TOC3"/>
            <w:tabs>
              <w:tab w:val="right" w:leader="dot" w:pos="9974"/>
            </w:tabs>
          </w:pPr>
          <w:hyperlink w:anchor="Xf2be6388f360950f80f72249f00a68e1cc9afd2" w:history="1">
            <w:r>
              <w:t xml:space="preserve">5.4.2 Beneficios teóricos, metodológicos, prácticos y sociales</w:t>
            </w:r>
            <w:r>
              <w:tab/>
            </w:r>
            <w:r>
              <w:t>448</w:t>
            </w:r>
          </w:hyperlink>
        </w:p>
        <w:p>
          <w:pPr>
            <w:pStyle w:val="TOC3"/>
            <w:tabs>
              <w:tab w:val="right" w:leader="dot" w:pos="9974"/>
            </w:tabs>
          </w:pPr>
          <w:hyperlink w:anchor="X52fa8923f690afcaeaaa2875c7f6c88e99db107" w:history="1">
            <w:r>
              <w:t xml:space="preserve">5.4.3 Proyección de impacto según la taxonomía de productos, resultados e impactos</w:t>
            </w:r>
            <w:r>
              <w:tab/>
            </w:r>
            <w:r>
              <w:t>449</w:t>
            </w:r>
          </w:hyperlink>
        </w:p>
        <w:p>
          <w:pPr>
            <w:pStyle w:val="TOC3"/>
            <w:tabs>
              <w:tab w:val="right" w:leader="dot" w:pos="9974"/>
            </w:tabs>
          </w:pPr>
          <w:hyperlink w:anchor="_Toc00900172" w:history="1">
            <w:r>
              <w:t xml:space="preserve">5.4.4 Apropiación social prevista</w:t>
            </w:r>
            <w:r>
              <w:tab/>
            </w:r>
            <w:r>
              <w:t>451</w:t>
            </w:r>
          </w:hyperlink>
        </w:p>
        <w:p>
          <w:pPr>
            <w:pStyle w:val="TOC2"/>
            <w:tabs>
              <w:tab w:val="right" w:leader="dot" w:pos="9974"/>
            </w:tabs>
          </w:pPr>
          <w:hyperlink w:anchor="_Toc00900173" w:history="1">
            <w:r>
              <w:t xml:space="preserve">5.5 Pertinencia Institucional y Capacidades</w:t>
            </w:r>
            <w:r>
              <w:tab/>
            </w:r>
            <w:r>
              <w:t>452</w:t>
            </w:r>
          </w:hyperlink>
        </w:p>
        <w:p>
          <w:pPr>
            <w:pStyle w:val="TOC3"/>
            <w:tabs>
              <w:tab w:val="right" w:leader="dot" w:pos="9974"/>
            </w:tabs>
          </w:pPr>
          <w:hyperlink w:anchor="X3f0564db44d4bfb4fbacecbca78c4ee00d5ae8d" w:history="1">
            <w:r>
              <w:t xml:space="preserve">5.5.1 Capacidades requeridas y criterios de verificación</w:t>
            </w:r>
            <w:r>
              <w:tab/>
            </w:r>
            <w:r>
              <w:t>452</w:t>
            </w:r>
          </w:hyperlink>
        </w:p>
        <w:p>
          <w:pPr>
            <w:pStyle w:val="TOC3"/>
            <w:tabs>
              <w:tab w:val="right" w:leader="dot" w:pos="9974"/>
            </w:tabs>
          </w:pPr>
          <w:hyperlink w:anchor="X08200962dfb3d0132f95159449b1347f2eae96b" w:history="1">
            <w:r>
              <w:t xml:space="preserve">5.5.2 Complementariedad entre aliados y vocación regional</w:t>
            </w:r>
            <w:r>
              <w:tab/>
            </w:r>
            <w:r>
              <w:t>454</w:t>
            </w:r>
          </w:hyperlink>
        </w:p>
        <w:p>
          <w:pPr>
            <w:pStyle w:val="TOC2"/>
            <w:tabs>
              <w:tab w:val="right" w:leader="dot" w:pos="9974"/>
            </w:tabs>
          </w:pPr>
          <w:hyperlink w:anchor="_Toc00900174" w:history="1">
            <w:r>
              <w:t xml:space="preserve">5.6 Validación de la Coherencia de la Tríada</w:t>
            </w:r>
            <w:r>
              <w:tab/>
            </w:r>
            <w:r>
              <w:t>456</w:t>
            </w:r>
          </w:hyperlink>
        </w:p>
        <w:p>
          <w:pPr>
            <w:pStyle w:val="TOC1"/>
            <w:tabs>
              <w:tab w:val="right" w:leader="dot" w:pos="9974"/>
            </w:tabs>
          </w:pPr>
          <w:hyperlink w:anchor="_Toc00900175" w:history="1">
            <w:r>
              <w:t xml:space="preserve">Capítulo 6. Metodología</w:t>
            </w:r>
            <w:r>
              <w:tab/>
            </w:r>
            <w:r>
              <w:t>457</w:t>
            </w:r>
          </w:hyperlink>
        </w:p>
        <w:p>
          <w:pPr>
            <w:pStyle w:val="TOC2"/>
            <w:tabs>
              <w:tab w:val="right" w:leader="dot" w:pos="9974"/>
            </w:tabs>
          </w:pPr>
          <w:hyperlink w:anchor="_Toc00900176" w:history="1">
            <w:r>
              <w:t xml:space="preserve">6.1 Enfoque metodológico</w:t>
            </w:r>
            <w:r>
              <w:tab/>
            </w:r>
            <w:r>
              <w:t>457</w:t>
            </w:r>
          </w:hyperlink>
        </w:p>
        <w:p>
          <w:pPr>
            <w:pStyle w:val="TOC3"/>
            <w:tabs>
              <w:tab w:val="right" w:leader="dot" w:pos="9974"/>
            </w:tabs>
          </w:pPr>
          <w:hyperlink w:anchor="_Toc00900177" w:history="1">
            <w:r>
              <w:t xml:space="preserve">6.1.1 Tipo de investigación y desarrollo</w:t>
            </w:r>
            <w:r>
              <w:tab/>
            </w:r>
            <w:r>
              <w:t>457</w:t>
            </w:r>
          </w:hyperlink>
        </w:p>
        <w:p>
          <w:pPr>
            <w:pStyle w:val="TOC3"/>
            <w:tabs>
              <w:tab w:val="right" w:leader="dot" w:pos="9974"/>
            </w:tabs>
          </w:pPr>
          <w:hyperlink w:anchor="_Toc00900178" w:history="1">
            <w:r>
              <w:t xml:space="preserve">6.1.2 Enfoque cuantitativo, cualitativo o mixto</w:t>
            </w:r>
            <w:r>
              <w:tab/>
            </w:r>
            <w:r>
              <w:t>458</w:t>
            </w:r>
          </w:hyperlink>
        </w:p>
        <w:p>
          <w:pPr>
            <w:pStyle w:val="TOC3"/>
            <w:tabs>
              <w:tab w:val="right" w:leader="dot" w:pos="9974"/>
            </w:tabs>
          </w:pPr>
          <w:hyperlink w:anchor="_Toc00900179" w:history="1">
            <w:r>
              <w:t xml:space="preserve">6.1.3 Diseño metodológico</w:t>
            </w:r>
            <w:r>
              <w:tab/>
            </w:r>
            <w:r>
              <w:t>458</w:t>
            </w:r>
          </w:hyperlink>
        </w:p>
        <w:p>
          <w:pPr>
            <w:pStyle w:val="TOC2"/>
            <w:tabs>
              <w:tab w:val="right" w:leader="dot" w:pos="9974"/>
            </w:tabs>
          </w:pPr>
          <w:hyperlink w:anchor="X45af304d775aa0732e1186207906c9aa9074570" w:history="1">
            <w:r>
              <w:t xml:space="preserve">6.2 Fases del proyecto: construir, medir y aprender</w:t>
            </w:r>
            <w:r>
              <w:tab/>
            </w:r>
            <w:r>
              <w:t>460</w:t>
            </w:r>
          </w:hyperlink>
        </w:p>
        <w:p>
          <w:pPr>
            <w:pStyle w:val="TOC3"/>
            <w:tabs>
              <w:tab w:val="right" w:leader="dot" w:pos="9974"/>
            </w:tabs>
          </w:pPr>
          <w:hyperlink w:anchor="_Toc00900180" w:history="1">
            <w:r>
              <w:t xml:space="preserve">6.2.1 Fase 1: diseño y planificación</w:t>
            </w:r>
            <w:r>
              <w:tab/>
            </w:r>
            <w:r>
              <w:t>462</w:t>
            </w:r>
          </w:hyperlink>
        </w:p>
        <w:p>
          <w:pPr>
            <w:pStyle w:val="TOC3"/>
            <w:tabs>
              <w:tab w:val="right" w:leader="dot" w:pos="9974"/>
            </w:tabs>
          </w:pPr>
          <w:hyperlink w:anchor="_Toc00900181" w:history="1">
            <w:r>
              <w:t xml:space="preserve">6.2.2 Fase 2: construir</w:t>
            </w:r>
            <w:r>
              <w:tab/>
            </w:r>
            <w:r>
              <w:t>463</w:t>
            </w:r>
          </w:hyperlink>
        </w:p>
        <w:p>
          <w:pPr>
            <w:pStyle w:val="TOC3"/>
            <w:tabs>
              <w:tab w:val="right" w:leader="dot" w:pos="9974"/>
            </w:tabs>
          </w:pPr>
          <w:hyperlink w:anchor="_Toc00900182" w:history="1">
            <w:r>
              <w:t xml:space="preserve">6.2.3 Fase 3: medir</w:t>
            </w:r>
            <w:r>
              <w:tab/>
            </w:r>
            <w:r>
              <w:t>464</w:t>
            </w:r>
          </w:hyperlink>
        </w:p>
        <w:p>
          <w:pPr>
            <w:pStyle w:val="TOC3"/>
            <w:tabs>
              <w:tab w:val="right" w:leader="dot" w:pos="9974"/>
            </w:tabs>
          </w:pPr>
          <w:hyperlink w:anchor="_Toc00900183" w:history="1">
            <w:r>
              <w:t xml:space="preserve">6.2.4 Fase 4: aprender y decidir</w:t>
            </w:r>
            <w:r>
              <w:tab/>
            </w:r>
            <w:r>
              <w:t>464</w:t>
            </w:r>
          </w:hyperlink>
        </w:p>
        <w:p>
          <w:pPr>
            <w:pStyle w:val="TOC3"/>
            <w:tabs>
              <w:tab w:val="right" w:leader="dot" w:pos="9974"/>
            </w:tabs>
          </w:pPr>
          <w:hyperlink w:anchor="_Toc00900184" w:history="1">
            <w:r>
              <w:t xml:space="preserve">6.2.5 Fase 5: escalamiento</w:t>
            </w:r>
            <w:r>
              <w:tab/>
            </w:r>
            <w:r>
              <w:t>465</w:t>
            </w:r>
          </w:hyperlink>
        </w:p>
        <w:p>
          <w:pPr>
            <w:pStyle w:val="TOC2"/>
            <w:tabs>
              <w:tab w:val="right" w:leader="dot" w:pos="9974"/>
            </w:tabs>
          </w:pPr>
          <w:hyperlink w:anchor="_Toc00900185" w:history="1">
            <w:r>
              <w:t xml:space="preserve">6.3 Técnicas e instrumentos</w:t>
            </w:r>
            <w:r>
              <w:tab/>
            </w:r>
            <w:r>
              <w:t>467</w:t>
            </w:r>
          </w:hyperlink>
        </w:p>
        <w:p>
          <w:pPr>
            <w:pStyle w:val="TOC3"/>
            <w:tabs>
              <w:tab w:val="right" w:leader="dot" w:pos="9974"/>
            </w:tabs>
          </w:pPr>
          <w:hyperlink w:anchor="_Toc00900186" w:history="1">
            <w:r>
              <w:t xml:space="preserve">6.3.1 Técnicas de recolección de datos</w:t>
            </w:r>
            <w:r>
              <w:tab/>
            </w:r>
            <w:r>
              <w:t>467</w:t>
            </w:r>
          </w:hyperlink>
        </w:p>
        <w:p>
          <w:pPr>
            <w:pStyle w:val="TOC3"/>
            <w:tabs>
              <w:tab w:val="right" w:leader="dot" w:pos="9974"/>
            </w:tabs>
          </w:pPr>
          <w:hyperlink w:anchor="instrumentos" w:history="1">
            <w:r>
              <w:t xml:space="preserve">6.3.2 Instrumentos</w:t>
            </w:r>
            <w:r>
              <w:tab/>
            </w:r>
            <w:r>
              <w:t>473</w:t>
            </w:r>
          </w:hyperlink>
        </w:p>
        <w:p>
          <w:pPr>
            <w:pStyle w:val="TOC3"/>
            <w:tabs>
              <w:tab w:val="right" w:leader="dot" w:pos="9974"/>
            </w:tabs>
          </w:pPr>
          <w:hyperlink w:anchor="X8f0fc81552057b3af36295bca015a934906edec" w:history="1">
            <w:r>
              <w:t xml:space="preserve">6.3.3 Validación de instrumentos y del modelo de corrección</w:t>
            </w:r>
            <w:r>
              <w:tab/>
            </w:r>
            <w:r>
              <w:t>474</w:t>
            </w:r>
          </w:hyperlink>
        </w:p>
        <w:p>
          <w:pPr>
            <w:pStyle w:val="TOC2"/>
            <w:tabs>
              <w:tab w:val="right" w:leader="dot" w:pos="9974"/>
            </w:tabs>
          </w:pPr>
          <w:hyperlink w:anchor="_Toc00900187" w:history="1">
            <w:r>
              <w:t xml:space="preserve">6.4 Población y muestra</w:t>
            </w:r>
            <w:r>
              <w:tab/>
            </w:r>
            <w:r>
              <w:t>477</w:t>
            </w:r>
          </w:hyperlink>
        </w:p>
        <w:p>
          <w:pPr>
            <w:pStyle w:val="TOC3"/>
            <w:tabs>
              <w:tab w:val="right" w:leader="dot" w:pos="9974"/>
            </w:tabs>
          </w:pPr>
          <w:hyperlink w:anchor="_Toc00900188" w:history="1">
            <w:r>
              <w:t xml:space="preserve">6.4.1 Población objetivo</w:t>
            </w:r>
            <w:r>
              <w:tab/>
            </w:r>
            <w:r>
              <w:t>477</w:t>
            </w:r>
          </w:hyperlink>
        </w:p>
        <w:p>
          <w:pPr>
            <w:pStyle w:val="TOC3"/>
            <w:tabs>
              <w:tab w:val="right" w:leader="dot" w:pos="9974"/>
            </w:tabs>
          </w:pPr>
          <w:hyperlink w:anchor="_Toc00900189" w:history="1">
            <w:r>
              <w:t xml:space="preserve">6.4.2 Criterios de inclusión y exclusión</w:t>
            </w:r>
            <w:r>
              <w:tab/>
            </w:r>
            <w:r>
              <w:t>478</w:t>
            </w:r>
          </w:hyperlink>
        </w:p>
        <w:p>
          <w:pPr>
            <w:pStyle w:val="TOC3"/>
            <w:tabs>
              <w:tab w:val="right" w:leader="dot" w:pos="9974"/>
            </w:tabs>
          </w:pPr>
          <w:hyperlink w:anchor="_Toc00900190" w:history="1">
            <w:r>
              <w:t xml:space="preserve">6.4.3 Cálculo de la muestra</w:t>
            </w:r>
            <w:r>
              <w:tab/>
            </w:r>
            <w:r>
              <w:t>479</w:t>
            </w:r>
          </w:hyperlink>
        </w:p>
        <w:p>
          <w:pPr>
            <w:pStyle w:val="TOC2"/>
            <w:tabs>
              <w:tab w:val="right" w:leader="dot" w:pos="9974"/>
            </w:tabs>
          </w:pPr>
          <w:hyperlink w:anchor="_Toc00900191" w:history="1">
            <w:r>
              <w:t xml:space="preserve">6.5 Consideraciones éticas</w:t>
            </w:r>
            <w:r>
              <w:tab/>
            </w:r>
            <w:r>
              <w:t>480</w:t>
            </w:r>
          </w:hyperlink>
        </w:p>
        <w:p>
          <w:pPr>
            <w:pStyle w:val="TOC3"/>
            <w:tabs>
              <w:tab w:val="right" w:leader="dot" w:pos="9974"/>
            </w:tabs>
          </w:pPr>
          <w:hyperlink w:anchor="_Toc00900192" w:history="1">
            <w:r>
              <w:t xml:space="preserve">6.5.1 Comité de ética</w:t>
            </w:r>
            <w:r>
              <w:tab/>
            </w:r>
            <w:r>
              <w:t>480</w:t>
            </w:r>
          </w:hyperlink>
        </w:p>
        <w:p>
          <w:pPr>
            <w:pStyle w:val="TOC3"/>
            <w:tabs>
              <w:tab w:val="right" w:leader="dot" w:pos="9974"/>
            </w:tabs>
          </w:pPr>
          <w:hyperlink w:anchor="_Toc00900193" w:history="1">
            <w:r>
              <w:t xml:space="preserve">6.5.2 Consentimiento informado</w:t>
            </w:r>
            <w:r>
              <w:tab/>
            </w:r>
            <w:r>
              <w:t>480</w:t>
            </w:r>
          </w:hyperlink>
        </w:p>
        <w:p>
          <w:pPr>
            <w:pStyle w:val="TOC3"/>
            <w:tabs>
              <w:tab w:val="right" w:leader="dot" w:pos="9974"/>
            </w:tabs>
          </w:pPr>
          <w:hyperlink w:anchor="_Toc00900194" w:history="1">
            <w:r>
              <w:t xml:space="preserve">6.5.3 Manejo de datos personales</w:t>
            </w:r>
            <w:r>
              <w:tab/>
            </w:r>
            <w:r>
              <w:t>480</w:t>
            </w:r>
          </w:hyperlink>
        </w:p>
        <w:p>
          <w:pPr>
            <w:pStyle w:val="TOC2"/>
            <w:tabs>
              <w:tab w:val="right" w:leader="dot" w:pos="9974"/>
            </w:tabs>
          </w:pPr>
          <w:hyperlink w:anchor="_Toc00900195" w:history="1">
            <w:r>
              <w:t xml:space="preserve">6.6 Mecanismos de captura de aprendizajes</w:t>
            </w:r>
            <w:r>
              <w:tab/>
            </w:r>
            <w:r>
              <w:t>481</w:t>
            </w:r>
          </w:hyperlink>
        </w:p>
        <w:p>
          <w:pPr>
            <w:pStyle w:val="TOC3"/>
            <w:tabs>
              <w:tab w:val="right" w:leader="dot" w:pos="9974"/>
            </w:tabs>
          </w:pPr>
          <w:hyperlink w:anchor="_Toc00900196" w:history="1">
            <w:r>
              <w:t xml:space="preserve">6.6.1 Bitácora de aprendizajes emergentes</w:t>
            </w:r>
            <w:r>
              <w:tab/>
            </w:r>
            <w:r>
              <w:t>483</w:t>
            </w:r>
          </w:hyperlink>
        </w:p>
        <w:p>
          <w:pPr>
            <w:pStyle w:val="TOC3"/>
            <w:tabs>
              <w:tab w:val="right" w:leader="dot" w:pos="9974"/>
            </w:tabs>
          </w:pPr>
          <w:hyperlink w:anchor="_Toc00900197" w:history="1">
            <w:r>
              <w:t xml:space="preserve">6.6.2 Sesiones de retrospectiva</w:t>
            </w:r>
            <w:r>
              <w:tab/>
            </w:r>
            <w:r>
              <w:t>485</w:t>
            </w:r>
          </w:hyperlink>
        </w:p>
        <w:p>
          <w:pPr>
            <w:pStyle w:val="TOC3"/>
            <w:tabs>
              <w:tab w:val="right" w:leader="dot" w:pos="9974"/>
            </w:tabs>
          </w:pPr>
          <w:hyperlink w:anchor="_Toc00900198" w:history="1">
            <w:r>
              <w:t xml:space="preserve">6.6.3 Espacio de exploración libre</w:t>
            </w:r>
            <w:r>
              <w:tab/>
            </w:r>
            <w:r>
              <w:t>485</w:t>
            </w:r>
          </w:hyperlink>
        </w:p>
        <w:p>
          <w:pPr>
            <w:pStyle w:val="TOC3"/>
            <w:tabs>
              <w:tab w:val="right" w:leader="dot" w:pos="9974"/>
            </w:tabs>
          </w:pPr>
          <w:hyperlink w:anchor="_Toc00900199" w:history="1">
            <w:r>
              <w:t xml:space="preserve">6.6.4 Serendipia estructurada</w:t>
            </w:r>
            <w:r>
              <w:tab/>
            </w:r>
            <w:r>
              <w:t>486</w:t>
            </w:r>
          </w:hyperlink>
        </w:p>
        <w:p>
          <w:pPr>
            <w:pStyle w:val="TOC3"/>
            <w:tabs>
              <w:tab w:val="right" w:leader="dot" w:pos="9974"/>
            </w:tabs>
          </w:pPr>
          <w:hyperlink w:anchor="_Toc00900200" w:history="1">
            <w:r>
              <w:t xml:space="preserve">6.6.5 Del aprendizaje a la decisión</w:t>
            </w:r>
            <w:r>
              <w:tab/>
            </w:r>
            <w:r>
              <w:t>486</w:t>
            </w:r>
          </w:hyperlink>
        </w:p>
        <w:p>
          <w:pPr>
            <w:pStyle w:val="TOC1"/>
            <w:tabs>
              <w:tab w:val="right" w:leader="dot" w:pos="9974"/>
            </w:tabs>
          </w:pPr>
          <w:hyperlink w:anchor="X673adc1df5c1818b4072fab21f81fdf4fec7f0d" w:history="1">
            <w:r>
              <w:t xml:space="preserve">Capítulo 7. Estructura de Desglose del Trabajo (EDT/WBS)</w:t>
            </w:r>
            <w:r>
              <w:tab/>
            </w:r>
            <w:r>
              <w:t>487</w:t>
            </w:r>
          </w:hyperlink>
        </w:p>
        <w:p>
          <w:pPr>
            <w:pStyle w:val="TOC2"/>
            <w:tabs>
              <w:tab w:val="right" w:leader="dot" w:pos="9974"/>
            </w:tabs>
          </w:pPr>
          <w:hyperlink w:anchor="_Toc00900201" w:history="1">
            <w:r>
              <w:t xml:space="preserve">7.1 Estructura Jerárquica</w:t>
            </w:r>
            <w:r>
              <w:tab/>
            </w:r>
            <w:r>
              <w:t>488</w:t>
            </w:r>
          </w:hyperlink>
        </w:p>
        <w:p>
          <w:pPr>
            <w:pStyle w:val="TOC2"/>
            <w:tabs>
              <w:tab w:val="right" w:leader="dot" w:pos="9974"/>
            </w:tabs>
          </w:pPr>
          <w:hyperlink w:anchor="_Toc00900202" w:history="1">
            <w:r>
              <w:t xml:space="preserve">7.2 Diccionario de la EDT</w:t>
            </w:r>
            <w:r>
              <w:tab/>
            </w:r>
            <w:r>
              <w:t>491</w:t>
            </w:r>
          </w:hyperlink>
        </w:p>
        <w:p>
          <w:pPr>
            <w:pStyle w:val="TOC2"/>
            <w:tabs>
              <w:tab w:val="right" w:leader="dot" w:pos="9974"/>
            </w:tabs>
          </w:pPr>
          <w:hyperlink w:anchor="_Toc00900203" w:history="1">
            <w:r>
              <w:t xml:space="preserve">7.3 Matriz de Responsabilidades (RACI)</w:t>
            </w:r>
            <w:r>
              <w:tab/>
            </w:r>
            <w:r>
              <w:t>493</w:t>
            </w:r>
          </w:hyperlink>
        </w:p>
        <w:p>
          <w:pPr>
            <w:pStyle w:val="TOC1"/>
            <w:tabs>
              <w:tab w:val="right" w:leader="dot" w:pos="9974"/>
            </w:tabs>
          </w:pPr>
          <w:hyperlink w:anchor="_Toc00900204" w:history="1">
            <w:r>
              <w:t xml:space="preserve">Capítulo 8. Presupuesto Detallado</w:t>
            </w:r>
            <w:r>
              <w:tab/>
            </w:r>
            <w:r>
              <w:t>496</w:t>
            </w:r>
          </w:hyperlink>
        </w:p>
        <w:p>
          <w:pPr>
            <w:pStyle w:val="TOC2"/>
            <w:tabs>
              <w:tab w:val="right" w:leader="dot" w:pos="9974"/>
            </w:tabs>
          </w:pPr>
          <w:hyperlink w:anchor="_Toc00900205" w:history="1">
            <w:r>
              <w:t xml:space="preserve">8.1 Resumen Presupuestal</w:t>
            </w:r>
            <w:r>
              <w:tab/>
            </w:r>
            <w:r>
              <w:t>496</w:t>
            </w:r>
          </w:hyperlink>
        </w:p>
        <w:p>
          <w:pPr>
            <w:pStyle w:val="TOC2"/>
            <w:tabs>
              <w:tab w:val="right" w:leader="dot" w:pos="9974"/>
            </w:tabs>
          </w:pPr>
          <w:hyperlink w:anchor="personal" w:history="1">
            <w:r>
              <w:t xml:space="preserve">8.2 Personal</w:t>
            </w:r>
            <w:r>
              <w:tab/>
            </w:r>
            <w:r>
              <w:t>498</w:t>
            </w:r>
          </w:hyperlink>
        </w:p>
        <w:p>
          <w:pPr>
            <w:pStyle w:val="TOC2"/>
            <w:tabs>
              <w:tab w:val="right" w:leader="dot" w:pos="9974"/>
            </w:tabs>
          </w:pPr>
          <w:hyperlink w:anchor="_Toc00900206" w:history="1">
            <w:r>
              <w:t xml:space="preserve">8.3 Equipos y Software</w:t>
            </w:r>
            <w:r>
              <w:tab/>
            </w:r>
            <w:r>
              <w:t>501</w:t>
            </w:r>
          </w:hyperlink>
        </w:p>
        <w:p>
          <w:pPr>
            <w:pStyle w:val="TOC2"/>
            <w:tabs>
              <w:tab w:val="right" w:leader="dot" w:pos="9974"/>
            </w:tabs>
          </w:pPr>
          <w:hyperlink w:anchor="_Toc00900207" w:history="1">
            <w:r>
              <w:t xml:space="preserve">8.4 Materiales e Insumos</w:t>
            </w:r>
            <w:r>
              <w:tab/>
            </w:r>
            <w:r>
              <w:t>504</w:t>
            </w:r>
          </w:hyperlink>
        </w:p>
        <w:p>
          <w:pPr>
            <w:pStyle w:val="TOC2"/>
            <w:tabs>
              <w:tab w:val="right" w:leader="dot" w:pos="9974"/>
            </w:tabs>
          </w:pPr>
          <w:hyperlink w:anchor="_Toc00900208" w:history="1">
            <w:r>
              <w:t xml:space="preserve">8.5 Servicios Técnicos</w:t>
            </w:r>
            <w:r>
              <w:tab/>
            </w:r>
            <w:r>
              <w:t>505</w:t>
            </w:r>
          </w:hyperlink>
        </w:p>
        <w:p>
          <w:pPr>
            <w:pStyle w:val="TOC2"/>
            <w:tabs>
              <w:tab w:val="right" w:leader="dot" w:pos="9974"/>
            </w:tabs>
          </w:pPr>
          <w:hyperlink w:anchor="_Toc00900209" w:history="1">
            <w:r>
              <w:t xml:space="preserve">8.6 Viajes y Viáticos</w:t>
            </w:r>
            <w:r>
              <w:tab/>
            </w:r>
            <w:r>
              <w:t>507</w:t>
            </w:r>
          </w:hyperlink>
        </w:p>
        <w:p>
          <w:pPr>
            <w:pStyle w:val="TOC2"/>
            <w:tabs>
              <w:tab w:val="right" w:leader="dot" w:pos="9974"/>
            </w:tabs>
          </w:pPr>
          <w:hyperlink w:anchor="_Toc00900210" w:history="1">
            <w:r>
              <w:t xml:space="preserve">8.7 Otros Rubros</w:t>
            </w:r>
            <w:r>
              <w:tab/>
            </w:r>
            <w:r>
              <w:t>508</w:t>
            </w:r>
          </w:hyperlink>
        </w:p>
        <w:p>
          <w:pPr>
            <w:pStyle w:val="TOC2"/>
            <w:tabs>
              <w:tab w:val="right" w:leader="dot" w:pos="9974"/>
            </w:tabs>
          </w:pPr>
          <w:hyperlink w:anchor="_Toc00900211" w:history="1">
            <w:r>
              <w:t xml:space="preserve">8.8 Flujo de Caja</w:t>
            </w:r>
            <w:r>
              <w:tab/>
            </w:r>
            <w:r>
              <w:t>510</w:t>
            </w:r>
          </w:hyperlink>
        </w:p>
        <w:p>
          <w:pPr>
            <w:pStyle w:val="TOC1"/>
            <w:tabs>
              <w:tab w:val="right" w:leader="dot" w:pos="9974"/>
            </w:tabs>
          </w:pPr>
          <w:hyperlink w:anchor="_Toc00900212" w:history="1">
            <w:r>
              <w:t xml:space="preserve">Capítulo 9. Cronograma</w:t>
            </w:r>
            <w:r>
              <w:tab/>
            </w:r>
            <w:r>
              <w:t>513</w:t>
            </w:r>
          </w:hyperlink>
        </w:p>
        <w:p>
          <w:pPr>
            <w:pStyle w:val="TOC2"/>
            <w:tabs>
              <w:tab w:val="right" w:leader="dot" w:pos="9974"/>
            </w:tabs>
          </w:pPr>
          <w:hyperlink w:anchor="_Toc00900213" w:history="1">
            <w:r>
              <w:t xml:space="preserve">9.1 Cronograma General (Gantt)</w:t>
            </w:r>
            <w:r>
              <w:tab/>
            </w:r>
            <w:r>
              <w:t>513</w:t>
            </w:r>
          </w:hyperlink>
        </w:p>
        <w:p>
          <w:pPr>
            <w:pStyle w:val="TOC2"/>
            <w:tabs>
              <w:tab w:val="right" w:leader="dot" w:pos="9974"/>
            </w:tabs>
          </w:pPr>
          <w:hyperlink w:anchor="_Toc00900214" w:history="1">
            <w:r>
              <w:t xml:space="preserve">9.2 Hitos y Entregables</w:t>
            </w:r>
            <w:r>
              <w:tab/>
            </w:r>
            <w:r>
              <w:t>515</w:t>
            </w:r>
          </w:hyperlink>
        </w:p>
        <w:p>
          <w:pPr>
            <w:pStyle w:val="TOC2"/>
            <w:tabs>
              <w:tab w:val="right" w:leader="dot" w:pos="9974"/>
            </w:tabs>
          </w:pPr>
          <w:hyperlink w:anchor="_Toc00900215" w:history="1">
            <w:r>
              <w:t xml:space="preserve">9.3 Ruta Crítica</w:t>
            </w:r>
            <w:r>
              <w:tab/>
            </w:r>
            <w:r>
              <w:t>517</w:t>
            </w:r>
          </w:hyperlink>
        </w:p>
        <w:p>
          <w:pPr>
            <w:pStyle w:val="TOC2"/>
            <w:tabs>
              <w:tab w:val="right" w:leader="dot" w:pos="9974"/>
            </w:tabs>
          </w:pPr>
          <w:hyperlink w:anchor="_Toc00900216" w:history="1">
            <w:r>
              <w:t xml:space="preserve">9.4 Sesiones de Revisión y Aprendizaje</w:t>
            </w:r>
            <w:r>
              <w:tab/>
            </w:r>
            <w:r>
              <w:t>520</w:t>
            </w:r>
          </w:hyperlink>
        </w:p>
        <w:p>
          <w:pPr>
            <w:pStyle w:val="TOC1"/>
            <w:tabs>
              <w:tab w:val="right" w:leader="dot" w:pos="9974"/>
            </w:tabs>
          </w:pPr>
          <w:hyperlink w:anchor="_Toc00900217" w:history="1">
            <w:r>
              <w:t xml:space="preserve">Capítulo 10. Gestión de Riesgos</w:t>
            </w:r>
            <w:r>
              <w:tab/>
            </w:r>
            <w:r>
              <w:t>521</w:t>
            </w:r>
          </w:hyperlink>
        </w:p>
        <w:p>
          <w:pPr>
            <w:pStyle w:val="TOC2"/>
            <w:tabs>
              <w:tab w:val="right" w:leader="dot" w:pos="9974"/>
            </w:tabs>
          </w:pPr>
          <w:hyperlink w:anchor="_Toc00900218" w:history="1">
            <w:r>
              <w:t xml:space="preserve">10.1 Identificación de Riesgos</w:t>
            </w:r>
            <w:r>
              <w:tab/>
            </w:r>
            <w:r>
              <w:t>521</w:t>
            </w:r>
          </w:hyperlink>
        </w:p>
        <w:p>
          <w:pPr>
            <w:pStyle w:val="TOC2"/>
            <w:tabs>
              <w:tab w:val="right" w:leader="dot" w:pos="9974"/>
            </w:tabs>
          </w:pPr>
          <w:hyperlink w:anchor="_Toc00900219" w:history="1">
            <w:r>
              <w:t xml:space="preserve">10.2 Análisis Cualitativo</w:t>
            </w:r>
            <w:r>
              <w:tab/>
            </w:r>
            <w:r>
              <w:t>523</w:t>
            </w:r>
          </w:hyperlink>
        </w:p>
        <w:p>
          <w:pPr>
            <w:pStyle w:val="TOC2"/>
            <w:tabs>
              <w:tab w:val="right" w:leader="dot" w:pos="9974"/>
            </w:tabs>
          </w:pPr>
          <w:hyperlink w:anchor="_Toc00900220" w:history="1">
            <w:r>
              <w:t xml:space="preserve">10.3 Análisis Cuantitativo</w:t>
            </w:r>
            <w:r>
              <w:tab/>
            </w:r>
            <w:r>
              <w:t>525</w:t>
            </w:r>
          </w:hyperlink>
        </w:p>
        <w:p>
          <w:pPr>
            <w:pStyle w:val="TOC2"/>
            <w:tabs>
              <w:tab w:val="right" w:leader="dot" w:pos="9974"/>
            </w:tabs>
          </w:pPr>
          <w:hyperlink w:anchor="_Toc00900221" w:history="1">
            <w:r>
              <w:t xml:space="preserve">10.4 Plan de Respuesta</w:t>
            </w:r>
            <w:r>
              <w:tab/>
            </w:r>
            <w:r>
              <w:t>527</w:t>
            </w:r>
          </w:hyperlink>
        </w:p>
        <w:p>
          <w:pPr>
            <w:pStyle w:val="TOC2"/>
            <w:tabs>
              <w:tab w:val="right" w:leader="dot" w:pos="9974"/>
            </w:tabs>
          </w:pPr>
          <w:hyperlink w:anchor="_Toc00900222" w:history="1">
            <w:r>
              <w:t xml:space="preserve">10.5 Verificación de Alineación Estratégica</w:t>
            </w:r>
            <w:r>
              <w:tab/>
            </w:r>
            <w:r>
              <w:t>530</w:t>
            </w:r>
          </w:hyperlink>
        </w:p>
        <w:p>
          <w:pPr>
            <w:pStyle w:val="TOC1"/>
            <w:tabs>
              <w:tab w:val="right" w:leader="dot" w:pos="9974"/>
            </w:tabs>
          </w:pPr>
          <w:hyperlink w:anchor="_Toc00900223" w:history="1">
            <w:r>
              <w:t xml:space="preserve">Capítulo 11. Resultados Esperados</w:t>
            </w:r>
            <w:r>
              <w:tab/>
            </w:r>
            <w:r>
              <w:t>533</w:t>
            </w:r>
          </w:hyperlink>
        </w:p>
        <w:p>
          <w:pPr>
            <w:pStyle w:val="TOC2"/>
            <w:tabs>
              <w:tab w:val="right" w:leader="dot" w:pos="9974"/>
            </w:tabs>
          </w:pPr>
          <w:hyperlink w:anchor="_Toc00900224" w:history="1">
            <w:r>
              <w:t xml:space="preserve">11.1 Productos de Nuevo Conocimiento</w:t>
            </w:r>
            <w:r>
              <w:tab/>
            </w:r>
            <w:r>
              <w:t>533</w:t>
            </w:r>
          </w:hyperlink>
        </w:p>
        <w:p>
          <w:pPr>
            <w:pStyle w:val="TOC2"/>
            <w:tabs>
              <w:tab w:val="right" w:leader="dot" w:pos="9974"/>
            </w:tabs>
          </w:pPr>
          <w:hyperlink w:anchor="_Toc00900225" w:history="1">
            <w:r>
              <w:t xml:space="preserve">11.2 Productos de Desarrollo Tecnológico</w:t>
            </w:r>
            <w:r>
              <w:tab/>
            </w:r>
            <w:r>
              <w:t>535</w:t>
            </w:r>
          </w:hyperlink>
        </w:p>
        <w:p>
          <w:pPr>
            <w:pStyle w:val="TOC2"/>
            <w:tabs>
              <w:tab w:val="right" w:leader="dot" w:pos="9974"/>
            </w:tabs>
          </w:pPr>
          <w:hyperlink w:anchor="_Toc00900226" w:history="1">
            <w:r>
              <w:t xml:space="preserve">11.3 Productos de Apropiación Social</w:t>
            </w:r>
            <w:r>
              <w:tab/>
            </w:r>
            <w:r>
              <w:t>537</w:t>
            </w:r>
          </w:hyperlink>
        </w:p>
        <w:p>
          <w:pPr>
            <w:pStyle w:val="TOC2"/>
            <w:tabs>
              <w:tab w:val="right" w:leader="dot" w:pos="9974"/>
            </w:tabs>
          </w:pPr>
          <w:hyperlink w:anchor="_Toc00900227" w:history="1">
            <w:r>
              <w:t xml:space="preserve">11.4 Formación de Capital Humano</w:t>
            </w:r>
            <w:r>
              <w:tab/>
            </w:r>
            <w:r>
              <w:t>539</w:t>
            </w:r>
          </w:hyperlink>
        </w:p>
        <w:p>
          <w:pPr>
            <w:pStyle w:val="TOC2"/>
            <w:tabs>
              <w:tab w:val="right" w:leader="dot" w:pos="9974"/>
            </w:tabs>
          </w:pPr>
          <w:hyperlink w:anchor="_Toc00900228" w:history="1">
            <w:r>
              <w:t xml:space="preserve">11.5 Tipología MinCiencias</w:t>
            </w:r>
            <w:r>
              <w:tab/>
            </w:r>
            <w:r>
              <w:t>541</w:t>
            </w:r>
          </w:hyperlink>
        </w:p>
        <w:p>
          <w:pPr>
            <w:pStyle w:val="TOC1"/>
            <w:tabs>
              <w:tab w:val="right" w:leader="dot" w:pos="9974"/>
            </w:tabs>
          </w:pPr>
          <w:hyperlink w:anchor="Xd27d79a0eec597e8e5871d7c83fce1578f20a0e" w:history="1">
            <w:r>
              <w:t xml:space="preserve">Capítulo 12. Indicadores PERS con Taxonomía Output-Outcome-Impact</w:t>
            </w:r>
            <w:r>
              <w:tab/>
            </w:r>
            <w:r>
              <w:t>542</w:t>
            </w:r>
          </w:hyperlink>
        </w:p>
        <w:p>
          <w:pPr>
            <w:pStyle w:val="TOC2"/>
            <w:tabs>
              <w:tab w:val="right" w:leader="dot" w:pos="9974"/>
            </w:tabs>
          </w:pPr>
          <w:hyperlink w:anchor="_Toc00900229" w:history="1">
            <w:r>
              <w:t xml:space="preserve">12.1 Sistema Integrado de Indicadores PERS</w:t>
            </w:r>
            <w:r>
              <w:tab/>
            </w:r>
            <w:r>
              <w:t>543</w:t>
            </w:r>
          </w:hyperlink>
        </w:p>
        <w:p>
          <w:pPr>
            <w:pStyle w:val="TOC2"/>
            <w:tabs>
              <w:tab w:val="right" w:leader="dot" w:pos="9974"/>
            </w:tabs>
          </w:pPr>
          <w:hyperlink w:anchor="Xb1f3f2819b97c854c3c0a57929875eca80b824a" w:history="1">
            <w:r>
              <w:t xml:space="preserve">12.2 Indicadores de Proceso (R): Outputs de Gestión</w:t>
            </w:r>
            <w:r>
              <w:tab/>
            </w:r>
            <w:r>
              <w:t>547</w:t>
            </w:r>
          </w:hyperlink>
        </w:p>
        <w:p>
          <w:pPr>
            <w:pStyle w:val="TOC2"/>
            <w:tabs>
              <w:tab w:val="right" w:leader="dot" w:pos="9974"/>
            </w:tabs>
          </w:pPr>
          <w:hyperlink w:anchor="Xe2eb14ec04caeddb884f637cb0a6f7195a49eb2" w:history="1">
            <w:r>
              <w:t xml:space="preserve">12.3 Indicadores de Producto (P): Outputs Tipificados MMG 2021</w:t>
            </w:r>
            <w:r>
              <w:tab/>
            </w:r>
            <w:r>
              <w:t>561</w:t>
            </w:r>
          </w:hyperlink>
        </w:p>
        <w:p>
          <w:pPr>
            <w:pStyle w:val="TOC2"/>
            <w:tabs>
              <w:tab w:val="right" w:leader="dot" w:pos="9974"/>
            </w:tabs>
          </w:pPr>
          <w:hyperlink w:anchor="_Toc00900230" w:history="1">
            <w:r>
              <w:t xml:space="preserve">12.4 Indicadores de Efecto (E): Outcomes</w:t>
            </w:r>
            <w:r>
              <w:tab/>
            </w:r>
            <w:r>
              <w:t>574</w:t>
            </w:r>
          </w:hyperlink>
        </w:p>
        <w:p>
          <w:pPr>
            <w:pStyle w:val="TOC2"/>
            <w:tabs>
              <w:tab w:val="right" w:leader="dot" w:pos="9974"/>
            </w:tabs>
          </w:pPr>
          <w:hyperlink w:anchor="_Toc00900231" w:history="1">
            <w:r>
              <w:t xml:space="preserve">12.5 Indicadores de Sostenibilidad (S): Impact</w:t>
            </w:r>
            <w:r>
              <w:tab/>
            </w:r>
            <w:r>
              <w:t>583</w:t>
            </w:r>
          </w:hyperlink>
        </w:p>
        <w:p>
          <w:pPr>
            <w:pStyle w:val="TOC2"/>
            <w:tabs>
              <w:tab w:val="right" w:leader="dot" w:pos="9974"/>
            </w:tabs>
          </w:pPr>
          <w:hyperlink w:anchor="_Toc00900232" w:history="1">
            <w:r>
              <w:t xml:space="preserve">12.6 Tablero de Control y Validación Integral</w:t>
            </w:r>
            <w:r>
              <w:tab/>
            </w:r>
            <w:r>
              <w:t>590</w:t>
            </w:r>
          </w:hyperlink>
        </w:p>
        <w:p>
          <w:pPr>
            <w:pStyle w:val="TOC1"/>
            <w:tabs>
              <w:tab w:val="right" w:leader="dot" w:pos="9974"/>
            </w:tabs>
          </w:pPr>
          <w:hyperlink w:anchor="X5057231128b41f669f43d9e34f66240934c1b6e" w:history="1">
            <w:r>
              <w:t xml:space="preserve">Capítulo 13. Impactos: cadena causal entre productos, efectos e impactos</w:t>
            </w:r>
            <w:r>
              <w:tab/>
            </w:r>
            <w:r>
              <w:t>598</w:t>
            </w:r>
          </w:hyperlink>
        </w:p>
        <w:p>
          <w:pPr>
            <w:pStyle w:val="TOC2"/>
            <w:tabs>
              <w:tab w:val="right" w:leader="dot" w:pos="9974"/>
            </w:tabs>
          </w:pPr>
          <w:hyperlink w:anchor="_Toc00900233" w:history="1">
            <w:r>
              <w:t xml:space="preserve">13.0 Teoría del cambio del proyecto</w:t>
            </w:r>
            <w:r>
              <w:tab/>
            </w:r>
            <w:r>
              <w:t>598</w:t>
            </w:r>
          </w:hyperlink>
        </w:p>
        <w:p>
          <w:pPr>
            <w:pStyle w:val="TOC2"/>
            <w:tabs>
              <w:tab w:val="right" w:leader="dot" w:pos="9974"/>
            </w:tabs>
          </w:pPr>
          <w:hyperlink w:anchor="_Toc00900234" w:history="1">
            <w:r>
              <w:t xml:space="preserve">13.1 Impacto científico-tecnológico</w:t>
            </w:r>
            <w:r>
              <w:tab/>
            </w:r>
            <w:r>
              <w:t>603</w:t>
            </w:r>
          </w:hyperlink>
        </w:p>
        <w:p>
          <w:pPr>
            <w:pStyle w:val="TOC2"/>
            <w:tabs>
              <w:tab w:val="right" w:leader="dot" w:pos="9974"/>
            </w:tabs>
          </w:pPr>
          <w:hyperlink w:anchor="_Toc00900235" w:history="1">
            <w:r>
              <w:t xml:space="preserve">13.2 Impacto social</w:t>
            </w:r>
            <w:r>
              <w:tab/>
            </w:r>
            <w:r>
              <w:t>605</w:t>
            </w:r>
          </w:hyperlink>
        </w:p>
        <w:p>
          <w:pPr>
            <w:pStyle w:val="TOC2"/>
            <w:tabs>
              <w:tab w:val="right" w:leader="dot" w:pos="9974"/>
            </w:tabs>
          </w:pPr>
          <w:hyperlink w:anchor="_Toc00900236" w:history="1">
            <w:r>
              <w:t xml:space="preserve">13.3 Impacto económico</w:t>
            </w:r>
            <w:r>
              <w:tab/>
            </w:r>
            <w:r>
              <w:t>610</w:t>
            </w:r>
          </w:hyperlink>
        </w:p>
        <w:p>
          <w:pPr>
            <w:pStyle w:val="TOC2"/>
            <w:tabs>
              <w:tab w:val="right" w:leader="dot" w:pos="9974"/>
            </w:tabs>
          </w:pPr>
          <w:hyperlink w:anchor="_Toc00900237" w:history="1">
            <w:r>
              <w:t xml:space="preserve">13.4 Impacto ambiental</w:t>
            </w:r>
            <w:r>
              <w:tab/>
            </w:r>
            <w:r>
              <w:t>615</w:t>
            </w:r>
          </w:hyperlink>
        </w:p>
        <w:p>
          <w:pPr>
            <w:pStyle w:val="TOC2"/>
            <w:tabs>
              <w:tab w:val="right" w:leader="dot" w:pos="9974"/>
            </w:tabs>
          </w:pPr>
          <w:hyperlink w:anchor="X83537aeb140e78250c6492e7de2e34ca21fdc8f" w:history="1">
            <w:r>
              <w:t xml:space="preserve">13.5 Contribución a los ODS y articulación territorial</w:t>
            </w:r>
            <w:r>
              <w:tab/>
            </w:r>
            <w:r>
              <w:t>617</w:t>
            </w:r>
          </w:hyperlink>
        </w:p>
        <w:p>
          <w:pPr>
            <w:pStyle w:val="TOC2"/>
            <w:tabs>
              <w:tab w:val="right" w:leader="dot" w:pos="9974"/>
            </w:tabs>
          </w:pPr>
          <w:hyperlink w:anchor="X84b8912b1c55914650c02dd2f16954477e9aac8" w:history="1">
            <w:r>
              <w:t xml:space="preserve">13.6 Evaluación integrada y gestión adaptativa</w:t>
            </w:r>
            <w:r>
              <w:tab/>
            </w:r>
            <w:r>
              <w:t>622</w:t>
            </w:r>
          </w:hyperlink>
        </w:p>
        <w:p>
          <w:pPr>
            <w:pStyle w:val="TOC1"/>
            <w:tabs>
              <w:tab w:val="right" w:leader="dot" w:pos="9974"/>
            </w:tabs>
          </w:pPr>
          <w:hyperlink w:anchor="_Toc00900238" w:history="1">
            <w:r>
              <w:t xml:space="preserve">Capítulo 14. Sostenibilidad</w:t>
            </w:r>
            <w:r>
              <w:tab/>
            </w:r>
            <w:r>
              <w:t>625</w:t>
            </w:r>
          </w:hyperlink>
        </w:p>
        <w:p>
          <w:pPr>
            <w:pStyle w:val="TOC2"/>
            <w:tabs>
              <w:tab w:val="right" w:leader="dot" w:pos="9974"/>
            </w:tabs>
          </w:pPr>
          <w:hyperlink w:anchor="_Toc00900239" w:history="1">
            <w:r>
              <w:t xml:space="preserve">14.1 Sostenibilidad técnica</w:t>
            </w:r>
            <w:r>
              <w:tab/>
            </w:r>
            <w:r>
              <w:t>626</w:t>
            </w:r>
          </w:hyperlink>
        </w:p>
        <w:p>
          <w:pPr>
            <w:pStyle w:val="TOC2"/>
            <w:tabs>
              <w:tab w:val="right" w:leader="dot" w:pos="9974"/>
            </w:tabs>
          </w:pPr>
          <w:hyperlink w:anchor="_Toc00900240" w:history="1">
            <w:r>
              <w:t xml:space="preserve">14.2 Sostenibilidad financiera</w:t>
            </w:r>
            <w:r>
              <w:tab/>
            </w:r>
            <w:r>
              <w:t>629</w:t>
            </w:r>
          </w:hyperlink>
        </w:p>
        <w:p>
          <w:pPr>
            <w:pStyle w:val="TOC2"/>
            <w:tabs>
              <w:tab w:val="right" w:leader="dot" w:pos="9974"/>
            </w:tabs>
          </w:pPr>
          <w:hyperlink w:anchor="_Toc00900241" w:history="1">
            <w:r>
              <w:t xml:space="preserve">14.3 Sostenibilidad institucional</w:t>
            </w:r>
            <w:r>
              <w:tab/>
            </w:r>
            <w:r>
              <w:t>634</w:t>
            </w:r>
          </w:hyperlink>
        </w:p>
        <w:p>
          <w:pPr>
            <w:pStyle w:val="TOC2"/>
            <w:tabs>
              <w:tab w:val="right" w:leader="dot" w:pos="9974"/>
            </w:tabs>
          </w:pPr>
          <w:hyperlink w:anchor="_Toc00900242" w:history="1">
            <w:r>
              <w:t xml:space="preserve">14.4 Sostenibilidad social</w:t>
            </w:r>
            <w:r>
              <w:tab/>
            </w:r>
            <w:r>
              <w:t>638</w:t>
            </w:r>
          </w:hyperlink>
        </w:p>
        <w:p>
          <w:pPr>
            <w:pStyle w:val="TOC2"/>
            <w:tabs>
              <w:tab w:val="right" w:leader="dot" w:pos="9974"/>
            </w:tabs>
          </w:pPr>
          <w:hyperlink w:anchor="_Toc00900243" w:history="1">
            <w:r>
              <w:t xml:space="preserve">14.5 Plan de salida</w:t>
            </w:r>
            <w:r>
              <w:tab/>
            </w:r>
            <w:r>
              <w:t>641</w:t>
            </w:r>
          </w:hyperlink>
        </w:p>
        <w:p>
          <w:pPr>
            <w:pStyle w:val="TOC1"/>
            <w:tabs>
              <w:tab w:val="right" w:leader="dot" w:pos="9974"/>
            </w:tabs>
          </w:pPr>
          <w:hyperlink w:anchor="_Toc00900244" w:history="1">
            <w:r>
              <w:t xml:space="preserve">Capítulo 15. Transferencia de Resultados</w:t>
            </w:r>
            <w:r>
              <w:tab/>
            </w:r>
            <w:r>
              <w:t>642</w:t>
            </w:r>
          </w:hyperlink>
        </w:p>
        <w:p>
          <w:pPr>
            <w:pStyle w:val="TOC2"/>
            <w:tabs>
              <w:tab w:val="right" w:leader="dot" w:pos="9974"/>
            </w:tabs>
          </w:pPr>
          <w:hyperlink w:anchor="_Toc00900245" w:history="1">
            <w:r>
              <w:t xml:space="preserve">15.1 Estrategia de Transferencia</w:t>
            </w:r>
            <w:r>
              <w:tab/>
            </w:r>
            <w:r>
              <w:t>643</w:t>
            </w:r>
          </w:hyperlink>
        </w:p>
        <w:p>
          <w:pPr>
            <w:pStyle w:val="TOC2"/>
            <w:tabs>
              <w:tab w:val="right" w:leader="dot" w:pos="9974"/>
            </w:tabs>
          </w:pPr>
          <w:hyperlink w:anchor="_Toc00900246" w:history="1">
            <w:r>
              <w:t xml:space="preserve">15.2 Gestión de Propiedad Intelectual</w:t>
            </w:r>
            <w:r>
              <w:tab/>
            </w:r>
            <w:r>
              <w:t>646</w:t>
            </w:r>
          </w:hyperlink>
        </w:p>
        <w:p>
          <w:pPr>
            <w:pStyle w:val="TOC2"/>
            <w:tabs>
              <w:tab w:val="right" w:leader="dot" w:pos="9974"/>
            </w:tabs>
          </w:pPr>
          <w:hyperlink w:anchor="_Toc00900247" w:history="1">
            <w:r>
              <w:t xml:space="preserve">15.3 Comercialización y Licenciamiento</w:t>
            </w:r>
            <w:r>
              <w:tab/>
            </w:r>
            <w:r>
              <w:t>650</w:t>
            </w:r>
          </w:hyperlink>
        </w:p>
        <w:p>
          <w:pPr>
            <w:pStyle w:val="TOC2"/>
            <w:tabs>
              <w:tab w:val="right" w:leader="dot" w:pos="9974"/>
            </w:tabs>
          </w:pPr>
          <w:hyperlink w:anchor="_Toc00900248" w:history="1">
            <w:r>
              <w:t xml:space="preserve">15.4 Réplica y Escalamiento</w:t>
            </w:r>
            <w:r>
              <w:tab/>
            </w:r>
            <w:r>
              <w:t>653</w:t>
            </w:r>
          </w:hyperlink>
        </w:p>
        <w:p>
          <w:pPr>
            <w:pStyle w:val="TOC1"/>
            <w:tabs>
              <w:tab w:val="right" w:leader="dot" w:pos="9974"/>
            </w:tabs>
          </w:pPr>
          <w:hyperlink w:anchor="Xbd50f507770d5520a8a3f71947aba1a9b6b83ab" w:history="1">
            <w:r>
              <w:t xml:space="preserve">Capítulo 16. Apropiación Social del Conocimiento</w:t>
            </w:r>
            <w:r>
              <w:tab/>
            </w:r>
            <w:r>
              <w:t>655</w:t>
            </w:r>
          </w:hyperlink>
        </w:p>
        <w:p>
          <w:pPr>
            <w:pStyle w:val="TOC2"/>
            <w:tabs>
              <w:tab w:val="right" w:leader="dot" w:pos="9974"/>
            </w:tabs>
          </w:pPr>
          <w:hyperlink w:anchor="X3979ac4bbcca2c78d50ae8957e597532a8d7d92" w:history="1">
            <w:r>
              <w:t xml:space="preserve">16.1 Estrategia de Comunicación Pública del Conocimiento</w:t>
            </w:r>
            <w:r>
              <w:tab/>
            </w:r>
            <w:r>
              <w:t>656</w:t>
            </w:r>
          </w:hyperlink>
        </w:p>
        <w:p>
          <w:pPr>
            <w:pStyle w:val="TOC2"/>
            <w:tabs>
              <w:tab w:val="right" w:leader="dot" w:pos="9974"/>
            </w:tabs>
          </w:pPr>
          <w:hyperlink w:anchor="_Toc00900249" w:history="1">
            <w:r>
              <w:t xml:space="preserve">16.2 Participación Ciudadana en CTeI</w:t>
            </w:r>
            <w:r>
              <w:tab/>
            </w:r>
            <w:r>
              <w:t>659</w:t>
            </w:r>
          </w:hyperlink>
        </w:p>
        <w:p>
          <w:pPr>
            <w:pStyle w:val="TOC2"/>
            <w:tabs>
              <w:tab w:val="right" w:leader="dot" w:pos="9974"/>
            </w:tabs>
          </w:pPr>
          <w:hyperlink w:anchor="Xbbb9c62a82958c3ccf0ccf7a3d6dc1da5a3baa4" w:history="1">
            <w:r>
              <w:t xml:space="preserve">16.3 Divulgación y Circulación del Conocimiento</w:t>
            </w:r>
            <w:r>
              <w:tab/>
            </w:r>
            <w:r>
              <w:t>662</w:t>
            </w:r>
          </w:hyperlink>
        </w:p>
        <w:p>
          <w:pPr>
            <w:pStyle w:val="TOC2"/>
            <w:tabs>
              <w:tab w:val="right" w:leader="dot" w:pos="9974"/>
            </w:tabs>
          </w:pPr>
          <w:hyperlink w:anchor="_Toc00900250" w:history="1">
            <w:r>
              <w:t xml:space="preserve">16.4 Medición de Apropiación Social</w:t>
            </w:r>
            <w:r>
              <w:tab/>
            </w:r>
            <w:r>
              <w:t>665</w:t>
            </w:r>
          </w:hyperlink>
        </w:p>
        <w:p>
          <w:pPr>
            <w:pStyle w:val="TOC2"/>
            <w:tabs>
              <w:tab w:val="right" w:leader="dot" w:pos="9974"/>
            </w:tabs>
          </w:pPr>
          <w:hyperlink w:anchor="Xc0fdd3acead4ab88237beeaab16fb5ab35f5b88" w:history="1">
            <w:r>
              <w:t xml:space="preserve">16.5 Escalera de Apropiación Social del Conocimiento</w:t>
            </w:r>
            <w:r>
              <w:tab/>
            </w:r>
            <w:r>
              <w:t>667</w:t>
            </w:r>
          </w:hyperlink>
        </w:p>
        <w:p>
          <w:pPr>
            <w:pStyle w:val="TOC1"/>
            <w:tabs>
              <w:tab w:val="right" w:leader="dot" w:pos="9974"/>
            </w:tabs>
          </w:pPr>
          <w:hyperlink w:anchor="_Toc00900251" w:history="1">
            <w:r>
              <w:t xml:space="preserve">Capítulo 17. Equipo de Trabajo</w:t>
            </w:r>
            <w:r>
              <w:tab/>
            </w:r>
            <w:r>
              <w:t>673</w:t>
            </w:r>
          </w:hyperlink>
        </w:p>
        <w:p>
          <w:pPr>
            <w:pStyle w:val="TOC2"/>
            <w:tabs>
              <w:tab w:val="right" w:leader="dot" w:pos="9974"/>
            </w:tabs>
          </w:pPr>
          <w:hyperlink w:anchor="_Toc00900252" w:history="1">
            <w:r>
              <w:t xml:space="preserve">17.1 Estructura del Equipo</w:t>
            </w:r>
            <w:r>
              <w:tab/>
            </w:r>
            <w:r>
              <w:t>673</w:t>
            </w:r>
          </w:hyperlink>
        </w:p>
        <w:p>
          <w:pPr>
            <w:pStyle w:val="TOC3"/>
            <w:tabs>
              <w:tab w:val="right" w:leader="dot" w:pos="9974"/>
            </w:tabs>
          </w:pPr>
          <w:hyperlink w:anchor="_Toc00900253" w:history="1">
            <w:r>
              <w:t xml:space="preserve">17.1.1 Organigrama del proyecto</w:t>
            </w:r>
            <w:r>
              <w:tab/>
            </w:r>
            <w:r>
              <w:t>673</w:t>
            </w:r>
          </w:hyperlink>
        </w:p>
        <w:p>
          <w:pPr>
            <w:pStyle w:val="TOC3"/>
            <w:tabs>
              <w:tab w:val="right" w:leader="dot" w:pos="9974"/>
            </w:tabs>
          </w:pPr>
          <w:hyperlink w:anchor="_Toc00900254" w:history="1">
            <w:r>
              <w:t xml:space="preserve">17.1.2 Roles y responsabilidades</w:t>
            </w:r>
            <w:r>
              <w:tab/>
            </w:r>
            <w:r>
              <w:t>675</w:t>
            </w:r>
          </w:hyperlink>
        </w:p>
        <w:p>
          <w:pPr>
            <w:pStyle w:val="TOC3"/>
            <w:tabs>
              <w:tab w:val="right" w:leader="dot" w:pos="9974"/>
            </w:tabs>
          </w:pPr>
          <w:hyperlink w:anchor="_Toc00900255" w:history="1">
            <w:r>
              <w:t xml:space="preserve">17.1.3 Dedicación horaria</w:t>
            </w:r>
            <w:r>
              <w:tab/>
            </w:r>
            <w:r>
              <w:t>677</w:t>
            </w:r>
          </w:hyperlink>
        </w:p>
        <w:p>
          <w:pPr>
            <w:pStyle w:val="TOC2"/>
            <w:tabs>
              <w:tab w:val="right" w:leader="dot" w:pos="9974"/>
            </w:tabs>
          </w:pPr>
          <w:hyperlink w:anchor="_Toc00900256" w:history="1">
            <w:r>
              <w:t xml:space="preserve">17.2 Perfiles del Equipo</w:t>
            </w:r>
            <w:r>
              <w:tab/>
            </w:r>
            <w:r>
              <w:t>678</w:t>
            </w:r>
          </w:hyperlink>
        </w:p>
        <w:p>
          <w:pPr>
            <w:pStyle w:val="TOC3"/>
            <w:tabs>
              <w:tab w:val="right" w:leader="dot" w:pos="9974"/>
            </w:tabs>
          </w:pPr>
          <w:hyperlink w:anchor="_Toc00900257" w:history="1">
            <w:r>
              <w:t xml:space="preserve">17.2.1 Director e investigador principal</w:t>
            </w:r>
            <w:r>
              <w:tab/>
            </w:r>
            <w:r>
              <w:t>680</w:t>
            </w:r>
          </w:hyperlink>
        </w:p>
        <w:p>
          <w:pPr>
            <w:pStyle w:val="TOC3"/>
            <w:tabs>
              <w:tab w:val="right" w:leader="dot" w:pos="9974"/>
            </w:tabs>
          </w:pPr>
          <w:hyperlink w:anchor="_Toc00900258" w:history="1">
            <w:r>
              <w:t xml:space="preserve">17.2.2 Co-investigadores</w:t>
            </w:r>
            <w:r>
              <w:tab/>
            </w:r>
            <w:r>
              <w:t>681</w:t>
            </w:r>
          </w:hyperlink>
        </w:p>
        <w:p>
          <w:pPr>
            <w:pStyle w:val="TOC3"/>
            <w:tabs>
              <w:tab w:val="right" w:leader="dot" w:pos="9974"/>
            </w:tabs>
          </w:pPr>
          <w:hyperlink w:anchor="_Toc00900259" w:history="1">
            <w:r>
              <w:t xml:space="preserve">17.2.3 Personal técnico</w:t>
            </w:r>
            <w:r>
              <w:tab/>
            </w:r>
            <w:r>
              <w:t>681</w:t>
            </w:r>
          </w:hyperlink>
        </w:p>
        <w:p>
          <w:pPr>
            <w:pStyle w:val="TOC3"/>
            <w:tabs>
              <w:tab w:val="right" w:leader="dot" w:pos="9974"/>
            </w:tabs>
          </w:pPr>
          <w:hyperlink w:anchor="_Toc00900260" w:history="1">
            <w:r>
              <w:t xml:space="preserve">17.2.4 Estudiantes vinculados</w:t>
            </w:r>
            <w:r>
              <w:tab/>
            </w:r>
            <w:r>
              <w:t>682</w:t>
            </w:r>
          </w:hyperlink>
        </w:p>
        <w:p>
          <w:pPr>
            <w:pStyle w:val="TOC2"/>
            <w:tabs>
              <w:tab w:val="right" w:leader="dot" w:pos="9974"/>
            </w:tabs>
          </w:pPr>
          <w:hyperlink w:anchor="_Toc00900261" w:history="1">
            <w:r>
              <w:t xml:space="preserve">17.3 Grupos de Investigación</w:t>
            </w:r>
            <w:r>
              <w:tab/>
            </w:r>
            <w:r>
              <w:t>682</w:t>
            </w:r>
          </w:hyperlink>
        </w:p>
        <w:p>
          <w:pPr>
            <w:pStyle w:val="TOC3"/>
            <w:tabs>
              <w:tab w:val="right" w:leader="dot" w:pos="9974"/>
            </w:tabs>
          </w:pPr>
          <w:hyperlink w:anchor="_Toc00900262" w:history="1">
            <w:r>
              <w:t xml:space="preserve">17.3.1 Grupos vinculados</w:t>
            </w:r>
            <w:r>
              <w:tab/>
            </w:r>
            <w:r>
              <w:t>682</w:t>
            </w:r>
          </w:hyperlink>
        </w:p>
        <w:p>
          <w:pPr>
            <w:pStyle w:val="TOC3"/>
            <w:tabs>
              <w:tab w:val="right" w:leader="dot" w:pos="9974"/>
            </w:tabs>
          </w:pPr>
          <w:hyperlink w:anchor="_Toc00900263" w:history="1">
            <w:r>
              <w:t xml:space="preserve">17.3.2 Categoría MinCiencias</w:t>
            </w:r>
            <w:r>
              <w:tab/>
            </w:r>
            <w:r>
              <w:t>683</w:t>
            </w:r>
          </w:hyperlink>
        </w:p>
        <w:p>
          <w:pPr>
            <w:pStyle w:val="TOC3"/>
            <w:tabs>
              <w:tab w:val="right" w:leader="dot" w:pos="9974"/>
            </w:tabs>
          </w:pPr>
          <w:hyperlink w:anchor="_Toc00900264" w:history="1">
            <w:r>
              <w:t xml:space="preserve">17.3.3 Líneas de investigación</w:t>
            </w:r>
            <w:r>
              <w:tab/>
            </w:r>
            <w:r>
              <w:t>684</w:t>
            </w:r>
          </w:hyperlink>
        </w:p>
        <w:p>
          <w:pPr>
            <w:pStyle w:val="TOC3"/>
            <w:tabs>
              <w:tab w:val="right" w:leader="dot" w:pos="9974"/>
            </w:tabs>
          </w:pPr>
          <w:hyperlink w:anchor="_Toc00900265" w:history="1">
            <w:r>
              <w:t xml:space="preserve">17.3.4 Capacidades complementarias</w:t>
            </w:r>
            <w:r>
              <w:tab/>
            </w:r>
            <w:r>
              <w:t>684</w:t>
            </w:r>
          </w:hyperlink>
        </w:p>
        <w:p>
          <w:pPr>
            <w:pStyle w:val="TOC2"/>
            <w:tabs>
              <w:tab w:val="right" w:leader="dot" w:pos="9974"/>
            </w:tabs>
          </w:pPr>
          <w:hyperlink w:anchor="_Toc00900266" w:history="1">
            <w:r>
              <w:t xml:space="preserve">17.4 Alianzas y Co-ejecutores</w:t>
            </w:r>
            <w:r>
              <w:tab/>
            </w:r>
            <w:r>
              <w:t>684</w:t>
            </w:r>
          </w:hyperlink>
        </w:p>
        <w:p>
          <w:pPr>
            <w:pStyle w:val="TOC3"/>
            <w:tabs>
              <w:tab w:val="right" w:leader="dot" w:pos="9974"/>
            </w:tabs>
          </w:pPr>
          <w:hyperlink w:anchor="_Toc00900267" w:history="1">
            <w:r>
              <w:t xml:space="preserve">17.4.1 Entidades aliadas</w:t>
            </w:r>
            <w:r>
              <w:tab/>
            </w:r>
            <w:r>
              <w:t>684</w:t>
            </w:r>
          </w:hyperlink>
        </w:p>
        <w:p>
          <w:pPr>
            <w:pStyle w:val="TOC3"/>
            <w:tabs>
              <w:tab w:val="right" w:leader="dot" w:pos="9974"/>
            </w:tabs>
          </w:pPr>
          <w:hyperlink w:anchor="_Toc00900268" w:history="1">
            <w:r>
              <w:t xml:space="preserve">17.4.2 Rol de cada co-ejecutor</w:t>
            </w:r>
            <w:r>
              <w:tab/>
            </w:r>
            <w:r>
              <w:t>686</w:t>
            </w:r>
          </w:hyperlink>
        </w:p>
        <w:p>
          <w:pPr>
            <w:pStyle w:val="TOC3"/>
            <w:tabs>
              <w:tab w:val="right" w:leader="dot" w:pos="9974"/>
            </w:tabs>
          </w:pPr>
          <w:hyperlink w:anchor="_Toc00900269" w:history="1">
            <w:r>
              <w:t xml:space="preserve">17.4.3 Aportes específicos</w:t>
            </w:r>
            <w:r>
              <w:tab/>
            </w:r>
            <w:r>
              <w:t>687</w:t>
            </w:r>
          </w:hyperlink>
        </w:p>
        <w:p>
          <w:pPr>
            <w:pStyle w:val="TOC1"/>
            <w:tabs>
              <w:tab w:val="right" w:leader="dot" w:pos="9974"/>
            </w:tabs>
          </w:pPr>
          <w:hyperlink w:anchor="_Toc00900270" w:history="1">
            <w:r>
              <w:t xml:space="preserve">Capítulo 18. Marco Lógico</w:t>
            </w:r>
            <w:r>
              <w:tab/>
            </w:r>
            <w:r>
              <w:t>687</w:t>
            </w:r>
          </w:hyperlink>
        </w:p>
        <w:p>
          <w:pPr>
            <w:pStyle w:val="TOC2"/>
            <w:tabs>
              <w:tab w:val="right" w:leader="dot" w:pos="9974"/>
            </w:tabs>
          </w:pPr>
          <w:hyperlink w:anchor="_Toc00900271" w:history="1">
            <w:r>
              <w:t xml:space="preserve">18.1 Matriz de Marco Lógico Completa</w:t>
            </w:r>
            <w:r>
              <w:tab/>
            </w:r>
            <w:r>
              <w:t>688</w:t>
            </w:r>
          </w:hyperlink>
        </w:p>
        <w:p>
          <w:pPr>
            <w:pStyle w:val="TOC3"/>
            <w:tabs>
              <w:tab w:val="right" w:leader="dot" w:pos="9974"/>
            </w:tabs>
          </w:pPr>
          <w:hyperlink w:anchor="_Toc00900272" w:history="1">
            <w:r>
              <w:t xml:space="preserve">18.1.1 Fin (Impacto)</w:t>
            </w:r>
            <w:r>
              <w:tab/>
            </w:r>
            <w:r>
              <w:t>689</w:t>
            </w:r>
          </w:hyperlink>
        </w:p>
        <w:p>
          <w:pPr>
            <w:pStyle w:val="TOC3"/>
            <w:tabs>
              <w:tab w:val="right" w:leader="dot" w:pos="9974"/>
            </w:tabs>
          </w:pPr>
          <w:hyperlink w:anchor="_Toc00900273" w:history="1">
            <w:r>
              <w:t xml:space="preserve">18.1.2 Propósito (Efecto)</w:t>
            </w:r>
            <w:r>
              <w:tab/>
            </w:r>
            <w:r>
              <w:t>690</w:t>
            </w:r>
          </w:hyperlink>
        </w:p>
        <w:p>
          <w:pPr>
            <w:pStyle w:val="TOC3"/>
            <w:tabs>
              <w:tab w:val="right" w:leader="dot" w:pos="9974"/>
            </w:tabs>
          </w:pPr>
          <w:hyperlink w:anchor="_Toc00900274" w:history="1">
            <w:r>
              <w:t xml:space="preserve">18.1.3 Componentes (Productos)</w:t>
            </w:r>
            <w:r>
              <w:tab/>
            </w:r>
            <w:r>
              <w:t>690</w:t>
            </w:r>
          </w:hyperlink>
        </w:p>
        <w:p>
          <w:pPr>
            <w:pStyle w:val="TOC3"/>
            <w:tabs>
              <w:tab w:val="right" w:leader="dot" w:pos="9974"/>
            </w:tabs>
          </w:pPr>
          <w:hyperlink w:anchor="_Toc00900275" w:history="1">
            <w:r>
              <w:t xml:space="preserve">18.1.4 Actividades (Procesos)</w:t>
            </w:r>
            <w:r>
              <w:tab/>
            </w:r>
            <w:r>
              <w:t>691</w:t>
            </w:r>
          </w:hyperlink>
        </w:p>
        <w:p>
          <w:pPr>
            <w:pStyle w:val="TOC2"/>
            <w:tabs>
              <w:tab w:val="right" w:leader="dot" w:pos="9974"/>
            </w:tabs>
          </w:pPr>
          <w:hyperlink w:anchor="_Toc00900276" w:history="1">
            <w:r>
              <w:t xml:space="preserve">18.2 Análisis de Supuestos</w:t>
            </w:r>
            <w:r>
              <w:tab/>
            </w:r>
            <w:r>
              <w:t>691</w:t>
            </w:r>
          </w:hyperlink>
        </w:p>
        <w:p>
          <w:pPr>
            <w:pStyle w:val="TOC3"/>
            <w:tabs>
              <w:tab w:val="right" w:leader="dot" w:pos="9974"/>
            </w:tabs>
          </w:pPr>
          <w:hyperlink w:anchor="_Toc00900277" w:history="1">
            <w:r>
              <w:t xml:space="preserve">18.2.1 Supuestos por nivel</w:t>
            </w:r>
            <w:r>
              <w:tab/>
            </w:r>
            <w:r>
              <w:t>691</w:t>
            </w:r>
          </w:hyperlink>
        </w:p>
        <w:p>
          <w:pPr>
            <w:pStyle w:val="TOC3"/>
            <w:tabs>
              <w:tab w:val="right" w:leader="dot" w:pos="9974"/>
            </w:tabs>
          </w:pPr>
          <w:hyperlink w:anchor="_Toc00900278" w:history="1">
            <w:r>
              <w:t xml:space="preserve">18.2.2 Riesgos asociados</w:t>
            </w:r>
            <w:r>
              <w:tab/>
            </w:r>
            <w:r>
              <w:t>693</w:t>
            </w:r>
          </w:hyperlink>
        </w:p>
        <w:p>
          <w:pPr>
            <w:pStyle w:val="TOC3"/>
            <w:tabs>
              <w:tab w:val="right" w:leader="dot" w:pos="9974"/>
            </w:tabs>
          </w:pPr>
          <w:hyperlink w:anchor="_Toc00900279" w:history="1">
            <w:r>
              <w:t xml:space="preserve">18.2.3 Estrategias de mitigación</w:t>
            </w:r>
            <w:r>
              <w:tab/>
            </w:r>
            <w:r>
              <w:t>693</w:t>
            </w:r>
          </w:hyperlink>
        </w:p>
        <w:p>
          <w:pPr>
            <w:pStyle w:val="TOC2"/>
            <w:tabs>
              <w:tab w:val="right" w:leader="dot" w:pos="9974"/>
            </w:tabs>
          </w:pPr>
          <w:hyperlink w:anchor="_Toc00900280" w:history="1">
            <w:r>
              <w:t xml:space="preserve">18.3 Coherencia Vertical y Horizontal</w:t>
            </w:r>
            <w:r>
              <w:tab/>
            </w:r>
            <w:r>
              <w:t>694</w:t>
            </w:r>
          </w:hyperlink>
        </w:p>
        <w:p>
          <w:pPr>
            <w:pStyle w:val="TOC3"/>
            <w:tabs>
              <w:tab w:val="right" w:leader="dot" w:pos="9974"/>
            </w:tabs>
          </w:pPr>
          <w:hyperlink w:anchor="_Toc00900281" w:history="1">
            <w:r>
              <w:t xml:space="preserve">18.3.1 Verificación de coherencia lógica</w:t>
            </w:r>
            <w:r>
              <w:tab/>
            </w:r>
            <w:r>
              <w:t>694</w:t>
            </w:r>
          </w:hyperlink>
        </w:p>
        <w:p>
          <w:pPr>
            <w:pStyle w:val="TOC3"/>
            <w:tabs>
              <w:tab w:val="right" w:leader="dot" w:pos="9974"/>
            </w:tabs>
          </w:pPr>
          <w:hyperlink w:anchor="_Toc00900282" w:history="1">
            <w:r>
              <w:t xml:space="preserve">18.3.2 Trazabilidad de indicadores</w:t>
            </w:r>
            <w:r>
              <w:tab/>
            </w:r>
            <w:r>
              <w:t>696</w:t>
            </w:r>
          </w:hyperlink>
        </w:p>
        <w:p>
          <w:pPr>
            <w:pStyle w:val="TOC1"/>
            <w:tabs>
              <w:tab w:val="right" w:leader="dot" w:pos="9974"/>
            </w:tabs>
          </w:pPr>
          <w:hyperlink w:anchor="_Toc00900283" w:history="1">
            <w:r>
              <w:t xml:space="preserve">Capítulo 19. Bibliografía</w:t>
            </w:r>
            <w:r>
              <w:tab/>
            </w:r>
            <w:r>
              <w:t>696</w:t>
            </w:r>
          </w:hyperlink>
        </w:p>
        <w:p>
          <w:pPr>
            <w:pStyle w:val="TOC1"/>
            <w:tabs>
              <w:tab w:val="right" w:leader="dot" w:pos="9974"/>
            </w:tabs>
          </w:pPr>
          <w:hyperlink w:anchor="_Toc00900284" w:history="1">
            <w:r>
              <w:t xml:space="preserve">Capítulo 20. Anexos Técnicos</w:t>
            </w:r>
            <w:r>
              <w:tab/>
            </w:r>
            <w:r>
              <w:t>696</w:t>
            </w:r>
          </w:hyperlink>
        </w:p>
        <w:p>
          <w:pPr>
            <w:pStyle w:val="TOC2"/>
            <w:tabs>
              <w:tab w:val="right" w:leader="dot" w:pos="9974"/>
            </w:tabs>
          </w:pPr>
          <w:hyperlink w:anchor="_Toc00900285" w:history="1">
            <w:r>
              <w:t xml:space="preserve">Anexo A. Cartas de compromiso y avales</w:t>
            </w:r>
            <w:r>
              <w:tab/>
            </w:r>
            <w:r>
              <w:t>696</w:t>
            </w:r>
          </w:hyperlink>
        </w:p>
        <w:p>
          <w:pPr>
            <w:pStyle w:val="TOC2"/>
            <w:tabs>
              <w:tab w:val="right" w:leader="dot" w:pos="9974"/>
            </w:tabs>
          </w:pPr>
          <w:hyperlink w:anchor="_Toc00900286" w:history="1">
            <w:r>
              <w:t xml:space="preserve">Anexo B. Hojas de vida completas</w:t>
            </w:r>
            <w:r>
              <w:tab/>
            </w:r>
            <w:r>
              <w:t>698</w:t>
            </w:r>
          </w:hyperlink>
        </w:p>
        <w:p>
          <w:pPr>
            <w:pStyle w:val="TOC2"/>
            <w:tabs>
              <w:tab w:val="right" w:leader="dot" w:pos="9974"/>
            </w:tabs>
          </w:pPr>
          <w:hyperlink w:anchor="_Toc00900287" w:history="1">
            <w:r>
              <w:t xml:space="preserve">Anexo C. Cotizaciones de equipos</w:t>
            </w:r>
            <w:r>
              <w:tab/>
            </w:r>
            <w:r>
              <w:t>701</w:t>
            </w:r>
          </w:hyperlink>
        </w:p>
        <w:p>
          <w:pPr>
            <w:pStyle w:val="TOC2"/>
            <w:tabs>
              <w:tab w:val="right" w:leader="dot" w:pos="9974"/>
            </w:tabs>
          </w:pPr>
          <w:hyperlink w:anchor="X4d788574d23a06fdb0bd6ac5d36e6d06ec7ada3" w:history="1">
            <w:r>
              <w:t xml:space="preserve">Anexo D. Certificados de grupos de investigación</w:t>
            </w:r>
            <w:r>
              <w:tab/>
            </w:r>
            <w:r>
              <w:t>703</w:t>
            </w:r>
          </w:hyperlink>
        </w:p>
        <w:p>
          <w:pPr>
            <w:pStyle w:val="TOC2"/>
            <w:tabs>
              <w:tab w:val="right" w:leader="dot" w:pos="9974"/>
            </w:tabs>
          </w:pPr>
          <w:hyperlink w:anchor="_Toc00900288" w:history="1">
            <w:r>
              <w:t xml:space="preserve">Anexo E. Instrumentos de recolección</w:t>
            </w:r>
            <w:r>
              <w:tab/>
            </w:r>
            <w:r>
              <w:t>703</w:t>
            </w:r>
          </w:hyperlink>
        </w:p>
        <w:p>
          <w:pPr>
            <w:pStyle w:val="TOC2"/>
            <w:tabs>
              <w:tab w:val="right" w:leader="dot" w:pos="9974"/>
            </w:tabs>
          </w:pPr>
          <w:hyperlink w:anchor="_Toc00900289" w:history="1">
            <w:r>
              <w:t xml:space="preserve">Anexo F. Consentimientos informados</w:t>
            </w:r>
            <w:r>
              <w:tab/>
            </w:r>
            <w:r>
              <w:t>705</w:t>
            </w:r>
          </w:hyperlink>
        </w:p>
        <w:p>
          <w:pPr>
            <w:pStyle w:val="TOC2"/>
            <w:tabs>
              <w:tab w:val="right" w:leader="dot" w:pos="9974"/>
            </w:tabs>
          </w:pPr>
          <w:hyperlink w:anchor="X08944d8221a9c809e913e58214197592d0587cb" w:history="1">
            <w:r>
              <w:t xml:space="preserve">Anexo G. Presupuesto detallado (formato entidad)</w:t>
            </w:r>
            <w:r>
              <w:tab/>
            </w:r>
            <w:r>
              <w:t>706</w:t>
            </w:r>
          </w:hyperlink>
        </w:p>
        <w:p>
          <w:pPr>
            <w:pStyle w:val="TOC2"/>
            <w:tabs>
              <w:tab w:val="right" w:leader="dot" w:pos="9974"/>
            </w:tabs>
          </w:pPr>
          <w:hyperlink w:anchor="_Toc00900290" w:history="1">
            <w:r>
              <w:t xml:space="preserve">Anexo H. Cronograma detallado</w:t>
            </w:r>
            <w:r>
              <w:tab/>
            </w:r>
            <w:r>
              <w:t>707</w:t>
            </w:r>
          </w:hyperlink>
        </w:p>
        <w:p>
          <w:pPr>
            <w:pStyle w:val="TOC2"/>
            <w:tabs>
              <w:tab w:val="right" w:leader="dot" w:pos="9974"/>
            </w:tabs>
          </w:pPr>
          <w:hyperlink w:anchor="_Toc00900291" w:history="1">
            <w:r>
              <w:t xml:space="preserve">Anexo I. Estudios previos</w:t>
            </w:r>
            <w:r>
              <w:tab/>
            </w:r>
            <w:r>
              <w:t>709</w:t>
            </w:r>
          </w:hyperlink>
        </w:p>
        <w:p>
          <w:pPr>
            <w:pStyle w:val="TOC2"/>
            <w:tabs>
              <w:tab w:val="right" w:leader="dot" w:pos="9974"/>
            </w:tabs>
          </w:pPr>
          <w:hyperlink w:anchor="X9c0103aa84d531a3bfee3ef7e6f702259530840" w:history="1">
            <w:r>
              <w:t xml:space="preserve">Anexo J. Otros documentos según convocatoria</w:t>
            </w:r>
            <w:r>
              <w:tab/>
            </w:r>
            <w:r>
              <w:t>711</w:t>
            </w:r>
          </w:hyperlink>
        </w:p>
        <w:p>
          <w:pPr>
            <w:pStyle w:val="TOC2"/>
            <w:tabs>
              <w:tab w:val="right" w:leader="dot" w:pos="9974"/>
            </w:tabs>
          </w:pPr>
          <w:hyperlink w:anchor="X60af0a4d6d943c42b51a0e806ce417f70d07afe" w:history="1">
            <w:r>
              <w:t xml:space="preserve">Anexo K. Fichas bidireccionales del análisis estructural</w:t>
            </w:r>
            <w:r>
              <w:tab/>
            </w:r>
            <w:r>
              <w:t>712</w:t>
            </w:r>
          </w:hyperlink>
        </w:p>
        <w:p>
          <w:pPr>
            <w:pStyle w:val="TOC2"/>
            <w:tabs>
              <w:tab w:val="right" w:leader="dot" w:pos="9974"/>
            </w:tabs>
          </w:pPr>
          <w:hyperlink w:anchor="X945c2a7d702d0316eeac1ffa170c22ce66305b3" w:history="1">
            <w:r>
              <w:t xml:space="preserve">Anexo L. JSON canónico de los árboles A-DEC, A-TDC y A-PROB</w:t>
            </w:r>
            <w:r>
              <w:tab/>
            </w:r>
            <w:r>
              <w:t>787</w:t>
            </w:r>
          </w:hyperlink>
        </w:p>
        <w:p>
          <w:pPr>
            <w:pStyle w:val="TOC3"/>
            <w:tabs>
              <w:tab w:val="right" w:leader="dot" w:pos="9974"/>
            </w:tabs>
          </w:pPr>
          <w:hyperlink w:anchor="X3c6e38f6b4aa4013e809ed4e60c3e767a3be08f" w:history="1">
            <w:r>
              <w:t xml:space="preserve">L.1 JSON canónico del árbol A-DEC (ARBOL_1_SGR_CONV56_AIRE.json)</w:t>
            </w:r>
            <w:r>
              <w:tab/>
            </w:r>
            <w:r>
              <w:t>787</w:t>
            </w:r>
          </w:hyperlink>
        </w:p>
        <w:p>
          <w:pPr>
            <w:pStyle w:val="TOC3"/>
            <w:tabs>
              <w:tab w:val="right" w:leader="dot" w:pos="9974"/>
            </w:tabs>
          </w:pPr>
          <w:hyperlink w:anchor="X18c000bed8049b9fb087dc8d35a274ef755bdcb" w:history="1">
            <w:r>
              <w:t xml:space="preserve">L.2 JSON canónico del árbol A-TDC (ARBOL_4_SGR_CONV56_AIRE.json)</w:t>
            </w:r>
            <w:r>
              <w:tab/>
            </w:r>
            <w:r>
              <w:t>793</w:t>
            </w:r>
          </w:hyperlink>
        </w:p>
        <w:p>
          <w:pPr>
            <w:pStyle w:val="TOC3"/>
            <w:tabs>
              <w:tab w:val="right" w:leader="dot" w:pos="9974"/>
            </w:tabs>
          </w:pPr>
          <w:hyperlink w:anchor="Xb0af26d9cada72747bb3b3a737878e82d0842cd" w:history="1">
            <w:r>
              <w:t xml:space="preserve">L.3 JSON canónico del árbol A-PROB (ARBOL_5_SGR_CONV56_AIRE.json)</w:t>
            </w:r>
            <w:r>
              <w:tab/>
            </w:r>
            <w:r>
              <w:t>800</w:t>
            </w:r>
          </w:hyperlink>
        </w:p>
        <w:p>
          <w:pPr>
            <w:pStyle w:val="TOC2"/>
            <w:tabs>
              <w:tab w:val="right" w:leader="dot" w:pos="9974"/>
            </w:tabs>
          </w:pPr>
          <w:hyperlink w:anchor="X6dbbfc97de1eb81d2985b7cf50b12f22bf5985e" w:history="1">
            <w:r>
              <w:t xml:space="preserve">Anexo M. Inventario de archivos de la sección 4</w:t>
            </w:r>
            <w:r>
              <w:tab/>
            </w:r>
            <w:r>
              <w:t>803</w:t>
            </w:r>
          </w:hyperlink>
        </w:p>
        <w:p>
          <w:pPr>
            <w:pStyle w:val="TOC2"/>
            <w:tabs>
              <w:tab w:val="right" w:leader="dot" w:pos="9974"/>
            </w:tabs>
          </w:pPr>
          <w:hyperlink w:anchor="X51142eda916ed7f346e503ff5e323db8f4f3ce2" w:history="1">
            <w:r>
              <w:t xml:space="preserve">Anexo N. Correspondencia con el Anexo 2 de la convocatoria</w:t>
            </w:r>
            <w:r>
              <w:tab/>
            </w:r>
            <w:r>
              <w:t>810</w:t>
            </w:r>
          </w:hyperlink>
        </w:p>
        <w:p>
          <w:pPr>
            <w:pStyle w:val="TOC1"/>
            <w:tabs>
              <w:tab w:val="right" w:leader="dot" w:pos="9974"/>
            </w:tabs>
          </w:pPr>
          <w:hyperlink w:anchor="_Toc00900292" w:history="1">
            <w:r>
              <w:t xml:space="preserve">Capítulo 21. Project Charter</w:t>
            </w:r>
            <w:r>
              <w:tab/>
            </w:r>
            <w:r>
              <w:t>818</w:t>
            </w:r>
          </w:hyperlink>
        </w:p>
        <w:p>
          <w:pPr>
            <w:pStyle w:val="TOC2"/>
            <w:tabs>
              <w:tab w:val="right" w:leader="dot" w:pos="9974"/>
            </w:tabs>
          </w:pPr>
          <w:hyperlink w:anchor="_Toc00900293" w:history="1">
            <w:r>
              <w:t xml:space="preserve">21.1 Información General</w:t>
            </w:r>
            <w:r>
              <w:tab/>
            </w:r>
            <w:r>
              <w:t>819</w:t>
            </w:r>
          </w:hyperlink>
        </w:p>
        <w:p>
          <w:pPr>
            <w:pStyle w:val="TOC2"/>
            <w:tabs>
              <w:tab w:val="right" w:leader="dot" w:pos="9974"/>
            </w:tabs>
          </w:pPr>
          <w:hyperlink w:anchor="_Toc00900294" w:history="1">
            <w:r>
              <w:t xml:space="preserve">21.2 Caso de Negocio</w:t>
            </w:r>
            <w:r>
              <w:tab/>
            </w:r>
            <w:r>
              <w:t>820</w:t>
            </w:r>
          </w:hyperlink>
        </w:p>
        <w:p>
          <w:pPr>
            <w:pStyle w:val="TOC2"/>
            <w:tabs>
              <w:tab w:val="right" w:leader="dot" w:pos="9974"/>
            </w:tabs>
          </w:pPr>
          <w:hyperlink w:anchor="_Toc00900295" w:history="1">
            <w:r>
              <w:t xml:space="preserve">21.3 Descripción del Proyecto</w:t>
            </w:r>
            <w:r>
              <w:tab/>
            </w:r>
            <w:r>
              <w:t>821</w:t>
            </w:r>
          </w:hyperlink>
        </w:p>
        <w:p>
          <w:pPr>
            <w:pStyle w:val="TOC2"/>
            <w:tabs>
              <w:tab w:val="right" w:leader="dot" w:pos="9974"/>
            </w:tabs>
          </w:pPr>
          <w:hyperlink w:anchor="_Toc00900296" w:history="1">
            <w:r>
              <w:t xml:space="preserve">21.4 Objetivos Medibles</w:t>
            </w:r>
            <w:r>
              <w:tab/>
            </w:r>
            <w:r>
              <w:t>822</w:t>
            </w:r>
          </w:hyperlink>
        </w:p>
        <w:p>
          <w:pPr>
            <w:pStyle w:val="TOC2"/>
            <w:tabs>
              <w:tab w:val="right" w:leader="dot" w:pos="9974"/>
            </w:tabs>
          </w:pPr>
          <w:hyperlink w:anchor="_Toc00900297" w:history="1">
            <w:r>
              <w:t xml:space="preserve">21.5 Alcance y Exclusiones</w:t>
            </w:r>
            <w:r>
              <w:tab/>
            </w:r>
            <w:r>
              <w:t>823</w:t>
            </w:r>
          </w:hyperlink>
        </w:p>
        <w:p>
          <w:pPr>
            <w:pStyle w:val="TOC2"/>
            <w:tabs>
              <w:tab w:val="right" w:leader="dot" w:pos="9974"/>
            </w:tabs>
          </w:pPr>
          <w:hyperlink w:anchor="_Toc00900298" w:history="1">
            <w:r>
              <w:t xml:space="preserve">21.6 Riesgos de Alto Nivel</w:t>
            </w:r>
            <w:r>
              <w:tab/>
            </w:r>
            <w:r>
              <w:t>824</w:t>
            </w:r>
          </w:hyperlink>
        </w:p>
        <w:p>
          <w:pPr>
            <w:pStyle w:val="TOC2"/>
            <w:tabs>
              <w:tab w:val="right" w:leader="dot" w:pos="9974"/>
            </w:tabs>
          </w:pPr>
          <w:hyperlink w:anchor="_Toc00900299" w:history="1">
            <w:r>
              <w:t xml:space="preserve">21.7 Hitos Principales</w:t>
            </w:r>
            <w:r>
              <w:tab/>
            </w:r>
            <w:r>
              <w:t>825</w:t>
            </w:r>
          </w:hyperlink>
        </w:p>
        <w:p>
          <w:pPr>
            <w:pStyle w:val="TOC2"/>
            <w:tabs>
              <w:tab w:val="right" w:leader="dot" w:pos="9974"/>
            </w:tabs>
          </w:pPr>
          <w:hyperlink w:anchor="_Toc00900300" w:history="1">
            <w:r>
              <w:t xml:space="preserve">21.8 Presupuesto Resumido</w:t>
            </w:r>
            <w:r>
              <w:tab/>
            </w:r>
            <w:r>
              <w:t>826</w:t>
            </w:r>
          </w:hyperlink>
        </w:p>
        <w:p>
          <w:pPr>
            <w:pStyle w:val="TOC2"/>
            <w:tabs>
              <w:tab w:val="right" w:leader="dot" w:pos="9974"/>
            </w:tabs>
          </w:pPr>
          <w:hyperlink w:anchor="_Toc00900301" w:history="1">
            <w:r>
              <w:t xml:space="preserve">21.9 Stakeholders Clave</w:t>
            </w:r>
            <w:r>
              <w:tab/>
            </w:r>
            <w:r>
              <w:t>827</w:t>
            </w:r>
          </w:hyperlink>
        </w:p>
        <w:p>
          <w:pPr>
            <w:pStyle w:val="TOC2"/>
            <w:tabs>
              <w:tab w:val="right" w:leader="dot" w:pos="9974"/>
            </w:tabs>
          </w:pPr>
          <w:hyperlink w:anchor="_Toc00900302" w:history="1">
            <w:r>
              <w:t xml:space="preserve">21.10 Autorización</w:t>
            </w:r>
            <w:r>
              <w:tab/>
            </w:r>
            <w:r>
              <w:t>829</w:t>
            </w:r>
          </w:hyperlink>
        </w:p>
        <w:p>
          <w:pPr>
            <w:pStyle w:val="TOC1"/>
            <w:tabs>
              <w:tab w:val="right" w:leader="dot" w:pos="9974"/>
            </w:tabs>
          </w:pPr>
          <w:hyperlink w:anchor="_Toc00900303" w:history="1">
            <w:r>
              <w:t xml:space="preserve">Documento 1000X-01. Resumen ejecutivo</w:t>
            </w:r>
            <w:r>
              <w:tab/>
            </w:r>
            <w:r>
              <w:t>829</w:t>
            </w:r>
          </w:hyperlink>
        </w:p>
        <w:p>
          <w:pPr>
            <w:pStyle w:val="TOC2"/>
            <w:tabs>
              <w:tab w:val="right" w:leader="dot" w:pos="9974"/>
            </w:tabs>
          </w:pPr>
          <w:hyperlink w:anchor="_Toc00900304" w:history="1">
            <w:r>
              <w:t xml:space="preserve">X1.1 El problema</w:t>
            </w:r>
            <w:r>
              <w:tab/>
            </w:r>
            <w:r>
              <w:t>829</w:t>
            </w:r>
          </w:hyperlink>
        </w:p>
        <w:p>
          <w:pPr>
            <w:pStyle w:val="TOC2"/>
            <w:tabs>
              <w:tab w:val="right" w:leader="dot" w:pos="9974"/>
            </w:tabs>
          </w:pPr>
          <w:hyperlink w:anchor="_Toc00900305" w:history="1">
            <w:r>
              <w:t xml:space="preserve">X1.2 La solución</w:t>
            </w:r>
            <w:r>
              <w:tab/>
            </w:r>
            <w:r>
              <w:t>830</w:t>
            </w:r>
          </w:hyperlink>
        </w:p>
        <w:p>
          <w:pPr>
            <w:pStyle w:val="TOC2"/>
            <w:tabs>
              <w:tab w:val="right" w:leader="dot" w:pos="9974"/>
            </w:tabs>
          </w:pPr>
          <w:hyperlink w:anchor="_Toc00900306" w:history="1">
            <w:r>
              <w:t xml:space="preserve">X1.3 Resultados esperados</w:t>
            </w:r>
            <w:r>
              <w:tab/>
            </w:r>
            <w:r>
              <w:t>830</w:t>
            </w:r>
          </w:hyperlink>
        </w:p>
        <w:p>
          <w:pPr>
            <w:pStyle w:val="TOC2"/>
            <w:tabs>
              <w:tab w:val="right" w:leader="dot" w:pos="9974"/>
            </w:tabs>
          </w:pPr>
          <w:hyperlink w:anchor="_Toc00900307" w:history="1">
            <w:r>
              <w:t xml:space="preserve">X1.4 Capacidades del equipo</w:t>
            </w:r>
            <w:r>
              <w:tab/>
            </w:r>
            <w:r>
              <w:t>830</w:t>
            </w:r>
          </w:hyperlink>
        </w:p>
        <w:p>
          <w:pPr>
            <w:pStyle w:val="TOC2"/>
            <w:tabs>
              <w:tab w:val="right" w:leader="dot" w:pos="9974"/>
            </w:tabs>
          </w:pPr>
          <w:hyperlink w:anchor="_Toc00900308" w:history="1">
            <w:r>
              <w:t xml:space="preserve">X1.5 Recursos y tiempo</w:t>
            </w:r>
            <w:r>
              <w:tab/>
            </w:r>
            <w:r>
              <w:t>831</w:t>
            </w:r>
          </w:hyperlink>
        </w:p>
        <w:p>
          <w:pPr>
            <w:pStyle w:val="TOC2"/>
            <w:tabs>
              <w:tab w:val="right" w:leader="dot" w:pos="9974"/>
            </w:tabs>
          </w:pPr>
          <w:hyperlink w:anchor="_Toc00900309" w:history="1">
            <w:r>
              <w:t xml:space="preserve">X1.6 Sostenibilidad</w:t>
            </w:r>
            <w:r>
              <w:tab/>
            </w:r>
            <w:r>
              <w:t>831</w:t>
            </w:r>
          </w:hyperlink>
        </w:p>
        <w:p>
          <w:pPr>
            <w:pStyle w:val="TOC2"/>
            <w:tabs>
              <w:tab w:val="right" w:leader="dot" w:pos="9974"/>
            </w:tabs>
          </w:pPr>
          <w:hyperlink w:anchor="_Toc00900310" w:history="1">
            <w:r>
              <w:t xml:space="preserve">X1.7 Datos clave</w:t>
            </w:r>
            <w:r>
              <w:tab/>
            </w:r>
            <w:r>
              <w:t>831</w:t>
            </w:r>
          </w:hyperlink>
        </w:p>
        <w:p>
          <w:pPr>
            <w:pStyle w:val="TOC1"/>
            <w:tabs>
              <w:tab w:val="right" w:leader="dot" w:pos="9974"/>
            </w:tabs>
          </w:pPr>
          <w:hyperlink w:anchor="_Toc00900311" w:history="1">
            <w:r>
              <w:t xml:space="preserve">Documento 1000X-02. One-pager</w:t>
            </w:r>
            <w:r>
              <w:tab/>
            </w:r>
            <w:r>
              <w:t>832</w:t>
            </w:r>
          </w:hyperlink>
        </w:p>
        <w:p>
          <w:pPr>
            <w:pStyle w:val="TOC2"/>
            <w:tabs>
              <w:tab w:val="right" w:leader="dot" w:pos="9974"/>
            </w:tabs>
          </w:pPr>
          <w:hyperlink w:anchor="_Toc00900312" w:history="1">
            <w:r>
              <w:t xml:space="preserve">X2.1 Encabezado</w:t>
            </w:r>
            <w:r>
              <w:tab/>
            </w:r>
            <w:r>
              <w:t>832</w:t>
            </w:r>
          </w:hyperlink>
        </w:p>
        <w:p>
          <w:pPr>
            <w:pStyle w:val="TOC2"/>
            <w:tabs>
              <w:tab w:val="right" w:leader="dot" w:pos="9974"/>
            </w:tabs>
          </w:pPr>
          <w:hyperlink w:anchor="_Toc00900313" w:history="1">
            <w:r>
              <w:t xml:space="preserve">X2.2 Problema</w:t>
            </w:r>
            <w:r>
              <w:tab/>
            </w:r>
            <w:r>
              <w:t>832</w:t>
            </w:r>
          </w:hyperlink>
        </w:p>
        <w:p>
          <w:pPr>
            <w:pStyle w:val="TOC2"/>
            <w:tabs>
              <w:tab w:val="right" w:leader="dot" w:pos="9974"/>
            </w:tabs>
          </w:pPr>
          <w:hyperlink w:anchor="_Toc00900314" w:history="1">
            <w:r>
              <w:t xml:space="preserve">X2.3 Solución</w:t>
            </w:r>
            <w:r>
              <w:tab/>
            </w:r>
            <w:r>
              <w:t>832</w:t>
            </w:r>
          </w:hyperlink>
        </w:p>
        <w:p>
          <w:pPr>
            <w:pStyle w:val="TOC2"/>
            <w:tabs>
              <w:tab w:val="right" w:leader="dot" w:pos="9974"/>
            </w:tabs>
          </w:pPr>
          <w:hyperlink w:anchor="_Toc00900315" w:history="1">
            <w:r>
              <w:t xml:space="preserve">X2.4 Innovación</w:t>
            </w:r>
            <w:r>
              <w:tab/>
            </w:r>
            <w:r>
              <w:t>833</w:t>
            </w:r>
          </w:hyperlink>
        </w:p>
        <w:p>
          <w:pPr>
            <w:pStyle w:val="TOC2"/>
            <w:tabs>
              <w:tab w:val="right" w:leader="dot" w:pos="9974"/>
            </w:tabs>
          </w:pPr>
          <w:hyperlink w:anchor="_Toc00900316" w:history="1">
            <w:r>
              <w:t xml:space="preserve">X2.5 Resultados clave</w:t>
            </w:r>
            <w:r>
              <w:tab/>
            </w:r>
            <w:r>
              <w:t>833</w:t>
            </w:r>
          </w:hyperlink>
        </w:p>
        <w:p>
          <w:pPr>
            <w:pStyle w:val="TOC2"/>
            <w:tabs>
              <w:tab w:val="right" w:leader="dot" w:pos="9974"/>
            </w:tabs>
          </w:pPr>
          <w:hyperlink w:anchor="_Toc00900317" w:history="1">
            <w:r>
              <w:t xml:space="preserve">X2.6 Impacto</w:t>
            </w:r>
            <w:r>
              <w:tab/>
            </w:r>
            <w:r>
              <w:t>833</w:t>
            </w:r>
          </w:hyperlink>
        </w:p>
        <w:p>
          <w:pPr>
            <w:pStyle w:val="TOC2"/>
            <w:tabs>
              <w:tab w:val="right" w:leader="dot" w:pos="9974"/>
            </w:tabs>
          </w:pPr>
          <w:hyperlink w:anchor="_Toc00900318" w:history="1">
            <w:r>
              <w:t xml:space="preserve">X2.7 Equipo</w:t>
            </w:r>
            <w:r>
              <w:tab/>
            </w:r>
            <w:r>
              <w:t>834</w:t>
            </w:r>
          </w:hyperlink>
        </w:p>
        <w:p>
          <w:pPr>
            <w:pStyle w:val="TOC2"/>
            <w:tabs>
              <w:tab w:val="right" w:leader="dot" w:pos="9974"/>
            </w:tabs>
          </w:pPr>
          <w:hyperlink w:anchor="_Toc00900319" w:history="1">
            <w:r>
              <w:t xml:space="preserve">X2.8 Cifras de pie</w:t>
            </w:r>
            <w:r>
              <w:tab/>
            </w:r>
            <w:r>
              <w:t>834</w:t>
            </w:r>
          </w:hyperlink>
        </w:p>
        <w:p>
          <w:pPr>
            <w:pStyle w:val="TOC1"/>
            <w:tabs>
              <w:tab w:val="right" w:leader="dot" w:pos="9974"/>
            </w:tabs>
          </w:pPr>
          <w:hyperlink w:anchor="_Toc00900320" w:history="1">
            <w:r>
              <w:t xml:space="preserve">Documento 1000X-03. Pitch deck</w:t>
            </w:r>
            <w:r>
              <w:tab/>
            </w:r>
            <w:r>
              <w:t>834</w:t>
            </w:r>
          </w:hyperlink>
        </w:p>
        <w:p>
          <w:pPr>
            <w:pStyle w:val="TOC2"/>
            <w:tabs>
              <w:tab w:val="right" w:leader="dot" w:pos="9974"/>
            </w:tabs>
          </w:pPr>
          <w:hyperlink w:anchor="_Toc00900321" w:history="1">
            <w:r>
              <w:t xml:space="preserve">X3.1 Estructura de las 15 diapositivas</w:t>
            </w:r>
            <w:r>
              <w:tab/>
            </w:r>
            <w:r>
              <w:t>834</w:t>
            </w:r>
          </w:hyperlink>
        </w:p>
        <w:p>
          <w:pPr>
            <w:pStyle w:val="TOC1"/>
            <w:tabs>
              <w:tab w:val="right" w:leader="dot" w:pos="9974"/>
            </w:tabs>
          </w:pPr>
          <w:hyperlink w:anchor="X6944cc304dd99182a757dc915bf28eb87d2c419" w:history="1">
            <w:r>
              <w:t xml:space="preserve">Documento 1000X-04. Capítulo de estrategia</w:t>
            </w:r>
            <w:r>
              <w:tab/>
            </w:r>
            <w:r>
              <w:t>838</w:t>
            </w:r>
          </w:hyperlink>
        </w:p>
        <w:p>
          <w:pPr>
            <w:pStyle w:val="TOC2"/>
            <w:tabs>
              <w:tab w:val="right" w:leader="dot" w:pos="9974"/>
            </w:tabs>
          </w:pPr>
          <w:hyperlink w:anchor="_Toc00900322" w:history="1">
            <w:r>
              <w:t xml:space="preserve">Introducción</w:t>
            </w:r>
            <w:r>
              <w:tab/>
            </w:r>
            <w:r>
              <w:t>838</w:t>
            </w:r>
          </w:hyperlink>
        </w:p>
        <w:p>
          <w:pPr>
            <w:pStyle w:val="TOC2"/>
            <w:tabs>
              <w:tab w:val="right" w:leader="dot" w:pos="9974"/>
            </w:tabs>
          </w:pPr>
          <w:hyperlink w:anchor="X5898fb0d02097dcfbd95311e2921fe9b21dee3c" w:history="1">
            <w:r>
              <w:t xml:space="preserve">E1 Posicionamiento estratégico según Christensen</w:t>
            </w:r>
            <w:r>
              <w:tab/>
            </w:r>
            <w:r>
              <w:t>838</w:t>
            </w:r>
          </w:hyperlink>
        </w:p>
        <w:p>
          <w:pPr>
            <w:pStyle w:val="TOC3"/>
            <w:tabs>
              <w:tab w:val="right" w:leader="dot" w:pos="9974"/>
            </w:tabs>
          </w:pPr>
          <w:hyperlink w:anchor="Xb093905903caacff1854af3f92e99c8174933b4" w:history="1">
            <w:r>
              <w:t xml:space="preserve">E1.1 Teoría de la innovación por disrupción</w:t>
            </w:r>
            <w:r>
              <w:tab/>
            </w:r>
            <w:r>
              <w:t>838</w:t>
            </w:r>
          </w:hyperlink>
        </w:p>
        <w:p>
          <w:pPr>
            <w:pStyle w:val="TOC3"/>
            <w:tabs>
              <w:tab w:val="right" w:leader="dot" w:pos="9974"/>
            </w:tabs>
          </w:pPr>
          <w:hyperlink w:anchor="_Toc00900323" w:history="1">
            <w:r>
              <w:t xml:space="preserve">E1.2 Clasificación del proyecto</w:t>
            </w:r>
            <w:r>
              <w:tab/>
            </w:r>
            <w:r>
              <w:t>839</w:t>
            </w:r>
          </w:hyperlink>
        </w:p>
        <w:p>
          <w:pPr>
            <w:pStyle w:val="TOC3"/>
            <w:tabs>
              <w:tab w:val="right" w:leader="dot" w:pos="9974"/>
            </w:tabs>
          </w:pPr>
          <w:hyperlink w:anchor="X260e621b525eff864eb4a0928575dfb48f234e4" w:history="1">
            <w:r>
              <w:t xml:space="preserve">E1.3 Trabajos por realizar (Jobs to be Done)</w:t>
            </w:r>
            <w:r>
              <w:tab/>
            </w:r>
            <w:r>
              <w:t>843</w:t>
            </w:r>
          </w:hyperlink>
        </w:p>
        <w:p>
          <w:pPr>
            <w:pStyle w:val="TOC3"/>
            <w:tabs>
              <w:tab w:val="right" w:leader="dot" w:pos="9974"/>
            </w:tabs>
          </w:pPr>
          <w:hyperlink w:anchor="_Toc00900324" w:history="1">
            <w:r>
              <w:t xml:space="preserve">E1.4 Implicaciones estratégicas</w:t>
            </w:r>
            <w:r>
              <w:tab/>
            </w:r>
            <w:r>
              <w:t>846</w:t>
            </w:r>
          </w:hyperlink>
        </w:p>
        <w:p>
          <w:pPr>
            <w:pStyle w:val="TOC2"/>
            <w:tabs>
              <w:tab w:val="right" w:leader="dot" w:pos="9974"/>
            </w:tabs>
          </w:pPr>
          <w:hyperlink w:anchor="_Toc00900325" w:history="1">
            <w:r>
              <w:t xml:space="preserve">E2 Gestión del cambio según Kotter</w:t>
            </w:r>
            <w:r>
              <w:tab/>
            </w:r>
            <w:r>
              <w:t>847</w:t>
            </w:r>
          </w:hyperlink>
        </w:p>
        <w:p>
          <w:pPr>
            <w:pStyle w:val="TOC3"/>
            <w:tabs>
              <w:tab w:val="right" w:leader="dot" w:pos="9974"/>
            </w:tabs>
          </w:pPr>
          <w:hyperlink w:anchor="_Toc00900326" w:history="1">
            <w:r>
              <w:t xml:space="preserve">E2.1 Modelo de ocho pasos de Kotter</w:t>
            </w:r>
            <w:r>
              <w:tab/>
            </w:r>
            <w:r>
              <w:t>847</w:t>
            </w:r>
          </w:hyperlink>
        </w:p>
        <w:p>
          <w:pPr>
            <w:pStyle w:val="TOC3"/>
            <w:tabs>
              <w:tab w:val="right" w:leader="dot" w:pos="9974"/>
            </w:tabs>
          </w:pPr>
          <w:hyperlink w:anchor="_Toc00900327" w:history="1">
            <w:r>
              <w:t xml:space="preserve">E2.2 Aplicación al proyecto</w:t>
            </w:r>
            <w:r>
              <w:tab/>
            </w:r>
            <w:r>
              <w:t>849</w:t>
            </w:r>
          </w:hyperlink>
        </w:p>
        <w:p>
          <w:pPr>
            <w:pStyle w:val="TOC3"/>
            <w:tabs>
              <w:tab w:val="right" w:leader="dot" w:pos="9974"/>
            </w:tabs>
          </w:pPr>
          <w:hyperlink w:anchor="_Toc00900328" w:history="1">
            <w:r>
              <w:t xml:space="preserve">E2.3 Estrategia de victorias tempranas</w:t>
            </w:r>
            <w:r>
              <w:tab/>
            </w:r>
            <w:r>
              <w:t>851</w:t>
            </w:r>
          </w:hyperlink>
        </w:p>
        <w:p>
          <w:pPr>
            <w:pStyle w:val="TOC3"/>
            <w:tabs>
              <w:tab w:val="right" w:leader="dot" w:pos="9974"/>
            </w:tabs>
          </w:pPr>
          <w:hyperlink w:anchor="_Toc00900329" w:history="1">
            <w:r>
              <w:t xml:space="preserve">E2.4 Coalición guía</w:t>
            </w:r>
            <w:r>
              <w:tab/>
            </w:r>
            <w:r>
              <w:t>853</w:t>
            </w:r>
          </w:hyperlink>
        </w:p>
        <w:p>
          <w:pPr>
            <w:pStyle w:val="TOC2"/>
            <w:tabs>
              <w:tab w:val="right" w:leader="dot" w:pos="9974"/>
            </w:tabs>
          </w:pPr>
          <w:hyperlink w:anchor="X257088da1f13bf00c44a1ab95fff67d6f9d61e5" w:history="1">
            <w:r>
              <w:t xml:space="preserve">E3 Aprendizaje organizacional según Argyris</w:t>
            </w:r>
            <w:r>
              <w:tab/>
            </w:r>
            <w:r>
              <w:t>854</w:t>
            </w:r>
          </w:hyperlink>
        </w:p>
        <w:p>
          <w:pPr>
            <w:pStyle w:val="TOC3"/>
            <w:tabs>
              <w:tab w:val="right" w:leader="dot" w:pos="9974"/>
            </w:tabs>
          </w:pPr>
          <w:hyperlink w:anchor="_Toc00900330" w:history="1">
            <w:r>
              <w:t xml:space="preserve">E3.1 Bucle simple y bucle doble</w:t>
            </w:r>
            <w:r>
              <w:tab/>
            </w:r>
            <w:r>
              <w:t>854</w:t>
            </w:r>
          </w:hyperlink>
        </w:p>
        <w:p>
          <w:pPr>
            <w:pStyle w:val="TOC3"/>
            <w:tabs>
              <w:tab w:val="right" w:leader="dot" w:pos="9974"/>
            </w:tabs>
          </w:pPr>
          <w:hyperlink w:anchor="X413d7e17be6db8628ab8cb14e344ae5d3a4b779" w:history="1">
            <w:r>
              <w:t xml:space="preserve">E3.2 Mecanismos de aprendizaje del proyecto</w:t>
            </w:r>
            <w:r>
              <w:tab/>
            </w:r>
            <w:r>
              <w:t>855</w:t>
            </w:r>
          </w:hyperlink>
        </w:p>
        <w:p>
          <w:pPr>
            <w:pStyle w:val="TOC3"/>
            <w:tabs>
              <w:tab w:val="right" w:leader="dot" w:pos="9974"/>
            </w:tabs>
          </w:pPr>
          <w:hyperlink w:anchor="_Toc00900331" w:history="1">
            <w:r>
              <w:t xml:space="preserve">E3.3 Preguntas de doble bucle</w:t>
            </w:r>
            <w:r>
              <w:tab/>
            </w:r>
            <w:r>
              <w:t>857</w:t>
            </w:r>
          </w:hyperlink>
        </w:p>
        <w:p>
          <w:pPr>
            <w:pStyle w:val="TOC3"/>
            <w:tabs>
              <w:tab w:val="right" w:leader="dot" w:pos="9974"/>
            </w:tabs>
          </w:pPr>
          <w:hyperlink w:anchor="_Toc00900332" w:history="1">
            <w:r>
              <w:t xml:space="preserve">E3.4 Rutinas defensivas y su mitigación</w:t>
            </w:r>
            <w:r>
              <w:tab/>
            </w:r>
            <w:r>
              <w:t>858</w:t>
            </w:r>
          </w:hyperlink>
        </w:p>
        <w:p>
          <w:pPr>
            <w:pStyle w:val="TOC3"/>
            <w:tabs>
              <w:tab w:val="right" w:leader="dot" w:pos="9974"/>
            </w:tabs>
          </w:pPr>
          <w:hyperlink w:anchor="X5865324d865a256ea97b98d60bedf945abd3bc2" w:history="1">
            <w:r>
              <w:t xml:space="preserve">E3.5 Indicadores de aprendizaje organizacional</w:t>
            </w:r>
            <w:r>
              <w:tab/>
            </w:r>
            <w:r>
              <w:t>859</w:t>
            </w:r>
          </w:hyperlink>
        </w:p>
        <w:p>
          <w:pPr>
            <w:pStyle w:val="TOC2"/>
            <w:tabs>
              <w:tab w:val="right" w:leader="dot" w:pos="9974"/>
            </w:tabs>
          </w:pPr>
          <w:hyperlink w:anchor="_Toc00900333" w:history="1">
            <w:r>
              <w:t xml:space="preserve">E4 Premortem estratégico</w:t>
            </w:r>
            <w:r>
              <w:tab/>
            </w:r>
            <w:r>
              <w:t>860</w:t>
            </w:r>
          </w:hyperlink>
        </w:p>
        <w:p>
          <w:pPr>
            <w:pStyle w:val="TOC3"/>
            <w:tabs>
              <w:tab w:val="right" w:leader="dot" w:pos="9974"/>
            </w:tabs>
          </w:pPr>
          <w:hyperlink w:anchor="_Toc00900334" w:history="1">
            <w:r>
              <w:t xml:space="preserve">E4.1 Metodología del premortem</w:t>
            </w:r>
            <w:r>
              <w:tab/>
            </w:r>
            <w:r>
              <w:t>860</w:t>
            </w:r>
          </w:hyperlink>
        </w:p>
        <w:p>
          <w:pPr>
            <w:pStyle w:val="TOC3"/>
            <w:tabs>
              <w:tab w:val="right" w:leader="dot" w:pos="9974"/>
            </w:tabs>
          </w:pPr>
          <w:hyperlink w:anchor="_Toc00900335" w:history="1">
            <w:r>
              <w:t xml:space="preserve">E4.2 Ejercicio de premortem</w:t>
            </w:r>
            <w:r>
              <w:tab/>
            </w:r>
            <w:r>
              <w:t>861</w:t>
            </w:r>
          </w:hyperlink>
        </w:p>
        <w:p>
          <w:pPr>
            <w:pStyle w:val="TOC3"/>
            <w:tabs>
              <w:tab w:val="right" w:leader="dot" w:pos="9974"/>
            </w:tabs>
          </w:pPr>
          <w:hyperlink w:anchor="X4dfc0520e4c0a7e4661fc7df61678a107e286dc" w:history="1">
            <w:r>
              <w:t xml:space="preserve">E4.3 Plan de contingencia por causa crítica</w:t>
            </w:r>
            <w:r>
              <w:tab/>
            </w:r>
            <w:r>
              <w:t>866</w:t>
            </w:r>
          </w:hyperlink>
        </w:p>
        <w:p>
          <w:pPr>
            <w:pStyle w:val="TOC2"/>
            <w:tabs>
              <w:tab w:val="right" w:leader="dot" w:pos="9974"/>
            </w:tabs>
          </w:pPr>
          <w:hyperlink w:anchor="_Toc00900336" w:history="1">
            <w:r>
              <w:t xml:space="preserve">E5 Escenarios estratégicos</w:t>
            </w:r>
            <w:r>
              <w:tab/>
            </w:r>
            <w:r>
              <w:t>869</w:t>
            </w:r>
          </w:hyperlink>
        </w:p>
        <w:p>
          <w:pPr>
            <w:pStyle w:val="TOC3"/>
            <w:tabs>
              <w:tab w:val="right" w:leader="dot" w:pos="9974"/>
            </w:tabs>
          </w:pPr>
          <w:hyperlink w:anchor="_Toc00900337" w:history="1">
            <w:r>
              <w:t xml:space="preserve">E5.1 Metodología de escenarios</w:t>
            </w:r>
            <w:r>
              <w:tab/>
            </w:r>
            <w:r>
              <w:t>869</w:t>
            </w:r>
          </w:hyperlink>
        </w:p>
        <w:p>
          <w:pPr>
            <w:pStyle w:val="TOC3"/>
            <w:tabs>
              <w:tab w:val="right" w:leader="dot" w:pos="9974"/>
            </w:tabs>
          </w:pPr>
          <w:hyperlink w:anchor="_Toc00900338" w:history="1">
            <w:r>
              <w:t xml:space="preserve">E5.2 Escenario optimista</w:t>
            </w:r>
            <w:r>
              <w:tab/>
            </w:r>
            <w:r>
              <w:t>871</w:t>
            </w:r>
          </w:hyperlink>
        </w:p>
        <w:p>
          <w:pPr>
            <w:pStyle w:val="TOC3"/>
            <w:tabs>
              <w:tab w:val="right" w:leader="dot" w:pos="9974"/>
            </w:tabs>
          </w:pPr>
          <w:hyperlink w:anchor="_Toc00900339" w:history="1">
            <w:r>
              <w:t xml:space="preserve">E5.3 Escenario base</w:t>
            </w:r>
            <w:r>
              <w:tab/>
            </w:r>
            <w:r>
              <w:t>872</w:t>
            </w:r>
          </w:hyperlink>
        </w:p>
        <w:p>
          <w:pPr>
            <w:pStyle w:val="TOC3"/>
            <w:tabs>
              <w:tab w:val="right" w:leader="dot" w:pos="9974"/>
            </w:tabs>
          </w:pPr>
          <w:hyperlink w:anchor="_Toc00900340" w:history="1">
            <w:r>
              <w:t xml:space="preserve">E5.4 Escenario pesimista</w:t>
            </w:r>
            <w:r>
              <w:tab/>
            </w:r>
            <w:r>
              <w:t>874</w:t>
            </w:r>
          </w:hyperlink>
        </w:p>
        <w:p>
          <w:pPr>
            <w:pStyle w:val="TOC3"/>
            <w:tabs>
              <w:tab w:val="right" w:leader="dot" w:pos="9974"/>
            </w:tabs>
          </w:pPr>
          <w:hyperlink w:anchor="_Toc00900341" w:history="1">
            <w:r>
              <w:t xml:space="preserve">E5.5 Escenario de disrupción</w:t>
            </w:r>
            <w:r>
              <w:tab/>
            </w:r>
            <w:r>
              <w:t>875</w:t>
            </w:r>
          </w:hyperlink>
        </w:p>
        <w:p>
          <w:pPr>
            <w:pStyle w:val="TOC2"/>
            <w:tabs>
              <w:tab w:val="right" w:leader="dot" w:pos="9974"/>
            </w:tabs>
          </w:pPr>
          <w:hyperlink w:anchor="_Toc00900342" w:history="1">
            <w:r>
              <w:t xml:space="preserve">E6 Síntesis estratégica</w:t>
            </w:r>
            <w:r>
              <w:tab/>
            </w:r>
            <w:r>
              <w:t>876</w:t>
            </w:r>
          </w:hyperlink>
        </w:p>
        <w:p>
          <w:pPr>
            <w:pStyle w:val="TOC3"/>
            <w:tabs>
              <w:tab w:val="right" w:leader="dot" w:pos="9974"/>
            </w:tabs>
          </w:pPr>
          <w:hyperlink w:anchor="_Toc00900343" w:history="1">
            <w:r>
              <w:t xml:space="preserve">E6.1 Mapa estratégico integrado</w:t>
            </w:r>
            <w:r>
              <w:tab/>
            </w:r>
            <w:r>
              <w:t>876</w:t>
            </w:r>
          </w:hyperlink>
        </w:p>
        <w:p>
          <w:pPr>
            <w:pStyle w:val="TOC3"/>
            <w:tabs>
              <w:tab w:val="right" w:leader="dot" w:pos="9974"/>
            </w:tabs>
          </w:pPr>
          <w:hyperlink w:anchor="_Toc00900344" w:history="1">
            <w:r>
              <w:t xml:space="preserve">E6.2 Indicadores estratégicos clave</w:t>
            </w:r>
            <w:r>
              <w:tab/>
            </w:r>
            <w:r>
              <w:t>878</w:t>
            </w:r>
          </w:hyperlink>
        </w:p>
        <w:p>
          <w:pPr>
            <w:pStyle w:val="TOC3"/>
            <w:tabs>
              <w:tab w:val="right" w:leader="dot" w:pos="9974"/>
            </w:tabs>
          </w:pPr>
          <w:hyperlink w:anchor="_Toc00900345" w:history="1">
            <w:r>
              <w:t xml:space="preserve">E6.3 Conclusiones del capítulo</w:t>
            </w:r>
            <w:r>
              <w:tab/>
            </w:r>
            <w:r>
              <w:t>880</w:t>
            </w:r>
          </w:hyperlink>
        </w:p>
        <w:p>
          <w:pPr>
            <w:pStyle w:val="TOC1"/>
            <w:tabs>
              <w:tab w:val="right" w:leader="dot" w:pos="9974"/>
            </w:tabs>
          </w:pPr>
          <w:hyperlink w:anchor="_Toc00900346" w:history="1">
            <w:r>
              <w:t xml:space="preserve">Documento 1000X-05. Modelo de negocio</w:t>
            </w:r>
            <w:r>
              <w:tab/>
            </w:r>
            <w:r>
              <w:t>881</w:t>
            </w:r>
          </w:hyperlink>
        </w:p>
        <w:p>
          <w:pPr>
            <w:pStyle w:val="TOC2"/>
            <w:tabs>
              <w:tab w:val="right" w:leader="dot" w:pos="9974"/>
            </w:tabs>
          </w:pPr>
          <w:hyperlink w:anchor="_Toc00900347" w:history="1">
            <w:r>
              <w:t xml:space="preserve">X5.1 Modelo de valor público</w:t>
            </w:r>
            <w:r>
              <w:tab/>
            </w:r>
            <w:r>
              <w:t>881</w:t>
            </w:r>
          </w:hyperlink>
        </w:p>
        <w:p>
          <w:pPr>
            <w:pStyle w:val="TOC2"/>
            <w:tabs>
              <w:tab w:val="right" w:leader="dot" w:pos="9974"/>
            </w:tabs>
          </w:pPr>
          <w:hyperlink w:anchor="_Toc00900348" w:history="1">
            <w:r>
              <w:t xml:space="preserve">X5.2 Ingresos y financiación por fase</w:t>
            </w:r>
            <w:r>
              <w:tab/>
            </w:r>
            <w:r>
              <w:t>883</w:t>
            </w:r>
          </w:hyperlink>
        </w:p>
        <w:p>
          <w:pPr>
            <w:pStyle w:val="TOC1"/>
            <w:tabs>
              <w:tab w:val="right" w:leader="dot" w:pos="9974"/>
            </w:tabs>
          </w:pPr>
          <w:hyperlink w:anchor="_Toc00900349" w:history="1">
            <w:r>
              <w:t xml:space="preserve">Documento 1000X-06. Análisis financiero</w:t>
            </w:r>
            <w:r>
              <w:tab/>
            </w:r>
            <w:r>
              <w:t>885</w:t>
            </w:r>
          </w:hyperlink>
        </w:p>
        <w:p>
          <w:pPr>
            <w:pStyle w:val="TOC2"/>
            <w:tabs>
              <w:tab w:val="right" w:leader="dot" w:pos="9974"/>
            </w:tabs>
          </w:pPr>
          <w:hyperlink w:anchor="_Toc00900350" w:history="1">
            <w:r>
              <w:t xml:space="preserve">X6.1 Resumen de inversión</w:t>
            </w:r>
            <w:r>
              <w:tab/>
            </w:r>
            <w:r>
              <w:t>885</w:t>
            </w:r>
          </w:hyperlink>
        </w:p>
        <w:p>
          <w:pPr>
            <w:pStyle w:val="TOC2"/>
            <w:tabs>
              <w:tab w:val="right" w:leader="dot" w:pos="9974"/>
            </w:tabs>
          </w:pPr>
          <w:hyperlink w:anchor="_Toc00900351" w:history="1">
            <w:r>
              <w:t xml:space="preserve">X6.2 Análisis de costos</w:t>
            </w:r>
            <w:r>
              <w:tab/>
            </w:r>
            <w:r>
              <w:t>886</w:t>
            </w:r>
          </w:hyperlink>
        </w:p>
        <w:p>
          <w:pPr>
            <w:pStyle w:val="TOC2"/>
            <w:tabs>
              <w:tab w:val="right" w:leader="dot" w:pos="9974"/>
            </w:tabs>
          </w:pPr>
          <w:hyperlink w:anchor="X3e76c9c6173290a0cf1df6b59b07541cb65610e" w:history="1">
            <w:r>
              <w:t xml:space="preserve">X6.3 Costos unitarios y costo por output y por outcome</w:t>
            </w:r>
            <w:r>
              <w:tab/>
            </w:r>
            <w:r>
              <w:t>888</w:t>
            </w:r>
          </w:hyperlink>
        </w:p>
        <w:p>
          <w:pPr>
            <w:pStyle w:val="TOC2"/>
            <w:tabs>
              <w:tab w:val="right" w:leader="dot" w:pos="9974"/>
            </w:tabs>
          </w:pPr>
          <w:hyperlink w:anchor="_Toc00900352" w:history="1">
            <w:r>
              <w:t xml:space="preserve">X6.4 Comparación con las alternativas</w:t>
            </w:r>
            <w:r>
              <w:tab/>
            </w:r>
            <w:r>
              <w:t>889</w:t>
            </w:r>
          </w:hyperlink>
        </w:p>
        <w:p>
          <w:pPr>
            <w:pStyle w:val="TOC2"/>
            <w:tabs>
              <w:tab w:val="right" w:leader="dot" w:pos="9974"/>
            </w:tabs>
          </w:pPr>
          <w:hyperlink w:anchor="Xf14c79def039af4275dab36b4df861e78ba0a22" w:history="1">
            <w:r>
              <w:t xml:space="preserve">X6.5 Costo-beneficio e indicadores de rentabilidad</w:t>
            </w:r>
            <w:r>
              <w:tab/>
            </w:r>
            <w:r>
              <w:t>891</w:t>
            </w:r>
          </w:hyperlink>
        </w:p>
        <w:p>
          <w:pPr>
            <w:pStyle w:val="TOC2"/>
            <w:tabs>
              <w:tab w:val="right" w:leader="dot" w:pos="9974"/>
            </w:tabs>
          </w:pPr>
          <w:hyperlink w:anchor="_Toc00900353" w:history="1">
            <w:r>
              <w:t xml:space="preserve">X6.6 Análisis de sensibilidad</w:t>
            </w:r>
            <w:r>
              <w:tab/>
            </w:r>
            <w:r>
              <w:t>892</w:t>
            </w:r>
          </w:hyperlink>
        </w:p>
        <w:p>
          <w:pPr>
            <w:pStyle w:val="TOC2"/>
            <w:tabs>
              <w:tab w:val="right" w:leader="dot" w:pos="9974"/>
            </w:tabs>
          </w:pPr>
          <w:hyperlink w:anchor="_Toc00900354" w:history="1">
            <w:r>
              <w:t xml:space="preserve">X6.7 Flujo de caja semestral y curva S</w:t>
            </w:r>
            <w:r>
              <w:tab/>
            </w:r>
            <w:r>
              <w:t>894</w:t>
            </w:r>
          </w:hyperlink>
        </w:p>
        <w:p>
          <w:pPr>
            <w:pStyle w:val="TOC2"/>
            <w:tabs>
              <w:tab w:val="right" w:leader="dot" w:pos="9974"/>
            </w:tabs>
          </w:pPr>
          <w:hyperlink w:anchor="_Toc00900355" w:history="1">
            <w:r>
              <w:t xml:space="preserve">X6.8 Conclusiones financieras</w:t>
            </w:r>
            <w:r>
              <w:tab/>
            </w:r>
            <w:r>
              <w:t>895</w:t>
            </w:r>
          </w:hyperlink>
        </w:p>
        <w:p>
          <w:pPr>
            <w:pStyle w:val="TOC1"/>
            <w:tabs>
              <w:tab w:val="right" w:leader="dot" w:pos="9974"/>
            </w:tabs>
          </w:pPr>
          <w:hyperlink w:anchor="_Toc00900356" w:history="1">
            <w:r>
              <w:t xml:space="preserve">Documento 1000X-07. Roadmap tecnológico</w:t>
            </w:r>
            <w:r>
              <w:tab/>
            </w:r>
            <w:r>
              <w:t>896</w:t>
            </w:r>
          </w:hyperlink>
        </w:p>
        <w:p>
          <w:pPr>
            <w:pStyle w:val="TOC2"/>
            <w:tabs>
              <w:tab w:val="right" w:leader="dot" w:pos="9974"/>
            </w:tabs>
          </w:pPr>
          <w:hyperlink w:anchor="_Toc00900357" w:history="1">
            <w:r>
              <w:t xml:space="preserve">X7.1 Carriles y horizontes</w:t>
            </w:r>
            <w:r>
              <w:tab/>
            </w:r>
            <w:r>
              <w:t>896</w:t>
            </w:r>
          </w:hyperlink>
        </w:p>
        <w:p>
          <w:pPr>
            <w:pStyle w:val="TOC2"/>
            <w:tabs>
              <w:tab w:val="right" w:leader="dot" w:pos="9974"/>
            </w:tabs>
          </w:pPr>
          <w:hyperlink w:anchor="_Toc00900358" w:history="1">
            <w:r>
              <w:t xml:space="preserve">X7.2 Escala de madurez tecnológica</w:t>
            </w:r>
            <w:r>
              <w:tab/>
            </w:r>
            <w:r>
              <w:t>898</w:t>
            </w:r>
          </w:hyperlink>
        </w:p>
        <w:p>
          <w:pPr>
            <w:pStyle w:val="TOC1"/>
            <w:tabs>
              <w:tab w:val="right" w:leader="dot" w:pos="9974"/>
            </w:tabs>
          </w:pPr>
          <w:hyperlink w:anchor="_Toc00900359" w:history="1">
            <w:r>
              <w:t xml:space="preserve">Documento 1000X-08. Mapa de interesados</w:t>
            </w:r>
            <w:r>
              <w:tab/>
            </w:r>
            <w:r>
              <w:t>899</w:t>
            </w:r>
          </w:hyperlink>
        </w:p>
        <w:p>
          <w:pPr>
            <w:pStyle w:val="TOC2"/>
            <w:tabs>
              <w:tab w:val="right" w:leader="dot" w:pos="9974"/>
            </w:tabs>
          </w:pPr>
          <w:hyperlink w:anchor="_Toc00900360" w:history="1">
            <w:r>
              <w:t xml:space="preserve">X8.1 Identificación de los interesados</w:t>
            </w:r>
            <w:r>
              <w:tab/>
            </w:r>
            <w:r>
              <w:t>899</w:t>
            </w:r>
          </w:hyperlink>
        </w:p>
        <w:p>
          <w:pPr>
            <w:pStyle w:val="TOC2"/>
            <w:tabs>
              <w:tab w:val="right" w:leader="dot" w:pos="9974"/>
            </w:tabs>
          </w:pPr>
          <w:hyperlink w:anchor="_Toc00900361" w:history="1">
            <w:r>
              <w:t xml:space="preserve">X8.2 Análisis de poder e interés</w:t>
            </w:r>
            <w:r>
              <w:tab/>
            </w:r>
            <w:r>
              <w:t>901</w:t>
            </w:r>
          </w:hyperlink>
        </w:p>
        <w:p>
          <w:pPr>
            <w:pStyle w:val="TOC2"/>
            <w:tabs>
              <w:tab w:val="right" w:leader="dot" w:pos="9974"/>
            </w:tabs>
          </w:pPr>
          <w:hyperlink w:anchor="_Toc00900362" w:history="1">
            <w:r>
              <w:t xml:space="preserve">X8.3 Plan de gestión de interesados</w:t>
            </w:r>
            <w:r>
              <w:tab/>
            </w:r>
            <w:r>
              <w:t>903</w:t>
            </w:r>
          </w:hyperlink>
        </w:p>
        <w:p>
          <w:pPr>
            <w:pStyle w:val="TOC1"/>
            <w:tabs>
              <w:tab w:val="right" w:leader="dot" w:pos="9974"/>
            </w:tabs>
          </w:pPr>
          <w:hyperlink w:anchor="_Toc00900363" w:history="1">
            <w:r>
              <w:t xml:space="preserve">Documento 1000X-09. Tablero de riesgos</w:t>
            </w:r>
            <w:r>
              <w:tab/>
            </w:r>
            <w:r>
              <w:t>905</w:t>
            </w:r>
          </w:hyperlink>
        </w:p>
        <w:p>
          <w:pPr>
            <w:pStyle w:val="TOC2"/>
            <w:tabs>
              <w:tab w:val="right" w:leader="dot" w:pos="9974"/>
            </w:tabs>
          </w:pPr>
          <w:hyperlink w:anchor="_Toc00900364" w:history="1">
            <w:r>
              <w:t xml:space="preserve">X9.1 Semáforo e indicadores del registro</w:t>
            </w:r>
            <w:r>
              <w:tab/>
            </w:r>
            <w:r>
              <w:t>905</w:t>
            </w:r>
          </w:hyperlink>
        </w:p>
        <w:p>
          <w:pPr>
            <w:pStyle w:val="TOC2"/>
            <w:tabs>
              <w:tab w:val="right" w:leader="dot" w:pos="9974"/>
            </w:tabs>
          </w:pPr>
          <w:hyperlink w:anchor="_Toc00900365" w:history="1">
            <w:r>
              <w:t xml:space="preserve">X9.2 Los cinco riesgos principales</w:t>
            </w:r>
            <w:r>
              <w:tab/>
            </w:r>
            <w:r>
              <w:t>906</w:t>
            </w:r>
          </w:hyperlink>
        </w:p>
        <w:p>
          <w:pPr>
            <w:pStyle w:val="TOC2"/>
            <w:tabs>
              <w:tab w:val="right" w:leader="dot" w:pos="9974"/>
            </w:tabs>
          </w:pPr>
          <w:hyperlink w:anchor="_Toc00900366" w:history="1">
            <w:r>
              <w:t xml:space="preserve">X9.3 Mapa de calor</w:t>
            </w:r>
            <w:r>
              <w:tab/>
            </w:r>
            <w:r>
              <w:t>908</w:t>
            </w:r>
          </w:hyperlink>
        </w:p>
        <w:p>
          <w:pPr>
            <w:pStyle w:val="TOC2"/>
            <w:tabs>
              <w:tab w:val="right" w:leader="dot" w:pos="9974"/>
            </w:tabs>
          </w:pPr>
          <w:hyperlink w:anchor="_Toc00900367" w:history="1">
            <w:r>
              <w:t xml:space="preserve">X9.4 Tendencia del índice de riesgo</w:t>
            </w:r>
            <w:r>
              <w:tab/>
            </w:r>
            <w:r>
              <w:t>909</w:t>
            </w:r>
          </w:hyperlink>
        </w:p>
        <w:p>
          <w:pPr>
            <w:pStyle w:val="TOC2"/>
            <w:tabs>
              <w:tab w:val="right" w:leader="dot" w:pos="9974"/>
            </w:tabs>
          </w:pPr>
          <w:hyperlink w:anchor="_Toc00900368" w:history="1">
            <w:r>
              <w:t xml:space="preserve">X9.5 Reservas de contingencia</w:t>
            </w:r>
            <w:r>
              <w:tab/>
            </w:r>
            <w:r>
              <w:t>911</w:t>
            </w:r>
          </w:hyperlink>
        </w:p>
        <w:p>
          <w:pPr>
            <w:pStyle w:val="TOC2"/>
            <w:tabs>
              <w:tab w:val="right" w:leader="dot" w:pos="9974"/>
            </w:tabs>
          </w:pPr>
          <w:hyperlink w:anchor="_Toc00900369" w:history="1">
            <w:r>
              <w:t xml:space="preserve">X9.6 Actualización y uso del tablero</w:t>
            </w:r>
            <w:r>
              <w:tab/>
            </w:r>
            <w:r>
              <w:t>913</w:t>
            </w:r>
          </w:hyperlink>
        </w:p>
        <w:p>
          <w:pPr>
            <w:pStyle w:val="TOC1"/>
            <w:tabs>
              <w:tab w:val="right" w:leader="dot" w:pos="9974"/>
            </w:tabs>
          </w:pPr>
          <w:hyperlink w:anchor="X481cf1cbd0037063606960add59515ac92c26e0" w:history="1">
            <w:r>
              <w:t xml:space="preserve">Documento 1000X-10. Checklist de cumplimiento</w:t>
            </w:r>
            <w:r>
              <w:tab/>
            </w:r>
            <w:r>
              <w:t>914</w:t>
            </w:r>
          </w:hyperlink>
        </w:p>
        <w:p>
          <w:pPr>
            <w:pStyle w:val="TOC2"/>
            <w:tabs>
              <w:tab w:val="right" w:leader="dot" w:pos="9974"/>
            </w:tabs>
          </w:pPr>
          <w:hyperlink w:anchor="_Toc00900370" w:history="1">
            <w:r>
              <w:t xml:space="preserve">X10.1 Requisitos administrativos</w:t>
            </w:r>
            <w:r>
              <w:tab/>
            </w:r>
            <w:r>
              <w:t>914</w:t>
            </w:r>
          </w:hyperlink>
        </w:p>
        <w:p>
          <w:pPr>
            <w:pStyle w:val="TOC2"/>
            <w:tabs>
              <w:tab w:val="right" w:leader="dot" w:pos="9974"/>
            </w:tabs>
          </w:pPr>
          <w:hyperlink w:anchor="_Toc00900371" w:history="1">
            <w:r>
              <w:t xml:space="preserve">X10.2 Requisitos técnicos</w:t>
            </w:r>
            <w:r>
              <w:tab/>
            </w:r>
            <w:r>
              <w:t>915</w:t>
            </w:r>
          </w:hyperlink>
        </w:p>
        <w:p>
          <w:pPr>
            <w:pStyle w:val="TOC2"/>
            <w:tabs>
              <w:tab w:val="right" w:leader="dot" w:pos="9974"/>
            </w:tabs>
          </w:pPr>
          <w:hyperlink w:anchor="_Toc00900372" w:history="1">
            <w:r>
              <w:t xml:space="preserve">X10.3 Requisitos de formato</w:t>
            </w:r>
            <w:r>
              <w:tab/>
            </w:r>
            <w:r>
              <w:t>915</w:t>
            </w:r>
          </w:hyperlink>
        </w:p>
        <w:p>
          <w:pPr>
            <w:pStyle w:val="TOC2"/>
            <w:tabs>
              <w:tab w:val="right" w:leader="dot" w:pos="9974"/>
            </w:tabs>
          </w:pPr>
          <w:hyperlink w:anchor="_Toc00900373" w:history="1">
            <w:r>
              <w:t xml:space="preserve">X10.4 Coherencia del proyecto</w:t>
            </w:r>
            <w:r>
              <w:tab/>
            </w:r>
            <w:r>
              <w:t>916</w:t>
            </w:r>
          </w:hyperlink>
        </w:p>
        <w:p>
          <w:pPr>
            <w:pStyle w:val="TOC2"/>
            <w:tabs>
              <w:tab w:val="right" w:leader="dot" w:pos="9974"/>
            </w:tabs>
          </w:pPr>
          <w:hyperlink w:anchor="_Toc00900374" w:history="1">
            <w:r>
              <w:t xml:space="preserve">X10.5 Criterios de evaluación</w:t>
            </w:r>
            <w:r>
              <w:tab/>
            </w:r>
            <w:r>
              <w:t>917</w:t>
            </w:r>
          </w:hyperlink>
        </w:p>
        <w:p>
          <w:pPr>
            <w:pStyle w:val="TOC2"/>
            <w:tabs>
              <w:tab w:val="right" w:leader="dot" w:pos="9974"/>
            </w:tabs>
          </w:pPr>
          <w:hyperlink w:anchor="_Toc00900375" w:history="1">
            <w:r>
              <w:t xml:space="preserve">X10.6 Revisión final</w:t>
            </w:r>
            <w:r>
              <w:tab/>
            </w:r>
            <w:r>
              <w:t>917</w:t>
            </w:r>
          </w:hyperlink>
        </w:p>
        <w:p>
          <w:pPr>
            <w:pStyle w:val="TOC2"/>
            <w:tabs>
              <w:tab w:val="right" w:leader="dot" w:pos="9974"/>
            </w:tabs>
          </w:pPr>
          <w:hyperlink w:anchor="Xb65a215e839e48f7c216231947d4ea813ee1c62" w:history="1">
            <w:r>
              <w:t xml:space="preserve">X10.7 Requisitos del Anexo 2 de la convocatoria</w:t>
            </w:r>
            <w:r>
              <w:tab/>
            </w:r>
            <w:r>
              <w:t>918</w:t>
            </w:r>
          </w:hyperlink>
        </w:p>
        <w:p>
          <w:pPr>
            <w:pStyle w:val="TOC2"/>
            <w:tabs>
              <w:tab w:val="right" w:leader="dot" w:pos="9974"/>
            </w:tabs>
          </w:pPr>
          <w:hyperlink w:anchor="_Toc00900376" w:history="1">
            <w:r>
              <w:t xml:space="preserve">X10.8 Bloqueos finales del paquete</w:t>
            </w:r>
            <w:r>
              <w:tab/>
            </w:r>
            <w:r>
              <w:t>919</w:t>
            </w:r>
          </w:hyperlink>
        </w:p>
        <w:p>
          <w:pPr>
            <w:pStyle w:val="TOC1"/>
            <w:tabs>
              <w:tab w:val="right" w:leader="dot" w:pos="9974"/>
            </w:tabs>
          </w:pPr>
          <w:hyperlink w:anchor="_Toc00900377" w:history="1">
            <w:r>
              <w:t xml:space="preserve">Cierre del documento</w:t>
            </w:r>
            <w:r>
              <w:tab/>
            </w:r>
            <w:r>
              <w:t>920</w:t>
            </w:r>
          </w:hyperlink>
        </w:p>
        <w:p>
          <w:pPr>
            <w:pStyle w:val="TOC2"/>
            <w:tabs>
              <w:tab w:val="right" w:leader="dot" w:pos="9974"/>
            </w:tabs>
          </w:pPr>
          <w:hyperlink w:anchor="_Toc00900378" w:history="1">
            <w:r>
              <w:t xml:space="preserve">F-01 Autoauditoría</w:t>
            </w:r>
            <w:r>
              <w:tab/>
            </w:r>
            <w:r>
              <w:t>920</w:t>
            </w:r>
          </w:hyperlink>
        </w:p>
        <w:p>
          <w:pPr>
            <w:pStyle w:val="TOC2"/>
            <w:tabs>
              <w:tab w:val="right" w:leader="dot" w:pos="9974"/>
            </w:tabs>
          </w:pPr>
          <w:hyperlink w:anchor="_Toc00900379" w:history="1">
            <w:r>
              <w:t xml:space="preserve">F-02 ¿Qué se me escapa?</w:t>
            </w:r>
            <w:r>
              <w:tab/>
            </w:r>
            <w:r>
              <w:t>922</w:t>
            </w:r>
          </w:hyperlink>
        </w:p>
        <w:p>
          <w:pPr>
            <w:pStyle w:val="TOC2"/>
            <w:tabs>
              <w:tab w:val="right" w:leader="dot" w:pos="9974"/>
            </w:tabs>
          </w:pPr>
          <w:hyperlink w:anchor="_Toc00900380" w:history="1">
            <w:r>
              <w:t xml:space="preserve">F-03 Valor estratégico</w:t>
            </w:r>
            <w:r>
              <w:tab/>
            </w:r>
            <w:r>
              <w:t>923</w:t>
            </w:r>
          </w:hyperlink>
        </w:p>
        <w:p>
          <w:pPr>
            <w:pStyle w:val="TOC2"/>
            <w:tabs>
              <w:tab w:val="right" w:leader="dot" w:pos="9974"/>
            </w:tabs>
          </w:pPr>
          <w:hyperlink w:anchor="_Toc00900381" w:history="1">
            <w:r>
              <w:t xml:space="preserve">F-04 Traspaso</w:t>
            </w:r>
            <w:r>
              <w:tab/>
            </w:r>
            <w:r>
              <w:t>924</w:t>
            </w:r>
          </w:hyperlink>
        </w:p>
        <w:p>
          <w:r>
            <w:fldChar w:fldCharType="end"/>
          </w:r>
        </w:p>
      </w:sdtContent>
    </w:sdt>
    <w:bookmarkStart w:id="24" w:name="_Toc00900001"/>
    <w:p>
      <w:pPr>
        <w:pStyle w:val="Heading1"/>
      </w:pPr>
      <w:r>
        <w:t xml:space="preserve">Guía de lectura</w:t>
      </w:r>
    </w:p>
    <w:p>
      <w:pPr>
        <w:pStyle w:val="FirstParagraph"/>
      </w:pPr>
      <w:r>
        <w:t xml:space="preserve">Este archivo contiene el proyecto completo SGR_CONV56_AIRE en el formato oficial del Anexo 2 de la Convocatoria 56 del Sistema General de Regalías: plantilla, encabezado y pie institucionales, letra Arial y tablas con encabezado verde. El proyecto propone una red de 100 nodos con sensores de bajo costo y 10 gateways que mide PM2,5 y PM10 en sitios de remoción de escombros posterremoto. Pide al Sistema General de Regalías 8.729.840.000 COP y suma una contrapartida de 2.110.000.000 COP, con una duración de 24 meses. El estado es borrador con vacíos.</w:t>
      </w:r>
    </w:p>
    <w:bookmarkStart w:id="20" w:name="estructura"/>
    <w:p>
      <w:pPr>
        <w:pStyle w:val="Heading2"/>
      </w:pPr>
      <w:r>
        <w:t xml:space="preserve">Estructura</w:t>
      </w:r>
    </w:p>
    <w:p>
      <w:pPr>
        <w:pStyle w:val="FirstParagraph"/>
      </w:pPr>
      <w:r>
        <w:t xml:space="preserve">El archivo se compone de tres partes. La numeración de tablas y figuras usa el prefijo de cada parte, de modo que «Tabla D.5» pertenece al documento técnico, «Tabla F4.3» pertenece al Paso 4 y «Tabla 12.5» pertenece al capítulo 12.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40"/>
        <w:gridCol w:w="2640"/>
        <w:gridCol w:w="2640"/>
      </w:tblGrid>
      <w:tr>
        <w:trPr>
          <w:cantSplit/>
          <w:tblHeader/>
        </w:trPr>
        <w:tc>
          <w:tcPr>
            <w:shd w:val="clear" w:color="auto" w:fill="00B050"/>
          </w:tcPr>
          <w:p>
            <w:pPr>
              <w:pStyle w:val="Tabla9"/>
              <w:jc w:val="center"/>
            </w:pPr>
            <w:r>
              <w:rPr>
                <w:b/>
                <w:color w:val="FFFFFF"/>
              </w:rPr>
              <w:t xml:space="preserve">Parte</w:t>
            </w:r>
          </w:p>
        </w:tc>
        <w:tc>
          <w:tcPr>
            <w:shd w:val="clear" w:color="auto" w:fill="00B050"/>
          </w:tcPr>
          <w:p>
            <w:pPr>
              <w:pStyle w:val="Tabla9"/>
              <w:jc w:val="center"/>
            </w:pPr>
            <w:r>
              <w:rPr>
                <w:b/>
                <w:color w:val="FFFFFF"/>
              </w:rPr>
              <w:t xml:space="preserve">Contenido</w:t>
            </w:r>
          </w:p>
        </w:tc>
        <w:tc>
          <w:tcPr>
            <w:shd w:val="clear" w:color="auto" w:fill="00B050"/>
          </w:tcPr>
          <w:p>
            <w:pPr>
              <w:pStyle w:val="Tabla9"/>
              <w:jc w:val="center"/>
            </w:pPr>
            <w:r>
              <w:rPr>
                <w:b/>
                <w:color w:val="FFFFFF"/>
              </w:rPr>
              <w:t xml:space="preserve">Prefijo de tablas y figuras</w:t>
            </w:r>
          </w:p>
        </w:tc>
      </w:tr>
      <w:tr>
        <w:trPr>
          <w:cantSplit/>
        </w:trPr>
        <w:tc>
          <w:tcPr/>
          <w:p>
            <w:pPr>
              <w:pStyle w:val="Tabla9"/>
              <w:jc w:val="left"/>
            </w:pPr>
            <w:r>
              <w:t xml:space="preserve">A. Soporte de la solicitud</w:t>
            </w:r>
          </w:p>
        </w:tc>
        <w:tc>
          <w:tcPr/>
          <w:p>
            <w:pPr>
              <w:pStyle w:val="Tabla9"/>
              <w:jc w:val="left"/>
            </w:pPr>
            <w:r>
              <w:t xml:space="preserve">Mensaje recibido, alianza de cuatro actores, roles, presupuesto por actor, beneficios, calendario hacia el cierre del 3 de noviembre de 2026, verificación frente a la guía financiera y borrador de correo</w:t>
            </w:r>
          </w:p>
        </w:tc>
        <w:tc>
          <w:tcPr/>
          <w:p>
            <w:pPr>
              <w:pStyle w:val="Tabla9"/>
              <w:jc w:val="left"/>
            </w:pPr>
            <w:r>
              <w:t xml:space="preserve">S</w:t>
            </w:r>
          </w:p>
        </w:tc>
      </w:tr>
      <w:tr>
        <w:trPr>
          <w:cantSplit/>
        </w:trPr>
        <w:tc>
          <w:tcPr/>
          <w:p>
            <w:pPr>
              <w:pStyle w:val="Tabla9"/>
              <w:jc w:val="left"/>
            </w:pPr>
            <w:r>
              <w:t xml:space="preserve">B. Documento técnico del Anexo 2</w:t>
            </w:r>
          </w:p>
        </w:tc>
        <w:tc>
          <w:tcPr/>
          <w:p>
            <w:pPr>
              <w:pStyle w:val="Tabla9"/>
              <w:jc w:val="left"/>
            </w:pPr>
            <w:r>
              <w:t xml:space="preserve">Secciones 1 a 30 en el orden de la plantilla oficial; la bibliografía ocupa la sección 29</w:t>
            </w:r>
          </w:p>
        </w:tc>
        <w:tc>
          <w:tcPr/>
          <w:p>
            <w:pPr>
              <w:pStyle w:val="Tabla9"/>
              <w:jc w:val="left"/>
            </w:pPr>
            <w:r>
              <w:t xml:space="preserve">D y 29</w:t>
            </w:r>
          </w:p>
        </w:tc>
      </w:tr>
      <w:tr>
        <w:trPr>
          <w:cantSplit/>
        </w:trPr>
        <w:tc>
          <w:tcPr/>
          <w:p>
            <w:pPr>
              <w:pStyle w:val="Tabla9"/>
              <w:jc w:val="left"/>
            </w:pPr>
            <w:r>
              <w:t xml:space="preserve">C. Expediente ampliado (anexos técnicos de la sección 30)</w:t>
            </w:r>
          </w:p>
        </w:tc>
        <w:tc>
          <w:tcPr/>
          <w:p>
            <w:pPr>
              <w:pStyle w:val="Tabla9"/>
              <w:jc w:val="left"/>
            </w:pPr>
            <w:r>
              <w:t xml:space="preserve">Pasos 0 a 7 del metaprompt, capítulos 1 a 21 con los anexos A a N, paquete 1000X y cierre con autoauditoría, vacíos, valor estratégico y traspaso</w:t>
            </w:r>
          </w:p>
        </w:tc>
        <w:tc>
          <w:tcPr/>
          <w:p>
            <w:pPr>
              <w:pStyle w:val="Tabla9"/>
              <w:jc w:val="left"/>
            </w:pPr>
            <w:r>
              <w:t xml:space="preserve">F0 a F7, 1 a 21, X1 a X10 y FC</w:t>
            </w:r>
          </w:p>
        </w:tc>
      </w:tr>
    </w:tbl>
    <w:bookmarkEnd w:id="20"/>
    <w:bookmarkStart w:id="21" w:name="convenciones"/>
    <w:p>
      <w:pPr>
        <w:pStyle w:val="Heading2"/>
      </w:pPr>
      <w:r>
        <w:t xml:space="preserve">Convenciones</w:t>
      </w:r>
    </w:p>
    <w:p>
      <w:pPr>
        <w:pStyle w:val="FirstParagraph"/>
      </w:pPr>
      <w:r>
        <w:t xml:space="preserve">Los encabezados de nivel 1 van en negrita y mayúscula sostenida, como en el Anexo 2. Los niveles 2 y 3 van en negrita; el nivel 3 va además en cursiva. Los decimales llevan coma y los miles llevan punto. Las figuras conservan la plantilla visual del proyecto, con fondo transparente y paleta azul y gris.</w:t>
      </w:r>
    </w:p>
    <w:p>
      <w:pPr>
        <w:pStyle w:val="BodyText"/>
      </w:pPr>
      <w:r>
        <w:t xml:space="preserve">Cada dato lleva dos etiquetas independientes. La naturaleza indica de dónde proviene: DOCUMENTADO, DECLARADO, CALCULADO, INFERIDO, SUPUESTO, PROPUESTO, ILUSTRATIVO o VACIO. La verificación indica qué se comprobó: VERIFICADO, PARCIALMENTE_VERIFICADO, NO_VERIFICADO, CONTRADICTORIO o NO_APLICA. Un dato VACIO solo lo pueden aportar el usuario o los términos de referencia. Aparece como [DATO_USUARIO] con la descripción de lo que falta.</w:t>
      </w:r>
    </w:p>
    <w:bookmarkEnd w:id="21"/>
    <w:bookmarkStart w:id="22" w:name="_Toc00900002"/>
    <w:p>
      <w:pPr>
        <w:pStyle w:val="Heading2"/>
      </w:pPr>
      <w:r>
        <w:t xml:space="preserve">Qué contiene y qué no</w:t>
      </w:r>
    </w:p>
    <w:p>
      <w:pPr>
        <w:pStyle w:val="FirstParagraph"/>
      </w:pPr>
      <w:r>
        <w:t xml:space="preserve">El archivo reúne el soporte de la solicitud, el documento técnico de la convocatoria y el expediente completo de formulación. Para radicar se usa solo la parte B, que se entrega aparte porque la convocatoria limita cada PDF a 3 MB. Los nombres de los actores, la contrapartida del actor reconocido y las cotizaciones quedan en blanco por decisión del usuario. El libro del Anexo 3 no se diligenció todavía. Los términos de referencia completos y los anexos 4, 10 y 12 no se aportaron.</w:t>
      </w:r>
    </w:p>
    <w:bookmarkEnd w:id="22"/>
    <w:bookmarkStart w:id="23" w:name="_Toc00900003"/>
    <w:p>
      <w:pPr>
        <w:pStyle w:val="Heading2"/>
      </w:pPr>
      <w:r>
        <w:t xml:space="preserve">Actualización de índices</w:t>
      </w:r>
    </w:p>
    <w:p>
      <w:pPr>
        <w:pStyle w:val="FirstParagraph"/>
      </w:pPr>
      <w:r>
        <w:t xml:space="preserve">El índice de contenido y las listas de tablas y figuras tienen números de página calculados sobre el PDF. Word puede paginar distinto. Para actualizarlos, se hace clic derecho sobre el índice y se elige Actualizar campos. El PDF es la referencia visual.</w:t>
      </w:r>
    </w:p>
    <w:bookmarkEnd w:id="23"/>
    <w:bookmarkEnd w:id="24"/>
    <w:bookmarkStart w:id="25" w:name="_Toc00900004"/>
    <w:p>
      <w:pPr>
        <w:pStyle w:val="Heading1"/>
      </w:pPr>
      <w:r>
        <w:t xml:space="preserve">Lista de tablas</w:t>
      </w:r>
    </w:p>
    <w:p>
      <w:pPr>
        <w:pStyle w:val="Indice"/>
        <w:tabs>
          <w:tab w:val="right" w:leader="dot" w:pos="9974"/>
        </w:tabs>
        <w:spacing w:before="40" w:after="40"/>
        <w:ind w:left="1134" w:hanging="1134"/>
      </w:pPr>
      <w:hyperlink w:anchor="rot_Tabla_S_1" w:history="1">
        <w:r>
          <w:t xml:space="preserve">Tabla S.1. Solicitudes del mensaje y sección que las responde</w:t>
        </w:r>
        <w:r>
          <w:tab/>
        </w:r>
        <w:r>
          <w:fldChar w:fldCharType="begin"/>
        </w:r>
        <w:r>
          <w:instrText xml:space="preserve"> PAGEREF rot_Tabla_S_1 \h </w:instrText>
        </w:r>
        <w:r>
          <w:fldChar w:fldCharType="separate"/>
        </w:r>
        <w:r>
          <w:t>33</w:t>
        </w:r>
        <w:r>
          <w:fldChar w:fldCharType="end"/>
        </w:r>
      </w:hyperlink>
    </w:p>
    <w:p>
      <w:pPr>
        <w:pStyle w:val="Indice"/>
        <w:tabs>
          <w:tab w:val="right" w:leader="dot" w:pos="9974"/>
        </w:tabs>
        <w:spacing w:before="40" w:after="40"/>
        <w:ind w:left="1134" w:hanging="1134"/>
      </w:pPr>
      <w:hyperlink w:anchor="rot_Tabla_S_2" w:history="1">
        <w:r>
          <w:t xml:space="preserve">Tabla S.2. Ficha del proyecto para los aliados</w:t>
        </w:r>
        <w:r>
          <w:tab/>
        </w:r>
        <w:r>
          <w:fldChar w:fldCharType="begin"/>
        </w:r>
        <w:r>
          <w:instrText xml:space="preserve"> PAGEREF rot_Tabla_S_2 \h </w:instrText>
        </w:r>
        <w:r>
          <w:fldChar w:fldCharType="separate"/>
        </w:r>
        <w:r>
          <w:t>34</w:t>
        </w:r>
        <w:r>
          <w:fldChar w:fldCharType="end"/>
        </w:r>
      </w:hyperlink>
    </w:p>
    <w:p>
      <w:pPr>
        <w:pStyle w:val="Indice"/>
        <w:tabs>
          <w:tab w:val="right" w:leader="dot" w:pos="9974"/>
        </w:tabs>
        <w:spacing w:before="40" w:after="40"/>
        <w:ind w:left="1134" w:hanging="1134"/>
      </w:pPr>
      <w:hyperlink w:anchor="rot_Tabla_S_3" w:history="1">
        <w:r>
          <w:t xml:space="preserve">Tabla S.3. Actores de la alianza, perfil exigido y posición en el Anexo 2</w:t>
        </w:r>
        <w:r>
          <w:tab/>
        </w:r>
        <w:r>
          <w:fldChar w:fldCharType="begin"/>
        </w:r>
        <w:r>
          <w:instrText xml:space="preserve"> PAGEREF rot_Tabla_S_3 \h </w:instrText>
        </w:r>
        <w:r>
          <w:fldChar w:fldCharType="separate"/>
        </w:r>
        <w:r>
          <w:t>35</w:t>
        </w:r>
        <w:r>
          <w:fldChar w:fldCharType="end"/>
        </w:r>
      </w:hyperlink>
    </w:p>
    <w:p>
      <w:pPr>
        <w:pStyle w:val="Indice"/>
        <w:tabs>
          <w:tab w:val="right" w:leader="dot" w:pos="9974"/>
        </w:tabs>
        <w:spacing w:before="40" w:after="40"/>
        <w:ind w:left="1134" w:hanging="1134"/>
      </w:pPr>
      <w:hyperlink w:anchor="rot_Tabla_S_4" w:history="1">
        <w:r>
          <w:t xml:space="preserve">Tabla S.4. Departamentos candidatos para el municipio acompañante</w:t>
        </w:r>
        <w:r>
          <w:tab/>
        </w:r>
        <w:r>
          <w:fldChar w:fldCharType="begin"/>
        </w:r>
        <w:r>
          <w:instrText xml:space="preserve"> PAGEREF rot_Tabla_S_4 \h </w:instrText>
        </w:r>
        <w:r>
          <w:fldChar w:fldCharType="separate"/>
        </w:r>
        <w:r>
          <w:t>36</w:t>
        </w:r>
        <w:r>
          <w:fldChar w:fldCharType="end"/>
        </w:r>
      </w:hyperlink>
    </w:p>
    <w:p>
      <w:pPr>
        <w:pStyle w:val="Indice"/>
        <w:tabs>
          <w:tab w:val="right" w:leader="dot" w:pos="9974"/>
        </w:tabs>
        <w:spacing w:before="40" w:after="40"/>
        <w:ind w:left="1134" w:hanging="1134"/>
      </w:pPr>
      <w:hyperlink w:anchor="rot_Tabla_S_5" w:history="1">
        <w:r>
          <w:t xml:space="preserve">Tabla S.5. Objetivo específico, aporte e indicadores por actor</w:t>
        </w:r>
        <w:r>
          <w:tab/>
        </w:r>
        <w:r>
          <w:fldChar w:fldCharType="begin"/>
        </w:r>
        <w:r>
          <w:instrText xml:space="preserve"> PAGEREF rot_Tabla_S_5 \h </w:instrText>
        </w:r>
        <w:r>
          <w:fldChar w:fldCharType="separate"/>
        </w:r>
        <w:r>
          <w:t>37</w:t>
        </w:r>
        <w:r>
          <w:fldChar w:fldCharType="end"/>
        </w:r>
      </w:hyperlink>
    </w:p>
    <w:p>
      <w:pPr>
        <w:pStyle w:val="Indice"/>
        <w:tabs>
          <w:tab w:val="right" w:leader="dot" w:pos="9974"/>
        </w:tabs>
        <w:spacing w:before="40" w:after="40"/>
        <w:ind w:left="1134" w:hanging="1134"/>
      </w:pPr>
      <w:hyperlink w:anchor="rot_Tabla_S_6" w:history="1">
        <w:r>
          <w:t xml:space="preserve">Tabla S.6. Responsabilidad de cada actor en las 17 actividades</w:t>
        </w:r>
        <w:r>
          <w:tab/>
        </w:r>
        <w:r>
          <w:fldChar w:fldCharType="begin"/>
        </w:r>
        <w:r>
          <w:instrText xml:space="preserve"> PAGEREF rot_Tabla_S_6 \h </w:instrText>
        </w:r>
        <w:r>
          <w:fldChar w:fldCharType="separate"/>
        </w:r>
        <w:r>
          <w:t>37</w:t>
        </w:r>
        <w:r>
          <w:fldChar w:fldCharType="end"/>
        </w:r>
      </w:hyperlink>
    </w:p>
    <w:p>
      <w:pPr>
        <w:pStyle w:val="Indice"/>
        <w:tabs>
          <w:tab w:val="right" w:leader="dot" w:pos="9974"/>
        </w:tabs>
        <w:spacing w:before="40" w:after="40"/>
        <w:ind w:left="1134" w:hanging="1134"/>
      </w:pPr>
      <w:hyperlink w:anchor="rot_Tabla_S_7" w:history="1">
        <w:r>
          <w:t xml:space="preserve">Tabla S.7. Qué ejecuta y qué entrega cada actor</w:t>
        </w:r>
        <w:r>
          <w:tab/>
        </w:r>
        <w:r>
          <w:fldChar w:fldCharType="begin"/>
        </w:r>
        <w:r>
          <w:instrText xml:space="preserve"> PAGEREF rot_Tabla_S_7 \h </w:instrText>
        </w:r>
        <w:r>
          <w:fldChar w:fldCharType="separate"/>
        </w:r>
        <w:r>
          <w:t>39</w:t>
        </w:r>
        <w:r>
          <w:fldChar w:fldCharType="end"/>
        </w:r>
      </w:hyperlink>
    </w:p>
    <w:p>
      <w:pPr>
        <w:pStyle w:val="Indice"/>
        <w:tabs>
          <w:tab w:val="right" w:leader="dot" w:pos="9974"/>
        </w:tabs>
        <w:spacing w:before="40" w:after="40"/>
        <w:ind w:left="1134" w:hanging="1134"/>
      </w:pPr>
      <w:hyperlink w:anchor="rot_Tabla_S_8" w:history="1">
        <w:r>
          <w:t xml:space="preserve">Tabla S.8. Presupuesto SGR por actor y por rubro (millones de COP)</w:t>
        </w:r>
        <w:r>
          <w:tab/>
        </w:r>
        <w:r>
          <w:fldChar w:fldCharType="begin"/>
        </w:r>
        <w:r>
          <w:instrText xml:space="preserve"> PAGEREF rot_Tabla_S_8 \h </w:instrText>
        </w:r>
        <w:r>
          <w:fldChar w:fldCharType="separate"/>
        </w:r>
        <w:r>
          <w:t>39</w:t>
        </w:r>
        <w:r>
          <w:fldChar w:fldCharType="end"/>
        </w:r>
      </w:hyperlink>
    </w:p>
    <w:p>
      <w:pPr>
        <w:pStyle w:val="Indice"/>
        <w:tabs>
          <w:tab w:val="right" w:leader="dot" w:pos="9974"/>
        </w:tabs>
        <w:spacing w:before="40" w:after="40"/>
        <w:ind w:left="1134" w:hanging="1134"/>
      </w:pPr>
      <w:hyperlink w:anchor="rot_Tabla_S_9" w:history="1">
        <w:r>
          <w:t xml:space="preserve">Tabla S.9. Total por actor: recursos SGR y contrapartida</w:t>
        </w:r>
        <w:r>
          <w:tab/>
        </w:r>
        <w:r>
          <w:fldChar w:fldCharType="begin"/>
        </w:r>
        <w:r>
          <w:instrText xml:space="preserve"> PAGEREF rot_Tabla_S_9 \h </w:instrText>
        </w:r>
        <w:r>
          <w:fldChar w:fldCharType="separate"/>
        </w:r>
        <w:r>
          <w:t>40</w:t>
        </w:r>
        <w:r>
          <w:fldChar w:fldCharType="end"/>
        </w:r>
      </w:hyperlink>
    </w:p>
    <w:p>
      <w:pPr>
        <w:pStyle w:val="Indice"/>
        <w:tabs>
          <w:tab w:val="right" w:leader="dot" w:pos="9974"/>
        </w:tabs>
        <w:spacing w:before="40" w:after="40"/>
        <w:ind w:left="1134" w:hanging="1134"/>
      </w:pPr>
      <w:hyperlink w:anchor="rot_Tabla_S_10" w:history="1">
        <w:r>
          <w:t xml:space="preserve">Tabla S.10. Asignación de las 54 líneas del presupuesto SGR a cada actor</w:t>
        </w:r>
        <w:r>
          <w:tab/>
        </w:r>
        <w:r>
          <w:fldChar w:fldCharType="begin"/>
        </w:r>
        <w:r>
          <w:instrText xml:space="preserve"> PAGEREF rot_Tabla_S_10 \h </w:instrText>
        </w:r>
        <w:r>
          <w:fldChar w:fldCharType="separate"/>
        </w:r>
        <w:r>
          <w:t>40</w:t>
        </w:r>
        <w:r>
          <w:fldChar w:fldCharType="end"/>
        </w:r>
      </w:hyperlink>
    </w:p>
    <w:p>
      <w:pPr>
        <w:pStyle w:val="Indice"/>
        <w:tabs>
          <w:tab w:val="right" w:leader="dot" w:pos="9974"/>
        </w:tabs>
        <w:spacing w:before="40" w:after="40"/>
        <w:ind w:left="1134" w:hanging="1134"/>
      </w:pPr>
      <w:hyperlink w:anchor="rot_Tabla_S_11" w:history="1">
        <w:r>
          <w:t xml:space="preserve">Tabla S.11. Beneficios y obligaciones por actor</w:t>
        </w:r>
        <w:r>
          <w:tab/>
        </w:r>
        <w:r>
          <w:fldChar w:fldCharType="begin"/>
        </w:r>
        <w:r>
          <w:instrText xml:space="preserve"> PAGEREF rot_Tabla_S_11 \h </w:instrText>
        </w:r>
        <w:r>
          <w:fldChar w:fldCharType="separate"/>
        </w:r>
        <w:r>
          <w:t>43</w:t>
        </w:r>
        <w:r>
          <w:fldChar w:fldCharType="end"/>
        </w:r>
      </w:hyperlink>
    </w:p>
    <w:p>
      <w:pPr>
        <w:pStyle w:val="Indice"/>
        <w:tabs>
          <w:tab w:val="right" w:leader="dot" w:pos="9974"/>
        </w:tabs>
        <w:spacing w:before="40" w:after="40"/>
        <w:ind w:left="1134" w:hanging="1134"/>
      </w:pPr>
      <w:hyperlink w:anchor="rot_Tabla_S_12" w:history="1">
        <w:r>
          <w:t xml:space="preserve">Tabla S.12. Calendario propuesto del 16 de octubre al 3 de noviembre de 2026</w:t>
        </w:r>
        <w:r>
          <w:tab/>
        </w:r>
        <w:r>
          <w:fldChar w:fldCharType="begin"/>
        </w:r>
        <w:r>
          <w:instrText xml:space="preserve"> PAGEREF rot_Tabla_S_12 \h </w:instrText>
        </w:r>
        <w:r>
          <w:fldChar w:fldCharType="separate"/>
        </w:r>
        <w:r>
          <w:t>44</w:t>
        </w:r>
        <w:r>
          <w:fldChar w:fldCharType="end"/>
        </w:r>
      </w:hyperlink>
    </w:p>
    <w:p>
      <w:pPr>
        <w:pStyle w:val="Indice"/>
        <w:tabs>
          <w:tab w:val="right" w:leader="dot" w:pos="9974"/>
        </w:tabs>
        <w:spacing w:before="40" w:after="40"/>
        <w:ind w:left="1134" w:hanging="1134"/>
      </w:pPr>
      <w:hyperlink w:anchor="rot_Tabla_S_13" w:history="1">
        <w:r>
          <w:t xml:space="preserve">Tabla S.13. Decisiones y datos que se requieren de la Universidad</w:t>
        </w:r>
        <w:r>
          <w:tab/>
        </w:r>
        <w:r>
          <w:fldChar w:fldCharType="begin"/>
        </w:r>
        <w:r>
          <w:instrText xml:space="preserve"> PAGEREF rot_Tabla_S_13 \h </w:instrText>
        </w:r>
        <w:r>
          <w:fldChar w:fldCharType="separate"/>
        </w:r>
        <w:r>
          <w:t>45</w:t>
        </w:r>
        <w:r>
          <w:fldChar w:fldCharType="end"/>
        </w:r>
      </w:hyperlink>
    </w:p>
    <w:p>
      <w:pPr>
        <w:pStyle w:val="Indice"/>
        <w:tabs>
          <w:tab w:val="right" w:leader="dot" w:pos="9974"/>
        </w:tabs>
        <w:spacing w:before="40" w:after="40"/>
        <w:ind w:left="1134" w:hanging="1134"/>
      </w:pPr>
      <w:hyperlink w:anchor="rot_Tabla_S_14" w:history="1">
        <w:r>
          <w:t xml:space="preserve">Tabla S.14. Vacíos de la alianza, riesgo y ruta de solución</w:t>
        </w:r>
        <w:r>
          <w:tab/>
        </w:r>
        <w:r>
          <w:fldChar w:fldCharType="begin"/>
        </w:r>
        <w:r>
          <w:instrText xml:space="preserve"> PAGEREF rot_Tabla_S_14 \h </w:instrText>
        </w:r>
        <w:r>
          <w:fldChar w:fldCharType="separate"/>
        </w:r>
        <w:r>
          <w:t>47</w:t>
        </w:r>
        <w:r>
          <w:fldChar w:fldCharType="end"/>
        </w:r>
      </w:hyperlink>
    </w:p>
    <w:p>
      <w:pPr>
        <w:pStyle w:val="Indice"/>
        <w:tabs>
          <w:tab w:val="right" w:leader="dot" w:pos="9974"/>
        </w:tabs>
        <w:spacing w:before="40" w:after="40"/>
        <w:ind w:left="1134" w:hanging="1134"/>
      </w:pPr>
      <w:hyperlink w:anchor="rot_Tabla_S_15" w:history="1">
        <w:r>
          <w:t xml:space="preserve">Tabla S.15. Verificación del proyecto frente a la Convocatoria 56</w:t>
        </w:r>
        <w:r>
          <w:tab/>
        </w:r>
        <w:r>
          <w:fldChar w:fldCharType="begin"/>
        </w:r>
        <w:r>
          <w:instrText xml:space="preserve"> PAGEREF rot_Tabla_S_15 \h </w:instrText>
        </w:r>
        <w:r>
          <w:fldChar w:fldCharType="separate"/>
        </w:r>
        <w:r>
          <w:t>48</w:t>
        </w:r>
        <w:r>
          <w:fldChar w:fldCharType="end"/>
        </w:r>
      </w:hyperlink>
    </w:p>
    <w:p>
      <w:pPr>
        <w:pStyle w:val="Indice"/>
        <w:tabs>
          <w:tab w:val="right" w:leader="dot" w:pos="9974"/>
        </w:tabs>
        <w:spacing w:before="40" w:after="40"/>
        <w:ind w:left="1134" w:hanging="1134"/>
      </w:pPr>
      <w:hyperlink w:anchor="rot_Tabla_S_16" w:history="1">
        <w:r>
          <w:t xml:space="preserve">Tabla S.16. Presupuesto SGR en los 11 rubros del Anexo 3</w:t>
        </w:r>
        <w:r>
          <w:tab/>
        </w:r>
        <w:r>
          <w:fldChar w:fldCharType="begin"/>
        </w:r>
        <w:r>
          <w:instrText xml:space="preserve"> PAGEREF rot_Tabla_S_16 \h </w:instrText>
        </w:r>
        <w:r>
          <w:fldChar w:fldCharType="separate"/>
        </w:r>
        <w:r>
          <w:t>50</w:t>
        </w:r>
        <w:r>
          <w:fldChar w:fldCharType="end"/>
        </w:r>
      </w:hyperlink>
    </w:p>
    <w:p>
      <w:pPr>
        <w:pStyle w:val="Indice"/>
        <w:tabs>
          <w:tab w:val="right" w:leader="dot" w:pos="9974"/>
        </w:tabs>
        <w:spacing w:before="40" w:after="40"/>
        <w:ind w:left="1134" w:hanging="1134"/>
      </w:pPr>
      <w:hyperlink w:anchor="rot_Tabla_S_17" w:history="1">
        <w:r>
          <w:t xml:space="preserve">Tabla S.17. Ajustes aplicados al presupuesto SGR</w:t>
        </w:r>
        <w:r>
          <w:tab/>
        </w:r>
        <w:r>
          <w:fldChar w:fldCharType="begin"/>
        </w:r>
        <w:r>
          <w:instrText xml:space="preserve"> PAGEREF rot_Tabla_S_17 \h </w:instrText>
        </w:r>
        <w:r>
          <w:fldChar w:fldCharType="separate"/>
        </w:r>
        <w:r>
          <w:t>50</w:t>
        </w:r>
        <w:r>
          <w:fldChar w:fldCharType="end"/>
        </w:r>
      </w:hyperlink>
    </w:p>
    <w:p>
      <w:pPr>
        <w:pStyle w:val="Indice"/>
        <w:tabs>
          <w:tab w:val="right" w:leader="dot" w:pos="9974"/>
        </w:tabs>
        <w:spacing w:before="40" w:after="40"/>
        <w:ind w:left="1134" w:hanging="1134"/>
      </w:pPr>
      <w:hyperlink w:anchor="rot_Tabla_S_18" w:history="1">
        <w:r>
          <w:t xml:space="preserve">Tabla S.18. Reserva de contingencia asociada a los rubros del Anexo 3</w:t>
        </w:r>
        <w:r>
          <w:tab/>
        </w:r>
        <w:r>
          <w:fldChar w:fldCharType="begin"/>
        </w:r>
        <w:r>
          <w:instrText xml:space="preserve"> PAGEREF rot_Tabla_S_18 \h </w:instrText>
        </w:r>
        <w:r>
          <w:fldChar w:fldCharType="separate"/>
        </w:r>
        <w:r>
          <w:t>51</w:t>
        </w:r>
        <w:r>
          <w:fldChar w:fldCharType="end"/>
        </w:r>
      </w:hyperlink>
    </w:p>
    <w:p>
      <w:pPr>
        <w:pStyle w:val="Indice"/>
        <w:tabs>
          <w:tab w:val="right" w:leader="dot" w:pos="9974"/>
        </w:tabs>
        <w:spacing w:before="40" w:after="40"/>
        <w:ind w:left="1134" w:hanging="1134"/>
      </w:pPr>
      <w:hyperlink w:anchor="rot_Tabla_D_1" w:history="1">
        <w:r>
          <w:t xml:space="preserve">Tabla D.1. Identificación del proyecto</w:t>
        </w:r>
        <w:r>
          <w:tab/>
        </w:r>
        <w:r>
          <w:fldChar w:fldCharType="begin"/>
        </w:r>
        <w:r>
          <w:instrText xml:space="preserve"> PAGEREF rot_Tabla_D_1 \h </w:instrText>
        </w:r>
        <w:r>
          <w:fldChar w:fldCharType="separate"/>
        </w:r>
        <w:r>
          <w:t>52</w:t>
        </w:r>
        <w:r>
          <w:fldChar w:fldCharType="end"/>
        </w:r>
      </w:hyperlink>
    </w:p>
    <w:p>
      <w:pPr>
        <w:pStyle w:val="Indice"/>
        <w:tabs>
          <w:tab w:val="right" w:leader="dot" w:pos="9974"/>
        </w:tabs>
        <w:spacing w:before="40" w:after="40"/>
        <w:ind w:left="1134" w:hanging="1134"/>
      </w:pPr>
      <w:hyperlink w:anchor="rot_Tabla_D_2" w:history="1">
        <w:r>
          <w:t xml:space="preserve">Tabla D.2. Grupos de investigación vinculados al proyecto</w:t>
        </w:r>
        <w:r>
          <w:tab/>
        </w:r>
        <w:r>
          <w:fldChar w:fldCharType="begin"/>
        </w:r>
        <w:r>
          <w:instrText xml:space="preserve"> PAGEREF rot_Tabla_D_2 \h </w:instrText>
        </w:r>
        <w:r>
          <w:fldChar w:fldCharType="separate"/>
        </w:r>
        <w:r>
          <w:t>53</w:t>
        </w:r>
        <w:r>
          <w:fldChar w:fldCharType="end"/>
        </w:r>
      </w:hyperlink>
    </w:p>
    <w:p>
      <w:pPr>
        <w:pStyle w:val="Indice"/>
        <w:tabs>
          <w:tab w:val="right" w:leader="dot" w:pos="9974"/>
        </w:tabs>
        <w:spacing w:before="40" w:after="40"/>
        <w:ind w:left="1134" w:hanging="1134"/>
      </w:pPr>
      <w:hyperlink w:anchor="rot_Tabla_D_3" w:history="1">
        <w:r>
          <w:t xml:space="preserve">Tabla D.3. Alineación con los planes de desarrollo</w:t>
        </w:r>
        <w:r>
          <w:tab/>
        </w:r>
        <w:r>
          <w:fldChar w:fldCharType="begin"/>
        </w:r>
        <w:r>
          <w:instrText xml:space="preserve"> PAGEREF rot_Tabla_D_3 \h </w:instrText>
        </w:r>
        <w:r>
          <w:fldChar w:fldCharType="separate"/>
        </w:r>
        <w:r>
          <w:t>54</w:t>
        </w:r>
        <w:r>
          <w:fldChar w:fldCharType="end"/>
        </w:r>
      </w:hyperlink>
    </w:p>
    <w:p>
      <w:pPr>
        <w:pStyle w:val="Indice"/>
        <w:tabs>
          <w:tab w:val="right" w:leader="dot" w:pos="9974"/>
        </w:tabs>
        <w:spacing w:before="40" w:after="40"/>
        <w:ind w:left="1134" w:hanging="1134"/>
      </w:pPr>
      <w:hyperlink w:anchor="rot_Tabla_D_4" w:history="1">
        <w:r>
          <w:t xml:space="preserve">Tabla D.4. Indicadores de referencia de la magnitud del problema</w:t>
        </w:r>
        <w:r>
          <w:tab/>
        </w:r>
        <w:r>
          <w:fldChar w:fldCharType="begin"/>
        </w:r>
        <w:r>
          <w:instrText xml:space="preserve"> PAGEREF rot_Tabla_D_4 \h </w:instrText>
        </w:r>
        <w:r>
          <w:fldChar w:fldCharType="separate"/>
        </w:r>
        <w:r>
          <w:t>56</w:t>
        </w:r>
        <w:r>
          <w:fldChar w:fldCharType="end"/>
        </w:r>
      </w:hyperlink>
    </w:p>
    <w:p>
      <w:pPr>
        <w:pStyle w:val="Indice"/>
        <w:tabs>
          <w:tab w:val="right" w:leader="dot" w:pos="9974"/>
        </w:tabs>
        <w:spacing w:before="40" w:after="40"/>
        <w:ind w:left="1134" w:hanging="1134"/>
      </w:pPr>
      <w:hyperlink w:anchor="rot_Tabla_D_5" w:history="1">
        <w:r>
          <w:t xml:space="preserve">Tabla D.5. Árbol de problemas</w:t>
        </w:r>
        <w:r>
          <w:tab/>
        </w:r>
        <w:r>
          <w:fldChar w:fldCharType="begin"/>
        </w:r>
        <w:r>
          <w:instrText xml:space="preserve"> PAGEREF rot_Tabla_D_5 \h </w:instrText>
        </w:r>
        <w:r>
          <w:fldChar w:fldCharType="separate"/>
        </w:r>
        <w:r>
          <w:t>57</w:t>
        </w:r>
        <w:r>
          <w:fldChar w:fldCharType="end"/>
        </w:r>
      </w:hyperlink>
    </w:p>
    <w:p>
      <w:pPr>
        <w:pStyle w:val="Indice"/>
        <w:tabs>
          <w:tab w:val="right" w:leader="dot" w:pos="9974"/>
        </w:tabs>
        <w:spacing w:before="40" w:after="40"/>
        <w:ind w:left="1134" w:hanging="1134"/>
      </w:pPr>
      <w:hyperlink w:anchor="rot_Tabla_D_6" w:history="1">
        <w:r>
          <w:t xml:space="preserve">Tabla D.6. Articulación con retos estratégicos y demandas territoriales</w:t>
        </w:r>
        <w:r>
          <w:tab/>
        </w:r>
        <w:r>
          <w:fldChar w:fldCharType="begin"/>
        </w:r>
        <w:r>
          <w:instrText xml:space="preserve"> PAGEREF rot_Tabla_D_6 \h </w:instrText>
        </w:r>
        <w:r>
          <w:fldChar w:fldCharType="separate"/>
        </w:r>
        <w:r>
          <w:t>58</w:t>
        </w:r>
        <w:r>
          <w:fldChar w:fldCharType="end"/>
        </w:r>
      </w:hyperlink>
    </w:p>
    <w:p>
      <w:pPr>
        <w:pStyle w:val="Indice"/>
        <w:tabs>
          <w:tab w:val="right" w:leader="dot" w:pos="9974"/>
        </w:tabs>
        <w:spacing w:before="40" w:after="40"/>
        <w:ind w:left="1134" w:hanging="1134"/>
      </w:pPr>
      <w:hyperlink w:anchor="rot_Tabla_D_7" w:history="1">
        <w:r>
          <w:t xml:space="preserve">Tabla D.7. Análisis de participantes</w:t>
        </w:r>
        <w:r>
          <w:tab/>
        </w:r>
        <w:r>
          <w:fldChar w:fldCharType="begin"/>
        </w:r>
        <w:r>
          <w:instrText xml:space="preserve"> PAGEREF rot_Tabla_D_7 \h </w:instrText>
        </w:r>
        <w:r>
          <w:fldChar w:fldCharType="separate"/>
        </w:r>
        <w:r>
          <w:t>59</w:t>
        </w:r>
        <w:r>
          <w:fldChar w:fldCharType="end"/>
        </w:r>
      </w:hyperlink>
    </w:p>
    <w:p>
      <w:pPr>
        <w:pStyle w:val="Indice"/>
        <w:tabs>
          <w:tab w:val="right" w:leader="dot" w:pos="9974"/>
        </w:tabs>
        <w:spacing w:before="40" w:after="40"/>
        <w:ind w:left="1134" w:hanging="1134"/>
      </w:pPr>
      <w:hyperlink w:anchor="rot_Tabla_D_8" w:history="1">
        <w:r>
          <w:t xml:space="preserve">Tabla D.8. Actores diferenciales para el cambio</w:t>
        </w:r>
        <w:r>
          <w:tab/>
        </w:r>
        <w:r>
          <w:fldChar w:fldCharType="begin"/>
        </w:r>
        <w:r>
          <w:instrText xml:space="preserve"> PAGEREF rot_Tabla_D_8 \h </w:instrText>
        </w:r>
        <w:r>
          <w:fldChar w:fldCharType="separate"/>
        </w:r>
        <w:r>
          <w:t>61</w:t>
        </w:r>
        <w:r>
          <w:fldChar w:fldCharType="end"/>
        </w:r>
      </w:hyperlink>
    </w:p>
    <w:p>
      <w:pPr>
        <w:pStyle w:val="Indice"/>
        <w:tabs>
          <w:tab w:val="right" w:leader="dot" w:pos="9974"/>
        </w:tabs>
        <w:spacing w:before="40" w:after="40"/>
        <w:ind w:left="1134" w:hanging="1134"/>
      </w:pPr>
      <w:hyperlink w:anchor="rot_Tabla_D_9" w:history="1">
        <w:r>
          <w:t xml:space="preserve">Tabla D.9. Objetivo general</w:t>
        </w:r>
        <w:r>
          <w:tab/>
        </w:r>
        <w:r>
          <w:fldChar w:fldCharType="begin"/>
        </w:r>
        <w:r>
          <w:instrText xml:space="preserve"> PAGEREF rot_Tabla_D_9 \h </w:instrText>
        </w:r>
        <w:r>
          <w:fldChar w:fldCharType="separate"/>
        </w:r>
        <w:r>
          <w:t>62</w:t>
        </w:r>
        <w:r>
          <w:fldChar w:fldCharType="end"/>
        </w:r>
      </w:hyperlink>
    </w:p>
    <w:p>
      <w:pPr>
        <w:pStyle w:val="Indice"/>
        <w:tabs>
          <w:tab w:val="right" w:leader="dot" w:pos="9974"/>
        </w:tabs>
        <w:spacing w:before="40" w:after="40"/>
        <w:ind w:left="1134" w:hanging="1134"/>
      </w:pPr>
      <w:hyperlink w:anchor="rot_Tabla_D_10" w:history="1">
        <w:r>
          <w:t xml:space="preserve">Tabla D.10. Objetivos específicos</w:t>
        </w:r>
        <w:r>
          <w:tab/>
        </w:r>
        <w:r>
          <w:fldChar w:fldCharType="begin"/>
        </w:r>
        <w:r>
          <w:instrText xml:space="preserve"> PAGEREF rot_Tabla_D_10 \h </w:instrText>
        </w:r>
        <w:r>
          <w:fldChar w:fldCharType="separate"/>
        </w:r>
        <w:r>
          <w:t>63</w:t>
        </w:r>
        <w:r>
          <w:fldChar w:fldCharType="end"/>
        </w:r>
      </w:hyperlink>
    </w:p>
    <w:p>
      <w:pPr>
        <w:pStyle w:val="Indice"/>
        <w:tabs>
          <w:tab w:val="right" w:leader="dot" w:pos="9974"/>
        </w:tabs>
        <w:spacing w:before="40" w:after="40"/>
        <w:ind w:left="1134" w:hanging="1134"/>
      </w:pPr>
      <w:hyperlink w:anchor="rot_Tabla_D_11" w:history="1">
        <w:r>
          <w:t xml:space="preserve">Tabla D.11. Árbol de objetivos</w:t>
        </w:r>
        <w:r>
          <w:tab/>
        </w:r>
        <w:r>
          <w:fldChar w:fldCharType="begin"/>
        </w:r>
        <w:r>
          <w:instrText xml:space="preserve"> PAGEREF rot_Tabla_D_11 \h </w:instrText>
        </w:r>
        <w:r>
          <w:fldChar w:fldCharType="separate"/>
        </w:r>
        <w:r>
          <w:t>63</w:t>
        </w:r>
        <w:r>
          <w:fldChar w:fldCharType="end"/>
        </w:r>
      </w:hyperlink>
    </w:p>
    <w:p>
      <w:pPr>
        <w:pStyle w:val="Indice"/>
        <w:tabs>
          <w:tab w:val="right" w:leader="dot" w:pos="9974"/>
        </w:tabs>
        <w:spacing w:before="40" w:after="40"/>
        <w:ind w:left="1134" w:hanging="1134"/>
      </w:pPr>
      <w:hyperlink w:anchor="rot_Tabla_D_12" w:history="1">
        <w:r>
          <w:t xml:space="preserve">Tabla D.12. Análisis de alternativas</w:t>
        </w:r>
        <w:r>
          <w:tab/>
        </w:r>
        <w:r>
          <w:fldChar w:fldCharType="begin"/>
        </w:r>
        <w:r>
          <w:instrText xml:space="preserve"> PAGEREF rot_Tabla_D_12 \h </w:instrText>
        </w:r>
        <w:r>
          <w:fldChar w:fldCharType="separate"/>
        </w:r>
        <w:r>
          <w:t>64</w:t>
        </w:r>
        <w:r>
          <w:fldChar w:fldCharType="end"/>
        </w:r>
      </w:hyperlink>
    </w:p>
    <w:p>
      <w:pPr>
        <w:pStyle w:val="Indice"/>
        <w:tabs>
          <w:tab w:val="right" w:leader="dot" w:pos="9974"/>
        </w:tabs>
        <w:spacing w:before="40" w:after="40"/>
        <w:ind w:left="1134" w:hanging="1134"/>
      </w:pPr>
      <w:hyperlink w:anchor="rot_Tabla_D_13" w:history="1">
        <w:r>
          <w:t xml:space="preserve">Tabla D.13. Ruta de madurez tecnológica</w:t>
        </w:r>
        <w:r>
          <w:tab/>
        </w:r>
        <w:r>
          <w:fldChar w:fldCharType="begin"/>
        </w:r>
        <w:r>
          <w:instrText xml:space="preserve"> PAGEREF rot_Tabla_D_13 \h </w:instrText>
        </w:r>
        <w:r>
          <w:fldChar w:fldCharType="separate"/>
        </w:r>
        <w:r>
          <w:t>65</w:t>
        </w:r>
        <w:r>
          <w:fldChar w:fldCharType="end"/>
        </w:r>
      </w:hyperlink>
    </w:p>
    <w:p>
      <w:pPr>
        <w:pStyle w:val="Indice"/>
        <w:tabs>
          <w:tab w:val="right" w:leader="dot" w:pos="9974"/>
        </w:tabs>
        <w:spacing w:before="40" w:after="40"/>
        <w:ind w:left="1134" w:hanging="1134"/>
      </w:pPr>
      <w:hyperlink w:anchor="rot_Tabla_D_14" w:history="1">
        <w:r>
          <w:t xml:space="preserve">Tabla D.14. Actividades del OE1: responsable, tareas, resultado y medio de verificación</w:t>
        </w:r>
        <w:r>
          <w:tab/>
        </w:r>
        <w:r>
          <w:fldChar w:fldCharType="begin"/>
        </w:r>
        <w:r>
          <w:instrText xml:space="preserve"> PAGEREF rot_Tabla_D_14 \h </w:instrText>
        </w:r>
        <w:r>
          <w:fldChar w:fldCharType="separate"/>
        </w:r>
        <w:r>
          <w:t>66</w:t>
        </w:r>
        <w:r>
          <w:fldChar w:fldCharType="end"/>
        </w:r>
      </w:hyperlink>
    </w:p>
    <w:p>
      <w:pPr>
        <w:pStyle w:val="Indice"/>
        <w:tabs>
          <w:tab w:val="right" w:leader="dot" w:pos="9974"/>
        </w:tabs>
        <w:spacing w:before="40" w:after="40"/>
        <w:ind w:left="1134" w:hanging="1134"/>
      </w:pPr>
      <w:hyperlink w:anchor="rot_Tabla_D_15" w:history="1">
        <w:r>
          <w:t xml:space="preserve">Tabla D.15. Actividades del OE2: responsable, tareas, resultado y medio de verificación</w:t>
        </w:r>
        <w:r>
          <w:tab/>
        </w:r>
        <w:r>
          <w:fldChar w:fldCharType="begin"/>
        </w:r>
        <w:r>
          <w:instrText xml:space="preserve"> PAGEREF rot_Tabla_D_15 \h </w:instrText>
        </w:r>
        <w:r>
          <w:fldChar w:fldCharType="separate"/>
        </w:r>
        <w:r>
          <w:t>67</w:t>
        </w:r>
        <w:r>
          <w:fldChar w:fldCharType="end"/>
        </w:r>
      </w:hyperlink>
    </w:p>
    <w:p>
      <w:pPr>
        <w:pStyle w:val="Indice"/>
        <w:tabs>
          <w:tab w:val="right" w:leader="dot" w:pos="9974"/>
        </w:tabs>
        <w:spacing w:before="40" w:after="40"/>
        <w:ind w:left="1134" w:hanging="1134"/>
      </w:pPr>
      <w:hyperlink w:anchor="rot_Tabla_D_16" w:history="1">
        <w:r>
          <w:t xml:space="preserve">Tabla D.16. Actividades del OE3: responsable, tareas, resultado y medio de verificación</w:t>
        </w:r>
        <w:r>
          <w:tab/>
        </w:r>
        <w:r>
          <w:fldChar w:fldCharType="begin"/>
        </w:r>
        <w:r>
          <w:instrText xml:space="preserve"> PAGEREF rot_Tabla_D_16 \h </w:instrText>
        </w:r>
        <w:r>
          <w:fldChar w:fldCharType="separate"/>
        </w:r>
        <w:r>
          <w:t>68</w:t>
        </w:r>
        <w:r>
          <w:fldChar w:fldCharType="end"/>
        </w:r>
      </w:hyperlink>
    </w:p>
    <w:p>
      <w:pPr>
        <w:pStyle w:val="Indice"/>
        <w:tabs>
          <w:tab w:val="right" w:leader="dot" w:pos="9974"/>
        </w:tabs>
        <w:spacing w:before="40" w:after="40"/>
        <w:ind w:left="1134" w:hanging="1134"/>
      </w:pPr>
      <w:hyperlink w:anchor="rot_Tabla_D_17" w:history="1">
        <w:r>
          <w:t xml:space="preserve">Tabla D.17. Cadena de valor</w:t>
        </w:r>
        <w:r>
          <w:tab/>
        </w:r>
        <w:r>
          <w:fldChar w:fldCharType="begin"/>
        </w:r>
        <w:r>
          <w:instrText xml:space="preserve"> PAGEREF rot_Tabla_D_17 \h </w:instrText>
        </w:r>
        <w:r>
          <w:fldChar w:fldCharType="separate"/>
        </w:r>
        <w:r>
          <w:t>69</w:t>
        </w:r>
        <w:r>
          <w:fldChar w:fldCharType="end"/>
        </w:r>
      </w:hyperlink>
    </w:p>
    <w:p>
      <w:pPr>
        <w:pStyle w:val="Indice"/>
        <w:tabs>
          <w:tab w:val="right" w:leader="dot" w:pos="9974"/>
        </w:tabs>
        <w:spacing w:before="40" w:after="40"/>
        <w:ind w:left="1134" w:hanging="1134"/>
      </w:pPr>
      <w:hyperlink w:anchor="rot_Tabla_D_18" w:history="1">
        <w:r>
          <w:t xml:space="preserve">Tabla D.18. Valor de cada actividad (recursos SGR)</w:t>
        </w:r>
        <w:r>
          <w:tab/>
        </w:r>
        <w:r>
          <w:fldChar w:fldCharType="begin"/>
        </w:r>
        <w:r>
          <w:instrText xml:space="preserve"> PAGEREF rot_Tabla_D_18 \h </w:instrText>
        </w:r>
        <w:r>
          <w:fldChar w:fldCharType="separate"/>
        </w:r>
        <w:r>
          <w:t>70</w:t>
        </w:r>
        <w:r>
          <w:fldChar w:fldCharType="end"/>
        </w:r>
      </w:hyperlink>
    </w:p>
    <w:p>
      <w:pPr>
        <w:pStyle w:val="Indice"/>
        <w:tabs>
          <w:tab w:val="right" w:leader="dot" w:pos="9974"/>
        </w:tabs>
        <w:spacing w:before="40" w:after="40"/>
        <w:ind w:left="1134" w:hanging="1134"/>
      </w:pPr>
      <w:hyperlink w:anchor="rot_Tabla_D_19" w:history="1">
        <w:r>
          <w:t xml:space="preserve">Tabla D.19. Sostenibilidad: transferencia por componente y condición de recepción</w:t>
        </w:r>
        <w:r>
          <w:tab/>
        </w:r>
        <w:r>
          <w:fldChar w:fldCharType="begin"/>
        </w:r>
        <w:r>
          <w:instrText xml:space="preserve"> PAGEREF rot_Tabla_D_19 \h </w:instrText>
        </w:r>
        <w:r>
          <w:fldChar w:fldCharType="separate"/>
        </w:r>
        <w:r>
          <w:t>72</w:t>
        </w:r>
        <w:r>
          <w:fldChar w:fldCharType="end"/>
        </w:r>
      </w:hyperlink>
    </w:p>
    <w:p>
      <w:pPr>
        <w:pStyle w:val="Indice"/>
        <w:tabs>
          <w:tab w:val="right" w:leader="dot" w:pos="9974"/>
        </w:tabs>
        <w:spacing w:before="40" w:after="40"/>
        <w:ind w:left="1134" w:hanging="1134"/>
      </w:pPr>
      <w:hyperlink w:anchor="rot_Tabla_D_20" w:history="1">
        <w:r>
          <w:t xml:space="preserve">Tabla D.20. Resultados e impactos por horizonte</w:t>
        </w:r>
        <w:r>
          <w:tab/>
        </w:r>
        <w:r>
          <w:fldChar w:fldCharType="begin"/>
        </w:r>
        <w:r>
          <w:instrText xml:space="preserve"> PAGEREF rot_Tabla_D_20 \h </w:instrText>
        </w:r>
        <w:r>
          <w:fldChar w:fldCharType="separate"/>
        </w:r>
        <w:r>
          <w:t>72</w:t>
        </w:r>
        <w:r>
          <w:fldChar w:fldCharType="end"/>
        </w:r>
      </w:hyperlink>
    </w:p>
    <w:p>
      <w:pPr>
        <w:pStyle w:val="Indice"/>
        <w:tabs>
          <w:tab w:val="right" w:leader="dot" w:pos="9974"/>
        </w:tabs>
        <w:spacing w:before="40" w:after="40"/>
        <w:ind w:left="1134" w:hanging="1134"/>
      </w:pPr>
      <w:hyperlink w:anchor="rot_Tabla_D_21" w:history="1">
        <w:r>
          <w:t xml:space="preserve">Tabla D.21. Resultados, usuarios y oportunidades de transferencia</w:t>
        </w:r>
        <w:r>
          <w:tab/>
        </w:r>
        <w:r>
          <w:fldChar w:fldCharType="begin"/>
        </w:r>
        <w:r>
          <w:instrText xml:space="preserve"> PAGEREF rot_Tabla_D_21 \h </w:instrText>
        </w:r>
        <w:r>
          <w:fldChar w:fldCharType="separate"/>
        </w:r>
        <w:r>
          <w:t>74</w:t>
        </w:r>
        <w:r>
          <w:fldChar w:fldCharType="end"/>
        </w:r>
      </w:hyperlink>
    </w:p>
    <w:p>
      <w:pPr>
        <w:pStyle w:val="Indice"/>
        <w:tabs>
          <w:tab w:val="right" w:leader="dot" w:pos="9974"/>
        </w:tabs>
        <w:spacing w:before="40" w:after="40"/>
        <w:ind w:left="1134" w:hanging="1134"/>
      </w:pPr>
      <w:hyperlink w:anchor="rot_Tabla_D_22" w:history="1">
        <w:r>
          <w:t xml:space="preserve">Tabla D.22. Ruta de transferencia y principales barreras</w:t>
        </w:r>
        <w:r>
          <w:tab/>
        </w:r>
        <w:r>
          <w:fldChar w:fldCharType="begin"/>
        </w:r>
        <w:r>
          <w:instrText xml:space="preserve"> PAGEREF rot_Tabla_D_22 \h </w:instrText>
        </w:r>
        <w:r>
          <w:fldChar w:fldCharType="separate"/>
        </w:r>
        <w:r>
          <w:t>74</w:t>
        </w:r>
        <w:r>
          <w:fldChar w:fldCharType="end"/>
        </w:r>
      </w:hyperlink>
    </w:p>
    <w:p>
      <w:pPr>
        <w:pStyle w:val="Indice"/>
        <w:tabs>
          <w:tab w:val="right" w:leader="dot" w:pos="9974"/>
        </w:tabs>
        <w:spacing w:before="40" w:after="40"/>
        <w:ind w:left="1134" w:hanging="1134"/>
      </w:pPr>
      <w:hyperlink w:anchor="rot_Tabla_D_23" w:history="1">
        <w:r>
          <w:t xml:space="preserve">Tabla D.23. Actividades, productos, indicadores y presupuesto del plan de transferencia</w:t>
        </w:r>
        <w:r>
          <w:tab/>
        </w:r>
        <w:r>
          <w:fldChar w:fldCharType="begin"/>
        </w:r>
        <w:r>
          <w:instrText xml:space="preserve"> PAGEREF rot_Tabla_D_23 \h </w:instrText>
        </w:r>
        <w:r>
          <w:fldChar w:fldCharType="separate"/>
        </w:r>
        <w:r>
          <w:t>75</w:t>
        </w:r>
        <w:r>
          <w:fldChar w:fldCharType="end"/>
        </w:r>
      </w:hyperlink>
    </w:p>
    <w:p>
      <w:pPr>
        <w:pStyle w:val="Indice"/>
        <w:tabs>
          <w:tab w:val="right" w:leader="dot" w:pos="9974"/>
        </w:tabs>
        <w:spacing w:before="40" w:after="40"/>
        <w:ind w:left="1134" w:hanging="1134"/>
      </w:pPr>
      <w:hyperlink w:anchor="rot_Tabla_D_24" w:history="1">
        <w:r>
          <w:t xml:space="preserve">Tabla D.24. Componentes de la estrategia de apropiación social</w:t>
        </w:r>
        <w:r>
          <w:tab/>
        </w:r>
        <w:r>
          <w:fldChar w:fldCharType="begin"/>
        </w:r>
        <w:r>
          <w:instrText xml:space="preserve"> PAGEREF rot_Tabla_D_24 \h </w:instrText>
        </w:r>
        <w:r>
          <w:fldChar w:fldCharType="separate"/>
        </w:r>
        <w:r>
          <w:t>76</w:t>
        </w:r>
        <w:r>
          <w:fldChar w:fldCharType="end"/>
        </w:r>
      </w:hyperlink>
    </w:p>
    <w:p>
      <w:pPr>
        <w:pStyle w:val="Indice"/>
        <w:tabs>
          <w:tab w:val="right" w:leader="dot" w:pos="9974"/>
        </w:tabs>
        <w:spacing w:before="40" w:after="40"/>
        <w:ind w:left="1134" w:hanging="1134"/>
      </w:pPr>
      <w:hyperlink w:anchor="rot_Tabla_D_25" w:history="1">
        <w:r>
          <w:t xml:space="preserve">Tabla D.25. Productos esperados (programa 3906)</w:t>
        </w:r>
        <w:r>
          <w:tab/>
        </w:r>
        <w:r>
          <w:fldChar w:fldCharType="begin"/>
        </w:r>
        <w:r>
          <w:instrText xml:space="preserve"> PAGEREF rot_Tabla_D_25 \h </w:instrText>
        </w:r>
        <w:r>
          <w:fldChar w:fldCharType="separate"/>
        </w:r>
        <w:r>
          <w:t>77</w:t>
        </w:r>
        <w:r>
          <w:fldChar w:fldCharType="end"/>
        </w:r>
      </w:hyperlink>
    </w:p>
    <w:p>
      <w:pPr>
        <w:pStyle w:val="Indice"/>
        <w:tabs>
          <w:tab w:val="right" w:leader="dot" w:pos="9974"/>
        </w:tabs>
        <w:spacing w:before="40" w:after="40"/>
        <w:ind w:left="1134" w:hanging="1134"/>
      </w:pPr>
      <w:hyperlink w:anchor="rot_Tabla_D_26" w:history="1">
        <w:r>
          <w:t xml:space="preserve">Tabla D.26. Cronograma de actividades por mes</w:t>
        </w:r>
        <w:r>
          <w:tab/>
        </w:r>
        <w:r>
          <w:fldChar w:fldCharType="begin"/>
        </w:r>
        <w:r>
          <w:instrText xml:space="preserve"> PAGEREF rot_Tabla_D_26 \h </w:instrText>
        </w:r>
        <w:r>
          <w:fldChar w:fldCharType="separate"/>
        </w:r>
        <w:r>
          <w:t>79</w:t>
        </w:r>
        <w:r>
          <w:fldChar w:fldCharType="end"/>
        </w:r>
      </w:hyperlink>
    </w:p>
    <w:p>
      <w:pPr>
        <w:pStyle w:val="Indice"/>
        <w:tabs>
          <w:tab w:val="right" w:leader="dot" w:pos="9974"/>
        </w:tabs>
        <w:spacing w:before="40" w:after="40"/>
        <w:ind w:left="1134" w:hanging="1134"/>
      </w:pPr>
      <w:hyperlink w:anchor="rot_Tabla_D_27" w:history="1">
        <w:r>
          <w:t xml:space="preserve">Tabla D.27. Análisis de riesgos</w:t>
        </w:r>
        <w:r>
          <w:tab/>
        </w:r>
        <w:r>
          <w:fldChar w:fldCharType="begin"/>
        </w:r>
        <w:r>
          <w:instrText xml:space="preserve"> PAGEREF rot_Tabla_D_27 \h </w:instrText>
        </w:r>
        <w:r>
          <w:fldChar w:fldCharType="separate"/>
        </w:r>
        <w:r>
          <w:t>80</w:t>
        </w:r>
        <w:r>
          <w:fldChar w:fldCharType="end"/>
        </w:r>
      </w:hyperlink>
    </w:p>
    <w:p>
      <w:pPr>
        <w:pStyle w:val="Indice"/>
        <w:tabs>
          <w:tab w:val="right" w:leader="dot" w:pos="9974"/>
        </w:tabs>
        <w:spacing w:before="40" w:after="40"/>
        <w:ind w:left="1134" w:hanging="1134"/>
      </w:pPr>
      <w:hyperlink w:anchor="rot_Tabla_D_28" w:history="1">
        <w:r>
          <w:t xml:space="preserve">Tabla D.28. Indicadores de gestión</w:t>
        </w:r>
        <w:r>
          <w:tab/>
        </w:r>
        <w:r>
          <w:fldChar w:fldCharType="begin"/>
        </w:r>
        <w:r>
          <w:instrText xml:space="preserve"> PAGEREF rot_Tabla_D_28 \h </w:instrText>
        </w:r>
        <w:r>
          <w:fldChar w:fldCharType="separate"/>
        </w:r>
        <w:r>
          <w:t>81</w:t>
        </w:r>
        <w:r>
          <w:fldChar w:fldCharType="end"/>
        </w:r>
      </w:hyperlink>
    </w:p>
    <w:p>
      <w:pPr>
        <w:pStyle w:val="Indice"/>
        <w:tabs>
          <w:tab w:val="right" w:leader="dot" w:pos="9974"/>
        </w:tabs>
        <w:spacing w:before="40" w:after="40"/>
        <w:ind w:left="1134" w:hanging="1134"/>
      </w:pPr>
      <w:hyperlink w:anchor="rot_Tabla_D_29" w:history="1">
        <w:r>
          <w:t xml:space="preserve">Tabla D.29. Indicadores de producto, de efecto y de sostenibilidad</w:t>
        </w:r>
        <w:r>
          <w:tab/>
        </w:r>
        <w:r>
          <w:fldChar w:fldCharType="begin"/>
        </w:r>
        <w:r>
          <w:instrText xml:space="preserve"> PAGEREF rot_Tabla_D_29 \h </w:instrText>
        </w:r>
        <w:r>
          <w:fldChar w:fldCharType="separate"/>
        </w:r>
        <w:r>
          <w:t>82</w:t>
        </w:r>
        <w:r>
          <w:fldChar w:fldCharType="end"/>
        </w:r>
      </w:hyperlink>
    </w:p>
    <w:p>
      <w:pPr>
        <w:pStyle w:val="Indice"/>
        <w:tabs>
          <w:tab w:val="right" w:leader="dot" w:pos="9974"/>
        </w:tabs>
        <w:spacing w:before="40" w:after="40"/>
        <w:ind w:left="1134" w:hanging="1134"/>
      </w:pPr>
      <w:hyperlink w:anchor="rot_Tabla_D_30" w:history="1">
        <w:r>
          <w:t xml:space="preserve">Tabla D.30. Aportes de cada integrante de la alianza</w:t>
        </w:r>
        <w:r>
          <w:tab/>
        </w:r>
        <w:r>
          <w:fldChar w:fldCharType="begin"/>
        </w:r>
        <w:r>
          <w:instrText xml:space="preserve"> PAGEREF rot_Tabla_D_30 \h </w:instrText>
        </w:r>
        <w:r>
          <w:fldChar w:fldCharType="separate"/>
        </w:r>
        <w:r>
          <w:t>83</w:t>
        </w:r>
        <w:r>
          <w:fldChar w:fldCharType="end"/>
        </w:r>
      </w:hyperlink>
    </w:p>
    <w:p>
      <w:pPr>
        <w:pStyle w:val="Indice"/>
        <w:tabs>
          <w:tab w:val="right" w:leader="dot" w:pos="9974"/>
        </w:tabs>
        <w:spacing w:before="40" w:after="40"/>
        <w:ind w:left="1134" w:hanging="1134"/>
      </w:pPr>
      <w:hyperlink w:anchor="rot_Tabla_D_31" w:history="1">
        <w:r>
          <w:t xml:space="preserve">Tabla D.31. Licencias, permisos y requerimientos</w:t>
        </w:r>
        <w:r>
          <w:tab/>
        </w:r>
        <w:r>
          <w:fldChar w:fldCharType="begin"/>
        </w:r>
        <w:r>
          <w:instrText xml:space="preserve"> PAGEREF rot_Tabla_D_31 \h </w:instrText>
        </w:r>
        <w:r>
          <w:fldChar w:fldCharType="separate"/>
        </w:r>
        <w:r>
          <w:t>84</w:t>
        </w:r>
        <w:r>
          <w:fldChar w:fldCharType="end"/>
        </w:r>
      </w:hyperlink>
    </w:p>
    <w:p>
      <w:pPr>
        <w:pStyle w:val="Indice"/>
        <w:tabs>
          <w:tab w:val="right" w:leader="dot" w:pos="9974"/>
        </w:tabs>
        <w:spacing w:before="40" w:after="40"/>
        <w:ind w:left="1134" w:hanging="1134"/>
      </w:pPr>
      <w:hyperlink w:anchor="rot_Tabla_D_32" w:history="1">
        <w:r>
          <w:t xml:space="preserve">Tabla D.32. Resumen de fuentes de financiación</w:t>
        </w:r>
        <w:r>
          <w:tab/>
        </w:r>
        <w:r>
          <w:fldChar w:fldCharType="begin"/>
        </w:r>
        <w:r>
          <w:instrText xml:space="preserve"> PAGEREF rot_Tabla_D_32 \h </w:instrText>
        </w:r>
        <w:r>
          <w:fldChar w:fldCharType="separate"/>
        </w:r>
        <w:r>
          <w:t>85</w:t>
        </w:r>
        <w:r>
          <w:fldChar w:fldCharType="end"/>
        </w:r>
      </w:hyperlink>
    </w:p>
    <w:p>
      <w:pPr>
        <w:pStyle w:val="Indice"/>
        <w:tabs>
          <w:tab w:val="right" w:leader="dot" w:pos="9974"/>
        </w:tabs>
        <w:spacing w:before="40" w:after="40"/>
        <w:ind w:left="1134" w:hanging="1134"/>
      </w:pPr>
      <w:hyperlink w:anchor="rot_Tabla_29_1" w:history="1">
        <w:r>
          <w:t xml:space="preserve">Tabla 29.1. Resumen estadístico de las referencias por tipo, año, origen y verificación</w:t>
        </w:r>
        <w:r>
          <w:tab/>
        </w:r>
        <w:r>
          <w:fldChar w:fldCharType="begin"/>
        </w:r>
        <w:r>
          <w:instrText xml:space="preserve"> PAGEREF rot_Tabla_29_1 \h </w:instrText>
        </w:r>
        <w:r>
          <w:fldChar w:fldCharType="separate"/>
        </w:r>
        <w:r>
          <w:t>96</w:t>
        </w:r>
        <w:r>
          <w:fldChar w:fldCharType="end"/>
        </w:r>
      </w:hyperlink>
    </w:p>
    <w:p>
      <w:pPr>
        <w:pStyle w:val="Indice"/>
        <w:tabs>
          <w:tab w:val="right" w:leader="dot" w:pos="9974"/>
        </w:tabs>
        <w:spacing w:before="40" w:after="40"/>
        <w:ind w:left="1134" w:hanging="1134"/>
      </w:pPr>
      <w:hyperlink w:anchor="rot_Tabla_D_33" w:history="1">
        <w:r>
          <w:t xml:space="preserve">Tabla D.33. Anexos requeridos y estado</w:t>
        </w:r>
        <w:r>
          <w:tab/>
        </w:r>
        <w:r>
          <w:fldChar w:fldCharType="begin"/>
        </w:r>
        <w:r>
          <w:instrText xml:space="preserve"> PAGEREF rot_Tabla_D_33 \h </w:instrText>
        </w:r>
        <w:r>
          <w:fldChar w:fldCharType="separate"/>
        </w:r>
        <w:r>
          <w:t>97</w:t>
        </w:r>
        <w:r>
          <w:fldChar w:fldCharType="end"/>
        </w:r>
      </w:hyperlink>
    </w:p>
    <w:p>
      <w:pPr>
        <w:pStyle w:val="Indice"/>
        <w:tabs>
          <w:tab w:val="right" w:leader="dot" w:pos="9974"/>
        </w:tabs>
        <w:spacing w:before="40" w:after="40"/>
        <w:ind w:left="1134" w:hanging="1134"/>
      </w:pPr>
      <w:hyperlink w:anchor="rot_Tabla_F0_1" w:history="1">
        <w:r>
          <w:t xml:space="preserve">Tabla F0.1. Identificación de la convocatoria</w:t>
        </w:r>
        <w:r>
          <w:tab/>
        </w:r>
        <w:r>
          <w:fldChar w:fldCharType="begin"/>
        </w:r>
        <w:r>
          <w:instrText xml:space="preserve"> PAGEREF rot_Tabla_F0_1 \h </w:instrText>
        </w:r>
        <w:r>
          <w:fldChar w:fldCharType="separate"/>
        </w:r>
        <w:r>
          <w:t>98</w:t>
        </w:r>
        <w:r>
          <w:fldChar w:fldCharType="end"/>
        </w:r>
      </w:hyperlink>
    </w:p>
    <w:p>
      <w:pPr>
        <w:pStyle w:val="Indice"/>
        <w:tabs>
          <w:tab w:val="right" w:leader="dot" w:pos="9974"/>
        </w:tabs>
        <w:spacing w:before="40" w:after="40"/>
        <w:ind w:left="1134" w:hanging="1134"/>
      </w:pPr>
      <w:hyperlink w:anchor="rot_Tabla_F0_2" w:history="1">
        <w:r>
          <w:t xml:space="preserve">Tabla F0.2. Requisitos técnicos de la convocatoria</w:t>
        </w:r>
        <w:r>
          <w:tab/>
        </w:r>
        <w:r>
          <w:fldChar w:fldCharType="begin"/>
        </w:r>
        <w:r>
          <w:instrText xml:space="preserve"> PAGEREF rot_Tabla_F0_2 \h </w:instrText>
        </w:r>
        <w:r>
          <w:fldChar w:fldCharType="separate"/>
        </w:r>
        <w:r>
          <w:t>99</w:t>
        </w:r>
        <w:r>
          <w:fldChar w:fldCharType="end"/>
        </w:r>
      </w:hyperlink>
    </w:p>
    <w:p>
      <w:pPr>
        <w:pStyle w:val="Indice"/>
        <w:tabs>
          <w:tab w:val="right" w:leader="dot" w:pos="9974"/>
        </w:tabs>
        <w:spacing w:before="40" w:after="40"/>
        <w:ind w:left="1134" w:hanging="1134"/>
      </w:pPr>
      <w:hyperlink w:anchor="rot_Tabla_F0_3" w:history="1">
        <w:r>
          <w:t xml:space="preserve">Tabla F0.3. Estructura del documento único</w:t>
        </w:r>
        <w:r>
          <w:tab/>
        </w:r>
        <w:r>
          <w:fldChar w:fldCharType="begin"/>
        </w:r>
        <w:r>
          <w:instrText xml:space="preserve"> PAGEREF rot_Tabla_F0_3 \h </w:instrText>
        </w:r>
        <w:r>
          <w:fldChar w:fldCharType="separate"/>
        </w:r>
        <w:r>
          <w:t>100</w:t>
        </w:r>
        <w:r>
          <w:fldChar w:fldCharType="end"/>
        </w:r>
      </w:hyperlink>
    </w:p>
    <w:p>
      <w:pPr>
        <w:pStyle w:val="Indice"/>
        <w:tabs>
          <w:tab w:val="right" w:leader="dot" w:pos="9974"/>
        </w:tabs>
        <w:spacing w:before="40" w:after="40"/>
        <w:ind w:left="1134" w:hanging="1134"/>
      </w:pPr>
      <w:hyperlink w:anchor="rot_Tabla_F0_4" w:history="1">
        <w:r>
          <w:t xml:space="preserve">Tabla F0.4. Niveles de encabezado según APA 7 aplicados al documento</w:t>
        </w:r>
        <w:r>
          <w:tab/>
        </w:r>
        <w:r>
          <w:fldChar w:fldCharType="begin"/>
        </w:r>
        <w:r>
          <w:instrText xml:space="preserve"> PAGEREF rot_Tabla_F0_4 \h </w:instrText>
        </w:r>
        <w:r>
          <w:fldChar w:fldCharType="separate"/>
        </w:r>
        <w:r>
          <w:t>101</w:t>
        </w:r>
        <w:r>
          <w:fldChar w:fldCharType="end"/>
        </w:r>
      </w:hyperlink>
    </w:p>
    <w:p>
      <w:pPr>
        <w:pStyle w:val="Indice"/>
        <w:tabs>
          <w:tab w:val="right" w:leader="dot" w:pos="9974"/>
        </w:tabs>
        <w:spacing w:before="40" w:after="40"/>
        <w:ind w:left="1134" w:hanging="1134"/>
      </w:pPr>
      <w:hyperlink w:anchor="rot_Tabla_F0_5" w:history="1">
        <w:r>
          <w:t xml:space="preserve">Tabla F0.5. Registro de decisiones de formulación</w:t>
        </w:r>
        <w:r>
          <w:tab/>
        </w:r>
        <w:r>
          <w:fldChar w:fldCharType="begin"/>
        </w:r>
        <w:r>
          <w:instrText xml:space="preserve"> PAGEREF rot_Tabla_F0_5 \h </w:instrText>
        </w:r>
        <w:r>
          <w:fldChar w:fldCharType="separate"/>
        </w:r>
        <w:r>
          <w:t>103</w:t>
        </w:r>
        <w:r>
          <w:fldChar w:fldCharType="end"/>
        </w:r>
      </w:hyperlink>
    </w:p>
    <w:p>
      <w:pPr>
        <w:pStyle w:val="Indice"/>
        <w:tabs>
          <w:tab w:val="right" w:leader="dot" w:pos="9974"/>
        </w:tabs>
        <w:spacing w:before="40" w:after="40"/>
        <w:ind w:left="1134" w:hanging="1134"/>
      </w:pPr>
      <w:hyperlink w:anchor="rot_Tabla_F1_1" w:history="1">
        <w:r>
          <w:t xml:space="preserve">Tabla F1.1. Identificación del proyecto</w:t>
        </w:r>
        <w:r>
          <w:tab/>
        </w:r>
        <w:r>
          <w:fldChar w:fldCharType="begin"/>
        </w:r>
        <w:r>
          <w:instrText xml:space="preserve"> PAGEREF rot_Tabla_F1_1 \h </w:instrText>
        </w:r>
        <w:r>
          <w:fldChar w:fldCharType="separate"/>
        </w:r>
        <w:r>
          <w:t>105</w:t>
        </w:r>
        <w:r>
          <w:fldChar w:fldCharType="end"/>
        </w:r>
      </w:hyperlink>
    </w:p>
    <w:p>
      <w:pPr>
        <w:pStyle w:val="Indice"/>
        <w:tabs>
          <w:tab w:val="right" w:leader="dot" w:pos="9974"/>
        </w:tabs>
        <w:spacing w:before="40" w:after="40"/>
        <w:ind w:left="1134" w:hanging="1134"/>
      </w:pPr>
      <w:hyperlink w:anchor="rot_Tabla_F1_2" w:history="1">
        <w:r>
          <w:t xml:space="preserve">Tabla F1.2. Caracterización del problema</w:t>
        </w:r>
        <w:r>
          <w:tab/>
        </w:r>
        <w:r>
          <w:fldChar w:fldCharType="begin"/>
        </w:r>
        <w:r>
          <w:instrText xml:space="preserve"> PAGEREF rot_Tabla_F1_2 \h </w:instrText>
        </w:r>
        <w:r>
          <w:fldChar w:fldCharType="separate"/>
        </w:r>
        <w:r>
          <w:t>107</w:t>
        </w:r>
        <w:r>
          <w:fldChar w:fldCharType="end"/>
        </w:r>
      </w:hyperlink>
    </w:p>
    <w:p>
      <w:pPr>
        <w:pStyle w:val="Indice"/>
        <w:tabs>
          <w:tab w:val="right" w:leader="dot" w:pos="9974"/>
        </w:tabs>
        <w:spacing w:before="40" w:after="40"/>
        <w:ind w:left="1134" w:hanging="1134"/>
      </w:pPr>
      <w:hyperlink w:anchor="rot_Tabla_F1_3" w:history="1">
        <w:r>
          <w:t xml:space="preserve">Tabla F1.3. Hipótesis de solución</w:t>
        </w:r>
        <w:r>
          <w:tab/>
        </w:r>
        <w:r>
          <w:fldChar w:fldCharType="begin"/>
        </w:r>
        <w:r>
          <w:instrText xml:space="preserve"> PAGEREF rot_Tabla_F1_3 \h </w:instrText>
        </w:r>
        <w:r>
          <w:fldChar w:fldCharType="separate"/>
        </w:r>
        <w:r>
          <w:t>108</w:t>
        </w:r>
        <w:r>
          <w:fldChar w:fldCharType="end"/>
        </w:r>
      </w:hyperlink>
    </w:p>
    <w:p>
      <w:pPr>
        <w:pStyle w:val="Indice"/>
        <w:tabs>
          <w:tab w:val="right" w:leader="dot" w:pos="9974"/>
        </w:tabs>
        <w:spacing w:before="40" w:after="40"/>
        <w:ind w:left="1134" w:hanging="1134"/>
      </w:pPr>
      <w:hyperlink w:anchor="rot_Tabla_F1_4" w:history="1">
        <w:r>
          <w:t xml:space="preserve">Tabla F1.4. Contexto y alcance</w:t>
        </w:r>
        <w:r>
          <w:tab/>
        </w:r>
        <w:r>
          <w:fldChar w:fldCharType="begin"/>
        </w:r>
        <w:r>
          <w:instrText xml:space="preserve"> PAGEREF rot_Tabla_F1_4 \h </w:instrText>
        </w:r>
        <w:r>
          <w:fldChar w:fldCharType="separate"/>
        </w:r>
        <w:r>
          <w:t>109</w:t>
        </w:r>
        <w:r>
          <w:fldChar w:fldCharType="end"/>
        </w:r>
      </w:hyperlink>
    </w:p>
    <w:p>
      <w:pPr>
        <w:pStyle w:val="Indice"/>
        <w:tabs>
          <w:tab w:val="right" w:leader="dot" w:pos="9974"/>
        </w:tabs>
        <w:spacing w:before="40" w:after="40"/>
        <w:ind w:left="1134" w:hanging="1134"/>
      </w:pPr>
      <w:hyperlink w:anchor="rot_Tabla_F1_5" w:history="1">
        <w:r>
          <w:t xml:space="preserve">Tabla F1.5. Capacidades y antecedentes</w:t>
        </w:r>
        <w:r>
          <w:tab/>
        </w:r>
        <w:r>
          <w:fldChar w:fldCharType="begin"/>
        </w:r>
        <w:r>
          <w:instrText xml:space="preserve"> PAGEREF rot_Tabla_F1_5 \h </w:instrText>
        </w:r>
        <w:r>
          <w:fldChar w:fldCharType="separate"/>
        </w:r>
        <w:r>
          <w:t>110</w:t>
        </w:r>
        <w:r>
          <w:fldChar w:fldCharType="end"/>
        </w:r>
      </w:hyperlink>
    </w:p>
    <w:p>
      <w:pPr>
        <w:pStyle w:val="Indice"/>
        <w:tabs>
          <w:tab w:val="right" w:leader="dot" w:pos="9974"/>
        </w:tabs>
        <w:spacing w:before="40" w:after="40"/>
        <w:ind w:left="1134" w:hanging="1134"/>
      </w:pPr>
      <w:hyperlink w:anchor="rot_Tabla_F1_6" w:history="1">
        <w:r>
          <w:t xml:space="preserve">Tabla F1.6. Verificación de completitud del Paso 1</w:t>
        </w:r>
        <w:r>
          <w:tab/>
        </w:r>
        <w:r>
          <w:fldChar w:fldCharType="begin"/>
        </w:r>
        <w:r>
          <w:instrText xml:space="preserve"> PAGEREF rot_Tabla_F1_6 \h </w:instrText>
        </w:r>
        <w:r>
          <w:fldChar w:fldCharType="separate"/>
        </w:r>
        <w:r>
          <w:t>112</w:t>
        </w:r>
        <w:r>
          <w:fldChar w:fldCharType="end"/>
        </w:r>
      </w:hyperlink>
    </w:p>
    <w:p>
      <w:pPr>
        <w:pStyle w:val="Indice"/>
        <w:tabs>
          <w:tab w:val="right" w:leader="dot" w:pos="9974"/>
        </w:tabs>
        <w:spacing w:before="40" w:after="40"/>
        <w:ind w:left="1134" w:hanging="1134"/>
      </w:pPr>
      <w:hyperlink w:anchor="rot_Tabla_F2_1" w:history="1">
        <w:r>
          <w:t xml:space="preserve">Tabla F2.1. Palabras clave estructuradas</w:t>
        </w:r>
        <w:r>
          <w:tab/>
        </w:r>
        <w:r>
          <w:fldChar w:fldCharType="begin"/>
        </w:r>
        <w:r>
          <w:instrText xml:space="preserve"> PAGEREF rot_Tabla_F2_1 \h </w:instrText>
        </w:r>
        <w:r>
          <w:fldChar w:fldCharType="separate"/>
        </w:r>
        <w:r>
          <w:t>113</w:t>
        </w:r>
        <w:r>
          <w:fldChar w:fldCharType="end"/>
        </w:r>
      </w:hyperlink>
    </w:p>
    <w:p>
      <w:pPr>
        <w:pStyle w:val="Indice"/>
        <w:tabs>
          <w:tab w:val="right" w:leader="dot" w:pos="9974"/>
        </w:tabs>
        <w:spacing w:before="40" w:after="40"/>
        <w:ind w:left="1134" w:hanging="1134"/>
      </w:pPr>
      <w:hyperlink w:anchor="rot_Tabla_F2_2" w:history="1">
        <w:r>
          <w:t xml:space="preserve">Tabla F2.2. Ecuaciones para bases de patentes</w:t>
        </w:r>
        <w:r>
          <w:tab/>
        </w:r>
        <w:r>
          <w:fldChar w:fldCharType="begin"/>
        </w:r>
        <w:r>
          <w:instrText xml:space="preserve"> PAGEREF rot_Tabla_F2_2 \h </w:instrText>
        </w:r>
        <w:r>
          <w:fldChar w:fldCharType="separate"/>
        </w:r>
        <w:r>
          <w:t>114</w:t>
        </w:r>
        <w:r>
          <w:fldChar w:fldCharType="end"/>
        </w:r>
      </w:hyperlink>
    </w:p>
    <w:p>
      <w:pPr>
        <w:pStyle w:val="Indice"/>
        <w:tabs>
          <w:tab w:val="right" w:leader="dot" w:pos="9974"/>
        </w:tabs>
        <w:spacing w:before="40" w:after="40"/>
        <w:ind w:left="1134" w:hanging="1134"/>
      </w:pPr>
      <w:hyperlink w:anchor="rot_Tabla_F2_3" w:history="1">
        <w:r>
          <w:t xml:space="preserve">Tabla F2.3. Etapas PRISMA-VT para la vigilancia tecnológica</w:t>
        </w:r>
        <w:r>
          <w:tab/>
        </w:r>
        <w:r>
          <w:fldChar w:fldCharType="begin"/>
        </w:r>
        <w:r>
          <w:instrText xml:space="preserve"> PAGEREF rot_Tabla_F2_3 \h </w:instrText>
        </w:r>
        <w:r>
          <w:fldChar w:fldCharType="separate"/>
        </w:r>
        <w:r>
          <w:t>115</w:t>
        </w:r>
        <w:r>
          <w:fldChar w:fldCharType="end"/>
        </w:r>
      </w:hyperlink>
    </w:p>
    <w:p>
      <w:pPr>
        <w:pStyle w:val="Indice"/>
        <w:tabs>
          <w:tab w:val="right" w:leader="dot" w:pos="9974"/>
        </w:tabs>
        <w:spacing w:before="40" w:after="40"/>
        <w:ind w:left="1134" w:hanging="1134"/>
      </w:pPr>
      <w:hyperlink w:anchor="rot_Tabla_F2_4" w:history="1">
        <w:r>
          <w:t xml:space="preserve">Tabla F2.4. Criterios de inclusión y exclusión</w:t>
        </w:r>
        <w:r>
          <w:tab/>
        </w:r>
        <w:r>
          <w:fldChar w:fldCharType="begin"/>
        </w:r>
        <w:r>
          <w:instrText xml:space="preserve"> PAGEREF rot_Tabla_F2_4 \h </w:instrText>
        </w:r>
        <w:r>
          <w:fldChar w:fldCharType="separate"/>
        </w:r>
        <w:r>
          <w:t>116</w:t>
        </w:r>
        <w:r>
          <w:fldChar w:fldCharType="end"/>
        </w:r>
      </w:hyperlink>
    </w:p>
    <w:p>
      <w:pPr>
        <w:pStyle w:val="Indice"/>
        <w:tabs>
          <w:tab w:val="right" w:leader="dot" w:pos="9974"/>
        </w:tabs>
        <w:spacing w:before="40" w:after="40"/>
        <w:ind w:left="1134" w:hanging="1134"/>
      </w:pPr>
      <w:hyperlink w:anchor="rot_Tabla_F2_5" w:history="1">
        <w:r>
          <w:t xml:space="preserve">Tabla F2.5. Métricas bibliométricas por documento</w:t>
        </w:r>
        <w:r>
          <w:tab/>
        </w:r>
        <w:r>
          <w:fldChar w:fldCharType="begin"/>
        </w:r>
        <w:r>
          <w:instrText xml:space="preserve"> PAGEREF rot_Tabla_F2_5 \h </w:instrText>
        </w:r>
        <w:r>
          <w:fldChar w:fldCharType="separate"/>
        </w:r>
        <w:r>
          <w:t>117</w:t>
        </w:r>
        <w:r>
          <w:fldChar w:fldCharType="end"/>
        </w:r>
      </w:hyperlink>
    </w:p>
    <w:p>
      <w:pPr>
        <w:pStyle w:val="Indice"/>
        <w:tabs>
          <w:tab w:val="right" w:leader="dot" w:pos="9974"/>
        </w:tabs>
        <w:spacing w:before="40" w:after="40"/>
        <w:ind w:left="1134" w:hanging="1134"/>
      </w:pPr>
      <w:hyperlink w:anchor="rot_Tabla_F2_6" w:history="1">
        <w:r>
          <w:t xml:space="preserve">Tabla F2.6. Distribución de documentos requeridos y disponibles</w:t>
        </w:r>
        <w:r>
          <w:tab/>
        </w:r>
        <w:r>
          <w:fldChar w:fldCharType="begin"/>
        </w:r>
        <w:r>
          <w:instrText xml:space="preserve"> PAGEREF rot_Tabla_F2_6 \h </w:instrText>
        </w:r>
        <w:r>
          <w:fldChar w:fldCharType="separate"/>
        </w:r>
        <w:r>
          <w:t>117</w:t>
        </w:r>
        <w:r>
          <w:fldChar w:fldCharType="end"/>
        </w:r>
      </w:hyperlink>
    </w:p>
    <w:p>
      <w:pPr>
        <w:pStyle w:val="Indice"/>
        <w:tabs>
          <w:tab w:val="right" w:leader="dot" w:pos="9974"/>
        </w:tabs>
        <w:spacing w:before="40" w:after="40"/>
        <w:ind w:left="1134" w:hanging="1134"/>
      </w:pPr>
      <w:hyperlink w:anchor="rot_Tabla_F2_7" w:history="1">
        <w:r>
          <w:t xml:space="preserve">Tabla F2.7. Herramientas de análisis bibliométrico</w:t>
        </w:r>
        <w:r>
          <w:tab/>
        </w:r>
        <w:r>
          <w:fldChar w:fldCharType="begin"/>
        </w:r>
        <w:r>
          <w:instrText xml:space="preserve"> PAGEREF rot_Tabla_F2_7 \h </w:instrText>
        </w:r>
        <w:r>
          <w:fldChar w:fldCharType="separate"/>
        </w:r>
        <w:r>
          <w:t>118</w:t>
        </w:r>
        <w:r>
          <w:fldChar w:fldCharType="end"/>
        </w:r>
      </w:hyperlink>
    </w:p>
    <w:p>
      <w:pPr>
        <w:pStyle w:val="Indice"/>
        <w:tabs>
          <w:tab w:val="right" w:leader="dot" w:pos="9974"/>
        </w:tabs>
        <w:spacing w:before="40" w:after="40"/>
        <w:ind w:left="1134" w:hanging="1134"/>
      </w:pPr>
      <w:hyperlink w:anchor="rot_Tabla_F3_1" w:history="1">
        <w:r>
          <w:t xml:space="preserve">Tabla F3.1. Inventario completo de los 42 documentos del corpus</w:t>
        </w:r>
        <w:r>
          <w:tab/>
        </w:r>
        <w:r>
          <w:fldChar w:fldCharType="begin"/>
        </w:r>
        <w:r>
          <w:instrText xml:space="preserve"> PAGEREF rot_Tabla_F3_1 \h </w:instrText>
        </w:r>
        <w:r>
          <w:fldChar w:fldCharType="separate"/>
        </w:r>
        <w:r>
          <w:t>119</w:t>
        </w:r>
        <w:r>
          <w:fldChar w:fldCharType="end"/>
        </w:r>
      </w:hyperlink>
    </w:p>
    <w:p>
      <w:pPr>
        <w:pStyle w:val="Indice"/>
        <w:tabs>
          <w:tab w:val="right" w:leader="dot" w:pos="9974"/>
        </w:tabs>
        <w:spacing w:before="40" w:after="40"/>
        <w:ind w:left="1134" w:hanging="1134"/>
      </w:pPr>
      <w:hyperlink w:anchor="rot_Tabla_F3_2" w:history="1">
        <w:r>
          <w:t xml:space="preserve">Tabla F3.2. Composición del corpus por grupo documental y tipo</w:t>
        </w:r>
        <w:r>
          <w:tab/>
        </w:r>
        <w:r>
          <w:fldChar w:fldCharType="begin"/>
        </w:r>
        <w:r>
          <w:instrText xml:space="preserve"> PAGEREF rot_Tabla_F3_2 \h </w:instrText>
        </w:r>
        <w:r>
          <w:fldChar w:fldCharType="separate"/>
        </w:r>
        <w:r>
          <w:t>122</w:t>
        </w:r>
        <w:r>
          <w:fldChar w:fldCharType="end"/>
        </w:r>
      </w:hyperlink>
    </w:p>
    <w:p>
      <w:pPr>
        <w:pStyle w:val="Indice"/>
        <w:tabs>
          <w:tab w:val="right" w:leader="dot" w:pos="9974"/>
        </w:tabs>
        <w:spacing w:before="40" w:after="40"/>
        <w:ind w:left="1134" w:hanging="1134"/>
      </w:pPr>
      <w:hyperlink w:anchor="rot_Tabla_F3_3" w:history="1">
        <w:r>
          <w:t xml:space="preserve">Tabla F3.3. Tabla de verificación de completitud del corpus</w:t>
        </w:r>
        <w:r>
          <w:tab/>
        </w:r>
        <w:r>
          <w:fldChar w:fldCharType="begin"/>
        </w:r>
        <w:r>
          <w:instrText xml:space="preserve"> PAGEREF rot_Tabla_F3_3 \h </w:instrText>
        </w:r>
        <w:r>
          <w:fldChar w:fldCharType="separate"/>
        </w:r>
        <w:r>
          <w:t>122</w:t>
        </w:r>
        <w:r>
          <w:fldChar w:fldCharType="end"/>
        </w:r>
      </w:hyperlink>
    </w:p>
    <w:p>
      <w:pPr>
        <w:pStyle w:val="Indice"/>
        <w:tabs>
          <w:tab w:val="right" w:leader="dot" w:pos="9974"/>
        </w:tabs>
        <w:spacing w:before="40" w:after="40"/>
        <w:ind w:left="1134" w:hanging="1134"/>
      </w:pPr>
      <w:hyperlink w:anchor="rot_Tabla_F3_4" w:history="1">
        <w:r>
          <w:t xml:space="preserve">Tabla F3.4. Parámetros de selección del Paso 3</w:t>
        </w:r>
        <w:r>
          <w:tab/>
        </w:r>
        <w:r>
          <w:fldChar w:fldCharType="begin"/>
        </w:r>
        <w:r>
          <w:instrText xml:space="preserve"> PAGEREF rot_Tabla_F3_4 \h </w:instrText>
        </w:r>
        <w:r>
          <w:fldChar w:fldCharType="separate"/>
        </w:r>
        <w:r>
          <w:t>125</w:t>
        </w:r>
        <w:r>
          <w:fldChar w:fldCharType="end"/>
        </w:r>
      </w:hyperlink>
    </w:p>
    <w:p>
      <w:pPr>
        <w:pStyle w:val="Indice"/>
        <w:tabs>
          <w:tab w:val="right" w:leader="dot" w:pos="9974"/>
        </w:tabs>
        <w:spacing w:before="40" w:after="40"/>
        <w:ind w:left="1134" w:hanging="1134"/>
      </w:pPr>
      <w:hyperlink w:anchor="rot_Tabla_F3_5" w:history="1">
        <w:r>
          <w:t xml:space="preserve">Tabla F3.5. Parámetros reproducibles del análisis bibliométrico</w:t>
        </w:r>
        <w:r>
          <w:tab/>
        </w:r>
        <w:r>
          <w:fldChar w:fldCharType="begin"/>
        </w:r>
        <w:r>
          <w:instrText xml:space="preserve"> PAGEREF rot_Tabla_F3_5 \h </w:instrText>
        </w:r>
        <w:r>
          <w:fldChar w:fldCharType="separate"/>
        </w:r>
        <w:r>
          <w:t>126</w:t>
        </w:r>
        <w:r>
          <w:fldChar w:fldCharType="end"/>
        </w:r>
      </w:hyperlink>
    </w:p>
    <w:p>
      <w:pPr>
        <w:pStyle w:val="Indice"/>
        <w:tabs>
          <w:tab w:val="right" w:leader="dot" w:pos="9974"/>
        </w:tabs>
        <w:spacing w:before="40" w:after="40"/>
        <w:ind w:left="1134" w:hanging="1134"/>
      </w:pPr>
      <w:hyperlink w:anchor="rot_Tabla_F3_6" w:history="1">
        <w:r>
          <w:t xml:space="preserve">Tabla F3.6. Reglas condicionales de corpus pequeño y su aplicación</w:t>
        </w:r>
        <w:r>
          <w:tab/>
        </w:r>
        <w:r>
          <w:fldChar w:fldCharType="begin"/>
        </w:r>
        <w:r>
          <w:instrText xml:space="preserve"> PAGEREF rot_Tabla_F3_6 \h </w:instrText>
        </w:r>
        <w:r>
          <w:fldChar w:fldCharType="separate"/>
        </w:r>
        <w:r>
          <w:t>128</w:t>
        </w:r>
        <w:r>
          <w:fldChar w:fldCharType="end"/>
        </w:r>
      </w:hyperlink>
    </w:p>
    <w:p>
      <w:pPr>
        <w:pStyle w:val="Indice"/>
        <w:tabs>
          <w:tab w:val="right" w:leader="dot" w:pos="9974"/>
        </w:tabs>
        <w:spacing w:before="40" w:after="40"/>
        <w:ind w:left="1134" w:hanging="1134"/>
      </w:pPr>
      <w:hyperlink w:anchor="rot_Tabla_F3_7" w:history="1">
        <w:r>
          <w:t xml:space="preserve">Tabla F3.7. Indicadores principales del Paso 3 y ubicación de su análisis</w:t>
        </w:r>
        <w:r>
          <w:tab/>
        </w:r>
        <w:r>
          <w:fldChar w:fldCharType="begin"/>
        </w:r>
        <w:r>
          <w:instrText xml:space="preserve"> PAGEREF rot_Tabla_F3_7 \h </w:instrText>
        </w:r>
        <w:r>
          <w:fldChar w:fldCharType="separate"/>
        </w:r>
        <w:r>
          <w:t>129</w:t>
        </w:r>
        <w:r>
          <w:fldChar w:fldCharType="end"/>
        </w:r>
      </w:hyperlink>
    </w:p>
    <w:p>
      <w:pPr>
        <w:pStyle w:val="Indice"/>
        <w:tabs>
          <w:tab w:val="right" w:leader="dot" w:pos="9974"/>
        </w:tabs>
        <w:spacing w:before="40" w:after="40"/>
        <w:ind w:left="1134" w:hanging="1134"/>
      </w:pPr>
      <w:hyperlink w:anchor="rot_Tabla_F4_1" w:history="1">
        <w:r>
          <w:t xml:space="preserve">Tabla F4.1. Identificación de las 15 causas y condiciones con su evidencia</w:t>
        </w:r>
        <w:r>
          <w:tab/>
        </w:r>
        <w:r>
          <w:fldChar w:fldCharType="begin"/>
        </w:r>
        <w:r>
          <w:instrText xml:space="preserve"> PAGEREF rot_Tabla_F4_1 \h </w:instrText>
        </w:r>
        <w:r>
          <w:fldChar w:fldCharType="separate"/>
        </w:r>
        <w:r>
          <w:t>132</w:t>
        </w:r>
        <w:r>
          <w:fldChar w:fldCharType="end"/>
        </w:r>
      </w:hyperlink>
    </w:p>
    <w:p>
      <w:pPr>
        <w:pStyle w:val="Indice"/>
        <w:tabs>
          <w:tab w:val="right" w:leader="dot" w:pos="9974"/>
        </w:tabs>
        <w:spacing w:before="40" w:after="40"/>
        <w:ind w:left="1134" w:hanging="1134"/>
      </w:pPr>
      <w:hyperlink w:anchor="rot_Tabla_F4_2" w:history="1">
        <w:r>
          <w:t xml:space="preserve">Tabla F4.2. Articulación territorial declarada por E3 para cada causa</w:t>
        </w:r>
        <w:r>
          <w:tab/>
        </w:r>
        <w:r>
          <w:fldChar w:fldCharType="begin"/>
        </w:r>
        <w:r>
          <w:instrText xml:space="preserve"> PAGEREF rot_Tabla_F4_2 \h </w:instrText>
        </w:r>
        <w:r>
          <w:fldChar w:fldCharType="separate"/>
        </w:r>
        <w:r>
          <w:t>135</w:t>
        </w:r>
        <w:r>
          <w:fldChar w:fldCharType="end"/>
        </w:r>
      </w:hyperlink>
    </w:p>
    <w:p>
      <w:pPr>
        <w:pStyle w:val="Indice"/>
        <w:tabs>
          <w:tab w:val="right" w:leader="dot" w:pos="9974"/>
        </w:tabs>
        <w:spacing w:before="40" w:after="40"/>
        <w:ind w:left="1134" w:hanging="1134"/>
      </w:pPr>
      <w:hyperlink w:anchor="rot_Tabla_F4_3" w:history="1">
        <w:r>
          <w:t xml:space="preserve">Tabla F4.3. Análisis crítico de supuestos implícitos por variable</w:t>
        </w:r>
        <w:r>
          <w:tab/>
        </w:r>
        <w:r>
          <w:fldChar w:fldCharType="begin"/>
        </w:r>
        <w:r>
          <w:instrText xml:space="preserve"> PAGEREF rot_Tabla_F4_3 \h </w:instrText>
        </w:r>
        <w:r>
          <w:fldChar w:fldCharType="separate"/>
        </w:r>
        <w:r>
          <w:t>136</w:t>
        </w:r>
        <w:r>
          <w:fldChar w:fldCharType="end"/>
        </w:r>
      </w:hyperlink>
    </w:p>
    <w:p>
      <w:pPr>
        <w:pStyle w:val="Indice"/>
        <w:tabs>
          <w:tab w:val="right" w:leader="dot" w:pos="9974"/>
        </w:tabs>
        <w:spacing w:before="40" w:after="40"/>
        <w:ind w:left="1134" w:hanging="1134"/>
      </w:pPr>
      <w:hyperlink w:anchor="rot_Tabla_F4_4" w:history="1">
        <w:r>
          <w:t xml:space="preserve">Tabla F4.4. Registro de decisión GENESIS: ND-06 Desmantelamiento de ortodoxias</w:t>
        </w:r>
        <w:r>
          <w:tab/>
        </w:r>
        <w:r>
          <w:fldChar w:fldCharType="begin"/>
        </w:r>
        <w:r>
          <w:instrText xml:space="preserve"> PAGEREF rot_Tabla_F4_4 \h </w:instrText>
        </w:r>
        <w:r>
          <w:fldChar w:fldCharType="separate"/>
        </w:r>
        <w:r>
          <w:t>139</w:t>
        </w:r>
        <w:r>
          <w:fldChar w:fldCharType="end"/>
        </w:r>
      </w:hyperlink>
    </w:p>
    <w:p>
      <w:pPr>
        <w:pStyle w:val="Indice"/>
        <w:tabs>
          <w:tab w:val="right" w:leader="dot" w:pos="9974"/>
        </w:tabs>
        <w:spacing w:before="40" w:after="40"/>
        <w:ind w:left="1134" w:hanging="1134"/>
      </w:pPr>
      <w:hyperlink w:anchor="rot_Tabla_F4_5" w:history="1">
        <w:r>
          <w:t xml:space="preserve">Tabla F4.5. Estimando del efecto del método de corrección</w:t>
        </w:r>
        <w:r>
          <w:tab/>
        </w:r>
        <w:r>
          <w:fldChar w:fldCharType="begin"/>
        </w:r>
        <w:r>
          <w:instrText xml:space="preserve"> PAGEREF rot_Tabla_F4_5 \h </w:instrText>
        </w:r>
        <w:r>
          <w:fldChar w:fldCharType="separate"/>
        </w:r>
        <w:r>
          <w:t>140</w:t>
        </w:r>
        <w:r>
          <w:fldChar w:fldCharType="end"/>
        </w:r>
      </w:hyperlink>
    </w:p>
    <w:p>
      <w:pPr>
        <w:pStyle w:val="Indice"/>
        <w:tabs>
          <w:tab w:val="right" w:leader="dot" w:pos="9974"/>
        </w:tabs>
        <w:spacing w:before="40" w:after="40"/>
        <w:ind w:left="1134" w:hanging="1134"/>
      </w:pPr>
      <w:hyperlink w:anchor="rot_Tabla_F4_6" w:history="1">
        <w:r>
          <w:t xml:space="preserve">Tabla F4.6. Roles del DAG y regla de ajuste</w:t>
        </w:r>
        <w:r>
          <w:tab/>
        </w:r>
        <w:r>
          <w:fldChar w:fldCharType="begin"/>
        </w:r>
        <w:r>
          <w:instrText xml:space="preserve"> PAGEREF rot_Tabla_F4_6 \h </w:instrText>
        </w:r>
        <w:r>
          <w:fldChar w:fldCharType="separate"/>
        </w:r>
        <w:r>
          <w:t>141</w:t>
        </w:r>
        <w:r>
          <w:fldChar w:fldCharType="end"/>
        </w:r>
      </w:hyperlink>
    </w:p>
    <w:p>
      <w:pPr>
        <w:pStyle w:val="Indice"/>
        <w:tabs>
          <w:tab w:val="right" w:leader="dot" w:pos="9974"/>
        </w:tabs>
        <w:spacing w:before="40" w:after="40"/>
        <w:ind w:left="1134" w:hanging="1134"/>
      </w:pPr>
      <w:hyperlink w:anchor="rot_Tabla_F4_7" w:history="1">
        <w:r>
          <w:t xml:space="preserve">Tabla F4.7. Tabla de clasificación DAG para el estimando E1</w:t>
        </w:r>
        <w:r>
          <w:tab/>
        </w:r>
        <w:r>
          <w:fldChar w:fldCharType="begin"/>
        </w:r>
        <w:r>
          <w:instrText xml:space="preserve"> PAGEREF rot_Tabla_F4_7 \h </w:instrText>
        </w:r>
        <w:r>
          <w:fldChar w:fldCharType="separate"/>
        </w:r>
        <w:r>
          <w:t>142</w:t>
        </w:r>
        <w:r>
          <w:fldChar w:fldCharType="end"/>
        </w:r>
      </w:hyperlink>
    </w:p>
    <w:p>
      <w:pPr>
        <w:pStyle w:val="Indice"/>
        <w:tabs>
          <w:tab w:val="right" w:leader="dot" w:pos="9974"/>
        </w:tabs>
        <w:spacing w:before="40" w:after="40"/>
        <w:ind w:left="1134" w:hanging="1134"/>
      </w:pPr>
      <w:hyperlink w:anchor="rot_Tabla_F4_8" w:history="1">
        <w:r>
          <w:t xml:space="preserve">Tabla F4.8. DAGs rivales y conjuntos de ajuste</w:t>
        </w:r>
        <w:r>
          <w:tab/>
        </w:r>
        <w:r>
          <w:fldChar w:fldCharType="begin"/>
        </w:r>
        <w:r>
          <w:instrText xml:space="preserve"> PAGEREF rot_Tabla_F4_8 \h </w:instrText>
        </w:r>
        <w:r>
          <w:fldChar w:fldCharType="separate"/>
        </w:r>
        <w:r>
          <w:t>145</w:t>
        </w:r>
        <w:r>
          <w:fldChar w:fldCharType="end"/>
        </w:r>
      </w:hyperlink>
    </w:p>
    <w:p>
      <w:pPr>
        <w:pStyle w:val="Indice"/>
        <w:tabs>
          <w:tab w:val="right" w:leader="dot" w:pos="9974"/>
        </w:tabs>
        <w:spacing w:before="40" w:after="40"/>
        <w:ind w:left="1134" w:hanging="1134"/>
      </w:pPr>
      <w:hyperlink w:anchor="rot_Tabla_F4_9" w:history="1">
        <w:r>
          <w:t xml:space="preserve">Tabla F4.9. Estatutos de afirmación causal</w:t>
        </w:r>
        <w:r>
          <w:tab/>
        </w:r>
        <w:r>
          <w:fldChar w:fldCharType="begin"/>
        </w:r>
        <w:r>
          <w:instrText xml:space="preserve"> PAGEREF rot_Tabla_F4_9 \h </w:instrText>
        </w:r>
        <w:r>
          <w:fldChar w:fldCharType="separate"/>
        </w:r>
        <w:r>
          <w:t>145</w:t>
        </w:r>
        <w:r>
          <w:fldChar w:fldCharType="end"/>
        </w:r>
      </w:hyperlink>
    </w:p>
    <w:p>
      <w:pPr>
        <w:pStyle w:val="Indice"/>
        <w:tabs>
          <w:tab w:val="right" w:leader="dot" w:pos="9974"/>
        </w:tabs>
        <w:spacing w:before="40" w:after="40"/>
        <w:ind w:left="1134" w:hanging="1134"/>
      </w:pPr>
      <w:hyperlink w:anchor="rot_Tabla_F4_10" w:history="1">
        <w:r>
          <w:t xml:space="preserve">Tabla F4.10. Auditoría de los estatutos del documento previo</w:t>
        </w:r>
        <w:r>
          <w:tab/>
        </w:r>
        <w:r>
          <w:fldChar w:fldCharType="begin"/>
        </w:r>
        <w:r>
          <w:instrText xml:space="preserve"> PAGEREF rot_Tabla_F4_10 \h </w:instrText>
        </w:r>
        <w:r>
          <w:fldChar w:fldCharType="separate"/>
        </w:r>
        <w:r>
          <w:t>146</w:t>
        </w:r>
        <w:r>
          <w:fldChar w:fldCharType="end"/>
        </w:r>
      </w:hyperlink>
    </w:p>
    <w:p>
      <w:pPr>
        <w:pStyle w:val="Indice"/>
        <w:tabs>
          <w:tab w:val="right" w:leader="dot" w:pos="9974"/>
        </w:tabs>
        <w:spacing w:before="40" w:after="40"/>
        <w:ind w:left="1134" w:hanging="1134"/>
      </w:pPr>
      <w:hyperlink w:anchor="rot_Tabla_F4_11" w:history="1">
        <w:r>
          <w:t xml:space="preserve">Tabla F4.11. Pruebas de robustez</w:t>
        </w:r>
        <w:r>
          <w:tab/>
        </w:r>
        <w:r>
          <w:fldChar w:fldCharType="begin"/>
        </w:r>
        <w:r>
          <w:instrText xml:space="preserve"> PAGEREF rot_Tabla_F4_11 \h </w:instrText>
        </w:r>
        <w:r>
          <w:fldChar w:fldCharType="separate"/>
        </w:r>
        <w:r>
          <w:t>147</w:t>
        </w:r>
        <w:r>
          <w:fldChar w:fldCharType="end"/>
        </w:r>
      </w:hyperlink>
    </w:p>
    <w:p>
      <w:pPr>
        <w:pStyle w:val="Indice"/>
        <w:tabs>
          <w:tab w:val="right" w:leader="dot" w:pos="9974"/>
        </w:tabs>
        <w:spacing w:before="40" w:after="40"/>
        <w:ind w:left="1134" w:hanging="1134"/>
      </w:pPr>
      <w:hyperlink w:anchor="rot_Tabla_F4_12" w:history="1">
        <w:r>
          <w:t xml:space="preserve">Tabla F4.12. Registro de decisión GENESIS: ND-07 Estimando, roles y conjunto de ajuste</w:t>
        </w:r>
        <w:r>
          <w:tab/>
        </w:r>
        <w:r>
          <w:fldChar w:fldCharType="begin"/>
        </w:r>
        <w:r>
          <w:instrText xml:space="preserve"> PAGEREF rot_Tabla_F4_12 \h </w:instrText>
        </w:r>
        <w:r>
          <w:fldChar w:fldCharType="separate"/>
        </w:r>
        <w:r>
          <w:t>148</w:t>
        </w:r>
        <w:r>
          <w:fldChar w:fldCharType="end"/>
        </w:r>
      </w:hyperlink>
    </w:p>
    <w:p>
      <w:pPr>
        <w:pStyle w:val="Indice"/>
        <w:tabs>
          <w:tab w:val="right" w:leader="dot" w:pos="9974"/>
        </w:tabs>
        <w:spacing w:before="40" w:after="40"/>
        <w:ind w:left="1134" w:hanging="1134"/>
      </w:pPr>
      <w:hyperlink w:anchor="rot_Tabla_F4_13" w:history="1">
        <w:r>
          <w:t xml:space="preserve">Tabla F4.13. Identidad de la corrida</w:t>
        </w:r>
        <w:r>
          <w:tab/>
        </w:r>
        <w:r>
          <w:fldChar w:fldCharType="begin"/>
        </w:r>
        <w:r>
          <w:instrText xml:space="preserve"> PAGEREF rot_Tabla_F4_13 \h </w:instrText>
        </w:r>
        <w:r>
          <w:fldChar w:fldCharType="separate"/>
        </w:r>
        <w:r>
          <w:t>150</w:t>
        </w:r>
        <w:r>
          <w:fldChar w:fldCharType="end"/>
        </w:r>
      </w:hyperlink>
    </w:p>
    <w:p>
      <w:pPr>
        <w:pStyle w:val="Indice"/>
        <w:tabs>
          <w:tab w:val="right" w:leader="dot" w:pos="9974"/>
        </w:tabs>
        <w:spacing w:before="40" w:after="40"/>
        <w:ind w:left="1134" w:hanging="1134"/>
      </w:pPr>
      <w:hyperlink w:anchor="rot_Tabla_F4_14" w:history="1">
        <w:r>
          <w:t xml:space="preserve">Tabla F4.14. Separación de dimensiones</w:t>
        </w:r>
        <w:r>
          <w:tab/>
        </w:r>
        <w:r>
          <w:fldChar w:fldCharType="begin"/>
        </w:r>
        <w:r>
          <w:instrText xml:space="preserve"> PAGEREF rot_Tabla_F4_14 \h </w:instrText>
        </w:r>
        <w:r>
          <w:fldChar w:fldCharType="separate"/>
        </w:r>
        <w:r>
          <w:t>151</w:t>
        </w:r>
        <w:r>
          <w:fldChar w:fldCharType="end"/>
        </w:r>
      </w:hyperlink>
    </w:p>
    <w:p>
      <w:pPr>
        <w:pStyle w:val="Indice"/>
        <w:tabs>
          <w:tab w:val="right" w:leader="dot" w:pos="9974"/>
        </w:tabs>
        <w:spacing w:before="40" w:after="40"/>
        <w:ind w:left="1134" w:hanging="1134"/>
      </w:pPr>
      <w:hyperlink w:anchor="rot_Tabla_F4_15" w:history="1">
        <w:r>
          <w:t xml:space="preserve">Tabla F4.15. Conteos separados de fichas (H02)</w:t>
        </w:r>
        <w:r>
          <w:tab/>
        </w:r>
        <w:r>
          <w:fldChar w:fldCharType="begin"/>
        </w:r>
        <w:r>
          <w:instrText xml:space="preserve"> PAGEREF rot_Tabla_F4_15 \h </w:instrText>
        </w:r>
        <w:r>
          <w:fldChar w:fldCharType="separate"/>
        </w:r>
        <w:r>
          <w:t>151</w:t>
        </w:r>
        <w:r>
          <w:fldChar w:fldCharType="end"/>
        </w:r>
      </w:hyperlink>
    </w:p>
    <w:p>
      <w:pPr>
        <w:pStyle w:val="Indice"/>
        <w:tabs>
          <w:tab w:val="right" w:leader="dot" w:pos="9974"/>
        </w:tabs>
        <w:spacing w:before="40" w:after="40"/>
        <w:ind w:left="1134" w:hanging="1134"/>
      </w:pPr>
      <w:hyperlink w:anchor="rot_Tabla_F4_16" w:history="1">
        <w:r>
          <w:t xml:space="preserve">Tabla F4.16. Frontera y horizonte</w:t>
        </w:r>
        <w:r>
          <w:tab/>
        </w:r>
        <w:r>
          <w:fldChar w:fldCharType="begin"/>
        </w:r>
        <w:r>
          <w:instrText xml:space="preserve"> PAGEREF rot_Tabla_F4_16 \h </w:instrText>
        </w:r>
        <w:r>
          <w:fldChar w:fldCharType="separate"/>
        </w:r>
        <w:r>
          <w:t>153</w:t>
        </w:r>
        <w:r>
          <w:fldChar w:fldCharType="end"/>
        </w:r>
      </w:hyperlink>
    </w:p>
    <w:p>
      <w:pPr>
        <w:pStyle w:val="Indice"/>
        <w:tabs>
          <w:tab w:val="right" w:leader="dot" w:pos="9974"/>
        </w:tabs>
        <w:spacing w:before="40" w:after="40"/>
        <w:ind w:left="1134" w:hanging="1134"/>
      </w:pPr>
      <w:hyperlink w:anchor="rot_Tabla_F4_17" w:history="1">
        <w:r>
          <w:t xml:space="preserve">Tabla F4.17. Escala operacional 0 a 3</w:t>
        </w:r>
        <w:r>
          <w:tab/>
        </w:r>
        <w:r>
          <w:fldChar w:fldCharType="begin"/>
        </w:r>
        <w:r>
          <w:instrText xml:space="preserve"> PAGEREF rot_Tabla_F4_17 \h </w:instrText>
        </w:r>
        <w:r>
          <w:fldChar w:fldCharType="separate"/>
        </w:r>
        <w:r>
          <w:t>154</w:t>
        </w:r>
        <w:r>
          <w:fldChar w:fldCharType="end"/>
        </w:r>
      </w:hyperlink>
    </w:p>
    <w:p>
      <w:pPr>
        <w:pStyle w:val="Indice"/>
        <w:tabs>
          <w:tab w:val="right" w:leader="dot" w:pos="9974"/>
        </w:tabs>
        <w:spacing w:before="40" w:after="40"/>
        <w:ind w:left="1134" w:hanging="1134"/>
      </w:pPr>
      <w:hyperlink w:anchor="rot_Tabla_F4_18" w:history="1">
        <w:r>
          <w:t xml:space="preserve">Tabla F4.18. Primeros 15 pares del orden de ejecución</w:t>
        </w:r>
        <w:r>
          <w:tab/>
        </w:r>
        <w:r>
          <w:fldChar w:fldCharType="begin"/>
        </w:r>
        <w:r>
          <w:instrText xml:space="preserve"> PAGEREF rot_Tabla_F4_18 \h </w:instrText>
        </w:r>
        <w:r>
          <w:fldChar w:fldCharType="separate"/>
        </w:r>
        <w:r>
          <w:t>155</w:t>
        </w:r>
        <w:r>
          <w:fldChar w:fldCharType="end"/>
        </w:r>
      </w:hyperlink>
    </w:p>
    <w:p>
      <w:pPr>
        <w:pStyle w:val="Indice"/>
        <w:tabs>
          <w:tab w:val="right" w:leader="dot" w:pos="9974"/>
        </w:tabs>
        <w:spacing w:before="40" w:after="40"/>
        <w:ind w:left="1134" w:hanging="1134"/>
      </w:pPr>
      <w:hyperlink w:anchor="rot_Tabla_F4_19" w:history="1">
        <w:r>
          <w:t xml:space="preserve">Tabla F4.19. Matriz formal MID_FORMAL de 15 por 15 variables</w:t>
        </w:r>
        <w:r>
          <w:tab/>
        </w:r>
        <w:r>
          <w:fldChar w:fldCharType="begin"/>
        </w:r>
        <w:r>
          <w:instrText xml:space="preserve"> PAGEREF rot_Tabla_F4_19 \h </w:instrText>
        </w:r>
        <w:r>
          <w:fldChar w:fldCharType="separate"/>
        </w:r>
        <w:r>
          <w:t>158</w:t>
        </w:r>
        <w:r>
          <w:fldChar w:fldCharType="end"/>
        </w:r>
      </w:hyperlink>
    </w:p>
    <w:p>
      <w:pPr>
        <w:pStyle w:val="Indice"/>
        <w:tabs>
          <w:tab w:val="right" w:leader="dot" w:pos="9974"/>
        </w:tabs>
        <w:spacing w:before="40" w:after="40"/>
        <w:ind w:left="1134" w:hanging="1134"/>
      </w:pPr>
      <w:hyperlink w:anchor="rot_Tabla_F4_20" w:history="1">
        <w:r>
          <w:t xml:space="preserve">Tabla F4.20. Cotas aritméticas de la matriz formal (NO_PREDICTIVAS)</w:t>
        </w:r>
        <w:r>
          <w:tab/>
        </w:r>
        <w:r>
          <w:fldChar w:fldCharType="begin"/>
        </w:r>
        <w:r>
          <w:instrText xml:space="preserve"> PAGEREF rot_Tabla_F4_20 \h </w:instrText>
        </w:r>
        <w:r>
          <w:fldChar w:fldCharType="separate"/>
        </w:r>
        <w:r>
          <w:t>160</w:t>
        </w:r>
        <w:r>
          <w:fldChar w:fldCharType="end"/>
        </w:r>
      </w:hyperlink>
    </w:p>
    <w:p>
      <w:pPr>
        <w:pStyle w:val="Indice"/>
        <w:tabs>
          <w:tab w:val="right" w:leader="dot" w:pos="9974"/>
        </w:tabs>
        <w:spacing w:before="40" w:after="40"/>
        <w:ind w:left="1134" w:hanging="1134"/>
      </w:pPr>
      <w:hyperlink w:anchor="rot_Tabla_F4_21" w:history="1">
        <w:r>
          <w:t xml:space="preserve">Tabla F4.21. Matriz de influencia directa del escenario S0 (ledger de E3-P04, 22 aristas)</w:t>
        </w:r>
        <w:r>
          <w:tab/>
        </w:r>
        <w:r>
          <w:fldChar w:fldCharType="begin"/>
        </w:r>
        <w:r>
          <w:instrText xml:space="preserve"> PAGEREF rot_Tabla_F4_21 \h </w:instrText>
        </w:r>
        <w:r>
          <w:fldChar w:fldCharType="separate"/>
        </w:r>
        <w:r>
          <w:t>161</w:t>
        </w:r>
        <w:r>
          <w:fldChar w:fldCharType="end"/>
        </w:r>
      </w:hyperlink>
    </w:p>
    <w:p>
      <w:pPr>
        <w:pStyle w:val="Indice"/>
        <w:tabs>
          <w:tab w:val="right" w:leader="dot" w:pos="9974"/>
        </w:tabs>
        <w:spacing w:before="40" w:after="40"/>
        <w:ind w:left="1134" w:hanging="1134"/>
      </w:pPr>
      <w:hyperlink w:anchor="rot_Tabla_F4_22" w:history="1">
        <w:r>
          <w:t xml:space="preserve">Tabla F4.22. Matriz de influencia directa del escenario S1 (32 aristas)</w:t>
        </w:r>
        <w:r>
          <w:tab/>
        </w:r>
        <w:r>
          <w:fldChar w:fldCharType="begin"/>
        </w:r>
        <w:r>
          <w:instrText xml:space="preserve"> PAGEREF rot_Tabla_F4_22 \h </w:instrText>
        </w:r>
        <w:r>
          <w:fldChar w:fldCharType="separate"/>
        </w:r>
        <w:r>
          <w:t>163</w:t>
        </w:r>
        <w:r>
          <w:fldChar w:fldCharType="end"/>
        </w:r>
      </w:hyperlink>
    </w:p>
    <w:p>
      <w:pPr>
        <w:pStyle w:val="Indice"/>
        <w:tabs>
          <w:tab w:val="right" w:leader="dot" w:pos="9974"/>
        </w:tabs>
        <w:spacing w:before="40" w:after="40"/>
        <w:ind w:left="1134" w:hanging="1134"/>
      </w:pPr>
      <w:hyperlink w:anchor="rot_Tabla_F4_23" w:history="1">
        <w:r>
          <w:t xml:space="preserve">Tabla F4.23. Matriz de influencia directa del escenario S2 (48 aristas)</w:t>
        </w:r>
        <w:r>
          <w:tab/>
        </w:r>
        <w:r>
          <w:fldChar w:fldCharType="begin"/>
        </w:r>
        <w:r>
          <w:instrText xml:space="preserve"> PAGEREF rot_Tabla_F4_23 \h </w:instrText>
        </w:r>
        <w:r>
          <w:fldChar w:fldCharType="separate"/>
        </w:r>
        <w:r>
          <w:t>165</w:t>
        </w:r>
        <w:r>
          <w:fldChar w:fldCharType="end"/>
        </w:r>
      </w:hyperlink>
    </w:p>
    <w:p>
      <w:pPr>
        <w:pStyle w:val="Indice"/>
        <w:tabs>
          <w:tab w:val="right" w:leader="dot" w:pos="9974"/>
        </w:tabs>
        <w:spacing w:before="40" w:after="40"/>
        <w:ind w:left="1134" w:hanging="1134"/>
      </w:pPr>
      <w:hyperlink w:anchor="rot_Tabla_F4_24" w:history="1">
        <w:r>
          <w:t xml:space="preserve">Tabla F4.24. Matriz de influencia directa del escenario S3 (21 aristas)</w:t>
        </w:r>
        <w:r>
          <w:tab/>
        </w:r>
        <w:r>
          <w:fldChar w:fldCharType="begin"/>
        </w:r>
        <w:r>
          <w:instrText xml:space="preserve"> PAGEREF rot_Tabla_F4_24 \h </w:instrText>
        </w:r>
        <w:r>
          <w:fldChar w:fldCharType="separate"/>
        </w:r>
        <w:r>
          <w:t>167</w:t>
        </w:r>
        <w:r>
          <w:fldChar w:fldCharType="end"/>
        </w:r>
      </w:hyperlink>
    </w:p>
    <w:p>
      <w:pPr>
        <w:pStyle w:val="Indice"/>
        <w:tabs>
          <w:tab w:val="right" w:leader="dot" w:pos="9974"/>
        </w:tabs>
        <w:spacing w:before="40" w:after="40"/>
        <w:ind w:left="1134" w:hanging="1134"/>
      </w:pPr>
      <w:hyperlink w:anchor="rot_Tabla_F4_25" w:history="1">
        <w:r>
          <w:t xml:space="preserve">Tabla F4.25. Matriz de influencia directa del escenario S4 (60 aristas)</w:t>
        </w:r>
        <w:r>
          <w:tab/>
        </w:r>
        <w:r>
          <w:fldChar w:fldCharType="begin"/>
        </w:r>
        <w:r>
          <w:instrText xml:space="preserve"> PAGEREF rot_Tabla_F4_25 \h </w:instrText>
        </w:r>
        <w:r>
          <w:fldChar w:fldCharType="separate"/>
        </w:r>
        <w:r>
          <w:t>169</w:t>
        </w:r>
        <w:r>
          <w:fldChar w:fldCharType="end"/>
        </w:r>
      </w:hyperlink>
    </w:p>
    <w:p>
      <w:pPr>
        <w:pStyle w:val="Indice"/>
        <w:tabs>
          <w:tab w:val="right" w:leader="dot" w:pos="9974"/>
        </w:tabs>
        <w:spacing w:before="40" w:after="40"/>
        <w:ind w:left="1134" w:hanging="1134"/>
      </w:pPr>
      <w:hyperlink w:anchor="rot_Tabla_F4_26" w:history="1">
        <w:r>
          <w:t xml:space="preserve">Tabla F4.26. Controles numéricos y metodológicos</w:t>
        </w:r>
        <w:r>
          <w:tab/>
        </w:r>
        <w:r>
          <w:fldChar w:fldCharType="begin"/>
        </w:r>
        <w:r>
          <w:instrText xml:space="preserve"> PAGEREF rot_Tabla_F4_26 \h </w:instrText>
        </w:r>
        <w:r>
          <w:fldChar w:fldCharType="separate"/>
        </w:r>
        <w:r>
          <w:t>170</w:t>
        </w:r>
        <w:r>
          <w:fldChar w:fldCharType="end"/>
        </w:r>
      </w:hyperlink>
    </w:p>
    <w:p>
      <w:pPr>
        <w:pStyle w:val="Indice"/>
        <w:tabs>
          <w:tab w:val="right" w:leader="dot" w:pos="9974"/>
        </w:tabs>
        <w:spacing w:before="40" w:after="40"/>
        <w:ind w:left="1134" w:hanging="1134"/>
      </w:pPr>
      <w:hyperlink w:anchor="rot_Tabla_F4_27" w:history="1">
        <w:r>
          <w:t xml:space="preserve">Tabla F4.27. Objeciones metodológicas y respuesta (protocolo de auditoría Vester)</w:t>
        </w:r>
        <w:r>
          <w:tab/>
        </w:r>
        <w:r>
          <w:fldChar w:fldCharType="begin"/>
        </w:r>
        <w:r>
          <w:instrText xml:space="preserve"> PAGEREF rot_Tabla_F4_27 \h </w:instrText>
        </w:r>
        <w:r>
          <w:fldChar w:fldCharType="separate"/>
        </w:r>
        <w:r>
          <w:t>171</w:t>
        </w:r>
        <w:r>
          <w:fldChar w:fldCharType="end"/>
        </w:r>
      </w:hyperlink>
    </w:p>
    <w:p>
      <w:pPr>
        <w:pStyle w:val="Indice"/>
        <w:tabs>
          <w:tab w:val="right" w:leader="dot" w:pos="9974"/>
        </w:tabs>
        <w:spacing w:before="40" w:after="40"/>
        <w:ind w:left="1134" w:hanging="1134"/>
      </w:pPr>
      <w:hyperlink w:anchor="rot_Tabla_F4_28" w:history="1">
        <w:r>
          <w:t xml:space="preserve">Tabla F4.28. Cambios entre escenarios</w:t>
        </w:r>
        <w:r>
          <w:tab/>
        </w:r>
        <w:r>
          <w:fldChar w:fldCharType="begin"/>
        </w:r>
        <w:r>
          <w:instrText xml:space="preserve"> PAGEREF rot_Tabla_F4_28 \h </w:instrText>
        </w:r>
        <w:r>
          <w:fldChar w:fldCharType="separate"/>
        </w:r>
        <w:r>
          <w:t>171</w:t>
        </w:r>
        <w:r>
          <w:fldChar w:fldCharType="end"/>
        </w:r>
      </w:hyperlink>
    </w:p>
    <w:p>
      <w:pPr>
        <w:pStyle w:val="Indice"/>
        <w:tabs>
          <w:tab w:val="right" w:leader="dot" w:pos="9974"/>
        </w:tabs>
        <w:spacing w:before="40" w:after="40"/>
        <w:ind w:left="1134" w:hanging="1134"/>
      </w:pPr>
      <w:hyperlink w:anchor="rot_Tabla_F4_29" w:history="1">
        <w:r>
          <w:t xml:space="preserve">Tabla F4.29. Clasificación directa de las variables en el escenario S0</w:t>
        </w:r>
        <w:r>
          <w:tab/>
        </w:r>
        <w:r>
          <w:fldChar w:fldCharType="begin"/>
        </w:r>
        <w:r>
          <w:instrText xml:space="preserve"> PAGEREF rot_Tabla_F4_29 \h </w:instrText>
        </w:r>
        <w:r>
          <w:fldChar w:fldCharType="separate"/>
        </w:r>
        <w:r>
          <w:t>178</w:t>
        </w:r>
        <w:r>
          <w:fldChar w:fldCharType="end"/>
        </w:r>
      </w:hyperlink>
    </w:p>
    <w:p>
      <w:pPr>
        <w:pStyle w:val="Indice"/>
        <w:tabs>
          <w:tab w:val="right" w:leader="dot" w:pos="9974"/>
        </w:tabs>
        <w:spacing w:before="40" w:after="40"/>
        <w:ind w:left="1134" w:hanging="1134"/>
      </w:pPr>
      <w:hyperlink w:anchor="rot_Tabla_F4_30" w:history="1">
        <w:r>
          <w:t xml:space="preserve">Tabla F4.30. Clasificación directa de las variables en el escenario S1</w:t>
        </w:r>
        <w:r>
          <w:tab/>
        </w:r>
        <w:r>
          <w:fldChar w:fldCharType="begin"/>
        </w:r>
        <w:r>
          <w:instrText xml:space="preserve"> PAGEREF rot_Tabla_F4_30 \h </w:instrText>
        </w:r>
        <w:r>
          <w:fldChar w:fldCharType="separate"/>
        </w:r>
        <w:r>
          <w:t>178</w:t>
        </w:r>
        <w:r>
          <w:fldChar w:fldCharType="end"/>
        </w:r>
      </w:hyperlink>
    </w:p>
    <w:p>
      <w:pPr>
        <w:pStyle w:val="Indice"/>
        <w:tabs>
          <w:tab w:val="right" w:leader="dot" w:pos="9974"/>
        </w:tabs>
        <w:spacing w:before="40" w:after="40"/>
        <w:ind w:left="1134" w:hanging="1134"/>
      </w:pPr>
      <w:hyperlink w:anchor="rot_Tabla_F4_31" w:history="1">
        <w:r>
          <w:t xml:space="preserve">Tabla F4.31. Clasificación directa de las variables en el escenario S2</w:t>
        </w:r>
        <w:r>
          <w:tab/>
        </w:r>
        <w:r>
          <w:fldChar w:fldCharType="begin"/>
        </w:r>
        <w:r>
          <w:instrText xml:space="preserve"> PAGEREF rot_Tabla_F4_31 \h </w:instrText>
        </w:r>
        <w:r>
          <w:fldChar w:fldCharType="separate"/>
        </w:r>
        <w:r>
          <w:t>179</w:t>
        </w:r>
        <w:r>
          <w:fldChar w:fldCharType="end"/>
        </w:r>
      </w:hyperlink>
    </w:p>
    <w:p>
      <w:pPr>
        <w:pStyle w:val="Indice"/>
        <w:tabs>
          <w:tab w:val="right" w:leader="dot" w:pos="9974"/>
        </w:tabs>
        <w:spacing w:before="40" w:after="40"/>
        <w:ind w:left="1134" w:hanging="1134"/>
      </w:pPr>
      <w:hyperlink w:anchor="rot_Tabla_F4_32" w:history="1">
        <w:r>
          <w:t xml:space="preserve">Tabla F4.32. Clasificación directa de las variables en el escenario S3</w:t>
        </w:r>
        <w:r>
          <w:tab/>
        </w:r>
        <w:r>
          <w:fldChar w:fldCharType="begin"/>
        </w:r>
        <w:r>
          <w:instrText xml:space="preserve"> PAGEREF rot_Tabla_F4_32 \h </w:instrText>
        </w:r>
        <w:r>
          <w:fldChar w:fldCharType="separate"/>
        </w:r>
        <w:r>
          <w:t>180</w:t>
        </w:r>
        <w:r>
          <w:fldChar w:fldCharType="end"/>
        </w:r>
      </w:hyperlink>
    </w:p>
    <w:p>
      <w:pPr>
        <w:pStyle w:val="Indice"/>
        <w:tabs>
          <w:tab w:val="right" w:leader="dot" w:pos="9974"/>
        </w:tabs>
        <w:spacing w:before="40" w:after="40"/>
        <w:ind w:left="1134" w:hanging="1134"/>
      </w:pPr>
      <w:hyperlink w:anchor="rot_Tabla_F4_33" w:history="1">
        <w:r>
          <w:t xml:space="preserve">Tabla F4.33. Clasificación directa de las variables en el escenario S4</w:t>
        </w:r>
        <w:r>
          <w:tab/>
        </w:r>
        <w:r>
          <w:fldChar w:fldCharType="begin"/>
        </w:r>
        <w:r>
          <w:instrText xml:space="preserve"> PAGEREF rot_Tabla_F4_33 \h </w:instrText>
        </w:r>
        <w:r>
          <w:fldChar w:fldCharType="separate"/>
        </w:r>
        <w:r>
          <w:t>181</w:t>
        </w:r>
        <w:r>
          <w:fldChar w:fldCharType="end"/>
        </w:r>
      </w:hyperlink>
    </w:p>
    <w:p>
      <w:pPr>
        <w:pStyle w:val="Indice"/>
        <w:tabs>
          <w:tab w:val="right" w:leader="dot" w:pos="9974"/>
        </w:tabs>
        <w:spacing w:before="40" w:after="40"/>
        <w:ind w:left="1134" w:hanging="1134"/>
      </w:pPr>
      <w:hyperlink w:anchor="rot_Tabla_F4_34" w:history="1">
        <w:r>
          <w:t xml:space="preserve">Tabla F4.34. Registro de decisión GENESIS: ND-08 Clasificación por cuadrantes y palancas de intervención</w:t>
        </w:r>
        <w:r>
          <w:tab/>
        </w:r>
        <w:r>
          <w:fldChar w:fldCharType="begin"/>
        </w:r>
        <w:r>
          <w:instrText xml:space="preserve"> PAGEREF rot_Tabla_F4_34 \h </w:instrText>
        </w:r>
        <w:r>
          <w:fldChar w:fldCharType="separate"/>
        </w:r>
        <w:r>
          <w:t>182</w:t>
        </w:r>
        <w:r>
          <w:fldChar w:fldCharType="end"/>
        </w:r>
      </w:hyperlink>
    </w:p>
    <w:p>
      <w:pPr>
        <w:pStyle w:val="Indice"/>
        <w:tabs>
          <w:tab w:val="right" w:leader="dot" w:pos="9974"/>
        </w:tabs>
        <w:spacing w:before="40" w:after="40"/>
        <w:ind w:left="1134" w:hanging="1134"/>
      </w:pPr>
      <w:hyperlink w:anchor="rot_Tabla_F4_35" w:history="1">
        <w:r>
          <w:t xml:space="preserve">Tabla F4.35. MID de MICMAC idéntica a Vester dentro de cada escenario</w:t>
        </w:r>
        <w:r>
          <w:tab/>
        </w:r>
        <w:r>
          <w:fldChar w:fldCharType="begin"/>
        </w:r>
        <w:r>
          <w:instrText xml:space="preserve"> PAGEREF rot_Tabla_F4_35 \h </w:instrText>
        </w:r>
        <w:r>
          <w:fldChar w:fldCharType="separate"/>
        </w:r>
        <w:r>
          <w:t>183</w:t>
        </w:r>
        <w:r>
          <w:fldChar w:fldCharType="end"/>
        </w:r>
      </w:hyperlink>
    </w:p>
    <w:p>
      <w:pPr>
        <w:pStyle w:val="Indice"/>
        <w:tabs>
          <w:tab w:val="right" w:leader="dot" w:pos="9974"/>
        </w:tabs>
        <w:spacing w:before="40" w:after="40"/>
        <w:ind w:left="1134" w:hanging="1134"/>
      </w:pPr>
      <w:hyperlink w:anchor="rot_Tabla_F4_36" w:history="1">
        <w:r>
          <w:t xml:space="preserve">Tabla F4.36. Estabilidad de las potencias de MICMAC en el escenario S0</w:t>
        </w:r>
        <w:r>
          <w:tab/>
        </w:r>
        <w:r>
          <w:fldChar w:fldCharType="begin"/>
        </w:r>
        <w:r>
          <w:instrText xml:space="preserve"> PAGEREF rot_Tabla_F4_36 \h </w:instrText>
        </w:r>
        <w:r>
          <w:fldChar w:fldCharType="separate"/>
        </w:r>
        <w:r>
          <w:t>184</w:t>
        </w:r>
        <w:r>
          <w:fldChar w:fldCharType="end"/>
        </w:r>
      </w:hyperlink>
    </w:p>
    <w:p>
      <w:pPr>
        <w:pStyle w:val="Indice"/>
        <w:tabs>
          <w:tab w:val="right" w:leader="dot" w:pos="9974"/>
        </w:tabs>
        <w:spacing w:before="40" w:after="40"/>
        <w:ind w:left="1134" w:hanging="1134"/>
      </w:pPr>
      <w:hyperlink w:anchor="rot_Tabla_F4_37" w:history="1">
        <w:r>
          <w:t xml:space="preserve">Tabla F4.37. Estabilidad de las potencias de MICMAC en el escenario S1</w:t>
        </w:r>
        <w:r>
          <w:tab/>
        </w:r>
        <w:r>
          <w:fldChar w:fldCharType="begin"/>
        </w:r>
        <w:r>
          <w:instrText xml:space="preserve"> PAGEREF rot_Tabla_F4_37 \h </w:instrText>
        </w:r>
        <w:r>
          <w:fldChar w:fldCharType="separate"/>
        </w:r>
        <w:r>
          <w:t>184</w:t>
        </w:r>
        <w:r>
          <w:fldChar w:fldCharType="end"/>
        </w:r>
      </w:hyperlink>
    </w:p>
    <w:p>
      <w:pPr>
        <w:pStyle w:val="Indice"/>
        <w:tabs>
          <w:tab w:val="right" w:leader="dot" w:pos="9974"/>
        </w:tabs>
        <w:spacing w:before="40" w:after="40"/>
        <w:ind w:left="1134" w:hanging="1134"/>
      </w:pPr>
      <w:hyperlink w:anchor="rot_Tabla_F4_38" w:history="1">
        <w:r>
          <w:t xml:space="preserve">Tabla F4.38. Estabilidad de las potencias de MICMAC en el escenario S2</w:t>
        </w:r>
        <w:r>
          <w:tab/>
        </w:r>
        <w:r>
          <w:fldChar w:fldCharType="begin"/>
        </w:r>
        <w:r>
          <w:instrText xml:space="preserve"> PAGEREF rot_Tabla_F4_38 \h </w:instrText>
        </w:r>
        <w:r>
          <w:fldChar w:fldCharType="separate"/>
        </w:r>
        <w:r>
          <w:t>185</w:t>
        </w:r>
        <w:r>
          <w:fldChar w:fldCharType="end"/>
        </w:r>
      </w:hyperlink>
    </w:p>
    <w:p>
      <w:pPr>
        <w:pStyle w:val="Indice"/>
        <w:tabs>
          <w:tab w:val="right" w:leader="dot" w:pos="9974"/>
        </w:tabs>
        <w:spacing w:before="40" w:after="40"/>
        <w:ind w:left="1134" w:hanging="1134"/>
      </w:pPr>
      <w:hyperlink w:anchor="rot_Tabla_F4_39" w:history="1">
        <w:r>
          <w:t xml:space="preserve">Tabla F4.39. Estabilidad de las potencias de MICMAC en el escenario S3</w:t>
        </w:r>
        <w:r>
          <w:tab/>
        </w:r>
        <w:r>
          <w:fldChar w:fldCharType="begin"/>
        </w:r>
        <w:r>
          <w:instrText xml:space="preserve"> PAGEREF rot_Tabla_F4_39 \h </w:instrText>
        </w:r>
        <w:r>
          <w:fldChar w:fldCharType="separate"/>
        </w:r>
        <w:r>
          <w:t>186</w:t>
        </w:r>
        <w:r>
          <w:fldChar w:fldCharType="end"/>
        </w:r>
      </w:hyperlink>
    </w:p>
    <w:p>
      <w:pPr>
        <w:pStyle w:val="Indice"/>
        <w:tabs>
          <w:tab w:val="right" w:leader="dot" w:pos="9974"/>
        </w:tabs>
        <w:spacing w:before="40" w:after="40"/>
        <w:ind w:left="1134" w:hanging="1134"/>
      </w:pPr>
      <w:hyperlink w:anchor="rot_Tabla_F4_40" w:history="1">
        <w:r>
          <w:t xml:space="preserve">Tabla F4.40. Estabilidad de las potencias de MICMAC en el escenario S4</w:t>
        </w:r>
        <w:r>
          <w:tab/>
        </w:r>
        <w:r>
          <w:fldChar w:fldCharType="begin"/>
        </w:r>
        <w:r>
          <w:instrText xml:space="preserve"> PAGEREF rot_Tabla_F4_40 \h </w:instrText>
        </w:r>
        <w:r>
          <w:fldChar w:fldCharType="separate"/>
        </w:r>
        <w:r>
          <w:t>186</w:t>
        </w:r>
        <w:r>
          <w:fldChar w:fldCharType="end"/>
        </w:r>
      </w:hyperlink>
    </w:p>
    <w:p>
      <w:pPr>
        <w:pStyle w:val="Indice"/>
        <w:tabs>
          <w:tab w:val="right" w:leader="dot" w:pos="9974"/>
        </w:tabs>
        <w:spacing w:before="40" w:after="40"/>
        <w:ind w:left="1134" w:hanging="1134"/>
      </w:pPr>
      <w:hyperlink w:anchor="rot_Tabla_F4_41" w:history="1">
        <w:r>
          <w:t xml:space="preserve">Tabla F4.41. Estabilidad observada en S2</w:t>
        </w:r>
        <w:r>
          <w:tab/>
        </w:r>
        <w:r>
          <w:fldChar w:fldCharType="begin"/>
        </w:r>
        <w:r>
          <w:instrText xml:space="preserve"> PAGEREF rot_Tabla_F4_41 \h </w:instrText>
        </w:r>
        <w:r>
          <w:fldChar w:fldCharType="separate"/>
        </w:r>
        <w:r>
          <w:t>187</w:t>
        </w:r>
        <w:r>
          <w:fldChar w:fldCharType="end"/>
        </w:r>
      </w:hyperlink>
    </w:p>
    <w:p>
      <w:pPr>
        <w:pStyle w:val="Indice"/>
        <w:tabs>
          <w:tab w:val="right" w:leader="dot" w:pos="9974"/>
        </w:tabs>
        <w:spacing w:before="40" w:after="40"/>
        <w:ind w:left="1134" w:hanging="1134"/>
      </w:pPr>
      <w:hyperlink w:anchor="rot_Tabla_F4_42" w:history="1">
        <w:r>
          <w:t xml:space="preserve">Tabla F4.42. Rangos de influencia por iteración en S2</w:t>
        </w:r>
        <w:r>
          <w:tab/>
        </w:r>
        <w:r>
          <w:fldChar w:fldCharType="begin"/>
        </w:r>
        <w:r>
          <w:instrText xml:space="preserve"> PAGEREF rot_Tabla_F4_42 \h </w:instrText>
        </w:r>
        <w:r>
          <w:fldChar w:fldCharType="separate"/>
        </w:r>
        <w:r>
          <w:t>187</w:t>
        </w:r>
        <w:r>
          <w:fldChar w:fldCharType="end"/>
        </w:r>
      </w:hyperlink>
    </w:p>
    <w:p>
      <w:pPr>
        <w:pStyle w:val="Indice"/>
        <w:tabs>
          <w:tab w:val="right" w:leader="dot" w:pos="9974"/>
        </w:tabs>
        <w:spacing w:before="40" w:after="40"/>
        <w:ind w:left="1134" w:hanging="1134"/>
      </w:pPr>
      <w:hyperlink w:anchor="rot_Tabla_F4_43" w:history="1">
        <w:r>
          <w:t xml:space="preserve">Tabla F4.43. Rangos de dependencia por iteración en S2</w:t>
        </w:r>
        <w:r>
          <w:tab/>
        </w:r>
        <w:r>
          <w:fldChar w:fldCharType="begin"/>
        </w:r>
        <w:r>
          <w:instrText xml:space="preserve"> PAGEREF rot_Tabla_F4_43 \h </w:instrText>
        </w:r>
        <w:r>
          <w:fldChar w:fldCharType="separate"/>
        </w:r>
        <w:r>
          <w:t>188</w:t>
        </w:r>
        <w:r>
          <w:fldChar w:fldCharType="end"/>
        </w:r>
      </w:hyperlink>
    </w:p>
    <w:p>
      <w:pPr>
        <w:pStyle w:val="Indice"/>
        <w:tabs>
          <w:tab w:val="right" w:leader="dot" w:pos="9974"/>
        </w:tabs>
        <w:spacing w:before="40" w:after="40"/>
        <w:ind w:left="1134" w:hanging="1134"/>
      </w:pPr>
      <w:hyperlink w:anchor="rot_Tabla_F4_44" w:history="1">
        <w:r>
          <w:t xml:space="preserve">Tabla F4.44. Clasificación indirecta del escenario S2 con la potencia A^10</w:t>
        </w:r>
        <w:r>
          <w:tab/>
        </w:r>
        <w:r>
          <w:fldChar w:fldCharType="begin"/>
        </w:r>
        <w:r>
          <w:instrText xml:space="preserve"> PAGEREF rot_Tabla_F4_44 \h </w:instrText>
        </w:r>
        <w:r>
          <w:fldChar w:fldCharType="separate"/>
        </w:r>
        <w:r>
          <w:t>188</w:t>
        </w:r>
        <w:r>
          <w:fldChar w:fldCharType="end"/>
        </w:r>
      </w:hyperlink>
    </w:p>
    <w:p>
      <w:pPr>
        <w:pStyle w:val="Indice"/>
        <w:tabs>
          <w:tab w:val="right" w:leader="dot" w:pos="9974"/>
        </w:tabs>
        <w:spacing w:before="40" w:after="40"/>
        <w:ind w:left="1134" w:hanging="1134"/>
      </w:pPr>
      <w:hyperlink w:anchor="rot_Tabla_F4_45" w:history="1">
        <w:r>
          <w:t xml:space="preserve">Tabla F4.45. Cotejo de la iteración previa (S1) con el cálculo exacto</w:t>
        </w:r>
        <w:r>
          <w:tab/>
        </w:r>
        <w:r>
          <w:fldChar w:fldCharType="begin"/>
        </w:r>
        <w:r>
          <w:instrText xml:space="preserve"> PAGEREF rot_Tabla_F4_45 \h </w:instrText>
        </w:r>
        <w:r>
          <w:fldChar w:fldCharType="separate"/>
        </w:r>
        <w:r>
          <w:t>191</w:t>
        </w:r>
        <w:r>
          <w:fldChar w:fldCharType="end"/>
        </w:r>
      </w:hyperlink>
    </w:p>
    <w:p>
      <w:pPr>
        <w:pStyle w:val="Indice"/>
        <w:tabs>
          <w:tab w:val="right" w:leader="dot" w:pos="9974"/>
        </w:tabs>
        <w:spacing w:before="40" w:after="40"/>
        <w:ind w:left="1134" w:hanging="1134"/>
      </w:pPr>
      <w:hyperlink w:anchor="rot_Tabla_F4_46" w:history="1">
        <w:r>
          <w:t xml:space="preserve">Tabla F4.46. Plano indirecto, desplazamiento de rangos y variables ocultas</w:t>
        </w:r>
        <w:r>
          <w:tab/>
        </w:r>
        <w:r>
          <w:fldChar w:fldCharType="begin"/>
        </w:r>
        <w:r>
          <w:instrText xml:space="preserve"> PAGEREF rot_Tabla_F4_46 \h </w:instrText>
        </w:r>
        <w:r>
          <w:fldChar w:fldCharType="separate"/>
        </w:r>
        <w:r>
          <w:t>191</w:t>
        </w:r>
        <w:r>
          <w:fldChar w:fldCharType="end"/>
        </w:r>
      </w:hyperlink>
    </w:p>
    <w:p>
      <w:pPr>
        <w:pStyle w:val="Indice"/>
        <w:tabs>
          <w:tab w:val="right" w:leader="dot" w:pos="9974"/>
        </w:tabs>
        <w:spacing w:before="40" w:after="40"/>
        <w:ind w:left="1134" w:hanging="1134"/>
      </w:pPr>
      <w:hyperlink w:anchor="rot_Tabla_F4_47" w:history="1">
        <w:r>
          <w:t xml:space="preserve">Tabla F4.47. Rango de influencia indirecta por escenario (potencia de referencia)</w:t>
        </w:r>
        <w:r>
          <w:tab/>
        </w:r>
        <w:r>
          <w:fldChar w:fldCharType="begin"/>
        </w:r>
        <w:r>
          <w:instrText xml:space="preserve"> PAGEREF rot_Tabla_F4_47 \h </w:instrText>
        </w:r>
        <w:r>
          <w:fldChar w:fldCharType="separate"/>
        </w:r>
        <w:r>
          <w:t>191</w:t>
        </w:r>
        <w:r>
          <w:fldChar w:fldCharType="end"/>
        </w:r>
      </w:hyperlink>
    </w:p>
    <w:p>
      <w:pPr>
        <w:pStyle w:val="Indice"/>
        <w:tabs>
          <w:tab w:val="right" w:leader="dot" w:pos="9974"/>
        </w:tabs>
        <w:spacing w:before="40" w:after="40"/>
        <w:ind w:left="1134" w:hanging="1134"/>
      </w:pPr>
      <w:hyperlink w:anchor="rot_Tabla_F4_48" w:history="1">
        <w:r>
          <w:t xml:space="preserve">Tabla F4.48. Clase directa por mediana en los cinco escenarios</w:t>
        </w:r>
        <w:r>
          <w:tab/>
        </w:r>
        <w:r>
          <w:fldChar w:fldCharType="begin"/>
        </w:r>
        <w:r>
          <w:instrText xml:space="preserve"> PAGEREF rot_Tabla_F4_48 \h </w:instrText>
        </w:r>
        <w:r>
          <w:fldChar w:fldCharType="separate"/>
        </w:r>
        <w:r>
          <w:t>192</w:t>
        </w:r>
        <w:r>
          <w:fldChar w:fldCharType="end"/>
        </w:r>
      </w:hyperlink>
    </w:p>
    <w:p>
      <w:pPr>
        <w:pStyle w:val="Indice"/>
        <w:tabs>
          <w:tab w:val="right" w:leader="dot" w:pos="9974"/>
        </w:tabs>
        <w:spacing w:before="40" w:after="40"/>
        <w:ind w:left="1134" w:hanging="1134"/>
      </w:pPr>
      <w:hyperlink w:anchor="rot_Tabla_F4_49" w:history="1">
        <w:r>
          <w:t xml:space="preserve">Tabla F4.49. Sensibilidad ordinal en S2</w:t>
        </w:r>
        <w:r>
          <w:tab/>
        </w:r>
        <w:r>
          <w:fldChar w:fldCharType="begin"/>
        </w:r>
        <w:r>
          <w:instrText xml:space="preserve"> PAGEREF rot_Tabla_F4_49 \h </w:instrText>
        </w:r>
        <w:r>
          <w:fldChar w:fldCharType="separate"/>
        </w:r>
        <w:r>
          <w:t>193</w:t>
        </w:r>
        <w:r>
          <w:fldChar w:fldCharType="end"/>
        </w:r>
      </w:hyperlink>
    </w:p>
    <w:p>
      <w:pPr>
        <w:pStyle w:val="Indice"/>
        <w:tabs>
          <w:tab w:val="right" w:leader="dot" w:pos="9974"/>
        </w:tabs>
        <w:spacing w:before="40" w:after="40"/>
        <w:ind w:left="1134" w:hanging="1134"/>
      </w:pPr>
      <w:hyperlink w:anchor="rot_Tabla_F4_50" w:history="1">
        <w:r>
          <w:t xml:space="preserve">Tabla F4.50. Perturbación de un enlace a la vez sobre los dominios admisibles</w:t>
        </w:r>
        <w:r>
          <w:tab/>
        </w:r>
        <w:r>
          <w:fldChar w:fldCharType="begin"/>
        </w:r>
        <w:r>
          <w:instrText xml:space="preserve"> PAGEREF rot_Tabla_F4_50 \h </w:instrText>
        </w:r>
        <w:r>
          <w:fldChar w:fldCharType="separate"/>
        </w:r>
        <w:r>
          <w:t>194</w:t>
        </w:r>
        <w:r>
          <w:fldChar w:fldCharType="end"/>
        </w:r>
      </w:hyperlink>
    </w:p>
    <w:p>
      <w:pPr>
        <w:pStyle w:val="Indice"/>
        <w:tabs>
          <w:tab w:val="right" w:leader="dot" w:pos="9974"/>
        </w:tabs>
        <w:spacing w:before="40" w:after="40"/>
        <w:ind w:left="1134" w:hanging="1134"/>
      </w:pPr>
      <w:hyperlink w:anchor="rot_Tabla_F4_51" w:history="1">
        <w:r>
          <w:t xml:space="preserve">Tabla F4.51. Rutas explicativas</w:t>
        </w:r>
        <w:r>
          <w:tab/>
        </w:r>
        <w:r>
          <w:fldChar w:fldCharType="begin"/>
        </w:r>
        <w:r>
          <w:instrText xml:space="preserve"> PAGEREF rot_Tabla_F4_51 \h </w:instrText>
        </w:r>
        <w:r>
          <w:fldChar w:fldCharType="separate"/>
        </w:r>
        <w:r>
          <w:t>195</w:t>
        </w:r>
        <w:r>
          <w:fldChar w:fldCharType="end"/>
        </w:r>
      </w:hyperlink>
    </w:p>
    <w:p>
      <w:pPr>
        <w:pStyle w:val="Indice"/>
        <w:tabs>
          <w:tab w:val="right" w:leader="dot" w:pos="9974"/>
        </w:tabs>
        <w:spacing w:before="40" w:after="40"/>
        <w:ind w:left="1134" w:hanging="1134"/>
      </w:pPr>
      <w:hyperlink w:anchor="rot_Tabla_F4_52" w:history="1">
        <w:r>
          <w:t xml:space="preserve">Tabla F4.52. Registro de decisión GENESIS: ND-09 Reconciliación entre prominencia directa e indirecta</w:t>
        </w:r>
        <w:r>
          <w:tab/>
        </w:r>
        <w:r>
          <w:fldChar w:fldCharType="begin"/>
        </w:r>
        <w:r>
          <w:instrText xml:space="preserve"> PAGEREF rot_Tabla_F4_52 \h </w:instrText>
        </w:r>
        <w:r>
          <w:fldChar w:fldCharType="separate"/>
        </w:r>
        <w:r>
          <w:t>196</w:t>
        </w:r>
        <w:r>
          <w:fldChar w:fldCharType="end"/>
        </w:r>
      </w:hyperlink>
    </w:p>
    <w:p>
      <w:pPr>
        <w:pStyle w:val="Indice"/>
        <w:tabs>
          <w:tab w:val="right" w:leader="dot" w:pos="9974"/>
        </w:tabs>
        <w:spacing w:before="40" w:after="40"/>
        <w:ind w:left="1134" w:hanging="1134"/>
      </w:pPr>
      <w:hyperlink w:anchor="rot_Tabla_F4_53" w:history="1">
        <w:r>
          <w:t xml:space="preserve">Tabla F4.53. Brechas específicas de 4.4 y ruta de resolución (¿Qué se me escapa?)</w:t>
        </w:r>
        <w:r>
          <w:tab/>
        </w:r>
        <w:r>
          <w:fldChar w:fldCharType="begin"/>
        </w:r>
        <w:r>
          <w:instrText xml:space="preserve"> PAGEREF rot_Tabla_F4_53 \h </w:instrText>
        </w:r>
        <w:r>
          <w:fldChar w:fldCharType="separate"/>
        </w:r>
        <w:r>
          <w:t>198</w:t>
        </w:r>
        <w:r>
          <w:fldChar w:fldCharType="end"/>
        </w:r>
      </w:hyperlink>
    </w:p>
    <w:p>
      <w:pPr>
        <w:pStyle w:val="Indice"/>
        <w:tabs>
          <w:tab w:val="right" w:leader="dot" w:pos="9974"/>
        </w:tabs>
        <w:spacing w:before="40" w:after="40"/>
        <w:ind w:left="1134" w:hanging="1134"/>
      </w:pPr>
      <w:hyperlink w:anchor="rot_Tabla_F4_54" w:history="1">
        <w:r>
          <w:t xml:space="preserve">Tabla F4.54. Evidencias de ejecución</w:t>
        </w:r>
        <w:r>
          <w:tab/>
        </w:r>
        <w:r>
          <w:fldChar w:fldCharType="begin"/>
        </w:r>
        <w:r>
          <w:instrText xml:space="preserve"> PAGEREF rot_Tabla_F4_54 \h </w:instrText>
        </w:r>
        <w:r>
          <w:fldChar w:fldCharType="separate"/>
        </w:r>
        <w:r>
          <w:t>199</w:t>
        </w:r>
        <w:r>
          <w:fldChar w:fldCharType="end"/>
        </w:r>
      </w:hyperlink>
    </w:p>
    <w:p>
      <w:pPr>
        <w:pStyle w:val="Indice"/>
        <w:tabs>
          <w:tab w:val="right" w:leader="dot" w:pos="9974"/>
        </w:tabs>
        <w:spacing w:before="40" w:after="40"/>
        <w:ind w:left="1134" w:hanging="1134"/>
      </w:pPr>
      <w:hyperlink w:anchor="rot_Tabla_F4_55" w:history="1">
        <w:r>
          <w:t xml:space="preserve">Tabla F4.55. Artefactos entregados de 4.4</w:t>
        </w:r>
        <w:r>
          <w:tab/>
        </w:r>
        <w:r>
          <w:fldChar w:fldCharType="begin"/>
        </w:r>
        <w:r>
          <w:instrText xml:space="preserve"> PAGEREF rot_Tabla_F4_55 \h </w:instrText>
        </w:r>
        <w:r>
          <w:fldChar w:fldCharType="separate"/>
        </w:r>
        <w:r>
          <w:t>200</w:t>
        </w:r>
        <w:r>
          <w:fldChar w:fldCharType="end"/>
        </w:r>
      </w:hyperlink>
    </w:p>
    <w:p>
      <w:pPr>
        <w:pStyle w:val="Indice"/>
        <w:tabs>
          <w:tab w:val="right" w:leader="dot" w:pos="9974"/>
        </w:tabs>
        <w:spacing w:before="40" w:after="40"/>
        <w:ind w:left="1134" w:hanging="1134"/>
      </w:pPr>
      <w:hyperlink w:anchor="rot_Tabla_F4_56" w:history="1">
        <w:r>
          <w:t xml:space="preserve">Tabla F4.56. Árbol A-DEC (decisión bajo incertidumbre, modalidad cualitativa)</w:t>
        </w:r>
        <w:r>
          <w:tab/>
        </w:r>
        <w:r>
          <w:fldChar w:fldCharType="begin"/>
        </w:r>
        <w:r>
          <w:instrText xml:space="preserve"> PAGEREF rot_Tabla_F4_56 \h </w:instrText>
        </w:r>
        <w:r>
          <w:fldChar w:fldCharType="separate"/>
        </w:r>
        <w:r>
          <w:t>205</w:t>
        </w:r>
        <w:r>
          <w:fldChar w:fldCharType="end"/>
        </w:r>
      </w:hyperlink>
    </w:p>
    <w:p>
      <w:pPr>
        <w:pStyle w:val="Indice"/>
        <w:tabs>
          <w:tab w:val="right" w:leader="dot" w:pos="9974"/>
        </w:tabs>
        <w:spacing w:before="40" w:after="40"/>
        <w:ind w:left="1134" w:hanging="1134"/>
      </w:pPr>
      <w:hyperlink w:anchor="rot_Tabla_F4_57" w:history="1">
        <w:r>
          <w:t xml:space="preserve">Tabla F4.57. Árbol A-TDC (teoría del cambio)</w:t>
        </w:r>
        <w:r>
          <w:tab/>
        </w:r>
        <w:r>
          <w:fldChar w:fldCharType="begin"/>
        </w:r>
        <w:r>
          <w:instrText xml:space="preserve"> PAGEREF rot_Tabla_F4_57 \h </w:instrText>
        </w:r>
        <w:r>
          <w:fldChar w:fldCharType="separate"/>
        </w:r>
        <w:r>
          <w:t>209</w:t>
        </w:r>
        <w:r>
          <w:fldChar w:fldCharType="end"/>
        </w:r>
      </w:hyperlink>
    </w:p>
    <w:p>
      <w:pPr>
        <w:pStyle w:val="Indice"/>
        <w:tabs>
          <w:tab w:val="right" w:leader="dot" w:pos="9974"/>
        </w:tabs>
        <w:spacing w:before="40" w:after="40"/>
        <w:ind w:left="1134" w:hanging="1134"/>
      </w:pPr>
      <w:hyperlink w:anchor="rot_Tabla_F4_58" w:history="1">
        <w:r>
          <w:t xml:space="preserve">Tabla F4.58. Delimitación del fenómeno</w:t>
        </w:r>
        <w:r>
          <w:tab/>
        </w:r>
        <w:r>
          <w:fldChar w:fldCharType="begin"/>
        </w:r>
        <w:r>
          <w:instrText xml:space="preserve"> PAGEREF rot_Tabla_F4_58 \h </w:instrText>
        </w:r>
        <w:r>
          <w:fldChar w:fldCharType="separate"/>
        </w:r>
        <w:r>
          <w:t>210</w:t>
        </w:r>
        <w:r>
          <w:fldChar w:fldCharType="end"/>
        </w:r>
      </w:hyperlink>
    </w:p>
    <w:p>
      <w:pPr>
        <w:pStyle w:val="Indice"/>
        <w:tabs>
          <w:tab w:val="right" w:leader="dot" w:pos="9974"/>
        </w:tabs>
        <w:spacing w:before="40" w:after="40"/>
        <w:ind w:left="1134" w:hanging="1134"/>
      </w:pPr>
      <w:hyperlink w:anchor="rot_Tabla_F4_59" w:history="1">
        <w:r>
          <w:t xml:space="preserve">Tabla F4.59. Construcción discursiva</w:t>
        </w:r>
        <w:r>
          <w:tab/>
        </w:r>
        <w:r>
          <w:fldChar w:fldCharType="begin"/>
        </w:r>
        <w:r>
          <w:instrText xml:space="preserve"> PAGEREF rot_Tabla_F4_59 \h </w:instrText>
        </w:r>
        <w:r>
          <w:fldChar w:fldCharType="separate"/>
        </w:r>
        <w:r>
          <w:t>211</w:t>
        </w:r>
        <w:r>
          <w:fldChar w:fldCharType="end"/>
        </w:r>
      </w:hyperlink>
    </w:p>
    <w:p>
      <w:pPr>
        <w:pStyle w:val="Indice"/>
        <w:tabs>
          <w:tab w:val="right" w:leader="dot" w:pos="9974"/>
        </w:tabs>
        <w:spacing w:before="40" w:after="40"/>
        <w:ind w:left="1134" w:hanging="1134"/>
      </w:pPr>
      <w:hyperlink w:anchor="rot_Tabla_F4_60" w:history="1">
        <w:r>
          <w:t xml:space="preserve">Tabla F4.60. Marcos rivales</w:t>
        </w:r>
        <w:r>
          <w:tab/>
        </w:r>
        <w:r>
          <w:fldChar w:fldCharType="begin"/>
        </w:r>
        <w:r>
          <w:instrText xml:space="preserve"> PAGEREF rot_Tabla_F4_60 \h </w:instrText>
        </w:r>
        <w:r>
          <w:fldChar w:fldCharType="separate"/>
        </w:r>
        <w:r>
          <w:t>212</w:t>
        </w:r>
        <w:r>
          <w:fldChar w:fldCharType="end"/>
        </w:r>
      </w:hyperlink>
    </w:p>
    <w:p>
      <w:pPr>
        <w:pStyle w:val="Indice"/>
        <w:tabs>
          <w:tab w:val="right" w:leader="dot" w:pos="9974"/>
        </w:tabs>
        <w:spacing w:before="40" w:after="40"/>
        <w:ind w:left="1134" w:hanging="1134"/>
      </w:pPr>
      <w:hyperlink w:anchor="rot_Tabla_F4_61" w:history="1">
        <w:r>
          <w:t xml:space="preserve">Tabla F4.61. Núcleo normativo</w:t>
        </w:r>
        <w:r>
          <w:tab/>
        </w:r>
        <w:r>
          <w:fldChar w:fldCharType="begin"/>
        </w:r>
        <w:r>
          <w:instrText xml:space="preserve"> PAGEREF rot_Tabla_F4_61 \h </w:instrText>
        </w:r>
        <w:r>
          <w:fldChar w:fldCharType="separate"/>
        </w:r>
        <w:r>
          <w:t>212</w:t>
        </w:r>
        <w:r>
          <w:fldChar w:fldCharType="end"/>
        </w:r>
      </w:hyperlink>
    </w:p>
    <w:p>
      <w:pPr>
        <w:pStyle w:val="Indice"/>
        <w:tabs>
          <w:tab w:val="right" w:leader="dot" w:pos="9974"/>
        </w:tabs>
        <w:spacing w:before="40" w:after="40"/>
        <w:ind w:left="1134" w:hanging="1134"/>
      </w:pPr>
      <w:hyperlink w:anchor="rot_Tabla_F4_62" w:history="1">
        <w:r>
          <w:t xml:space="preserve">Tabla F4.62. Sistema apreciativo</w:t>
        </w:r>
        <w:r>
          <w:tab/>
        </w:r>
        <w:r>
          <w:fldChar w:fldCharType="begin"/>
        </w:r>
        <w:r>
          <w:instrText xml:space="preserve"> PAGEREF rot_Tabla_F4_62 \h </w:instrText>
        </w:r>
        <w:r>
          <w:fldChar w:fldCharType="separate"/>
        </w:r>
        <w:r>
          <w:t>213</w:t>
        </w:r>
        <w:r>
          <w:fldChar w:fldCharType="end"/>
        </w:r>
      </w:hyperlink>
    </w:p>
    <w:p>
      <w:pPr>
        <w:pStyle w:val="Indice"/>
        <w:tabs>
          <w:tab w:val="right" w:leader="dot" w:pos="9974"/>
        </w:tabs>
        <w:spacing w:before="40" w:after="40"/>
        <w:ind w:left="1134" w:hanging="1134"/>
      </w:pPr>
      <w:hyperlink w:anchor="rot_Tabla_F4_63" w:history="1">
        <w:r>
          <w:t xml:space="preserve">Tabla F4.63. Estructura del problema (Simon, 1973)</w:t>
        </w:r>
        <w:r>
          <w:tab/>
        </w:r>
        <w:r>
          <w:fldChar w:fldCharType="begin"/>
        </w:r>
        <w:r>
          <w:instrText xml:space="preserve"> PAGEREF rot_Tabla_F4_63 \h </w:instrText>
        </w:r>
        <w:r>
          <w:fldChar w:fldCharType="separate"/>
        </w:r>
        <w:r>
          <w:t>214</w:t>
        </w:r>
        <w:r>
          <w:fldChar w:fldCharType="end"/>
        </w:r>
      </w:hyperlink>
    </w:p>
    <w:p>
      <w:pPr>
        <w:pStyle w:val="Indice"/>
        <w:tabs>
          <w:tab w:val="right" w:leader="dot" w:pos="9974"/>
        </w:tabs>
        <w:spacing w:before="40" w:after="40"/>
        <w:ind w:left="1134" w:hanging="1134"/>
      </w:pPr>
      <w:hyperlink w:anchor="rot_Tabla_F4_64" w:history="1">
        <w:r>
          <w:t xml:space="preserve">Tabla F4.64. Dominio causal</w:t>
        </w:r>
        <w:r>
          <w:tab/>
        </w:r>
        <w:r>
          <w:fldChar w:fldCharType="begin"/>
        </w:r>
        <w:r>
          <w:instrText xml:space="preserve"> PAGEREF rot_Tabla_F4_64 \h </w:instrText>
        </w:r>
        <w:r>
          <w:fldChar w:fldCharType="separate"/>
        </w:r>
        <w:r>
          <w:t>214</w:t>
        </w:r>
        <w:r>
          <w:fldChar w:fldCharType="end"/>
        </w:r>
      </w:hyperlink>
    </w:p>
    <w:p>
      <w:pPr>
        <w:pStyle w:val="Indice"/>
        <w:tabs>
          <w:tab w:val="right" w:leader="dot" w:pos="9974"/>
        </w:tabs>
        <w:spacing w:before="40" w:after="40"/>
        <w:ind w:left="1134" w:hanging="1134"/>
      </w:pPr>
      <w:hyperlink w:anchor="rot_Tabla_F4_65" w:history="1">
        <w:r>
          <w:t xml:space="preserve">Tabla F4.65. Contexto estructural</w:t>
        </w:r>
        <w:r>
          <w:tab/>
        </w:r>
        <w:r>
          <w:fldChar w:fldCharType="begin"/>
        </w:r>
        <w:r>
          <w:instrText xml:space="preserve"> PAGEREF rot_Tabla_F4_65 \h </w:instrText>
        </w:r>
        <w:r>
          <w:fldChar w:fldCharType="separate"/>
        </w:r>
        <w:r>
          <w:t>215</w:t>
        </w:r>
        <w:r>
          <w:fldChar w:fldCharType="end"/>
        </w:r>
      </w:hyperlink>
    </w:p>
    <w:p>
      <w:pPr>
        <w:pStyle w:val="Indice"/>
        <w:tabs>
          <w:tab w:val="right" w:leader="dot" w:pos="9974"/>
        </w:tabs>
        <w:spacing w:before="40" w:after="40"/>
        <w:ind w:left="1134" w:hanging="1134"/>
      </w:pPr>
      <w:hyperlink w:anchor="rot_Tabla_F4_66" w:history="1">
        <w:r>
          <w:t xml:space="preserve">Tabla F4.66. Reglas institucionales</w:t>
        </w:r>
        <w:r>
          <w:tab/>
        </w:r>
        <w:r>
          <w:fldChar w:fldCharType="begin"/>
        </w:r>
        <w:r>
          <w:instrText xml:space="preserve"> PAGEREF rot_Tabla_F4_66 \h </w:instrText>
        </w:r>
        <w:r>
          <w:fldChar w:fldCharType="separate"/>
        </w:r>
        <w:r>
          <w:t>216</w:t>
        </w:r>
        <w:r>
          <w:fldChar w:fldCharType="end"/>
        </w:r>
      </w:hyperlink>
    </w:p>
    <w:p>
      <w:pPr>
        <w:pStyle w:val="Indice"/>
        <w:tabs>
          <w:tab w:val="right" w:leader="dot" w:pos="9974"/>
        </w:tabs>
        <w:spacing w:before="40" w:after="40"/>
        <w:ind w:left="1134" w:hanging="1134"/>
      </w:pPr>
      <w:hyperlink w:anchor="rot_Tabla_F4_67" w:history="1">
        <w:r>
          <w:t xml:space="preserve">Tabla F4.67. Selectividad estratégica</w:t>
        </w:r>
        <w:r>
          <w:tab/>
        </w:r>
        <w:r>
          <w:fldChar w:fldCharType="begin"/>
        </w:r>
        <w:r>
          <w:instrText xml:space="preserve"> PAGEREF rot_Tabla_F4_67 \h </w:instrText>
        </w:r>
        <w:r>
          <w:fldChar w:fldCharType="separate"/>
        </w:r>
        <w:r>
          <w:t>217</w:t>
        </w:r>
        <w:r>
          <w:fldChar w:fldCharType="end"/>
        </w:r>
      </w:hyperlink>
    </w:p>
    <w:p>
      <w:pPr>
        <w:pStyle w:val="Indice"/>
        <w:tabs>
          <w:tab w:val="right" w:leader="dot" w:pos="9974"/>
        </w:tabs>
        <w:spacing w:before="40" w:after="40"/>
        <w:ind w:left="1134" w:hanging="1134"/>
      </w:pPr>
      <w:hyperlink w:anchor="rot_Tabla_F4_68" w:history="1">
        <w:r>
          <w:t xml:space="preserve">Tabla F4.68. Selectividad estratégica (continuación 1)</w:t>
        </w:r>
        <w:r>
          <w:tab/>
        </w:r>
        <w:r>
          <w:fldChar w:fldCharType="begin"/>
        </w:r>
        <w:r>
          <w:instrText xml:space="preserve"> PAGEREF rot_Tabla_F4_68 \h </w:instrText>
        </w:r>
        <w:r>
          <w:fldChar w:fldCharType="separate"/>
        </w:r>
        <w:r>
          <w:t>217</w:t>
        </w:r>
        <w:r>
          <w:fldChar w:fldCharType="end"/>
        </w:r>
      </w:hyperlink>
    </w:p>
    <w:p>
      <w:pPr>
        <w:pStyle w:val="Indice"/>
        <w:tabs>
          <w:tab w:val="right" w:leader="dot" w:pos="9974"/>
        </w:tabs>
        <w:spacing w:before="40" w:after="40"/>
        <w:ind w:left="1134" w:hanging="1134"/>
      </w:pPr>
      <w:hyperlink w:anchor="rot_Tabla_F4_69" w:history="1">
        <w:r>
          <w:t xml:space="preserve">Tabla F4.69. Restricciones de continuidad</w:t>
        </w:r>
        <w:r>
          <w:tab/>
        </w:r>
        <w:r>
          <w:fldChar w:fldCharType="begin"/>
        </w:r>
        <w:r>
          <w:instrText xml:space="preserve"> PAGEREF rot_Tabla_F4_69 \h </w:instrText>
        </w:r>
        <w:r>
          <w:fldChar w:fldCharType="separate"/>
        </w:r>
        <w:r>
          <w:t>218</w:t>
        </w:r>
        <w:r>
          <w:fldChar w:fldCharType="end"/>
        </w:r>
      </w:hyperlink>
    </w:p>
    <w:p>
      <w:pPr>
        <w:pStyle w:val="Indice"/>
        <w:tabs>
          <w:tab w:val="right" w:leader="dot" w:pos="9974"/>
        </w:tabs>
        <w:spacing w:before="40" w:after="40"/>
        <w:ind w:left="1134" w:hanging="1134"/>
      </w:pPr>
      <w:hyperlink w:anchor="rot_Tabla_F4_70" w:history="1">
        <w:r>
          <w:t xml:space="preserve">Tabla F4.70. Identificación y lógica de acción</w:t>
        </w:r>
        <w:r>
          <w:tab/>
        </w:r>
        <w:r>
          <w:fldChar w:fldCharType="begin"/>
        </w:r>
        <w:r>
          <w:instrText xml:space="preserve"> PAGEREF rot_Tabla_F4_70 \h </w:instrText>
        </w:r>
        <w:r>
          <w:fldChar w:fldCharType="separate"/>
        </w:r>
        <w:r>
          <w:t>219</w:t>
        </w:r>
        <w:r>
          <w:fldChar w:fldCharType="end"/>
        </w:r>
      </w:hyperlink>
    </w:p>
    <w:p>
      <w:pPr>
        <w:pStyle w:val="Indice"/>
        <w:tabs>
          <w:tab w:val="right" w:leader="dot" w:pos="9974"/>
        </w:tabs>
        <w:spacing w:before="40" w:after="40"/>
        <w:ind w:left="1134" w:hanging="1134"/>
      </w:pPr>
      <w:hyperlink w:anchor="rot_Tabla_F4_71" w:history="1">
        <w:r>
          <w:t xml:space="preserve">Tabla F4.71. Relevancia (poder, legitimidad y urgencia)</w:t>
        </w:r>
        <w:r>
          <w:tab/>
        </w:r>
        <w:r>
          <w:fldChar w:fldCharType="begin"/>
        </w:r>
        <w:r>
          <w:instrText xml:space="preserve"> PAGEREF rot_Tabla_F4_71 \h </w:instrText>
        </w:r>
        <w:r>
          <w:fldChar w:fldCharType="separate"/>
        </w:r>
        <w:r>
          <w:t>220</w:t>
        </w:r>
        <w:r>
          <w:fldChar w:fldCharType="end"/>
        </w:r>
      </w:hyperlink>
    </w:p>
    <w:p>
      <w:pPr>
        <w:pStyle w:val="Indice"/>
        <w:tabs>
          <w:tab w:val="right" w:leader="dot" w:pos="9974"/>
        </w:tabs>
        <w:spacing w:before="40" w:after="40"/>
        <w:ind w:left="1134" w:hanging="1134"/>
      </w:pPr>
      <w:hyperlink w:anchor="rot_Tabla_F4_72" w:history="1">
        <w:r>
          <w:t xml:space="preserve">Tabla F4.72. Reacciones previstas (anticipación cualitativa)</w:t>
        </w:r>
        <w:r>
          <w:tab/>
        </w:r>
        <w:r>
          <w:fldChar w:fldCharType="begin"/>
        </w:r>
        <w:r>
          <w:instrText xml:space="preserve"> PAGEREF rot_Tabla_F4_72 \h </w:instrText>
        </w:r>
        <w:r>
          <w:fldChar w:fldCharType="separate"/>
        </w:r>
        <w:r>
          <w:t>221</w:t>
        </w:r>
        <w:r>
          <w:fldChar w:fldCharType="end"/>
        </w:r>
      </w:hyperlink>
    </w:p>
    <w:p>
      <w:pPr>
        <w:pStyle w:val="Indice"/>
        <w:tabs>
          <w:tab w:val="right" w:leader="dot" w:pos="9974"/>
        </w:tabs>
        <w:spacing w:before="40" w:after="40"/>
        <w:ind w:left="1134" w:hanging="1134"/>
      </w:pPr>
      <w:hyperlink w:anchor="rot_Tabla_F4_73" w:history="1">
        <w:r>
          <w:t xml:space="preserve">Tabla F4.73. Interdependencia estratégica</w:t>
        </w:r>
        <w:r>
          <w:tab/>
        </w:r>
        <w:r>
          <w:fldChar w:fldCharType="begin"/>
        </w:r>
        <w:r>
          <w:instrText xml:space="preserve"> PAGEREF rot_Tabla_F4_73 \h </w:instrText>
        </w:r>
        <w:r>
          <w:fldChar w:fldCharType="separate"/>
        </w:r>
        <w:r>
          <w:t>221</w:t>
        </w:r>
        <w:r>
          <w:fldChar w:fldCharType="end"/>
        </w:r>
      </w:hyperlink>
    </w:p>
    <w:p>
      <w:pPr>
        <w:pStyle w:val="Indice"/>
        <w:tabs>
          <w:tab w:val="right" w:leader="dot" w:pos="9974"/>
        </w:tabs>
        <w:spacing w:before="40" w:after="40"/>
        <w:ind w:left="1134" w:hanging="1134"/>
      </w:pPr>
      <w:hyperlink w:anchor="rot_Tabla_F4_74" w:history="1">
        <w:r>
          <w:t xml:space="preserve">Tabla F4.74. Ejes del encuadre</w:t>
        </w:r>
        <w:r>
          <w:tab/>
        </w:r>
        <w:r>
          <w:fldChar w:fldCharType="begin"/>
        </w:r>
        <w:r>
          <w:instrText xml:space="preserve"> PAGEREF rot_Tabla_F4_74 \h </w:instrText>
        </w:r>
        <w:r>
          <w:fldChar w:fldCharType="separate"/>
        </w:r>
        <w:r>
          <w:t>222</w:t>
        </w:r>
        <w:r>
          <w:fldChar w:fldCharType="end"/>
        </w:r>
      </w:hyperlink>
    </w:p>
    <w:p>
      <w:pPr>
        <w:pStyle w:val="Indice"/>
        <w:tabs>
          <w:tab w:val="right" w:leader="dot" w:pos="9974"/>
        </w:tabs>
        <w:spacing w:before="40" w:after="40"/>
        <w:ind w:left="1134" w:hanging="1134"/>
      </w:pPr>
      <w:hyperlink w:anchor="rot_Tabla_F4_75" w:history="1">
        <w:r>
          <w:t xml:space="preserve">Tabla F4.75. Matriz de Braybrooke y Lindblom (1963) y contraste con el dominio</w:t>
        </w:r>
        <w:r>
          <w:tab/>
        </w:r>
        <w:r>
          <w:fldChar w:fldCharType="begin"/>
        </w:r>
        <w:r>
          <w:instrText xml:space="preserve"> PAGEREF rot_Tabla_F4_75 \h </w:instrText>
        </w:r>
        <w:r>
          <w:fldChar w:fldCharType="separate"/>
        </w:r>
        <w:r>
          <w:t>223</w:t>
        </w:r>
        <w:r>
          <w:fldChar w:fldCharType="end"/>
        </w:r>
      </w:hyperlink>
    </w:p>
    <w:p>
      <w:pPr>
        <w:pStyle w:val="Indice"/>
        <w:tabs>
          <w:tab w:val="right" w:leader="dot" w:pos="9974"/>
        </w:tabs>
        <w:spacing w:before="40" w:after="40"/>
        <w:ind w:left="1134" w:hanging="1134"/>
      </w:pPr>
      <w:hyperlink w:anchor="rot_Tabla_F4_76" w:history="1">
        <w:r>
          <w:t xml:space="preserve">Tabla F4.76. Modelos compatibles</w:t>
        </w:r>
        <w:r>
          <w:tab/>
        </w:r>
        <w:r>
          <w:fldChar w:fldCharType="begin"/>
        </w:r>
        <w:r>
          <w:instrText xml:space="preserve"> PAGEREF rot_Tabla_F4_76 \h </w:instrText>
        </w:r>
        <w:r>
          <w:fldChar w:fldCharType="separate"/>
        </w:r>
        <w:r>
          <w:t>223</w:t>
        </w:r>
        <w:r>
          <w:fldChar w:fldCharType="end"/>
        </w:r>
      </w:hyperlink>
    </w:p>
    <w:p>
      <w:pPr>
        <w:pStyle w:val="Indice"/>
        <w:tabs>
          <w:tab w:val="right" w:leader="dot" w:pos="9974"/>
        </w:tabs>
        <w:spacing w:before="40" w:after="40"/>
        <w:ind w:left="1134" w:hanging="1134"/>
      </w:pPr>
      <w:hyperlink w:anchor="rot_Tabla_F4_77" w:history="1">
        <w:r>
          <w:t xml:space="preserve">Tabla F4.77. Criterios y aspiraciones registrados antes de evaluar (versión 1.0)</w:t>
        </w:r>
        <w:r>
          <w:tab/>
        </w:r>
        <w:r>
          <w:fldChar w:fldCharType="begin"/>
        </w:r>
        <w:r>
          <w:instrText xml:space="preserve"> PAGEREF rot_Tabla_F4_77 \h </w:instrText>
        </w:r>
        <w:r>
          <w:fldChar w:fldCharType="separate"/>
        </w:r>
        <w:r>
          <w:t>224</w:t>
        </w:r>
        <w:r>
          <w:fldChar w:fldCharType="end"/>
        </w:r>
      </w:hyperlink>
    </w:p>
    <w:p>
      <w:pPr>
        <w:pStyle w:val="Indice"/>
        <w:tabs>
          <w:tab w:val="right" w:leader="dot" w:pos="9974"/>
        </w:tabs>
        <w:spacing w:before="40" w:after="40"/>
        <w:ind w:left="1134" w:hanging="1134"/>
      </w:pPr>
      <w:hyperlink w:anchor="rot_Tabla_F4_78" w:history="1">
        <w:r>
          <w:t xml:space="preserve">Tabla F4.78. Alternativas</w:t>
        </w:r>
        <w:r>
          <w:tab/>
        </w:r>
        <w:r>
          <w:fldChar w:fldCharType="begin"/>
        </w:r>
        <w:r>
          <w:instrText xml:space="preserve"> PAGEREF rot_Tabla_F4_78 \h </w:instrText>
        </w:r>
        <w:r>
          <w:fldChar w:fldCharType="separate"/>
        </w:r>
        <w:r>
          <w:t>225</w:t>
        </w:r>
        <w:r>
          <w:fldChar w:fldCharType="end"/>
        </w:r>
      </w:hyperlink>
    </w:p>
    <w:p>
      <w:pPr>
        <w:pStyle w:val="Indice"/>
        <w:tabs>
          <w:tab w:val="right" w:leader="dot" w:pos="9974"/>
        </w:tabs>
        <w:spacing w:before="40" w:after="40"/>
        <w:ind w:left="1134" w:hanging="1134"/>
      </w:pPr>
      <w:hyperlink w:anchor="rot_Tabla_F4_79" w:history="1">
        <w:r>
          <w:t xml:space="preserve">Tabla F4.79. Método ejecutado: matriz de compensaciones</w:t>
        </w:r>
        <w:r>
          <w:tab/>
        </w:r>
        <w:r>
          <w:fldChar w:fldCharType="begin"/>
        </w:r>
        <w:r>
          <w:instrText xml:space="preserve"> PAGEREF rot_Tabla_F4_79 \h </w:instrText>
        </w:r>
        <w:r>
          <w:fldChar w:fldCharType="separate"/>
        </w:r>
        <w:r>
          <w:t>226</w:t>
        </w:r>
        <w:r>
          <w:fldChar w:fldCharType="end"/>
        </w:r>
      </w:hyperlink>
    </w:p>
    <w:p>
      <w:pPr>
        <w:pStyle w:val="Indice"/>
        <w:tabs>
          <w:tab w:val="right" w:leader="dot" w:pos="9974"/>
        </w:tabs>
        <w:spacing w:before="40" w:after="40"/>
        <w:ind w:left="1134" w:hanging="1134"/>
      </w:pPr>
      <w:hyperlink w:anchor="rot_Tabla_F4_80" w:history="1">
        <w:r>
          <w:t xml:space="preserve">Tabla F4.80. Métodos no ejecutados</w:t>
        </w:r>
        <w:r>
          <w:tab/>
        </w:r>
        <w:r>
          <w:fldChar w:fldCharType="begin"/>
        </w:r>
        <w:r>
          <w:instrText xml:space="preserve"> PAGEREF rot_Tabla_F4_80 \h </w:instrText>
        </w:r>
        <w:r>
          <w:fldChar w:fldCharType="separate"/>
        </w:r>
        <w:r>
          <w:t>227</w:t>
        </w:r>
        <w:r>
          <w:fldChar w:fldCharType="end"/>
        </w:r>
      </w:hyperlink>
    </w:p>
    <w:p>
      <w:pPr>
        <w:pStyle w:val="Indice"/>
        <w:tabs>
          <w:tab w:val="right" w:leader="dot" w:pos="9974"/>
        </w:tabs>
        <w:spacing w:before="40" w:after="40"/>
        <w:ind w:left="1134" w:hanging="1134"/>
      </w:pPr>
      <w:hyperlink w:anchor="rot_Tabla_F4_81" w:history="1">
        <w:r>
          <w:t xml:space="preserve">Tabla F4.81. Auditoría de sesgos</w:t>
        </w:r>
        <w:r>
          <w:tab/>
        </w:r>
        <w:r>
          <w:fldChar w:fldCharType="begin"/>
        </w:r>
        <w:r>
          <w:instrText xml:space="preserve"> PAGEREF rot_Tabla_F4_81 \h </w:instrText>
        </w:r>
        <w:r>
          <w:fldChar w:fldCharType="separate"/>
        </w:r>
        <w:r>
          <w:t>228</w:t>
        </w:r>
        <w:r>
          <w:fldChar w:fldCharType="end"/>
        </w:r>
      </w:hyperlink>
    </w:p>
    <w:p>
      <w:pPr>
        <w:pStyle w:val="Indice"/>
        <w:tabs>
          <w:tab w:val="right" w:leader="dot" w:pos="9974"/>
        </w:tabs>
        <w:spacing w:before="40" w:after="40"/>
        <w:ind w:left="1134" w:hanging="1134"/>
      </w:pPr>
      <w:hyperlink w:anchor="rot_Tabla_F4_82" w:history="1">
        <w:r>
          <w:t xml:space="preserve">Tabla F4.82. Mapeo inverso</w:t>
        </w:r>
        <w:r>
          <w:tab/>
        </w:r>
        <w:r>
          <w:fldChar w:fldCharType="begin"/>
        </w:r>
        <w:r>
          <w:instrText xml:space="preserve"> PAGEREF rot_Tabla_F4_82 \h </w:instrText>
        </w:r>
        <w:r>
          <w:fldChar w:fldCharType="separate"/>
        </w:r>
        <w:r>
          <w:t>229</w:t>
        </w:r>
        <w:r>
          <w:fldChar w:fldCharType="end"/>
        </w:r>
      </w:hyperlink>
    </w:p>
    <w:p>
      <w:pPr>
        <w:pStyle w:val="Indice"/>
        <w:tabs>
          <w:tab w:val="right" w:leader="dot" w:pos="9974"/>
        </w:tabs>
        <w:spacing w:before="40" w:after="40"/>
        <w:ind w:left="1134" w:hanging="1134"/>
      </w:pPr>
      <w:hyperlink w:anchor="rot_Tabla_F4_83" w:history="1">
        <w:r>
          <w:t xml:space="preserve">Tabla F4.83. Arquitectura según el dominio</w:t>
        </w:r>
        <w:r>
          <w:tab/>
        </w:r>
        <w:r>
          <w:fldChar w:fldCharType="begin"/>
        </w:r>
        <w:r>
          <w:instrText xml:space="preserve"> PAGEREF rot_Tabla_F4_83 \h </w:instrText>
        </w:r>
        <w:r>
          <w:fldChar w:fldCharType="separate"/>
        </w:r>
        <w:r>
          <w:t>230</w:t>
        </w:r>
        <w:r>
          <w:fldChar w:fldCharType="end"/>
        </w:r>
      </w:hyperlink>
    </w:p>
    <w:p>
      <w:pPr>
        <w:pStyle w:val="Indice"/>
        <w:tabs>
          <w:tab w:val="right" w:leader="dot" w:pos="9974"/>
        </w:tabs>
        <w:spacing w:before="40" w:after="40"/>
        <w:ind w:left="1134" w:hanging="1134"/>
      </w:pPr>
      <w:hyperlink w:anchor="rot_Tabla_F4_84" w:history="1">
        <w:r>
          <w:t xml:space="preserve">Tabla F4.84. Anidamiento</w:t>
        </w:r>
        <w:r>
          <w:tab/>
        </w:r>
        <w:r>
          <w:fldChar w:fldCharType="begin"/>
        </w:r>
        <w:r>
          <w:instrText xml:space="preserve"> PAGEREF rot_Tabla_F4_84 \h </w:instrText>
        </w:r>
        <w:r>
          <w:fldChar w:fldCharType="separate"/>
        </w:r>
        <w:r>
          <w:t>230</w:t>
        </w:r>
        <w:r>
          <w:fldChar w:fldCharType="end"/>
        </w:r>
      </w:hyperlink>
    </w:p>
    <w:p>
      <w:pPr>
        <w:pStyle w:val="Indice"/>
        <w:tabs>
          <w:tab w:val="right" w:leader="dot" w:pos="9974"/>
        </w:tabs>
        <w:spacing w:before="40" w:after="40"/>
        <w:ind w:left="1134" w:hanging="1134"/>
      </w:pPr>
      <w:hyperlink w:anchor="rot_Tabla_F4_85" w:history="1">
        <w:r>
          <w:t xml:space="preserve">Tabla F4.85. Techo de rendición de cuentas</w:t>
        </w:r>
        <w:r>
          <w:tab/>
        </w:r>
        <w:r>
          <w:fldChar w:fldCharType="begin"/>
        </w:r>
        <w:r>
          <w:instrText xml:space="preserve"> PAGEREF rot_Tabla_F4_85 \h </w:instrText>
        </w:r>
        <w:r>
          <w:fldChar w:fldCharType="separate"/>
        </w:r>
        <w:r>
          <w:t>231</w:t>
        </w:r>
        <w:r>
          <w:fldChar w:fldCharType="end"/>
        </w:r>
      </w:hyperlink>
    </w:p>
    <w:p>
      <w:pPr>
        <w:pStyle w:val="Indice"/>
        <w:tabs>
          <w:tab w:val="right" w:leader="dot" w:pos="9974"/>
        </w:tabs>
        <w:spacing w:before="40" w:after="40"/>
        <w:ind w:left="1134" w:hanging="1134"/>
      </w:pPr>
      <w:hyperlink w:anchor="rot_Tabla_F4_86" w:history="1">
        <w:r>
          <w:t xml:space="preserve">Tabla F4.86. Cuellos de adopción y marcos de cambio</w:t>
        </w:r>
        <w:r>
          <w:tab/>
        </w:r>
        <w:r>
          <w:fldChar w:fldCharType="begin"/>
        </w:r>
        <w:r>
          <w:instrText xml:space="preserve"> PAGEREF rot_Tabla_F4_86 \h </w:instrText>
        </w:r>
        <w:r>
          <w:fldChar w:fldCharType="separate"/>
        </w:r>
        <w:r>
          <w:t>232</w:t>
        </w:r>
        <w:r>
          <w:fldChar w:fldCharType="end"/>
        </w:r>
      </w:hyperlink>
    </w:p>
    <w:p>
      <w:pPr>
        <w:pStyle w:val="Indice"/>
        <w:tabs>
          <w:tab w:val="right" w:leader="dot" w:pos="9974"/>
        </w:tabs>
        <w:spacing w:before="40" w:after="40"/>
        <w:ind w:left="1134" w:hanging="1134"/>
      </w:pPr>
      <w:hyperlink w:anchor="rot_Tabla_F4_87" w:history="1">
        <w:r>
          <w:t xml:space="preserve">Tabla F4.87. Efectos del enfoque sobre el proyecto</w:t>
        </w:r>
        <w:r>
          <w:tab/>
        </w:r>
        <w:r>
          <w:fldChar w:fldCharType="begin"/>
        </w:r>
        <w:r>
          <w:instrText xml:space="preserve"> PAGEREF rot_Tabla_F4_87 \h </w:instrText>
        </w:r>
        <w:r>
          <w:fldChar w:fldCharType="separate"/>
        </w:r>
        <w:r>
          <w:t>232</w:t>
        </w:r>
        <w:r>
          <w:fldChar w:fldCharType="end"/>
        </w:r>
      </w:hyperlink>
    </w:p>
    <w:p>
      <w:pPr>
        <w:pStyle w:val="Indice"/>
        <w:tabs>
          <w:tab w:val="right" w:leader="dot" w:pos="9974"/>
        </w:tabs>
        <w:spacing w:before="40" w:after="40"/>
        <w:ind w:left="1134" w:hanging="1134"/>
      </w:pPr>
      <w:hyperlink w:anchor="rot_Tabla_F4_88" w:history="1">
        <w:r>
          <w:t xml:space="preserve">Tabla F4.88. Pruebas de argumento</w:t>
        </w:r>
        <w:r>
          <w:tab/>
        </w:r>
        <w:r>
          <w:fldChar w:fldCharType="begin"/>
        </w:r>
        <w:r>
          <w:instrText xml:space="preserve"> PAGEREF rot_Tabla_F4_88 \h </w:instrText>
        </w:r>
        <w:r>
          <w:fldChar w:fldCharType="separate"/>
        </w:r>
        <w:r>
          <w:t>234</w:t>
        </w:r>
        <w:r>
          <w:fldChar w:fldCharType="end"/>
        </w:r>
      </w:hyperlink>
    </w:p>
    <w:p>
      <w:pPr>
        <w:pStyle w:val="Indice"/>
        <w:tabs>
          <w:tab w:val="right" w:leader="dot" w:pos="9974"/>
        </w:tabs>
        <w:spacing w:before="40" w:after="40"/>
        <w:ind w:left="1134" w:hanging="1134"/>
      </w:pPr>
      <w:hyperlink w:anchor="rot_Tabla_F4_89" w:history="1">
        <w:r>
          <w:t xml:space="preserve">Tabla F4.89. Validación de los supuestos críticos</w:t>
        </w:r>
        <w:r>
          <w:tab/>
        </w:r>
        <w:r>
          <w:fldChar w:fldCharType="begin"/>
        </w:r>
        <w:r>
          <w:instrText xml:space="preserve"> PAGEREF rot_Tabla_F4_89 \h </w:instrText>
        </w:r>
        <w:r>
          <w:fldChar w:fldCharType="separate"/>
        </w:r>
        <w:r>
          <w:t>234</w:t>
        </w:r>
        <w:r>
          <w:fldChar w:fldCharType="end"/>
        </w:r>
      </w:hyperlink>
    </w:p>
    <w:p>
      <w:pPr>
        <w:pStyle w:val="Indice"/>
        <w:tabs>
          <w:tab w:val="right" w:leader="dot" w:pos="9974"/>
        </w:tabs>
        <w:spacing w:before="40" w:after="40"/>
        <w:ind w:left="1134" w:hanging="1134"/>
      </w:pPr>
      <w:hyperlink w:anchor="rot_Tabla_F4_90" w:history="1">
        <w:r>
          <w:t xml:space="preserve">Tabla F4.90. Argumento de sostenibilidad</w:t>
        </w:r>
        <w:r>
          <w:tab/>
        </w:r>
        <w:r>
          <w:fldChar w:fldCharType="begin"/>
        </w:r>
        <w:r>
          <w:instrText xml:space="preserve"> PAGEREF rot_Tabla_F4_90 \h </w:instrText>
        </w:r>
        <w:r>
          <w:fldChar w:fldCharType="separate"/>
        </w:r>
        <w:r>
          <w:t>235</w:t>
        </w:r>
        <w:r>
          <w:fldChar w:fldCharType="end"/>
        </w:r>
      </w:hyperlink>
    </w:p>
    <w:p>
      <w:pPr>
        <w:pStyle w:val="Indice"/>
        <w:tabs>
          <w:tab w:val="right" w:leader="dot" w:pos="9974"/>
        </w:tabs>
        <w:spacing w:before="40" w:after="40"/>
        <w:ind w:left="1134" w:hanging="1134"/>
      </w:pPr>
      <w:hyperlink w:anchor="rot_Tabla_F4_91" w:history="1">
        <w:r>
          <w:t xml:space="preserve">Tabla F4.91. Evidencia de antecedentes</w:t>
        </w:r>
        <w:r>
          <w:tab/>
        </w:r>
        <w:r>
          <w:fldChar w:fldCharType="begin"/>
        </w:r>
        <w:r>
          <w:instrText xml:space="preserve"> PAGEREF rot_Tabla_F4_91 \h </w:instrText>
        </w:r>
        <w:r>
          <w:fldChar w:fldCharType="separate"/>
        </w:r>
        <w:r>
          <w:t>236</w:t>
        </w:r>
        <w:r>
          <w:fldChar w:fldCharType="end"/>
        </w:r>
      </w:hyperlink>
    </w:p>
    <w:p>
      <w:pPr>
        <w:pStyle w:val="Indice"/>
        <w:tabs>
          <w:tab w:val="right" w:leader="dot" w:pos="9974"/>
        </w:tabs>
        <w:spacing w:before="40" w:after="40"/>
        <w:ind w:left="1134" w:hanging="1134"/>
      </w:pPr>
      <w:hyperlink w:anchor="rot_Tabla_F4_92" w:history="1">
        <w:r>
          <w:t xml:space="preserve">Tabla F4.92. Inventario de componentes</w:t>
        </w:r>
        <w:r>
          <w:tab/>
        </w:r>
        <w:r>
          <w:fldChar w:fldCharType="begin"/>
        </w:r>
        <w:r>
          <w:instrText xml:space="preserve"> PAGEREF rot_Tabla_F4_92 \h </w:instrText>
        </w:r>
        <w:r>
          <w:fldChar w:fldCharType="separate"/>
        </w:r>
        <w:r>
          <w:t>237</w:t>
        </w:r>
        <w:r>
          <w:fldChar w:fldCharType="end"/>
        </w:r>
      </w:hyperlink>
    </w:p>
    <w:p>
      <w:pPr>
        <w:pStyle w:val="Indice"/>
        <w:tabs>
          <w:tab w:val="right" w:leader="dot" w:pos="9974"/>
        </w:tabs>
        <w:spacing w:before="40" w:after="40"/>
        <w:ind w:left="1134" w:hanging="1134"/>
      </w:pPr>
      <w:hyperlink w:anchor="rot_Tabla_F4_93" w:history="1">
        <w:r>
          <w:t xml:space="preserve">Tabla F4.93. Índice de capacidad de absorción de los custodios (ICAR)</w:t>
        </w:r>
        <w:r>
          <w:tab/>
        </w:r>
        <w:r>
          <w:fldChar w:fldCharType="begin"/>
        </w:r>
        <w:r>
          <w:instrText xml:space="preserve"> PAGEREF rot_Tabla_F4_93 \h </w:instrText>
        </w:r>
        <w:r>
          <w:fldChar w:fldCharType="separate"/>
        </w:r>
        <w:r>
          <w:t>238</w:t>
        </w:r>
        <w:r>
          <w:fldChar w:fldCharType="end"/>
        </w:r>
      </w:hyperlink>
    </w:p>
    <w:p>
      <w:pPr>
        <w:pStyle w:val="Indice"/>
        <w:tabs>
          <w:tab w:val="right" w:leader="dot" w:pos="9974"/>
        </w:tabs>
        <w:spacing w:before="40" w:after="40"/>
        <w:ind w:left="1134" w:hanging="1134"/>
      </w:pPr>
      <w:hyperlink w:anchor="rot_Tabla_F4_94" w:history="1">
        <w:r>
          <w:t xml:space="preserve">Tabla F4.94. Custodia distribuida</w:t>
        </w:r>
        <w:r>
          <w:tab/>
        </w:r>
        <w:r>
          <w:fldChar w:fldCharType="begin"/>
        </w:r>
        <w:r>
          <w:instrText xml:space="preserve"> PAGEREF rot_Tabla_F4_94 \h </w:instrText>
        </w:r>
        <w:r>
          <w:fldChar w:fldCharType="separate"/>
        </w:r>
        <w:r>
          <w:t>239</w:t>
        </w:r>
        <w:r>
          <w:fldChar w:fldCharType="end"/>
        </w:r>
      </w:hyperlink>
    </w:p>
    <w:p>
      <w:pPr>
        <w:pStyle w:val="Indice"/>
        <w:tabs>
          <w:tab w:val="right" w:leader="dot" w:pos="9974"/>
        </w:tabs>
        <w:spacing w:before="40" w:after="40"/>
        <w:ind w:left="1134" w:hanging="1134"/>
      </w:pPr>
      <w:hyperlink w:anchor="rot_Tabla_F4_95" w:history="1">
        <w:r>
          <w:t xml:space="preserve">Tabla F4.95. Motor financiero y concentración</w:t>
        </w:r>
        <w:r>
          <w:tab/>
        </w:r>
        <w:r>
          <w:fldChar w:fldCharType="begin"/>
        </w:r>
        <w:r>
          <w:instrText xml:space="preserve"> PAGEREF rot_Tabla_F4_95 \h </w:instrText>
        </w:r>
        <w:r>
          <w:fldChar w:fldCharType="separate"/>
        </w:r>
        <w:r>
          <w:t>239</w:t>
        </w:r>
        <w:r>
          <w:fldChar w:fldCharType="end"/>
        </w:r>
      </w:hyperlink>
    </w:p>
    <w:p>
      <w:pPr>
        <w:pStyle w:val="Indice"/>
        <w:tabs>
          <w:tab w:val="right" w:leader="dot" w:pos="9974"/>
        </w:tabs>
        <w:spacing w:before="40" w:after="40"/>
        <w:ind w:left="1134" w:hanging="1134"/>
      </w:pPr>
      <w:hyperlink w:anchor="rot_Tabla_F4_96" w:history="1">
        <w:r>
          <w:t xml:space="preserve">Tabla F4.96. Prueba de orfandad</w:t>
        </w:r>
        <w:r>
          <w:tab/>
        </w:r>
        <w:r>
          <w:fldChar w:fldCharType="begin"/>
        </w:r>
        <w:r>
          <w:instrText xml:space="preserve"> PAGEREF rot_Tabla_F4_96 \h </w:instrText>
        </w:r>
        <w:r>
          <w:fldChar w:fldCharType="separate"/>
        </w:r>
        <w:r>
          <w:t>240</w:t>
        </w:r>
        <w:r>
          <w:fldChar w:fldCharType="end"/>
        </w:r>
      </w:hyperlink>
    </w:p>
    <w:p>
      <w:pPr>
        <w:pStyle w:val="Indice"/>
        <w:tabs>
          <w:tab w:val="right" w:leader="dot" w:pos="9974"/>
        </w:tabs>
        <w:spacing w:before="40" w:after="40"/>
        <w:ind w:left="1134" w:hanging="1134"/>
      </w:pPr>
      <w:hyperlink w:anchor="rot_Tabla_F4_97" w:history="1">
        <w:r>
          <w:t xml:space="preserve">Tabla F4.97. Transferencia por tramos condicionados</w:t>
        </w:r>
        <w:r>
          <w:tab/>
        </w:r>
        <w:r>
          <w:fldChar w:fldCharType="begin"/>
        </w:r>
        <w:r>
          <w:instrText xml:space="preserve"> PAGEREF rot_Tabla_F4_97 \h </w:instrText>
        </w:r>
        <w:r>
          <w:fldChar w:fldCharType="separate"/>
        </w:r>
        <w:r>
          <w:t>240</w:t>
        </w:r>
        <w:r>
          <w:fldChar w:fldCharType="end"/>
        </w:r>
      </w:hyperlink>
    </w:p>
    <w:p>
      <w:pPr>
        <w:pStyle w:val="Indice"/>
        <w:tabs>
          <w:tab w:val="right" w:leader="dot" w:pos="9974"/>
        </w:tabs>
        <w:spacing w:before="40" w:after="40"/>
        <w:ind w:left="1134" w:hanging="1134"/>
      </w:pPr>
      <w:hyperlink w:anchor="rot_Tabla_F4_98" w:history="1">
        <w:r>
          <w:t xml:space="preserve">Tabla F4.98. Gobernanza</w:t>
        </w:r>
        <w:r>
          <w:tab/>
        </w:r>
        <w:r>
          <w:fldChar w:fldCharType="begin"/>
        </w:r>
        <w:r>
          <w:instrText xml:space="preserve"> PAGEREF rot_Tabla_F4_98 \h </w:instrText>
        </w:r>
        <w:r>
          <w:fldChar w:fldCharType="separate"/>
        </w:r>
        <w:r>
          <w:t>241</w:t>
        </w:r>
        <w:r>
          <w:fldChar w:fldCharType="end"/>
        </w:r>
      </w:hyperlink>
    </w:p>
    <w:p>
      <w:pPr>
        <w:pStyle w:val="Indice"/>
        <w:tabs>
          <w:tab w:val="right" w:leader="dot" w:pos="9974"/>
        </w:tabs>
        <w:spacing w:before="40" w:after="40"/>
        <w:ind w:left="1134" w:hanging="1134"/>
      </w:pPr>
      <w:hyperlink w:anchor="rot_Tabla_F4_99" w:history="1">
        <w:r>
          <w:t xml:space="preserve">Tabla F4.99. Instrumentos de contexto</w:t>
        </w:r>
        <w:r>
          <w:tab/>
        </w:r>
        <w:r>
          <w:fldChar w:fldCharType="begin"/>
        </w:r>
        <w:r>
          <w:instrText xml:space="preserve"> PAGEREF rot_Tabla_F4_99 \h </w:instrText>
        </w:r>
        <w:r>
          <w:fldChar w:fldCharType="separate"/>
        </w:r>
        <w:r>
          <w:t>242</w:t>
        </w:r>
        <w:r>
          <w:fldChar w:fldCharType="end"/>
        </w:r>
      </w:hyperlink>
    </w:p>
    <w:p>
      <w:pPr>
        <w:pStyle w:val="Indice"/>
        <w:tabs>
          <w:tab w:val="right" w:leader="dot" w:pos="9974"/>
        </w:tabs>
        <w:spacing w:before="40" w:after="40"/>
        <w:ind w:left="1134" w:hanging="1134"/>
      </w:pPr>
      <w:hyperlink w:anchor="rot_Tabla_F4_100" w:history="1">
        <w:r>
          <w:t xml:space="preserve">Tabla F4.100. Implementación de abajo hacia arriba</w:t>
        </w:r>
        <w:r>
          <w:tab/>
        </w:r>
        <w:r>
          <w:fldChar w:fldCharType="begin"/>
        </w:r>
        <w:r>
          <w:instrText xml:space="preserve"> PAGEREF rot_Tabla_F4_100 \h </w:instrText>
        </w:r>
        <w:r>
          <w:fldChar w:fldCharType="separate"/>
        </w:r>
        <w:r>
          <w:t>243</w:t>
        </w:r>
        <w:r>
          <w:fldChar w:fldCharType="end"/>
        </w:r>
      </w:hyperlink>
    </w:p>
    <w:p>
      <w:pPr>
        <w:pStyle w:val="Indice"/>
        <w:tabs>
          <w:tab w:val="right" w:leader="dot" w:pos="9974"/>
        </w:tabs>
        <w:spacing w:before="40" w:after="40"/>
        <w:ind w:left="1134" w:hanging="1134"/>
      </w:pPr>
      <w:hyperlink w:anchor="rot_Tabla_F4_101" w:history="1">
        <w:r>
          <w:t xml:space="preserve">Tabla F4.101. Consecuencias no deseadas</w:t>
        </w:r>
        <w:r>
          <w:tab/>
        </w:r>
        <w:r>
          <w:fldChar w:fldCharType="begin"/>
        </w:r>
        <w:r>
          <w:instrText xml:space="preserve"> PAGEREF rot_Tabla_F4_101 \h </w:instrText>
        </w:r>
        <w:r>
          <w:fldChar w:fldCharType="separate"/>
        </w:r>
        <w:r>
          <w:t>243</w:t>
        </w:r>
        <w:r>
          <w:fldChar w:fldCharType="end"/>
        </w:r>
      </w:hyperlink>
    </w:p>
    <w:p>
      <w:pPr>
        <w:pStyle w:val="Indice"/>
        <w:tabs>
          <w:tab w:val="right" w:leader="dot" w:pos="9974"/>
        </w:tabs>
        <w:spacing w:before="40" w:after="40"/>
        <w:ind w:left="1134" w:hanging="1134"/>
      </w:pPr>
      <w:hyperlink w:anchor="rot_Tabla_F4_102" w:history="1">
        <w:r>
          <w:t xml:space="preserve">Tabla F4.102. Ruta evaluativa</w:t>
        </w:r>
        <w:r>
          <w:tab/>
        </w:r>
        <w:r>
          <w:fldChar w:fldCharType="begin"/>
        </w:r>
        <w:r>
          <w:instrText xml:space="preserve"> PAGEREF rot_Tabla_F4_102 \h </w:instrText>
        </w:r>
        <w:r>
          <w:fldChar w:fldCharType="separate"/>
        </w:r>
        <w:r>
          <w:t>244</w:t>
        </w:r>
        <w:r>
          <w:fldChar w:fldCharType="end"/>
        </w:r>
      </w:hyperlink>
    </w:p>
    <w:p>
      <w:pPr>
        <w:pStyle w:val="Indice"/>
        <w:tabs>
          <w:tab w:val="right" w:leader="dot" w:pos="9974"/>
        </w:tabs>
        <w:spacing w:before="40" w:after="40"/>
        <w:ind w:left="1134" w:hanging="1134"/>
      </w:pPr>
      <w:hyperlink w:anchor="rot_Tabla_F4_103" w:history="1">
        <w:r>
          <w:t xml:space="preserve">Tabla F4.103. Plan de ejecución, evaluación y aprendizaje</w:t>
        </w:r>
        <w:r>
          <w:tab/>
        </w:r>
        <w:r>
          <w:fldChar w:fldCharType="begin"/>
        </w:r>
        <w:r>
          <w:instrText xml:space="preserve"> PAGEREF rot_Tabla_F4_103 \h </w:instrText>
        </w:r>
        <w:r>
          <w:fldChar w:fldCharType="separate"/>
        </w:r>
        <w:r>
          <w:t>245</w:t>
        </w:r>
        <w:r>
          <w:fldChar w:fldCharType="end"/>
        </w:r>
      </w:hyperlink>
    </w:p>
    <w:p>
      <w:pPr>
        <w:pStyle w:val="Indice"/>
        <w:tabs>
          <w:tab w:val="right" w:leader="dot" w:pos="9974"/>
        </w:tabs>
        <w:spacing w:before="40" w:after="40"/>
        <w:ind w:left="1134" w:hanging="1134"/>
      </w:pPr>
      <w:hyperlink w:anchor="rot_Tabla_F4_104" w:history="1">
        <w:r>
          <w:t xml:space="preserve">Tabla F4.104. Premortem</w:t>
        </w:r>
        <w:r>
          <w:tab/>
        </w:r>
        <w:r>
          <w:fldChar w:fldCharType="begin"/>
        </w:r>
        <w:r>
          <w:instrText xml:space="preserve"> PAGEREF rot_Tabla_F4_104 \h </w:instrText>
        </w:r>
        <w:r>
          <w:fldChar w:fldCharType="separate"/>
        </w:r>
        <w:r>
          <w:t>245</w:t>
        </w:r>
        <w:r>
          <w:fldChar w:fldCharType="end"/>
        </w:r>
      </w:hyperlink>
    </w:p>
    <w:p>
      <w:pPr>
        <w:pStyle w:val="Indice"/>
        <w:tabs>
          <w:tab w:val="right" w:leader="dot" w:pos="9974"/>
        </w:tabs>
        <w:spacing w:before="40" w:after="40"/>
        <w:ind w:left="1134" w:hanging="1134"/>
      </w:pPr>
      <w:hyperlink w:anchor="rot_Tabla_F4_105" w:history="1">
        <w:r>
          <w:t xml:space="preserve">Tabla F4.105. Futuro conservador</w:t>
        </w:r>
        <w:r>
          <w:tab/>
        </w:r>
        <w:r>
          <w:fldChar w:fldCharType="begin"/>
        </w:r>
        <w:r>
          <w:instrText xml:space="preserve"> PAGEREF rot_Tabla_F4_105 \h </w:instrText>
        </w:r>
        <w:r>
          <w:fldChar w:fldCharType="separate"/>
        </w:r>
        <w:r>
          <w:t>247</w:t>
        </w:r>
        <w:r>
          <w:fldChar w:fldCharType="end"/>
        </w:r>
      </w:hyperlink>
    </w:p>
    <w:p>
      <w:pPr>
        <w:pStyle w:val="Indice"/>
        <w:tabs>
          <w:tab w:val="right" w:leader="dot" w:pos="9974"/>
        </w:tabs>
        <w:spacing w:before="40" w:after="40"/>
        <w:ind w:left="1134" w:hanging="1134"/>
      </w:pPr>
      <w:hyperlink w:anchor="rot_Tabla_F4_106" w:history="1">
        <w:r>
          <w:t xml:space="preserve">Tabla F4.106. Futuro base</w:t>
        </w:r>
        <w:r>
          <w:tab/>
        </w:r>
        <w:r>
          <w:fldChar w:fldCharType="begin"/>
        </w:r>
        <w:r>
          <w:instrText xml:space="preserve"> PAGEREF rot_Tabla_F4_106 \h </w:instrText>
        </w:r>
        <w:r>
          <w:fldChar w:fldCharType="separate"/>
        </w:r>
        <w:r>
          <w:t>248</w:t>
        </w:r>
        <w:r>
          <w:fldChar w:fldCharType="end"/>
        </w:r>
      </w:hyperlink>
    </w:p>
    <w:p>
      <w:pPr>
        <w:pStyle w:val="Indice"/>
        <w:tabs>
          <w:tab w:val="right" w:leader="dot" w:pos="9974"/>
        </w:tabs>
        <w:spacing w:before="40" w:after="40"/>
        <w:ind w:left="1134" w:hanging="1134"/>
      </w:pPr>
      <w:hyperlink w:anchor="rot_Tabla_F4_107" w:history="1">
        <w:r>
          <w:t xml:space="preserve">Tabla F4.107. Futuro ambicioso</w:t>
        </w:r>
        <w:r>
          <w:tab/>
        </w:r>
        <w:r>
          <w:fldChar w:fldCharType="begin"/>
        </w:r>
        <w:r>
          <w:instrText xml:space="preserve"> PAGEREF rot_Tabla_F4_107 \h </w:instrText>
        </w:r>
        <w:r>
          <w:fldChar w:fldCharType="separate"/>
        </w:r>
        <w:r>
          <w:t>249</w:t>
        </w:r>
        <w:r>
          <w:fldChar w:fldCharType="end"/>
        </w:r>
      </w:hyperlink>
    </w:p>
    <w:p>
      <w:pPr>
        <w:pStyle w:val="Indice"/>
        <w:tabs>
          <w:tab w:val="right" w:leader="dot" w:pos="9974"/>
        </w:tabs>
        <w:spacing w:before="40" w:after="40"/>
        <w:ind w:left="1134" w:hanging="1134"/>
      </w:pPr>
      <w:hyperlink w:anchor="rot_Tabla_F4_108" w:history="1">
        <w:r>
          <w:t xml:space="preserve">Tabla F4.108. Vacíos y contradicciones con efecto material y ruta de resolución</w:t>
        </w:r>
        <w:r>
          <w:tab/>
        </w:r>
        <w:r>
          <w:fldChar w:fldCharType="begin"/>
        </w:r>
        <w:r>
          <w:instrText xml:space="preserve"> PAGEREF rot_Tabla_F4_108 \h </w:instrText>
        </w:r>
        <w:r>
          <w:fldChar w:fldCharType="separate"/>
        </w:r>
        <w:r>
          <w:t>250</w:t>
        </w:r>
        <w:r>
          <w:fldChar w:fldCharType="end"/>
        </w:r>
      </w:hyperlink>
    </w:p>
    <w:p>
      <w:pPr>
        <w:pStyle w:val="Indice"/>
        <w:tabs>
          <w:tab w:val="right" w:leader="dot" w:pos="9974"/>
        </w:tabs>
        <w:spacing w:before="40" w:after="40"/>
        <w:ind w:left="1134" w:hanging="1134"/>
      </w:pPr>
      <w:hyperlink w:anchor="rot_Tabla_F4_109" w:history="1">
        <w:r>
          <w:t xml:space="preserve">Tabla F4.109. Consecuencias para el árbol de problemas (4.5)</w:t>
        </w:r>
        <w:r>
          <w:tab/>
        </w:r>
        <w:r>
          <w:fldChar w:fldCharType="begin"/>
        </w:r>
        <w:r>
          <w:instrText xml:space="preserve"> PAGEREF rot_Tabla_F4_109 \h </w:instrText>
        </w:r>
        <w:r>
          <w:fldChar w:fldCharType="separate"/>
        </w:r>
        <w:r>
          <w:t>251</w:t>
        </w:r>
        <w:r>
          <w:fldChar w:fldCharType="end"/>
        </w:r>
      </w:hyperlink>
    </w:p>
    <w:p>
      <w:pPr>
        <w:pStyle w:val="Indice"/>
        <w:tabs>
          <w:tab w:val="right" w:leader="dot" w:pos="9974"/>
        </w:tabs>
        <w:spacing w:before="40" w:after="40"/>
        <w:ind w:left="1134" w:hanging="1134"/>
      </w:pPr>
      <w:hyperlink w:anchor="rot_Tabla_F4_110" w:history="1">
        <w:r>
          <w:t xml:space="preserve">Tabla F4.110. Efectos propuestos sobre capítulos posteriores</w:t>
        </w:r>
        <w:r>
          <w:tab/>
        </w:r>
        <w:r>
          <w:fldChar w:fldCharType="begin"/>
        </w:r>
        <w:r>
          <w:instrText xml:space="preserve"> PAGEREF rot_Tabla_F4_110 \h </w:instrText>
        </w:r>
        <w:r>
          <w:fldChar w:fldCharType="separate"/>
        </w:r>
        <w:r>
          <w:t>252</w:t>
        </w:r>
        <w:r>
          <w:fldChar w:fldCharType="end"/>
        </w:r>
      </w:hyperlink>
    </w:p>
    <w:p>
      <w:pPr>
        <w:pStyle w:val="Indice"/>
        <w:tabs>
          <w:tab w:val="right" w:leader="dot" w:pos="9974"/>
        </w:tabs>
        <w:spacing w:before="40" w:after="40"/>
        <w:ind w:left="1134" w:hanging="1134"/>
      </w:pPr>
      <w:hyperlink w:anchor="rot_Tabla_F4_111" w:history="1">
        <w:r>
          <w:t xml:space="preserve">Tabla F4.111. Estados problemáticos del árbol A-PROB por nivel</w:t>
        </w:r>
        <w:r>
          <w:tab/>
        </w:r>
        <w:r>
          <w:fldChar w:fldCharType="begin"/>
        </w:r>
        <w:r>
          <w:instrText xml:space="preserve"> PAGEREF rot_Tabla_F4_111 \h </w:instrText>
        </w:r>
        <w:r>
          <w:fldChar w:fldCharType="separate"/>
        </w:r>
        <w:r>
          <w:t>255</w:t>
        </w:r>
        <w:r>
          <w:fldChar w:fldCharType="end"/>
        </w:r>
      </w:hyperlink>
    </w:p>
    <w:p>
      <w:pPr>
        <w:pStyle w:val="Indice"/>
        <w:tabs>
          <w:tab w:val="right" w:leader="dot" w:pos="9974"/>
        </w:tabs>
        <w:spacing w:before="40" w:after="40"/>
        <w:ind w:left="1134" w:hanging="1134"/>
      </w:pPr>
      <w:hyperlink w:anchor="rot_Tabla_F4_112" w:history="1">
        <w:r>
          <w:t xml:space="preserve">Tabla F4.112. Nodos del árbol A-PROB con su evidencia</w:t>
        </w:r>
        <w:r>
          <w:tab/>
        </w:r>
        <w:r>
          <w:fldChar w:fldCharType="begin"/>
        </w:r>
        <w:r>
          <w:instrText xml:space="preserve"> PAGEREF rot_Tabla_F4_112 \h </w:instrText>
        </w:r>
        <w:r>
          <w:fldChar w:fldCharType="separate"/>
        </w:r>
        <w:r>
          <w:t>255</w:t>
        </w:r>
        <w:r>
          <w:fldChar w:fldCharType="end"/>
        </w:r>
      </w:hyperlink>
    </w:p>
    <w:p>
      <w:pPr>
        <w:pStyle w:val="Indice"/>
        <w:tabs>
          <w:tab w:val="right" w:leader="dot" w:pos="9974"/>
        </w:tabs>
        <w:spacing w:before="40" w:after="40"/>
        <w:ind w:left="1134" w:hanging="1134"/>
      </w:pPr>
      <w:hyperlink w:anchor="rot_Tabla_F4_113" w:history="1">
        <w:r>
          <w:t xml:space="preserve">Tabla F4.113. Relaciones del árbol A-PROB y su fuente</w:t>
        </w:r>
        <w:r>
          <w:tab/>
        </w:r>
        <w:r>
          <w:fldChar w:fldCharType="begin"/>
        </w:r>
        <w:r>
          <w:instrText xml:space="preserve"> PAGEREF rot_Tabla_F4_113 \h </w:instrText>
        </w:r>
        <w:r>
          <w:fldChar w:fldCharType="separate"/>
        </w:r>
        <w:r>
          <w:t>256</w:t>
        </w:r>
        <w:r>
          <w:fldChar w:fldCharType="end"/>
        </w:r>
      </w:hyperlink>
    </w:p>
    <w:p>
      <w:pPr>
        <w:pStyle w:val="Indice"/>
        <w:tabs>
          <w:tab w:val="right" w:leader="dot" w:pos="9974"/>
        </w:tabs>
        <w:spacing w:before="40" w:after="40"/>
        <w:ind w:left="1134" w:hanging="1134"/>
      </w:pPr>
      <w:hyperlink w:anchor="rot_Tabla_F4_114" w:history="1">
        <w:r>
          <w:t xml:space="preserve">Tabla F4.114. Contraste con el árbol de problemas del expediente E3</w:t>
        </w:r>
        <w:r>
          <w:tab/>
        </w:r>
        <w:r>
          <w:fldChar w:fldCharType="begin"/>
        </w:r>
        <w:r>
          <w:instrText xml:space="preserve"> PAGEREF rot_Tabla_F4_114 \h </w:instrText>
        </w:r>
        <w:r>
          <w:fldChar w:fldCharType="separate"/>
        </w:r>
        <w:r>
          <w:t>258</w:t>
        </w:r>
        <w:r>
          <w:fldChar w:fldCharType="end"/>
        </w:r>
      </w:hyperlink>
    </w:p>
    <w:p>
      <w:pPr>
        <w:pStyle w:val="Indice"/>
        <w:tabs>
          <w:tab w:val="right" w:leader="dot" w:pos="9974"/>
        </w:tabs>
        <w:spacing w:before="40" w:after="40"/>
        <w:ind w:left="1134" w:hanging="1134"/>
      </w:pPr>
      <w:hyperlink w:anchor="rot_Tabla_F4_115" w:history="1">
        <w:r>
          <w:t xml:space="preserve">Tabla F4.115. Aplicación de los cinco porqués a la causa crítica principal</w:t>
        </w:r>
        <w:r>
          <w:tab/>
        </w:r>
        <w:r>
          <w:fldChar w:fldCharType="begin"/>
        </w:r>
        <w:r>
          <w:instrText xml:space="preserve"> PAGEREF rot_Tabla_F4_115 \h </w:instrText>
        </w:r>
        <w:r>
          <w:fldChar w:fldCharType="separate"/>
        </w:r>
        <w:r>
          <w:t>259</w:t>
        </w:r>
        <w:r>
          <w:fldChar w:fldCharType="end"/>
        </w:r>
      </w:hyperlink>
    </w:p>
    <w:p>
      <w:pPr>
        <w:pStyle w:val="Indice"/>
        <w:tabs>
          <w:tab w:val="right" w:leader="dot" w:pos="9974"/>
        </w:tabs>
        <w:spacing w:before="40" w:after="40"/>
        <w:ind w:left="1134" w:hanging="1134"/>
      </w:pPr>
      <w:hyperlink w:anchor="rot_Tabla_F4_116" w:history="1">
        <w:r>
          <w:t xml:space="preserve">Tabla F4.116. Cinco causas críticas o activas priorizadas para intervención</w:t>
        </w:r>
        <w:r>
          <w:tab/>
        </w:r>
        <w:r>
          <w:fldChar w:fldCharType="begin"/>
        </w:r>
        <w:r>
          <w:instrText xml:space="preserve"> PAGEREF rot_Tabla_F4_116 \h </w:instrText>
        </w:r>
        <w:r>
          <w:fldChar w:fldCharType="separate"/>
        </w:r>
        <w:r>
          <w:t>260</w:t>
        </w:r>
        <w:r>
          <w:fldChar w:fldCharType="end"/>
        </w:r>
      </w:hyperlink>
    </w:p>
    <w:p>
      <w:pPr>
        <w:pStyle w:val="Indice"/>
        <w:tabs>
          <w:tab w:val="right" w:leader="dot" w:pos="9974"/>
        </w:tabs>
        <w:spacing w:before="40" w:after="40"/>
        <w:ind w:left="1134" w:hanging="1134"/>
      </w:pPr>
      <w:hyperlink w:anchor="rot_Tabla_F4_117" w:history="1">
        <w:r>
          <w:t xml:space="preserve">Tabla F4.117. Registro de decisión GENESIS: ND-10 Causa raíz adoptada</w:t>
        </w:r>
        <w:r>
          <w:tab/>
        </w:r>
        <w:r>
          <w:fldChar w:fldCharType="begin"/>
        </w:r>
        <w:r>
          <w:instrText xml:space="preserve"> PAGEREF rot_Tabla_F4_117 \h </w:instrText>
        </w:r>
        <w:r>
          <w:fldChar w:fldCharType="separate"/>
        </w:r>
        <w:r>
          <w:t>261</w:t>
        </w:r>
        <w:r>
          <w:fldChar w:fldCharType="end"/>
        </w:r>
      </w:hyperlink>
    </w:p>
    <w:p>
      <w:pPr>
        <w:pStyle w:val="Indice"/>
        <w:tabs>
          <w:tab w:val="right" w:leader="dot" w:pos="9974"/>
        </w:tabs>
        <w:spacing w:before="40" w:after="40"/>
        <w:ind w:left="1134" w:hanging="1134"/>
      </w:pPr>
      <w:hyperlink w:anchor="rot_Tabla_F4_118" w:history="1">
        <w:r>
          <w:t xml:space="preserve">Tabla F4.118. Verificación de completitud del Paso 4</w:t>
        </w:r>
        <w:r>
          <w:tab/>
        </w:r>
        <w:r>
          <w:fldChar w:fldCharType="begin"/>
        </w:r>
        <w:r>
          <w:instrText xml:space="preserve"> PAGEREF rot_Tabla_F4_118 \h </w:instrText>
        </w:r>
        <w:r>
          <w:fldChar w:fldCharType="separate"/>
        </w:r>
        <w:r>
          <w:t>263</w:t>
        </w:r>
        <w:r>
          <w:fldChar w:fldCharType="end"/>
        </w:r>
      </w:hyperlink>
    </w:p>
    <w:p>
      <w:pPr>
        <w:pStyle w:val="Indice"/>
        <w:tabs>
          <w:tab w:val="right" w:leader="dot" w:pos="9974"/>
        </w:tabs>
        <w:spacing w:before="40" w:after="40"/>
        <w:ind w:left="1134" w:hanging="1134"/>
      </w:pPr>
      <w:hyperlink w:anchor="rot_Tabla_F5_1" w:history="1">
        <w:r>
          <w:t xml:space="preserve">Tabla F5.1. Checklist de articulación territorial del problema</w:t>
        </w:r>
        <w:r>
          <w:tab/>
        </w:r>
        <w:r>
          <w:fldChar w:fldCharType="begin"/>
        </w:r>
        <w:r>
          <w:instrText xml:space="preserve"> PAGEREF rot_Tabla_F5_1 \h </w:instrText>
        </w:r>
        <w:r>
          <w:fldChar w:fldCharType="separate"/>
        </w:r>
        <w:r>
          <w:t>264</w:t>
        </w:r>
        <w:r>
          <w:fldChar w:fldCharType="end"/>
        </w:r>
      </w:hyperlink>
    </w:p>
    <w:p>
      <w:pPr>
        <w:pStyle w:val="Indice"/>
        <w:tabs>
          <w:tab w:val="right" w:leader="dot" w:pos="9974"/>
        </w:tabs>
        <w:spacing w:before="40" w:after="40"/>
        <w:ind w:left="1134" w:hanging="1134"/>
      </w:pPr>
      <w:hyperlink w:anchor="rot_Tabla_F5_2" w:history="1">
        <w:r>
          <w:t xml:space="preserve">Tabla F5.2. Componentes del metaproblema</w:t>
        </w:r>
        <w:r>
          <w:tab/>
        </w:r>
        <w:r>
          <w:fldChar w:fldCharType="begin"/>
        </w:r>
        <w:r>
          <w:instrText xml:space="preserve"> PAGEREF rot_Tabla_F5_2 \h </w:instrText>
        </w:r>
        <w:r>
          <w:fldChar w:fldCharType="separate"/>
        </w:r>
        <w:r>
          <w:t>265</w:t>
        </w:r>
        <w:r>
          <w:fldChar w:fldCharType="end"/>
        </w:r>
      </w:hyperlink>
    </w:p>
    <w:p>
      <w:pPr>
        <w:pStyle w:val="Indice"/>
        <w:tabs>
          <w:tab w:val="right" w:leader="dot" w:pos="9974"/>
        </w:tabs>
        <w:spacing w:before="40" w:after="40"/>
        <w:ind w:left="1134" w:hanging="1134"/>
      </w:pPr>
      <w:hyperlink w:anchor="rot_Tabla_F5_3" w:history="1">
        <w:r>
          <w:t xml:space="preserve">Tabla F5.3. Indicadores de línea base del problema sustantivo</w:t>
        </w:r>
        <w:r>
          <w:tab/>
        </w:r>
        <w:r>
          <w:fldChar w:fldCharType="begin"/>
        </w:r>
        <w:r>
          <w:instrText xml:space="preserve"> PAGEREF rot_Tabla_F5_3 \h </w:instrText>
        </w:r>
        <w:r>
          <w:fldChar w:fldCharType="separate"/>
        </w:r>
        <w:r>
          <w:t>266</w:t>
        </w:r>
        <w:r>
          <w:fldChar w:fldCharType="end"/>
        </w:r>
      </w:hyperlink>
    </w:p>
    <w:p>
      <w:pPr>
        <w:pStyle w:val="Indice"/>
        <w:tabs>
          <w:tab w:val="right" w:leader="dot" w:pos="9974"/>
        </w:tabs>
        <w:spacing w:before="40" w:after="40"/>
        <w:ind w:left="1134" w:hanging="1134"/>
      </w:pPr>
      <w:hyperlink w:anchor="rot_Tabla_F5_4" w:history="1">
        <w:r>
          <w:t xml:space="preserve">Tabla F5.4. Variables del modelo relacional del problema formal</w:t>
        </w:r>
        <w:r>
          <w:tab/>
        </w:r>
        <w:r>
          <w:fldChar w:fldCharType="begin"/>
        </w:r>
        <w:r>
          <w:instrText xml:space="preserve"> PAGEREF rot_Tabla_F5_4 \h </w:instrText>
        </w:r>
        <w:r>
          <w:fldChar w:fldCharType="separate"/>
        </w:r>
        <w:r>
          <w:t>267</w:t>
        </w:r>
        <w:r>
          <w:fldChar w:fldCharType="end"/>
        </w:r>
      </w:hyperlink>
    </w:p>
    <w:p>
      <w:pPr>
        <w:pStyle w:val="Indice"/>
        <w:tabs>
          <w:tab w:val="right" w:leader="dot" w:pos="9974"/>
        </w:tabs>
        <w:spacing w:before="40" w:after="40"/>
        <w:ind w:left="1134" w:hanging="1134"/>
      </w:pPr>
      <w:hyperlink w:anchor="rot_Tabla_F5_5" w:history="1">
        <w:r>
          <w:t xml:space="preserve">Tabla F5.5. Incógnitas identificadas del problema</w:t>
        </w:r>
        <w:r>
          <w:tab/>
        </w:r>
        <w:r>
          <w:fldChar w:fldCharType="begin"/>
        </w:r>
        <w:r>
          <w:instrText xml:space="preserve"> PAGEREF rot_Tabla_F5_5 \h </w:instrText>
        </w:r>
        <w:r>
          <w:fldChar w:fldCharType="separate"/>
        </w:r>
        <w:r>
          <w:t>269</w:t>
        </w:r>
        <w:r>
          <w:fldChar w:fldCharType="end"/>
        </w:r>
      </w:hyperlink>
    </w:p>
    <w:p>
      <w:pPr>
        <w:pStyle w:val="Indice"/>
        <w:tabs>
          <w:tab w:val="right" w:leader="dot" w:pos="9974"/>
        </w:tabs>
        <w:spacing w:before="40" w:after="40"/>
        <w:ind w:left="1134" w:hanging="1134"/>
      </w:pPr>
      <w:hyperlink w:anchor="rot_Tabla_F5_6" w:history="1">
        <w:r>
          <w:t xml:space="preserve">Tabla F5.6. Registro de decisión GENESIS: ND-11 Enunciado tripartito del problema</w:t>
        </w:r>
        <w:r>
          <w:tab/>
        </w:r>
        <w:r>
          <w:fldChar w:fldCharType="begin"/>
        </w:r>
        <w:r>
          <w:instrText xml:space="preserve"> PAGEREF rot_Tabla_F5_6 \h </w:instrText>
        </w:r>
        <w:r>
          <w:fldChar w:fldCharType="separate"/>
        </w:r>
        <w:r>
          <w:t>269</w:t>
        </w:r>
        <w:r>
          <w:fldChar w:fldCharType="end"/>
        </w:r>
      </w:hyperlink>
    </w:p>
    <w:p>
      <w:pPr>
        <w:pStyle w:val="Indice"/>
        <w:tabs>
          <w:tab w:val="right" w:leader="dot" w:pos="9974"/>
        </w:tabs>
        <w:spacing w:before="40" w:after="40"/>
        <w:ind w:left="1134" w:hanging="1134"/>
      </w:pPr>
      <w:hyperlink w:anchor="rot_Tabla_F6_1" w:history="1">
        <w:r>
          <w:t xml:space="preserve">Tabla F6.1. Conversión del árbol de problemas en árbol de objetivos</w:t>
        </w:r>
        <w:r>
          <w:tab/>
        </w:r>
        <w:r>
          <w:fldChar w:fldCharType="begin"/>
        </w:r>
        <w:r>
          <w:instrText xml:space="preserve"> PAGEREF rot_Tabla_F6_1 \h </w:instrText>
        </w:r>
        <w:r>
          <w:fldChar w:fldCharType="separate"/>
        </w:r>
        <w:r>
          <w:t>271</w:t>
        </w:r>
        <w:r>
          <w:fldChar w:fldCharType="end"/>
        </w:r>
      </w:hyperlink>
    </w:p>
    <w:p>
      <w:pPr>
        <w:pStyle w:val="Indice"/>
        <w:tabs>
          <w:tab w:val="right" w:leader="dot" w:pos="9974"/>
        </w:tabs>
        <w:spacing w:before="40" w:after="40"/>
        <w:ind w:left="1134" w:hanging="1134"/>
      </w:pPr>
      <w:hyperlink w:anchor="rot_Tabla_F6_2" w:history="1">
        <w:r>
          <w:t xml:space="preserve">Tabla F6.2. Alternativa ALT-00: statu quo</w:t>
        </w:r>
        <w:r>
          <w:tab/>
        </w:r>
        <w:r>
          <w:fldChar w:fldCharType="begin"/>
        </w:r>
        <w:r>
          <w:instrText xml:space="preserve"> PAGEREF rot_Tabla_F6_2 \h </w:instrText>
        </w:r>
        <w:r>
          <w:fldChar w:fldCharType="separate"/>
        </w:r>
        <w:r>
          <w:t>273</w:t>
        </w:r>
        <w:r>
          <w:fldChar w:fldCharType="end"/>
        </w:r>
      </w:hyperlink>
    </w:p>
    <w:p>
      <w:pPr>
        <w:pStyle w:val="Indice"/>
        <w:tabs>
          <w:tab w:val="right" w:leader="dot" w:pos="9974"/>
        </w:tabs>
        <w:spacing w:before="40" w:after="40"/>
        <w:ind w:left="1134" w:hanging="1134"/>
      </w:pPr>
      <w:hyperlink w:anchor="rot_Tabla_F6_3" w:history="1">
        <w:r>
          <w:t xml:space="preserve">Tabla F6.3. Alternativa ALT-01: estaciones fijas de referencia en los sitios de remoción</w:t>
        </w:r>
        <w:r>
          <w:tab/>
        </w:r>
        <w:r>
          <w:fldChar w:fldCharType="begin"/>
        </w:r>
        <w:r>
          <w:instrText xml:space="preserve"> PAGEREF rot_Tabla_F6_3 \h </w:instrText>
        </w:r>
        <w:r>
          <w:fldChar w:fldCharType="separate"/>
        </w:r>
        <w:r>
          <w:t>273</w:t>
        </w:r>
        <w:r>
          <w:fldChar w:fldCharType="end"/>
        </w:r>
      </w:hyperlink>
    </w:p>
    <w:p>
      <w:pPr>
        <w:pStyle w:val="Indice"/>
        <w:tabs>
          <w:tab w:val="right" w:leader="dot" w:pos="9974"/>
        </w:tabs>
        <w:spacing w:before="40" w:after="40"/>
        <w:ind w:left="1134" w:hanging="1134"/>
      </w:pPr>
      <w:hyperlink w:anchor="rot_Tabla_F6_4" w:history="1">
        <w:r>
          <w:t xml:space="preserve">Tabla F6.4. Alternativa ALT-02: red de sensores con calibración centralizada en la nube</w:t>
        </w:r>
        <w:r>
          <w:tab/>
        </w:r>
        <w:r>
          <w:fldChar w:fldCharType="begin"/>
        </w:r>
        <w:r>
          <w:instrText xml:space="preserve"> PAGEREF rot_Tabla_F6_4 \h </w:instrText>
        </w:r>
        <w:r>
          <w:fldChar w:fldCharType="separate"/>
        </w:r>
        <w:r>
          <w:t>274</w:t>
        </w:r>
        <w:r>
          <w:fldChar w:fldCharType="end"/>
        </w:r>
      </w:hyperlink>
    </w:p>
    <w:p>
      <w:pPr>
        <w:pStyle w:val="Indice"/>
        <w:tabs>
          <w:tab w:val="right" w:leader="dot" w:pos="9974"/>
        </w:tabs>
        <w:spacing w:before="40" w:after="40"/>
        <w:ind w:left="1134" w:hanging="1134"/>
      </w:pPr>
      <w:hyperlink w:anchor="rot_Tabla_F6_5" w:history="1">
        <w:r>
          <w:t xml:space="preserve">Tabla F6.5. Alternativa ALT-03: red híbrida con corrección en gateway, despliegue por tramos y custodia distribuida</w:t>
        </w:r>
        <w:r>
          <w:tab/>
        </w:r>
        <w:r>
          <w:fldChar w:fldCharType="begin"/>
        </w:r>
        <w:r>
          <w:instrText xml:space="preserve"> PAGEREF rot_Tabla_F6_5 \h </w:instrText>
        </w:r>
        <w:r>
          <w:fldChar w:fldCharType="separate"/>
        </w:r>
        <w:r>
          <w:t>275</w:t>
        </w:r>
        <w:r>
          <w:fldChar w:fldCharType="end"/>
        </w:r>
      </w:hyperlink>
    </w:p>
    <w:p>
      <w:pPr>
        <w:pStyle w:val="Indice"/>
        <w:tabs>
          <w:tab w:val="right" w:leader="dot" w:pos="9974"/>
        </w:tabs>
        <w:spacing w:before="40" w:after="40"/>
        <w:ind w:left="1134" w:hanging="1134"/>
      </w:pPr>
      <w:hyperlink w:anchor="rot_Tabla_F6_6" w:history="1">
        <w:r>
          <w:t xml:space="preserve">Tabla F6.6. Test de autenticidad contrainductiva de ALT-03</w:t>
        </w:r>
        <w:r>
          <w:tab/>
        </w:r>
        <w:r>
          <w:fldChar w:fldCharType="begin"/>
        </w:r>
        <w:r>
          <w:instrText xml:space="preserve"> PAGEREF rot_Tabla_F6_6 \h </w:instrText>
        </w:r>
        <w:r>
          <w:fldChar w:fldCharType="separate"/>
        </w:r>
        <w:r>
          <w:t>276</w:t>
        </w:r>
        <w:r>
          <w:fldChar w:fldCharType="end"/>
        </w:r>
      </w:hyperlink>
    </w:p>
    <w:p>
      <w:pPr>
        <w:pStyle w:val="Indice"/>
        <w:tabs>
          <w:tab w:val="right" w:leader="dot" w:pos="9974"/>
        </w:tabs>
        <w:spacing w:before="40" w:after="40"/>
        <w:ind w:left="1134" w:hanging="1134"/>
      </w:pPr>
      <w:hyperlink w:anchor="rot_Tabla_F6_7" w:history="1">
        <w:r>
          <w:t xml:space="preserve">Tabla F6.7. Analogías entre dominios para la alternativa contrainductiva</w:t>
        </w:r>
        <w:r>
          <w:tab/>
        </w:r>
        <w:r>
          <w:fldChar w:fldCharType="begin"/>
        </w:r>
        <w:r>
          <w:instrText xml:space="preserve"> PAGEREF rot_Tabla_F6_7 \h </w:instrText>
        </w:r>
        <w:r>
          <w:fldChar w:fldCharType="separate"/>
        </w:r>
        <w:r>
          <w:t>276</w:t>
        </w:r>
        <w:r>
          <w:fldChar w:fldCharType="end"/>
        </w:r>
      </w:hyperlink>
    </w:p>
    <w:p>
      <w:pPr>
        <w:pStyle w:val="Indice"/>
        <w:tabs>
          <w:tab w:val="right" w:leader="dot" w:pos="9974"/>
        </w:tabs>
        <w:spacing w:before="40" w:after="40"/>
        <w:ind w:left="1134" w:hanging="1134"/>
      </w:pPr>
      <w:hyperlink w:anchor="rot_Tabla_F6_8" w:history="1">
        <w:r>
          <w:t xml:space="preserve">Tabla F6.8. Registro de decisión GENESIS: ND-12 Autenticidad contrainductiva</w:t>
        </w:r>
        <w:r>
          <w:tab/>
        </w:r>
        <w:r>
          <w:fldChar w:fldCharType="begin"/>
        </w:r>
        <w:r>
          <w:instrText xml:space="preserve"> PAGEREF rot_Tabla_F6_8 \h </w:instrText>
        </w:r>
        <w:r>
          <w:fldChar w:fldCharType="separate"/>
        </w:r>
        <w:r>
          <w:t>277</w:t>
        </w:r>
        <w:r>
          <w:fldChar w:fldCharType="end"/>
        </w:r>
      </w:hyperlink>
    </w:p>
    <w:p>
      <w:pPr>
        <w:pStyle w:val="Indice"/>
        <w:tabs>
          <w:tab w:val="right" w:leader="dot" w:pos="9974"/>
        </w:tabs>
        <w:spacing w:before="40" w:after="40"/>
        <w:ind w:left="1134" w:hanging="1134"/>
      </w:pPr>
      <w:hyperlink w:anchor="rot_Tabla_F6_9" w:history="1">
        <w:r>
          <w:t xml:space="preserve">Tabla F6.9. Matriz de desempeño multicriterio en escala ordinal de 1 a 9</w:t>
        </w:r>
        <w:r>
          <w:tab/>
        </w:r>
        <w:r>
          <w:fldChar w:fldCharType="begin"/>
        </w:r>
        <w:r>
          <w:instrText xml:space="preserve"> PAGEREF rot_Tabla_F6_9 \h </w:instrText>
        </w:r>
        <w:r>
          <w:fldChar w:fldCharType="separate"/>
        </w:r>
        <w:r>
          <w:t>278</w:t>
        </w:r>
        <w:r>
          <w:fldChar w:fldCharType="end"/>
        </w:r>
      </w:hyperlink>
    </w:p>
    <w:p>
      <w:pPr>
        <w:pStyle w:val="Indice"/>
        <w:tabs>
          <w:tab w:val="right" w:leader="dot" w:pos="9974"/>
        </w:tabs>
        <w:spacing w:before="40" w:after="40"/>
        <w:ind w:left="1134" w:hanging="1134"/>
      </w:pPr>
      <w:hyperlink w:anchor="rot_Tabla_F6_10" w:history="1">
        <w:r>
          <w:t xml:space="preserve">Tabla F6.10. Justificación de los puntajes por criterio</w:t>
        </w:r>
        <w:r>
          <w:tab/>
        </w:r>
        <w:r>
          <w:fldChar w:fldCharType="begin"/>
        </w:r>
        <w:r>
          <w:instrText xml:space="preserve"> PAGEREF rot_Tabla_F6_10 \h </w:instrText>
        </w:r>
        <w:r>
          <w:fldChar w:fldCharType="separate"/>
        </w:r>
        <w:r>
          <w:t>279</w:t>
        </w:r>
        <w:r>
          <w:fldChar w:fldCharType="end"/>
        </w:r>
      </w:hyperlink>
    </w:p>
    <w:p>
      <w:pPr>
        <w:pStyle w:val="Indice"/>
        <w:tabs>
          <w:tab w:val="right" w:leader="dot" w:pos="9974"/>
        </w:tabs>
        <w:spacing w:before="40" w:after="40"/>
        <w:ind w:left="1134" w:hanging="1134"/>
      </w:pPr>
      <w:hyperlink w:anchor="rot_Tabla_F6_11" w:history="1">
        <w:r>
          <w:t xml:space="preserve">Tabla F6.11. Vectores de pesos de los escenarios de sensibilidad</w:t>
        </w:r>
        <w:r>
          <w:tab/>
        </w:r>
        <w:r>
          <w:fldChar w:fldCharType="begin"/>
        </w:r>
        <w:r>
          <w:instrText xml:space="preserve"> PAGEREF rot_Tabla_F6_11 \h </w:instrText>
        </w:r>
        <w:r>
          <w:fldChar w:fldCharType="separate"/>
        </w:r>
        <w:r>
          <w:t>279</w:t>
        </w:r>
        <w:r>
          <w:fldChar w:fldCharType="end"/>
        </w:r>
      </w:hyperlink>
    </w:p>
    <w:p>
      <w:pPr>
        <w:pStyle w:val="Indice"/>
        <w:tabs>
          <w:tab w:val="right" w:leader="dot" w:pos="9974"/>
        </w:tabs>
        <w:spacing w:before="40" w:after="40"/>
        <w:ind w:left="1134" w:hanging="1134"/>
      </w:pPr>
      <w:hyperlink w:anchor="rot_Tabla_F6_12" w:history="1">
        <w:r>
          <w:t xml:space="preserve">Tabla F6.12. Resultados del análisis de sensibilidad</w:t>
        </w:r>
        <w:r>
          <w:tab/>
        </w:r>
        <w:r>
          <w:fldChar w:fldCharType="begin"/>
        </w:r>
        <w:r>
          <w:instrText xml:space="preserve"> PAGEREF rot_Tabla_F6_12 \h </w:instrText>
        </w:r>
        <w:r>
          <w:fldChar w:fldCharType="separate"/>
        </w:r>
        <w:r>
          <w:t>280</w:t>
        </w:r>
        <w:r>
          <w:fldChar w:fldCharType="end"/>
        </w:r>
      </w:hyperlink>
    </w:p>
    <w:p>
      <w:pPr>
        <w:pStyle w:val="Indice"/>
        <w:tabs>
          <w:tab w:val="right" w:leader="dot" w:pos="9974"/>
        </w:tabs>
        <w:spacing w:before="40" w:after="40"/>
        <w:ind w:left="1134" w:hanging="1134"/>
      </w:pPr>
      <w:hyperlink w:anchor="rot_Tabla_F6_13" w:history="1">
        <w:r>
          <w:t xml:space="preserve">Tabla F6.13. Registro de decisión GENESIS: ND-14 Activación de la metaheurística</w:t>
        </w:r>
        <w:r>
          <w:tab/>
        </w:r>
        <w:r>
          <w:fldChar w:fldCharType="begin"/>
        </w:r>
        <w:r>
          <w:instrText xml:space="preserve"> PAGEREF rot_Tabla_F6_13 \h </w:instrText>
        </w:r>
        <w:r>
          <w:fldChar w:fldCharType="separate"/>
        </w:r>
        <w:r>
          <w:t>281</w:t>
        </w:r>
        <w:r>
          <w:fldChar w:fldCharType="end"/>
        </w:r>
      </w:hyperlink>
    </w:p>
    <w:p>
      <w:pPr>
        <w:pStyle w:val="Indice"/>
        <w:tabs>
          <w:tab w:val="right" w:leader="dot" w:pos="9974"/>
        </w:tabs>
        <w:spacing w:before="40" w:after="40"/>
        <w:ind w:left="1134" w:hanging="1134"/>
      </w:pPr>
      <w:hyperlink w:anchor="rot_Tabla_F6_14" w:history="1">
        <w:r>
          <w:t xml:space="preserve">Tabla F6.14. Registro de decisión GENESIS: ND-13 Pesos y puntajes MCDA</w:t>
        </w:r>
        <w:r>
          <w:tab/>
        </w:r>
        <w:r>
          <w:fldChar w:fldCharType="begin"/>
        </w:r>
        <w:r>
          <w:instrText xml:space="preserve"> PAGEREF rot_Tabla_F6_14 \h </w:instrText>
        </w:r>
        <w:r>
          <w:fldChar w:fldCharType="separate"/>
        </w:r>
        <w:r>
          <w:t>282</w:t>
        </w:r>
        <w:r>
          <w:fldChar w:fldCharType="end"/>
        </w:r>
      </w:hyperlink>
    </w:p>
    <w:p>
      <w:pPr>
        <w:pStyle w:val="Indice"/>
        <w:tabs>
          <w:tab w:val="right" w:leader="dot" w:pos="9974"/>
        </w:tabs>
        <w:spacing w:before="40" w:after="40"/>
        <w:ind w:left="1134" w:hanging="1134"/>
      </w:pPr>
      <w:hyperlink w:anchor="rot_Tabla_F6_15" w:history="1">
        <w:r>
          <w:t xml:space="preserve">Tabla F6.15. Validación de articulación territorial de la alternativa seleccionada</w:t>
        </w:r>
        <w:r>
          <w:tab/>
        </w:r>
        <w:r>
          <w:fldChar w:fldCharType="begin"/>
        </w:r>
        <w:r>
          <w:instrText xml:space="preserve"> PAGEREF rot_Tabla_F6_15 \h </w:instrText>
        </w:r>
        <w:r>
          <w:fldChar w:fldCharType="separate"/>
        </w:r>
        <w:r>
          <w:t>283</w:t>
        </w:r>
        <w:r>
          <w:fldChar w:fldCharType="end"/>
        </w:r>
      </w:hyperlink>
    </w:p>
    <w:p>
      <w:pPr>
        <w:pStyle w:val="Indice"/>
        <w:tabs>
          <w:tab w:val="right" w:leader="dot" w:pos="9974"/>
        </w:tabs>
        <w:spacing w:before="40" w:after="40"/>
        <w:ind w:left="1134" w:hanging="1134"/>
      </w:pPr>
      <w:hyperlink w:anchor="rot_Tabla_F6_16" w:history="1">
        <w:r>
          <w:t xml:space="preserve">Tabla F6.16. Registro de decisión GENESIS: ND-15 Alternativa seleccionada</w:t>
        </w:r>
        <w:r>
          <w:tab/>
        </w:r>
        <w:r>
          <w:fldChar w:fldCharType="begin"/>
        </w:r>
        <w:r>
          <w:instrText xml:space="preserve"> PAGEREF rot_Tabla_F6_16 \h </w:instrText>
        </w:r>
        <w:r>
          <w:fldChar w:fldCharType="separate"/>
        </w:r>
        <w:r>
          <w:t>284</w:t>
        </w:r>
        <w:r>
          <w:fldChar w:fldCharType="end"/>
        </w:r>
      </w:hyperlink>
    </w:p>
    <w:p>
      <w:pPr>
        <w:pStyle w:val="Indice"/>
        <w:tabs>
          <w:tab w:val="right" w:leader="dot" w:pos="9974"/>
        </w:tabs>
        <w:spacing w:before="40" w:after="40"/>
        <w:ind w:left="1134" w:hanging="1134"/>
      </w:pPr>
      <w:hyperlink w:anchor="rot_Tabla_F7_1" w:history="1">
        <w:r>
          <w:t xml:space="preserve">Tabla F7.1. Taxonomía Output, Outcome e Impact con ejemplos correctos e incorrectos del proyecto</w:t>
        </w:r>
        <w:r>
          <w:tab/>
        </w:r>
        <w:r>
          <w:fldChar w:fldCharType="begin"/>
        </w:r>
        <w:r>
          <w:instrText xml:space="preserve"> PAGEREF rot_Tabla_F7_1 \h </w:instrText>
        </w:r>
        <w:r>
          <w:fldChar w:fldCharType="separate"/>
        </w:r>
        <w:r>
          <w:t>286</w:t>
        </w:r>
        <w:r>
          <w:fldChar w:fldCharType="end"/>
        </w:r>
      </w:hyperlink>
    </w:p>
    <w:p>
      <w:pPr>
        <w:pStyle w:val="Indice"/>
        <w:tabs>
          <w:tab w:val="right" w:leader="dot" w:pos="9974"/>
        </w:tabs>
        <w:spacing w:before="40" w:after="40"/>
        <w:ind w:left="1134" w:hanging="1134"/>
      </w:pPr>
      <w:hyperlink w:anchor="rot_Tabla_F7_2" w:history="1">
        <w:r>
          <w:t xml:space="preserve">Tabla F7.2. Validación bloqueante de la cadena Output, Outcome e Impact</w:t>
        </w:r>
        <w:r>
          <w:tab/>
        </w:r>
        <w:r>
          <w:fldChar w:fldCharType="begin"/>
        </w:r>
        <w:r>
          <w:instrText xml:space="preserve"> PAGEREF rot_Tabla_F7_2 \h </w:instrText>
        </w:r>
        <w:r>
          <w:fldChar w:fldCharType="separate"/>
        </w:r>
        <w:r>
          <w:t>288</w:t>
        </w:r>
        <w:r>
          <w:fldChar w:fldCharType="end"/>
        </w:r>
      </w:hyperlink>
    </w:p>
    <w:p>
      <w:pPr>
        <w:pStyle w:val="Indice"/>
        <w:tabs>
          <w:tab w:val="right" w:leader="dot" w:pos="9974"/>
        </w:tabs>
        <w:spacing w:before="40" w:after="40"/>
        <w:ind w:left="1134" w:hanging="1134"/>
      </w:pPr>
      <w:hyperlink w:anchor="rot_Tabla_F7_3" w:history="1">
        <w:r>
          <w:t xml:space="preserve">Tabla F7.3. Registro de decisión GENESIS: ND-16 Asignación de output, outcome e impact</w:t>
        </w:r>
        <w:r>
          <w:tab/>
        </w:r>
        <w:r>
          <w:fldChar w:fldCharType="begin"/>
        </w:r>
        <w:r>
          <w:instrText xml:space="preserve"> PAGEREF rot_Tabla_F7_3 \h </w:instrText>
        </w:r>
        <w:r>
          <w:fldChar w:fldCharType="separate"/>
        </w:r>
        <w:r>
          <w:t>288</w:t>
        </w:r>
        <w:r>
          <w:fldChar w:fldCharType="end"/>
        </w:r>
      </w:hyperlink>
    </w:p>
    <w:p>
      <w:pPr>
        <w:pStyle w:val="Indice"/>
        <w:tabs>
          <w:tab w:val="right" w:leader="dot" w:pos="9974"/>
        </w:tabs>
        <w:spacing w:before="40" w:after="40"/>
        <w:ind w:left="1134" w:hanging="1134"/>
      </w:pPr>
      <w:hyperlink w:anchor="rot_Tabla_F7_4" w:history="1">
        <w:r>
          <w:t xml:space="preserve">Tabla F7.4. Estructura jerárquica PERS con marco lógico, taxonomía, cadena de valor y viabilidad SGR</w:t>
        </w:r>
        <w:r>
          <w:tab/>
        </w:r>
        <w:r>
          <w:fldChar w:fldCharType="begin"/>
        </w:r>
        <w:r>
          <w:instrText xml:space="preserve"> PAGEREF rot_Tabla_F7_4 \h </w:instrText>
        </w:r>
        <w:r>
          <w:fldChar w:fldCharType="separate"/>
        </w:r>
        <w:r>
          <w:t>290</w:t>
        </w:r>
        <w:r>
          <w:fldChar w:fldCharType="end"/>
        </w:r>
      </w:hyperlink>
    </w:p>
    <w:p>
      <w:pPr>
        <w:pStyle w:val="Indice"/>
        <w:tabs>
          <w:tab w:val="right" w:leader="dot" w:pos="9974"/>
        </w:tabs>
        <w:spacing w:before="40" w:after="40"/>
        <w:ind w:left="1134" w:hanging="1134"/>
      </w:pPr>
      <w:hyperlink w:anchor="rot_Tabla_F7_5" w:history="1">
        <w:r>
          <w:t xml:space="preserve">Tabla F7.5. Articulación de los indicadores PERS con los criterios de viabilidad del SGR</w:t>
        </w:r>
        <w:r>
          <w:tab/>
        </w:r>
        <w:r>
          <w:fldChar w:fldCharType="begin"/>
        </w:r>
        <w:r>
          <w:instrText xml:space="preserve"> PAGEREF rot_Tabla_F7_5 \h </w:instrText>
        </w:r>
        <w:r>
          <w:fldChar w:fldCharType="separate"/>
        </w:r>
        <w:r>
          <w:t>291</w:t>
        </w:r>
        <w:r>
          <w:fldChar w:fldCharType="end"/>
        </w:r>
      </w:hyperlink>
    </w:p>
    <w:p>
      <w:pPr>
        <w:pStyle w:val="Indice"/>
        <w:tabs>
          <w:tab w:val="right" w:leader="dot" w:pos="9974"/>
        </w:tabs>
        <w:spacing w:before="40" w:after="40"/>
        <w:ind w:left="1134" w:hanging="1134"/>
      </w:pPr>
      <w:hyperlink w:anchor="rot_Tabla_F7_6" w:history="1">
        <w:r>
          <w:t xml:space="preserve">Tabla F7.6. Validación meta-recurso-cronograma de los indicadores de producto</w:t>
        </w:r>
        <w:r>
          <w:tab/>
        </w:r>
        <w:r>
          <w:fldChar w:fldCharType="begin"/>
        </w:r>
        <w:r>
          <w:instrText xml:space="preserve"> PAGEREF rot_Tabla_F7_6 \h </w:instrText>
        </w:r>
        <w:r>
          <w:fldChar w:fldCharType="separate"/>
        </w:r>
        <w:r>
          <w:t>291</w:t>
        </w:r>
        <w:r>
          <w:fldChar w:fldCharType="end"/>
        </w:r>
      </w:hyperlink>
    </w:p>
    <w:p>
      <w:pPr>
        <w:pStyle w:val="Indice"/>
        <w:tabs>
          <w:tab w:val="right" w:leader="dot" w:pos="9974"/>
        </w:tabs>
        <w:spacing w:before="40" w:after="40"/>
        <w:ind w:left="1134" w:hanging="1134"/>
      </w:pPr>
      <w:hyperlink w:anchor="rot_Tabla_F7_7" w:history="1">
        <w:r>
          <w:t xml:space="preserve">Tabla F7.7. Registro de indicadores: identificación, fórmula y línea base</w:t>
        </w:r>
        <w:r>
          <w:tab/>
        </w:r>
        <w:r>
          <w:fldChar w:fldCharType="begin"/>
        </w:r>
        <w:r>
          <w:instrText xml:space="preserve"> PAGEREF rot_Tabla_F7_7 \h </w:instrText>
        </w:r>
        <w:r>
          <w:fldChar w:fldCharType="separate"/>
        </w:r>
        <w:r>
          <w:t>292</w:t>
        </w:r>
        <w:r>
          <w:fldChar w:fldCharType="end"/>
        </w:r>
      </w:hyperlink>
    </w:p>
    <w:p>
      <w:pPr>
        <w:pStyle w:val="Indice"/>
        <w:tabs>
          <w:tab w:val="right" w:leader="dot" w:pos="9974"/>
        </w:tabs>
        <w:spacing w:before="40" w:after="40"/>
        <w:ind w:left="1134" w:hanging="1134"/>
      </w:pPr>
      <w:hyperlink w:anchor="rot_Tabla_F7_8" w:history="1">
        <w:r>
          <w:t xml:space="preserve">Tabla F7.8. Registro de indicadores: metas, periodicidad, fuente y verificación</w:t>
        </w:r>
        <w:r>
          <w:tab/>
        </w:r>
        <w:r>
          <w:fldChar w:fldCharType="begin"/>
        </w:r>
        <w:r>
          <w:instrText xml:space="preserve"> PAGEREF rot_Tabla_F7_8 \h </w:instrText>
        </w:r>
        <w:r>
          <w:fldChar w:fldCharType="separate"/>
        </w:r>
        <w:r>
          <w:t>295</w:t>
        </w:r>
        <w:r>
          <w:fldChar w:fldCharType="end"/>
        </w:r>
      </w:hyperlink>
    </w:p>
    <w:p>
      <w:pPr>
        <w:pStyle w:val="Indice"/>
        <w:tabs>
          <w:tab w:val="right" w:leader="dot" w:pos="9974"/>
        </w:tabs>
        <w:spacing w:before="40" w:after="40"/>
        <w:ind w:left="1134" w:hanging="1134"/>
      </w:pPr>
      <w:hyperlink w:anchor="rot_Tabla_1_1" w:history="1">
        <w:r>
          <w:t xml:space="preserve">Tabla 1.1. Indicadores del sector de vigilancia de material particulado a nivel nacional e internacional</w:t>
        </w:r>
        <w:r>
          <w:tab/>
        </w:r>
        <w:r>
          <w:fldChar w:fldCharType="begin"/>
        </w:r>
        <w:r>
          <w:instrText xml:space="preserve"> PAGEREF rot_Tabla_1_1 \h </w:instrText>
        </w:r>
        <w:r>
          <w:fldChar w:fldCharType="separate"/>
        </w:r>
        <w:r>
          <w:t>298</w:t>
        </w:r>
        <w:r>
          <w:fldChar w:fldCharType="end"/>
        </w:r>
      </w:hyperlink>
    </w:p>
    <w:p>
      <w:pPr>
        <w:pStyle w:val="Indice"/>
        <w:tabs>
          <w:tab w:val="right" w:leader="dot" w:pos="9974"/>
        </w:tabs>
        <w:spacing w:before="40" w:after="40"/>
        <w:ind w:left="1134" w:hanging="1134"/>
      </w:pPr>
      <w:hyperlink w:anchor="rot_Tabla_1_2" w:history="1">
        <w:r>
          <w:t xml:space="preserve">Tabla 1.2. Magnitud del problema: indicadores con fuente</w:t>
        </w:r>
        <w:r>
          <w:tab/>
        </w:r>
        <w:r>
          <w:fldChar w:fldCharType="begin"/>
        </w:r>
        <w:r>
          <w:instrText xml:space="preserve"> PAGEREF rot_Tabla_1_2 \h </w:instrText>
        </w:r>
        <w:r>
          <w:fldChar w:fldCharType="separate"/>
        </w:r>
        <w:r>
          <w:t>305</w:t>
        </w:r>
        <w:r>
          <w:fldChar w:fldCharType="end"/>
        </w:r>
      </w:hyperlink>
    </w:p>
    <w:p>
      <w:pPr>
        <w:pStyle w:val="Indice"/>
        <w:tabs>
          <w:tab w:val="right" w:leader="dot" w:pos="9974"/>
        </w:tabs>
        <w:spacing w:before="40" w:after="40"/>
        <w:ind w:left="1134" w:hanging="1134"/>
      </w:pPr>
      <w:hyperlink w:anchor="rot_Tabla_1_3" w:history="1">
        <w:r>
          <w:t xml:space="preserve">Tabla 1.3. Clasificación de Vester en el escenario S2: cinco variables priorizadas y variable de frontera V07</w:t>
        </w:r>
        <w:r>
          <w:tab/>
        </w:r>
        <w:r>
          <w:fldChar w:fldCharType="begin"/>
        </w:r>
        <w:r>
          <w:instrText xml:space="preserve"> PAGEREF rot_Tabla_1_3 \h </w:instrText>
        </w:r>
        <w:r>
          <w:fldChar w:fldCharType="separate"/>
        </w:r>
        <w:r>
          <w:t>308</w:t>
        </w:r>
        <w:r>
          <w:fldChar w:fldCharType="end"/>
        </w:r>
      </w:hyperlink>
    </w:p>
    <w:p>
      <w:pPr>
        <w:pStyle w:val="Indice"/>
        <w:tabs>
          <w:tab w:val="right" w:leader="dot" w:pos="9974"/>
        </w:tabs>
        <w:spacing w:before="40" w:after="40"/>
        <w:ind w:left="1134" w:hanging="1134"/>
      </w:pPr>
      <w:hyperlink w:anchor="rot_Tabla_1_4" w:history="1">
        <w:r>
          <w:t xml:space="preserve">Tabla 1.4. Cadena de efectos con indicadores PERS</w:t>
        </w:r>
        <w:r>
          <w:tab/>
        </w:r>
        <w:r>
          <w:fldChar w:fldCharType="begin"/>
        </w:r>
        <w:r>
          <w:instrText xml:space="preserve"> PAGEREF rot_Tabla_1_4 \h </w:instrText>
        </w:r>
        <w:r>
          <w:fldChar w:fldCharType="separate"/>
        </w:r>
        <w:r>
          <w:t>313</w:t>
        </w:r>
        <w:r>
          <w:fldChar w:fldCharType="end"/>
        </w:r>
      </w:hyperlink>
    </w:p>
    <w:p>
      <w:pPr>
        <w:pStyle w:val="Indice"/>
        <w:tabs>
          <w:tab w:val="right" w:leader="dot" w:pos="9974"/>
        </w:tabs>
        <w:spacing w:before="40" w:after="40"/>
        <w:ind w:left="1134" w:hanging="1134"/>
      </w:pPr>
      <w:hyperlink w:anchor="rot_Tabla_1_5" w:history="1">
        <w:r>
          <w:t xml:space="preserve">Tabla 1.5. Variables del problema formal</w:t>
        </w:r>
        <w:r>
          <w:tab/>
        </w:r>
        <w:r>
          <w:fldChar w:fldCharType="begin"/>
        </w:r>
        <w:r>
          <w:instrText xml:space="preserve"> PAGEREF rot_Tabla_1_5 \h </w:instrText>
        </w:r>
        <w:r>
          <w:fldChar w:fldCharType="separate"/>
        </w:r>
        <w:r>
          <w:t>316</w:t>
        </w:r>
        <w:r>
          <w:fldChar w:fldCharType="end"/>
        </w:r>
      </w:hyperlink>
    </w:p>
    <w:p>
      <w:pPr>
        <w:pStyle w:val="Indice"/>
        <w:tabs>
          <w:tab w:val="right" w:leader="dot" w:pos="9974"/>
        </w:tabs>
        <w:spacing w:before="40" w:after="40"/>
        <w:ind w:left="1134" w:hanging="1134"/>
      </w:pPr>
      <w:hyperlink w:anchor="rot_Tabla_2_1" w:history="1">
        <w:r>
          <w:t xml:space="preserve">Tabla 2.1. Ecuaciones de búsqueda por base de datos con resultados</w:t>
        </w:r>
        <w:r>
          <w:tab/>
        </w:r>
        <w:r>
          <w:fldChar w:fldCharType="begin"/>
        </w:r>
        <w:r>
          <w:instrText xml:space="preserve"> PAGEREF rot_Tabla_2_1 \h </w:instrText>
        </w:r>
        <w:r>
          <w:fldChar w:fldCharType="separate"/>
        </w:r>
        <w:r>
          <w:t>319</w:t>
        </w:r>
        <w:r>
          <w:fldChar w:fldCharType="end"/>
        </w:r>
      </w:hyperlink>
    </w:p>
    <w:p>
      <w:pPr>
        <w:pStyle w:val="Indice"/>
        <w:tabs>
          <w:tab w:val="right" w:leader="dot" w:pos="9974"/>
        </w:tabs>
        <w:spacing w:before="40" w:after="40"/>
        <w:ind w:left="1134" w:hanging="1134"/>
      </w:pPr>
      <w:hyperlink w:anchor="rot_Tabla_2_2" w:history="1">
        <w:r>
          <w:t xml:space="preserve">Tabla 2.2. Criterios de inclusión y exclusión del corpus</w:t>
        </w:r>
        <w:r>
          <w:tab/>
        </w:r>
        <w:r>
          <w:fldChar w:fldCharType="begin"/>
        </w:r>
        <w:r>
          <w:instrText xml:space="preserve"> PAGEREF rot_Tabla_2_2 \h </w:instrText>
        </w:r>
        <w:r>
          <w:fldChar w:fldCharType="separate"/>
        </w:r>
        <w:r>
          <w:t>320</w:t>
        </w:r>
        <w:r>
          <w:fldChar w:fldCharType="end"/>
        </w:r>
      </w:hyperlink>
    </w:p>
    <w:p>
      <w:pPr>
        <w:pStyle w:val="Indice"/>
        <w:tabs>
          <w:tab w:val="right" w:leader="dot" w:pos="9974"/>
        </w:tabs>
        <w:spacing w:before="40" w:after="40"/>
        <w:ind w:left="1134" w:hanging="1134"/>
      </w:pPr>
      <w:hyperlink w:anchor="rot_Tabla_2_3" w:history="1">
        <w:r>
          <w:t xml:space="preserve">Tabla 2.3. Flujo PRISMA simplificado con números reales del corpus</w:t>
        </w:r>
        <w:r>
          <w:tab/>
        </w:r>
        <w:r>
          <w:fldChar w:fldCharType="begin"/>
        </w:r>
        <w:r>
          <w:instrText xml:space="preserve"> PAGEREF rot_Tabla_2_3 \h </w:instrText>
        </w:r>
        <w:r>
          <w:fldChar w:fldCharType="separate"/>
        </w:r>
        <w:r>
          <w:t>322</w:t>
        </w:r>
        <w:r>
          <w:fldChar w:fldCharType="end"/>
        </w:r>
      </w:hyperlink>
    </w:p>
    <w:p>
      <w:pPr>
        <w:pStyle w:val="Indice"/>
        <w:tabs>
          <w:tab w:val="right" w:leader="dot" w:pos="9974"/>
        </w:tabs>
        <w:spacing w:before="40" w:after="40"/>
        <w:ind w:left="1134" w:hanging="1134"/>
      </w:pPr>
      <w:hyperlink w:anchor="rot_Tabla_2_4" w:history="1">
        <w:r>
          <w:t xml:space="preserve">Tabla 2.4. Producción anual de documentos y era histórica</w:t>
        </w:r>
        <w:r>
          <w:tab/>
        </w:r>
        <w:r>
          <w:fldChar w:fldCharType="begin"/>
        </w:r>
        <w:r>
          <w:instrText xml:space="preserve"> PAGEREF rot_Tabla_2_4 \h </w:instrText>
        </w:r>
        <w:r>
          <w:fldChar w:fldCharType="separate"/>
        </w:r>
        <w:r>
          <w:t>324</w:t>
        </w:r>
        <w:r>
          <w:fldChar w:fldCharType="end"/>
        </w:r>
      </w:hyperlink>
    </w:p>
    <w:p>
      <w:pPr>
        <w:pStyle w:val="Indice"/>
        <w:tabs>
          <w:tab w:val="right" w:leader="dot" w:pos="9974"/>
        </w:tabs>
        <w:spacing w:before="40" w:after="40"/>
        <w:ind w:left="1134" w:hanging="1134"/>
      </w:pPr>
      <w:hyperlink w:anchor="rot_Tabla_2_5" w:history="1">
        <w:r>
          <w:t xml:space="preserve">Tabla 2.5. Autores con más de un documento: productividad, era y vínculo</w:t>
        </w:r>
        <w:r>
          <w:tab/>
        </w:r>
        <w:r>
          <w:fldChar w:fldCharType="begin"/>
        </w:r>
        <w:r>
          <w:instrText xml:space="preserve"> PAGEREF rot_Tabla_2_5 \h </w:instrText>
        </w:r>
        <w:r>
          <w:fldChar w:fldCharType="separate"/>
        </w:r>
        <w:r>
          <w:t>326</w:t>
        </w:r>
        <w:r>
          <w:fldChar w:fldCharType="end"/>
        </w:r>
      </w:hyperlink>
    </w:p>
    <w:p>
      <w:pPr>
        <w:pStyle w:val="Indice"/>
        <w:tabs>
          <w:tab w:val="right" w:leader="dot" w:pos="9974"/>
        </w:tabs>
        <w:spacing w:before="40" w:after="40"/>
        <w:ind w:left="1134" w:hanging="1134"/>
      </w:pPr>
      <w:hyperlink w:anchor="rot_Tabla_2_6" w:history="1">
        <w:r>
          <w:t xml:space="preserve">Tabla 2.6. Parámetros de la ley de Lotka en el corpus</w:t>
        </w:r>
        <w:r>
          <w:tab/>
        </w:r>
        <w:r>
          <w:fldChar w:fldCharType="begin"/>
        </w:r>
        <w:r>
          <w:instrText xml:space="preserve"> PAGEREF rot_Tabla_2_6 \h </w:instrText>
        </w:r>
        <w:r>
          <w:fldChar w:fldCharType="separate"/>
        </w:r>
        <w:r>
          <w:t>327</w:t>
        </w:r>
        <w:r>
          <w:fldChar w:fldCharType="end"/>
        </w:r>
      </w:hyperlink>
    </w:p>
    <w:p>
      <w:pPr>
        <w:pStyle w:val="Indice"/>
        <w:tabs>
          <w:tab w:val="right" w:leader="dot" w:pos="9974"/>
        </w:tabs>
        <w:spacing w:before="40" w:after="40"/>
        <w:ind w:left="1134" w:hanging="1134"/>
      </w:pPr>
      <w:hyperlink w:anchor="rot_Tabla_2_7" w:history="1">
        <w:r>
          <w:t xml:space="preserve">Tabla 2.7. Revistas del corpus por número de artículos y zona de Bradford</w:t>
        </w:r>
        <w:r>
          <w:tab/>
        </w:r>
        <w:r>
          <w:fldChar w:fldCharType="begin"/>
        </w:r>
        <w:r>
          <w:instrText xml:space="preserve"> PAGEREF rot_Tabla_2_7 \h </w:instrText>
        </w:r>
        <w:r>
          <w:fldChar w:fldCharType="separate"/>
        </w:r>
        <w:r>
          <w:t>329</w:t>
        </w:r>
        <w:r>
          <w:fldChar w:fldCharType="end"/>
        </w:r>
      </w:hyperlink>
    </w:p>
    <w:p>
      <w:pPr>
        <w:pStyle w:val="Indice"/>
        <w:tabs>
          <w:tab w:val="right" w:leader="dot" w:pos="9974"/>
        </w:tabs>
        <w:spacing w:before="40" w:after="40"/>
        <w:ind w:left="1134" w:hanging="1134"/>
      </w:pPr>
      <w:hyperlink w:anchor="rot_Tabla_2_8" w:history="1">
        <w:r>
          <w:t xml:space="preserve">Tabla 2.8. Zonas de Bradford, porcentajes y multiplicador φ</w:t>
        </w:r>
        <w:r>
          <w:tab/>
        </w:r>
        <w:r>
          <w:fldChar w:fldCharType="begin"/>
        </w:r>
        <w:r>
          <w:instrText xml:space="preserve"> PAGEREF rot_Tabla_2_8 \h </w:instrText>
        </w:r>
        <w:r>
          <w:fldChar w:fldCharType="separate"/>
        </w:r>
        <w:r>
          <w:t>330</w:t>
        </w:r>
        <w:r>
          <w:fldChar w:fldCharType="end"/>
        </w:r>
      </w:hyperlink>
    </w:p>
    <w:p>
      <w:pPr>
        <w:pStyle w:val="Indice"/>
        <w:tabs>
          <w:tab w:val="right" w:leader="dot" w:pos="9974"/>
        </w:tabs>
        <w:spacing w:before="40" w:after="40"/>
        <w:ind w:left="1134" w:hanging="1134"/>
      </w:pPr>
      <w:hyperlink w:anchor="rot_Tabla_2_9" w:history="1">
        <w:r>
          <w:t xml:space="preserve">Tabla 2.9. Términos principales de la red de co-palabras de texto completo</w:t>
        </w:r>
        <w:r>
          <w:tab/>
        </w:r>
        <w:r>
          <w:fldChar w:fldCharType="begin"/>
        </w:r>
        <w:r>
          <w:instrText xml:space="preserve"> PAGEREF rot_Tabla_2_9 \h </w:instrText>
        </w:r>
        <w:r>
          <w:fldChar w:fldCharType="separate"/>
        </w:r>
        <w:r>
          <w:t>332</w:t>
        </w:r>
        <w:r>
          <w:fldChar w:fldCharType="end"/>
        </w:r>
      </w:hyperlink>
    </w:p>
    <w:p>
      <w:pPr>
        <w:pStyle w:val="Indice"/>
        <w:tabs>
          <w:tab w:val="right" w:leader="dot" w:pos="9974"/>
        </w:tabs>
        <w:spacing w:before="40" w:after="40"/>
        <w:ind w:left="1134" w:hanging="1134"/>
      </w:pPr>
      <w:hyperlink w:anchor="rot_Tabla_2_10" w:history="1">
        <w:r>
          <w:t xml:space="preserve">Tabla 2.10. Palabras de título principales: frecuencia, comunidad y centralidad</w:t>
        </w:r>
        <w:r>
          <w:tab/>
        </w:r>
        <w:r>
          <w:fldChar w:fldCharType="begin"/>
        </w:r>
        <w:r>
          <w:instrText xml:space="preserve"> PAGEREF rot_Tabla_2_10 \h </w:instrText>
        </w:r>
        <w:r>
          <w:fldChar w:fldCharType="separate"/>
        </w:r>
        <w:r>
          <w:t>333</w:t>
        </w:r>
        <w:r>
          <w:fldChar w:fldCharType="end"/>
        </w:r>
      </w:hyperlink>
    </w:p>
    <w:p>
      <w:pPr>
        <w:pStyle w:val="Indice"/>
        <w:tabs>
          <w:tab w:val="right" w:leader="dot" w:pos="9974"/>
        </w:tabs>
        <w:spacing w:before="40" w:after="40"/>
        <w:ind w:left="1134" w:hanging="1134"/>
      </w:pPr>
      <w:hyperlink w:anchor="rot_Tabla_2_11" w:history="1">
        <w:r>
          <w:t xml:space="preserve">Tabla 2.11. Pares de artículos con mayor acoplamiento bibliográfico</w:t>
        </w:r>
        <w:r>
          <w:tab/>
        </w:r>
        <w:r>
          <w:fldChar w:fldCharType="begin"/>
        </w:r>
        <w:r>
          <w:instrText xml:space="preserve"> PAGEREF rot_Tabla_2_11 \h </w:instrText>
        </w:r>
        <w:r>
          <w:fldChar w:fldCharType="separate"/>
        </w:r>
        <w:r>
          <w:t>336</w:t>
        </w:r>
        <w:r>
          <w:fldChar w:fldCharType="end"/>
        </w:r>
      </w:hyperlink>
    </w:p>
    <w:p>
      <w:pPr>
        <w:pStyle w:val="Indice"/>
        <w:tabs>
          <w:tab w:val="right" w:leader="dot" w:pos="9974"/>
        </w:tabs>
        <w:spacing w:before="40" w:after="40"/>
        <w:ind w:left="1134" w:hanging="1134"/>
      </w:pPr>
      <w:hyperlink w:anchor="rot_Tabla_2_12" w:history="1">
        <w:r>
          <w:t xml:space="preserve">Tabla 2.12. Comunidades de co-palabras por cuadrante estratégico</w:t>
        </w:r>
        <w:r>
          <w:tab/>
        </w:r>
        <w:r>
          <w:fldChar w:fldCharType="begin"/>
        </w:r>
        <w:r>
          <w:instrText xml:space="preserve"> PAGEREF rot_Tabla_2_12 \h </w:instrText>
        </w:r>
        <w:r>
          <w:fldChar w:fldCharType="separate"/>
        </w:r>
        <w:r>
          <w:t>339</w:t>
        </w:r>
        <w:r>
          <w:fldChar w:fldCharType="end"/>
        </w:r>
      </w:hyperlink>
    </w:p>
    <w:p>
      <w:pPr>
        <w:pStyle w:val="Indice"/>
        <w:tabs>
          <w:tab w:val="right" w:leader="dot" w:pos="9974"/>
        </w:tabs>
        <w:spacing w:before="40" w:after="40"/>
        <w:ind w:left="1134" w:hanging="1134"/>
      </w:pPr>
      <w:hyperlink w:anchor="rot_Tabla_2_13" w:history="1">
        <w:r>
          <w:t xml:space="preserve">Tabla 2.13. Composición del corpus por era y grupo documental</w:t>
        </w:r>
        <w:r>
          <w:tab/>
        </w:r>
        <w:r>
          <w:fldChar w:fldCharType="begin"/>
        </w:r>
        <w:r>
          <w:instrText xml:space="preserve"> PAGEREF rot_Tabla_2_13 \h </w:instrText>
        </w:r>
        <w:r>
          <w:fldChar w:fldCharType="separate"/>
        </w:r>
        <w:r>
          <w:t>341</w:t>
        </w:r>
        <w:r>
          <w:fldChar w:fldCharType="end"/>
        </w:r>
      </w:hyperlink>
    </w:p>
    <w:p>
      <w:pPr>
        <w:pStyle w:val="Indice"/>
        <w:tabs>
          <w:tab w:val="right" w:leader="dot" w:pos="9974"/>
        </w:tabs>
        <w:spacing w:before="40" w:after="40"/>
        <w:ind w:left="1134" w:hanging="1134"/>
      </w:pPr>
      <w:hyperlink w:anchor="rot_Tabla_2_14" w:history="1">
        <w:r>
          <w:t xml:space="preserve">Tabla 2.14. Términos de título en aceleración por era</w:t>
        </w:r>
        <w:r>
          <w:tab/>
        </w:r>
        <w:r>
          <w:fldChar w:fldCharType="begin"/>
        </w:r>
        <w:r>
          <w:instrText xml:space="preserve"> PAGEREF rot_Tabla_2_14 \h </w:instrText>
        </w:r>
        <w:r>
          <w:fldChar w:fldCharType="separate"/>
        </w:r>
        <w:r>
          <w:t>343</w:t>
        </w:r>
        <w:r>
          <w:fldChar w:fldCharType="end"/>
        </w:r>
      </w:hyperlink>
    </w:p>
    <w:p>
      <w:pPr>
        <w:pStyle w:val="Indice"/>
        <w:tabs>
          <w:tab w:val="right" w:leader="dot" w:pos="9974"/>
        </w:tabs>
        <w:spacing w:before="40" w:after="40"/>
        <w:ind w:left="1134" w:hanging="1134"/>
      </w:pPr>
      <w:hyperlink w:anchor="rot_Tabla_2_15" w:history="1">
        <w:r>
          <w:t xml:space="preserve">Tabla 2.15. Brechas entre el TRL y las demás dimensiones de madurez</w:t>
        </w:r>
        <w:r>
          <w:tab/>
        </w:r>
        <w:r>
          <w:fldChar w:fldCharType="begin"/>
        </w:r>
        <w:r>
          <w:instrText xml:space="preserve"> PAGEREF rot_Tabla_2_15 \h </w:instrText>
        </w:r>
        <w:r>
          <w:fldChar w:fldCharType="separate"/>
        </w:r>
        <w:r>
          <w:t>344</w:t>
        </w:r>
        <w:r>
          <w:fldChar w:fldCharType="end"/>
        </w:r>
      </w:hyperlink>
    </w:p>
    <w:p>
      <w:pPr>
        <w:pStyle w:val="Indice"/>
        <w:tabs>
          <w:tab w:val="right" w:leader="dot" w:pos="9974"/>
        </w:tabs>
        <w:spacing w:before="40" w:after="40"/>
        <w:ind w:left="1134" w:hanging="1134"/>
      </w:pPr>
      <w:hyperlink w:anchor="rot_Tabla_2_16" w:history="1">
        <w:r>
          <w:t xml:space="preserve">Tabla 2.16. Perfil de los grupos documentales como porcentaje del criterio de referencia</w:t>
        </w:r>
        <w:r>
          <w:tab/>
        </w:r>
        <w:r>
          <w:fldChar w:fldCharType="begin"/>
        </w:r>
        <w:r>
          <w:instrText xml:space="preserve"> PAGEREF rot_Tabla_2_16 \h </w:instrText>
        </w:r>
        <w:r>
          <w:fldChar w:fldCharType="separate"/>
        </w:r>
        <w:r>
          <w:t>346</w:t>
        </w:r>
        <w:r>
          <w:fldChar w:fldCharType="end"/>
        </w:r>
      </w:hyperlink>
    </w:p>
    <w:p>
      <w:pPr>
        <w:pStyle w:val="Indice"/>
        <w:tabs>
          <w:tab w:val="right" w:leader="dot" w:pos="9974"/>
        </w:tabs>
        <w:spacing w:before="40" w:after="40"/>
        <w:ind w:left="1134" w:hanging="1134"/>
      </w:pPr>
      <w:hyperlink w:anchor="rot_Tabla_2_17" w:history="1">
        <w:r>
          <w:t xml:space="preserve">Tabla 2.17. Madurez media por línea tecnológica como porcentaje del criterio</w:t>
        </w:r>
        <w:r>
          <w:tab/>
        </w:r>
        <w:r>
          <w:fldChar w:fldCharType="begin"/>
        </w:r>
        <w:r>
          <w:instrText xml:space="preserve"> PAGEREF rot_Tabla_2_17 \h </w:instrText>
        </w:r>
        <w:r>
          <w:fldChar w:fldCharType="separate"/>
        </w:r>
        <w:r>
          <w:t>348</w:t>
        </w:r>
        <w:r>
          <w:fldChar w:fldCharType="end"/>
        </w:r>
      </w:hyperlink>
    </w:p>
    <w:p>
      <w:pPr>
        <w:pStyle w:val="Indice"/>
        <w:tabs>
          <w:tab w:val="right" w:leader="dot" w:pos="9974"/>
        </w:tabs>
        <w:spacing w:before="40" w:after="40"/>
        <w:ind w:left="1134" w:hanging="1134"/>
      </w:pPr>
      <w:hyperlink w:anchor="rot_Tabla_2_18" w:history="1">
        <w:r>
          <w:t xml:space="preserve">Tabla 2.18. Países con mayor número de documentos del corpus</w:t>
        </w:r>
        <w:r>
          <w:tab/>
        </w:r>
        <w:r>
          <w:fldChar w:fldCharType="begin"/>
        </w:r>
        <w:r>
          <w:instrText xml:space="preserve"> PAGEREF rot_Tabla_2_18 \h </w:instrText>
        </w:r>
        <w:r>
          <w:fldChar w:fldCharType="separate"/>
        </w:r>
        <w:r>
          <w:t>350</w:t>
        </w:r>
        <w:r>
          <w:fldChar w:fldCharType="end"/>
        </w:r>
      </w:hyperlink>
    </w:p>
    <w:p>
      <w:pPr>
        <w:pStyle w:val="Indice"/>
        <w:tabs>
          <w:tab w:val="right" w:leader="dot" w:pos="9974"/>
        </w:tabs>
        <w:spacing w:before="40" w:after="40"/>
        <w:ind w:left="1134" w:hanging="1134"/>
      </w:pPr>
      <w:hyperlink w:anchor="rot_Tabla_2_19" w:history="1">
        <w:r>
          <w:t xml:space="preserve">Tabla 2.19. Robustez por grupo y clase documental</w:t>
        </w:r>
        <w:r>
          <w:tab/>
        </w:r>
        <w:r>
          <w:fldChar w:fldCharType="begin"/>
        </w:r>
        <w:r>
          <w:instrText xml:space="preserve"> PAGEREF rot_Tabla_2_19 \h </w:instrText>
        </w:r>
        <w:r>
          <w:fldChar w:fldCharType="separate"/>
        </w:r>
        <w:r>
          <w:t>352</w:t>
        </w:r>
        <w:r>
          <w:fldChar w:fldCharType="end"/>
        </w:r>
      </w:hyperlink>
    </w:p>
    <w:p>
      <w:pPr>
        <w:pStyle w:val="Indice"/>
        <w:tabs>
          <w:tab w:val="right" w:leader="dot" w:pos="9974"/>
        </w:tabs>
        <w:spacing w:before="40" w:after="40"/>
        <w:ind w:left="1134" w:hanging="1134"/>
      </w:pPr>
      <w:hyperlink w:anchor="rot_Tabla_2_20" w:history="1">
        <w:r>
          <w:t xml:space="preserve">Tabla 2.20. Consolidación de brechas cuantitativas: evidencia, fuentes y oportunidad</w:t>
        </w:r>
        <w:r>
          <w:tab/>
        </w:r>
        <w:r>
          <w:fldChar w:fldCharType="begin"/>
        </w:r>
        <w:r>
          <w:instrText xml:space="preserve"> PAGEREF rot_Tabla_2_20 \h </w:instrText>
        </w:r>
        <w:r>
          <w:fldChar w:fldCharType="separate"/>
        </w:r>
        <w:r>
          <w:t>354</w:t>
        </w:r>
        <w:r>
          <w:fldChar w:fldCharType="end"/>
        </w:r>
      </w:hyperlink>
    </w:p>
    <w:p>
      <w:pPr>
        <w:pStyle w:val="Indice"/>
        <w:tabs>
          <w:tab w:val="right" w:leader="dot" w:pos="9974"/>
        </w:tabs>
        <w:spacing w:before="40" w:after="40"/>
        <w:ind w:left="1134" w:hanging="1134"/>
      </w:pPr>
      <w:hyperlink w:anchor="rot_Tabla_2_21" w:history="1">
        <w:r>
          <w:t xml:space="preserve">Tabla 2.21. Principales titulares de patentes del corpus con oficina, número y TRL</w:t>
        </w:r>
        <w:r>
          <w:tab/>
        </w:r>
        <w:r>
          <w:fldChar w:fldCharType="begin"/>
        </w:r>
        <w:r>
          <w:instrText xml:space="preserve"> PAGEREF rot_Tabla_2_21 \h </w:instrText>
        </w:r>
        <w:r>
          <w:fldChar w:fldCharType="separate"/>
        </w:r>
        <w:r>
          <w:t>356</w:t>
        </w:r>
        <w:r>
          <w:fldChar w:fldCharType="end"/>
        </w:r>
      </w:hyperlink>
    </w:p>
    <w:p>
      <w:pPr>
        <w:pStyle w:val="Indice"/>
        <w:tabs>
          <w:tab w:val="right" w:leader="dot" w:pos="9974"/>
        </w:tabs>
        <w:spacing w:before="40" w:after="40"/>
        <w:ind w:left="1134" w:hanging="1134"/>
      </w:pPr>
      <w:hyperlink w:anchor="rot_Tabla_2_22" w:history="1">
        <w:r>
          <w:t xml:space="preserve">Tabla 2.22. Solicitudes PCT con Colombia designada, plazo de fase nacional y relación con el diseño</w:t>
        </w:r>
        <w:r>
          <w:tab/>
        </w:r>
        <w:r>
          <w:fldChar w:fldCharType="begin"/>
        </w:r>
        <w:r>
          <w:instrText xml:space="preserve"> PAGEREF rot_Tabla_2_22 \h </w:instrText>
        </w:r>
        <w:r>
          <w:fldChar w:fldCharType="separate"/>
        </w:r>
        <w:r>
          <w:t>358</w:t>
        </w:r>
        <w:r>
          <w:fldChar w:fldCharType="end"/>
        </w:r>
      </w:hyperlink>
    </w:p>
    <w:p>
      <w:pPr>
        <w:pStyle w:val="Indice"/>
        <w:tabs>
          <w:tab w:val="right" w:leader="dot" w:pos="9974"/>
        </w:tabs>
        <w:spacing w:before="40" w:after="40"/>
        <w:ind w:left="1134" w:hanging="1134"/>
      </w:pPr>
      <w:hyperlink w:anchor="rot_Tabla_2_23" w:history="1">
        <w:r>
          <w:t xml:space="preserve">Tabla 2.23. Comparación de enfoques metodológicos para corregir y evaluar sensores ópticos de bajo costo</w:t>
        </w:r>
        <w:r>
          <w:tab/>
        </w:r>
        <w:r>
          <w:fldChar w:fldCharType="begin"/>
        </w:r>
        <w:r>
          <w:instrText xml:space="preserve"> PAGEREF rot_Tabla_2_23 \h </w:instrText>
        </w:r>
        <w:r>
          <w:fldChar w:fldCharType="separate"/>
        </w:r>
        <w:r>
          <w:t>364</w:t>
        </w:r>
        <w:r>
          <w:fldChar w:fldCharType="end"/>
        </w:r>
      </w:hyperlink>
    </w:p>
    <w:p>
      <w:pPr>
        <w:pStyle w:val="Indice"/>
        <w:tabs>
          <w:tab w:val="right" w:leader="dot" w:pos="9974"/>
        </w:tabs>
        <w:spacing w:before="40" w:after="40"/>
        <w:ind w:left="1134" w:hanging="1134"/>
      </w:pPr>
      <w:hyperlink w:anchor="rot_Tabla_2_24" w:history="1">
        <w:r>
          <w:t xml:space="preserve">Tabla 2.24. Frentes emergentes del corpus y de la literatura de dominio con su lectura para el proyecto</w:t>
        </w:r>
        <w:r>
          <w:tab/>
        </w:r>
        <w:r>
          <w:fldChar w:fldCharType="begin"/>
        </w:r>
        <w:r>
          <w:instrText xml:space="preserve"> PAGEREF rot_Tabla_2_24 \h </w:instrText>
        </w:r>
        <w:r>
          <w:fldChar w:fldCharType="separate"/>
        </w:r>
        <w:r>
          <w:t>368</w:t>
        </w:r>
        <w:r>
          <w:fldChar w:fldCharType="end"/>
        </w:r>
      </w:hyperlink>
    </w:p>
    <w:p>
      <w:pPr>
        <w:pStyle w:val="Indice"/>
        <w:tabs>
          <w:tab w:val="right" w:leader="dot" w:pos="9974"/>
        </w:tabs>
        <w:spacing w:before="40" w:after="40"/>
        <w:ind w:left="1134" w:hanging="1134"/>
      </w:pPr>
      <w:hyperlink w:anchor="rot_Tabla_2_25" w:history="1">
        <w:r>
          <w:t xml:space="preserve">Tabla 2.25. Síntesis comparativa por dimensión temática del estado del arte</w:t>
        </w:r>
        <w:r>
          <w:tab/>
        </w:r>
        <w:r>
          <w:fldChar w:fldCharType="begin"/>
        </w:r>
        <w:r>
          <w:instrText xml:space="preserve"> PAGEREF rot_Tabla_2_25 \h </w:instrText>
        </w:r>
        <w:r>
          <w:fldChar w:fldCharType="separate"/>
        </w:r>
        <w:r>
          <w:t>370</w:t>
        </w:r>
        <w:r>
          <w:fldChar w:fldCharType="end"/>
        </w:r>
      </w:hyperlink>
    </w:p>
    <w:p>
      <w:pPr>
        <w:pStyle w:val="Indice"/>
        <w:tabs>
          <w:tab w:val="right" w:leader="dot" w:pos="9974"/>
        </w:tabs>
        <w:spacing w:before="40" w:after="40"/>
        <w:ind w:left="1134" w:hanging="1134"/>
      </w:pPr>
      <w:hyperlink w:anchor="rot_Tabla_2_26" w:history="1">
        <w:r>
          <w:t xml:space="preserve">Tabla 2.26. Controversias del estado del arte y tratamiento en el proyecto</w:t>
        </w:r>
        <w:r>
          <w:tab/>
        </w:r>
        <w:r>
          <w:fldChar w:fldCharType="begin"/>
        </w:r>
        <w:r>
          <w:instrText xml:space="preserve"> PAGEREF rot_Tabla_2_26 \h </w:instrText>
        </w:r>
        <w:r>
          <w:fldChar w:fldCharType="separate"/>
        </w:r>
        <w:r>
          <w:t>371</w:t>
        </w:r>
        <w:r>
          <w:fldChar w:fldCharType="end"/>
        </w:r>
      </w:hyperlink>
    </w:p>
    <w:p>
      <w:pPr>
        <w:pStyle w:val="Indice"/>
        <w:tabs>
          <w:tab w:val="right" w:leader="dot" w:pos="9974"/>
        </w:tabs>
        <w:spacing w:before="40" w:after="40"/>
        <w:ind w:left="1134" w:hanging="1134"/>
      </w:pPr>
      <w:hyperlink w:anchor="rot_Tabla_2_27" w:history="1">
        <w:r>
          <w:t xml:space="preserve">Tabla 2.27. Brechas del informe de vigilancia por tipo y proporción de brechas críticas</w:t>
        </w:r>
        <w:r>
          <w:tab/>
        </w:r>
        <w:r>
          <w:fldChar w:fldCharType="begin"/>
        </w:r>
        <w:r>
          <w:instrText xml:space="preserve"> PAGEREF rot_Tabla_2_27 \h </w:instrText>
        </w:r>
        <w:r>
          <w:fldChar w:fldCharType="separate"/>
        </w:r>
        <w:r>
          <w:t>373</w:t>
        </w:r>
        <w:r>
          <w:fldChar w:fldCharType="end"/>
        </w:r>
      </w:hyperlink>
    </w:p>
    <w:p>
      <w:pPr>
        <w:pStyle w:val="Indice"/>
        <w:tabs>
          <w:tab w:val="right" w:leader="dot" w:pos="9974"/>
        </w:tabs>
        <w:spacing w:before="40" w:after="40"/>
        <w:ind w:left="1134" w:hanging="1134"/>
      </w:pPr>
      <w:hyperlink w:anchor="rot_Tabla_2_28" w:history="1">
        <w:r>
          <w:t xml:space="preserve">Tabla 2.28. Matriz consolidada de brechas: evidencia, fuente y respuesta del proyecto</w:t>
        </w:r>
        <w:r>
          <w:tab/>
        </w:r>
        <w:r>
          <w:fldChar w:fldCharType="begin"/>
        </w:r>
        <w:r>
          <w:instrText xml:space="preserve"> PAGEREF rot_Tabla_2_28 \h </w:instrText>
        </w:r>
        <w:r>
          <w:fldChar w:fldCharType="separate"/>
        </w:r>
        <w:r>
          <w:t>374</w:t>
        </w:r>
        <w:r>
          <w:fldChar w:fldCharType="end"/>
        </w:r>
      </w:hyperlink>
    </w:p>
    <w:p>
      <w:pPr>
        <w:pStyle w:val="Indice"/>
        <w:tabs>
          <w:tab w:val="right" w:leader="dot" w:pos="9974"/>
        </w:tabs>
        <w:spacing w:before="40" w:after="40"/>
        <w:ind w:left="1134" w:hanging="1134"/>
      </w:pPr>
      <w:hyperlink w:anchor="rot_Tabla_2_29" w:history="1">
        <w:r>
          <w:t xml:space="preserve">Tabla 2.29. Oportunidades de diferenciación del informe de vigilancia y posición del proyecto</w:t>
        </w:r>
        <w:r>
          <w:tab/>
        </w:r>
        <w:r>
          <w:fldChar w:fldCharType="begin"/>
        </w:r>
        <w:r>
          <w:instrText xml:space="preserve"> PAGEREF rot_Tabla_2_29 \h </w:instrText>
        </w:r>
        <w:r>
          <w:fldChar w:fldCharType="separate"/>
        </w:r>
        <w:r>
          <w:t>376</w:t>
        </w:r>
        <w:r>
          <w:fldChar w:fldCharType="end"/>
        </w:r>
      </w:hyperlink>
    </w:p>
    <w:p>
      <w:pPr>
        <w:pStyle w:val="Indice"/>
        <w:tabs>
          <w:tab w:val="right" w:leader="dot" w:pos="9974"/>
        </w:tabs>
        <w:spacing w:before="40" w:after="40"/>
        <w:ind w:left="1134" w:hanging="1134"/>
      </w:pPr>
      <w:hyperlink w:anchor="rot_Tabla_2_30" w:history="1">
        <w:r>
          <w:t xml:space="preserve">Tabla 2.30. Nivel de madurez tecnológica comparado: global y Colombia por línea tecnológica</w:t>
        </w:r>
        <w:r>
          <w:tab/>
        </w:r>
        <w:r>
          <w:fldChar w:fldCharType="begin"/>
        </w:r>
        <w:r>
          <w:instrText xml:space="preserve"> PAGEREF rot_Tabla_2_30 \h </w:instrText>
        </w:r>
        <w:r>
          <w:fldChar w:fldCharType="separate"/>
        </w:r>
        <w:r>
          <w:t>380</w:t>
        </w:r>
        <w:r>
          <w:fldChar w:fldCharType="end"/>
        </w:r>
      </w:hyperlink>
    </w:p>
    <w:p>
      <w:pPr>
        <w:pStyle w:val="Indice"/>
        <w:tabs>
          <w:tab w:val="right" w:leader="dot" w:pos="9974"/>
        </w:tabs>
        <w:spacing w:before="40" w:after="40"/>
        <w:ind w:left="1134" w:hanging="1134"/>
      </w:pPr>
      <w:hyperlink w:anchor="rot_Tabla_2_31" w:history="1">
        <w:r>
          <w:t xml:space="preserve">Tabla 2.31. Ficha bibliográfica analítica de Bang et al. (2026)</w:t>
        </w:r>
        <w:r>
          <w:tab/>
        </w:r>
        <w:r>
          <w:fldChar w:fldCharType="begin"/>
        </w:r>
        <w:r>
          <w:instrText xml:space="preserve"> PAGEREF rot_Tabla_2_31 \h </w:instrText>
        </w:r>
        <w:r>
          <w:fldChar w:fldCharType="separate"/>
        </w:r>
        <w:r>
          <w:t>382</w:t>
        </w:r>
        <w:r>
          <w:fldChar w:fldCharType="end"/>
        </w:r>
      </w:hyperlink>
    </w:p>
    <w:p>
      <w:pPr>
        <w:pStyle w:val="Indice"/>
        <w:tabs>
          <w:tab w:val="right" w:leader="dot" w:pos="9974"/>
        </w:tabs>
        <w:spacing w:before="40" w:after="40"/>
        <w:ind w:left="1134" w:hanging="1134"/>
      </w:pPr>
      <w:hyperlink w:anchor="rot_Tabla_2_32" w:history="1">
        <w:r>
          <w:t xml:space="preserve">Tabla 2.32. Ficha bibliográfica analítica de Suresh et al. (2025)</w:t>
        </w:r>
        <w:r>
          <w:tab/>
        </w:r>
        <w:r>
          <w:fldChar w:fldCharType="begin"/>
        </w:r>
        <w:r>
          <w:instrText xml:space="preserve"> PAGEREF rot_Tabla_2_32 \h </w:instrText>
        </w:r>
        <w:r>
          <w:fldChar w:fldCharType="separate"/>
        </w:r>
        <w:r>
          <w:t>383</w:t>
        </w:r>
        <w:r>
          <w:fldChar w:fldCharType="end"/>
        </w:r>
      </w:hyperlink>
    </w:p>
    <w:p>
      <w:pPr>
        <w:pStyle w:val="Indice"/>
        <w:tabs>
          <w:tab w:val="right" w:leader="dot" w:pos="9974"/>
        </w:tabs>
        <w:spacing w:before="40" w:after="40"/>
        <w:ind w:left="1134" w:hanging="1134"/>
      </w:pPr>
      <w:hyperlink w:anchor="rot_Tabla_2_33" w:history="1">
        <w:r>
          <w:t xml:space="preserve">Tabla 2.33. Ficha bibliográfica analítica de Murad Pedraza et al. (2026)</w:t>
        </w:r>
        <w:r>
          <w:tab/>
        </w:r>
        <w:r>
          <w:fldChar w:fldCharType="begin"/>
        </w:r>
        <w:r>
          <w:instrText xml:space="preserve"> PAGEREF rot_Tabla_2_33 \h </w:instrText>
        </w:r>
        <w:r>
          <w:fldChar w:fldCharType="separate"/>
        </w:r>
        <w:r>
          <w:t>384</w:t>
        </w:r>
        <w:r>
          <w:fldChar w:fldCharType="end"/>
        </w:r>
      </w:hyperlink>
    </w:p>
    <w:p>
      <w:pPr>
        <w:pStyle w:val="Indice"/>
        <w:tabs>
          <w:tab w:val="right" w:leader="dot" w:pos="9974"/>
        </w:tabs>
        <w:spacing w:before="40" w:after="40"/>
        <w:ind w:left="1134" w:hanging="1134"/>
      </w:pPr>
      <w:hyperlink w:anchor="rot_Tabla_2_34" w:history="1">
        <w:r>
          <w:t xml:space="preserve">Tabla 2.34. Ficha bibliográfica analítica de Ruiz-Carrascal et al. (2026)</w:t>
        </w:r>
        <w:r>
          <w:tab/>
        </w:r>
        <w:r>
          <w:fldChar w:fldCharType="begin"/>
        </w:r>
        <w:r>
          <w:instrText xml:space="preserve"> PAGEREF rot_Tabla_2_34 \h </w:instrText>
        </w:r>
        <w:r>
          <w:fldChar w:fldCharType="separate"/>
        </w:r>
        <w:r>
          <w:t>385</w:t>
        </w:r>
        <w:r>
          <w:fldChar w:fldCharType="end"/>
        </w:r>
      </w:hyperlink>
    </w:p>
    <w:p>
      <w:pPr>
        <w:pStyle w:val="Indice"/>
        <w:tabs>
          <w:tab w:val="right" w:leader="dot" w:pos="9974"/>
        </w:tabs>
        <w:spacing w:before="40" w:after="40"/>
        <w:ind w:left="1134" w:hanging="1134"/>
      </w:pPr>
      <w:hyperlink w:anchor="rot_Tabla_2_35" w:history="1">
        <w:r>
          <w:t xml:space="preserve">Tabla 2.35. Ficha bibliográfica analítica de Liao et al. (2026)</w:t>
        </w:r>
        <w:r>
          <w:tab/>
        </w:r>
        <w:r>
          <w:fldChar w:fldCharType="begin"/>
        </w:r>
        <w:r>
          <w:instrText xml:space="preserve"> PAGEREF rot_Tabla_2_35 \h </w:instrText>
        </w:r>
        <w:r>
          <w:fldChar w:fldCharType="separate"/>
        </w:r>
        <w:r>
          <w:t>386</w:t>
        </w:r>
        <w:r>
          <w:fldChar w:fldCharType="end"/>
        </w:r>
      </w:hyperlink>
    </w:p>
    <w:p>
      <w:pPr>
        <w:pStyle w:val="Indice"/>
        <w:tabs>
          <w:tab w:val="right" w:leader="dot" w:pos="9974"/>
        </w:tabs>
        <w:spacing w:before="40" w:after="40"/>
        <w:ind w:left="1134" w:hanging="1134"/>
      </w:pPr>
      <w:hyperlink w:anchor="rot_Tabla_2_36" w:history="1">
        <w:r>
          <w:t xml:space="preserve">Tabla 2.36. Ficha bibliográfica analítica de Jayaratne et al. (2018)</w:t>
        </w:r>
        <w:r>
          <w:tab/>
        </w:r>
        <w:r>
          <w:fldChar w:fldCharType="begin"/>
        </w:r>
        <w:r>
          <w:instrText xml:space="preserve"> PAGEREF rot_Tabla_2_36 \h </w:instrText>
        </w:r>
        <w:r>
          <w:fldChar w:fldCharType="separate"/>
        </w:r>
        <w:r>
          <w:t>386</w:t>
        </w:r>
        <w:r>
          <w:fldChar w:fldCharType="end"/>
        </w:r>
      </w:hyperlink>
    </w:p>
    <w:p>
      <w:pPr>
        <w:pStyle w:val="Indice"/>
        <w:tabs>
          <w:tab w:val="right" w:leader="dot" w:pos="9974"/>
        </w:tabs>
        <w:spacing w:before="40" w:after="40"/>
        <w:ind w:left="1134" w:hanging="1134"/>
      </w:pPr>
      <w:hyperlink w:anchor="rot_Tabla_2_37" w:history="1">
        <w:r>
          <w:t xml:space="preserve">Tabla 2.37. Ficha bibliográfica analítica de Barkjohn et al. (2021)</w:t>
        </w:r>
        <w:r>
          <w:tab/>
        </w:r>
        <w:r>
          <w:fldChar w:fldCharType="begin"/>
        </w:r>
        <w:r>
          <w:instrText xml:space="preserve"> PAGEREF rot_Tabla_2_37 \h </w:instrText>
        </w:r>
        <w:r>
          <w:fldChar w:fldCharType="separate"/>
        </w:r>
        <w:r>
          <w:t>387</w:t>
        </w:r>
        <w:r>
          <w:fldChar w:fldCharType="end"/>
        </w:r>
      </w:hyperlink>
    </w:p>
    <w:p>
      <w:pPr>
        <w:pStyle w:val="Indice"/>
        <w:tabs>
          <w:tab w:val="right" w:leader="dot" w:pos="9974"/>
        </w:tabs>
        <w:spacing w:before="40" w:after="40"/>
        <w:ind w:left="1134" w:hanging="1134"/>
      </w:pPr>
      <w:hyperlink w:anchor="rot_Tabla_2_38" w:history="1">
        <w:r>
          <w:t xml:space="preserve">Tabla 2.38. Ficha bibliográfica analítica de EPA (2021)</w:t>
        </w:r>
        <w:r>
          <w:tab/>
        </w:r>
        <w:r>
          <w:fldChar w:fldCharType="begin"/>
        </w:r>
        <w:r>
          <w:instrText xml:space="preserve"> PAGEREF rot_Tabla_2_38 \h </w:instrText>
        </w:r>
        <w:r>
          <w:fldChar w:fldCharType="separate"/>
        </w:r>
        <w:r>
          <w:t>388</w:t>
        </w:r>
        <w:r>
          <w:fldChar w:fldCharType="end"/>
        </w:r>
      </w:hyperlink>
    </w:p>
    <w:p>
      <w:pPr>
        <w:pStyle w:val="Indice"/>
        <w:tabs>
          <w:tab w:val="right" w:leader="dot" w:pos="9974"/>
        </w:tabs>
        <w:spacing w:before="40" w:after="40"/>
        <w:ind w:left="1134" w:hanging="1134"/>
      </w:pPr>
      <w:hyperlink w:anchor="rot_Tabla_2_39" w:history="1">
        <w:r>
          <w:t xml:space="preserve">Tabla 2.39. Matriz de conexiones entre referencias clave: acuerdos, complementos y desacuerdos</w:t>
        </w:r>
        <w:r>
          <w:tab/>
        </w:r>
        <w:r>
          <w:fldChar w:fldCharType="begin"/>
        </w:r>
        <w:r>
          <w:instrText xml:space="preserve"> PAGEREF rot_Tabla_2_39 \h </w:instrText>
        </w:r>
        <w:r>
          <w:fldChar w:fldCharType="separate"/>
        </w:r>
        <w:r>
          <w:t>389</w:t>
        </w:r>
        <w:r>
          <w:fldChar w:fldCharType="end"/>
        </w:r>
      </w:hyperlink>
    </w:p>
    <w:p>
      <w:pPr>
        <w:pStyle w:val="Indice"/>
        <w:tabs>
          <w:tab w:val="right" w:leader="dot" w:pos="9974"/>
        </w:tabs>
        <w:spacing w:before="40" w:after="40"/>
        <w:ind w:left="1134" w:hanging="1134"/>
      </w:pPr>
      <w:hyperlink w:anchor="rot_Tabla_2_40" w:history="1">
        <w:r>
          <w:t xml:space="preserve">Tabla 2.40. Verificación bibliográfica de las secciones 2.4 a 2.6 frente a los criterios del Capítulo 2</w:t>
        </w:r>
        <w:r>
          <w:tab/>
        </w:r>
        <w:r>
          <w:fldChar w:fldCharType="begin"/>
        </w:r>
        <w:r>
          <w:instrText xml:space="preserve"> PAGEREF rot_Tabla_2_40 \h </w:instrText>
        </w:r>
        <w:r>
          <w:fldChar w:fldCharType="separate"/>
        </w:r>
        <w:r>
          <w:t>392</w:t>
        </w:r>
        <w:r>
          <w:fldChar w:fldCharType="end"/>
        </w:r>
      </w:hyperlink>
    </w:p>
    <w:p>
      <w:pPr>
        <w:pStyle w:val="Indice"/>
        <w:tabs>
          <w:tab w:val="right" w:leader="dot" w:pos="9974"/>
        </w:tabs>
        <w:spacing w:before="40" w:after="40"/>
        <w:ind w:left="1134" w:hanging="1134"/>
      </w:pPr>
      <w:hyperlink w:anchor="rot_Tabla_3_1" w:history="1">
        <w:r>
          <w:t xml:space="preserve">Tabla 3.1. Objetivo general y objetivos específicos con criterios SMART</w:t>
        </w:r>
        <w:r>
          <w:tab/>
        </w:r>
        <w:r>
          <w:fldChar w:fldCharType="begin"/>
        </w:r>
        <w:r>
          <w:instrText xml:space="preserve"> PAGEREF rot_Tabla_3_1 \h </w:instrText>
        </w:r>
        <w:r>
          <w:fldChar w:fldCharType="separate"/>
        </w:r>
        <w:r>
          <w:t>396</w:t>
        </w:r>
        <w:r>
          <w:fldChar w:fldCharType="end"/>
        </w:r>
      </w:hyperlink>
    </w:p>
    <w:p>
      <w:pPr>
        <w:pStyle w:val="Indice"/>
        <w:tabs>
          <w:tab w:val="right" w:leader="dot" w:pos="9974"/>
        </w:tabs>
        <w:spacing w:before="40" w:after="40"/>
        <w:ind w:left="1134" w:hanging="1134"/>
      </w:pPr>
      <w:hyperlink w:anchor="rot_Tabla_3_2" w:history="1">
        <w:r>
          <w:t xml:space="preserve">Tabla 3.2. Trazabilidad de causa, objetivo e indicador</w:t>
        </w:r>
        <w:r>
          <w:tab/>
        </w:r>
        <w:r>
          <w:fldChar w:fldCharType="begin"/>
        </w:r>
        <w:r>
          <w:instrText xml:space="preserve"> PAGEREF rot_Tabla_3_2 \h </w:instrText>
        </w:r>
        <w:r>
          <w:fldChar w:fldCharType="separate"/>
        </w:r>
        <w:r>
          <w:t>398</w:t>
        </w:r>
        <w:r>
          <w:fldChar w:fldCharType="end"/>
        </w:r>
      </w:hyperlink>
    </w:p>
    <w:p>
      <w:pPr>
        <w:pStyle w:val="Indice"/>
        <w:tabs>
          <w:tab w:val="right" w:leader="dot" w:pos="9974"/>
        </w:tabs>
        <w:spacing w:before="40" w:after="40"/>
        <w:ind w:left="1134" w:hanging="1134"/>
      </w:pPr>
      <w:hyperlink w:anchor="rot_Tabla_3_3" w:history="1">
        <w:r>
          <w:t xml:space="preserve">Tabla 3.3. Matriz de metas por objetivo</w:t>
        </w:r>
        <w:r>
          <w:tab/>
        </w:r>
        <w:r>
          <w:fldChar w:fldCharType="begin"/>
        </w:r>
        <w:r>
          <w:instrText xml:space="preserve"> PAGEREF rot_Tabla_3_3 \h </w:instrText>
        </w:r>
        <w:r>
          <w:fldChar w:fldCharType="separate"/>
        </w:r>
        <w:r>
          <w:t>400</w:t>
        </w:r>
        <w:r>
          <w:fldChar w:fldCharType="end"/>
        </w:r>
      </w:hyperlink>
    </w:p>
    <w:p>
      <w:pPr>
        <w:pStyle w:val="Indice"/>
        <w:tabs>
          <w:tab w:val="right" w:leader="dot" w:pos="9974"/>
        </w:tabs>
        <w:spacing w:before="40" w:after="40"/>
        <w:ind w:left="1134" w:hanging="1134"/>
      </w:pPr>
      <w:hyperlink w:anchor="rot_Tabla_4_1" w:history="1">
        <w:r>
          <w:t xml:space="preserve">Tabla 4.1. Acepciones del gemelo digital en el corpus y posición del proyecto</w:t>
        </w:r>
        <w:r>
          <w:tab/>
        </w:r>
        <w:r>
          <w:fldChar w:fldCharType="begin"/>
        </w:r>
        <w:r>
          <w:instrText xml:space="preserve"> PAGEREF rot_Tabla_4_1 \h </w:instrText>
        </w:r>
        <w:r>
          <w:fldChar w:fldCharType="separate"/>
        </w:r>
        <w:r>
          <w:t>407</w:t>
        </w:r>
        <w:r>
          <w:fldChar w:fldCharType="end"/>
        </w:r>
      </w:hyperlink>
    </w:p>
    <w:p>
      <w:pPr>
        <w:pStyle w:val="Indice"/>
        <w:tabs>
          <w:tab w:val="right" w:leader="dot" w:pos="9974"/>
        </w:tabs>
        <w:spacing w:before="40" w:after="40"/>
        <w:ind w:left="1134" w:hanging="1134"/>
      </w:pPr>
      <w:hyperlink w:anchor="rot_Tabla_4_2" w:history="1">
        <w:r>
          <w:t xml:space="preserve">Tabla 4.2. Síntesis de las teorías aplicables al proyecto</w:t>
        </w:r>
        <w:r>
          <w:tab/>
        </w:r>
        <w:r>
          <w:fldChar w:fldCharType="begin"/>
        </w:r>
        <w:r>
          <w:instrText xml:space="preserve"> PAGEREF rot_Tabla_4_2 \h </w:instrText>
        </w:r>
        <w:r>
          <w:fldChar w:fldCharType="separate"/>
        </w:r>
        <w:r>
          <w:t>412</w:t>
        </w:r>
        <w:r>
          <w:fldChar w:fldCharType="end"/>
        </w:r>
      </w:hyperlink>
    </w:p>
    <w:p>
      <w:pPr>
        <w:pStyle w:val="Indice"/>
        <w:tabs>
          <w:tab w:val="right" w:leader="dot" w:pos="9974"/>
        </w:tabs>
        <w:spacing w:before="40" w:after="40"/>
        <w:ind w:left="1134" w:hanging="1134"/>
      </w:pPr>
      <w:hyperlink w:anchor="rot_Tabla_4_3" w:history="1">
        <w:r>
          <w:t xml:space="preserve">Tabla 4.3. Glosario de términos técnicos del proyecto</w:t>
        </w:r>
        <w:r>
          <w:tab/>
        </w:r>
        <w:r>
          <w:fldChar w:fldCharType="begin"/>
        </w:r>
        <w:r>
          <w:instrText xml:space="preserve"> PAGEREF rot_Tabla_4_3 \h </w:instrText>
        </w:r>
        <w:r>
          <w:fldChar w:fldCharType="separate"/>
        </w:r>
        <w:r>
          <w:t>415</w:t>
        </w:r>
        <w:r>
          <w:fldChar w:fldCharType="end"/>
        </w:r>
      </w:hyperlink>
    </w:p>
    <w:p>
      <w:pPr>
        <w:pStyle w:val="Indice"/>
        <w:tabs>
          <w:tab w:val="right" w:leader="dot" w:pos="9974"/>
        </w:tabs>
        <w:spacing w:before="40" w:after="40"/>
        <w:ind w:left="1134" w:hanging="1134"/>
      </w:pPr>
      <w:hyperlink w:anchor="rot_Tabla_4_4" w:history="1">
        <w:r>
          <w:t xml:space="preserve">Tabla 4.4. Operacionalización de variables y métricas de desempeño</w:t>
        </w:r>
        <w:r>
          <w:tab/>
        </w:r>
        <w:r>
          <w:fldChar w:fldCharType="begin"/>
        </w:r>
        <w:r>
          <w:instrText xml:space="preserve"> PAGEREF rot_Tabla_4_4 \h </w:instrText>
        </w:r>
        <w:r>
          <w:fldChar w:fldCharType="separate"/>
        </w:r>
        <w:r>
          <w:t>421</w:t>
        </w:r>
        <w:r>
          <w:fldChar w:fldCharType="end"/>
        </w:r>
      </w:hyperlink>
    </w:p>
    <w:p>
      <w:pPr>
        <w:pStyle w:val="Indice"/>
        <w:tabs>
          <w:tab w:val="right" w:leader="dot" w:pos="9974"/>
        </w:tabs>
        <w:spacing w:before="40" w:after="40"/>
        <w:ind w:left="1134" w:hanging="1134"/>
      </w:pPr>
      <w:hyperlink w:anchor="rot_Tabla_4_5" w:history="1">
        <w:r>
          <w:t xml:space="preserve">Tabla 4.5. Marco normativo y de política aplicable al proyecto</w:t>
        </w:r>
        <w:r>
          <w:tab/>
        </w:r>
        <w:r>
          <w:fldChar w:fldCharType="begin"/>
        </w:r>
        <w:r>
          <w:instrText xml:space="preserve"> PAGEREF rot_Tabla_4_5 \h </w:instrText>
        </w:r>
        <w:r>
          <w:fldChar w:fldCharType="separate"/>
        </w:r>
        <w:r>
          <w:t>427</w:t>
        </w:r>
        <w:r>
          <w:fldChar w:fldCharType="end"/>
        </w:r>
      </w:hyperlink>
    </w:p>
    <w:p>
      <w:pPr>
        <w:pStyle w:val="Indice"/>
        <w:tabs>
          <w:tab w:val="right" w:leader="dot" w:pos="9974"/>
        </w:tabs>
        <w:spacing w:before="40" w:after="40"/>
        <w:ind w:left="1134" w:hanging="1134"/>
      </w:pPr>
      <w:hyperlink w:anchor="rot_Tabla_4_6" w:history="1">
        <w:r>
          <w:t xml:space="preserve">Tabla 4.6. Antecedentes, lecciones y decisiones del proyecto</w:t>
        </w:r>
        <w:r>
          <w:tab/>
        </w:r>
        <w:r>
          <w:fldChar w:fldCharType="begin"/>
        </w:r>
        <w:r>
          <w:instrText xml:space="preserve"> PAGEREF rot_Tabla_4_6 \h </w:instrText>
        </w:r>
        <w:r>
          <w:fldChar w:fldCharType="separate"/>
        </w:r>
        <w:r>
          <w:t>431</w:t>
        </w:r>
        <w:r>
          <w:fldChar w:fldCharType="end"/>
        </w:r>
      </w:hyperlink>
    </w:p>
    <w:p>
      <w:pPr>
        <w:pStyle w:val="Indice"/>
        <w:tabs>
          <w:tab w:val="right" w:leader="dot" w:pos="9974"/>
        </w:tabs>
        <w:spacing w:before="40" w:after="40"/>
        <w:ind w:left="1134" w:hanging="1134"/>
      </w:pPr>
      <w:hyperlink w:anchor="rot_Tabla_5_1" w:history="1">
        <w:r>
          <w:t xml:space="preserve">Tabla 5.1. Línea base del problema: indicadores con valor actual, valor meta, brecha, fuente y año</w:t>
        </w:r>
        <w:r>
          <w:tab/>
        </w:r>
        <w:r>
          <w:fldChar w:fldCharType="begin"/>
        </w:r>
        <w:r>
          <w:instrText xml:space="preserve"> PAGEREF rot_Tabla_5_1 \h </w:instrText>
        </w:r>
        <w:r>
          <w:fldChar w:fldCharType="separate"/>
        </w:r>
        <w:r>
          <w:t>435</w:t>
        </w:r>
        <w:r>
          <w:fldChar w:fldCharType="end"/>
        </w:r>
      </w:hyperlink>
    </w:p>
    <w:p>
      <w:pPr>
        <w:pStyle w:val="Indice"/>
        <w:tabs>
          <w:tab w:val="right" w:leader="dot" w:pos="9974"/>
        </w:tabs>
        <w:spacing w:before="40" w:after="40"/>
        <w:ind w:left="1134" w:hanging="1134"/>
      </w:pPr>
      <w:hyperlink w:anchor="rot_Tabla_5_2" w:history="1">
        <w:r>
          <w:t xml:space="preserve">Tabla 5.2. Matriz de brechas de conocimiento: qué se sabe, qué no se sabe y qué aporta este proyecto</w:t>
        </w:r>
        <w:r>
          <w:tab/>
        </w:r>
        <w:r>
          <w:fldChar w:fldCharType="begin"/>
        </w:r>
        <w:r>
          <w:instrText xml:space="preserve"> PAGEREF rot_Tabla_5_2 \h </w:instrText>
        </w:r>
        <w:r>
          <w:fldChar w:fldCharType="separate"/>
        </w:r>
        <w:r>
          <w:t>438</w:t>
        </w:r>
        <w:r>
          <w:fldChar w:fldCharType="end"/>
        </w:r>
      </w:hyperlink>
    </w:p>
    <w:p>
      <w:pPr>
        <w:pStyle w:val="Indice"/>
        <w:tabs>
          <w:tab w:val="right" w:leader="dot" w:pos="9974"/>
        </w:tabs>
        <w:spacing w:before="40" w:after="40"/>
        <w:ind w:left="1134" w:hanging="1134"/>
      </w:pPr>
      <w:hyperlink w:anchor="rot_Tabla_5_3" w:history="1">
        <w:r>
          <w:t xml:space="preserve">Tabla 5.3. Estructura argumentativa de Toulmin de la justificación</w:t>
        </w:r>
        <w:r>
          <w:tab/>
        </w:r>
        <w:r>
          <w:fldChar w:fldCharType="begin"/>
        </w:r>
        <w:r>
          <w:instrText xml:space="preserve"> PAGEREF rot_Tabla_5_3 \h </w:instrText>
        </w:r>
        <w:r>
          <w:fldChar w:fldCharType="separate"/>
        </w:r>
        <w:r>
          <w:t>440</w:t>
        </w:r>
        <w:r>
          <w:fldChar w:fldCharType="end"/>
        </w:r>
      </w:hyperlink>
    </w:p>
    <w:p>
      <w:pPr>
        <w:pStyle w:val="Indice"/>
        <w:tabs>
          <w:tab w:val="right" w:leader="dot" w:pos="9974"/>
        </w:tabs>
        <w:spacing w:before="40" w:after="40"/>
        <w:ind w:left="1134" w:hanging="1134"/>
      </w:pPr>
      <w:hyperlink w:anchor="rot_Tabla_5_4" w:history="1">
        <w:r>
          <w:t xml:space="preserve">Tabla 5.4. Matriz de articulación con políticas públicas: instrumento, artículo o sección, indicador y contribución del proyecto</w:t>
        </w:r>
        <w:r>
          <w:tab/>
        </w:r>
        <w:r>
          <w:fldChar w:fldCharType="begin"/>
        </w:r>
        <w:r>
          <w:instrText xml:space="preserve"> PAGEREF rot_Tabla_5_4 \h </w:instrText>
        </w:r>
        <w:r>
          <w:fldChar w:fldCharType="separate"/>
        </w:r>
        <w:r>
          <w:t>444</w:t>
        </w:r>
        <w:r>
          <w:fldChar w:fldCharType="end"/>
        </w:r>
      </w:hyperlink>
    </w:p>
    <w:p>
      <w:pPr>
        <w:pStyle w:val="Indice"/>
        <w:tabs>
          <w:tab w:val="right" w:leader="dot" w:pos="9974"/>
        </w:tabs>
        <w:spacing w:before="40" w:after="40"/>
        <w:ind w:left="1134" w:hanging="1134"/>
      </w:pPr>
      <w:hyperlink w:anchor="rot_Tabla_5_5" w:history="1">
        <w:r>
          <w:t xml:space="preserve">Tabla 5.5. Alineación con demandas territoriales: código de demanda del Anexo 4</w:t>
        </w:r>
        <w:r>
          <w:tab/>
        </w:r>
        <w:r>
          <w:fldChar w:fldCharType="begin"/>
        </w:r>
        <w:r>
          <w:instrText xml:space="preserve"> PAGEREF rot_Tabla_5_5 \h </w:instrText>
        </w:r>
        <w:r>
          <w:fldChar w:fldCharType="separate"/>
        </w:r>
        <w:r>
          <w:t>445</w:t>
        </w:r>
        <w:r>
          <w:fldChar w:fldCharType="end"/>
        </w:r>
      </w:hyperlink>
    </w:p>
    <w:p>
      <w:pPr>
        <w:pStyle w:val="Indice"/>
        <w:tabs>
          <w:tab w:val="right" w:leader="dot" w:pos="9974"/>
        </w:tabs>
        <w:spacing w:before="40" w:after="40"/>
        <w:ind w:left="1134" w:hanging="1134"/>
      </w:pPr>
      <w:hyperlink w:anchor="rot_Tabla_5_6" w:history="1">
        <w:r>
          <w:t xml:space="preserve">Tabla 5.6. Análisis costo-beneficio preliminar con diferenciación output, outcome e impact</w:t>
        </w:r>
        <w:r>
          <w:tab/>
        </w:r>
        <w:r>
          <w:fldChar w:fldCharType="begin"/>
        </w:r>
        <w:r>
          <w:instrText xml:space="preserve"> PAGEREF rot_Tabla_5_6 \h </w:instrText>
        </w:r>
        <w:r>
          <w:fldChar w:fldCharType="separate"/>
        </w:r>
        <w:r>
          <w:t>451</w:t>
        </w:r>
        <w:r>
          <w:fldChar w:fldCharType="end"/>
        </w:r>
      </w:hyperlink>
    </w:p>
    <w:p>
      <w:pPr>
        <w:pStyle w:val="Indice"/>
        <w:tabs>
          <w:tab w:val="right" w:leader="dot" w:pos="9974"/>
        </w:tabs>
        <w:spacing w:before="40" w:after="40"/>
        <w:ind w:left="1134" w:hanging="1134"/>
      </w:pPr>
      <w:hyperlink w:anchor="rot_Tabla_5_7" w:history="1">
        <w:r>
          <w:t xml:space="preserve">Tabla 5.7. Capacidades institucionales: entidad, experiencia, aportes y grupo de investigación</w:t>
        </w:r>
        <w:r>
          <w:tab/>
        </w:r>
        <w:r>
          <w:fldChar w:fldCharType="begin"/>
        </w:r>
        <w:r>
          <w:instrText xml:space="preserve"> PAGEREF rot_Tabla_5_7 \h </w:instrText>
        </w:r>
        <w:r>
          <w:fldChar w:fldCharType="separate"/>
        </w:r>
        <w:r>
          <w:t>453</w:t>
        </w:r>
        <w:r>
          <w:fldChar w:fldCharType="end"/>
        </w:r>
      </w:hyperlink>
    </w:p>
    <w:p>
      <w:pPr>
        <w:pStyle w:val="Indice"/>
        <w:tabs>
          <w:tab w:val="right" w:leader="dot" w:pos="9974"/>
        </w:tabs>
        <w:spacing w:before="40" w:after="40"/>
        <w:ind w:left="1134" w:hanging="1134"/>
      </w:pPr>
      <w:hyperlink w:anchor="rot_Tabla_5_8" w:history="1">
        <w:r>
          <w:t xml:space="preserve">Tabla 5.8. Validación de la coherencia de la tríada entre título, problema y objetivos</w:t>
        </w:r>
        <w:r>
          <w:tab/>
        </w:r>
        <w:r>
          <w:fldChar w:fldCharType="begin"/>
        </w:r>
        <w:r>
          <w:instrText xml:space="preserve"> PAGEREF rot_Tabla_5_8 \h </w:instrText>
        </w:r>
        <w:r>
          <w:fldChar w:fldCharType="separate"/>
        </w:r>
        <w:r>
          <w:t>456</w:t>
        </w:r>
        <w:r>
          <w:fldChar w:fldCharType="end"/>
        </w:r>
      </w:hyperlink>
    </w:p>
    <w:p>
      <w:pPr>
        <w:pStyle w:val="Indice"/>
        <w:tabs>
          <w:tab w:val="right" w:leader="dot" w:pos="9974"/>
        </w:tabs>
        <w:spacing w:before="40" w:after="40"/>
        <w:ind w:left="1134" w:hanging="1134"/>
      </w:pPr>
      <w:hyperlink w:anchor="rot_Tabla_6_1" w:history="1">
        <w:r>
          <w:t xml:space="preserve">Tabla 6.1. Ficha metodológica del proyecto</w:t>
        </w:r>
        <w:r>
          <w:tab/>
        </w:r>
        <w:r>
          <w:fldChar w:fldCharType="begin"/>
        </w:r>
        <w:r>
          <w:instrText xml:space="preserve"> PAGEREF rot_Tabla_6_1 \h </w:instrText>
        </w:r>
        <w:r>
          <w:fldChar w:fldCharType="separate"/>
        </w:r>
        <w:r>
          <w:t>459</w:t>
        </w:r>
        <w:r>
          <w:fldChar w:fldCharType="end"/>
        </w:r>
      </w:hyperlink>
    </w:p>
    <w:p>
      <w:pPr>
        <w:pStyle w:val="Indice"/>
        <w:tabs>
          <w:tab w:val="right" w:leader="dot" w:pos="9974"/>
        </w:tabs>
        <w:spacing w:before="40" w:after="40"/>
        <w:ind w:left="1134" w:hanging="1134"/>
      </w:pPr>
      <w:hyperlink w:anchor="rot_Tabla_6_2" w:history="1">
        <w:r>
          <w:t xml:space="preserve">Tabla 6.2. Matriz de fases, actividades y entregables</w:t>
        </w:r>
        <w:r>
          <w:tab/>
        </w:r>
        <w:r>
          <w:fldChar w:fldCharType="begin"/>
        </w:r>
        <w:r>
          <w:instrText xml:space="preserve"> PAGEREF rot_Tabla_6_2 \h </w:instrText>
        </w:r>
        <w:r>
          <w:fldChar w:fldCharType="separate"/>
        </w:r>
        <w:r>
          <w:t>460</w:t>
        </w:r>
        <w:r>
          <w:fldChar w:fldCharType="end"/>
        </w:r>
      </w:hyperlink>
    </w:p>
    <w:p>
      <w:pPr>
        <w:pStyle w:val="Indice"/>
        <w:tabs>
          <w:tab w:val="right" w:leader="dot" w:pos="9974"/>
        </w:tabs>
        <w:spacing w:before="40" w:after="40"/>
        <w:ind w:left="1134" w:hanging="1134"/>
      </w:pPr>
      <w:hyperlink w:anchor="rot_Tabla_6_3" w:history="1">
        <w:r>
          <w:t xml:space="preserve">Tabla 6.3. Matriz de técnicas e instrumentos</w:t>
        </w:r>
        <w:r>
          <w:tab/>
        </w:r>
        <w:r>
          <w:fldChar w:fldCharType="begin"/>
        </w:r>
        <w:r>
          <w:instrText xml:space="preserve"> PAGEREF rot_Tabla_6_3 \h </w:instrText>
        </w:r>
        <w:r>
          <w:fldChar w:fldCharType="separate"/>
        </w:r>
        <w:r>
          <w:t>467</w:t>
        </w:r>
        <w:r>
          <w:fldChar w:fldCharType="end"/>
        </w:r>
      </w:hyperlink>
    </w:p>
    <w:p>
      <w:pPr>
        <w:pStyle w:val="Indice"/>
        <w:tabs>
          <w:tab w:val="right" w:leader="dot" w:pos="9974"/>
        </w:tabs>
        <w:spacing w:before="40" w:after="40"/>
        <w:ind w:left="1134" w:hanging="1134"/>
      </w:pPr>
      <w:hyperlink w:anchor="rot_Tabla_6_4" w:history="1">
        <w:r>
          <w:t xml:space="preserve">Tabla 6.4. Horas-nodo, pares y tamaño de muestra de la colocalización del tramo 1</w:t>
        </w:r>
        <w:r>
          <w:tab/>
        </w:r>
        <w:r>
          <w:fldChar w:fldCharType="begin"/>
        </w:r>
        <w:r>
          <w:instrText xml:space="preserve"> PAGEREF rot_Tabla_6_4 \h </w:instrText>
        </w:r>
        <w:r>
          <w:fldChar w:fldCharType="separate"/>
        </w:r>
        <w:r>
          <w:t>469</w:t>
        </w:r>
        <w:r>
          <w:fldChar w:fldCharType="end"/>
        </w:r>
      </w:hyperlink>
    </w:p>
    <w:p>
      <w:pPr>
        <w:pStyle w:val="Indice"/>
        <w:tabs>
          <w:tab w:val="right" w:leader="dot" w:pos="9974"/>
        </w:tabs>
        <w:spacing w:before="40" w:after="40"/>
        <w:ind w:left="1134" w:hanging="1134"/>
      </w:pPr>
      <w:hyperlink w:anchor="rot_Tabla_6_5" w:history="1">
        <w:r>
          <w:t xml:space="preserve">Tabla 6.5. Intervalos esperables de las métricas de desempeño por simulación</w:t>
        </w:r>
        <w:r>
          <w:tab/>
        </w:r>
        <w:r>
          <w:fldChar w:fldCharType="begin"/>
        </w:r>
        <w:r>
          <w:instrText xml:space="preserve"> PAGEREF rot_Tabla_6_5 \h </w:instrText>
        </w:r>
        <w:r>
          <w:fldChar w:fldCharType="separate"/>
        </w:r>
        <w:r>
          <w:t>470</w:t>
        </w:r>
        <w:r>
          <w:fldChar w:fldCharType="end"/>
        </w:r>
      </w:hyperlink>
    </w:p>
    <w:p>
      <w:pPr>
        <w:pStyle w:val="Indice"/>
        <w:tabs>
          <w:tab w:val="right" w:leader="dot" w:pos="9974"/>
        </w:tabs>
        <w:spacing w:before="40" w:after="40"/>
        <w:ind w:left="1134" w:hanging="1134"/>
      </w:pPr>
      <w:hyperlink w:anchor="rot_Tabla_6_6" w:history="1">
        <w:r>
          <w:t xml:space="preserve">Tabla 6.6. Modelos candidatos de corrección y criterios de parsimonia</w:t>
        </w:r>
        <w:r>
          <w:tab/>
        </w:r>
        <w:r>
          <w:fldChar w:fldCharType="begin"/>
        </w:r>
        <w:r>
          <w:instrText xml:space="preserve"> PAGEREF rot_Tabla_6_6 \h </w:instrText>
        </w:r>
        <w:r>
          <w:fldChar w:fldCharType="separate"/>
        </w:r>
        <w:r>
          <w:t>475</w:t>
        </w:r>
        <w:r>
          <w:fldChar w:fldCharType="end"/>
        </w:r>
      </w:hyperlink>
    </w:p>
    <w:p>
      <w:pPr>
        <w:pStyle w:val="Indice"/>
        <w:tabs>
          <w:tab w:val="right" w:leader="dot" w:pos="9974"/>
        </w:tabs>
        <w:spacing w:before="40" w:after="40"/>
        <w:ind w:left="1134" w:hanging="1134"/>
      </w:pPr>
      <w:hyperlink w:anchor="rot_Tabla_6_7" w:history="1">
        <w:r>
          <w:t xml:space="preserve">Tabla 6.7. Métricas de desempeño, umbrales de aceptación y papel en la decisión</w:t>
        </w:r>
        <w:r>
          <w:tab/>
        </w:r>
        <w:r>
          <w:fldChar w:fldCharType="begin"/>
        </w:r>
        <w:r>
          <w:instrText xml:space="preserve"> PAGEREF rot_Tabla_6_7 \h </w:instrText>
        </w:r>
        <w:r>
          <w:fldChar w:fldCharType="separate"/>
        </w:r>
        <w:r>
          <w:t>476</w:t>
        </w:r>
        <w:r>
          <w:fldChar w:fldCharType="end"/>
        </w:r>
      </w:hyperlink>
    </w:p>
    <w:p>
      <w:pPr>
        <w:pStyle w:val="Indice"/>
        <w:tabs>
          <w:tab w:val="right" w:leader="dot" w:pos="9974"/>
        </w:tabs>
        <w:spacing w:before="40" w:after="40"/>
        <w:ind w:left="1134" w:hanging="1134"/>
      </w:pPr>
      <w:hyperlink w:anchor="rot_Tabla_6_8" w:history="1">
        <w:r>
          <w:t xml:space="preserve">Tabla 6.8. Caracterización de la población y de la muestra</w:t>
        </w:r>
        <w:r>
          <w:tab/>
        </w:r>
        <w:r>
          <w:fldChar w:fldCharType="begin"/>
        </w:r>
        <w:r>
          <w:instrText xml:space="preserve"> PAGEREF rot_Tabla_6_8 \h </w:instrText>
        </w:r>
        <w:r>
          <w:fldChar w:fldCharType="separate"/>
        </w:r>
        <w:r>
          <w:t>477</w:t>
        </w:r>
        <w:r>
          <w:fldChar w:fldCharType="end"/>
        </w:r>
      </w:hyperlink>
    </w:p>
    <w:p>
      <w:pPr>
        <w:pStyle w:val="Indice"/>
        <w:tabs>
          <w:tab w:val="right" w:leader="dot" w:pos="9974"/>
        </w:tabs>
        <w:spacing w:before="40" w:after="40"/>
        <w:ind w:left="1134" w:hanging="1134"/>
      </w:pPr>
      <w:hyperlink w:anchor="rot_Tabla_6_9" w:history="1">
        <w:r>
          <w:t xml:space="preserve">Tabla 6.9. Calendario de sesiones de aprendizaje</w:t>
        </w:r>
        <w:r>
          <w:tab/>
        </w:r>
        <w:r>
          <w:fldChar w:fldCharType="begin"/>
        </w:r>
        <w:r>
          <w:instrText xml:space="preserve"> PAGEREF rot_Tabla_6_9 \h </w:instrText>
        </w:r>
        <w:r>
          <w:fldChar w:fldCharType="separate"/>
        </w:r>
        <w:r>
          <w:t>481</w:t>
        </w:r>
        <w:r>
          <w:fldChar w:fldCharType="end"/>
        </w:r>
      </w:hyperlink>
    </w:p>
    <w:p>
      <w:pPr>
        <w:pStyle w:val="Indice"/>
        <w:tabs>
          <w:tab w:val="right" w:leader="dot" w:pos="9974"/>
        </w:tabs>
        <w:spacing w:before="40" w:after="40"/>
        <w:ind w:left="1134" w:hanging="1134"/>
      </w:pPr>
      <w:hyperlink w:anchor="rot_Tabla_6_10" w:history="1">
        <w:r>
          <w:t xml:space="preserve">Tabla 6.10. Plantilla de bitácora de aprendizajes</w:t>
        </w:r>
        <w:r>
          <w:tab/>
        </w:r>
        <w:r>
          <w:fldChar w:fldCharType="begin"/>
        </w:r>
        <w:r>
          <w:instrText xml:space="preserve"> PAGEREF rot_Tabla_6_10 \h </w:instrText>
        </w:r>
        <w:r>
          <w:fldChar w:fldCharType="separate"/>
        </w:r>
        <w:r>
          <w:t>484</w:t>
        </w:r>
        <w:r>
          <w:fldChar w:fldCharType="end"/>
        </w:r>
      </w:hyperlink>
    </w:p>
    <w:p>
      <w:pPr>
        <w:pStyle w:val="Indice"/>
        <w:tabs>
          <w:tab w:val="right" w:leader="dot" w:pos="9974"/>
        </w:tabs>
        <w:spacing w:before="40" w:after="40"/>
        <w:ind w:left="1134" w:hanging="1134"/>
      </w:pPr>
      <w:hyperlink w:anchor="rot_Tabla_7_1" w:history="1">
        <w:r>
          <w:t xml:space="preserve">Tabla 7.1. Niveles de la EDT, cantidad de componentes y regla de formación</w:t>
        </w:r>
        <w:r>
          <w:tab/>
        </w:r>
        <w:r>
          <w:fldChar w:fldCharType="begin"/>
        </w:r>
        <w:r>
          <w:instrText xml:space="preserve"> PAGEREF rot_Tabla_7_1 \h </w:instrText>
        </w:r>
        <w:r>
          <w:fldChar w:fldCharType="separate"/>
        </w:r>
        <w:r>
          <w:t>488</w:t>
        </w:r>
        <w:r>
          <w:fldChar w:fldCharType="end"/>
        </w:r>
      </w:hyperlink>
    </w:p>
    <w:p>
      <w:pPr>
        <w:pStyle w:val="Indice"/>
        <w:tabs>
          <w:tab w:val="right" w:leader="dot" w:pos="9974"/>
        </w:tabs>
        <w:spacing w:before="40" w:after="40"/>
        <w:ind w:left="1134" w:hanging="1134"/>
      </w:pPr>
      <w:hyperlink w:anchor="rot_Tabla_7_2" w:history="1">
        <w:r>
          <w:t xml:space="preserve">Tabla 7.2. Diccionario de paquetes de trabajo con presupuesto SGR y criterios de aceptación</w:t>
        </w:r>
        <w:r>
          <w:tab/>
        </w:r>
        <w:r>
          <w:fldChar w:fldCharType="begin"/>
        </w:r>
        <w:r>
          <w:instrText xml:space="preserve"> PAGEREF rot_Tabla_7_2 \h </w:instrText>
        </w:r>
        <w:r>
          <w:fldChar w:fldCharType="separate"/>
        </w:r>
        <w:r>
          <w:t>491</w:t>
        </w:r>
        <w:r>
          <w:fldChar w:fldCharType="end"/>
        </w:r>
      </w:hyperlink>
    </w:p>
    <w:p>
      <w:pPr>
        <w:pStyle w:val="Indice"/>
        <w:tabs>
          <w:tab w:val="right" w:leader="dot" w:pos="9974"/>
        </w:tabs>
        <w:spacing w:before="40" w:after="40"/>
        <w:ind w:left="1134" w:hanging="1134"/>
      </w:pPr>
      <w:hyperlink w:anchor="rot_Tabla_7_3" w:history="1">
        <w:r>
          <w:t xml:space="preserve">Tabla 7.3. Matriz de entregables por paquete de trabajo, fase y evidencia de verificación</w:t>
        </w:r>
        <w:r>
          <w:tab/>
        </w:r>
        <w:r>
          <w:fldChar w:fldCharType="begin"/>
        </w:r>
        <w:r>
          <w:instrText xml:space="preserve"> PAGEREF rot_Tabla_7_3 \h </w:instrText>
        </w:r>
        <w:r>
          <w:fldChar w:fldCharType="separate"/>
        </w:r>
        <w:r>
          <w:t>492</w:t>
        </w:r>
        <w:r>
          <w:fldChar w:fldCharType="end"/>
        </w:r>
      </w:hyperlink>
    </w:p>
    <w:p>
      <w:pPr>
        <w:pStyle w:val="Indice"/>
        <w:tabs>
          <w:tab w:val="right" w:leader="dot" w:pos="9974"/>
        </w:tabs>
        <w:spacing w:before="40" w:after="40"/>
        <w:ind w:left="1134" w:hanging="1134"/>
      </w:pPr>
      <w:hyperlink w:anchor="rot_Tabla_7_4" w:history="1">
        <w:r>
          <w:t xml:space="preserve">Tabla 7.4. Matriz RACI por actividad y paquete de trabajo</w:t>
        </w:r>
        <w:r>
          <w:tab/>
        </w:r>
        <w:r>
          <w:fldChar w:fldCharType="begin"/>
        </w:r>
        <w:r>
          <w:instrText xml:space="preserve"> PAGEREF rot_Tabla_7_4 \h </w:instrText>
        </w:r>
        <w:r>
          <w:fldChar w:fldCharType="separate"/>
        </w:r>
        <w:r>
          <w:t>494</w:t>
        </w:r>
        <w:r>
          <w:fldChar w:fldCharType="end"/>
        </w:r>
      </w:hyperlink>
    </w:p>
    <w:p>
      <w:pPr>
        <w:pStyle w:val="Indice"/>
        <w:tabs>
          <w:tab w:val="right" w:leader="dot" w:pos="9974"/>
        </w:tabs>
        <w:spacing w:before="40" w:after="40"/>
        <w:ind w:left="1134" w:hanging="1134"/>
      </w:pPr>
      <w:hyperlink w:anchor="rot_Tabla_8_1" w:history="1">
        <w:r>
          <w:t xml:space="preserve">Tabla 8.1. Resumen por fuente de financiación</w:t>
        </w:r>
        <w:r>
          <w:tab/>
        </w:r>
        <w:r>
          <w:fldChar w:fldCharType="begin"/>
        </w:r>
        <w:r>
          <w:instrText xml:space="preserve"> PAGEREF rot_Tabla_8_1 \h </w:instrText>
        </w:r>
        <w:r>
          <w:fldChar w:fldCharType="separate"/>
        </w:r>
        <w:r>
          <w:t>496</w:t>
        </w:r>
        <w:r>
          <w:fldChar w:fldCharType="end"/>
        </w:r>
      </w:hyperlink>
    </w:p>
    <w:p>
      <w:pPr>
        <w:pStyle w:val="Indice"/>
        <w:tabs>
          <w:tab w:val="right" w:leader="dot" w:pos="9974"/>
        </w:tabs>
        <w:spacing w:before="40" w:after="40"/>
        <w:ind w:left="1134" w:hanging="1134"/>
      </w:pPr>
      <w:hyperlink w:anchor="rot_Tabla_8_2" w:history="1">
        <w:r>
          <w:t xml:space="preserve">Tabla 8.2. Distribución del valor solicitado al SGR por rubro y naturaleza del dato</w:t>
        </w:r>
        <w:r>
          <w:tab/>
        </w:r>
        <w:r>
          <w:fldChar w:fldCharType="begin"/>
        </w:r>
        <w:r>
          <w:instrText xml:space="preserve"> PAGEREF rot_Tabla_8_2 \h </w:instrText>
        </w:r>
        <w:r>
          <w:fldChar w:fldCharType="separate"/>
        </w:r>
        <w:r>
          <w:t>498</w:t>
        </w:r>
        <w:r>
          <w:fldChar w:fldCharType="end"/>
        </w:r>
      </w:hyperlink>
    </w:p>
    <w:p>
      <w:pPr>
        <w:pStyle w:val="Indice"/>
        <w:tabs>
          <w:tab w:val="right" w:leader="dot" w:pos="9974"/>
        </w:tabs>
        <w:spacing w:before="40" w:after="40"/>
        <w:ind w:left="1134" w:hanging="1134"/>
      </w:pPr>
      <w:hyperlink w:anchor="rot_Tabla_8_3" w:history="1">
        <w:r>
          <w:t xml:space="preserve">Tabla 8.3. Presupuesto de personal detallado</w:t>
        </w:r>
        <w:r>
          <w:tab/>
        </w:r>
        <w:r>
          <w:fldChar w:fldCharType="begin"/>
        </w:r>
        <w:r>
          <w:instrText xml:space="preserve"> PAGEREF rot_Tabla_8_3 \h </w:instrText>
        </w:r>
        <w:r>
          <w:fldChar w:fldCharType="separate"/>
        </w:r>
        <w:r>
          <w:t>499</w:t>
        </w:r>
        <w:r>
          <w:fldChar w:fldCharType="end"/>
        </w:r>
      </w:hyperlink>
    </w:p>
    <w:p>
      <w:pPr>
        <w:pStyle w:val="Indice"/>
        <w:tabs>
          <w:tab w:val="right" w:leader="dot" w:pos="9974"/>
        </w:tabs>
        <w:spacing w:before="40" w:after="40"/>
        <w:ind w:left="1134" w:hanging="1134"/>
      </w:pPr>
      <w:hyperlink w:anchor="rot_Tabla_8_4" w:history="1">
        <w:r>
          <w:t xml:space="preserve">Tabla 8.4. Contrapartida por línea, fuente y naturaleza del dato</w:t>
        </w:r>
        <w:r>
          <w:tab/>
        </w:r>
        <w:r>
          <w:fldChar w:fldCharType="begin"/>
        </w:r>
        <w:r>
          <w:instrText xml:space="preserve"> PAGEREF rot_Tabla_8_4 \h </w:instrText>
        </w:r>
        <w:r>
          <w:fldChar w:fldCharType="separate"/>
        </w:r>
        <w:r>
          <w:t>501</w:t>
        </w:r>
        <w:r>
          <w:fldChar w:fldCharType="end"/>
        </w:r>
      </w:hyperlink>
    </w:p>
    <w:p>
      <w:pPr>
        <w:pStyle w:val="Indice"/>
        <w:tabs>
          <w:tab w:val="right" w:leader="dot" w:pos="9974"/>
        </w:tabs>
        <w:spacing w:before="40" w:after="40"/>
        <w:ind w:left="1134" w:hanging="1134"/>
      </w:pPr>
      <w:hyperlink w:anchor="rot_Tabla_8_5" w:history="1">
        <w:r>
          <w:t xml:space="preserve">Tabla 8.5. Presupuesto de equipos y software</w:t>
        </w:r>
        <w:r>
          <w:tab/>
        </w:r>
        <w:r>
          <w:fldChar w:fldCharType="begin"/>
        </w:r>
        <w:r>
          <w:instrText xml:space="preserve"> PAGEREF rot_Tabla_8_5 \h </w:instrText>
        </w:r>
        <w:r>
          <w:fldChar w:fldCharType="separate"/>
        </w:r>
        <w:r>
          <w:t>502</w:t>
        </w:r>
        <w:r>
          <w:fldChar w:fldCharType="end"/>
        </w:r>
      </w:hyperlink>
    </w:p>
    <w:p>
      <w:pPr>
        <w:pStyle w:val="Indice"/>
        <w:tabs>
          <w:tab w:val="right" w:leader="dot" w:pos="9974"/>
        </w:tabs>
        <w:spacing w:before="40" w:after="40"/>
        <w:ind w:left="1134" w:hanging="1134"/>
      </w:pPr>
      <w:hyperlink w:anchor="rot_Tabla_8_6" w:history="1">
        <w:r>
          <w:t xml:space="preserve">Tabla 8.6. Compras de nodos, gateways y cabezales por tramo y compuerta que las libera</w:t>
        </w:r>
        <w:r>
          <w:tab/>
        </w:r>
        <w:r>
          <w:fldChar w:fldCharType="begin"/>
        </w:r>
        <w:r>
          <w:instrText xml:space="preserve"> PAGEREF rot_Tabla_8_6 \h </w:instrText>
        </w:r>
        <w:r>
          <w:fldChar w:fldCharType="separate"/>
        </w:r>
        <w:r>
          <w:t>503</w:t>
        </w:r>
        <w:r>
          <w:fldChar w:fldCharType="end"/>
        </w:r>
      </w:hyperlink>
    </w:p>
    <w:p>
      <w:pPr>
        <w:pStyle w:val="Indice"/>
        <w:tabs>
          <w:tab w:val="right" w:leader="dot" w:pos="9974"/>
        </w:tabs>
        <w:spacing w:before="40" w:after="40"/>
        <w:ind w:left="1134" w:hanging="1134"/>
      </w:pPr>
      <w:hyperlink w:anchor="rot_Tabla_8_7" w:history="1">
        <w:r>
          <w:t xml:space="preserve">Tabla 8.7. Presupuesto de materiales e insumos</w:t>
        </w:r>
        <w:r>
          <w:tab/>
        </w:r>
        <w:r>
          <w:fldChar w:fldCharType="begin"/>
        </w:r>
        <w:r>
          <w:instrText xml:space="preserve"> PAGEREF rot_Tabla_8_7 \h </w:instrText>
        </w:r>
        <w:r>
          <w:fldChar w:fldCharType="separate"/>
        </w:r>
        <w:r>
          <w:t>504</w:t>
        </w:r>
        <w:r>
          <w:fldChar w:fldCharType="end"/>
        </w:r>
      </w:hyperlink>
    </w:p>
    <w:p>
      <w:pPr>
        <w:pStyle w:val="Indice"/>
        <w:tabs>
          <w:tab w:val="right" w:leader="dot" w:pos="9974"/>
        </w:tabs>
        <w:spacing w:before="40" w:after="40"/>
        <w:ind w:left="1134" w:hanging="1134"/>
      </w:pPr>
      <w:hyperlink w:anchor="rot_Tabla_8_8" w:history="1">
        <w:r>
          <w:t xml:space="preserve">Tabla 8.8. Presupuesto de servicios técnicos</w:t>
        </w:r>
        <w:r>
          <w:tab/>
        </w:r>
        <w:r>
          <w:fldChar w:fldCharType="begin"/>
        </w:r>
        <w:r>
          <w:instrText xml:space="preserve"> PAGEREF rot_Tabla_8_8 \h </w:instrText>
        </w:r>
        <w:r>
          <w:fldChar w:fldCharType="separate"/>
        </w:r>
        <w:r>
          <w:t>506</w:t>
        </w:r>
        <w:r>
          <w:fldChar w:fldCharType="end"/>
        </w:r>
      </w:hyperlink>
    </w:p>
    <w:p>
      <w:pPr>
        <w:pStyle w:val="Indice"/>
        <w:tabs>
          <w:tab w:val="right" w:leader="dot" w:pos="9974"/>
        </w:tabs>
        <w:spacing w:before="40" w:after="40"/>
        <w:ind w:left="1134" w:hanging="1134"/>
      </w:pPr>
      <w:hyperlink w:anchor="rot_Tabla_8_9" w:history="1">
        <w:r>
          <w:t xml:space="preserve">Tabla 8.9. Presupuesto de viajes y viáticos</w:t>
        </w:r>
        <w:r>
          <w:tab/>
        </w:r>
        <w:r>
          <w:fldChar w:fldCharType="begin"/>
        </w:r>
        <w:r>
          <w:instrText xml:space="preserve"> PAGEREF rot_Tabla_8_9 \h </w:instrText>
        </w:r>
        <w:r>
          <w:fldChar w:fldCharType="separate"/>
        </w:r>
        <w:r>
          <w:t>507</w:t>
        </w:r>
        <w:r>
          <w:fldChar w:fldCharType="end"/>
        </w:r>
      </w:hyperlink>
    </w:p>
    <w:p>
      <w:pPr>
        <w:pStyle w:val="Indice"/>
        <w:tabs>
          <w:tab w:val="right" w:leader="dot" w:pos="9974"/>
        </w:tabs>
        <w:spacing w:before="40" w:after="40"/>
        <w:ind w:left="1134" w:hanging="1134"/>
      </w:pPr>
      <w:hyperlink w:anchor="rot_Tabla_8_10" w:history="1">
        <w:r>
          <w:t xml:space="preserve">Tabla 8.10. Presupuesto de otros rubros</w:t>
        </w:r>
        <w:r>
          <w:tab/>
        </w:r>
        <w:r>
          <w:fldChar w:fldCharType="begin"/>
        </w:r>
        <w:r>
          <w:instrText xml:space="preserve"> PAGEREF rot_Tabla_8_10 \h </w:instrText>
        </w:r>
        <w:r>
          <w:fldChar w:fldCharType="separate"/>
        </w:r>
        <w:r>
          <w:t>509</w:t>
        </w:r>
        <w:r>
          <w:fldChar w:fldCharType="end"/>
        </w:r>
      </w:hyperlink>
    </w:p>
    <w:p>
      <w:pPr>
        <w:pStyle w:val="Indice"/>
        <w:tabs>
          <w:tab w:val="right" w:leader="dot" w:pos="9974"/>
        </w:tabs>
        <w:spacing w:before="40" w:after="40"/>
        <w:ind w:left="1134" w:hanging="1134"/>
      </w:pPr>
      <w:hyperlink w:anchor="rot_Tabla_8_11" w:history="1">
        <w:r>
          <w:t xml:space="preserve">Tabla 8.11. Flujo de caja trimestral del SGR y de la contrapartida</w:t>
        </w:r>
        <w:r>
          <w:tab/>
        </w:r>
        <w:r>
          <w:fldChar w:fldCharType="begin"/>
        </w:r>
        <w:r>
          <w:instrText xml:space="preserve"> PAGEREF rot_Tabla_8_11 \h </w:instrText>
        </w:r>
        <w:r>
          <w:fldChar w:fldCharType="separate"/>
        </w:r>
        <w:r>
          <w:t>510</w:t>
        </w:r>
        <w:r>
          <w:fldChar w:fldCharType="end"/>
        </w:r>
      </w:hyperlink>
    </w:p>
    <w:p>
      <w:pPr>
        <w:pStyle w:val="Indice"/>
        <w:tabs>
          <w:tab w:val="right" w:leader="dot" w:pos="9974"/>
        </w:tabs>
        <w:spacing w:before="40" w:after="40"/>
        <w:ind w:left="1134" w:hanging="1134"/>
      </w:pPr>
      <w:hyperlink w:anchor="rot_Tabla_8_12" w:history="1">
        <w:r>
          <w:t xml:space="preserve">Tabla 8.12. Hitos de desembolso del SGR y condición de liberación</w:t>
        </w:r>
        <w:r>
          <w:tab/>
        </w:r>
        <w:r>
          <w:fldChar w:fldCharType="begin"/>
        </w:r>
        <w:r>
          <w:instrText xml:space="preserve"> PAGEREF rot_Tabla_8_12 \h </w:instrText>
        </w:r>
        <w:r>
          <w:fldChar w:fldCharType="separate"/>
        </w:r>
        <w:r>
          <w:t>512</w:t>
        </w:r>
        <w:r>
          <w:fldChar w:fldCharType="end"/>
        </w:r>
      </w:hyperlink>
    </w:p>
    <w:p>
      <w:pPr>
        <w:pStyle w:val="Indice"/>
        <w:tabs>
          <w:tab w:val="right" w:leader="dot" w:pos="9974"/>
        </w:tabs>
        <w:spacing w:before="40" w:after="40"/>
        <w:ind w:left="1134" w:hanging="1134"/>
      </w:pPr>
      <w:hyperlink w:anchor="rot_Tabla_9_1" w:history="1">
        <w:r>
          <w:t xml:space="preserve">Tabla 9.1. Matriz de hitos y entregables con criterio de verificación</w:t>
        </w:r>
        <w:r>
          <w:tab/>
        </w:r>
        <w:r>
          <w:fldChar w:fldCharType="begin"/>
        </w:r>
        <w:r>
          <w:instrText xml:space="preserve"> PAGEREF rot_Tabla_9_1 \h </w:instrText>
        </w:r>
        <w:r>
          <w:fldChar w:fldCharType="separate"/>
        </w:r>
        <w:r>
          <w:t>515</w:t>
        </w:r>
        <w:r>
          <w:fldChar w:fldCharType="end"/>
        </w:r>
      </w:hyperlink>
    </w:p>
    <w:p>
      <w:pPr>
        <w:pStyle w:val="Indice"/>
        <w:tabs>
          <w:tab w:val="right" w:leader="dot" w:pos="9974"/>
        </w:tabs>
        <w:spacing w:before="40" w:after="40"/>
        <w:ind w:left="1134" w:hanging="1134"/>
      </w:pPr>
      <w:hyperlink w:anchor="rot_Tabla_9_2" w:history="1">
        <w:r>
          <w:t xml:space="preserve">Tabla 9.2. Calendario de entregas e informes del proyecto</w:t>
        </w:r>
        <w:r>
          <w:tab/>
        </w:r>
        <w:r>
          <w:fldChar w:fldCharType="begin"/>
        </w:r>
        <w:r>
          <w:instrText xml:space="preserve"> PAGEREF rot_Tabla_9_2 \h </w:instrText>
        </w:r>
        <w:r>
          <w:fldChar w:fldCharType="separate"/>
        </w:r>
        <w:r>
          <w:t>517</w:t>
        </w:r>
        <w:r>
          <w:fldChar w:fldCharType="end"/>
        </w:r>
      </w:hyperlink>
    </w:p>
    <w:p>
      <w:pPr>
        <w:pStyle w:val="Indice"/>
        <w:tabs>
          <w:tab w:val="right" w:leader="dot" w:pos="9974"/>
        </w:tabs>
        <w:spacing w:before="40" w:after="40"/>
        <w:ind w:left="1134" w:hanging="1134"/>
      </w:pPr>
      <w:hyperlink w:anchor="rot_Tabla_9_3" w:history="1">
        <w:r>
          <w:t xml:space="preserve">Tabla 9.3. Análisis de ruta crítica por actividad</w:t>
        </w:r>
        <w:r>
          <w:tab/>
        </w:r>
        <w:r>
          <w:fldChar w:fldCharType="begin"/>
        </w:r>
        <w:r>
          <w:instrText xml:space="preserve"> PAGEREF rot_Tabla_9_3 \h </w:instrText>
        </w:r>
        <w:r>
          <w:fldChar w:fldCharType="separate"/>
        </w:r>
        <w:r>
          <w:t>518</w:t>
        </w:r>
        <w:r>
          <w:fldChar w:fldCharType="end"/>
        </w:r>
      </w:hyperlink>
    </w:p>
    <w:p>
      <w:pPr>
        <w:pStyle w:val="Indice"/>
        <w:tabs>
          <w:tab w:val="right" w:leader="dot" w:pos="9974"/>
        </w:tabs>
        <w:spacing w:before="40" w:after="40"/>
        <w:ind w:left="1134" w:hanging="1134"/>
      </w:pPr>
      <w:hyperlink w:anchor="rot_Tabla_10_1" w:history="1">
        <w:r>
          <w:t xml:space="preserve">Tabla 10.1. Registro de riesgos identificados con variable causal y disparador</w:t>
        </w:r>
        <w:r>
          <w:tab/>
        </w:r>
        <w:r>
          <w:fldChar w:fldCharType="begin"/>
        </w:r>
        <w:r>
          <w:instrText xml:space="preserve"> PAGEREF rot_Tabla_10_1 \h </w:instrText>
        </w:r>
        <w:r>
          <w:fldChar w:fldCharType="separate"/>
        </w:r>
        <w:r>
          <w:t>521</w:t>
        </w:r>
        <w:r>
          <w:fldChar w:fldCharType="end"/>
        </w:r>
      </w:hyperlink>
    </w:p>
    <w:p>
      <w:pPr>
        <w:pStyle w:val="Indice"/>
        <w:tabs>
          <w:tab w:val="right" w:leader="dot" w:pos="9974"/>
        </w:tabs>
        <w:spacing w:before="40" w:after="40"/>
        <w:ind w:left="1134" w:hanging="1134"/>
      </w:pPr>
      <w:hyperlink w:anchor="rot_Tabla_10_2" w:history="1">
        <w:r>
          <w:t xml:space="preserve">Tabla 10.2. Matriz de probabilidad e impacto con los riesgos ubicados</w:t>
        </w:r>
        <w:r>
          <w:tab/>
        </w:r>
        <w:r>
          <w:fldChar w:fldCharType="begin"/>
        </w:r>
        <w:r>
          <w:instrText xml:space="preserve"> PAGEREF rot_Tabla_10_2 \h </w:instrText>
        </w:r>
        <w:r>
          <w:fldChar w:fldCharType="separate"/>
        </w:r>
        <w:r>
          <w:t>523</w:t>
        </w:r>
        <w:r>
          <w:fldChar w:fldCharType="end"/>
        </w:r>
      </w:hyperlink>
    </w:p>
    <w:p>
      <w:pPr>
        <w:pStyle w:val="Indice"/>
        <w:tabs>
          <w:tab w:val="right" w:leader="dot" w:pos="9974"/>
        </w:tabs>
        <w:spacing w:before="40" w:after="40"/>
        <w:ind w:left="1134" w:hanging="1134"/>
      </w:pPr>
      <w:hyperlink w:anchor="rot_Tabla_10_3" w:history="1">
        <w:r>
          <w:t xml:space="preserve">Tabla 10.3. Análisis cuantitativo de los riesgos por valor monetario esperado</w:t>
        </w:r>
        <w:r>
          <w:tab/>
        </w:r>
        <w:r>
          <w:fldChar w:fldCharType="begin"/>
        </w:r>
        <w:r>
          <w:instrText xml:space="preserve"> PAGEREF rot_Tabla_10_3 \h </w:instrText>
        </w:r>
        <w:r>
          <w:fldChar w:fldCharType="separate"/>
        </w:r>
        <w:r>
          <w:t>525</w:t>
        </w:r>
        <w:r>
          <w:fldChar w:fldCharType="end"/>
        </w:r>
      </w:hyperlink>
    </w:p>
    <w:p>
      <w:pPr>
        <w:pStyle w:val="Indice"/>
        <w:tabs>
          <w:tab w:val="right" w:leader="dot" w:pos="9974"/>
        </w:tabs>
        <w:spacing w:before="40" w:after="40"/>
        <w:ind w:left="1134" w:hanging="1134"/>
      </w:pPr>
      <w:hyperlink w:anchor="rot_Tabla_10_4" w:history="1">
        <w:r>
          <w:t xml:space="preserve">Tabla 10.4. Distribución de la pérdida total por riesgos bajo independencia, en millones de COP</w:t>
        </w:r>
        <w:r>
          <w:tab/>
        </w:r>
        <w:r>
          <w:fldChar w:fldCharType="begin"/>
        </w:r>
        <w:r>
          <w:instrText xml:space="preserve"> PAGEREF rot_Tabla_10_4 \h </w:instrText>
        </w:r>
        <w:r>
          <w:fldChar w:fldCharType="separate"/>
        </w:r>
        <w:r>
          <w:t>526</w:t>
        </w:r>
        <w:r>
          <w:fldChar w:fldCharType="end"/>
        </w:r>
      </w:hyperlink>
    </w:p>
    <w:p>
      <w:pPr>
        <w:pStyle w:val="Indice"/>
        <w:tabs>
          <w:tab w:val="right" w:leader="dot" w:pos="9974"/>
        </w:tabs>
        <w:spacing w:before="40" w:after="40"/>
        <w:ind w:left="1134" w:hanging="1134"/>
      </w:pPr>
      <w:hyperlink w:anchor="rot_Tabla_10_5" w:history="1">
        <w:r>
          <w:t xml:space="preserve">Tabla 10.5. Plan de respuesta a riesgos con responsable, disparador y reserva asignada</w:t>
        </w:r>
        <w:r>
          <w:tab/>
        </w:r>
        <w:r>
          <w:fldChar w:fldCharType="begin"/>
        </w:r>
        <w:r>
          <w:instrText xml:space="preserve"> PAGEREF rot_Tabla_10_5 \h </w:instrText>
        </w:r>
        <w:r>
          <w:fldChar w:fldCharType="separate"/>
        </w:r>
        <w:r>
          <w:t>527</w:t>
        </w:r>
        <w:r>
          <w:fldChar w:fldCharType="end"/>
        </w:r>
      </w:hyperlink>
    </w:p>
    <w:p>
      <w:pPr>
        <w:pStyle w:val="Indice"/>
        <w:tabs>
          <w:tab w:val="right" w:leader="dot" w:pos="9974"/>
        </w:tabs>
        <w:spacing w:before="40" w:after="40"/>
        <w:ind w:left="1134" w:hanging="1134"/>
      </w:pPr>
      <w:hyperlink w:anchor="rot_Tabla_10_6" w:history="1">
        <w:r>
          <w:t xml:space="preserve">Tabla 10.6. Lista de verificación de alineación estratégica por hito</w:t>
        </w:r>
        <w:r>
          <w:tab/>
        </w:r>
        <w:r>
          <w:fldChar w:fldCharType="begin"/>
        </w:r>
        <w:r>
          <w:instrText xml:space="preserve"> PAGEREF rot_Tabla_10_6 \h </w:instrText>
        </w:r>
        <w:r>
          <w:fldChar w:fldCharType="separate"/>
        </w:r>
        <w:r>
          <w:t>530</w:t>
        </w:r>
        <w:r>
          <w:fldChar w:fldCharType="end"/>
        </w:r>
      </w:hyperlink>
    </w:p>
    <w:p>
      <w:pPr>
        <w:pStyle w:val="Indice"/>
        <w:tabs>
          <w:tab w:val="right" w:leader="dot" w:pos="9974"/>
        </w:tabs>
        <w:spacing w:before="40" w:after="40"/>
        <w:ind w:left="1134" w:hanging="1134"/>
      </w:pPr>
      <w:hyperlink w:anchor="rot_Tabla_11_1" w:history="1">
        <w:r>
          <w:t xml:space="preserve">Tabla 11.1. Matriz de productos de nuevo conocimiento</w:t>
        </w:r>
        <w:r>
          <w:tab/>
        </w:r>
        <w:r>
          <w:fldChar w:fldCharType="begin"/>
        </w:r>
        <w:r>
          <w:instrText xml:space="preserve"> PAGEREF rot_Tabla_11_1 \h </w:instrText>
        </w:r>
        <w:r>
          <w:fldChar w:fldCharType="separate"/>
        </w:r>
        <w:r>
          <w:t>534</w:t>
        </w:r>
        <w:r>
          <w:fldChar w:fldCharType="end"/>
        </w:r>
      </w:hyperlink>
    </w:p>
    <w:p>
      <w:pPr>
        <w:pStyle w:val="Indice"/>
        <w:tabs>
          <w:tab w:val="right" w:leader="dot" w:pos="9974"/>
        </w:tabs>
        <w:spacing w:before="40" w:after="40"/>
        <w:ind w:left="1134" w:hanging="1134"/>
      </w:pPr>
      <w:hyperlink w:anchor="rot_Tabla_11_2" w:history="1">
        <w:r>
          <w:t xml:space="preserve">Tabla 11.2. Matriz de productos tecnológicos</w:t>
        </w:r>
        <w:r>
          <w:tab/>
        </w:r>
        <w:r>
          <w:fldChar w:fldCharType="begin"/>
        </w:r>
        <w:r>
          <w:instrText xml:space="preserve"> PAGEREF rot_Tabla_11_2 \h </w:instrText>
        </w:r>
        <w:r>
          <w:fldChar w:fldCharType="separate"/>
        </w:r>
        <w:r>
          <w:t>536</w:t>
        </w:r>
        <w:r>
          <w:fldChar w:fldCharType="end"/>
        </w:r>
      </w:hyperlink>
    </w:p>
    <w:p>
      <w:pPr>
        <w:pStyle w:val="Indice"/>
        <w:tabs>
          <w:tab w:val="right" w:leader="dot" w:pos="9974"/>
        </w:tabs>
        <w:spacing w:before="40" w:after="40"/>
        <w:ind w:left="1134" w:hanging="1134"/>
      </w:pPr>
      <w:hyperlink w:anchor="rot_Tabla_11_3" w:history="1">
        <w:r>
          <w:t xml:space="preserve">Tabla 11.3. Matriz de productos de apropiación</w:t>
        </w:r>
        <w:r>
          <w:tab/>
        </w:r>
        <w:r>
          <w:fldChar w:fldCharType="begin"/>
        </w:r>
        <w:r>
          <w:instrText xml:space="preserve"> PAGEREF rot_Tabla_11_3 \h </w:instrText>
        </w:r>
        <w:r>
          <w:fldChar w:fldCharType="separate"/>
        </w:r>
        <w:r>
          <w:t>538</w:t>
        </w:r>
        <w:r>
          <w:fldChar w:fldCharType="end"/>
        </w:r>
      </w:hyperlink>
    </w:p>
    <w:p>
      <w:pPr>
        <w:pStyle w:val="Indice"/>
        <w:tabs>
          <w:tab w:val="right" w:leader="dot" w:pos="9974"/>
        </w:tabs>
        <w:spacing w:before="40" w:after="40"/>
        <w:ind w:left="1134" w:hanging="1134"/>
      </w:pPr>
      <w:hyperlink w:anchor="rot_Tabla_11_4" w:history="1">
        <w:r>
          <w:t xml:space="preserve">Tabla 11.4. Matriz de formación de talento humano</w:t>
        </w:r>
        <w:r>
          <w:tab/>
        </w:r>
        <w:r>
          <w:fldChar w:fldCharType="begin"/>
        </w:r>
        <w:r>
          <w:instrText xml:space="preserve"> PAGEREF rot_Tabla_11_4 \h </w:instrText>
        </w:r>
        <w:r>
          <w:fldChar w:fldCharType="separate"/>
        </w:r>
        <w:r>
          <w:t>539</w:t>
        </w:r>
        <w:r>
          <w:fldChar w:fldCharType="end"/>
        </w:r>
      </w:hyperlink>
    </w:p>
    <w:p>
      <w:pPr>
        <w:pStyle w:val="Indice"/>
        <w:tabs>
          <w:tab w:val="right" w:leader="dot" w:pos="9974"/>
        </w:tabs>
        <w:spacing w:before="40" w:after="40"/>
        <w:ind w:left="1134" w:hanging="1134"/>
      </w:pPr>
      <w:hyperlink w:anchor="rot_Tabla_11_5" w:history="1">
        <w:r>
          <w:t xml:space="preserve">Tabla 11.5. Clasificación propuesta de los productos según la tipología MMG</w:t>
        </w:r>
        <w:r>
          <w:tab/>
        </w:r>
        <w:r>
          <w:fldChar w:fldCharType="begin"/>
        </w:r>
        <w:r>
          <w:instrText xml:space="preserve"> PAGEREF rot_Tabla_11_5 \h </w:instrText>
        </w:r>
        <w:r>
          <w:fldChar w:fldCharType="separate"/>
        </w:r>
        <w:r>
          <w:t>542</w:t>
        </w:r>
        <w:r>
          <w:fldChar w:fldCharType="end"/>
        </w:r>
      </w:hyperlink>
    </w:p>
    <w:p>
      <w:pPr>
        <w:pStyle w:val="Indice"/>
        <w:tabs>
          <w:tab w:val="right" w:leader="dot" w:pos="9974"/>
        </w:tabs>
        <w:spacing w:before="40" w:after="40"/>
        <w:ind w:left="1134" w:hanging="1134"/>
      </w:pPr>
      <w:hyperlink w:anchor="rot_Tabla_12_1" w:history="1">
        <w:r>
          <w:t xml:space="preserve">Tabla 12.1. Mapeo de los 15 indicadores PERS con la taxonomía MinCiencias, el marco lógico y el criterio SGR</w:t>
        </w:r>
        <w:r>
          <w:tab/>
        </w:r>
        <w:r>
          <w:fldChar w:fldCharType="begin"/>
        </w:r>
        <w:r>
          <w:instrText xml:space="preserve"> PAGEREF rot_Tabla_12_1 \h </w:instrText>
        </w:r>
        <w:r>
          <w:fldChar w:fldCharType="separate"/>
        </w:r>
        <w:r>
          <w:t>543</w:t>
        </w:r>
        <w:r>
          <w:fldChar w:fldCharType="end"/>
        </w:r>
      </w:hyperlink>
    </w:p>
    <w:p>
      <w:pPr>
        <w:pStyle w:val="Indice"/>
        <w:tabs>
          <w:tab w:val="right" w:leader="dot" w:pos="9974"/>
        </w:tabs>
        <w:spacing w:before="40" w:after="40"/>
        <w:ind w:left="1134" w:hanging="1134"/>
      </w:pPr>
      <w:hyperlink w:anchor="rot_Tabla_12_2" w:history="1">
        <w:r>
          <w:t xml:space="preserve">Tabla 12.2. Ficha técnica PERS-R01 con clasificación Output de gestión: Cumplimiento del despliegue por tramo</w:t>
        </w:r>
        <w:r>
          <w:tab/>
        </w:r>
        <w:r>
          <w:fldChar w:fldCharType="begin"/>
        </w:r>
        <w:r>
          <w:instrText xml:space="preserve"> PAGEREF rot_Tabla_12_2 \h </w:instrText>
        </w:r>
        <w:r>
          <w:fldChar w:fldCharType="separate"/>
        </w:r>
        <w:r>
          <w:t>547</w:t>
        </w:r>
        <w:r>
          <w:fldChar w:fldCharType="end"/>
        </w:r>
      </w:hyperlink>
    </w:p>
    <w:p>
      <w:pPr>
        <w:pStyle w:val="Indice"/>
        <w:tabs>
          <w:tab w:val="right" w:leader="dot" w:pos="9974"/>
        </w:tabs>
        <w:spacing w:before="40" w:after="40"/>
        <w:ind w:left="1134" w:hanging="1134"/>
      </w:pPr>
      <w:hyperlink w:anchor="rot_Tabla_12_3" w:history="1">
        <w:r>
          <w:t xml:space="preserve">Tabla 12.3. Ficha técnica PERS-R02 con clasificación Output de gestión: Ciclos de calibración ejecutados</w:t>
        </w:r>
        <w:r>
          <w:tab/>
        </w:r>
        <w:r>
          <w:fldChar w:fldCharType="begin"/>
        </w:r>
        <w:r>
          <w:instrText xml:space="preserve"> PAGEREF rot_Tabla_12_3 \h </w:instrText>
        </w:r>
        <w:r>
          <w:fldChar w:fldCharType="separate"/>
        </w:r>
        <w:r>
          <w:t>549</w:t>
        </w:r>
        <w:r>
          <w:fldChar w:fldCharType="end"/>
        </w:r>
      </w:hyperlink>
    </w:p>
    <w:p>
      <w:pPr>
        <w:pStyle w:val="Indice"/>
        <w:tabs>
          <w:tab w:val="right" w:leader="dot" w:pos="9974"/>
        </w:tabs>
        <w:spacing w:before="40" w:after="40"/>
        <w:ind w:left="1134" w:hanging="1134"/>
      </w:pPr>
      <w:hyperlink w:anchor="rot_Tabla_12_4" w:history="1">
        <w:r>
          <w:t xml:space="preserve">Tabla 12.4. Ficha técnica PERS-R03 con clasificación Output de gestión: Disponibilidad de la plataforma en la nube</w:t>
        </w:r>
        <w:r>
          <w:tab/>
        </w:r>
        <w:r>
          <w:fldChar w:fldCharType="begin"/>
        </w:r>
        <w:r>
          <w:instrText xml:space="preserve"> PAGEREF rot_Tabla_12_4 \h </w:instrText>
        </w:r>
        <w:r>
          <w:fldChar w:fldCharType="separate"/>
        </w:r>
        <w:r>
          <w:t>552</w:t>
        </w:r>
        <w:r>
          <w:fldChar w:fldCharType="end"/>
        </w:r>
      </w:hyperlink>
    </w:p>
    <w:p>
      <w:pPr>
        <w:pStyle w:val="Indice"/>
        <w:tabs>
          <w:tab w:val="right" w:leader="dot" w:pos="9974"/>
        </w:tabs>
        <w:spacing w:before="40" w:after="40"/>
        <w:ind w:left="1134" w:hanging="1134"/>
      </w:pPr>
      <w:hyperlink w:anchor="rot_Tabla_12_5" w:history="1">
        <w:r>
          <w:t xml:space="preserve">Tabla 12.5. Ficha técnica PERS-R04 con clasificación Output de gestión: Desviación de la ejecución presupuestal</w:t>
        </w:r>
        <w:r>
          <w:tab/>
        </w:r>
        <w:r>
          <w:fldChar w:fldCharType="begin"/>
        </w:r>
        <w:r>
          <w:instrText xml:space="preserve"> PAGEREF rot_Tabla_12_5 \h </w:instrText>
        </w:r>
        <w:r>
          <w:fldChar w:fldCharType="separate"/>
        </w:r>
        <w:r>
          <w:t>554</w:t>
        </w:r>
        <w:r>
          <w:fldChar w:fldCharType="end"/>
        </w:r>
      </w:hyperlink>
    </w:p>
    <w:p>
      <w:pPr>
        <w:pStyle w:val="Indice"/>
        <w:tabs>
          <w:tab w:val="right" w:leader="dot" w:pos="9974"/>
        </w:tabs>
        <w:spacing w:before="40" w:after="40"/>
        <w:ind w:left="1134" w:hanging="1134"/>
      </w:pPr>
      <w:hyperlink w:anchor="rot_Tabla_12_6" w:history="1">
        <w:r>
          <w:t xml:space="preserve">Tabla 12.6. Ficha técnica PERS-R05 con clasificación Output de gestión: Horas-nodo de colocalización válidas</w:t>
        </w:r>
        <w:r>
          <w:tab/>
        </w:r>
        <w:r>
          <w:fldChar w:fldCharType="begin"/>
        </w:r>
        <w:r>
          <w:instrText xml:space="preserve"> PAGEREF rot_Tabla_12_6 \h </w:instrText>
        </w:r>
        <w:r>
          <w:fldChar w:fldCharType="separate"/>
        </w:r>
        <w:r>
          <w:t>556</w:t>
        </w:r>
        <w:r>
          <w:fldChar w:fldCharType="end"/>
        </w:r>
      </w:hyperlink>
    </w:p>
    <w:p>
      <w:pPr>
        <w:pStyle w:val="Indice"/>
        <w:tabs>
          <w:tab w:val="right" w:leader="dot" w:pos="9974"/>
        </w:tabs>
        <w:spacing w:before="40" w:after="40"/>
        <w:ind w:left="1134" w:hanging="1134"/>
      </w:pPr>
      <w:hyperlink w:anchor="rot_Tabla_12_7" w:history="1">
        <w:r>
          <w:t xml:space="preserve">Tabla 12.7. Ficha técnica PERS-R06 con clasificación Output de gestión: Cumplimiento de informes de seguimiento</w:t>
        </w:r>
        <w:r>
          <w:tab/>
        </w:r>
        <w:r>
          <w:fldChar w:fldCharType="begin"/>
        </w:r>
        <w:r>
          <w:instrText xml:space="preserve"> PAGEREF rot_Tabla_12_7 \h </w:instrText>
        </w:r>
        <w:r>
          <w:fldChar w:fldCharType="separate"/>
        </w:r>
        <w:r>
          <w:t>559</w:t>
        </w:r>
        <w:r>
          <w:fldChar w:fldCharType="end"/>
        </w:r>
      </w:hyperlink>
    </w:p>
    <w:p>
      <w:pPr>
        <w:pStyle w:val="Indice"/>
        <w:tabs>
          <w:tab w:val="right" w:leader="dot" w:pos="9974"/>
        </w:tabs>
        <w:spacing w:before="40" w:after="40"/>
        <w:ind w:left="1134" w:hanging="1134"/>
      </w:pPr>
      <w:hyperlink w:anchor="rot_Tabla_12_8" w:history="1">
        <w:r>
          <w:t xml:space="preserve">Tabla 12.8. Ficha técnica PERS-P01 con tipo MMG 2021 y clasificación Output: Red de 100 nodos y 10 gateways operativa</w:t>
        </w:r>
        <w:r>
          <w:tab/>
        </w:r>
        <w:r>
          <w:fldChar w:fldCharType="begin"/>
        </w:r>
        <w:r>
          <w:instrText xml:space="preserve"> PAGEREF rot_Tabla_12_8 \h </w:instrText>
        </w:r>
        <w:r>
          <w:fldChar w:fldCharType="separate"/>
        </w:r>
        <w:r>
          <w:t>562</w:t>
        </w:r>
        <w:r>
          <w:fldChar w:fldCharType="end"/>
        </w:r>
      </w:hyperlink>
    </w:p>
    <w:p>
      <w:pPr>
        <w:pStyle w:val="Indice"/>
        <w:tabs>
          <w:tab w:val="right" w:leader="dot" w:pos="9974"/>
        </w:tabs>
        <w:spacing w:before="40" w:after="40"/>
        <w:ind w:left="1134" w:hanging="1134"/>
      </w:pPr>
      <w:hyperlink w:anchor="rot_Tabla_12_9" w:history="1">
        <w:r>
          <w:t xml:space="preserve">Tabla 12.9. Ficha técnica PERS-P02 con tipo MMG 2021 y clasificación Output: Software de corrección y gemelo digital registrado</w:t>
        </w:r>
        <w:r>
          <w:tab/>
        </w:r>
        <w:r>
          <w:fldChar w:fldCharType="begin"/>
        </w:r>
        <w:r>
          <w:instrText xml:space="preserve"> PAGEREF rot_Tabla_12_9 \h </w:instrText>
        </w:r>
        <w:r>
          <w:fldChar w:fldCharType="separate"/>
        </w:r>
        <w:r>
          <w:t>564</w:t>
        </w:r>
        <w:r>
          <w:fldChar w:fldCharType="end"/>
        </w:r>
      </w:hyperlink>
    </w:p>
    <w:p>
      <w:pPr>
        <w:pStyle w:val="Indice"/>
        <w:tabs>
          <w:tab w:val="right" w:leader="dot" w:pos="9974"/>
        </w:tabs>
        <w:spacing w:before="40" w:after="40"/>
        <w:ind w:left="1134" w:hanging="1134"/>
      </w:pPr>
      <w:hyperlink w:anchor="rot_Tabla_12_10" w:history="1">
        <w:r>
          <w:t xml:space="preserve">Tabla 12.10. Ficha técnica PERS-P03 con tipo MMG 2021 y clasificación Output: Artículos científicos en revistas Q1 o Q2</w:t>
        </w:r>
        <w:r>
          <w:tab/>
        </w:r>
        <w:r>
          <w:fldChar w:fldCharType="begin"/>
        </w:r>
        <w:r>
          <w:instrText xml:space="preserve"> PAGEREF rot_Tabla_12_10 \h </w:instrText>
        </w:r>
        <w:r>
          <w:fldChar w:fldCharType="separate"/>
        </w:r>
        <w:r>
          <w:t>566</w:t>
        </w:r>
        <w:r>
          <w:fldChar w:fldCharType="end"/>
        </w:r>
      </w:hyperlink>
    </w:p>
    <w:p>
      <w:pPr>
        <w:pStyle w:val="Indice"/>
        <w:tabs>
          <w:tab w:val="right" w:leader="dot" w:pos="9974"/>
        </w:tabs>
        <w:spacing w:before="40" w:after="40"/>
        <w:ind w:left="1134" w:hanging="1134"/>
      </w:pPr>
      <w:hyperlink w:anchor="rot_Tabla_12_11" w:history="1">
        <w:r>
          <w:t xml:space="preserve">Tabla 12.11. Ficha técnica PERS-P04 con tipo MMG 2021 y clasificación Output: Actividades de apropiación social documentadas</w:t>
        </w:r>
        <w:r>
          <w:tab/>
        </w:r>
        <w:r>
          <w:fldChar w:fldCharType="begin"/>
        </w:r>
        <w:r>
          <w:instrText xml:space="preserve"> PAGEREF rot_Tabla_12_11 \h </w:instrText>
        </w:r>
        <w:r>
          <w:fldChar w:fldCharType="separate"/>
        </w:r>
        <w:r>
          <w:t>568</w:t>
        </w:r>
        <w:r>
          <w:fldChar w:fldCharType="end"/>
        </w:r>
      </w:hyperlink>
    </w:p>
    <w:p>
      <w:pPr>
        <w:pStyle w:val="Indice"/>
        <w:tabs>
          <w:tab w:val="right" w:leader="dot" w:pos="9974"/>
        </w:tabs>
        <w:spacing w:before="40" w:after="40"/>
        <w:ind w:left="1134" w:hanging="1134"/>
      </w:pPr>
      <w:hyperlink w:anchor="rot_Tabla_12_12" w:history="1">
        <w:r>
          <w:t xml:space="preserve">Tabla 12.12. Tipificación MMG 2021 de los productos PERS-P con código, denominación y criterio de verificación</w:t>
        </w:r>
        <w:r>
          <w:tab/>
        </w:r>
        <w:r>
          <w:fldChar w:fldCharType="begin"/>
        </w:r>
        <w:r>
          <w:instrText xml:space="preserve"> PAGEREF rot_Tabla_12_12 \h </w:instrText>
        </w:r>
        <w:r>
          <w:fldChar w:fldCharType="separate"/>
        </w:r>
        <w:r>
          <w:t>571</w:t>
        </w:r>
        <w:r>
          <w:fldChar w:fldCharType="end"/>
        </w:r>
      </w:hyperlink>
    </w:p>
    <w:p>
      <w:pPr>
        <w:pStyle w:val="Indice"/>
        <w:tabs>
          <w:tab w:val="right" w:leader="dot" w:pos="9974"/>
        </w:tabs>
        <w:spacing w:before="40" w:after="40"/>
        <w:ind w:left="1134" w:hanging="1134"/>
      </w:pPr>
      <w:hyperlink w:anchor="rot_Tabla_12_13" w:history="1">
        <w:r>
          <w:t xml:space="preserve">Tabla 12.13. Validación cruzada meta-recurso-cronograma para los indicadores PERS-P</w:t>
        </w:r>
        <w:r>
          <w:tab/>
        </w:r>
        <w:r>
          <w:fldChar w:fldCharType="begin"/>
        </w:r>
        <w:r>
          <w:instrText xml:space="preserve"> PAGEREF rot_Tabla_12_13 \h </w:instrText>
        </w:r>
        <w:r>
          <w:fldChar w:fldCharType="separate"/>
        </w:r>
        <w:r>
          <w:t>573</w:t>
        </w:r>
        <w:r>
          <w:fldChar w:fldCharType="end"/>
        </w:r>
      </w:hyperlink>
    </w:p>
    <w:p>
      <w:pPr>
        <w:pStyle w:val="Indice"/>
        <w:tabs>
          <w:tab w:val="right" w:leader="dot" w:pos="9974"/>
        </w:tabs>
        <w:spacing w:before="40" w:after="40"/>
        <w:ind w:left="1134" w:hanging="1134"/>
      </w:pPr>
      <w:hyperlink w:anchor="rot_Tabla_12_14" w:history="1">
        <w:r>
          <w:t xml:space="preserve">Tabla 12.14. Ficha técnica PERS-E01 con clasificación Outcome: Uso institucional del tablero y del protocolo</w:t>
        </w:r>
        <w:r>
          <w:tab/>
        </w:r>
        <w:r>
          <w:fldChar w:fldCharType="begin"/>
        </w:r>
        <w:r>
          <w:instrText xml:space="preserve"> PAGEREF rot_Tabla_12_14 \h </w:instrText>
        </w:r>
        <w:r>
          <w:fldChar w:fldCharType="separate"/>
        </w:r>
        <w:r>
          <w:t>574</w:t>
        </w:r>
        <w:r>
          <w:fldChar w:fldCharType="end"/>
        </w:r>
      </w:hyperlink>
    </w:p>
    <w:p>
      <w:pPr>
        <w:pStyle w:val="Indice"/>
        <w:tabs>
          <w:tab w:val="right" w:leader="dot" w:pos="9974"/>
        </w:tabs>
        <w:spacing w:before="40" w:after="40"/>
        <w:ind w:left="1134" w:hanging="1134"/>
      </w:pPr>
      <w:hyperlink w:anchor="rot_Tabla_12_15" w:history="1">
        <w:r>
          <w:t xml:space="preserve">Tabla 12.15. Ficha técnica PERS-E02 con clasificación Outcome: Reducción relativa de falsas alarmas</w:t>
        </w:r>
        <w:r>
          <w:tab/>
        </w:r>
        <w:r>
          <w:fldChar w:fldCharType="begin"/>
        </w:r>
        <w:r>
          <w:instrText xml:space="preserve"> PAGEREF rot_Tabla_12_15 \h </w:instrText>
        </w:r>
        <w:r>
          <w:fldChar w:fldCharType="separate"/>
        </w:r>
        <w:r>
          <w:t>577</w:t>
        </w:r>
        <w:r>
          <w:fldChar w:fldCharType="end"/>
        </w:r>
      </w:hyperlink>
    </w:p>
    <w:p>
      <w:pPr>
        <w:pStyle w:val="Indice"/>
        <w:tabs>
          <w:tab w:val="right" w:leader="dot" w:pos="9974"/>
        </w:tabs>
        <w:spacing w:before="40" w:after="40"/>
        <w:ind w:left="1134" w:hanging="1134"/>
      </w:pPr>
      <w:hyperlink w:anchor="rot_Tabla_12_16" w:history="1">
        <w:r>
          <w:t xml:space="preserve">Tabla 12.16. Ficha técnica PERS-E03 con clasificación Outcome: Capacidad instalada en custodios</w:t>
        </w:r>
        <w:r>
          <w:tab/>
        </w:r>
        <w:r>
          <w:fldChar w:fldCharType="begin"/>
        </w:r>
        <w:r>
          <w:instrText xml:space="preserve"> PAGEREF rot_Tabla_12_16 \h </w:instrText>
        </w:r>
        <w:r>
          <w:fldChar w:fldCharType="separate"/>
        </w:r>
        <w:r>
          <w:t>579</w:t>
        </w:r>
        <w:r>
          <w:fldChar w:fldCharType="end"/>
        </w:r>
      </w:hyperlink>
    </w:p>
    <w:p>
      <w:pPr>
        <w:pStyle w:val="Indice"/>
        <w:tabs>
          <w:tab w:val="right" w:leader="dot" w:pos="9974"/>
        </w:tabs>
        <w:spacing w:before="40" w:after="40"/>
        <w:ind w:left="1134" w:hanging="1134"/>
      </w:pPr>
      <w:hyperlink w:anchor="rot_Tabla_12_17" w:history="1">
        <w:r>
          <w:t xml:space="preserve">Tabla 12.17. Ficha técnica PERS-S01 con clasificación Impact y vinculación con el PDD: Activación del protocolo ante superación de umbral</w:t>
        </w:r>
        <w:r>
          <w:tab/>
        </w:r>
        <w:r>
          <w:fldChar w:fldCharType="begin"/>
        </w:r>
        <w:r>
          <w:instrText xml:space="preserve"> PAGEREF rot_Tabla_12_17 \h </w:instrText>
        </w:r>
        <w:r>
          <w:fldChar w:fldCharType="separate"/>
        </w:r>
        <w:r>
          <w:t>583</w:t>
        </w:r>
        <w:r>
          <w:fldChar w:fldCharType="end"/>
        </w:r>
      </w:hyperlink>
    </w:p>
    <w:p>
      <w:pPr>
        <w:pStyle w:val="Indice"/>
        <w:tabs>
          <w:tab w:val="right" w:leader="dot" w:pos="9974"/>
        </w:tabs>
        <w:spacing w:before="40" w:after="40"/>
        <w:ind w:left="1134" w:hanging="1134"/>
      </w:pPr>
      <w:hyperlink w:anchor="rot_Tabla_12_18" w:history="1">
        <w:r>
          <w:t xml:space="preserve">Tabla 12.18. Ficha técnica PERS-S02 con clasificación Impact y vinculación con el PDD: Continuidad de la red bajo custodia</w:t>
        </w:r>
        <w:r>
          <w:tab/>
        </w:r>
        <w:r>
          <w:fldChar w:fldCharType="begin"/>
        </w:r>
        <w:r>
          <w:instrText xml:space="preserve"> PAGEREF rot_Tabla_12_18 \h </w:instrText>
        </w:r>
        <w:r>
          <w:fldChar w:fldCharType="separate"/>
        </w:r>
        <w:r>
          <w:t>586</w:t>
        </w:r>
        <w:r>
          <w:fldChar w:fldCharType="end"/>
        </w:r>
      </w:hyperlink>
    </w:p>
    <w:p>
      <w:pPr>
        <w:pStyle w:val="Indice"/>
        <w:tabs>
          <w:tab w:val="right" w:leader="dot" w:pos="9974"/>
        </w:tabs>
        <w:spacing w:before="40" w:after="40"/>
        <w:ind w:left="1134" w:hanging="1134"/>
      </w:pPr>
      <w:hyperlink w:anchor="rot_Tabla_12_19" w:history="1">
        <w:r>
          <w:t xml:space="preserve">Tabla 12.19. Articulación de los indicadores PERS-S con el PDD: indicador del PDD, meta del PDD y contribución del proyecto</w:t>
        </w:r>
        <w:r>
          <w:tab/>
        </w:r>
        <w:r>
          <w:fldChar w:fldCharType="begin"/>
        </w:r>
        <w:r>
          <w:instrText xml:space="preserve"> PAGEREF rot_Tabla_12_19 \h </w:instrText>
        </w:r>
        <w:r>
          <w:fldChar w:fldCharType="separate"/>
        </w:r>
        <w:r>
          <w:t>589</w:t>
        </w:r>
        <w:r>
          <w:fldChar w:fldCharType="end"/>
        </w:r>
      </w:hyperlink>
    </w:p>
    <w:p>
      <w:pPr>
        <w:pStyle w:val="Indice"/>
        <w:tabs>
          <w:tab w:val="right" w:leader="dot" w:pos="9974"/>
        </w:tabs>
        <w:spacing w:before="40" w:after="40"/>
        <w:ind w:left="1134" w:hanging="1134"/>
      </w:pPr>
      <w:hyperlink w:anchor="rot_Tabla_12_20" w:history="1">
        <w:r>
          <w:t xml:space="preserve">Tabla 12.20. Dashboard de indicadores PERS: código, nombre, nivel, taxonomía, línea base, meta, frecuencia, responsable y estado</w:t>
        </w:r>
        <w:r>
          <w:tab/>
        </w:r>
        <w:r>
          <w:fldChar w:fldCharType="begin"/>
        </w:r>
        <w:r>
          <w:instrText xml:space="preserve"> PAGEREF rot_Tabla_12_20 \h </w:instrText>
        </w:r>
        <w:r>
          <w:fldChar w:fldCharType="separate"/>
        </w:r>
        <w:r>
          <w:t>591</w:t>
        </w:r>
        <w:r>
          <w:fldChar w:fldCharType="end"/>
        </w:r>
      </w:hyperlink>
    </w:p>
    <w:p>
      <w:pPr>
        <w:pStyle w:val="Indice"/>
        <w:tabs>
          <w:tab w:val="right" w:leader="dot" w:pos="9974"/>
        </w:tabs>
        <w:spacing w:before="40" w:after="40"/>
        <w:ind w:left="1134" w:hanging="1134"/>
      </w:pPr>
      <w:hyperlink w:anchor="rot_Tabla_12_21" w:history="1">
        <w:r>
          <w:t xml:space="preserve">Tabla 12.21. Tabla MGA preliminar para transferencia al SIGP</w:t>
        </w:r>
        <w:r>
          <w:tab/>
        </w:r>
        <w:r>
          <w:fldChar w:fldCharType="begin"/>
        </w:r>
        <w:r>
          <w:instrText xml:space="preserve"> PAGEREF rot_Tabla_12_21 \h </w:instrText>
        </w:r>
        <w:r>
          <w:fldChar w:fldCharType="separate"/>
        </w:r>
        <w:r>
          <w:t>593</w:t>
        </w:r>
        <w:r>
          <w:fldChar w:fldCharType="end"/>
        </w:r>
      </w:hyperlink>
    </w:p>
    <w:p>
      <w:pPr>
        <w:pStyle w:val="Indice"/>
        <w:tabs>
          <w:tab w:val="right" w:leader="dot" w:pos="9974"/>
        </w:tabs>
        <w:spacing w:before="40" w:after="40"/>
        <w:ind w:left="1134" w:hanging="1134"/>
      </w:pPr>
      <w:hyperlink w:anchor="rot_Tabla_12_22" w:history="1">
        <w:r>
          <w:t xml:space="preserve">Tabla 12.22. Cronograma de medición anual con hitos de reporte</w:t>
        </w:r>
        <w:r>
          <w:tab/>
        </w:r>
        <w:r>
          <w:fldChar w:fldCharType="begin"/>
        </w:r>
        <w:r>
          <w:instrText xml:space="preserve"> PAGEREF rot_Tabla_12_22 \h </w:instrText>
        </w:r>
        <w:r>
          <w:fldChar w:fldCharType="separate"/>
        </w:r>
        <w:r>
          <w:t>595</w:t>
        </w:r>
        <w:r>
          <w:fldChar w:fldCharType="end"/>
        </w:r>
      </w:hyperlink>
    </w:p>
    <w:p>
      <w:pPr>
        <w:pStyle w:val="Indice"/>
        <w:tabs>
          <w:tab w:val="right" w:leader="dot" w:pos="9974"/>
        </w:tabs>
        <w:spacing w:before="40" w:after="40"/>
        <w:ind w:left="1134" w:hanging="1134"/>
      </w:pPr>
      <w:hyperlink w:anchor="rot_Tabla_13_1" w:history="1">
        <w:r>
          <w:t xml:space="preserve">Tabla 13.1. Teoría del cambio del proyecto: eslabón, indicador, supuesto, condición externa y mecanismo causal</w:t>
        </w:r>
        <w:r>
          <w:tab/>
        </w:r>
        <w:r>
          <w:fldChar w:fldCharType="begin"/>
        </w:r>
        <w:r>
          <w:instrText xml:space="preserve"> PAGEREF rot_Tabla_13_1 \h </w:instrText>
        </w:r>
        <w:r>
          <w:fldChar w:fldCharType="separate"/>
        </w:r>
        <w:r>
          <w:t>599</w:t>
        </w:r>
        <w:r>
          <w:fldChar w:fldCharType="end"/>
        </w:r>
      </w:hyperlink>
    </w:p>
    <w:p>
      <w:pPr>
        <w:pStyle w:val="Indice"/>
        <w:tabs>
          <w:tab w:val="right" w:leader="dot" w:pos="9974"/>
        </w:tabs>
        <w:spacing w:before="40" w:after="40"/>
        <w:ind w:left="1134" w:hanging="1134"/>
      </w:pPr>
      <w:hyperlink w:anchor="rot_Tabla_13_2" w:history="1">
        <w:r>
          <w:t xml:space="preserve">Tabla 13.2. Matriz de impactos científico-tecnológicos: producto, efecto e impacto con indicadores SMART</w:t>
        </w:r>
        <w:r>
          <w:tab/>
        </w:r>
        <w:r>
          <w:fldChar w:fldCharType="begin"/>
        </w:r>
        <w:r>
          <w:instrText xml:space="preserve"> PAGEREF rot_Tabla_13_2 \h </w:instrText>
        </w:r>
        <w:r>
          <w:fldChar w:fldCharType="separate"/>
        </w:r>
        <w:r>
          <w:t>604</w:t>
        </w:r>
        <w:r>
          <w:fldChar w:fldCharType="end"/>
        </w:r>
      </w:hyperlink>
    </w:p>
    <w:p>
      <w:pPr>
        <w:pStyle w:val="Indice"/>
        <w:tabs>
          <w:tab w:val="right" w:leader="dot" w:pos="9974"/>
        </w:tabs>
        <w:spacing w:before="40" w:after="40"/>
        <w:ind w:left="1134" w:hanging="1134"/>
      </w:pPr>
      <w:hyperlink w:anchor="rot_Tabla_13_3" w:history="1">
        <w:r>
          <w:t xml:space="preserve">Tabla 13.3. Matriz de impactos sociales: producto, efecto e impacto con indicadores SMART y nivel ASC</w:t>
        </w:r>
        <w:r>
          <w:tab/>
        </w:r>
        <w:r>
          <w:fldChar w:fldCharType="begin"/>
        </w:r>
        <w:r>
          <w:instrText xml:space="preserve"> PAGEREF rot_Tabla_13_3 \h </w:instrText>
        </w:r>
        <w:r>
          <w:fldChar w:fldCharType="separate"/>
        </w:r>
        <w:r>
          <w:t>606</w:t>
        </w:r>
        <w:r>
          <w:fldChar w:fldCharType="end"/>
        </w:r>
      </w:hyperlink>
    </w:p>
    <w:p>
      <w:pPr>
        <w:pStyle w:val="Indice"/>
        <w:tabs>
          <w:tab w:val="right" w:leader="dot" w:pos="9974"/>
        </w:tabs>
        <w:spacing w:before="40" w:after="40"/>
        <w:ind w:left="1134" w:hanging="1134"/>
      </w:pPr>
      <w:hyperlink w:anchor="rot_Tabla_13_4" w:history="1">
        <w:r>
          <w:t xml:space="preserve">Tabla 13.4. Caracterización de beneficiarios directos e indirectos</w:t>
        </w:r>
        <w:r>
          <w:tab/>
        </w:r>
        <w:r>
          <w:fldChar w:fldCharType="begin"/>
        </w:r>
        <w:r>
          <w:instrText xml:space="preserve"> PAGEREF rot_Tabla_13_4 \h </w:instrText>
        </w:r>
        <w:r>
          <w:fldChar w:fldCharType="separate"/>
        </w:r>
        <w:r>
          <w:t>607</w:t>
        </w:r>
        <w:r>
          <w:fldChar w:fldCharType="end"/>
        </w:r>
      </w:hyperlink>
    </w:p>
    <w:p>
      <w:pPr>
        <w:pStyle w:val="Indice"/>
        <w:tabs>
          <w:tab w:val="right" w:leader="dot" w:pos="9974"/>
        </w:tabs>
        <w:spacing w:before="40" w:after="40"/>
        <w:ind w:left="1134" w:hanging="1134"/>
      </w:pPr>
      <w:hyperlink w:anchor="rot_Tabla_13_5" w:history="1">
        <w:r>
          <w:t xml:space="preserve">Tabla 13.5. Efectos potenciales negativos del impacto social y medidas de mitigación</w:t>
        </w:r>
        <w:r>
          <w:tab/>
        </w:r>
        <w:r>
          <w:fldChar w:fldCharType="begin"/>
        </w:r>
        <w:r>
          <w:instrText xml:space="preserve"> PAGEREF rot_Tabla_13_5 \h </w:instrText>
        </w:r>
        <w:r>
          <w:fldChar w:fldCharType="separate"/>
        </w:r>
        <w:r>
          <w:t>608</w:t>
        </w:r>
        <w:r>
          <w:fldChar w:fldCharType="end"/>
        </w:r>
      </w:hyperlink>
    </w:p>
    <w:p>
      <w:pPr>
        <w:pStyle w:val="Indice"/>
        <w:tabs>
          <w:tab w:val="right" w:leader="dot" w:pos="9974"/>
        </w:tabs>
        <w:spacing w:before="40" w:after="40"/>
        <w:ind w:left="1134" w:hanging="1134"/>
      </w:pPr>
      <w:hyperlink w:anchor="rot_Tabla_13_6" w:history="1">
        <w:r>
          <w:t xml:space="preserve">Tabla 13.6. Estructura de costos calculables y de beneficios no monetizados</w:t>
        </w:r>
        <w:r>
          <w:tab/>
        </w:r>
        <w:r>
          <w:fldChar w:fldCharType="begin"/>
        </w:r>
        <w:r>
          <w:instrText xml:space="preserve"> PAGEREF rot_Tabla_13_6 \h </w:instrText>
        </w:r>
        <w:r>
          <w:fldChar w:fldCharType="separate"/>
        </w:r>
        <w:r>
          <w:t>611</w:t>
        </w:r>
        <w:r>
          <w:fldChar w:fldCharType="end"/>
        </w:r>
      </w:hyperlink>
    </w:p>
    <w:p>
      <w:pPr>
        <w:pStyle w:val="Indice"/>
        <w:tabs>
          <w:tab w:val="right" w:leader="dot" w:pos="9974"/>
        </w:tabs>
        <w:spacing w:before="40" w:after="40"/>
        <w:ind w:left="1134" w:hanging="1134"/>
      </w:pPr>
      <w:hyperlink w:anchor="rot_Tabla_13_7" w:history="1">
        <w:r>
          <w:t xml:space="preserve">Tabla 13.7. Matriz de impactos económicos: producto, efecto e impacto con indicadores SMART</w:t>
        </w:r>
        <w:r>
          <w:tab/>
        </w:r>
        <w:r>
          <w:fldChar w:fldCharType="begin"/>
        </w:r>
        <w:r>
          <w:instrText xml:space="preserve"> PAGEREF rot_Tabla_13_7 \h </w:instrText>
        </w:r>
        <w:r>
          <w:fldChar w:fldCharType="separate"/>
        </w:r>
        <w:r>
          <w:t>613</w:t>
        </w:r>
        <w:r>
          <w:fldChar w:fldCharType="end"/>
        </w:r>
      </w:hyperlink>
    </w:p>
    <w:p>
      <w:pPr>
        <w:pStyle w:val="Indice"/>
        <w:tabs>
          <w:tab w:val="right" w:leader="dot" w:pos="9974"/>
        </w:tabs>
        <w:spacing w:before="40" w:after="40"/>
        <w:ind w:left="1134" w:hanging="1134"/>
      </w:pPr>
      <w:hyperlink w:anchor="rot_Tabla_13_8" w:history="1">
        <w:r>
          <w:t xml:space="preserve">Tabla 13.8. Matriz de impactos ambientales con indicadores</w:t>
        </w:r>
        <w:r>
          <w:tab/>
        </w:r>
        <w:r>
          <w:fldChar w:fldCharType="begin"/>
        </w:r>
        <w:r>
          <w:instrText xml:space="preserve"> PAGEREF rot_Tabla_13_8 \h </w:instrText>
        </w:r>
        <w:r>
          <w:fldChar w:fldCharType="separate"/>
        </w:r>
        <w:r>
          <w:t>617</w:t>
        </w:r>
        <w:r>
          <w:fldChar w:fldCharType="end"/>
        </w:r>
      </w:hyperlink>
    </w:p>
    <w:p>
      <w:pPr>
        <w:pStyle w:val="Indice"/>
        <w:tabs>
          <w:tab w:val="right" w:leader="dot" w:pos="9974"/>
        </w:tabs>
        <w:spacing w:before="40" w:after="40"/>
        <w:ind w:left="1134" w:hanging="1134"/>
      </w:pPr>
      <w:hyperlink w:anchor="rot_Tabla_13_9" w:history="1">
        <w:r>
          <w:t xml:space="preserve">Tabla 13.9. Alineación con los ODS y el Marco de Sendái: objetivo, meta, indicador, contribución y peso relativo</w:t>
        </w:r>
        <w:r>
          <w:tab/>
        </w:r>
        <w:r>
          <w:fldChar w:fldCharType="begin"/>
        </w:r>
        <w:r>
          <w:instrText xml:space="preserve"> PAGEREF rot_Tabla_13_9 \h </w:instrText>
        </w:r>
        <w:r>
          <w:fldChar w:fldCharType="separate"/>
        </w:r>
        <w:r>
          <w:t>618</w:t>
        </w:r>
        <w:r>
          <w:fldChar w:fldCharType="end"/>
        </w:r>
      </w:hyperlink>
    </w:p>
    <w:p>
      <w:pPr>
        <w:pStyle w:val="Indice"/>
        <w:tabs>
          <w:tab w:val="right" w:leader="dot" w:pos="9974"/>
        </w:tabs>
        <w:spacing w:before="40" w:after="40"/>
        <w:ind w:left="1134" w:hanging="1134"/>
      </w:pPr>
      <w:hyperlink w:anchor="rot_Tabla_13_10" w:history="1">
        <w:r>
          <w:t xml:space="preserve">Tabla 13.10. Articulación territorial: demanda, artículo del PDD, indicador, impacto del proyecto e indicador PERS</w:t>
        </w:r>
        <w:r>
          <w:tab/>
        </w:r>
        <w:r>
          <w:fldChar w:fldCharType="begin"/>
        </w:r>
        <w:r>
          <w:instrText xml:space="preserve"> PAGEREF rot_Tabla_13_10 \h </w:instrText>
        </w:r>
        <w:r>
          <w:fldChar w:fldCharType="separate"/>
        </w:r>
        <w:r>
          <w:t>619</w:t>
        </w:r>
        <w:r>
          <w:fldChar w:fldCharType="end"/>
        </w:r>
      </w:hyperlink>
    </w:p>
    <w:p>
      <w:pPr>
        <w:pStyle w:val="Indice"/>
        <w:tabs>
          <w:tab w:val="right" w:leader="dot" w:pos="9974"/>
        </w:tabs>
        <w:spacing w:before="40" w:after="40"/>
        <w:ind w:left="1134" w:hanging="1134"/>
      </w:pPr>
      <w:hyperlink w:anchor="rot_Tabla_13_11" w:history="1">
        <w:r>
          <w:t xml:space="preserve">Tabla 13.11. Plan de monitoreo de impactos: indicador, frecuencia, instrumento, responsable y período posproyecto</w:t>
        </w:r>
        <w:r>
          <w:tab/>
        </w:r>
        <w:r>
          <w:fldChar w:fldCharType="begin"/>
        </w:r>
        <w:r>
          <w:instrText xml:space="preserve"> PAGEREF rot_Tabla_13_11 \h </w:instrText>
        </w:r>
        <w:r>
          <w:fldChar w:fldCharType="separate"/>
        </w:r>
        <w:r>
          <w:t>623</w:t>
        </w:r>
        <w:r>
          <w:fldChar w:fldCharType="end"/>
        </w:r>
      </w:hyperlink>
    </w:p>
    <w:p>
      <w:pPr>
        <w:pStyle w:val="Indice"/>
        <w:tabs>
          <w:tab w:val="right" w:leader="dot" w:pos="9974"/>
        </w:tabs>
        <w:spacing w:before="40" w:after="40"/>
        <w:ind w:left="1134" w:hanging="1134"/>
      </w:pPr>
      <w:hyperlink w:anchor="rot_Tabla_14_1" w:history="1">
        <w:r>
          <w:t xml:space="preserve">Tabla 14.1. Inventario de componentes de la solución y estado de su costo anual</w:t>
        </w:r>
        <w:r>
          <w:tab/>
        </w:r>
        <w:r>
          <w:fldChar w:fldCharType="begin"/>
        </w:r>
        <w:r>
          <w:instrText xml:space="preserve"> PAGEREF rot_Tabla_14_1 \h </w:instrText>
        </w:r>
        <w:r>
          <w:fldChar w:fldCharType="separate"/>
        </w:r>
        <w:r>
          <w:t>626</w:t>
        </w:r>
        <w:r>
          <w:fldChar w:fldCharType="end"/>
        </w:r>
      </w:hyperlink>
    </w:p>
    <w:p>
      <w:pPr>
        <w:pStyle w:val="Indice"/>
        <w:tabs>
          <w:tab w:val="right" w:leader="dot" w:pos="9974"/>
        </w:tabs>
        <w:spacing w:before="40" w:after="40"/>
        <w:ind w:left="1134" w:hanging="1134"/>
      </w:pPr>
      <w:hyperlink w:anchor="rot_Tabla_14_2" w:history="1">
        <w:r>
          <w:t xml:space="preserve">Tabla 14.2. Plan de sostenibilidad técnica por componente</w:t>
        </w:r>
        <w:r>
          <w:tab/>
        </w:r>
        <w:r>
          <w:fldChar w:fldCharType="begin"/>
        </w:r>
        <w:r>
          <w:instrText xml:space="preserve"> PAGEREF rot_Tabla_14_2 \h </w:instrText>
        </w:r>
        <w:r>
          <w:fldChar w:fldCharType="separate"/>
        </w:r>
        <w:r>
          <w:t>628</w:t>
        </w:r>
        <w:r>
          <w:fldChar w:fldCharType="end"/>
        </w:r>
      </w:hyperlink>
    </w:p>
    <w:p>
      <w:pPr>
        <w:pStyle w:val="Indice"/>
        <w:tabs>
          <w:tab w:val="right" w:leader="dot" w:pos="9974"/>
        </w:tabs>
        <w:spacing w:before="40" w:after="40"/>
        <w:ind w:left="1134" w:hanging="1134"/>
      </w:pPr>
      <w:hyperlink w:anchor="rot_Tabla_14_3" w:history="1">
        <w:r>
          <w:t xml:space="preserve">Tabla 14.3. Proyección financiera posproyecto: costo parcial declarado, concentración y ausencia de ingresos</w:t>
        </w:r>
        <w:r>
          <w:tab/>
        </w:r>
        <w:r>
          <w:fldChar w:fldCharType="begin"/>
        </w:r>
        <w:r>
          <w:instrText xml:space="preserve"> PAGEREF rot_Tabla_14_3 \h </w:instrText>
        </w:r>
        <w:r>
          <w:fldChar w:fldCharType="separate"/>
        </w:r>
        <w:r>
          <w:t>630</w:t>
        </w:r>
        <w:r>
          <w:fldChar w:fldCharType="end"/>
        </w:r>
      </w:hyperlink>
    </w:p>
    <w:p>
      <w:pPr>
        <w:pStyle w:val="Indice"/>
        <w:tabs>
          <w:tab w:val="right" w:leader="dot" w:pos="9974"/>
        </w:tabs>
        <w:spacing w:before="40" w:after="40"/>
        <w:ind w:left="1134" w:hanging="1134"/>
      </w:pPr>
      <w:hyperlink w:anchor="rot_Tabla_14_4" w:history="1">
        <w:r>
          <w:t xml:space="preserve">Tabla 14.4. Prueba de orfandad del portafolio declarado en el año 1</w:t>
        </w:r>
        <w:r>
          <w:tab/>
        </w:r>
        <w:r>
          <w:fldChar w:fldCharType="begin"/>
        </w:r>
        <w:r>
          <w:instrText xml:space="preserve"> PAGEREF rot_Tabla_14_4 \h </w:instrText>
        </w:r>
        <w:r>
          <w:fldChar w:fldCharType="separate"/>
        </w:r>
        <w:r>
          <w:t>631</w:t>
        </w:r>
        <w:r>
          <w:fldChar w:fldCharType="end"/>
        </w:r>
      </w:hyperlink>
    </w:p>
    <w:p>
      <w:pPr>
        <w:pStyle w:val="Indice"/>
        <w:tabs>
          <w:tab w:val="right" w:leader="dot" w:pos="9974"/>
        </w:tabs>
        <w:spacing w:before="40" w:after="40"/>
        <w:ind w:left="1134" w:hanging="1134"/>
      </w:pPr>
      <w:hyperlink w:anchor="rot_Tabla_14_5" w:history="1">
        <w:r>
          <w:t xml:space="preserve">Tabla 14.5. Fuentes posibles de financiación posproyecto y condiciones de uso</w:t>
        </w:r>
        <w:r>
          <w:tab/>
        </w:r>
        <w:r>
          <w:fldChar w:fldCharType="begin"/>
        </w:r>
        <w:r>
          <w:instrText xml:space="preserve"> PAGEREF rot_Tabla_14_5 \h </w:instrText>
        </w:r>
        <w:r>
          <w:fldChar w:fldCharType="separate"/>
        </w:r>
        <w:r>
          <w:t>632</w:t>
        </w:r>
        <w:r>
          <w:fldChar w:fldCharType="end"/>
        </w:r>
      </w:hyperlink>
    </w:p>
    <w:p>
      <w:pPr>
        <w:pStyle w:val="Indice"/>
        <w:tabs>
          <w:tab w:val="right" w:leader="dot" w:pos="9974"/>
        </w:tabs>
        <w:spacing w:before="40" w:after="40"/>
        <w:ind w:left="1134" w:hanging="1134"/>
      </w:pPr>
      <w:hyperlink w:anchor="rot_Tabla_14_6" w:history="1">
        <w:r>
          <w:t xml:space="preserve">Tabla 14.6. Ruta de escala con propietario: variables del motor MESS36</w:t>
        </w:r>
        <w:r>
          <w:tab/>
        </w:r>
        <w:r>
          <w:fldChar w:fldCharType="begin"/>
        </w:r>
        <w:r>
          <w:instrText xml:space="preserve"> PAGEREF rot_Tabla_14_6 \h </w:instrText>
        </w:r>
        <w:r>
          <w:fldChar w:fldCharType="separate"/>
        </w:r>
        <w:r>
          <w:t>633</w:t>
        </w:r>
        <w:r>
          <w:fldChar w:fldCharType="end"/>
        </w:r>
      </w:hyperlink>
    </w:p>
    <w:p>
      <w:pPr>
        <w:pStyle w:val="Indice"/>
        <w:tabs>
          <w:tab w:val="right" w:leader="dot" w:pos="9974"/>
        </w:tabs>
        <w:spacing w:before="40" w:after="40"/>
        <w:ind w:left="1134" w:hanging="1134"/>
      </w:pPr>
      <w:hyperlink w:anchor="rot_Tabla_14_7" w:history="1">
        <w:r>
          <w:t xml:space="preserve">Tabla 14.7. Evidencia disponible por custodio candidato y resultado del ICAR</w:t>
        </w:r>
        <w:r>
          <w:tab/>
        </w:r>
        <w:r>
          <w:fldChar w:fldCharType="begin"/>
        </w:r>
        <w:r>
          <w:instrText xml:space="preserve"> PAGEREF rot_Tabla_14_7 \h </w:instrText>
        </w:r>
        <w:r>
          <w:fldChar w:fldCharType="separate"/>
        </w:r>
        <w:r>
          <w:t>635</w:t>
        </w:r>
        <w:r>
          <w:fldChar w:fldCharType="end"/>
        </w:r>
      </w:hyperlink>
    </w:p>
    <w:p>
      <w:pPr>
        <w:pStyle w:val="Indice"/>
        <w:tabs>
          <w:tab w:val="right" w:leader="dot" w:pos="9974"/>
        </w:tabs>
        <w:spacing w:before="40" w:after="40"/>
        <w:ind w:left="1134" w:hanging="1134"/>
      </w:pPr>
      <w:hyperlink w:anchor="rot_Tabla_14_8" w:history="1">
        <w:r>
          <w:t xml:space="preserve">Tabla 14.8. Custodia distribuida por componente: exigencias, candidatos y custodio asignado</w:t>
        </w:r>
        <w:r>
          <w:tab/>
        </w:r>
        <w:r>
          <w:fldChar w:fldCharType="begin"/>
        </w:r>
        <w:r>
          <w:instrText xml:space="preserve"> PAGEREF rot_Tabla_14_8 \h </w:instrText>
        </w:r>
        <w:r>
          <w:fldChar w:fldCharType="separate"/>
        </w:r>
        <w:r>
          <w:t>636</w:t>
        </w:r>
        <w:r>
          <w:fldChar w:fldCharType="end"/>
        </w:r>
      </w:hyperlink>
    </w:p>
    <w:p>
      <w:pPr>
        <w:pStyle w:val="Indice"/>
        <w:tabs>
          <w:tab w:val="right" w:leader="dot" w:pos="9974"/>
        </w:tabs>
        <w:spacing w:before="40" w:after="40"/>
        <w:ind w:left="1134" w:hanging="1134"/>
      </w:pPr>
      <w:hyperlink w:anchor="rot_Tabla_14_9" w:history="1">
        <w:r>
          <w:t xml:space="preserve">Tabla 14.9. Compromisos institucionales de continuidad y estado de formalización</w:t>
        </w:r>
        <w:r>
          <w:tab/>
        </w:r>
        <w:r>
          <w:fldChar w:fldCharType="begin"/>
        </w:r>
        <w:r>
          <w:instrText xml:space="preserve"> PAGEREF rot_Tabla_14_9 \h </w:instrText>
        </w:r>
        <w:r>
          <w:fldChar w:fldCharType="separate"/>
        </w:r>
        <w:r>
          <w:t>637</w:t>
        </w:r>
        <w:r>
          <w:fldChar w:fldCharType="end"/>
        </w:r>
      </w:hyperlink>
    </w:p>
    <w:p>
      <w:pPr>
        <w:pStyle w:val="Indice"/>
        <w:tabs>
          <w:tab w:val="right" w:leader="dot" w:pos="9974"/>
        </w:tabs>
        <w:spacing w:before="40" w:after="40"/>
        <w:ind w:left="1134" w:hanging="1134"/>
      </w:pPr>
      <w:hyperlink w:anchor="rot_Tabla_14_10" w:history="1">
        <w:r>
          <w:t xml:space="preserve">Tabla 14.10. Plan de sostenibilidad social: mecanismos, actores, indicadores y metas</w:t>
        </w:r>
        <w:r>
          <w:tab/>
        </w:r>
        <w:r>
          <w:fldChar w:fldCharType="begin"/>
        </w:r>
        <w:r>
          <w:instrText xml:space="preserve"> PAGEREF rot_Tabla_14_10 \h </w:instrText>
        </w:r>
        <w:r>
          <w:fldChar w:fldCharType="separate"/>
        </w:r>
        <w:r>
          <w:t>639</w:t>
        </w:r>
        <w:r>
          <w:fldChar w:fldCharType="end"/>
        </w:r>
      </w:hyperlink>
    </w:p>
    <w:p>
      <w:pPr>
        <w:pStyle w:val="Indice"/>
        <w:tabs>
          <w:tab w:val="right" w:leader="dot" w:pos="9974"/>
        </w:tabs>
        <w:spacing w:before="40" w:after="40"/>
        <w:ind w:left="1134" w:hanging="1134"/>
      </w:pPr>
      <w:hyperlink w:anchor="rot_Tabla_14_11" w:history="1">
        <w:r>
          <w:t xml:space="preserve">Tabla 14.11. Transferencia por tramos condicionados: contenido, condición y partidas del proyecto</w:t>
        </w:r>
        <w:r>
          <w:tab/>
        </w:r>
        <w:r>
          <w:fldChar w:fldCharType="begin"/>
        </w:r>
        <w:r>
          <w:instrText xml:space="preserve"> PAGEREF rot_Tabla_14_11 \h </w:instrText>
        </w:r>
        <w:r>
          <w:fldChar w:fldCharType="separate"/>
        </w:r>
        <w:r>
          <w:t>641</w:t>
        </w:r>
        <w:r>
          <w:fldChar w:fldCharType="end"/>
        </w:r>
      </w:hyperlink>
    </w:p>
    <w:p>
      <w:pPr>
        <w:pStyle w:val="Indice"/>
        <w:tabs>
          <w:tab w:val="right" w:leader="dot" w:pos="9974"/>
        </w:tabs>
        <w:spacing w:before="40" w:after="40"/>
        <w:ind w:left="1134" w:hanging="1134"/>
      </w:pPr>
      <w:hyperlink w:anchor="rot_Tabla_15_1" w:history="1">
        <w:r>
          <w:t xml:space="preserve">Tabla 15.1. Matriz de transferencia por producto</w:t>
        </w:r>
        <w:r>
          <w:tab/>
        </w:r>
        <w:r>
          <w:fldChar w:fldCharType="begin"/>
        </w:r>
        <w:r>
          <w:instrText xml:space="preserve"> PAGEREF rot_Tabla_15_1 \h </w:instrText>
        </w:r>
        <w:r>
          <w:fldChar w:fldCharType="separate"/>
        </w:r>
        <w:r>
          <w:t>644</w:t>
        </w:r>
        <w:r>
          <w:fldChar w:fldCharType="end"/>
        </w:r>
      </w:hyperlink>
    </w:p>
    <w:p>
      <w:pPr>
        <w:pStyle w:val="Indice"/>
        <w:tabs>
          <w:tab w:val="right" w:leader="dot" w:pos="9974"/>
        </w:tabs>
        <w:spacing w:before="40" w:after="40"/>
        <w:ind w:left="1134" w:hanging="1134"/>
      </w:pPr>
      <w:hyperlink w:anchor="rot_Tabla_15_2" w:history="1">
        <w:r>
          <w:t xml:space="preserve">Tabla 15.2. Inventario de propiedad intelectual</w:t>
        </w:r>
        <w:r>
          <w:tab/>
        </w:r>
        <w:r>
          <w:fldChar w:fldCharType="begin"/>
        </w:r>
        <w:r>
          <w:instrText xml:space="preserve"> PAGEREF rot_Tabla_15_2 \h </w:instrText>
        </w:r>
        <w:r>
          <w:fldChar w:fldCharType="separate"/>
        </w:r>
        <w:r>
          <w:t>647</w:t>
        </w:r>
        <w:r>
          <w:fldChar w:fldCharType="end"/>
        </w:r>
      </w:hyperlink>
    </w:p>
    <w:p>
      <w:pPr>
        <w:pStyle w:val="Indice"/>
        <w:tabs>
          <w:tab w:val="right" w:leader="dot" w:pos="9974"/>
        </w:tabs>
        <w:spacing w:before="40" w:after="40"/>
        <w:ind w:left="1134" w:hanging="1134"/>
      </w:pPr>
      <w:hyperlink w:anchor="rot_Tabla_15_3" w:history="1">
        <w:r>
          <w:t xml:space="preserve">Tabla 15.3. Solicitudes PCT con Colombia designada y plazo de fase nacional</w:t>
        </w:r>
        <w:r>
          <w:tab/>
        </w:r>
        <w:r>
          <w:fldChar w:fldCharType="begin"/>
        </w:r>
        <w:r>
          <w:instrText xml:space="preserve"> PAGEREF rot_Tabla_15_3 \h </w:instrText>
        </w:r>
        <w:r>
          <w:fldChar w:fldCharType="separate"/>
        </w:r>
        <w:r>
          <w:t>649</w:t>
        </w:r>
        <w:r>
          <w:fldChar w:fldCharType="end"/>
        </w:r>
      </w:hyperlink>
    </w:p>
    <w:p>
      <w:pPr>
        <w:pStyle w:val="Indice"/>
        <w:tabs>
          <w:tab w:val="right" w:leader="dot" w:pos="9974"/>
        </w:tabs>
        <w:spacing w:before="40" w:after="40"/>
        <w:ind w:left="1134" w:hanging="1134"/>
      </w:pPr>
      <w:hyperlink w:anchor="rot_Tabla_15_4" w:history="1">
        <w:r>
          <w:t xml:space="preserve">Tabla 15.4. Potencial de comercialización</w:t>
        </w:r>
        <w:r>
          <w:tab/>
        </w:r>
        <w:r>
          <w:fldChar w:fldCharType="begin"/>
        </w:r>
        <w:r>
          <w:instrText xml:space="preserve"> PAGEREF rot_Tabla_15_4 \h </w:instrText>
        </w:r>
        <w:r>
          <w:fldChar w:fldCharType="separate"/>
        </w:r>
        <w:r>
          <w:t>650</w:t>
        </w:r>
        <w:r>
          <w:fldChar w:fldCharType="end"/>
        </w:r>
      </w:hyperlink>
    </w:p>
    <w:p>
      <w:pPr>
        <w:pStyle w:val="Indice"/>
        <w:tabs>
          <w:tab w:val="right" w:leader="dot" w:pos="9974"/>
        </w:tabs>
        <w:spacing w:before="40" w:after="40"/>
        <w:ind w:left="1134" w:hanging="1134"/>
      </w:pPr>
      <w:hyperlink w:anchor="rot_Tabla_15_5" w:history="1">
        <w:r>
          <w:t xml:space="preserve">Tabla 15.5. Costo marginal por nodo y por módulo de réplica</w:t>
        </w:r>
        <w:r>
          <w:tab/>
        </w:r>
        <w:r>
          <w:fldChar w:fldCharType="begin"/>
        </w:r>
        <w:r>
          <w:instrText xml:space="preserve"> PAGEREF rot_Tabla_15_5 \h </w:instrText>
        </w:r>
        <w:r>
          <w:fldChar w:fldCharType="separate"/>
        </w:r>
        <w:r>
          <w:t>653</w:t>
        </w:r>
        <w:r>
          <w:fldChar w:fldCharType="end"/>
        </w:r>
      </w:hyperlink>
    </w:p>
    <w:p>
      <w:pPr>
        <w:pStyle w:val="Indice"/>
        <w:tabs>
          <w:tab w:val="right" w:leader="dot" w:pos="9974"/>
        </w:tabs>
        <w:spacing w:before="40" w:after="40"/>
        <w:ind w:left="1134" w:hanging="1134"/>
      </w:pPr>
      <w:hyperlink w:anchor="rot_Tabla_15_6" w:history="1">
        <w:r>
          <w:t xml:space="preserve">Tabla 15.6. Condiciones para la réplica y el escalamiento</w:t>
        </w:r>
        <w:r>
          <w:tab/>
        </w:r>
        <w:r>
          <w:fldChar w:fldCharType="begin"/>
        </w:r>
        <w:r>
          <w:instrText xml:space="preserve"> PAGEREF rot_Tabla_15_6 \h </w:instrText>
        </w:r>
        <w:r>
          <w:fldChar w:fldCharType="separate"/>
        </w:r>
        <w:r>
          <w:t>655</w:t>
        </w:r>
        <w:r>
          <w:fldChar w:fldCharType="end"/>
        </w:r>
      </w:hyperlink>
    </w:p>
    <w:p>
      <w:pPr>
        <w:pStyle w:val="Indice"/>
        <w:tabs>
          <w:tab w:val="right" w:leader="dot" w:pos="9974"/>
        </w:tabs>
        <w:spacing w:before="40" w:after="40"/>
        <w:ind w:left="1134" w:hanging="1134"/>
      </w:pPr>
      <w:hyperlink w:anchor="rot_Tabla_16_1" w:history="1">
        <w:r>
          <w:t xml:space="preserve">Tabla 16.1. Plan de comunicaciones por audiencia, canal y nivel ASC</w:t>
        </w:r>
        <w:r>
          <w:tab/>
        </w:r>
        <w:r>
          <w:fldChar w:fldCharType="begin"/>
        </w:r>
        <w:r>
          <w:instrText xml:space="preserve"> PAGEREF rot_Tabla_16_1 \h </w:instrText>
        </w:r>
        <w:r>
          <w:fldChar w:fldCharType="separate"/>
        </w:r>
        <w:r>
          <w:t>658</w:t>
        </w:r>
        <w:r>
          <w:fldChar w:fldCharType="end"/>
        </w:r>
      </w:hyperlink>
    </w:p>
    <w:p>
      <w:pPr>
        <w:pStyle w:val="Indice"/>
        <w:tabs>
          <w:tab w:val="right" w:leader="dot" w:pos="9974"/>
        </w:tabs>
        <w:spacing w:before="40" w:after="40"/>
        <w:ind w:left="1134" w:hanging="1134"/>
      </w:pPr>
      <w:hyperlink w:anchor="rot_Tabla_16_2" w:history="1">
        <w:r>
          <w:t xml:space="preserve">Tabla 16.2. Matriz de actividades de participación ciudadana con indicadores MMG</w:t>
        </w:r>
        <w:r>
          <w:tab/>
        </w:r>
        <w:r>
          <w:fldChar w:fldCharType="begin"/>
        </w:r>
        <w:r>
          <w:instrText xml:space="preserve"> PAGEREF rot_Tabla_16_2 \h </w:instrText>
        </w:r>
        <w:r>
          <w:fldChar w:fldCharType="separate"/>
        </w:r>
        <w:r>
          <w:t>661</w:t>
        </w:r>
        <w:r>
          <w:fldChar w:fldCharType="end"/>
        </w:r>
      </w:hyperlink>
    </w:p>
    <w:p>
      <w:pPr>
        <w:pStyle w:val="Indice"/>
        <w:tabs>
          <w:tab w:val="right" w:leader="dot" w:pos="9974"/>
        </w:tabs>
        <w:spacing w:before="40" w:after="40"/>
        <w:ind w:left="1134" w:hanging="1134"/>
      </w:pPr>
      <w:hyperlink w:anchor="rot_Tabla_16_3" w:history="1">
        <w:r>
          <w:t xml:space="preserve">Tabla 16.3. Productos de divulgación tipificados según MMG 2021</w:t>
        </w:r>
        <w:r>
          <w:tab/>
        </w:r>
        <w:r>
          <w:fldChar w:fldCharType="begin"/>
        </w:r>
        <w:r>
          <w:instrText xml:space="preserve"> PAGEREF rot_Tabla_16_3 \h </w:instrText>
        </w:r>
        <w:r>
          <w:fldChar w:fldCharType="separate"/>
        </w:r>
        <w:r>
          <w:t>663</w:t>
        </w:r>
        <w:r>
          <w:fldChar w:fldCharType="end"/>
        </w:r>
      </w:hyperlink>
    </w:p>
    <w:p>
      <w:pPr>
        <w:pStyle w:val="Indice"/>
        <w:tabs>
          <w:tab w:val="right" w:leader="dot" w:pos="9974"/>
        </w:tabs>
        <w:spacing w:before="40" w:after="40"/>
        <w:ind w:left="1134" w:hanging="1134"/>
      </w:pPr>
      <w:hyperlink w:anchor="rot_Tabla_16_4" w:history="1">
        <w:r>
          <w:t xml:space="preserve">Tabla 16.4. Indicadores de medición de apropiación social por nivel</w:t>
        </w:r>
        <w:r>
          <w:tab/>
        </w:r>
        <w:r>
          <w:fldChar w:fldCharType="begin"/>
        </w:r>
        <w:r>
          <w:instrText xml:space="preserve"> PAGEREF rot_Tabla_16_4 \h </w:instrText>
        </w:r>
        <w:r>
          <w:fldChar w:fldCharType="separate"/>
        </w:r>
        <w:r>
          <w:t>666</w:t>
        </w:r>
        <w:r>
          <w:fldChar w:fldCharType="end"/>
        </w:r>
      </w:hyperlink>
    </w:p>
    <w:p>
      <w:pPr>
        <w:pStyle w:val="Indice"/>
        <w:tabs>
          <w:tab w:val="right" w:leader="dot" w:pos="9974"/>
        </w:tabs>
        <w:spacing w:before="40" w:after="40"/>
        <w:ind w:left="1134" w:hanging="1134"/>
      </w:pPr>
      <w:hyperlink w:anchor="rot_Tabla_16_5" w:history="1">
        <w:r>
          <w:t xml:space="preserve">Tabla 16.5. Matriz de la Escalera de Apropiación: nivel, actividades, indicadores, productos MMG y responsables</w:t>
        </w:r>
        <w:r>
          <w:tab/>
        </w:r>
        <w:r>
          <w:fldChar w:fldCharType="begin"/>
        </w:r>
        <w:r>
          <w:instrText xml:space="preserve"> PAGEREF rot_Tabla_16_5 \h </w:instrText>
        </w:r>
        <w:r>
          <w:fldChar w:fldCharType="separate"/>
        </w:r>
        <w:r>
          <w:t>669</w:t>
        </w:r>
        <w:r>
          <w:fldChar w:fldCharType="end"/>
        </w:r>
      </w:hyperlink>
    </w:p>
    <w:p>
      <w:pPr>
        <w:pStyle w:val="Indice"/>
        <w:tabs>
          <w:tab w:val="right" w:leader="dot" w:pos="9974"/>
        </w:tabs>
        <w:spacing w:before="40" w:after="40"/>
        <w:ind w:left="1134" w:hanging="1134"/>
      </w:pPr>
      <w:hyperlink w:anchor="rot_Tabla_16_6" w:history="1">
        <w:r>
          <w:t xml:space="preserve">Tabla 16.6. Compromisos del proyecto por nivel de la Escalera ASC con cronograma</w:t>
        </w:r>
        <w:r>
          <w:tab/>
        </w:r>
        <w:r>
          <w:fldChar w:fldCharType="begin"/>
        </w:r>
        <w:r>
          <w:instrText xml:space="preserve"> PAGEREF rot_Tabla_16_6 \h </w:instrText>
        </w:r>
        <w:r>
          <w:fldChar w:fldCharType="separate"/>
        </w:r>
        <w:r>
          <w:t>672</w:t>
        </w:r>
        <w:r>
          <w:fldChar w:fldCharType="end"/>
        </w:r>
      </w:hyperlink>
    </w:p>
    <w:p>
      <w:pPr>
        <w:pStyle w:val="Indice"/>
        <w:tabs>
          <w:tab w:val="right" w:leader="dot" w:pos="9974"/>
        </w:tabs>
        <w:spacing w:before="40" w:after="40"/>
        <w:ind w:left="1134" w:hanging="1134"/>
      </w:pPr>
      <w:hyperlink w:anchor="rot_Tabla_17_1" w:history="1">
        <w:r>
          <w:t xml:space="preserve">Tabla 17.1. Matriz de roles y responsabilidades del equipo</w:t>
        </w:r>
        <w:r>
          <w:tab/>
        </w:r>
        <w:r>
          <w:fldChar w:fldCharType="begin"/>
        </w:r>
        <w:r>
          <w:instrText xml:space="preserve"> PAGEREF rot_Tabla_17_1 \h </w:instrText>
        </w:r>
        <w:r>
          <w:fldChar w:fldCharType="separate"/>
        </w:r>
        <w:r>
          <w:t>675</w:t>
        </w:r>
        <w:r>
          <w:fldChar w:fldCharType="end"/>
        </w:r>
      </w:hyperlink>
    </w:p>
    <w:p>
      <w:pPr>
        <w:pStyle w:val="Indice"/>
        <w:tabs>
          <w:tab w:val="right" w:leader="dot" w:pos="9974"/>
        </w:tabs>
        <w:spacing w:before="40" w:after="40"/>
        <w:ind w:left="1134" w:hanging="1134"/>
      </w:pPr>
      <w:hyperlink w:anchor="rot_Tabla_17_2" w:history="1">
        <w:r>
          <w:t xml:space="preserve">Tabla 17.2. Perfiles requeridos y hojas de vida resumidas por aportar</w:t>
        </w:r>
        <w:r>
          <w:tab/>
        </w:r>
        <w:r>
          <w:fldChar w:fldCharType="begin"/>
        </w:r>
        <w:r>
          <w:instrText xml:space="preserve"> PAGEREF rot_Tabla_17_2 \h </w:instrText>
        </w:r>
        <w:r>
          <w:fldChar w:fldCharType="separate"/>
        </w:r>
        <w:r>
          <w:t>678</w:t>
        </w:r>
        <w:r>
          <w:fldChar w:fldCharType="end"/>
        </w:r>
      </w:hyperlink>
    </w:p>
    <w:p>
      <w:pPr>
        <w:pStyle w:val="Indice"/>
        <w:tabs>
          <w:tab w:val="right" w:leader="dot" w:pos="9974"/>
        </w:tabs>
        <w:spacing w:before="40" w:after="40"/>
        <w:ind w:left="1134" w:hanging="1134"/>
      </w:pPr>
      <w:hyperlink w:anchor="rot_Tabla_17_3" w:history="1">
        <w:r>
          <w:t xml:space="preserve">Tabla 17.3. Caracterización de las capacidades de investigación y de los grupos por vincular</w:t>
        </w:r>
        <w:r>
          <w:tab/>
        </w:r>
        <w:r>
          <w:fldChar w:fldCharType="begin"/>
        </w:r>
        <w:r>
          <w:instrText xml:space="preserve"> PAGEREF rot_Tabla_17_3 \h </w:instrText>
        </w:r>
        <w:r>
          <w:fldChar w:fldCharType="separate"/>
        </w:r>
        <w:r>
          <w:t>682</w:t>
        </w:r>
        <w:r>
          <w:fldChar w:fldCharType="end"/>
        </w:r>
      </w:hyperlink>
    </w:p>
    <w:p>
      <w:pPr>
        <w:pStyle w:val="Indice"/>
        <w:tabs>
          <w:tab w:val="right" w:leader="dot" w:pos="9974"/>
        </w:tabs>
        <w:spacing w:before="40" w:after="40"/>
        <w:ind w:left="1134" w:hanging="1134"/>
      </w:pPr>
      <w:hyperlink w:anchor="rot_Tabla_17_4" w:history="1">
        <w:r>
          <w:t xml:space="preserve">Tabla 17.4. Matriz de alianzas y aportes</w:t>
        </w:r>
        <w:r>
          <w:tab/>
        </w:r>
        <w:r>
          <w:fldChar w:fldCharType="begin"/>
        </w:r>
        <w:r>
          <w:instrText xml:space="preserve"> PAGEREF rot_Tabla_17_4 \h </w:instrText>
        </w:r>
        <w:r>
          <w:fldChar w:fldCharType="separate"/>
        </w:r>
        <w:r>
          <w:t>685</w:t>
        </w:r>
        <w:r>
          <w:fldChar w:fldCharType="end"/>
        </w:r>
      </w:hyperlink>
    </w:p>
    <w:p>
      <w:pPr>
        <w:pStyle w:val="Indice"/>
        <w:tabs>
          <w:tab w:val="right" w:leader="dot" w:pos="9974"/>
        </w:tabs>
        <w:spacing w:before="40" w:after="40"/>
        <w:ind w:left="1134" w:hanging="1134"/>
      </w:pPr>
      <w:hyperlink w:anchor="rot_Tabla_18_1" w:history="1">
        <w:r>
          <w:t xml:space="preserve">Tabla 18.1. Matriz de marco lógico 4 × 4 del proyecto</w:t>
        </w:r>
        <w:r>
          <w:tab/>
        </w:r>
        <w:r>
          <w:fldChar w:fldCharType="begin"/>
        </w:r>
        <w:r>
          <w:instrText xml:space="preserve"> PAGEREF rot_Tabla_18_1 \h </w:instrText>
        </w:r>
        <w:r>
          <w:fldChar w:fldCharType="separate"/>
        </w:r>
        <w:r>
          <w:t>688</w:t>
        </w:r>
        <w:r>
          <w:fldChar w:fldCharType="end"/>
        </w:r>
      </w:hyperlink>
    </w:p>
    <w:p>
      <w:pPr>
        <w:pStyle w:val="Indice"/>
        <w:tabs>
          <w:tab w:val="right" w:leader="dot" w:pos="9974"/>
        </w:tabs>
        <w:spacing w:before="40" w:after="40"/>
        <w:ind w:left="1134" w:hanging="1134"/>
      </w:pPr>
      <w:hyperlink w:anchor="rot_Tabla_18_2" w:history="1">
        <w:r>
          <w:t xml:space="preserve">Tabla 18.2. Análisis de supuestos y riesgos por nivel del marco lógico</w:t>
        </w:r>
        <w:r>
          <w:tab/>
        </w:r>
        <w:r>
          <w:fldChar w:fldCharType="begin"/>
        </w:r>
        <w:r>
          <w:instrText xml:space="preserve"> PAGEREF rot_Tabla_18_2 \h </w:instrText>
        </w:r>
        <w:r>
          <w:fldChar w:fldCharType="separate"/>
        </w:r>
        <w:r>
          <w:t>691</w:t>
        </w:r>
        <w:r>
          <w:fldChar w:fldCharType="end"/>
        </w:r>
      </w:hyperlink>
    </w:p>
    <w:p>
      <w:pPr>
        <w:pStyle w:val="Indice"/>
        <w:tabs>
          <w:tab w:val="right" w:leader="dot" w:pos="9974"/>
        </w:tabs>
        <w:spacing w:before="40" w:after="40"/>
        <w:ind w:left="1134" w:hanging="1134"/>
      </w:pPr>
      <w:hyperlink w:anchor="rot_Tabla_18_3" w:history="1">
        <w:r>
          <w:t xml:space="preserve">Tabla 18.3. Resultado de las ocho pruebas de coherencia del marco lógico</w:t>
        </w:r>
        <w:r>
          <w:tab/>
        </w:r>
        <w:r>
          <w:fldChar w:fldCharType="begin"/>
        </w:r>
        <w:r>
          <w:instrText xml:space="preserve"> PAGEREF rot_Tabla_18_3 \h </w:instrText>
        </w:r>
        <w:r>
          <w:fldChar w:fldCharType="separate"/>
        </w:r>
        <w:r>
          <w:t>694</w:t>
        </w:r>
        <w:r>
          <w:fldChar w:fldCharType="end"/>
        </w:r>
      </w:hyperlink>
    </w:p>
    <w:p>
      <w:pPr>
        <w:pStyle w:val="Indice"/>
        <w:tabs>
          <w:tab w:val="right" w:leader="dot" w:pos="9974"/>
        </w:tabs>
        <w:spacing w:before="40" w:after="40"/>
        <w:ind w:left="1134" w:hanging="1134"/>
      </w:pPr>
      <w:hyperlink w:anchor="rot_Tabla_20_1" w:history="1">
        <w:r>
          <w:t xml:space="preserve">Tabla 20.1. Registro de cartas de compromiso y avales requeridos con alerta de compromiso débil</w:t>
        </w:r>
        <w:r>
          <w:tab/>
        </w:r>
        <w:r>
          <w:fldChar w:fldCharType="begin"/>
        </w:r>
        <w:r>
          <w:instrText xml:space="preserve"> PAGEREF rot_Tabla_20_1 \h </w:instrText>
        </w:r>
        <w:r>
          <w:fldChar w:fldCharType="separate"/>
        </w:r>
        <w:r>
          <w:t>697</w:t>
        </w:r>
        <w:r>
          <w:fldChar w:fldCharType="end"/>
        </w:r>
      </w:hyperlink>
    </w:p>
    <w:p>
      <w:pPr>
        <w:pStyle w:val="Indice"/>
        <w:tabs>
          <w:tab w:val="right" w:leader="dot" w:pos="9974"/>
        </w:tabs>
        <w:spacing w:before="40" w:after="40"/>
        <w:ind w:left="1134" w:hanging="1134"/>
      </w:pPr>
      <w:hyperlink w:anchor="rot_Tabla_20_2" w:history="1">
        <w:r>
          <w:t xml:space="preserve">Tabla 20.2. Estructura mínima de una carta de compromiso (modelo ILUSTRATIVO)</w:t>
        </w:r>
        <w:r>
          <w:tab/>
        </w:r>
        <w:r>
          <w:fldChar w:fldCharType="begin"/>
        </w:r>
        <w:r>
          <w:instrText xml:space="preserve"> PAGEREF rot_Tabla_20_2 \h </w:instrText>
        </w:r>
        <w:r>
          <w:fldChar w:fldCharType="separate"/>
        </w:r>
        <w:r>
          <w:t>698</w:t>
        </w:r>
        <w:r>
          <w:fldChar w:fldCharType="end"/>
        </w:r>
      </w:hyperlink>
    </w:p>
    <w:p>
      <w:pPr>
        <w:pStyle w:val="Indice"/>
        <w:tabs>
          <w:tab w:val="right" w:leader="dot" w:pos="9974"/>
        </w:tabs>
        <w:spacing w:before="40" w:after="40"/>
        <w:ind w:left="1134" w:hanging="1134"/>
      </w:pPr>
      <w:hyperlink w:anchor="rot_Tabla_20_3" w:history="1">
        <w:r>
          <w:t xml:space="preserve">Tabla 20.3. Cargos del proyecto con perfil mínimo propuesto y evidencia requerida</w:t>
        </w:r>
        <w:r>
          <w:tab/>
        </w:r>
        <w:r>
          <w:fldChar w:fldCharType="begin"/>
        </w:r>
        <w:r>
          <w:instrText xml:space="preserve"> PAGEREF rot_Tabla_20_3 \h </w:instrText>
        </w:r>
        <w:r>
          <w:fldChar w:fldCharType="separate"/>
        </w:r>
        <w:r>
          <w:t>699</w:t>
        </w:r>
        <w:r>
          <w:fldChar w:fldCharType="end"/>
        </w:r>
      </w:hyperlink>
    </w:p>
    <w:p>
      <w:pPr>
        <w:pStyle w:val="Indice"/>
        <w:tabs>
          <w:tab w:val="right" w:leader="dot" w:pos="9974"/>
        </w:tabs>
        <w:spacing w:before="40" w:after="40"/>
        <w:ind w:left="1134" w:hanging="1134"/>
      </w:pPr>
      <w:hyperlink w:anchor="rot_Tabla_20_4" w:history="1">
        <w:r>
          <w:t xml:space="preserve">Tabla 20.4. Líneas del presupuesto que requieren cotización y tipo de soporte</w:t>
        </w:r>
        <w:r>
          <w:tab/>
        </w:r>
        <w:r>
          <w:fldChar w:fldCharType="begin"/>
        </w:r>
        <w:r>
          <w:instrText xml:space="preserve"> PAGEREF rot_Tabla_20_4 \h </w:instrText>
        </w:r>
        <w:r>
          <w:fldChar w:fldCharType="separate"/>
        </w:r>
        <w:r>
          <w:t>701</w:t>
        </w:r>
        <w:r>
          <w:fldChar w:fldCharType="end"/>
        </w:r>
      </w:hyperlink>
    </w:p>
    <w:p>
      <w:pPr>
        <w:pStyle w:val="Indice"/>
        <w:tabs>
          <w:tab w:val="right" w:leader="dot" w:pos="9974"/>
        </w:tabs>
        <w:spacing w:before="40" w:after="40"/>
        <w:ind w:left="1134" w:hanging="1134"/>
      </w:pPr>
      <w:hyperlink w:anchor="rot_Tabla_20_5" w:history="1">
        <w:r>
          <w:t xml:space="preserve">Tabla 20.5. Registro de grupos de investigación vinculados</w:t>
        </w:r>
        <w:r>
          <w:tab/>
        </w:r>
        <w:r>
          <w:fldChar w:fldCharType="begin"/>
        </w:r>
        <w:r>
          <w:instrText xml:space="preserve"> PAGEREF rot_Tabla_20_5 \h </w:instrText>
        </w:r>
        <w:r>
          <w:fldChar w:fldCharType="separate"/>
        </w:r>
        <w:r>
          <w:t>703</w:t>
        </w:r>
        <w:r>
          <w:fldChar w:fldCharType="end"/>
        </w:r>
      </w:hyperlink>
    </w:p>
    <w:p>
      <w:pPr>
        <w:pStyle w:val="Indice"/>
        <w:tabs>
          <w:tab w:val="right" w:leader="dot" w:pos="9974"/>
        </w:tabs>
        <w:spacing w:before="40" w:after="40"/>
        <w:ind w:left="1134" w:hanging="1134"/>
      </w:pPr>
      <w:hyperlink w:anchor="rot_Tabla_20_6" w:history="1">
        <w:r>
          <w:t xml:space="preserve">Tabla 20.6. Instrumentos de recolección con campos mínimos y periodicidad</w:t>
        </w:r>
        <w:r>
          <w:tab/>
        </w:r>
        <w:r>
          <w:fldChar w:fldCharType="begin"/>
        </w:r>
        <w:r>
          <w:instrText xml:space="preserve"> PAGEREF rot_Tabla_20_6 \h </w:instrText>
        </w:r>
        <w:r>
          <w:fldChar w:fldCharType="separate"/>
        </w:r>
        <w:r>
          <w:t>704</w:t>
        </w:r>
        <w:r>
          <w:fldChar w:fldCharType="end"/>
        </w:r>
      </w:hyperlink>
    </w:p>
    <w:p>
      <w:pPr>
        <w:pStyle w:val="Indice"/>
        <w:tabs>
          <w:tab w:val="right" w:leader="dot" w:pos="9974"/>
        </w:tabs>
        <w:spacing w:before="40" w:after="40"/>
        <w:ind w:left="1134" w:hanging="1134"/>
      </w:pPr>
      <w:hyperlink w:anchor="rot_Tabla_20_7" w:history="1">
        <w:r>
          <w:t xml:space="preserve">Tabla 20.7. Elementos mínimos del formulario de consentimiento informado</w:t>
        </w:r>
        <w:r>
          <w:tab/>
        </w:r>
        <w:r>
          <w:fldChar w:fldCharType="begin"/>
        </w:r>
        <w:r>
          <w:instrText xml:space="preserve"> PAGEREF rot_Tabla_20_7 \h </w:instrText>
        </w:r>
        <w:r>
          <w:fldChar w:fldCharType="separate"/>
        </w:r>
        <w:r>
          <w:t>705</w:t>
        </w:r>
        <w:r>
          <w:fldChar w:fldCharType="end"/>
        </w:r>
      </w:hyperlink>
    </w:p>
    <w:p>
      <w:pPr>
        <w:pStyle w:val="Indice"/>
        <w:tabs>
          <w:tab w:val="right" w:leader="dot" w:pos="9974"/>
        </w:tabs>
        <w:spacing w:before="40" w:after="40"/>
        <w:ind w:left="1134" w:hanging="1134"/>
      </w:pPr>
      <w:hyperlink w:anchor="rot_Tabla_20_8" w:history="1">
        <w:r>
          <w:t xml:space="preserve">Tabla 20.8. Valor solicitado al SGR por rubro y semestre, en millones de COP</w:t>
        </w:r>
        <w:r>
          <w:tab/>
        </w:r>
        <w:r>
          <w:fldChar w:fldCharType="begin"/>
        </w:r>
        <w:r>
          <w:instrText xml:space="preserve"> PAGEREF rot_Tabla_20_8 \h </w:instrText>
        </w:r>
        <w:r>
          <w:fldChar w:fldCharType="separate"/>
        </w:r>
        <w:r>
          <w:t>706</w:t>
        </w:r>
        <w:r>
          <w:fldChar w:fldCharType="end"/>
        </w:r>
      </w:hyperlink>
    </w:p>
    <w:p>
      <w:pPr>
        <w:pStyle w:val="Indice"/>
        <w:tabs>
          <w:tab w:val="right" w:leader="dot" w:pos="9974"/>
        </w:tabs>
        <w:spacing w:before="40" w:after="40"/>
        <w:ind w:left="1134" w:hanging="1134"/>
      </w:pPr>
      <w:hyperlink w:anchor="rot_Tabla_20_9" w:history="1">
        <w:r>
          <w:t xml:space="preserve">Tabla 20.9. Valor solicitado al SGR por paquete de trabajo y rubro, en millones de COP</w:t>
        </w:r>
        <w:r>
          <w:tab/>
        </w:r>
        <w:r>
          <w:fldChar w:fldCharType="begin"/>
        </w:r>
        <w:r>
          <w:instrText xml:space="preserve"> PAGEREF rot_Tabla_20_9 \h </w:instrText>
        </w:r>
        <w:r>
          <w:fldChar w:fldCharType="separate"/>
        </w:r>
        <w:r>
          <w:t>706</w:t>
        </w:r>
        <w:r>
          <w:fldChar w:fldCharType="end"/>
        </w:r>
      </w:hyperlink>
    </w:p>
    <w:p>
      <w:pPr>
        <w:pStyle w:val="Indice"/>
        <w:tabs>
          <w:tab w:val="right" w:leader="dot" w:pos="9974"/>
        </w:tabs>
        <w:spacing w:before="40" w:after="40"/>
        <w:ind w:left="1134" w:hanging="1134"/>
      </w:pPr>
      <w:hyperlink w:anchor="rot_Tabla_20_10" w:history="1">
        <w:r>
          <w:t xml:space="preserve">Tabla 20.10. Cronograma detallado por actividad y trimestre</w:t>
        </w:r>
        <w:r>
          <w:tab/>
        </w:r>
        <w:r>
          <w:fldChar w:fldCharType="begin"/>
        </w:r>
        <w:r>
          <w:instrText xml:space="preserve"> PAGEREF rot_Tabla_20_10 \h </w:instrText>
        </w:r>
        <w:r>
          <w:fldChar w:fldCharType="separate"/>
        </w:r>
        <w:r>
          <w:t>708</w:t>
        </w:r>
        <w:r>
          <w:fldChar w:fldCharType="end"/>
        </w:r>
      </w:hyperlink>
    </w:p>
    <w:p>
      <w:pPr>
        <w:pStyle w:val="Indice"/>
        <w:tabs>
          <w:tab w:val="right" w:leader="dot" w:pos="9974"/>
        </w:tabs>
        <w:spacing w:before="40" w:after="40"/>
        <w:ind w:left="1134" w:hanging="1134"/>
      </w:pPr>
      <w:hyperlink w:anchor="rot_Tabla_20_11" w:history="1">
        <w:r>
          <w:t xml:space="preserve">Tabla 20.11. Registro de estudios previos con huella SHA-256</w:t>
        </w:r>
        <w:r>
          <w:tab/>
        </w:r>
        <w:r>
          <w:fldChar w:fldCharType="begin"/>
        </w:r>
        <w:r>
          <w:instrText xml:space="preserve"> PAGEREF rot_Tabla_20_11 \h </w:instrText>
        </w:r>
        <w:r>
          <w:fldChar w:fldCharType="separate"/>
        </w:r>
        <w:r>
          <w:t>709</w:t>
        </w:r>
        <w:r>
          <w:fldChar w:fldCharType="end"/>
        </w:r>
      </w:hyperlink>
    </w:p>
    <w:p>
      <w:pPr>
        <w:pStyle w:val="Indice"/>
        <w:tabs>
          <w:tab w:val="right" w:leader="dot" w:pos="9974"/>
        </w:tabs>
        <w:spacing w:before="40" w:after="40"/>
        <w:ind w:left="1134" w:hanging="1134"/>
      </w:pPr>
      <w:hyperlink w:anchor="rot_Tabla_20_12" w:history="1">
        <w:r>
          <w:t xml:space="preserve">Tabla 20.12. Documentos de la convocatoria no aportados y efecto de su ausencia</w:t>
        </w:r>
        <w:r>
          <w:tab/>
        </w:r>
        <w:r>
          <w:fldChar w:fldCharType="begin"/>
        </w:r>
        <w:r>
          <w:instrText xml:space="preserve"> PAGEREF rot_Tabla_20_12 \h </w:instrText>
        </w:r>
        <w:r>
          <w:fldChar w:fldCharType="separate"/>
        </w:r>
        <w:r>
          <w:t>711</w:t>
        </w:r>
        <w:r>
          <w:fldChar w:fldCharType="end"/>
        </w:r>
      </w:hyperlink>
    </w:p>
    <w:p>
      <w:pPr>
        <w:pStyle w:val="Indice"/>
        <w:tabs>
          <w:tab w:val="right" w:leader="dot" w:pos="9974"/>
        </w:tabs>
        <w:spacing w:before="40" w:after="40"/>
        <w:ind w:left="1134" w:hanging="1134"/>
      </w:pPr>
      <w:hyperlink w:anchor="rot_Tabla_20_13" w:history="1">
        <w:r>
          <w:t xml:space="preserve">Tabla 20.13. Inventario de archivos del respaldo con huella SHA-256</w:t>
        </w:r>
        <w:r>
          <w:tab/>
        </w:r>
        <w:r>
          <w:fldChar w:fldCharType="begin"/>
        </w:r>
        <w:r>
          <w:instrText xml:space="preserve"> PAGEREF rot_Tabla_20_13 \h </w:instrText>
        </w:r>
        <w:r>
          <w:fldChar w:fldCharType="separate"/>
        </w:r>
        <w:r>
          <w:t>803</w:t>
        </w:r>
        <w:r>
          <w:fldChar w:fldCharType="end"/>
        </w:r>
      </w:hyperlink>
    </w:p>
    <w:p>
      <w:pPr>
        <w:pStyle w:val="Indice"/>
        <w:tabs>
          <w:tab w:val="right" w:leader="dot" w:pos="9974"/>
        </w:tabs>
        <w:spacing w:before="40" w:after="40"/>
        <w:ind w:left="1134" w:hanging="1134"/>
      </w:pPr>
      <w:hyperlink w:anchor="rot_Tabla_20_14" w:history="1">
        <w:r>
          <w:t xml:space="preserve">Tabla 20.14. Correspondencia entre las 30 secciones del Anexo 2 y el documento</w:t>
        </w:r>
        <w:r>
          <w:tab/>
        </w:r>
        <w:r>
          <w:fldChar w:fldCharType="begin"/>
        </w:r>
        <w:r>
          <w:instrText xml:space="preserve"> PAGEREF rot_Tabla_20_14 \h </w:instrText>
        </w:r>
        <w:r>
          <w:fldChar w:fldCharType="separate"/>
        </w:r>
        <w:r>
          <w:t>810</w:t>
        </w:r>
        <w:r>
          <w:fldChar w:fldCharType="end"/>
        </w:r>
      </w:hyperlink>
    </w:p>
    <w:p>
      <w:pPr>
        <w:pStyle w:val="Indice"/>
        <w:tabs>
          <w:tab w:val="right" w:leader="dot" w:pos="9974"/>
        </w:tabs>
        <w:spacing w:before="40" w:after="40"/>
        <w:ind w:left="1134" w:hanging="1134"/>
      </w:pPr>
      <w:hyperlink w:anchor="rot_Tabla_20_15" w:history="1">
        <w:r>
          <w:t xml:space="preserve">Tabla 20.15. Cadena de valor propuesta en el formato del Anexo 2</w:t>
        </w:r>
        <w:r>
          <w:tab/>
        </w:r>
        <w:r>
          <w:fldChar w:fldCharType="begin"/>
        </w:r>
        <w:r>
          <w:instrText xml:space="preserve"> PAGEREF rot_Tabla_20_15 \h </w:instrText>
        </w:r>
        <w:r>
          <w:fldChar w:fldCharType="separate"/>
        </w:r>
        <w:r>
          <w:t>812</w:t>
        </w:r>
        <w:r>
          <w:fldChar w:fldCharType="end"/>
        </w:r>
      </w:hyperlink>
    </w:p>
    <w:p>
      <w:pPr>
        <w:pStyle w:val="Indice"/>
        <w:tabs>
          <w:tab w:val="right" w:leader="dot" w:pos="9974"/>
        </w:tabs>
        <w:spacing w:before="40" w:after="40"/>
        <w:ind w:left="1134" w:hanging="1134"/>
      </w:pPr>
      <w:hyperlink w:anchor="rot_Tabla_20_16" w:history="1">
        <w:r>
          <w:t xml:space="preserve">Tabla 20.16. Asignación propuesta de productos del catálogo MGA, sector 39 y programa 3906</w:t>
        </w:r>
        <w:r>
          <w:tab/>
        </w:r>
        <w:r>
          <w:fldChar w:fldCharType="begin"/>
        </w:r>
        <w:r>
          <w:instrText xml:space="preserve"> PAGEREF rot_Tabla_20_16 \h </w:instrText>
        </w:r>
        <w:r>
          <w:fldChar w:fldCharType="separate"/>
        </w:r>
        <w:r>
          <w:t>814</w:t>
        </w:r>
        <w:r>
          <w:fldChar w:fldCharType="end"/>
        </w:r>
      </w:hyperlink>
    </w:p>
    <w:p>
      <w:pPr>
        <w:pStyle w:val="Indice"/>
        <w:tabs>
          <w:tab w:val="right" w:leader="dot" w:pos="9974"/>
        </w:tabs>
        <w:spacing w:before="40" w:after="40"/>
        <w:ind w:left="1134" w:hanging="1134"/>
      </w:pPr>
      <w:hyperlink w:anchor="rot_Tabla_20_17" w:history="1">
        <w:r>
          <w:t xml:space="preserve">Tabla 20.17. Registro de riesgos convertido al formato del Anexo 2</w:t>
        </w:r>
        <w:r>
          <w:tab/>
        </w:r>
        <w:r>
          <w:fldChar w:fldCharType="begin"/>
        </w:r>
        <w:r>
          <w:instrText xml:space="preserve"> PAGEREF rot_Tabla_20_17 \h </w:instrText>
        </w:r>
        <w:r>
          <w:fldChar w:fldCharType="separate"/>
        </w:r>
        <w:r>
          <w:t>814</w:t>
        </w:r>
        <w:r>
          <w:fldChar w:fldCharType="end"/>
        </w:r>
      </w:hyperlink>
    </w:p>
    <w:p>
      <w:pPr>
        <w:pStyle w:val="Indice"/>
        <w:tabs>
          <w:tab w:val="right" w:leader="dot" w:pos="9974"/>
        </w:tabs>
        <w:spacing w:before="40" w:after="40"/>
        <w:ind w:left="1134" w:hanging="1134"/>
      </w:pPr>
      <w:hyperlink w:anchor="rot_Tabla_20_18" w:history="1">
        <w:r>
          <w:t xml:space="preserve">Tabla 20.18. Licencias y permisos identificados con su acción de verificación</w:t>
        </w:r>
        <w:r>
          <w:tab/>
        </w:r>
        <w:r>
          <w:fldChar w:fldCharType="begin"/>
        </w:r>
        <w:r>
          <w:instrText xml:space="preserve"> PAGEREF rot_Tabla_20_18 \h </w:instrText>
        </w:r>
        <w:r>
          <w:fldChar w:fldCharType="separate"/>
        </w:r>
        <w:r>
          <w:t>816</w:t>
        </w:r>
        <w:r>
          <w:fldChar w:fldCharType="end"/>
        </w:r>
      </w:hyperlink>
    </w:p>
    <w:p>
      <w:pPr>
        <w:pStyle w:val="Indice"/>
        <w:tabs>
          <w:tab w:val="right" w:leader="dot" w:pos="9974"/>
        </w:tabs>
        <w:spacing w:before="40" w:after="40"/>
        <w:ind w:left="1134" w:hanging="1134"/>
      </w:pPr>
      <w:hyperlink w:anchor="rot_Tabla_20_19" w:history="1">
        <w:r>
          <w:t xml:space="preserve">Tabla 20.19. Hallazgos de cumplimiento derivados del Anexo 2 y ruta de solución</w:t>
        </w:r>
        <w:r>
          <w:tab/>
        </w:r>
        <w:r>
          <w:fldChar w:fldCharType="begin"/>
        </w:r>
        <w:r>
          <w:instrText xml:space="preserve"> PAGEREF rot_Tabla_20_19 \h </w:instrText>
        </w:r>
        <w:r>
          <w:fldChar w:fldCharType="separate"/>
        </w:r>
        <w:r>
          <w:t>817</w:t>
        </w:r>
        <w:r>
          <w:fldChar w:fldCharType="end"/>
        </w:r>
      </w:hyperlink>
    </w:p>
    <w:p>
      <w:pPr>
        <w:pStyle w:val="Indice"/>
        <w:tabs>
          <w:tab w:val="right" w:leader="dot" w:pos="9974"/>
        </w:tabs>
        <w:spacing w:before="40" w:after="40"/>
        <w:ind w:left="1134" w:hanging="1134"/>
      </w:pPr>
      <w:hyperlink w:anchor="rot_Tabla_21_1" w:history="1">
        <w:r>
          <w:t xml:space="preserve">Tabla 21.1. Ficha de identificación del proyecto</w:t>
        </w:r>
        <w:r>
          <w:tab/>
        </w:r>
        <w:r>
          <w:fldChar w:fldCharType="begin"/>
        </w:r>
        <w:r>
          <w:instrText xml:space="preserve"> PAGEREF rot_Tabla_21_1 \h </w:instrText>
        </w:r>
        <w:r>
          <w:fldChar w:fldCharType="separate"/>
        </w:r>
        <w:r>
          <w:t>819</w:t>
        </w:r>
        <w:r>
          <w:fldChar w:fldCharType="end"/>
        </w:r>
      </w:hyperlink>
    </w:p>
    <w:p>
      <w:pPr>
        <w:pStyle w:val="Indice"/>
        <w:tabs>
          <w:tab w:val="right" w:leader="dot" w:pos="9974"/>
        </w:tabs>
        <w:spacing w:before="40" w:after="40"/>
        <w:ind w:left="1134" w:hanging="1134"/>
      </w:pPr>
      <w:hyperlink w:anchor="rot_Tabla_21_2" w:history="1">
        <w:r>
          <w:t xml:space="preserve">Tabla 21.2. Lista de entregables principales con indicador, hito y criterio de aceptación</w:t>
        </w:r>
        <w:r>
          <w:tab/>
        </w:r>
        <w:r>
          <w:fldChar w:fldCharType="begin"/>
        </w:r>
        <w:r>
          <w:instrText xml:space="preserve"> PAGEREF rot_Tabla_21_2 \h </w:instrText>
        </w:r>
        <w:r>
          <w:fldChar w:fldCharType="separate"/>
        </w:r>
        <w:r>
          <w:t>822</w:t>
        </w:r>
        <w:r>
          <w:fldChar w:fldCharType="end"/>
        </w:r>
      </w:hyperlink>
    </w:p>
    <w:p>
      <w:pPr>
        <w:pStyle w:val="Indice"/>
        <w:tabs>
          <w:tab w:val="right" w:leader="dot" w:pos="9974"/>
        </w:tabs>
        <w:spacing w:before="40" w:after="40"/>
        <w:ind w:left="1134" w:hanging="1134"/>
      </w:pPr>
      <w:hyperlink w:anchor="rot_Tabla_21_3" w:history="1">
        <w:r>
          <w:t xml:space="preserve">Tabla 21.3. Criterios de éxito medibles e indicadores clave del proyecto</w:t>
        </w:r>
        <w:r>
          <w:tab/>
        </w:r>
        <w:r>
          <w:fldChar w:fldCharType="begin"/>
        </w:r>
        <w:r>
          <w:instrText xml:space="preserve"> PAGEREF rot_Tabla_21_3 \h </w:instrText>
        </w:r>
        <w:r>
          <w:fldChar w:fldCharType="separate"/>
        </w:r>
        <w:r>
          <w:t>823</w:t>
        </w:r>
        <w:r>
          <w:fldChar w:fldCharType="end"/>
        </w:r>
      </w:hyperlink>
    </w:p>
    <w:p>
      <w:pPr>
        <w:pStyle w:val="Indice"/>
        <w:tabs>
          <w:tab w:val="right" w:leader="dot" w:pos="9974"/>
        </w:tabs>
        <w:spacing w:before="40" w:after="40"/>
        <w:ind w:left="1134" w:hanging="1134"/>
      </w:pPr>
      <w:hyperlink w:anchor="rot_Tabla_21_4" w:history="1">
        <w:r>
          <w:t xml:space="preserve">Tabla 21.4. Matriz de alcance con inclusiones, exclusiones, supuestos y restricciones</w:t>
        </w:r>
        <w:r>
          <w:tab/>
        </w:r>
        <w:r>
          <w:fldChar w:fldCharType="begin"/>
        </w:r>
        <w:r>
          <w:instrText xml:space="preserve"> PAGEREF rot_Tabla_21_4 \h </w:instrText>
        </w:r>
        <w:r>
          <w:fldChar w:fldCharType="separate"/>
        </w:r>
        <w:r>
          <w:t>823</w:t>
        </w:r>
        <w:r>
          <w:fldChar w:fldCharType="end"/>
        </w:r>
      </w:hyperlink>
    </w:p>
    <w:p>
      <w:pPr>
        <w:pStyle w:val="Indice"/>
        <w:tabs>
          <w:tab w:val="right" w:leader="dot" w:pos="9974"/>
        </w:tabs>
        <w:spacing w:before="40" w:after="40"/>
        <w:ind w:left="1134" w:hanging="1134"/>
      </w:pPr>
      <w:hyperlink w:anchor="rot_Tabla_21_5" w:history="1">
        <w:r>
          <w:t xml:space="preserve">Tabla 21.5. Riesgos de alto nivel con valor esperado y estrategia preliminar</w:t>
        </w:r>
        <w:r>
          <w:tab/>
        </w:r>
        <w:r>
          <w:fldChar w:fldCharType="begin"/>
        </w:r>
        <w:r>
          <w:instrText xml:space="preserve"> PAGEREF rot_Tabla_21_5 \h </w:instrText>
        </w:r>
        <w:r>
          <w:fldChar w:fldCharType="separate"/>
        </w:r>
        <w:r>
          <w:t>824</w:t>
        </w:r>
        <w:r>
          <w:fldChar w:fldCharType="end"/>
        </w:r>
      </w:hyperlink>
    </w:p>
    <w:p>
      <w:pPr>
        <w:pStyle w:val="Indice"/>
        <w:tabs>
          <w:tab w:val="right" w:leader="dot" w:pos="9974"/>
        </w:tabs>
        <w:spacing w:before="40" w:after="40"/>
        <w:ind w:left="1134" w:hanging="1134"/>
      </w:pPr>
      <w:hyperlink w:anchor="rot_Tabla_21_6" w:history="1">
        <w:r>
          <w:t xml:space="preserve">Tabla 21.6. Resumen presupuestal por rubro y por fuente</w:t>
        </w:r>
        <w:r>
          <w:tab/>
        </w:r>
        <w:r>
          <w:fldChar w:fldCharType="begin"/>
        </w:r>
        <w:r>
          <w:instrText xml:space="preserve"> PAGEREF rot_Tabla_21_6 \h </w:instrText>
        </w:r>
        <w:r>
          <w:fldChar w:fldCharType="separate"/>
        </w:r>
        <w:r>
          <w:t>826</w:t>
        </w:r>
        <w:r>
          <w:fldChar w:fldCharType="end"/>
        </w:r>
      </w:hyperlink>
    </w:p>
    <w:p>
      <w:pPr>
        <w:pStyle w:val="Indice"/>
        <w:tabs>
          <w:tab w:val="right" w:leader="dot" w:pos="9974"/>
        </w:tabs>
        <w:spacing w:before="40" w:after="40"/>
        <w:ind w:left="1134" w:hanging="1134"/>
      </w:pPr>
      <w:hyperlink w:anchor="rot_Tabla_21_7" w:history="1">
        <w:r>
          <w:t xml:space="preserve">Tabla 21.7. Firmas de autorización del acta de constitución</w:t>
        </w:r>
        <w:r>
          <w:tab/>
        </w:r>
        <w:r>
          <w:fldChar w:fldCharType="begin"/>
        </w:r>
        <w:r>
          <w:instrText xml:space="preserve"> PAGEREF rot_Tabla_21_7 \h </w:instrText>
        </w:r>
        <w:r>
          <w:fldChar w:fldCharType="separate"/>
        </w:r>
        <w:r>
          <w:t>829</w:t>
        </w:r>
        <w:r>
          <w:fldChar w:fldCharType="end"/>
        </w:r>
      </w:hyperlink>
    </w:p>
    <w:p>
      <w:pPr>
        <w:pStyle w:val="Indice"/>
        <w:tabs>
          <w:tab w:val="right" w:leader="dot" w:pos="9974"/>
        </w:tabs>
        <w:spacing w:before="40" w:after="40"/>
        <w:ind w:left="1134" w:hanging="1134"/>
      </w:pPr>
      <w:hyperlink w:anchor="rot_Tabla_X1_1" w:history="1">
        <w:r>
          <w:t xml:space="preserve">Tabla X1.1. Datos clave del proyecto</w:t>
        </w:r>
        <w:r>
          <w:tab/>
        </w:r>
        <w:r>
          <w:fldChar w:fldCharType="begin"/>
        </w:r>
        <w:r>
          <w:instrText xml:space="preserve"> PAGEREF rot_Tabla_X1_1 \h </w:instrText>
        </w:r>
        <w:r>
          <w:fldChar w:fldCharType="separate"/>
        </w:r>
        <w:r>
          <w:t>831</w:t>
        </w:r>
        <w:r>
          <w:fldChar w:fldCharType="end"/>
        </w:r>
      </w:hyperlink>
    </w:p>
    <w:p>
      <w:pPr>
        <w:pStyle w:val="Indice"/>
        <w:tabs>
          <w:tab w:val="right" w:leader="dot" w:pos="9974"/>
        </w:tabs>
        <w:spacing w:before="40" w:after="40"/>
        <w:ind w:left="1134" w:hanging="1134"/>
      </w:pPr>
      <w:hyperlink w:anchor="rot_Tabla_X2_1" w:history="1">
        <w:r>
          <w:t xml:space="preserve">Tabla X2.1. Cifras de pie del proyecto</w:t>
        </w:r>
        <w:r>
          <w:tab/>
        </w:r>
        <w:r>
          <w:fldChar w:fldCharType="begin"/>
        </w:r>
        <w:r>
          <w:instrText xml:space="preserve"> PAGEREF rot_Tabla_X2_1 \h </w:instrText>
        </w:r>
        <w:r>
          <w:fldChar w:fldCharType="separate"/>
        </w:r>
        <w:r>
          <w:t>834</w:t>
        </w:r>
        <w:r>
          <w:fldChar w:fldCharType="end"/>
        </w:r>
      </w:hyperlink>
    </w:p>
    <w:p>
      <w:pPr>
        <w:pStyle w:val="Indice"/>
        <w:tabs>
          <w:tab w:val="right" w:leader="dot" w:pos="9974"/>
        </w:tabs>
        <w:spacing w:before="40" w:after="40"/>
        <w:ind w:left="1134" w:hanging="1134"/>
      </w:pPr>
      <w:hyperlink w:anchor="rot_Tabla_X3_1" w:history="1">
        <w:r>
          <w:t xml:space="preserve">Tabla X3.1. Contenido y notas de las 15 diapositivas del pitch deck</w:t>
        </w:r>
        <w:r>
          <w:tab/>
        </w:r>
        <w:r>
          <w:fldChar w:fldCharType="begin"/>
        </w:r>
        <w:r>
          <w:instrText xml:space="preserve"> PAGEREF rot_Tabla_X3_1 \h </w:instrText>
        </w:r>
        <w:r>
          <w:fldChar w:fldCharType="separate"/>
        </w:r>
        <w:r>
          <w:t>835</w:t>
        </w:r>
        <w:r>
          <w:fldChar w:fldCharType="end"/>
        </w:r>
      </w:hyperlink>
    </w:p>
    <w:p>
      <w:pPr>
        <w:pStyle w:val="Indice"/>
        <w:tabs>
          <w:tab w:val="right" w:leader="dot" w:pos="9974"/>
        </w:tabs>
        <w:spacing w:before="40" w:after="40"/>
        <w:ind w:left="1134" w:hanging="1134"/>
      </w:pPr>
      <w:hyperlink w:anchor="rot_Tabla_X4_1" w:history="1">
        <w:r>
          <w:t xml:space="preserve">Tabla X4.1. Clasificación del tipo de innovación del proyecto</w:t>
        </w:r>
        <w:r>
          <w:tab/>
        </w:r>
        <w:r>
          <w:fldChar w:fldCharType="begin"/>
        </w:r>
        <w:r>
          <w:instrText xml:space="preserve"> PAGEREF rot_Tabla_X4_1 \h </w:instrText>
        </w:r>
        <w:r>
          <w:fldChar w:fldCharType="separate"/>
        </w:r>
        <w:r>
          <w:t>840</w:t>
        </w:r>
        <w:r>
          <w:fldChar w:fldCharType="end"/>
        </w:r>
      </w:hyperlink>
    </w:p>
    <w:p>
      <w:pPr>
        <w:pStyle w:val="Indice"/>
        <w:tabs>
          <w:tab w:val="right" w:leader="dot" w:pos="9974"/>
        </w:tabs>
        <w:spacing w:before="40" w:after="40"/>
        <w:ind w:left="1134" w:hanging="1134"/>
      </w:pPr>
      <w:hyperlink w:anchor="rot_Tabla_X4_2" w:history="1">
        <w:r>
          <w:t xml:space="preserve">Tabla X4.2. Análisis de trabajos por realizar del comité de gestión del riesgo y del operario de remoción</w:t>
        </w:r>
        <w:r>
          <w:tab/>
        </w:r>
        <w:r>
          <w:fldChar w:fldCharType="begin"/>
        </w:r>
        <w:r>
          <w:instrText xml:space="preserve"> PAGEREF rot_Tabla_X4_2 \h </w:instrText>
        </w:r>
        <w:r>
          <w:fldChar w:fldCharType="separate"/>
        </w:r>
        <w:r>
          <w:t>844</w:t>
        </w:r>
        <w:r>
          <w:fldChar w:fldCharType="end"/>
        </w:r>
      </w:hyperlink>
    </w:p>
    <w:p>
      <w:pPr>
        <w:pStyle w:val="Indice"/>
        <w:tabs>
          <w:tab w:val="right" w:leader="dot" w:pos="9974"/>
        </w:tabs>
        <w:spacing w:before="40" w:after="40"/>
        <w:ind w:left="1134" w:hanging="1134"/>
      </w:pPr>
      <w:hyperlink w:anchor="rot_Tabla_X4_3" w:history="1">
        <w:r>
          <w:t xml:space="preserve">Tabla X4.3. Implicaciones de la clasificación de innovación para la gestión del proyecto</w:t>
        </w:r>
        <w:r>
          <w:tab/>
        </w:r>
        <w:r>
          <w:fldChar w:fldCharType="begin"/>
        </w:r>
        <w:r>
          <w:instrText xml:space="preserve"> PAGEREF rot_Tabla_X4_3 \h </w:instrText>
        </w:r>
        <w:r>
          <w:fldChar w:fldCharType="separate"/>
        </w:r>
        <w:r>
          <w:t>847</w:t>
        </w:r>
        <w:r>
          <w:fldChar w:fldCharType="end"/>
        </w:r>
      </w:hyperlink>
    </w:p>
    <w:p>
      <w:pPr>
        <w:pStyle w:val="Indice"/>
        <w:tabs>
          <w:tab w:val="right" w:leader="dot" w:pos="9974"/>
        </w:tabs>
        <w:spacing w:before="40" w:after="40"/>
        <w:ind w:left="1134" w:hanging="1134"/>
      </w:pPr>
      <w:hyperlink w:anchor="rot_Tabla_X4_4" w:history="1">
        <w:r>
          <w:t xml:space="preserve">Tabla X4.4. Modelo de ocho pasos de Kotter aplicado al proyecto</w:t>
        </w:r>
        <w:r>
          <w:tab/>
        </w:r>
        <w:r>
          <w:fldChar w:fldCharType="begin"/>
        </w:r>
        <w:r>
          <w:instrText xml:space="preserve"> PAGEREF rot_Tabla_X4_4 \h </w:instrText>
        </w:r>
        <w:r>
          <w:fldChar w:fldCharType="separate"/>
        </w:r>
        <w:r>
          <w:t>850</w:t>
        </w:r>
        <w:r>
          <w:fldChar w:fldCharType="end"/>
        </w:r>
      </w:hyperlink>
    </w:p>
    <w:p>
      <w:pPr>
        <w:pStyle w:val="Indice"/>
        <w:tabs>
          <w:tab w:val="right" w:leader="dot" w:pos="9974"/>
        </w:tabs>
        <w:spacing w:before="40" w:after="40"/>
        <w:ind w:left="1134" w:hanging="1134"/>
      </w:pPr>
      <w:hyperlink w:anchor="rot_Tabla_X4_5" w:history="1">
        <w:r>
          <w:t xml:space="preserve">Tabla X4.5. Victorias tempranas planificadas</w:t>
        </w:r>
        <w:r>
          <w:tab/>
        </w:r>
        <w:r>
          <w:fldChar w:fldCharType="begin"/>
        </w:r>
        <w:r>
          <w:instrText xml:space="preserve"> PAGEREF rot_Tabla_X4_5 \h </w:instrText>
        </w:r>
        <w:r>
          <w:fldChar w:fldCharType="separate"/>
        </w:r>
        <w:r>
          <w:t>852</w:t>
        </w:r>
        <w:r>
          <w:fldChar w:fldCharType="end"/>
        </w:r>
      </w:hyperlink>
    </w:p>
    <w:p>
      <w:pPr>
        <w:pStyle w:val="Indice"/>
        <w:tabs>
          <w:tab w:val="right" w:leader="dot" w:pos="9974"/>
        </w:tabs>
        <w:spacing w:before="40" w:after="40"/>
        <w:ind w:left="1134" w:hanging="1134"/>
      </w:pPr>
      <w:hyperlink w:anchor="rot_Tabla_X4_6" w:history="1">
        <w:r>
          <w:t xml:space="preserve">Tabla X4.6. Composición de la coalición guía por roles</w:t>
        </w:r>
        <w:r>
          <w:tab/>
        </w:r>
        <w:r>
          <w:fldChar w:fldCharType="begin"/>
        </w:r>
        <w:r>
          <w:instrText xml:space="preserve"> PAGEREF rot_Tabla_X4_6 \h </w:instrText>
        </w:r>
        <w:r>
          <w:fldChar w:fldCharType="separate"/>
        </w:r>
        <w:r>
          <w:t>853</w:t>
        </w:r>
        <w:r>
          <w:fldChar w:fldCharType="end"/>
        </w:r>
      </w:hyperlink>
    </w:p>
    <w:p>
      <w:pPr>
        <w:pStyle w:val="Indice"/>
        <w:tabs>
          <w:tab w:val="right" w:leader="dot" w:pos="9974"/>
        </w:tabs>
        <w:spacing w:before="40" w:after="40"/>
        <w:ind w:left="1134" w:hanging="1134"/>
      </w:pPr>
      <w:hyperlink w:anchor="rot_Tabla_X4_7" w:history="1">
        <w:r>
          <w:t xml:space="preserve">Tabla X4.7. Mecanismos de aprendizaje por tipo de bucle</w:t>
        </w:r>
        <w:r>
          <w:tab/>
        </w:r>
        <w:r>
          <w:fldChar w:fldCharType="begin"/>
        </w:r>
        <w:r>
          <w:instrText xml:space="preserve"> PAGEREF rot_Tabla_X4_7 \h </w:instrText>
        </w:r>
        <w:r>
          <w:fldChar w:fldCharType="separate"/>
        </w:r>
        <w:r>
          <w:t>856</w:t>
        </w:r>
        <w:r>
          <w:fldChar w:fldCharType="end"/>
        </w:r>
      </w:hyperlink>
    </w:p>
    <w:p>
      <w:pPr>
        <w:pStyle w:val="Indice"/>
        <w:tabs>
          <w:tab w:val="right" w:leader="dot" w:pos="9974"/>
        </w:tabs>
        <w:spacing w:before="40" w:after="40"/>
        <w:ind w:left="1134" w:hanging="1134"/>
      </w:pPr>
      <w:hyperlink w:anchor="rot_Tabla_X4_8" w:history="1">
        <w:r>
          <w:t xml:space="preserve">Tabla X4.8. Preguntas para las revisiones de doble bucle</w:t>
        </w:r>
        <w:r>
          <w:tab/>
        </w:r>
        <w:r>
          <w:fldChar w:fldCharType="begin"/>
        </w:r>
        <w:r>
          <w:instrText xml:space="preserve"> PAGEREF rot_Tabla_X4_8 \h </w:instrText>
        </w:r>
        <w:r>
          <w:fldChar w:fldCharType="separate"/>
        </w:r>
        <w:r>
          <w:t>857</w:t>
        </w:r>
        <w:r>
          <w:fldChar w:fldCharType="end"/>
        </w:r>
      </w:hyperlink>
    </w:p>
    <w:p>
      <w:pPr>
        <w:pStyle w:val="Indice"/>
        <w:tabs>
          <w:tab w:val="right" w:leader="dot" w:pos="9974"/>
        </w:tabs>
        <w:spacing w:before="40" w:after="40"/>
        <w:ind w:left="1134" w:hanging="1134"/>
      </w:pPr>
      <w:hyperlink w:anchor="rot_Tabla_X4_9" w:history="1">
        <w:r>
          <w:t xml:space="preserve">Tabla X4.9. Rutinas defensivas probables y su mitigación</w:t>
        </w:r>
        <w:r>
          <w:tab/>
        </w:r>
        <w:r>
          <w:fldChar w:fldCharType="begin"/>
        </w:r>
        <w:r>
          <w:instrText xml:space="preserve"> PAGEREF rot_Tabla_X4_9 \h </w:instrText>
        </w:r>
        <w:r>
          <w:fldChar w:fldCharType="separate"/>
        </w:r>
        <w:r>
          <w:t>859</w:t>
        </w:r>
        <w:r>
          <w:fldChar w:fldCharType="end"/>
        </w:r>
      </w:hyperlink>
    </w:p>
    <w:p>
      <w:pPr>
        <w:pStyle w:val="Indice"/>
        <w:tabs>
          <w:tab w:val="right" w:leader="dot" w:pos="9974"/>
        </w:tabs>
        <w:spacing w:before="40" w:after="40"/>
        <w:ind w:left="1134" w:hanging="1134"/>
      </w:pPr>
      <w:hyperlink w:anchor="rot_Tabla_X4_10" w:history="1">
        <w:r>
          <w:t xml:space="preserve">Tabla X4.10. Indicadores de capacidad de aprendizaje</w:t>
        </w:r>
        <w:r>
          <w:tab/>
        </w:r>
        <w:r>
          <w:fldChar w:fldCharType="begin"/>
        </w:r>
        <w:r>
          <w:instrText xml:space="preserve"> PAGEREF rot_Tabla_X4_10 \h </w:instrText>
        </w:r>
        <w:r>
          <w:fldChar w:fldCharType="separate"/>
        </w:r>
        <w:r>
          <w:t>860</w:t>
        </w:r>
        <w:r>
          <w:fldChar w:fldCharType="end"/>
        </w:r>
      </w:hyperlink>
    </w:p>
    <w:p>
      <w:pPr>
        <w:pStyle w:val="Indice"/>
        <w:tabs>
          <w:tab w:val="right" w:leader="dot" w:pos="9974"/>
        </w:tabs>
        <w:spacing w:before="40" w:after="40"/>
        <w:ind w:left="1134" w:hanging="1134"/>
      </w:pPr>
      <w:hyperlink w:anchor="rot_Tabla_X4_11" w:history="1">
        <w:r>
          <w:t xml:space="preserve">Tabla X4.11. Análisis de premortem: causas de fracaso del registro de riesgos</w:t>
        </w:r>
        <w:r>
          <w:tab/>
        </w:r>
        <w:r>
          <w:fldChar w:fldCharType="begin"/>
        </w:r>
        <w:r>
          <w:instrText xml:space="preserve"> PAGEREF rot_Tabla_X4_11 \h </w:instrText>
        </w:r>
        <w:r>
          <w:fldChar w:fldCharType="separate"/>
        </w:r>
        <w:r>
          <w:t>862</w:t>
        </w:r>
        <w:r>
          <w:fldChar w:fldCharType="end"/>
        </w:r>
      </w:hyperlink>
    </w:p>
    <w:p>
      <w:pPr>
        <w:pStyle w:val="Indice"/>
        <w:tabs>
          <w:tab w:val="right" w:leader="dot" w:pos="9974"/>
        </w:tabs>
        <w:spacing w:before="40" w:after="40"/>
        <w:ind w:left="1134" w:hanging="1134"/>
      </w:pPr>
      <w:hyperlink w:anchor="rot_Tabla_X4_12" w:history="1">
        <w:r>
          <w:t xml:space="preserve">Tabla X4.12. Causas estratégicas de fracaso según el premortem de 4.4-MDR.12</w:t>
        </w:r>
        <w:r>
          <w:tab/>
        </w:r>
        <w:r>
          <w:fldChar w:fldCharType="begin"/>
        </w:r>
        <w:r>
          <w:instrText xml:space="preserve"> PAGEREF rot_Tabla_X4_12 \h </w:instrText>
        </w:r>
        <w:r>
          <w:fldChar w:fldCharType="separate"/>
        </w:r>
        <w:r>
          <w:t>865</w:t>
        </w:r>
        <w:r>
          <w:fldChar w:fldCharType="end"/>
        </w:r>
      </w:hyperlink>
    </w:p>
    <w:p>
      <w:pPr>
        <w:pStyle w:val="Indice"/>
        <w:tabs>
          <w:tab w:val="right" w:leader="dot" w:pos="9974"/>
        </w:tabs>
        <w:spacing w:before="40" w:after="40"/>
        <w:ind w:left="1134" w:hanging="1134"/>
      </w:pPr>
      <w:hyperlink w:anchor="rot_Tabla_X4_13" w:history="1">
        <w:r>
          <w:t xml:space="preserve">Tabla X4.13. Planes de contingencia por causa y recursos con cargo a la reserva</w:t>
        </w:r>
        <w:r>
          <w:tab/>
        </w:r>
        <w:r>
          <w:fldChar w:fldCharType="begin"/>
        </w:r>
        <w:r>
          <w:instrText xml:space="preserve"> PAGEREF rot_Tabla_X4_13 \h </w:instrText>
        </w:r>
        <w:r>
          <w:fldChar w:fldCharType="separate"/>
        </w:r>
        <w:r>
          <w:t>867</w:t>
        </w:r>
        <w:r>
          <w:fldChar w:fldCharType="end"/>
        </w:r>
      </w:hyperlink>
    </w:p>
    <w:p>
      <w:pPr>
        <w:pStyle w:val="Indice"/>
        <w:tabs>
          <w:tab w:val="right" w:leader="dot" w:pos="9974"/>
        </w:tabs>
        <w:spacing w:before="40" w:after="40"/>
        <w:ind w:left="1134" w:hanging="1134"/>
      </w:pPr>
      <w:hyperlink w:anchor="rot_Tabla_X4_14" w:history="1">
        <w:r>
          <w:t xml:space="preserve">Tabla X4.14. Condiciones de activación de los escenarios estratégicos</w:t>
        </w:r>
        <w:r>
          <w:tab/>
        </w:r>
        <w:r>
          <w:fldChar w:fldCharType="begin"/>
        </w:r>
        <w:r>
          <w:instrText xml:space="preserve"> PAGEREF rot_Tabla_X4_14 \h </w:instrText>
        </w:r>
        <w:r>
          <w:fldChar w:fldCharType="separate"/>
        </w:r>
        <w:r>
          <w:t>870</w:t>
        </w:r>
        <w:r>
          <w:fldChar w:fldCharType="end"/>
        </w:r>
      </w:hyperlink>
    </w:p>
    <w:p>
      <w:pPr>
        <w:pStyle w:val="Indice"/>
        <w:tabs>
          <w:tab w:val="right" w:leader="dot" w:pos="9974"/>
        </w:tabs>
        <w:spacing w:before="40" w:after="40"/>
        <w:ind w:left="1134" w:hanging="1134"/>
      </w:pPr>
      <w:hyperlink w:anchor="rot_Tabla_X4_15" w:history="1">
        <w:r>
          <w:t xml:space="preserve">Tabla X4.15. Plan para el escenario optimista</w:t>
        </w:r>
        <w:r>
          <w:tab/>
        </w:r>
        <w:r>
          <w:fldChar w:fldCharType="begin"/>
        </w:r>
        <w:r>
          <w:instrText xml:space="preserve"> PAGEREF rot_Tabla_X4_15 \h </w:instrText>
        </w:r>
        <w:r>
          <w:fldChar w:fldCharType="separate"/>
        </w:r>
        <w:r>
          <w:t>872</w:t>
        </w:r>
        <w:r>
          <w:fldChar w:fldCharType="end"/>
        </w:r>
      </w:hyperlink>
    </w:p>
    <w:p>
      <w:pPr>
        <w:pStyle w:val="Indice"/>
        <w:tabs>
          <w:tab w:val="right" w:leader="dot" w:pos="9974"/>
        </w:tabs>
        <w:spacing w:before="40" w:after="40"/>
        <w:ind w:left="1134" w:hanging="1134"/>
      </w:pPr>
      <w:hyperlink w:anchor="rot_Tabla_X4_16" w:history="1">
        <w:r>
          <w:t xml:space="preserve">Tabla X4.16. Plan para el escenario base</w:t>
        </w:r>
        <w:r>
          <w:tab/>
        </w:r>
        <w:r>
          <w:fldChar w:fldCharType="begin"/>
        </w:r>
        <w:r>
          <w:instrText xml:space="preserve"> PAGEREF rot_Tabla_X4_16 \h </w:instrText>
        </w:r>
        <w:r>
          <w:fldChar w:fldCharType="separate"/>
        </w:r>
        <w:r>
          <w:t>873</w:t>
        </w:r>
        <w:r>
          <w:fldChar w:fldCharType="end"/>
        </w:r>
      </w:hyperlink>
    </w:p>
    <w:p>
      <w:pPr>
        <w:pStyle w:val="Indice"/>
        <w:tabs>
          <w:tab w:val="right" w:leader="dot" w:pos="9974"/>
        </w:tabs>
        <w:spacing w:before="40" w:after="40"/>
        <w:ind w:left="1134" w:hanging="1134"/>
      </w:pPr>
      <w:hyperlink w:anchor="rot_Tabla_X4_17" w:history="1">
        <w:r>
          <w:t xml:space="preserve">Tabla X4.17. Plan para el escenario pesimista</w:t>
        </w:r>
        <w:r>
          <w:tab/>
        </w:r>
        <w:r>
          <w:fldChar w:fldCharType="begin"/>
        </w:r>
        <w:r>
          <w:instrText xml:space="preserve"> PAGEREF rot_Tabla_X4_17 \h </w:instrText>
        </w:r>
        <w:r>
          <w:fldChar w:fldCharType="separate"/>
        </w:r>
        <w:r>
          <w:t>874</w:t>
        </w:r>
        <w:r>
          <w:fldChar w:fldCharType="end"/>
        </w:r>
      </w:hyperlink>
    </w:p>
    <w:p>
      <w:pPr>
        <w:pStyle w:val="Indice"/>
        <w:tabs>
          <w:tab w:val="right" w:leader="dot" w:pos="9974"/>
        </w:tabs>
        <w:spacing w:before="40" w:after="40"/>
        <w:ind w:left="1134" w:hanging="1134"/>
      </w:pPr>
      <w:hyperlink w:anchor="rot_Tabla_X4_18" w:history="1">
        <w:r>
          <w:t xml:space="preserve">Tabla X4.18. Plan para el escenario de disrupción</w:t>
        </w:r>
        <w:r>
          <w:tab/>
        </w:r>
        <w:r>
          <w:fldChar w:fldCharType="begin"/>
        </w:r>
        <w:r>
          <w:instrText xml:space="preserve"> PAGEREF rot_Tabla_X4_18 \h </w:instrText>
        </w:r>
        <w:r>
          <w:fldChar w:fldCharType="separate"/>
        </w:r>
        <w:r>
          <w:t>875</w:t>
        </w:r>
        <w:r>
          <w:fldChar w:fldCharType="end"/>
        </w:r>
      </w:hyperlink>
    </w:p>
    <w:p>
      <w:pPr>
        <w:pStyle w:val="Indice"/>
        <w:tabs>
          <w:tab w:val="right" w:leader="dot" w:pos="9974"/>
        </w:tabs>
        <w:spacing w:before="40" w:after="40"/>
        <w:ind w:left="1134" w:hanging="1134"/>
      </w:pPr>
      <w:hyperlink w:anchor="rot_Tabla_X4_19" w:history="1">
        <w:r>
          <w:t xml:space="preserve">Tabla X4.19. Correspondencia entre los marcos, las compuertas, los supuestos y los indicadores</w:t>
        </w:r>
        <w:r>
          <w:tab/>
        </w:r>
        <w:r>
          <w:fldChar w:fldCharType="begin"/>
        </w:r>
        <w:r>
          <w:instrText xml:space="preserve"> PAGEREF rot_Tabla_X4_19 \h </w:instrText>
        </w:r>
        <w:r>
          <w:fldChar w:fldCharType="separate"/>
        </w:r>
        <w:r>
          <w:t>878</w:t>
        </w:r>
        <w:r>
          <w:fldChar w:fldCharType="end"/>
        </w:r>
      </w:hyperlink>
    </w:p>
    <w:p>
      <w:pPr>
        <w:pStyle w:val="Indice"/>
        <w:tabs>
          <w:tab w:val="right" w:leader="dot" w:pos="9974"/>
        </w:tabs>
        <w:spacing w:before="40" w:after="40"/>
        <w:ind w:left="1134" w:hanging="1134"/>
      </w:pPr>
      <w:hyperlink w:anchor="rot_Tabla_X4_20" w:history="1">
        <w:r>
          <w:t xml:space="preserve">Tabla X4.20. Tablero de control estratégico</w:t>
        </w:r>
        <w:r>
          <w:tab/>
        </w:r>
        <w:r>
          <w:fldChar w:fldCharType="begin"/>
        </w:r>
        <w:r>
          <w:instrText xml:space="preserve"> PAGEREF rot_Tabla_X4_20 \h </w:instrText>
        </w:r>
        <w:r>
          <w:fldChar w:fldCharType="separate"/>
        </w:r>
        <w:r>
          <w:t>879</w:t>
        </w:r>
        <w:r>
          <w:fldChar w:fldCharType="end"/>
        </w:r>
      </w:hyperlink>
    </w:p>
    <w:p>
      <w:pPr>
        <w:pStyle w:val="Indice"/>
        <w:tabs>
          <w:tab w:val="right" w:leader="dot" w:pos="9974"/>
        </w:tabs>
        <w:spacing w:before="40" w:after="40"/>
        <w:ind w:left="1134" w:hanging="1134"/>
      </w:pPr>
      <w:hyperlink w:anchor="rot_Tabla_X5_1" w:history="1">
        <w:r>
          <w:t xml:space="preserve">Tabla X5.1. Descripción de los nueve bloques del lienzo de modelo de negocio</w:t>
        </w:r>
        <w:r>
          <w:tab/>
        </w:r>
        <w:r>
          <w:fldChar w:fldCharType="begin"/>
        </w:r>
        <w:r>
          <w:instrText xml:space="preserve"> PAGEREF rot_Tabla_X5_1 \h </w:instrText>
        </w:r>
        <w:r>
          <w:fldChar w:fldCharType="separate"/>
        </w:r>
        <w:r>
          <w:t>882</w:t>
        </w:r>
        <w:r>
          <w:fldChar w:fldCharType="end"/>
        </w:r>
      </w:hyperlink>
    </w:p>
    <w:p>
      <w:pPr>
        <w:pStyle w:val="Indice"/>
        <w:tabs>
          <w:tab w:val="right" w:leader="dot" w:pos="9974"/>
        </w:tabs>
        <w:spacing w:before="40" w:after="40"/>
        <w:ind w:left="1134" w:hanging="1134"/>
      </w:pPr>
      <w:hyperlink w:anchor="rot_Tabla_X5_2" w:history="1">
        <w:r>
          <w:t xml:space="preserve">Tabla X5.2. Financiación del modelo por fase, en millones de COP</w:t>
        </w:r>
        <w:r>
          <w:tab/>
        </w:r>
        <w:r>
          <w:fldChar w:fldCharType="begin"/>
        </w:r>
        <w:r>
          <w:instrText xml:space="preserve"> PAGEREF rot_Tabla_X5_2 \h </w:instrText>
        </w:r>
        <w:r>
          <w:fldChar w:fldCharType="separate"/>
        </w:r>
        <w:r>
          <w:t>884</w:t>
        </w:r>
        <w:r>
          <w:fldChar w:fldCharType="end"/>
        </w:r>
      </w:hyperlink>
    </w:p>
    <w:p>
      <w:pPr>
        <w:pStyle w:val="Indice"/>
        <w:tabs>
          <w:tab w:val="right" w:leader="dot" w:pos="9974"/>
        </w:tabs>
        <w:spacing w:before="40" w:after="40"/>
        <w:ind w:left="1134" w:hanging="1134"/>
      </w:pPr>
      <w:hyperlink w:anchor="rot_Tabla_X6_1" w:history="1">
        <w:r>
          <w:t xml:space="preserve">Tabla X6.1. Distribución de la inversión por fuente y año de ejecución, en millones de COP</w:t>
        </w:r>
        <w:r>
          <w:tab/>
        </w:r>
        <w:r>
          <w:fldChar w:fldCharType="begin"/>
        </w:r>
        <w:r>
          <w:instrText xml:space="preserve"> PAGEREF rot_Tabla_X6_1 \h </w:instrText>
        </w:r>
        <w:r>
          <w:fldChar w:fldCharType="separate"/>
        </w:r>
        <w:r>
          <w:t>885</w:t>
        </w:r>
        <w:r>
          <w:fldChar w:fldCharType="end"/>
        </w:r>
      </w:hyperlink>
    </w:p>
    <w:p>
      <w:pPr>
        <w:pStyle w:val="Indice"/>
        <w:tabs>
          <w:tab w:val="right" w:leader="dot" w:pos="9974"/>
        </w:tabs>
        <w:spacing w:before="40" w:after="40"/>
        <w:ind w:left="1134" w:hanging="1134"/>
      </w:pPr>
      <w:hyperlink w:anchor="rot_Tabla_X6_2" w:history="1">
        <w:r>
          <w:t xml:space="preserve">Tabla X6.2. Costos del SGR por rubro, clase y comportamiento, en millones de COP</w:t>
        </w:r>
        <w:r>
          <w:tab/>
        </w:r>
        <w:r>
          <w:fldChar w:fldCharType="begin"/>
        </w:r>
        <w:r>
          <w:instrText xml:space="preserve"> PAGEREF rot_Tabla_X6_2 \h </w:instrText>
        </w:r>
        <w:r>
          <w:fldChar w:fldCharType="separate"/>
        </w:r>
        <w:r>
          <w:t>886</w:t>
        </w:r>
        <w:r>
          <w:fldChar w:fldCharType="end"/>
        </w:r>
      </w:hyperlink>
    </w:p>
    <w:p>
      <w:pPr>
        <w:pStyle w:val="Indice"/>
        <w:tabs>
          <w:tab w:val="right" w:leader="dot" w:pos="9974"/>
        </w:tabs>
        <w:spacing w:before="40" w:after="40"/>
        <w:ind w:left="1134" w:hanging="1134"/>
      </w:pPr>
      <w:hyperlink w:anchor="rot_Tabla_X6_3" w:history="1">
        <w:r>
          <w:t xml:space="preserve">Tabla X6.3. Costos unitarios y costos por output y por outcome esperado, en millones de COP salvo indicación</w:t>
        </w:r>
        <w:r>
          <w:tab/>
        </w:r>
        <w:r>
          <w:fldChar w:fldCharType="begin"/>
        </w:r>
        <w:r>
          <w:instrText xml:space="preserve"> PAGEREF rot_Tabla_X6_3 \h </w:instrText>
        </w:r>
        <w:r>
          <w:fldChar w:fldCharType="separate"/>
        </w:r>
        <w:r>
          <w:t>888</w:t>
        </w:r>
        <w:r>
          <w:fldChar w:fldCharType="end"/>
        </w:r>
      </w:hyperlink>
    </w:p>
    <w:p>
      <w:pPr>
        <w:pStyle w:val="Indice"/>
        <w:tabs>
          <w:tab w:val="right" w:leader="dot" w:pos="9974"/>
        </w:tabs>
        <w:spacing w:before="40" w:after="40"/>
        <w:ind w:left="1134" w:hanging="1134"/>
      </w:pPr>
      <w:hyperlink w:anchor="rot_Tabla_X6_4" w:history="1">
        <w:r>
          <w:t xml:space="preserve">Tabla X6.4. Costo unitario de la capa de medición por punto en las alternativas ALT-00 a ALT-03, en millones de COP</w:t>
        </w:r>
        <w:r>
          <w:tab/>
        </w:r>
        <w:r>
          <w:fldChar w:fldCharType="begin"/>
        </w:r>
        <w:r>
          <w:instrText xml:space="preserve"> PAGEREF rot_Tabla_X6_4 \h </w:instrText>
        </w:r>
        <w:r>
          <w:fldChar w:fldCharType="separate"/>
        </w:r>
        <w:r>
          <w:t>890</w:t>
        </w:r>
        <w:r>
          <w:fldChar w:fldCharType="end"/>
        </w:r>
      </w:hyperlink>
    </w:p>
    <w:p>
      <w:pPr>
        <w:pStyle w:val="Indice"/>
        <w:tabs>
          <w:tab w:val="right" w:leader="dot" w:pos="9974"/>
        </w:tabs>
        <w:spacing w:before="40" w:after="40"/>
        <w:ind w:left="1134" w:hanging="1134"/>
      </w:pPr>
      <w:hyperlink w:anchor="rot_Tabla_X6_5" w:history="1">
        <w:r>
          <w:t xml:space="preserve">Tabla X6.5. Estado de los indicadores de rentabilidad y de costo-beneficio</w:t>
        </w:r>
        <w:r>
          <w:tab/>
        </w:r>
        <w:r>
          <w:fldChar w:fldCharType="begin"/>
        </w:r>
        <w:r>
          <w:instrText xml:space="preserve"> PAGEREF rot_Tabla_X6_5 \h </w:instrText>
        </w:r>
        <w:r>
          <w:fldChar w:fldCharType="separate"/>
        </w:r>
        <w:r>
          <w:t>891</w:t>
        </w:r>
        <w:r>
          <w:fldChar w:fldCharType="end"/>
        </w:r>
      </w:hyperlink>
    </w:p>
    <w:p>
      <w:pPr>
        <w:pStyle w:val="Indice"/>
        <w:tabs>
          <w:tab w:val="right" w:leader="dot" w:pos="9974"/>
        </w:tabs>
        <w:spacing w:before="40" w:after="40"/>
        <w:ind w:left="1134" w:hanging="1134"/>
      </w:pPr>
      <w:hyperlink w:anchor="rot_Tabla_X6_6" w:history="1">
        <w:r>
          <w:t xml:space="preserve">Tabla X6.6. Variación del valor solicitado al SGR por variable y nivel de cambio, en millones de COP</w:t>
        </w:r>
        <w:r>
          <w:tab/>
        </w:r>
        <w:r>
          <w:fldChar w:fldCharType="begin"/>
        </w:r>
        <w:r>
          <w:instrText xml:space="preserve"> PAGEREF rot_Tabla_X6_6 \h </w:instrText>
        </w:r>
        <w:r>
          <w:fldChar w:fldCharType="separate"/>
        </w:r>
        <w:r>
          <w:t>892</w:t>
        </w:r>
        <w:r>
          <w:fldChar w:fldCharType="end"/>
        </w:r>
      </w:hyperlink>
    </w:p>
    <w:p>
      <w:pPr>
        <w:pStyle w:val="Indice"/>
        <w:tabs>
          <w:tab w:val="right" w:leader="dot" w:pos="9974"/>
        </w:tabs>
        <w:spacing w:before="40" w:after="40"/>
        <w:ind w:left="1134" w:hanging="1134"/>
      </w:pPr>
      <w:hyperlink w:anchor="rot_Tabla_X6_7" w:history="1">
        <w:r>
          <w:t xml:space="preserve">Tabla X6.7. Escenarios de sensibilidad del valor solicitado al SGR, en millones de COP</w:t>
        </w:r>
        <w:r>
          <w:tab/>
        </w:r>
        <w:r>
          <w:fldChar w:fldCharType="begin"/>
        </w:r>
        <w:r>
          <w:instrText xml:space="preserve"> PAGEREF rot_Tabla_X6_7 \h </w:instrText>
        </w:r>
        <w:r>
          <w:fldChar w:fldCharType="separate"/>
        </w:r>
        <w:r>
          <w:t>893</w:t>
        </w:r>
        <w:r>
          <w:fldChar w:fldCharType="end"/>
        </w:r>
      </w:hyperlink>
    </w:p>
    <w:p>
      <w:pPr>
        <w:pStyle w:val="Indice"/>
        <w:tabs>
          <w:tab w:val="right" w:leader="dot" w:pos="9974"/>
        </w:tabs>
        <w:spacing w:before="40" w:after="40"/>
        <w:ind w:left="1134" w:hanging="1134"/>
      </w:pPr>
      <w:hyperlink w:anchor="rot_Tabla_X6_8" w:history="1">
        <w:r>
          <w:t xml:space="preserve">Tabla X6.8. Flujo de caja semestral del proyecto, en millones de COP</w:t>
        </w:r>
        <w:r>
          <w:tab/>
        </w:r>
        <w:r>
          <w:fldChar w:fldCharType="begin"/>
        </w:r>
        <w:r>
          <w:instrText xml:space="preserve"> PAGEREF rot_Tabla_X6_8 \h </w:instrText>
        </w:r>
        <w:r>
          <w:fldChar w:fldCharType="separate"/>
        </w:r>
        <w:r>
          <w:t>894</w:t>
        </w:r>
        <w:r>
          <w:fldChar w:fldCharType="end"/>
        </w:r>
      </w:hyperlink>
    </w:p>
    <w:p>
      <w:pPr>
        <w:pStyle w:val="Indice"/>
        <w:tabs>
          <w:tab w:val="right" w:leader="dot" w:pos="9974"/>
        </w:tabs>
        <w:spacing w:before="40" w:after="40"/>
        <w:ind w:left="1134" w:hanging="1134"/>
      </w:pPr>
      <w:hyperlink w:anchor="rot_Tabla_X7_1" w:history="1">
        <w:r>
          <w:t xml:space="preserve">Tabla X7.1. Matriz de carriles y horizontes del roadmap tecnológico</w:t>
        </w:r>
        <w:r>
          <w:tab/>
        </w:r>
        <w:r>
          <w:fldChar w:fldCharType="begin"/>
        </w:r>
        <w:r>
          <w:instrText xml:space="preserve"> PAGEREF rot_Tabla_X7_1 \h </w:instrText>
        </w:r>
        <w:r>
          <w:fldChar w:fldCharType="separate"/>
        </w:r>
        <w:r>
          <w:t>897</w:t>
        </w:r>
        <w:r>
          <w:fldChar w:fldCharType="end"/>
        </w:r>
      </w:hyperlink>
    </w:p>
    <w:p>
      <w:pPr>
        <w:pStyle w:val="Indice"/>
        <w:tabs>
          <w:tab w:val="right" w:leader="dot" w:pos="9974"/>
        </w:tabs>
        <w:spacing w:before="40" w:after="40"/>
        <w:ind w:left="1134" w:hanging="1134"/>
      </w:pPr>
      <w:hyperlink w:anchor="rot_Tabla_X7_2" w:history="1">
        <w:r>
          <w:t xml:space="preserve">Tabla X7.2. Escala TRL del proyecto con evidencia de salida, hito y mes</w:t>
        </w:r>
        <w:r>
          <w:tab/>
        </w:r>
        <w:r>
          <w:fldChar w:fldCharType="begin"/>
        </w:r>
        <w:r>
          <w:instrText xml:space="preserve"> PAGEREF rot_Tabla_X7_2 \h </w:instrText>
        </w:r>
        <w:r>
          <w:fldChar w:fldCharType="separate"/>
        </w:r>
        <w:r>
          <w:t>898</w:t>
        </w:r>
        <w:r>
          <w:fldChar w:fldCharType="end"/>
        </w:r>
      </w:hyperlink>
    </w:p>
    <w:p>
      <w:pPr>
        <w:pStyle w:val="Indice"/>
        <w:tabs>
          <w:tab w:val="right" w:leader="dot" w:pos="9974"/>
        </w:tabs>
        <w:spacing w:before="40" w:after="40"/>
        <w:ind w:left="1134" w:hanging="1134"/>
      </w:pPr>
      <w:hyperlink w:anchor="rot_Tabla_X8_1" w:history="1">
        <w:r>
          <w:t xml:space="preserve">Tabla X8.1. Registro de interesados con roles genéricos y nombres pendientes</w:t>
        </w:r>
        <w:r>
          <w:tab/>
        </w:r>
        <w:r>
          <w:fldChar w:fldCharType="begin"/>
        </w:r>
        <w:r>
          <w:instrText xml:space="preserve"> PAGEREF rot_Tabla_X8_1 \h </w:instrText>
        </w:r>
        <w:r>
          <w:fldChar w:fldCharType="separate"/>
        </w:r>
        <w:r>
          <w:t>899</w:t>
        </w:r>
        <w:r>
          <w:fldChar w:fldCharType="end"/>
        </w:r>
      </w:hyperlink>
    </w:p>
    <w:p>
      <w:pPr>
        <w:pStyle w:val="Indice"/>
        <w:tabs>
          <w:tab w:val="right" w:leader="dot" w:pos="9974"/>
        </w:tabs>
        <w:spacing w:before="40" w:after="40"/>
        <w:ind w:left="1134" w:hanging="1134"/>
      </w:pPr>
      <w:hyperlink w:anchor="rot_Tabla_X8_2" w:history="1">
        <w:r>
          <w:t xml:space="preserve">Tabla X8.2. Clasificación de los interesados por cuadrante de poder e interés y estrategia asociada</w:t>
        </w:r>
        <w:r>
          <w:tab/>
        </w:r>
        <w:r>
          <w:fldChar w:fldCharType="begin"/>
        </w:r>
        <w:r>
          <w:instrText xml:space="preserve"> PAGEREF rot_Tabla_X8_2 \h </w:instrText>
        </w:r>
        <w:r>
          <w:fldChar w:fldCharType="separate"/>
        </w:r>
        <w:r>
          <w:t>902</w:t>
        </w:r>
        <w:r>
          <w:fldChar w:fldCharType="end"/>
        </w:r>
      </w:hyperlink>
    </w:p>
    <w:p>
      <w:pPr>
        <w:pStyle w:val="Indice"/>
        <w:tabs>
          <w:tab w:val="right" w:leader="dot" w:pos="9974"/>
        </w:tabs>
        <w:spacing w:before="40" w:after="40"/>
        <w:ind w:left="1134" w:hanging="1134"/>
      </w:pPr>
      <w:hyperlink w:anchor="rot_Tabla_X8_3" w:history="1">
        <w:r>
          <w:t xml:space="preserve">Tabla X8.3. Plan de gestión de interesados con estrategia, canal, frecuencia y responsable</w:t>
        </w:r>
        <w:r>
          <w:tab/>
        </w:r>
        <w:r>
          <w:fldChar w:fldCharType="begin"/>
        </w:r>
        <w:r>
          <w:instrText xml:space="preserve"> PAGEREF rot_Tabla_X8_3 \h </w:instrText>
        </w:r>
        <w:r>
          <w:fldChar w:fldCharType="separate"/>
        </w:r>
        <w:r>
          <w:t>903</w:t>
        </w:r>
        <w:r>
          <w:fldChar w:fldCharType="end"/>
        </w:r>
      </w:hyperlink>
    </w:p>
    <w:p>
      <w:pPr>
        <w:pStyle w:val="Indice"/>
        <w:tabs>
          <w:tab w:val="right" w:leader="dot" w:pos="9974"/>
        </w:tabs>
        <w:spacing w:before="40" w:after="40"/>
        <w:ind w:left="1134" w:hanging="1134"/>
      </w:pPr>
      <w:hyperlink w:anchor="rot_Tabla_X9_1" w:history="1">
        <w:r>
          <w:t xml:space="preserve">Tabla X9.1. Indicadores y semáforo del registro de riesgos al inicio de la ejecución</w:t>
        </w:r>
        <w:r>
          <w:tab/>
        </w:r>
        <w:r>
          <w:fldChar w:fldCharType="begin"/>
        </w:r>
        <w:r>
          <w:instrText xml:space="preserve"> PAGEREF rot_Tabla_X9_1 \h </w:instrText>
        </w:r>
        <w:r>
          <w:fldChar w:fldCharType="separate"/>
        </w:r>
        <w:r>
          <w:t>905</w:t>
        </w:r>
        <w:r>
          <w:fldChar w:fldCharType="end"/>
        </w:r>
      </w:hyperlink>
    </w:p>
    <w:p>
      <w:pPr>
        <w:pStyle w:val="Indice"/>
        <w:tabs>
          <w:tab w:val="right" w:leader="dot" w:pos="9974"/>
        </w:tabs>
        <w:spacing w:before="40" w:after="40"/>
        <w:ind w:left="1134" w:hanging="1134"/>
      </w:pPr>
      <w:hyperlink w:anchor="rot_Tabla_X9_2" w:history="1">
        <w:r>
          <w:t xml:space="preserve">Tabla X9.2. Cinco riesgos principales con respuesta, disparador, responsable y estado</w:t>
        </w:r>
        <w:r>
          <w:tab/>
        </w:r>
        <w:r>
          <w:fldChar w:fldCharType="begin"/>
        </w:r>
        <w:r>
          <w:instrText xml:space="preserve"> PAGEREF rot_Tabla_X9_2 \h </w:instrText>
        </w:r>
        <w:r>
          <w:fldChar w:fldCharType="separate"/>
        </w:r>
        <w:r>
          <w:t>907</w:t>
        </w:r>
        <w:r>
          <w:fldChar w:fldCharType="end"/>
        </w:r>
      </w:hyperlink>
    </w:p>
    <w:p>
      <w:pPr>
        <w:pStyle w:val="Indice"/>
        <w:tabs>
          <w:tab w:val="right" w:leader="dot" w:pos="9974"/>
        </w:tabs>
        <w:spacing w:before="40" w:after="40"/>
        <w:ind w:left="1134" w:hanging="1134"/>
      </w:pPr>
      <w:hyperlink w:anchor="rot_Tabla_X9_3" w:history="1">
        <w:r>
          <w:t xml:space="preserve">Tabla X9.3. Posición de los riesgos en la matriz de probabilidad e impacto de 5 por 5</w:t>
        </w:r>
        <w:r>
          <w:tab/>
        </w:r>
        <w:r>
          <w:fldChar w:fldCharType="begin"/>
        </w:r>
        <w:r>
          <w:instrText xml:space="preserve"> PAGEREF rot_Tabla_X9_3 \h </w:instrText>
        </w:r>
        <w:r>
          <w:fldChar w:fldCharType="separate"/>
        </w:r>
        <w:r>
          <w:t>908</w:t>
        </w:r>
        <w:r>
          <w:fldChar w:fldCharType="end"/>
        </w:r>
      </w:hyperlink>
    </w:p>
    <w:p>
      <w:pPr>
        <w:pStyle w:val="Indice"/>
        <w:tabs>
          <w:tab w:val="right" w:leader="dot" w:pos="9974"/>
        </w:tabs>
        <w:spacing w:before="40" w:after="40"/>
        <w:ind w:left="1134" w:hanging="1134"/>
      </w:pPr>
      <w:hyperlink w:anchor="rot_Tabla_X9_4" w:history="1">
        <w:r>
          <w:t xml:space="preserve">Tabla X9.4. Trayectoria planificada del índice de riesgo por tramo (hipótesis PROPUESTA)</w:t>
        </w:r>
        <w:r>
          <w:tab/>
        </w:r>
        <w:r>
          <w:fldChar w:fldCharType="begin"/>
        </w:r>
        <w:r>
          <w:instrText xml:space="preserve"> PAGEREF rot_Tabla_X9_4 \h </w:instrText>
        </w:r>
        <w:r>
          <w:fldChar w:fldCharType="separate"/>
        </w:r>
        <w:r>
          <w:t>910</w:t>
        </w:r>
        <w:r>
          <w:fldChar w:fldCharType="end"/>
        </w:r>
      </w:hyperlink>
    </w:p>
    <w:p>
      <w:pPr>
        <w:pStyle w:val="Indice"/>
        <w:tabs>
          <w:tab w:val="right" w:leader="dot" w:pos="9974"/>
        </w:tabs>
        <w:spacing w:before="40" w:after="40"/>
        <w:ind w:left="1134" w:hanging="1134"/>
      </w:pPr>
      <w:hyperlink w:anchor="rot_Tabla_X9_5" w:history="1">
        <w:r>
          <w:t xml:space="preserve">Tabla X9.5. Reserva de contingencia: total, utilizada y disponible, y composición por categoría de riesgo</w:t>
        </w:r>
        <w:r>
          <w:tab/>
        </w:r>
        <w:r>
          <w:fldChar w:fldCharType="begin"/>
        </w:r>
        <w:r>
          <w:instrText xml:space="preserve"> PAGEREF rot_Tabla_X9_5 \h </w:instrText>
        </w:r>
        <w:r>
          <w:fldChar w:fldCharType="separate"/>
        </w:r>
        <w:r>
          <w:t>912</w:t>
        </w:r>
        <w:r>
          <w:fldChar w:fldCharType="end"/>
        </w:r>
      </w:hyperlink>
    </w:p>
    <w:p>
      <w:pPr>
        <w:pStyle w:val="Indice"/>
        <w:tabs>
          <w:tab w:val="right" w:leader="dot" w:pos="9974"/>
        </w:tabs>
        <w:spacing w:before="40" w:after="40"/>
        <w:ind w:left="1134" w:hanging="1134"/>
      </w:pPr>
      <w:hyperlink w:anchor="rot_Tabla_X10_1" w:history="1">
        <w:r>
          <w:t xml:space="preserve">Tabla X10.1. Verificación de requisitos administrativos</w:t>
        </w:r>
        <w:r>
          <w:tab/>
        </w:r>
        <w:r>
          <w:fldChar w:fldCharType="begin"/>
        </w:r>
        <w:r>
          <w:instrText xml:space="preserve"> PAGEREF rot_Tabla_X10_1 \h </w:instrText>
        </w:r>
        <w:r>
          <w:fldChar w:fldCharType="separate"/>
        </w:r>
        <w:r>
          <w:t>914</w:t>
        </w:r>
        <w:r>
          <w:fldChar w:fldCharType="end"/>
        </w:r>
      </w:hyperlink>
    </w:p>
    <w:p>
      <w:pPr>
        <w:pStyle w:val="Indice"/>
        <w:tabs>
          <w:tab w:val="right" w:leader="dot" w:pos="9974"/>
        </w:tabs>
        <w:spacing w:before="40" w:after="40"/>
        <w:ind w:left="1134" w:hanging="1134"/>
      </w:pPr>
      <w:hyperlink w:anchor="rot_Tabla_X10_2" w:history="1">
        <w:r>
          <w:t xml:space="preserve">Tabla X10.2. Verificación de requisitos técnicos</w:t>
        </w:r>
        <w:r>
          <w:tab/>
        </w:r>
        <w:r>
          <w:fldChar w:fldCharType="begin"/>
        </w:r>
        <w:r>
          <w:instrText xml:space="preserve"> PAGEREF rot_Tabla_X10_2 \h </w:instrText>
        </w:r>
        <w:r>
          <w:fldChar w:fldCharType="separate"/>
        </w:r>
        <w:r>
          <w:t>915</w:t>
        </w:r>
        <w:r>
          <w:fldChar w:fldCharType="end"/>
        </w:r>
      </w:hyperlink>
    </w:p>
    <w:p>
      <w:pPr>
        <w:pStyle w:val="Indice"/>
        <w:tabs>
          <w:tab w:val="right" w:leader="dot" w:pos="9974"/>
        </w:tabs>
        <w:spacing w:before="40" w:after="40"/>
        <w:ind w:left="1134" w:hanging="1134"/>
      </w:pPr>
      <w:hyperlink w:anchor="rot_Tabla_X10_3" w:history="1">
        <w:r>
          <w:t xml:space="preserve">Tabla X10.3. Verificación de requisitos de formato</w:t>
        </w:r>
        <w:r>
          <w:tab/>
        </w:r>
        <w:r>
          <w:fldChar w:fldCharType="begin"/>
        </w:r>
        <w:r>
          <w:instrText xml:space="preserve"> PAGEREF rot_Tabla_X10_3 \h </w:instrText>
        </w:r>
        <w:r>
          <w:fldChar w:fldCharType="separate"/>
        </w:r>
        <w:r>
          <w:t>915</w:t>
        </w:r>
        <w:r>
          <w:fldChar w:fldCharType="end"/>
        </w:r>
      </w:hyperlink>
    </w:p>
    <w:p>
      <w:pPr>
        <w:pStyle w:val="Indice"/>
        <w:tabs>
          <w:tab w:val="right" w:leader="dot" w:pos="9974"/>
        </w:tabs>
        <w:spacing w:before="40" w:after="40"/>
        <w:ind w:left="1134" w:hanging="1134"/>
      </w:pPr>
      <w:hyperlink w:anchor="rot_Tabla_X10_4" w:history="1">
        <w:r>
          <w:t xml:space="preserve">Tabla X10.4. Verificación de coherencia del proyecto</w:t>
        </w:r>
        <w:r>
          <w:tab/>
        </w:r>
        <w:r>
          <w:fldChar w:fldCharType="begin"/>
        </w:r>
        <w:r>
          <w:instrText xml:space="preserve"> PAGEREF rot_Tabla_X10_4 \h </w:instrText>
        </w:r>
        <w:r>
          <w:fldChar w:fldCharType="separate"/>
        </w:r>
        <w:r>
          <w:t>916</w:t>
        </w:r>
        <w:r>
          <w:fldChar w:fldCharType="end"/>
        </w:r>
      </w:hyperlink>
    </w:p>
    <w:p>
      <w:pPr>
        <w:pStyle w:val="Indice"/>
        <w:tabs>
          <w:tab w:val="right" w:leader="dot" w:pos="9974"/>
        </w:tabs>
        <w:spacing w:before="40" w:after="40"/>
        <w:ind w:left="1134" w:hanging="1134"/>
      </w:pPr>
      <w:hyperlink w:anchor="rot_Tabla_X10_5" w:history="1">
        <w:r>
          <w:t xml:space="preserve">Tabla X10.5. Verificación de criterios de evaluación</w:t>
        </w:r>
        <w:r>
          <w:tab/>
        </w:r>
        <w:r>
          <w:fldChar w:fldCharType="begin"/>
        </w:r>
        <w:r>
          <w:instrText xml:space="preserve"> PAGEREF rot_Tabla_X10_5 \h </w:instrText>
        </w:r>
        <w:r>
          <w:fldChar w:fldCharType="separate"/>
        </w:r>
        <w:r>
          <w:t>917</w:t>
        </w:r>
        <w:r>
          <w:fldChar w:fldCharType="end"/>
        </w:r>
      </w:hyperlink>
    </w:p>
    <w:p>
      <w:pPr>
        <w:pStyle w:val="Indice"/>
        <w:tabs>
          <w:tab w:val="right" w:leader="dot" w:pos="9974"/>
        </w:tabs>
        <w:spacing w:before="40" w:after="40"/>
        <w:ind w:left="1134" w:hanging="1134"/>
      </w:pPr>
      <w:hyperlink w:anchor="rot_Tabla_X10_6" w:history="1">
        <w:r>
          <w:t xml:space="preserve">Tabla X10.6. Verificación de la revisión final</w:t>
        </w:r>
        <w:r>
          <w:tab/>
        </w:r>
        <w:r>
          <w:fldChar w:fldCharType="begin"/>
        </w:r>
        <w:r>
          <w:instrText xml:space="preserve"> PAGEREF rot_Tabla_X10_6 \h </w:instrText>
        </w:r>
        <w:r>
          <w:fldChar w:fldCharType="separate"/>
        </w:r>
        <w:r>
          <w:t>917</w:t>
        </w:r>
        <w:r>
          <w:fldChar w:fldCharType="end"/>
        </w:r>
      </w:hyperlink>
    </w:p>
    <w:p>
      <w:pPr>
        <w:pStyle w:val="Indice"/>
        <w:tabs>
          <w:tab w:val="right" w:leader="dot" w:pos="9974"/>
        </w:tabs>
        <w:spacing w:before="40" w:after="40"/>
        <w:ind w:left="1134" w:hanging="1134"/>
      </w:pPr>
      <w:hyperlink w:anchor="rot_Tabla_X10_7" w:history="1">
        <w:r>
          <w:t xml:space="preserve">Tabla X10.7. Verificación de los hallazgos derivados del Anexo 2</w:t>
        </w:r>
        <w:r>
          <w:tab/>
        </w:r>
        <w:r>
          <w:fldChar w:fldCharType="begin"/>
        </w:r>
        <w:r>
          <w:instrText xml:space="preserve"> PAGEREF rot_Tabla_X10_7 \h </w:instrText>
        </w:r>
        <w:r>
          <w:fldChar w:fldCharType="separate"/>
        </w:r>
        <w:r>
          <w:t>918</w:t>
        </w:r>
        <w:r>
          <w:fldChar w:fldCharType="end"/>
        </w:r>
      </w:hyperlink>
    </w:p>
    <w:p>
      <w:pPr>
        <w:pStyle w:val="Indice"/>
        <w:tabs>
          <w:tab w:val="right" w:leader="dot" w:pos="9974"/>
        </w:tabs>
        <w:spacing w:before="40" w:after="40"/>
        <w:ind w:left="1134" w:hanging="1134"/>
      </w:pPr>
      <w:hyperlink w:anchor="rot_Tabla_X10_8" w:history="1">
        <w:r>
          <w:t xml:space="preserve">Tabla X10.8. Verificación de los bloqueos finales</w:t>
        </w:r>
        <w:r>
          <w:tab/>
        </w:r>
        <w:r>
          <w:fldChar w:fldCharType="begin"/>
        </w:r>
        <w:r>
          <w:instrText xml:space="preserve"> PAGEREF rot_Tabla_X10_8 \h </w:instrText>
        </w:r>
        <w:r>
          <w:fldChar w:fldCharType="separate"/>
        </w:r>
        <w:r>
          <w:t>919</w:t>
        </w:r>
        <w:r>
          <w:fldChar w:fldCharType="end"/>
        </w:r>
      </w:hyperlink>
    </w:p>
    <w:p>
      <w:pPr>
        <w:pStyle w:val="Indice"/>
        <w:tabs>
          <w:tab w:val="right" w:leader="dot" w:pos="9974"/>
        </w:tabs>
        <w:spacing w:before="40" w:after="40"/>
        <w:ind w:left="1134" w:hanging="1134"/>
      </w:pPr>
      <w:hyperlink w:anchor="rot_Tabla_X10_9" w:history="1">
        <w:r>
          <w:t xml:space="preserve">Tabla X10.9. Reportes de brecha no resuelta y decisión humana requerida</w:t>
        </w:r>
        <w:r>
          <w:tab/>
        </w:r>
        <w:r>
          <w:fldChar w:fldCharType="begin"/>
        </w:r>
        <w:r>
          <w:instrText xml:space="preserve"> PAGEREF rot_Tabla_X10_9 \h </w:instrText>
        </w:r>
        <w:r>
          <w:fldChar w:fldCharType="separate"/>
        </w:r>
        <w:r>
          <w:t>919</w:t>
        </w:r>
        <w:r>
          <w:fldChar w:fldCharType="end"/>
        </w:r>
      </w:hyperlink>
    </w:p>
    <w:p>
      <w:pPr>
        <w:pStyle w:val="Indice"/>
        <w:tabs>
          <w:tab w:val="right" w:leader="dot" w:pos="9974"/>
        </w:tabs>
        <w:spacing w:before="40" w:after="40"/>
        <w:ind w:left="1134" w:hanging="1134"/>
      </w:pPr>
      <w:hyperlink w:anchor="rot_Tabla_FC_1" w:history="1">
        <w:r>
          <w:t xml:space="preserve">Tabla FC.1. Cumplimiento de los mínimos de extensión por capítulo</w:t>
        </w:r>
        <w:r>
          <w:tab/>
        </w:r>
        <w:r>
          <w:fldChar w:fldCharType="begin"/>
        </w:r>
        <w:r>
          <w:instrText xml:space="preserve"> PAGEREF rot_Tabla_FC_1 \h </w:instrText>
        </w:r>
        <w:r>
          <w:fldChar w:fldCharType="separate"/>
        </w:r>
        <w:r>
          <w:t>921</w:t>
        </w:r>
        <w:r>
          <w:fldChar w:fldCharType="end"/>
        </w:r>
      </w:hyperlink>
    </w:p>
    <w:p>
      <w:pPr>
        <w:pStyle w:val="Indice"/>
        <w:tabs>
          <w:tab w:val="right" w:leader="dot" w:pos="9974"/>
        </w:tabs>
        <w:spacing w:before="40" w:after="40"/>
        <w:ind w:left="1134" w:hanging="1134"/>
      </w:pPr>
      <w:hyperlink w:anchor="rot_Tabla_FC_2" w:history="1">
        <w:r>
          <w:t xml:space="preserve">Tabla FC.2. Vacíos y contradicciones con efecto sobre la decisión</w:t>
        </w:r>
        <w:r>
          <w:tab/>
        </w:r>
        <w:r>
          <w:fldChar w:fldCharType="begin"/>
        </w:r>
        <w:r>
          <w:instrText xml:space="preserve"> PAGEREF rot_Tabla_FC_2 \h </w:instrText>
        </w:r>
        <w:r>
          <w:fldChar w:fldCharType="separate"/>
        </w:r>
        <w:r>
          <w:t>922</w:t>
        </w:r>
        <w:r>
          <w:fldChar w:fldCharType="end"/>
        </w:r>
      </w:hyperlink>
    </w:p>
    <w:p>
      <w:pPr>
        <w:pStyle w:val="Indice"/>
        <w:tabs>
          <w:tab w:val="right" w:leader="dot" w:pos="9974"/>
        </w:tabs>
        <w:spacing w:before="40" w:after="40"/>
        <w:ind w:left="1134" w:hanging="1134"/>
      </w:pPr>
      <w:hyperlink w:anchor="rot_Tabla_FC_3" w:history="1">
        <w:r>
          <w:t xml:space="preserve">Tabla FC.3. Productos entregados y archivo</w:t>
        </w:r>
        <w:r>
          <w:tab/>
        </w:r>
        <w:r>
          <w:fldChar w:fldCharType="begin"/>
        </w:r>
        <w:r>
          <w:instrText xml:space="preserve"> PAGEREF rot_Tabla_FC_3 \h </w:instrText>
        </w:r>
        <w:r>
          <w:fldChar w:fldCharType="separate"/>
        </w:r>
        <w:r>
          <w:t>924</w:t>
        </w:r>
        <w:r>
          <w:fldChar w:fldCharType="end"/>
        </w:r>
      </w:hyperlink>
    </w:p>
    <w:bookmarkEnd w:id="25"/>
    <w:bookmarkStart w:id="26" w:name="_Toc00900005"/>
    <w:p>
      <w:pPr>
        <w:pStyle w:val="Heading1"/>
      </w:pPr>
      <w:r>
        <w:t xml:space="preserve">Lista de figuras</w:t>
      </w:r>
    </w:p>
    <w:p>
      <w:pPr>
        <w:pStyle w:val="Indice"/>
        <w:tabs>
          <w:tab w:val="right" w:leader="dot" w:pos="9974"/>
        </w:tabs>
        <w:spacing w:before="40" w:after="40"/>
        <w:ind w:left="1134" w:hanging="1134"/>
      </w:pPr>
      <w:hyperlink w:anchor="rot_Figura_F0_1" w:history="1">
        <w:r>
          <w:t xml:space="preserve">Figura F0.1. Funciones de color de la plantilla visual</w:t>
        </w:r>
        <w:r>
          <w:tab/>
        </w:r>
        <w:r>
          <w:fldChar w:fldCharType="begin"/>
        </w:r>
        <w:r>
          <w:instrText xml:space="preserve"> PAGEREF rot_Figura_F0_1 \h </w:instrText>
        </w:r>
        <w:r>
          <w:fldChar w:fldCharType="separate"/>
        </w:r>
        <w:r>
          <w:t>102</w:t>
        </w:r>
        <w:r>
          <w:fldChar w:fldCharType="end"/>
        </w:r>
      </w:hyperlink>
    </w:p>
    <w:p>
      <w:pPr>
        <w:pStyle w:val="Indice"/>
        <w:tabs>
          <w:tab w:val="right" w:leader="dot" w:pos="9974"/>
        </w:tabs>
        <w:spacing w:before="40" w:after="40"/>
        <w:ind w:left="1134" w:hanging="1134"/>
      </w:pPr>
      <w:hyperlink w:anchor="rot_Figura_F3_1" w:history="1">
        <w:r>
          <w:t xml:space="preserve">Figura F3.1. Diagrama PRISMA del corpus de 42 documentos</w:t>
        </w:r>
        <w:r>
          <w:tab/>
        </w:r>
        <w:r>
          <w:fldChar w:fldCharType="begin"/>
        </w:r>
        <w:r>
          <w:instrText xml:space="preserve"> PAGEREF rot_Figura_F3_1 \h </w:instrText>
        </w:r>
        <w:r>
          <w:fldChar w:fldCharType="separate"/>
        </w:r>
        <w:r>
          <w:t>124</w:t>
        </w:r>
        <w:r>
          <w:fldChar w:fldCharType="end"/>
        </w:r>
      </w:hyperlink>
    </w:p>
    <w:p>
      <w:pPr>
        <w:pStyle w:val="Indice"/>
        <w:tabs>
          <w:tab w:val="right" w:leader="dot" w:pos="9974"/>
        </w:tabs>
        <w:spacing w:before="40" w:after="40"/>
        <w:ind w:left="1134" w:hanging="1134"/>
      </w:pPr>
      <w:hyperlink w:anchor="rot_Figura_F4_1" w:history="1">
        <w:r>
          <w:t xml:space="preserve">Figura F4.1. DAG principal del estimando E1</w:t>
        </w:r>
        <w:r>
          <w:tab/>
        </w:r>
        <w:r>
          <w:fldChar w:fldCharType="begin"/>
        </w:r>
        <w:r>
          <w:instrText xml:space="preserve"> PAGEREF rot_Figura_F4_1 \h </w:instrText>
        </w:r>
        <w:r>
          <w:fldChar w:fldCharType="separate"/>
        </w:r>
        <w:r>
          <w:t>144</w:t>
        </w:r>
        <w:r>
          <w:fldChar w:fldCharType="end"/>
        </w:r>
      </w:hyperlink>
    </w:p>
    <w:p>
      <w:pPr>
        <w:pStyle w:val="Indice"/>
        <w:tabs>
          <w:tab w:val="right" w:leader="dot" w:pos="9974"/>
        </w:tabs>
        <w:spacing w:before="40" w:after="40"/>
        <w:ind w:left="1134" w:hanging="1134"/>
      </w:pPr>
      <w:hyperlink w:anchor="rot_Figura_F4_2" w:history="1">
        <w:r>
          <w:t xml:space="preserve">Figura F4.2. Plano Vester del escenario S0: ledger de E3-P04 con 22 aristas</w:t>
        </w:r>
        <w:r>
          <w:tab/>
        </w:r>
        <w:r>
          <w:fldChar w:fldCharType="begin"/>
        </w:r>
        <w:r>
          <w:instrText xml:space="preserve"> PAGEREF rot_Figura_F4_2 \h </w:instrText>
        </w:r>
        <w:r>
          <w:fldChar w:fldCharType="separate"/>
        </w:r>
        <w:r>
          <w:t>173</w:t>
        </w:r>
        <w:r>
          <w:fldChar w:fldCharType="end"/>
        </w:r>
      </w:hyperlink>
    </w:p>
    <w:p>
      <w:pPr>
        <w:pStyle w:val="Indice"/>
        <w:tabs>
          <w:tab w:val="right" w:leader="dot" w:pos="9974"/>
        </w:tabs>
        <w:spacing w:before="40" w:after="40"/>
        <w:ind w:left="1134" w:hanging="1134"/>
      </w:pPr>
      <w:hyperlink w:anchor="rot_Figura_F4_3" w:history="1">
        <w:r>
          <w:t xml:space="preserve">Figura F4.3. Plano Vester del escenario S1: iteración previa con 32 aristas</w:t>
        </w:r>
        <w:r>
          <w:tab/>
        </w:r>
        <w:r>
          <w:fldChar w:fldCharType="begin"/>
        </w:r>
        <w:r>
          <w:instrText xml:space="preserve"> PAGEREF rot_Figura_F4_3 \h </w:instrText>
        </w:r>
        <w:r>
          <w:fldChar w:fldCharType="separate"/>
        </w:r>
        <w:r>
          <w:t>174</w:t>
        </w:r>
        <w:r>
          <w:fldChar w:fldCharType="end"/>
        </w:r>
      </w:hyperlink>
    </w:p>
    <w:p>
      <w:pPr>
        <w:pStyle w:val="Indice"/>
        <w:tabs>
          <w:tab w:val="right" w:leader="dot" w:pos="9974"/>
        </w:tabs>
        <w:spacing w:before="40" w:after="40"/>
        <w:ind w:left="1134" w:hanging="1134"/>
      </w:pPr>
      <w:hyperlink w:anchor="rot_Figura_F4_4" w:history="1">
        <w:r>
          <w:t xml:space="preserve">Figura F4.4. Plano Vester del escenario S2: escenario de trabajo con 48 aristas</w:t>
        </w:r>
        <w:r>
          <w:tab/>
        </w:r>
        <w:r>
          <w:fldChar w:fldCharType="begin"/>
        </w:r>
        <w:r>
          <w:instrText xml:space="preserve"> PAGEREF rot_Figura_F4_4 \h </w:instrText>
        </w:r>
        <w:r>
          <w:fldChar w:fldCharType="separate"/>
        </w:r>
        <w:r>
          <w:t>175</w:t>
        </w:r>
        <w:r>
          <w:fldChar w:fldCharType="end"/>
        </w:r>
      </w:hyperlink>
    </w:p>
    <w:p>
      <w:pPr>
        <w:pStyle w:val="Indice"/>
        <w:tabs>
          <w:tab w:val="right" w:leader="dot" w:pos="9974"/>
        </w:tabs>
        <w:spacing w:before="40" w:after="40"/>
        <w:ind w:left="1134" w:hanging="1134"/>
      </w:pPr>
      <w:hyperlink w:anchor="rot_Figura_F4_5" w:history="1">
        <w:r>
          <w:t xml:space="preserve">Figura F4.5. Plano Vester del escenario S3: envolvente admisible baja con 21 aristas</w:t>
        </w:r>
        <w:r>
          <w:tab/>
        </w:r>
        <w:r>
          <w:fldChar w:fldCharType="begin"/>
        </w:r>
        <w:r>
          <w:instrText xml:space="preserve"> PAGEREF rot_Figura_F4_5 \h </w:instrText>
        </w:r>
        <w:r>
          <w:fldChar w:fldCharType="separate"/>
        </w:r>
        <w:r>
          <w:t>176</w:t>
        </w:r>
        <w:r>
          <w:fldChar w:fldCharType="end"/>
        </w:r>
      </w:hyperlink>
    </w:p>
    <w:p>
      <w:pPr>
        <w:pStyle w:val="Indice"/>
        <w:tabs>
          <w:tab w:val="right" w:leader="dot" w:pos="9974"/>
        </w:tabs>
        <w:spacing w:before="40" w:after="40"/>
        <w:ind w:left="1134" w:hanging="1134"/>
      </w:pPr>
      <w:hyperlink w:anchor="rot_Figura_F4_6" w:history="1">
        <w:r>
          <w:t xml:space="preserve">Figura F4.6. Plano Vester del escenario S4: envolvente admisible alta con 60 aristas</w:t>
        </w:r>
        <w:r>
          <w:tab/>
        </w:r>
        <w:r>
          <w:fldChar w:fldCharType="begin"/>
        </w:r>
        <w:r>
          <w:instrText xml:space="preserve"> PAGEREF rot_Figura_F4_6 \h </w:instrText>
        </w:r>
        <w:r>
          <w:fldChar w:fldCharType="separate"/>
        </w:r>
        <w:r>
          <w:t>177</w:t>
        </w:r>
        <w:r>
          <w:fldChar w:fldCharType="end"/>
        </w:r>
      </w:hyperlink>
    </w:p>
    <w:p>
      <w:pPr>
        <w:pStyle w:val="Indice"/>
        <w:tabs>
          <w:tab w:val="right" w:leader="dot" w:pos="9974"/>
        </w:tabs>
        <w:spacing w:before="40" w:after="40"/>
        <w:ind w:left="1134" w:hanging="1134"/>
      </w:pPr>
      <w:hyperlink w:anchor="rot_Figura_F4_7" w:history="1">
        <w:r>
          <w:t xml:space="preserve">Figura F4.7. Plano MICMAC del escenario S2 con la potencia de referencia A^10</w:t>
        </w:r>
        <w:r>
          <w:tab/>
        </w:r>
        <w:r>
          <w:fldChar w:fldCharType="begin"/>
        </w:r>
        <w:r>
          <w:instrText xml:space="preserve"> PAGEREF rot_Figura_F4_7 \h </w:instrText>
        </w:r>
        <w:r>
          <w:fldChar w:fldCharType="separate"/>
        </w:r>
        <w:r>
          <w:t>190</w:t>
        </w:r>
        <w:r>
          <w:fldChar w:fldCharType="end"/>
        </w:r>
      </w:hyperlink>
    </w:p>
    <w:p>
      <w:pPr>
        <w:pStyle w:val="Indice"/>
        <w:tabs>
          <w:tab w:val="right" w:leader="dot" w:pos="9974"/>
        </w:tabs>
        <w:spacing w:before="40" w:after="40"/>
        <w:ind w:left="1134" w:hanging="1134"/>
      </w:pPr>
      <w:hyperlink w:anchor="rot_Figura_F4_8" w:history="1">
        <w:r>
          <w:t xml:space="preserve">Figura F4.8. A-DEC: estrategia de resolución y custodia posproyecto</w:t>
        </w:r>
        <w:r>
          <w:tab/>
        </w:r>
        <w:r>
          <w:fldChar w:fldCharType="begin"/>
        </w:r>
        <w:r>
          <w:instrText xml:space="preserve"> PAGEREF rot_Figura_F4_8 \h </w:instrText>
        </w:r>
        <w:r>
          <w:fldChar w:fldCharType="separate"/>
        </w:r>
        <w:r>
          <w:t>204</w:t>
        </w:r>
        <w:r>
          <w:fldChar w:fldCharType="end"/>
        </w:r>
      </w:hyperlink>
    </w:p>
    <w:p>
      <w:pPr>
        <w:pStyle w:val="Indice"/>
        <w:tabs>
          <w:tab w:val="right" w:leader="dot" w:pos="9974"/>
        </w:tabs>
        <w:spacing w:before="40" w:after="40"/>
        <w:ind w:left="1134" w:hanging="1134"/>
      </w:pPr>
      <w:hyperlink w:anchor="rot_Figura_F4_9" w:history="1">
        <w:r>
          <w:t xml:space="preserve">Figura F4.9. A-TDC: teoría del cambio de la red de vigilancia con custodia distribuida</w:t>
        </w:r>
        <w:r>
          <w:tab/>
        </w:r>
        <w:r>
          <w:fldChar w:fldCharType="begin"/>
        </w:r>
        <w:r>
          <w:instrText xml:space="preserve"> PAGEREF rot_Figura_F4_9 \h </w:instrText>
        </w:r>
        <w:r>
          <w:fldChar w:fldCharType="separate"/>
        </w:r>
        <w:r>
          <w:t>208</w:t>
        </w:r>
        <w:r>
          <w:fldChar w:fldCharType="end"/>
        </w:r>
      </w:hyperlink>
    </w:p>
    <w:p>
      <w:pPr>
        <w:pStyle w:val="Indice"/>
        <w:tabs>
          <w:tab w:val="right" w:leader="dot" w:pos="9974"/>
        </w:tabs>
        <w:spacing w:before="40" w:after="40"/>
        <w:ind w:left="1134" w:hanging="1134"/>
      </w:pPr>
      <w:hyperlink w:anchor="rot_Figura_F4_10" w:history="1">
        <w:r>
          <w:t xml:space="preserve">Figura F4.10. A-PROB: árbol de problemas de la vigilancia de material particulado</w:t>
        </w:r>
        <w:r>
          <w:tab/>
        </w:r>
        <w:r>
          <w:fldChar w:fldCharType="begin"/>
        </w:r>
        <w:r>
          <w:instrText xml:space="preserve"> PAGEREF rot_Figura_F4_10 \h </w:instrText>
        </w:r>
        <w:r>
          <w:fldChar w:fldCharType="separate"/>
        </w:r>
        <w:r>
          <w:t>254</w:t>
        </w:r>
        <w:r>
          <w:fldChar w:fldCharType="end"/>
        </w:r>
      </w:hyperlink>
    </w:p>
    <w:p>
      <w:pPr>
        <w:pStyle w:val="Indice"/>
        <w:tabs>
          <w:tab w:val="right" w:leader="dot" w:pos="9974"/>
        </w:tabs>
        <w:spacing w:before="40" w:after="40"/>
        <w:ind w:left="1134" w:hanging="1134"/>
      </w:pPr>
      <w:hyperlink w:anchor="rot_Figura_F6_1" w:history="1">
        <w:r>
          <w:t xml:space="preserve">Figura F6.1. Árbol de objetivos del proyecto</w:t>
        </w:r>
        <w:r>
          <w:tab/>
        </w:r>
        <w:r>
          <w:fldChar w:fldCharType="begin"/>
        </w:r>
        <w:r>
          <w:instrText xml:space="preserve"> PAGEREF rot_Figura_F6_1 \h </w:instrText>
        </w:r>
        <w:r>
          <w:fldChar w:fldCharType="separate"/>
        </w:r>
        <w:r>
          <w:t>272</w:t>
        </w:r>
        <w:r>
          <w:fldChar w:fldCharType="end"/>
        </w:r>
      </w:hyperlink>
    </w:p>
    <w:p>
      <w:pPr>
        <w:pStyle w:val="Indice"/>
        <w:tabs>
          <w:tab w:val="right" w:leader="dot" w:pos="9974"/>
        </w:tabs>
        <w:spacing w:before="40" w:after="40"/>
        <w:ind w:left="1134" w:hanging="1134"/>
      </w:pPr>
      <w:hyperlink w:anchor="rot_Figura_F6_2" w:history="1">
        <w:r>
          <w:t xml:space="preserve">Figura F6.2. Puntaje ponderado por alternativa y rango en los escenarios de sensibilidad</w:t>
        </w:r>
        <w:r>
          <w:tab/>
        </w:r>
        <w:r>
          <w:fldChar w:fldCharType="begin"/>
        </w:r>
        <w:r>
          <w:instrText xml:space="preserve"> PAGEREF rot_Figura_F6_2 \h </w:instrText>
        </w:r>
        <w:r>
          <w:fldChar w:fldCharType="separate"/>
        </w:r>
        <w:r>
          <w:t>285</w:t>
        </w:r>
        <w:r>
          <w:fldChar w:fldCharType="end"/>
        </w:r>
      </w:hyperlink>
    </w:p>
    <w:p>
      <w:pPr>
        <w:pStyle w:val="Indice"/>
        <w:tabs>
          <w:tab w:val="right" w:leader="dot" w:pos="9974"/>
        </w:tabs>
        <w:spacing w:before="40" w:after="40"/>
        <w:ind w:left="1134" w:hanging="1134"/>
      </w:pPr>
      <w:hyperlink w:anchor="rot_Figura_F7_1" w:history="1">
        <w:r>
          <w:t xml:space="preserve">Figura F7.1. La cadena del proyecto separa 10 outputs, 3 outcomes y 2 impactos institucionales</w:t>
        </w:r>
        <w:r>
          <w:tab/>
        </w:r>
        <w:r>
          <w:fldChar w:fldCharType="begin"/>
        </w:r>
        <w:r>
          <w:instrText xml:space="preserve"> PAGEREF rot_Figura_F7_1 \h </w:instrText>
        </w:r>
        <w:r>
          <w:fldChar w:fldCharType="separate"/>
        </w:r>
        <w:r>
          <w:t>287</w:t>
        </w:r>
        <w:r>
          <w:fldChar w:fldCharType="end"/>
        </w:r>
      </w:hyperlink>
    </w:p>
    <w:p>
      <w:pPr>
        <w:pStyle w:val="Indice"/>
        <w:tabs>
          <w:tab w:val="right" w:leader="dot" w:pos="9974"/>
        </w:tabs>
        <w:spacing w:before="40" w:after="40"/>
        <w:ind w:left="1134" w:hanging="1134"/>
      </w:pPr>
      <w:hyperlink w:anchor="rot_Figura_1_1" w:history="1">
        <w:r>
          <w:t xml:space="preserve">Figura 1.1. Esquema de localización de los tres departamentos con los nodos por tramo</w:t>
        </w:r>
        <w:r>
          <w:tab/>
        </w:r>
        <w:r>
          <w:fldChar w:fldCharType="begin"/>
        </w:r>
        <w:r>
          <w:instrText xml:space="preserve"> PAGEREF rot_Figura_1_1 \h </w:instrText>
        </w:r>
        <w:r>
          <w:fldChar w:fldCharType="separate"/>
        </w:r>
        <w:r>
          <w:t>302</w:t>
        </w:r>
        <w:r>
          <w:fldChar w:fldCharType="end"/>
        </w:r>
      </w:hyperlink>
    </w:p>
    <w:p>
      <w:pPr>
        <w:pStyle w:val="Indice"/>
        <w:tabs>
          <w:tab w:val="right" w:leader="dot" w:pos="9974"/>
        </w:tabs>
        <w:spacing w:before="40" w:after="40"/>
        <w:ind w:left="1134" w:hanging="1134"/>
      </w:pPr>
      <w:hyperlink w:anchor="rot_Figura_1_2" w:history="1">
        <w:r>
          <w:t xml:space="preserve">Figura 1.2. Árbol de problemas simplificado A-PROB del error de medición sin verificar</w:t>
        </w:r>
        <w:r>
          <w:tab/>
        </w:r>
        <w:r>
          <w:fldChar w:fldCharType="begin"/>
        </w:r>
        <w:r>
          <w:instrText xml:space="preserve"> PAGEREF rot_Figura_1_2 \h </w:instrText>
        </w:r>
        <w:r>
          <w:fldChar w:fldCharType="separate"/>
        </w:r>
        <w:r>
          <w:t>309</w:t>
        </w:r>
        <w:r>
          <w:fldChar w:fldCharType="end"/>
        </w:r>
      </w:hyperlink>
    </w:p>
    <w:p>
      <w:pPr>
        <w:pStyle w:val="Indice"/>
        <w:tabs>
          <w:tab w:val="right" w:leader="dot" w:pos="9974"/>
        </w:tabs>
        <w:spacing w:before="40" w:after="40"/>
        <w:ind w:left="1134" w:hanging="1134"/>
      </w:pPr>
      <w:hyperlink w:anchor="rot_Figura_1_3" w:history="1">
        <w:r>
          <w:t xml:space="preserve">Figura 1.3. Modelo relacional de las variables del problema formal</w:t>
        </w:r>
        <w:r>
          <w:tab/>
        </w:r>
        <w:r>
          <w:fldChar w:fldCharType="begin"/>
        </w:r>
        <w:r>
          <w:instrText xml:space="preserve"> PAGEREF rot_Figura_1_3 \h </w:instrText>
        </w:r>
        <w:r>
          <w:fldChar w:fldCharType="separate"/>
        </w:r>
        <w:r>
          <w:t>317</w:t>
        </w:r>
        <w:r>
          <w:fldChar w:fldCharType="end"/>
        </w:r>
      </w:hyperlink>
    </w:p>
    <w:p>
      <w:pPr>
        <w:pStyle w:val="Indice"/>
        <w:tabs>
          <w:tab w:val="right" w:leader="dot" w:pos="9974"/>
        </w:tabs>
        <w:spacing w:before="40" w:after="40"/>
        <w:ind w:left="1134" w:hanging="1134"/>
      </w:pPr>
      <w:hyperlink w:anchor="rot_Figura_2_1" w:history="1">
        <w:r>
          <w:t xml:space="preserve">Figura 2.1. Diagrama PRISMA de flujo del corpus de 42 documentos</w:t>
        </w:r>
        <w:r>
          <w:tab/>
        </w:r>
        <w:r>
          <w:fldChar w:fldCharType="begin"/>
        </w:r>
        <w:r>
          <w:instrText xml:space="preserve"> PAGEREF rot_Figura_2_1 \h </w:instrText>
        </w:r>
        <w:r>
          <w:fldChar w:fldCharType="separate"/>
        </w:r>
        <w:r>
          <w:t>323</w:t>
        </w:r>
        <w:r>
          <w:fldChar w:fldCharType="end"/>
        </w:r>
      </w:hyperlink>
    </w:p>
    <w:p>
      <w:pPr>
        <w:pStyle w:val="Indice"/>
        <w:tabs>
          <w:tab w:val="right" w:leader="dot" w:pos="9974"/>
        </w:tabs>
        <w:spacing w:before="40" w:after="40"/>
        <w:ind w:left="1134" w:hanging="1134"/>
      </w:pPr>
      <w:hyperlink w:anchor="rot_Figura_2_2" w:history="1">
        <w:r>
          <w:t xml:space="preserve">Figura 2.2. Producción temporal de documentos con acumulado y eras históricas</w:t>
        </w:r>
        <w:r>
          <w:tab/>
        </w:r>
        <w:r>
          <w:fldChar w:fldCharType="begin"/>
        </w:r>
        <w:r>
          <w:instrText xml:space="preserve"> PAGEREF rot_Figura_2_2 \h </w:instrText>
        </w:r>
        <w:r>
          <w:fldChar w:fldCharType="separate"/>
        </w:r>
        <w:r>
          <w:t>325</w:t>
        </w:r>
        <w:r>
          <w:fldChar w:fldCharType="end"/>
        </w:r>
      </w:hyperlink>
    </w:p>
    <w:p>
      <w:pPr>
        <w:pStyle w:val="Indice"/>
        <w:tabs>
          <w:tab w:val="right" w:leader="dot" w:pos="9974"/>
        </w:tabs>
        <w:spacing w:before="40" w:after="40"/>
        <w:ind w:left="1134" w:hanging="1134"/>
      </w:pPr>
      <w:hyperlink w:anchor="rot_Figura_2_3" w:history="1">
        <w:r>
          <w:t xml:space="preserve">Figura 2.3. Distribución de Lotka de los 213 autores con ajustes exploratorios</w:t>
        </w:r>
        <w:r>
          <w:tab/>
        </w:r>
        <w:r>
          <w:fldChar w:fldCharType="begin"/>
        </w:r>
        <w:r>
          <w:instrText xml:space="preserve"> PAGEREF rot_Figura_2_3 \h </w:instrText>
        </w:r>
        <w:r>
          <w:fldChar w:fldCharType="separate"/>
        </w:r>
        <w:r>
          <w:t>328</w:t>
        </w:r>
        <w:r>
          <w:fldChar w:fldCharType="end"/>
        </w:r>
      </w:hyperlink>
    </w:p>
    <w:p>
      <w:pPr>
        <w:pStyle w:val="Indice"/>
        <w:tabs>
          <w:tab w:val="right" w:leader="dot" w:pos="9974"/>
        </w:tabs>
        <w:spacing w:before="40" w:after="40"/>
        <w:ind w:left="1134" w:hanging="1134"/>
      </w:pPr>
      <w:hyperlink w:anchor="rot_Figura_2_4" w:history="1">
        <w:r>
          <w:t xml:space="preserve">Figura 2.4. Revistas del corpus por zona de Bradford y número de artículos</w:t>
        </w:r>
        <w:r>
          <w:tab/>
        </w:r>
        <w:r>
          <w:fldChar w:fldCharType="begin"/>
        </w:r>
        <w:r>
          <w:instrText xml:space="preserve"> PAGEREF rot_Figura_2_4 \h </w:instrText>
        </w:r>
        <w:r>
          <w:fldChar w:fldCharType="separate"/>
        </w:r>
        <w:r>
          <w:t>331</w:t>
        </w:r>
        <w:r>
          <w:fldChar w:fldCharType="end"/>
        </w:r>
      </w:hyperlink>
    </w:p>
    <w:p>
      <w:pPr>
        <w:pStyle w:val="Indice"/>
        <w:tabs>
          <w:tab w:val="right" w:leader="dot" w:pos="9974"/>
        </w:tabs>
        <w:spacing w:before="40" w:after="40"/>
        <w:ind w:left="1134" w:hanging="1134"/>
      </w:pPr>
      <w:hyperlink w:anchor="rot_Figura_2_5" w:history="1">
        <w:r>
          <w:t xml:space="preserve">Figura 2.5. Red de co-ocurrencia de palabras de título con cinco comunidades</w:t>
        </w:r>
        <w:r>
          <w:tab/>
        </w:r>
        <w:r>
          <w:fldChar w:fldCharType="begin"/>
        </w:r>
        <w:r>
          <w:instrText xml:space="preserve"> PAGEREF rot_Figura_2_5 \h </w:instrText>
        </w:r>
        <w:r>
          <w:fldChar w:fldCharType="separate"/>
        </w:r>
        <w:r>
          <w:t>335</w:t>
        </w:r>
        <w:r>
          <w:fldChar w:fldCharType="end"/>
        </w:r>
      </w:hyperlink>
    </w:p>
    <w:p>
      <w:pPr>
        <w:pStyle w:val="Indice"/>
        <w:tabs>
          <w:tab w:val="right" w:leader="dot" w:pos="9974"/>
        </w:tabs>
        <w:spacing w:before="40" w:after="40"/>
        <w:ind w:left="1134" w:hanging="1134"/>
      </w:pPr>
      <w:hyperlink w:anchor="rot_Figura_2_6" w:history="1">
        <w:r>
          <w:t xml:space="preserve">Figura 2.6. Acoplamiento bibliográfico entre artículos y referencias más compartidas</w:t>
        </w:r>
        <w:r>
          <w:tab/>
        </w:r>
        <w:r>
          <w:fldChar w:fldCharType="begin"/>
        </w:r>
        <w:r>
          <w:instrText xml:space="preserve"> PAGEREF rot_Figura_2_6 \h </w:instrText>
        </w:r>
        <w:r>
          <w:fldChar w:fldCharType="separate"/>
        </w:r>
        <w:r>
          <w:t>338</w:t>
        </w:r>
        <w:r>
          <w:fldChar w:fldCharType="end"/>
        </w:r>
      </w:hyperlink>
    </w:p>
    <w:p>
      <w:pPr>
        <w:pStyle w:val="Indice"/>
        <w:tabs>
          <w:tab w:val="right" w:leader="dot" w:pos="9974"/>
        </w:tabs>
        <w:spacing w:before="40" w:after="40"/>
        <w:ind w:left="1134" w:hanging="1134"/>
      </w:pPr>
      <w:hyperlink w:anchor="rot_Figura_2_7" w:history="1">
        <w:r>
          <w:t xml:space="preserve">Figura 2.7. Mapa estratégico de cuatro cuadrantes de las comunidades de co-palabras</w:t>
        </w:r>
        <w:r>
          <w:tab/>
        </w:r>
        <w:r>
          <w:fldChar w:fldCharType="begin"/>
        </w:r>
        <w:r>
          <w:instrText xml:space="preserve"> PAGEREF rot_Figura_2_7 \h </w:instrText>
        </w:r>
        <w:r>
          <w:fldChar w:fldCharType="separate"/>
        </w:r>
        <w:r>
          <w:t>340</w:t>
        </w:r>
        <w:r>
          <w:fldChar w:fldCharType="end"/>
        </w:r>
      </w:hyperlink>
    </w:p>
    <w:p>
      <w:pPr>
        <w:pStyle w:val="Indice"/>
        <w:tabs>
          <w:tab w:val="right" w:leader="dot" w:pos="9974"/>
        </w:tabs>
        <w:spacing w:before="40" w:after="40"/>
        <w:ind w:left="1134" w:hanging="1134"/>
      </w:pPr>
      <w:hyperlink w:anchor="rot_Figura_2_8" w:history="1">
        <w:r>
          <w:t xml:space="preserve">Figura 2.8. Composición temática del corpus en tres eras mediante listones entre grupos</w:t>
        </w:r>
        <w:r>
          <w:tab/>
        </w:r>
        <w:r>
          <w:fldChar w:fldCharType="begin"/>
        </w:r>
        <w:r>
          <w:instrText xml:space="preserve"> PAGEREF rot_Figura_2_8 \h </w:instrText>
        </w:r>
        <w:r>
          <w:fldChar w:fldCharType="separate"/>
        </w:r>
        <w:r>
          <w:t>342</w:t>
        </w:r>
        <w:r>
          <w:fldChar w:fldCharType="end"/>
        </w:r>
      </w:hyperlink>
    </w:p>
    <w:p>
      <w:pPr>
        <w:pStyle w:val="Indice"/>
        <w:tabs>
          <w:tab w:val="right" w:leader="dot" w:pos="9974"/>
        </w:tabs>
        <w:spacing w:before="40" w:after="40"/>
        <w:ind w:left="1134" w:hanging="1134"/>
      </w:pPr>
      <w:hyperlink w:anchor="rot_Figura_2_9" w:history="1">
        <w:r>
          <w:t xml:space="preserve">Figura 2.9. Sofisticación frente a integración de los documentos y valle de componentes sin integración</w:t>
        </w:r>
        <w:r>
          <w:tab/>
        </w:r>
        <w:r>
          <w:fldChar w:fldCharType="begin"/>
        </w:r>
        <w:r>
          <w:instrText xml:space="preserve"> PAGEREF rot_Figura_2_9 \h </w:instrText>
        </w:r>
        <w:r>
          <w:fldChar w:fldCharType="separate"/>
        </w:r>
        <w:r>
          <w:t>345</w:t>
        </w:r>
        <w:r>
          <w:fldChar w:fldCharType="end"/>
        </w:r>
      </w:hyperlink>
    </w:p>
    <w:p>
      <w:pPr>
        <w:pStyle w:val="Indice"/>
        <w:tabs>
          <w:tab w:val="right" w:leader="dot" w:pos="9974"/>
        </w:tabs>
        <w:spacing w:before="40" w:after="40"/>
        <w:ind w:left="1134" w:hanging="1134"/>
      </w:pPr>
      <w:hyperlink w:anchor="rot_Figura_2_10" w:history="1">
        <w:r>
          <w:t xml:space="preserve">Figura 2.10. Perfil de cada grupo documental frente al criterio de referencia en cinco indicadores</w:t>
        </w:r>
        <w:r>
          <w:tab/>
        </w:r>
        <w:r>
          <w:fldChar w:fldCharType="begin"/>
        </w:r>
        <w:r>
          <w:instrText xml:space="preserve"> PAGEREF rot_Figura_2_10 \h </w:instrText>
        </w:r>
        <w:r>
          <w:fldChar w:fldCharType="separate"/>
        </w:r>
        <w:r>
          <w:t>347</w:t>
        </w:r>
        <w:r>
          <w:fldChar w:fldCharType="end"/>
        </w:r>
      </w:hyperlink>
    </w:p>
    <w:p>
      <w:pPr>
        <w:pStyle w:val="Indice"/>
        <w:tabs>
          <w:tab w:val="right" w:leader="dot" w:pos="9974"/>
        </w:tabs>
        <w:spacing w:before="40" w:after="40"/>
        <w:ind w:left="1134" w:hanging="1134"/>
      </w:pPr>
      <w:hyperlink w:anchor="rot_Figura_2_11" w:history="1">
        <w:r>
          <w:t xml:space="preserve">Figura 2.11. Mapa de calor de madurez tecnológica y de integración por línea tecnológica</w:t>
        </w:r>
        <w:r>
          <w:tab/>
        </w:r>
        <w:r>
          <w:fldChar w:fldCharType="begin"/>
        </w:r>
        <w:r>
          <w:instrText xml:space="preserve"> PAGEREF rot_Figura_2_11 \h </w:instrText>
        </w:r>
        <w:r>
          <w:fldChar w:fldCharType="separate"/>
        </w:r>
        <w:r>
          <w:t>349</w:t>
        </w:r>
        <w:r>
          <w:fldChar w:fldCharType="end"/>
        </w:r>
      </w:hyperlink>
    </w:p>
    <w:p>
      <w:pPr>
        <w:pStyle w:val="Indice"/>
        <w:tabs>
          <w:tab w:val="right" w:leader="dot" w:pos="9974"/>
        </w:tabs>
        <w:spacing w:before="40" w:after="40"/>
        <w:ind w:left="1134" w:hanging="1134"/>
      </w:pPr>
      <w:hyperlink w:anchor="rot_Figura_2_12" w:history="1">
        <w:r>
          <w:t xml:space="preserve">Figura 2.12. Documentos del corpus por país de las instituciones</w:t>
        </w:r>
        <w:r>
          <w:tab/>
        </w:r>
        <w:r>
          <w:fldChar w:fldCharType="begin"/>
        </w:r>
        <w:r>
          <w:instrText xml:space="preserve"> PAGEREF rot_Figura_2_12 \h </w:instrText>
        </w:r>
        <w:r>
          <w:fldChar w:fldCharType="separate"/>
        </w:r>
        <w:r>
          <w:t>351</w:t>
        </w:r>
        <w:r>
          <w:fldChar w:fldCharType="end"/>
        </w:r>
      </w:hyperlink>
    </w:p>
    <w:p>
      <w:pPr>
        <w:pStyle w:val="Indice"/>
        <w:tabs>
          <w:tab w:val="right" w:leader="dot" w:pos="9974"/>
        </w:tabs>
        <w:spacing w:before="40" w:after="40"/>
        <w:ind w:left="1134" w:hanging="1134"/>
      </w:pPr>
      <w:hyperlink w:anchor="rot_Figura_2_13" w:history="1">
        <w:r>
          <w:t xml:space="preserve">Figura 2.13. Robustez media por grupo documental y valores individuales publicados</w:t>
        </w:r>
        <w:r>
          <w:tab/>
        </w:r>
        <w:r>
          <w:fldChar w:fldCharType="begin"/>
        </w:r>
        <w:r>
          <w:instrText xml:space="preserve"> PAGEREF rot_Figura_2_13 \h </w:instrText>
        </w:r>
        <w:r>
          <w:fldChar w:fldCharType="separate"/>
        </w:r>
        <w:r>
          <w:t>353</w:t>
        </w:r>
        <w:r>
          <w:fldChar w:fldCharType="end"/>
        </w:r>
      </w:hyperlink>
    </w:p>
    <w:p>
      <w:pPr>
        <w:pStyle w:val="Indice"/>
        <w:tabs>
          <w:tab w:val="right" w:leader="dot" w:pos="9974"/>
        </w:tabs>
        <w:spacing w:before="40" w:after="40"/>
        <w:ind w:left="1134" w:hanging="1134"/>
      </w:pPr>
      <w:hyperlink w:anchor="rot_Figura_2_14" w:history="1">
        <w:r>
          <w:t xml:space="preserve">Figura 2.14. Línea de tiempo de las patentes del corpus y de los plazos de fase nacional en Colombia</w:t>
        </w:r>
        <w:r>
          <w:tab/>
        </w:r>
        <w:r>
          <w:fldChar w:fldCharType="begin"/>
        </w:r>
        <w:r>
          <w:instrText xml:space="preserve"> PAGEREF rot_Figura_2_14 \h </w:instrText>
        </w:r>
        <w:r>
          <w:fldChar w:fldCharType="separate"/>
        </w:r>
        <w:r>
          <w:t>360</w:t>
        </w:r>
        <w:r>
          <w:fldChar w:fldCharType="end"/>
        </w:r>
      </w:hyperlink>
    </w:p>
    <w:p>
      <w:pPr>
        <w:pStyle w:val="Indice"/>
        <w:tabs>
          <w:tab w:val="right" w:leader="dot" w:pos="9974"/>
        </w:tabs>
        <w:spacing w:before="40" w:after="40"/>
        <w:ind w:left="1134" w:hanging="1134"/>
      </w:pPr>
      <w:hyperlink w:anchor="rot_Figura_2_15" w:history="1">
        <w:r>
          <w:t xml:space="preserve">Figura 2.15. Posicionamiento del proyecto frente a los 41 documentos del corpus por TRL e IRL</w:t>
        </w:r>
        <w:r>
          <w:tab/>
        </w:r>
        <w:r>
          <w:fldChar w:fldCharType="begin"/>
        </w:r>
        <w:r>
          <w:instrText xml:space="preserve"> PAGEREF rot_Figura_2_15 \h </w:instrText>
        </w:r>
        <w:r>
          <w:fldChar w:fldCharType="separate"/>
        </w:r>
        <w:r>
          <w:t>378</w:t>
        </w:r>
        <w:r>
          <w:fldChar w:fldCharType="end"/>
        </w:r>
      </w:hyperlink>
    </w:p>
    <w:p>
      <w:pPr>
        <w:pStyle w:val="Indice"/>
        <w:tabs>
          <w:tab w:val="right" w:leader="dot" w:pos="9974"/>
        </w:tabs>
        <w:spacing w:before="40" w:after="40"/>
        <w:ind w:left="1134" w:hanging="1134"/>
      </w:pPr>
      <w:hyperlink w:anchor="rot_Figura_2_16" w:history="1">
        <w:r>
          <w:t xml:space="preserve">Figura 2.16. Hoja de ruta tecnológica del sector con la posición del proyecto por línea y TRL medio</w:t>
        </w:r>
        <w:r>
          <w:tab/>
        </w:r>
        <w:r>
          <w:fldChar w:fldCharType="begin"/>
        </w:r>
        <w:r>
          <w:instrText xml:space="preserve"> PAGEREF rot_Figura_2_16 \h </w:instrText>
        </w:r>
        <w:r>
          <w:fldChar w:fldCharType="separate"/>
        </w:r>
        <w:r>
          <w:t>379</w:t>
        </w:r>
        <w:r>
          <w:fldChar w:fldCharType="end"/>
        </w:r>
      </w:hyperlink>
    </w:p>
    <w:p>
      <w:pPr>
        <w:pStyle w:val="Indice"/>
        <w:tabs>
          <w:tab w:val="right" w:leader="dot" w:pos="9974"/>
        </w:tabs>
        <w:spacing w:before="40" w:after="40"/>
        <w:ind w:left="1134" w:hanging="1134"/>
      </w:pPr>
      <w:hyperlink w:anchor="rot_Figura_2_17" w:history="1">
        <w:r>
          <w:t xml:space="preserve">Figura 2.17. Red de conexiones entre las referencias clave del proyecto: ocho con ficha y cinco de apoyo</w:t>
        </w:r>
        <w:r>
          <w:tab/>
        </w:r>
        <w:r>
          <w:fldChar w:fldCharType="begin"/>
        </w:r>
        <w:r>
          <w:instrText xml:space="preserve"> PAGEREF rot_Figura_2_17 \h </w:instrText>
        </w:r>
        <w:r>
          <w:fldChar w:fldCharType="separate"/>
        </w:r>
        <w:r>
          <w:t>391</w:t>
        </w:r>
        <w:r>
          <w:fldChar w:fldCharType="end"/>
        </w:r>
      </w:hyperlink>
    </w:p>
    <w:p>
      <w:pPr>
        <w:pStyle w:val="Indice"/>
        <w:tabs>
          <w:tab w:val="right" w:leader="dot" w:pos="9974"/>
        </w:tabs>
        <w:spacing w:before="40" w:after="40"/>
        <w:ind w:left="1134" w:hanging="1134"/>
      </w:pPr>
      <w:hyperlink w:anchor="rot_Figura_3_1" w:history="1">
        <w:r>
          <w:t xml:space="preserve">Figura 3.1. Árbol de objetivos del proyecto</w:t>
        </w:r>
        <w:r>
          <w:tab/>
        </w:r>
        <w:r>
          <w:fldChar w:fldCharType="begin"/>
        </w:r>
        <w:r>
          <w:instrText xml:space="preserve"> PAGEREF rot_Figura_3_1 \h </w:instrText>
        </w:r>
        <w:r>
          <w:fldChar w:fldCharType="separate"/>
        </w:r>
        <w:r>
          <w:t>399</w:t>
        </w:r>
        <w:r>
          <w:fldChar w:fldCharType="end"/>
        </w:r>
      </w:hyperlink>
    </w:p>
    <w:p>
      <w:pPr>
        <w:pStyle w:val="Indice"/>
        <w:tabs>
          <w:tab w:val="right" w:leader="dot" w:pos="9974"/>
        </w:tabs>
        <w:spacing w:before="40" w:after="40"/>
        <w:ind w:left="1134" w:hanging="1134"/>
      </w:pPr>
      <w:hyperlink w:anchor="rot_Figura_3_2" w:history="1">
        <w:r>
          <w:t xml:space="preserve">Figura 3.2. Contribución de los objetivos específicos a los ODS 3, 9, 11 y 13</w:t>
        </w:r>
        <w:r>
          <w:tab/>
        </w:r>
        <w:r>
          <w:fldChar w:fldCharType="begin"/>
        </w:r>
        <w:r>
          <w:instrText xml:space="preserve"> PAGEREF rot_Figura_3_2 \h </w:instrText>
        </w:r>
        <w:r>
          <w:fldChar w:fldCharType="separate"/>
        </w:r>
        <w:r>
          <w:t>403</w:t>
        </w:r>
        <w:r>
          <w:fldChar w:fldCharType="end"/>
        </w:r>
      </w:hyperlink>
    </w:p>
    <w:p>
      <w:pPr>
        <w:pStyle w:val="Indice"/>
        <w:tabs>
          <w:tab w:val="right" w:leader="dot" w:pos="9974"/>
        </w:tabs>
        <w:spacing w:before="40" w:after="40"/>
        <w:ind w:left="1134" w:hanging="1134"/>
      </w:pPr>
      <w:hyperlink w:anchor="rot_Figura_4_1" w:history="1">
        <w:r>
          <w:t xml:space="preserve">Figura 4.1. Mapa conceptual de integración teórica del proyecto</w:t>
        </w:r>
        <w:r>
          <w:tab/>
        </w:r>
        <w:r>
          <w:fldChar w:fldCharType="begin"/>
        </w:r>
        <w:r>
          <w:instrText xml:space="preserve"> PAGEREF rot_Figura_4_1 \h </w:instrText>
        </w:r>
        <w:r>
          <w:fldChar w:fldCharType="separate"/>
        </w:r>
        <w:r>
          <w:t>413</w:t>
        </w:r>
        <w:r>
          <w:fldChar w:fldCharType="end"/>
        </w:r>
      </w:hyperlink>
    </w:p>
    <w:p>
      <w:pPr>
        <w:pStyle w:val="Indice"/>
        <w:tabs>
          <w:tab w:val="right" w:leader="dot" w:pos="9974"/>
        </w:tabs>
        <w:spacing w:before="40" w:after="40"/>
        <w:ind w:left="1134" w:hanging="1134"/>
      </w:pPr>
      <w:hyperlink w:anchor="rot_Figura_4_2" w:history="1">
        <w:r>
          <w:t xml:space="preserve">Figura 4.2. Red conceptual de las 15 variables del modelo causal</w:t>
        </w:r>
        <w:r>
          <w:tab/>
        </w:r>
        <w:r>
          <w:fldChar w:fldCharType="begin"/>
        </w:r>
        <w:r>
          <w:instrText xml:space="preserve"> PAGEREF rot_Figura_4_2 \h </w:instrText>
        </w:r>
        <w:r>
          <w:fldChar w:fldCharType="separate"/>
        </w:r>
        <w:r>
          <w:t>420</w:t>
        </w:r>
        <w:r>
          <w:fldChar w:fldCharType="end"/>
        </w:r>
      </w:hyperlink>
    </w:p>
    <w:p>
      <w:pPr>
        <w:pStyle w:val="Indice"/>
        <w:tabs>
          <w:tab w:val="right" w:leader="dot" w:pos="9974"/>
        </w:tabs>
        <w:spacing w:before="40" w:after="40"/>
        <w:ind w:left="1134" w:hanging="1134"/>
      </w:pPr>
      <w:hyperlink w:anchor="rot_Figura_4_3" w:history="1">
        <w:r>
          <w:t xml:space="preserve">Figura 4.3. Línea de tiempo de antecedentes, literatura metrológica y marco normativo, 2012 a 2026</w:t>
        </w:r>
        <w:r>
          <w:tab/>
        </w:r>
        <w:r>
          <w:fldChar w:fldCharType="begin"/>
        </w:r>
        <w:r>
          <w:instrText xml:space="preserve"> PAGEREF rot_Figura_4_3 \h </w:instrText>
        </w:r>
        <w:r>
          <w:fldChar w:fldCharType="separate"/>
        </w:r>
        <w:r>
          <w:t>433</w:t>
        </w:r>
        <w:r>
          <w:fldChar w:fldCharType="end"/>
        </w:r>
      </w:hyperlink>
    </w:p>
    <w:p>
      <w:pPr>
        <w:pStyle w:val="Indice"/>
        <w:tabs>
          <w:tab w:val="right" w:leader="dot" w:pos="9974"/>
        </w:tabs>
        <w:spacing w:before="40" w:after="40"/>
        <w:ind w:left="1134" w:hanging="1134"/>
      </w:pPr>
      <w:hyperlink w:anchor="rot_Figura_5_1" w:history="1">
        <w:r>
          <w:t xml:space="preserve">Figura 5.1. Diagrama CARS del proyecto: territorio, nicho y ocupación</w:t>
        </w:r>
        <w:r>
          <w:tab/>
        </w:r>
        <w:r>
          <w:fldChar w:fldCharType="begin"/>
        </w:r>
        <w:r>
          <w:instrText xml:space="preserve"> PAGEREF rot_Figura_5_1 \h </w:instrText>
        </w:r>
        <w:r>
          <w:fldChar w:fldCharType="separate"/>
        </w:r>
        <w:r>
          <w:t>442</w:t>
        </w:r>
        <w:r>
          <w:fldChar w:fldCharType="end"/>
        </w:r>
      </w:hyperlink>
    </w:p>
    <w:p>
      <w:pPr>
        <w:pStyle w:val="Indice"/>
        <w:tabs>
          <w:tab w:val="right" w:leader="dot" w:pos="9974"/>
        </w:tabs>
        <w:spacing w:before="40" w:after="40"/>
        <w:ind w:left="1134" w:hanging="1134"/>
      </w:pPr>
      <w:hyperlink w:anchor="rot_Figura_5_2" w:history="1">
        <w:r>
          <w:t xml:space="preserve">Figura 5.2. Cadena de valor del proyecto: insumos, actividades, outputs, outcomes e impact</w:t>
        </w:r>
        <w:r>
          <w:tab/>
        </w:r>
        <w:r>
          <w:fldChar w:fldCharType="begin"/>
        </w:r>
        <w:r>
          <w:instrText xml:space="preserve"> PAGEREF rot_Figura_5_2 \h </w:instrText>
        </w:r>
        <w:r>
          <w:fldChar w:fldCharType="separate"/>
        </w:r>
        <w:r>
          <w:t>450</w:t>
        </w:r>
        <w:r>
          <w:fldChar w:fldCharType="end"/>
        </w:r>
      </w:hyperlink>
    </w:p>
    <w:p>
      <w:pPr>
        <w:pStyle w:val="Indice"/>
        <w:tabs>
          <w:tab w:val="right" w:leader="dot" w:pos="9974"/>
        </w:tabs>
        <w:spacing w:before="40" w:after="40"/>
        <w:ind w:left="1134" w:hanging="1134"/>
      </w:pPr>
      <w:hyperlink w:anchor="rot_Figura_5_3" w:history="1">
        <w:r>
          <w:t xml:space="preserve">Figura 5.3. Mapa de alianzas estratégicas con roles y aportes</w:t>
        </w:r>
        <w:r>
          <w:tab/>
        </w:r>
        <w:r>
          <w:fldChar w:fldCharType="begin"/>
        </w:r>
        <w:r>
          <w:instrText xml:space="preserve"> PAGEREF rot_Figura_5_3 \h </w:instrText>
        </w:r>
        <w:r>
          <w:fldChar w:fldCharType="separate"/>
        </w:r>
        <w:r>
          <w:t>455</w:t>
        </w:r>
        <w:r>
          <w:fldChar w:fldCharType="end"/>
        </w:r>
      </w:hyperlink>
    </w:p>
    <w:p>
      <w:pPr>
        <w:pStyle w:val="Indice"/>
        <w:tabs>
          <w:tab w:val="right" w:leader="dot" w:pos="9974"/>
        </w:tabs>
        <w:spacing w:before="40" w:after="40"/>
        <w:ind w:left="1134" w:hanging="1134"/>
      </w:pPr>
      <w:hyperlink w:anchor="rot_Figura_6_1" w:history="1">
        <w:r>
          <w:t xml:space="preserve">Figura 6.1. Diagrama de flujo metodológico: fases, tramos y compuertas</w:t>
        </w:r>
        <w:r>
          <w:tab/>
        </w:r>
        <w:r>
          <w:fldChar w:fldCharType="begin"/>
        </w:r>
        <w:r>
          <w:instrText xml:space="preserve"> PAGEREF rot_Figura_6_1 \h </w:instrText>
        </w:r>
        <w:r>
          <w:fldChar w:fldCharType="separate"/>
        </w:r>
        <w:r>
          <w:t>462</w:t>
        </w:r>
        <w:r>
          <w:fldChar w:fldCharType="end"/>
        </w:r>
      </w:hyperlink>
    </w:p>
    <w:p>
      <w:pPr>
        <w:pStyle w:val="Indice"/>
        <w:tabs>
          <w:tab w:val="right" w:leader="dot" w:pos="9974"/>
        </w:tabs>
        <w:spacing w:before="40" w:after="40"/>
        <w:ind w:left="1134" w:hanging="1134"/>
      </w:pPr>
      <w:hyperlink w:anchor="rot_Figura_6_2" w:history="1">
        <w:r>
          <w:t xml:space="preserve">Figura 6.2. Ciclo construir-medir-aprender aplicado a los tres tramos con compuertas</w:t>
        </w:r>
        <w:r>
          <w:tab/>
        </w:r>
        <w:r>
          <w:fldChar w:fldCharType="begin"/>
        </w:r>
        <w:r>
          <w:instrText xml:space="preserve"> PAGEREF rot_Figura_6_2 \h </w:instrText>
        </w:r>
        <w:r>
          <w:fldChar w:fldCharType="separate"/>
        </w:r>
        <w:r>
          <w:t>466</w:t>
        </w:r>
        <w:r>
          <w:fldChar w:fldCharType="end"/>
        </w:r>
      </w:hyperlink>
    </w:p>
    <w:p>
      <w:pPr>
        <w:pStyle w:val="Indice"/>
        <w:tabs>
          <w:tab w:val="right" w:leader="dot" w:pos="9974"/>
        </w:tabs>
        <w:spacing w:before="40" w:after="40"/>
        <w:ind w:left="1134" w:hanging="1134"/>
      </w:pPr>
      <w:hyperlink w:anchor="rot_Figura_6_3" w:history="1">
        <w:r>
          <w:t xml:space="preserve">Figura 6.3. Flujo de captura de aprendizajes</w:t>
        </w:r>
        <w:r>
          <w:tab/>
        </w:r>
        <w:r>
          <w:fldChar w:fldCharType="begin"/>
        </w:r>
        <w:r>
          <w:instrText xml:space="preserve"> PAGEREF rot_Figura_6_3 \h </w:instrText>
        </w:r>
        <w:r>
          <w:fldChar w:fldCharType="separate"/>
        </w:r>
        <w:r>
          <w:t>483</w:t>
        </w:r>
        <w:r>
          <w:fldChar w:fldCharType="end"/>
        </w:r>
      </w:hyperlink>
    </w:p>
    <w:p>
      <w:pPr>
        <w:pStyle w:val="Indice"/>
        <w:tabs>
          <w:tab w:val="right" w:leader="dot" w:pos="9974"/>
        </w:tabs>
        <w:spacing w:before="40" w:after="40"/>
        <w:ind w:left="1134" w:hanging="1134"/>
      </w:pPr>
      <w:hyperlink w:anchor="rot_Figura_6_4" w:history="1">
        <w:r>
          <w:t xml:space="preserve">Figura 6.4. Criterios de decisión pivotar o perseverar</w:t>
        </w:r>
        <w:r>
          <w:tab/>
        </w:r>
        <w:r>
          <w:fldChar w:fldCharType="begin"/>
        </w:r>
        <w:r>
          <w:instrText xml:space="preserve"> PAGEREF rot_Figura_6_4 \h </w:instrText>
        </w:r>
        <w:r>
          <w:fldChar w:fldCharType="separate"/>
        </w:r>
        <w:r>
          <w:t>487</w:t>
        </w:r>
        <w:r>
          <w:fldChar w:fldCharType="end"/>
        </w:r>
      </w:hyperlink>
    </w:p>
    <w:p>
      <w:pPr>
        <w:pStyle w:val="Indice"/>
        <w:tabs>
          <w:tab w:val="right" w:leader="dot" w:pos="9974"/>
        </w:tabs>
        <w:spacing w:before="40" w:after="40"/>
        <w:ind w:left="1134" w:hanging="1134"/>
      </w:pPr>
      <w:hyperlink w:anchor="rot_Figura_7_1" w:history="1">
        <w:r>
          <w:t xml:space="preserve">Figura 7.1. La EDT descompone el proyecto en 3 fases, 9 entregables, 16 segmentos de paquete y 17 actividades</w:t>
        </w:r>
        <w:r>
          <w:tab/>
        </w:r>
        <w:r>
          <w:fldChar w:fldCharType="begin"/>
        </w:r>
        <w:r>
          <w:instrText xml:space="preserve"> PAGEREF rot_Figura_7_1 \h </w:instrText>
        </w:r>
        <w:r>
          <w:fldChar w:fldCharType="separate"/>
        </w:r>
        <w:r>
          <w:t>489</w:t>
        </w:r>
        <w:r>
          <w:fldChar w:fldCharType="end"/>
        </w:r>
      </w:hyperlink>
    </w:p>
    <w:p>
      <w:pPr>
        <w:pStyle w:val="Indice"/>
        <w:tabs>
          <w:tab w:val="right" w:leader="dot" w:pos="9974"/>
        </w:tabs>
        <w:spacing w:before="40" w:after="40"/>
        <w:ind w:left="1134" w:hanging="1134"/>
      </w:pPr>
      <w:hyperlink w:anchor="rot_Figura_7_2" w:history="1">
        <w:r>
          <w:t xml:space="preserve">Figura 7.2. El equipo del SGR suma 29 cargos y 624 persona-mes en tres líneas técnicas</w:t>
        </w:r>
        <w:r>
          <w:tab/>
        </w:r>
        <w:r>
          <w:fldChar w:fldCharType="begin"/>
        </w:r>
        <w:r>
          <w:instrText xml:space="preserve"> PAGEREF rot_Figura_7_2 \h </w:instrText>
        </w:r>
        <w:r>
          <w:fldChar w:fldCharType="separate"/>
        </w:r>
        <w:r>
          <w:t>495</w:t>
        </w:r>
        <w:r>
          <w:fldChar w:fldCharType="end"/>
        </w:r>
      </w:hyperlink>
    </w:p>
    <w:p>
      <w:pPr>
        <w:pStyle w:val="Indice"/>
        <w:tabs>
          <w:tab w:val="right" w:leader="dot" w:pos="9974"/>
        </w:tabs>
        <w:spacing w:before="40" w:after="40"/>
        <w:ind w:left="1134" w:hanging="1134"/>
      </w:pPr>
      <w:hyperlink w:anchor="rot_Figura_8_1" w:history="1">
        <w:r>
          <w:t xml:space="preserve">Figura 8.1. El SGR financia 80,5 % del proyecto y el personal absorbe 50,2 % de lo solicitado</w:t>
        </w:r>
        <w:r>
          <w:tab/>
        </w:r>
        <w:r>
          <w:fldChar w:fldCharType="begin"/>
        </w:r>
        <w:r>
          <w:instrText xml:space="preserve"> PAGEREF rot_Figura_8_1 \h </w:instrText>
        </w:r>
        <w:r>
          <w:fldChar w:fldCharType="separate"/>
        </w:r>
        <w:r>
          <w:t>497</w:t>
        </w:r>
        <w:r>
          <w:fldChar w:fldCharType="end"/>
        </w:r>
      </w:hyperlink>
    </w:p>
    <w:p>
      <w:pPr>
        <w:pStyle w:val="Indice"/>
        <w:tabs>
          <w:tab w:val="right" w:leader="dot" w:pos="9974"/>
        </w:tabs>
        <w:spacing w:before="40" w:after="40"/>
        <w:ind w:left="1134" w:hanging="1134"/>
      </w:pPr>
      <w:hyperlink w:anchor="rot_Figura_8_2" w:history="1">
        <w:r>
          <w:t xml:space="preserve">Figura 8.2. El SGR se ejecuta 49,9 % hasta la compuerta C1 y 71,5 % hasta C2</w:t>
        </w:r>
        <w:r>
          <w:tab/>
        </w:r>
        <w:r>
          <w:fldChar w:fldCharType="begin"/>
        </w:r>
        <w:r>
          <w:instrText xml:space="preserve"> PAGEREF rot_Figura_8_2 \h </w:instrText>
        </w:r>
        <w:r>
          <w:fldChar w:fldCharType="separate"/>
        </w:r>
        <w:r>
          <w:t>511</w:t>
        </w:r>
        <w:r>
          <w:fldChar w:fldCharType="end"/>
        </w:r>
      </w:hyperlink>
    </w:p>
    <w:p>
      <w:pPr>
        <w:pStyle w:val="Indice"/>
        <w:tabs>
          <w:tab w:val="right" w:leader="dot" w:pos="9974"/>
        </w:tabs>
        <w:spacing w:before="40" w:after="40"/>
        <w:ind w:left="1134" w:hanging="1134"/>
      </w:pPr>
      <w:hyperlink w:anchor="rot_Figura_8_3" w:history="1">
        <w:r>
          <w:t xml:space="preserve">Figura 8.3. Tres picos de desembolso coinciden con las compras de los tramos 1, 2 y 3 (meses 5, 13 y 18)</w:t>
        </w:r>
        <w:r>
          <w:tab/>
        </w:r>
        <w:r>
          <w:fldChar w:fldCharType="begin"/>
        </w:r>
        <w:r>
          <w:instrText xml:space="preserve"> PAGEREF rot_Figura_8_3 \h </w:instrText>
        </w:r>
        <w:r>
          <w:fldChar w:fldCharType="separate"/>
        </w:r>
        <w:r>
          <w:t>512</w:t>
        </w:r>
        <w:r>
          <w:fldChar w:fldCharType="end"/>
        </w:r>
      </w:hyperlink>
    </w:p>
    <w:p>
      <w:pPr>
        <w:pStyle w:val="Indice"/>
        <w:tabs>
          <w:tab w:val="right" w:leader="dot" w:pos="9974"/>
        </w:tabs>
        <w:spacing w:before="40" w:after="40"/>
        <w:ind w:left="1134" w:hanging="1134"/>
      </w:pPr>
      <w:hyperlink w:anchor="rot_Figura_9_1" w:history="1">
        <w:r>
          <w:t xml:space="preserve">Figura 9.1. Una ruta crítica de 13 actividades ocupa las 104 semanas; 4 actividades tienen holgura</w:t>
        </w:r>
        <w:r>
          <w:tab/>
        </w:r>
        <w:r>
          <w:fldChar w:fldCharType="begin"/>
        </w:r>
        <w:r>
          <w:instrText xml:space="preserve"> PAGEREF rot_Figura_9_1 \h </w:instrText>
        </w:r>
        <w:r>
          <w:fldChar w:fldCharType="separate"/>
        </w:r>
        <w:r>
          <w:t>514</w:t>
        </w:r>
        <w:r>
          <w:fldChar w:fldCharType="end"/>
        </w:r>
      </w:hyperlink>
    </w:p>
    <w:p>
      <w:pPr>
        <w:pStyle w:val="Indice"/>
        <w:tabs>
          <w:tab w:val="right" w:leader="dot" w:pos="9974"/>
        </w:tabs>
        <w:spacing w:before="40" w:after="40"/>
        <w:ind w:left="1134" w:hanging="1134"/>
      </w:pPr>
      <w:hyperlink w:anchor="rot_Figura_9_2" w:history="1">
        <w:r>
          <w:t xml:space="preserve">Figura 9.2. 13 de 17 actividades forman la ruta crítica; las demás tienen holguras de 2 a 12 semanas</w:t>
        </w:r>
        <w:r>
          <w:tab/>
        </w:r>
        <w:r>
          <w:fldChar w:fldCharType="begin"/>
        </w:r>
        <w:r>
          <w:instrText xml:space="preserve"> PAGEREF rot_Figura_9_2 \h </w:instrText>
        </w:r>
        <w:r>
          <w:fldChar w:fldCharType="separate"/>
        </w:r>
        <w:r>
          <w:t>519</w:t>
        </w:r>
        <w:r>
          <w:fldChar w:fldCharType="end"/>
        </w:r>
      </w:hyperlink>
    </w:p>
    <w:p>
      <w:pPr>
        <w:pStyle w:val="Indice"/>
        <w:tabs>
          <w:tab w:val="right" w:leader="dot" w:pos="9974"/>
        </w:tabs>
        <w:spacing w:before="40" w:after="40"/>
        <w:ind w:left="1134" w:hanging="1134"/>
      </w:pPr>
      <w:hyperlink w:anchor="rot_Figura_10_1" w:history="1">
        <w:r>
          <w:t xml:space="preserve">Figura 10.1. 1 riesgo extremo y 7 altos concentran el registro; ninguno queda en nivel bajo</w:t>
        </w:r>
        <w:r>
          <w:tab/>
        </w:r>
        <w:r>
          <w:fldChar w:fldCharType="begin"/>
        </w:r>
        <w:r>
          <w:instrText xml:space="preserve"> PAGEREF rot_Figura_10_1 \h </w:instrText>
        </w:r>
        <w:r>
          <w:fldChar w:fldCharType="separate"/>
        </w:r>
        <w:r>
          <w:t>524</w:t>
        </w:r>
        <w:r>
          <w:fldChar w:fldCharType="end"/>
        </w:r>
      </w:hyperlink>
    </w:p>
    <w:p>
      <w:pPr>
        <w:pStyle w:val="Indice"/>
        <w:tabs>
          <w:tab w:val="right" w:leader="dot" w:pos="9974"/>
        </w:tabs>
        <w:spacing w:before="40" w:after="40"/>
        <w:ind w:left="1134" w:hanging="1134"/>
      </w:pPr>
      <w:hyperlink w:anchor="rot_Figura_10_2" w:history="1">
        <w:r>
          <w:t xml:space="preserve">Figura 10.2. El nivel P × I fija quién decide: responsable, gerencia o comité directivo</w:t>
        </w:r>
        <w:r>
          <w:tab/>
        </w:r>
        <w:r>
          <w:fldChar w:fldCharType="begin"/>
        </w:r>
        <w:r>
          <w:instrText xml:space="preserve"> PAGEREF rot_Figura_10_2 \h </w:instrText>
        </w:r>
        <w:r>
          <w:fldChar w:fldCharType="separate"/>
        </w:r>
        <w:r>
          <w:t>529</w:t>
        </w:r>
        <w:r>
          <w:fldChar w:fldCharType="end"/>
        </w:r>
      </w:hyperlink>
    </w:p>
    <w:p>
      <w:pPr>
        <w:pStyle w:val="Indice"/>
        <w:tabs>
          <w:tab w:val="right" w:leader="dot" w:pos="9974"/>
        </w:tabs>
        <w:spacing w:before="40" w:after="40"/>
        <w:ind w:left="1134" w:hanging="1134"/>
      </w:pPr>
      <w:hyperlink w:anchor="rot_Figura_10_3" w:history="1">
        <w:r>
          <w:t xml:space="preserve">Figura 10.3. C1 y C2 liberan la compra del tramo siguiente solo si se cumplen todos los criterios</w:t>
        </w:r>
        <w:r>
          <w:tab/>
        </w:r>
        <w:r>
          <w:fldChar w:fldCharType="begin"/>
        </w:r>
        <w:r>
          <w:instrText xml:space="preserve"> PAGEREF rot_Figura_10_3 \h </w:instrText>
        </w:r>
        <w:r>
          <w:fldChar w:fldCharType="separate"/>
        </w:r>
        <w:r>
          <w:t>532</w:t>
        </w:r>
        <w:r>
          <w:fldChar w:fldCharType="end"/>
        </w:r>
      </w:hyperlink>
    </w:p>
    <w:p>
      <w:pPr>
        <w:pStyle w:val="Indice"/>
        <w:tabs>
          <w:tab w:val="right" w:leader="dot" w:pos="9974"/>
        </w:tabs>
        <w:spacing w:before="40" w:after="40"/>
        <w:ind w:left="1134" w:hanging="1134"/>
      </w:pPr>
      <w:hyperlink w:anchor="rot_Figura_11_1" w:history="1">
        <w:r>
          <w:t xml:space="preserve">Figura 11.1. Roadmap de desarrollo de productos</w:t>
        </w:r>
        <w:r>
          <w:tab/>
        </w:r>
        <w:r>
          <w:fldChar w:fldCharType="begin"/>
        </w:r>
        <w:r>
          <w:instrText xml:space="preserve"> PAGEREF rot_Figura_11_1 \h </w:instrText>
        </w:r>
        <w:r>
          <w:fldChar w:fldCharType="separate"/>
        </w:r>
        <w:r>
          <w:t>537</w:t>
        </w:r>
        <w:r>
          <w:fldChar w:fldCharType="end"/>
        </w:r>
      </w:hyperlink>
    </w:p>
    <w:p>
      <w:pPr>
        <w:pStyle w:val="Indice"/>
        <w:tabs>
          <w:tab w:val="right" w:leader="dot" w:pos="9974"/>
        </w:tabs>
        <w:spacing w:before="40" w:after="40"/>
        <w:ind w:left="1134" w:hanging="1134"/>
      </w:pPr>
      <w:hyperlink w:anchor="rot_Figura_11_2" w:history="1">
        <w:r>
          <w:t xml:space="preserve">Figura 11.2. Diagrama de vinculación de estudiantes</w:t>
        </w:r>
        <w:r>
          <w:tab/>
        </w:r>
        <w:r>
          <w:fldChar w:fldCharType="begin"/>
        </w:r>
        <w:r>
          <w:instrText xml:space="preserve"> PAGEREF rot_Figura_11_2 \h </w:instrText>
        </w:r>
        <w:r>
          <w:fldChar w:fldCharType="separate"/>
        </w:r>
        <w:r>
          <w:t>541</w:t>
        </w:r>
        <w:r>
          <w:fldChar w:fldCharType="end"/>
        </w:r>
      </w:hyperlink>
    </w:p>
    <w:p>
      <w:pPr>
        <w:pStyle w:val="Indice"/>
        <w:tabs>
          <w:tab w:val="right" w:leader="dot" w:pos="9974"/>
        </w:tabs>
        <w:spacing w:before="40" w:after="40"/>
        <w:ind w:left="1134" w:hanging="1134"/>
      </w:pPr>
      <w:hyperlink w:anchor="rot_Figura_12_1" w:history="1">
        <w:r>
          <w:t xml:space="preserve">Figura 12.1. Diez outputs, tres outcomes y dos impactos: solo los outputs quedan bajo el techo</w:t>
        </w:r>
        <w:r>
          <w:tab/>
        </w:r>
        <w:r>
          <w:fldChar w:fldCharType="begin"/>
        </w:r>
        <w:r>
          <w:instrText xml:space="preserve"> PAGEREF rot_Figura_12_1 \h </w:instrText>
        </w:r>
        <w:r>
          <w:fldChar w:fldCharType="separate"/>
        </w:r>
        <w:r>
          <w:t>546</w:t>
        </w:r>
        <w:r>
          <w:fldChar w:fldCharType="end"/>
        </w:r>
      </w:hyperlink>
    </w:p>
    <w:p>
      <w:pPr>
        <w:pStyle w:val="Indice"/>
        <w:tabs>
          <w:tab w:val="right" w:leader="dot" w:pos="9974"/>
        </w:tabs>
        <w:spacing w:before="40" w:after="40"/>
        <w:ind w:left="1134" w:hanging="1134"/>
      </w:pPr>
      <w:hyperlink w:anchor="rot_Figura_12_2" w:history="1">
        <w:r>
          <w:t xml:space="preserve">Figura 12.2. Cuatro productos tipificados cubren los tres objetivos; OE1 aporta dos</w:t>
        </w:r>
        <w:r>
          <w:tab/>
        </w:r>
        <w:r>
          <w:fldChar w:fldCharType="begin"/>
        </w:r>
        <w:r>
          <w:instrText xml:space="preserve"> PAGEREF rot_Figura_12_2 \h </w:instrText>
        </w:r>
        <w:r>
          <w:fldChar w:fldCharType="separate"/>
        </w:r>
        <w:r>
          <w:t>574</w:t>
        </w:r>
        <w:r>
          <w:fldChar w:fldCharType="end"/>
        </w:r>
      </w:hyperlink>
    </w:p>
    <w:p>
      <w:pPr>
        <w:pStyle w:val="Indice"/>
        <w:tabs>
          <w:tab w:val="right" w:leader="dot" w:pos="9974"/>
        </w:tabs>
        <w:spacing w:before="40" w:after="40"/>
        <w:ind w:left="1134" w:hanging="1134"/>
      </w:pPr>
      <w:hyperlink w:anchor="rot_Figura_12_3" w:history="1">
        <w:r>
          <w:t xml:space="preserve">Figura 12.3. Tres rutas conectan productos y efectos; la de los artículos es la más débil</w:t>
        </w:r>
        <w:r>
          <w:tab/>
        </w:r>
        <w:r>
          <w:fldChar w:fldCharType="begin"/>
        </w:r>
        <w:r>
          <w:instrText xml:space="preserve"> PAGEREF rot_Figura_12_3 \h </w:instrText>
        </w:r>
        <w:r>
          <w:fldChar w:fldCharType="separate"/>
        </w:r>
        <w:r>
          <w:t>582</w:t>
        </w:r>
        <w:r>
          <w:fldChar w:fldCharType="end"/>
        </w:r>
      </w:hyperlink>
    </w:p>
    <w:p>
      <w:pPr>
        <w:pStyle w:val="Indice"/>
        <w:tabs>
          <w:tab w:val="right" w:leader="dot" w:pos="9974"/>
        </w:tabs>
        <w:spacing w:before="40" w:after="40"/>
        <w:ind w:left="1134" w:hanging="1134"/>
      </w:pPr>
      <w:hyperlink w:anchor="rot_Figura_12_4" w:history="1">
        <w:r>
          <w:t xml:space="preserve">Figura 12.4. Los cinco indicadores de riesgo alto son los de efecto y sostenibilidad</w:t>
        </w:r>
        <w:r>
          <w:tab/>
        </w:r>
        <w:r>
          <w:fldChar w:fldCharType="begin"/>
        </w:r>
        <w:r>
          <w:instrText xml:space="preserve"> PAGEREF rot_Figura_12_4 \h </w:instrText>
        </w:r>
        <w:r>
          <w:fldChar w:fldCharType="separate"/>
        </w:r>
        <w:r>
          <w:t>592</w:t>
        </w:r>
        <w:r>
          <w:fldChar w:fldCharType="end"/>
        </w:r>
      </w:hyperlink>
    </w:p>
    <w:p>
      <w:pPr>
        <w:pStyle w:val="Indice"/>
        <w:tabs>
          <w:tab w:val="right" w:leader="dot" w:pos="9974"/>
        </w:tabs>
        <w:spacing w:before="40" w:after="40"/>
        <w:ind w:left="1134" w:hanging="1134"/>
      </w:pPr>
      <w:hyperlink w:anchor="rot_Figura_12_5" w:history="1">
        <w:r>
          <w:t xml:space="preserve">Figura 12.5. Los indicadores de impacto se miden en los meses 30 a 36, tras el cierre</w:t>
        </w:r>
        <w:r>
          <w:tab/>
        </w:r>
        <w:r>
          <w:fldChar w:fldCharType="begin"/>
        </w:r>
        <w:r>
          <w:instrText xml:space="preserve"> PAGEREF rot_Figura_12_5 \h </w:instrText>
        </w:r>
        <w:r>
          <w:fldChar w:fldCharType="separate"/>
        </w:r>
        <w:r>
          <w:t>597</w:t>
        </w:r>
        <w:r>
          <w:fldChar w:fldCharType="end"/>
        </w:r>
      </w:hyperlink>
    </w:p>
    <w:p>
      <w:pPr>
        <w:pStyle w:val="Indice"/>
        <w:tabs>
          <w:tab w:val="right" w:leader="dot" w:pos="9974"/>
        </w:tabs>
        <w:spacing w:before="40" w:after="40"/>
        <w:ind w:left="1134" w:hanging="1134"/>
      </w:pPr>
      <w:hyperlink w:anchor="rot_Figura_13_1" w:history="1">
        <w:r>
          <w:t xml:space="preserve">Figura 13.1. Teoría del cambio del proyecto con supuestos críticos y techo de rendición de cuentas</w:t>
        </w:r>
        <w:r>
          <w:tab/>
        </w:r>
        <w:r>
          <w:fldChar w:fldCharType="begin"/>
        </w:r>
        <w:r>
          <w:instrText xml:space="preserve"> PAGEREF rot_Figura_13_1 \h </w:instrText>
        </w:r>
        <w:r>
          <w:fldChar w:fldCharType="separate"/>
        </w:r>
        <w:r>
          <w:t>602</w:t>
        </w:r>
        <w:r>
          <w:fldChar w:fldCharType="end"/>
        </w:r>
      </w:hyperlink>
    </w:p>
    <w:p>
      <w:pPr>
        <w:pStyle w:val="Indice"/>
        <w:tabs>
          <w:tab w:val="right" w:leader="dot" w:pos="9974"/>
        </w:tabs>
        <w:spacing w:before="40" w:after="40"/>
        <w:ind w:left="1134" w:hanging="1134"/>
      </w:pPr>
      <w:hyperlink w:anchor="rot_Figura_13_2" w:history="1">
        <w:r>
          <w:t xml:space="preserve">Figura 13.2. Cadena de impacto social con los niveles de la escalera de apropiación social</w:t>
        </w:r>
        <w:r>
          <w:tab/>
        </w:r>
        <w:r>
          <w:fldChar w:fldCharType="begin"/>
        </w:r>
        <w:r>
          <w:instrText xml:space="preserve"> PAGEREF rot_Figura_13_2 \h </w:instrText>
        </w:r>
        <w:r>
          <w:fldChar w:fldCharType="separate"/>
        </w:r>
        <w:r>
          <w:t>610</w:t>
        </w:r>
        <w:r>
          <w:fldChar w:fldCharType="end"/>
        </w:r>
      </w:hyperlink>
    </w:p>
    <w:p>
      <w:pPr>
        <w:pStyle w:val="Indice"/>
        <w:tabs>
          <w:tab w:val="right" w:leader="dot" w:pos="9974"/>
        </w:tabs>
        <w:spacing w:before="40" w:after="40"/>
        <w:ind w:left="1134" w:hanging="1134"/>
      </w:pPr>
      <w:hyperlink w:anchor="rot_Figura_13_3" w:history="1">
        <w:r>
          <w:t xml:space="preserve">Figura 13.3. Modelo de impacto económico: costos calculables y beneficios no monetizados</w:t>
        </w:r>
        <w:r>
          <w:tab/>
        </w:r>
        <w:r>
          <w:fldChar w:fldCharType="begin"/>
        </w:r>
        <w:r>
          <w:instrText xml:space="preserve"> PAGEREF rot_Figura_13_3 \h </w:instrText>
        </w:r>
        <w:r>
          <w:fldChar w:fldCharType="separate"/>
        </w:r>
        <w:r>
          <w:t>615</w:t>
        </w:r>
        <w:r>
          <w:fldChar w:fldCharType="end"/>
        </w:r>
      </w:hyperlink>
    </w:p>
    <w:p>
      <w:pPr>
        <w:pStyle w:val="Indice"/>
        <w:tabs>
          <w:tab w:val="right" w:leader="dot" w:pos="9974"/>
        </w:tabs>
        <w:spacing w:before="40" w:after="40"/>
        <w:ind w:left="1134" w:hanging="1134"/>
      </w:pPr>
      <w:hyperlink w:anchor="rot_Figura_13_4" w:history="1">
        <w:r>
          <w:t xml:space="preserve">Figura 13.4. Contribución del proyecto a los ODS y al Marco de Sendái con peso relativo cualitativo</w:t>
        </w:r>
        <w:r>
          <w:tab/>
        </w:r>
        <w:r>
          <w:fldChar w:fldCharType="begin"/>
        </w:r>
        <w:r>
          <w:instrText xml:space="preserve"> PAGEREF rot_Figura_13_4 \h </w:instrText>
        </w:r>
        <w:r>
          <w:fldChar w:fldCharType="separate"/>
        </w:r>
        <w:r>
          <w:t>621</w:t>
        </w:r>
        <w:r>
          <w:fldChar w:fldCharType="end"/>
        </w:r>
      </w:hyperlink>
    </w:p>
    <w:p>
      <w:pPr>
        <w:pStyle w:val="Indice"/>
        <w:tabs>
          <w:tab w:val="right" w:leader="dot" w:pos="9974"/>
        </w:tabs>
        <w:spacing w:before="40" w:after="40"/>
        <w:ind w:left="1134" w:hanging="1134"/>
      </w:pPr>
      <w:hyperlink w:anchor="rot_Figura_13_5" w:history="1">
        <w:r>
          <w:t xml:space="preserve">Figura 13.5. Mapa de articulación territorial: demanda, proyecto, impacto y plan de desarrollo</w:t>
        </w:r>
        <w:r>
          <w:tab/>
        </w:r>
        <w:r>
          <w:fldChar w:fldCharType="begin"/>
        </w:r>
        <w:r>
          <w:instrText xml:space="preserve"> PAGEREF rot_Figura_13_5 \h </w:instrText>
        </w:r>
        <w:r>
          <w:fldChar w:fldCharType="separate"/>
        </w:r>
        <w:r>
          <w:t>622</w:t>
        </w:r>
        <w:r>
          <w:fldChar w:fldCharType="end"/>
        </w:r>
      </w:hyperlink>
    </w:p>
    <w:p>
      <w:pPr>
        <w:pStyle w:val="Indice"/>
        <w:tabs>
          <w:tab w:val="right" w:leader="dot" w:pos="9974"/>
        </w:tabs>
        <w:spacing w:before="40" w:after="40"/>
        <w:ind w:left="1134" w:hanging="1134"/>
      </w:pPr>
      <w:hyperlink w:anchor="rot_Figura_13_6" w:history="1">
        <w:r>
          <w:t xml:space="preserve">Figura 13.6. Ciclo de gestión adaptativa de impactos con compuertas y mediciones posproyecto</w:t>
        </w:r>
        <w:r>
          <w:tab/>
        </w:r>
        <w:r>
          <w:fldChar w:fldCharType="begin"/>
        </w:r>
        <w:r>
          <w:instrText xml:space="preserve"> PAGEREF rot_Figura_13_6 \h </w:instrText>
        </w:r>
        <w:r>
          <w:fldChar w:fldCharType="separate"/>
        </w:r>
        <w:r>
          <w:t>625</w:t>
        </w:r>
        <w:r>
          <w:fldChar w:fldCharType="end"/>
        </w:r>
      </w:hyperlink>
    </w:p>
    <w:p>
      <w:pPr>
        <w:pStyle w:val="Indice"/>
        <w:tabs>
          <w:tab w:val="right" w:leader="dot" w:pos="9974"/>
        </w:tabs>
        <w:spacing w:before="40" w:after="40"/>
        <w:ind w:left="1134" w:hanging="1134"/>
      </w:pPr>
      <w:hyperlink w:anchor="rot_Figura_14_1" w:history="1">
        <w:r>
          <w:t xml:space="preserve">Figura 14.1. Modelo de sostenibilidad financiera: costo parcial declarado y prueba de orfandad</w:t>
        </w:r>
        <w:r>
          <w:tab/>
        </w:r>
        <w:r>
          <w:fldChar w:fldCharType="begin"/>
        </w:r>
        <w:r>
          <w:instrText xml:space="preserve"> PAGEREF rot_Figura_14_1 \h </w:instrText>
        </w:r>
        <w:r>
          <w:fldChar w:fldCharType="separate"/>
        </w:r>
        <w:r>
          <w:t>634</w:t>
        </w:r>
        <w:r>
          <w:fldChar w:fldCharType="end"/>
        </w:r>
      </w:hyperlink>
    </w:p>
    <w:p>
      <w:pPr>
        <w:pStyle w:val="Indice"/>
        <w:tabs>
          <w:tab w:val="right" w:leader="dot" w:pos="9974"/>
        </w:tabs>
        <w:spacing w:before="40" w:after="40"/>
        <w:ind w:left="1134" w:hanging="1134"/>
      </w:pPr>
      <w:hyperlink w:anchor="rot_Figura_14_2" w:history="1">
        <w:r>
          <w:t xml:space="preserve">Figura 14.2. Ecosistema de sostenibilidad: componentes, custodios candidatos y comunidad</w:t>
        </w:r>
        <w:r>
          <w:tab/>
        </w:r>
        <w:r>
          <w:fldChar w:fldCharType="begin"/>
        </w:r>
        <w:r>
          <w:instrText xml:space="preserve"> PAGEREF rot_Figura_14_2 \h </w:instrText>
        </w:r>
        <w:r>
          <w:fldChar w:fldCharType="separate"/>
        </w:r>
        <w:r>
          <w:t>640</w:t>
        </w:r>
        <w:r>
          <w:fldChar w:fldCharType="end"/>
        </w:r>
      </w:hyperlink>
    </w:p>
    <w:p>
      <w:pPr>
        <w:pStyle w:val="Indice"/>
        <w:tabs>
          <w:tab w:val="right" w:leader="dot" w:pos="9974"/>
        </w:tabs>
        <w:spacing w:before="40" w:after="40"/>
        <w:ind w:left="1134" w:hanging="1134"/>
      </w:pPr>
      <w:hyperlink w:anchor="rot_Figura_15_1" w:history="1">
        <w:r>
          <w:t xml:space="preserve">Figura 15.1. Modelo de transferencia</w:t>
        </w:r>
        <w:r>
          <w:tab/>
        </w:r>
        <w:r>
          <w:fldChar w:fldCharType="begin"/>
        </w:r>
        <w:r>
          <w:instrText xml:space="preserve"> PAGEREF rot_Figura_15_1 \h </w:instrText>
        </w:r>
        <w:r>
          <w:fldChar w:fldCharType="separate"/>
        </w:r>
        <w:r>
          <w:t>646</w:t>
        </w:r>
        <w:r>
          <w:fldChar w:fldCharType="end"/>
        </w:r>
      </w:hyperlink>
    </w:p>
    <w:p>
      <w:pPr>
        <w:pStyle w:val="Indice"/>
        <w:tabs>
          <w:tab w:val="right" w:leader="dot" w:pos="9974"/>
        </w:tabs>
        <w:spacing w:before="40" w:after="40"/>
        <w:ind w:left="1134" w:hanging="1134"/>
      </w:pPr>
      <w:hyperlink w:anchor="rot_Figura_15_2" w:history="1">
        <w:r>
          <w:t xml:space="preserve">Figura 15.2. Ruta de comercialización</w:t>
        </w:r>
        <w:r>
          <w:tab/>
        </w:r>
        <w:r>
          <w:fldChar w:fldCharType="begin"/>
        </w:r>
        <w:r>
          <w:instrText xml:space="preserve"> PAGEREF rot_Figura_15_2 \h </w:instrText>
        </w:r>
        <w:r>
          <w:fldChar w:fldCharType="separate"/>
        </w:r>
        <w:r>
          <w:t>652</w:t>
        </w:r>
        <w:r>
          <w:fldChar w:fldCharType="end"/>
        </w:r>
      </w:hyperlink>
    </w:p>
    <w:p>
      <w:pPr>
        <w:pStyle w:val="Indice"/>
        <w:tabs>
          <w:tab w:val="right" w:leader="dot" w:pos="9974"/>
        </w:tabs>
        <w:spacing w:before="40" w:after="40"/>
        <w:ind w:left="1134" w:hanging="1134"/>
      </w:pPr>
      <w:hyperlink w:anchor="rot_Figura_16_1" w:history="1">
        <w:r>
          <w:t xml:space="preserve">Figura 16.1. Mapa de canales de comunicación por nivel de apropiación</w:t>
        </w:r>
        <w:r>
          <w:tab/>
        </w:r>
        <w:r>
          <w:fldChar w:fldCharType="begin"/>
        </w:r>
        <w:r>
          <w:instrText xml:space="preserve"> PAGEREF rot_Figura_16_1 \h </w:instrText>
        </w:r>
        <w:r>
          <w:fldChar w:fldCharType="separate"/>
        </w:r>
        <w:r>
          <w:t>659</w:t>
        </w:r>
        <w:r>
          <w:fldChar w:fldCharType="end"/>
        </w:r>
      </w:hyperlink>
    </w:p>
    <w:p>
      <w:pPr>
        <w:pStyle w:val="Indice"/>
        <w:tabs>
          <w:tab w:val="right" w:leader="dot" w:pos="9974"/>
        </w:tabs>
        <w:spacing w:before="40" w:after="40"/>
        <w:ind w:left="1134" w:hanging="1134"/>
      </w:pPr>
      <w:hyperlink w:anchor="rot_Figura_16_2" w:history="1">
        <w:r>
          <w:t xml:space="preserve">Figura 16.2. Cronograma de divulgación y eventos de apropiación</w:t>
        </w:r>
        <w:r>
          <w:tab/>
        </w:r>
        <w:r>
          <w:fldChar w:fldCharType="begin"/>
        </w:r>
        <w:r>
          <w:instrText xml:space="preserve"> PAGEREF rot_Figura_16_2 \h </w:instrText>
        </w:r>
        <w:r>
          <w:fldChar w:fldCharType="separate"/>
        </w:r>
        <w:r>
          <w:t>664</w:t>
        </w:r>
        <w:r>
          <w:fldChar w:fldCharType="end"/>
        </w:r>
      </w:hyperlink>
    </w:p>
    <w:p>
      <w:pPr>
        <w:pStyle w:val="Indice"/>
        <w:tabs>
          <w:tab w:val="right" w:leader="dot" w:pos="9974"/>
        </w:tabs>
        <w:spacing w:before="40" w:after="40"/>
        <w:ind w:left="1134" w:hanging="1134"/>
      </w:pPr>
      <w:hyperlink w:anchor="rot_Figura_16_3" w:history="1">
        <w:r>
          <w:t xml:space="preserve">Figura 16.3. Diagrama de la Escalera de Apropiación ASC con cuatro niveles y flujo ascendente</w:t>
        </w:r>
        <w:r>
          <w:tab/>
        </w:r>
        <w:r>
          <w:fldChar w:fldCharType="begin"/>
        </w:r>
        <w:r>
          <w:instrText xml:space="preserve"> PAGEREF rot_Figura_16_3 \h </w:instrText>
        </w:r>
        <w:r>
          <w:fldChar w:fldCharType="separate"/>
        </w:r>
        <w:r>
          <w:t>670</w:t>
        </w:r>
        <w:r>
          <w:fldChar w:fldCharType="end"/>
        </w:r>
      </w:hyperlink>
    </w:p>
    <w:p>
      <w:pPr>
        <w:pStyle w:val="Indice"/>
        <w:tabs>
          <w:tab w:val="right" w:leader="dot" w:pos="9974"/>
        </w:tabs>
        <w:spacing w:before="40" w:after="40"/>
        <w:ind w:left="1134" w:hanging="1134"/>
      </w:pPr>
      <w:hyperlink w:anchor="rot_Figura_16_4" w:history="1">
        <w:r>
          <w:t xml:space="preserve">Figura 16.4. Alineación de niveles ASC con la Teoría del Cambio del proyecto</w:t>
        </w:r>
        <w:r>
          <w:tab/>
        </w:r>
        <w:r>
          <w:fldChar w:fldCharType="begin"/>
        </w:r>
        <w:r>
          <w:instrText xml:space="preserve"> PAGEREF rot_Figura_16_4 \h </w:instrText>
        </w:r>
        <w:r>
          <w:fldChar w:fldCharType="separate"/>
        </w:r>
        <w:r>
          <w:t>672</w:t>
        </w:r>
        <w:r>
          <w:fldChar w:fldCharType="end"/>
        </w:r>
      </w:hyperlink>
    </w:p>
    <w:p>
      <w:pPr>
        <w:pStyle w:val="Indice"/>
        <w:tabs>
          <w:tab w:val="right" w:leader="dot" w:pos="9974"/>
        </w:tabs>
        <w:spacing w:before="40" w:after="40"/>
        <w:ind w:left="1134" w:hanging="1134"/>
      </w:pPr>
      <w:hyperlink w:anchor="rot_Figura_17_1" w:history="1">
        <w:r>
          <w:t xml:space="preserve">Figura 17.1. Organigrama del equipo del proyecto</w:t>
        </w:r>
        <w:r>
          <w:tab/>
        </w:r>
        <w:r>
          <w:fldChar w:fldCharType="begin"/>
        </w:r>
        <w:r>
          <w:instrText xml:space="preserve"> PAGEREF rot_Figura_17_1 \h </w:instrText>
        </w:r>
        <w:r>
          <w:fldChar w:fldCharType="separate"/>
        </w:r>
        <w:r>
          <w:t>674</w:t>
        </w:r>
        <w:r>
          <w:fldChar w:fldCharType="end"/>
        </w:r>
      </w:hyperlink>
    </w:p>
    <w:p>
      <w:pPr>
        <w:pStyle w:val="Indice"/>
        <w:tabs>
          <w:tab w:val="right" w:leader="dot" w:pos="9974"/>
        </w:tabs>
        <w:spacing w:before="40" w:after="40"/>
        <w:ind w:left="1134" w:hanging="1134"/>
      </w:pPr>
      <w:hyperlink w:anchor="rot_Figura_17_2" w:history="1">
        <w:r>
          <w:t xml:space="preserve">Figura 17.2. Mapa de alianzas estratégicas del proyecto</w:t>
        </w:r>
        <w:r>
          <w:tab/>
        </w:r>
        <w:r>
          <w:fldChar w:fldCharType="begin"/>
        </w:r>
        <w:r>
          <w:instrText xml:space="preserve"> PAGEREF rot_Figura_17_2 \h </w:instrText>
        </w:r>
        <w:r>
          <w:fldChar w:fldCharType="separate"/>
        </w:r>
        <w:r>
          <w:t>686</w:t>
        </w:r>
        <w:r>
          <w:fldChar w:fldCharType="end"/>
        </w:r>
      </w:hyperlink>
    </w:p>
    <w:p>
      <w:pPr>
        <w:pStyle w:val="Indice"/>
        <w:tabs>
          <w:tab w:val="right" w:leader="dot" w:pos="9974"/>
        </w:tabs>
        <w:spacing w:before="40" w:after="40"/>
        <w:ind w:left="1134" w:hanging="1134"/>
      </w:pPr>
      <w:hyperlink w:anchor="rot_Figura_18_1" w:history="1">
        <w:r>
          <w:t xml:space="preserve">Figura 18.1. Diagrama de coherencia vertical y horizontal del marco lógico</w:t>
        </w:r>
        <w:r>
          <w:tab/>
        </w:r>
        <w:r>
          <w:fldChar w:fldCharType="begin"/>
        </w:r>
        <w:r>
          <w:instrText xml:space="preserve"> PAGEREF rot_Figura_18_1 \h </w:instrText>
        </w:r>
        <w:r>
          <w:fldChar w:fldCharType="separate"/>
        </w:r>
        <w:r>
          <w:t>695</w:t>
        </w:r>
        <w:r>
          <w:fldChar w:fldCharType="end"/>
        </w:r>
      </w:hyperlink>
    </w:p>
    <w:p>
      <w:pPr>
        <w:pStyle w:val="Indice"/>
        <w:tabs>
          <w:tab w:val="right" w:leader="dot" w:pos="9974"/>
        </w:tabs>
        <w:spacing w:before="40" w:after="40"/>
        <w:ind w:left="1134" w:hanging="1134"/>
      </w:pPr>
      <w:hyperlink w:anchor="rot_Figura_21_1" w:history="1">
        <w:r>
          <w:t xml:space="preserve">Figura 21.1. Nueve hitos entre el mes 2 y el mes 24; C1 y C2 liberan los tramos 2 y 3</w:t>
        </w:r>
        <w:r>
          <w:tab/>
        </w:r>
        <w:r>
          <w:fldChar w:fldCharType="begin"/>
        </w:r>
        <w:r>
          <w:instrText xml:space="preserve"> PAGEREF rot_Figura_21_1 \h </w:instrText>
        </w:r>
        <w:r>
          <w:fldChar w:fldCharType="separate"/>
        </w:r>
        <w:r>
          <w:t>826</w:t>
        </w:r>
        <w:r>
          <w:fldChar w:fldCharType="end"/>
        </w:r>
      </w:hyperlink>
    </w:p>
    <w:p>
      <w:pPr>
        <w:pStyle w:val="Indice"/>
        <w:tabs>
          <w:tab w:val="right" w:leader="dot" w:pos="9974"/>
        </w:tabs>
        <w:spacing w:before="40" w:after="40"/>
        <w:ind w:left="1134" w:hanging="1134"/>
      </w:pPr>
      <w:hyperlink w:anchor="rot_Figura_21_2" w:history="1">
        <w:r>
          <w:t xml:space="preserve">Figura 21.2. Doce actores sin relevancia evaluada; solo el convocante tiene poder documentado</w:t>
        </w:r>
        <w:r>
          <w:tab/>
        </w:r>
        <w:r>
          <w:fldChar w:fldCharType="begin"/>
        </w:r>
        <w:r>
          <w:instrText xml:space="preserve"> PAGEREF rot_Figura_21_2 \h </w:instrText>
        </w:r>
        <w:r>
          <w:fldChar w:fldCharType="separate"/>
        </w:r>
        <w:r>
          <w:t>828</w:t>
        </w:r>
        <w:r>
          <w:fldChar w:fldCharType="end"/>
        </w:r>
      </w:hyperlink>
    </w:p>
    <w:p>
      <w:pPr>
        <w:pStyle w:val="Indice"/>
        <w:tabs>
          <w:tab w:val="right" w:leader="dot" w:pos="9974"/>
        </w:tabs>
        <w:spacing w:before="40" w:after="40"/>
        <w:ind w:left="1134" w:hanging="1134"/>
      </w:pPr>
      <w:hyperlink w:anchor="rot_Figura_X2_1" w:history="1">
        <w:r>
          <w:t xml:space="preserve">Figura X2.1. Una red de 100 nodos corrige en 10 gateways y entrega mediciones a 15 comités</w:t>
        </w:r>
        <w:r>
          <w:tab/>
        </w:r>
        <w:r>
          <w:fldChar w:fldCharType="begin"/>
        </w:r>
        <w:r>
          <w:instrText xml:space="preserve"> PAGEREF rot_Figura_X2_1 \h </w:instrText>
        </w:r>
        <w:r>
          <w:fldChar w:fldCharType="separate"/>
        </w:r>
        <w:r>
          <w:t>833</w:t>
        </w:r>
        <w:r>
          <w:fldChar w:fldCharType="end"/>
        </w:r>
      </w:hyperlink>
    </w:p>
    <w:p>
      <w:pPr>
        <w:pStyle w:val="Indice"/>
        <w:tabs>
          <w:tab w:val="right" w:leader="dot" w:pos="9974"/>
        </w:tabs>
        <w:spacing w:before="40" w:after="40"/>
        <w:ind w:left="1134" w:hanging="1134"/>
      </w:pPr>
      <w:hyperlink w:anchor="rot_Figura_X4_1" w:history="1">
        <w:r>
          <w:t xml:space="preserve">Figura X4.1. Solo 28 de 1.122 municipios cuentan con estaciones utilizables</w:t>
        </w:r>
        <w:r>
          <w:tab/>
        </w:r>
        <w:r>
          <w:fldChar w:fldCharType="begin"/>
        </w:r>
        <w:r>
          <w:instrText xml:space="preserve"> PAGEREF rot_Figura_X4_1 \h </w:instrText>
        </w:r>
        <w:r>
          <w:fldChar w:fldCharType="separate"/>
        </w:r>
        <w:r>
          <w:t>842</w:t>
        </w:r>
        <w:r>
          <w:fldChar w:fldCharType="end"/>
        </w:r>
      </w:hyperlink>
    </w:p>
    <w:p>
      <w:pPr>
        <w:pStyle w:val="Indice"/>
        <w:tabs>
          <w:tab w:val="right" w:leader="dot" w:pos="9974"/>
        </w:tabs>
        <w:spacing w:before="40" w:after="40"/>
        <w:ind w:left="1134" w:hanging="1134"/>
      </w:pPr>
      <w:hyperlink w:anchor="rot_Figura_X4_2" w:history="1">
        <w:r>
          <w:t xml:space="preserve">Figura X4.2. La red corregida cede fiabilidad y gana costo, acceso y cobertura</w:t>
        </w:r>
        <w:r>
          <w:tab/>
        </w:r>
        <w:r>
          <w:fldChar w:fldCharType="begin"/>
        </w:r>
        <w:r>
          <w:instrText xml:space="preserve"> PAGEREF rot_Figura_X4_2 \h </w:instrText>
        </w:r>
        <w:r>
          <w:fldChar w:fldCharType="separate"/>
        </w:r>
        <w:r>
          <w:t>843</w:t>
        </w:r>
        <w:r>
          <w:fldChar w:fldCharType="end"/>
        </w:r>
      </w:hyperlink>
    </w:p>
    <w:p>
      <w:pPr>
        <w:pStyle w:val="Indice"/>
        <w:tabs>
          <w:tab w:val="right" w:leader="dot" w:pos="9974"/>
        </w:tabs>
        <w:spacing w:before="40" w:after="40"/>
        <w:ind w:left="1134" w:hanging="1134"/>
      </w:pPr>
      <w:hyperlink w:anchor="rot_Figura_X4_3" w:history="1">
        <w:r>
          <w:t xml:space="preserve">Figura X4.3. El comité y el operario contratan la medición para decidir y protegerse con evidencia defendible</w:t>
        </w:r>
        <w:r>
          <w:tab/>
        </w:r>
        <w:r>
          <w:fldChar w:fldCharType="begin"/>
        </w:r>
        <w:r>
          <w:instrText xml:space="preserve"> PAGEREF rot_Figura_X4_3 \h </w:instrText>
        </w:r>
        <w:r>
          <w:fldChar w:fldCharType="separate"/>
        </w:r>
        <w:r>
          <w:t>846</w:t>
        </w:r>
        <w:r>
          <w:fldChar w:fldCharType="end"/>
        </w:r>
      </w:hyperlink>
    </w:p>
    <w:p>
      <w:pPr>
        <w:pStyle w:val="Indice"/>
        <w:tabs>
          <w:tab w:val="right" w:leader="dot" w:pos="9974"/>
        </w:tabs>
        <w:spacing w:before="40" w:after="40"/>
        <w:ind w:left="1134" w:hanging="1134"/>
      </w:pPr>
      <w:hyperlink w:anchor="rot_Figura_X4_4" w:history="1">
        <w:r>
          <w:t xml:space="preserve">Figura X4.4. Los ocho pasos de Kotter se distribuyen en 24 meses y se anclan en las compuertas</w:t>
        </w:r>
        <w:r>
          <w:tab/>
        </w:r>
        <w:r>
          <w:fldChar w:fldCharType="begin"/>
        </w:r>
        <w:r>
          <w:instrText xml:space="preserve"> PAGEREF rot_Figura_X4_4 \h </w:instrText>
        </w:r>
        <w:r>
          <w:fldChar w:fldCharType="separate"/>
        </w:r>
        <w:r>
          <w:t>849</w:t>
        </w:r>
        <w:r>
          <w:fldChar w:fldCharType="end"/>
        </w:r>
      </w:hyperlink>
    </w:p>
    <w:p>
      <w:pPr>
        <w:pStyle w:val="Indice"/>
        <w:tabs>
          <w:tab w:val="right" w:leader="dot" w:pos="9974"/>
        </w:tabs>
        <w:spacing w:before="40" w:after="40"/>
        <w:ind w:left="1134" w:hanging="1134"/>
      </w:pPr>
      <w:hyperlink w:anchor="rot_Figura_X4_5" w:history="1">
        <w:r>
          <w:t xml:space="preserve">Figura X4.5. El bucle simple corrige la acción cada mes y el bucle doble revisa los supuestos en las compuertas</w:t>
        </w:r>
        <w:r>
          <w:tab/>
        </w:r>
        <w:r>
          <w:fldChar w:fldCharType="begin"/>
        </w:r>
        <w:r>
          <w:instrText xml:space="preserve"> PAGEREF rot_Figura_X4_5 \h </w:instrText>
        </w:r>
        <w:r>
          <w:fldChar w:fldCharType="separate"/>
        </w:r>
        <w:r>
          <w:t>855</w:t>
        </w:r>
        <w:r>
          <w:fldChar w:fldCharType="end"/>
        </w:r>
      </w:hyperlink>
    </w:p>
    <w:p>
      <w:pPr>
        <w:pStyle w:val="Indice"/>
        <w:tabs>
          <w:tab w:val="right" w:leader="dot" w:pos="9974"/>
        </w:tabs>
        <w:spacing w:before="40" w:after="40"/>
        <w:ind w:left="1134" w:hanging="1134"/>
      </w:pPr>
      <w:hyperlink w:anchor="rot_Figura_X4_6" w:history="1">
        <w:r>
          <w:t xml:space="preserve">Figura X4.6. Dos riesgos concentran 49,5 % del valor monetario esperado de la reserva</w:t>
        </w:r>
        <w:r>
          <w:tab/>
        </w:r>
        <w:r>
          <w:fldChar w:fldCharType="begin"/>
        </w:r>
        <w:r>
          <w:instrText xml:space="preserve"> PAGEREF rot_Figura_X4_6 \h </w:instrText>
        </w:r>
        <w:r>
          <w:fldChar w:fldCharType="separate"/>
        </w:r>
        <w:r>
          <w:t>864</w:t>
        </w:r>
        <w:r>
          <w:fldChar w:fldCharType="end"/>
        </w:r>
      </w:hyperlink>
    </w:p>
    <w:p>
      <w:pPr>
        <w:pStyle w:val="Indice"/>
        <w:tabs>
          <w:tab w:val="right" w:leader="dot" w:pos="9974"/>
        </w:tabs>
        <w:spacing w:before="40" w:after="40"/>
        <w:ind w:left="1134" w:hanging="1134"/>
      </w:pPr>
      <w:hyperlink w:anchor="rot_Figura_X4_7" w:history="1">
        <w:r>
          <w:t xml:space="preserve">Figura X4.7. Los escenarios se distinguen por el cumplimiento de los supuestos de medición y de custodia</w:t>
        </w:r>
        <w:r>
          <w:tab/>
        </w:r>
        <w:r>
          <w:fldChar w:fldCharType="begin"/>
        </w:r>
        <w:r>
          <w:instrText xml:space="preserve"> PAGEREF rot_Figura_X4_7 \h </w:instrText>
        </w:r>
        <w:r>
          <w:fldChar w:fldCharType="separate"/>
        </w:r>
        <w:r>
          <w:t>871</w:t>
        </w:r>
        <w:r>
          <w:fldChar w:fldCharType="end"/>
        </w:r>
      </w:hyperlink>
    </w:p>
    <w:p>
      <w:pPr>
        <w:pStyle w:val="Indice"/>
        <w:tabs>
          <w:tab w:val="right" w:leader="dot" w:pos="9974"/>
        </w:tabs>
        <w:spacing w:before="40" w:after="40"/>
        <w:ind w:left="1134" w:hanging="1134"/>
      </w:pPr>
      <w:hyperlink w:anchor="rot_Figura_X4_8" w:history="1">
        <w:r>
          <w:t xml:space="preserve">Figura X4.8. Los tres marcos transforman capacidades en resultados verificables y contribuyen a un impacto de continuidad</w:t>
        </w:r>
        <w:r>
          <w:tab/>
        </w:r>
        <w:r>
          <w:fldChar w:fldCharType="begin"/>
        </w:r>
        <w:r>
          <w:instrText xml:space="preserve"> PAGEREF rot_Figura_X4_8 \h </w:instrText>
        </w:r>
        <w:r>
          <w:fldChar w:fldCharType="separate"/>
        </w:r>
        <w:r>
          <w:t>877</w:t>
        </w:r>
        <w:r>
          <w:fldChar w:fldCharType="end"/>
        </w:r>
      </w:hyperlink>
    </w:p>
    <w:p>
      <w:pPr>
        <w:pStyle w:val="Indice"/>
        <w:tabs>
          <w:tab w:val="right" w:leader="dot" w:pos="9974"/>
        </w:tabs>
        <w:spacing w:before="40" w:after="40"/>
        <w:ind w:left="1134" w:hanging="1134"/>
      </w:pPr>
      <w:hyperlink w:anchor="rot_Figura_X5_1" w:history="1">
        <w:r>
          <w:t xml:space="preserve">Figura X5.1. Modelo de valor público: la financiación cubre la ejecución y la custodia sostiene la red</w:t>
        </w:r>
        <w:r>
          <w:tab/>
        </w:r>
        <w:r>
          <w:fldChar w:fldCharType="begin"/>
        </w:r>
        <w:r>
          <w:instrText xml:space="preserve"> PAGEREF rot_Figura_X5_1 \h </w:instrText>
        </w:r>
        <w:r>
          <w:fldChar w:fldCharType="separate"/>
        </w:r>
        <w:r>
          <w:t>881</w:t>
        </w:r>
        <w:r>
          <w:fldChar w:fldCharType="end"/>
        </w:r>
      </w:hyperlink>
    </w:p>
    <w:p>
      <w:pPr>
        <w:pStyle w:val="Indice"/>
        <w:tabs>
          <w:tab w:val="right" w:leader="dot" w:pos="9974"/>
        </w:tabs>
        <w:spacing w:before="40" w:after="40"/>
        <w:ind w:left="1134" w:hanging="1134"/>
      </w:pPr>
      <w:hyperlink w:anchor="rot_Figura_X6_1" w:history="1">
        <w:r>
          <w:t xml:space="preserve">Figura X6.1. El personal y los equipos suman casi siete de cada diez pesos solicitados al SGR</w:t>
        </w:r>
        <w:r>
          <w:tab/>
        </w:r>
        <w:r>
          <w:fldChar w:fldCharType="begin"/>
        </w:r>
        <w:r>
          <w:instrText xml:space="preserve"> PAGEREF rot_Figura_X6_1 \h </w:instrText>
        </w:r>
        <w:r>
          <w:fldChar w:fldCharType="separate"/>
        </w:r>
        <w:r>
          <w:t>887</w:t>
        </w:r>
        <w:r>
          <w:fldChar w:fldCharType="end"/>
        </w:r>
      </w:hyperlink>
    </w:p>
    <w:p>
      <w:pPr>
        <w:pStyle w:val="Indice"/>
        <w:tabs>
          <w:tab w:val="right" w:leader="dot" w:pos="9974"/>
        </w:tabs>
        <w:spacing w:before="40" w:after="40"/>
        <w:ind w:left="1134" w:hanging="1134"/>
      </w:pPr>
      <w:hyperlink w:anchor="rot_Figura_X6_2" w:history="1">
        <w:r>
          <w:t xml:space="preserve">Figura X6.2. La estación fija de referencia cuesta 7,2 veces el costo por punto de la red híbrida</w:t>
        </w:r>
        <w:r>
          <w:tab/>
        </w:r>
        <w:r>
          <w:fldChar w:fldCharType="begin"/>
        </w:r>
        <w:r>
          <w:instrText xml:space="preserve"> PAGEREF rot_Figura_X6_2 \h </w:instrText>
        </w:r>
        <w:r>
          <w:fldChar w:fldCharType="separate"/>
        </w:r>
        <w:r>
          <w:t>890</w:t>
        </w:r>
        <w:r>
          <w:fldChar w:fldCharType="end"/>
        </w:r>
      </w:hyperlink>
    </w:p>
    <w:p>
      <w:pPr>
        <w:pStyle w:val="Indice"/>
        <w:tabs>
          <w:tab w:val="right" w:leader="dot" w:pos="9974"/>
        </w:tabs>
        <w:spacing w:before="40" w:after="40"/>
        <w:ind w:left="1134" w:hanging="1134"/>
      </w:pPr>
      <w:hyperlink w:anchor="rot_Figura_X6_3" w:history="1">
        <w:r>
          <w:t xml:space="preserve">Figura X6.3. El plazo y el personal generan las mayores variaciones del valor solicitado</w:t>
        </w:r>
        <w:r>
          <w:tab/>
        </w:r>
        <w:r>
          <w:fldChar w:fldCharType="begin"/>
        </w:r>
        <w:r>
          <w:instrText xml:space="preserve"> PAGEREF rot_Figura_X6_3 \h </w:instrText>
        </w:r>
        <w:r>
          <w:fldChar w:fldCharType="separate"/>
        </w:r>
        <w:r>
          <w:t>893</w:t>
        </w:r>
        <w:r>
          <w:fldChar w:fldCharType="end"/>
        </w:r>
      </w:hyperlink>
    </w:p>
    <w:p>
      <w:pPr>
        <w:pStyle w:val="Indice"/>
        <w:tabs>
          <w:tab w:val="right" w:leader="dot" w:pos="9974"/>
        </w:tabs>
        <w:spacing w:before="40" w:after="40"/>
        <w:ind w:left="1134" w:hanging="1134"/>
      </w:pPr>
      <w:hyperlink w:anchor="rot_Figura_X6_4" w:history="1">
        <w:r>
          <w:t xml:space="preserve">Figura X6.4. El 50,0 % de la inversión programada se ejecuta en los primeros 12 meses</w:t>
        </w:r>
        <w:r>
          <w:tab/>
        </w:r>
        <w:r>
          <w:fldChar w:fldCharType="begin"/>
        </w:r>
        <w:r>
          <w:instrText xml:space="preserve"> PAGEREF rot_Figura_X6_4 \h </w:instrText>
        </w:r>
        <w:r>
          <w:fldChar w:fldCharType="separate"/>
        </w:r>
        <w:r>
          <w:t>895</w:t>
        </w:r>
        <w:r>
          <w:fldChar w:fldCharType="end"/>
        </w:r>
      </w:hyperlink>
    </w:p>
    <w:p>
      <w:pPr>
        <w:pStyle w:val="Indice"/>
        <w:tabs>
          <w:tab w:val="right" w:leader="dot" w:pos="9974"/>
        </w:tabs>
        <w:spacing w:before="40" w:after="40"/>
        <w:ind w:left="1134" w:hanging="1134"/>
      </w:pPr>
      <w:hyperlink w:anchor="rot_Figura_X7_1" w:history="1">
        <w:r>
          <w:t xml:space="preserve">Figura X7.1. El TRL pasa de 4 a 7 en 24 meses y el TRL 8 queda condicionado a evaluación independiente</w:t>
        </w:r>
        <w:r>
          <w:tab/>
        </w:r>
        <w:r>
          <w:fldChar w:fldCharType="begin"/>
        </w:r>
        <w:r>
          <w:instrText xml:space="preserve"> PAGEREF rot_Figura_X7_1 \h </w:instrText>
        </w:r>
        <w:r>
          <w:fldChar w:fldCharType="separate"/>
        </w:r>
        <w:r>
          <w:t>896</w:t>
        </w:r>
        <w:r>
          <w:fldChar w:fldCharType="end"/>
        </w:r>
      </w:hyperlink>
    </w:p>
    <w:p>
      <w:pPr>
        <w:pStyle w:val="Indice"/>
        <w:tabs>
          <w:tab w:val="right" w:leader="dot" w:pos="9974"/>
        </w:tabs>
        <w:spacing w:before="40" w:after="40"/>
        <w:ind w:left="1134" w:hanging="1134"/>
      </w:pPr>
      <w:hyperlink w:anchor="rot_Figura_X8_1" w:history="1">
        <w:r>
          <w:t xml:space="preserve">Figura X8.1. 8 de 18 interesados exigen gestión cercana y las alcaldías deben pasar a ese cuadrante antes de C2</w:t>
        </w:r>
        <w:r>
          <w:tab/>
        </w:r>
        <w:r>
          <w:fldChar w:fldCharType="begin"/>
        </w:r>
        <w:r>
          <w:instrText xml:space="preserve"> PAGEREF rot_Figura_X8_1 \h </w:instrText>
        </w:r>
        <w:r>
          <w:fldChar w:fldCharType="separate"/>
        </w:r>
        <w:r>
          <w:t>902</w:t>
        </w:r>
        <w:r>
          <w:fldChar w:fldCharType="end"/>
        </w:r>
      </w:hyperlink>
    </w:p>
    <w:p>
      <w:pPr>
        <w:pStyle w:val="Indice"/>
        <w:tabs>
          <w:tab w:val="right" w:leader="dot" w:pos="9974"/>
        </w:tabs>
        <w:spacing w:before="40" w:after="40"/>
        <w:ind w:left="1134" w:hanging="1134"/>
      </w:pPr>
      <w:hyperlink w:anchor="rot_Figura_X9_1" w:history="1">
        <w:r>
          <w:t xml:space="preserve">Figura X9.1. 8 de los 12 riesgos están en rojo y ninguno se ha materializado al inicio</w:t>
        </w:r>
        <w:r>
          <w:tab/>
        </w:r>
        <w:r>
          <w:fldChar w:fldCharType="begin"/>
        </w:r>
        <w:r>
          <w:instrText xml:space="preserve"> PAGEREF rot_Figura_X9_1 \h </w:instrText>
        </w:r>
        <w:r>
          <w:fldChar w:fldCharType="separate"/>
        </w:r>
        <w:r>
          <w:t>906</w:t>
        </w:r>
        <w:r>
          <w:fldChar w:fldCharType="end"/>
        </w:r>
      </w:hyperlink>
    </w:p>
    <w:p>
      <w:pPr>
        <w:pStyle w:val="Indice"/>
        <w:tabs>
          <w:tab w:val="right" w:leader="dot" w:pos="9974"/>
        </w:tabs>
        <w:spacing w:before="40" w:after="40"/>
        <w:ind w:left="1134" w:hanging="1134"/>
      </w:pPr>
      <w:hyperlink w:anchor="rot_Figura_X9_2" w:history="1">
        <w:r>
          <w:t xml:space="preserve">Figura X9.2. 8 de los 12 riesgos ocupan celdas de nivel ALTO o EXTREMO en la matriz 5×5</w:t>
        </w:r>
        <w:r>
          <w:tab/>
        </w:r>
        <w:r>
          <w:fldChar w:fldCharType="begin"/>
        </w:r>
        <w:r>
          <w:instrText xml:space="preserve"> PAGEREF rot_Figura_X9_2 \h </w:instrText>
        </w:r>
        <w:r>
          <w:fldChar w:fldCharType="separate"/>
        </w:r>
        <w:r>
          <w:t>909</w:t>
        </w:r>
        <w:r>
          <w:fldChar w:fldCharType="end"/>
        </w:r>
      </w:hyperlink>
    </w:p>
    <w:p>
      <w:pPr>
        <w:pStyle w:val="Indice"/>
        <w:tabs>
          <w:tab w:val="right" w:leader="dot" w:pos="9974"/>
        </w:tabs>
        <w:spacing w:before="40" w:after="40"/>
        <w:ind w:left="1134" w:hanging="1134"/>
      </w:pPr>
      <w:hyperlink w:anchor="rot_Figura_X9_3" w:history="1">
        <w:r>
          <w:t xml:space="preserve">Figura X9.3. El índice de riesgo planificado baja de 148 a 81 puntos, una reducción de 45,3 %</w:t>
        </w:r>
        <w:r>
          <w:tab/>
        </w:r>
        <w:r>
          <w:fldChar w:fldCharType="begin"/>
        </w:r>
        <w:r>
          <w:instrText xml:space="preserve"> PAGEREF rot_Figura_X9_3 \h </w:instrText>
        </w:r>
        <w:r>
          <w:fldChar w:fldCharType="separate"/>
        </w:r>
        <w:r>
          <w:t>911</w:t>
        </w:r>
        <w:r>
          <w:fldChar w:fldCharType="end"/>
        </w:r>
      </w:hyperlink>
    </w:p>
    <w:p>
      <w:pPr>
        <w:pStyle w:val="Indice"/>
        <w:tabs>
          <w:tab w:val="right" w:leader="dot" w:pos="9974"/>
        </w:tabs>
        <w:spacing w:before="40" w:after="40"/>
        <w:ind w:left="1134" w:hanging="1134"/>
      </w:pPr>
      <w:hyperlink w:anchor="rot_Figura_X9_4" w:history="1">
        <w:r>
          <w:t xml:space="preserve">Figura X9.4. La reserva de 636,0 millones está disponible en su totalidad al inicio</w:t>
        </w:r>
        <w:r>
          <w:tab/>
        </w:r>
        <w:r>
          <w:fldChar w:fldCharType="begin"/>
        </w:r>
        <w:r>
          <w:instrText xml:space="preserve"> PAGEREF rot_Figura_X9_4 \h </w:instrText>
        </w:r>
        <w:r>
          <w:fldChar w:fldCharType="separate"/>
        </w:r>
        <w:r>
          <w:t>913</w:t>
        </w:r>
        <w:r>
          <w:fldChar w:fldCharType="end"/>
        </w:r>
      </w:hyperlink>
    </w:p>
    <w:bookmarkEnd w:id="26"/>
    <w:bookmarkStart w:id="40" w:name="_Toc00900006"/>
    <w:p>
      <w:pPr>
        <w:pStyle w:val="Heading1"/>
      </w:pPr>
      <w:r>
        <w:t xml:space="preserve">Soporte de la solicitud</w:t>
      </w:r>
    </w:p>
    <w:p>
      <w:pPr>
        <w:pStyle w:val="FirstParagraph"/>
      </w:pPr>
      <w:r>
        <w:t xml:space="preserve">Esta parte inicial reúne el mensaje que originó el ajuste de la alianza y las respuestas a cada una de sus solicitudes. Precede a los pasos del metaprompt porque fija quiénes ejecutan el proyecto, qué hace cada uno, cuánto recursos corresponde a cada actor y cuándo se completa el documento técnico. El proponente es una universidad con grupo de investigación reconocido por MinCiencias, acompañada de un municipio de Cundinamarca, Risaralda, Caldas o Valle del Cauca, de un actor reconocido por MinCiencias y de una empresa aliada.</w:t>
      </w:r>
    </w:p>
    <w:bookmarkStart w:id="27" w:name="_Toc00900007"/>
    <w:p>
      <w:pPr>
        <w:pStyle w:val="Heading2"/>
      </w:pPr>
      <w:r>
        <w:t xml:space="preserve">S.1 Mensaje recibido</w:t>
      </w:r>
    </w:p>
    <w:p>
      <w:pPr>
        <w:pStyle w:val="FirstParagraph"/>
      </w:pPr>
      <w:r>
        <w:t xml:space="preserve">El texto siguiente transcribe el mensaje recibido. Solo se corrigieron errores de digitación evidentes, sin alterar el contenido.</w:t>
      </w:r>
    </w:p>
    <w:p>
      <w:pPr>
        <w:pStyle w:val="BlockText"/>
      </w:pPr>
      <w:r>
        <w:t xml:space="preserve">Hola Andrés, ¿cómo estás? Sí, Andrés, estaba pensando que definitivamente con la Universidad debe tenerse en cuenta algo que nos piden, y yo también siento que hay que dar mucha claridad, no solamente para la universidad, sino para todos los actores que hay. Es algo que va a evaluar muy detenidamente MinCiencias: que quede claro cuáles son las actividades y los roles de cada actor. Entonces te pido un favor: envíame un correo con una presentación muy clara de qué es el proyecto, en qué objetivo iría cada aliado y cuáles son las actividades que va a ejecutar. Claro, sobre esas actividades y lo que va a hacer cada organización también estarán solicitando, o deberíamos verificar, el presupuesto. Entonces envíame esas opciones; no te digo los tres proyectos, sino el que esté más alineado al departamento, sobre todo porque esto es para atender la situación del terremoto, y cuadramos la reunión con la Universidad. Importante, Andrés: en este momento, como estamos en otro proyecto, no vamos a poder ayudar en formulación. Entonces sí necesitamos fechas claras de cuándo vamos a tener el documento técnico completo, para no estar corriendo a última hora, ¿vale? Y cuál es el beneficio que reciben. Siempre nos preguntan: «¿y yo qué gano?».</w:t>
      </w:r>
    </w:p>
    <w:p>
      <w:pPr>
        <w:pStyle w:val="FirstParagraph"/>
      </w:pPr>
      <w:r>
        <w:t xml:space="preserve">Remitente: [DATO_USUARIO: nombre de quien envía el mensaje]. Fecha del mensaje: [DATO_USUARIO: fecha]. Naturaleza: DECLARADO por el usuario; verificación NO_APLICA.</w:t>
      </w:r>
    </w:p>
    <w:bookmarkEnd w:id="27"/>
    <w:bookmarkStart w:id="28" w:name="Xbe4381c78eaadd59346cee7f1f9c16ec6a47b9d"/>
    <w:p>
      <w:pPr>
        <w:pStyle w:val="Heading2"/>
      </w:pPr>
      <w:r>
        <w:t xml:space="preserve">S.2 Qué pide el mensaje y dónde se responde</w:t>
      </w:r>
    </w:p>
    <w:p>
      <w:pPr>
        <w:pStyle w:val="FirstParagraph"/>
      </w:pPr>
      <w:r>
        <w:t xml:space="preserve">El mensaje de la sección S.1 contiene nueve solicitudes. Cada una tiene una respuesta en esta parte inicial. La Tabla S.1 las relaciona con la sección que las contesta. La sección S.13 responde a una solicitud posterior: verificar el presupuesto frente a la Convocatoria 56. El equipo remitente no podrá participar en la formulación porque atiende otro proyecto. Por esa razón, el calendario de la sección S.9 asigna a la Universidad la entrega de datos y la validación. La redacción queda en este documento.</w:t>
      </w:r>
    </w:p>
    <w:p>
      <w:pPr>
        <w:pStyle w:val="TablaRotulo"/>
      </w:pPr>
      <w:bookmarkStart w:id="9001" w:name="rot_Tabla_S_1"/>
      <w:r>
        <w:rPr>
          <w:b/>
          <w:bCs/>
        </w:rPr>
        <w:t xml:space="preserve">Tabla S.1</w:t>
      </w:r>
      <w:bookmarkEnd w:id="9001"/>
    </w:p>
    <w:p>
      <w:pPr>
        <w:pStyle w:val="TablaTitulo"/>
      </w:pPr>
      <w:r>
        <w:rPr>
          <w:i/>
          <w:iCs/>
        </w:rPr>
        <w:t xml:space="preserve">Solicitudes del mensaje y sección que las responde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60"/>
        <w:gridCol w:w="2772"/>
        <w:gridCol w:w="3300"/>
        <w:gridCol w:w="1188"/>
      </w:tblGrid>
      <w:tr>
        <w:trPr>
          <w:cantSplit/>
          <w:tblHeader/>
        </w:trPr>
        <w:tc>
          <w:tcPr>
            <w:shd w:val="clear" w:color="auto" w:fill="00B050"/>
          </w:tcPr>
          <w:p>
            <w:pPr>
              <w:pStyle w:val="Tabla9"/>
              <w:jc w:val="center"/>
            </w:pPr>
            <w:r>
              <w:rPr>
                <w:b/>
                <w:color w:val="FFFFFF"/>
              </w:rPr>
              <w:t xml:space="preserve">N.º</w:t>
            </w:r>
          </w:p>
        </w:tc>
        <w:tc>
          <w:tcPr>
            <w:shd w:val="clear" w:color="auto" w:fill="00B050"/>
          </w:tcPr>
          <w:p>
            <w:pPr>
              <w:pStyle w:val="Tabla9"/>
              <w:jc w:val="center"/>
            </w:pPr>
            <w:r>
              <w:rPr>
                <w:b/>
                <w:color w:val="FFFFFF"/>
              </w:rPr>
              <w:t xml:space="preserve">Solicitud del mensaje</w:t>
            </w:r>
          </w:p>
        </w:tc>
        <w:tc>
          <w:tcPr>
            <w:shd w:val="clear" w:color="auto" w:fill="00B050"/>
          </w:tcPr>
          <w:p>
            <w:pPr>
              <w:pStyle w:val="Tabla9"/>
              <w:jc w:val="center"/>
            </w:pPr>
            <w:r>
              <w:rPr>
                <w:b/>
                <w:color w:val="FFFFFF"/>
              </w:rPr>
              <w:t xml:space="preserve">Respuesta</w:t>
            </w:r>
          </w:p>
        </w:tc>
        <w:tc>
          <w:tcPr>
            <w:shd w:val="clear" w:color="auto" w:fill="00B050"/>
          </w:tcPr>
          <w:p>
            <w:pPr>
              <w:pStyle w:val="Tabla9"/>
              <w:jc w:val="center"/>
            </w:pPr>
            <w:r>
              <w:rPr>
                <w:b/>
                <w:color w:val="FFFFFF"/>
              </w:rPr>
              <w:t xml:space="preserve">Sección</w:t>
            </w:r>
          </w:p>
        </w:tc>
      </w:tr>
      <w:tr>
        <w:trPr>
          <w:cantSplit/>
        </w:trPr>
        <w:tc>
          <w:tcPr/>
          <w:p>
            <w:pPr>
              <w:pStyle w:val="Tabla9"/>
              <w:jc w:val="left"/>
            </w:pPr>
            <w:r>
              <w:t xml:space="preserve">1</w:t>
            </w:r>
          </w:p>
        </w:tc>
        <w:tc>
          <w:tcPr/>
          <w:p>
            <w:pPr>
              <w:pStyle w:val="Tabla9"/>
              <w:jc w:val="left"/>
            </w:pPr>
            <w:r>
              <w:t xml:space="preserve">Presentación clara de qué es el proyecto</w:t>
            </w:r>
          </w:p>
        </w:tc>
        <w:tc>
          <w:tcPr/>
          <w:p>
            <w:pPr>
              <w:pStyle w:val="Tabla9"/>
              <w:jc w:val="left"/>
            </w:pPr>
            <w:r>
              <w:t xml:space="preserve">Ficha de una página y justificación de la opción única</w:t>
            </w:r>
          </w:p>
        </w:tc>
        <w:tc>
          <w:tcPr/>
          <w:p>
            <w:pPr>
              <w:pStyle w:val="Tabla9"/>
              <w:jc w:val="left"/>
            </w:pPr>
            <w:r>
              <w:t xml:space="preserve">S.3</w:t>
            </w:r>
          </w:p>
        </w:tc>
      </w:tr>
      <w:tr>
        <w:trPr>
          <w:cantSplit/>
        </w:trPr>
        <w:tc>
          <w:tcPr/>
          <w:p>
            <w:pPr>
              <w:pStyle w:val="Tabla9"/>
              <w:jc w:val="left"/>
            </w:pPr>
            <w:r>
              <w:t xml:space="preserve">2</w:t>
            </w:r>
          </w:p>
        </w:tc>
        <w:tc>
          <w:tcPr/>
          <w:p>
            <w:pPr>
              <w:pStyle w:val="Tabla9"/>
              <w:jc w:val="left"/>
            </w:pPr>
            <w:r>
              <w:t xml:space="preserve">Objetivo al que aporta cada aliado</w:t>
            </w:r>
          </w:p>
        </w:tc>
        <w:tc>
          <w:tcPr/>
          <w:p>
            <w:pPr>
              <w:pStyle w:val="Tabla9"/>
              <w:jc w:val="left"/>
            </w:pPr>
            <w:r>
              <w:t xml:space="preserve">Objetivo específico, producto e indicador por actor</w:t>
            </w:r>
          </w:p>
        </w:tc>
        <w:tc>
          <w:tcPr/>
          <w:p>
            <w:pPr>
              <w:pStyle w:val="Tabla9"/>
              <w:jc w:val="left"/>
            </w:pPr>
            <w:r>
              <w:t xml:space="preserve">S.5</w:t>
            </w:r>
          </w:p>
        </w:tc>
      </w:tr>
      <w:tr>
        <w:trPr>
          <w:cantSplit/>
        </w:trPr>
        <w:tc>
          <w:tcPr/>
          <w:p>
            <w:pPr>
              <w:pStyle w:val="Tabla9"/>
              <w:jc w:val="left"/>
            </w:pPr>
            <w:r>
              <w:t xml:space="preserve">3</w:t>
            </w:r>
          </w:p>
        </w:tc>
        <w:tc>
          <w:tcPr/>
          <w:p>
            <w:pPr>
              <w:pStyle w:val="Tabla9"/>
              <w:jc w:val="left"/>
            </w:pPr>
            <w:r>
              <w:t xml:space="preserve">Actividades que ejecuta cada actor</w:t>
            </w:r>
          </w:p>
        </w:tc>
        <w:tc>
          <w:tcPr/>
          <w:p>
            <w:pPr>
              <w:pStyle w:val="Tabla9"/>
              <w:jc w:val="left"/>
            </w:pPr>
            <w:r>
              <w:t xml:space="preserve">Matriz de responsabilidades de las 17 actividades y lista por actor</w:t>
            </w:r>
          </w:p>
        </w:tc>
        <w:tc>
          <w:tcPr/>
          <w:p>
            <w:pPr>
              <w:pStyle w:val="Tabla9"/>
              <w:jc w:val="left"/>
            </w:pPr>
            <w:r>
              <w:t xml:space="preserve">S.6</w:t>
            </w:r>
          </w:p>
        </w:tc>
      </w:tr>
      <w:tr>
        <w:trPr>
          <w:cantSplit/>
        </w:trPr>
        <w:tc>
          <w:tcPr/>
          <w:p>
            <w:pPr>
              <w:pStyle w:val="Tabla9"/>
              <w:jc w:val="left"/>
            </w:pPr>
            <w:r>
              <w:t xml:space="preserve">4</w:t>
            </w:r>
          </w:p>
        </w:tc>
        <w:tc>
          <w:tcPr/>
          <w:p>
            <w:pPr>
              <w:pStyle w:val="Tabla9"/>
              <w:jc w:val="left"/>
            </w:pPr>
            <w:r>
              <w:t xml:space="preserve">Presupuesto asociado a esas actividades y organizaciones</w:t>
            </w:r>
          </w:p>
        </w:tc>
        <w:tc>
          <w:tcPr/>
          <w:p>
            <w:pPr>
              <w:pStyle w:val="Tabla9"/>
              <w:jc w:val="left"/>
            </w:pPr>
            <w:r>
              <w:t xml:space="preserve">Presupuesto SGR y contrapartida por actor y por rubro</w:t>
            </w:r>
          </w:p>
        </w:tc>
        <w:tc>
          <w:tcPr/>
          <w:p>
            <w:pPr>
              <w:pStyle w:val="Tabla9"/>
              <w:jc w:val="left"/>
            </w:pPr>
            <w:r>
              <w:t xml:space="preserve">S.7</w:t>
            </w:r>
          </w:p>
        </w:tc>
      </w:tr>
      <w:tr>
        <w:trPr>
          <w:cantSplit/>
        </w:trPr>
        <w:tc>
          <w:tcPr/>
          <w:p>
            <w:pPr>
              <w:pStyle w:val="Tabla9"/>
              <w:jc w:val="left"/>
            </w:pPr>
            <w:r>
              <w:t xml:space="preserve">5</w:t>
            </w:r>
          </w:p>
        </w:tc>
        <w:tc>
          <w:tcPr/>
          <w:p>
            <w:pPr>
              <w:pStyle w:val="Tabla9"/>
              <w:jc w:val="left"/>
            </w:pPr>
            <w:r>
              <w:t xml:space="preserve">Opción más alineada al departamento y al terremoto</w:t>
            </w:r>
          </w:p>
        </w:tc>
        <w:tc>
          <w:tcPr/>
          <w:p>
            <w:pPr>
              <w:pStyle w:val="Tabla9"/>
              <w:jc w:val="left"/>
            </w:pPr>
            <w:r>
              <w:t xml:space="preserve">Alternativa única recomendada y criterios de selección del departamento</w:t>
            </w:r>
          </w:p>
        </w:tc>
        <w:tc>
          <w:tcPr/>
          <w:p>
            <w:pPr>
              <w:pStyle w:val="Tabla9"/>
              <w:jc w:val="left"/>
            </w:pPr>
            <w:r>
              <w:t xml:space="preserve">S.3 y S.4</w:t>
            </w:r>
          </w:p>
        </w:tc>
      </w:tr>
      <w:tr>
        <w:trPr>
          <w:cantSplit/>
        </w:trPr>
        <w:tc>
          <w:tcPr/>
          <w:p>
            <w:pPr>
              <w:pStyle w:val="Tabla9"/>
              <w:jc w:val="left"/>
            </w:pPr>
            <w:r>
              <w:t xml:space="preserve">6</w:t>
            </w:r>
          </w:p>
        </w:tc>
        <w:tc>
          <w:tcPr/>
          <w:p>
            <w:pPr>
              <w:pStyle w:val="Tabla9"/>
              <w:jc w:val="left"/>
            </w:pPr>
            <w:r>
              <w:t xml:space="preserve">Reunión con la Universidad</w:t>
            </w:r>
          </w:p>
        </w:tc>
        <w:tc>
          <w:tcPr/>
          <w:p>
            <w:pPr>
              <w:pStyle w:val="Tabla9"/>
              <w:jc w:val="left"/>
            </w:pPr>
            <w:r>
              <w:t xml:space="preserve">Agenda con decisiones y datos que se necesitan</w:t>
            </w:r>
          </w:p>
        </w:tc>
        <w:tc>
          <w:tcPr/>
          <w:p>
            <w:pPr>
              <w:pStyle w:val="Tabla9"/>
              <w:jc w:val="left"/>
            </w:pPr>
            <w:r>
              <w:t xml:space="preserve">S.10</w:t>
            </w:r>
          </w:p>
        </w:tc>
      </w:tr>
      <w:tr>
        <w:trPr>
          <w:cantSplit/>
        </w:trPr>
        <w:tc>
          <w:tcPr/>
          <w:p>
            <w:pPr>
              <w:pStyle w:val="Tabla9"/>
              <w:jc w:val="left"/>
            </w:pPr>
            <w:r>
              <w:t xml:space="preserve">7</w:t>
            </w:r>
          </w:p>
        </w:tc>
        <w:tc>
          <w:tcPr/>
          <w:p>
            <w:pPr>
              <w:pStyle w:val="Tabla9"/>
              <w:jc w:val="left"/>
            </w:pPr>
            <w:r>
              <w:t xml:space="preserve">Fechas claras del documento técnico completo</w:t>
            </w:r>
          </w:p>
        </w:tc>
        <w:tc>
          <w:tcPr/>
          <w:p>
            <w:pPr>
              <w:pStyle w:val="Tabla9"/>
              <w:jc w:val="left"/>
            </w:pPr>
            <w:r>
              <w:t xml:space="preserve">Calendario del 16 de octubre al 3 de noviembre de 2026</w:t>
            </w:r>
          </w:p>
        </w:tc>
        <w:tc>
          <w:tcPr/>
          <w:p>
            <w:pPr>
              <w:pStyle w:val="Tabla9"/>
              <w:jc w:val="left"/>
            </w:pPr>
            <w:r>
              <w:t xml:space="preserve">S.9</w:t>
            </w:r>
          </w:p>
        </w:tc>
      </w:tr>
      <w:tr>
        <w:trPr>
          <w:cantSplit/>
        </w:trPr>
        <w:tc>
          <w:tcPr/>
          <w:p>
            <w:pPr>
              <w:pStyle w:val="Tabla9"/>
              <w:jc w:val="left"/>
            </w:pPr>
            <w:r>
              <w:t xml:space="preserve">8</w:t>
            </w:r>
          </w:p>
        </w:tc>
        <w:tc>
          <w:tcPr/>
          <w:p>
            <w:pPr>
              <w:pStyle w:val="Tabla9"/>
              <w:jc w:val="left"/>
            </w:pPr>
            <w:r>
              <w:t xml:space="preserve">Beneficio que recibe cada actor</w:t>
            </w:r>
          </w:p>
        </w:tc>
        <w:tc>
          <w:tcPr/>
          <w:p>
            <w:pPr>
              <w:pStyle w:val="Tabla9"/>
              <w:jc w:val="left"/>
            </w:pPr>
            <w:r>
              <w:t xml:space="preserve">Beneficios y obligaciones por actor</w:t>
            </w:r>
          </w:p>
        </w:tc>
        <w:tc>
          <w:tcPr/>
          <w:p>
            <w:pPr>
              <w:pStyle w:val="Tabla9"/>
              <w:jc w:val="left"/>
            </w:pPr>
            <w:r>
              <w:t xml:space="preserve">S.8</w:t>
            </w:r>
          </w:p>
        </w:tc>
      </w:tr>
      <w:tr>
        <w:trPr>
          <w:cantSplit/>
        </w:trPr>
        <w:tc>
          <w:tcPr/>
          <w:p>
            <w:pPr>
              <w:pStyle w:val="Tabla9"/>
              <w:jc w:val="left"/>
            </w:pPr>
            <w:r>
              <w:t xml:space="preserve">9</w:t>
            </w:r>
          </w:p>
        </w:tc>
        <w:tc>
          <w:tcPr/>
          <w:p>
            <w:pPr>
              <w:pStyle w:val="Tabla9"/>
              <w:jc w:val="left"/>
            </w:pPr>
            <w:r>
              <w:t xml:space="preserve">Correo con la presentación</w:t>
            </w:r>
          </w:p>
        </w:tc>
        <w:tc>
          <w:tcPr/>
          <w:p>
            <w:pPr>
              <w:pStyle w:val="Tabla9"/>
              <w:jc w:val="left"/>
            </w:pPr>
            <w:r>
              <w:t xml:space="preserve">Borrador listo para enviar</w:t>
            </w:r>
          </w:p>
        </w:tc>
        <w:tc>
          <w:tcPr/>
          <w:p>
            <w:pPr>
              <w:pStyle w:val="Tabla9"/>
              <w:jc w:val="left"/>
            </w:pPr>
            <w:r>
              <w:t xml:space="preserve">S.11</w:t>
            </w:r>
          </w:p>
        </w:tc>
      </w:tr>
    </w:tbl>
    <w:p>
      <w:pPr>
        <w:pStyle w:val="TablaNota"/>
      </w:pPr>
      <w:r>
        <w:rPr>
          <w:i/>
          <w:iCs/>
        </w:rPr>
        <w:t xml:space="preserve">Nota.</w:t>
      </w:r>
      <w:r>
        <w:t xml:space="preserve"> </w:t>
      </w:r>
      <w:r>
        <w:t xml:space="preserve">Elaboración propia a partir del mensaje de la sección S.1. Los números de sección remiten a esta parte inicial.</w:t>
      </w:r>
    </w:p>
    <w:bookmarkEnd w:id="28"/>
    <w:bookmarkStart w:id="29" w:name="_Toc00900008"/>
    <w:p>
      <w:pPr>
        <w:pStyle w:val="Heading2"/>
      </w:pPr>
      <w:r>
        <w:t xml:space="preserve">S.3 El proyecto en una página</w:t>
      </w:r>
    </w:p>
    <w:p>
      <w:pPr>
        <w:pStyle w:val="FirstParagraph"/>
      </w:pPr>
      <w:r>
        <w:t xml:space="preserve">El proyecto instala una red de 100 nodos de bajo costo y 10 gateways. La red mide material particulado (PM2,5 y PM10) en sitios de remoción de escombros posterremoto. Tres monitores gravimétricos de referencia, uno por departamento, permiten comparar cada nodo con una medición de referencia. El gateway corrige la lectura por humedad y por fracción gruesa. Un tablero y un protocolo de alerta ponen esa medición, con su error conocido, a disposición de los comités de gestión del riesgo. La Tabla S.2 resume los datos que cualquier aliado necesita para entender el proyecto.</w:t>
      </w:r>
    </w:p>
    <w:p>
      <w:pPr>
        <w:pStyle w:val="TablaRotulo"/>
      </w:pPr>
      <w:bookmarkStart w:id="9002" w:name="rot_Tabla_S_2"/>
      <w:r>
        <w:rPr>
          <w:b/>
          <w:bCs/>
        </w:rPr>
        <w:t xml:space="preserve">Tabla S.2</w:t>
      </w:r>
      <w:bookmarkEnd w:id="9002"/>
    </w:p>
    <w:p>
      <w:pPr>
        <w:pStyle w:val="TablaTitulo"/>
      </w:pPr>
      <w:r>
        <w:rPr>
          <w:i/>
          <w:iCs/>
        </w:rPr>
        <w:t xml:space="preserve">Ficha del proyecto para los aliados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29"/>
        <w:gridCol w:w="3860"/>
        <w:gridCol w:w="1930"/>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r>
      <w:tr>
        <w:trPr>
          <w:cantSplit/>
        </w:trPr>
        <w:tc>
          <w:tcPr/>
          <w:p>
            <w:pPr>
              <w:pStyle w:val="Tabla9"/>
              <w:jc w:val="left"/>
            </w:pPr>
            <w:r>
              <w:t xml:space="preserve">Convocatoria</w:t>
            </w:r>
          </w:p>
        </w:tc>
        <w:tc>
          <w:tcPr/>
          <w:p>
            <w:pPr>
              <w:pStyle w:val="Tabla9"/>
              <w:jc w:val="left"/>
            </w:pPr>
            <w:r>
              <w:t xml:space="preserve">Convocatoria de Emergencia, Decreto 1414 de 2026 (SGR_CONV56)</w:t>
            </w:r>
          </w:p>
        </w:tc>
        <w:tc>
          <w:tcPr/>
          <w:p>
            <w:pPr>
              <w:pStyle w:val="Tabla9"/>
              <w:jc w:val="left"/>
            </w:pPr>
            <w:r>
              <w:t xml:space="preserve">DECLARADO</w:t>
            </w:r>
          </w:p>
        </w:tc>
      </w:tr>
      <w:tr>
        <w:trPr>
          <w:cantSplit/>
        </w:trPr>
        <w:tc>
          <w:tcPr/>
          <w:p>
            <w:pPr>
              <w:pStyle w:val="Tabla9"/>
              <w:jc w:val="left"/>
            </w:pPr>
            <w:r>
              <w:t xml:space="preserve">Duración</w:t>
            </w:r>
          </w:p>
        </w:tc>
        <w:tc>
          <w:tcPr/>
          <w:p>
            <w:pPr>
              <w:pStyle w:val="Tabla9"/>
              <w:jc w:val="left"/>
            </w:pPr>
            <w:r>
              <w:t xml:space="preserve">24 meses (104 semanas), con tres tramos y compuertas en los meses 12, 17 y 24</w:t>
            </w:r>
          </w:p>
        </w:tc>
        <w:tc>
          <w:tcPr/>
          <w:p>
            <w:pPr>
              <w:pStyle w:val="Tabla9"/>
              <w:jc w:val="left"/>
            </w:pPr>
            <w:r>
              <w:t xml:space="preserve">PROPUESTO</w:t>
            </w:r>
          </w:p>
        </w:tc>
      </w:tr>
      <w:tr>
        <w:trPr>
          <w:cantSplit/>
        </w:trPr>
        <w:tc>
          <w:tcPr/>
          <w:p>
            <w:pPr>
              <w:pStyle w:val="Tabla9"/>
              <w:jc w:val="left"/>
            </w:pPr>
            <w:r>
              <w:t xml:space="preserve">Territorio</w:t>
            </w:r>
          </w:p>
        </w:tc>
        <w:tc>
          <w:tcPr/>
          <w:p>
            <w:pPr>
              <w:pStyle w:val="Tabla9"/>
              <w:jc w:val="left"/>
            </w:pPr>
            <w:r>
              <w:t xml:space="preserve">Caldas, Cundinamarca y Valle del Cauca; 12 municipios focalizados [DATO_USUARIO: lista]</w:t>
            </w:r>
          </w:p>
        </w:tc>
        <w:tc>
          <w:tcPr/>
          <w:p>
            <w:pPr>
              <w:pStyle w:val="Tabla9"/>
              <w:jc w:val="left"/>
            </w:pPr>
            <w:r>
              <w:t xml:space="preserve">SUPUESTO</w:t>
            </w:r>
          </w:p>
        </w:tc>
      </w:tr>
      <w:tr>
        <w:trPr>
          <w:cantSplit/>
        </w:trPr>
        <w:tc>
          <w:tcPr/>
          <w:p>
            <w:pPr>
              <w:pStyle w:val="Tabla9"/>
              <w:jc w:val="left"/>
            </w:pPr>
            <w:r>
              <w:t xml:space="preserve">Red</w:t>
            </w:r>
          </w:p>
        </w:tc>
        <w:tc>
          <w:tcPr/>
          <w:p>
            <w:pPr>
              <w:pStyle w:val="Tabla9"/>
              <w:jc w:val="left"/>
            </w:pPr>
            <w:r>
              <w:t xml:space="preserve">100 nodos, 10 gateways y 3 monitores de referencia; se compran 120 nodos y 11 gateways</w:t>
            </w:r>
          </w:p>
        </w:tc>
        <w:tc>
          <w:tcPr/>
          <w:p>
            <w:pPr>
              <w:pStyle w:val="Tabla9"/>
              <w:jc w:val="left"/>
            </w:pPr>
            <w:r>
              <w:t xml:space="preserve">PROPUESTO</w:t>
            </w:r>
          </w:p>
        </w:tc>
      </w:tr>
      <w:tr>
        <w:trPr>
          <w:cantSplit/>
        </w:trPr>
        <w:tc>
          <w:tcPr/>
          <w:p>
            <w:pPr>
              <w:pStyle w:val="Tabla9"/>
              <w:jc w:val="left"/>
            </w:pPr>
            <w:r>
              <w:t xml:space="preserve">Resultado principal</w:t>
            </w:r>
          </w:p>
        </w:tc>
        <w:tc>
          <w:tcPr/>
          <w:p>
            <w:pPr>
              <w:pStyle w:val="Tabla9"/>
              <w:jc w:val="left"/>
            </w:pPr>
            <w:r>
              <w:t xml:space="preserve">Al menos 75 % de 15 comités de gestión del riesgo usan el tablero en decisiones documentadas al mes 24 (PERS-E01)</w:t>
            </w:r>
          </w:p>
        </w:tc>
        <w:tc>
          <w:tcPr/>
          <w:p>
            <w:pPr>
              <w:pStyle w:val="Tabla9"/>
              <w:jc w:val="left"/>
            </w:pPr>
            <w:r>
              <w:t xml:space="preserve">PROPUESTO</w:t>
            </w:r>
          </w:p>
        </w:tc>
      </w:tr>
      <w:tr>
        <w:trPr>
          <w:cantSplit/>
        </w:trPr>
        <w:tc>
          <w:tcPr/>
          <w:p>
            <w:pPr>
              <w:pStyle w:val="Tabla9"/>
              <w:jc w:val="left"/>
            </w:pPr>
            <w:r>
              <w:t xml:space="preserve">Madurez tecnológica</w:t>
            </w:r>
          </w:p>
        </w:tc>
        <w:tc>
          <w:tcPr/>
          <w:p>
            <w:pPr>
              <w:pStyle w:val="Tabla9"/>
              <w:jc w:val="left"/>
            </w:pPr>
            <w:r>
              <w:t xml:space="preserve">TRL 4 a TRL 7; el Anexo 2 prioriza TRL 9 y la decisión está pendiente</w:t>
            </w:r>
          </w:p>
        </w:tc>
        <w:tc>
          <w:tcPr/>
          <w:p>
            <w:pPr>
              <w:pStyle w:val="Tabla9"/>
              <w:jc w:val="left"/>
            </w:pPr>
            <w:r>
              <w:t xml:space="preserve">PROPUESTO</w:t>
            </w:r>
          </w:p>
        </w:tc>
      </w:tr>
      <w:tr>
        <w:trPr>
          <w:cantSplit/>
        </w:trPr>
        <w:tc>
          <w:tcPr/>
          <w:p>
            <w:pPr>
              <w:pStyle w:val="Tabla9"/>
              <w:jc w:val="left"/>
            </w:pPr>
            <w:r>
              <w:t xml:space="preserve">Valor solicitado al SGR</w:t>
            </w:r>
          </w:p>
        </w:tc>
        <w:tc>
          <w:tcPr/>
          <w:p>
            <w:pPr>
              <w:pStyle w:val="Tabla9"/>
              <w:jc w:val="left"/>
            </w:pPr>
            <w:r>
              <w:t xml:space="preserve">$ 8.729.840.000</w:t>
            </w:r>
          </w:p>
        </w:tc>
        <w:tc>
          <w:tcPr/>
          <w:p>
            <w:pPr>
              <w:pStyle w:val="Tabla9"/>
              <w:jc w:val="left"/>
            </w:pPr>
            <w:r>
              <w:t xml:space="preserve">CALCULADO</w:t>
            </w:r>
          </w:p>
        </w:tc>
      </w:tr>
      <w:tr>
        <w:trPr>
          <w:cantSplit/>
        </w:trPr>
        <w:tc>
          <w:tcPr/>
          <w:p>
            <w:pPr>
              <w:pStyle w:val="Tabla9"/>
              <w:jc w:val="left"/>
            </w:pPr>
            <w:r>
              <w:t xml:space="preserve">Contrapartida</w:t>
            </w:r>
          </w:p>
        </w:tc>
        <w:tc>
          <w:tcPr/>
          <w:p>
            <w:pPr>
              <w:pStyle w:val="Tabla9"/>
              <w:jc w:val="left"/>
            </w:pPr>
            <w:r>
              <w:t xml:space="preserve">$ 2.110.000.000 (Universidad 1.100 M; empresa 1.010 M)</w:t>
            </w:r>
          </w:p>
        </w:tc>
        <w:tc>
          <w:tcPr/>
          <w:p>
            <w:pPr>
              <w:pStyle w:val="Tabla9"/>
              <w:jc w:val="left"/>
            </w:pPr>
            <w:r>
              <w:t xml:space="preserve">DECLARADO</w:t>
            </w:r>
          </w:p>
        </w:tc>
      </w:tr>
      <w:tr>
        <w:trPr>
          <w:cantSplit/>
        </w:trPr>
        <w:tc>
          <w:tcPr/>
          <w:p>
            <w:pPr>
              <w:pStyle w:val="Tabla9"/>
              <w:jc w:val="left"/>
            </w:pPr>
            <w:r>
              <w:t xml:space="preserve">Total del proyecto</w:t>
            </w:r>
          </w:p>
        </w:tc>
        <w:tc>
          <w:tcPr/>
          <w:p>
            <w:pPr>
              <w:pStyle w:val="Tabla9"/>
              <w:jc w:val="left"/>
            </w:pPr>
            <w:r>
              <w:t xml:space="preserve">$ 10.839.840.000</w:t>
            </w:r>
          </w:p>
        </w:tc>
        <w:tc>
          <w:tcPr/>
          <w:p>
            <w:pPr>
              <w:pStyle w:val="Tabla9"/>
              <w:jc w:val="left"/>
            </w:pPr>
            <w:r>
              <w:t xml:space="preserve">CALCULADO</w:t>
            </w:r>
          </w:p>
        </w:tc>
      </w:tr>
      <w:tr>
        <w:trPr>
          <w:cantSplit/>
        </w:trPr>
        <w:tc>
          <w:tcPr/>
          <w:p>
            <w:pPr>
              <w:pStyle w:val="Tabla9"/>
              <w:jc w:val="left"/>
            </w:pPr>
            <w:r>
              <w:t xml:space="preserve">Estado</w:t>
            </w:r>
          </w:p>
        </w:tc>
        <w:tc>
          <w:tcPr/>
          <w:p>
            <w:pPr>
              <w:pStyle w:val="Tabla9"/>
              <w:jc w:val="left"/>
            </w:pPr>
            <w:r>
              <w:t xml:space="preserve">Borrador con vacíos; no es un paquete de radicación</w:t>
            </w:r>
          </w:p>
        </w:tc>
        <w:tc>
          <w:tcPr/>
          <w:p>
            <w:pPr>
              <w:pStyle w:val="Tabla9"/>
              <w:jc w:val="left"/>
            </w:pPr>
            <w:r>
              <w:t xml:space="preserve">—</w:t>
            </w:r>
          </w:p>
        </w:tc>
      </w:tr>
    </w:tbl>
    <w:p>
      <w:pPr>
        <w:pStyle w:val="TablaNota"/>
      </w:pPr>
      <w:r>
        <w:rPr>
          <w:i/>
          <w:iCs/>
        </w:rPr>
        <w:t xml:space="preserve">Nota.</w:t>
      </w:r>
      <w:r>
        <w:t xml:space="preserve"> </w:t>
      </w:r>
      <w:r>
        <w:t xml:space="preserve">Elaboración propia con la ficha maestra del proyecto. La contrapartida de la Universidad es una reconstrucción PROPUESTA y la de la empresa es DECLARADA en el expediente E3. Certificaciones pendientes.</w:t>
      </w:r>
    </w:p>
    <w:p>
      <w:pPr>
        <w:pStyle w:val="BodyText"/>
      </w:pPr>
      <w:r>
        <w:t xml:space="preserve">El mensaje pide una sola opción y no tres. El documento recomienda la alternativa ALT-03, una red híbrida con corrección en el gateway, despliegue por tramos y custodia distribuida. Obtuvo 5,805 puntos en la escala de 1 a 9. La calibración centralizada obtuvo 5,150, el statu quo 4,475 y las estaciones fijas 4,335. El puntaje no equivale a una probabilidad de éxito. La alternativa responde a la emergencia por una razón física. El terremoto interrumpe la red eléctrica y la celular, y por eso el gateway almacena siete días de datos y conserva un enlace satelital alterno.</w:t>
      </w:r>
    </w:p>
    <w:bookmarkEnd w:id="29"/>
    <w:bookmarkStart w:id="30" w:name="_Toc00900009"/>
    <w:p>
      <w:pPr>
        <w:pStyle w:val="Heading2"/>
      </w:pPr>
      <w:r>
        <w:t xml:space="preserve">S.4 Conformación de la alianza</w:t>
      </w:r>
    </w:p>
    <w:p>
      <w:pPr>
        <w:pStyle w:val="FirstParagraph"/>
      </w:pPr>
      <w:r>
        <w:t xml:space="preserve">La alianza propuesta tiene cuatro actores. El proponente es una universidad con un grupo de investigación reconocido por MinCiencias. Lo acompañan un municipio de Cundinamarca, Risaralda, Caldas o Valle del Cauca, un actor reconocido por MinCiencias y una empresa aliada. Los nombres quedan por definir [DATO_USUARIO: nombres de los cuatro actores]. La Tabla S.3 fija el perfil de cada actor y su posición en el análisis de participantes del Anexo 2.</w:t>
      </w:r>
    </w:p>
    <w:p>
      <w:pPr>
        <w:pStyle w:val="TablaRotulo"/>
      </w:pPr>
      <w:bookmarkStart w:id="9003" w:name="rot_Tabla_S_3"/>
      <w:r>
        <w:rPr>
          <w:b/>
          <w:bCs/>
        </w:rPr>
        <w:t xml:space="preserve">Tabla S.3</w:t>
      </w:r>
      <w:bookmarkEnd w:id="9003"/>
    </w:p>
    <w:p>
      <w:pPr>
        <w:pStyle w:val="TablaTitulo"/>
      </w:pPr>
      <w:r>
        <w:rPr>
          <w:i/>
          <w:iCs/>
        </w:rPr>
        <w:t xml:space="preserve">Actores de la alianza, perfil exigido y posición en el Anexo 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40"/>
        <w:gridCol w:w="2225"/>
        <w:gridCol w:w="1767"/>
        <w:gridCol w:w="1505"/>
        <w:gridCol w:w="981"/>
      </w:tblGrid>
      <w:tr>
        <w:trPr>
          <w:cantSplit/>
          <w:tblHeader/>
        </w:trPr>
        <w:tc>
          <w:tcPr>
            <w:shd w:val="clear" w:color="auto" w:fill="00B050"/>
          </w:tcPr>
          <w:p>
            <w:pPr>
              <w:pStyle w:val="Tabla9"/>
              <w:jc w:val="center"/>
            </w:pPr>
            <w:r>
              <w:rPr>
                <w:b/>
                <w:color w:val="FFFFFF"/>
              </w:rPr>
              <w:t xml:space="preserve">Actor</w:t>
            </w:r>
          </w:p>
        </w:tc>
        <w:tc>
          <w:tcPr>
            <w:shd w:val="clear" w:color="auto" w:fill="00B050"/>
          </w:tcPr>
          <w:p>
            <w:pPr>
              <w:pStyle w:val="Tabla9"/>
              <w:jc w:val="center"/>
            </w:pPr>
            <w:r>
              <w:rPr>
                <w:b/>
                <w:color w:val="FFFFFF"/>
              </w:rPr>
              <w:t xml:space="preserve">Identidad</w:t>
            </w:r>
          </w:p>
        </w:tc>
        <w:tc>
          <w:tcPr>
            <w:shd w:val="clear" w:color="auto" w:fill="00B050"/>
          </w:tcPr>
          <w:p>
            <w:pPr>
              <w:pStyle w:val="Tabla9"/>
              <w:jc w:val="center"/>
            </w:pPr>
            <w:r>
              <w:rPr>
                <w:b/>
                <w:color w:val="FFFFFF"/>
              </w:rPr>
              <w:t xml:space="preserve">Perfil exigido</w:t>
            </w:r>
          </w:p>
        </w:tc>
        <w:tc>
          <w:tcPr>
            <w:shd w:val="clear" w:color="auto" w:fill="00B050"/>
          </w:tcPr>
          <w:p>
            <w:pPr>
              <w:pStyle w:val="Tabla9"/>
              <w:jc w:val="center"/>
            </w:pPr>
            <w:r>
              <w:rPr>
                <w:b/>
                <w:color w:val="FFFFFF"/>
              </w:rPr>
              <w:t xml:space="preserve">Posición en el Anexo 2</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Proponente</w:t>
            </w:r>
          </w:p>
        </w:tc>
        <w:tc>
          <w:tcPr/>
          <w:p>
            <w:pPr>
              <w:pStyle w:val="Tabla9"/>
              <w:jc w:val="left"/>
            </w:pPr>
            <w:r>
              <w:t xml:space="preserve">[DATO_USUARIO: universidad]</w:t>
            </w:r>
          </w:p>
        </w:tc>
        <w:tc>
          <w:tcPr/>
          <w:p>
            <w:pPr>
              <w:pStyle w:val="Tabla9"/>
              <w:jc w:val="left"/>
            </w:pPr>
            <w:r>
              <w:t xml:space="preserve">Institución de educación superior con grupo de investigación reconocido por MinCiencias en calidad del aire, instrumentación o ciencia de datos</w:t>
            </w:r>
          </w:p>
        </w:tc>
        <w:tc>
          <w:tcPr/>
          <w:p>
            <w:pPr>
              <w:pStyle w:val="Tabla9"/>
              <w:jc w:val="left"/>
            </w:pPr>
            <w:r>
              <w:t xml:space="preserve">Cooperante: formula y ejecuta</w:t>
            </w:r>
          </w:p>
        </w:tc>
        <w:tc>
          <w:tcPr/>
          <w:p>
            <w:pPr>
              <w:pStyle w:val="Tabla9"/>
              <w:jc w:val="left"/>
            </w:pPr>
            <w:r>
              <w:t xml:space="preserve">VACIO</w:t>
            </w:r>
          </w:p>
        </w:tc>
      </w:tr>
      <w:tr>
        <w:trPr>
          <w:cantSplit/>
        </w:trPr>
        <w:tc>
          <w:tcPr/>
          <w:p>
            <w:pPr>
              <w:pStyle w:val="Tabla9"/>
              <w:jc w:val="left"/>
            </w:pPr>
            <w:r>
              <w:t xml:space="preserve">Municipio acompañante</w:t>
            </w:r>
          </w:p>
        </w:tc>
        <w:tc>
          <w:tcPr/>
          <w:p>
            <w:pPr>
              <w:pStyle w:val="Tabla9"/>
              <w:jc w:val="left"/>
            </w:pPr>
            <w:r>
              <w:t xml:space="preserve">[DATO_USUARIO: municipio y departamento]</w:t>
            </w:r>
          </w:p>
        </w:tc>
        <w:tc>
          <w:tcPr/>
          <w:p>
            <w:pPr>
              <w:pStyle w:val="Tabla9"/>
              <w:jc w:val="left"/>
            </w:pPr>
            <w:r>
              <w:t xml:space="preserve">Municipio afectado por la emergencia, con comité de gestión del riesgo activo</w:t>
            </w:r>
          </w:p>
        </w:tc>
        <w:tc>
          <w:tcPr/>
          <w:p>
            <w:pPr>
              <w:pStyle w:val="Tabla9"/>
              <w:jc w:val="left"/>
            </w:pPr>
            <w:r>
              <w:t xml:space="preserve">Beneficiario</w:t>
            </w:r>
          </w:p>
        </w:tc>
        <w:tc>
          <w:tcPr/>
          <w:p>
            <w:pPr>
              <w:pStyle w:val="Tabla9"/>
              <w:jc w:val="left"/>
            </w:pPr>
            <w:r>
              <w:t xml:space="preserve">VACIO</w:t>
            </w:r>
          </w:p>
        </w:tc>
      </w:tr>
      <w:tr>
        <w:trPr>
          <w:cantSplit/>
        </w:trPr>
        <w:tc>
          <w:tcPr/>
          <w:p>
            <w:pPr>
              <w:pStyle w:val="Tabla9"/>
              <w:jc w:val="left"/>
            </w:pPr>
            <w:r>
              <w:t xml:space="preserve">Actor reconocido por MinCiencias</w:t>
            </w:r>
          </w:p>
        </w:tc>
        <w:tc>
          <w:tcPr/>
          <w:p>
            <w:pPr>
              <w:pStyle w:val="Tabla9"/>
              <w:jc w:val="left"/>
            </w:pPr>
            <w:r>
              <w:t xml:space="preserve">[DATO_USUARIO: centro, instituto o grupo]</w:t>
            </w:r>
          </w:p>
        </w:tc>
        <w:tc>
          <w:tcPr/>
          <w:p>
            <w:pPr>
              <w:pStyle w:val="Tabla9"/>
              <w:jc w:val="left"/>
            </w:pPr>
            <w:r>
              <w:t xml:space="preserve">Centro o instituto de CTeI, o grupo reconocido, con laboratorio o experiencia en metrología de partículas</w:t>
            </w:r>
          </w:p>
        </w:tc>
        <w:tc>
          <w:tcPr/>
          <w:p>
            <w:pPr>
              <w:pStyle w:val="Tabla9"/>
              <w:jc w:val="left"/>
            </w:pPr>
            <w:r>
              <w:t xml:space="preserve">Cooperante</w:t>
            </w:r>
          </w:p>
        </w:tc>
        <w:tc>
          <w:tcPr/>
          <w:p>
            <w:pPr>
              <w:pStyle w:val="Tabla9"/>
              <w:jc w:val="left"/>
            </w:pPr>
            <w:r>
              <w:t xml:space="preserve">VACIO</w:t>
            </w:r>
          </w:p>
        </w:tc>
      </w:tr>
      <w:tr>
        <w:trPr>
          <w:cantSplit/>
        </w:trPr>
        <w:tc>
          <w:tcPr/>
          <w:p>
            <w:pPr>
              <w:pStyle w:val="Tabla9"/>
              <w:jc w:val="left"/>
            </w:pPr>
            <w:r>
              <w:t xml:space="preserve">Empresa aliada</w:t>
            </w:r>
          </w:p>
        </w:tc>
        <w:tc>
          <w:tcPr/>
          <w:p>
            <w:pPr>
              <w:pStyle w:val="Tabla9"/>
              <w:jc w:val="left"/>
            </w:pPr>
            <w:r>
              <w:t xml:space="preserve">[DATO_USUARIO: empresa]</w:t>
            </w:r>
          </w:p>
        </w:tc>
        <w:tc>
          <w:tcPr/>
          <w:p>
            <w:pPr>
              <w:pStyle w:val="Tabla9"/>
              <w:jc w:val="left"/>
            </w:pPr>
            <w:r>
              <w:t xml:space="preserve">Empresa con capacidad en hardware IoT, plataforma en la nube e instalación en campo</w:t>
            </w:r>
          </w:p>
        </w:tc>
        <w:tc>
          <w:tcPr/>
          <w:p>
            <w:pPr>
              <w:pStyle w:val="Tabla9"/>
              <w:jc w:val="left"/>
            </w:pPr>
            <w:r>
              <w:t xml:space="preserve">Cooperante</w:t>
            </w:r>
          </w:p>
        </w:tc>
        <w:tc>
          <w:tcPr/>
          <w:p>
            <w:pPr>
              <w:pStyle w:val="Tabla9"/>
              <w:jc w:val="left"/>
            </w:pPr>
            <w:r>
              <w:t xml:space="preserve">VACIO</w:t>
            </w:r>
          </w:p>
        </w:tc>
      </w:tr>
    </w:tbl>
    <w:p>
      <w:pPr>
        <w:pStyle w:val="TablaNota"/>
      </w:pPr>
      <w:r>
        <w:rPr>
          <w:i/>
          <w:iCs/>
        </w:rPr>
        <w:t xml:space="preserve">Nota.</w:t>
      </w:r>
      <w:r>
        <w:t xml:space="preserve"> </w:t>
      </w:r>
      <w:r>
        <w:t xml:space="preserve">Elaboración propia con el Anexo 2 de la convocatoria (secciones de entidades aliadas y de análisis de participantes). Los perfiles son PROPUESTOS. Las cinco categorías de puntuación del Anexo 2 son IES, centro o instituto de CTeI, instituto del SINA, corporación autónoma regional y sociedad civil organizada.</w:t>
      </w:r>
    </w:p>
    <w:p>
      <w:pPr>
        <w:pStyle w:val="BodyText"/>
      </w:pPr>
      <w:r>
        <w:t xml:space="preserve">El Anexo 2 impone una regla que condiciona al municipio. Una misma entidad no puede ser a la vez proponente o aliada (cooperante) y beneficiaria. Por tanto, el municipio acompañante figura como beneficiario y no recibe recursos del SGR. Si aportara recursos, pasaría a cooperante y perdería su posición de beneficiario. La ficha maestra ya registra que las alcaldías no aportan contrapartida, y este documento mantiene esa decisión (DEC-F19).</w:t>
      </w:r>
    </w:p>
    <w:p>
      <w:pPr>
        <w:pStyle w:val="BodyText"/>
      </w:pPr>
      <w:r>
        <w:t xml:space="preserve">La empresa plantea una segunda verificación. Las cinco categorías de puntuación del Anexo 2 no incluyen a las empresas. Los términos de referencia deben confirmar si una empresa puede ser aliada, si puntúa y si puede ejecutar líneas del presupuesto SGR. Si no pudiera, la empresa pasaría a proveedora por contratación, y su contrapartida de 1.010 millones de COP requeriría otro vehículo.</w:t>
      </w:r>
    </w:p>
    <w:p>
      <w:pPr>
        <w:pStyle w:val="BodyText"/>
      </w:pPr>
      <w:r>
        <w:t xml:space="preserve">La selección del departamento sigue cinco criterios, que la Tabla S.4 aplica a los cuatro departamentos mencionados. El primero es obligatorio: el municipio debe figurar entre los afectados por la emergencia. Los otros cuatro desempatan. Son la sede de la Universidad, la presencia del actor y de la empresa, la capacidad del comité y el acceso logístico.</w:t>
      </w:r>
    </w:p>
    <w:p>
      <w:pPr>
        <w:pStyle w:val="TablaRotulo"/>
      </w:pPr>
      <w:bookmarkStart w:id="9004" w:name="rot_Tabla_S_4"/>
      <w:r>
        <w:rPr>
          <w:b/>
          <w:bCs/>
        </w:rPr>
        <w:t xml:space="preserve">Tabla S.4</w:t>
      </w:r>
      <w:bookmarkEnd w:id="9004"/>
    </w:p>
    <w:p>
      <w:pPr>
        <w:pStyle w:val="TablaTitulo"/>
      </w:pPr>
      <w:r>
        <w:rPr>
          <w:i/>
          <w:iCs/>
        </w:rPr>
        <w:t xml:space="preserve">Departamentos candidatos para el municipio acompañante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2376"/>
        <w:gridCol w:w="2178"/>
        <w:gridCol w:w="1650"/>
      </w:tblGrid>
      <w:tr>
        <w:trPr>
          <w:cantSplit/>
          <w:tblHeader/>
        </w:trPr>
        <w:tc>
          <w:tcPr>
            <w:shd w:val="clear" w:color="auto" w:fill="00B050"/>
          </w:tcPr>
          <w:p>
            <w:pPr>
              <w:pStyle w:val="Tabla9"/>
              <w:jc w:val="center"/>
            </w:pPr>
            <w:r>
              <w:rPr>
                <w:b/>
                <w:color w:val="FFFFFF"/>
              </w:rPr>
              <w:t xml:space="preserve">Departamento</w:t>
            </w:r>
          </w:p>
        </w:tc>
        <w:tc>
          <w:tcPr>
            <w:shd w:val="clear" w:color="auto" w:fill="00B050"/>
          </w:tcPr>
          <w:p>
            <w:pPr>
              <w:pStyle w:val="Tabla9"/>
              <w:jc w:val="center"/>
            </w:pPr>
            <w:r>
              <w:rPr>
                <w:b/>
                <w:color w:val="FFFFFF"/>
              </w:rPr>
              <w:t xml:space="preserve">Estado en la ficha maestra</w:t>
            </w:r>
          </w:p>
        </w:tc>
        <w:tc>
          <w:tcPr>
            <w:shd w:val="clear" w:color="auto" w:fill="00B050"/>
          </w:tcPr>
          <w:p>
            <w:pPr>
              <w:pStyle w:val="Tabla9"/>
              <w:jc w:val="center"/>
            </w:pPr>
            <w:r>
              <w:rPr>
                <w:b/>
                <w:color w:val="FFFFFF"/>
              </w:rPr>
              <w:t xml:space="preserve">Criterio 1: afectación declarada</w:t>
            </w:r>
          </w:p>
        </w:tc>
        <w:tc>
          <w:tcPr>
            <w:shd w:val="clear" w:color="auto" w:fill="00B050"/>
          </w:tcPr>
          <w:p>
            <w:pPr>
              <w:pStyle w:val="Tabla9"/>
              <w:jc w:val="center"/>
            </w:pPr>
            <w:r>
              <w:rPr>
                <w:b/>
                <w:color w:val="FFFFFF"/>
              </w:rPr>
              <w:t xml:space="preserve">Criterios 2 a 5</w:t>
            </w:r>
          </w:p>
        </w:tc>
      </w:tr>
      <w:tr>
        <w:trPr>
          <w:cantSplit/>
        </w:trPr>
        <w:tc>
          <w:tcPr/>
          <w:p>
            <w:pPr>
              <w:pStyle w:val="Tabla9"/>
              <w:jc w:val="left"/>
            </w:pPr>
            <w:r>
              <w:t xml:space="preserve">Caldas</w:t>
            </w:r>
          </w:p>
        </w:tc>
        <w:tc>
          <w:tcPr/>
          <w:p>
            <w:pPr>
              <w:pStyle w:val="Tabla9"/>
              <w:jc w:val="left"/>
            </w:pPr>
            <w:r>
              <w:t xml:space="preserve">Incluido: 33 nodos y 4 municipios (PROPUESTO)</w:t>
            </w:r>
          </w:p>
        </w:tc>
        <w:tc>
          <w:tcPr/>
          <w:p>
            <w:pPr>
              <w:pStyle w:val="Tabla9"/>
              <w:jc w:val="left"/>
            </w:pPr>
            <w:r>
              <w:t xml:space="preserve">VACIO: confirmar municipios en el listado de la convocatoria</w:t>
            </w:r>
          </w:p>
        </w:tc>
        <w:tc>
          <w:tcPr/>
          <w:p>
            <w:pPr>
              <w:pStyle w:val="Tabla9"/>
              <w:jc w:val="left"/>
            </w:pPr>
            <w:r>
              <w:t xml:space="preserve">VACIO: sede, actores, comité y acceso</w:t>
            </w:r>
          </w:p>
        </w:tc>
      </w:tr>
      <w:tr>
        <w:trPr>
          <w:cantSplit/>
        </w:trPr>
        <w:tc>
          <w:tcPr/>
          <w:p>
            <w:pPr>
              <w:pStyle w:val="Tabla9"/>
              <w:jc w:val="left"/>
            </w:pPr>
            <w:r>
              <w:t xml:space="preserve">Cundinamarca</w:t>
            </w:r>
          </w:p>
        </w:tc>
        <w:tc>
          <w:tcPr/>
          <w:p>
            <w:pPr>
              <w:pStyle w:val="Tabla9"/>
              <w:jc w:val="left"/>
            </w:pPr>
            <w:r>
              <w:t xml:space="preserve">Incluido: 34 nodos y 4 municipios (PROPUESTO)</w:t>
            </w:r>
          </w:p>
        </w:tc>
        <w:tc>
          <w:tcPr/>
          <w:p>
            <w:pPr>
              <w:pStyle w:val="Tabla9"/>
              <w:jc w:val="left"/>
            </w:pPr>
            <w:r>
              <w:t xml:space="preserve">VACIO: confirmar municipios en el listado de la convocatoria</w:t>
            </w:r>
          </w:p>
        </w:tc>
        <w:tc>
          <w:tcPr/>
          <w:p>
            <w:pPr>
              <w:pStyle w:val="Tabla9"/>
              <w:jc w:val="left"/>
            </w:pPr>
            <w:r>
              <w:t xml:space="preserve">VACIO: sede, actores, comité y acceso</w:t>
            </w:r>
          </w:p>
        </w:tc>
      </w:tr>
      <w:tr>
        <w:trPr>
          <w:cantSplit/>
        </w:trPr>
        <w:tc>
          <w:tcPr/>
          <w:p>
            <w:pPr>
              <w:pStyle w:val="Tabla9"/>
              <w:jc w:val="left"/>
            </w:pPr>
            <w:r>
              <w:t xml:space="preserve">Valle del Cauca</w:t>
            </w:r>
          </w:p>
        </w:tc>
        <w:tc>
          <w:tcPr/>
          <w:p>
            <w:pPr>
              <w:pStyle w:val="Tabla9"/>
              <w:jc w:val="left"/>
            </w:pPr>
            <w:r>
              <w:t xml:space="preserve">Incluido: 33 nodos y 4 municipios (PROPUESTO)</w:t>
            </w:r>
          </w:p>
        </w:tc>
        <w:tc>
          <w:tcPr/>
          <w:p>
            <w:pPr>
              <w:pStyle w:val="Tabla9"/>
              <w:jc w:val="left"/>
            </w:pPr>
            <w:r>
              <w:t xml:space="preserve">VACIO: confirmar municipios en el listado de la convocatoria</w:t>
            </w:r>
          </w:p>
        </w:tc>
        <w:tc>
          <w:tcPr/>
          <w:p>
            <w:pPr>
              <w:pStyle w:val="Tabla9"/>
              <w:jc w:val="left"/>
            </w:pPr>
            <w:r>
              <w:t xml:space="preserve">VACIO: sede, actores, comité y acceso</w:t>
            </w:r>
          </w:p>
        </w:tc>
      </w:tr>
      <w:tr>
        <w:trPr>
          <w:cantSplit/>
        </w:trPr>
        <w:tc>
          <w:tcPr/>
          <w:p>
            <w:pPr>
              <w:pStyle w:val="Tabla9"/>
              <w:jc w:val="left"/>
            </w:pPr>
            <w:r>
              <w:t xml:space="preserve">Risaralda</w:t>
            </w:r>
          </w:p>
        </w:tc>
        <w:tc>
          <w:tcPr/>
          <w:p>
            <w:pPr>
              <w:pStyle w:val="Tabla9"/>
              <w:jc w:val="left"/>
            </w:pPr>
            <w:r>
              <w:t xml:space="preserve">No incluido; lo propone el mensaje</w:t>
            </w:r>
          </w:p>
        </w:tc>
        <w:tc>
          <w:tcPr/>
          <w:p>
            <w:pPr>
              <w:pStyle w:val="Tabla9"/>
              <w:jc w:val="left"/>
            </w:pPr>
            <w:r>
              <w:t xml:space="preserve">VACIO: confirmar que figura en el ámbito territorial de la emergencia</w:t>
            </w:r>
          </w:p>
        </w:tc>
        <w:tc>
          <w:tcPr/>
          <w:p>
            <w:pPr>
              <w:pStyle w:val="Tabla9"/>
              <w:jc w:val="left"/>
            </w:pPr>
            <w:r>
              <w:t xml:space="preserve">VACIO: sede, actores, comité y acceso</w:t>
            </w:r>
          </w:p>
        </w:tc>
      </w:tr>
    </w:tbl>
    <w:p>
      <w:pPr>
        <w:pStyle w:val="TablaNota"/>
      </w:pPr>
      <w:r>
        <w:rPr>
          <w:i/>
          <w:iCs/>
        </w:rPr>
        <w:t xml:space="preserve">Nota.</w:t>
      </w:r>
      <w:r>
        <w:t xml:space="preserve"> </w:t>
      </w:r>
      <w:r>
        <w:t xml:space="preserve">Elaboración propia con la ficha maestra y el Anexo 2. El listado de municipios afectados no se aportó, por lo que ningún departamento puede puntuarse todavía.</w:t>
      </w:r>
    </w:p>
    <w:p>
      <w:pPr>
        <w:pStyle w:val="BodyText"/>
      </w:pPr>
      <w:r>
        <w:t xml:space="preserve">La recomendación es conservar el diseño de tres departamentos como base del documento. El presupuesto, las metas y las compuertas se calcularon para ese alcance. Reducirlo a un departamento obliga a recalcular nodos, comités y compuertas. El municipio acompañante se ubica en el departamento sede de la Universidad. Si la sede está en Risaralda, se verifica la declaratoria. Después se sustituye uno de los tres departamentos o se agrega Risaralda como cuarto, con el ajuste presupuestal correspondiente.</w:t>
      </w:r>
    </w:p>
    <w:bookmarkEnd w:id="30"/>
    <w:bookmarkStart w:id="31" w:name="X2e0046cf9b48ad40cfc57ff84c535ea72babd2c"/>
    <w:p>
      <w:pPr>
        <w:pStyle w:val="Heading2"/>
      </w:pPr>
      <w:r>
        <w:t xml:space="preserve">S.5 Objetivo, producto e indicador por actor</w:t>
      </w:r>
    </w:p>
    <w:p>
      <w:pPr>
        <w:pStyle w:val="FirstParagraph"/>
      </w:pPr>
      <w:r>
        <w:t xml:space="preserve">Cada actor responde por un objetivo específico y por productos verificables. La Universidad responde ante el SGR por el objetivo general. La Tabla S.5 asigna a cada actor su objetivo principal, su aporte y los indicadores del marco PERS que lo miden.</w:t>
      </w:r>
    </w:p>
    <w:p>
      <w:pPr>
        <w:pStyle w:val="TablaRotulo"/>
      </w:pPr>
      <w:bookmarkStart w:id="9005" w:name="rot_Tabla_S_5"/>
      <w:r>
        <w:rPr>
          <w:b/>
          <w:bCs/>
        </w:rPr>
        <w:t xml:space="preserve">Tabla S.5</w:t>
      </w:r>
      <w:bookmarkEnd w:id="9005"/>
    </w:p>
    <w:p>
      <w:pPr>
        <w:pStyle w:val="TablaTitulo"/>
      </w:pPr>
      <w:r>
        <w:rPr>
          <w:i/>
          <w:iCs/>
        </w:rPr>
        <w:t xml:space="preserve">Objetivo específico, aporte e indicadores por actor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2046"/>
        <w:gridCol w:w="2310"/>
        <w:gridCol w:w="1848"/>
      </w:tblGrid>
      <w:tr>
        <w:trPr>
          <w:cantSplit/>
          <w:tblHeader/>
        </w:trPr>
        <w:tc>
          <w:tcPr>
            <w:shd w:val="clear" w:color="auto" w:fill="00B050"/>
          </w:tcPr>
          <w:p>
            <w:pPr>
              <w:pStyle w:val="Tabla9"/>
              <w:jc w:val="center"/>
            </w:pPr>
            <w:r>
              <w:rPr>
                <w:b/>
                <w:color w:val="FFFFFF"/>
              </w:rPr>
              <w:t xml:space="preserve">Actor</w:t>
            </w:r>
          </w:p>
        </w:tc>
        <w:tc>
          <w:tcPr>
            <w:shd w:val="clear" w:color="auto" w:fill="00B050"/>
          </w:tcPr>
          <w:p>
            <w:pPr>
              <w:pStyle w:val="Tabla9"/>
              <w:jc w:val="center"/>
            </w:pPr>
            <w:r>
              <w:rPr>
                <w:b/>
                <w:color w:val="FFFFFF"/>
              </w:rPr>
              <w:t xml:space="preserve">Objetivo principal</w:t>
            </w:r>
          </w:p>
        </w:tc>
        <w:tc>
          <w:tcPr>
            <w:shd w:val="clear" w:color="auto" w:fill="00B050"/>
          </w:tcPr>
          <w:p>
            <w:pPr>
              <w:pStyle w:val="Tabla9"/>
              <w:jc w:val="center"/>
            </w:pPr>
            <w:r>
              <w:rPr>
                <w:b/>
                <w:color w:val="FFFFFF"/>
              </w:rPr>
              <w:t xml:space="preserve">Aporte al objetivo</w:t>
            </w:r>
          </w:p>
        </w:tc>
        <w:tc>
          <w:tcPr>
            <w:shd w:val="clear" w:color="auto" w:fill="00B050"/>
          </w:tcPr>
          <w:p>
            <w:pPr>
              <w:pStyle w:val="Tabla9"/>
              <w:jc w:val="center"/>
            </w:pPr>
            <w:r>
              <w:rPr>
                <w:b/>
                <w:color w:val="FFFFFF"/>
              </w:rPr>
              <w:t xml:space="preserve">Indicadores PERS</w:t>
            </w:r>
          </w:p>
        </w:tc>
      </w:tr>
      <w:tr>
        <w:trPr>
          <w:cantSplit/>
        </w:trPr>
        <w:tc>
          <w:tcPr/>
          <w:p>
            <w:pPr>
              <w:pStyle w:val="Tabla9"/>
              <w:jc w:val="left"/>
            </w:pPr>
            <w:r>
              <w:t xml:space="preserve">Universidad</w:t>
            </w:r>
          </w:p>
        </w:tc>
        <w:tc>
          <w:tcPr/>
          <w:p>
            <w:pPr>
              <w:pStyle w:val="Tabla9"/>
              <w:jc w:val="left"/>
            </w:pPr>
            <w:r>
              <w:t xml:space="preserve">OE1 y objetivo general</w:t>
            </w:r>
          </w:p>
        </w:tc>
        <w:tc>
          <w:tcPr/>
          <w:p>
            <w:pPr>
              <w:pStyle w:val="Tabla9"/>
              <w:jc w:val="left"/>
            </w:pPr>
            <w:r>
              <w:t xml:space="preserve">Dirige el proyecto, calibra con el banco de laboratorio, entrena y valida el modelo de corrección, publica y forma jóvenes investigadores</w:t>
            </w:r>
          </w:p>
        </w:tc>
        <w:tc>
          <w:tcPr/>
          <w:p>
            <w:pPr>
              <w:pStyle w:val="Tabla9"/>
              <w:jc w:val="left"/>
            </w:pPr>
            <w:r>
              <w:t xml:space="preserve">PERS-R02, PERS-R04, PERS-R06, PERS-P02, PERS-P03, PERS-P04</w:t>
            </w:r>
          </w:p>
        </w:tc>
      </w:tr>
      <w:tr>
        <w:trPr>
          <w:cantSplit/>
        </w:trPr>
        <w:tc>
          <w:tcPr/>
          <w:p>
            <w:pPr>
              <w:pStyle w:val="Tabla9"/>
              <w:jc w:val="left"/>
            </w:pPr>
            <w:r>
              <w:t xml:space="preserve">Actor reconocido por MinCiencias</w:t>
            </w:r>
          </w:p>
        </w:tc>
        <w:tc>
          <w:tcPr/>
          <w:p>
            <w:pPr>
              <w:pStyle w:val="Tabla9"/>
              <w:jc w:val="left"/>
            </w:pPr>
            <w:r>
              <w:t xml:space="preserve">OE1 (verificación independiente) y OE3 (formación)</w:t>
            </w:r>
          </w:p>
        </w:tc>
        <w:tc>
          <w:tcPr/>
          <w:p>
            <w:pPr>
              <w:pStyle w:val="Tabla9"/>
              <w:jc w:val="left"/>
            </w:pPr>
            <w:r>
              <w:t xml:space="preserve">Aporta referencias gravimétricas, análisis de laboratorio, ensayo de desempeño y formación de custodios</w:t>
            </w:r>
          </w:p>
        </w:tc>
        <w:tc>
          <w:tcPr/>
          <w:p>
            <w:pPr>
              <w:pStyle w:val="Tabla9"/>
              <w:jc w:val="left"/>
            </w:pPr>
            <w:r>
              <w:t xml:space="preserve">PERS-R05, PERS-E03</w:t>
            </w:r>
          </w:p>
        </w:tc>
      </w:tr>
      <w:tr>
        <w:trPr>
          <w:cantSplit/>
        </w:trPr>
        <w:tc>
          <w:tcPr/>
          <w:p>
            <w:pPr>
              <w:pStyle w:val="Tabla9"/>
              <w:jc w:val="left"/>
            </w:pPr>
            <w:r>
              <w:t xml:space="preserve">Empresa aliada</w:t>
            </w:r>
          </w:p>
        </w:tc>
        <w:tc>
          <w:tcPr/>
          <w:p>
            <w:pPr>
              <w:pStyle w:val="Tabla9"/>
              <w:jc w:val="left"/>
            </w:pPr>
            <w:r>
              <w:t xml:space="preserve">OE2</w:t>
            </w:r>
          </w:p>
        </w:tc>
        <w:tc>
          <w:tcPr/>
          <w:p>
            <w:pPr>
              <w:pStyle w:val="Tabla9"/>
              <w:jc w:val="left"/>
            </w:pPr>
            <w:r>
              <w:t xml:space="preserve">Fabrica y compra los nodos y gateways, desarrolla el firmware y la plataforma, instala la red y opera la nube</w:t>
            </w:r>
          </w:p>
        </w:tc>
        <w:tc>
          <w:tcPr/>
          <w:p>
            <w:pPr>
              <w:pStyle w:val="Tabla9"/>
              <w:jc w:val="left"/>
            </w:pPr>
            <w:r>
              <w:t xml:space="preserve">PERS-R01, PERS-R03, PERS-P01</w:t>
            </w:r>
          </w:p>
        </w:tc>
      </w:tr>
      <w:tr>
        <w:trPr>
          <w:cantSplit/>
        </w:trPr>
        <w:tc>
          <w:tcPr/>
          <w:p>
            <w:pPr>
              <w:pStyle w:val="Tabla9"/>
              <w:jc w:val="left"/>
            </w:pPr>
            <w:r>
              <w:t xml:space="preserve">Municipio acompañante</w:t>
            </w:r>
          </w:p>
        </w:tc>
        <w:tc>
          <w:tcPr/>
          <w:p>
            <w:pPr>
              <w:pStyle w:val="Tabla9"/>
              <w:jc w:val="left"/>
            </w:pPr>
            <w:r>
              <w:t xml:space="preserve">OE3</w:t>
            </w:r>
          </w:p>
        </w:tc>
        <w:tc>
          <w:tcPr/>
          <w:p>
            <w:pPr>
              <w:pStyle w:val="Tabla9"/>
              <w:jc w:val="left"/>
            </w:pPr>
            <w:r>
              <w:t xml:space="preserve">Propone sitios, gestiona permisos y acceso, co-diseña los umbrales, usa el tablero y recibe la custodia</w:t>
            </w:r>
          </w:p>
        </w:tc>
        <w:tc>
          <w:tcPr/>
          <w:p>
            <w:pPr>
              <w:pStyle w:val="Tabla9"/>
              <w:jc w:val="left"/>
            </w:pPr>
            <w:r>
              <w:t xml:space="preserve">PERS-E01, PERS-E02, PERS-S01, PERS-S02</w:t>
            </w:r>
          </w:p>
        </w:tc>
      </w:tr>
    </w:tbl>
    <w:p>
      <w:pPr>
        <w:pStyle w:val="TablaNota"/>
      </w:pPr>
      <w:r>
        <w:rPr>
          <w:i/>
          <w:iCs/>
        </w:rPr>
        <w:t xml:space="preserve">Nota.</w:t>
      </w:r>
      <w:r>
        <w:t xml:space="preserve"> </w:t>
      </w:r>
      <w:r>
        <w:t xml:space="preserve">Elaboración propia con los objetivos específicos de la ficha maestra y los 15 indicadores PERS. La asignación de indicadores a actores es PROPUESTA.</w:t>
      </w:r>
    </w:p>
    <w:bookmarkEnd w:id="31"/>
    <w:bookmarkStart w:id="32" w:name="_Toc00900010"/>
    <w:p>
      <w:pPr>
        <w:pStyle w:val="Heading2"/>
      </w:pPr>
      <w:r>
        <w:t xml:space="preserve">S.6 Actividades por actor</w:t>
      </w:r>
    </w:p>
    <w:p>
      <w:pPr>
        <w:pStyle w:val="FirstParagraph"/>
      </w:pPr>
      <w:r>
        <w:t xml:space="preserve">La Tabla S.6 asigna a cada actor un nivel de responsabilidad en las 17 actividades del cronograma. La letra A designa al actor que responde por el resultado, y la Universidad la lleva en todas las actividades por ser proponente. La letra R designa a quien ejecuta. La letra C designa a quien aporta antes de decidir, y la letra I designa a quien recibe el resultado. En las compuertas C1 y C2 decide el comité directivo y la Universidad convoca.</w:t>
      </w:r>
    </w:p>
    <w:p>
      <w:pPr>
        <w:pStyle w:val="TablaRotulo"/>
      </w:pPr>
      <w:bookmarkStart w:id="9006" w:name="rot_Tabla_S_6"/>
      <w:r>
        <w:rPr>
          <w:b/>
          <w:bCs/>
        </w:rPr>
        <w:t xml:space="preserve">Tabla S.6</w:t>
      </w:r>
      <w:bookmarkEnd w:id="9006"/>
    </w:p>
    <w:p>
      <w:pPr>
        <w:pStyle w:val="TablaTitulo"/>
      </w:pPr>
      <w:r>
        <w:rPr>
          <w:i/>
          <w:iCs/>
        </w:rPr>
        <w:t xml:space="preserve">Responsabilidad de cada actor en las 17 actividades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72"/>
        <w:gridCol w:w="792"/>
        <w:gridCol w:w="858"/>
        <w:gridCol w:w="990"/>
        <w:gridCol w:w="1122"/>
        <w:gridCol w:w="1386"/>
      </w:tblGrid>
      <w:tr>
        <w:trPr>
          <w:cantSplit/>
          <w:tblHeader/>
        </w:trPr>
        <w:tc>
          <w:tcPr>
            <w:shd w:val="clear" w:color="auto" w:fill="00B050"/>
          </w:tcPr>
          <w:p>
            <w:pPr>
              <w:pStyle w:val="Tabla9"/>
              <w:jc w:val="center"/>
            </w:pPr>
            <w:r>
              <w:rPr>
                <w:b/>
                <w:color w:val="FFFFFF"/>
              </w:rPr>
              <w:t xml:space="preserve">Actividad</w:t>
            </w:r>
          </w:p>
        </w:tc>
        <w:tc>
          <w:tcPr>
            <w:shd w:val="clear" w:color="auto" w:fill="00B050"/>
          </w:tcPr>
          <w:p>
            <w:pPr>
              <w:pStyle w:val="Tabla9"/>
              <w:jc w:val="center"/>
            </w:pPr>
            <w:r>
              <w:rPr>
                <w:b/>
                <w:color w:val="FFFFFF"/>
              </w:rPr>
              <w:t xml:space="preserve">Sem.</w:t>
            </w:r>
          </w:p>
        </w:tc>
        <w:tc>
          <w:tcPr>
            <w:shd w:val="clear" w:color="auto" w:fill="00B050"/>
          </w:tcPr>
          <w:p>
            <w:pPr>
              <w:pStyle w:val="Tabla9"/>
              <w:jc w:val="center"/>
            </w:pPr>
            <w:r>
              <w:rPr>
                <w:b/>
                <w:color w:val="FFFFFF"/>
              </w:rPr>
              <w:t xml:space="preserve">Univ.</w:t>
            </w:r>
          </w:p>
        </w:tc>
        <w:tc>
          <w:tcPr>
            <w:shd w:val="clear" w:color="auto" w:fill="00B050"/>
          </w:tcPr>
          <w:p>
            <w:pPr>
              <w:pStyle w:val="Tabla9"/>
              <w:jc w:val="center"/>
            </w:pPr>
            <w:r>
              <w:rPr>
                <w:b/>
                <w:color w:val="FFFFFF"/>
              </w:rPr>
              <w:t xml:space="preserve">Actor MinC.</w:t>
            </w:r>
          </w:p>
        </w:tc>
        <w:tc>
          <w:tcPr>
            <w:shd w:val="clear" w:color="auto" w:fill="00B050"/>
          </w:tcPr>
          <w:p>
            <w:pPr>
              <w:pStyle w:val="Tabla9"/>
              <w:jc w:val="center"/>
            </w:pPr>
            <w:r>
              <w:rPr>
                <w:b/>
                <w:color w:val="FFFFFF"/>
              </w:rPr>
              <w:t xml:space="preserve">Empresa</w:t>
            </w:r>
          </w:p>
        </w:tc>
        <w:tc>
          <w:tcPr>
            <w:shd w:val="clear" w:color="auto" w:fill="00B050"/>
          </w:tcPr>
          <w:p>
            <w:pPr>
              <w:pStyle w:val="Tabla9"/>
              <w:jc w:val="center"/>
            </w:pPr>
            <w:r>
              <w:rPr>
                <w:b/>
                <w:color w:val="FFFFFF"/>
              </w:rPr>
              <w:t xml:space="preserve">Municipio</w:t>
            </w:r>
          </w:p>
        </w:tc>
      </w:tr>
      <w:tr>
        <w:trPr>
          <w:cantSplit/>
        </w:trPr>
        <w:tc>
          <w:tcPr/>
          <w:p>
            <w:pPr>
              <w:pStyle w:val="Tabla9"/>
              <w:jc w:val="left"/>
            </w:pPr>
            <w:r>
              <w:t xml:space="preserve">A0.1 Contratar equipo y firmar convenios de ejecución</w:t>
            </w:r>
          </w:p>
        </w:tc>
        <w:tc>
          <w:tcPr/>
          <w:p>
            <w:pPr>
              <w:pStyle w:val="Tabla9"/>
              <w:jc w:val="left"/>
            </w:pPr>
            <w:r>
              <w:t xml:space="preserve">8</w:t>
            </w:r>
          </w:p>
        </w:tc>
        <w:tc>
          <w:tcPr/>
          <w:p>
            <w:pPr>
              <w:pStyle w:val="Tabla9"/>
              <w:jc w:val="left"/>
            </w:pPr>
            <w:r>
              <w:t xml:space="preserve">A/R</w:t>
            </w:r>
          </w:p>
        </w:tc>
        <w:tc>
          <w:tcPr/>
          <w:p>
            <w:pPr>
              <w:pStyle w:val="Tabla9"/>
              <w:jc w:val="left"/>
            </w:pPr>
            <w:r>
              <w:t xml:space="preserve">C</w:t>
            </w:r>
          </w:p>
        </w:tc>
        <w:tc>
          <w:tcPr/>
          <w:p>
            <w:pPr>
              <w:pStyle w:val="Tabla9"/>
              <w:jc w:val="left"/>
            </w:pPr>
            <w:r>
              <w:t xml:space="preserve">R</w:t>
            </w:r>
          </w:p>
        </w:tc>
        <w:tc>
          <w:tcPr/>
          <w:p>
            <w:pPr>
              <w:pStyle w:val="Tabla9"/>
              <w:jc w:val="left"/>
            </w:pPr>
            <w:r>
              <w:t xml:space="preserve">C</w:t>
            </w:r>
          </w:p>
        </w:tc>
      </w:tr>
      <w:tr>
        <w:trPr>
          <w:cantSplit/>
        </w:trPr>
        <w:tc>
          <w:tcPr/>
          <w:p>
            <w:pPr>
              <w:pStyle w:val="Tabla9"/>
              <w:jc w:val="left"/>
            </w:pPr>
            <w:r>
              <w:t xml:space="preserve">A1.1 Seleccionar sitios y diseñar la colocalización</w:t>
            </w:r>
          </w:p>
        </w:tc>
        <w:tc>
          <w:tcPr/>
          <w:p>
            <w:pPr>
              <w:pStyle w:val="Tabla9"/>
              <w:jc w:val="left"/>
            </w:pPr>
            <w:r>
              <w:t xml:space="preserve">4</w:t>
            </w:r>
          </w:p>
        </w:tc>
        <w:tc>
          <w:tcPr/>
          <w:p>
            <w:pPr>
              <w:pStyle w:val="Tabla9"/>
              <w:jc w:val="left"/>
            </w:pPr>
            <w:r>
              <w:t xml:space="preserve">A</w:t>
            </w:r>
          </w:p>
        </w:tc>
        <w:tc>
          <w:tcPr/>
          <w:p>
            <w:pPr>
              <w:pStyle w:val="Tabla9"/>
              <w:jc w:val="left"/>
            </w:pPr>
            <w:r>
              <w:t xml:space="preserve">R</w:t>
            </w:r>
          </w:p>
        </w:tc>
        <w:tc>
          <w:tcPr/>
          <w:p>
            <w:pPr>
              <w:pStyle w:val="Tabla9"/>
              <w:jc w:val="left"/>
            </w:pPr>
            <w:r>
              <w:t xml:space="preserve">C</w:t>
            </w:r>
          </w:p>
        </w:tc>
        <w:tc>
          <w:tcPr/>
          <w:p>
            <w:pPr>
              <w:pStyle w:val="Tabla9"/>
              <w:jc w:val="left"/>
            </w:pPr>
            <w:r>
              <w:t xml:space="preserve">R</w:t>
            </w:r>
          </w:p>
        </w:tc>
      </w:tr>
      <w:tr>
        <w:trPr>
          <w:cantSplit/>
        </w:trPr>
        <w:tc>
          <w:tcPr/>
          <w:p>
            <w:pPr>
              <w:pStyle w:val="Tabla9"/>
              <w:jc w:val="left"/>
            </w:pPr>
            <w:r>
              <w:t xml:space="preserve">A2.1 Diseñar arquitectura de enlace y energía</w:t>
            </w:r>
          </w:p>
        </w:tc>
        <w:tc>
          <w:tcPr/>
          <w:p>
            <w:pPr>
              <w:pStyle w:val="Tabla9"/>
              <w:jc w:val="left"/>
            </w:pPr>
            <w:r>
              <w:t xml:space="preserve">6</w:t>
            </w:r>
          </w:p>
        </w:tc>
        <w:tc>
          <w:tcPr/>
          <w:p>
            <w:pPr>
              <w:pStyle w:val="Tabla9"/>
              <w:jc w:val="left"/>
            </w:pPr>
            <w:r>
              <w:t xml:space="preserve">A</w:t>
            </w:r>
          </w:p>
        </w:tc>
        <w:tc>
          <w:tcPr/>
          <w:p>
            <w:pPr>
              <w:pStyle w:val="Tabla9"/>
              <w:jc w:val="left"/>
            </w:pPr>
            <w:r>
              <w:t xml:space="preserve">I</w:t>
            </w:r>
          </w:p>
        </w:tc>
        <w:tc>
          <w:tcPr/>
          <w:p>
            <w:pPr>
              <w:pStyle w:val="Tabla9"/>
              <w:jc w:val="left"/>
            </w:pPr>
            <w:r>
              <w:t xml:space="preserve">R</w:t>
            </w:r>
          </w:p>
        </w:tc>
        <w:tc>
          <w:tcPr/>
          <w:p>
            <w:pPr>
              <w:pStyle w:val="Tabla9"/>
              <w:jc w:val="left"/>
            </w:pPr>
            <w:r>
              <w:t xml:space="preserve">C</w:t>
            </w:r>
          </w:p>
        </w:tc>
      </w:tr>
      <w:tr>
        <w:trPr>
          <w:cantSplit/>
        </w:trPr>
        <w:tc>
          <w:tcPr/>
          <w:p>
            <w:pPr>
              <w:pStyle w:val="Tabla9"/>
              <w:jc w:val="left"/>
            </w:pPr>
            <w:r>
              <w:t xml:space="preserve">A1.2 Adquirir y caracterizar lote 1 de nodos y referencias</w:t>
            </w:r>
          </w:p>
        </w:tc>
        <w:tc>
          <w:tcPr/>
          <w:p>
            <w:pPr>
              <w:pStyle w:val="Tabla9"/>
              <w:jc w:val="left"/>
            </w:pPr>
            <w:r>
              <w:t xml:space="preserve">10</w:t>
            </w:r>
          </w:p>
        </w:tc>
        <w:tc>
          <w:tcPr/>
          <w:p>
            <w:pPr>
              <w:pStyle w:val="Tabla9"/>
              <w:jc w:val="left"/>
            </w:pPr>
            <w:r>
              <w:t xml:space="preserve">A</w:t>
            </w:r>
          </w:p>
        </w:tc>
        <w:tc>
          <w:tcPr/>
          <w:p>
            <w:pPr>
              <w:pStyle w:val="Tabla9"/>
              <w:jc w:val="left"/>
            </w:pPr>
            <w:r>
              <w:t xml:space="preserve">R</w:t>
            </w:r>
          </w:p>
        </w:tc>
        <w:tc>
          <w:tcPr/>
          <w:p>
            <w:pPr>
              <w:pStyle w:val="Tabla9"/>
              <w:jc w:val="left"/>
            </w:pPr>
            <w:r>
              <w:t xml:space="preserve">R</w:t>
            </w:r>
          </w:p>
        </w:tc>
        <w:tc>
          <w:tcPr/>
          <w:p>
            <w:pPr>
              <w:pStyle w:val="Tabla9"/>
              <w:jc w:val="left"/>
            </w:pPr>
            <w:r>
              <w:t xml:space="preserve">I</w:t>
            </w:r>
          </w:p>
        </w:tc>
      </w:tr>
      <w:tr>
        <w:trPr>
          <w:cantSplit/>
        </w:trPr>
        <w:tc>
          <w:tcPr/>
          <w:p>
            <w:pPr>
              <w:pStyle w:val="Tabla9"/>
              <w:jc w:val="left"/>
            </w:pPr>
            <w:r>
              <w:t xml:space="preserve">A2.2 Desarrollar firmware y plataforma base</w:t>
            </w:r>
          </w:p>
        </w:tc>
        <w:tc>
          <w:tcPr/>
          <w:p>
            <w:pPr>
              <w:pStyle w:val="Tabla9"/>
              <w:jc w:val="left"/>
            </w:pPr>
            <w:r>
              <w:t xml:space="preserve">10</w:t>
            </w:r>
          </w:p>
        </w:tc>
        <w:tc>
          <w:tcPr/>
          <w:p>
            <w:pPr>
              <w:pStyle w:val="Tabla9"/>
              <w:jc w:val="left"/>
            </w:pPr>
            <w:r>
              <w:t xml:space="preserve">A</w:t>
            </w:r>
          </w:p>
        </w:tc>
        <w:tc>
          <w:tcPr/>
          <w:p>
            <w:pPr>
              <w:pStyle w:val="Tabla9"/>
              <w:jc w:val="left"/>
            </w:pPr>
            <w:r>
              <w:t xml:space="preserve">I</w:t>
            </w:r>
          </w:p>
        </w:tc>
        <w:tc>
          <w:tcPr/>
          <w:p>
            <w:pPr>
              <w:pStyle w:val="Tabla9"/>
              <w:jc w:val="left"/>
            </w:pPr>
            <w:r>
              <w:t xml:space="preserve">R</w:t>
            </w:r>
          </w:p>
        </w:tc>
        <w:tc>
          <w:tcPr/>
          <w:p>
            <w:pPr>
              <w:pStyle w:val="Tabla9"/>
              <w:jc w:val="left"/>
            </w:pPr>
            <w:r>
              <w:t xml:space="preserve">I</w:t>
            </w:r>
          </w:p>
        </w:tc>
      </w:tr>
      <w:tr>
        <w:trPr>
          <w:cantSplit/>
        </w:trPr>
        <w:tc>
          <w:tcPr/>
          <w:p>
            <w:pPr>
              <w:pStyle w:val="Tabla9"/>
              <w:jc w:val="left"/>
            </w:pPr>
            <w:r>
              <w:t xml:space="preserve">A1.3 Colocalizar y calibrar en el piloto (tramo 1)</w:t>
            </w:r>
          </w:p>
        </w:tc>
        <w:tc>
          <w:tcPr/>
          <w:p>
            <w:pPr>
              <w:pStyle w:val="Tabla9"/>
              <w:jc w:val="left"/>
            </w:pPr>
            <w:r>
              <w:t xml:space="preserve">16</w:t>
            </w:r>
          </w:p>
        </w:tc>
        <w:tc>
          <w:tcPr/>
          <w:p>
            <w:pPr>
              <w:pStyle w:val="Tabla9"/>
              <w:jc w:val="left"/>
            </w:pPr>
            <w:r>
              <w:t xml:space="preserve">A/R</w:t>
            </w:r>
          </w:p>
        </w:tc>
        <w:tc>
          <w:tcPr/>
          <w:p>
            <w:pPr>
              <w:pStyle w:val="Tabla9"/>
              <w:jc w:val="left"/>
            </w:pPr>
            <w:r>
              <w:t xml:space="preserve">R</w:t>
            </w:r>
          </w:p>
        </w:tc>
        <w:tc>
          <w:tcPr/>
          <w:p>
            <w:pPr>
              <w:pStyle w:val="Tabla9"/>
              <w:jc w:val="left"/>
            </w:pPr>
            <w:r>
              <w:t xml:space="preserve">R</w:t>
            </w:r>
          </w:p>
        </w:tc>
        <w:tc>
          <w:tcPr/>
          <w:p>
            <w:pPr>
              <w:pStyle w:val="Tabla9"/>
              <w:jc w:val="left"/>
            </w:pPr>
            <w:r>
              <w:t xml:space="preserve">C</w:t>
            </w:r>
          </w:p>
        </w:tc>
      </w:tr>
      <w:tr>
        <w:trPr>
          <w:cantSplit/>
        </w:trPr>
        <w:tc>
          <w:tcPr/>
          <w:p>
            <w:pPr>
              <w:pStyle w:val="Tabla9"/>
              <w:jc w:val="left"/>
            </w:pPr>
            <w:r>
              <w:t xml:space="preserve">A3.1 Co-diseñar umbrales y protocolo de alerta con comités</w:t>
            </w:r>
          </w:p>
        </w:tc>
        <w:tc>
          <w:tcPr/>
          <w:p>
            <w:pPr>
              <w:pStyle w:val="Tabla9"/>
              <w:jc w:val="left"/>
            </w:pPr>
            <w:r>
              <w:t xml:space="preserve">24</w:t>
            </w:r>
          </w:p>
        </w:tc>
        <w:tc>
          <w:tcPr/>
          <w:p>
            <w:pPr>
              <w:pStyle w:val="Tabla9"/>
              <w:jc w:val="left"/>
            </w:pPr>
            <w:r>
              <w:t xml:space="preserve">A/R</w:t>
            </w:r>
          </w:p>
        </w:tc>
        <w:tc>
          <w:tcPr/>
          <w:p>
            <w:pPr>
              <w:pStyle w:val="Tabla9"/>
              <w:jc w:val="left"/>
            </w:pPr>
            <w:r>
              <w:t xml:space="preserve">C</w:t>
            </w:r>
          </w:p>
        </w:tc>
        <w:tc>
          <w:tcPr/>
          <w:p>
            <w:pPr>
              <w:pStyle w:val="Tabla9"/>
              <w:jc w:val="left"/>
            </w:pPr>
            <w:r>
              <w:t xml:space="preserve">C</w:t>
            </w:r>
          </w:p>
        </w:tc>
        <w:tc>
          <w:tcPr/>
          <w:p>
            <w:pPr>
              <w:pStyle w:val="Tabla9"/>
              <w:jc w:val="left"/>
            </w:pPr>
            <w:r>
              <w:t xml:space="preserve">R</w:t>
            </w:r>
          </w:p>
        </w:tc>
      </w:tr>
      <w:tr>
        <w:trPr>
          <w:cantSplit/>
        </w:trPr>
        <w:tc>
          <w:tcPr/>
          <w:p>
            <w:pPr>
              <w:pStyle w:val="Tabla9"/>
              <w:jc w:val="left"/>
            </w:pPr>
            <w:r>
              <w:t xml:space="preserve">A1.4 Entrenar y validar el modelo de corrección</w:t>
            </w:r>
          </w:p>
        </w:tc>
        <w:tc>
          <w:tcPr/>
          <w:p>
            <w:pPr>
              <w:pStyle w:val="Tabla9"/>
              <w:jc w:val="left"/>
            </w:pPr>
            <w:r>
              <w:t xml:space="preserve">8</w:t>
            </w:r>
          </w:p>
        </w:tc>
        <w:tc>
          <w:tcPr/>
          <w:p>
            <w:pPr>
              <w:pStyle w:val="Tabla9"/>
              <w:jc w:val="left"/>
            </w:pPr>
            <w:r>
              <w:t xml:space="preserve">A/R</w:t>
            </w:r>
          </w:p>
        </w:tc>
        <w:tc>
          <w:tcPr/>
          <w:p>
            <w:pPr>
              <w:pStyle w:val="Tabla9"/>
              <w:jc w:val="left"/>
            </w:pPr>
            <w:r>
              <w:t xml:space="preserve">R</w:t>
            </w:r>
          </w:p>
        </w:tc>
        <w:tc>
          <w:tcPr/>
          <w:p>
            <w:pPr>
              <w:pStyle w:val="Tabla9"/>
              <w:jc w:val="left"/>
            </w:pPr>
            <w:r>
              <w:t xml:space="preserve">C</w:t>
            </w:r>
          </w:p>
        </w:tc>
        <w:tc>
          <w:tcPr/>
          <w:p>
            <w:pPr>
              <w:pStyle w:val="Tabla9"/>
              <w:jc w:val="left"/>
            </w:pPr>
            <w:r>
              <w:t xml:space="preserve">I</w:t>
            </w:r>
          </w:p>
        </w:tc>
      </w:tr>
      <w:tr>
        <w:trPr>
          <w:cantSplit/>
        </w:trPr>
        <w:tc>
          <w:tcPr/>
          <w:p>
            <w:pPr>
              <w:pStyle w:val="Tabla9"/>
              <w:jc w:val="left"/>
            </w:pPr>
            <w:r>
              <w:t xml:space="preserve">C1 Compuerta C1: decisión de ampliación al tramo 2</w:t>
            </w:r>
          </w:p>
        </w:tc>
        <w:tc>
          <w:tcPr/>
          <w:p>
            <w:pPr>
              <w:pStyle w:val="Tabla9"/>
              <w:jc w:val="left"/>
            </w:pPr>
            <w:r>
              <w:t xml:space="preserve">2</w:t>
            </w:r>
          </w:p>
        </w:tc>
        <w:tc>
          <w:tcPr/>
          <w:p>
            <w:pPr>
              <w:pStyle w:val="Tabla9"/>
              <w:jc w:val="left"/>
            </w:pPr>
            <w:r>
              <w:t xml:space="preserve">R</w:t>
            </w:r>
          </w:p>
        </w:tc>
        <w:tc>
          <w:tcPr/>
          <w:p>
            <w:pPr>
              <w:pStyle w:val="Tabla9"/>
              <w:jc w:val="left"/>
            </w:pPr>
            <w:r>
              <w:t xml:space="preserve">C</w:t>
            </w:r>
          </w:p>
        </w:tc>
        <w:tc>
          <w:tcPr/>
          <w:p>
            <w:pPr>
              <w:pStyle w:val="Tabla9"/>
              <w:jc w:val="left"/>
            </w:pPr>
            <w:r>
              <w:t xml:space="preserve">C</w:t>
            </w:r>
          </w:p>
        </w:tc>
        <w:tc>
          <w:tcPr/>
          <w:p>
            <w:pPr>
              <w:pStyle w:val="Tabla9"/>
              <w:jc w:val="left"/>
            </w:pPr>
            <w:r>
              <w:t xml:space="preserve">C</w:t>
            </w:r>
          </w:p>
        </w:tc>
      </w:tr>
      <w:tr>
        <w:trPr>
          <w:cantSplit/>
        </w:trPr>
        <w:tc>
          <w:tcPr/>
          <w:p>
            <w:pPr>
              <w:pStyle w:val="Tabla9"/>
              <w:jc w:val="left"/>
            </w:pPr>
            <w:r>
              <w:t xml:space="preserve">A2.3 Instalar tramo 2 (40 nodos, 4 gateways)</w:t>
            </w:r>
          </w:p>
        </w:tc>
        <w:tc>
          <w:tcPr/>
          <w:p>
            <w:pPr>
              <w:pStyle w:val="Tabla9"/>
              <w:jc w:val="left"/>
            </w:pPr>
            <w:r>
              <w:t xml:space="preserve">12</w:t>
            </w:r>
          </w:p>
        </w:tc>
        <w:tc>
          <w:tcPr/>
          <w:p>
            <w:pPr>
              <w:pStyle w:val="Tabla9"/>
              <w:jc w:val="left"/>
            </w:pPr>
            <w:r>
              <w:t xml:space="preserve">A</w:t>
            </w:r>
          </w:p>
        </w:tc>
        <w:tc>
          <w:tcPr/>
          <w:p>
            <w:pPr>
              <w:pStyle w:val="Tabla9"/>
              <w:jc w:val="left"/>
            </w:pPr>
            <w:r>
              <w:t xml:space="preserve">I</w:t>
            </w:r>
          </w:p>
        </w:tc>
        <w:tc>
          <w:tcPr/>
          <w:p>
            <w:pPr>
              <w:pStyle w:val="Tabla9"/>
              <w:jc w:val="left"/>
            </w:pPr>
            <w:r>
              <w:t xml:space="preserve">R</w:t>
            </w:r>
          </w:p>
        </w:tc>
        <w:tc>
          <w:tcPr/>
          <w:p>
            <w:pPr>
              <w:pStyle w:val="Tabla9"/>
              <w:jc w:val="left"/>
            </w:pPr>
            <w:r>
              <w:t xml:space="preserve">R</w:t>
            </w:r>
          </w:p>
        </w:tc>
      </w:tr>
      <w:tr>
        <w:trPr>
          <w:cantSplit/>
        </w:trPr>
        <w:tc>
          <w:tcPr/>
          <w:p>
            <w:pPr>
              <w:pStyle w:val="Tabla9"/>
              <w:jc w:val="left"/>
            </w:pPr>
            <w:r>
              <w:t xml:space="preserve">A1.5 Reentrenar y verificar por departamento (tramo 2)</w:t>
            </w:r>
          </w:p>
        </w:tc>
        <w:tc>
          <w:tcPr/>
          <w:p>
            <w:pPr>
              <w:pStyle w:val="Tabla9"/>
              <w:jc w:val="left"/>
            </w:pPr>
            <w:r>
              <w:t xml:space="preserve">6</w:t>
            </w:r>
          </w:p>
        </w:tc>
        <w:tc>
          <w:tcPr/>
          <w:p>
            <w:pPr>
              <w:pStyle w:val="Tabla9"/>
              <w:jc w:val="left"/>
            </w:pPr>
            <w:r>
              <w:t xml:space="preserve">A/R</w:t>
            </w:r>
          </w:p>
        </w:tc>
        <w:tc>
          <w:tcPr/>
          <w:p>
            <w:pPr>
              <w:pStyle w:val="Tabla9"/>
              <w:jc w:val="left"/>
            </w:pPr>
            <w:r>
              <w:t xml:space="preserve">R</w:t>
            </w:r>
          </w:p>
        </w:tc>
        <w:tc>
          <w:tcPr/>
          <w:p>
            <w:pPr>
              <w:pStyle w:val="Tabla9"/>
              <w:jc w:val="left"/>
            </w:pPr>
            <w:r>
              <w:t xml:space="preserve">C</w:t>
            </w:r>
          </w:p>
        </w:tc>
        <w:tc>
          <w:tcPr/>
          <w:p>
            <w:pPr>
              <w:pStyle w:val="Tabla9"/>
              <w:jc w:val="left"/>
            </w:pPr>
            <w:r>
              <w:t xml:space="preserve">I</w:t>
            </w:r>
          </w:p>
        </w:tc>
      </w:tr>
      <w:tr>
        <w:trPr>
          <w:cantSplit/>
        </w:trPr>
        <w:tc>
          <w:tcPr/>
          <w:p>
            <w:pPr>
              <w:pStyle w:val="Tabla9"/>
              <w:jc w:val="left"/>
            </w:pPr>
            <w:r>
              <w:t xml:space="preserve">A3.2 Poner en uso el tablero con los comités</w:t>
            </w:r>
          </w:p>
        </w:tc>
        <w:tc>
          <w:tcPr/>
          <w:p>
            <w:pPr>
              <w:pStyle w:val="Tabla9"/>
              <w:jc w:val="left"/>
            </w:pPr>
            <w:r>
              <w:t xml:space="preserve">12</w:t>
            </w:r>
          </w:p>
        </w:tc>
        <w:tc>
          <w:tcPr/>
          <w:p>
            <w:pPr>
              <w:pStyle w:val="Tabla9"/>
              <w:jc w:val="left"/>
            </w:pPr>
            <w:r>
              <w:t xml:space="preserve">A</w:t>
            </w:r>
          </w:p>
        </w:tc>
        <w:tc>
          <w:tcPr/>
          <w:p>
            <w:pPr>
              <w:pStyle w:val="Tabla9"/>
              <w:jc w:val="left"/>
            </w:pPr>
            <w:r>
              <w:t xml:space="preserve">C</w:t>
            </w:r>
          </w:p>
        </w:tc>
        <w:tc>
          <w:tcPr/>
          <w:p>
            <w:pPr>
              <w:pStyle w:val="Tabla9"/>
              <w:jc w:val="left"/>
            </w:pPr>
            <w:r>
              <w:t xml:space="preserve">C</w:t>
            </w:r>
          </w:p>
        </w:tc>
        <w:tc>
          <w:tcPr/>
          <w:p>
            <w:pPr>
              <w:pStyle w:val="Tabla9"/>
              <w:jc w:val="left"/>
            </w:pPr>
            <w:r>
              <w:t xml:space="preserve">R</w:t>
            </w:r>
          </w:p>
        </w:tc>
      </w:tr>
      <w:tr>
        <w:trPr>
          <w:cantSplit/>
        </w:trPr>
        <w:tc>
          <w:tcPr/>
          <w:p>
            <w:pPr>
              <w:pStyle w:val="Tabla9"/>
              <w:jc w:val="left"/>
            </w:pPr>
            <w:r>
              <w:t xml:space="preserve">C2 Compuerta C2: decisión de consolidación al tramo 3</w:t>
            </w:r>
          </w:p>
        </w:tc>
        <w:tc>
          <w:tcPr/>
          <w:p>
            <w:pPr>
              <w:pStyle w:val="Tabla9"/>
              <w:jc w:val="left"/>
            </w:pPr>
            <w:r>
              <w:t xml:space="preserve">2</w:t>
            </w:r>
          </w:p>
        </w:tc>
        <w:tc>
          <w:tcPr/>
          <w:p>
            <w:pPr>
              <w:pStyle w:val="Tabla9"/>
              <w:jc w:val="left"/>
            </w:pPr>
            <w:r>
              <w:t xml:space="preserve">R</w:t>
            </w:r>
          </w:p>
        </w:tc>
        <w:tc>
          <w:tcPr/>
          <w:p>
            <w:pPr>
              <w:pStyle w:val="Tabla9"/>
              <w:jc w:val="left"/>
            </w:pPr>
            <w:r>
              <w:t xml:space="preserve">C</w:t>
            </w:r>
          </w:p>
        </w:tc>
        <w:tc>
          <w:tcPr/>
          <w:p>
            <w:pPr>
              <w:pStyle w:val="Tabla9"/>
              <w:jc w:val="left"/>
            </w:pPr>
            <w:r>
              <w:t xml:space="preserve">C</w:t>
            </w:r>
          </w:p>
        </w:tc>
        <w:tc>
          <w:tcPr/>
          <w:p>
            <w:pPr>
              <w:pStyle w:val="Tabla9"/>
              <w:jc w:val="left"/>
            </w:pPr>
            <w:r>
              <w:t xml:space="preserve">C</w:t>
            </w:r>
          </w:p>
        </w:tc>
      </w:tr>
      <w:tr>
        <w:trPr>
          <w:cantSplit/>
        </w:trPr>
        <w:tc>
          <w:tcPr/>
          <w:p>
            <w:pPr>
              <w:pStyle w:val="Tabla9"/>
              <w:jc w:val="left"/>
            </w:pPr>
            <w:r>
              <w:t xml:space="preserve">A2.4 Instalar tramo 3 (30 nodos, 3 gateways)</w:t>
            </w:r>
          </w:p>
        </w:tc>
        <w:tc>
          <w:tcPr/>
          <w:p>
            <w:pPr>
              <w:pStyle w:val="Tabla9"/>
              <w:jc w:val="left"/>
            </w:pPr>
            <w:r>
              <w:t xml:space="preserve">12</w:t>
            </w:r>
          </w:p>
        </w:tc>
        <w:tc>
          <w:tcPr/>
          <w:p>
            <w:pPr>
              <w:pStyle w:val="Tabla9"/>
              <w:jc w:val="left"/>
            </w:pPr>
            <w:r>
              <w:t xml:space="preserve">A</w:t>
            </w:r>
          </w:p>
        </w:tc>
        <w:tc>
          <w:tcPr/>
          <w:p>
            <w:pPr>
              <w:pStyle w:val="Tabla9"/>
              <w:jc w:val="left"/>
            </w:pPr>
            <w:r>
              <w:t xml:space="preserve">I</w:t>
            </w:r>
          </w:p>
        </w:tc>
        <w:tc>
          <w:tcPr/>
          <w:p>
            <w:pPr>
              <w:pStyle w:val="Tabla9"/>
              <w:jc w:val="left"/>
            </w:pPr>
            <w:r>
              <w:t xml:space="preserve">R</w:t>
            </w:r>
          </w:p>
        </w:tc>
        <w:tc>
          <w:tcPr/>
          <w:p>
            <w:pPr>
              <w:pStyle w:val="Tabla9"/>
              <w:jc w:val="left"/>
            </w:pPr>
            <w:r>
              <w:t xml:space="preserve">R</w:t>
            </w:r>
          </w:p>
        </w:tc>
      </w:tr>
      <w:tr>
        <w:trPr>
          <w:cantSplit/>
        </w:trPr>
        <w:tc>
          <w:tcPr/>
          <w:p>
            <w:pPr>
              <w:pStyle w:val="Tabla9"/>
              <w:jc w:val="left"/>
            </w:pPr>
            <w:r>
              <w:t xml:space="preserve">A3.3 Formar custodios y firmar convenios por tramo</w:t>
            </w:r>
          </w:p>
        </w:tc>
        <w:tc>
          <w:tcPr/>
          <w:p>
            <w:pPr>
              <w:pStyle w:val="Tabla9"/>
              <w:jc w:val="left"/>
            </w:pPr>
            <w:r>
              <w:t xml:space="preserve">16</w:t>
            </w:r>
          </w:p>
        </w:tc>
        <w:tc>
          <w:tcPr/>
          <w:p>
            <w:pPr>
              <w:pStyle w:val="Tabla9"/>
              <w:jc w:val="left"/>
            </w:pPr>
            <w:r>
              <w:t xml:space="preserve">A</w:t>
            </w:r>
          </w:p>
        </w:tc>
        <w:tc>
          <w:tcPr/>
          <w:p>
            <w:pPr>
              <w:pStyle w:val="Tabla9"/>
              <w:jc w:val="left"/>
            </w:pPr>
            <w:r>
              <w:t xml:space="preserve">R</w:t>
            </w:r>
          </w:p>
        </w:tc>
        <w:tc>
          <w:tcPr/>
          <w:p>
            <w:pPr>
              <w:pStyle w:val="Tabla9"/>
              <w:jc w:val="left"/>
            </w:pPr>
            <w:r>
              <w:t xml:space="preserve">C</w:t>
            </w:r>
          </w:p>
        </w:tc>
        <w:tc>
          <w:tcPr/>
          <w:p>
            <w:pPr>
              <w:pStyle w:val="Tabla9"/>
              <w:jc w:val="left"/>
            </w:pPr>
            <w:r>
              <w:t xml:space="preserve">R</w:t>
            </w:r>
          </w:p>
        </w:tc>
      </w:tr>
      <w:tr>
        <w:trPr>
          <w:cantSplit/>
        </w:trPr>
        <w:tc>
          <w:tcPr/>
          <w:p>
            <w:pPr>
              <w:pStyle w:val="Tabla9"/>
              <w:jc w:val="left"/>
            </w:pPr>
            <w:r>
              <w:t xml:space="preserve">A1.6 Verificar desempeño final y ensayo independiente</w:t>
            </w:r>
          </w:p>
        </w:tc>
        <w:tc>
          <w:tcPr/>
          <w:p>
            <w:pPr>
              <w:pStyle w:val="Tabla9"/>
              <w:jc w:val="left"/>
            </w:pPr>
            <w:r>
              <w:t xml:space="preserve">16</w:t>
            </w:r>
          </w:p>
        </w:tc>
        <w:tc>
          <w:tcPr/>
          <w:p>
            <w:pPr>
              <w:pStyle w:val="Tabla9"/>
              <w:jc w:val="left"/>
            </w:pPr>
            <w:r>
              <w:t xml:space="preserve">A</w:t>
            </w:r>
          </w:p>
        </w:tc>
        <w:tc>
          <w:tcPr/>
          <w:p>
            <w:pPr>
              <w:pStyle w:val="Tabla9"/>
              <w:jc w:val="left"/>
            </w:pPr>
            <w:r>
              <w:t xml:space="preserve">R</w:t>
            </w:r>
          </w:p>
        </w:tc>
        <w:tc>
          <w:tcPr/>
          <w:p>
            <w:pPr>
              <w:pStyle w:val="Tabla9"/>
              <w:jc w:val="left"/>
            </w:pPr>
            <w:r>
              <w:t xml:space="preserve">C</w:t>
            </w:r>
          </w:p>
        </w:tc>
        <w:tc>
          <w:tcPr/>
          <w:p>
            <w:pPr>
              <w:pStyle w:val="Tabla9"/>
              <w:jc w:val="left"/>
            </w:pPr>
            <w:r>
              <w:t xml:space="preserve">I</w:t>
            </w:r>
          </w:p>
        </w:tc>
      </w:tr>
      <w:tr>
        <w:trPr>
          <w:cantSplit/>
        </w:trPr>
        <w:tc>
          <w:tcPr/>
          <w:p>
            <w:pPr>
              <w:pStyle w:val="Tabla9"/>
              <w:jc w:val="left"/>
            </w:pPr>
            <w:r>
              <w:t xml:space="preserve">A3.4 Transferir, cerrar y evaluar</w:t>
            </w:r>
          </w:p>
        </w:tc>
        <w:tc>
          <w:tcPr/>
          <w:p>
            <w:pPr>
              <w:pStyle w:val="Tabla9"/>
              <w:jc w:val="left"/>
            </w:pPr>
            <w:r>
              <w:t xml:space="preserve">6</w:t>
            </w:r>
          </w:p>
        </w:tc>
        <w:tc>
          <w:tcPr/>
          <w:p>
            <w:pPr>
              <w:pStyle w:val="Tabla9"/>
              <w:jc w:val="left"/>
            </w:pPr>
            <w:r>
              <w:t xml:space="preserve">A/R</w:t>
            </w:r>
          </w:p>
        </w:tc>
        <w:tc>
          <w:tcPr/>
          <w:p>
            <w:pPr>
              <w:pStyle w:val="Tabla9"/>
              <w:jc w:val="left"/>
            </w:pPr>
            <w:r>
              <w:t xml:space="preserve">R</w:t>
            </w:r>
          </w:p>
        </w:tc>
        <w:tc>
          <w:tcPr/>
          <w:p>
            <w:pPr>
              <w:pStyle w:val="Tabla9"/>
              <w:jc w:val="left"/>
            </w:pPr>
            <w:r>
              <w:t xml:space="preserve">R</w:t>
            </w:r>
          </w:p>
        </w:tc>
        <w:tc>
          <w:tcPr/>
          <w:p>
            <w:pPr>
              <w:pStyle w:val="Tabla9"/>
              <w:jc w:val="left"/>
            </w:pPr>
            <w:r>
              <w:t xml:space="preserve">R</w:t>
            </w:r>
          </w:p>
        </w:tc>
      </w:tr>
    </w:tbl>
    <w:p>
      <w:pPr>
        <w:pStyle w:val="TablaNota"/>
      </w:pPr>
      <w:r>
        <w:rPr>
          <w:i/>
          <w:iCs/>
        </w:rPr>
        <w:t xml:space="preserve">Nota.</w:t>
      </w:r>
      <w:r>
        <w:t xml:space="preserve"> </w:t>
      </w:r>
      <w:r>
        <w:t xml:space="preserve">Elaboración propia con el cronograma de la ficha maestra (duración en semanas). A: aprueba y responde; R: ejecuta; C: consultado; I: informado. La asignación es PROPUESTA y se ratifica en la reunión con la Universidad. Univ.: Universidad. Actor MinC.: actor reconocido por MinCiencias.</w:t>
      </w:r>
    </w:p>
    <w:p>
      <w:pPr>
        <w:pStyle w:val="BodyText"/>
      </w:pPr>
      <w:r>
        <w:t xml:space="preserve">La Tabla S.7 traduce la matriz en lo que hace cada actor y en lo que entrega. Esa descripción es la que MinCiencias evaluará con mayor detalle, según el mensaje. Cada entregable tiene un hito de verificación en el cronograma del proyecto.</w:t>
      </w:r>
    </w:p>
    <w:p>
      <w:pPr>
        <w:pStyle w:val="TablaRotulo"/>
      </w:pPr>
      <w:bookmarkStart w:id="9007" w:name="rot_Tabla_S_7"/>
      <w:r>
        <w:rPr>
          <w:b/>
          <w:bCs/>
        </w:rPr>
        <w:t xml:space="preserve">Tabla S.7</w:t>
      </w:r>
      <w:bookmarkEnd w:id="9007"/>
    </w:p>
    <w:p>
      <w:pPr>
        <w:pStyle w:val="TablaTitulo"/>
      </w:pPr>
      <w:r>
        <w:rPr>
          <w:i/>
          <w:iCs/>
        </w:rPr>
        <w:t xml:space="preserve">Qué ejecuta y qué entrega cada actor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80"/>
        <w:gridCol w:w="2970"/>
        <w:gridCol w:w="2970"/>
      </w:tblGrid>
      <w:tr>
        <w:trPr>
          <w:cantSplit/>
          <w:tblHeader/>
        </w:trPr>
        <w:tc>
          <w:tcPr>
            <w:shd w:val="clear" w:color="auto" w:fill="00B050"/>
          </w:tcPr>
          <w:p>
            <w:pPr>
              <w:pStyle w:val="Tabla9"/>
              <w:jc w:val="center"/>
            </w:pPr>
            <w:r>
              <w:rPr>
                <w:b/>
                <w:color w:val="FFFFFF"/>
              </w:rPr>
              <w:t xml:space="preserve">Actor</w:t>
            </w:r>
          </w:p>
        </w:tc>
        <w:tc>
          <w:tcPr>
            <w:shd w:val="clear" w:color="auto" w:fill="00B050"/>
          </w:tcPr>
          <w:p>
            <w:pPr>
              <w:pStyle w:val="Tabla9"/>
              <w:jc w:val="center"/>
            </w:pPr>
            <w:r>
              <w:rPr>
                <w:b/>
                <w:color w:val="FFFFFF"/>
              </w:rPr>
              <w:t xml:space="preserve">Actividades que ejecuta</w:t>
            </w:r>
          </w:p>
        </w:tc>
        <w:tc>
          <w:tcPr>
            <w:shd w:val="clear" w:color="auto" w:fill="00B050"/>
          </w:tcPr>
          <w:p>
            <w:pPr>
              <w:pStyle w:val="Tabla9"/>
              <w:jc w:val="center"/>
            </w:pPr>
            <w:r>
              <w:rPr>
                <w:b/>
                <w:color w:val="FFFFFF"/>
              </w:rPr>
              <w:t xml:space="preserve">Entregables verificables</w:t>
            </w:r>
          </w:p>
        </w:tc>
      </w:tr>
      <w:tr>
        <w:trPr>
          <w:cantSplit/>
        </w:trPr>
        <w:tc>
          <w:tcPr/>
          <w:p>
            <w:pPr>
              <w:pStyle w:val="Tabla9"/>
              <w:jc w:val="left"/>
            </w:pPr>
            <w:r>
              <w:t xml:space="preserve">Universidad</w:t>
            </w:r>
          </w:p>
        </w:tc>
        <w:tc>
          <w:tcPr/>
          <w:p>
            <w:pPr>
              <w:pStyle w:val="Tabla9"/>
              <w:jc w:val="left"/>
            </w:pPr>
            <w:r>
              <w:t xml:space="preserve">Gerencia y convenios (A0.1); colocalización y calibración en el piloto (A1.3); entrenamiento y validación del modelo (A1.4 y A1.5); co-diseño de umbrales con los comités (A3.1); convocatoria de compuertas; cierre y evaluación (A3.4)</w:t>
            </w:r>
          </w:p>
        </w:tc>
        <w:tc>
          <w:tcPr/>
          <w:p>
            <w:pPr>
              <w:pStyle w:val="Tabla9"/>
              <w:jc w:val="left"/>
            </w:pPr>
            <w:r>
              <w:t xml:space="preserve">Convenios firmados; línea base de error medida; modelo validado con R² ≥ 0,70 y NRMSE ≤ 30 %; actas de compuerta; 2 artículos Q1 o Q2; informe de cierre</w:t>
            </w:r>
          </w:p>
        </w:tc>
      </w:tr>
      <w:tr>
        <w:trPr>
          <w:cantSplit/>
        </w:trPr>
        <w:tc>
          <w:tcPr/>
          <w:p>
            <w:pPr>
              <w:pStyle w:val="Tabla9"/>
              <w:jc w:val="left"/>
            </w:pPr>
            <w:r>
              <w:t xml:space="preserve">Actor reconocido por MinCiencias</w:t>
            </w:r>
          </w:p>
        </w:tc>
        <w:tc>
          <w:tcPr/>
          <w:p>
            <w:pPr>
              <w:pStyle w:val="Tabla9"/>
              <w:jc w:val="left"/>
            </w:pPr>
            <w:r>
              <w:t xml:space="preserve">Diseño de la colocalización con referencias gravimétricas (A1.1); caracterización de referencias (A1.2); verificación en cada departamento (A1.3 y A1.5); ensayo independiente de desempeño (A1.6); formación de custodios (A3.3)</w:t>
            </w:r>
          </w:p>
        </w:tc>
        <w:tc>
          <w:tcPr/>
          <w:p>
            <w:pPr>
              <w:pStyle w:val="Tabla9"/>
              <w:jc w:val="left"/>
            </w:pPr>
            <w:r>
              <w:t xml:space="preserve">Base de datos de colocalización; informe de laboratorio; informe del ensayo de desempeño; 60 personas certificadas</w:t>
            </w:r>
          </w:p>
        </w:tc>
      </w:tr>
      <w:tr>
        <w:trPr>
          <w:cantSplit/>
        </w:trPr>
        <w:tc>
          <w:tcPr/>
          <w:p>
            <w:pPr>
              <w:pStyle w:val="Tabla9"/>
              <w:jc w:val="left"/>
            </w:pPr>
            <w:r>
              <w:t xml:space="preserve">Empresa aliada</w:t>
            </w:r>
          </w:p>
        </w:tc>
        <w:tc>
          <w:tcPr/>
          <w:p>
            <w:pPr>
              <w:pStyle w:val="Tabla9"/>
              <w:jc w:val="left"/>
            </w:pPr>
            <w:r>
              <w:t xml:space="preserve">Arquitectura de enlace y energía (A2.1); firmware y plataforma (A2.2); adquisición de nodos (A1.2); instalación de los tramos 2 y 3 (A2.3 y A2.4); operación de la nube y del gemelo digital</w:t>
            </w:r>
          </w:p>
        </w:tc>
        <w:tc>
          <w:tcPr/>
          <w:p>
            <w:pPr>
              <w:pStyle w:val="Tabla9"/>
              <w:jc w:val="left"/>
            </w:pPr>
            <w:r>
              <w:t xml:space="preserve">Diseño de enlace y energía; plataforma operativa; 100 nodos y 10 gateways instalados; disponibilidad de nodos ≥ 90 %; software registrado</w:t>
            </w:r>
          </w:p>
        </w:tc>
      </w:tr>
      <w:tr>
        <w:trPr>
          <w:cantSplit/>
        </w:trPr>
        <w:tc>
          <w:tcPr/>
          <w:p>
            <w:pPr>
              <w:pStyle w:val="Tabla9"/>
              <w:jc w:val="left"/>
            </w:pPr>
            <w:r>
              <w:t xml:space="preserve">Municipio acompañante</w:t>
            </w:r>
          </w:p>
        </w:tc>
        <w:tc>
          <w:tcPr/>
          <w:p>
            <w:pPr>
              <w:pStyle w:val="Tabla9"/>
              <w:jc w:val="left"/>
            </w:pPr>
            <w:r>
              <w:t xml:space="preserve">Propuesta de sitios y permisos (A1.1); acceso y seguridad de los sitios (A2.3 y A2.4); co-diseño de umbrales (A3.1); uso del tablero (A3.2); convenio de custodia (A3.3 y A3.4)</w:t>
            </w:r>
          </w:p>
        </w:tc>
        <w:tc>
          <w:tcPr/>
          <w:p>
            <w:pPr>
              <w:pStyle w:val="Tabla9"/>
              <w:jc w:val="left"/>
            </w:pPr>
            <w:r>
              <w:t xml:space="preserve">Listado de sitios autorizados; actas de uso del tablero en decisiones; convenio de custodia firmado</w:t>
            </w:r>
          </w:p>
        </w:tc>
      </w:tr>
    </w:tbl>
    <w:p>
      <w:pPr>
        <w:pStyle w:val="TablaNota"/>
      </w:pPr>
      <w:r>
        <w:rPr>
          <w:i/>
          <w:iCs/>
        </w:rPr>
        <w:t xml:space="preserve">Nota.</w:t>
      </w:r>
      <w:r>
        <w:t xml:space="preserve"> </w:t>
      </w:r>
      <w:r>
        <w:t xml:space="preserve">Elaboración propia con la matriz de la Tabla S.6 y los indicadores PERS de la ficha maestra. La operación de la nube y del gemelo digital se ejecuta durante los 24 meses en las líneas del presupuesto de la empresa.</w:t>
      </w:r>
    </w:p>
    <w:bookmarkEnd w:id="32"/>
    <w:bookmarkStart w:id="33" w:name="_Toc00900011"/>
    <w:p>
      <w:pPr>
        <w:pStyle w:val="Heading2"/>
      </w:pPr>
      <w:r>
        <w:t xml:space="preserve">S.7 Presupuesto por actor</w:t>
      </w:r>
    </w:p>
    <w:p>
      <w:pPr>
        <w:pStyle w:val="FirstParagraph"/>
      </w:pPr>
      <w:r>
        <w:t xml:space="preserve">El mensaje pide verificar el presupuesto sobre las actividades de cada organización. Para ello, cada una de las 54 líneas del presupuesto SGR se asignó al actor que la ejecuta técnicamente. La Tabla S.8 muestra el resultado por rubro y la Tabla S.9 resume el total y la contrapartida. La asignación por línea se encuentra en la Tabla S.10.</w:t>
      </w:r>
    </w:p>
    <w:p>
      <w:pPr>
        <w:pStyle w:val="TablaRotulo"/>
      </w:pPr>
      <w:bookmarkStart w:id="9008" w:name="rot_Tabla_S_8"/>
      <w:r>
        <w:rPr>
          <w:b/>
          <w:bCs/>
        </w:rPr>
        <w:t xml:space="preserve">Tabla S.8</w:t>
      </w:r>
      <w:bookmarkEnd w:id="9008"/>
    </w:p>
    <w:p>
      <w:pPr>
        <w:pStyle w:val="TablaTitulo"/>
      </w:pPr>
      <w:r>
        <w:rPr>
          <w:i/>
          <w:iCs/>
        </w:rPr>
        <w:t xml:space="preserve">Presupuesto SGR por actor y por rubro (millones de COP)</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78"/>
        <w:gridCol w:w="916"/>
        <w:gridCol w:w="850"/>
        <w:gridCol w:w="1047"/>
        <w:gridCol w:w="981"/>
        <w:gridCol w:w="720"/>
        <w:gridCol w:w="654"/>
        <w:gridCol w:w="785"/>
        <w:gridCol w:w="785"/>
      </w:tblGrid>
      <w:tr>
        <w:trPr>
          <w:cantSplit/>
          <w:tblHeader/>
        </w:trPr>
        <w:tc>
          <w:tcPr>
            <w:shd w:val="clear" w:color="auto" w:fill="00B050"/>
          </w:tcPr>
          <w:p>
            <w:pPr>
              <w:pStyle w:val="Tabla8"/>
              <w:jc w:val="center"/>
            </w:pPr>
            <w:r>
              <w:rPr>
                <w:b/>
                <w:color w:val="FFFFFF"/>
              </w:rPr>
              <w:t xml:space="preserve">Actor</w:t>
            </w:r>
          </w:p>
        </w:tc>
        <w:tc>
          <w:tcPr>
            <w:shd w:val="clear" w:color="auto" w:fill="00B050"/>
          </w:tcPr>
          <w:p>
            <w:pPr>
              <w:pStyle w:val="Tabla8"/>
              <w:jc w:val="center"/>
            </w:pPr>
            <w:r>
              <w:rPr>
                <w:b/>
                <w:color w:val="FFFFFF"/>
              </w:rPr>
              <w:t xml:space="preserve">Personal</w:t>
            </w:r>
          </w:p>
        </w:tc>
        <w:tc>
          <w:tcPr>
            <w:shd w:val="clear" w:color="auto" w:fill="00B050"/>
          </w:tcPr>
          <w:p>
            <w:pPr>
              <w:pStyle w:val="Tabla8"/>
              <w:jc w:val="center"/>
            </w:pPr>
            <w:r>
              <w:rPr>
                <w:b/>
                <w:color w:val="FFFFFF"/>
              </w:rPr>
              <w:t xml:space="preserve">Equipos y software</w:t>
            </w:r>
          </w:p>
        </w:tc>
        <w:tc>
          <w:tcPr>
            <w:shd w:val="clear" w:color="auto" w:fill="00B050"/>
          </w:tcPr>
          <w:p>
            <w:pPr>
              <w:pStyle w:val="Tabla8"/>
              <w:jc w:val="center"/>
            </w:pPr>
            <w:r>
              <w:rPr>
                <w:b/>
                <w:color w:val="FFFFFF"/>
              </w:rPr>
              <w:t xml:space="preserve">Materiales</w:t>
            </w:r>
          </w:p>
        </w:tc>
        <w:tc>
          <w:tcPr>
            <w:shd w:val="clear" w:color="auto" w:fill="00B050"/>
          </w:tcPr>
          <w:p>
            <w:pPr>
              <w:pStyle w:val="Tabla8"/>
              <w:jc w:val="center"/>
            </w:pPr>
            <w:r>
              <w:rPr>
                <w:b/>
                <w:color w:val="FFFFFF"/>
              </w:rPr>
              <w:t xml:space="preserve">Servicios técnicos</w:t>
            </w:r>
          </w:p>
        </w:tc>
        <w:tc>
          <w:tcPr>
            <w:shd w:val="clear" w:color="auto" w:fill="00B050"/>
          </w:tcPr>
          <w:p>
            <w:pPr>
              <w:pStyle w:val="Tabla8"/>
              <w:jc w:val="center"/>
            </w:pPr>
            <w:r>
              <w:rPr>
                <w:b/>
                <w:color w:val="FFFFFF"/>
              </w:rPr>
              <w:t xml:space="preserve">Viajes</w:t>
            </w:r>
          </w:p>
        </w:tc>
        <w:tc>
          <w:tcPr>
            <w:shd w:val="clear" w:color="auto" w:fill="00B050"/>
          </w:tcPr>
          <w:p>
            <w:pPr>
              <w:pStyle w:val="Tabla8"/>
              <w:jc w:val="center"/>
            </w:pPr>
            <w:r>
              <w:rPr>
                <w:b/>
                <w:color w:val="FFFFFF"/>
              </w:rPr>
              <w:t xml:space="preserve">Otros</w:t>
            </w:r>
          </w:p>
        </w:tc>
        <w:tc>
          <w:tcPr>
            <w:shd w:val="clear" w:color="auto" w:fill="00B050"/>
          </w:tcPr>
          <w:p>
            <w:pPr>
              <w:pStyle w:val="Tabla8"/>
              <w:jc w:val="center"/>
            </w:pPr>
            <w:r>
              <w:rPr>
                <w:b/>
                <w:color w:val="FFFFFF"/>
              </w:rPr>
              <w:t xml:space="preserve">Reserva</w:t>
            </w:r>
          </w:p>
        </w:tc>
        <w:tc>
          <w:tcPr>
            <w:shd w:val="clear" w:color="auto" w:fill="00B050"/>
          </w:tcPr>
          <w:p>
            <w:pPr>
              <w:pStyle w:val="Tabla8"/>
              <w:jc w:val="center"/>
            </w:pPr>
            <w:r>
              <w:rPr>
                <w:b/>
                <w:color w:val="FFFFFF"/>
              </w:rPr>
              <w:t xml:space="preserve">Total</w:t>
            </w:r>
          </w:p>
        </w:tc>
      </w:tr>
      <w:tr>
        <w:trPr>
          <w:cantSplit/>
        </w:trPr>
        <w:tc>
          <w:tcPr/>
          <w:p>
            <w:pPr>
              <w:pStyle w:val="Tabla8"/>
              <w:jc w:val="left"/>
            </w:pPr>
            <w:r>
              <w:t xml:space="preserve">Universidad</w:t>
            </w:r>
          </w:p>
        </w:tc>
        <w:tc>
          <w:tcPr/>
          <w:p>
            <w:pPr>
              <w:pStyle w:val="Tabla8"/>
              <w:jc w:val="left"/>
            </w:pPr>
            <w:r>
              <w:t xml:space="preserve">1.646,9</w:t>
            </w:r>
          </w:p>
        </w:tc>
        <w:tc>
          <w:tcPr/>
          <w:p>
            <w:pPr>
              <w:pStyle w:val="Tabla8"/>
              <w:jc w:val="left"/>
            </w:pPr>
            <w:r>
              <w:t xml:space="preserve">455,0</w:t>
            </w:r>
          </w:p>
        </w:tc>
        <w:tc>
          <w:tcPr/>
          <w:p>
            <w:pPr>
              <w:pStyle w:val="Tabla8"/>
              <w:jc w:val="left"/>
            </w:pPr>
            <w:r>
              <w:t xml:space="preserve">140,9</w:t>
            </w:r>
          </w:p>
        </w:tc>
        <w:tc>
          <w:tcPr/>
          <w:p>
            <w:pPr>
              <w:pStyle w:val="Tabla8"/>
              <w:jc w:val="left"/>
            </w:pPr>
            <w:r>
              <w:t xml:space="preserve">165,0</w:t>
            </w:r>
          </w:p>
        </w:tc>
        <w:tc>
          <w:tcPr/>
          <w:p>
            <w:pPr>
              <w:pStyle w:val="Tabla8"/>
              <w:jc w:val="left"/>
            </w:pPr>
            <w:r>
              <w:t xml:space="preserve">42,0</w:t>
            </w:r>
          </w:p>
        </w:tc>
        <w:tc>
          <w:tcPr/>
          <w:p>
            <w:pPr>
              <w:pStyle w:val="Tabla8"/>
              <w:jc w:val="left"/>
            </w:pPr>
            <w:r>
              <w:t xml:space="preserve">532,0</w:t>
            </w:r>
          </w:p>
        </w:tc>
        <w:tc>
          <w:tcPr/>
          <w:p>
            <w:pPr>
              <w:pStyle w:val="Tabla8"/>
              <w:jc w:val="left"/>
            </w:pPr>
            <w:r>
              <w:t xml:space="preserve">636,0</w:t>
            </w:r>
          </w:p>
        </w:tc>
        <w:tc>
          <w:tcPr/>
          <w:p>
            <w:pPr>
              <w:pStyle w:val="Tabla8"/>
              <w:jc w:val="left"/>
            </w:pPr>
            <w:r>
              <w:t xml:space="preserve">3.617,8</w:t>
            </w:r>
          </w:p>
        </w:tc>
      </w:tr>
      <w:tr>
        <w:trPr>
          <w:cantSplit/>
        </w:trPr>
        <w:tc>
          <w:tcPr/>
          <w:p>
            <w:pPr>
              <w:pStyle w:val="Tabla8"/>
              <w:jc w:val="left"/>
            </w:pPr>
            <w:r>
              <w:t xml:space="preserve">Actor reconocido</w:t>
            </w:r>
          </w:p>
        </w:tc>
        <w:tc>
          <w:tcPr/>
          <w:p>
            <w:pPr>
              <w:pStyle w:val="Tabla8"/>
              <w:jc w:val="left"/>
            </w:pPr>
            <w:r>
              <w:t xml:space="preserve">528,0</w:t>
            </w:r>
          </w:p>
        </w:tc>
        <w:tc>
          <w:tcPr/>
          <w:p>
            <w:pPr>
              <w:pStyle w:val="Tabla8"/>
              <w:jc w:val="left"/>
            </w:pPr>
            <w:r>
              <w:t xml:space="preserve">0,0</w:t>
            </w:r>
          </w:p>
        </w:tc>
        <w:tc>
          <w:tcPr/>
          <w:p>
            <w:pPr>
              <w:pStyle w:val="Tabla8"/>
              <w:jc w:val="left"/>
            </w:pPr>
            <w:r>
              <w:t xml:space="preserve">0,0</w:t>
            </w:r>
          </w:p>
        </w:tc>
        <w:tc>
          <w:tcPr/>
          <w:p>
            <w:pPr>
              <w:pStyle w:val="Tabla8"/>
              <w:jc w:val="left"/>
            </w:pPr>
            <w:r>
              <w:t xml:space="preserve">324,0</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c>
          <w:tcPr/>
          <w:p>
            <w:pPr>
              <w:pStyle w:val="Tabla8"/>
              <w:jc w:val="left"/>
            </w:pPr>
            <w:r>
              <w:t xml:space="preserve">852,0</w:t>
            </w:r>
          </w:p>
        </w:tc>
      </w:tr>
      <w:tr>
        <w:trPr>
          <w:cantSplit/>
        </w:trPr>
        <w:tc>
          <w:tcPr/>
          <w:p>
            <w:pPr>
              <w:pStyle w:val="Tabla8"/>
              <w:jc w:val="left"/>
            </w:pPr>
            <w:r>
              <w:t xml:space="preserve">Empresa aliada</w:t>
            </w:r>
          </w:p>
        </w:tc>
        <w:tc>
          <w:tcPr/>
          <w:p>
            <w:pPr>
              <w:pStyle w:val="Tabla8"/>
              <w:jc w:val="left"/>
            </w:pPr>
            <w:r>
              <w:t xml:space="preserve">2.208,0</w:t>
            </w:r>
          </w:p>
        </w:tc>
        <w:tc>
          <w:tcPr/>
          <w:p>
            <w:pPr>
              <w:pStyle w:val="Tabla8"/>
              <w:jc w:val="left"/>
            </w:pPr>
            <w:r>
              <w:t xml:space="preserve">1.430,6</w:t>
            </w:r>
          </w:p>
        </w:tc>
        <w:tc>
          <w:tcPr/>
          <w:p>
            <w:pPr>
              <w:pStyle w:val="Tabla8"/>
              <w:jc w:val="left"/>
            </w:pPr>
            <w:r>
              <w:t xml:space="preserve">102,0</w:t>
            </w:r>
          </w:p>
        </w:tc>
        <w:tc>
          <w:tcPr/>
          <w:p>
            <w:pPr>
              <w:pStyle w:val="Tabla8"/>
              <w:jc w:val="left"/>
            </w:pPr>
            <w:r>
              <w:t xml:space="preserve">357,0</w:t>
            </w:r>
          </w:p>
        </w:tc>
        <w:tc>
          <w:tcPr/>
          <w:p>
            <w:pPr>
              <w:pStyle w:val="Tabla8"/>
              <w:jc w:val="left"/>
            </w:pPr>
            <w:r>
              <w:t xml:space="preserve">162,5</w:t>
            </w:r>
          </w:p>
        </w:tc>
        <w:tc>
          <w:tcPr/>
          <w:p>
            <w:pPr>
              <w:pStyle w:val="Tabla8"/>
              <w:jc w:val="left"/>
            </w:pPr>
            <w:r>
              <w:t xml:space="preserve">0,0</w:t>
            </w:r>
          </w:p>
        </w:tc>
        <w:tc>
          <w:tcPr/>
          <w:p>
            <w:pPr>
              <w:pStyle w:val="Tabla8"/>
              <w:jc w:val="left"/>
            </w:pPr>
            <w:r>
              <w:t xml:space="preserve">0,0</w:t>
            </w:r>
          </w:p>
        </w:tc>
        <w:tc>
          <w:tcPr/>
          <w:p>
            <w:pPr>
              <w:pStyle w:val="Tabla8"/>
              <w:jc w:val="left"/>
            </w:pPr>
            <w:r>
              <w:t xml:space="preserve">4.260,1</w:t>
            </w:r>
          </w:p>
        </w:tc>
      </w:tr>
      <w:tr>
        <w:trPr>
          <w:cantSplit/>
        </w:trPr>
        <w:tc>
          <w:tcPr/>
          <w:p>
            <w:pPr>
              <w:pStyle w:val="Tabla8"/>
              <w:jc w:val="left"/>
            </w:pPr>
            <w:r>
              <w:t xml:space="preserve">Municipio</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r>
      <w:tr>
        <w:trPr>
          <w:cantSplit/>
        </w:trPr>
        <w:tc>
          <w:tcPr/>
          <w:p>
            <w:pPr>
              <w:pStyle w:val="Tabla8"/>
              <w:jc w:val="left"/>
            </w:pPr>
            <w:r>
              <w:t xml:space="preserve">Total SGR</w:t>
            </w:r>
          </w:p>
        </w:tc>
        <w:tc>
          <w:tcPr/>
          <w:p>
            <w:pPr>
              <w:pStyle w:val="Tabla8"/>
              <w:jc w:val="left"/>
            </w:pPr>
            <w:r>
              <w:t xml:space="preserve">4.382,9</w:t>
            </w:r>
          </w:p>
        </w:tc>
        <w:tc>
          <w:tcPr/>
          <w:p>
            <w:pPr>
              <w:pStyle w:val="Tabla8"/>
              <w:jc w:val="left"/>
            </w:pPr>
            <w:r>
              <w:t xml:space="preserve">1.885,6</w:t>
            </w:r>
          </w:p>
        </w:tc>
        <w:tc>
          <w:tcPr/>
          <w:p>
            <w:pPr>
              <w:pStyle w:val="Tabla8"/>
              <w:jc w:val="left"/>
            </w:pPr>
            <w:r>
              <w:t xml:space="preserve">242,9</w:t>
            </w:r>
          </w:p>
        </w:tc>
        <w:tc>
          <w:tcPr/>
          <w:p>
            <w:pPr>
              <w:pStyle w:val="Tabla8"/>
              <w:jc w:val="left"/>
            </w:pPr>
            <w:r>
              <w:t xml:space="preserve">846,0</w:t>
            </w:r>
          </w:p>
        </w:tc>
        <w:tc>
          <w:tcPr/>
          <w:p>
            <w:pPr>
              <w:pStyle w:val="Tabla8"/>
              <w:jc w:val="left"/>
            </w:pPr>
            <w:r>
              <w:t xml:space="preserve">204,5</w:t>
            </w:r>
          </w:p>
        </w:tc>
        <w:tc>
          <w:tcPr/>
          <w:p>
            <w:pPr>
              <w:pStyle w:val="Tabla8"/>
              <w:jc w:val="left"/>
            </w:pPr>
            <w:r>
              <w:t xml:space="preserve">532,0</w:t>
            </w:r>
          </w:p>
        </w:tc>
        <w:tc>
          <w:tcPr/>
          <w:p>
            <w:pPr>
              <w:pStyle w:val="Tabla8"/>
              <w:jc w:val="left"/>
            </w:pPr>
            <w:r>
              <w:t xml:space="preserve">636,0</w:t>
            </w:r>
          </w:p>
        </w:tc>
        <w:tc>
          <w:tcPr/>
          <w:p>
            <w:pPr>
              <w:pStyle w:val="Tabla8"/>
              <w:jc w:val="left"/>
            </w:pPr>
            <w:r>
              <w:t xml:space="preserve">8.729,8</w:t>
            </w:r>
          </w:p>
        </w:tc>
      </w:tr>
    </w:tbl>
    <w:p>
      <w:pPr>
        <w:pStyle w:val="TablaNota"/>
      </w:pPr>
      <w:r>
        <w:rPr>
          <w:i/>
          <w:iCs/>
        </w:rPr>
        <w:t xml:space="preserve">Nota.</w:t>
      </w:r>
      <w:r>
        <w:t xml:space="preserve"> </w:t>
      </w:r>
      <w:r>
        <w:t xml:space="preserve">Elaboración propia con las 54 líneas del presupuesto SGR de la ficha maestra (CALCULADO). La asignación de cada línea a un actor es PROPUESTA. El municipio no recibe recursos SGR por su posición de beneficiario.</w:t>
      </w:r>
    </w:p>
    <w:p>
      <w:pPr>
        <w:pStyle w:val="TablaRotulo"/>
      </w:pPr>
      <w:bookmarkStart w:id="9009" w:name="rot_Tabla_S_9"/>
      <w:r>
        <w:rPr>
          <w:b/>
          <w:bCs/>
        </w:rPr>
        <w:t xml:space="preserve">Tabla S.9</w:t>
      </w:r>
      <w:bookmarkEnd w:id="9009"/>
    </w:p>
    <w:p>
      <w:pPr>
        <w:pStyle w:val="TablaTitulo"/>
      </w:pPr>
      <w:r>
        <w:rPr>
          <w:i/>
          <w:iCs/>
        </w:rPr>
        <w:t xml:space="preserve">Total por actor: recursos SGR y contrapartida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636"/>
        <w:gridCol w:w="1112"/>
        <w:gridCol w:w="850"/>
        <w:gridCol w:w="1898"/>
        <w:gridCol w:w="2421"/>
      </w:tblGrid>
      <w:tr>
        <w:trPr>
          <w:cantSplit/>
          <w:tblHeader/>
        </w:trPr>
        <w:tc>
          <w:tcPr>
            <w:shd w:val="clear" w:color="auto" w:fill="00B050"/>
          </w:tcPr>
          <w:p>
            <w:pPr>
              <w:pStyle w:val="Tabla9"/>
              <w:jc w:val="center"/>
            </w:pPr>
            <w:r>
              <w:rPr>
                <w:b/>
                <w:color w:val="FFFFFF"/>
              </w:rPr>
              <w:t xml:space="preserve">Actor</w:t>
            </w:r>
          </w:p>
        </w:tc>
        <w:tc>
          <w:tcPr>
            <w:shd w:val="clear" w:color="auto" w:fill="00B050"/>
          </w:tcPr>
          <w:p>
            <w:pPr>
              <w:pStyle w:val="Tabla9"/>
              <w:jc w:val="center"/>
            </w:pPr>
            <w:r>
              <w:rPr>
                <w:b/>
                <w:color w:val="FFFFFF"/>
              </w:rPr>
              <w:t xml:space="preserve">SGR (M COP)</w:t>
            </w:r>
          </w:p>
        </w:tc>
        <w:tc>
          <w:tcPr>
            <w:shd w:val="clear" w:color="auto" w:fill="00B050"/>
          </w:tcPr>
          <w:p>
            <w:pPr>
              <w:pStyle w:val="Tabla9"/>
              <w:jc w:val="center"/>
            </w:pPr>
            <w:r>
              <w:rPr>
                <w:b/>
                <w:color w:val="FFFFFF"/>
              </w:rPr>
              <w:t xml:space="preserve">% del SGR</w:t>
            </w:r>
          </w:p>
        </w:tc>
        <w:tc>
          <w:tcPr>
            <w:shd w:val="clear" w:color="auto" w:fill="00B050"/>
          </w:tcPr>
          <w:p>
            <w:pPr>
              <w:pStyle w:val="Tabla9"/>
              <w:jc w:val="center"/>
            </w:pPr>
            <w:r>
              <w:rPr>
                <w:b/>
                <w:color w:val="FFFFFF"/>
              </w:rPr>
              <w:t xml:space="preserve">Contrapartida (M COP)</w:t>
            </w:r>
          </w:p>
        </w:tc>
        <w:tc>
          <w:tcPr>
            <w:shd w:val="clear" w:color="auto" w:fill="00B050"/>
          </w:tcPr>
          <w:p>
            <w:pPr>
              <w:pStyle w:val="Tabla9"/>
              <w:jc w:val="center"/>
            </w:pPr>
            <w:r>
              <w:rPr>
                <w:b/>
                <w:color w:val="FFFFFF"/>
              </w:rPr>
              <w:t xml:space="preserve">Naturaleza de la contrapartida</w:t>
            </w:r>
          </w:p>
        </w:tc>
      </w:tr>
      <w:tr>
        <w:trPr>
          <w:cantSplit/>
        </w:trPr>
        <w:tc>
          <w:tcPr/>
          <w:p>
            <w:pPr>
              <w:pStyle w:val="Tabla9"/>
              <w:jc w:val="left"/>
            </w:pPr>
            <w:r>
              <w:t xml:space="preserve">Universidad</w:t>
            </w:r>
          </w:p>
        </w:tc>
        <w:tc>
          <w:tcPr/>
          <w:p>
            <w:pPr>
              <w:pStyle w:val="Tabla9"/>
              <w:jc w:val="left"/>
            </w:pPr>
            <w:r>
              <w:t xml:space="preserve">3.617,8</w:t>
            </w:r>
          </w:p>
        </w:tc>
        <w:tc>
          <w:tcPr/>
          <w:p>
            <w:pPr>
              <w:pStyle w:val="Tabla9"/>
              <w:jc w:val="left"/>
            </w:pPr>
            <w:r>
              <w:t xml:space="preserve">41,4</w:t>
            </w:r>
          </w:p>
        </w:tc>
        <w:tc>
          <w:tcPr/>
          <w:p>
            <w:pPr>
              <w:pStyle w:val="Tabla9"/>
              <w:jc w:val="left"/>
            </w:pPr>
            <w:r>
              <w:t xml:space="preserve">1.100,0</w:t>
            </w:r>
          </w:p>
        </w:tc>
        <w:tc>
          <w:tcPr/>
          <w:p>
            <w:pPr>
              <w:pStyle w:val="Tabla9"/>
              <w:jc w:val="left"/>
            </w:pPr>
            <w:r>
              <w:t xml:space="preserve">En especie, 1.100 M (reconstruida)</w:t>
            </w:r>
          </w:p>
        </w:tc>
      </w:tr>
      <w:tr>
        <w:trPr>
          <w:cantSplit/>
        </w:trPr>
        <w:tc>
          <w:tcPr/>
          <w:p>
            <w:pPr>
              <w:pStyle w:val="Tabla9"/>
              <w:jc w:val="left"/>
            </w:pPr>
            <w:r>
              <w:t xml:space="preserve">Actor reconocido</w:t>
            </w:r>
          </w:p>
        </w:tc>
        <w:tc>
          <w:tcPr/>
          <w:p>
            <w:pPr>
              <w:pStyle w:val="Tabla9"/>
              <w:jc w:val="left"/>
            </w:pPr>
            <w:r>
              <w:t xml:space="preserve">852,0</w:t>
            </w:r>
          </w:p>
        </w:tc>
        <w:tc>
          <w:tcPr/>
          <w:p>
            <w:pPr>
              <w:pStyle w:val="Tabla9"/>
              <w:jc w:val="left"/>
            </w:pPr>
            <w:r>
              <w:t xml:space="preserve">9,8</w:t>
            </w:r>
          </w:p>
        </w:tc>
        <w:tc>
          <w:tcPr/>
          <w:p>
            <w:pPr>
              <w:pStyle w:val="Tabla9"/>
              <w:jc w:val="left"/>
            </w:pPr>
            <w:r>
              <w:t xml:space="preserve">0,0</w:t>
            </w:r>
          </w:p>
        </w:tc>
        <w:tc>
          <w:tcPr/>
          <w:p>
            <w:pPr>
              <w:pStyle w:val="Tabla9"/>
              <w:jc w:val="left"/>
            </w:pPr>
            <w:r>
              <w:t xml:space="preserve">VACIO: no declarada</w:t>
            </w:r>
          </w:p>
        </w:tc>
      </w:tr>
      <w:tr>
        <w:trPr>
          <w:cantSplit/>
        </w:trPr>
        <w:tc>
          <w:tcPr/>
          <w:p>
            <w:pPr>
              <w:pStyle w:val="Tabla9"/>
              <w:jc w:val="left"/>
            </w:pPr>
            <w:r>
              <w:t xml:space="preserve">Empresa aliada</w:t>
            </w:r>
          </w:p>
        </w:tc>
        <w:tc>
          <w:tcPr/>
          <w:p>
            <w:pPr>
              <w:pStyle w:val="Tabla9"/>
              <w:jc w:val="left"/>
            </w:pPr>
            <w:r>
              <w:t xml:space="preserve">4.260,1</w:t>
            </w:r>
          </w:p>
        </w:tc>
        <w:tc>
          <w:tcPr/>
          <w:p>
            <w:pPr>
              <w:pStyle w:val="Tabla9"/>
              <w:jc w:val="left"/>
            </w:pPr>
            <w:r>
              <w:t xml:space="preserve">48,8</w:t>
            </w:r>
          </w:p>
        </w:tc>
        <w:tc>
          <w:tcPr/>
          <w:p>
            <w:pPr>
              <w:pStyle w:val="Tabla9"/>
              <w:jc w:val="left"/>
            </w:pPr>
            <w:r>
              <w:t xml:space="preserve">1.010,0</w:t>
            </w:r>
          </w:p>
        </w:tc>
        <w:tc>
          <w:tcPr/>
          <w:p>
            <w:pPr>
              <w:pStyle w:val="Tabla9"/>
              <w:jc w:val="left"/>
            </w:pPr>
            <w:r>
              <w:t xml:space="preserve">210 M en efectivo y 800 M en especie (DECLARADO)</w:t>
            </w:r>
          </w:p>
        </w:tc>
      </w:tr>
      <w:tr>
        <w:trPr>
          <w:cantSplit/>
        </w:trPr>
        <w:tc>
          <w:tcPr/>
          <w:p>
            <w:pPr>
              <w:pStyle w:val="Tabla9"/>
              <w:jc w:val="left"/>
            </w:pPr>
            <w:r>
              <w:t xml:space="preserve">Municipio</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c>
          <w:tcPr/>
          <w:p>
            <w:pPr>
              <w:pStyle w:val="Tabla9"/>
              <w:jc w:val="left"/>
            </w:pPr>
            <w:r>
              <w:t xml:space="preserve">VACIO: sin aporte por regla del Anexo 2</w:t>
            </w:r>
          </w:p>
        </w:tc>
      </w:tr>
      <w:tr>
        <w:trPr>
          <w:cantSplit/>
        </w:trPr>
        <w:tc>
          <w:tcPr/>
          <w:p>
            <w:pPr>
              <w:pStyle w:val="Tabla9"/>
              <w:jc w:val="left"/>
            </w:pPr>
            <w:r>
              <w:t xml:space="preserve">Total</w:t>
            </w:r>
          </w:p>
        </w:tc>
        <w:tc>
          <w:tcPr/>
          <w:p>
            <w:pPr>
              <w:pStyle w:val="Tabla9"/>
              <w:jc w:val="left"/>
            </w:pPr>
            <w:r>
              <w:t xml:space="preserve">8.729,8</w:t>
            </w:r>
          </w:p>
        </w:tc>
        <w:tc>
          <w:tcPr/>
          <w:p>
            <w:pPr>
              <w:pStyle w:val="Tabla9"/>
              <w:jc w:val="left"/>
            </w:pPr>
            <w:r>
              <w:t xml:space="preserve">100,0</w:t>
            </w:r>
          </w:p>
        </w:tc>
        <w:tc>
          <w:tcPr/>
          <w:p>
            <w:pPr>
              <w:pStyle w:val="Tabla9"/>
              <w:jc w:val="left"/>
            </w:pPr>
            <w:r>
              <w:t xml:space="preserve">2.110,0</w:t>
            </w:r>
          </w:p>
        </w:tc>
        <w:tc>
          <w:tcPr/>
          <w:p>
            <w:pPr>
              <w:pStyle w:val="Tabla9"/>
              <w:jc w:val="left"/>
            </w:pPr>
            <w:r>
              <w:t xml:space="preserve">Certificaciones pendientes</w:t>
            </w:r>
          </w:p>
        </w:tc>
      </w:tr>
    </w:tbl>
    <w:p>
      <w:pPr>
        <w:pStyle w:val="TablaNota"/>
      </w:pPr>
      <w:r>
        <w:rPr>
          <w:i/>
          <w:iCs/>
        </w:rPr>
        <w:t xml:space="preserve">Nota.</w:t>
      </w:r>
      <w:r>
        <w:t xml:space="preserve"> </w:t>
      </w:r>
      <w:r>
        <w:t xml:space="preserve">Elaboración propia con la ficha maestra (CALCULADO). La reserva de contingencia de 636 M se asigna a la Universidad como proponente y se libera por decisión del comité directivo.</w:t>
      </w:r>
    </w:p>
    <w:p>
      <w:pPr>
        <w:pStyle w:val="TablaRotulo"/>
      </w:pPr>
      <w:bookmarkStart w:id="9010" w:name="rot_Tabla_S_10"/>
      <w:r>
        <w:rPr>
          <w:b/>
          <w:bCs/>
        </w:rPr>
        <w:t xml:space="preserve">Tabla S.10</w:t>
      </w:r>
      <w:bookmarkEnd w:id="9010"/>
    </w:p>
    <w:p>
      <w:pPr>
        <w:pStyle w:val="TablaTitulo"/>
      </w:pPr>
      <w:r>
        <w:rPr>
          <w:i/>
          <w:iCs/>
        </w:rPr>
        <w:t xml:space="preserve">Asignación de las 54 líneas del presupuesto SGR a cada actor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54"/>
        <w:gridCol w:w="2749"/>
        <w:gridCol w:w="1832"/>
        <w:gridCol w:w="1701"/>
        <w:gridCol w:w="981"/>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Concepto</w:t>
            </w:r>
          </w:p>
        </w:tc>
        <w:tc>
          <w:tcPr>
            <w:shd w:val="clear" w:color="auto" w:fill="00B050"/>
          </w:tcPr>
          <w:p>
            <w:pPr>
              <w:pStyle w:val="Tabla9"/>
              <w:jc w:val="center"/>
            </w:pPr>
            <w:r>
              <w:rPr>
                <w:b/>
                <w:color w:val="FFFFFF"/>
              </w:rPr>
              <w:t xml:space="preserve">Rubro</w:t>
            </w:r>
          </w:p>
        </w:tc>
        <w:tc>
          <w:tcPr>
            <w:shd w:val="clear" w:color="auto" w:fill="00B050"/>
          </w:tcPr>
          <w:p>
            <w:pPr>
              <w:pStyle w:val="Tabla9"/>
              <w:jc w:val="center"/>
            </w:pPr>
            <w:r>
              <w:rPr>
                <w:b/>
                <w:color w:val="FFFFFF"/>
              </w:rPr>
              <w:t xml:space="preserve">Actor</w:t>
            </w:r>
          </w:p>
        </w:tc>
        <w:tc>
          <w:tcPr>
            <w:shd w:val="clear" w:color="auto" w:fill="00B050"/>
          </w:tcPr>
          <w:p>
            <w:pPr>
              <w:pStyle w:val="Tabla9"/>
              <w:jc w:val="center"/>
            </w:pPr>
            <w:r>
              <w:rPr>
                <w:b/>
                <w:color w:val="FFFFFF"/>
              </w:rPr>
              <w:t xml:space="preserve">Valor (M COP)</w:t>
            </w:r>
          </w:p>
        </w:tc>
      </w:tr>
      <w:tr>
        <w:trPr>
          <w:cantSplit/>
        </w:trPr>
        <w:tc>
          <w:tcPr/>
          <w:p>
            <w:pPr>
              <w:pStyle w:val="Tabla9"/>
              <w:jc w:val="left"/>
            </w:pPr>
            <w:r>
              <w:t xml:space="preserve">P01</w:t>
            </w:r>
          </w:p>
        </w:tc>
        <w:tc>
          <w:tcPr/>
          <w:p>
            <w:pPr>
              <w:pStyle w:val="Tabla9"/>
              <w:jc w:val="left"/>
            </w:pPr>
            <w:r>
              <w:t xml:space="preserve">Jóvenes investigadores (6)</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144,0</w:t>
            </w:r>
          </w:p>
        </w:tc>
      </w:tr>
      <w:tr>
        <w:trPr>
          <w:cantSplit/>
        </w:trPr>
        <w:tc>
          <w:tcPr/>
          <w:p>
            <w:pPr>
              <w:pStyle w:val="Tabla9"/>
              <w:jc w:val="left"/>
            </w:pPr>
            <w:r>
              <w:t xml:space="preserve">P02</w:t>
            </w:r>
          </w:p>
        </w:tc>
        <w:tc>
          <w:tcPr/>
          <w:p>
            <w:pPr>
              <w:pStyle w:val="Tabla9"/>
              <w:jc w:val="left"/>
            </w:pPr>
            <w:r>
              <w:t xml:space="preserve">Estudiantes de maestría (2)</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304,8</w:t>
            </w:r>
          </w:p>
        </w:tc>
      </w:tr>
      <w:tr>
        <w:trPr>
          <w:cantSplit/>
        </w:trPr>
        <w:tc>
          <w:tcPr/>
          <w:p>
            <w:pPr>
              <w:pStyle w:val="Tabla9"/>
              <w:jc w:val="left"/>
            </w:pPr>
            <w:r>
              <w:t xml:space="preserve">P03</w:t>
            </w:r>
          </w:p>
        </w:tc>
        <w:tc>
          <w:tcPr/>
          <w:p>
            <w:pPr>
              <w:pStyle w:val="Tabla9"/>
              <w:jc w:val="left"/>
            </w:pPr>
            <w:r>
              <w:t xml:space="preserve">Doctor en estancia posdoctoral con perfil de ciencia de datos (1)</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310,1</w:t>
            </w:r>
          </w:p>
        </w:tc>
      </w:tr>
      <w:tr>
        <w:trPr>
          <w:cantSplit/>
        </w:trPr>
        <w:tc>
          <w:tcPr/>
          <w:p>
            <w:pPr>
              <w:pStyle w:val="Tabla9"/>
              <w:jc w:val="left"/>
            </w:pPr>
            <w:r>
              <w:t xml:space="preserve">P04</w:t>
            </w:r>
          </w:p>
        </w:tc>
        <w:tc>
          <w:tcPr/>
          <w:p>
            <w:pPr>
              <w:pStyle w:val="Tabla9"/>
              <w:jc w:val="left"/>
            </w:pPr>
            <w:r>
              <w:t xml:space="preserve">Ingenieros IoT y de campo (3)</w:t>
            </w:r>
          </w:p>
        </w:tc>
        <w:tc>
          <w:tcPr/>
          <w:p>
            <w:pPr>
              <w:pStyle w:val="Tabla9"/>
              <w:jc w:val="left"/>
            </w:pPr>
            <w:r>
              <w:t xml:space="preserve">Personal</w:t>
            </w:r>
          </w:p>
        </w:tc>
        <w:tc>
          <w:tcPr/>
          <w:p>
            <w:pPr>
              <w:pStyle w:val="Tabla9"/>
              <w:jc w:val="left"/>
            </w:pPr>
            <w:r>
              <w:t xml:space="preserve">Empresa aliada</w:t>
            </w:r>
          </w:p>
        </w:tc>
        <w:tc>
          <w:tcPr/>
          <w:p>
            <w:pPr>
              <w:pStyle w:val="Tabla9"/>
              <w:jc w:val="left"/>
            </w:pPr>
            <w:r>
              <w:t xml:space="preserve">648,0</w:t>
            </w:r>
          </w:p>
        </w:tc>
      </w:tr>
      <w:tr>
        <w:trPr>
          <w:cantSplit/>
        </w:trPr>
        <w:tc>
          <w:tcPr/>
          <w:p>
            <w:pPr>
              <w:pStyle w:val="Tabla9"/>
              <w:jc w:val="left"/>
            </w:pPr>
            <w:r>
              <w:t xml:space="preserve">P05</w:t>
            </w:r>
          </w:p>
        </w:tc>
        <w:tc>
          <w:tcPr/>
          <w:p>
            <w:pPr>
              <w:pStyle w:val="Tabla9"/>
              <w:jc w:val="left"/>
            </w:pPr>
            <w:r>
              <w:t xml:space="preserve">Coordinación de apropiación social (1)</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192,0</w:t>
            </w:r>
          </w:p>
        </w:tc>
      </w:tr>
      <w:tr>
        <w:trPr>
          <w:cantSplit/>
        </w:trPr>
        <w:tc>
          <w:tcPr/>
          <w:p>
            <w:pPr>
              <w:pStyle w:val="Tabla9"/>
              <w:jc w:val="left"/>
            </w:pPr>
            <w:r>
              <w:t xml:space="preserve">P06</w:t>
            </w:r>
          </w:p>
        </w:tc>
        <w:tc>
          <w:tcPr/>
          <w:p>
            <w:pPr>
              <w:pStyle w:val="Tabla9"/>
              <w:jc w:val="left"/>
            </w:pPr>
            <w:r>
              <w:t xml:space="preserve">Gerencia de proyecto (1)</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240,0</w:t>
            </w:r>
          </w:p>
        </w:tc>
      </w:tr>
      <w:tr>
        <w:trPr>
          <w:cantSplit/>
        </w:trPr>
        <w:tc>
          <w:tcPr/>
          <w:p>
            <w:pPr>
              <w:pStyle w:val="Tabla9"/>
              <w:jc w:val="left"/>
            </w:pPr>
            <w:r>
              <w:t xml:space="preserve">P07</w:t>
            </w:r>
          </w:p>
        </w:tc>
        <w:tc>
          <w:tcPr/>
          <w:p>
            <w:pPr>
              <w:pStyle w:val="Tabla9"/>
              <w:jc w:val="left"/>
            </w:pPr>
            <w:r>
              <w:t xml:space="preserve">Especialista en metrología y calibración (1)</w:t>
            </w:r>
          </w:p>
        </w:tc>
        <w:tc>
          <w:tcPr/>
          <w:p>
            <w:pPr>
              <w:pStyle w:val="Tabla9"/>
              <w:jc w:val="left"/>
            </w:pPr>
            <w:r>
              <w:t xml:space="preserve">Personal</w:t>
            </w:r>
          </w:p>
        </w:tc>
        <w:tc>
          <w:tcPr/>
          <w:p>
            <w:pPr>
              <w:pStyle w:val="Tabla9"/>
              <w:jc w:val="left"/>
            </w:pPr>
            <w:r>
              <w:t xml:space="preserve">Actor reconocido</w:t>
            </w:r>
          </w:p>
        </w:tc>
        <w:tc>
          <w:tcPr/>
          <w:p>
            <w:pPr>
              <w:pStyle w:val="Tabla9"/>
              <w:jc w:val="left"/>
            </w:pPr>
            <w:r>
              <w:t xml:space="preserve">288,0</w:t>
            </w:r>
          </w:p>
        </w:tc>
      </w:tr>
      <w:tr>
        <w:trPr>
          <w:cantSplit/>
        </w:trPr>
        <w:tc>
          <w:tcPr/>
          <w:p>
            <w:pPr>
              <w:pStyle w:val="Tabla9"/>
              <w:jc w:val="left"/>
            </w:pPr>
            <w:r>
              <w:t xml:space="preserve">P08</w:t>
            </w:r>
          </w:p>
        </w:tc>
        <w:tc>
          <w:tcPr/>
          <w:p>
            <w:pPr>
              <w:pStyle w:val="Tabla9"/>
              <w:jc w:val="left"/>
            </w:pPr>
            <w:r>
              <w:t xml:space="preserve">Ingenieros de software y nube (2)</w:t>
            </w:r>
          </w:p>
        </w:tc>
        <w:tc>
          <w:tcPr/>
          <w:p>
            <w:pPr>
              <w:pStyle w:val="Tabla9"/>
              <w:jc w:val="left"/>
            </w:pPr>
            <w:r>
              <w:t xml:space="preserve">Personal</w:t>
            </w:r>
          </w:p>
        </w:tc>
        <w:tc>
          <w:tcPr/>
          <w:p>
            <w:pPr>
              <w:pStyle w:val="Tabla9"/>
              <w:jc w:val="left"/>
            </w:pPr>
            <w:r>
              <w:t xml:space="preserve">Empresa aliada</w:t>
            </w:r>
          </w:p>
        </w:tc>
        <w:tc>
          <w:tcPr/>
          <w:p>
            <w:pPr>
              <w:pStyle w:val="Tabla9"/>
              <w:jc w:val="left"/>
            </w:pPr>
            <w:r>
              <w:t xml:space="preserve">456,0</w:t>
            </w:r>
          </w:p>
        </w:tc>
      </w:tr>
      <w:tr>
        <w:trPr>
          <w:cantSplit/>
        </w:trPr>
        <w:tc>
          <w:tcPr/>
          <w:p>
            <w:pPr>
              <w:pStyle w:val="Tabla9"/>
              <w:jc w:val="left"/>
            </w:pPr>
            <w:r>
              <w:t xml:space="preserve">P09</w:t>
            </w:r>
          </w:p>
        </w:tc>
        <w:tc>
          <w:tcPr/>
          <w:p>
            <w:pPr>
              <w:pStyle w:val="Tabla9"/>
              <w:jc w:val="left"/>
            </w:pPr>
            <w:r>
              <w:t xml:space="preserve">Ingeniero de firmware y energía (1)</w:t>
            </w:r>
          </w:p>
        </w:tc>
        <w:tc>
          <w:tcPr/>
          <w:p>
            <w:pPr>
              <w:pStyle w:val="Tabla9"/>
              <w:jc w:val="left"/>
            </w:pPr>
            <w:r>
              <w:t xml:space="preserve">Personal</w:t>
            </w:r>
          </w:p>
        </w:tc>
        <w:tc>
          <w:tcPr/>
          <w:p>
            <w:pPr>
              <w:pStyle w:val="Tabla9"/>
              <w:jc w:val="left"/>
            </w:pPr>
            <w:r>
              <w:t xml:space="preserve">Empresa aliada</w:t>
            </w:r>
          </w:p>
        </w:tc>
        <w:tc>
          <w:tcPr/>
          <w:p>
            <w:pPr>
              <w:pStyle w:val="Tabla9"/>
              <w:jc w:val="left"/>
            </w:pPr>
            <w:r>
              <w:t xml:space="preserve">216,0</w:t>
            </w:r>
          </w:p>
        </w:tc>
      </w:tr>
      <w:tr>
        <w:trPr>
          <w:cantSplit/>
        </w:trPr>
        <w:tc>
          <w:tcPr/>
          <w:p>
            <w:pPr>
              <w:pStyle w:val="Tabla9"/>
              <w:jc w:val="left"/>
            </w:pPr>
            <w:r>
              <w:t xml:space="preserve">P10</w:t>
            </w:r>
          </w:p>
        </w:tc>
        <w:tc>
          <w:tcPr/>
          <w:p>
            <w:pPr>
              <w:pStyle w:val="Tabla9"/>
              <w:jc w:val="left"/>
            </w:pPr>
            <w:r>
              <w:t xml:space="preserve">Técnicos de campo departamentales (6)</w:t>
            </w:r>
          </w:p>
        </w:tc>
        <w:tc>
          <w:tcPr/>
          <w:p>
            <w:pPr>
              <w:pStyle w:val="Tabla9"/>
              <w:jc w:val="left"/>
            </w:pPr>
            <w:r>
              <w:t xml:space="preserve">Personal</w:t>
            </w:r>
          </w:p>
        </w:tc>
        <w:tc>
          <w:tcPr/>
          <w:p>
            <w:pPr>
              <w:pStyle w:val="Tabla9"/>
              <w:jc w:val="left"/>
            </w:pPr>
            <w:r>
              <w:t xml:space="preserve">Empresa aliada</w:t>
            </w:r>
          </w:p>
        </w:tc>
        <w:tc>
          <w:tcPr/>
          <w:p>
            <w:pPr>
              <w:pStyle w:val="Tabla9"/>
              <w:jc w:val="left"/>
            </w:pPr>
            <w:r>
              <w:t xml:space="preserve">648,0</w:t>
            </w:r>
          </w:p>
        </w:tc>
      </w:tr>
      <w:tr>
        <w:trPr>
          <w:cantSplit/>
        </w:trPr>
        <w:tc>
          <w:tcPr/>
          <w:p>
            <w:pPr>
              <w:pStyle w:val="Tabla9"/>
              <w:jc w:val="left"/>
            </w:pPr>
            <w:r>
              <w:t xml:space="preserve">P11</w:t>
            </w:r>
          </w:p>
        </w:tc>
        <w:tc>
          <w:tcPr/>
          <w:p>
            <w:pPr>
              <w:pStyle w:val="Tabla9"/>
              <w:jc w:val="left"/>
            </w:pPr>
            <w:r>
              <w:t xml:space="preserve">Profesionales de apropiación social (2)</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288,0</w:t>
            </w:r>
          </w:p>
        </w:tc>
      </w:tr>
      <w:tr>
        <w:trPr>
          <w:cantSplit/>
        </w:trPr>
        <w:tc>
          <w:tcPr/>
          <w:p>
            <w:pPr>
              <w:pStyle w:val="Tabla9"/>
              <w:jc w:val="left"/>
            </w:pPr>
            <w:r>
              <w:t xml:space="preserve">P12</w:t>
            </w:r>
          </w:p>
        </w:tc>
        <w:tc>
          <w:tcPr/>
          <w:p>
            <w:pPr>
              <w:pStyle w:val="Tabla9"/>
              <w:jc w:val="left"/>
            </w:pPr>
            <w:r>
              <w:t xml:space="preserve">Analista de datos espaciales y gemelo digital (1)</w:t>
            </w:r>
          </w:p>
        </w:tc>
        <w:tc>
          <w:tcPr/>
          <w:p>
            <w:pPr>
              <w:pStyle w:val="Tabla9"/>
              <w:jc w:val="left"/>
            </w:pPr>
            <w:r>
              <w:t xml:space="preserve">Personal</w:t>
            </w:r>
          </w:p>
        </w:tc>
        <w:tc>
          <w:tcPr/>
          <w:p>
            <w:pPr>
              <w:pStyle w:val="Tabla9"/>
              <w:jc w:val="left"/>
            </w:pPr>
            <w:r>
              <w:t xml:space="preserve">Empresa aliada</w:t>
            </w:r>
          </w:p>
        </w:tc>
        <w:tc>
          <w:tcPr/>
          <w:p>
            <w:pPr>
              <w:pStyle w:val="Tabla9"/>
              <w:jc w:val="left"/>
            </w:pPr>
            <w:r>
              <w:t xml:space="preserve">240,0</w:t>
            </w:r>
          </w:p>
        </w:tc>
      </w:tr>
      <w:tr>
        <w:trPr>
          <w:cantSplit/>
        </w:trPr>
        <w:tc>
          <w:tcPr/>
          <w:p>
            <w:pPr>
              <w:pStyle w:val="Tabla9"/>
              <w:jc w:val="left"/>
            </w:pPr>
            <w:r>
              <w:t xml:space="preserve">P13</w:t>
            </w:r>
          </w:p>
        </w:tc>
        <w:tc>
          <w:tcPr/>
          <w:p>
            <w:pPr>
              <w:pStyle w:val="Tabla9"/>
              <w:jc w:val="left"/>
            </w:pPr>
            <w:r>
              <w:t xml:space="preserve">Profesional en calidad del aire y salud ambiental (1)</w:t>
            </w:r>
          </w:p>
        </w:tc>
        <w:tc>
          <w:tcPr/>
          <w:p>
            <w:pPr>
              <w:pStyle w:val="Tabla9"/>
              <w:jc w:val="left"/>
            </w:pPr>
            <w:r>
              <w:t xml:space="preserve">Personal</w:t>
            </w:r>
          </w:p>
        </w:tc>
        <w:tc>
          <w:tcPr/>
          <w:p>
            <w:pPr>
              <w:pStyle w:val="Tabla9"/>
              <w:jc w:val="left"/>
            </w:pPr>
            <w:r>
              <w:t xml:space="preserve">Actor reconocido</w:t>
            </w:r>
          </w:p>
        </w:tc>
        <w:tc>
          <w:tcPr/>
          <w:p>
            <w:pPr>
              <w:pStyle w:val="Tabla9"/>
              <w:jc w:val="left"/>
            </w:pPr>
            <w:r>
              <w:t xml:space="preserve">240,0</w:t>
            </w:r>
          </w:p>
        </w:tc>
      </w:tr>
      <w:tr>
        <w:trPr>
          <w:cantSplit/>
        </w:trPr>
        <w:tc>
          <w:tcPr/>
          <w:p>
            <w:pPr>
              <w:pStyle w:val="Tabla9"/>
              <w:jc w:val="left"/>
            </w:pPr>
            <w:r>
              <w:t xml:space="preserve">P14</w:t>
            </w:r>
          </w:p>
        </w:tc>
        <w:tc>
          <w:tcPr/>
          <w:p>
            <w:pPr>
              <w:pStyle w:val="Tabla9"/>
              <w:jc w:val="left"/>
            </w:pPr>
            <w:r>
              <w:t xml:space="preserve">Profesional de convenios y custodia (1)</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168,0</w:t>
            </w:r>
          </w:p>
        </w:tc>
      </w:tr>
      <w:tr>
        <w:trPr>
          <w:cantSplit/>
        </w:trPr>
        <w:tc>
          <w:tcPr/>
          <w:p>
            <w:pPr>
              <w:pStyle w:val="Tabla9"/>
              <w:jc w:val="left"/>
            </w:pPr>
            <w:r>
              <w:t xml:space="preserve">E01</w:t>
            </w:r>
          </w:p>
        </w:tc>
        <w:tc>
          <w:tcPr/>
          <w:p>
            <w:pPr>
              <w:pStyle w:val="Tabla9"/>
              <w:jc w:val="left"/>
            </w:pPr>
            <w:r>
              <w:t xml:space="preserve">Nodos IoT de medición (100 + 20 de reserva)</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540,0</w:t>
            </w:r>
          </w:p>
        </w:tc>
      </w:tr>
      <w:tr>
        <w:trPr>
          <w:cantSplit/>
        </w:trPr>
        <w:tc>
          <w:tcPr/>
          <w:p>
            <w:pPr>
              <w:pStyle w:val="Tabla9"/>
              <w:jc w:val="left"/>
            </w:pPr>
            <w:r>
              <w:t xml:space="preserve">E02</w:t>
            </w:r>
          </w:p>
        </w:tc>
        <w:tc>
          <w:tcPr/>
          <w:p>
            <w:pPr>
              <w:pStyle w:val="Tabla9"/>
              <w:jc w:val="left"/>
            </w:pPr>
            <w:r>
              <w:t xml:space="preserve">Cabezales ópticos de partículas</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180,0</w:t>
            </w:r>
          </w:p>
        </w:tc>
      </w:tr>
      <w:tr>
        <w:trPr>
          <w:cantSplit/>
        </w:trPr>
        <w:tc>
          <w:tcPr/>
          <w:p>
            <w:pPr>
              <w:pStyle w:val="Tabla9"/>
              <w:jc w:val="left"/>
            </w:pPr>
            <w:r>
              <w:t xml:space="preserve">E03</w:t>
            </w:r>
          </w:p>
        </w:tc>
        <w:tc>
          <w:tcPr/>
          <w:p>
            <w:pPr>
              <w:pStyle w:val="Tabla9"/>
              <w:jc w:val="left"/>
            </w:pPr>
            <w:r>
              <w:t xml:space="preserve">Monitores gravimétricos de referencia</w:t>
            </w:r>
          </w:p>
        </w:tc>
        <w:tc>
          <w:tcPr/>
          <w:p>
            <w:pPr>
              <w:pStyle w:val="Tabla9"/>
              <w:jc w:val="left"/>
            </w:pPr>
            <w:r>
              <w:t xml:space="preserve">Equipos y software</w:t>
            </w:r>
          </w:p>
        </w:tc>
        <w:tc>
          <w:tcPr/>
          <w:p>
            <w:pPr>
              <w:pStyle w:val="Tabla9"/>
              <w:jc w:val="left"/>
            </w:pPr>
            <w:r>
              <w:t xml:space="preserve">Universidad</w:t>
            </w:r>
          </w:p>
        </w:tc>
        <w:tc>
          <w:tcPr/>
          <w:p>
            <w:pPr>
              <w:pStyle w:val="Tabla9"/>
              <w:jc w:val="left"/>
            </w:pPr>
            <w:r>
              <w:t xml:space="preserve">255,0</w:t>
            </w:r>
          </w:p>
        </w:tc>
      </w:tr>
      <w:tr>
        <w:trPr>
          <w:cantSplit/>
        </w:trPr>
        <w:tc>
          <w:tcPr/>
          <w:p>
            <w:pPr>
              <w:pStyle w:val="Tabla9"/>
              <w:jc w:val="left"/>
            </w:pPr>
            <w:r>
              <w:t xml:space="preserve">E04</w:t>
            </w:r>
          </w:p>
        </w:tc>
        <w:tc>
          <w:tcPr/>
          <w:p>
            <w:pPr>
              <w:pStyle w:val="Tabla9"/>
              <w:jc w:val="left"/>
            </w:pPr>
            <w:r>
              <w:t xml:space="preserve">Gateways con energía solar y respaldo (10 + 1 de reserva)</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308,0</w:t>
            </w:r>
          </w:p>
        </w:tc>
      </w:tr>
      <w:tr>
        <w:trPr>
          <w:cantSplit/>
        </w:trPr>
        <w:tc>
          <w:tcPr/>
          <w:p>
            <w:pPr>
              <w:pStyle w:val="Tabla9"/>
              <w:jc w:val="left"/>
            </w:pPr>
            <w:r>
              <w:t xml:space="preserve">E05</w:t>
            </w:r>
          </w:p>
        </w:tc>
        <w:tc>
          <w:tcPr/>
          <w:p>
            <w:pPr>
              <w:pStyle w:val="Tabla9"/>
              <w:jc w:val="left"/>
            </w:pPr>
            <w:r>
              <w:t xml:space="preserve">Kits de energía solar y batería para nodos</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78,0</w:t>
            </w:r>
          </w:p>
        </w:tc>
      </w:tr>
      <w:tr>
        <w:trPr>
          <w:cantSplit/>
        </w:trPr>
        <w:tc>
          <w:tcPr/>
          <w:p>
            <w:pPr>
              <w:pStyle w:val="Tabla9"/>
              <w:jc w:val="left"/>
            </w:pPr>
            <w:r>
              <w:t xml:space="preserve">E06</w:t>
            </w:r>
          </w:p>
        </w:tc>
        <w:tc>
          <w:tcPr/>
          <w:p>
            <w:pPr>
              <w:pStyle w:val="Tabla9"/>
              <w:jc w:val="left"/>
            </w:pPr>
            <w:r>
              <w:t xml:space="preserve">Módulos de enlace satelital de respaldo</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35,0</w:t>
            </w:r>
          </w:p>
        </w:tc>
      </w:tr>
      <w:tr>
        <w:trPr>
          <w:cantSplit/>
        </w:trPr>
        <w:tc>
          <w:tcPr/>
          <w:p>
            <w:pPr>
              <w:pStyle w:val="Tabla9"/>
              <w:jc w:val="left"/>
            </w:pPr>
            <w:r>
              <w:t xml:space="preserve">E07</w:t>
            </w:r>
          </w:p>
        </w:tc>
        <w:tc>
          <w:tcPr/>
          <w:p>
            <w:pPr>
              <w:pStyle w:val="Tabla9"/>
              <w:jc w:val="left"/>
            </w:pPr>
            <w:r>
              <w:t xml:space="preserve">Banco de calibración de laboratorio (cámara de humedad y generador de aerosol)</w:t>
            </w:r>
          </w:p>
        </w:tc>
        <w:tc>
          <w:tcPr/>
          <w:p>
            <w:pPr>
              <w:pStyle w:val="Tabla9"/>
              <w:jc w:val="left"/>
            </w:pPr>
            <w:r>
              <w:t xml:space="preserve">Equipos y software</w:t>
            </w:r>
          </w:p>
        </w:tc>
        <w:tc>
          <w:tcPr/>
          <w:p>
            <w:pPr>
              <w:pStyle w:val="Tabla9"/>
              <w:jc w:val="left"/>
            </w:pPr>
            <w:r>
              <w:t xml:space="preserve">Universidad</w:t>
            </w:r>
          </w:p>
        </w:tc>
        <w:tc>
          <w:tcPr/>
          <w:p>
            <w:pPr>
              <w:pStyle w:val="Tabla9"/>
              <w:jc w:val="left"/>
            </w:pPr>
            <w:r>
              <w:t xml:space="preserve">150,0</w:t>
            </w:r>
          </w:p>
        </w:tc>
      </w:tr>
      <w:tr>
        <w:trPr>
          <w:cantSplit/>
        </w:trPr>
        <w:tc>
          <w:tcPr/>
          <w:p>
            <w:pPr>
              <w:pStyle w:val="Tabla9"/>
              <w:jc w:val="left"/>
            </w:pPr>
            <w:r>
              <w:t xml:space="preserve">E08</w:t>
            </w:r>
          </w:p>
        </w:tc>
        <w:tc>
          <w:tcPr/>
          <w:p>
            <w:pPr>
              <w:pStyle w:val="Tabla9"/>
              <w:jc w:val="left"/>
            </w:pPr>
            <w:r>
              <w:t xml:space="preserve">Estaciones de trabajo para entrenamiento de modelos</w:t>
            </w:r>
          </w:p>
        </w:tc>
        <w:tc>
          <w:tcPr/>
          <w:p>
            <w:pPr>
              <w:pStyle w:val="Tabla9"/>
              <w:jc w:val="left"/>
            </w:pPr>
            <w:r>
              <w:t xml:space="preserve">Equipos y software</w:t>
            </w:r>
          </w:p>
        </w:tc>
        <w:tc>
          <w:tcPr/>
          <w:p>
            <w:pPr>
              <w:pStyle w:val="Tabla9"/>
              <w:jc w:val="left"/>
            </w:pPr>
            <w:r>
              <w:t xml:space="preserve">Universidad</w:t>
            </w:r>
          </w:p>
        </w:tc>
        <w:tc>
          <w:tcPr/>
          <w:p>
            <w:pPr>
              <w:pStyle w:val="Tabla9"/>
              <w:jc w:val="left"/>
            </w:pPr>
            <w:r>
              <w:t xml:space="preserve">50,0</w:t>
            </w:r>
          </w:p>
        </w:tc>
      </w:tr>
      <w:tr>
        <w:trPr>
          <w:cantSplit/>
        </w:trPr>
        <w:tc>
          <w:tcPr/>
          <w:p>
            <w:pPr>
              <w:pStyle w:val="Tabla9"/>
              <w:jc w:val="left"/>
            </w:pPr>
            <w:r>
              <w:t xml:space="preserve">E09</w:t>
            </w:r>
          </w:p>
        </w:tc>
        <w:tc>
          <w:tcPr/>
          <w:p>
            <w:pPr>
              <w:pStyle w:val="Tabla9"/>
              <w:jc w:val="left"/>
            </w:pPr>
            <w:r>
              <w:t xml:space="preserve">Equipos de campo e instrumentación (lote)</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30,0</w:t>
            </w:r>
          </w:p>
        </w:tc>
      </w:tr>
      <w:tr>
        <w:trPr>
          <w:cantSplit/>
        </w:trPr>
        <w:tc>
          <w:tcPr/>
          <w:p>
            <w:pPr>
              <w:pStyle w:val="Tabla9"/>
              <w:jc w:val="left"/>
            </w:pPr>
            <w:r>
              <w:t xml:space="preserve">E10</w:t>
            </w:r>
          </w:p>
        </w:tc>
        <w:tc>
          <w:tcPr/>
          <w:p>
            <w:pPr>
              <w:pStyle w:val="Tabla9"/>
              <w:jc w:val="left"/>
            </w:pPr>
            <w:r>
              <w:t xml:space="preserve">Instancias en la nube reservadas (24 meses)</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180,0</w:t>
            </w:r>
          </w:p>
        </w:tc>
      </w:tr>
      <w:tr>
        <w:trPr>
          <w:cantSplit/>
        </w:trPr>
        <w:tc>
          <w:tcPr/>
          <w:p>
            <w:pPr>
              <w:pStyle w:val="Tabla9"/>
              <w:jc w:val="left"/>
            </w:pPr>
            <w:r>
              <w:t xml:space="preserve">E11</w:t>
            </w:r>
          </w:p>
        </w:tc>
        <w:tc>
          <w:tcPr/>
          <w:p>
            <w:pPr>
              <w:pStyle w:val="Tabla9"/>
              <w:jc w:val="left"/>
            </w:pPr>
            <w:r>
              <w:t xml:space="preserve">Software de analítica y repositorios</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45,0</w:t>
            </w:r>
          </w:p>
        </w:tc>
      </w:tr>
      <w:tr>
        <w:trPr>
          <w:cantSplit/>
        </w:trPr>
        <w:tc>
          <w:tcPr/>
          <w:p>
            <w:pPr>
              <w:pStyle w:val="Tabla9"/>
              <w:jc w:val="left"/>
            </w:pPr>
            <w:r>
              <w:t xml:space="preserve">E12</w:t>
            </w:r>
          </w:p>
        </w:tc>
        <w:tc>
          <w:tcPr/>
          <w:p>
            <w:pPr>
              <w:pStyle w:val="Tabla9"/>
              <w:jc w:val="left"/>
            </w:pPr>
            <w:r>
              <w:t xml:space="preserve">Planes de datos celulares M2M para gateways (12 SIM, 24 meses)</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34,6</w:t>
            </w:r>
          </w:p>
        </w:tc>
      </w:tr>
      <w:tr>
        <w:trPr>
          <w:cantSplit/>
        </w:trPr>
        <w:tc>
          <w:tcPr/>
          <w:p>
            <w:pPr>
              <w:pStyle w:val="Tabla9"/>
              <w:jc w:val="left"/>
            </w:pPr>
            <w:r>
              <w:t xml:space="preserve">M01</w:t>
            </w:r>
          </w:p>
        </w:tc>
        <w:tc>
          <w:tcPr/>
          <w:p>
            <w:pPr>
              <w:pStyle w:val="Tabla9"/>
              <w:jc w:val="left"/>
            </w:pPr>
            <w:r>
              <w:t xml:space="preserve">Filtros de membrana PTFE para gravimetría</w:t>
            </w:r>
          </w:p>
        </w:tc>
        <w:tc>
          <w:tcPr/>
          <w:p>
            <w:pPr>
              <w:pStyle w:val="Tabla9"/>
              <w:jc w:val="left"/>
            </w:pPr>
            <w:r>
              <w:t xml:space="preserve">Materiales e insumos</w:t>
            </w:r>
          </w:p>
        </w:tc>
        <w:tc>
          <w:tcPr/>
          <w:p>
            <w:pPr>
              <w:pStyle w:val="Tabla9"/>
              <w:jc w:val="left"/>
            </w:pPr>
            <w:r>
              <w:t xml:space="preserve">Universidad</w:t>
            </w:r>
          </w:p>
        </w:tc>
        <w:tc>
          <w:tcPr/>
          <w:p>
            <w:pPr>
              <w:pStyle w:val="Tabla9"/>
              <w:jc w:val="left"/>
            </w:pPr>
            <w:r>
              <w:t xml:space="preserve">14,4</w:t>
            </w:r>
          </w:p>
        </w:tc>
      </w:tr>
      <w:tr>
        <w:trPr>
          <w:cantSplit/>
        </w:trPr>
        <w:tc>
          <w:tcPr/>
          <w:p>
            <w:pPr>
              <w:pStyle w:val="Tabla9"/>
              <w:jc w:val="left"/>
            </w:pPr>
            <w:r>
              <w:t xml:space="preserve">M02</w:t>
            </w:r>
          </w:p>
        </w:tc>
        <w:tc>
          <w:tcPr/>
          <w:p>
            <w:pPr>
              <w:pStyle w:val="Tabla9"/>
              <w:jc w:val="left"/>
            </w:pPr>
            <w:r>
              <w:t xml:space="preserve">Polvo de ensayo normalizado y consumibles del banco de calibración</w:t>
            </w:r>
          </w:p>
        </w:tc>
        <w:tc>
          <w:tcPr/>
          <w:p>
            <w:pPr>
              <w:pStyle w:val="Tabla9"/>
              <w:jc w:val="left"/>
            </w:pPr>
            <w:r>
              <w:t xml:space="preserve">Materiales e insumos</w:t>
            </w:r>
          </w:p>
        </w:tc>
        <w:tc>
          <w:tcPr/>
          <w:p>
            <w:pPr>
              <w:pStyle w:val="Tabla9"/>
              <w:jc w:val="left"/>
            </w:pPr>
            <w:r>
              <w:t xml:space="preserve">Universidad</w:t>
            </w:r>
          </w:p>
        </w:tc>
        <w:tc>
          <w:tcPr/>
          <w:p>
            <w:pPr>
              <w:pStyle w:val="Tabla9"/>
              <w:jc w:val="left"/>
            </w:pPr>
            <w:r>
              <w:t xml:space="preserve">42,0</w:t>
            </w:r>
          </w:p>
        </w:tc>
      </w:tr>
      <w:tr>
        <w:trPr>
          <w:cantSplit/>
        </w:trPr>
        <w:tc>
          <w:tcPr/>
          <w:p>
            <w:pPr>
              <w:pStyle w:val="Tabla9"/>
              <w:jc w:val="left"/>
            </w:pPr>
            <w:r>
              <w:t xml:space="preserve">M03</w:t>
            </w:r>
          </w:p>
        </w:tc>
        <w:tc>
          <w:tcPr/>
          <w:p>
            <w:pPr>
              <w:pStyle w:val="Tabla9"/>
              <w:jc w:val="left"/>
            </w:pPr>
            <w:r>
              <w:t xml:space="preserve">Cerramientos NEMA 4X y mástiles para nodos</w:t>
            </w:r>
          </w:p>
        </w:tc>
        <w:tc>
          <w:tcPr/>
          <w:p>
            <w:pPr>
              <w:pStyle w:val="Tabla9"/>
              <w:jc w:val="left"/>
            </w:pPr>
            <w:r>
              <w:t xml:space="preserve">Materiales e insumos</w:t>
            </w:r>
          </w:p>
        </w:tc>
        <w:tc>
          <w:tcPr/>
          <w:p>
            <w:pPr>
              <w:pStyle w:val="Tabla9"/>
              <w:jc w:val="left"/>
            </w:pPr>
            <w:r>
              <w:t xml:space="preserve">Empresa aliada</w:t>
            </w:r>
          </w:p>
        </w:tc>
        <w:tc>
          <w:tcPr/>
          <w:p>
            <w:pPr>
              <w:pStyle w:val="Tabla9"/>
              <w:jc w:val="left"/>
            </w:pPr>
            <w:r>
              <w:t xml:space="preserve">42,0</w:t>
            </w:r>
          </w:p>
        </w:tc>
      </w:tr>
      <w:tr>
        <w:trPr>
          <w:cantSplit/>
        </w:trPr>
        <w:tc>
          <w:tcPr/>
          <w:p>
            <w:pPr>
              <w:pStyle w:val="Tabla9"/>
              <w:jc w:val="left"/>
            </w:pPr>
            <w:r>
              <w:t xml:space="preserve">M04</w:t>
            </w:r>
          </w:p>
        </w:tc>
        <w:tc>
          <w:tcPr/>
          <w:p>
            <w:pPr>
              <w:pStyle w:val="Tabla9"/>
              <w:jc w:val="left"/>
            </w:pPr>
            <w:r>
              <w:t xml:space="preserve">Cartillas impresas del índice y del protocolo de alerta</w:t>
            </w:r>
          </w:p>
        </w:tc>
        <w:tc>
          <w:tcPr/>
          <w:p>
            <w:pPr>
              <w:pStyle w:val="Tabla9"/>
              <w:jc w:val="left"/>
            </w:pPr>
            <w:r>
              <w:t xml:space="preserve">Materiales e insumos</w:t>
            </w:r>
          </w:p>
        </w:tc>
        <w:tc>
          <w:tcPr/>
          <w:p>
            <w:pPr>
              <w:pStyle w:val="Tabla9"/>
              <w:jc w:val="left"/>
            </w:pPr>
            <w:r>
              <w:t xml:space="preserve">Universidad</w:t>
            </w:r>
          </w:p>
        </w:tc>
        <w:tc>
          <w:tcPr/>
          <w:p>
            <w:pPr>
              <w:pStyle w:val="Tabla9"/>
              <w:jc w:val="left"/>
            </w:pPr>
            <w:r>
              <w:t xml:space="preserve">42,5</w:t>
            </w:r>
          </w:p>
        </w:tc>
      </w:tr>
      <w:tr>
        <w:trPr>
          <w:cantSplit/>
        </w:trPr>
        <w:tc>
          <w:tcPr/>
          <w:p>
            <w:pPr>
              <w:pStyle w:val="Tabla9"/>
              <w:jc w:val="left"/>
            </w:pPr>
            <w:r>
              <w:t xml:space="preserve">M05</w:t>
            </w:r>
          </w:p>
        </w:tc>
        <w:tc>
          <w:tcPr/>
          <w:p>
            <w:pPr>
              <w:pStyle w:val="Tabla9"/>
              <w:jc w:val="left"/>
            </w:pPr>
            <w:r>
              <w:t xml:space="preserve">Kits de papelería para talleres de co-diseño</w:t>
            </w:r>
          </w:p>
        </w:tc>
        <w:tc>
          <w:tcPr/>
          <w:p>
            <w:pPr>
              <w:pStyle w:val="Tabla9"/>
              <w:jc w:val="left"/>
            </w:pPr>
            <w:r>
              <w:t xml:space="preserve">Materiales e insumos</w:t>
            </w:r>
          </w:p>
        </w:tc>
        <w:tc>
          <w:tcPr/>
          <w:p>
            <w:pPr>
              <w:pStyle w:val="Tabla9"/>
              <w:jc w:val="left"/>
            </w:pPr>
            <w:r>
              <w:t xml:space="preserve">Universidad</w:t>
            </w:r>
          </w:p>
        </w:tc>
        <w:tc>
          <w:tcPr/>
          <w:p>
            <w:pPr>
              <w:pStyle w:val="Tabla9"/>
              <w:jc w:val="left"/>
            </w:pPr>
            <w:r>
              <w:t xml:space="preserve">30,0</w:t>
            </w:r>
          </w:p>
        </w:tc>
      </w:tr>
      <w:tr>
        <w:trPr>
          <w:cantSplit/>
        </w:trPr>
        <w:tc>
          <w:tcPr/>
          <w:p>
            <w:pPr>
              <w:pStyle w:val="Tabla9"/>
              <w:jc w:val="left"/>
            </w:pPr>
            <w:r>
              <w:t xml:space="preserve">M06</w:t>
            </w:r>
          </w:p>
        </w:tc>
        <w:tc>
          <w:tcPr/>
          <w:p>
            <w:pPr>
              <w:pStyle w:val="Tabla9"/>
              <w:jc w:val="left"/>
            </w:pPr>
            <w:r>
              <w:t xml:space="preserve">Elementos de protección personal (mascarillas N95)</w:t>
            </w:r>
          </w:p>
        </w:tc>
        <w:tc>
          <w:tcPr/>
          <w:p>
            <w:pPr>
              <w:pStyle w:val="Tabla9"/>
              <w:jc w:val="left"/>
            </w:pPr>
            <w:r>
              <w:t xml:space="preserve">Materiales e insumos</w:t>
            </w:r>
          </w:p>
        </w:tc>
        <w:tc>
          <w:tcPr/>
          <w:p>
            <w:pPr>
              <w:pStyle w:val="Tabla9"/>
              <w:jc w:val="left"/>
            </w:pPr>
            <w:r>
              <w:t xml:space="preserve">Universidad</w:t>
            </w:r>
          </w:p>
        </w:tc>
        <w:tc>
          <w:tcPr/>
          <w:p>
            <w:pPr>
              <w:pStyle w:val="Tabla9"/>
              <w:jc w:val="left"/>
            </w:pPr>
            <w:r>
              <w:t xml:space="preserve">12,0</w:t>
            </w:r>
          </w:p>
        </w:tc>
      </w:tr>
      <w:tr>
        <w:trPr>
          <w:cantSplit/>
        </w:trPr>
        <w:tc>
          <w:tcPr/>
          <w:p>
            <w:pPr>
              <w:pStyle w:val="Tabla9"/>
              <w:jc w:val="left"/>
            </w:pPr>
            <w:r>
              <w:t xml:space="preserve">M07</w:t>
            </w:r>
          </w:p>
        </w:tc>
        <w:tc>
          <w:tcPr/>
          <w:p>
            <w:pPr>
              <w:pStyle w:val="Tabla9"/>
              <w:jc w:val="left"/>
            </w:pPr>
            <w:r>
              <w:t xml:space="preserve">Repuestos y consumibles de mantenimiento (baterías, cables, conectores)</w:t>
            </w:r>
          </w:p>
        </w:tc>
        <w:tc>
          <w:tcPr/>
          <w:p>
            <w:pPr>
              <w:pStyle w:val="Tabla9"/>
              <w:jc w:val="left"/>
            </w:pPr>
            <w:r>
              <w:t xml:space="preserve">Materiales e insumos</w:t>
            </w:r>
          </w:p>
        </w:tc>
        <w:tc>
          <w:tcPr/>
          <w:p>
            <w:pPr>
              <w:pStyle w:val="Tabla9"/>
              <w:jc w:val="left"/>
            </w:pPr>
            <w:r>
              <w:t xml:space="preserve">Empresa aliada</w:t>
            </w:r>
          </w:p>
        </w:tc>
        <w:tc>
          <w:tcPr/>
          <w:p>
            <w:pPr>
              <w:pStyle w:val="Tabla9"/>
              <w:jc w:val="left"/>
            </w:pPr>
            <w:r>
              <w:t xml:space="preserve">60,0</w:t>
            </w:r>
          </w:p>
        </w:tc>
      </w:tr>
      <w:tr>
        <w:trPr>
          <w:cantSplit/>
        </w:trPr>
        <w:tc>
          <w:tcPr/>
          <w:p>
            <w:pPr>
              <w:pStyle w:val="Tabla9"/>
              <w:jc w:val="left"/>
            </w:pPr>
            <w:r>
              <w:t xml:space="preserve">S01</w:t>
            </w:r>
          </w:p>
        </w:tc>
        <w:tc>
          <w:tcPr/>
          <w:p>
            <w:pPr>
              <w:pStyle w:val="Tabla9"/>
              <w:jc w:val="left"/>
            </w:pPr>
            <w:r>
              <w:t xml:space="preserve">Análisis gravimétrico en laboratorio acreditado</w:t>
            </w:r>
          </w:p>
        </w:tc>
        <w:tc>
          <w:tcPr/>
          <w:p>
            <w:pPr>
              <w:pStyle w:val="Tabla9"/>
              <w:jc w:val="left"/>
            </w:pPr>
            <w:r>
              <w:t xml:space="preserve">Servicios técnicos</w:t>
            </w:r>
          </w:p>
        </w:tc>
        <w:tc>
          <w:tcPr/>
          <w:p>
            <w:pPr>
              <w:pStyle w:val="Tabla9"/>
              <w:jc w:val="left"/>
            </w:pPr>
            <w:r>
              <w:t xml:space="preserve">Actor reconocido</w:t>
            </w:r>
          </w:p>
        </w:tc>
        <w:tc>
          <w:tcPr/>
          <w:p>
            <w:pPr>
              <w:pStyle w:val="Tabla9"/>
              <w:jc w:val="left"/>
            </w:pPr>
            <w:r>
              <w:t xml:space="preserve">84,0</w:t>
            </w:r>
          </w:p>
        </w:tc>
      </w:tr>
      <w:tr>
        <w:trPr>
          <w:cantSplit/>
        </w:trPr>
        <w:tc>
          <w:tcPr/>
          <w:p>
            <w:pPr>
              <w:pStyle w:val="Tabla9"/>
              <w:jc w:val="left"/>
            </w:pPr>
            <w:r>
              <w:t xml:space="preserve">S02</w:t>
            </w:r>
          </w:p>
        </w:tc>
        <w:tc>
          <w:tcPr/>
          <w:p>
            <w:pPr>
              <w:pStyle w:val="Tabla9"/>
              <w:jc w:val="left"/>
            </w:pPr>
            <w:r>
              <w:t xml:space="preserve">Consultoría jurídica en propiedad intelectual y libertad de operación</w:t>
            </w:r>
          </w:p>
        </w:tc>
        <w:tc>
          <w:tcPr/>
          <w:p>
            <w:pPr>
              <w:pStyle w:val="Tabla9"/>
              <w:jc w:val="left"/>
            </w:pPr>
            <w:r>
              <w:t xml:space="preserve">Servicios técnicos</w:t>
            </w:r>
          </w:p>
        </w:tc>
        <w:tc>
          <w:tcPr/>
          <w:p>
            <w:pPr>
              <w:pStyle w:val="Tabla9"/>
              <w:jc w:val="left"/>
            </w:pPr>
            <w:r>
              <w:t xml:space="preserve">Universidad</w:t>
            </w:r>
          </w:p>
        </w:tc>
        <w:tc>
          <w:tcPr/>
          <w:p>
            <w:pPr>
              <w:pStyle w:val="Tabla9"/>
              <w:jc w:val="left"/>
            </w:pPr>
            <w:r>
              <w:t xml:space="preserve">45,0</w:t>
            </w:r>
          </w:p>
        </w:tc>
      </w:tr>
      <w:tr>
        <w:trPr>
          <w:cantSplit/>
        </w:trPr>
        <w:tc>
          <w:tcPr/>
          <w:p>
            <w:pPr>
              <w:pStyle w:val="Tabla9"/>
              <w:jc w:val="left"/>
            </w:pPr>
            <w:r>
              <w:t xml:space="preserve">S03</w:t>
            </w:r>
          </w:p>
        </w:tc>
        <w:tc>
          <w:tcPr/>
          <w:p>
            <w:pPr>
              <w:pStyle w:val="Tabla9"/>
              <w:jc w:val="left"/>
            </w:pPr>
            <w:r>
              <w:t xml:space="preserve">Auditoría externa de ciberseguridad</w:t>
            </w:r>
          </w:p>
        </w:tc>
        <w:tc>
          <w:tcPr/>
          <w:p>
            <w:pPr>
              <w:pStyle w:val="Tabla9"/>
              <w:jc w:val="left"/>
            </w:pPr>
            <w:r>
              <w:t xml:space="preserve">Servicios técnicos</w:t>
            </w:r>
          </w:p>
        </w:tc>
        <w:tc>
          <w:tcPr/>
          <w:p>
            <w:pPr>
              <w:pStyle w:val="Tabla9"/>
              <w:jc w:val="left"/>
            </w:pPr>
            <w:r>
              <w:t xml:space="preserve">Empresa aliada</w:t>
            </w:r>
          </w:p>
        </w:tc>
        <w:tc>
          <w:tcPr/>
          <w:p>
            <w:pPr>
              <w:pStyle w:val="Tabla9"/>
              <w:jc w:val="left"/>
            </w:pPr>
            <w:r>
              <w:t xml:space="preserve">30,0</w:t>
            </w:r>
          </w:p>
        </w:tc>
      </w:tr>
      <w:tr>
        <w:trPr>
          <w:cantSplit/>
        </w:trPr>
        <w:tc>
          <w:tcPr/>
          <w:p>
            <w:pPr>
              <w:pStyle w:val="Tabla9"/>
              <w:jc w:val="left"/>
            </w:pPr>
            <w:r>
              <w:t xml:space="preserve">S05</w:t>
            </w:r>
          </w:p>
        </w:tc>
        <w:tc>
          <w:tcPr/>
          <w:p>
            <w:pPr>
              <w:pStyle w:val="Tabla9"/>
              <w:jc w:val="left"/>
            </w:pPr>
            <w:r>
              <w:t xml:space="preserve">Instalación en sitio, mástiles y obra menor (100 nodos y 10 gateways)</w:t>
            </w:r>
          </w:p>
        </w:tc>
        <w:tc>
          <w:tcPr/>
          <w:p>
            <w:pPr>
              <w:pStyle w:val="Tabla9"/>
              <w:jc w:val="left"/>
            </w:pPr>
            <w:r>
              <w:t xml:space="preserve">Servicios técnicos</w:t>
            </w:r>
          </w:p>
        </w:tc>
        <w:tc>
          <w:tcPr/>
          <w:p>
            <w:pPr>
              <w:pStyle w:val="Tabla9"/>
              <w:jc w:val="left"/>
            </w:pPr>
            <w:r>
              <w:t xml:space="preserve">Empresa aliada</w:t>
            </w:r>
          </w:p>
        </w:tc>
        <w:tc>
          <w:tcPr/>
          <w:p>
            <w:pPr>
              <w:pStyle w:val="Tabla9"/>
              <w:jc w:val="left"/>
            </w:pPr>
            <w:r>
              <w:t xml:space="preserve">132,0</w:t>
            </w:r>
          </w:p>
        </w:tc>
      </w:tr>
      <w:tr>
        <w:trPr>
          <w:cantSplit/>
        </w:trPr>
        <w:tc>
          <w:tcPr/>
          <w:p>
            <w:pPr>
              <w:pStyle w:val="Tabla9"/>
              <w:jc w:val="left"/>
            </w:pPr>
            <w:r>
              <w:t xml:space="preserve">S06</w:t>
            </w:r>
          </w:p>
        </w:tc>
        <w:tc>
          <w:tcPr/>
          <w:p>
            <w:pPr>
              <w:pStyle w:val="Tabla9"/>
              <w:jc w:val="left"/>
            </w:pPr>
            <w:r>
              <w:t xml:space="preserve">Estudio de cobertura y de enlace en tres departamentos</w:t>
            </w:r>
          </w:p>
        </w:tc>
        <w:tc>
          <w:tcPr/>
          <w:p>
            <w:pPr>
              <w:pStyle w:val="Tabla9"/>
              <w:jc w:val="left"/>
            </w:pPr>
            <w:r>
              <w:t xml:space="preserve">Servicios técnicos</w:t>
            </w:r>
          </w:p>
        </w:tc>
        <w:tc>
          <w:tcPr/>
          <w:p>
            <w:pPr>
              <w:pStyle w:val="Tabla9"/>
              <w:jc w:val="left"/>
            </w:pPr>
            <w:r>
              <w:t xml:space="preserve">Empresa aliada</w:t>
            </w:r>
          </w:p>
        </w:tc>
        <w:tc>
          <w:tcPr/>
          <w:p>
            <w:pPr>
              <w:pStyle w:val="Tabla9"/>
              <w:jc w:val="left"/>
            </w:pPr>
            <w:r>
              <w:t xml:space="preserve">60,0</w:t>
            </w:r>
          </w:p>
        </w:tc>
      </w:tr>
      <w:tr>
        <w:trPr>
          <w:cantSplit/>
        </w:trPr>
        <w:tc>
          <w:tcPr/>
          <w:p>
            <w:pPr>
              <w:pStyle w:val="Tabla9"/>
              <w:jc w:val="left"/>
            </w:pPr>
            <w:r>
              <w:t xml:space="preserve">S07</w:t>
            </w:r>
          </w:p>
        </w:tc>
        <w:tc>
          <w:tcPr/>
          <w:p>
            <w:pPr>
              <w:pStyle w:val="Tabla9"/>
              <w:jc w:val="left"/>
            </w:pPr>
            <w:r>
              <w:t xml:space="preserve">Evaluación externa independiente (meses 12 y 24)</w:t>
            </w:r>
          </w:p>
        </w:tc>
        <w:tc>
          <w:tcPr/>
          <w:p>
            <w:pPr>
              <w:pStyle w:val="Tabla9"/>
              <w:jc w:val="left"/>
            </w:pPr>
            <w:r>
              <w:t xml:space="preserve">Servicios técnicos</w:t>
            </w:r>
          </w:p>
        </w:tc>
        <w:tc>
          <w:tcPr/>
          <w:p>
            <w:pPr>
              <w:pStyle w:val="Tabla9"/>
              <w:jc w:val="left"/>
            </w:pPr>
            <w:r>
              <w:t xml:space="preserve">Universidad</w:t>
            </w:r>
          </w:p>
        </w:tc>
        <w:tc>
          <w:tcPr/>
          <w:p>
            <w:pPr>
              <w:pStyle w:val="Tabla9"/>
              <w:jc w:val="left"/>
            </w:pPr>
            <w:r>
              <w:t xml:space="preserve">120,0</w:t>
            </w:r>
          </w:p>
        </w:tc>
      </w:tr>
      <w:tr>
        <w:trPr>
          <w:cantSplit/>
        </w:trPr>
        <w:tc>
          <w:tcPr/>
          <w:p>
            <w:pPr>
              <w:pStyle w:val="Tabla9"/>
              <w:jc w:val="left"/>
            </w:pPr>
            <w:r>
              <w:t xml:space="preserve">S08</w:t>
            </w:r>
          </w:p>
        </w:tc>
        <w:tc>
          <w:tcPr/>
          <w:p>
            <w:pPr>
              <w:pStyle w:val="Tabla9"/>
              <w:jc w:val="left"/>
            </w:pPr>
            <w:r>
              <w:t xml:space="preserve">Ensayo de desempeño con laboratorio externo</w:t>
            </w:r>
          </w:p>
        </w:tc>
        <w:tc>
          <w:tcPr/>
          <w:p>
            <w:pPr>
              <w:pStyle w:val="Tabla9"/>
              <w:jc w:val="left"/>
            </w:pPr>
            <w:r>
              <w:t xml:space="preserve">Servicios técnicos</w:t>
            </w:r>
          </w:p>
        </w:tc>
        <w:tc>
          <w:tcPr/>
          <w:p>
            <w:pPr>
              <w:pStyle w:val="Tabla9"/>
              <w:jc w:val="left"/>
            </w:pPr>
            <w:r>
              <w:t xml:space="preserve">Actor reconocido</w:t>
            </w:r>
          </w:p>
        </w:tc>
        <w:tc>
          <w:tcPr/>
          <w:p>
            <w:pPr>
              <w:pStyle w:val="Tabla9"/>
              <w:jc w:val="left"/>
            </w:pPr>
            <w:r>
              <w:t xml:space="preserve">90,0</w:t>
            </w:r>
          </w:p>
        </w:tc>
      </w:tr>
      <w:tr>
        <w:trPr>
          <w:cantSplit/>
        </w:trPr>
        <w:tc>
          <w:tcPr/>
          <w:p>
            <w:pPr>
              <w:pStyle w:val="Tabla9"/>
              <w:jc w:val="left"/>
            </w:pPr>
            <w:r>
              <w:t xml:space="preserve">S09</w:t>
            </w:r>
          </w:p>
        </w:tc>
        <w:tc>
          <w:tcPr/>
          <w:p>
            <w:pPr>
              <w:pStyle w:val="Tabla9"/>
              <w:jc w:val="left"/>
            </w:pPr>
            <w:r>
              <w:t xml:space="preserve">Formación y soporte a custodios por tramo</w:t>
            </w:r>
          </w:p>
        </w:tc>
        <w:tc>
          <w:tcPr/>
          <w:p>
            <w:pPr>
              <w:pStyle w:val="Tabla9"/>
              <w:jc w:val="left"/>
            </w:pPr>
            <w:r>
              <w:t xml:space="preserve">Servicios técnicos</w:t>
            </w:r>
          </w:p>
        </w:tc>
        <w:tc>
          <w:tcPr/>
          <w:p>
            <w:pPr>
              <w:pStyle w:val="Tabla9"/>
              <w:jc w:val="left"/>
            </w:pPr>
            <w:r>
              <w:t xml:space="preserve">Actor reconocido</w:t>
            </w:r>
          </w:p>
        </w:tc>
        <w:tc>
          <w:tcPr/>
          <w:p>
            <w:pPr>
              <w:pStyle w:val="Tabla9"/>
              <w:jc w:val="left"/>
            </w:pPr>
            <w:r>
              <w:t xml:space="preserve">150,0</w:t>
            </w:r>
          </w:p>
        </w:tc>
      </w:tr>
      <w:tr>
        <w:trPr>
          <w:cantSplit/>
        </w:trPr>
        <w:tc>
          <w:tcPr/>
          <w:p>
            <w:pPr>
              <w:pStyle w:val="Tabla9"/>
              <w:jc w:val="left"/>
            </w:pPr>
            <w:r>
              <w:t xml:space="preserve">S10</w:t>
            </w:r>
          </w:p>
        </w:tc>
        <w:tc>
          <w:tcPr/>
          <w:p>
            <w:pPr>
              <w:pStyle w:val="Tabla9"/>
              <w:jc w:val="left"/>
            </w:pPr>
            <w:r>
              <w:t xml:space="preserve">Planes de enlace satelital de respaldo (10 módulos, 22 meses)</w:t>
            </w:r>
          </w:p>
        </w:tc>
        <w:tc>
          <w:tcPr/>
          <w:p>
            <w:pPr>
              <w:pStyle w:val="Tabla9"/>
              <w:jc w:val="left"/>
            </w:pPr>
            <w:r>
              <w:t xml:space="preserve">Servicios técnicos</w:t>
            </w:r>
          </w:p>
        </w:tc>
        <w:tc>
          <w:tcPr/>
          <w:p>
            <w:pPr>
              <w:pStyle w:val="Tabla9"/>
              <w:jc w:val="left"/>
            </w:pPr>
            <w:r>
              <w:t xml:space="preserve">Empresa aliada</w:t>
            </w:r>
          </w:p>
        </w:tc>
        <w:tc>
          <w:tcPr/>
          <w:p>
            <w:pPr>
              <w:pStyle w:val="Tabla9"/>
              <w:jc w:val="left"/>
            </w:pPr>
            <w:r>
              <w:t xml:space="preserve">55,0</w:t>
            </w:r>
          </w:p>
        </w:tc>
      </w:tr>
      <w:tr>
        <w:trPr>
          <w:cantSplit/>
        </w:trPr>
        <w:tc>
          <w:tcPr/>
          <w:p>
            <w:pPr>
              <w:pStyle w:val="Tabla9"/>
              <w:jc w:val="left"/>
            </w:pPr>
            <w:r>
              <w:t xml:space="preserve">S11</w:t>
            </w:r>
          </w:p>
        </w:tc>
        <w:tc>
          <w:tcPr/>
          <w:p>
            <w:pPr>
              <w:pStyle w:val="Tabla9"/>
              <w:jc w:val="left"/>
            </w:pPr>
            <w:r>
              <w:t xml:space="preserve">Importación y nacionalización de equipos</w:t>
            </w:r>
          </w:p>
        </w:tc>
        <w:tc>
          <w:tcPr/>
          <w:p>
            <w:pPr>
              <w:pStyle w:val="Tabla9"/>
              <w:jc w:val="left"/>
            </w:pPr>
            <w:r>
              <w:t xml:space="preserve">Servicios técnicos</w:t>
            </w:r>
          </w:p>
        </w:tc>
        <w:tc>
          <w:tcPr/>
          <w:p>
            <w:pPr>
              <w:pStyle w:val="Tabla9"/>
              <w:jc w:val="left"/>
            </w:pPr>
            <w:r>
              <w:t xml:space="preserve">Empresa aliada</w:t>
            </w:r>
          </w:p>
        </w:tc>
        <w:tc>
          <w:tcPr/>
          <w:p>
            <w:pPr>
              <w:pStyle w:val="Tabla9"/>
              <w:jc w:val="left"/>
            </w:pPr>
            <w:r>
              <w:t xml:space="preserve">80,0</w:t>
            </w:r>
          </w:p>
        </w:tc>
      </w:tr>
      <w:tr>
        <w:trPr>
          <w:cantSplit/>
        </w:trPr>
        <w:tc>
          <w:tcPr/>
          <w:p>
            <w:pPr>
              <w:pStyle w:val="Tabla9"/>
              <w:jc w:val="left"/>
            </w:pPr>
            <w:r>
              <w:t xml:space="preserve">V01</w:t>
            </w:r>
          </w:p>
        </w:tc>
        <w:tc>
          <w:tcPr/>
          <w:p>
            <w:pPr>
              <w:pStyle w:val="Tabla9"/>
              <w:jc w:val="left"/>
            </w:pPr>
            <w:r>
              <w:t xml:space="preserve">Tiquetes aéreos nacionales</w:t>
            </w:r>
          </w:p>
        </w:tc>
        <w:tc>
          <w:tcPr/>
          <w:p>
            <w:pPr>
              <w:pStyle w:val="Tabla9"/>
              <w:jc w:val="left"/>
            </w:pPr>
            <w:r>
              <w:t xml:space="preserve">Viajes y viáticos</w:t>
            </w:r>
          </w:p>
        </w:tc>
        <w:tc>
          <w:tcPr/>
          <w:p>
            <w:pPr>
              <w:pStyle w:val="Tabla9"/>
              <w:jc w:val="left"/>
            </w:pPr>
            <w:r>
              <w:t xml:space="preserve">Empresa aliada</w:t>
            </w:r>
          </w:p>
        </w:tc>
        <w:tc>
          <w:tcPr/>
          <w:p>
            <w:pPr>
              <w:pStyle w:val="Tabla9"/>
              <w:jc w:val="left"/>
            </w:pPr>
            <w:r>
              <w:t xml:space="preserve">30,0</w:t>
            </w:r>
          </w:p>
        </w:tc>
      </w:tr>
      <w:tr>
        <w:trPr>
          <w:cantSplit/>
        </w:trPr>
        <w:tc>
          <w:tcPr/>
          <w:p>
            <w:pPr>
              <w:pStyle w:val="Tabla9"/>
              <w:jc w:val="left"/>
            </w:pPr>
            <w:r>
              <w:t xml:space="preserve">V02</w:t>
            </w:r>
          </w:p>
        </w:tc>
        <w:tc>
          <w:tcPr/>
          <w:p>
            <w:pPr>
              <w:pStyle w:val="Tabla9"/>
              <w:jc w:val="left"/>
            </w:pPr>
            <w:r>
              <w:t xml:space="preserve">Viáticos de alojamiento y manutención</w:t>
            </w:r>
          </w:p>
        </w:tc>
        <w:tc>
          <w:tcPr/>
          <w:p>
            <w:pPr>
              <w:pStyle w:val="Tabla9"/>
              <w:jc w:val="left"/>
            </w:pPr>
            <w:r>
              <w:t xml:space="preserve">Viajes y viáticos</w:t>
            </w:r>
          </w:p>
        </w:tc>
        <w:tc>
          <w:tcPr/>
          <w:p>
            <w:pPr>
              <w:pStyle w:val="Tabla9"/>
              <w:jc w:val="left"/>
            </w:pPr>
            <w:r>
              <w:t xml:space="preserve">Empresa aliada</w:t>
            </w:r>
          </w:p>
        </w:tc>
        <w:tc>
          <w:tcPr/>
          <w:p>
            <w:pPr>
              <w:pStyle w:val="Tabla9"/>
              <w:jc w:val="left"/>
            </w:pPr>
            <w:r>
              <w:t xml:space="preserve">87,5</w:t>
            </w:r>
          </w:p>
        </w:tc>
      </w:tr>
      <w:tr>
        <w:trPr>
          <w:cantSplit/>
        </w:trPr>
        <w:tc>
          <w:tcPr/>
          <w:p>
            <w:pPr>
              <w:pStyle w:val="Tabla9"/>
              <w:jc w:val="left"/>
            </w:pPr>
            <w:r>
              <w:t xml:space="preserve">V03</w:t>
            </w:r>
          </w:p>
        </w:tc>
        <w:tc>
          <w:tcPr/>
          <w:p>
            <w:pPr>
              <w:pStyle w:val="Tabla9"/>
              <w:jc w:val="left"/>
            </w:pPr>
            <w:r>
              <w:t xml:space="preserve">Arrendamiento de vehículos 4x4</w:t>
            </w:r>
          </w:p>
        </w:tc>
        <w:tc>
          <w:tcPr/>
          <w:p>
            <w:pPr>
              <w:pStyle w:val="Tabla9"/>
              <w:jc w:val="left"/>
            </w:pPr>
            <w:r>
              <w:t xml:space="preserve">Viajes y viáticos</w:t>
            </w:r>
          </w:p>
        </w:tc>
        <w:tc>
          <w:tcPr/>
          <w:p>
            <w:pPr>
              <w:pStyle w:val="Tabla9"/>
              <w:jc w:val="left"/>
            </w:pPr>
            <w:r>
              <w:t xml:space="preserve">Empresa aliada</w:t>
            </w:r>
          </w:p>
        </w:tc>
        <w:tc>
          <w:tcPr/>
          <w:p>
            <w:pPr>
              <w:pStyle w:val="Tabla9"/>
              <w:jc w:val="left"/>
            </w:pPr>
            <w:r>
              <w:t xml:space="preserve">45,0</w:t>
            </w:r>
          </w:p>
        </w:tc>
      </w:tr>
      <w:tr>
        <w:trPr>
          <w:cantSplit/>
        </w:trPr>
        <w:tc>
          <w:tcPr/>
          <w:p>
            <w:pPr>
              <w:pStyle w:val="Tabla9"/>
              <w:jc w:val="left"/>
            </w:pPr>
            <w:r>
              <w:t xml:space="preserve">V04</w:t>
            </w:r>
          </w:p>
        </w:tc>
        <w:tc>
          <w:tcPr/>
          <w:p>
            <w:pPr>
              <w:pStyle w:val="Tabla9"/>
              <w:jc w:val="left"/>
            </w:pPr>
            <w:r>
              <w:t xml:space="preserve">Viaje internacional para divulgación científica</w:t>
            </w:r>
          </w:p>
        </w:tc>
        <w:tc>
          <w:tcPr/>
          <w:p>
            <w:pPr>
              <w:pStyle w:val="Tabla9"/>
              <w:jc w:val="left"/>
            </w:pPr>
            <w:r>
              <w:t xml:space="preserve">Viajes y viáticos</w:t>
            </w:r>
          </w:p>
        </w:tc>
        <w:tc>
          <w:tcPr/>
          <w:p>
            <w:pPr>
              <w:pStyle w:val="Tabla9"/>
              <w:jc w:val="left"/>
            </w:pPr>
            <w:r>
              <w:t xml:space="preserve">Universidad</w:t>
            </w:r>
          </w:p>
        </w:tc>
        <w:tc>
          <w:tcPr/>
          <w:p>
            <w:pPr>
              <w:pStyle w:val="Tabla9"/>
              <w:jc w:val="left"/>
            </w:pPr>
            <w:r>
              <w:t xml:space="preserve">12,0</w:t>
            </w:r>
          </w:p>
        </w:tc>
      </w:tr>
      <w:tr>
        <w:trPr>
          <w:cantSplit/>
        </w:trPr>
        <w:tc>
          <w:tcPr/>
          <w:p>
            <w:pPr>
              <w:pStyle w:val="Tabla9"/>
              <w:jc w:val="left"/>
            </w:pPr>
            <w:r>
              <w:t xml:space="preserve">V05</w:t>
            </w:r>
          </w:p>
        </w:tc>
        <w:tc>
          <w:tcPr/>
          <w:p>
            <w:pPr>
              <w:pStyle w:val="Tabla9"/>
              <w:jc w:val="left"/>
            </w:pPr>
            <w:r>
              <w:t xml:space="preserve">Alimentación de laboratorios ciudadanos</w:t>
            </w:r>
          </w:p>
        </w:tc>
        <w:tc>
          <w:tcPr/>
          <w:p>
            <w:pPr>
              <w:pStyle w:val="Tabla9"/>
              <w:jc w:val="left"/>
            </w:pPr>
            <w:r>
              <w:t xml:space="preserve">Viajes y viáticos</w:t>
            </w:r>
          </w:p>
        </w:tc>
        <w:tc>
          <w:tcPr/>
          <w:p>
            <w:pPr>
              <w:pStyle w:val="Tabla9"/>
              <w:jc w:val="left"/>
            </w:pPr>
            <w:r>
              <w:t xml:space="preserve">Universidad</w:t>
            </w:r>
          </w:p>
        </w:tc>
        <w:tc>
          <w:tcPr/>
          <w:p>
            <w:pPr>
              <w:pStyle w:val="Tabla9"/>
              <w:jc w:val="left"/>
            </w:pPr>
            <w:r>
              <w:t xml:space="preserve">30,0</w:t>
            </w:r>
          </w:p>
        </w:tc>
      </w:tr>
      <w:tr>
        <w:trPr>
          <w:cantSplit/>
        </w:trPr>
        <w:tc>
          <w:tcPr/>
          <w:p>
            <w:pPr>
              <w:pStyle w:val="Tabla9"/>
              <w:jc w:val="left"/>
            </w:pPr>
            <w:r>
              <w:t xml:space="preserve">O01</w:t>
            </w:r>
          </w:p>
        </w:tc>
        <w:tc>
          <w:tcPr/>
          <w:p>
            <w:pPr>
              <w:pStyle w:val="Tabla9"/>
              <w:jc w:val="left"/>
            </w:pPr>
            <w:r>
              <w:t xml:space="preserve">Cargos de procesamiento de artículos de acceso abierto</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25,0</w:t>
            </w:r>
          </w:p>
        </w:tc>
      </w:tr>
      <w:tr>
        <w:trPr>
          <w:cantSplit/>
        </w:trPr>
        <w:tc>
          <w:tcPr/>
          <w:p>
            <w:pPr>
              <w:pStyle w:val="Tabla9"/>
              <w:jc w:val="left"/>
            </w:pPr>
            <w:r>
              <w:t xml:space="preserve">O02</w:t>
            </w:r>
          </w:p>
        </w:tc>
        <w:tc>
          <w:tcPr/>
          <w:p>
            <w:pPr>
              <w:pStyle w:val="Tabla9"/>
              <w:jc w:val="left"/>
            </w:pPr>
            <w:r>
              <w:t xml:space="preserve">Logística de ferias y laboratorios de apropiación</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72,0</w:t>
            </w:r>
          </w:p>
        </w:tc>
      </w:tr>
      <w:tr>
        <w:trPr>
          <w:cantSplit/>
        </w:trPr>
        <w:tc>
          <w:tcPr/>
          <w:p>
            <w:pPr>
              <w:pStyle w:val="Tabla9"/>
              <w:jc w:val="left"/>
            </w:pPr>
            <w:r>
              <w:t xml:space="preserve">O03</w:t>
            </w:r>
          </w:p>
        </w:tc>
        <w:tc>
          <w:tcPr/>
          <w:p>
            <w:pPr>
              <w:pStyle w:val="Tabla9"/>
              <w:jc w:val="left"/>
            </w:pPr>
            <w:r>
              <w:t xml:space="preserve">Registro ante la DNDA y asesoría de propiedad intelectual</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15,0</w:t>
            </w:r>
          </w:p>
        </w:tc>
      </w:tr>
      <w:tr>
        <w:trPr>
          <w:cantSplit/>
        </w:trPr>
        <w:tc>
          <w:tcPr/>
          <w:p>
            <w:pPr>
              <w:pStyle w:val="Tabla9"/>
              <w:jc w:val="left"/>
            </w:pPr>
            <w:r>
              <w:t xml:space="preserve">O05</w:t>
            </w:r>
          </w:p>
        </w:tc>
        <w:tc>
          <w:tcPr/>
          <w:p>
            <w:pPr>
              <w:pStyle w:val="Tabla9"/>
              <w:jc w:val="left"/>
            </w:pPr>
            <w:r>
              <w:t xml:space="preserve">Administración (revisoría y plataforma de seguimiento)</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360,0</w:t>
            </w:r>
          </w:p>
        </w:tc>
      </w:tr>
      <w:tr>
        <w:trPr>
          <w:cantSplit/>
        </w:trPr>
        <w:tc>
          <w:tcPr/>
          <w:p>
            <w:pPr>
              <w:pStyle w:val="Tabla9"/>
              <w:jc w:val="left"/>
            </w:pPr>
            <w:r>
              <w:t xml:space="preserve">O06</w:t>
            </w:r>
          </w:p>
        </w:tc>
        <w:tc>
          <w:tcPr/>
          <w:p>
            <w:pPr>
              <w:pStyle w:val="Tabla9"/>
              <w:jc w:val="left"/>
            </w:pPr>
            <w:r>
              <w:t xml:space="preserve">Publicaciones de divulgación y eventos de socialización</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60,0</w:t>
            </w:r>
          </w:p>
        </w:tc>
      </w:tr>
      <w:tr>
        <w:trPr>
          <w:cantSplit/>
        </w:trPr>
        <w:tc>
          <w:tcPr/>
          <w:p>
            <w:pPr>
              <w:pStyle w:val="Tabla9"/>
              <w:jc w:val="left"/>
            </w:pPr>
            <w:r>
              <w:t xml:space="preserve">X01</w:t>
            </w:r>
          </w:p>
        </w:tc>
        <w:tc>
          <w:tcPr/>
          <w:p>
            <w:pPr>
              <w:pStyle w:val="Tabla9"/>
              <w:jc w:val="left"/>
            </w:pPr>
            <w:r>
              <w:t xml:space="preserve">Reserva de contingencia (suma de valores monetarios esperados)</w:t>
            </w:r>
          </w:p>
        </w:tc>
        <w:tc>
          <w:tcPr/>
          <w:p>
            <w:pPr>
              <w:pStyle w:val="Tabla9"/>
              <w:jc w:val="left"/>
            </w:pPr>
            <w:r>
              <w:t xml:space="preserve">Reserva de contingencia</w:t>
            </w:r>
          </w:p>
        </w:tc>
        <w:tc>
          <w:tcPr/>
          <w:p>
            <w:pPr>
              <w:pStyle w:val="Tabla9"/>
              <w:jc w:val="left"/>
            </w:pPr>
            <w:r>
              <w:t xml:space="preserve">Universidad</w:t>
            </w:r>
          </w:p>
        </w:tc>
        <w:tc>
          <w:tcPr/>
          <w:p>
            <w:pPr>
              <w:pStyle w:val="Tabla9"/>
              <w:jc w:val="left"/>
            </w:pPr>
            <w:r>
              <w:t xml:space="preserve">636,0</w:t>
            </w:r>
          </w:p>
        </w:tc>
      </w:tr>
    </w:tbl>
    <w:p>
      <w:pPr>
        <w:pStyle w:val="TablaNota"/>
      </w:pPr>
      <w:r>
        <w:rPr>
          <w:i/>
          <w:iCs/>
        </w:rPr>
        <w:t xml:space="preserve">Nota.</w:t>
      </w:r>
      <w:r>
        <w:t xml:space="preserve"> </w:t>
      </w:r>
      <w:r>
        <w:t xml:space="preserve">Elaboración propia con las líneas del presupuesto SGR de la ficha maestra. La columna Actor es PROPUESTA: indica quién ejecuta técnicamente la línea. La contratación formal depende de las reglas del SGR y de los términos de referencia.</w:t>
      </w:r>
    </w:p>
    <w:p>
      <w:pPr>
        <w:pStyle w:val="BodyText"/>
      </w:pPr>
      <w:r>
        <w:t xml:space="preserve">Tres conclusiones se desprenden de la Tabla S.9. La primera: la empresa recibe 48,8 % del SGR y aporta 1.010 millones de COP. La relación entre ambas cifras debe validarse con sus costos reales [DATO_USUARIO: costos de la empresa]. La segunda: la Universidad concentra 41,4 % por la gerencia, la administración y la reserva. La tercera: el actor reconocido recibe 9,8 %, una participación que su perfil y su capacidad real pueden aumentar o reducir.</w:t>
      </w:r>
    </w:p>
    <w:bookmarkEnd w:id="33"/>
    <w:bookmarkStart w:id="34" w:name="_Toc00900012"/>
    <w:p>
      <w:pPr>
        <w:pStyle w:val="Heading2"/>
      </w:pPr>
      <w:r>
        <w:t xml:space="preserve">S.8 Beneficio que recibe cada actor</w:t>
      </w:r>
    </w:p>
    <w:p>
      <w:pPr>
        <w:pStyle w:val="FirstParagraph"/>
      </w:pPr>
      <w:r>
        <w:t xml:space="preserve">Los aliados preguntan qué ganan. La Tabla S.11 responde con datos del proyecto y declara lo que todavía no está definido. Ningún beneficio incluye afirmaciones sobre efectos en salud, porque el proyecto produce mediciones, uso institucional y continuidad.</w:t>
      </w:r>
    </w:p>
    <w:p>
      <w:pPr>
        <w:pStyle w:val="TablaRotulo"/>
      </w:pPr>
      <w:bookmarkStart w:id="9011" w:name="rot_Tabla_S_11"/>
      <w:r>
        <w:rPr>
          <w:b/>
          <w:bCs/>
        </w:rPr>
        <w:t xml:space="preserve">Tabla S.11</w:t>
      </w:r>
      <w:bookmarkEnd w:id="9011"/>
    </w:p>
    <w:p>
      <w:pPr>
        <w:pStyle w:val="TablaTitulo"/>
      </w:pPr>
      <w:r>
        <w:rPr>
          <w:i/>
          <w:iCs/>
        </w:rPr>
        <w:t xml:space="preserve">Beneficios y obligaciones por actor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18"/>
        <w:gridCol w:w="1914"/>
        <w:gridCol w:w="1782"/>
        <w:gridCol w:w="2706"/>
      </w:tblGrid>
      <w:tr>
        <w:trPr>
          <w:cantSplit/>
          <w:tblHeader/>
        </w:trPr>
        <w:tc>
          <w:tcPr>
            <w:shd w:val="clear" w:color="auto" w:fill="00B050"/>
          </w:tcPr>
          <w:p>
            <w:pPr>
              <w:pStyle w:val="Tabla9"/>
              <w:jc w:val="center"/>
            </w:pPr>
            <w:r>
              <w:rPr>
                <w:b/>
                <w:color w:val="FFFFFF"/>
              </w:rPr>
              <w:t xml:space="preserve">Actor</w:t>
            </w:r>
          </w:p>
        </w:tc>
        <w:tc>
          <w:tcPr>
            <w:shd w:val="clear" w:color="auto" w:fill="00B050"/>
          </w:tcPr>
          <w:p>
            <w:pPr>
              <w:pStyle w:val="Tabla9"/>
              <w:jc w:val="center"/>
            </w:pPr>
            <w:r>
              <w:rPr>
                <w:b/>
                <w:color w:val="FFFFFF"/>
              </w:rPr>
              <w:t xml:space="preserve">Qué recibe</w:t>
            </w:r>
          </w:p>
        </w:tc>
        <w:tc>
          <w:tcPr>
            <w:shd w:val="clear" w:color="auto" w:fill="00B050"/>
          </w:tcPr>
          <w:p>
            <w:pPr>
              <w:pStyle w:val="Tabla9"/>
              <w:jc w:val="center"/>
            </w:pPr>
            <w:r>
              <w:rPr>
                <w:b/>
                <w:color w:val="FFFFFF"/>
              </w:rPr>
              <w:t xml:space="preserve">Qué asume</w:t>
            </w:r>
          </w:p>
        </w:tc>
        <w:tc>
          <w:tcPr>
            <w:shd w:val="clear" w:color="auto" w:fill="00B050"/>
          </w:tcPr>
          <w:p>
            <w:pPr>
              <w:pStyle w:val="Tabla9"/>
              <w:jc w:val="center"/>
            </w:pPr>
            <w:r>
              <w:rPr>
                <w:b/>
                <w:color w:val="FFFFFF"/>
              </w:rPr>
              <w:t xml:space="preserve">Aún no definido</w:t>
            </w:r>
          </w:p>
        </w:tc>
      </w:tr>
      <w:tr>
        <w:trPr>
          <w:cantSplit/>
        </w:trPr>
        <w:tc>
          <w:tcPr/>
          <w:p>
            <w:pPr>
              <w:pStyle w:val="Tabla9"/>
              <w:jc w:val="left"/>
            </w:pPr>
            <w:r>
              <w:t xml:space="preserve">Universidad</w:t>
            </w:r>
          </w:p>
        </w:tc>
        <w:tc>
          <w:tcPr/>
          <w:p>
            <w:pPr>
              <w:pStyle w:val="Tabla9"/>
              <w:jc w:val="left"/>
            </w:pPr>
            <w:r>
              <w:t xml:space="preserve">Financiación de 24 meses de investigación aplicada por 3.618 M; 6 jóvenes investigadores, 2 maestrantes y 1 doctor posdoctoral; 2 artículos Q1 o Q2; un software registrado; banco de calibración y monitores de referencia</w:t>
            </w:r>
          </w:p>
        </w:tc>
        <w:tc>
          <w:tcPr/>
          <w:p>
            <w:pPr>
              <w:pStyle w:val="Tabla9"/>
              <w:jc w:val="left"/>
            </w:pPr>
            <w:r>
              <w:t xml:space="preserve">Responde ante el SGR por el proyecto; aporta 1.100 M en especie; administra y rinde cuentas</w:t>
            </w:r>
          </w:p>
        </w:tc>
        <w:tc>
          <w:tcPr/>
          <w:p>
            <w:pPr>
              <w:pStyle w:val="Tabla9"/>
              <w:jc w:val="left"/>
            </w:pPr>
            <w:r>
              <w:t xml:space="preserve">Titularidad de la propiedad intelectual; destino de los equipos al cierre</w:t>
            </w:r>
          </w:p>
        </w:tc>
      </w:tr>
      <w:tr>
        <w:trPr>
          <w:cantSplit/>
        </w:trPr>
        <w:tc>
          <w:tcPr/>
          <w:p>
            <w:pPr>
              <w:pStyle w:val="Tabla9"/>
              <w:jc w:val="left"/>
            </w:pPr>
            <w:r>
              <w:t xml:space="preserve">Actor reconocido por MinCiencias</w:t>
            </w:r>
          </w:p>
        </w:tc>
        <w:tc>
          <w:tcPr/>
          <w:p>
            <w:pPr>
              <w:pStyle w:val="Tabla9"/>
              <w:jc w:val="left"/>
            </w:pPr>
            <w:r>
              <w:t xml:space="preserve">Financiación de 852 M por verificación y formación; coautoría de los artículos; uso del banco de datos de colocalización; reconocimiento como laboratorio de referencia</w:t>
            </w:r>
          </w:p>
        </w:tc>
        <w:tc>
          <w:tcPr/>
          <w:p>
            <w:pPr>
              <w:pStyle w:val="Tabla9"/>
              <w:jc w:val="left"/>
            </w:pPr>
            <w:r>
              <w:t xml:space="preserve">Entrega verificaciones independientes y certifica a 60 personas</w:t>
            </w:r>
          </w:p>
        </w:tc>
        <w:tc>
          <w:tcPr/>
          <w:p>
            <w:pPr>
              <w:pStyle w:val="Tabla9"/>
              <w:jc w:val="left"/>
            </w:pPr>
            <w:r>
              <w:t xml:space="preserve">Contrapartida; modalidad de contratación</w:t>
            </w:r>
          </w:p>
        </w:tc>
      </w:tr>
      <w:tr>
        <w:trPr>
          <w:cantSplit/>
        </w:trPr>
        <w:tc>
          <w:tcPr/>
          <w:p>
            <w:pPr>
              <w:pStyle w:val="Tabla9"/>
              <w:jc w:val="left"/>
            </w:pPr>
            <w:r>
              <w:t xml:space="preserve">Empresa aliada</w:t>
            </w:r>
          </w:p>
        </w:tc>
        <w:tc>
          <w:tcPr/>
          <w:p>
            <w:pPr>
              <w:pStyle w:val="Tabla9"/>
              <w:jc w:val="left"/>
            </w:pPr>
            <w:r>
              <w:t xml:space="preserve">Ejecución de 4.260 M; producto probado de TRL 4 a TRL 7 en entorno operativo; 15 comités como referencia; unidad de expansión con costo marginal de 120,08 M por gateway con 10 nodos</w:t>
            </w:r>
          </w:p>
        </w:tc>
        <w:tc>
          <w:tcPr/>
          <w:p>
            <w:pPr>
              <w:pStyle w:val="Tabla9"/>
              <w:jc w:val="left"/>
            </w:pPr>
            <w:r>
              <w:t xml:space="preserve">Aporta 210 M en efectivo y 800 M en especie; responde por la plataforma y la instalación</w:t>
            </w:r>
          </w:p>
        </w:tc>
        <w:tc>
          <w:tcPr/>
          <w:p>
            <w:pPr>
              <w:pStyle w:val="Tabla9"/>
              <w:jc w:val="left"/>
            </w:pPr>
            <w:r>
              <w:t xml:space="preserve">Titularidad de la propiedad intelectual; margen neto; condiciones de explotación posterior</w:t>
            </w:r>
          </w:p>
        </w:tc>
      </w:tr>
      <w:tr>
        <w:trPr>
          <w:cantSplit/>
        </w:trPr>
        <w:tc>
          <w:tcPr/>
          <w:p>
            <w:pPr>
              <w:pStyle w:val="Tabla9"/>
              <w:jc w:val="left"/>
            </w:pPr>
            <w:r>
              <w:t xml:space="preserve">Municipio acompañante</w:t>
            </w:r>
          </w:p>
        </w:tc>
        <w:tc>
          <w:tcPr/>
          <w:p>
            <w:pPr>
              <w:pStyle w:val="Tabla9"/>
              <w:jc w:val="left"/>
            </w:pPr>
            <w:r>
              <w:t xml:space="preserve">Red de nodos en su territorio sin costo SGR para el municipio; tablero y protocolo de alerta; formación de 10 funcionarios por comité; 5.000 cartillas y 3.000 mascarillas N95 para el proyecto</w:t>
            </w:r>
          </w:p>
        </w:tc>
        <w:tc>
          <w:tcPr/>
          <w:p>
            <w:pPr>
              <w:pStyle w:val="Tabla9"/>
              <w:jc w:val="left"/>
            </w:pPr>
            <w:r>
              <w:t xml:space="preserve">Autoriza sitios, facilita el acceso, usa el tablero y asume la custodia al cierre</w:t>
            </w:r>
          </w:p>
        </w:tc>
        <w:tc>
          <w:tcPr/>
          <w:p>
            <w:pPr>
              <w:pStyle w:val="Tabla9"/>
              <w:jc w:val="left"/>
            </w:pPr>
            <w:r>
              <w:t xml:space="preserve">Costo de sostenimiento (NO_CALCULABLE); capacidad de absorción</w:t>
            </w:r>
          </w:p>
        </w:tc>
      </w:tr>
    </w:tbl>
    <w:p>
      <w:pPr>
        <w:pStyle w:val="TablaNota"/>
      </w:pPr>
      <w:r>
        <w:rPr>
          <w:i/>
          <w:iCs/>
        </w:rPr>
        <w:t xml:space="preserve">Nota.</w:t>
      </w:r>
      <w:r>
        <w:t xml:space="preserve"> </w:t>
      </w:r>
      <w:r>
        <w:t xml:space="preserve">Elaboración propia con la ficha maestra, la Tabla S.9 y la ruta de escala del capítulo 14. Las cifras monetarias son CALCULADAS y los beneficios cualitativos son PROPUESTOS. Valores en millones de COP (M).</w:t>
      </w:r>
    </w:p>
    <w:p>
      <w:pPr>
        <w:pStyle w:val="BodyText"/>
      </w:pPr>
      <w:r>
        <w:t xml:space="preserve">En una frase por actor, la respuesta a la pregunta «y yo qué gano» es la siguiente. La Universidad gana capacidad de investigación, formación y publicaciones. El actor reconocido gana un papel de referencia metrológica. La empresa gana un producto validado y una cartera de comités. El municipio gana una medición con error conocido y la capacidad de usarla, a cambio de custodiar la red.</w:t>
      </w:r>
    </w:p>
    <w:bookmarkEnd w:id="34"/>
    <w:bookmarkStart w:id="35" w:name="Xe5d1f55d5c58d69369864459041a8d5d94e9362"/>
    <w:p>
      <w:pPr>
        <w:pStyle w:val="Heading2"/>
      </w:pPr>
      <w:r>
        <w:t xml:space="preserve">S.9 Calendario hacia el documento técnico completo</w:t>
      </w:r>
    </w:p>
    <w:p>
      <w:pPr>
        <w:pStyle w:val="FirstParagraph"/>
      </w:pPr>
      <w:r>
        <w:t xml:space="preserve">La radicación cierra el 3 de noviembre de 2026 a las 4:00 p. m. El usuario confirmó la fecha el 16 de octubre, y la guía financiera de la Convocatoria 56 coincide. Este calendario parte de ella. Los términos de referencia completos deben ratificarla [DATO_USUARIO: confirmación en los términos de referencia].</w:t>
      </w:r>
    </w:p>
    <w:p>
      <w:pPr>
        <w:pStyle w:val="BodyText"/>
      </w:pPr>
      <w:r>
        <w:t xml:space="preserve">Desde el 16 de octubre quedan 18 días calendario hasta el cierre. El 2 de noviembre es probablemente festivo por el traslado de Todos los Santos. La Tabla S.12 fija fechas de entrega para que el documento técnico exista cuatro días hábiles antes del cierre.</w:t>
      </w:r>
    </w:p>
    <w:p>
      <w:pPr>
        <w:pStyle w:val="TablaRotulo"/>
      </w:pPr>
      <w:bookmarkStart w:id="9012" w:name="rot_Tabla_S_12"/>
      <w:r>
        <w:rPr>
          <w:b/>
          <w:bCs/>
        </w:rPr>
        <w:t xml:space="preserve">Tabla S.12</w:t>
      </w:r>
      <w:bookmarkEnd w:id="9012"/>
    </w:p>
    <w:p>
      <w:pPr>
        <w:pStyle w:val="TablaTitulo"/>
      </w:pPr>
      <w:r>
        <w:rPr>
          <w:i/>
          <w:iCs/>
        </w:rPr>
        <w:t xml:space="preserve">Calendario propuesto del 16 de octubre al 3 de noviembre de 2026</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90"/>
        <w:gridCol w:w="2508"/>
        <w:gridCol w:w="1782"/>
        <w:gridCol w:w="2640"/>
      </w:tblGrid>
      <w:tr>
        <w:trPr>
          <w:cantSplit/>
          <w:tblHeader/>
        </w:trPr>
        <w:tc>
          <w:tcPr>
            <w:shd w:val="clear" w:color="auto" w:fill="00B050"/>
          </w:tcPr>
          <w:p>
            <w:pPr>
              <w:pStyle w:val="Tabla9"/>
              <w:jc w:val="center"/>
            </w:pPr>
            <w:r>
              <w:rPr>
                <w:b/>
                <w:color w:val="FFFFFF"/>
              </w:rPr>
              <w:t xml:space="preserve">Fecha</w:t>
            </w:r>
          </w:p>
        </w:tc>
        <w:tc>
          <w:tcPr>
            <w:shd w:val="clear" w:color="auto" w:fill="00B050"/>
          </w:tcPr>
          <w:p>
            <w:pPr>
              <w:pStyle w:val="Tabla9"/>
              <w:jc w:val="center"/>
            </w:pPr>
            <w:r>
              <w:rPr>
                <w:b/>
                <w:color w:val="FFFFFF"/>
              </w:rPr>
              <w:t xml:space="preserve">Hito</w:t>
            </w:r>
          </w:p>
        </w:tc>
        <w:tc>
          <w:tcPr>
            <w:shd w:val="clear" w:color="auto" w:fill="00B050"/>
          </w:tcPr>
          <w:p>
            <w:pPr>
              <w:pStyle w:val="Tabla9"/>
              <w:jc w:val="center"/>
            </w:pPr>
            <w:r>
              <w:rPr>
                <w:b/>
                <w:color w:val="FFFFFF"/>
              </w:rPr>
              <w:t xml:space="preserve">Responsable</w:t>
            </w:r>
          </w:p>
        </w:tc>
        <w:tc>
          <w:tcPr>
            <w:shd w:val="clear" w:color="auto" w:fill="00B050"/>
          </w:tcPr>
          <w:p>
            <w:pPr>
              <w:pStyle w:val="Tabla9"/>
              <w:jc w:val="center"/>
            </w:pPr>
            <w:r>
              <w:rPr>
                <w:b/>
                <w:color w:val="FFFFFF"/>
              </w:rPr>
              <w:t xml:space="preserve">Entregable</w:t>
            </w:r>
          </w:p>
        </w:tc>
      </w:tr>
      <w:tr>
        <w:trPr>
          <w:cantSplit/>
        </w:trPr>
        <w:tc>
          <w:tcPr/>
          <w:p>
            <w:pPr>
              <w:pStyle w:val="Tabla9"/>
              <w:jc w:val="left"/>
            </w:pPr>
            <w:r>
              <w:t xml:space="preserve">Vie 16 oct</w:t>
            </w:r>
          </w:p>
        </w:tc>
        <w:tc>
          <w:tcPr/>
          <w:p>
            <w:pPr>
              <w:pStyle w:val="Tabla9"/>
              <w:jc w:val="left"/>
            </w:pPr>
            <w:r>
              <w:t xml:space="preserve">Envío del correo con la presentación y este borrador</w:t>
            </w:r>
          </w:p>
        </w:tc>
        <w:tc>
          <w:tcPr/>
          <w:p>
            <w:pPr>
              <w:pStyle w:val="Tabla9"/>
              <w:jc w:val="left"/>
            </w:pPr>
            <w:r>
              <w:t xml:space="preserve">Persona usuaria</w:t>
            </w:r>
          </w:p>
        </w:tc>
        <w:tc>
          <w:tcPr/>
          <w:p>
            <w:pPr>
              <w:pStyle w:val="Tabla9"/>
              <w:jc w:val="left"/>
            </w:pPr>
            <w:r>
              <w:t xml:space="preserve">Correo y documento</w:t>
            </w:r>
          </w:p>
        </w:tc>
      </w:tr>
      <w:tr>
        <w:trPr>
          <w:cantSplit/>
        </w:trPr>
        <w:tc>
          <w:tcPr/>
          <w:p>
            <w:pPr>
              <w:pStyle w:val="Tabla9"/>
              <w:jc w:val="left"/>
            </w:pPr>
            <w:r>
              <w:t xml:space="preserve">Lun 19 oct</w:t>
            </w:r>
          </w:p>
        </w:tc>
        <w:tc>
          <w:tcPr/>
          <w:p>
            <w:pPr>
              <w:pStyle w:val="Tabla9"/>
              <w:jc w:val="left"/>
            </w:pPr>
            <w:r>
              <w:t xml:space="preserve">Reunión con la Universidad</w:t>
            </w:r>
          </w:p>
        </w:tc>
        <w:tc>
          <w:tcPr/>
          <w:p>
            <w:pPr>
              <w:pStyle w:val="Tabla9"/>
              <w:jc w:val="left"/>
            </w:pPr>
            <w:r>
              <w:t xml:space="preserve">Persona usuaria y Universidad</w:t>
            </w:r>
          </w:p>
        </w:tc>
        <w:tc>
          <w:tcPr/>
          <w:p>
            <w:pPr>
              <w:pStyle w:val="Tabla9"/>
              <w:jc w:val="left"/>
            </w:pPr>
            <w:r>
              <w:t xml:space="preserve">Decisiones D1 a D9 de la sección S.10</w:t>
            </w:r>
          </w:p>
        </w:tc>
      </w:tr>
      <w:tr>
        <w:trPr>
          <w:cantSplit/>
        </w:trPr>
        <w:tc>
          <w:tcPr/>
          <w:p>
            <w:pPr>
              <w:pStyle w:val="Tabla9"/>
              <w:jc w:val="left"/>
            </w:pPr>
            <w:r>
              <w:t xml:space="preserve">Mié 21 oct</w:t>
            </w:r>
          </w:p>
        </w:tc>
        <w:tc>
          <w:tcPr/>
          <w:p>
            <w:pPr>
              <w:pStyle w:val="Tabla9"/>
              <w:jc w:val="left"/>
            </w:pPr>
            <w:r>
              <w:t xml:space="preserve">Datos de la Universidad y confirmación de los cuatro actores</w:t>
            </w:r>
          </w:p>
        </w:tc>
        <w:tc>
          <w:tcPr/>
          <w:p>
            <w:pPr>
              <w:pStyle w:val="Tabla9"/>
              <w:jc w:val="left"/>
            </w:pPr>
            <w:r>
              <w:t xml:space="preserve">Universidad</w:t>
            </w:r>
          </w:p>
        </w:tc>
        <w:tc>
          <w:tcPr/>
          <w:p>
            <w:pPr>
              <w:pStyle w:val="Tabla9"/>
              <w:jc w:val="left"/>
            </w:pPr>
            <w:r>
              <w:t xml:space="preserve">Nombre, grupos, investigadores, certificación de contrapartida</w:t>
            </w:r>
          </w:p>
        </w:tc>
      </w:tr>
      <w:tr>
        <w:trPr>
          <w:cantSplit/>
        </w:trPr>
        <w:tc>
          <w:tcPr/>
          <w:p>
            <w:pPr>
              <w:pStyle w:val="Tabla9"/>
              <w:jc w:val="left"/>
            </w:pPr>
            <w:r>
              <w:t xml:space="preserve">Vie 23 oct</w:t>
            </w:r>
          </w:p>
        </w:tc>
        <w:tc>
          <w:tcPr/>
          <w:p>
            <w:pPr>
              <w:pStyle w:val="Tabla9"/>
              <w:jc w:val="left"/>
            </w:pPr>
            <w:r>
              <w:t xml:space="preserve">Decisiones presupuestales de la sección S.13 y solicitud de cotizaciones</w:t>
            </w:r>
          </w:p>
        </w:tc>
        <w:tc>
          <w:tcPr/>
          <w:p>
            <w:pPr>
              <w:pStyle w:val="Tabla9"/>
              <w:jc w:val="left"/>
            </w:pPr>
            <w:r>
              <w:t xml:space="preserve">Universidad y empresa</w:t>
            </w:r>
          </w:p>
        </w:tc>
        <w:tc>
          <w:tcPr/>
          <w:p>
            <w:pPr>
              <w:pStyle w:val="Tabla9"/>
              <w:jc w:val="left"/>
            </w:pPr>
            <w:r>
              <w:t xml:space="preserve">Presupuesto ajustado y cotizaciones solicitadas</w:t>
            </w:r>
          </w:p>
        </w:tc>
      </w:tr>
      <w:tr>
        <w:trPr>
          <w:cantSplit/>
        </w:trPr>
        <w:tc>
          <w:tcPr/>
          <w:p>
            <w:pPr>
              <w:pStyle w:val="Tabla9"/>
              <w:jc w:val="left"/>
            </w:pPr>
            <w:r>
              <w:t xml:space="preserve">Mar 27 oct</w:t>
            </w:r>
          </w:p>
        </w:tc>
        <w:tc>
          <w:tcPr/>
          <w:p>
            <w:pPr>
              <w:pStyle w:val="Tabla9"/>
              <w:jc w:val="left"/>
            </w:pPr>
            <w:r>
              <w:t xml:space="preserve">Cartas de intención, lista de municipios y reportes de afectación</w:t>
            </w:r>
          </w:p>
        </w:tc>
        <w:tc>
          <w:tcPr/>
          <w:p>
            <w:pPr>
              <w:pStyle w:val="Tabla9"/>
              <w:jc w:val="left"/>
            </w:pPr>
            <w:r>
              <w:t xml:space="preserve">Universidad y municipio</w:t>
            </w:r>
          </w:p>
        </w:tc>
        <w:tc>
          <w:tcPr/>
          <w:p>
            <w:pPr>
              <w:pStyle w:val="Tabla9"/>
              <w:jc w:val="left"/>
            </w:pPr>
            <w:r>
              <w:t xml:space="preserve">Cartas en borrador; lista de municipios afectados</w:t>
            </w:r>
          </w:p>
        </w:tc>
      </w:tr>
      <w:tr>
        <w:trPr>
          <w:cantSplit/>
        </w:trPr>
        <w:tc>
          <w:tcPr/>
          <w:p>
            <w:pPr>
              <w:pStyle w:val="Tabla9"/>
              <w:jc w:val="left"/>
            </w:pPr>
            <w:r>
              <w:t xml:space="preserve">Mié 28 oct</w:t>
            </w:r>
          </w:p>
        </w:tc>
        <w:tc>
          <w:tcPr/>
          <w:p>
            <w:pPr>
              <w:pStyle w:val="Tabla9"/>
              <w:jc w:val="left"/>
            </w:pPr>
            <w:r>
              <w:t xml:space="preserve">Congelamiento de datos y recepción de cotizaciones</w:t>
            </w:r>
          </w:p>
        </w:tc>
        <w:tc>
          <w:tcPr/>
          <w:p>
            <w:pPr>
              <w:pStyle w:val="Tabla9"/>
              <w:jc w:val="left"/>
            </w:pPr>
            <w:r>
              <w:t xml:space="preserve">Universidad y empresa</w:t>
            </w:r>
          </w:p>
        </w:tc>
        <w:tc>
          <w:tcPr/>
          <w:p>
            <w:pPr>
              <w:pStyle w:val="Tabla9"/>
              <w:jc w:val="left"/>
            </w:pPr>
            <w:r>
              <w:t xml:space="preserve">Al menos dos cotizaciones por rubro; Anexo 3 diligenciado</w:t>
            </w:r>
          </w:p>
        </w:tc>
      </w:tr>
      <w:tr>
        <w:trPr>
          <w:cantSplit/>
        </w:trPr>
        <w:tc>
          <w:tcPr/>
          <w:p>
            <w:pPr>
              <w:pStyle w:val="Tabla9"/>
              <w:jc w:val="left"/>
            </w:pPr>
            <w:r>
              <w:t xml:space="preserve">Jue 29 oct</w:t>
            </w:r>
          </w:p>
        </w:tc>
        <w:tc>
          <w:tcPr/>
          <w:p>
            <w:pPr>
              <w:pStyle w:val="Tabla9"/>
              <w:jc w:val="left"/>
            </w:pPr>
            <w:r>
              <w:t xml:space="preserve">Documento técnico completo v1.0</w:t>
            </w:r>
          </w:p>
        </w:tc>
        <w:tc>
          <w:tcPr/>
          <w:p>
            <w:pPr>
              <w:pStyle w:val="Tabla9"/>
              <w:jc w:val="left"/>
            </w:pPr>
            <w:r>
              <w:t xml:space="preserve">Persona usuaria</w:t>
            </w:r>
          </w:p>
        </w:tc>
        <w:tc>
          <w:tcPr/>
          <w:p>
            <w:pPr>
              <w:pStyle w:val="Tabla9"/>
              <w:jc w:val="left"/>
            </w:pPr>
            <w:r>
              <w:t xml:space="preserve">Documento y Anexo 3 sin datos pendientes; verificadores ejecutados</w:t>
            </w:r>
          </w:p>
        </w:tc>
      </w:tr>
      <w:tr>
        <w:trPr>
          <w:cantSplit/>
        </w:trPr>
        <w:tc>
          <w:tcPr/>
          <w:p>
            <w:pPr>
              <w:pStyle w:val="Tabla9"/>
              <w:jc w:val="left"/>
            </w:pPr>
            <w:r>
              <w:t xml:space="preserve">Vie 30 oct</w:t>
            </w:r>
          </w:p>
        </w:tc>
        <w:tc>
          <w:tcPr/>
          <w:p>
            <w:pPr>
              <w:pStyle w:val="Tabla9"/>
              <w:jc w:val="left"/>
            </w:pPr>
            <w:r>
              <w:t xml:space="preserve">Revisión cruzada, firma del representante legal y carga de prueba en SIGP</w:t>
            </w:r>
          </w:p>
        </w:tc>
        <w:tc>
          <w:tcPr/>
          <w:p>
            <w:pPr>
              <w:pStyle w:val="Tabla9"/>
              <w:jc w:val="left"/>
            </w:pPr>
            <w:r>
              <w:t xml:space="preserve">Los cuatro actores</w:t>
            </w:r>
          </w:p>
        </w:tc>
        <w:tc>
          <w:tcPr/>
          <w:p>
            <w:pPr>
              <w:pStyle w:val="Tabla9"/>
              <w:jc w:val="left"/>
            </w:pPr>
            <w:r>
              <w:t xml:space="preserve">Comentarios cerrados; archivos dentro de los límites de tamaño</w:t>
            </w:r>
          </w:p>
        </w:tc>
      </w:tr>
      <w:tr>
        <w:trPr>
          <w:cantSplit/>
        </w:trPr>
        <w:tc>
          <w:tcPr/>
          <w:p>
            <w:pPr>
              <w:pStyle w:val="Tabla9"/>
              <w:jc w:val="left"/>
            </w:pPr>
            <w:r>
              <w:t xml:space="preserve">Lun 2 nov</w:t>
            </w:r>
          </w:p>
        </w:tc>
        <w:tc>
          <w:tcPr/>
          <w:p>
            <w:pPr>
              <w:pStyle w:val="Tabla9"/>
              <w:jc w:val="left"/>
            </w:pPr>
            <w:r>
              <w:t xml:space="preserve">Festivo probable: sin actividades</w:t>
            </w:r>
          </w:p>
        </w:tc>
        <w:tc>
          <w:tcPr/>
          <w:p>
            <w:pPr>
              <w:pStyle w:val="Tabla9"/>
              <w:jc w:val="left"/>
            </w:pPr>
            <w:r>
              <w:t xml:space="preserve">—</w:t>
            </w:r>
          </w:p>
        </w:tc>
        <w:tc>
          <w:tcPr/>
          <w:p>
            <w:pPr>
              <w:pStyle w:val="Tabla9"/>
              <w:jc w:val="left"/>
            </w:pPr>
            <w:r>
              <w:t xml:space="preserve">—</w:t>
            </w:r>
          </w:p>
        </w:tc>
      </w:tr>
      <w:tr>
        <w:trPr>
          <w:cantSplit/>
        </w:trPr>
        <w:tc>
          <w:tcPr/>
          <w:p>
            <w:pPr>
              <w:pStyle w:val="Tabla9"/>
              <w:jc w:val="left"/>
            </w:pPr>
            <w:r>
              <w:t xml:space="preserve">Mar 3 nov</w:t>
            </w:r>
          </w:p>
        </w:tc>
        <w:tc>
          <w:tcPr/>
          <w:p>
            <w:pPr>
              <w:pStyle w:val="Tabla9"/>
              <w:jc w:val="left"/>
            </w:pPr>
            <w:r>
              <w:t xml:space="preserve">Radicación antes de las 12:00 m.</w:t>
            </w:r>
          </w:p>
        </w:tc>
        <w:tc>
          <w:tcPr/>
          <w:p>
            <w:pPr>
              <w:pStyle w:val="Tabla9"/>
              <w:jc w:val="left"/>
            </w:pPr>
            <w:r>
              <w:t xml:space="preserve">Universidad</w:t>
            </w:r>
          </w:p>
        </w:tc>
        <w:tc>
          <w:tcPr/>
          <w:p>
            <w:pPr>
              <w:pStyle w:val="Tabla9"/>
              <w:jc w:val="left"/>
            </w:pPr>
            <w:r>
              <w:t xml:space="preserve">Proyecto radicado; cierre a las 4:00 p. m.</w:t>
            </w:r>
          </w:p>
        </w:tc>
      </w:tr>
    </w:tbl>
    <w:p>
      <w:pPr>
        <w:pStyle w:val="TablaNota"/>
      </w:pPr>
      <w:r>
        <w:rPr>
          <w:i/>
          <w:iCs/>
        </w:rPr>
        <w:t xml:space="preserve">Nota.</w:t>
      </w:r>
      <w:r>
        <w:t xml:space="preserve"> </w:t>
      </w:r>
      <w:r>
        <w:t xml:space="preserve">Elaboración propia. Fechas PROPUESTAS; los días de la semana se verificaron con el calendario de 2026. La fecha de cierre es DECLARADA por el usuario y coincide con la guía financiera de la Convocatoria 56. El festivo del 2 de noviembre queda NO_VERIFICADO.</w:t>
      </w:r>
    </w:p>
    <w:p>
      <w:pPr>
        <w:pStyle w:val="BodyText"/>
      </w:pPr>
      <w:r>
        <w:t xml:space="preserve">La regla de control es sencilla. Ningún dato posterior al 28 de octubre cambia la estructura del documento. Los datos tardíos se incorporan como anexos o como notas de corrección. El plazo no admite subsanar la ausencia de cotizaciones ni de memorias de cantidades después del cierre.</w:t>
      </w:r>
    </w:p>
    <w:bookmarkEnd w:id="35"/>
    <w:bookmarkStart w:id="36" w:name="Xd06a668fd7b87c0470c27cc304d0c2823abc1da"/>
    <w:p>
      <w:pPr>
        <w:pStyle w:val="Heading2"/>
      </w:pPr>
      <w:r>
        <w:t xml:space="preserve">S.10 Agenda de la reunión con la Universidad</w:t>
      </w:r>
    </w:p>
    <w:p>
      <w:pPr>
        <w:pStyle w:val="FirstParagraph"/>
      </w:pPr>
      <w:r>
        <w:t xml:space="preserve">La reunión del 19 de octubre busca nueve decisiones. La Tabla S.13 las enumera con el motivo por el cual cada una condiciona el documento. La reunión dura 90 minutos y termina con un acta que asigna responsable y fecha a cada dato pendiente.</w:t>
      </w:r>
    </w:p>
    <w:p>
      <w:pPr>
        <w:pStyle w:val="TablaRotulo"/>
      </w:pPr>
      <w:bookmarkStart w:id="9013" w:name="rot_Tabla_S_13"/>
      <w:r>
        <w:rPr>
          <w:b/>
          <w:bCs/>
        </w:rPr>
        <w:t xml:space="preserve">Tabla S.13</w:t>
      </w:r>
      <w:bookmarkEnd w:id="9013"/>
    </w:p>
    <w:p>
      <w:pPr>
        <w:pStyle w:val="TablaTitulo"/>
      </w:pPr>
      <w:r>
        <w:rPr>
          <w:i/>
          <w:iCs/>
        </w:rPr>
        <w:t xml:space="preserve">Decisiones y datos que se requieren de la Universidad</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20"/>
        <w:gridCol w:w="3534"/>
        <w:gridCol w:w="3665"/>
      </w:tblGrid>
      <w:tr>
        <w:trPr>
          <w:cantSplit/>
          <w:tblHeader/>
        </w:trPr>
        <w:tc>
          <w:tcPr>
            <w:shd w:val="clear" w:color="auto" w:fill="00B050"/>
          </w:tcPr>
          <w:p>
            <w:pPr>
              <w:pStyle w:val="Tabla9"/>
              <w:jc w:val="center"/>
            </w:pPr>
            <w:r>
              <w:rPr>
                <w:b/>
                <w:color w:val="FFFFFF"/>
              </w:rPr>
              <w:t xml:space="preserve">N.º</w:t>
            </w:r>
          </w:p>
        </w:tc>
        <w:tc>
          <w:tcPr>
            <w:shd w:val="clear" w:color="auto" w:fill="00B050"/>
          </w:tcPr>
          <w:p>
            <w:pPr>
              <w:pStyle w:val="Tabla9"/>
              <w:jc w:val="center"/>
            </w:pPr>
            <w:r>
              <w:rPr>
                <w:b/>
                <w:color w:val="FFFFFF"/>
              </w:rPr>
              <w:t xml:space="preserve">Decisión o dato</w:t>
            </w:r>
          </w:p>
        </w:tc>
        <w:tc>
          <w:tcPr>
            <w:shd w:val="clear" w:color="auto" w:fill="00B050"/>
          </w:tcPr>
          <w:p>
            <w:pPr>
              <w:pStyle w:val="Tabla9"/>
              <w:jc w:val="center"/>
            </w:pPr>
            <w:r>
              <w:rPr>
                <w:b/>
                <w:color w:val="FFFFFF"/>
              </w:rPr>
              <w:t xml:space="preserve">Por qué condiciona el documento</w:t>
            </w:r>
          </w:p>
        </w:tc>
      </w:tr>
      <w:tr>
        <w:trPr>
          <w:cantSplit/>
        </w:trPr>
        <w:tc>
          <w:tcPr/>
          <w:p>
            <w:pPr>
              <w:pStyle w:val="Tabla9"/>
              <w:jc w:val="left"/>
            </w:pPr>
            <w:r>
              <w:t xml:space="preserve">D1</w:t>
            </w:r>
          </w:p>
        </w:tc>
        <w:tc>
          <w:tcPr/>
          <w:p>
            <w:pPr>
              <w:pStyle w:val="Tabla9"/>
              <w:jc w:val="left"/>
            </w:pPr>
            <w:r>
              <w:t xml:space="preserve">Nombre de la universidad, grupo(s) de investigación y categoría vigente en MinCiencias</w:t>
            </w:r>
          </w:p>
        </w:tc>
        <w:tc>
          <w:tcPr/>
          <w:p>
            <w:pPr>
              <w:pStyle w:val="Tabla9"/>
              <w:jc w:val="left"/>
            </w:pPr>
            <w:r>
              <w:t xml:space="preserve">El proponente debe contar con un grupo de investigación, según los términos de referencia</w:t>
            </w:r>
          </w:p>
        </w:tc>
      </w:tr>
      <w:tr>
        <w:trPr>
          <w:cantSplit/>
        </w:trPr>
        <w:tc>
          <w:tcPr/>
          <w:p>
            <w:pPr>
              <w:pStyle w:val="Tabla9"/>
              <w:jc w:val="left"/>
            </w:pPr>
            <w:r>
              <w:t xml:space="preserve">D2</w:t>
            </w:r>
          </w:p>
        </w:tc>
        <w:tc>
          <w:tcPr/>
          <w:p>
            <w:pPr>
              <w:pStyle w:val="Tabla9"/>
              <w:jc w:val="left"/>
            </w:pPr>
            <w:r>
              <w:t xml:space="preserve">Departamento sede y municipio acompañante</w:t>
            </w:r>
          </w:p>
        </w:tc>
        <w:tc>
          <w:tcPr/>
          <w:p>
            <w:pPr>
              <w:pStyle w:val="Tabla9"/>
              <w:jc w:val="left"/>
            </w:pPr>
            <w:r>
              <w:t xml:space="preserve">Fija el territorio, los sitios y el comité beneficiario</w:t>
            </w:r>
          </w:p>
        </w:tc>
      </w:tr>
      <w:tr>
        <w:trPr>
          <w:cantSplit/>
        </w:trPr>
        <w:tc>
          <w:tcPr/>
          <w:p>
            <w:pPr>
              <w:pStyle w:val="Tabla9"/>
              <w:jc w:val="left"/>
            </w:pPr>
            <w:r>
              <w:t xml:space="preserve">D3</w:t>
            </w:r>
          </w:p>
        </w:tc>
        <w:tc>
          <w:tcPr/>
          <w:p>
            <w:pPr>
              <w:pStyle w:val="Tabla9"/>
              <w:jc w:val="left"/>
            </w:pPr>
            <w:r>
              <w:t xml:space="preserve">Actor reconocido por MinCiencias, su papel y su contrapartida</w:t>
            </w:r>
          </w:p>
        </w:tc>
        <w:tc>
          <w:tcPr/>
          <w:p>
            <w:pPr>
              <w:pStyle w:val="Tabla9"/>
              <w:jc w:val="left"/>
            </w:pPr>
            <w:r>
              <w:t xml:space="preserve">Cada integrante de la alianza debe comprometer una contrapartida</w:t>
            </w:r>
          </w:p>
        </w:tc>
      </w:tr>
      <w:tr>
        <w:trPr>
          <w:cantSplit/>
        </w:trPr>
        <w:tc>
          <w:tcPr/>
          <w:p>
            <w:pPr>
              <w:pStyle w:val="Tabla9"/>
              <w:jc w:val="left"/>
            </w:pPr>
            <w:r>
              <w:t xml:space="preserve">D4</w:t>
            </w:r>
          </w:p>
        </w:tc>
        <w:tc>
          <w:tcPr/>
          <w:p>
            <w:pPr>
              <w:pStyle w:val="Tabla9"/>
              <w:jc w:val="left"/>
            </w:pPr>
            <w:r>
              <w:t xml:space="preserve">Empresa aliada, contrapartida y forma de contratación</w:t>
            </w:r>
          </w:p>
        </w:tc>
        <w:tc>
          <w:tcPr/>
          <w:p>
            <w:pPr>
              <w:pStyle w:val="Tabla9"/>
              <w:jc w:val="left"/>
            </w:pPr>
            <w:r>
              <w:t xml:space="preserve">Determina si la empresa puede ejecutar líneas del SGR</w:t>
            </w:r>
          </w:p>
        </w:tc>
      </w:tr>
      <w:tr>
        <w:trPr>
          <w:cantSplit/>
        </w:trPr>
        <w:tc>
          <w:tcPr/>
          <w:p>
            <w:pPr>
              <w:pStyle w:val="Tabla9"/>
              <w:jc w:val="left"/>
            </w:pPr>
            <w:r>
              <w:t xml:space="preserve">D5</w:t>
            </w:r>
          </w:p>
        </w:tc>
        <w:tc>
          <w:tcPr/>
          <w:p>
            <w:pPr>
              <w:pStyle w:val="Tabla9"/>
              <w:jc w:val="left"/>
            </w:pPr>
            <w:r>
              <w:t xml:space="preserve">Certificación de la contrapartida de 1.100 millones de COP</w:t>
            </w:r>
          </w:p>
        </w:tc>
        <w:tc>
          <w:tcPr/>
          <w:p>
            <w:pPr>
              <w:pStyle w:val="Tabla9"/>
              <w:jc w:val="left"/>
            </w:pPr>
            <w:r>
              <w:t xml:space="preserve">El expediente no la soporta y el riesgo R-FIN-02 la menciona</w:t>
            </w:r>
          </w:p>
        </w:tc>
      </w:tr>
      <w:tr>
        <w:trPr>
          <w:cantSplit/>
        </w:trPr>
        <w:tc>
          <w:tcPr/>
          <w:p>
            <w:pPr>
              <w:pStyle w:val="Tabla9"/>
              <w:jc w:val="left"/>
            </w:pPr>
            <w:r>
              <w:t xml:space="preserve">D6</w:t>
            </w:r>
          </w:p>
        </w:tc>
        <w:tc>
          <w:tcPr/>
          <w:p>
            <w:pPr>
              <w:pStyle w:val="Tabla9"/>
              <w:jc w:val="left"/>
            </w:pPr>
            <w:r>
              <w:t xml:space="preserve">Titularidad de la propiedad intelectual y destino de los equipos</w:t>
            </w:r>
          </w:p>
        </w:tc>
        <w:tc>
          <w:tcPr/>
          <w:p>
            <w:pPr>
              <w:pStyle w:val="Tabla9"/>
              <w:jc w:val="left"/>
            </w:pPr>
            <w:r>
              <w:t xml:space="preserve">Condiciona el beneficio de cada actor y la cláusula de apertura</w:t>
            </w:r>
          </w:p>
        </w:tc>
      </w:tr>
      <w:tr>
        <w:trPr>
          <w:cantSplit/>
        </w:trPr>
        <w:tc>
          <w:tcPr/>
          <w:p>
            <w:pPr>
              <w:pStyle w:val="Tabla9"/>
              <w:jc w:val="left"/>
            </w:pPr>
            <w:r>
              <w:t xml:space="preserve">D7</w:t>
            </w:r>
          </w:p>
        </w:tc>
        <w:tc>
          <w:tcPr/>
          <w:p>
            <w:pPr>
              <w:pStyle w:val="Tabla9"/>
              <w:jc w:val="left"/>
            </w:pPr>
            <w:r>
              <w:t xml:space="preserve">Nivel de madurez tecnológica objetivo: TRL 7 o TRL 9</w:t>
            </w:r>
          </w:p>
        </w:tc>
        <w:tc>
          <w:tcPr/>
          <w:p>
            <w:pPr>
              <w:pStyle w:val="Tabla9"/>
              <w:jc w:val="left"/>
            </w:pPr>
            <w:r>
              <w:t xml:space="preserve">El Anexo 2 prioriza TRL 9 y el proyecto compromete TRL 7</w:t>
            </w:r>
          </w:p>
        </w:tc>
      </w:tr>
      <w:tr>
        <w:trPr>
          <w:cantSplit/>
        </w:trPr>
        <w:tc>
          <w:tcPr/>
          <w:p>
            <w:pPr>
              <w:pStyle w:val="Tabla9"/>
              <w:jc w:val="left"/>
            </w:pPr>
            <w:r>
              <w:t xml:space="preserve">D8</w:t>
            </w:r>
          </w:p>
        </w:tc>
        <w:tc>
          <w:tcPr/>
          <w:p>
            <w:pPr>
              <w:pStyle w:val="Tabla9"/>
              <w:jc w:val="left"/>
            </w:pPr>
            <w:r>
              <w:t xml:space="preserve">Términos de referencia completos y anexos de la convocatoria</w:t>
            </w:r>
          </w:p>
        </w:tc>
        <w:tc>
          <w:tcPr/>
          <w:p>
            <w:pPr>
              <w:pStyle w:val="Tabla9"/>
              <w:jc w:val="left"/>
            </w:pPr>
            <w:r>
              <w:t xml:space="preserve">Sin ellos, la estructura, los topes y el puntaje siguen parcialmente supuestos</w:t>
            </w:r>
          </w:p>
        </w:tc>
      </w:tr>
      <w:tr>
        <w:trPr>
          <w:cantSplit/>
        </w:trPr>
        <w:tc>
          <w:tcPr/>
          <w:p>
            <w:pPr>
              <w:pStyle w:val="Tabla9"/>
              <w:jc w:val="left"/>
            </w:pPr>
            <w:r>
              <w:t xml:space="preserve">D9</w:t>
            </w:r>
          </w:p>
        </w:tc>
        <w:tc>
          <w:tcPr/>
          <w:p>
            <w:pPr>
              <w:pStyle w:val="Tabla9"/>
              <w:jc w:val="left"/>
            </w:pPr>
            <w:r>
              <w:t xml:space="preserve">Cotizaciones y contrapartida del actor reconocido, y ratificación de los ajustes de la sección S.13</w:t>
            </w:r>
          </w:p>
        </w:tc>
        <w:tc>
          <w:tcPr/>
          <w:p>
            <w:pPr>
              <w:pStyle w:val="Tabla9"/>
              <w:jc w:val="left"/>
            </w:pPr>
            <w:r>
              <w:t xml:space="preserve">Las cotizaciones sustentan los precios y la contrapartida es exigida a cada integrante</w:t>
            </w:r>
          </w:p>
        </w:tc>
      </w:tr>
    </w:tbl>
    <w:p>
      <w:pPr>
        <w:pStyle w:val="TablaNota"/>
      </w:pPr>
      <w:r>
        <w:rPr>
          <w:i/>
          <w:iCs/>
        </w:rPr>
        <w:t xml:space="preserve">Nota.</w:t>
      </w:r>
      <w:r>
        <w:t xml:space="preserve"> </w:t>
      </w:r>
      <w:r>
        <w:t xml:space="preserve">Elaboración propia. Los términos de referencia completos, el Plan de Desarrollo y los demás anexos no se aportaron al proyecto (NO_VERIFICADO).</w:t>
      </w:r>
    </w:p>
    <w:bookmarkEnd w:id="36"/>
    <w:bookmarkStart w:id="37" w:name="_Toc00900013"/>
    <w:p>
      <w:pPr>
        <w:pStyle w:val="Heading2"/>
      </w:pPr>
      <w:r>
        <w:t xml:space="preserve">S.11 Borrador del correo</w:t>
      </w:r>
    </w:p>
    <w:p>
      <w:pPr>
        <w:pStyle w:val="FirstParagraph"/>
      </w:pPr>
      <w:r>
        <w:t xml:space="preserve">El texto siguiente responde a la solicitud de la sección S.1. Puede enviarse sin cambios una vez se completen los nombres entre corchetes.</w:t>
      </w:r>
    </w:p>
    <w:p>
      <w:pPr>
        <w:pStyle w:val="BodyText"/>
      </w:pPr>
      <w:r>
        <w:rPr>
          <w:b/>
          <w:bCs/>
        </w:rPr>
        <w:t xml:space="preserve">Asunto:</w:t>
      </w:r>
      <w:r>
        <w:t xml:space="preserve"> </w:t>
      </w:r>
      <w:r>
        <w:t xml:space="preserve">Proyecto SGR_CONV56_AIRE: qué es, qué hace cada aliado, presupuesto y calendario.</w:t>
      </w:r>
    </w:p>
    <w:p>
      <w:pPr>
        <w:pStyle w:val="BodyText"/>
      </w:pPr>
      <w:r>
        <w:t xml:space="preserve">Hola [DATO_USUARIO: nombre del destinatario],</w:t>
      </w:r>
    </w:p>
    <w:p>
      <w:pPr>
        <w:pStyle w:val="BodyText"/>
      </w:pPr>
      <w:r>
        <w:t xml:space="preserve">Gracias por tu mensaje. Aquí está la presentación que pediste, con una sola opción: la más alineada con la emergencia del terremoto.</w:t>
      </w:r>
    </w:p>
    <w:p>
      <w:pPr>
        <w:pStyle w:val="BodyText"/>
      </w:pPr>
      <w:r>
        <w:rPr>
          <w:b/>
          <w:bCs/>
        </w:rPr>
        <w:t xml:space="preserve">1. Qué es el proyecto.</w:t>
      </w:r>
      <w:r>
        <w:t xml:space="preserve"> </w:t>
      </w:r>
      <w:r>
        <w:t xml:space="preserve">Una red de 100 nodos de bajo costo y 10 gateways mide PM2,5 y PM10 en sitios de remoción de escombros. Corrige el error de cada medición. Entrega un tablero y un protocolo de alerta a 15 comités de gestión del riesgo. Dura 24 meses. Solicita 8.729.840.000 COP al SGR y suma 2.110.000.000 COP de contrapartida. El presupuesto ya está ajustado a las reglas de la convocatoria (sección S.13).</w:t>
      </w:r>
    </w:p>
    <w:p>
      <w:pPr>
        <w:pStyle w:val="BodyText"/>
      </w:pPr>
      <w:r>
        <w:rPr>
          <w:b/>
          <w:bCs/>
        </w:rPr>
        <w:t xml:space="preserve">2. Alianza propuesta.</w:t>
      </w:r>
      <w:r>
        <w:t xml:space="preserve"> </w:t>
      </w:r>
      <w:r>
        <w:t xml:space="preserve">La Universidad, con su grupo de investigación reconocido por MinCiencias, es la proponente. La acompañan un municipio beneficiario, un actor reconocido por MinCiencias y una empresa aliada.</w:t>
      </w:r>
    </w:p>
    <w:p>
      <w:pPr>
        <w:pStyle w:val="BodyText"/>
      </w:pPr>
      <w:r>
        <w:rPr>
          <w:b/>
          <w:bCs/>
        </w:rPr>
        <w:t xml:space="preserve">3. Objetivo de cada aliado.</w:t>
      </w:r>
      <w:r>
        <w:t xml:space="preserve"> </w:t>
      </w:r>
      <w:r>
        <w:t xml:space="preserve">La Universidad responde por la calibración y la validación del modelo. El actor reconocido verifica de forma independiente y forma a los custodios. La empresa instala y opera la red y la plataforma. El municipio usa el tablero y recibe la custodia.</w:t>
      </w:r>
    </w:p>
    <w:p>
      <w:pPr>
        <w:pStyle w:val="BodyText"/>
      </w:pPr>
      <w:r>
        <w:rPr>
          <w:b/>
          <w:bCs/>
        </w:rPr>
        <w:t xml:space="preserve">4. Actividades y presupuesto.</w:t>
      </w:r>
      <w:r>
        <w:t xml:space="preserve"> </w:t>
      </w:r>
      <w:r>
        <w:t xml:space="preserve">El documento adjunto asigna a cada actor las 17 actividades y las 54 líneas del presupuesto (secciones S.6 y S.7).</w:t>
      </w:r>
    </w:p>
    <w:p>
      <w:pPr>
        <w:pStyle w:val="BodyText"/>
      </w:pPr>
      <w:r>
        <w:rPr>
          <w:b/>
          <w:bCs/>
        </w:rPr>
        <w:t xml:space="preserve">5. Beneficio de cada actor.</w:t>
      </w:r>
      <w:r>
        <w:t xml:space="preserve"> </w:t>
      </w:r>
      <w:r>
        <w:t xml:space="preserve">Está en la sección S.8, con lo que cada uno recibe y lo que asume.</w:t>
      </w:r>
    </w:p>
    <w:p>
      <w:pPr>
        <w:pStyle w:val="BodyText"/>
      </w:pPr>
      <w:r>
        <w:rPr>
          <w:b/>
          <w:bCs/>
        </w:rPr>
        <w:t xml:space="preserve">6. Fechas.</w:t>
      </w:r>
      <w:r>
        <w:t xml:space="preserve"> </w:t>
      </w:r>
      <w:r>
        <w:t xml:space="preserve">La radicación cierra el 3 de noviembre a las 4:00 p. m. Por eso el documento técnico completo estará listo el 29 de octubre. Los cuatro actores lo revisan y firman el 30 de octubre. La radicación se prevé el 3 de noviembre antes del mediodía.</w:t>
      </w:r>
    </w:p>
    <w:p>
      <w:pPr>
        <w:pStyle w:val="BodyText"/>
      </w:pPr>
      <w:r>
        <w:rPr>
          <w:b/>
          <w:bCs/>
        </w:rPr>
        <w:t xml:space="preserve">7. Lo que necesitamos.</w:t>
      </w:r>
      <w:r>
        <w:t xml:space="preserve"> </w:t>
      </w:r>
      <w:r>
        <w:t xml:space="preserve">Una reunión con la Universidad el 19 de octubre. Necesitamos también los datos de la sección S.10 antes del 21 de octubre. Y, de cada aliado, al menos dos cotizaciones por rubro antes del 28 de octubre.</w:t>
      </w:r>
    </w:p>
    <w:p>
      <w:pPr>
        <w:pStyle w:val="BodyText"/>
      </w:pPr>
      <w:r>
        <w:t xml:space="preserve">Quedo atento.</w:t>
      </w:r>
    </w:p>
    <w:p>
      <w:pPr>
        <w:pStyle w:val="BodyText"/>
      </w:pPr>
      <w:r>
        <w:t xml:space="preserve">[DATO_USUARIO: firma]</w:t>
      </w:r>
    </w:p>
    <w:bookmarkEnd w:id="37"/>
    <w:bookmarkStart w:id="38" w:name="_Toc00900014"/>
    <w:p>
      <w:pPr>
        <w:pStyle w:val="Heading2"/>
      </w:pPr>
      <w:r>
        <w:t xml:space="preserve">S.12 ¿Qué se me escapa?</w:t>
      </w:r>
    </w:p>
    <w:p>
      <w:pPr>
        <w:pStyle w:val="FirstParagraph"/>
      </w:pPr>
      <w:r>
        <w:t xml:space="preserve">Cinco vacíos pueden afectar la propuesta. La Tabla S.14 los relaciona con su riesgo y con una ruta de solución. El riesgo mayor es de calendario. Si la Universidad entrega los datos después del 28 de octubre, el documento llegaría al cierre sin certificaciones, cotizaciones ni cartas.</w:t>
      </w:r>
    </w:p>
    <w:p>
      <w:pPr>
        <w:pStyle w:val="TablaRotulo"/>
      </w:pPr>
      <w:bookmarkStart w:id="9014" w:name="rot_Tabla_S_14"/>
      <w:r>
        <w:rPr>
          <w:b/>
          <w:bCs/>
        </w:rPr>
        <w:t xml:space="preserve">Tabla S.14</w:t>
      </w:r>
      <w:bookmarkEnd w:id="9014"/>
    </w:p>
    <w:p>
      <w:pPr>
        <w:pStyle w:val="TablaTitulo"/>
      </w:pPr>
      <w:r>
        <w:rPr>
          <w:i/>
          <w:iCs/>
        </w:rPr>
        <w:t xml:space="preserve">Vacíos de la alianza, riesgo y ruta de solución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574"/>
        <w:gridCol w:w="2706"/>
        <w:gridCol w:w="2640"/>
      </w:tblGrid>
      <w:tr>
        <w:trPr>
          <w:cantSplit/>
          <w:tblHeader/>
        </w:trPr>
        <w:tc>
          <w:tcPr>
            <w:shd w:val="clear" w:color="auto" w:fill="00B050"/>
          </w:tcPr>
          <w:p>
            <w:pPr>
              <w:pStyle w:val="Tabla9"/>
              <w:jc w:val="center"/>
            </w:pPr>
            <w:r>
              <w:rPr>
                <w:b/>
                <w:color w:val="FFFFFF"/>
              </w:rPr>
              <w:t xml:space="preserve">Vacío</w:t>
            </w:r>
          </w:p>
        </w:tc>
        <w:tc>
          <w:tcPr>
            <w:shd w:val="clear" w:color="auto" w:fill="00B050"/>
          </w:tcPr>
          <w:p>
            <w:pPr>
              <w:pStyle w:val="Tabla9"/>
              <w:jc w:val="center"/>
            </w:pPr>
            <w:r>
              <w:rPr>
                <w:b/>
                <w:color w:val="FFFFFF"/>
              </w:rPr>
              <w:t xml:space="preserve">Riesgo si no se resuelve</w:t>
            </w:r>
          </w:p>
        </w:tc>
        <w:tc>
          <w:tcPr>
            <w:shd w:val="clear" w:color="auto" w:fill="00B050"/>
          </w:tcPr>
          <w:p>
            <w:pPr>
              <w:pStyle w:val="Tabla9"/>
              <w:jc w:val="center"/>
            </w:pPr>
            <w:r>
              <w:rPr>
                <w:b/>
                <w:color w:val="FFFFFF"/>
              </w:rPr>
              <w:t xml:space="preserve">Ruta de solución</w:t>
            </w:r>
          </w:p>
        </w:tc>
      </w:tr>
      <w:tr>
        <w:trPr>
          <w:cantSplit/>
        </w:trPr>
        <w:tc>
          <w:tcPr/>
          <w:p>
            <w:pPr>
              <w:pStyle w:val="Tabla9"/>
              <w:jc w:val="left"/>
            </w:pPr>
            <w:r>
              <w:t xml:space="preserve">Términos de referencia completos no aportados</w:t>
            </w:r>
          </w:p>
        </w:tc>
        <w:tc>
          <w:tcPr/>
          <w:p>
            <w:pPr>
              <w:pStyle w:val="Tabla9"/>
              <w:jc w:val="left"/>
            </w:pPr>
            <w:r>
              <w:t xml:space="preserve">La estructura, los topes y el puntaje siguen parcialmente supuestos</w:t>
            </w:r>
          </w:p>
        </w:tc>
        <w:tc>
          <w:tcPr/>
          <w:p>
            <w:pPr>
              <w:pStyle w:val="Tabla9"/>
              <w:jc w:val="left"/>
            </w:pPr>
            <w:r>
              <w:t xml:space="preserve">Obtenerlos en la reunión del 19 de octubre; hoy solo se consultó la guía financiera y el Anexo 3</w:t>
            </w:r>
          </w:p>
        </w:tc>
      </w:tr>
      <w:tr>
        <w:trPr>
          <w:cantSplit/>
        </w:trPr>
        <w:tc>
          <w:tcPr/>
          <w:p>
            <w:pPr>
              <w:pStyle w:val="Tabla9"/>
              <w:jc w:val="left"/>
            </w:pPr>
            <w:r>
              <w:t xml:space="preserve">La empresa no figura entre las categorías de puntuación</w:t>
            </w:r>
          </w:p>
        </w:tc>
        <w:tc>
          <w:tcPr/>
          <w:p>
            <w:pPr>
              <w:pStyle w:val="Tabla9"/>
              <w:jc w:val="left"/>
            </w:pPr>
            <w:r>
              <w:t xml:space="preserve">La empresa podría no ser aliada ni ejecutar líneas del SGR</w:t>
            </w:r>
          </w:p>
        </w:tc>
        <w:tc>
          <w:tcPr/>
          <w:p>
            <w:pPr>
              <w:pStyle w:val="Tabla9"/>
              <w:jc w:val="left"/>
            </w:pPr>
            <w:r>
              <w:t xml:space="preserve">Confirmar con los términos; si no procede, contratarla como proveedora</w:t>
            </w:r>
          </w:p>
        </w:tc>
      </w:tr>
      <w:tr>
        <w:trPr>
          <w:cantSplit/>
        </w:trPr>
        <w:tc>
          <w:tcPr/>
          <w:p>
            <w:pPr>
              <w:pStyle w:val="Tabla9"/>
              <w:jc w:val="left"/>
            </w:pPr>
            <w:r>
              <w:t xml:space="preserve">El municipio como beneficiario no puede aportar recursos</w:t>
            </w:r>
          </w:p>
        </w:tc>
        <w:tc>
          <w:tcPr/>
          <w:p>
            <w:pPr>
              <w:pStyle w:val="Tabla9"/>
              <w:jc w:val="left"/>
            </w:pPr>
            <w:r>
              <w:t xml:space="preserve">Un aporte municipal lo convierte en cooperante</w:t>
            </w:r>
          </w:p>
        </w:tc>
        <w:tc>
          <w:tcPr/>
          <w:p>
            <w:pPr>
              <w:pStyle w:val="Tabla9"/>
              <w:jc w:val="left"/>
            </w:pPr>
            <w:r>
              <w:t xml:space="preserve">Mantener cartas de apoyo sin aporte económico</w:t>
            </w:r>
          </w:p>
        </w:tc>
      </w:tr>
      <w:tr>
        <w:trPr>
          <w:cantSplit/>
        </w:trPr>
        <w:tc>
          <w:tcPr/>
          <w:p>
            <w:pPr>
              <w:pStyle w:val="Tabla9"/>
              <w:jc w:val="left"/>
            </w:pPr>
            <w:r>
              <w:t xml:space="preserve">Risaralda no está en la ficha maestra</w:t>
            </w:r>
          </w:p>
        </w:tc>
        <w:tc>
          <w:tcPr/>
          <w:p>
            <w:pPr>
              <w:pStyle w:val="Tabla9"/>
              <w:jc w:val="left"/>
            </w:pPr>
            <w:r>
              <w:t xml:space="preserve">El territorio podría quedar fuera del ámbito de la emergencia</w:t>
            </w:r>
          </w:p>
        </w:tc>
        <w:tc>
          <w:tcPr/>
          <w:p>
            <w:pPr>
              <w:pStyle w:val="Tabla9"/>
              <w:jc w:val="left"/>
            </w:pPr>
            <w:r>
              <w:t xml:space="preserve">Verificar la declaratoria antes de definir la sede</w:t>
            </w:r>
          </w:p>
        </w:tc>
      </w:tr>
      <w:tr>
        <w:trPr>
          <w:cantSplit/>
        </w:trPr>
        <w:tc>
          <w:tcPr/>
          <w:p>
            <w:pPr>
              <w:pStyle w:val="Tabla9"/>
              <w:jc w:val="left"/>
            </w:pPr>
            <w:r>
              <w:t xml:space="preserve">El actor reconocido sin contrapartida ni papel pactado</w:t>
            </w:r>
          </w:p>
        </w:tc>
        <w:tc>
          <w:tcPr/>
          <w:p>
            <w:pPr>
              <w:pStyle w:val="Tabla9"/>
              <w:jc w:val="left"/>
            </w:pPr>
            <w:r>
              <w:t xml:space="preserve">La verificación independiente quedaría sin responsable</w:t>
            </w:r>
          </w:p>
        </w:tc>
        <w:tc>
          <w:tcPr/>
          <w:p>
            <w:pPr>
              <w:pStyle w:val="Tabla9"/>
              <w:jc w:val="left"/>
            </w:pPr>
            <w:r>
              <w:t xml:space="preserve">Acordar el papel y su valor en la reunión con la Universidad</w:t>
            </w:r>
          </w:p>
        </w:tc>
      </w:tr>
    </w:tbl>
    <w:p>
      <w:pPr>
        <w:pStyle w:val="TablaNota"/>
      </w:pPr>
      <w:r>
        <w:rPr>
          <w:i/>
          <w:iCs/>
        </w:rPr>
        <w:t xml:space="preserve">Nota.</w:t>
      </w:r>
      <w:r>
        <w:t xml:space="preserve"> </w:t>
      </w:r>
      <w:r>
        <w:t xml:space="preserve">Elaboración propia con el Anexo 2, la guía financiera de la Convocatoria 56, la ficha maestra y los registros DEC-F del proyecto.</w:t>
      </w:r>
    </w:p>
    <w:p>
      <w:pPr>
        <w:pStyle w:val="BodyText"/>
      </w:pPr>
      <w:r>
        <w:t xml:space="preserve">El premortem identifica una causa probable de fracaso: la Universidad no puede certificar la contrapartida o el grupo no tiene categoría vigente. La contingencia es preparar desde ya una segunda universidad candidata y reservar el 28 de octubre como fecha límite para decidir el cambio.</w:t>
      </w:r>
    </w:p>
    <w:p>
      <w:pPr>
        <w:pStyle w:val="BodyText"/>
      </w:pPr>
      <w:r>
        <w:t xml:space="preserve">El valor estratégico de esta parte es doble. Responde las nueve solicitudes del mensaje en un solo lugar y convierte los roles de los actores en tablas verificables. Con ello reduce el riesgo de que MinCiencias detecte ambigüedad en las funciones y el presupuesto de cada organización.</w:t>
      </w:r>
    </w:p>
    <w:p>
      <w:pPr>
        <w:pStyle w:val="BodyText"/>
      </w:pPr>
      <w:r>
        <w:t xml:space="preserve">La decisión DEC-F19 registra tres hechos. La alianza propuesta tiene cuatro actores. El municipio es beneficiario sin aporte. El presupuesto se asigna por actor de forma PROPUESTA. Esa decisión queda sujeta a la ratificación de la Universidad.</w:t>
      </w:r>
    </w:p>
    <w:bookmarkEnd w:id="38"/>
    <w:bookmarkStart w:id="39" w:name="X088c59783f55b37b0e688032a1616a6ae4e142f"/>
    <w:p>
      <w:pPr>
        <w:pStyle w:val="Heading2"/>
      </w:pPr>
      <w:r>
        <w:t xml:space="preserve">S.13 Verificación del presupuesto frente a la Convocatoria 56</w:t>
      </w:r>
    </w:p>
    <w:p>
      <w:pPr>
        <w:pStyle w:val="FirstParagraph"/>
      </w:pPr>
      <w:r>
        <w:t xml:space="preserve">La guía financiera de la Convocatoria 56 y el Anexo 3 oficial permiten verificar el presupuesto. El Anexo 3 se descargó del portal de MinCiencias y se leyó su hoja de resumen. Los términos de referencia completos no se consultaron. Algunas cifras de la guía son ejemplos ilustrativos. El presupuesto original incumplía cinco exigencias. El usuario decidió ajustarlo el 16 de octubre. La Tabla S.15 resume las 20 verificaciones con su estado inicial, el ajuste aplicado y el resultado actual.</w:t>
      </w:r>
    </w:p>
    <w:p>
      <w:pPr>
        <w:pStyle w:val="TablaRotulo"/>
      </w:pPr>
      <w:bookmarkStart w:id="9015" w:name="rot_Tabla_S_15"/>
      <w:r>
        <w:rPr>
          <w:b/>
          <w:bCs/>
        </w:rPr>
        <w:t xml:space="preserve">Tabla S.15</w:t>
      </w:r>
      <w:bookmarkEnd w:id="9015"/>
    </w:p>
    <w:p>
      <w:pPr>
        <w:pStyle w:val="TablaTitulo"/>
      </w:pPr>
      <w:r>
        <w:rPr>
          <w:i/>
          <w:iCs/>
        </w:rPr>
        <w:t xml:space="preserve">Verificación del proyecto frente a la Convocatoria 56</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980"/>
        <w:gridCol w:w="1650"/>
        <w:gridCol w:w="1848"/>
      </w:tblGrid>
      <w:tr>
        <w:trPr>
          <w:cantSplit/>
          <w:tblHeader/>
        </w:trPr>
        <w:tc>
          <w:tcPr>
            <w:shd w:val="clear" w:color="auto" w:fill="00B050"/>
          </w:tcPr>
          <w:p>
            <w:pPr>
              <w:pStyle w:val="Tabla9"/>
              <w:jc w:val="center"/>
            </w:pPr>
            <w:r>
              <w:rPr>
                <w:b/>
                <w:color w:val="FFFFFF"/>
              </w:rPr>
              <w:t xml:space="preserve">N.º</w:t>
            </w:r>
          </w:p>
        </w:tc>
        <w:tc>
          <w:tcPr>
            <w:shd w:val="clear" w:color="auto" w:fill="00B050"/>
          </w:tcPr>
          <w:p>
            <w:pPr>
              <w:pStyle w:val="Tabla9"/>
              <w:jc w:val="center"/>
            </w:pPr>
            <w:r>
              <w:rPr>
                <w:b/>
                <w:color w:val="FFFFFF"/>
              </w:rPr>
              <w:t xml:space="preserve">Exigencia</w:t>
            </w:r>
          </w:p>
        </w:tc>
        <w:tc>
          <w:tcPr>
            <w:shd w:val="clear" w:color="auto" w:fill="00B050"/>
          </w:tcPr>
          <w:p>
            <w:pPr>
              <w:pStyle w:val="Tabla9"/>
              <w:jc w:val="center"/>
            </w:pPr>
            <w:r>
              <w:rPr>
                <w:b/>
                <w:color w:val="FFFFFF"/>
              </w:rPr>
              <w:t xml:space="preserve">Estado inicial</w:t>
            </w:r>
          </w:p>
        </w:tc>
        <w:tc>
          <w:tcPr>
            <w:shd w:val="clear" w:color="auto" w:fill="00B050"/>
          </w:tcPr>
          <w:p>
            <w:pPr>
              <w:pStyle w:val="Tabla9"/>
              <w:jc w:val="center"/>
            </w:pPr>
            <w:r>
              <w:rPr>
                <w:b/>
                <w:color w:val="FFFFFF"/>
              </w:rPr>
              <w:t xml:space="preserve">Ajuste aplicado</w:t>
            </w:r>
          </w:p>
        </w:tc>
        <w:tc>
          <w:tcPr>
            <w:shd w:val="clear" w:color="auto" w:fill="00B050"/>
          </w:tcPr>
          <w:p>
            <w:pPr>
              <w:pStyle w:val="Tabla9"/>
              <w:jc w:val="center"/>
            </w:pPr>
            <w:r>
              <w:rPr>
                <w:b/>
                <w:color w:val="FFFFFF"/>
              </w:rPr>
              <w:t xml:space="preserve">Resultado actual</w:t>
            </w:r>
          </w:p>
        </w:tc>
      </w:tr>
      <w:tr>
        <w:trPr>
          <w:cantSplit/>
        </w:trPr>
        <w:tc>
          <w:tcPr/>
          <w:p>
            <w:pPr>
              <w:pStyle w:val="Tabla9"/>
              <w:jc w:val="left"/>
            </w:pPr>
            <w:r>
              <w:t xml:space="preserve">1</w:t>
            </w:r>
          </w:p>
        </w:tc>
        <w:tc>
          <w:tcPr/>
          <w:p>
            <w:pPr>
              <w:pStyle w:val="Tabla9"/>
              <w:jc w:val="left"/>
            </w:pPr>
            <w:r>
              <w:t xml:space="preserve">Monto SGR hasta 14.000 millones de COP</w:t>
            </w:r>
          </w:p>
        </w:tc>
        <w:tc>
          <w:tcPr/>
          <w:p>
            <w:pPr>
              <w:pStyle w:val="Tabla9"/>
              <w:jc w:val="left"/>
            </w:pPr>
            <w:r>
              <w:t xml:space="preserve">$ 9.267.260.000 (66,2 %)</w:t>
            </w:r>
          </w:p>
        </w:tc>
        <w:tc>
          <w:tcPr/>
          <w:p>
            <w:pPr>
              <w:pStyle w:val="Tabla9"/>
              <w:jc w:val="left"/>
            </w:pPr>
            <w:r>
              <w:t xml:space="preserve">Ninguno</w:t>
            </w:r>
          </w:p>
        </w:tc>
        <w:tc>
          <w:tcPr/>
          <w:p>
            <w:pPr>
              <w:pStyle w:val="Tabla9"/>
              <w:jc w:val="left"/>
            </w:pPr>
            <w:r>
              <w:t xml:space="preserve">CUMPLE: $ 8.729.840.000 (62,4 %)</w:t>
            </w:r>
          </w:p>
        </w:tc>
      </w:tr>
      <w:tr>
        <w:trPr>
          <w:cantSplit/>
        </w:trPr>
        <w:tc>
          <w:tcPr/>
          <w:p>
            <w:pPr>
              <w:pStyle w:val="Tabla9"/>
              <w:jc w:val="left"/>
            </w:pPr>
            <w:r>
              <w:t xml:space="preserve">2</w:t>
            </w:r>
          </w:p>
        </w:tc>
        <w:tc>
          <w:tcPr/>
          <w:p>
            <w:pPr>
              <w:pStyle w:val="Tabla9"/>
              <w:jc w:val="left"/>
            </w:pPr>
            <w:r>
              <w:t xml:space="preserve">Duración hasta 24 meses</w:t>
            </w:r>
          </w:p>
        </w:tc>
        <w:tc>
          <w:tcPr/>
          <w:p>
            <w:pPr>
              <w:pStyle w:val="Tabla9"/>
              <w:jc w:val="left"/>
            </w:pPr>
            <w:r>
              <w:t xml:space="preserve">24 meses</w:t>
            </w:r>
          </w:p>
        </w:tc>
        <w:tc>
          <w:tcPr/>
          <w:p>
            <w:pPr>
              <w:pStyle w:val="Tabla9"/>
              <w:jc w:val="left"/>
            </w:pPr>
            <w:r>
              <w:t xml:space="preserve">Ninguno</w:t>
            </w:r>
          </w:p>
        </w:tc>
        <w:tc>
          <w:tcPr/>
          <w:p>
            <w:pPr>
              <w:pStyle w:val="Tabla9"/>
              <w:jc w:val="left"/>
            </w:pPr>
            <w:r>
              <w:t xml:space="preserve">CUMPLE</w:t>
            </w:r>
          </w:p>
        </w:tc>
      </w:tr>
      <w:tr>
        <w:trPr>
          <w:cantSplit/>
        </w:trPr>
        <w:tc>
          <w:tcPr/>
          <w:p>
            <w:pPr>
              <w:pStyle w:val="Tabla9"/>
              <w:jc w:val="left"/>
            </w:pPr>
            <w:r>
              <w:t xml:space="preserve">3</w:t>
            </w:r>
          </w:p>
        </w:tc>
        <w:tc>
          <w:tcPr/>
          <w:p>
            <w:pPr>
              <w:pStyle w:val="Tabla9"/>
              <w:jc w:val="left"/>
            </w:pPr>
            <w:r>
              <w:t xml:space="preserve">Contrapartida en efectivo de al menos 1 % del SGR para obtener puntos</w:t>
            </w:r>
          </w:p>
        </w:tc>
        <w:tc>
          <w:tcPr/>
          <w:p>
            <w:pPr>
              <w:pStyle w:val="Tabla9"/>
              <w:jc w:val="left"/>
            </w:pPr>
            <w:r>
              <w:t xml:space="preserve">Efectivo de 210 millones de COP</w:t>
            </w:r>
          </w:p>
        </w:tc>
        <w:tc>
          <w:tcPr/>
          <w:p>
            <w:pPr>
              <w:pStyle w:val="Tabla9"/>
              <w:jc w:val="left"/>
            </w:pPr>
            <w:r>
              <w:t xml:space="preserve">Ninguno</w:t>
            </w:r>
          </w:p>
        </w:tc>
        <w:tc>
          <w:tcPr/>
          <w:p>
            <w:pPr>
              <w:pStyle w:val="Tabla9"/>
              <w:jc w:val="left"/>
            </w:pPr>
            <w:r>
              <w:t xml:space="preserve">CUMPLE: 2,41 % del SGR</w:t>
            </w:r>
          </w:p>
        </w:tc>
      </w:tr>
      <w:tr>
        <w:trPr>
          <w:cantSplit/>
        </w:trPr>
        <w:tc>
          <w:tcPr/>
          <w:p>
            <w:pPr>
              <w:pStyle w:val="Tabla9"/>
              <w:jc w:val="left"/>
            </w:pPr>
            <w:r>
              <w:t xml:space="preserve">4</w:t>
            </w:r>
          </w:p>
        </w:tc>
        <w:tc>
          <w:tcPr/>
          <w:p>
            <w:pPr>
              <w:pStyle w:val="Tabla9"/>
              <w:jc w:val="left"/>
            </w:pPr>
            <w:r>
              <w:t xml:space="preserve">6 jóvenes investigadores con apoyo de 2.000.000 COP por 12 meses</w:t>
            </w:r>
          </w:p>
        </w:tc>
        <w:tc>
          <w:tcPr/>
          <w:p>
            <w:pPr>
              <w:pStyle w:val="Tabla9"/>
              <w:jc w:val="left"/>
            </w:pPr>
            <w:r>
              <w:t xml:space="preserve">P01: 144 millones de COP</w:t>
            </w:r>
          </w:p>
        </w:tc>
        <w:tc>
          <w:tcPr/>
          <w:p>
            <w:pPr>
              <w:pStyle w:val="Tabla9"/>
              <w:jc w:val="left"/>
            </w:pPr>
            <w:r>
              <w:t xml:space="preserve">Ninguno</w:t>
            </w:r>
          </w:p>
        </w:tc>
        <w:tc>
          <w:tcPr/>
          <w:p>
            <w:pPr>
              <w:pStyle w:val="Tabla9"/>
              <w:jc w:val="left"/>
            </w:pPr>
            <w:r>
              <w:t xml:space="preserve">CUMPLE; la edad máxima de 28 años se verifica (diferencia entre TdR y Anexo 12)</w:t>
            </w:r>
          </w:p>
        </w:tc>
      </w:tr>
      <w:tr>
        <w:trPr>
          <w:cantSplit/>
        </w:trPr>
        <w:tc>
          <w:tcPr/>
          <w:p>
            <w:pPr>
              <w:pStyle w:val="Tabla9"/>
              <w:jc w:val="left"/>
            </w:pPr>
            <w:r>
              <w:t xml:space="preserve">5</w:t>
            </w:r>
          </w:p>
        </w:tc>
        <w:tc>
          <w:tcPr/>
          <w:p>
            <w:pPr>
              <w:pStyle w:val="Tabla9"/>
              <w:jc w:val="left"/>
            </w:pPr>
            <w:r>
              <w:t xml:space="preserve">2 estudiantes de maestría con apoyo de 4.350.000 COP y matrícula hasta 48 millones de COP</w:t>
            </w:r>
          </w:p>
        </w:tc>
        <w:tc>
          <w:tcPr/>
          <w:p>
            <w:pPr>
              <w:pStyle w:val="Tabla9"/>
              <w:jc w:val="left"/>
            </w:pPr>
            <w:r>
              <w:t xml:space="preserve">P02: apoyo de 208,8 y matrícula de 96 millones de COP</w:t>
            </w:r>
          </w:p>
        </w:tc>
        <w:tc>
          <w:tcPr/>
          <w:p>
            <w:pPr>
              <w:pStyle w:val="Tabla9"/>
              <w:jc w:val="left"/>
            </w:pPr>
            <w:r>
              <w:t xml:space="preserve">Ninguno</w:t>
            </w:r>
          </w:p>
        </w:tc>
        <w:tc>
          <w:tcPr/>
          <w:p>
            <w:pPr>
              <w:pStyle w:val="Tabla9"/>
              <w:jc w:val="left"/>
            </w:pPr>
            <w:r>
              <w:t xml:space="preserve">CUMPLE</w:t>
            </w:r>
          </w:p>
        </w:tc>
      </w:tr>
      <w:tr>
        <w:trPr>
          <w:cantSplit/>
        </w:trPr>
        <w:tc>
          <w:tcPr/>
          <w:p>
            <w:pPr>
              <w:pStyle w:val="Tabla9"/>
              <w:jc w:val="left"/>
            </w:pPr>
            <w:r>
              <w:t xml:space="preserve">6</w:t>
            </w:r>
          </w:p>
        </w:tc>
        <w:tc>
          <w:tcPr/>
          <w:p>
            <w:pPr>
              <w:pStyle w:val="Tabla9"/>
              <w:jc w:val="left"/>
            </w:pPr>
            <w:r>
              <w:t xml:space="preserve">1 doctor en estancia posdoctoral con apoyo de 12.920.000 COP</w:t>
            </w:r>
          </w:p>
        </w:tc>
        <w:tc>
          <w:tcPr/>
          <w:p>
            <w:pPr>
              <w:pStyle w:val="Tabla9"/>
              <w:jc w:val="left"/>
            </w:pPr>
            <w:r>
              <w:t xml:space="preserve">No había línea; P03 era un científico de datos senior de 480 millones de COP</w:t>
            </w:r>
          </w:p>
        </w:tc>
        <w:tc>
          <w:tcPr/>
          <w:p>
            <w:pPr>
              <w:pStyle w:val="Tabla9"/>
              <w:jc w:val="left"/>
            </w:pPr>
            <w:r>
              <w:t xml:space="preserve">P03 pasa a posdoctorado: 24 meses × 12,92 millones de COP = 310,08 millones de COP</w:t>
            </w:r>
          </w:p>
        </w:tc>
        <w:tc>
          <w:tcPr/>
          <w:p>
            <w:pPr>
              <w:pStyle w:val="Tabla9"/>
              <w:jc w:val="left"/>
            </w:pPr>
            <w:r>
              <w:t xml:space="preserve">CUMPLE; el perfil exige uno o dos productos TOP según el documento (diferencia entre TdR y Anexo 12)</w:t>
            </w:r>
          </w:p>
        </w:tc>
      </w:tr>
      <w:tr>
        <w:trPr>
          <w:cantSplit/>
        </w:trPr>
        <w:tc>
          <w:tcPr/>
          <w:p>
            <w:pPr>
              <w:pStyle w:val="Tabla9"/>
              <w:jc w:val="left"/>
            </w:pPr>
            <w:r>
              <w:t xml:space="preserve">7</w:t>
            </w:r>
          </w:p>
        </w:tc>
        <w:tc>
          <w:tcPr/>
          <w:p>
            <w:pPr>
              <w:pStyle w:val="Tabla9"/>
              <w:jc w:val="left"/>
            </w:pPr>
            <w:r>
              <w:t xml:space="preserve">Movilidad financiada por el SGR hasta 2 % del monto solicitado</w:t>
            </w:r>
          </w:p>
        </w:tc>
        <w:tc>
          <w:tcPr/>
          <w:p>
            <w:pPr>
              <w:pStyle w:val="Tabla9"/>
              <w:jc w:val="left"/>
            </w:pPr>
            <w:r>
              <w:t xml:space="preserve">V01 a V04: $ 432.000.000 (4,66 %)</w:t>
            </w:r>
          </w:p>
        </w:tc>
        <w:tc>
          <w:tcPr/>
          <w:p>
            <w:pPr>
              <w:pStyle w:val="Tabla9"/>
              <w:jc w:val="left"/>
            </w:pPr>
            <w:r>
              <w:t xml:space="preserve">Viajes reducidos a $ 174.500.000; el complemento lo cubre la logística de emergencia de la empresa (C05)</w:t>
            </w:r>
          </w:p>
        </w:tc>
        <w:tc>
          <w:tcPr/>
          <w:p>
            <w:pPr>
              <w:pStyle w:val="Tabla9"/>
              <w:jc w:val="left"/>
            </w:pPr>
            <w:r>
              <w:t xml:space="preserve">CUMPLE: 2,00 % del SGR</w:t>
            </w:r>
          </w:p>
        </w:tc>
      </w:tr>
      <w:tr>
        <w:trPr>
          <w:cantSplit/>
        </w:trPr>
        <w:tc>
          <w:tcPr/>
          <w:p>
            <w:pPr>
              <w:pStyle w:val="Tabla9"/>
              <w:jc w:val="left"/>
            </w:pPr>
            <w:r>
              <w:t xml:space="preserve">8</w:t>
            </w:r>
          </w:p>
        </w:tc>
        <w:tc>
          <w:tcPr/>
          <w:p>
            <w:pPr>
              <w:pStyle w:val="Tabla9"/>
              <w:jc w:val="left"/>
            </w:pPr>
            <w:r>
              <w:t xml:space="preserve">Seguros excluidos de la financiación</w:t>
            </w:r>
          </w:p>
        </w:tc>
        <w:tc>
          <w:tcPr/>
          <w:p>
            <w:pPr>
              <w:pStyle w:val="Tabla9"/>
              <w:jc w:val="left"/>
            </w:pPr>
            <w:r>
              <w:t xml:space="preserve">S04 y O04 sumaban $ 110.000.000</w:t>
            </w:r>
          </w:p>
        </w:tc>
        <w:tc>
          <w:tcPr/>
          <w:p>
            <w:pPr>
              <w:pStyle w:val="Tabla9"/>
              <w:jc w:val="left"/>
            </w:pPr>
            <w:r>
              <w:t xml:space="preserve">Líneas retiradas del SGR; la entidad ejecutora asume los seguros</w:t>
            </w:r>
          </w:p>
        </w:tc>
        <w:tc>
          <w:tcPr/>
          <w:p>
            <w:pPr>
              <w:pStyle w:val="Tabla9"/>
              <w:jc w:val="left"/>
            </w:pPr>
            <w:r>
              <w:t xml:space="preserve">CUMPLE</w:t>
            </w:r>
          </w:p>
        </w:tc>
      </w:tr>
      <w:tr>
        <w:trPr>
          <w:cantSplit/>
        </w:trPr>
        <w:tc>
          <w:tcPr/>
          <w:p>
            <w:pPr>
              <w:pStyle w:val="Tabla9"/>
              <w:jc w:val="left"/>
            </w:pPr>
            <w:r>
              <w:t xml:space="preserve">9</w:t>
            </w:r>
          </w:p>
        </w:tc>
        <w:tc>
          <w:tcPr/>
          <w:p>
            <w:pPr>
              <w:pStyle w:val="Tabla9"/>
              <w:jc w:val="left"/>
            </w:pPr>
            <w:r>
              <w:t xml:space="preserve">Imprevistos asociados al análisis de riesgos y soportados en el análisis de costos</w:t>
            </w:r>
          </w:p>
        </w:tc>
        <w:tc>
          <w:tcPr/>
          <w:p>
            <w:pPr>
              <w:pStyle w:val="Tabla9"/>
              <w:jc w:val="left"/>
            </w:pPr>
            <w:r>
              <w:t xml:space="preserve">Reserva de $ 636.000.000, igual a la suma de los valores esperados de 12 riesgos</w:t>
            </w:r>
          </w:p>
        </w:tc>
        <w:tc>
          <w:tcPr/>
          <w:p>
            <w:pPr>
              <w:pStyle w:val="Tabla9"/>
              <w:jc w:val="left"/>
            </w:pPr>
            <w:r>
              <w:t xml:space="preserve">Se ubica en el rubro 11 y se asocia por rubro (Tabla S.18)</w:t>
            </w:r>
          </w:p>
        </w:tc>
        <w:tc>
          <w:tcPr/>
          <w:p>
            <w:pPr>
              <w:pStyle w:val="Tabla9"/>
              <w:jc w:val="left"/>
            </w:pPr>
            <w:r>
              <w:t xml:space="preserve">CUMPLE; falta la memoria de cálculo firmada</w:t>
            </w:r>
          </w:p>
        </w:tc>
      </w:tr>
      <w:tr>
        <w:trPr>
          <w:cantSplit/>
        </w:trPr>
        <w:tc>
          <w:tcPr/>
          <w:p>
            <w:pPr>
              <w:pStyle w:val="Tabla9"/>
              <w:jc w:val="left"/>
            </w:pPr>
            <w:r>
              <w:t xml:space="preserve">10</w:t>
            </w:r>
          </w:p>
        </w:tc>
        <w:tc>
          <w:tcPr/>
          <w:p>
            <w:pPr>
              <w:pStyle w:val="Tabla9"/>
              <w:jc w:val="left"/>
            </w:pPr>
            <w:r>
              <w:t xml:space="preserve">Cada integrante de la alianza debe comprometer contrapartida</w:t>
            </w:r>
          </w:p>
        </w:tc>
        <w:tc>
          <w:tcPr/>
          <w:p>
            <w:pPr>
              <w:pStyle w:val="Tabla9"/>
              <w:jc w:val="left"/>
            </w:pPr>
            <w:r>
              <w:t xml:space="preserve">Universidad y empresa sí; el actor reconocido no</w:t>
            </w:r>
          </w:p>
        </w:tc>
        <w:tc>
          <w:tcPr/>
          <w:p>
            <w:pPr>
              <w:pStyle w:val="Tabla9"/>
              <w:jc w:val="left"/>
            </w:pPr>
            <w:r>
              <w:t xml:space="preserve">Se deja en blanco por decisión del usuario</w:t>
            </w:r>
          </w:p>
        </w:tc>
        <w:tc>
          <w:tcPr/>
          <w:p>
            <w:pPr>
              <w:pStyle w:val="Tabla9"/>
              <w:jc w:val="left"/>
            </w:pPr>
            <w:r>
              <w:t xml:space="preserve">PENDIENTE</w:t>
            </w:r>
          </w:p>
        </w:tc>
      </w:tr>
      <w:tr>
        <w:trPr>
          <w:cantSplit/>
        </w:trPr>
        <w:tc>
          <w:tcPr/>
          <w:p>
            <w:pPr>
              <w:pStyle w:val="Tabla9"/>
              <w:jc w:val="left"/>
            </w:pPr>
            <w:r>
              <w:t xml:space="preserve">11</w:t>
            </w:r>
          </w:p>
        </w:tc>
        <w:tc>
          <w:tcPr/>
          <w:p>
            <w:pPr>
              <w:pStyle w:val="Tabla9"/>
              <w:jc w:val="left"/>
            </w:pPr>
            <w:r>
              <w:t xml:space="preserve">Rubros del Anexo 3: 11 categorías oficiales</w:t>
            </w:r>
          </w:p>
        </w:tc>
        <w:tc>
          <w:tcPr/>
          <w:p>
            <w:pPr>
              <w:pStyle w:val="Tabla9"/>
              <w:jc w:val="left"/>
            </w:pPr>
            <w:r>
              <w:t xml:space="preserve">El presupuesto usaba 7 categorías propias</w:t>
            </w:r>
          </w:p>
        </w:tc>
        <w:tc>
          <w:tcPr/>
          <w:p>
            <w:pPr>
              <w:pStyle w:val="Tabla9"/>
              <w:jc w:val="left"/>
            </w:pPr>
            <w:r>
              <w:t xml:space="preserve">Cada línea tiene un rubro oficial (Tabla S.16)</w:t>
            </w:r>
          </w:p>
        </w:tc>
        <w:tc>
          <w:tcPr/>
          <w:p>
            <w:pPr>
              <w:pStyle w:val="Tabla9"/>
              <w:jc w:val="left"/>
            </w:pPr>
            <w:r>
              <w:t xml:space="preserve">CUMPLE</w:t>
            </w:r>
          </w:p>
        </w:tc>
      </w:tr>
      <w:tr>
        <w:trPr>
          <w:cantSplit/>
        </w:trPr>
        <w:tc>
          <w:tcPr/>
          <w:p>
            <w:pPr>
              <w:pStyle w:val="Tabla9"/>
              <w:jc w:val="left"/>
            </w:pPr>
            <w:r>
              <w:t xml:space="preserve">12</w:t>
            </w:r>
          </w:p>
        </w:tc>
        <w:tc>
          <w:tcPr/>
          <w:p>
            <w:pPr>
              <w:pStyle w:val="Tabla9"/>
              <w:jc w:val="left"/>
            </w:pPr>
            <w:r>
              <w:t xml:space="preserve">Seguimiento con cálculo objetivo y sin porcentaje arbitrario</w:t>
            </w:r>
          </w:p>
        </w:tc>
        <w:tc>
          <w:tcPr/>
          <w:p>
            <w:pPr>
              <w:pStyle w:val="Tabla9"/>
              <w:jc w:val="left"/>
            </w:pPr>
            <w:r>
              <w:t xml:space="preserve">O05 asigna 15 millones de COP al mes sin memoria de cálculo</w:t>
            </w:r>
          </w:p>
        </w:tc>
        <w:tc>
          <w:tcPr/>
          <w:p>
            <w:pPr>
              <w:pStyle w:val="Tabla9"/>
              <w:jc w:val="left"/>
            </w:pPr>
            <w:r>
              <w:t xml:space="preserve">Ninguno</w:t>
            </w:r>
          </w:p>
        </w:tc>
        <w:tc>
          <w:tcPr/>
          <w:p>
            <w:pPr>
              <w:pStyle w:val="Tabla9"/>
              <w:jc w:val="left"/>
            </w:pPr>
            <w:r>
              <w:t xml:space="preserve">PARCIAL: faltan actividades, perfiles y dedicaciones</w:t>
            </w:r>
          </w:p>
        </w:tc>
      </w:tr>
      <w:tr>
        <w:trPr>
          <w:cantSplit/>
        </w:trPr>
        <w:tc>
          <w:tcPr/>
          <w:p>
            <w:pPr>
              <w:pStyle w:val="Tabla9"/>
              <w:jc w:val="left"/>
            </w:pPr>
            <w:r>
              <w:t xml:space="preserve">13</w:t>
            </w:r>
          </w:p>
        </w:tc>
        <w:tc>
          <w:tcPr/>
          <w:p>
            <w:pPr>
              <w:pStyle w:val="Tabla9"/>
              <w:jc w:val="left"/>
            </w:pPr>
            <w:r>
              <w:t xml:space="preserve">Software, nube y conectividad recurrentes: precisar financiabilidad y sostenibilidad</w:t>
            </w:r>
          </w:p>
        </w:tc>
        <w:tc>
          <w:tcPr/>
          <w:p>
            <w:pPr>
              <w:pStyle w:val="Tabla9"/>
              <w:jc w:val="left"/>
            </w:pPr>
            <w:r>
              <w:t xml:space="preserve">E10, E11, E12 y S10 suman $ 314.560.000</w:t>
            </w:r>
          </w:p>
        </w:tc>
        <w:tc>
          <w:tcPr/>
          <w:p>
            <w:pPr>
              <w:pStyle w:val="Tabla9"/>
              <w:jc w:val="left"/>
            </w:pPr>
            <w:r>
              <w:t xml:space="preserve">Ninguno</w:t>
            </w:r>
          </w:p>
        </w:tc>
        <w:tc>
          <w:tcPr/>
          <w:p>
            <w:pPr>
              <w:pStyle w:val="Tabla9"/>
              <w:jc w:val="left"/>
            </w:pPr>
            <w:r>
              <w:t xml:space="preserve">PARCIAL: justificar el uso durante el proyecto y asignar la operación posterior</w:t>
            </w:r>
          </w:p>
        </w:tc>
      </w:tr>
      <w:tr>
        <w:trPr>
          <w:cantSplit/>
        </w:trPr>
        <w:tc>
          <w:tcPr/>
          <w:p>
            <w:pPr>
              <w:pStyle w:val="Tabla9"/>
              <w:jc w:val="left"/>
            </w:pPr>
            <w:r>
              <w:t xml:space="preserve">14</w:t>
            </w:r>
          </w:p>
        </w:tc>
        <w:tc>
          <w:tcPr/>
          <w:p>
            <w:pPr>
              <w:pStyle w:val="Tabla9"/>
              <w:jc w:val="left"/>
            </w:pPr>
            <w:r>
              <w:t xml:space="preserve">Sin doble financiación de una misma actividad</w:t>
            </w:r>
          </w:p>
        </w:tc>
        <w:tc>
          <w:tcPr/>
          <w:p>
            <w:pPr>
              <w:pStyle w:val="Tabla9"/>
              <w:jc w:val="left"/>
            </w:pPr>
            <w:r>
              <w:t xml:space="preserve">C05 de la empresa cubre logística y viáticos; V01 a V03 también</w:t>
            </w:r>
          </w:p>
        </w:tc>
        <w:tc>
          <w:tcPr/>
          <w:p>
            <w:pPr>
              <w:pStyle w:val="Tabla9"/>
              <w:jc w:val="left"/>
            </w:pPr>
            <w:r>
              <w:t xml:space="preserve">Los viajes del SGR se limitan al 2 %; C05 cubre el resto</w:t>
            </w:r>
          </w:p>
        </w:tc>
        <w:tc>
          <w:tcPr/>
          <w:p>
            <w:pPr>
              <w:pStyle w:val="Tabla9"/>
              <w:jc w:val="left"/>
            </w:pPr>
            <w:r>
              <w:t xml:space="preserve">PENDIENTE: separar por escrito los viajes de cada fuente</w:t>
            </w:r>
          </w:p>
        </w:tc>
      </w:tr>
      <w:tr>
        <w:trPr>
          <w:cantSplit/>
        </w:trPr>
        <w:tc>
          <w:tcPr/>
          <w:p>
            <w:pPr>
              <w:pStyle w:val="Tabla9"/>
              <w:jc w:val="left"/>
            </w:pPr>
            <w:r>
              <w:t xml:space="preserve">15</w:t>
            </w:r>
          </w:p>
        </w:tc>
        <w:tc>
          <w:tcPr/>
          <w:p>
            <w:pPr>
              <w:pStyle w:val="Tabla9"/>
              <w:jc w:val="left"/>
            </w:pPr>
            <w:r>
              <w:t xml:space="preserve">Presupuesto completo, sin depender de financiación futura indispensable</w:t>
            </w:r>
          </w:p>
        </w:tc>
        <w:tc>
          <w:tcPr/>
          <w:p>
            <w:pPr>
              <w:pStyle w:val="Tabla9"/>
              <w:jc w:val="left"/>
            </w:pPr>
            <w:r>
              <w:t xml:space="preserve">La custodia posterior depende de partidas de los custodios (R-ORG-02)</w:t>
            </w:r>
          </w:p>
        </w:tc>
        <w:tc>
          <w:tcPr/>
          <w:p>
            <w:pPr>
              <w:pStyle w:val="Tabla9"/>
              <w:jc w:val="left"/>
            </w:pPr>
            <w:r>
              <w:t xml:space="preserve">Ninguno</w:t>
            </w:r>
          </w:p>
        </w:tc>
        <w:tc>
          <w:tcPr/>
          <w:p>
            <w:pPr>
              <w:pStyle w:val="Tabla9"/>
              <w:jc w:val="left"/>
            </w:pPr>
            <w:r>
              <w:t xml:space="preserve">PENDIENTE: documentar partidas y convenios de custodia</w:t>
            </w:r>
          </w:p>
        </w:tc>
      </w:tr>
      <w:tr>
        <w:trPr>
          <w:cantSplit/>
        </w:trPr>
        <w:tc>
          <w:tcPr/>
          <w:p>
            <w:pPr>
              <w:pStyle w:val="Tabla9"/>
              <w:jc w:val="left"/>
            </w:pPr>
            <w:r>
              <w:t xml:space="preserve">16</w:t>
            </w:r>
          </w:p>
        </w:tc>
        <w:tc>
          <w:tcPr/>
          <w:p>
            <w:pPr>
              <w:pStyle w:val="Tabla9"/>
              <w:jc w:val="left"/>
            </w:pPr>
            <w:r>
              <w:t xml:space="preserve">Análisis de costos con dos cotizaciones por rubro</w:t>
            </w:r>
          </w:p>
        </w:tc>
        <w:tc>
          <w:tcPr/>
          <w:p>
            <w:pPr>
              <w:pStyle w:val="Tabla9"/>
              <w:jc w:val="left"/>
            </w:pPr>
            <w:r>
              <w:t xml:space="preserve">Los precios son DECLARADOS o PROPUESTOS; no hay cotizaciones</w:t>
            </w:r>
          </w:p>
        </w:tc>
        <w:tc>
          <w:tcPr/>
          <w:p>
            <w:pPr>
              <w:pStyle w:val="Tabla9"/>
              <w:jc w:val="left"/>
            </w:pPr>
            <w:r>
              <w:t xml:space="preserve">Se dejan en blanco por decisión del usuario</w:t>
            </w:r>
          </w:p>
        </w:tc>
        <w:tc>
          <w:tcPr/>
          <w:p>
            <w:pPr>
              <w:pStyle w:val="Tabla9"/>
              <w:jc w:val="left"/>
            </w:pPr>
            <w:r>
              <w:t xml:space="preserve">PENDIENTE: el Anexo 3 las pide después de la lista de elegibles y el Anexo 14 no admite subsanar su ausencia</w:t>
            </w:r>
          </w:p>
        </w:tc>
      </w:tr>
      <w:tr>
        <w:trPr>
          <w:cantSplit/>
        </w:trPr>
        <w:tc>
          <w:tcPr/>
          <w:p>
            <w:pPr>
              <w:pStyle w:val="Tabla9"/>
              <w:jc w:val="left"/>
            </w:pPr>
            <w:r>
              <w:t xml:space="preserve">17</w:t>
            </w:r>
          </w:p>
        </w:tc>
        <w:tc>
          <w:tcPr/>
          <w:p>
            <w:pPr>
              <w:pStyle w:val="Tabla9"/>
              <w:jc w:val="left"/>
            </w:pPr>
            <w:r>
              <w:t xml:space="preserve">Anexo 3 oficial en Excel, con fecha y firma del representante legal</w:t>
            </w:r>
          </w:p>
        </w:tc>
        <w:tc>
          <w:tcPr/>
          <w:p>
            <w:pPr>
              <w:pStyle w:val="Tabla9"/>
              <w:jc w:val="left"/>
            </w:pPr>
            <w:r>
              <w:t xml:space="preserve">El presupuesto está en el formato del proyecto</w:t>
            </w:r>
          </w:p>
        </w:tc>
        <w:tc>
          <w:tcPr/>
          <w:p>
            <w:pPr>
              <w:pStyle w:val="Tabla9"/>
              <w:jc w:val="left"/>
            </w:pPr>
            <w:r>
              <w:t xml:space="preserve">Diligenciar el Excel queda para después, por decisión del usuario</w:t>
            </w:r>
          </w:p>
        </w:tc>
        <w:tc>
          <w:tcPr/>
          <w:p>
            <w:pPr>
              <w:pStyle w:val="Tabla9"/>
              <w:jc w:val="left"/>
            </w:pPr>
            <w:r>
              <w:t xml:space="preserve">PENDIENTE</w:t>
            </w:r>
          </w:p>
        </w:tc>
      </w:tr>
      <w:tr>
        <w:trPr>
          <w:cantSplit/>
        </w:trPr>
        <w:tc>
          <w:tcPr/>
          <w:p>
            <w:pPr>
              <w:pStyle w:val="Tabla9"/>
              <w:jc w:val="left"/>
            </w:pPr>
            <w:r>
              <w:t xml:space="preserve">18</w:t>
            </w:r>
          </w:p>
        </w:tc>
        <w:tc>
          <w:tcPr/>
          <w:p>
            <w:pPr>
              <w:pStyle w:val="Tabla9"/>
              <w:jc w:val="left"/>
            </w:pPr>
            <w:r>
              <w:t xml:space="preserve">Coherencia de valores entre SIGP, Anexos 1, 2 y 3 y la MGA</w:t>
            </w:r>
          </w:p>
        </w:tc>
        <w:tc>
          <w:tcPr/>
          <w:p>
            <w:pPr>
              <w:pStyle w:val="Tabla9"/>
              <w:jc w:val="left"/>
            </w:pPr>
            <w:r>
              <w:t xml:space="preserve">Los valores salen de una sola ficha maestra</w:t>
            </w:r>
          </w:p>
        </w:tc>
        <w:tc>
          <w:tcPr/>
          <w:p>
            <w:pPr>
              <w:pStyle w:val="Tabla9"/>
              <w:jc w:val="left"/>
            </w:pPr>
            <w:r>
              <w:t xml:space="preserve">Todos los capítulos se actualizaron con el presupuesto ajustado</w:t>
            </w:r>
          </w:p>
        </w:tc>
        <w:tc>
          <w:tcPr/>
          <w:p>
            <w:pPr>
              <w:pStyle w:val="Tabla9"/>
              <w:jc w:val="left"/>
            </w:pPr>
            <w:r>
              <w:t xml:space="preserve">CUMPLE; reconciliar con SIGP y la MGA al cargar</w:t>
            </w:r>
          </w:p>
        </w:tc>
      </w:tr>
      <w:tr>
        <w:trPr>
          <w:cantSplit/>
        </w:trPr>
        <w:tc>
          <w:tcPr/>
          <w:p>
            <w:pPr>
              <w:pStyle w:val="Tabla9"/>
              <w:jc w:val="left"/>
            </w:pPr>
            <w:r>
              <w:t xml:space="preserve">19</w:t>
            </w:r>
          </w:p>
        </w:tc>
        <w:tc>
          <w:tcPr/>
          <w:p>
            <w:pPr>
              <w:pStyle w:val="Tabla9"/>
              <w:jc w:val="left"/>
            </w:pPr>
            <w:r>
              <w:t xml:space="preserve">Honorarios de formulación no financiables</w:t>
            </w:r>
          </w:p>
        </w:tc>
        <w:tc>
          <w:tcPr/>
          <w:p>
            <w:pPr>
              <w:pStyle w:val="Tabla9"/>
              <w:jc w:val="left"/>
            </w:pPr>
            <w:r>
              <w:t xml:space="preserve">El presupuesto no incluye honorarios de formulación</w:t>
            </w:r>
          </w:p>
        </w:tc>
        <w:tc>
          <w:tcPr/>
          <w:p>
            <w:pPr>
              <w:pStyle w:val="Tabla9"/>
              <w:jc w:val="left"/>
            </w:pPr>
            <w:r>
              <w:t xml:space="preserve">Ninguno</w:t>
            </w:r>
          </w:p>
        </w:tc>
        <w:tc>
          <w:tcPr/>
          <w:p>
            <w:pPr>
              <w:pStyle w:val="Tabla9"/>
              <w:jc w:val="left"/>
            </w:pPr>
            <w:r>
              <w:t xml:space="preserve">CUMPLE</w:t>
            </w:r>
          </w:p>
        </w:tc>
      </w:tr>
      <w:tr>
        <w:trPr>
          <w:cantSplit/>
        </w:trPr>
        <w:tc>
          <w:tcPr/>
          <w:p>
            <w:pPr>
              <w:pStyle w:val="Tabla9"/>
              <w:jc w:val="left"/>
            </w:pPr>
            <w:r>
              <w:t xml:space="preserve">20</w:t>
            </w:r>
          </w:p>
        </w:tc>
        <w:tc>
          <w:tcPr/>
          <w:p>
            <w:pPr>
              <w:pStyle w:val="Tabla9"/>
              <w:jc w:val="left"/>
            </w:pPr>
            <w:r>
              <w:t xml:space="preserve">Archivos en PDF de 3 MB como máximo; adjuntos comprimidos hasta 10 MB</w:t>
            </w:r>
          </w:p>
        </w:tc>
        <w:tc>
          <w:tcPr/>
          <w:p>
            <w:pPr>
              <w:pStyle w:val="Tabla9"/>
              <w:jc w:val="left"/>
            </w:pPr>
            <w:r>
              <w:t xml:space="preserve">El expediente completo pesa 30 MB en Word y 53 MB en PDF</w:t>
            </w:r>
          </w:p>
        </w:tc>
        <w:tc>
          <w:tcPr/>
          <w:p>
            <w:pPr>
              <w:pStyle w:val="Tabla9"/>
              <w:jc w:val="left"/>
            </w:pPr>
            <w:r>
              <w:t xml:space="preserve">El documento técnico de 30 secciones se entrega aparte: PDF de 0,9 MB</w:t>
            </w:r>
          </w:p>
        </w:tc>
        <w:tc>
          <w:tcPr/>
          <w:p>
            <w:pPr>
              <w:pStyle w:val="Tabla9"/>
              <w:jc w:val="left"/>
            </w:pPr>
            <w:r>
              <w:t xml:space="preserve">CUMPLE con el documento técnico; el expediente va comprimido</w:t>
            </w:r>
          </w:p>
        </w:tc>
      </w:tr>
    </w:tbl>
    <w:p>
      <w:pPr>
        <w:pStyle w:val="TablaNota"/>
      </w:pPr>
      <w:r>
        <w:rPr>
          <w:i/>
          <w:iCs/>
        </w:rPr>
        <w:t xml:space="preserve">Nota.</w:t>
      </w:r>
      <w:r>
        <w:t xml:space="preserve"> </w:t>
      </w:r>
      <w:r>
        <w:t xml:space="preserve">Elaboración propia con la guía financiera de la Convocatoria 56 (corte 16 de octubre de 2026) y el Anexo 3 oficial. Las exigencias son NO_VERIFICADAS frente a los términos de referencia completos. Resultado actual: 13 cumplen, 2 cumplen parcialmente y 5 están pendientes de datos que solo la alianza aporta.</w:t>
      </w:r>
    </w:p>
    <w:p>
      <w:pPr>
        <w:pStyle w:val="BodyText"/>
      </w:pPr>
      <w:r>
        <w:t xml:space="preserve">La Tabla S.16 presenta el presupuesto en los 11 rubros del Anexo 3. El rubro de infraestructura queda en cero, porque el proyecto no adecúa infraestructura. El rubro de administrativos queda en cero, porque la administración se registra en seguimiento. Cada línea del presupuesto maestro conserva su rubro oficial.</w:t>
      </w:r>
    </w:p>
    <w:p>
      <w:pPr>
        <w:pStyle w:val="TablaRotulo"/>
      </w:pPr>
      <w:bookmarkStart w:id="9016" w:name="rot_Tabla_S_16"/>
      <w:r>
        <w:rPr>
          <w:b/>
          <w:bCs/>
        </w:rPr>
        <w:t xml:space="preserve">Tabla S.16</w:t>
      </w:r>
      <w:bookmarkEnd w:id="9016"/>
    </w:p>
    <w:p>
      <w:pPr>
        <w:pStyle w:val="TablaTitulo"/>
      </w:pPr>
      <w:r>
        <w:rPr>
          <w:i/>
          <w:iCs/>
        </w:rPr>
        <w:t xml:space="preserve">Presupuesto SGR en los 11 rubros del Anexo 3</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54"/>
        <w:gridCol w:w="2749"/>
        <w:gridCol w:w="2225"/>
        <w:gridCol w:w="1309"/>
        <w:gridCol w:w="981"/>
      </w:tblGrid>
      <w:tr>
        <w:trPr>
          <w:cantSplit/>
          <w:tblHeader/>
        </w:trPr>
        <w:tc>
          <w:tcPr>
            <w:shd w:val="clear" w:color="auto" w:fill="00B050"/>
          </w:tcPr>
          <w:p>
            <w:pPr>
              <w:pStyle w:val="Tabla9"/>
              <w:jc w:val="center"/>
            </w:pPr>
            <w:r>
              <w:rPr>
                <w:b/>
                <w:color w:val="FFFFFF"/>
              </w:rPr>
              <w:t xml:space="preserve">N.º</w:t>
            </w:r>
          </w:p>
        </w:tc>
        <w:tc>
          <w:tcPr>
            <w:shd w:val="clear" w:color="auto" w:fill="00B050"/>
          </w:tcPr>
          <w:p>
            <w:pPr>
              <w:pStyle w:val="Tabla9"/>
              <w:jc w:val="center"/>
            </w:pPr>
            <w:r>
              <w:rPr>
                <w:b/>
                <w:color w:val="FFFFFF"/>
              </w:rPr>
              <w:t xml:space="preserve">Rubro del Anexo 3</w:t>
            </w:r>
          </w:p>
        </w:tc>
        <w:tc>
          <w:tcPr>
            <w:shd w:val="clear" w:color="auto" w:fill="00B050"/>
          </w:tcPr>
          <w:p>
            <w:pPr>
              <w:pStyle w:val="Tabla9"/>
              <w:jc w:val="center"/>
            </w:pPr>
            <w:r>
              <w:rPr>
                <w:b/>
                <w:color w:val="FFFFFF"/>
              </w:rPr>
              <w:t xml:space="preserve">Líneas del proyecto</w:t>
            </w:r>
          </w:p>
        </w:tc>
        <w:tc>
          <w:tcPr>
            <w:shd w:val="clear" w:color="auto" w:fill="00B050"/>
          </w:tcPr>
          <w:p>
            <w:pPr>
              <w:pStyle w:val="Tabla9"/>
              <w:jc w:val="center"/>
            </w:pPr>
            <w:r>
              <w:rPr>
                <w:b/>
                <w:color w:val="FFFFFF"/>
              </w:rPr>
              <w:t xml:space="preserve">Valor SGR (M COP)</w:t>
            </w:r>
          </w:p>
        </w:tc>
        <w:tc>
          <w:tcPr>
            <w:shd w:val="clear" w:color="auto" w:fill="00B050"/>
          </w:tcPr>
          <w:p>
            <w:pPr>
              <w:pStyle w:val="Tabla9"/>
              <w:jc w:val="center"/>
            </w:pPr>
            <w:r>
              <w:rPr>
                <w:b/>
                <w:color w:val="FFFFFF"/>
              </w:rPr>
              <w:t xml:space="preserve">% del SGR</w:t>
            </w:r>
          </w:p>
        </w:tc>
      </w:tr>
      <w:tr>
        <w:trPr>
          <w:cantSplit/>
        </w:trPr>
        <w:tc>
          <w:tcPr/>
          <w:p>
            <w:pPr>
              <w:pStyle w:val="Tabla9"/>
              <w:jc w:val="left"/>
            </w:pPr>
            <w:r>
              <w:t xml:space="preserve">1</w:t>
            </w:r>
          </w:p>
        </w:tc>
        <w:tc>
          <w:tcPr/>
          <w:p>
            <w:pPr>
              <w:pStyle w:val="Tabla9"/>
              <w:jc w:val="left"/>
            </w:pPr>
            <w:r>
              <w:t xml:space="preserve">Talento humano</w:t>
            </w:r>
          </w:p>
        </w:tc>
        <w:tc>
          <w:tcPr/>
          <w:p>
            <w:pPr>
              <w:pStyle w:val="Tabla9"/>
              <w:jc w:val="left"/>
            </w:pPr>
            <w:r>
              <w:t xml:space="preserve">P01, P02, P03, P04, P05, P06, P07, P08, P09, P10, P11, P12, P13, P14</w:t>
            </w:r>
          </w:p>
        </w:tc>
        <w:tc>
          <w:tcPr/>
          <w:p>
            <w:pPr>
              <w:pStyle w:val="Tabla9"/>
              <w:jc w:val="left"/>
            </w:pPr>
            <w:r>
              <w:t xml:space="preserve">4.382,9</w:t>
            </w:r>
          </w:p>
        </w:tc>
        <w:tc>
          <w:tcPr/>
          <w:p>
            <w:pPr>
              <w:pStyle w:val="Tabla9"/>
              <w:jc w:val="left"/>
            </w:pPr>
            <w:r>
              <w:t xml:space="preserve">50,2</w:t>
            </w:r>
          </w:p>
        </w:tc>
      </w:tr>
      <w:tr>
        <w:trPr>
          <w:cantSplit/>
        </w:trPr>
        <w:tc>
          <w:tcPr/>
          <w:p>
            <w:pPr>
              <w:pStyle w:val="Tabla9"/>
              <w:jc w:val="left"/>
            </w:pPr>
            <w:r>
              <w:t xml:space="preserve">2</w:t>
            </w:r>
          </w:p>
        </w:tc>
        <w:tc>
          <w:tcPr/>
          <w:p>
            <w:pPr>
              <w:pStyle w:val="Tabla9"/>
              <w:jc w:val="left"/>
            </w:pPr>
            <w:r>
              <w:t xml:space="preserve">Equipos y software</w:t>
            </w:r>
          </w:p>
        </w:tc>
        <w:tc>
          <w:tcPr/>
          <w:p>
            <w:pPr>
              <w:pStyle w:val="Tabla9"/>
              <w:jc w:val="left"/>
            </w:pPr>
            <w:r>
              <w:t xml:space="preserve">E01, E02, E03, E04, E05, E06, E07, E08, E09, E10, E11</w:t>
            </w:r>
          </w:p>
        </w:tc>
        <w:tc>
          <w:tcPr/>
          <w:p>
            <w:pPr>
              <w:pStyle w:val="Tabla9"/>
              <w:jc w:val="left"/>
            </w:pPr>
            <w:r>
              <w:t xml:space="preserve">1.851,0</w:t>
            </w:r>
          </w:p>
        </w:tc>
        <w:tc>
          <w:tcPr/>
          <w:p>
            <w:pPr>
              <w:pStyle w:val="Tabla9"/>
              <w:jc w:val="left"/>
            </w:pPr>
            <w:r>
              <w:t xml:space="preserve">21,2</w:t>
            </w:r>
          </w:p>
        </w:tc>
      </w:tr>
      <w:tr>
        <w:trPr>
          <w:cantSplit/>
        </w:trPr>
        <w:tc>
          <w:tcPr/>
          <w:p>
            <w:pPr>
              <w:pStyle w:val="Tabla9"/>
              <w:jc w:val="left"/>
            </w:pPr>
            <w:r>
              <w:t xml:space="preserve">3</w:t>
            </w:r>
          </w:p>
        </w:tc>
        <w:tc>
          <w:tcPr/>
          <w:p>
            <w:pPr>
              <w:pStyle w:val="Tabla9"/>
              <w:jc w:val="left"/>
            </w:pPr>
            <w:r>
              <w:t xml:space="preserve">Capacitación y eventos</w:t>
            </w:r>
          </w:p>
        </w:tc>
        <w:tc>
          <w:tcPr/>
          <w:p>
            <w:pPr>
              <w:pStyle w:val="Tabla9"/>
              <w:jc w:val="left"/>
            </w:pPr>
            <w:r>
              <w:t xml:space="preserve">M05, S09, V05, O02</w:t>
            </w:r>
          </w:p>
        </w:tc>
        <w:tc>
          <w:tcPr/>
          <w:p>
            <w:pPr>
              <w:pStyle w:val="Tabla9"/>
              <w:jc w:val="left"/>
            </w:pPr>
            <w:r>
              <w:t xml:space="preserve">282,0</w:t>
            </w:r>
          </w:p>
        </w:tc>
        <w:tc>
          <w:tcPr/>
          <w:p>
            <w:pPr>
              <w:pStyle w:val="Tabla9"/>
              <w:jc w:val="left"/>
            </w:pPr>
            <w:r>
              <w:t xml:space="preserve">3,2</w:t>
            </w:r>
          </w:p>
        </w:tc>
      </w:tr>
      <w:tr>
        <w:trPr>
          <w:cantSplit/>
        </w:trPr>
        <w:tc>
          <w:tcPr/>
          <w:p>
            <w:pPr>
              <w:pStyle w:val="Tabla9"/>
              <w:jc w:val="left"/>
            </w:pPr>
            <w:r>
              <w:t xml:space="preserve">4</w:t>
            </w:r>
          </w:p>
        </w:tc>
        <w:tc>
          <w:tcPr/>
          <w:p>
            <w:pPr>
              <w:pStyle w:val="Tabla9"/>
              <w:jc w:val="left"/>
            </w:pPr>
            <w:r>
              <w:t xml:space="preserve">Servicios tecnológicos y pruebas</w:t>
            </w:r>
          </w:p>
        </w:tc>
        <w:tc>
          <w:tcPr/>
          <w:p>
            <w:pPr>
              <w:pStyle w:val="Tabla9"/>
              <w:jc w:val="left"/>
            </w:pPr>
            <w:r>
              <w:t xml:space="preserve">E12, S01, S03, S05, S06, S08, S10</w:t>
            </w:r>
          </w:p>
        </w:tc>
        <w:tc>
          <w:tcPr/>
          <w:p>
            <w:pPr>
              <w:pStyle w:val="Tabla9"/>
              <w:jc w:val="left"/>
            </w:pPr>
            <w:r>
              <w:t xml:space="preserve">485,6</w:t>
            </w:r>
          </w:p>
        </w:tc>
        <w:tc>
          <w:tcPr/>
          <w:p>
            <w:pPr>
              <w:pStyle w:val="Tabla9"/>
              <w:jc w:val="left"/>
            </w:pPr>
            <w:r>
              <w:t xml:space="preserve">5,6</w:t>
            </w:r>
          </w:p>
        </w:tc>
      </w:tr>
      <w:tr>
        <w:trPr>
          <w:cantSplit/>
        </w:trPr>
        <w:tc>
          <w:tcPr/>
          <w:p>
            <w:pPr>
              <w:pStyle w:val="Tabla9"/>
              <w:jc w:val="left"/>
            </w:pPr>
            <w:r>
              <w:t xml:space="preserve">5</w:t>
            </w:r>
          </w:p>
        </w:tc>
        <w:tc>
          <w:tcPr/>
          <w:p>
            <w:pPr>
              <w:pStyle w:val="Tabla9"/>
              <w:jc w:val="left"/>
            </w:pPr>
            <w:r>
              <w:t xml:space="preserve">Materiales, insumos y documentación</w:t>
            </w:r>
          </w:p>
        </w:tc>
        <w:tc>
          <w:tcPr/>
          <w:p>
            <w:pPr>
              <w:pStyle w:val="Tabla9"/>
              <w:jc w:val="left"/>
            </w:pPr>
            <w:r>
              <w:t xml:space="preserve">M01, M02, M03, M06, M07</w:t>
            </w:r>
          </w:p>
        </w:tc>
        <w:tc>
          <w:tcPr/>
          <w:p>
            <w:pPr>
              <w:pStyle w:val="Tabla9"/>
              <w:jc w:val="left"/>
            </w:pPr>
            <w:r>
              <w:t xml:space="preserve">170,4</w:t>
            </w:r>
          </w:p>
        </w:tc>
        <w:tc>
          <w:tcPr/>
          <w:p>
            <w:pPr>
              <w:pStyle w:val="Tabla9"/>
              <w:jc w:val="left"/>
            </w:pPr>
            <w:r>
              <w:t xml:space="preserve">2,0</w:t>
            </w:r>
          </w:p>
        </w:tc>
      </w:tr>
      <w:tr>
        <w:trPr>
          <w:cantSplit/>
        </w:trPr>
        <w:tc>
          <w:tcPr/>
          <w:p>
            <w:pPr>
              <w:pStyle w:val="Tabla9"/>
              <w:jc w:val="left"/>
            </w:pPr>
            <w:r>
              <w:t xml:space="preserve">6</w:t>
            </w:r>
          </w:p>
        </w:tc>
        <w:tc>
          <w:tcPr/>
          <w:p>
            <w:pPr>
              <w:pStyle w:val="Tabla9"/>
              <w:jc w:val="left"/>
            </w:pPr>
            <w:r>
              <w:t xml:space="preserve">Protección del conocimiento y divulgación</w:t>
            </w:r>
          </w:p>
        </w:tc>
        <w:tc>
          <w:tcPr/>
          <w:p>
            <w:pPr>
              <w:pStyle w:val="Tabla9"/>
              <w:jc w:val="left"/>
            </w:pPr>
            <w:r>
              <w:t xml:space="preserve">M04, S02, O01, O03, O06</w:t>
            </w:r>
          </w:p>
        </w:tc>
        <w:tc>
          <w:tcPr/>
          <w:p>
            <w:pPr>
              <w:pStyle w:val="Tabla9"/>
              <w:jc w:val="left"/>
            </w:pPr>
            <w:r>
              <w:t xml:space="preserve">187,5</w:t>
            </w:r>
          </w:p>
        </w:tc>
        <w:tc>
          <w:tcPr/>
          <w:p>
            <w:pPr>
              <w:pStyle w:val="Tabla9"/>
              <w:jc w:val="left"/>
            </w:pPr>
            <w:r>
              <w:t xml:space="preserve">2,1</w:t>
            </w:r>
          </w:p>
        </w:tc>
      </w:tr>
      <w:tr>
        <w:trPr>
          <w:cantSplit/>
        </w:trPr>
        <w:tc>
          <w:tcPr/>
          <w:p>
            <w:pPr>
              <w:pStyle w:val="Tabla9"/>
              <w:jc w:val="left"/>
            </w:pPr>
            <w:r>
              <w:t xml:space="preserve">7</w:t>
            </w:r>
          </w:p>
        </w:tc>
        <w:tc>
          <w:tcPr/>
          <w:p>
            <w:pPr>
              <w:pStyle w:val="Tabla9"/>
              <w:jc w:val="left"/>
            </w:pPr>
            <w:r>
              <w:t xml:space="preserve">Gastos de viaje</w:t>
            </w:r>
          </w:p>
        </w:tc>
        <w:tc>
          <w:tcPr/>
          <w:p>
            <w:pPr>
              <w:pStyle w:val="Tabla9"/>
              <w:jc w:val="left"/>
            </w:pPr>
            <w:r>
              <w:t xml:space="preserve">V01, V02, V03, V04</w:t>
            </w:r>
          </w:p>
        </w:tc>
        <w:tc>
          <w:tcPr/>
          <w:p>
            <w:pPr>
              <w:pStyle w:val="Tabla9"/>
              <w:jc w:val="left"/>
            </w:pPr>
            <w:r>
              <w:t xml:space="preserve">174,5</w:t>
            </w:r>
          </w:p>
        </w:tc>
        <w:tc>
          <w:tcPr/>
          <w:p>
            <w:pPr>
              <w:pStyle w:val="Tabla9"/>
              <w:jc w:val="left"/>
            </w:pPr>
            <w:r>
              <w:t xml:space="preserve">2,0</w:t>
            </w:r>
          </w:p>
        </w:tc>
      </w:tr>
      <w:tr>
        <w:trPr>
          <w:cantSplit/>
        </w:trPr>
        <w:tc>
          <w:tcPr/>
          <w:p>
            <w:pPr>
              <w:pStyle w:val="Tabla9"/>
              <w:jc w:val="left"/>
            </w:pPr>
            <w:r>
              <w:t xml:space="preserve">8</w:t>
            </w:r>
          </w:p>
        </w:tc>
        <w:tc>
          <w:tcPr/>
          <w:p>
            <w:pPr>
              <w:pStyle w:val="Tabla9"/>
              <w:jc w:val="left"/>
            </w:pPr>
            <w:r>
              <w:t xml:space="preserve">Infraestructura</w:t>
            </w:r>
          </w:p>
        </w:tc>
        <w:tc>
          <w:tcPr/>
          <w:p>
            <w:pPr>
              <w:pStyle w:val="Tabla9"/>
              <w:jc w:val="left"/>
            </w:pPr>
            <w:r>
              <w:t xml:space="preserve">—</w:t>
            </w:r>
          </w:p>
        </w:tc>
        <w:tc>
          <w:tcPr/>
          <w:p>
            <w:pPr>
              <w:pStyle w:val="Tabla9"/>
              <w:jc w:val="left"/>
            </w:pPr>
            <w:r>
              <w:t xml:space="preserve">0,0</w:t>
            </w:r>
          </w:p>
        </w:tc>
        <w:tc>
          <w:tcPr/>
          <w:p>
            <w:pPr>
              <w:pStyle w:val="Tabla9"/>
              <w:jc w:val="left"/>
            </w:pPr>
            <w:r>
              <w:t xml:space="preserve">0,0</w:t>
            </w:r>
          </w:p>
        </w:tc>
      </w:tr>
      <w:tr>
        <w:trPr>
          <w:cantSplit/>
        </w:trPr>
        <w:tc>
          <w:tcPr/>
          <w:p>
            <w:pPr>
              <w:pStyle w:val="Tabla9"/>
              <w:jc w:val="left"/>
            </w:pPr>
            <w:r>
              <w:t xml:space="preserve">9</w:t>
            </w:r>
          </w:p>
        </w:tc>
        <w:tc>
          <w:tcPr/>
          <w:p>
            <w:pPr>
              <w:pStyle w:val="Tabla9"/>
              <w:jc w:val="left"/>
            </w:pPr>
            <w:r>
              <w:t xml:space="preserve">Administrativos</w:t>
            </w:r>
          </w:p>
        </w:tc>
        <w:tc>
          <w:tcPr/>
          <w:p>
            <w:pPr>
              <w:pStyle w:val="Tabla9"/>
              <w:jc w:val="left"/>
            </w:pPr>
            <w:r>
              <w:t xml:space="preserve">—</w:t>
            </w:r>
          </w:p>
        </w:tc>
        <w:tc>
          <w:tcPr/>
          <w:p>
            <w:pPr>
              <w:pStyle w:val="Tabla9"/>
              <w:jc w:val="left"/>
            </w:pPr>
            <w:r>
              <w:t xml:space="preserve">0,0</w:t>
            </w:r>
          </w:p>
        </w:tc>
        <w:tc>
          <w:tcPr/>
          <w:p>
            <w:pPr>
              <w:pStyle w:val="Tabla9"/>
              <w:jc w:val="left"/>
            </w:pPr>
            <w:r>
              <w:t xml:space="preserve">0,0</w:t>
            </w:r>
          </w:p>
        </w:tc>
      </w:tr>
      <w:tr>
        <w:trPr>
          <w:cantSplit/>
        </w:trPr>
        <w:tc>
          <w:tcPr/>
          <w:p>
            <w:pPr>
              <w:pStyle w:val="Tabla9"/>
              <w:jc w:val="left"/>
            </w:pPr>
            <w:r>
              <w:t xml:space="preserve">10</w:t>
            </w:r>
          </w:p>
        </w:tc>
        <w:tc>
          <w:tcPr/>
          <w:p>
            <w:pPr>
              <w:pStyle w:val="Tabla9"/>
              <w:jc w:val="left"/>
            </w:pPr>
            <w:r>
              <w:t xml:space="preserve">Seguimiento</w:t>
            </w:r>
          </w:p>
        </w:tc>
        <w:tc>
          <w:tcPr/>
          <w:p>
            <w:pPr>
              <w:pStyle w:val="Tabla9"/>
              <w:jc w:val="left"/>
            </w:pPr>
            <w:r>
              <w:t xml:space="preserve">S07, O05</w:t>
            </w:r>
          </w:p>
        </w:tc>
        <w:tc>
          <w:tcPr/>
          <w:p>
            <w:pPr>
              <w:pStyle w:val="Tabla9"/>
              <w:jc w:val="left"/>
            </w:pPr>
            <w:r>
              <w:t xml:space="preserve">480,0</w:t>
            </w:r>
          </w:p>
        </w:tc>
        <w:tc>
          <w:tcPr/>
          <w:p>
            <w:pPr>
              <w:pStyle w:val="Tabla9"/>
              <w:jc w:val="left"/>
            </w:pPr>
            <w:r>
              <w:t xml:space="preserve">5,5</w:t>
            </w:r>
          </w:p>
        </w:tc>
      </w:tr>
      <w:tr>
        <w:trPr>
          <w:cantSplit/>
        </w:trPr>
        <w:tc>
          <w:tcPr/>
          <w:p>
            <w:pPr>
              <w:pStyle w:val="Tabla9"/>
              <w:jc w:val="left"/>
            </w:pPr>
            <w:r>
              <w:t xml:space="preserve">11</w:t>
            </w:r>
          </w:p>
        </w:tc>
        <w:tc>
          <w:tcPr/>
          <w:p>
            <w:pPr>
              <w:pStyle w:val="Tabla9"/>
              <w:jc w:val="left"/>
            </w:pPr>
            <w:r>
              <w:t xml:space="preserve">Otros</w:t>
            </w:r>
          </w:p>
        </w:tc>
        <w:tc>
          <w:tcPr/>
          <w:p>
            <w:pPr>
              <w:pStyle w:val="Tabla9"/>
              <w:jc w:val="left"/>
            </w:pPr>
            <w:r>
              <w:t xml:space="preserve">S11, X01</w:t>
            </w:r>
          </w:p>
        </w:tc>
        <w:tc>
          <w:tcPr/>
          <w:p>
            <w:pPr>
              <w:pStyle w:val="Tabla9"/>
              <w:jc w:val="left"/>
            </w:pPr>
            <w:r>
              <w:t xml:space="preserve">716,0</w:t>
            </w:r>
          </w:p>
        </w:tc>
        <w:tc>
          <w:tcPr/>
          <w:p>
            <w:pPr>
              <w:pStyle w:val="Tabla9"/>
              <w:jc w:val="left"/>
            </w:pPr>
            <w:r>
              <w:t xml:space="preserve">8,2</w:t>
            </w:r>
          </w:p>
        </w:tc>
      </w:tr>
      <w:tr>
        <w:trPr>
          <w:cantSplit/>
        </w:trPr>
        <w:tc>
          <w:tcPr/>
          <w:p>
            <w:pPr>
              <w:pStyle w:val="Tabla9"/>
            </w:pPr>
          </w:p>
        </w:tc>
        <w:tc>
          <w:tcPr/>
          <w:p>
            <w:pPr>
              <w:pStyle w:val="Tabla9"/>
              <w:jc w:val="left"/>
            </w:pPr>
            <w:r>
              <w:t xml:space="preserve">Total</w:t>
            </w:r>
          </w:p>
        </w:tc>
        <w:tc>
          <w:tcPr/>
          <w:p>
            <w:pPr>
              <w:pStyle w:val="Tabla9"/>
              <w:jc w:val="left"/>
            </w:pPr>
            <w:r>
              <w:t xml:space="preserve">54 líneas</w:t>
            </w:r>
          </w:p>
        </w:tc>
        <w:tc>
          <w:tcPr/>
          <w:p>
            <w:pPr>
              <w:pStyle w:val="Tabla9"/>
              <w:jc w:val="left"/>
            </w:pPr>
            <w:r>
              <w:t xml:space="preserve">8.729,8</w:t>
            </w:r>
          </w:p>
        </w:tc>
        <w:tc>
          <w:tcPr/>
          <w:p>
            <w:pPr>
              <w:pStyle w:val="Tabla9"/>
              <w:jc w:val="left"/>
            </w:pPr>
            <w:r>
              <w:t xml:space="preserve">100,0</w:t>
            </w:r>
          </w:p>
        </w:tc>
      </w:tr>
    </w:tbl>
    <w:p>
      <w:pPr>
        <w:pStyle w:val="TablaNota"/>
      </w:pPr>
      <w:r>
        <w:rPr>
          <w:i/>
          <w:iCs/>
        </w:rPr>
        <w:t xml:space="preserve">Nota.</w:t>
      </w:r>
      <w:r>
        <w:t xml:space="preserve"> </w:t>
      </w:r>
      <w:r>
        <w:t xml:space="preserve">Elaboración propia con la ficha maestra y la hoja RESUMEN del Anexo 3. La asignación de cada línea a un rubro es PROPUESTA. El expediente conserva sus siete categorías internas de formulación (capítulo 8).</w:t>
      </w:r>
    </w:p>
    <w:p>
      <w:pPr>
        <w:pStyle w:val="BodyText"/>
      </w:pPr>
      <w:r>
        <w:t xml:space="preserve">La Tabla S.17 muestra los cuatro ajustes aplicados. El presupuesto SGR baja a $ 8.729.840.000. La reserva se conserva y se asocia a los rubros mediante la Tabla S.18.</w:t>
      </w:r>
    </w:p>
    <w:p>
      <w:pPr>
        <w:pStyle w:val="TablaRotulo"/>
      </w:pPr>
      <w:bookmarkStart w:id="9017" w:name="rot_Tabla_S_17"/>
      <w:r>
        <w:rPr>
          <w:b/>
          <w:bCs/>
        </w:rPr>
        <w:t xml:space="preserve">Tabla S.17</w:t>
      </w:r>
      <w:bookmarkEnd w:id="9017"/>
    </w:p>
    <w:p>
      <w:pPr>
        <w:pStyle w:val="TablaTitulo"/>
      </w:pPr>
      <w:r>
        <w:rPr>
          <w:i/>
          <w:iCs/>
        </w:rPr>
        <w:t xml:space="preserve">Ajustes aplicados al presupuesto SGR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78"/>
        <w:gridCol w:w="1056"/>
        <w:gridCol w:w="1122"/>
        <w:gridCol w:w="1518"/>
        <w:gridCol w:w="2046"/>
      </w:tblGrid>
      <w:tr>
        <w:trPr>
          <w:cantSplit/>
          <w:tblHeader/>
        </w:trPr>
        <w:tc>
          <w:tcPr>
            <w:shd w:val="clear" w:color="auto" w:fill="00B050"/>
          </w:tcPr>
          <w:p>
            <w:pPr>
              <w:pStyle w:val="Tabla9"/>
              <w:jc w:val="center"/>
            </w:pPr>
            <w:r>
              <w:rPr>
                <w:b/>
                <w:color w:val="FFFFFF"/>
              </w:rPr>
              <w:t xml:space="preserve">Concepto</w:t>
            </w:r>
          </w:p>
        </w:tc>
        <w:tc>
          <w:tcPr>
            <w:shd w:val="clear" w:color="auto" w:fill="00B050"/>
          </w:tcPr>
          <w:p>
            <w:pPr>
              <w:pStyle w:val="Tabla9"/>
              <w:jc w:val="center"/>
            </w:pPr>
            <w:r>
              <w:rPr>
                <w:b/>
                <w:color w:val="FFFFFF"/>
              </w:rPr>
              <w:t xml:space="preserve">Antes (M COP)</w:t>
            </w:r>
          </w:p>
        </w:tc>
        <w:tc>
          <w:tcPr>
            <w:shd w:val="clear" w:color="auto" w:fill="00B050"/>
          </w:tcPr>
          <w:p>
            <w:pPr>
              <w:pStyle w:val="Tabla9"/>
              <w:jc w:val="center"/>
            </w:pPr>
            <w:r>
              <w:rPr>
                <w:b/>
                <w:color w:val="FFFFFF"/>
              </w:rPr>
              <w:t xml:space="preserve">Después (M COP)</w:t>
            </w:r>
          </w:p>
        </w:tc>
        <w:tc>
          <w:tcPr>
            <w:shd w:val="clear" w:color="auto" w:fill="00B050"/>
          </w:tcPr>
          <w:p>
            <w:pPr>
              <w:pStyle w:val="Tabla9"/>
              <w:jc w:val="center"/>
            </w:pPr>
            <w:r>
              <w:rPr>
                <w:b/>
                <w:color w:val="FFFFFF"/>
              </w:rPr>
              <w:t xml:space="preserve">Diferencia (M COP)</w:t>
            </w:r>
          </w:p>
        </w:tc>
        <w:tc>
          <w:tcPr>
            <w:shd w:val="clear" w:color="auto" w:fill="00B050"/>
          </w:tcPr>
          <w:p>
            <w:pPr>
              <w:pStyle w:val="Tabla9"/>
              <w:jc w:val="center"/>
            </w:pPr>
            <w:r>
              <w:rPr>
                <w:b/>
                <w:color w:val="FFFFFF"/>
              </w:rPr>
              <w:t xml:space="preserve">Motivo</w:t>
            </w:r>
          </w:p>
        </w:tc>
      </w:tr>
      <w:tr>
        <w:trPr>
          <w:cantSplit/>
        </w:trPr>
        <w:tc>
          <w:tcPr/>
          <w:p>
            <w:pPr>
              <w:pStyle w:val="Tabla9"/>
              <w:jc w:val="left"/>
            </w:pPr>
            <w:r>
              <w:t xml:space="preserve">Seguros (S04 y O04)</w:t>
            </w:r>
          </w:p>
        </w:tc>
        <w:tc>
          <w:tcPr/>
          <w:p>
            <w:pPr>
              <w:pStyle w:val="Tabla9"/>
              <w:jc w:val="left"/>
            </w:pPr>
            <w:r>
              <w:t xml:space="preserve">110,0</w:t>
            </w:r>
          </w:p>
        </w:tc>
        <w:tc>
          <w:tcPr/>
          <w:p>
            <w:pPr>
              <w:pStyle w:val="Tabla9"/>
              <w:jc w:val="left"/>
            </w:pPr>
            <w:r>
              <w:t xml:space="preserve">0,0</w:t>
            </w:r>
          </w:p>
        </w:tc>
        <w:tc>
          <w:tcPr/>
          <w:p>
            <w:pPr>
              <w:pStyle w:val="Tabla9"/>
              <w:jc w:val="left"/>
            </w:pPr>
            <w:r>
              <w:t xml:space="preserve">−110,0</w:t>
            </w:r>
          </w:p>
        </w:tc>
        <w:tc>
          <w:tcPr/>
          <w:p>
            <w:pPr>
              <w:pStyle w:val="Tabla9"/>
              <w:jc w:val="left"/>
            </w:pPr>
            <w:r>
              <w:t xml:space="preserve">La convocatoria excluye los seguros</w:t>
            </w:r>
          </w:p>
        </w:tc>
      </w:tr>
      <w:tr>
        <w:trPr>
          <w:cantSplit/>
        </w:trPr>
        <w:tc>
          <w:tcPr/>
          <w:p>
            <w:pPr>
              <w:pStyle w:val="Tabla9"/>
              <w:jc w:val="left"/>
            </w:pPr>
            <w:r>
              <w:t xml:space="preserve">Posdoctorado en lugar de científico de datos senior (P03)</w:t>
            </w:r>
          </w:p>
        </w:tc>
        <w:tc>
          <w:tcPr/>
          <w:p>
            <w:pPr>
              <w:pStyle w:val="Tabla9"/>
              <w:jc w:val="left"/>
            </w:pPr>
            <w:r>
              <w:t xml:space="preserve">480,0</w:t>
            </w:r>
          </w:p>
        </w:tc>
        <w:tc>
          <w:tcPr/>
          <w:p>
            <w:pPr>
              <w:pStyle w:val="Tabla9"/>
              <w:jc w:val="left"/>
            </w:pPr>
            <w:r>
              <w:t xml:space="preserve">310,1</w:t>
            </w:r>
          </w:p>
        </w:tc>
        <w:tc>
          <w:tcPr/>
          <w:p>
            <w:pPr>
              <w:pStyle w:val="Tabla9"/>
              <w:jc w:val="left"/>
            </w:pPr>
            <w:r>
              <w:t xml:space="preserve">−169,9</w:t>
            </w:r>
          </w:p>
        </w:tc>
        <w:tc>
          <w:tcPr/>
          <w:p>
            <w:pPr>
              <w:pStyle w:val="Tabla9"/>
              <w:jc w:val="left"/>
            </w:pPr>
            <w:r>
              <w:t xml:space="preserve">Perfil y valor fijados por los numerales 9 y 14.4</w:t>
            </w:r>
          </w:p>
        </w:tc>
      </w:tr>
      <w:tr>
        <w:trPr>
          <w:cantSplit/>
        </w:trPr>
        <w:tc>
          <w:tcPr/>
          <w:p>
            <w:pPr>
              <w:pStyle w:val="Tabla9"/>
              <w:jc w:val="left"/>
            </w:pPr>
            <w:r>
              <w:t xml:space="preserve">Movilidad financiada por el SGR (V01 a V04)</w:t>
            </w:r>
          </w:p>
        </w:tc>
        <w:tc>
          <w:tcPr/>
          <w:p>
            <w:pPr>
              <w:pStyle w:val="Tabla9"/>
              <w:jc w:val="left"/>
            </w:pPr>
            <w:r>
              <w:t xml:space="preserve">432,0</w:t>
            </w:r>
          </w:p>
        </w:tc>
        <w:tc>
          <w:tcPr/>
          <w:p>
            <w:pPr>
              <w:pStyle w:val="Tabla9"/>
              <w:jc w:val="left"/>
            </w:pPr>
            <w:r>
              <w:t xml:space="preserve">174,5</w:t>
            </w:r>
          </w:p>
        </w:tc>
        <w:tc>
          <w:tcPr/>
          <w:p>
            <w:pPr>
              <w:pStyle w:val="Tabla9"/>
              <w:jc w:val="left"/>
            </w:pPr>
            <w:r>
              <w:t xml:space="preserve">−257,5</w:t>
            </w:r>
          </w:p>
        </w:tc>
        <w:tc>
          <w:tcPr/>
          <w:p>
            <w:pPr>
              <w:pStyle w:val="Tabla9"/>
              <w:jc w:val="left"/>
            </w:pPr>
            <w:r>
              <w:t xml:space="preserve">Tope de 2 % del valor solicitado</w:t>
            </w:r>
          </w:p>
        </w:tc>
      </w:tr>
      <w:tr>
        <w:trPr>
          <w:cantSplit/>
        </w:trPr>
        <w:tc>
          <w:tcPr/>
          <w:p>
            <w:pPr>
              <w:pStyle w:val="Tabla9"/>
              <w:jc w:val="left"/>
            </w:pPr>
            <w:r>
              <w:t xml:space="preserve">Reserva de contingencia (X01)</w:t>
            </w:r>
          </w:p>
        </w:tc>
        <w:tc>
          <w:tcPr/>
          <w:p>
            <w:pPr>
              <w:pStyle w:val="Tabla9"/>
              <w:jc w:val="left"/>
            </w:pPr>
            <w:r>
              <w:t xml:space="preserve">636,0</w:t>
            </w:r>
          </w:p>
        </w:tc>
        <w:tc>
          <w:tcPr/>
          <w:p>
            <w:pPr>
              <w:pStyle w:val="Tabla9"/>
              <w:jc w:val="left"/>
            </w:pPr>
            <w:r>
              <w:t xml:space="preserve">636,0</w:t>
            </w:r>
          </w:p>
        </w:tc>
        <w:tc>
          <w:tcPr/>
          <w:p>
            <w:pPr>
              <w:pStyle w:val="Tabla9"/>
              <w:jc w:val="left"/>
            </w:pPr>
            <w:r>
              <w:t xml:space="preserve">0,0</w:t>
            </w:r>
          </w:p>
        </w:tc>
        <w:tc>
          <w:tcPr/>
          <w:p>
            <w:pPr>
              <w:pStyle w:val="Tabla9"/>
              <w:jc w:val="left"/>
            </w:pPr>
            <w:r>
              <w:t xml:space="preserve">Se conserva en el rubro 11, asociada al análisis de riesgos</w:t>
            </w:r>
          </w:p>
        </w:tc>
      </w:tr>
      <w:tr>
        <w:trPr>
          <w:cantSplit/>
        </w:trPr>
        <w:tc>
          <w:tcPr/>
          <w:p>
            <w:pPr>
              <w:pStyle w:val="Tabla9"/>
              <w:jc w:val="left"/>
            </w:pPr>
            <w:r>
              <w:t xml:space="preserve">Presupuesto SGR</w:t>
            </w:r>
          </w:p>
        </w:tc>
        <w:tc>
          <w:tcPr/>
          <w:p>
            <w:pPr>
              <w:pStyle w:val="Tabla9"/>
              <w:jc w:val="left"/>
            </w:pPr>
            <w:r>
              <w:t xml:space="preserve">9.267,3</w:t>
            </w:r>
          </w:p>
        </w:tc>
        <w:tc>
          <w:tcPr/>
          <w:p>
            <w:pPr>
              <w:pStyle w:val="Tabla9"/>
              <w:jc w:val="left"/>
            </w:pPr>
            <w:r>
              <w:t xml:space="preserve">8.729,8</w:t>
            </w:r>
          </w:p>
        </w:tc>
        <w:tc>
          <w:tcPr/>
          <w:p>
            <w:pPr>
              <w:pStyle w:val="Tabla9"/>
              <w:jc w:val="left"/>
            </w:pPr>
            <w:r>
              <w:t xml:space="preserve">−537,4</w:t>
            </w:r>
          </w:p>
        </w:tc>
        <w:tc>
          <w:tcPr/>
          <w:p>
            <w:pPr>
              <w:pStyle w:val="Tabla9"/>
              <w:jc w:val="left"/>
            </w:pPr>
            <w:r>
              <w:t xml:space="preserve">Tope de 14.000 millones de COP: se cumple</w:t>
            </w:r>
          </w:p>
        </w:tc>
      </w:tr>
      <w:tr>
        <w:trPr>
          <w:cantSplit/>
        </w:trPr>
        <w:tc>
          <w:tcPr/>
          <w:p>
            <w:pPr>
              <w:pStyle w:val="Tabla9"/>
              <w:jc w:val="left"/>
            </w:pPr>
            <w:r>
              <w:t xml:space="preserve">Contrapartida</w:t>
            </w:r>
          </w:p>
        </w:tc>
        <w:tc>
          <w:tcPr/>
          <w:p>
            <w:pPr>
              <w:pStyle w:val="Tabla9"/>
              <w:jc w:val="left"/>
            </w:pPr>
            <w:r>
              <w:t xml:space="preserve">2.110,0</w:t>
            </w:r>
          </w:p>
        </w:tc>
        <w:tc>
          <w:tcPr/>
          <w:p>
            <w:pPr>
              <w:pStyle w:val="Tabla9"/>
              <w:jc w:val="left"/>
            </w:pPr>
            <w:r>
              <w:t xml:space="preserve">2.110,0</w:t>
            </w:r>
          </w:p>
        </w:tc>
        <w:tc>
          <w:tcPr/>
          <w:p>
            <w:pPr>
              <w:pStyle w:val="Tabla9"/>
              <w:jc w:val="left"/>
            </w:pPr>
            <w:r>
              <w:t xml:space="preserve">0,0</w:t>
            </w:r>
          </w:p>
        </w:tc>
        <w:tc>
          <w:tcPr/>
          <w:p>
            <w:pPr>
              <w:pStyle w:val="Tabla9"/>
              <w:jc w:val="left"/>
            </w:pPr>
            <w:r>
              <w:t xml:space="preserve">Sin cambios; el actor reconocido queda en blanco</w:t>
            </w:r>
          </w:p>
        </w:tc>
      </w:tr>
    </w:tbl>
    <w:p>
      <w:pPr>
        <w:pStyle w:val="TablaNota"/>
      </w:pPr>
      <w:r>
        <w:rPr>
          <w:i/>
          <w:iCs/>
        </w:rPr>
        <w:t xml:space="preserve">Nota.</w:t>
      </w:r>
      <w:r>
        <w:t xml:space="preserve"> </w:t>
      </w:r>
      <w:r>
        <w:t xml:space="preserve">Elaboración propia (CALCULADO). Si los términos de referencia aclaran que el tope de 2 % no se aplica a los viajes de campo, el proyecto restituye 257,5 millones de COP en viajes.</w:t>
      </w:r>
    </w:p>
    <w:p>
      <w:pPr>
        <w:pStyle w:val="TablaRotulo"/>
      </w:pPr>
      <w:bookmarkStart w:id="9018" w:name="rot_Tabla_S_18"/>
      <w:r>
        <w:rPr>
          <w:b/>
          <w:bCs/>
        </w:rPr>
        <w:t xml:space="preserve">Tabla S.18</w:t>
      </w:r>
      <w:bookmarkEnd w:id="9018"/>
    </w:p>
    <w:p>
      <w:pPr>
        <w:pStyle w:val="TablaTitulo"/>
      </w:pPr>
      <w:r>
        <w:rPr>
          <w:i/>
          <w:iCs/>
        </w:rPr>
        <w:t xml:space="preserve">Reserva de contingencia asociada a los rubros del Anexo 3</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168"/>
        <w:gridCol w:w="2904"/>
        <w:gridCol w:w="1848"/>
      </w:tblGrid>
      <w:tr>
        <w:trPr>
          <w:cantSplit/>
          <w:tblHeader/>
        </w:trPr>
        <w:tc>
          <w:tcPr>
            <w:shd w:val="clear" w:color="auto" w:fill="00B050"/>
          </w:tcPr>
          <w:p>
            <w:pPr>
              <w:pStyle w:val="Tabla9"/>
              <w:jc w:val="center"/>
            </w:pPr>
            <w:r>
              <w:rPr>
                <w:b/>
                <w:color w:val="FFFFFF"/>
              </w:rPr>
              <w:t xml:space="preserve">Rubro asociado</w:t>
            </w:r>
          </w:p>
        </w:tc>
        <w:tc>
          <w:tcPr>
            <w:shd w:val="clear" w:color="auto" w:fill="00B050"/>
          </w:tcPr>
          <w:p>
            <w:pPr>
              <w:pStyle w:val="Tabla9"/>
              <w:jc w:val="center"/>
            </w:pPr>
            <w:r>
              <w:rPr>
                <w:b/>
                <w:color w:val="FFFFFF"/>
              </w:rPr>
              <w:t xml:space="preserve">Riesgos que la justifican</w:t>
            </w:r>
          </w:p>
        </w:tc>
        <w:tc>
          <w:tcPr>
            <w:shd w:val="clear" w:color="auto" w:fill="00B050"/>
          </w:tcPr>
          <w:p>
            <w:pPr>
              <w:pStyle w:val="Tabla9"/>
              <w:jc w:val="center"/>
            </w:pPr>
            <w:r>
              <w:rPr>
                <w:b/>
                <w:color w:val="FFFFFF"/>
              </w:rPr>
              <w:t xml:space="preserve">Valor esperado (M COP)</w:t>
            </w:r>
          </w:p>
        </w:tc>
      </w:tr>
      <w:tr>
        <w:trPr>
          <w:cantSplit/>
        </w:trPr>
        <w:tc>
          <w:tcPr/>
          <w:p>
            <w:pPr>
              <w:pStyle w:val="Tabla9"/>
              <w:jc w:val="left"/>
            </w:pPr>
            <w:r>
              <w:t xml:space="preserve">Equipos y software</w:t>
            </w:r>
          </w:p>
        </w:tc>
        <w:tc>
          <w:tcPr/>
          <w:p>
            <w:pPr>
              <w:pStyle w:val="Tabla9"/>
              <w:jc w:val="left"/>
            </w:pPr>
            <w:r>
              <w:t xml:space="preserve">R-TEC-01, R-TEC-02, R-EXT-02 y R-FIN-01</w:t>
            </w:r>
          </w:p>
        </w:tc>
        <w:tc>
          <w:tcPr/>
          <w:p>
            <w:pPr>
              <w:pStyle w:val="Tabla9"/>
              <w:jc w:val="left"/>
            </w:pPr>
            <w:r>
              <w:t xml:space="preserve">363,0</w:t>
            </w:r>
          </w:p>
        </w:tc>
      </w:tr>
      <w:tr>
        <w:trPr>
          <w:cantSplit/>
        </w:trPr>
        <w:tc>
          <w:tcPr/>
          <w:p>
            <w:pPr>
              <w:pStyle w:val="Tabla9"/>
              <w:jc w:val="left"/>
            </w:pPr>
            <w:r>
              <w:t xml:space="preserve">Servicios tecnológicos y pruebas</w:t>
            </w:r>
          </w:p>
        </w:tc>
        <w:tc>
          <w:tcPr/>
          <w:p>
            <w:pPr>
              <w:pStyle w:val="Tabla9"/>
              <w:jc w:val="left"/>
            </w:pPr>
            <w:r>
              <w:t xml:space="preserve">R-TEC-03, R-TEC-04 y R-DAT-01</w:t>
            </w:r>
          </w:p>
        </w:tc>
        <w:tc>
          <w:tcPr/>
          <w:p>
            <w:pPr>
              <w:pStyle w:val="Tabla9"/>
              <w:jc w:val="left"/>
            </w:pPr>
            <w:r>
              <w:t xml:space="preserve">77,5</w:t>
            </w:r>
          </w:p>
        </w:tc>
      </w:tr>
      <w:tr>
        <w:trPr>
          <w:cantSplit/>
        </w:trPr>
        <w:tc>
          <w:tcPr/>
          <w:p>
            <w:pPr>
              <w:pStyle w:val="Tabla9"/>
              <w:jc w:val="left"/>
            </w:pPr>
            <w:r>
              <w:t xml:space="preserve">Capacitación y eventos</w:t>
            </w:r>
          </w:p>
        </w:tc>
        <w:tc>
          <w:tcPr/>
          <w:p>
            <w:pPr>
              <w:pStyle w:val="Tabla9"/>
              <w:jc w:val="left"/>
            </w:pPr>
            <w:r>
              <w:t xml:space="preserve">R-ORG-01 y R-ORG-02</w:t>
            </w:r>
          </w:p>
        </w:tc>
        <w:tc>
          <w:tcPr/>
          <w:p>
            <w:pPr>
              <w:pStyle w:val="Tabla9"/>
              <w:jc w:val="left"/>
            </w:pPr>
            <w:r>
              <w:t xml:space="preserve">96,0</w:t>
            </w:r>
          </w:p>
        </w:tc>
      </w:tr>
      <w:tr>
        <w:trPr>
          <w:cantSplit/>
        </w:trPr>
        <w:tc>
          <w:tcPr/>
          <w:p>
            <w:pPr>
              <w:pStyle w:val="Tabla9"/>
              <w:jc w:val="left"/>
            </w:pPr>
            <w:r>
              <w:t xml:space="preserve">Protección del conocimiento y divulgación</w:t>
            </w:r>
          </w:p>
        </w:tc>
        <w:tc>
          <w:tcPr/>
          <w:p>
            <w:pPr>
              <w:pStyle w:val="Tabla9"/>
              <w:jc w:val="left"/>
            </w:pPr>
            <w:r>
              <w:t xml:space="preserve">R-JUR-01</w:t>
            </w:r>
          </w:p>
        </w:tc>
        <w:tc>
          <w:tcPr/>
          <w:p>
            <w:pPr>
              <w:pStyle w:val="Tabla9"/>
              <w:jc w:val="left"/>
            </w:pPr>
            <w:r>
              <w:t xml:space="preserve">20,0</w:t>
            </w:r>
          </w:p>
        </w:tc>
      </w:tr>
      <w:tr>
        <w:trPr>
          <w:cantSplit/>
        </w:trPr>
        <w:tc>
          <w:tcPr/>
          <w:p>
            <w:pPr>
              <w:pStyle w:val="Tabla9"/>
              <w:jc w:val="left"/>
            </w:pPr>
            <w:r>
              <w:t xml:space="preserve">Otros</w:t>
            </w:r>
          </w:p>
        </w:tc>
        <w:tc>
          <w:tcPr/>
          <w:p>
            <w:pPr>
              <w:pStyle w:val="Tabla9"/>
              <w:jc w:val="left"/>
            </w:pPr>
            <w:r>
              <w:t xml:space="preserve">R-EXT-01 y R-FIN-02</w:t>
            </w:r>
          </w:p>
        </w:tc>
        <w:tc>
          <w:tcPr/>
          <w:p>
            <w:pPr>
              <w:pStyle w:val="Tabla9"/>
              <w:jc w:val="left"/>
            </w:pPr>
            <w:r>
              <w:t xml:space="preserve">80,0</w:t>
            </w:r>
          </w:p>
        </w:tc>
      </w:tr>
      <w:tr>
        <w:trPr>
          <w:cantSplit/>
        </w:trPr>
        <w:tc>
          <w:tcPr/>
          <w:p>
            <w:pPr>
              <w:pStyle w:val="Tabla9"/>
              <w:jc w:val="left"/>
            </w:pPr>
            <w:r>
              <w:t xml:space="preserve">Total (la reserva se redondea a 636,0)</w:t>
            </w:r>
          </w:p>
        </w:tc>
        <w:tc>
          <w:tcPr/>
          <w:p>
            <w:pPr>
              <w:pStyle w:val="Tabla9"/>
              <w:jc w:val="left"/>
            </w:pPr>
            <w:r>
              <w:t xml:space="preserve">12 riesgos</w:t>
            </w:r>
          </w:p>
        </w:tc>
        <w:tc>
          <w:tcPr/>
          <w:p>
            <w:pPr>
              <w:pStyle w:val="Tabla9"/>
              <w:jc w:val="left"/>
            </w:pPr>
            <w:r>
              <w:t xml:space="preserve">636,5</w:t>
            </w:r>
          </w:p>
        </w:tc>
      </w:tr>
    </w:tbl>
    <w:p>
      <w:pPr>
        <w:pStyle w:val="TablaNota"/>
      </w:pPr>
      <w:r>
        <w:rPr>
          <w:i/>
          <w:iCs/>
        </w:rPr>
        <w:t xml:space="preserve">Nota.</w:t>
      </w:r>
      <w:r>
        <w:t xml:space="preserve"> </w:t>
      </w:r>
      <w:r>
        <w:t xml:space="preserve">Elaboración propia con el análisis de riesgos del capítulo 10. El valor esperado es probabilidad por impacto (CALCULADO). La reserva se registra en una sola línea del rubro 11 (Otros).</w:t>
      </w:r>
    </w:p>
    <w:p>
      <w:pPr>
        <w:pStyle w:val="BodyText"/>
      </w:pPr>
      <w:r>
        <w:t xml:space="preserve">Quedan cinco pendientes que solo la alianza resuelve. Primero, la contrapartida del actor reconocido. Segundo, el soporte de que los viajes del SGR y la logística de la empresa no se duplican. Tercero, las partidas de custodia. Cuarto, las cotizaciones. Quinto, el Anexo 3 en Excel firmado. El proyecto no puede radicarse mientras esos cinco puntos sigan abiertos.</w:t>
      </w:r>
    </w:p>
    <w:bookmarkEnd w:id="39"/>
    <w:bookmarkEnd w:id="40"/>
    <w:bookmarkStart w:id="41" w:name="Xba62e6b28faabf1b8a3051bee67bb3ad501066c"/>
    <w:p>
      <w:pPr>
        <w:pStyle w:val="Heading1"/>
      </w:pPr>
      <w:r>
        <w:t xml:space="preserve">Documento técnico de la propuesta (formato del Anexo 2)</w:t>
      </w:r>
    </w:p>
    <w:p>
      <w:pPr>
        <w:pStyle w:val="FirstParagraph"/>
      </w:pPr>
      <w:r>
        <w:t xml:space="preserve">Esta parte presenta el proyecto en las 30 secciones del Anexo 2 de la convocatoria. Conserva los títulos, el orden y la numeración de la plantilla oficial. Respeta también la estructura de sus tablas. Las instrucciones de la plantilla se sustituyen por el contenido del proyecto. Los datos que solo posee el proponente figuran como [DATO_USUARIO]. El análisis extenso y la trazabilidad de cada cifra se encuentran en el expediente de formulación, que sigue a la sección 30. El documento es un borrador con vacíos y no un paquete de radicación.</w:t>
      </w:r>
    </w:p>
    <w:bookmarkEnd w:id="41"/>
    <w:bookmarkStart w:id="42" w:name="_Toc00900015"/>
    <w:p>
      <w:pPr>
        <w:pStyle w:val="Heading1"/>
      </w:pPr>
      <w:r>
        <w:t xml:space="preserve">1. IDENTIFICACIÓN DEL PROYECTO</w:t>
      </w:r>
    </w:p>
    <w:p>
      <w:pPr>
        <w:pStyle w:val="FirstParagraph"/>
      </w:pPr>
      <w:r>
        <w:t xml:space="preserve">La Tabla D.1 diligencia los campos de identificación del Anexo 2. Los nombres de las entidades, el código SIGP y la lista de municipios dependen de la decisión de la alianza y quedan abiertos.</w:t>
      </w:r>
    </w:p>
    <w:p>
      <w:pPr>
        <w:pStyle w:val="TablaRotulo"/>
      </w:pPr>
      <w:bookmarkStart w:id="9019" w:name="rot_Tabla_D_1"/>
      <w:r>
        <w:rPr>
          <w:b/>
          <w:bCs/>
        </w:rPr>
        <w:t xml:space="preserve">Tabla D.1</w:t>
      </w:r>
      <w:bookmarkEnd w:id="9019"/>
    </w:p>
    <w:p>
      <w:pPr>
        <w:pStyle w:val="TablaTitulo"/>
      </w:pPr>
      <w:r>
        <w:rPr>
          <w:i/>
          <w:iCs/>
        </w:rPr>
        <w:t xml:space="preserve">Identificación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300"/>
        <w:gridCol w:w="4620"/>
      </w:tblGrid>
      <w:tr>
        <w:trPr>
          <w:cantSplit/>
          <w:tblHeader/>
        </w:trPr>
        <w:tc>
          <w:tcPr>
            <w:shd w:val="clear" w:color="auto" w:fill="00B050"/>
          </w:tcPr>
          <w:p>
            <w:pPr>
              <w:pStyle w:val="Tabla9"/>
              <w:jc w:val="center"/>
            </w:pPr>
            <w:r>
              <w:rPr>
                <w:b/>
                <w:color w:val="FFFFFF"/>
              </w:rPr>
              <w:t xml:space="preserve">Campo del Anexo 2</w:t>
            </w:r>
          </w:p>
        </w:tc>
        <w:tc>
          <w:tcPr>
            <w:shd w:val="clear" w:color="auto" w:fill="00B050"/>
          </w:tcPr>
          <w:p>
            <w:pPr>
              <w:pStyle w:val="Tabla9"/>
              <w:jc w:val="center"/>
            </w:pPr>
            <w:r>
              <w:rPr>
                <w:b/>
                <w:color w:val="FFFFFF"/>
              </w:rPr>
              <w:t xml:space="preserve">Diligenciamiento</w:t>
            </w:r>
          </w:p>
        </w:tc>
      </w:tr>
      <w:tr>
        <w:trPr>
          <w:cantSplit/>
        </w:trPr>
        <w:tc>
          <w:tcPr/>
          <w:p>
            <w:pPr>
              <w:pStyle w:val="Tabla9"/>
              <w:jc w:val="left"/>
            </w:pPr>
            <w:r>
              <w:t xml:space="preserve">Nombre del proyecto</w:t>
            </w:r>
          </w:p>
        </w:tc>
        <w:tc>
          <w:tcPr/>
          <w:p>
            <w:pPr>
              <w:pStyle w:val="Tabla9"/>
              <w:jc w:val="left"/>
            </w:pPr>
            <w:r>
              <w:t xml:space="preserve">Implementación de una red IoT híbrida Edge-Cloud y gemelo digital para la gestión anticipada del riesgo por material particulado posterremoto</w:t>
            </w:r>
          </w:p>
        </w:tc>
      </w:tr>
      <w:tr>
        <w:trPr>
          <w:cantSplit/>
        </w:trPr>
        <w:tc>
          <w:tcPr/>
          <w:p>
            <w:pPr>
              <w:pStyle w:val="Tabla9"/>
              <w:jc w:val="left"/>
            </w:pPr>
            <w:r>
              <w:t xml:space="preserve">Nombre sugerido para la MGA (estructura proceso + objeto + localización; 207 caracteres)</w:t>
            </w:r>
          </w:p>
        </w:tc>
        <w:tc>
          <w:tcPr/>
          <w:p>
            <w:pPr>
              <w:pStyle w:val="Tabla9"/>
              <w:jc w:val="left"/>
            </w:pPr>
            <w:r>
              <w:t xml:space="preserve">Implementación de una red IoT híbrida Edge-Cloud y gemelo digital para la gestión anticipada del riesgo por material particulado posterremoto en municipios afectados de Caldas, Cundinamarca y Valle del Cauca</w:t>
            </w:r>
          </w:p>
        </w:tc>
      </w:tr>
      <w:tr>
        <w:trPr>
          <w:cantSplit/>
        </w:trPr>
        <w:tc>
          <w:tcPr/>
          <w:p>
            <w:pPr>
              <w:pStyle w:val="Tabla9"/>
              <w:jc w:val="left"/>
            </w:pPr>
            <w:r>
              <w:t xml:space="preserve">Entidad proponente</w:t>
            </w:r>
          </w:p>
        </w:tc>
        <w:tc>
          <w:tcPr/>
          <w:p>
            <w:pPr>
              <w:pStyle w:val="Tabla9"/>
              <w:jc w:val="left"/>
            </w:pPr>
            <w:r>
              <w:t xml:space="preserve">[DATO_USUARIO: universidad con grupo de investigación reconocido por MinCiencias]. Categoría de puntuación: IES</w:t>
            </w:r>
          </w:p>
        </w:tc>
      </w:tr>
      <w:tr>
        <w:trPr>
          <w:cantSplit/>
        </w:trPr>
        <w:tc>
          <w:tcPr/>
          <w:p>
            <w:pPr>
              <w:pStyle w:val="Tabla9"/>
              <w:jc w:val="left"/>
            </w:pPr>
            <w:r>
              <w:t xml:space="preserve">Número total de entidades aliadas</w:t>
            </w:r>
          </w:p>
        </w:tc>
        <w:tc>
          <w:tcPr/>
          <w:p>
            <w:pPr>
              <w:pStyle w:val="Tabla9"/>
              <w:jc w:val="left"/>
            </w:pPr>
            <w:r>
              <w:t xml:space="preserve">2, además de un municipio beneficiario</w:t>
            </w:r>
          </w:p>
        </w:tc>
      </w:tr>
      <w:tr>
        <w:trPr>
          <w:cantSplit/>
        </w:trPr>
        <w:tc>
          <w:tcPr/>
          <w:p>
            <w:pPr>
              <w:pStyle w:val="Tabla9"/>
              <w:jc w:val="left"/>
            </w:pPr>
            <w:r>
              <w:t xml:space="preserve">Entidad aliada No. 1</w:t>
            </w:r>
          </w:p>
        </w:tc>
        <w:tc>
          <w:tcPr/>
          <w:p>
            <w:pPr>
              <w:pStyle w:val="Tabla9"/>
              <w:jc w:val="left"/>
            </w:pPr>
            <w:r>
              <w:t xml:space="preserve">[DATO_USUARIO: actor reconocido por MinCiencias]. Categoría de puntuación: [DATO_USUARIO: centro o instituto de CTeI, instituto del SINA u otra]</w:t>
            </w:r>
          </w:p>
        </w:tc>
      </w:tr>
      <w:tr>
        <w:trPr>
          <w:cantSplit/>
        </w:trPr>
        <w:tc>
          <w:tcPr/>
          <w:p>
            <w:pPr>
              <w:pStyle w:val="Tabla9"/>
              <w:jc w:val="left"/>
            </w:pPr>
            <w:r>
              <w:t xml:space="preserve">Entidad aliada No. 2</w:t>
            </w:r>
          </w:p>
        </w:tc>
        <w:tc>
          <w:tcPr/>
          <w:p>
            <w:pPr>
              <w:pStyle w:val="Tabla9"/>
              <w:jc w:val="left"/>
            </w:pPr>
            <w:r>
              <w:t xml:space="preserve">[DATO_USUARIO: empresa aliada]. Categoría de puntuación: las cinco categorías del Anexo 2 no incluyen empresas; los términos de referencia deben confirmar su tratamiento</w:t>
            </w:r>
          </w:p>
        </w:tc>
      </w:tr>
      <w:tr>
        <w:trPr>
          <w:cantSplit/>
        </w:trPr>
        <w:tc>
          <w:tcPr/>
          <w:p>
            <w:pPr>
              <w:pStyle w:val="Tabla9"/>
              <w:jc w:val="left"/>
            </w:pPr>
            <w:r>
              <w:t xml:space="preserve">Beneficiario focal</w:t>
            </w:r>
          </w:p>
        </w:tc>
        <w:tc>
          <w:tcPr/>
          <w:p>
            <w:pPr>
              <w:pStyle w:val="Tabla9"/>
              <w:jc w:val="left"/>
            </w:pPr>
            <w:r>
              <w:t xml:space="preserve">[DATO_USUARIO: municipio de Cundinamarca, Risaralda, Caldas o Valle del Cauca], como beneficiario sin aporte de recursos</w:t>
            </w:r>
          </w:p>
        </w:tc>
      </w:tr>
      <w:tr>
        <w:trPr>
          <w:cantSplit/>
        </w:trPr>
        <w:tc>
          <w:tcPr/>
          <w:p>
            <w:pPr>
              <w:pStyle w:val="Tabla9"/>
              <w:jc w:val="left"/>
            </w:pPr>
            <w:r>
              <w:t xml:space="preserve">Código SIGP</w:t>
            </w:r>
          </w:p>
        </w:tc>
        <w:tc>
          <w:tcPr/>
          <w:p>
            <w:pPr>
              <w:pStyle w:val="Tabla9"/>
              <w:jc w:val="left"/>
            </w:pPr>
            <w:r>
              <w:t xml:space="preserve">[DATO_USUARIO: código asignado en la plataforma SIGP]</w:t>
            </w:r>
          </w:p>
        </w:tc>
      </w:tr>
      <w:tr>
        <w:trPr>
          <w:cantSplit/>
        </w:trPr>
        <w:tc>
          <w:tcPr/>
          <w:p>
            <w:pPr>
              <w:pStyle w:val="Tabla9"/>
              <w:jc w:val="left"/>
            </w:pPr>
            <w:r>
              <w:t xml:space="preserve">Tiempo de ejecución en meses</w:t>
            </w:r>
          </w:p>
        </w:tc>
        <w:tc>
          <w:tcPr/>
          <w:p>
            <w:pPr>
              <w:pStyle w:val="Tabla9"/>
              <w:jc w:val="left"/>
            </w:pPr>
            <w:r>
              <w:t xml:space="preserve">24</w:t>
            </w:r>
          </w:p>
        </w:tc>
      </w:tr>
      <w:tr>
        <w:trPr>
          <w:cantSplit/>
        </w:trPr>
        <w:tc>
          <w:tcPr/>
          <w:p>
            <w:pPr>
              <w:pStyle w:val="Tabla9"/>
              <w:jc w:val="left"/>
            </w:pPr>
            <w:r>
              <w:t xml:space="preserve">Fecha y hora de cierre de la radicación</w:t>
            </w:r>
          </w:p>
        </w:tc>
        <w:tc>
          <w:tcPr/>
          <w:p>
            <w:pPr>
              <w:pStyle w:val="Tabla9"/>
              <w:jc w:val="left"/>
            </w:pPr>
            <w:r>
              <w:t xml:space="preserve">3 de noviembre de 2026, 4:00 p. m. (confirmado por el usuario; coincide con la guía financiera de la convocatoria)</w:t>
            </w:r>
          </w:p>
        </w:tc>
      </w:tr>
      <w:tr>
        <w:trPr>
          <w:cantSplit/>
        </w:trPr>
        <w:tc>
          <w:tcPr/>
          <w:p>
            <w:pPr>
              <w:pStyle w:val="Tabla9"/>
              <w:jc w:val="left"/>
            </w:pPr>
            <w:r>
              <w:t xml:space="preserve">Región (SGR)</w:t>
            </w:r>
          </w:p>
        </w:tc>
        <w:tc>
          <w:tcPr/>
          <w:p>
            <w:pPr>
              <w:pStyle w:val="Tabla9"/>
              <w:jc w:val="left"/>
            </w:pPr>
            <w:r>
              <w:t xml:space="preserve">[DATO_USUARIO: dos regiones del SGR según el artículo 45 de la Ley 2056 de 2020]. Con tres departamentos, el alcance podría abarcar más de dos regiones (NO_VERIFICADO)</w:t>
            </w:r>
          </w:p>
        </w:tc>
      </w:tr>
      <w:tr>
        <w:trPr>
          <w:cantSplit/>
        </w:trPr>
        <w:tc>
          <w:tcPr/>
          <w:p>
            <w:pPr>
              <w:pStyle w:val="Tabla9"/>
              <w:jc w:val="left"/>
            </w:pPr>
            <w:r>
              <w:t xml:space="preserve">Departamento(s)</w:t>
            </w:r>
          </w:p>
        </w:tc>
        <w:tc>
          <w:tcPr/>
          <w:p>
            <w:pPr>
              <w:pStyle w:val="Tabla9"/>
              <w:jc w:val="left"/>
            </w:pPr>
            <w:r>
              <w:t xml:space="preserve">Caldas, Cundinamarca y Valle del Cauca (SUPUESTO por instrucción del usuario); Risaralda por verificar</w:t>
            </w:r>
          </w:p>
        </w:tc>
      </w:tr>
      <w:tr>
        <w:trPr>
          <w:cantSplit/>
        </w:trPr>
        <w:tc>
          <w:tcPr/>
          <w:p>
            <w:pPr>
              <w:pStyle w:val="Tabla9"/>
              <w:jc w:val="left"/>
            </w:pPr>
            <w:r>
              <w:t xml:space="preserve">Municipio(s)</w:t>
            </w:r>
          </w:p>
        </w:tc>
        <w:tc>
          <w:tcPr/>
          <w:p>
            <w:pPr>
              <w:pStyle w:val="Tabla9"/>
              <w:jc w:val="left"/>
            </w:pPr>
            <w:r>
              <w:t xml:space="preserve">12 municipios, cuatro por departamento [DATO_USUARIO: lista de municipios afectados por la emergencia]</w:t>
            </w:r>
          </w:p>
        </w:tc>
      </w:tr>
      <w:tr>
        <w:trPr>
          <w:cantSplit/>
        </w:trPr>
        <w:tc>
          <w:tcPr/>
          <w:p>
            <w:pPr>
              <w:pStyle w:val="Tabla9"/>
              <w:jc w:val="left"/>
            </w:pPr>
            <w:r>
              <w:t xml:space="preserve">Centro poblado</w:t>
            </w:r>
          </w:p>
        </w:tc>
        <w:tc>
          <w:tcPr/>
          <w:p>
            <w:pPr>
              <w:pStyle w:val="Tabla9"/>
              <w:jc w:val="left"/>
            </w:pPr>
            <w:r>
              <w:t xml:space="preserve">[DATO_USUARIO: urbano o rural, por municipio]</w:t>
            </w:r>
          </w:p>
        </w:tc>
      </w:tr>
      <w:tr>
        <w:trPr>
          <w:cantSplit/>
        </w:trPr>
        <w:tc>
          <w:tcPr/>
          <w:p>
            <w:pPr>
              <w:pStyle w:val="Tabla9"/>
              <w:jc w:val="left"/>
            </w:pPr>
            <w:r>
              <w:t xml:space="preserve">Resguardo</w:t>
            </w:r>
          </w:p>
        </w:tc>
        <w:tc>
          <w:tcPr/>
          <w:p>
            <w:pPr>
              <w:pStyle w:val="Tabla9"/>
              <w:jc w:val="left"/>
            </w:pPr>
            <w:r>
              <w:t xml:space="preserve">[DATO_USUARIO: nombre o No aplica]</w:t>
            </w:r>
          </w:p>
        </w:tc>
      </w:tr>
      <w:tr>
        <w:trPr>
          <w:cantSplit/>
        </w:trPr>
        <w:tc>
          <w:tcPr/>
          <w:p>
            <w:pPr>
              <w:pStyle w:val="Tabla9"/>
              <w:jc w:val="left"/>
            </w:pPr>
            <w:r>
              <w:t xml:space="preserve">Demanda(s) territorial(es)</w:t>
            </w:r>
          </w:p>
        </w:tc>
        <w:tc>
          <w:tcPr/>
          <w:p>
            <w:pPr>
              <w:pStyle w:val="Tabla9"/>
              <w:jc w:val="left"/>
            </w:pPr>
            <w:r>
              <w:t xml:space="preserve">Nueva demanda derivada de la emergencia: mediciones de PM2,5 y PM10 con error conocido en sitios de remoción de escombros. Reporte oficial de afectación: [DATO_USUARIO: reporte de la UNGRD o del departamento]</w:t>
            </w:r>
          </w:p>
        </w:tc>
      </w:tr>
      <w:tr>
        <w:trPr>
          <w:cantSplit/>
        </w:trPr>
        <w:tc>
          <w:tcPr/>
          <w:p>
            <w:pPr>
              <w:pStyle w:val="Tabla9"/>
              <w:jc w:val="left"/>
            </w:pPr>
            <w:r>
              <w:t xml:space="preserve">Línea temática principal</w:t>
            </w:r>
          </w:p>
        </w:tc>
        <w:tc>
          <w:tcPr/>
          <w:p>
            <w:pPr>
              <w:pStyle w:val="Tabla9"/>
              <w:jc w:val="left"/>
            </w:pPr>
            <w:r>
              <w:t xml:space="preserve">[DATO_USUARIO: línea temática del numeral 5 de los términos de referencia]</w:t>
            </w:r>
          </w:p>
        </w:tc>
      </w:tr>
      <w:tr>
        <w:trPr>
          <w:cantSplit/>
        </w:trPr>
        <w:tc>
          <w:tcPr/>
          <w:p>
            <w:pPr>
              <w:pStyle w:val="Tabla9"/>
              <w:jc w:val="left"/>
            </w:pPr>
            <w:r>
              <w:t xml:space="preserve">Línea temática secundaria</w:t>
            </w:r>
          </w:p>
        </w:tc>
        <w:tc>
          <w:tcPr/>
          <w:p>
            <w:pPr>
              <w:pStyle w:val="Tabla9"/>
              <w:jc w:val="left"/>
            </w:pPr>
            <w:r>
              <w:t xml:space="preserve">[DATO_USUARIO: si aplica]</w:t>
            </w:r>
          </w:p>
        </w:tc>
      </w:tr>
    </w:tbl>
    <w:p>
      <w:pPr>
        <w:pStyle w:val="TablaNota"/>
      </w:pPr>
      <w:r>
        <w:rPr>
          <w:i/>
          <w:iCs/>
        </w:rPr>
        <w:t xml:space="preserve">Nota.</w:t>
      </w:r>
      <w:r>
        <w:t xml:space="preserve"> </w:t>
      </w:r>
      <w:r>
        <w:t xml:space="preserve">Elaboración propia con el Anexo 2 y la ficha maestra del proyecto. Los términos de referencia, el Anexo 4 y la lista de municipios afectados no se aportaron (NO_VERIFICADO).</w:t>
      </w:r>
    </w:p>
    <w:p>
      <w:pPr>
        <w:pStyle w:val="BodyText"/>
      </w:pPr>
      <w:r>
        <w:t xml:space="preserve">La Tabla D.2 registra los grupos de investigación que se vincularán. Las cifras de investigadores y estudiantes son las que sustenta el presupuesto. Los nombres y las categorías vigentes en MinCiencias los aportan los grupos.</w:t>
      </w:r>
    </w:p>
    <w:p>
      <w:pPr>
        <w:pStyle w:val="TablaRotulo"/>
      </w:pPr>
      <w:bookmarkStart w:id="9020" w:name="rot_Tabla_D_2"/>
      <w:r>
        <w:rPr>
          <w:b/>
          <w:bCs/>
        </w:rPr>
        <w:t xml:space="preserve">Tabla D.2</w:t>
      </w:r>
      <w:bookmarkEnd w:id="9020"/>
    </w:p>
    <w:p>
      <w:pPr>
        <w:pStyle w:val="TablaTitulo"/>
      </w:pPr>
      <w:r>
        <w:rPr>
          <w:i/>
          <w:iCs/>
        </w:rPr>
        <w:t xml:space="preserve">Grupos de investigación vinculados al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93"/>
        <w:gridCol w:w="908"/>
        <w:gridCol w:w="1493"/>
        <w:gridCol w:w="1493"/>
        <w:gridCol w:w="1493"/>
        <w:gridCol w:w="1038"/>
      </w:tblGrid>
      <w:tr>
        <w:trPr>
          <w:cantSplit/>
          <w:tblHeader/>
        </w:trPr>
        <w:tc>
          <w:tcPr>
            <w:shd w:val="clear" w:color="auto" w:fill="00B050"/>
          </w:tcPr>
          <w:p>
            <w:pPr>
              <w:pStyle w:val="Tabla9"/>
              <w:jc w:val="center"/>
            </w:pPr>
            <w:r>
              <w:rPr>
                <w:b/>
                <w:color w:val="FFFFFF"/>
              </w:rPr>
              <w:t xml:space="preserve">Nombre del grupo</w:t>
            </w:r>
          </w:p>
        </w:tc>
        <w:tc>
          <w:tcPr>
            <w:shd w:val="clear" w:color="auto" w:fill="00B050"/>
          </w:tcPr>
          <w:p>
            <w:pPr>
              <w:pStyle w:val="Tabla9"/>
              <w:jc w:val="center"/>
            </w:pPr>
            <w:r>
              <w:rPr>
                <w:b/>
                <w:color w:val="FFFFFF"/>
              </w:rPr>
              <w:t xml:space="preserve">Entidad</w:t>
            </w:r>
          </w:p>
        </w:tc>
        <w:tc>
          <w:tcPr>
            <w:shd w:val="clear" w:color="auto" w:fill="00B050"/>
          </w:tcPr>
          <w:p>
            <w:pPr>
              <w:pStyle w:val="Tabla9"/>
              <w:jc w:val="center"/>
            </w:pPr>
            <w:r>
              <w:rPr>
                <w:b/>
                <w:color w:val="FFFFFF"/>
              </w:rPr>
              <w:t xml:space="preserve">Líneas de investigación</w:t>
            </w:r>
          </w:p>
        </w:tc>
        <w:tc>
          <w:tcPr>
            <w:shd w:val="clear" w:color="auto" w:fill="00B050"/>
          </w:tcPr>
          <w:p>
            <w:pPr>
              <w:pStyle w:val="Tabla9"/>
              <w:jc w:val="center"/>
            </w:pPr>
            <w:r>
              <w:rPr>
                <w:b/>
                <w:color w:val="FFFFFF"/>
              </w:rPr>
              <w:t xml:space="preserve">Investigadores y formación</w:t>
            </w:r>
          </w:p>
        </w:tc>
        <w:tc>
          <w:tcPr>
            <w:shd w:val="clear" w:color="auto" w:fill="00B050"/>
          </w:tcPr>
          <w:p>
            <w:pPr>
              <w:pStyle w:val="Tabla9"/>
              <w:jc w:val="center"/>
            </w:pPr>
            <w:r>
              <w:rPr>
                <w:b/>
                <w:color w:val="FFFFFF"/>
              </w:rPr>
              <w:t xml:space="preserve">Estudiantes que puede vincular</w:t>
            </w:r>
          </w:p>
        </w:tc>
        <w:tc>
          <w:tcPr>
            <w:shd w:val="clear" w:color="auto" w:fill="00B050"/>
          </w:tcPr>
          <w:p>
            <w:pPr>
              <w:pStyle w:val="Tabla9"/>
              <w:jc w:val="center"/>
            </w:pPr>
            <w:r>
              <w:rPr>
                <w:b/>
                <w:color w:val="FFFFFF"/>
              </w:rPr>
              <w:t xml:space="preserve">Contribución a la demanda territorial</w:t>
            </w:r>
          </w:p>
        </w:tc>
      </w:tr>
      <w:tr>
        <w:trPr>
          <w:cantSplit/>
        </w:trPr>
        <w:tc>
          <w:tcPr/>
          <w:p>
            <w:pPr>
              <w:pStyle w:val="Tabla9"/>
              <w:jc w:val="left"/>
            </w:pPr>
            <w:r>
              <w:t xml:space="preserve">[DATO_USUARIO: grupo de la Universidad]</w:t>
            </w:r>
          </w:p>
        </w:tc>
        <w:tc>
          <w:tcPr/>
          <w:p>
            <w:pPr>
              <w:pStyle w:val="Tabla9"/>
              <w:jc w:val="left"/>
            </w:pPr>
            <w:r>
              <w:t xml:space="preserve">Universidad proponente</w:t>
            </w:r>
          </w:p>
        </w:tc>
        <w:tc>
          <w:tcPr/>
          <w:p>
            <w:pPr>
              <w:pStyle w:val="Tabla9"/>
              <w:jc w:val="left"/>
            </w:pPr>
            <w:r>
              <w:t xml:space="preserve">[DATO_USUARIO: líneas]</w:t>
            </w:r>
          </w:p>
        </w:tc>
        <w:tc>
          <w:tcPr/>
          <w:p>
            <w:pPr>
              <w:pStyle w:val="Tabla9"/>
              <w:jc w:val="left"/>
            </w:pPr>
            <w:r>
              <w:t xml:space="preserve">Investigador principal (50 %) y coinvestigador técnico (30 %); más coinvestigadores de ambiente y ciencias sociales (20 %)</w:t>
            </w:r>
          </w:p>
        </w:tc>
        <w:tc>
          <w:tcPr/>
          <w:p>
            <w:pPr>
              <w:pStyle w:val="Tabla9"/>
              <w:jc w:val="left"/>
            </w:pPr>
            <w:r>
              <w:t xml:space="preserve">9: 6 jóvenes investigadores, 2 de maestría y 1 doctor en estancia posdoctoral</w:t>
            </w:r>
          </w:p>
        </w:tc>
        <w:tc>
          <w:tcPr/>
          <w:p>
            <w:pPr>
              <w:pStyle w:val="Tabla9"/>
              <w:jc w:val="left"/>
            </w:pPr>
            <w:r>
              <w:t xml:space="preserve">Calibración y validación del modelo de corrección; gerencia científica; apropiación social</w:t>
            </w:r>
          </w:p>
        </w:tc>
      </w:tr>
      <w:tr>
        <w:trPr>
          <w:cantSplit/>
        </w:trPr>
        <w:tc>
          <w:tcPr/>
          <w:p>
            <w:pPr>
              <w:pStyle w:val="Tabla9"/>
              <w:jc w:val="left"/>
            </w:pPr>
            <w:r>
              <w:t xml:space="preserve">[DATO_USUARIO: grupo del actor reconocido]</w:t>
            </w:r>
          </w:p>
        </w:tc>
        <w:tc>
          <w:tcPr/>
          <w:p>
            <w:pPr>
              <w:pStyle w:val="Tabla9"/>
              <w:jc w:val="left"/>
            </w:pPr>
            <w:r>
              <w:t xml:space="preserve">Actor reconocido por MinCiencias</w:t>
            </w:r>
          </w:p>
        </w:tc>
        <w:tc>
          <w:tcPr/>
          <w:p>
            <w:pPr>
              <w:pStyle w:val="Tabla9"/>
              <w:jc w:val="left"/>
            </w:pPr>
            <w:r>
              <w:t xml:space="preserve">[DATO_USUARIO: líneas]</w:t>
            </w:r>
          </w:p>
        </w:tc>
        <w:tc>
          <w:tcPr/>
          <w:p>
            <w:pPr>
              <w:pStyle w:val="Tabla9"/>
              <w:jc w:val="left"/>
            </w:pPr>
            <w:r>
              <w:t xml:space="preserve">[DATO_USUARIO: número y formación]</w:t>
            </w:r>
          </w:p>
        </w:tc>
        <w:tc>
          <w:tcPr/>
          <w:p>
            <w:pPr>
              <w:pStyle w:val="Tabla9"/>
              <w:jc w:val="left"/>
            </w:pPr>
            <w:r>
              <w:t xml:space="preserve">[DATO_USUARIO]</w:t>
            </w:r>
          </w:p>
        </w:tc>
        <w:tc>
          <w:tcPr/>
          <w:p>
            <w:pPr>
              <w:pStyle w:val="Tabla9"/>
              <w:jc w:val="left"/>
            </w:pPr>
            <w:r>
              <w:t xml:space="preserve">Verificación metrológica independiente y formación de custodios</w:t>
            </w:r>
          </w:p>
        </w:tc>
      </w:tr>
    </w:tbl>
    <w:p>
      <w:pPr>
        <w:pStyle w:val="TablaNota"/>
      </w:pPr>
      <w:r>
        <w:rPr>
          <w:i/>
          <w:iCs/>
        </w:rPr>
        <w:t xml:space="preserve">Nota.</w:t>
      </w:r>
      <w:r>
        <w:t xml:space="preserve"> </w:t>
      </w:r>
      <w:r>
        <w:t xml:space="preserve">Elaboración propia con el presupuesto (líneas P01, P02, P07, P13 y C01 a C03). Se tendrá en cuenta la categoría obtenida en la convocatoria 894 de 2021 [DATO_USUARIO: categoría vigente de cada grupo].</w:t>
      </w:r>
    </w:p>
    <w:bookmarkEnd w:id="42"/>
    <w:bookmarkStart w:id="43" w:name="_Toc00900016"/>
    <w:p>
      <w:pPr>
        <w:pStyle w:val="Heading1"/>
      </w:pPr>
      <w:r>
        <w:t xml:space="preserve">2. RESUMEN EJECUTIVO</w:t>
      </w:r>
    </w:p>
    <w:p>
      <w:pPr>
        <w:pStyle w:val="FirstParagraph"/>
      </w:pPr>
      <w:r>
        <w:t xml:space="preserve">El proyecto atiende un problema de calidad del dato. En los sitios de remoción de escombros posterremoto, los comités de gestión del riesgo no cuentan con mediciones de PM2,5 y PM10 de error conocido. Los sensores ópticos de bajo costo cambian su respuesta con la humedad y con el tamaño de las partículas. Sin referencia local, ese error no se estima.</w:t>
      </w:r>
    </w:p>
    <w:p>
      <w:pPr>
        <w:pStyle w:val="BodyText"/>
      </w:pPr>
      <w:r>
        <w:t xml:space="preserve">La propuesta instala una red de 100 nodos y 10 gateways en municipios afectados de Caldas, Cundinamarca y Valle del Cauca. Tres monitores gravimétricos de referencia, uno por departamento, se colocalizan con los nodos. Un modelo de corrección en el gateway ajusta cada lectura por humedad, temperatura y fracción gruesa. Un gemelo digital y un tablero presentan el resultado con su error residual. Un protocolo de alerta, co-diseñado con los comités, define los umbrales de decisión.</w:t>
      </w:r>
    </w:p>
    <w:p>
      <w:pPr>
        <w:pStyle w:val="BodyText"/>
      </w:pPr>
      <w:r>
        <w:t xml:space="preserve">El despliegue avanza por tres tramos de 30, 40 y 30 nodos. Dos compuertas, en los meses 12 y 17, liberan la compra del tramo siguiente. Lo hacen solo si el modelo cumple R² ≥ 0,70 y NRMSE ≤ 30 % frente a la referencia. La custodia de cada componente se transfiere a instituciones con competencia y partida. La madurez tecnológica pasa de TRL 4 a TRL 7 en 24 meses.</w:t>
      </w:r>
    </w:p>
    <w:p>
      <w:pPr>
        <w:pStyle w:val="BodyText"/>
      </w:pPr>
      <w:r>
        <w:t xml:space="preserve">Los resultados esperados son una red operativa con disponibilidad mensual de nodos de 90 % o más y un modelo de corrección validado. Se esperan también dos artículos científicos y un software registrado. Se espera además que 75 % o más de 15 comités use el tablero en decisiones documentadas y que 60 personas queden certificadas. El proyecto no afirma efectos en la salud. Solicita $ 8.729.840.000 al SGR y suma una contrapartida de $ 2.110.000.000.</w:t>
      </w:r>
    </w:p>
    <w:bookmarkEnd w:id="43"/>
    <w:bookmarkStart w:id="44" w:name="_Toc00900017"/>
    <w:p>
      <w:pPr>
        <w:pStyle w:val="Heading1"/>
      </w:pPr>
      <w:r>
        <w:t xml:space="preserve">3. PALABRAS CLAVE</w:t>
      </w:r>
    </w:p>
    <w:p>
      <w:pPr>
        <w:pStyle w:val="FirstParagraph"/>
      </w:pPr>
      <w:r>
        <w:t xml:space="preserve">Material particulado; sensores de bajo costo; gemelo digital; calibración colocalizada; gestión del riesgo de desastres; posterremoto.</w:t>
      </w:r>
    </w:p>
    <w:bookmarkEnd w:id="44"/>
    <w:bookmarkStart w:id="46" w:name="_Toc00900018"/>
    <w:p>
      <w:pPr>
        <w:pStyle w:val="Heading1"/>
      </w:pPr>
      <w:r>
        <w:t xml:space="preserve">4. ALINEACIÓN CON LA POLÍTICA PÚBLICA</w:t>
      </w:r>
    </w:p>
    <w:p>
      <w:pPr>
        <w:pStyle w:val="FirstParagraph"/>
      </w:pPr>
      <w:r>
        <w:t xml:space="preserve">La Tabla D.3 diligencia los campos de alineación con el Plan Nacional de Desarrollo 2022-2026, adoptado con la Ley 2294 de 2023 (Congreso de la República, 2023). Los artículos y programas exactos no se verificaron porque los documentos de planeación no se aportaron.</w:t>
      </w:r>
    </w:p>
    <w:p>
      <w:pPr>
        <w:pStyle w:val="TablaRotulo"/>
      </w:pPr>
      <w:bookmarkStart w:id="9021" w:name="rot_Tabla_D_3"/>
      <w:r>
        <w:rPr>
          <w:b/>
          <w:bCs/>
        </w:rPr>
        <w:t xml:space="preserve">Tabla D.3</w:t>
      </w:r>
      <w:bookmarkEnd w:id="9021"/>
    </w:p>
    <w:p>
      <w:pPr>
        <w:pStyle w:val="TablaTitulo"/>
      </w:pPr>
      <w:r>
        <w:rPr>
          <w:i/>
          <w:iCs/>
        </w:rPr>
        <w:t xml:space="preserve">Alineación con los planes de desarrollo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244"/>
        <w:gridCol w:w="3168"/>
        <w:gridCol w:w="2508"/>
      </w:tblGrid>
      <w:tr>
        <w:trPr>
          <w:cantSplit/>
          <w:tblHeader/>
        </w:trPr>
        <w:tc>
          <w:tcPr>
            <w:shd w:val="clear" w:color="auto" w:fill="00B050"/>
          </w:tcPr>
          <w:p>
            <w:pPr>
              <w:pStyle w:val="Tabla9"/>
              <w:jc w:val="center"/>
            </w:pPr>
            <w:r>
              <w:rPr>
                <w:b/>
                <w:color w:val="FFFFFF"/>
              </w:rPr>
              <w:t xml:space="preserve">Campo del Anexo 2</w:t>
            </w:r>
          </w:p>
        </w:tc>
        <w:tc>
          <w:tcPr>
            <w:shd w:val="clear" w:color="auto" w:fill="00B050"/>
          </w:tcPr>
          <w:p>
            <w:pPr>
              <w:pStyle w:val="Tabla9"/>
              <w:jc w:val="center"/>
            </w:pPr>
            <w:r>
              <w:rPr>
                <w:b/>
                <w:color w:val="FFFFFF"/>
              </w:rPr>
              <w:t xml:space="preserve">Diligenciamiento</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Plan Nacional de Desarrollo</w:t>
            </w:r>
          </w:p>
        </w:tc>
        <w:tc>
          <w:tcPr/>
          <w:p>
            <w:pPr>
              <w:pStyle w:val="Tabla9"/>
              <w:jc w:val="left"/>
            </w:pPr>
            <w:r>
              <w:t xml:space="preserve">Colombia Potencia Mundial de la Vida (Ley 2294 de 2023)</w:t>
            </w:r>
          </w:p>
        </w:tc>
        <w:tc>
          <w:tcPr/>
          <w:p>
            <w:pPr>
              <w:pStyle w:val="Tabla9"/>
              <w:jc w:val="left"/>
            </w:pPr>
            <w:r>
              <w:t xml:space="preserve">DOCUMENTADO</w:t>
            </w:r>
          </w:p>
        </w:tc>
      </w:tr>
      <w:tr>
        <w:trPr>
          <w:cantSplit/>
        </w:trPr>
        <w:tc>
          <w:tcPr/>
          <w:p>
            <w:pPr>
              <w:pStyle w:val="Tabla9"/>
              <w:jc w:val="left"/>
            </w:pPr>
            <w:r>
              <w:t xml:space="preserve">Estrategia transversal</w:t>
            </w:r>
          </w:p>
        </w:tc>
        <w:tc>
          <w:tcPr/>
          <w:p>
            <w:pPr>
              <w:pStyle w:val="Tabla9"/>
              <w:jc w:val="left"/>
            </w:pPr>
            <w:r>
              <w:t xml:space="preserve">[DATO_USUARIO: estrategia transversal aplicable]</w:t>
            </w:r>
          </w:p>
        </w:tc>
        <w:tc>
          <w:tcPr/>
          <w:p>
            <w:pPr>
              <w:pStyle w:val="Tabla9"/>
              <w:jc w:val="left"/>
            </w:pPr>
            <w:r>
              <w:t xml:space="preserve">VACIO</w:t>
            </w:r>
          </w:p>
        </w:tc>
      </w:tr>
      <w:tr>
        <w:trPr>
          <w:cantSplit/>
        </w:trPr>
        <w:tc>
          <w:tcPr/>
          <w:p>
            <w:pPr>
              <w:pStyle w:val="Tabla9"/>
              <w:jc w:val="left"/>
            </w:pPr>
            <w:r>
              <w:t xml:space="preserve">Transformación</w:t>
            </w:r>
          </w:p>
        </w:tc>
        <w:tc>
          <w:tcPr/>
          <w:p>
            <w:pPr>
              <w:pStyle w:val="Tabla9"/>
              <w:jc w:val="left"/>
            </w:pPr>
            <w:r>
              <w:t xml:space="preserve">Propuesta: la que relaciona la gestión del riesgo con la acción climática [DATO_USUARIO: nombre exacto]</w:t>
            </w:r>
          </w:p>
        </w:tc>
        <w:tc>
          <w:tcPr/>
          <w:p>
            <w:pPr>
              <w:pStyle w:val="Tabla9"/>
              <w:jc w:val="left"/>
            </w:pPr>
            <w:r>
              <w:t xml:space="preserve">PROPUESTO; NO_VERIFICADO</w:t>
            </w:r>
          </w:p>
        </w:tc>
      </w:tr>
      <w:tr>
        <w:trPr>
          <w:cantSplit/>
        </w:trPr>
        <w:tc>
          <w:tcPr/>
          <w:p>
            <w:pPr>
              <w:pStyle w:val="Tabla9"/>
              <w:jc w:val="left"/>
            </w:pPr>
            <w:r>
              <w:t xml:space="preserve">Pilar</w:t>
            </w:r>
          </w:p>
        </w:tc>
        <w:tc>
          <w:tcPr/>
          <w:p>
            <w:pPr>
              <w:pStyle w:val="Tabla9"/>
              <w:jc w:val="left"/>
            </w:pPr>
            <w:r>
              <w:t xml:space="preserve">[DATO_USUARIO: pilar]</w:t>
            </w:r>
          </w:p>
        </w:tc>
        <w:tc>
          <w:tcPr/>
          <w:p>
            <w:pPr>
              <w:pStyle w:val="Tabla9"/>
              <w:jc w:val="left"/>
            </w:pPr>
            <w:r>
              <w:t xml:space="preserve">VACIO</w:t>
            </w:r>
          </w:p>
        </w:tc>
      </w:tr>
      <w:tr>
        <w:trPr>
          <w:cantSplit/>
        </w:trPr>
        <w:tc>
          <w:tcPr/>
          <w:p>
            <w:pPr>
              <w:pStyle w:val="Tabla9"/>
              <w:jc w:val="left"/>
            </w:pPr>
            <w:r>
              <w:t xml:space="preserve">Catalizador</w:t>
            </w:r>
          </w:p>
        </w:tc>
        <w:tc>
          <w:tcPr/>
          <w:p>
            <w:pPr>
              <w:pStyle w:val="Tabla9"/>
              <w:jc w:val="left"/>
            </w:pPr>
            <w:r>
              <w:t xml:space="preserve">[DATO_USUARIO: catalizador]</w:t>
            </w:r>
          </w:p>
        </w:tc>
        <w:tc>
          <w:tcPr/>
          <w:p>
            <w:pPr>
              <w:pStyle w:val="Tabla9"/>
              <w:jc w:val="left"/>
            </w:pPr>
            <w:r>
              <w:t xml:space="preserve">VACIO</w:t>
            </w:r>
          </w:p>
        </w:tc>
      </w:tr>
      <w:tr>
        <w:trPr>
          <w:cantSplit/>
        </w:trPr>
        <w:tc>
          <w:tcPr/>
          <w:p>
            <w:pPr>
              <w:pStyle w:val="Tabla9"/>
              <w:jc w:val="left"/>
            </w:pPr>
            <w:r>
              <w:t xml:space="preserve">Programa</w:t>
            </w:r>
          </w:p>
        </w:tc>
        <w:tc>
          <w:tcPr/>
          <w:p>
            <w:pPr>
              <w:pStyle w:val="Tabla9"/>
              <w:jc w:val="left"/>
            </w:pPr>
            <w:r>
              <w:t xml:space="preserve">[DATO_USUARIO: programa]</w:t>
            </w:r>
          </w:p>
        </w:tc>
        <w:tc>
          <w:tcPr/>
          <w:p>
            <w:pPr>
              <w:pStyle w:val="Tabla9"/>
              <w:jc w:val="left"/>
            </w:pPr>
            <w:r>
              <w:t xml:space="preserve">VACIO</w:t>
            </w:r>
          </w:p>
        </w:tc>
      </w:tr>
      <w:tr>
        <w:trPr>
          <w:cantSplit/>
        </w:trPr>
        <w:tc>
          <w:tcPr/>
          <w:p>
            <w:pPr>
              <w:pStyle w:val="Tabla9"/>
              <w:jc w:val="left"/>
            </w:pPr>
            <w:r>
              <w:t xml:space="preserve">Plan Departamental de Desarrollo</w:t>
            </w:r>
          </w:p>
        </w:tc>
        <w:tc>
          <w:tcPr/>
          <w:p>
            <w:pPr>
              <w:pStyle w:val="Tabla9"/>
              <w:jc w:val="left"/>
            </w:pPr>
            <w:r>
              <w:t xml:space="preserve">[DATO_USUARIO: planes vigentes de Caldas, Cundinamarca y Valle del Cauca]</w:t>
            </w:r>
          </w:p>
        </w:tc>
        <w:tc>
          <w:tcPr/>
          <w:p>
            <w:pPr>
              <w:pStyle w:val="Tabla9"/>
              <w:jc w:val="left"/>
            </w:pPr>
            <w:r>
              <w:t xml:space="preserve">VACIO</w:t>
            </w:r>
          </w:p>
        </w:tc>
      </w:tr>
      <w:tr>
        <w:trPr>
          <w:cantSplit/>
        </w:trPr>
        <w:tc>
          <w:tcPr/>
          <w:p>
            <w:pPr>
              <w:pStyle w:val="Tabla9"/>
              <w:jc w:val="left"/>
            </w:pPr>
            <w:r>
              <w:t xml:space="preserve">Estrategia del Plan Departamental</w:t>
            </w:r>
          </w:p>
        </w:tc>
        <w:tc>
          <w:tcPr/>
          <w:p>
            <w:pPr>
              <w:pStyle w:val="Tabla9"/>
              <w:jc w:val="left"/>
            </w:pPr>
            <w:r>
              <w:t xml:space="preserve">[DATO_USUARIO: estrategia por departamento]</w:t>
            </w:r>
          </w:p>
        </w:tc>
        <w:tc>
          <w:tcPr/>
          <w:p>
            <w:pPr>
              <w:pStyle w:val="Tabla9"/>
              <w:jc w:val="left"/>
            </w:pPr>
            <w:r>
              <w:t xml:space="preserve">VACIO</w:t>
            </w:r>
          </w:p>
        </w:tc>
      </w:tr>
      <w:tr>
        <w:trPr>
          <w:cantSplit/>
        </w:trPr>
        <w:tc>
          <w:tcPr/>
          <w:p>
            <w:pPr>
              <w:pStyle w:val="Tabla9"/>
              <w:jc w:val="left"/>
            </w:pPr>
            <w:r>
              <w:t xml:space="preserve">Plan Municipal de Desarrollo</w:t>
            </w:r>
          </w:p>
        </w:tc>
        <w:tc>
          <w:tcPr/>
          <w:p>
            <w:pPr>
              <w:pStyle w:val="Tabla9"/>
              <w:jc w:val="left"/>
            </w:pPr>
            <w:r>
              <w:t xml:space="preserve">[DATO_USUARIO: planes vigentes de los municipios focalizados]</w:t>
            </w:r>
          </w:p>
        </w:tc>
        <w:tc>
          <w:tcPr/>
          <w:p>
            <w:pPr>
              <w:pStyle w:val="Tabla9"/>
              <w:jc w:val="left"/>
            </w:pPr>
            <w:r>
              <w:t xml:space="preserve">VACIO</w:t>
            </w:r>
          </w:p>
        </w:tc>
      </w:tr>
      <w:tr>
        <w:trPr>
          <w:cantSplit/>
        </w:trPr>
        <w:tc>
          <w:tcPr/>
          <w:p>
            <w:pPr>
              <w:pStyle w:val="Tabla9"/>
              <w:jc w:val="left"/>
            </w:pPr>
            <w:r>
              <w:t xml:space="preserve">Estrategia del Plan Municipal</w:t>
            </w:r>
          </w:p>
        </w:tc>
        <w:tc>
          <w:tcPr/>
          <w:p>
            <w:pPr>
              <w:pStyle w:val="Tabla9"/>
              <w:jc w:val="left"/>
            </w:pPr>
            <w:r>
              <w:t xml:space="preserve">[DATO_USUARIO: estrategia por municipio]</w:t>
            </w:r>
          </w:p>
        </w:tc>
        <w:tc>
          <w:tcPr/>
          <w:p>
            <w:pPr>
              <w:pStyle w:val="Tabla9"/>
              <w:jc w:val="left"/>
            </w:pPr>
            <w:r>
              <w:t xml:space="preserve">VACIO</w:t>
            </w:r>
          </w:p>
        </w:tc>
      </w:tr>
      <w:tr>
        <w:trPr>
          <w:cantSplit/>
        </w:trPr>
        <w:tc>
          <w:tcPr/>
          <w:p>
            <w:pPr>
              <w:pStyle w:val="Tabla9"/>
              <w:jc w:val="left"/>
            </w:pPr>
            <w:r>
              <w:t xml:space="preserve">Programa del Plan Departamental</w:t>
            </w:r>
          </w:p>
        </w:tc>
        <w:tc>
          <w:tcPr/>
          <w:p>
            <w:pPr>
              <w:pStyle w:val="Tabla9"/>
              <w:jc w:val="left"/>
            </w:pPr>
            <w:r>
              <w:t xml:space="preserve">[DATO_USUARIO: programa por departamento]</w:t>
            </w:r>
          </w:p>
        </w:tc>
        <w:tc>
          <w:tcPr/>
          <w:p>
            <w:pPr>
              <w:pStyle w:val="Tabla9"/>
              <w:jc w:val="left"/>
            </w:pPr>
            <w:r>
              <w:t xml:space="preserve">VACIO</w:t>
            </w:r>
          </w:p>
        </w:tc>
      </w:tr>
    </w:tbl>
    <w:p>
      <w:pPr>
        <w:pStyle w:val="TablaNota"/>
      </w:pPr>
      <w:r>
        <w:rPr>
          <w:i/>
          <w:iCs/>
        </w:rPr>
        <w:t xml:space="preserve">Nota.</w:t>
      </w:r>
      <w:r>
        <w:t xml:space="preserve"> </w:t>
      </w:r>
      <w:r>
        <w:t xml:space="preserve">Elaboración propia con la Ley 2294 de 2023. La alineación ascendente del proyecto se mide con PERS-E01: uso del tablero por los comités. El expediente detalla otros once instrumentos en la sección 5.3 del capítulo 5.</w:t>
      </w:r>
    </w:p>
    <w:bookmarkStart w:id="45" w:name="_Toc00900019"/>
    <w:p>
      <w:pPr>
        <w:pStyle w:val="Heading2"/>
      </w:pPr>
      <w:r>
        <w:t xml:space="preserve">4.1 Afectación y relación con la emergencia</w:t>
      </w:r>
    </w:p>
    <w:p>
      <w:pPr>
        <w:pStyle w:val="FirstParagraph"/>
      </w:pPr>
      <w:r>
        <w:t xml:space="preserve">El proyecto atiende una afectación producida por la emergencia. La remoción de escombros posterremoto resuspende polvo y expone a cuadrillas y a población a PM2,5 y PM10. Los comités deben decidir alertas con lecturas de sensores de bajo costo que no tienen error conocido en estos sitios.</w:t>
      </w:r>
    </w:p>
    <w:p>
      <w:pPr>
        <w:pStyle w:val="BodyText"/>
      </w:pPr>
      <w:r>
        <w:t xml:space="preserve">La relación con la brecha de conocimiento es directa. El proyecto no trata la contaminación del aire derivada del terremoto. Trata el déficit metrológico que impide gestionar el riesgo: la ausencia de calibración colocalizada y de corrección local. El expediente documenta que solo 28 de 1.122 municipios cuentan con estaciones utilizables para estimar la carga (Rodríguez-Villamizar et al., 2022, pp. 3 y 6).</w:t>
      </w:r>
    </w:p>
    <w:p>
      <w:pPr>
        <w:pStyle w:val="BodyText"/>
      </w:pPr>
      <w:r>
        <w:t xml:space="preserve">La afectación debe sustentarse en reportes oficiales. El reporte de la UNGRD, el diagnóstico técnico sectorial y la lista de municipios afectados no se aportaron [DATO_USUARIO: reportes oficiales de afectación]. Sin ellos, la afectación es un supuesto declarado en el expediente E3 (NO_VERIFICADO).</w:t>
      </w:r>
    </w:p>
    <w:bookmarkEnd w:id="45"/>
    <w:bookmarkEnd w:id="46"/>
    <w:bookmarkStart w:id="51" w:name="X31a2408ea8cacdb89bff4f1e7ca489b0dd1157b"/>
    <w:p>
      <w:pPr>
        <w:pStyle w:val="Heading1"/>
      </w:pPr>
      <w:r>
        <w:t xml:space="preserve">5. IDENTIFICACIÓN Y DESCRIPCIÓN DEL PROBLEMA</w:t>
      </w:r>
    </w:p>
    <w:bookmarkStart w:id="47" w:name="_Toc00900020"/>
    <w:p>
      <w:pPr>
        <w:pStyle w:val="Heading2"/>
      </w:pPr>
      <w:r>
        <w:t xml:space="preserve">5.1 Problema central</w:t>
      </w:r>
    </w:p>
    <w:p>
      <w:pPr>
        <w:pStyle w:val="FirstParagraph"/>
      </w:pPr>
      <w:r>
        <w:t xml:space="preserve">Los comités de gestión del riesgo de los municipios focalizados deciden alertas con mediciones de PM2,5 y PM10 de error desconocido. Las lecturas ópticas de bajo costo no se verifican frente a una referencia en los sitios de remoción de escombros.</w:t>
      </w:r>
    </w:p>
    <w:bookmarkEnd w:id="47"/>
    <w:bookmarkStart w:id="48" w:name="Xe225b43b89a3b13b27d4d049bfa9fc760f51d58"/>
    <w:p>
      <w:pPr>
        <w:pStyle w:val="Heading2"/>
      </w:pPr>
      <w:r>
        <w:t xml:space="preserve">5.2 Descripción del problema y la situación existente</w:t>
      </w:r>
    </w:p>
    <w:p>
      <w:pPr>
        <w:pStyle w:val="FirstParagraph"/>
      </w:pPr>
      <w:r>
        <w:t xml:space="preserve">El territorio comprende Caldas, Cundinamarca y Valle del Cauca, con 12 municipios focalizados y 15 comités de gestión del riesgo, 12 municipales y 3 departamentales. La delimitación es un supuesto por instrucción del usuario. La remoción de escombros resuspende polvo grueso y concentra maquinaria en sitios acotados (Landrigan et al., 2004).</w:t>
      </w:r>
    </w:p>
    <w:p>
      <w:pPr>
        <w:pStyle w:val="BodyText"/>
      </w:pPr>
      <w:r>
        <w:t xml:space="preserve">El análogo más cercano proviene de una mina de carbón a cielo abierto. Allí el PM2,5 medio fue de 159,11 µg/m3 (Suresh et al., 2025, pp. 10 y 22). Ese dato no describe un sitio de escombros, y la fracción gruesa local es un dato VACIO que el proyecto mide en el tramo 1.</w:t>
      </w:r>
    </w:p>
    <w:p>
      <w:pPr>
        <w:pStyle w:val="BodyText"/>
      </w:pPr>
      <w:r>
        <w:t xml:space="preserve">La causa inmediata es la interferencia de la humedad y de la fracción gruesa sobre la respuesta óptica del sensor. La correlación entre partículas y humedad fue de 0,73 en la mina citada (Suresh et al., 2025, p. 30). En Seúl, la corrección con una estación cercana elevó el R² de menos de 0,2 a 0,81 (Bang et al., 2026, pp. 6-8). La causa de fondo es la ausencia de un protocolo de calibración colocalizada con corrección en el borde y con custodia institucional.</w:t>
      </w:r>
    </w:p>
    <w:p>
      <w:pPr>
        <w:pStyle w:val="BodyText"/>
      </w:pPr>
      <w:r>
        <w:t xml:space="preserve">La evolución reciente es de expansión de redes sin plan de calibración. Se estima que 90,8 % de las 5.076 estaciones de la red nacional propuesta serían sensores sin plan de calibración (Murad Pedraza et al., 2026, pp. 10-11 y 13; cálculo del analista). No se identificaron intervenciones distintas a la propuesta en estos municipios [DATO_USUARIO: intervenciones previas de las alcaldías y la autoridad ambiental].</w:t>
      </w:r>
    </w:p>
    <w:bookmarkEnd w:id="48"/>
    <w:bookmarkStart w:id="49" w:name="X1bc1bd1b979aa19a67cd8efcb18834c2845376d"/>
    <w:p>
      <w:pPr>
        <w:pStyle w:val="Heading2"/>
      </w:pPr>
      <w:r>
        <w:t xml:space="preserve">5.3 Magnitud actual del problema e indicadores de referencia</w:t>
      </w:r>
    </w:p>
    <w:p>
      <w:pPr>
        <w:pStyle w:val="FirstParagraph"/>
      </w:pPr>
      <w:r>
        <w:t xml:space="preserve">La Tabla D.4 reúne los indicadores de referencia. La magnitud local no está medida. El proyecto la mide en el tramo 1, y la línea base propia queda como VACIO hasta el hito H2.</w:t>
      </w:r>
    </w:p>
    <w:p>
      <w:pPr>
        <w:pStyle w:val="TablaRotulo"/>
      </w:pPr>
      <w:bookmarkStart w:id="9022" w:name="rot_Tabla_D_4"/>
      <w:r>
        <w:rPr>
          <w:b/>
          <w:bCs/>
        </w:rPr>
        <w:t xml:space="preserve">Tabla D.4</w:t>
      </w:r>
      <w:bookmarkEnd w:id="9022"/>
    </w:p>
    <w:p>
      <w:pPr>
        <w:pStyle w:val="TablaTitulo"/>
      </w:pPr>
      <w:r>
        <w:rPr>
          <w:i/>
          <w:iCs/>
        </w:rPr>
        <w:t xml:space="preserve">Indicadores de referencia de la magnitud del problema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990"/>
        <w:gridCol w:w="1386"/>
        <w:gridCol w:w="2178"/>
        <w:gridCol w:w="1980"/>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Alcance</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Error de medición de los nodos frente a la referencia (NRMSE)</w:t>
            </w:r>
          </w:p>
        </w:tc>
        <w:tc>
          <w:tcPr/>
          <w:p>
            <w:pPr>
              <w:pStyle w:val="Tabla9"/>
              <w:jc w:val="left"/>
            </w:pPr>
            <w:r>
              <w:t xml:space="preserve">VACIO: se mide en el tramo 1</w:t>
            </w:r>
          </w:p>
        </w:tc>
        <w:tc>
          <w:tcPr/>
          <w:p>
            <w:pPr>
              <w:pStyle w:val="Tabla9"/>
              <w:jc w:val="left"/>
            </w:pPr>
            <w:r>
              <w:t xml:space="preserve">Tres departamentos</w:t>
            </w:r>
          </w:p>
        </w:tc>
        <w:tc>
          <w:tcPr/>
          <w:p>
            <w:pPr>
              <w:pStyle w:val="Tabla9"/>
              <w:jc w:val="left"/>
            </w:pPr>
            <w:r>
              <w:t xml:space="preserve">Proyecto, hito H2 (mes 10)</w:t>
            </w:r>
          </w:p>
        </w:tc>
        <w:tc>
          <w:tcPr/>
          <w:p>
            <w:pPr>
              <w:pStyle w:val="Tabla9"/>
              <w:jc w:val="left"/>
            </w:pPr>
            <w:r>
              <w:t xml:space="preserve">VACIO</w:t>
            </w:r>
          </w:p>
        </w:tc>
      </w:tr>
      <w:tr>
        <w:trPr>
          <w:cantSplit/>
        </w:trPr>
        <w:tc>
          <w:tcPr/>
          <w:p>
            <w:pPr>
              <w:pStyle w:val="Tabla9"/>
              <w:jc w:val="left"/>
            </w:pPr>
            <w:r>
              <w:t xml:space="preserve">Error normalizado de sensores sin calibración dinámica en alta humedad</w:t>
            </w:r>
          </w:p>
        </w:tc>
        <w:tc>
          <w:tcPr/>
          <w:p>
            <w:pPr>
              <w:pStyle w:val="Tabla9"/>
              <w:jc w:val="left"/>
            </w:pPr>
            <w:r>
              <w:t xml:space="preserve">Superior a 45 %</w:t>
            </w:r>
          </w:p>
        </w:tc>
        <w:tc>
          <w:tcPr/>
          <w:p>
            <w:pPr>
              <w:pStyle w:val="Tabla9"/>
              <w:jc w:val="left"/>
            </w:pPr>
            <w:r>
              <w:t xml:space="preserve">Expediente E3</w:t>
            </w:r>
          </w:p>
        </w:tc>
        <w:tc>
          <w:tcPr/>
          <w:p>
            <w:pPr>
              <w:pStyle w:val="Tabla9"/>
              <w:jc w:val="left"/>
            </w:pPr>
            <w:r>
              <w:t xml:space="preserve">Expediente E3, Paso 1</w:t>
            </w:r>
          </w:p>
        </w:tc>
        <w:tc>
          <w:tcPr/>
          <w:p>
            <w:pPr>
              <w:pStyle w:val="Tabla9"/>
              <w:jc w:val="left"/>
            </w:pPr>
            <w:r>
              <w:t xml:space="preserve">DECLARADO; NO_VERIFICADO</w:t>
            </w:r>
          </w:p>
        </w:tc>
      </w:tr>
      <w:tr>
        <w:trPr>
          <w:cantSplit/>
        </w:trPr>
        <w:tc>
          <w:tcPr/>
          <w:p>
            <w:pPr>
              <w:pStyle w:val="Tabla9"/>
              <w:jc w:val="left"/>
            </w:pPr>
            <w:r>
              <w:t xml:space="preserve">Municipios con estaciones utilizables para estimar la carga</w:t>
            </w:r>
          </w:p>
        </w:tc>
        <w:tc>
          <w:tcPr/>
          <w:p>
            <w:pPr>
              <w:pStyle w:val="Tabla9"/>
              <w:jc w:val="left"/>
            </w:pPr>
            <w:r>
              <w:t xml:space="preserve">28 de 1.122 (2,5 %)</w:t>
            </w:r>
          </w:p>
        </w:tc>
        <w:tc>
          <w:tcPr/>
          <w:p>
            <w:pPr>
              <w:pStyle w:val="Tabla9"/>
              <w:jc w:val="left"/>
            </w:pPr>
            <w:r>
              <w:t xml:space="preserve">Colombia</w:t>
            </w:r>
          </w:p>
        </w:tc>
        <w:tc>
          <w:tcPr/>
          <w:p>
            <w:pPr>
              <w:pStyle w:val="Tabla9"/>
              <w:jc w:val="left"/>
            </w:pPr>
            <w:r>
              <w:t xml:space="preserve">Rodríguez-Villamizar et al. (2022, pp. 3 y 6)</w:t>
            </w:r>
          </w:p>
        </w:tc>
        <w:tc>
          <w:tcPr/>
          <w:p>
            <w:pPr>
              <w:pStyle w:val="Tabla9"/>
              <w:jc w:val="left"/>
            </w:pPr>
            <w:r>
              <w:t xml:space="preserve">DECLARADO</w:t>
            </w:r>
          </w:p>
        </w:tc>
      </w:tr>
      <w:tr>
        <w:trPr>
          <w:cantSplit/>
        </w:trPr>
        <w:tc>
          <w:tcPr/>
          <w:p>
            <w:pPr>
              <w:pStyle w:val="Tabla9"/>
              <w:jc w:val="left"/>
            </w:pPr>
            <w:r>
              <w:t xml:space="preserve">Estaciones propuestas sin plan de calibración</w:t>
            </w:r>
          </w:p>
        </w:tc>
        <w:tc>
          <w:tcPr/>
          <w:p>
            <w:pPr>
              <w:pStyle w:val="Tabla9"/>
              <w:jc w:val="left"/>
            </w:pPr>
            <w:r>
              <w:t xml:space="preserve">90,8 % de 5.076</w:t>
            </w:r>
          </w:p>
        </w:tc>
        <w:tc>
          <w:tcPr/>
          <w:p>
            <w:pPr>
              <w:pStyle w:val="Tabla9"/>
              <w:jc w:val="left"/>
            </w:pPr>
            <w:r>
              <w:t xml:space="preserve">Red nacional propuesta</w:t>
            </w:r>
          </w:p>
        </w:tc>
        <w:tc>
          <w:tcPr/>
          <w:p>
            <w:pPr>
              <w:pStyle w:val="Tabla9"/>
              <w:jc w:val="left"/>
            </w:pPr>
            <w:r>
              <w:t xml:space="preserve">Murad Pedraza et al. (2026, pp. 10-11 y 13)</w:t>
            </w:r>
          </w:p>
        </w:tc>
        <w:tc>
          <w:tcPr/>
          <w:p>
            <w:pPr>
              <w:pStyle w:val="Tabla9"/>
              <w:jc w:val="left"/>
            </w:pPr>
            <w:r>
              <w:t xml:space="preserve">CALCULADO por el analista</w:t>
            </w:r>
          </w:p>
        </w:tc>
      </w:tr>
      <w:tr>
        <w:trPr>
          <w:cantSplit/>
        </w:trPr>
        <w:tc>
          <w:tcPr/>
          <w:p>
            <w:pPr>
              <w:pStyle w:val="Tabla9"/>
              <w:jc w:val="left"/>
            </w:pPr>
            <w:r>
              <w:t xml:space="preserve">Uso institucional del tablero (línea base)</w:t>
            </w:r>
          </w:p>
        </w:tc>
        <w:tc>
          <w:tcPr/>
          <w:p>
            <w:pPr>
              <w:pStyle w:val="Tabla9"/>
              <w:jc w:val="left"/>
            </w:pPr>
            <w:r>
              <w:t xml:space="preserve">VACIO: se mide en el tramo 1</w:t>
            </w:r>
          </w:p>
        </w:tc>
        <w:tc>
          <w:tcPr/>
          <w:p>
            <w:pPr>
              <w:pStyle w:val="Tabla9"/>
              <w:jc w:val="left"/>
            </w:pPr>
            <w:r>
              <w:t xml:space="preserve">15 comités</w:t>
            </w:r>
          </w:p>
        </w:tc>
        <w:tc>
          <w:tcPr/>
          <w:p>
            <w:pPr>
              <w:pStyle w:val="Tabla9"/>
              <w:jc w:val="left"/>
            </w:pPr>
            <w:r>
              <w:t xml:space="preserve">Proyecto, PERS-E01</w:t>
            </w:r>
          </w:p>
        </w:tc>
        <w:tc>
          <w:tcPr/>
          <w:p>
            <w:pPr>
              <w:pStyle w:val="Tabla9"/>
              <w:jc w:val="left"/>
            </w:pPr>
            <w:r>
              <w:t xml:space="preserve">VACIO</w:t>
            </w:r>
          </w:p>
        </w:tc>
      </w:tr>
    </w:tbl>
    <w:p>
      <w:pPr>
        <w:pStyle w:val="TablaNota"/>
      </w:pPr>
      <w:r>
        <w:rPr>
          <w:i/>
          <w:iCs/>
        </w:rPr>
        <w:t xml:space="preserve">Nota.</w:t>
      </w:r>
      <w:r>
        <w:t xml:space="preserve"> </w:t>
      </w:r>
      <w:r>
        <w:t xml:space="preserve">Elaboración propia con los datos de la sección 1.2.4 del expediente. Las fuentes oficiales de la línea base local deben aportarse [DATO_USUARIO: fuente oficial actualizada].</w:t>
      </w:r>
    </w:p>
    <w:bookmarkEnd w:id="49"/>
    <w:bookmarkStart w:id="50" w:name="_Toc00900021"/>
    <w:p>
      <w:pPr>
        <w:pStyle w:val="Heading2"/>
      </w:pPr>
      <w:r>
        <w:t xml:space="preserve">5.4 Árbol de problemas</w:t>
      </w:r>
    </w:p>
    <w:p>
      <w:pPr>
        <w:pStyle w:val="FirstParagraph"/>
      </w:pPr>
      <w:r>
        <w:t xml:space="preserve">La Tabla D.5 presenta el árbol de problemas con el esquema que recomienda el Anexo 2. Las relaciones provienen del análisis estructural de Vester-MICMAC con 15 variables, en el escenario de trabajo S2. Son hipótesis de influencia estructural.</w:t>
      </w:r>
    </w:p>
    <w:p>
      <w:pPr>
        <w:pStyle w:val="TablaRotulo"/>
      </w:pPr>
      <w:bookmarkStart w:id="9023" w:name="rot_Tabla_D_5"/>
      <w:r>
        <w:rPr>
          <w:b/>
          <w:bCs/>
        </w:rPr>
        <w:t xml:space="preserve">Tabla D.5</w:t>
      </w:r>
      <w:bookmarkEnd w:id="9023"/>
    </w:p>
    <w:p>
      <w:pPr>
        <w:pStyle w:val="TablaTitulo"/>
      </w:pPr>
      <w:r>
        <w:rPr>
          <w:i/>
          <w:iCs/>
        </w:rPr>
        <w:t xml:space="preserve">Árbol de problemas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18"/>
        <w:gridCol w:w="1914"/>
        <w:gridCol w:w="2310"/>
        <w:gridCol w:w="2178"/>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Elemento 1</w:t>
            </w:r>
          </w:p>
        </w:tc>
        <w:tc>
          <w:tcPr>
            <w:shd w:val="clear" w:color="auto" w:fill="00B050"/>
          </w:tcPr>
          <w:p>
            <w:pPr>
              <w:pStyle w:val="Tabla9"/>
              <w:jc w:val="center"/>
            </w:pPr>
            <w:r>
              <w:rPr>
                <w:b/>
                <w:color w:val="FFFFFF"/>
              </w:rPr>
              <w:t xml:space="preserve">Elemento 2</w:t>
            </w:r>
          </w:p>
        </w:tc>
        <w:tc>
          <w:tcPr>
            <w:shd w:val="clear" w:color="auto" w:fill="00B050"/>
          </w:tcPr>
          <w:p>
            <w:pPr>
              <w:pStyle w:val="Tabla9"/>
              <w:jc w:val="center"/>
            </w:pPr>
            <w:r>
              <w:rPr>
                <w:b/>
                <w:color w:val="FFFFFF"/>
              </w:rPr>
              <w:t xml:space="preserve">Elemento 3</w:t>
            </w:r>
          </w:p>
        </w:tc>
      </w:tr>
      <w:tr>
        <w:trPr>
          <w:cantSplit/>
        </w:trPr>
        <w:tc>
          <w:tcPr/>
          <w:p>
            <w:pPr>
              <w:pStyle w:val="Tabla9"/>
              <w:jc w:val="left"/>
            </w:pPr>
            <w:r>
              <w:t xml:space="preserve">Efectos indirectos</w:t>
            </w:r>
          </w:p>
        </w:tc>
        <w:tc>
          <w:tcPr/>
          <w:p>
            <w:pPr>
              <w:pStyle w:val="Tabla9"/>
              <w:jc w:val="left"/>
            </w:pPr>
            <w:r>
              <w:t xml:space="preserve">1.1. Baja confianza en las mediciones y desuso del tablero (V15)</w:t>
            </w:r>
          </w:p>
        </w:tc>
        <w:tc>
          <w:tcPr/>
          <w:p>
            <w:pPr>
              <w:pStyle w:val="Tabla9"/>
              <w:jc w:val="left"/>
            </w:pPr>
            <w:r>
              <w:t xml:space="preserve">2.1. Decisiones de alerta sin respaldo metrológico</w:t>
            </w:r>
          </w:p>
        </w:tc>
        <w:tc>
          <w:tcPr/>
          <w:p>
            <w:pPr>
              <w:pStyle w:val="Tabla9"/>
              <w:jc w:val="left"/>
            </w:pPr>
            <w:r>
              <w:t xml:space="preserve">3.1. Exposición no gestionada de operarios y población</w:t>
            </w:r>
          </w:p>
        </w:tc>
      </w:tr>
      <w:tr>
        <w:trPr>
          <w:cantSplit/>
        </w:trPr>
        <w:tc>
          <w:tcPr/>
          <w:p>
            <w:pPr>
              <w:pStyle w:val="Tabla9"/>
              <w:jc w:val="left"/>
            </w:pPr>
            <w:r>
              <w:t xml:space="preserve">Efectos directos</w:t>
            </w:r>
          </w:p>
        </w:tc>
        <w:tc>
          <w:tcPr/>
          <w:p>
            <w:pPr>
              <w:pStyle w:val="Tabla9"/>
              <w:jc w:val="left"/>
            </w:pPr>
            <w:r>
              <w:t xml:space="preserve">1. Falsas alarmas y fatiga de alarmas (V12)</w:t>
            </w:r>
          </w:p>
        </w:tc>
        <w:tc>
          <w:tcPr/>
          <w:p>
            <w:pPr>
              <w:pStyle w:val="Tabla9"/>
              <w:jc w:val="left"/>
            </w:pPr>
            <w:r>
              <w:t xml:space="preserve">2. Índice de calidad del aire y salud con error desconocido (V11)</w:t>
            </w:r>
          </w:p>
        </w:tc>
        <w:tc>
          <w:tcPr/>
          <w:p>
            <w:pPr>
              <w:pStyle w:val="Tabla9"/>
              <w:jc w:val="left"/>
            </w:pPr>
            <w:r>
              <w:t xml:space="preserve">3. Personas alertadas con datos de calidad desconocida (V14)</w:t>
            </w:r>
          </w:p>
        </w:tc>
      </w:tr>
      <w:tr>
        <w:trPr>
          <w:cantSplit/>
        </w:trPr>
        <w:tc>
          <w:tcPr/>
          <w:p>
            <w:pPr>
              <w:pStyle w:val="Tabla9"/>
              <w:jc w:val="left"/>
            </w:pPr>
            <w:r>
              <w:t xml:space="preserve">Problema central</w:t>
            </w:r>
          </w:p>
        </w:tc>
        <w:tc>
          <w:tcPr/>
          <w:p>
            <w:pPr>
              <w:pStyle w:val="Tabla9"/>
              <w:jc w:val="left"/>
            </w:pPr>
            <w:r>
              <w:t xml:space="preserve">Error de medición IoT sin verificar frente a una referencia (V06)</w:t>
            </w:r>
          </w:p>
        </w:tc>
        <w:tc>
          <w:tcPr/>
          <w:p>
            <w:pPr>
              <w:pStyle w:val="Tabla9"/>
            </w:pPr>
          </w:p>
        </w:tc>
        <w:tc>
          <w:tcPr/>
          <w:p>
            <w:pPr>
              <w:pStyle w:val="Tabla9"/>
            </w:pPr>
          </w:p>
        </w:tc>
      </w:tr>
      <w:tr>
        <w:trPr>
          <w:cantSplit/>
        </w:trPr>
        <w:tc>
          <w:tcPr/>
          <w:p>
            <w:pPr>
              <w:pStyle w:val="Tabla9"/>
              <w:jc w:val="left"/>
            </w:pPr>
            <w:r>
              <w:t xml:space="preserve">Causas directas</w:t>
            </w:r>
          </w:p>
        </w:tc>
        <w:tc>
          <w:tcPr/>
          <w:p>
            <w:pPr>
              <w:pStyle w:val="Tabla9"/>
              <w:jc w:val="left"/>
            </w:pPr>
            <w:r>
              <w:t xml:space="preserve">1. Humedad relativa sin corrección (V03)</w:t>
            </w:r>
          </w:p>
        </w:tc>
        <w:tc>
          <w:tcPr/>
          <w:p>
            <w:pPr>
              <w:pStyle w:val="Tabla9"/>
              <w:jc w:val="left"/>
            </w:pPr>
            <w:r>
              <w:t xml:space="preserve">2. Fracción gruesa del polvo sin corrección (V02)</w:t>
            </w:r>
          </w:p>
        </w:tc>
        <w:tc>
          <w:tcPr/>
          <w:p>
            <w:pPr>
              <w:pStyle w:val="Tabla9"/>
              <w:jc w:val="left"/>
            </w:pPr>
            <w:r>
              <w:t xml:space="preserve">3. Calibración estática o inexistente (V07)</w:t>
            </w:r>
          </w:p>
        </w:tc>
      </w:tr>
      <w:tr>
        <w:trPr>
          <w:cantSplit/>
        </w:trPr>
        <w:tc>
          <w:tcPr/>
          <w:p>
            <w:pPr>
              <w:pStyle w:val="Tabla9"/>
              <w:jc w:val="left"/>
            </w:pPr>
            <w:r>
              <w:t xml:space="preserve">Causas indirectas</w:t>
            </w:r>
          </w:p>
        </w:tc>
        <w:tc>
          <w:tcPr/>
          <w:p>
            <w:pPr>
              <w:pStyle w:val="Tabla9"/>
              <w:jc w:val="left"/>
            </w:pPr>
            <w:r>
              <w:t xml:space="preserve">1.1. Remoción de escombros que resuspende polvo (V05)</w:t>
            </w:r>
          </w:p>
        </w:tc>
        <w:tc>
          <w:tcPr/>
          <w:p>
            <w:pPr>
              <w:pStyle w:val="Tabla9"/>
              <w:jc w:val="left"/>
            </w:pPr>
            <w:r>
              <w:t xml:space="preserve">2.1. Energía y enlace interrumpidos que reducen la disponibilidad (V09)</w:t>
            </w:r>
          </w:p>
        </w:tc>
        <w:tc>
          <w:tcPr/>
          <w:p>
            <w:pPr>
              <w:pStyle w:val="Tabla9"/>
              <w:jc w:val="left"/>
            </w:pPr>
            <w:r>
              <w:t xml:space="preserve">3.1. Ausencia de custodia institucional de la red</w:t>
            </w:r>
          </w:p>
        </w:tc>
      </w:tr>
    </w:tbl>
    <w:p>
      <w:pPr>
        <w:pStyle w:val="TablaNota"/>
      </w:pPr>
      <w:r>
        <w:rPr>
          <w:i/>
          <w:iCs/>
        </w:rPr>
        <w:t xml:space="preserve">Nota.</w:t>
      </w:r>
      <w:r>
        <w:t xml:space="preserve"> </w:t>
      </w:r>
      <w:r>
        <w:t xml:space="preserve">Elaboración propia con el análisis de Vester-MICMAC (V01 a V15) del Paso 4 del expediente. V06 es crítica en los cinco escenarios (influencia 8; dependencia 13).</w:t>
      </w:r>
    </w:p>
    <w:bookmarkEnd w:id="50"/>
    <w:bookmarkEnd w:id="51"/>
    <w:bookmarkStart w:id="52" w:name="antecedentes"/>
    <w:p>
      <w:pPr>
        <w:pStyle w:val="Heading1"/>
      </w:pPr>
      <w:r>
        <w:t xml:space="preserve">6. ANTECEDENTES</w:t>
      </w:r>
    </w:p>
    <w:p>
      <w:pPr>
        <w:pStyle w:val="FirstParagraph"/>
      </w:pPr>
      <w:r>
        <w:t xml:space="preserve">El antecedente internacional más cercano es el uso de estaciones de referencia para corregir redes de sensores. En Seúl, la corrección con una estación cercana y 35 minutos de desfase llevó el R² de menos de 0,2 a 0,81 (Bang et al., 2026, pp. 6-8). Las guías de desempeño para sensores de partículas de la Agencia de Protección Ambiental de los Estados Unidos fijan umbrales de uso informativo (U.S. Environmental Protection Agency [EPA], 2021).</w:t>
      </w:r>
    </w:p>
    <w:p>
      <w:pPr>
        <w:pStyle w:val="BodyText"/>
      </w:pPr>
      <w:r>
        <w:t xml:space="preserve">En el ámbito nacional, el corpus de vigilancia tecnológica registra 209 estaciones reportadas y 154 integradas a un sistema de vigilancia (Rodríguez-Villamizar et al., 2022). El documento CONPES 3943 formula la política de mejoramiento de la calidad del aire (Departamento Nacional de Planeación [DNP], 2018). Ninguno de los cinco documentos de alerta del corpus reporta detección, falsas alarmas ni anticipación.</w:t>
      </w:r>
    </w:p>
    <w:p>
      <w:pPr>
        <w:pStyle w:val="BodyText"/>
      </w:pPr>
      <w:r>
        <w:t xml:space="preserve">No se identificó una iniciativa departamental o municipal que combine calibración colocalizada, corrección en el borde y custodia institucional en sitios de remoción de escombros. La búsqueda de antecedentes regionales debe completarse con los proponentes [DATO_USUARIO: antecedentes de las alcaldías, las corporaciones autónomas regionales y la Universidad]. El expediente desarrolla el estado del arte y la vigilancia tecnológica en el capítulo 2.</w:t>
      </w:r>
    </w:p>
    <w:bookmarkEnd w:id="52"/>
    <w:bookmarkStart w:id="53" w:name="_Toc00900022"/>
    <w:p>
      <w:pPr>
        <w:pStyle w:val="Heading1"/>
      </w:pPr>
      <w:r>
        <w:t xml:space="preserve">7. JUSTIFICACIÓN</w:t>
      </w:r>
    </w:p>
    <w:p>
      <w:pPr>
        <w:pStyle w:val="FirstParagraph"/>
      </w:pPr>
      <w:r>
        <w:t xml:space="preserve">La necesidad particular es una medición con error conocido en el lugar y el momento en que se decide. Sin ella, el comité alerta con datos de calidad desconocida o no alerta. Ambas opciones tienen costos para operarios y población.</w:t>
      </w:r>
    </w:p>
    <w:p>
      <w:pPr>
        <w:pStyle w:val="BodyText"/>
      </w:pPr>
      <w:r>
        <w:t xml:space="preserve">La viabilidad descansa en tres hechos. Primero, la corrección en el gateway reduce el tráfico y la latencia frente a la calibración centralizada (Shi et al., 2016). Segundo, el despliegue por tramos limita el riesgo financiero, porque cada compuerta libera la compra siguiente solo con evidencia. Tercero, la solución utiliza componentes disponibles en el mercado y una arquitectura de largo alcance y bajo consumo (Adelantado et al., 2017).</w:t>
      </w:r>
    </w:p>
    <w:p>
      <w:pPr>
        <w:pStyle w:val="BodyText"/>
      </w:pPr>
      <w:r>
        <w:t xml:space="preserve">La pertinencia a corto plazo es una red operativa y un protocolo en uso. A mediano plazo es un modelo validado por departamento. A largo plazo es una red bajo custodia institucional con partida. Esa custodia cubre al menos 70 % de los nodos 12 meses después del cierre (PERS-S02). El costo de sostenimiento y la capacidad de absorción de los custodios son NO_CALCULABLE hasta contar con datos.</w:t>
      </w:r>
    </w:p>
    <w:bookmarkEnd w:id="53"/>
    <w:bookmarkStart w:id="54"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La alianza entiende el reto estratégico como la falta de información ambiental verificable para gestionar el riesgo posterremoto. Su atención es importante porque las decisiones de alerta y de protección de operarios dependen de esa información. El proyecto la atiende con una red calibrada, un tablero y un protocolo co-diseñado.</w:t>
      </w:r>
    </w:p>
    <w:p>
      <w:pPr>
        <w:pStyle w:val="BodyText"/>
      </w:pPr>
      <w:r>
        <w:t xml:space="preserve">La Tabla D.6 relaciona el reto con la demanda territorial y con el producto. Los códigos del Anexo 4 y del plan bienal de convocatorias 2023-2024 no se aportaron y quedan abiertos.</w:t>
      </w:r>
    </w:p>
    <w:p>
      <w:pPr>
        <w:pStyle w:val="TablaRotulo"/>
      </w:pPr>
      <w:bookmarkStart w:id="9024" w:name="rot_Tabla_D_6"/>
      <w:r>
        <w:rPr>
          <w:b/>
          <w:bCs/>
        </w:rPr>
        <w:t xml:space="preserve">Tabla D.6</w:t>
      </w:r>
      <w:bookmarkEnd w:id="9024"/>
    </w:p>
    <w:p>
      <w:pPr>
        <w:pStyle w:val="TablaTitulo"/>
      </w:pPr>
      <w:r>
        <w:rPr>
          <w:i/>
          <w:iCs/>
        </w:rPr>
        <w:t xml:space="preserve">Articulación con retos estratégicos y demandas territoriales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10"/>
        <w:gridCol w:w="3696"/>
        <w:gridCol w:w="1914"/>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Descripción</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Reto estratégico del plan bienal (Anexo 4)</w:t>
            </w:r>
          </w:p>
        </w:tc>
        <w:tc>
          <w:tcPr/>
          <w:p>
            <w:pPr>
              <w:pStyle w:val="Tabla9"/>
              <w:jc w:val="left"/>
            </w:pPr>
            <w:r>
              <w:t xml:space="preserve">[DATO_USUARIO: reto y código]</w:t>
            </w:r>
          </w:p>
        </w:tc>
        <w:tc>
          <w:tcPr/>
          <w:p>
            <w:pPr>
              <w:pStyle w:val="Tabla9"/>
              <w:jc w:val="left"/>
            </w:pPr>
            <w:r>
              <w:t xml:space="preserve">VACIO</w:t>
            </w:r>
          </w:p>
        </w:tc>
      </w:tr>
      <w:tr>
        <w:trPr>
          <w:cantSplit/>
        </w:trPr>
        <w:tc>
          <w:tcPr/>
          <w:p>
            <w:pPr>
              <w:pStyle w:val="Tabla9"/>
              <w:jc w:val="left"/>
            </w:pPr>
            <w:r>
              <w:t xml:space="preserve">Demanda territorial</w:t>
            </w:r>
          </w:p>
        </w:tc>
        <w:tc>
          <w:tcPr/>
          <w:p>
            <w:pPr>
              <w:pStyle w:val="Tabla9"/>
              <w:jc w:val="left"/>
            </w:pPr>
            <w:r>
              <w:t xml:space="preserve">Mediciones de PM2,5 y PM10 con error conocido para la gestión del riesgo posterremoto</w:t>
            </w:r>
          </w:p>
        </w:tc>
        <w:tc>
          <w:tcPr/>
          <w:p>
            <w:pPr>
              <w:pStyle w:val="Tabla9"/>
              <w:jc w:val="left"/>
            </w:pPr>
            <w:r>
              <w:t xml:space="preserve">PROPUESTO</w:t>
            </w:r>
          </w:p>
        </w:tc>
      </w:tr>
      <w:tr>
        <w:trPr>
          <w:cantSplit/>
        </w:trPr>
        <w:tc>
          <w:tcPr/>
          <w:p>
            <w:pPr>
              <w:pStyle w:val="Tabla9"/>
              <w:jc w:val="left"/>
            </w:pPr>
            <w:r>
              <w:t xml:space="preserve">Alcance temático de los términos de referencia</w:t>
            </w:r>
          </w:p>
        </w:tc>
        <w:tc>
          <w:tcPr/>
          <w:p>
            <w:pPr>
              <w:pStyle w:val="Tabla9"/>
              <w:jc w:val="left"/>
            </w:pPr>
            <w:r>
              <w:t xml:space="preserve">[DATO_USUARIO: numeral 5 de los términos de referencia]</w:t>
            </w:r>
          </w:p>
        </w:tc>
        <w:tc>
          <w:tcPr/>
          <w:p>
            <w:pPr>
              <w:pStyle w:val="Tabla9"/>
              <w:jc w:val="left"/>
            </w:pPr>
            <w:r>
              <w:t xml:space="preserve">VACIO</w:t>
            </w:r>
          </w:p>
        </w:tc>
      </w:tr>
      <w:tr>
        <w:trPr>
          <w:cantSplit/>
        </w:trPr>
        <w:tc>
          <w:tcPr/>
          <w:p>
            <w:pPr>
              <w:pStyle w:val="Tabla9"/>
              <w:jc w:val="left"/>
            </w:pPr>
            <w:r>
              <w:t xml:space="preserve">Respuesta del proyecto</w:t>
            </w:r>
          </w:p>
        </w:tc>
        <w:tc>
          <w:tcPr/>
          <w:p>
            <w:pPr>
              <w:pStyle w:val="Tabla9"/>
              <w:jc w:val="left"/>
            </w:pPr>
            <w:r>
              <w:t xml:space="preserve">Red de 100 nodos y 10 gateways, modelo de corrección, gemelo digital, tablero y protocolo de alerta</w:t>
            </w:r>
          </w:p>
        </w:tc>
        <w:tc>
          <w:tcPr/>
          <w:p>
            <w:pPr>
              <w:pStyle w:val="Tabla9"/>
              <w:jc w:val="left"/>
            </w:pPr>
            <w:r>
              <w:t xml:space="preserve">PROPUESTO</w:t>
            </w:r>
          </w:p>
        </w:tc>
      </w:tr>
      <w:tr>
        <w:trPr>
          <w:cantSplit/>
        </w:trPr>
        <w:tc>
          <w:tcPr/>
          <w:p>
            <w:pPr>
              <w:pStyle w:val="Tabla9"/>
              <w:jc w:val="left"/>
            </w:pPr>
            <w:r>
              <w:t xml:space="preserve">Medida de atención de la demanda</w:t>
            </w:r>
          </w:p>
        </w:tc>
        <w:tc>
          <w:tcPr/>
          <w:p>
            <w:pPr>
              <w:pStyle w:val="Tabla9"/>
              <w:jc w:val="left"/>
            </w:pPr>
            <w:r>
              <w:t xml:space="preserve">Uso del tablero por 75 % o más de 15 comités al mes 24 (PERS-E01)</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la ficha maestra. El expediente trata la articulación territorial en la sección 5.3.3 del capítulo 5.</w:t>
      </w:r>
    </w:p>
    <w:bookmarkEnd w:id="54"/>
    <w:bookmarkStart w:id="56" w:name="_Toc00900023"/>
    <w:p>
      <w:pPr>
        <w:pStyle w:val="Heading1"/>
      </w:pPr>
      <w:r>
        <w:t xml:space="preserve">9. MARCO CONCEPTUAL</w:t>
      </w:r>
    </w:p>
    <w:p>
      <w:pPr>
        <w:pStyle w:val="FirstParagraph"/>
      </w:pPr>
      <w:r>
        <w:t xml:space="preserve">El marco conceptual articula cuatro ideas. La primera es la calibración colocalizada, que compara un sensor de bajo costo con un equipo de referencia en el mismo sitio. La segunda es la computación en el borde, que ejecuta la corrección en el gateway y no en la nube (Shi et al., 2016). La tercera es el gemelo digital, una representación en software que se actualiza con datos del sistema físico (Grieves y Vickers, 2017). La cuarta es la madurez tecnológica, medida con niveles TRL (Mankins, 1995).</w:t>
      </w:r>
    </w:p>
    <w:p>
      <w:pPr>
        <w:pStyle w:val="BodyText"/>
      </w:pPr>
      <w:r>
        <w:t xml:space="preserve">Los umbrales de desempeño siguen los criterios informativos de la EPA (2021): R² ≥ 0,70, NRMSE ≤ 30 %, pendiente entre 0,65 y 1,35 y sesgo entre −5,0 y 5,0 µg/m3. Los datos de la red no sustituyen la medición regulatoria. El tablero muestra el error residual junto con cada valor.</w:t>
      </w:r>
    </w:p>
    <w:bookmarkStart w:id="55" w:name="X0440dba4889555ae238e4f30e966088cd4f41f0"/>
    <w:p>
      <w:pPr>
        <w:pStyle w:val="Heading2"/>
      </w:pPr>
      <w:r>
        <w:t xml:space="preserve">9.1 Marco de política pública y marco normativo</w:t>
      </w:r>
    </w:p>
    <w:p>
      <w:pPr>
        <w:pStyle w:val="FirstParagraph"/>
      </w:pPr>
      <w:r>
        <w:t xml:space="preserve">La Ley 1523 de 2012 organiza la gestión del riesgo en procesos de conocimiento, reducción y manejo (Congreso de la República, 2012a). La Ley 2056 de 2020 regula el Sistema General de Regalías (Congreso de la República, 2020). La Ley 1286 de 2009 fortalece el Sistema Nacional de Ciencia, Tecnología e Innovación (Congreso de la República, 2009). La Resolución 2254 de 2017 adopta la norma de calidad del aire ambiente (Ministerio de Ambiente y Desarrollo Sostenible, 2017).</w:t>
      </w:r>
    </w:p>
    <w:p>
      <w:pPr>
        <w:pStyle w:val="BodyText"/>
      </w:pPr>
      <w:r>
        <w:t xml:space="preserve">El marco internacional incluye el Marco de Sendái 2015-2030 (Oficina de las Naciones Unidas para la Reducción del Riesgo de Desastres [UNDRR], 2015) y la Agenda 2030 (Organización de las Naciones Unidas [ONU], 2015). El expediente desarrolla el marco teórico en el capítulo 4.</w:t>
      </w:r>
    </w:p>
    <w:bookmarkEnd w:id="55"/>
    <w:bookmarkEnd w:id="56"/>
    <w:bookmarkStart w:id="57" w:name="_Toc00900024"/>
    <w:p>
      <w:pPr>
        <w:pStyle w:val="Heading1"/>
      </w:pPr>
      <w:r>
        <w:t xml:space="preserve">10. ANÁLISIS DE PARTICIPANTES</w:t>
      </w:r>
    </w:p>
    <w:p>
      <w:pPr>
        <w:pStyle w:val="FirstParagraph"/>
      </w:pPr>
      <w:r>
        <w:t xml:space="preserve">La Tabla D.7 identifica a los participantes con la tabla del Anexo 2. La regla de la Metodología General Ajustada impide que una misma entidad sea a la vez cooperante y beneficiaria. Por esa razón, el municipio focal figura como beneficiario y no aporta recursos. La Universidad, el actor reconocido y la empresa figuran como cooperantes.</w:t>
      </w:r>
    </w:p>
    <w:p>
      <w:pPr>
        <w:pStyle w:val="TablaRotulo"/>
      </w:pPr>
      <w:bookmarkStart w:id="9025" w:name="rot_Tabla_D_7"/>
      <w:r>
        <w:rPr>
          <w:b/>
          <w:bCs/>
        </w:rPr>
        <w:t xml:space="preserve">Tabla D.7</w:t>
      </w:r>
      <w:bookmarkEnd w:id="9025"/>
    </w:p>
    <w:p>
      <w:pPr>
        <w:pStyle w:val="TablaTitulo"/>
      </w:pPr>
      <w:r>
        <w:rPr>
          <w:i/>
          <w:iCs/>
        </w:rPr>
        <w:t xml:space="preserve">Análisis de participantes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366"/>
        <w:gridCol w:w="1782"/>
        <w:gridCol w:w="2772"/>
      </w:tblGrid>
      <w:tr>
        <w:trPr>
          <w:cantSplit/>
          <w:tblHeader/>
        </w:trPr>
        <w:tc>
          <w:tcPr>
            <w:shd w:val="clear" w:color="auto" w:fill="00B050"/>
          </w:tcPr>
          <w:p>
            <w:pPr>
              <w:pStyle w:val="Tabla9"/>
              <w:jc w:val="center"/>
            </w:pPr>
            <w:r>
              <w:rPr>
                <w:b/>
                <w:color w:val="FFFFFF"/>
              </w:rPr>
              <w:t xml:space="preserve">Datos de la entidad</w:t>
            </w:r>
          </w:p>
        </w:tc>
        <w:tc>
          <w:tcPr>
            <w:shd w:val="clear" w:color="auto" w:fill="00B050"/>
          </w:tcPr>
          <w:p>
            <w:pPr>
              <w:pStyle w:val="Tabla9"/>
              <w:jc w:val="center"/>
            </w:pPr>
            <w:r>
              <w:rPr>
                <w:b/>
                <w:color w:val="FFFFFF"/>
              </w:rPr>
              <w:t xml:space="preserve">Posición</w:t>
            </w:r>
          </w:p>
        </w:tc>
        <w:tc>
          <w:tcPr>
            <w:shd w:val="clear" w:color="auto" w:fill="00B050"/>
          </w:tcPr>
          <w:p>
            <w:pPr>
              <w:pStyle w:val="Tabla9"/>
              <w:jc w:val="center"/>
            </w:pPr>
            <w:r>
              <w:rPr>
                <w:b/>
                <w:color w:val="FFFFFF"/>
              </w:rPr>
              <w:t xml:space="preserve">Contribución o gestión</w:t>
            </w:r>
          </w:p>
        </w:tc>
      </w:tr>
      <w:tr>
        <w:trPr>
          <w:cantSplit/>
        </w:trPr>
        <w:tc>
          <w:tcPr/>
          <w:p>
            <w:pPr>
              <w:pStyle w:val="Tabla9"/>
              <w:jc w:val="left"/>
            </w:pPr>
            <w:r>
              <w:t xml:space="preserve">Actor: Otro. Entidad: Sistema General de Regalías, Asignación de CTeI. Intereses: financiar investigación aplicada para la emergencia</w:t>
            </w:r>
          </w:p>
        </w:tc>
        <w:tc>
          <w:tcPr/>
          <w:p>
            <w:pPr>
              <w:pStyle w:val="Tabla9"/>
              <w:jc w:val="left"/>
            </w:pPr>
            <w:r>
              <w:t xml:space="preserve">Cooperante</w:t>
            </w:r>
          </w:p>
        </w:tc>
        <w:tc>
          <w:tcPr/>
          <w:p>
            <w:pPr>
              <w:pStyle w:val="Tabla9"/>
              <w:jc w:val="left"/>
            </w:pPr>
            <w:r>
              <w:t xml:space="preserve">Financiar el proyecto con $ 8.729.840.000 de la Asignación de CTeI del SGR</w:t>
            </w:r>
          </w:p>
        </w:tc>
      </w:tr>
      <w:tr>
        <w:trPr>
          <w:cantSplit/>
        </w:trPr>
        <w:tc>
          <w:tcPr/>
          <w:p>
            <w:pPr>
              <w:pStyle w:val="Tabla9"/>
              <w:jc w:val="left"/>
            </w:pPr>
            <w:r>
              <w:t xml:space="preserve">Actor: Académico. Entidad: [DATO_USUARIO: universidad proponente]. Intereses: investigación aplicada, formación y publicaciones</w:t>
            </w:r>
          </w:p>
        </w:tc>
        <w:tc>
          <w:tcPr/>
          <w:p>
            <w:pPr>
              <w:pStyle w:val="Tabla9"/>
              <w:jc w:val="left"/>
            </w:pPr>
            <w:r>
              <w:t xml:space="preserve">Cooperante</w:t>
            </w:r>
          </w:p>
        </w:tc>
        <w:tc>
          <w:tcPr/>
          <w:p>
            <w:pPr>
              <w:pStyle w:val="Tabla9"/>
              <w:jc w:val="left"/>
            </w:pPr>
            <w:r>
              <w:t xml:space="preserve">Formular y ejecutar el proyecto; calibrar y validar el modelo; aportar 1.100 millones de COP en especie; administrar y rendir cuentas</w:t>
            </w:r>
          </w:p>
        </w:tc>
      </w:tr>
      <w:tr>
        <w:trPr>
          <w:cantSplit/>
        </w:trPr>
        <w:tc>
          <w:tcPr/>
          <w:p>
            <w:pPr>
              <w:pStyle w:val="Tabla9"/>
              <w:jc w:val="left"/>
            </w:pPr>
            <w:r>
              <w:t xml:space="preserve">Actor: Centro o instituto de CTeI. Entidad: [DATO_USUARIO: actor reconocido por MinCiencias]. Intereses: capacidad de referencia metrológica</w:t>
            </w:r>
          </w:p>
        </w:tc>
        <w:tc>
          <w:tcPr/>
          <w:p>
            <w:pPr>
              <w:pStyle w:val="Tabla9"/>
              <w:jc w:val="left"/>
            </w:pPr>
            <w:r>
              <w:t xml:space="preserve">Cooperante</w:t>
            </w:r>
          </w:p>
        </w:tc>
        <w:tc>
          <w:tcPr/>
          <w:p>
            <w:pPr>
              <w:pStyle w:val="Tabla9"/>
              <w:jc w:val="left"/>
            </w:pPr>
            <w:r>
              <w:t xml:space="preserve">Verificar de forma independiente la medición, ensayar el desempeño y formar a los custodios</w:t>
            </w:r>
          </w:p>
        </w:tc>
      </w:tr>
      <w:tr>
        <w:trPr>
          <w:cantSplit/>
        </w:trPr>
        <w:tc>
          <w:tcPr/>
          <w:p>
            <w:pPr>
              <w:pStyle w:val="Tabla9"/>
              <w:jc w:val="left"/>
            </w:pPr>
            <w:r>
              <w:t xml:space="preserve">Actor: Empresa. Entidad: [DATO_USUARIO: empresa aliada]. Intereses: producto validado en entorno operativo</w:t>
            </w:r>
          </w:p>
        </w:tc>
        <w:tc>
          <w:tcPr/>
          <w:p>
            <w:pPr>
              <w:pStyle w:val="Tabla9"/>
              <w:jc w:val="left"/>
            </w:pPr>
            <w:r>
              <w:t xml:space="preserve">Cooperante</w:t>
            </w:r>
          </w:p>
        </w:tc>
        <w:tc>
          <w:tcPr/>
          <w:p>
            <w:pPr>
              <w:pStyle w:val="Tabla9"/>
              <w:jc w:val="left"/>
            </w:pPr>
            <w:r>
              <w:t xml:space="preserve">Diseñar, fabricar, instalar y operar la red y la plataforma; aportar 210 millones de COP en efectivo y 800 millones en especie</w:t>
            </w:r>
          </w:p>
        </w:tc>
      </w:tr>
      <w:tr>
        <w:trPr>
          <w:cantSplit/>
        </w:trPr>
        <w:tc>
          <w:tcPr/>
          <w:p>
            <w:pPr>
              <w:pStyle w:val="Tabla9"/>
              <w:jc w:val="left"/>
            </w:pPr>
            <w:r>
              <w:t xml:space="preserve">Actor: Municipal. Entidad: [DATO_USUARIO: municipio focal] y los demás municipios focalizados (12). Intereses: decidir alertas con datos verificados</w:t>
            </w:r>
          </w:p>
        </w:tc>
        <w:tc>
          <w:tcPr/>
          <w:p>
            <w:pPr>
              <w:pStyle w:val="Tabla9"/>
              <w:jc w:val="left"/>
            </w:pPr>
            <w:r>
              <w:t xml:space="preserve">Beneficiario</w:t>
            </w:r>
          </w:p>
        </w:tc>
        <w:tc>
          <w:tcPr/>
          <w:p>
            <w:pPr>
              <w:pStyle w:val="Tabla9"/>
              <w:jc w:val="left"/>
            </w:pPr>
            <w:r>
              <w:t xml:space="preserve">Proponer sitios, autorizar el acceso, co-diseñar umbrales, usar el tablero y asumir la custodia; sin aporte de recursos</w:t>
            </w:r>
          </w:p>
        </w:tc>
      </w:tr>
      <w:tr>
        <w:trPr>
          <w:cantSplit/>
        </w:trPr>
        <w:tc>
          <w:tcPr/>
          <w:p>
            <w:pPr>
              <w:pStyle w:val="Tabla9"/>
              <w:jc w:val="left"/>
            </w:pPr>
            <w:r>
              <w:t xml:space="preserve">Actor: Departamental. Entidad: gobernaciones y comités departamentales de gestión del riesgo de Caldas, Cundinamarca y Valle del Cauca. Intereses: coordinación departamental del riesgo</w:t>
            </w:r>
          </w:p>
        </w:tc>
        <w:tc>
          <w:tcPr/>
          <w:p>
            <w:pPr>
              <w:pStyle w:val="Tabla9"/>
              <w:jc w:val="left"/>
            </w:pPr>
            <w:r>
              <w:t xml:space="preserve">Beneficiario</w:t>
            </w:r>
          </w:p>
        </w:tc>
        <w:tc>
          <w:tcPr/>
          <w:p>
            <w:pPr>
              <w:pStyle w:val="Tabla9"/>
              <w:jc w:val="left"/>
            </w:pPr>
            <w:r>
              <w:t xml:space="preserve">Participar en el co-diseño del protocolo y usar el tablero; sin aporte de recursos</w:t>
            </w:r>
          </w:p>
        </w:tc>
      </w:tr>
      <w:tr>
        <w:trPr>
          <w:cantSplit/>
        </w:trPr>
        <w:tc>
          <w:tcPr/>
          <w:p>
            <w:pPr>
              <w:pStyle w:val="Tabla9"/>
              <w:jc w:val="left"/>
            </w:pPr>
            <w:r>
              <w:t xml:space="preserve">Actor: Nacional. Entidad: UNGRD e IDEAM. Intereses: información compatible con el sistema nacional de gestión del riesgo</w:t>
            </w:r>
          </w:p>
        </w:tc>
        <w:tc>
          <w:tcPr/>
          <w:p>
            <w:pPr>
              <w:pStyle w:val="Tabla9"/>
              <w:jc w:val="left"/>
            </w:pPr>
            <w:r>
              <w:t xml:space="preserve">Beneficiario</w:t>
            </w:r>
          </w:p>
        </w:tc>
        <w:tc>
          <w:tcPr/>
          <w:p>
            <w:pPr>
              <w:pStyle w:val="Tabla9"/>
              <w:jc w:val="left"/>
            </w:pPr>
            <w:r>
              <w:t xml:space="preserve">Aportar reportes de afectación y validar el protocolo de alerta; sin aporte de recursos (SUPUESTO)</w:t>
            </w:r>
          </w:p>
        </w:tc>
      </w:tr>
      <w:tr>
        <w:trPr>
          <w:cantSplit/>
        </w:trPr>
        <w:tc>
          <w:tcPr/>
          <w:p>
            <w:pPr>
              <w:pStyle w:val="Tabla9"/>
              <w:jc w:val="left"/>
            </w:pPr>
            <w:r>
              <w:t xml:space="preserve">Actor: Comunidad. Entidad: operarios de remoción y población de los sitios. Intereses: protección de la integridad</w:t>
            </w:r>
          </w:p>
        </w:tc>
        <w:tc>
          <w:tcPr/>
          <w:p>
            <w:pPr>
              <w:pStyle w:val="Tabla9"/>
              <w:jc w:val="left"/>
            </w:pPr>
            <w:r>
              <w:t xml:space="preserve">Beneficiario</w:t>
            </w:r>
          </w:p>
        </w:tc>
        <w:tc>
          <w:tcPr/>
          <w:p>
            <w:pPr>
              <w:pStyle w:val="Tabla9"/>
              <w:jc w:val="left"/>
            </w:pPr>
            <w:r>
              <w:t xml:space="preserve">Participar en talleres y jornadas de apropiación social</w:t>
            </w:r>
          </w:p>
        </w:tc>
      </w:tr>
      <w:tr>
        <w:trPr>
          <w:cantSplit/>
        </w:trPr>
        <w:tc>
          <w:tcPr/>
          <w:p>
            <w:pPr>
              <w:pStyle w:val="Tabla9"/>
              <w:jc w:val="left"/>
            </w:pPr>
            <w:r>
              <w:t xml:space="preserve">Actor: Contratistas de remoción de escombros. Intereses: continuidad de las obras</w:t>
            </w:r>
          </w:p>
        </w:tc>
        <w:tc>
          <w:tcPr/>
          <w:p>
            <w:pPr>
              <w:pStyle w:val="Tabla9"/>
              <w:jc w:val="left"/>
            </w:pPr>
            <w:r>
              <w:t xml:space="preserve">Perjudicado</w:t>
            </w:r>
          </w:p>
        </w:tc>
        <w:tc>
          <w:tcPr/>
          <w:p>
            <w:pPr>
              <w:pStyle w:val="Tabla9"/>
              <w:jc w:val="left"/>
            </w:pPr>
            <w:r>
              <w:t xml:space="preserve">Una alerta puede suspender temporalmente una obra; se informa en el protocolo</w:t>
            </w:r>
          </w:p>
        </w:tc>
      </w:tr>
    </w:tbl>
    <w:p>
      <w:pPr>
        <w:pStyle w:val="TablaNota"/>
      </w:pPr>
      <w:r>
        <w:rPr>
          <w:i/>
          <w:iCs/>
        </w:rPr>
        <w:t xml:space="preserve">Nota.</w:t>
      </w:r>
      <w:r>
        <w:t xml:space="preserve"> </w:t>
      </w:r>
      <w:r>
        <w:t xml:space="preserve">Elaboración propia con la tabla de ejemplo del Anexo 2 y la ficha maestra. Posiciones PROPUESTAS. El expediente analiza a los interesados en el documento X7 (mapa de interesados).</w:t>
      </w:r>
    </w:p>
    <w:bookmarkEnd w:id="57"/>
    <w:bookmarkStart w:id="62" w:name="_Toc00900025"/>
    <w:p>
      <w:pPr>
        <w:pStyle w:val="Heading1"/>
      </w:pPr>
      <w:r>
        <w:t xml:space="preserve">11. POBLACIÓN</w:t>
      </w:r>
    </w:p>
    <w:bookmarkStart w:id="58" w:name="_Toc00900026"/>
    <w:p>
      <w:pPr>
        <w:pStyle w:val="Heading2"/>
      </w:pPr>
      <w:r>
        <w:t xml:space="preserve">11.1 Población afectada</w:t>
      </w:r>
    </w:p>
    <w:p>
      <w:pPr>
        <w:pStyle w:val="FirstParagraph"/>
      </w:pPr>
      <w:r>
        <w:t xml:space="preserve">La población afectada es la de los 12 municipios focalizados. Se determina sumando las proyecciones municipales de población del Departamento Administrativo Nacional de Estadística. La cifra no se aportó y queda abierta [DATO_USUARIO: población de los municipios focalizados, proyección del DANE y año].</w:t>
      </w:r>
    </w:p>
    <w:bookmarkEnd w:id="58"/>
    <w:bookmarkStart w:id="59" w:name="_Toc00900027"/>
    <w:p>
      <w:pPr>
        <w:pStyle w:val="Heading2"/>
      </w:pPr>
      <w:r>
        <w:t xml:space="preserve">11.2 Población objetivo</w:t>
      </w:r>
    </w:p>
    <w:p>
      <w:pPr>
        <w:pStyle w:val="FirstParagraph"/>
      </w:pPr>
      <w:r>
        <w:t xml:space="preserve">La población objetivo son los funcionarios y los comités que deciden con la medición. Son 15 comités de gestión del riesgo, 12 municipales y 3 departamentales, con 150 funcionarios beneficiarios directos, 10 por comité (SUPUESTO). Se suman las cuadrillas de remoción en los sitios monitoreados [DATO_USUARIO: número de operarios].</w:t>
      </w:r>
    </w:p>
    <w:p>
      <w:pPr>
        <w:pStyle w:val="BodyText"/>
      </w:pPr>
      <w:r>
        <w:t xml:space="preserve">Los criterios de selección son cuatro. El municipio debe figurar entre los afectados por la emergencia. Debe tener un sitio activo de remoción de escombros. Debe contar con un comité de gestión del riesgo en funcionamiento. Debe ofrecer acceso al sitio para la instalación y el mantenimiento.</w:t>
      </w:r>
    </w:p>
    <w:bookmarkEnd w:id="59"/>
    <w:bookmarkStart w:id="60" w:name="Xc216d4e4d5e1279a47eb3e538c8a258c8fbccf2"/>
    <w:p>
      <w:pPr>
        <w:pStyle w:val="Heading2"/>
      </w:pPr>
      <w:r>
        <w:t xml:space="preserve">11.3 Características demográficas de la población objetivo</w:t>
      </w:r>
    </w:p>
    <w:p>
      <w:pPr>
        <w:pStyle w:val="FirstParagraph"/>
      </w:pPr>
      <w:r>
        <w:t xml:space="preserve">El perfil del beneficiario es un funcionario o contratista del sistema de gestión del riesgo con responsabilidad de alerta. La caracterización por sexo, edad y formación se levanta en el tramo 1 [DATO_USUARIO: caracterización demográfica]. Se capacitan 60 personas en operación y mantenimiento de la red (PERS-E03).</w:t>
      </w:r>
    </w:p>
    <w:p>
      <w:pPr>
        <w:pStyle w:val="BodyText"/>
      </w:pPr>
      <w:r>
        <w:t xml:space="preserve">El proyecto no resuelve por sí mismo problemáticas de género, étnicas o de discapacidad. Incorpora el enfoque diferencial en la participación. La Tabla D.8 registra los actores diferenciales y las actividades de la cadena de valor donde participan. Su existencia depende de los municipios definitivos [DATO_USUARIO: grupos poblacionales presentes en los municipios].</w:t>
      </w:r>
    </w:p>
    <w:p>
      <w:pPr>
        <w:pStyle w:val="TablaRotulo"/>
      </w:pPr>
      <w:bookmarkStart w:id="9026" w:name="rot_Tabla_D_8"/>
      <w:r>
        <w:rPr>
          <w:b/>
          <w:bCs/>
        </w:rPr>
        <w:t xml:space="preserve">Tabla D.8</w:t>
      </w:r>
      <w:bookmarkEnd w:id="9026"/>
    </w:p>
    <w:p>
      <w:pPr>
        <w:pStyle w:val="TablaTitulo"/>
      </w:pPr>
      <w:r>
        <w:rPr>
          <w:i/>
          <w:iCs/>
        </w:rPr>
        <w:t xml:space="preserve">Actores diferenciales para el cambio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06"/>
        <w:gridCol w:w="1650"/>
        <w:gridCol w:w="1518"/>
        <w:gridCol w:w="2046"/>
      </w:tblGrid>
      <w:tr>
        <w:trPr>
          <w:cantSplit/>
          <w:tblHeader/>
        </w:trPr>
        <w:tc>
          <w:tcPr>
            <w:shd w:val="clear" w:color="auto" w:fill="00B050"/>
          </w:tcPr>
          <w:p>
            <w:pPr>
              <w:pStyle w:val="Tabla9"/>
              <w:jc w:val="center"/>
            </w:pPr>
            <w:r>
              <w:rPr>
                <w:b/>
                <w:color w:val="FFFFFF"/>
              </w:rPr>
              <w:t xml:space="preserve">Grupo poblacional (actores diferenciales)</w:t>
            </w:r>
          </w:p>
        </w:tc>
        <w:tc>
          <w:tcPr>
            <w:shd w:val="clear" w:color="auto" w:fill="00B050"/>
          </w:tcPr>
          <w:p>
            <w:pPr>
              <w:pStyle w:val="Tabla9"/>
              <w:jc w:val="center"/>
            </w:pPr>
            <w:r>
              <w:rPr>
                <w:b/>
                <w:color w:val="FFFFFF"/>
              </w:rPr>
              <w:t xml:space="preserve">Actividad en la cadena de valor</w:t>
            </w:r>
          </w:p>
        </w:tc>
        <w:tc>
          <w:tcPr>
            <w:shd w:val="clear" w:color="auto" w:fill="00B050"/>
          </w:tcPr>
          <w:p>
            <w:pPr>
              <w:pStyle w:val="Tabla9"/>
              <w:jc w:val="center"/>
            </w:pPr>
            <w:r>
              <w:rPr>
                <w:b/>
                <w:color w:val="FFFFFF"/>
              </w:rPr>
              <w:t xml:space="preserve">Valor de la actividad</w:t>
            </w:r>
          </w:p>
        </w:tc>
        <w:tc>
          <w:tcPr>
            <w:shd w:val="clear" w:color="auto" w:fill="00B050"/>
          </w:tcPr>
          <w:p>
            <w:pPr>
              <w:pStyle w:val="Tabla9"/>
              <w:jc w:val="center"/>
            </w:pPr>
            <w:r>
              <w:rPr>
                <w:b/>
                <w:color w:val="FFFFFF"/>
              </w:rPr>
              <w:t xml:space="preserve">Descripción de la participación</w:t>
            </w:r>
          </w:p>
        </w:tc>
      </w:tr>
      <w:tr>
        <w:trPr>
          <w:cantSplit/>
        </w:trPr>
        <w:tc>
          <w:tcPr/>
          <w:p>
            <w:pPr>
              <w:pStyle w:val="Tabla9"/>
              <w:jc w:val="left"/>
            </w:pPr>
            <w:r>
              <w:t xml:space="preserve">Mujeres [DATO_USUARIO: meta de participación]</w:t>
            </w:r>
          </w:p>
        </w:tc>
        <w:tc>
          <w:tcPr/>
          <w:p>
            <w:pPr>
              <w:pStyle w:val="Tabla9"/>
              <w:jc w:val="left"/>
            </w:pPr>
            <w:r>
              <w:t xml:space="preserve">A3.1 Co-diseñar umbrales y protocolo de alerta con comités</w:t>
            </w:r>
          </w:p>
        </w:tc>
        <w:tc>
          <w:tcPr/>
          <w:p>
            <w:pPr>
              <w:pStyle w:val="Tabla9"/>
              <w:jc w:val="left"/>
            </w:pPr>
            <w:r>
              <w:t xml:space="preserve">$ 523.615.395</w:t>
            </w:r>
          </w:p>
        </w:tc>
        <w:tc>
          <w:tcPr/>
          <w:p>
            <w:pPr>
              <w:pStyle w:val="Tabla9"/>
              <w:jc w:val="left"/>
            </w:pPr>
            <w:r>
              <w:t xml:space="preserve">Participan en los talleres de co-diseño y en la lectura del protocolo; los horarios y los lugares consideran el cuidado</w:t>
            </w:r>
          </w:p>
        </w:tc>
      </w:tr>
      <w:tr>
        <w:trPr>
          <w:cantSplit/>
        </w:trPr>
        <w:tc>
          <w:tcPr/>
          <w:p>
            <w:pPr>
              <w:pStyle w:val="Tabla9"/>
              <w:jc w:val="left"/>
            </w:pPr>
            <w:r>
              <w:t xml:space="preserve">Pueblos étnicos, si hay resguardos o consejos comunitarios [DATO_USUARIO]</w:t>
            </w:r>
          </w:p>
        </w:tc>
        <w:tc>
          <w:tcPr/>
          <w:p>
            <w:pPr>
              <w:pStyle w:val="Tabla9"/>
              <w:jc w:val="left"/>
            </w:pPr>
            <w:r>
              <w:t xml:space="preserve">A3.2 Poner en uso el tablero con los comités</w:t>
            </w:r>
          </w:p>
        </w:tc>
        <w:tc>
          <w:tcPr/>
          <w:p>
            <w:pPr>
              <w:pStyle w:val="Tabla9"/>
              <w:jc w:val="left"/>
            </w:pPr>
            <w:r>
              <w:t xml:space="preserve">$ 261.807.686</w:t>
            </w:r>
          </w:p>
        </w:tc>
        <w:tc>
          <w:tcPr/>
          <w:p>
            <w:pPr>
              <w:pStyle w:val="Tabla9"/>
              <w:jc w:val="left"/>
            </w:pPr>
            <w:r>
              <w:t xml:space="preserve">Validan los mensajes de alerta y los canales de comunicación; la consulta previa se define con la autoridad competente</w:t>
            </w:r>
          </w:p>
        </w:tc>
      </w:tr>
      <w:tr>
        <w:trPr>
          <w:cantSplit/>
        </w:trPr>
        <w:tc>
          <w:tcPr/>
          <w:p>
            <w:pPr>
              <w:pStyle w:val="Tabla9"/>
              <w:jc w:val="left"/>
            </w:pPr>
            <w:r>
              <w:t xml:space="preserve">Personas con discapacidad [DATO_USUARIO]</w:t>
            </w:r>
          </w:p>
        </w:tc>
        <w:tc>
          <w:tcPr/>
          <w:p>
            <w:pPr>
              <w:pStyle w:val="Tabla9"/>
              <w:jc w:val="left"/>
            </w:pPr>
            <w:r>
              <w:t xml:space="preserve">A3.2 Poner en uso el tablero con los comités</w:t>
            </w:r>
          </w:p>
        </w:tc>
        <w:tc>
          <w:tcPr/>
          <w:p>
            <w:pPr>
              <w:pStyle w:val="Tabla9"/>
              <w:jc w:val="left"/>
            </w:pPr>
            <w:r>
              <w:t xml:space="preserve">$ 261.807.686</w:t>
            </w:r>
          </w:p>
        </w:tc>
        <w:tc>
          <w:tcPr/>
          <w:p>
            <w:pPr>
              <w:pStyle w:val="Tabla9"/>
              <w:jc w:val="left"/>
            </w:pPr>
            <w:r>
              <w:t xml:space="preserve">Revisan la accesibilidad de las cartillas, del tablero y de las alertas</w:t>
            </w:r>
          </w:p>
        </w:tc>
      </w:tr>
    </w:tbl>
    <w:p>
      <w:pPr>
        <w:pStyle w:val="TablaNota"/>
      </w:pPr>
      <w:r>
        <w:rPr>
          <w:i/>
          <w:iCs/>
        </w:rPr>
        <w:t xml:space="preserve">Nota.</w:t>
      </w:r>
      <w:r>
        <w:t xml:space="preserve"> </w:t>
      </w:r>
      <w:r>
        <w:t xml:space="preserve">Elaboración propia. El valor corresponde a la actividad completa (SGR), no a la participación del grupo. Valores calculados con la asignación de líneas a actividades de la sección 15 (PROPUESTO).</w:t>
      </w:r>
    </w:p>
    <w:bookmarkEnd w:id="60"/>
    <w:bookmarkStart w:id="61" w:name="X74bb63e11433ed9a2100a644c723e52be388e36"/>
    <w:p>
      <w:pPr>
        <w:pStyle w:val="Heading2"/>
      </w:pPr>
      <w:r>
        <w:t xml:space="preserve">11.4 Porcentaje de población con enfoque diferencial a vincular al proyecto</w:t>
      </w:r>
    </w:p>
    <w:p>
      <w:pPr>
        <w:pStyle w:val="FirstParagraph"/>
      </w:pPr>
      <w:r>
        <w:t xml:space="preserve">El equipo del proyecto cuenta con 29 cargos y 624 personas-mes. Su composición según las categorías del Anexo 12 no está definida [DATO_USUARIO: porcentaje del equipo con enfoque diferencial; Anexo 12 no aportado]. La meta de 50 % en una categoría, o de 41 % en dos o más, se verifica al contratar el equipo (actividad A0.1).</w:t>
      </w:r>
    </w:p>
    <w:bookmarkEnd w:id="61"/>
    <w:bookmarkEnd w:id="62"/>
    <w:bookmarkStart w:id="66" w:name="objetivos"/>
    <w:p>
      <w:pPr>
        <w:pStyle w:val="Heading1"/>
      </w:pPr>
      <w:r>
        <w:t xml:space="preserve">12. OBJETIVOS</w:t>
      </w:r>
    </w:p>
    <w:bookmarkStart w:id="63" w:name="_Toc00900028"/>
    <w:p>
      <w:pPr>
        <w:pStyle w:val="Heading2"/>
      </w:pPr>
      <w:r>
        <w:t xml:space="preserve">12.1 Objetivo general</w:t>
      </w:r>
    </w:p>
    <w:p>
      <w:pPr>
        <w:pStyle w:val="FirstParagraph"/>
      </w:pPr>
      <w:r>
        <w:t xml:space="preserve">La Tabla D.9 presenta el enunciado del objetivo general. El enunciado comienza con un verbo en infinitivo y define una meta medible.</w:t>
      </w:r>
    </w:p>
    <w:p>
      <w:pPr>
        <w:pStyle w:val="TablaRotulo"/>
      </w:pPr>
      <w:bookmarkStart w:id="9027" w:name="rot_Tabla_D_9"/>
      <w:r>
        <w:rPr>
          <w:b/>
          <w:bCs/>
        </w:rPr>
        <w:t xml:space="preserve">Tabla D.9</w:t>
      </w:r>
      <w:bookmarkEnd w:id="9027"/>
    </w:p>
    <w:p>
      <w:pPr>
        <w:pStyle w:val="TablaTitulo"/>
      </w:pPr>
      <w:r>
        <w:rPr>
          <w:i/>
          <w:iCs/>
        </w:rPr>
        <w:t xml:space="preserve">Objetivo general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22"/>
        <w:gridCol w:w="3630"/>
        <w:gridCol w:w="3168"/>
      </w:tblGrid>
      <w:tr>
        <w:trPr>
          <w:cantSplit/>
          <w:tblHeader/>
        </w:trPr>
        <w:tc>
          <w:tcPr>
            <w:shd w:val="clear" w:color="auto" w:fill="00B050"/>
          </w:tcPr>
          <w:p>
            <w:pPr>
              <w:pStyle w:val="Tabla9"/>
              <w:jc w:val="center"/>
            </w:pPr>
            <w:r>
              <w:rPr>
                <w:b/>
                <w:color w:val="FFFFFF"/>
              </w:rPr>
              <w:t xml:space="preserve">Código</w:t>
            </w:r>
          </w:p>
        </w:tc>
        <w:tc>
          <w:tcPr>
            <w:shd w:val="clear" w:color="auto" w:fill="00B050"/>
          </w:tcPr>
          <w:p>
            <w:pPr>
              <w:pStyle w:val="Tabla9"/>
              <w:jc w:val="center"/>
            </w:pPr>
            <w:r>
              <w:rPr>
                <w:b/>
                <w:color w:val="FFFFFF"/>
              </w:rPr>
              <w:t xml:space="preserve">Enunciado</w:t>
            </w:r>
          </w:p>
        </w:tc>
        <w:tc>
          <w:tcPr>
            <w:shd w:val="clear" w:color="auto" w:fill="00B050"/>
          </w:tcPr>
          <w:p>
            <w:pPr>
              <w:pStyle w:val="Tabla9"/>
              <w:jc w:val="center"/>
            </w:pPr>
            <w:r>
              <w:rPr>
                <w:b/>
                <w:color w:val="FFFFFF"/>
              </w:rPr>
              <w:t xml:space="preserve">Meta</w:t>
            </w:r>
          </w:p>
        </w:tc>
      </w:tr>
      <w:tr>
        <w:trPr>
          <w:cantSplit/>
        </w:trPr>
        <w:tc>
          <w:tcPr/>
          <w:p>
            <w:pPr>
              <w:pStyle w:val="Tabla9"/>
              <w:jc w:val="left"/>
            </w:pPr>
            <w:r>
              <w:t xml:space="preserve">OG</w:t>
            </w:r>
          </w:p>
        </w:tc>
        <w:tc>
          <w:tcPr/>
          <w:p>
            <w:pPr>
              <w:pStyle w:val="Tabla9"/>
              <w:jc w:val="left"/>
            </w:pPr>
            <w:r>
              <w:t xml:space="preserve">Reducir el error de medición de material particulado de una red de 100 nodos de bajo costo, y asegurar su uso institucional en la gestión del riesgo, mediante calibración dinámica en gateways, operación con energía y enlace redundantes y custodia distribuida por tramos, en Caldas, Cundinamarca y Valle del Cauca, durante 24 meses.</w:t>
            </w:r>
          </w:p>
        </w:tc>
        <w:tc>
          <w:tcPr/>
          <w:p>
            <w:pPr>
              <w:pStyle w:val="Tabla9"/>
              <w:jc w:val="left"/>
            </w:pPr>
            <w:r>
              <w:t xml:space="preserve">R² ≥ 0,70 y NRMSE ≤ 30 % frente a la referencia, y uso del tablero por 75 % o más de los comités</w:t>
            </w:r>
          </w:p>
        </w:tc>
      </w:tr>
    </w:tbl>
    <w:p>
      <w:pPr>
        <w:pStyle w:val="TablaNota"/>
      </w:pPr>
      <w:r>
        <w:rPr>
          <w:i/>
          <w:iCs/>
        </w:rPr>
        <w:t xml:space="preserve">Nota.</w:t>
      </w:r>
      <w:r>
        <w:t xml:space="preserve"> </w:t>
      </w:r>
      <w:r>
        <w:t xml:space="preserve">Elaboración propia con la ficha maestra del proyecto. Naturaleza: PROPUESTO.</w:t>
      </w:r>
    </w:p>
    <w:p>
      <w:pPr>
        <w:pStyle w:val="BodyText"/>
      </w:pPr>
      <w:r>
        <w:t xml:space="preserve">Tres indicadores miden el cumplimiento del objetivo general. El primero es el R² y el NRMSE de los nodos frente a la referencia, con meta de R² ≥ 0,70 y NRMSE ≤ 30 %. Su línea base se mide en el tramo 1. El segundo es el uso institucional del tablero, con meta de 75 % o más de los comités al mes 24 (PERS-E01). El tercero es la continuidad de la red bajo custodia, con meta de 70 % o más a los 12 meses del cierre (PERS-S02).</w:t>
      </w:r>
    </w:p>
    <w:bookmarkEnd w:id="63"/>
    <w:bookmarkStart w:id="64" w:name="_Toc00900029"/>
    <w:p>
      <w:pPr>
        <w:pStyle w:val="Heading2"/>
      </w:pPr>
      <w:r>
        <w:t xml:space="preserve">12.2 Objetivos específicos</w:t>
      </w:r>
    </w:p>
    <w:p>
      <w:pPr>
        <w:pStyle w:val="FirstParagraph"/>
      </w:pPr>
      <w:r>
        <w:t xml:space="preserve">Los tres objetivos específicos siguen una secuencia lógica: corregir la medición, sostener la red y lograr su uso. La Tabla D.10 los enuncia con su causa priorizada en el análisis de Vester y su meta.</w:t>
      </w:r>
    </w:p>
    <w:p>
      <w:pPr>
        <w:pStyle w:val="TablaRotulo"/>
      </w:pPr>
      <w:bookmarkStart w:id="9028" w:name="rot_Tabla_D_10"/>
      <w:r>
        <w:rPr>
          <w:b/>
          <w:bCs/>
        </w:rPr>
        <w:t xml:space="preserve">Tabla D.10</w:t>
      </w:r>
      <w:bookmarkEnd w:id="9028"/>
    </w:p>
    <w:p>
      <w:pPr>
        <w:pStyle w:val="TablaTitulo"/>
      </w:pPr>
      <w:r>
        <w:rPr>
          <w:i/>
          <w:iCs/>
        </w:rPr>
        <w:t xml:space="preserve">Objetivos específicos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81"/>
        <w:gridCol w:w="2618"/>
        <w:gridCol w:w="1767"/>
        <w:gridCol w:w="2552"/>
      </w:tblGrid>
      <w:tr>
        <w:trPr>
          <w:cantSplit/>
          <w:tblHeader/>
        </w:trPr>
        <w:tc>
          <w:tcPr>
            <w:shd w:val="clear" w:color="auto" w:fill="00B050"/>
          </w:tcPr>
          <w:p>
            <w:pPr>
              <w:pStyle w:val="Tabla9"/>
              <w:jc w:val="center"/>
            </w:pPr>
            <w:r>
              <w:rPr>
                <w:b/>
                <w:color w:val="FFFFFF"/>
              </w:rPr>
              <w:t xml:space="preserve">Código</w:t>
            </w:r>
          </w:p>
        </w:tc>
        <w:tc>
          <w:tcPr>
            <w:shd w:val="clear" w:color="auto" w:fill="00B050"/>
          </w:tcPr>
          <w:p>
            <w:pPr>
              <w:pStyle w:val="Tabla9"/>
              <w:jc w:val="center"/>
            </w:pPr>
            <w:r>
              <w:rPr>
                <w:b/>
                <w:color w:val="FFFFFF"/>
              </w:rPr>
              <w:t xml:space="preserve">Enunciado</w:t>
            </w:r>
          </w:p>
        </w:tc>
        <w:tc>
          <w:tcPr>
            <w:shd w:val="clear" w:color="auto" w:fill="00B050"/>
          </w:tcPr>
          <w:p>
            <w:pPr>
              <w:pStyle w:val="Tabla9"/>
              <w:jc w:val="center"/>
            </w:pPr>
            <w:r>
              <w:rPr>
                <w:b/>
                <w:color w:val="FFFFFF"/>
              </w:rPr>
              <w:t xml:space="preserve">Causa priorizada</w:t>
            </w:r>
          </w:p>
        </w:tc>
        <w:tc>
          <w:tcPr>
            <w:shd w:val="clear" w:color="auto" w:fill="00B050"/>
          </w:tcPr>
          <w:p>
            <w:pPr>
              <w:pStyle w:val="Tabla9"/>
              <w:jc w:val="center"/>
            </w:pPr>
            <w:r>
              <w:rPr>
                <w:b/>
                <w:color w:val="FFFFFF"/>
              </w:rPr>
              <w:t xml:space="preserve">Meta</w:t>
            </w:r>
          </w:p>
        </w:tc>
      </w:tr>
      <w:tr>
        <w:trPr>
          <w:cantSplit/>
        </w:trPr>
        <w:tc>
          <w:tcPr/>
          <w:p>
            <w:pPr>
              <w:pStyle w:val="Tabla9"/>
              <w:jc w:val="left"/>
            </w:pPr>
            <w:r>
              <w:t xml:space="preserve">OE1</w:t>
            </w:r>
          </w:p>
        </w:tc>
        <w:tc>
          <w:tcPr/>
          <w:p>
            <w:pPr>
              <w:pStyle w:val="Tabla9"/>
              <w:jc w:val="left"/>
            </w:pP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w:t>
            </w:r>
          </w:p>
        </w:tc>
        <w:tc>
          <w:tcPr/>
          <w:p>
            <w:pPr>
              <w:pStyle w:val="Tabla9"/>
              <w:jc w:val="left"/>
            </w:pPr>
            <w:r>
              <w:t xml:space="preserve">V06 (crítica), V02 (crítica), V03 (activa)</w:t>
            </w:r>
          </w:p>
        </w:tc>
        <w:tc>
          <w:tcPr/>
          <w:p>
            <w:pPr>
              <w:pStyle w:val="Tabla9"/>
              <w:jc w:val="left"/>
            </w:pPr>
            <w:r>
              <w:t xml:space="preserve">R² ≥ 0,70 y NRMSE ≤ 30 % frente a referencia en los tres tramos</w:t>
            </w:r>
          </w:p>
        </w:tc>
      </w:tr>
      <w:tr>
        <w:trPr>
          <w:cantSplit/>
        </w:trPr>
        <w:tc>
          <w:tcPr/>
          <w:p>
            <w:pPr>
              <w:pStyle w:val="Tabla9"/>
              <w:jc w:val="left"/>
            </w:pPr>
            <w:r>
              <w:t xml:space="preserve">OE2</w:t>
            </w:r>
          </w:p>
        </w:tc>
        <w:tc>
          <w:tcPr/>
          <w:p>
            <w:pPr>
              <w:pStyle w:val="Tabla9"/>
              <w:jc w:val="left"/>
            </w:pPr>
            <w:r>
              <w:t xml:space="preserve">Mantener la disponibilidad de 100 nodos y 10 gateways ante polvo, humedad y fallas de energía y de enlace, mediante autonomía mínima de 14 días sin sol y un enlace alterno con almacenamiento local de 7 días.</w:t>
            </w:r>
          </w:p>
        </w:tc>
        <w:tc>
          <w:tcPr/>
          <w:p>
            <w:pPr>
              <w:pStyle w:val="Tabla9"/>
              <w:jc w:val="left"/>
            </w:pPr>
            <w:r>
              <w:t xml:space="preserve">V05 (activa) → V09 (reactiva)</w:t>
            </w:r>
          </w:p>
        </w:tc>
        <w:tc>
          <w:tcPr/>
          <w:p>
            <w:pPr>
              <w:pStyle w:val="Tabla9"/>
              <w:jc w:val="left"/>
            </w:pPr>
            <w:r>
              <w:t xml:space="preserve">Disponibilidad mensual de nodos ≥ 90 % y pérdida de paquetes ≤ 10 %</w:t>
            </w:r>
          </w:p>
        </w:tc>
      </w:tr>
      <w:tr>
        <w:trPr>
          <w:cantSplit/>
        </w:trPr>
        <w:tc>
          <w:tcPr/>
          <w:p>
            <w:pPr>
              <w:pStyle w:val="Tabla9"/>
              <w:jc w:val="left"/>
            </w:pPr>
            <w:r>
              <w:t xml:space="preserve">OE3</w:t>
            </w:r>
          </w:p>
        </w:tc>
        <w:tc>
          <w:tcPr/>
          <w:p>
            <w:pPr>
              <w:pStyle w:val="Tabla9"/>
              <w:jc w:val="left"/>
            </w:pPr>
            <w:r>
              <w:t xml:space="preserve">Lograr el uso del tablero y del protocolo de alerta por los comités de gestión del riesgo, con umbrales validados localmente y custodia por componente, mediante co-diseño, formación y convenios por tramo.</w:t>
            </w:r>
          </w:p>
        </w:tc>
        <w:tc>
          <w:tcPr/>
          <w:p>
            <w:pPr>
              <w:pStyle w:val="Tabla9"/>
              <w:jc w:val="left"/>
            </w:pPr>
            <w:r>
              <w:t xml:space="preserve">V15 (crítica)</w:t>
            </w:r>
          </w:p>
        </w:tc>
        <w:tc>
          <w:tcPr/>
          <w:p>
            <w:pPr>
              <w:pStyle w:val="Tabla9"/>
              <w:jc w:val="left"/>
            </w:pPr>
            <w:r>
              <w:t xml:space="preserve">≥ 75 % de los comités focalizados usan el tablero en decisiones documentadas al mes 24</w:t>
            </w:r>
          </w:p>
        </w:tc>
      </w:tr>
    </w:tbl>
    <w:p>
      <w:pPr>
        <w:pStyle w:val="TablaNota"/>
      </w:pPr>
      <w:r>
        <w:rPr>
          <w:i/>
          <w:iCs/>
        </w:rPr>
        <w:t xml:space="preserve">Nota.</w:t>
      </w:r>
      <w:r>
        <w:t xml:space="preserve"> </w:t>
      </w:r>
      <w:r>
        <w:t xml:space="preserve">Elaboración propia con la ficha maestra. Las causas corresponden a las variables V01 a V15 del análisis de Vester-MICMAC.</w:t>
      </w:r>
    </w:p>
    <w:bookmarkEnd w:id="64"/>
    <w:bookmarkStart w:id="65" w:name="_Toc00900030"/>
    <w:p>
      <w:pPr>
        <w:pStyle w:val="Heading2"/>
      </w:pPr>
      <w:r>
        <w:t xml:space="preserve">12.3 Árbol de objetivos</w:t>
      </w:r>
    </w:p>
    <w:p>
      <w:pPr>
        <w:pStyle w:val="FirstParagraph"/>
      </w:pPr>
      <w:r>
        <w:t xml:space="preserve">La Tabla D.11 presenta el árbol de objetivos, construido como el espejo positivo del árbol de problemas de la sección 5.4.</w:t>
      </w:r>
    </w:p>
    <w:p>
      <w:pPr>
        <w:pStyle w:val="TablaRotulo"/>
      </w:pPr>
      <w:bookmarkStart w:id="9029" w:name="rot_Tabla_D_11"/>
      <w:r>
        <w:rPr>
          <w:b/>
          <w:bCs/>
        </w:rPr>
        <w:t xml:space="preserve">Tabla D.11</w:t>
      </w:r>
      <w:bookmarkEnd w:id="9029"/>
    </w:p>
    <w:p>
      <w:pPr>
        <w:pStyle w:val="TablaTitulo"/>
      </w:pPr>
      <w:r>
        <w:rPr>
          <w:i/>
          <w:iCs/>
        </w:rPr>
        <w:t xml:space="preserve">Árbol de objetivos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30"/>
        <w:gridCol w:w="2329"/>
        <w:gridCol w:w="2196"/>
        <w:gridCol w:w="1863"/>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Elemento 1</w:t>
            </w:r>
          </w:p>
        </w:tc>
        <w:tc>
          <w:tcPr>
            <w:shd w:val="clear" w:color="auto" w:fill="00B050"/>
          </w:tcPr>
          <w:p>
            <w:pPr>
              <w:pStyle w:val="Tabla9"/>
              <w:jc w:val="center"/>
            </w:pPr>
            <w:r>
              <w:rPr>
                <w:b/>
                <w:color w:val="FFFFFF"/>
              </w:rPr>
              <w:t xml:space="preserve">Elemento 2</w:t>
            </w:r>
          </w:p>
        </w:tc>
        <w:tc>
          <w:tcPr>
            <w:shd w:val="clear" w:color="auto" w:fill="00B050"/>
          </w:tcPr>
          <w:p>
            <w:pPr>
              <w:pStyle w:val="Tabla9"/>
              <w:jc w:val="center"/>
            </w:pPr>
            <w:r>
              <w:rPr>
                <w:b/>
                <w:color w:val="FFFFFF"/>
              </w:rPr>
              <w:t xml:space="preserve">Elemento 3</w:t>
            </w:r>
          </w:p>
        </w:tc>
      </w:tr>
      <w:tr>
        <w:trPr>
          <w:cantSplit/>
        </w:trPr>
        <w:tc>
          <w:tcPr/>
          <w:p>
            <w:pPr>
              <w:pStyle w:val="Tabla9"/>
              <w:jc w:val="left"/>
            </w:pPr>
            <w:r>
              <w:t xml:space="preserve">Fines indirectos</w:t>
            </w:r>
          </w:p>
        </w:tc>
        <w:tc>
          <w:tcPr/>
          <w:p>
            <w:pPr>
              <w:pStyle w:val="Tabla9"/>
              <w:jc w:val="left"/>
            </w:pPr>
            <w:r>
              <w:t xml:space="preserve">1.1. Confianza en las mediciones y uso sostenido del tablero</w:t>
            </w:r>
          </w:p>
        </w:tc>
        <w:tc>
          <w:tcPr/>
          <w:p>
            <w:pPr>
              <w:pStyle w:val="Tabla9"/>
              <w:jc w:val="left"/>
            </w:pPr>
            <w:r>
              <w:t xml:space="preserve">2.1. Decisiones de alerta con respaldo metrológico</w:t>
            </w:r>
          </w:p>
        </w:tc>
        <w:tc>
          <w:tcPr/>
          <w:p>
            <w:pPr>
              <w:pStyle w:val="Tabla9"/>
              <w:jc w:val="left"/>
            </w:pPr>
            <w:r>
              <w:t xml:space="preserve">3.1. Exposición gestionada de operarios y población</w:t>
            </w:r>
          </w:p>
        </w:tc>
      </w:tr>
      <w:tr>
        <w:trPr>
          <w:cantSplit/>
        </w:trPr>
        <w:tc>
          <w:tcPr/>
          <w:p>
            <w:pPr>
              <w:pStyle w:val="Tabla9"/>
              <w:jc w:val="left"/>
            </w:pPr>
            <w:r>
              <w:t xml:space="preserve">Fines directos</w:t>
            </w:r>
          </w:p>
        </w:tc>
        <w:tc>
          <w:tcPr/>
          <w:p>
            <w:pPr>
              <w:pStyle w:val="Tabla9"/>
              <w:jc w:val="left"/>
            </w:pPr>
            <w:r>
              <w:t xml:space="preserve">1. Reducción relativa de falsas alarmas, meta de 30 % (PERS-E02)</w:t>
            </w:r>
          </w:p>
        </w:tc>
        <w:tc>
          <w:tcPr/>
          <w:p>
            <w:pPr>
              <w:pStyle w:val="Tabla9"/>
              <w:jc w:val="left"/>
            </w:pPr>
            <w:r>
              <w:t xml:space="preserve">2. Índice de calidad del aire y salud con error conocido</w:t>
            </w:r>
          </w:p>
        </w:tc>
        <w:tc>
          <w:tcPr/>
          <w:p>
            <w:pPr>
              <w:pStyle w:val="Tabla9"/>
              <w:jc w:val="left"/>
            </w:pPr>
            <w:r>
              <w:t xml:space="preserve">3. Personas alertadas con datos verificados</w:t>
            </w:r>
          </w:p>
        </w:tc>
      </w:tr>
      <w:tr>
        <w:trPr>
          <w:cantSplit/>
        </w:trPr>
        <w:tc>
          <w:tcPr/>
          <w:p>
            <w:pPr>
              <w:pStyle w:val="Tabla9"/>
              <w:jc w:val="left"/>
            </w:pPr>
            <w:r>
              <w:t xml:space="preserve">Objetivo general</w:t>
            </w:r>
          </w:p>
        </w:tc>
        <w:tc>
          <w:tcPr/>
          <w:p>
            <w:pPr>
              <w:pStyle w:val="Tabla9"/>
              <w:jc w:val="left"/>
            </w:pPr>
            <w:r>
              <w:t xml:space="preserve">Reducir el error de medición de una red de 100 nodos y asegurar su uso institucional en la gestión del riesgo</w:t>
            </w:r>
          </w:p>
        </w:tc>
        <w:tc>
          <w:tcPr/>
          <w:p>
            <w:pPr>
              <w:pStyle w:val="Tabla9"/>
            </w:pPr>
          </w:p>
        </w:tc>
        <w:tc>
          <w:tcPr/>
          <w:p>
            <w:pPr>
              <w:pStyle w:val="Tabla9"/>
            </w:pPr>
          </w:p>
        </w:tc>
      </w:tr>
      <w:tr>
        <w:trPr>
          <w:cantSplit/>
        </w:trPr>
        <w:tc>
          <w:tcPr/>
          <w:p>
            <w:pPr>
              <w:pStyle w:val="Tabla9"/>
              <w:jc w:val="left"/>
            </w:pPr>
            <w:r>
              <w:t xml:space="preserve">Objetivos específicos</w:t>
            </w:r>
          </w:p>
        </w:tc>
        <w:tc>
          <w:tcPr/>
          <w:p>
            <w:pPr>
              <w:pStyle w:val="Tabla9"/>
              <w:jc w:val="left"/>
            </w:pPr>
            <w:r>
              <w:t xml:space="preserve">OE1: corregir la interferencia de humedad y de fracción gruesa</w:t>
            </w:r>
          </w:p>
        </w:tc>
        <w:tc>
          <w:tcPr/>
          <w:p>
            <w:pPr>
              <w:pStyle w:val="Tabla9"/>
              <w:jc w:val="left"/>
            </w:pPr>
            <w:r>
              <w:t xml:space="preserve">OE2: mantener la disponibilidad de 100 nodos y 10 gateways</w:t>
            </w:r>
          </w:p>
        </w:tc>
        <w:tc>
          <w:tcPr/>
          <w:p>
            <w:pPr>
              <w:pStyle w:val="Tabla9"/>
              <w:jc w:val="left"/>
            </w:pPr>
            <w:r>
              <w:t xml:space="preserve">OE3: lograr el uso del tablero y del protocolo con custodia por componente</w:t>
            </w:r>
          </w:p>
        </w:tc>
      </w:tr>
      <w:tr>
        <w:trPr>
          <w:cantSplit/>
        </w:trPr>
        <w:tc>
          <w:tcPr/>
          <w:p>
            <w:pPr>
              <w:pStyle w:val="Tabla9"/>
              <w:jc w:val="left"/>
            </w:pPr>
            <w:r>
              <w:t xml:space="preserve">Medios</w:t>
            </w:r>
          </w:p>
        </w:tc>
        <w:tc>
          <w:tcPr/>
          <w:p>
            <w:pPr>
              <w:pStyle w:val="Tabla9"/>
              <w:jc w:val="left"/>
            </w:pPr>
            <w:r>
              <w:t xml:space="preserve">1.1. Colocalización con referencia y modelo de corrección en el gateway</w:t>
            </w:r>
          </w:p>
        </w:tc>
        <w:tc>
          <w:tcPr/>
          <w:p>
            <w:pPr>
              <w:pStyle w:val="Tabla9"/>
              <w:jc w:val="left"/>
            </w:pPr>
            <w:r>
              <w:t xml:space="preserve">2.1. Autonomía de 14 días y enlace alterno con almacenamiento de 7 días</w:t>
            </w:r>
          </w:p>
        </w:tc>
        <w:tc>
          <w:tcPr/>
          <w:p>
            <w:pPr>
              <w:pStyle w:val="Tabla9"/>
              <w:jc w:val="left"/>
            </w:pPr>
            <w:r>
              <w:t xml:space="preserve">3.1. Co-diseño, formación y convenios de custodia por tramo</w:t>
            </w:r>
          </w:p>
        </w:tc>
      </w:tr>
    </w:tbl>
    <w:p>
      <w:pPr>
        <w:pStyle w:val="TablaNota"/>
      </w:pPr>
      <w:r>
        <w:rPr>
          <w:i/>
          <w:iCs/>
        </w:rPr>
        <w:t xml:space="preserve">Nota.</w:t>
      </w:r>
      <w:r>
        <w:t xml:space="preserve"> </w:t>
      </w:r>
      <w:r>
        <w:t xml:space="preserve">Elaboración propia con los objetivos de la ficha maestra y el árbol de problemas de la Tabla D.5.</w:t>
      </w:r>
    </w:p>
    <w:bookmarkEnd w:id="65"/>
    <w:bookmarkEnd w:id="66"/>
    <w:bookmarkStart w:id="69" w:name="_Toc00900031"/>
    <w:p>
      <w:pPr>
        <w:pStyle w:val="Heading1"/>
      </w:pPr>
      <w:r>
        <w:t xml:space="preserve">13. ANÁLISIS DE LAS ALTERNATIVAS</w:t>
      </w:r>
    </w:p>
    <w:p>
      <w:pPr>
        <w:pStyle w:val="FirstParagraph"/>
      </w:pPr>
      <w:r>
        <w:t xml:space="preserve">El análisis compara cuatro alternativas con una evaluación multicriterio de 14 criterios en una escala de 1 a 9. La Tabla D.12 resume el resultado. El puntaje es una comparación ordinal y no una probabilidad de éxito. La evaluación económica de rentabilidad no es calculable porque los beneficios no se monetizaron (NO_CALCULABLE).</w:t>
      </w:r>
    </w:p>
    <w:p>
      <w:pPr>
        <w:pStyle w:val="TablaRotulo"/>
      </w:pPr>
      <w:bookmarkStart w:id="9030" w:name="rot_Tabla_D_12"/>
      <w:r>
        <w:rPr>
          <w:b/>
          <w:bCs/>
        </w:rPr>
        <w:t xml:space="preserve">Tabla D.12</w:t>
      </w:r>
      <w:bookmarkEnd w:id="9030"/>
    </w:p>
    <w:p>
      <w:pPr>
        <w:pStyle w:val="TablaTitulo"/>
      </w:pPr>
      <w:r>
        <w:rPr>
          <w:i/>
          <w:iCs/>
        </w:rPr>
        <w:t xml:space="preserve">Análisis de alternativas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06"/>
        <w:gridCol w:w="2838"/>
        <w:gridCol w:w="2376"/>
      </w:tblGrid>
      <w:tr>
        <w:trPr>
          <w:cantSplit/>
          <w:tblHeader/>
        </w:trPr>
        <w:tc>
          <w:tcPr>
            <w:shd w:val="clear" w:color="auto" w:fill="00B050"/>
          </w:tcPr>
          <w:p>
            <w:pPr>
              <w:pStyle w:val="Tabla9"/>
              <w:jc w:val="center"/>
            </w:pPr>
            <w:r>
              <w:rPr>
                <w:b/>
                <w:color w:val="FFFFFF"/>
              </w:rPr>
              <w:t xml:space="preserve">Nombre de la alternativa</w:t>
            </w:r>
          </w:p>
        </w:tc>
        <w:tc>
          <w:tcPr>
            <w:shd w:val="clear" w:color="auto" w:fill="00B050"/>
          </w:tcPr>
          <w:p>
            <w:pPr>
              <w:pStyle w:val="Tabla9"/>
              <w:jc w:val="center"/>
            </w:pPr>
            <w:r>
              <w:rPr>
                <w:b/>
                <w:color w:val="FFFFFF"/>
              </w:rPr>
              <w:t xml:space="preserve">Descripción de la evaluación</w:t>
            </w:r>
          </w:p>
        </w:tc>
        <w:tc>
          <w:tcPr>
            <w:shd w:val="clear" w:color="auto" w:fill="00B050"/>
          </w:tcPr>
          <w:p>
            <w:pPr>
              <w:pStyle w:val="Tabla9"/>
              <w:jc w:val="center"/>
            </w:pPr>
            <w:r>
              <w:rPr>
                <w:b/>
                <w:color w:val="FFFFFF"/>
              </w:rPr>
              <w:t xml:space="preserve">Justificación</w:t>
            </w:r>
          </w:p>
        </w:tc>
      </w:tr>
      <w:tr>
        <w:trPr>
          <w:cantSplit/>
        </w:trPr>
        <w:tc>
          <w:tcPr/>
          <w:p>
            <w:pPr>
              <w:pStyle w:val="Tabla9"/>
              <w:jc w:val="left"/>
            </w:pPr>
            <w:r>
              <w:t xml:space="preserve">ALT-00. Statu quo: sensores aislados sin calibración dinámica</w:t>
            </w:r>
          </w:p>
        </w:tc>
        <w:tc>
          <w:tcPr/>
          <w:p>
            <w:pPr>
              <w:pStyle w:val="Tabla9"/>
              <w:jc w:val="left"/>
            </w:pPr>
            <w:r>
              <w:t xml:space="preserve">Puntaje ponderado: 4,475. Rentabilidad: NO_CALCULABLE</w:t>
            </w:r>
          </w:p>
        </w:tc>
        <w:tc>
          <w:tcPr/>
          <w:p>
            <w:pPr>
              <w:pStyle w:val="Tabla9"/>
              <w:jc w:val="left"/>
            </w:pPr>
            <w:r>
              <w:t xml:space="preserve">No se aborda: mantiene el problema central y no genera evidencia de calidad del dato.</w:t>
            </w:r>
          </w:p>
        </w:tc>
      </w:tr>
      <w:tr>
        <w:trPr>
          <w:cantSplit/>
        </w:trPr>
        <w:tc>
          <w:tcPr/>
          <w:p>
            <w:pPr>
              <w:pStyle w:val="Tabla9"/>
              <w:jc w:val="left"/>
            </w:pPr>
            <w:r>
              <w:t xml:space="preserve">ALT-01. Estaciones fijas de referencia en los sitios de remoción</w:t>
            </w:r>
          </w:p>
        </w:tc>
        <w:tc>
          <w:tcPr/>
          <w:p>
            <w:pPr>
              <w:pStyle w:val="Tabla9"/>
              <w:jc w:val="left"/>
            </w:pPr>
            <w:r>
              <w:t xml:space="preserve">Puntaje ponderado: 4,335. Rentabilidad: NO_CALCULABLE</w:t>
            </w:r>
          </w:p>
        </w:tc>
        <w:tc>
          <w:tcPr/>
          <w:p>
            <w:pPr>
              <w:pStyle w:val="Tabla9"/>
              <w:jc w:val="left"/>
            </w:pPr>
            <w:r>
              <w:t xml:space="preserve">No se aborda: exige equipos de referencia en cada sitio, con mayor costo y menor cobertura.</w:t>
            </w:r>
          </w:p>
        </w:tc>
      </w:tr>
      <w:tr>
        <w:trPr>
          <w:cantSplit/>
        </w:trPr>
        <w:tc>
          <w:tcPr/>
          <w:p>
            <w:pPr>
              <w:pStyle w:val="Tabla9"/>
              <w:jc w:val="left"/>
            </w:pPr>
            <w:r>
              <w:t xml:space="preserve">ALT-02. Red de sensores con calibración centralizada en la nube</w:t>
            </w:r>
          </w:p>
        </w:tc>
        <w:tc>
          <w:tcPr/>
          <w:p>
            <w:pPr>
              <w:pStyle w:val="Tabla9"/>
              <w:jc w:val="left"/>
            </w:pPr>
            <w:r>
              <w:t xml:space="preserve">Puntaje ponderado: 5,150. Rentabilidad: NO_CALCULABLE</w:t>
            </w:r>
          </w:p>
        </w:tc>
        <w:tc>
          <w:tcPr/>
          <w:p>
            <w:pPr>
              <w:pStyle w:val="Tabla9"/>
              <w:jc w:val="left"/>
            </w:pPr>
            <w:r>
              <w:t xml:space="preserve">No se aborda: depende del enlace continuo, que la emergencia interrumpe, y no tiene custodia distribuida.</w:t>
            </w:r>
          </w:p>
        </w:tc>
      </w:tr>
      <w:tr>
        <w:trPr>
          <w:cantSplit/>
        </w:trPr>
        <w:tc>
          <w:tcPr/>
          <w:p>
            <w:pPr>
              <w:pStyle w:val="Tabla9"/>
              <w:jc w:val="left"/>
            </w:pPr>
            <w:r>
              <w:t xml:space="preserve">ALT-03. Red híbrida con corrección en gateway, despliegue por tramos y custodia distribuida (contrainductiva)</w:t>
            </w:r>
          </w:p>
        </w:tc>
        <w:tc>
          <w:tcPr/>
          <w:p>
            <w:pPr>
              <w:pStyle w:val="Tabla9"/>
              <w:jc w:val="left"/>
            </w:pPr>
            <w:r>
              <w:t xml:space="preserve">Puntaje ponderado: 5,805. Rentabilidad: NO_CALCULABLE</w:t>
            </w:r>
          </w:p>
        </w:tc>
        <w:tc>
          <w:tcPr/>
          <w:p>
            <w:pPr>
              <w:pStyle w:val="Tabla9"/>
              <w:jc w:val="left"/>
            </w:pPr>
            <w:r>
              <w:t xml:space="preserve">Seleccionada: corrige el sesgo en el origen, reduce la dependencia del enlace y condiciona el gasto a evidencia.</w:t>
            </w:r>
          </w:p>
        </w:tc>
      </w:tr>
    </w:tbl>
    <w:p>
      <w:pPr>
        <w:pStyle w:val="TablaNota"/>
      </w:pPr>
      <w:r>
        <w:rPr>
          <w:i/>
          <w:iCs/>
        </w:rPr>
        <w:t xml:space="preserve">Nota.</w:t>
      </w:r>
      <w:r>
        <w:t xml:space="preserve"> </w:t>
      </w:r>
      <w:r>
        <w:t xml:space="preserve">Elaboración propia con la evaluación multicriterio del Paso 6 del expediente. Puntajes PROPUESTOS y sujetos a ratificación del panel evaluador. La alternativa ganadora no cambia en cinco escenarios de sensibilidad de ±10 %.</w:t>
      </w:r>
    </w:p>
    <w:bookmarkStart w:id="67" w:name="X50d2af8ce102570bcd65e9ec7447b91a89d1b96"/>
    <w:p>
      <w:pPr>
        <w:pStyle w:val="Heading2"/>
      </w:pPr>
      <w:r>
        <w:t xml:space="preserve">13.1 Análisis técnico de la alternativa seleccionada</w:t>
      </w:r>
    </w:p>
    <w:p>
      <w:pPr>
        <w:pStyle w:val="FirstParagraph"/>
      </w:pPr>
      <w:r>
        <w:t xml:space="preserve">La alternativa ALT-03 combina cuatro decisiones. La corrección ocurre en el gateway y no en el nodo ni en la nube. Los nodos hoja transmiten por LoRa con bajo consumo. El gateway usa red celular, con enlace satelital alterno y almacenamiento local de siete días. El despliegue se hace por tres tramos con compuertas de decisión.</w:t>
      </w:r>
    </w:p>
    <w:p>
      <w:pPr>
        <w:pStyle w:val="BodyText"/>
      </w:pPr>
      <w:r>
        <w:t xml:space="preserve">Su ventaja frente a la calibración centralizada es la menor dependencia del enlace. Su ventaja frente a las estaciones fijas es el costo por sitio y la cobertura. Su desventaja es la madurez inicial, de TRL 4. El piloto del tramo 1 acota ese riesgo antes de ampliar. La disponibilidad de recursos no es el motivo del descarte de las otras alternativas.</w:t>
      </w:r>
    </w:p>
    <w:bookmarkEnd w:id="67"/>
    <w:bookmarkStart w:id="68" w:name="X1a52b11524ca980d54f4cb0f353ea6a83f4c125"/>
    <w:p>
      <w:pPr>
        <w:pStyle w:val="Heading2"/>
      </w:pPr>
      <w:r>
        <w:t xml:space="preserve">13.2 Estado de desarrollo y madurez tecnológica</w:t>
      </w:r>
    </w:p>
    <w:p>
      <w:pPr>
        <w:pStyle w:val="FirstParagraph"/>
      </w:pPr>
      <w:r>
        <w:t xml:space="preserve">El TRL de entrada es 4: componentes validados en laboratorio. El valor es declarado. Su evidencia técnica verificable está pendiente [DATO_USUARIO: pruebas de laboratorio, fichas técnicas y registros que soporten el TRL 4]. El Anexo 2 exige esa evidencia, y la sola declaración no basta.</w:t>
      </w:r>
    </w:p>
    <w:p>
      <w:pPr>
        <w:pStyle w:val="BodyText"/>
      </w:pPr>
      <w:r>
        <w:t xml:space="preserve">La ruta técnica avanza en cuatro escalones. El TRL 5 se alcanza al validar el modelo en entorno relevante durante el tramo 1 (hito H3, mes 12). El TRL 6 se alcanza al demostrar el prototipo en tres departamentos (hito H4, mes 16). El TRL 7 se alcanza al operar 100 nodos y 10 gateways en entorno operativo. El hito H6 ocurre en el mes 19 y la verificación final en el mes 23. La Tabla D.13 resume la ruta.</w:t>
      </w:r>
    </w:p>
    <w:p>
      <w:pPr>
        <w:pStyle w:val="TablaRotulo"/>
      </w:pPr>
      <w:bookmarkStart w:id="9031" w:name="rot_Tabla_D_13"/>
      <w:r>
        <w:rPr>
          <w:b/>
          <w:bCs/>
        </w:rPr>
        <w:t xml:space="preserve">Tabla D.13</w:t>
      </w:r>
      <w:bookmarkEnd w:id="9031"/>
    </w:p>
    <w:p>
      <w:pPr>
        <w:pStyle w:val="TablaTitulo"/>
      </w:pPr>
      <w:r>
        <w:rPr>
          <w:i/>
          <w:iCs/>
        </w:rPr>
        <w:t xml:space="preserve">Ruta de madurez tecnológica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2178"/>
        <w:gridCol w:w="1056"/>
        <w:gridCol w:w="3300"/>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Condición</w:t>
            </w:r>
          </w:p>
        </w:tc>
        <w:tc>
          <w:tcPr>
            <w:shd w:val="clear" w:color="auto" w:fill="00B050"/>
          </w:tcPr>
          <w:p>
            <w:pPr>
              <w:pStyle w:val="Tabla9"/>
              <w:jc w:val="center"/>
            </w:pPr>
            <w:r>
              <w:rPr>
                <w:b/>
                <w:color w:val="FFFFFF"/>
              </w:rPr>
              <w:t xml:space="preserve">Hito</w:t>
            </w:r>
          </w:p>
        </w:tc>
        <w:tc>
          <w:tcPr>
            <w:shd w:val="clear" w:color="auto" w:fill="00B050"/>
          </w:tcPr>
          <w:p>
            <w:pPr>
              <w:pStyle w:val="Tabla9"/>
              <w:jc w:val="center"/>
            </w:pPr>
            <w:r>
              <w:rPr>
                <w:b/>
                <w:color w:val="FFFFFF"/>
              </w:rPr>
              <w:t xml:space="preserve">Evidencia</w:t>
            </w:r>
          </w:p>
        </w:tc>
      </w:tr>
      <w:tr>
        <w:trPr>
          <w:cantSplit/>
        </w:trPr>
        <w:tc>
          <w:tcPr/>
          <w:p>
            <w:pPr>
              <w:pStyle w:val="Tabla9"/>
              <w:jc w:val="left"/>
            </w:pPr>
            <w:r>
              <w:t xml:space="preserve">TRL 4 (entrada)</w:t>
            </w:r>
          </w:p>
        </w:tc>
        <w:tc>
          <w:tcPr/>
          <w:p>
            <w:pPr>
              <w:pStyle w:val="Tabla9"/>
              <w:jc w:val="left"/>
            </w:pPr>
            <w:r>
              <w:t xml:space="preserve">Componentes validados en laboratorio</w:t>
            </w:r>
          </w:p>
        </w:tc>
        <w:tc>
          <w:tcPr/>
          <w:p>
            <w:pPr>
              <w:pStyle w:val="Tabla9"/>
              <w:jc w:val="left"/>
            </w:pPr>
            <w:r>
              <w:t xml:space="preserve">Mes 0</w:t>
            </w:r>
          </w:p>
        </w:tc>
        <w:tc>
          <w:tcPr/>
          <w:p>
            <w:pPr>
              <w:pStyle w:val="Tabla9"/>
              <w:jc w:val="left"/>
            </w:pPr>
            <w:r>
              <w:t xml:space="preserve">[DATO_USUARIO: pruebas de laboratorio y fichas técnicas]</w:t>
            </w:r>
          </w:p>
        </w:tc>
      </w:tr>
      <w:tr>
        <w:trPr>
          <w:cantSplit/>
        </w:trPr>
        <w:tc>
          <w:tcPr/>
          <w:p>
            <w:pPr>
              <w:pStyle w:val="Tabla9"/>
              <w:jc w:val="left"/>
            </w:pPr>
            <w:r>
              <w:t xml:space="preserve">TRL 5</w:t>
            </w:r>
          </w:p>
        </w:tc>
        <w:tc>
          <w:tcPr/>
          <w:p>
            <w:pPr>
              <w:pStyle w:val="Tabla9"/>
              <w:jc w:val="left"/>
            </w:pPr>
            <w:r>
              <w:t xml:space="preserve">Validación del modelo en entorno relevante</w:t>
            </w:r>
          </w:p>
        </w:tc>
        <w:tc>
          <w:tcPr/>
          <w:p>
            <w:pPr>
              <w:pStyle w:val="Tabla9"/>
              <w:jc w:val="left"/>
            </w:pPr>
            <w:r>
              <w:t xml:space="preserve">H3, mes 12</w:t>
            </w:r>
          </w:p>
        </w:tc>
        <w:tc>
          <w:tcPr/>
          <w:p>
            <w:pPr>
              <w:pStyle w:val="Tabla9"/>
              <w:jc w:val="left"/>
            </w:pPr>
            <w:r>
              <w:t xml:space="preserve">Acta de compuerta C1 con R² y NRMSE frente a la referencia</w:t>
            </w:r>
          </w:p>
        </w:tc>
      </w:tr>
      <w:tr>
        <w:trPr>
          <w:cantSplit/>
        </w:trPr>
        <w:tc>
          <w:tcPr/>
          <w:p>
            <w:pPr>
              <w:pStyle w:val="Tabla9"/>
              <w:jc w:val="left"/>
            </w:pPr>
            <w:r>
              <w:t xml:space="preserve">TRL 6</w:t>
            </w:r>
          </w:p>
        </w:tc>
        <w:tc>
          <w:tcPr/>
          <w:p>
            <w:pPr>
              <w:pStyle w:val="Tabla9"/>
              <w:jc w:val="left"/>
            </w:pPr>
            <w:r>
              <w:t xml:space="preserve">Prototipo demostrado en entorno relevante</w:t>
            </w:r>
          </w:p>
        </w:tc>
        <w:tc>
          <w:tcPr/>
          <w:p>
            <w:pPr>
              <w:pStyle w:val="Tabla9"/>
              <w:jc w:val="left"/>
            </w:pPr>
            <w:r>
              <w:t xml:space="preserve">H4, mes 16</w:t>
            </w:r>
          </w:p>
        </w:tc>
        <w:tc>
          <w:tcPr/>
          <w:p>
            <w:pPr>
              <w:pStyle w:val="Tabla9"/>
              <w:jc w:val="left"/>
            </w:pPr>
            <w:r>
              <w:t xml:space="preserve">Informe de disponibilidad y desempeño del tramo 2</w:t>
            </w:r>
          </w:p>
        </w:tc>
      </w:tr>
      <w:tr>
        <w:trPr>
          <w:cantSplit/>
        </w:trPr>
        <w:tc>
          <w:tcPr/>
          <w:p>
            <w:pPr>
              <w:pStyle w:val="Tabla9"/>
              <w:jc w:val="left"/>
            </w:pPr>
            <w:r>
              <w:t xml:space="preserve">TRL 7 (salida)</w:t>
            </w:r>
          </w:p>
        </w:tc>
        <w:tc>
          <w:tcPr/>
          <w:p>
            <w:pPr>
              <w:pStyle w:val="Tabla9"/>
              <w:jc w:val="left"/>
            </w:pPr>
            <w:r>
              <w:t xml:space="preserve">Sistema demostrado en entorno operativo</w:t>
            </w:r>
          </w:p>
        </w:tc>
        <w:tc>
          <w:tcPr/>
          <w:p>
            <w:pPr>
              <w:pStyle w:val="Tabla9"/>
              <w:jc w:val="left"/>
            </w:pPr>
            <w:r>
              <w:t xml:space="preserve">H6 y H7, meses 19 y 23</w:t>
            </w:r>
          </w:p>
        </w:tc>
        <w:tc>
          <w:tcPr/>
          <w:p>
            <w:pPr>
              <w:pStyle w:val="Tabla9"/>
              <w:jc w:val="left"/>
            </w:pPr>
            <w:r>
              <w:t xml:space="preserve">Inventario de 100 nodos y 10 gateways; ensayo independiente</w:t>
            </w:r>
          </w:p>
        </w:tc>
      </w:tr>
    </w:tbl>
    <w:p>
      <w:pPr>
        <w:pStyle w:val="TablaNota"/>
      </w:pPr>
      <w:r>
        <w:rPr>
          <w:i/>
          <w:iCs/>
        </w:rPr>
        <w:t xml:space="preserve">Nota.</w:t>
      </w:r>
      <w:r>
        <w:t xml:space="preserve"> </w:t>
      </w:r>
      <w:r>
        <w:t xml:space="preserve">Elaboración propia con la escala de Mankins (1995) y los hitos de la ficha maestra. TRL final 7 es PROPUESTO.</w:t>
      </w:r>
    </w:p>
    <w:p>
      <w:pPr>
        <w:pStyle w:val="BodyText"/>
      </w:pPr>
      <w:r>
        <w:t xml:space="preserve">El Anexo 2 prioriza soluciones que alcancen TRL 9. El proyecto compromete TRL 7, porque TRL 8 exige una calificación independiente que el plazo no cubre. La decisión de elevar el compromiso a TRL 9 está pendiente. Implicaría un tramo adicional o una ampliación de plazo (decisión pendiente de la alianza). Hasta entonces, la brecha se declara.</w:t>
      </w:r>
    </w:p>
    <w:bookmarkEnd w:id="68"/>
    <w:bookmarkEnd w:id="69"/>
    <w:bookmarkStart w:id="73" w:name="Xf39ac899f991f00da5bcef87a9dca810689bdb6"/>
    <w:p>
      <w:pPr>
        <w:pStyle w:val="Heading1"/>
      </w:pPr>
      <w:r>
        <w:t xml:space="preserve">14. METODOLOGÍA PARA DESARROLLAR LA ALTERNATIVA SELECCIONADA</w:t>
      </w:r>
    </w:p>
    <w:p>
      <w:pPr>
        <w:pStyle w:val="FirstParagraph"/>
      </w:pPr>
      <w:r>
        <w:t xml:space="preserve">La metodología describe, para cada objetivo específico, las actividades con su responsable, sus tareas, su resultado y su medio de verificación. Las 20 actividades coinciden con las de la cadena de valor y del cronograma. Cada objetivo incluye la actividad de administración y apoyo a la supervisión. Las actividades de gestión del paquete WP0 se asignan al objetivo con el que comparten su producto. La metodología sigue el ciclo construir, medir y aprender, que el expediente desarrolla en el capítulo 6.</w:t>
      </w:r>
    </w:p>
    <w:bookmarkStart w:id="70" w:name="_Toc00900032"/>
    <w:p>
      <w:pPr>
        <w:pStyle w:val="Heading2"/>
      </w:pPr>
      <w:r>
        <w:t xml:space="preserve">14.1 Metodología para el logro del OE1</w:t>
      </w:r>
    </w:p>
    <w:p>
      <w:pPr>
        <w:pStyle w:val="FirstParagraph"/>
      </w:pPr>
      <w:r>
        <w:t xml:space="preserve">El OE1 se orienta a corregir la interferencia de la humedad y de la fracción gruesa en las mediciones de PM2,5 y PM10. Su meta es: R² ≥ 0,70 y NRMSE ≤ 30 % frente a referencia en los tres tramos.</w:t>
      </w:r>
    </w:p>
    <w:p>
      <w:pPr>
        <w:pStyle w:val="BodyText"/>
      </w:pPr>
      <w:r>
        <w:t xml:space="preserve">La Tabla D.14 detalla las actividades del objetivo 1.</w:t>
      </w:r>
    </w:p>
    <w:p>
      <w:pPr>
        <w:pStyle w:val="TablaRotulo"/>
      </w:pPr>
      <w:bookmarkStart w:id="9032" w:name="rot_Tabla_D_14"/>
      <w:r>
        <w:rPr>
          <w:b/>
          <w:bCs/>
        </w:rPr>
        <w:t xml:space="preserve">Tabla D.14</w:t>
      </w:r>
      <w:bookmarkEnd w:id="9032"/>
    </w:p>
    <w:p>
      <w:pPr>
        <w:pStyle w:val="TablaTitulo"/>
      </w:pPr>
      <w:r>
        <w:rPr>
          <w:i/>
          <w:iCs/>
        </w:rPr>
        <w:t xml:space="preserve">Actividades del OE1: responsable, tareas, resultado y medio de verificación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636"/>
        <w:gridCol w:w="1440"/>
        <w:gridCol w:w="1570"/>
        <w:gridCol w:w="1570"/>
        <w:gridCol w:w="1701"/>
      </w:tblGrid>
      <w:tr>
        <w:trPr>
          <w:cantSplit/>
          <w:tblHeader/>
        </w:trPr>
        <w:tc>
          <w:tcPr>
            <w:shd w:val="clear" w:color="auto" w:fill="00B050"/>
          </w:tcPr>
          <w:p>
            <w:pPr>
              <w:pStyle w:val="Tabla9"/>
              <w:jc w:val="center"/>
            </w:pPr>
            <w:r>
              <w:rPr>
                <w:b/>
                <w:color w:val="FFFFFF"/>
              </w:rPr>
              <w:t xml:space="preserve">Actividad</w:t>
            </w:r>
          </w:p>
        </w:tc>
        <w:tc>
          <w:tcPr>
            <w:shd w:val="clear" w:color="auto" w:fill="00B050"/>
          </w:tcPr>
          <w:p>
            <w:pPr>
              <w:pStyle w:val="Tabla9"/>
              <w:jc w:val="center"/>
            </w:pPr>
            <w:r>
              <w:rPr>
                <w:b/>
                <w:color w:val="FFFFFF"/>
              </w:rPr>
              <w:t xml:space="preserve">Responsable</w:t>
            </w:r>
          </w:p>
        </w:tc>
        <w:tc>
          <w:tcPr>
            <w:shd w:val="clear" w:color="auto" w:fill="00B050"/>
          </w:tcPr>
          <w:p>
            <w:pPr>
              <w:pStyle w:val="Tabla9"/>
              <w:jc w:val="center"/>
            </w:pPr>
            <w:r>
              <w:rPr>
                <w:b/>
                <w:color w:val="FFFFFF"/>
              </w:rPr>
              <w:t xml:space="preserve">Tareas</w:t>
            </w:r>
          </w:p>
        </w:tc>
        <w:tc>
          <w:tcPr>
            <w:shd w:val="clear" w:color="auto" w:fill="00B050"/>
          </w:tcPr>
          <w:p>
            <w:pPr>
              <w:pStyle w:val="Tabla9"/>
              <w:jc w:val="center"/>
            </w:pPr>
            <w:r>
              <w:rPr>
                <w:b/>
                <w:color w:val="FFFFFF"/>
              </w:rPr>
              <w:t xml:space="preserve">Resultado</w:t>
            </w:r>
          </w:p>
        </w:tc>
        <w:tc>
          <w:tcPr>
            <w:shd w:val="clear" w:color="auto" w:fill="00B050"/>
          </w:tcPr>
          <w:p>
            <w:pPr>
              <w:pStyle w:val="Tabla9"/>
              <w:jc w:val="center"/>
            </w:pPr>
            <w:r>
              <w:rPr>
                <w:b/>
                <w:color w:val="FFFFFF"/>
              </w:rPr>
              <w:t xml:space="preserve">Medio de verificación</w:t>
            </w:r>
          </w:p>
        </w:tc>
      </w:tr>
      <w:tr>
        <w:trPr>
          <w:cantSplit/>
        </w:trPr>
        <w:tc>
          <w:tcPr/>
          <w:p>
            <w:pPr>
              <w:pStyle w:val="Tabla9"/>
              <w:jc w:val="left"/>
            </w:pPr>
            <w:r>
              <w:t xml:space="preserve">A0.1 Contratar equipo y firmar convenios de ejecución</w:t>
            </w:r>
          </w:p>
        </w:tc>
        <w:tc>
          <w:tcPr/>
          <w:p>
            <w:pPr>
              <w:pStyle w:val="Tabla9"/>
              <w:jc w:val="left"/>
            </w:pPr>
            <w:r>
              <w:t xml:space="preserve">Universidad, con la empresa y el actor reconocido</w:t>
            </w:r>
          </w:p>
        </w:tc>
        <w:tc>
          <w:tcPr/>
          <w:p>
            <w:pPr>
              <w:pStyle w:val="Tabla9"/>
              <w:jc w:val="left"/>
            </w:pPr>
            <w:r>
              <w:t xml:space="preserve">Contratar el equipo del proyecto; firmar los convenios de ejecución de la alianza; constituir pólizas y garantías; aprobar el plan de trabajo</w:t>
            </w:r>
          </w:p>
        </w:tc>
        <w:tc>
          <w:tcPr/>
          <w:p>
            <w:pPr>
              <w:pStyle w:val="Tabla9"/>
              <w:jc w:val="left"/>
            </w:pPr>
            <w:r>
              <w:t xml:space="preserve">Equipo contratado y convenios firmados</w:t>
            </w:r>
          </w:p>
        </w:tc>
        <w:tc>
          <w:tcPr/>
          <w:p>
            <w:pPr>
              <w:pStyle w:val="Tabla9"/>
              <w:jc w:val="left"/>
            </w:pPr>
            <w:r>
              <w:t xml:space="preserve">Contratos, convenios, pólizas y plan de trabajo aprobado (hito H0, mes 2)</w:t>
            </w:r>
          </w:p>
        </w:tc>
      </w:tr>
      <w:tr>
        <w:trPr>
          <w:cantSplit/>
        </w:trPr>
        <w:tc>
          <w:tcPr/>
          <w:p>
            <w:pPr>
              <w:pStyle w:val="Tabla9"/>
              <w:jc w:val="left"/>
            </w:pPr>
            <w:r>
              <w:t xml:space="preserve">A1.1 Seleccionar sitios y diseñar la colocalización</w:t>
            </w:r>
          </w:p>
        </w:tc>
        <w:tc>
          <w:tcPr/>
          <w:p>
            <w:pPr>
              <w:pStyle w:val="Tabla9"/>
              <w:jc w:val="left"/>
            </w:pPr>
            <w:r>
              <w:t xml:space="preserve">Actor reconocido, con los municipios</w:t>
            </w:r>
          </w:p>
        </w:tc>
        <w:tc>
          <w:tcPr/>
          <w:p>
            <w:pPr>
              <w:pStyle w:val="Tabla9"/>
              <w:jc w:val="left"/>
            </w:pPr>
            <w:r>
              <w:t xml:space="preserve">Seleccionar sitios por acceso, energía, cobertura y exposición; diseñar la colocalización y las rotaciones; definir el protocolo de muestreo</w:t>
            </w:r>
          </w:p>
        </w:tc>
        <w:tc>
          <w:tcPr/>
          <w:p>
            <w:pPr>
              <w:pStyle w:val="Tabla9"/>
              <w:jc w:val="left"/>
            </w:pPr>
            <w:r>
              <w:t xml:space="preserve">Plan de colocalización y lista de sitios del tramo 1</w:t>
            </w:r>
          </w:p>
        </w:tc>
        <w:tc>
          <w:tcPr/>
          <w:p>
            <w:pPr>
              <w:pStyle w:val="Tabla9"/>
              <w:jc w:val="left"/>
            </w:pPr>
            <w:r>
              <w:t xml:space="preserve">Informe de sitios, de cobertura y de energía (hito H1, mes 4)</w:t>
            </w:r>
          </w:p>
        </w:tc>
      </w:tr>
      <w:tr>
        <w:trPr>
          <w:cantSplit/>
        </w:trPr>
        <w:tc>
          <w:tcPr/>
          <w:p>
            <w:pPr>
              <w:pStyle w:val="Tabla9"/>
              <w:jc w:val="left"/>
            </w:pPr>
            <w:r>
              <w:t xml:space="preserve">A1.2 Adquirir y caracterizar lote 1 de nodos y referencias</w:t>
            </w:r>
          </w:p>
        </w:tc>
        <w:tc>
          <w:tcPr/>
          <w:p>
            <w:pPr>
              <w:pStyle w:val="Tabla9"/>
              <w:jc w:val="left"/>
            </w:pPr>
            <w:r>
              <w:t xml:space="preserve">Universidad, con el actor reconocido y la empresa</w:t>
            </w:r>
          </w:p>
        </w:tc>
        <w:tc>
          <w:tcPr/>
          <w:p>
            <w:pPr>
              <w:pStyle w:val="Tabla9"/>
              <w:jc w:val="left"/>
            </w:pPr>
            <w:r>
              <w:t xml:space="preserve">Adquirir el lote 1 de nodos y gateways, los 3 monitores de referencia y el banco de calibración; caracterizar los equipos en laboratorio</w:t>
            </w:r>
          </w:p>
        </w:tc>
        <w:tc>
          <w:tcPr/>
          <w:p>
            <w:pPr>
              <w:pStyle w:val="Tabla9"/>
              <w:jc w:val="left"/>
            </w:pPr>
            <w:r>
              <w:t xml:space="preserve">Lote 1 caracterizado y referencias operativas</w:t>
            </w:r>
          </w:p>
        </w:tc>
        <w:tc>
          <w:tcPr/>
          <w:p>
            <w:pPr>
              <w:pStyle w:val="Tabla9"/>
              <w:jc w:val="left"/>
            </w:pPr>
            <w:r>
              <w:t xml:space="preserve">Informe de caracterización con huella de configuración</w:t>
            </w:r>
          </w:p>
        </w:tc>
      </w:tr>
      <w:tr>
        <w:trPr>
          <w:cantSplit/>
        </w:trPr>
        <w:tc>
          <w:tcPr/>
          <w:p>
            <w:pPr>
              <w:pStyle w:val="Tabla9"/>
              <w:jc w:val="left"/>
            </w:pPr>
            <w:r>
              <w:t xml:space="preserve">A1.3 Colocalizar y calibrar en el piloto (tramo 1)</w:t>
            </w:r>
          </w:p>
        </w:tc>
        <w:tc>
          <w:tcPr/>
          <w:p>
            <w:pPr>
              <w:pStyle w:val="Tabla9"/>
              <w:jc w:val="left"/>
            </w:pPr>
            <w:r>
              <w:t xml:space="preserve">Universidad, con el actor reconocido y la empresa</w:t>
            </w:r>
          </w:p>
        </w:tc>
        <w:tc>
          <w:tcPr/>
          <w:p>
            <w:pPr>
              <w:pStyle w:val="Tabla9"/>
              <w:jc w:val="left"/>
            </w:pPr>
            <w:r>
              <w:t xml:space="preserve">Colocalizar 30 nodos con la referencia; acumular al menos 60.000 horas-nodo; analizar 240 muestras gravimétricas; medir la línea base de error</w:t>
            </w:r>
          </w:p>
        </w:tc>
        <w:tc>
          <w:tcPr/>
          <w:p>
            <w:pPr>
              <w:pStyle w:val="Tabla9"/>
              <w:jc w:val="left"/>
            </w:pPr>
            <w:r>
              <w:t xml:space="preserve">Base de datos de colocalización y línea base de error</w:t>
            </w:r>
          </w:p>
        </w:tc>
        <w:tc>
          <w:tcPr/>
          <w:p>
            <w:pPr>
              <w:pStyle w:val="Tabla9"/>
              <w:jc w:val="left"/>
            </w:pPr>
            <w:r>
              <w:t xml:space="preserve">Base de datos y tablero de calidad de datos (hito H2, mes 10)</w:t>
            </w:r>
          </w:p>
        </w:tc>
      </w:tr>
      <w:tr>
        <w:trPr>
          <w:cantSplit/>
        </w:trPr>
        <w:tc>
          <w:tcPr/>
          <w:p>
            <w:pPr>
              <w:pStyle w:val="Tabla9"/>
              <w:jc w:val="left"/>
            </w:pPr>
            <w:r>
              <w:t xml:space="preserve">A1.4 Entrenar y validar el modelo de corrección</w:t>
            </w:r>
          </w:p>
        </w:tc>
        <w:tc>
          <w:tcPr/>
          <w:p>
            <w:pPr>
              <w:pStyle w:val="Tabla9"/>
              <w:jc w:val="left"/>
            </w:pPr>
            <w:r>
              <w:t xml:space="preserve">Universidad, con el actor reconocido</w:t>
            </w:r>
          </w:p>
        </w:tc>
        <w:tc>
          <w:tcPr/>
          <w:p>
            <w:pPr>
              <w:pStyle w:val="Tabla9"/>
              <w:jc w:val="left"/>
            </w:pPr>
            <w:r>
              <w:t xml:space="preserve">Entrenar el modelo de corrección; validar R², NRMSE, pendiente y sesgo; documentar el modelo</w:t>
            </w:r>
          </w:p>
        </w:tc>
        <w:tc>
          <w:tcPr/>
          <w:p>
            <w:pPr>
              <w:pStyle w:val="Tabla9"/>
              <w:jc w:val="left"/>
            </w:pPr>
            <w:r>
              <w:t xml:space="preserve">Modelo de corrección validado en el piloto</w:t>
            </w:r>
          </w:p>
        </w:tc>
        <w:tc>
          <w:tcPr/>
          <w:p>
            <w:pPr>
              <w:pStyle w:val="Tabla9"/>
              <w:jc w:val="left"/>
            </w:pPr>
            <w:r>
              <w:t xml:space="preserve">Informe de validación firmado por la metrología</w:t>
            </w:r>
          </w:p>
        </w:tc>
      </w:tr>
      <w:tr>
        <w:trPr>
          <w:cantSplit/>
        </w:trPr>
        <w:tc>
          <w:tcPr/>
          <w:p>
            <w:pPr>
              <w:pStyle w:val="Tabla9"/>
              <w:jc w:val="left"/>
            </w:pPr>
            <w:r>
              <w:t xml:space="preserve">C1 Compuerta C1: decisión de ampliación al tramo 2</w:t>
            </w:r>
          </w:p>
        </w:tc>
        <w:tc>
          <w:tcPr/>
          <w:p>
            <w:pPr>
              <w:pStyle w:val="Tabla9"/>
              <w:jc w:val="left"/>
            </w:pPr>
            <w:r>
              <w:t xml:space="preserve">Comité directivo; la Universidad convoca</w:t>
            </w:r>
          </w:p>
        </w:tc>
        <w:tc>
          <w:tcPr/>
          <w:p>
            <w:pPr>
              <w:pStyle w:val="Tabla9"/>
              <w:jc w:val="left"/>
            </w:pPr>
            <w:r>
              <w:t xml:space="preserve">Evaluar los umbrales y el uso del tablero por al menos 50 % de los comités del tramo 1; decidir la ampliación y liberar la compra</w:t>
            </w:r>
          </w:p>
        </w:tc>
        <w:tc>
          <w:tcPr/>
          <w:p>
            <w:pPr>
              <w:pStyle w:val="Tabla9"/>
              <w:jc w:val="left"/>
            </w:pPr>
            <w:r>
              <w:t xml:space="preserve">Decisión de ampliar al tramo 2</w:t>
            </w:r>
          </w:p>
        </w:tc>
        <w:tc>
          <w:tcPr/>
          <w:p>
            <w:pPr>
              <w:pStyle w:val="Tabla9"/>
              <w:jc w:val="left"/>
            </w:pPr>
            <w:r>
              <w:t xml:space="preserve">Acta de compuerta con NRMSE y R² (hito H3, mes 12)</w:t>
            </w:r>
          </w:p>
        </w:tc>
      </w:tr>
      <w:tr>
        <w:trPr>
          <w:cantSplit/>
        </w:trPr>
        <w:tc>
          <w:tcPr/>
          <w:p>
            <w:pPr>
              <w:pStyle w:val="Tabla9"/>
              <w:jc w:val="left"/>
            </w:pPr>
            <w:r>
              <w:t xml:space="preserve">A1.5 Reentrenar y verificar por departamento (tramo 2)</w:t>
            </w:r>
          </w:p>
        </w:tc>
        <w:tc>
          <w:tcPr/>
          <w:p>
            <w:pPr>
              <w:pStyle w:val="Tabla9"/>
              <w:jc w:val="left"/>
            </w:pPr>
            <w:r>
              <w:t xml:space="preserve">Universidad, con el actor reconocido</w:t>
            </w:r>
          </w:p>
        </w:tc>
        <w:tc>
          <w:tcPr/>
          <w:p>
            <w:pPr>
              <w:pStyle w:val="Tabla9"/>
              <w:jc w:val="left"/>
            </w:pPr>
            <w:r>
              <w:t xml:space="preserve">Reentrenar y verificar el modelo por departamento con los nodos del tramo 2</w:t>
            </w:r>
          </w:p>
        </w:tc>
        <w:tc>
          <w:tcPr/>
          <w:p>
            <w:pPr>
              <w:pStyle w:val="Tabla9"/>
              <w:jc w:val="left"/>
            </w:pPr>
            <w:r>
              <w:t xml:space="preserve">Modelo verificado por departamento</w:t>
            </w:r>
          </w:p>
        </w:tc>
        <w:tc>
          <w:tcPr/>
          <w:p>
            <w:pPr>
              <w:pStyle w:val="Tabla9"/>
              <w:jc w:val="left"/>
            </w:pPr>
            <w:r>
              <w:t xml:space="preserve">Informe de verificación por departamento</w:t>
            </w:r>
          </w:p>
        </w:tc>
      </w:tr>
      <w:tr>
        <w:trPr>
          <w:cantSplit/>
        </w:trPr>
        <w:tc>
          <w:tcPr/>
          <w:p>
            <w:pPr>
              <w:pStyle w:val="Tabla9"/>
              <w:jc w:val="left"/>
            </w:pPr>
            <w:r>
              <w:t xml:space="preserve">A1.6 Verificar desempeño final y ensayo independiente</w:t>
            </w:r>
          </w:p>
        </w:tc>
        <w:tc>
          <w:tcPr/>
          <w:p>
            <w:pPr>
              <w:pStyle w:val="Tabla9"/>
              <w:jc w:val="left"/>
            </w:pPr>
            <w:r>
              <w:t xml:space="preserve">Universidad, con el actor reconocido</w:t>
            </w:r>
          </w:p>
        </w:tc>
        <w:tc>
          <w:tcPr/>
          <w:p>
            <w:pPr>
              <w:pStyle w:val="Tabla9"/>
              <w:jc w:val="left"/>
            </w:pPr>
            <w:r>
              <w:t xml:space="preserve">Verificar el desempeño final; contratar el ensayo con un laboratorio externo; someter los artículos</w:t>
            </w:r>
          </w:p>
        </w:tc>
        <w:tc>
          <w:tcPr/>
          <w:p>
            <w:pPr>
              <w:pStyle w:val="Tabla9"/>
              <w:jc w:val="left"/>
            </w:pPr>
            <w:r>
              <w:t xml:space="preserve">Desempeño final verificado de forma independiente</w:t>
            </w:r>
          </w:p>
        </w:tc>
        <w:tc>
          <w:tcPr/>
          <w:p>
            <w:pPr>
              <w:pStyle w:val="Tabla9"/>
              <w:jc w:val="left"/>
            </w:pPr>
            <w:r>
              <w:t xml:space="preserve">Informe del laboratorio externo y cartas de sometimiento (hito H7, mes 23)</w:t>
            </w:r>
          </w:p>
        </w:tc>
      </w:tr>
      <w:tr>
        <w:trPr>
          <w:cantSplit/>
        </w:trPr>
        <w:tc>
          <w:tcPr/>
          <w:p>
            <w:pPr>
              <w:pStyle w:val="Tabla9"/>
              <w:jc w:val="left"/>
            </w:pPr>
            <w:r>
              <w:t xml:space="preserve">ADM1 Administración y apoyo a la supervisión (OE1)</w:t>
            </w:r>
          </w:p>
        </w:tc>
        <w:tc>
          <w:tcPr/>
          <w:p>
            <w:pPr>
              <w:pStyle w:val="Tabla9"/>
              <w:jc w:val="left"/>
            </w:pPr>
            <w:r>
              <w:t xml:space="preserve">Universidad</w:t>
            </w:r>
          </w:p>
        </w:tc>
        <w:tc>
          <w:tcPr/>
          <w:p>
            <w:pPr>
              <w:pStyle w:val="Tabla9"/>
              <w:jc w:val="left"/>
            </w:pPr>
            <w:r>
              <w:t xml:space="preserve">Gestionar el objetivo 1: seguimiento técnico y financiero, revisoría y apoyo a la supervisión</w:t>
            </w:r>
          </w:p>
        </w:tc>
        <w:tc>
          <w:tcPr/>
          <w:p>
            <w:pPr>
              <w:pStyle w:val="Tabla9"/>
              <w:jc w:val="left"/>
            </w:pPr>
            <w:r>
              <w:t xml:space="preserve">Informes trimestrales del objetivo 1</w:t>
            </w:r>
          </w:p>
        </w:tc>
        <w:tc>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 la sección S.6. Los responsables son PROPUESTOS.</w:t>
      </w:r>
    </w:p>
    <w:bookmarkEnd w:id="70"/>
    <w:bookmarkStart w:id="71" w:name="_Toc00900033"/>
    <w:p>
      <w:pPr>
        <w:pStyle w:val="Heading2"/>
      </w:pPr>
      <w:r>
        <w:t xml:space="preserve">14.2 Metodología para el logro del OE2</w:t>
      </w:r>
    </w:p>
    <w:p>
      <w:pPr>
        <w:pStyle w:val="FirstParagraph"/>
      </w:pPr>
      <w:r>
        <w:t xml:space="preserve">El OE2 se orienta a mantener la disponibilidad de la red ante polvo, humedad y fallas de energía y de enlace. Su meta es: Disponibilidad mensual de nodos ≥ 90 % y pérdida de paquetes ≤ 10 %.</w:t>
      </w:r>
    </w:p>
    <w:p>
      <w:pPr>
        <w:pStyle w:val="BodyText"/>
      </w:pPr>
      <w:r>
        <w:t xml:space="preserve">La Tabla D.15 detalla las actividades del objetivo 2.</w:t>
      </w:r>
    </w:p>
    <w:p>
      <w:pPr>
        <w:pStyle w:val="TablaRotulo"/>
      </w:pPr>
      <w:bookmarkStart w:id="9033" w:name="rot_Tabla_D_15"/>
      <w:r>
        <w:rPr>
          <w:b/>
          <w:bCs/>
        </w:rPr>
        <w:t xml:space="preserve">Tabla D.15</w:t>
      </w:r>
      <w:bookmarkEnd w:id="9033"/>
    </w:p>
    <w:p>
      <w:pPr>
        <w:pStyle w:val="TablaTitulo"/>
      </w:pPr>
      <w:r>
        <w:rPr>
          <w:i/>
          <w:iCs/>
        </w:rPr>
        <w:t xml:space="preserve">Actividades del OE2: responsable, tareas, resultado y medio de verificación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30"/>
        <w:gridCol w:w="1397"/>
        <w:gridCol w:w="1663"/>
        <w:gridCol w:w="1464"/>
        <w:gridCol w:w="1663"/>
      </w:tblGrid>
      <w:tr>
        <w:trPr>
          <w:cantSplit/>
          <w:tblHeader/>
        </w:trPr>
        <w:tc>
          <w:tcPr>
            <w:shd w:val="clear" w:color="auto" w:fill="00B050"/>
          </w:tcPr>
          <w:p>
            <w:pPr>
              <w:pStyle w:val="Tabla9"/>
              <w:jc w:val="center"/>
            </w:pPr>
            <w:r>
              <w:rPr>
                <w:b/>
                <w:color w:val="FFFFFF"/>
              </w:rPr>
              <w:t xml:space="preserve">Actividad</w:t>
            </w:r>
          </w:p>
        </w:tc>
        <w:tc>
          <w:tcPr>
            <w:shd w:val="clear" w:color="auto" w:fill="00B050"/>
          </w:tcPr>
          <w:p>
            <w:pPr>
              <w:pStyle w:val="Tabla9"/>
              <w:jc w:val="center"/>
            </w:pPr>
            <w:r>
              <w:rPr>
                <w:b/>
                <w:color w:val="FFFFFF"/>
              </w:rPr>
              <w:t xml:space="preserve">Responsable</w:t>
            </w:r>
          </w:p>
        </w:tc>
        <w:tc>
          <w:tcPr>
            <w:shd w:val="clear" w:color="auto" w:fill="00B050"/>
          </w:tcPr>
          <w:p>
            <w:pPr>
              <w:pStyle w:val="Tabla9"/>
              <w:jc w:val="center"/>
            </w:pPr>
            <w:r>
              <w:rPr>
                <w:b/>
                <w:color w:val="FFFFFF"/>
              </w:rPr>
              <w:t xml:space="preserve">Tareas</w:t>
            </w:r>
          </w:p>
        </w:tc>
        <w:tc>
          <w:tcPr>
            <w:shd w:val="clear" w:color="auto" w:fill="00B050"/>
          </w:tcPr>
          <w:p>
            <w:pPr>
              <w:pStyle w:val="Tabla9"/>
              <w:jc w:val="center"/>
            </w:pPr>
            <w:r>
              <w:rPr>
                <w:b/>
                <w:color w:val="FFFFFF"/>
              </w:rPr>
              <w:t xml:space="preserve">Resultado</w:t>
            </w:r>
          </w:p>
        </w:tc>
        <w:tc>
          <w:tcPr>
            <w:shd w:val="clear" w:color="auto" w:fill="00B050"/>
          </w:tcPr>
          <w:p>
            <w:pPr>
              <w:pStyle w:val="Tabla9"/>
              <w:jc w:val="center"/>
            </w:pPr>
            <w:r>
              <w:rPr>
                <w:b/>
                <w:color w:val="FFFFFF"/>
              </w:rPr>
              <w:t xml:space="preserve">Medio de verificación</w:t>
            </w:r>
          </w:p>
        </w:tc>
      </w:tr>
      <w:tr>
        <w:trPr>
          <w:cantSplit/>
        </w:trPr>
        <w:tc>
          <w:tcPr/>
          <w:p>
            <w:pPr>
              <w:pStyle w:val="Tabla9"/>
              <w:jc w:val="left"/>
            </w:pPr>
            <w:r>
              <w:t xml:space="preserve">A2.1 Diseñar arquitectura de enlace y energía</w:t>
            </w:r>
          </w:p>
        </w:tc>
        <w:tc>
          <w:tcPr/>
          <w:p>
            <w:pPr>
              <w:pStyle w:val="Tabla9"/>
              <w:jc w:val="left"/>
            </w:pPr>
            <w:r>
              <w:t xml:space="preserve">Empresa</w:t>
            </w:r>
          </w:p>
        </w:tc>
        <w:tc>
          <w:tcPr/>
          <w:p>
            <w:pPr>
              <w:pStyle w:val="Tabla9"/>
              <w:jc w:val="left"/>
            </w:pPr>
            <w:r>
              <w:t xml:space="preserve">Diseñar la arquitectura de enlace y de energía; ejecutar el estudio de cobertura en tres departamentos</w:t>
            </w:r>
          </w:p>
        </w:tc>
        <w:tc>
          <w:tcPr/>
          <w:p>
            <w:pPr>
              <w:pStyle w:val="Tabla9"/>
              <w:jc w:val="left"/>
            </w:pPr>
            <w:r>
              <w:t xml:space="preserve">Diseño de enlace y energía aprobado</w:t>
            </w:r>
          </w:p>
        </w:tc>
        <w:tc>
          <w:tcPr/>
          <w:p>
            <w:pPr>
              <w:pStyle w:val="Tabla9"/>
              <w:jc w:val="left"/>
            </w:pPr>
            <w:r>
              <w:t xml:space="preserve">Informe de cobertura y diseño (hito H1, mes 4)</w:t>
            </w:r>
          </w:p>
        </w:tc>
      </w:tr>
      <w:tr>
        <w:trPr>
          <w:cantSplit/>
        </w:trPr>
        <w:tc>
          <w:tcPr/>
          <w:p>
            <w:pPr>
              <w:pStyle w:val="Tabla9"/>
              <w:jc w:val="left"/>
            </w:pPr>
            <w:r>
              <w:t xml:space="preserve">A2.2 Desarrollar firmware y plataforma base</w:t>
            </w:r>
          </w:p>
        </w:tc>
        <w:tc>
          <w:tcPr/>
          <w:p>
            <w:pPr>
              <w:pStyle w:val="Tabla9"/>
              <w:jc w:val="left"/>
            </w:pPr>
            <w:r>
              <w:t xml:space="preserve">Empresa</w:t>
            </w:r>
          </w:p>
        </w:tc>
        <w:tc>
          <w:tcPr/>
          <w:p>
            <w:pPr>
              <w:pStyle w:val="Tabla9"/>
              <w:jc w:val="left"/>
            </w:pPr>
            <w:r>
              <w:t xml:space="preserve">Desarrollar el firmware, la plataforma base, el modelo en el gateway y la versión inicial del gemelo digital</w:t>
            </w:r>
          </w:p>
        </w:tc>
        <w:tc>
          <w:tcPr/>
          <w:p>
            <w:pPr>
              <w:pStyle w:val="Tabla9"/>
              <w:jc w:val="left"/>
            </w:pPr>
            <w:r>
              <w:t xml:space="preserve">Firmware y plataforma operativos</w:t>
            </w:r>
          </w:p>
        </w:tc>
        <w:tc>
          <w:tcPr/>
          <w:p>
            <w:pPr>
              <w:pStyle w:val="Tabla9"/>
              <w:jc w:val="left"/>
            </w:pPr>
            <w:r>
              <w:t xml:space="preserve">Repositorio versionado y pruebas de aceptación</w:t>
            </w:r>
          </w:p>
        </w:tc>
      </w:tr>
      <w:tr>
        <w:trPr>
          <w:cantSplit/>
        </w:trPr>
        <w:tc>
          <w:tcPr/>
          <w:p>
            <w:pPr>
              <w:pStyle w:val="Tabla9"/>
              <w:jc w:val="left"/>
            </w:pPr>
            <w:r>
              <w:t xml:space="preserve">A2.3 Instalar tramo 2 (40 nodos, 4 gateways)</w:t>
            </w:r>
          </w:p>
        </w:tc>
        <w:tc>
          <w:tcPr/>
          <w:p>
            <w:pPr>
              <w:pStyle w:val="Tabla9"/>
              <w:jc w:val="left"/>
            </w:pPr>
            <w:r>
              <w:t xml:space="preserve">Empresa, con los municipios</w:t>
            </w:r>
          </w:p>
        </w:tc>
        <w:tc>
          <w:tcPr/>
          <w:p>
            <w:pPr>
              <w:pStyle w:val="Tabla9"/>
              <w:jc w:val="left"/>
            </w:pPr>
            <w:r>
              <w:t xml:space="preserve">Instalar 40 nodos y 4 gateways; gestionar permisos de acceso; poner en operación los enlaces</w:t>
            </w:r>
          </w:p>
        </w:tc>
        <w:tc>
          <w:tcPr/>
          <w:p>
            <w:pPr>
              <w:pStyle w:val="Tabla9"/>
              <w:jc w:val="left"/>
            </w:pPr>
            <w:r>
              <w:t xml:space="preserve">Tramo 2 instalado</w:t>
            </w:r>
          </w:p>
        </w:tc>
        <w:tc>
          <w:tcPr/>
          <w:p>
            <w:pPr>
              <w:pStyle w:val="Tabla9"/>
              <w:jc w:val="left"/>
            </w:pPr>
            <w:r>
              <w:t xml:space="preserve">Acta de instalación e informe de disponibilidad (hito H4, mes 16)</w:t>
            </w:r>
          </w:p>
        </w:tc>
      </w:tr>
      <w:tr>
        <w:trPr>
          <w:cantSplit/>
        </w:trPr>
        <w:tc>
          <w:tcPr/>
          <w:p>
            <w:pPr>
              <w:pStyle w:val="Tabla9"/>
              <w:jc w:val="left"/>
            </w:pPr>
            <w:r>
              <w:t xml:space="preserve">C2 Compuerta C2: decisión de consolidación al tramo 3</w:t>
            </w:r>
          </w:p>
        </w:tc>
        <w:tc>
          <w:tcPr/>
          <w:p>
            <w:pPr>
              <w:pStyle w:val="Tabla9"/>
              <w:jc w:val="left"/>
            </w:pPr>
            <w:r>
              <w:t xml:space="preserve">Comité directivo; la Universidad convoca</w:t>
            </w:r>
          </w:p>
        </w:tc>
        <w:tc>
          <w:tcPr/>
          <w:p>
            <w:pPr>
              <w:pStyle w:val="Tabla9"/>
              <w:jc w:val="left"/>
            </w:pPr>
            <w:r>
              <w:t xml:space="preserve">Evaluar desempeño en los tres departamentos, disponibilidad mensual de 90 % o más y convenios de custodia con partida</w:t>
            </w:r>
          </w:p>
        </w:tc>
        <w:tc>
          <w:tcPr/>
          <w:p>
            <w:pPr>
              <w:pStyle w:val="Tabla9"/>
              <w:jc w:val="left"/>
            </w:pPr>
            <w:r>
              <w:t xml:space="preserve">Decisión de consolidar el tramo 3</w:t>
            </w:r>
          </w:p>
        </w:tc>
        <w:tc>
          <w:tcPr/>
          <w:p>
            <w:pPr>
              <w:pStyle w:val="Tabla9"/>
              <w:jc w:val="left"/>
            </w:pPr>
            <w:r>
              <w:t xml:space="preserve">Acta de compuerta (hito H5, mes 17)</w:t>
            </w:r>
          </w:p>
        </w:tc>
      </w:tr>
      <w:tr>
        <w:trPr>
          <w:cantSplit/>
        </w:trPr>
        <w:tc>
          <w:tcPr/>
          <w:p>
            <w:pPr>
              <w:pStyle w:val="Tabla9"/>
              <w:jc w:val="left"/>
            </w:pPr>
            <w:r>
              <w:t xml:space="preserve">A2.4 Instalar tramo 3 (30 nodos, 3 gateways)</w:t>
            </w:r>
          </w:p>
        </w:tc>
        <w:tc>
          <w:tcPr/>
          <w:p>
            <w:pPr>
              <w:pStyle w:val="Tabla9"/>
              <w:jc w:val="left"/>
            </w:pPr>
            <w:r>
              <w:t xml:space="preserve">Empresa, con los municipios</w:t>
            </w:r>
          </w:p>
        </w:tc>
        <w:tc>
          <w:tcPr/>
          <w:p>
            <w:pPr>
              <w:pStyle w:val="Tabla9"/>
              <w:jc w:val="left"/>
            </w:pPr>
            <w:r>
              <w:t xml:space="preserve">Instalar 30 nodos y 3 gateways; verificar la operación de la red completa</w:t>
            </w:r>
          </w:p>
        </w:tc>
        <w:tc>
          <w:tcPr/>
          <w:p>
            <w:pPr>
              <w:pStyle w:val="Tabla9"/>
              <w:jc w:val="left"/>
            </w:pPr>
            <w:r>
              <w:t xml:space="preserve">Red de 100 nodos y 10 gateways instalada</w:t>
            </w:r>
          </w:p>
        </w:tc>
        <w:tc>
          <w:tcPr/>
          <w:p>
            <w:pPr>
              <w:pStyle w:val="Tabla9"/>
              <w:jc w:val="left"/>
            </w:pPr>
            <w:r>
              <w:t xml:space="preserve">Inventario de la red operativa (hito H6, mes 19)</w:t>
            </w:r>
          </w:p>
        </w:tc>
      </w:tr>
      <w:tr>
        <w:trPr>
          <w:cantSplit/>
        </w:trPr>
        <w:tc>
          <w:tcPr/>
          <w:p>
            <w:pPr>
              <w:pStyle w:val="Tabla9"/>
              <w:jc w:val="left"/>
            </w:pPr>
            <w:r>
              <w:t xml:space="preserve">ADM2 Administración y apoyo a la supervisión (OE2)</w:t>
            </w:r>
          </w:p>
        </w:tc>
        <w:tc>
          <w:tcPr/>
          <w:p>
            <w:pPr>
              <w:pStyle w:val="Tabla9"/>
              <w:jc w:val="left"/>
            </w:pPr>
            <w:r>
              <w:t xml:space="preserve">Universidad</w:t>
            </w:r>
          </w:p>
        </w:tc>
        <w:tc>
          <w:tcPr/>
          <w:p>
            <w:pPr>
              <w:pStyle w:val="Tabla9"/>
              <w:jc w:val="left"/>
            </w:pPr>
            <w:r>
              <w:t xml:space="preserve">Gestionar el objetivo 2: seguimiento técnico y financiero, revisoría y apoyo a la supervisión</w:t>
            </w:r>
          </w:p>
        </w:tc>
        <w:tc>
          <w:tcPr/>
          <w:p>
            <w:pPr>
              <w:pStyle w:val="Tabla9"/>
              <w:jc w:val="left"/>
            </w:pPr>
            <w:r>
              <w:t xml:space="preserve">Informes trimestrales del objetivo 2</w:t>
            </w:r>
          </w:p>
        </w:tc>
        <w:tc>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 la sección S.6. Los responsables son PROPUESTOS.</w:t>
      </w:r>
    </w:p>
    <w:bookmarkEnd w:id="71"/>
    <w:bookmarkStart w:id="72" w:name="_Toc00900034"/>
    <w:p>
      <w:pPr>
        <w:pStyle w:val="Heading2"/>
      </w:pPr>
      <w:r>
        <w:t xml:space="preserve">14.3 Metodología para el logro del OE3</w:t>
      </w:r>
    </w:p>
    <w:p>
      <w:pPr>
        <w:pStyle w:val="FirstParagraph"/>
      </w:pPr>
      <w:r>
        <w:t xml:space="preserve">El OE3 se orienta a lograr el uso del tablero y del protocolo de alerta por los comités de gestión del riesgo. Su meta es: ≥ 75 % de los comités focalizados usan el tablero en decisiones documentadas al mes 24.</w:t>
      </w:r>
    </w:p>
    <w:p>
      <w:pPr>
        <w:pStyle w:val="BodyText"/>
      </w:pPr>
      <w:r>
        <w:t xml:space="preserve">La Tabla D.16 detalla las actividades del objetivo 3.</w:t>
      </w:r>
    </w:p>
    <w:p>
      <w:pPr>
        <w:pStyle w:val="TablaRotulo"/>
      </w:pPr>
      <w:bookmarkStart w:id="9034" w:name="rot_Tabla_D_16"/>
      <w:r>
        <w:rPr>
          <w:b/>
          <w:bCs/>
        </w:rPr>
        <w:t xml:space="preserve">Tabla D.16</w:t>
      </w:r>
      <w:bookmarkEnd w:id="9034"/>
    </w:p>
    <w:p>
      <w:pPr>
        <w:pStyle w:val="TablaTitulo"/>
      </w:pPr>
      <w:r>
        <w:rPr>
          <w:i/>
          <w:iCs/>
        </w:rPr>
        <w:t xml:space="preserve">Actividades del OE3: responsable, tareas, resultado y medio de verificación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1452"/>
        <w:gridCol w:w="1518"/>
        <w:gridCol w:w="1584"/>
        <w:gridCol w:w="1650"/>
      </w:tblGrid>
      <w:tr>
        <w:trPr>
          <w:cantSplit/>
          <w:tblHeader/>
        </w:trPr>
        <w:tc>
          <w:tcPr>
            <w:shd w:val="clear" w:color="auto" w:fill="00B050"/>
          </w:tcPr>
          <w:p>
            <w:pPr>
              <w:pStyle w:val="Tabla9"/>
              <w:jc w:val="center"/>
            </w:pPr>
            <w:r>
              <w:rPr>
                <w:b/>
                <w:color w:val="FFFFFF"/>
              </w:rPr>
              <w:t xml:space="preserve">Actividad</w:t>
            </w:r>
          </w:p>
        </w:tc>
        <w:tc>
          <w:tcPr>
            <w:shd w:val="clear" w:color="auto" w:fill="00B050"/>
          </w:tcPr>
          <w:p>
            <w:pPr>
              <w:pStyle w:val="Tabla9"/>
              <w:jc w:val="center"/>
            </w:pPr>
            <w:r>
              <w:rPr>
                <w:b/>
                <w:color w:val="FFFFFF"/>
              </w:rPr>
              <w:t xml:space="preserve">Responsable</w:t>
            </w:r>
          </w:p>
        </w:tc>
        <w:tc>
          <w:tcPr>
            <w:shd w:val="clear" w:color="auto" w:fill="00B050"/>
          </w:tcPr>
          <w:p>
            <w:pPr>
              <w:pStyle w:val="Tabla9"/>
              <w:jc w:val="center"/>
            </w:pPr>
            <w:r>
              <w:rPr>
                <w:b/>
                <w:color w:val="FFFFFF"/>
              </w:rPr>
              <w:t xml:space="preserve">Tareas</w:t>
            </w:r>
          </w:p>
        </w:tc>
        <w:tc>
          <w:tcPr>
            <w:shd w:val="clear" w:color="auto" w:fill="00B050"/>
          </w:tcPr>
          <w:p>
            <w:pPr>
              <w:pStyle w:val="Tabla9"/>
              <w:jc w:val="center"/>
            </w:pPr>
            <w:r>
              <w:rPr>
                <w:b/>
                <w:color w:val="FFFFFF"/>
              </w:rPr>
              <w:t xml:space="preserve">Resultado</w:t>
            </w:r>
          </w:p>
        </w:tc>
        <w:tc>
          <w:tcPr>
            <w:shd w:val="clear" w:color="auto" w:fill="00B050"/>
          </w:tcPr>
          <w:p>
            <w:pPr>
              <w:pStyle w:val="Tabla9"/>
              <w:jc w:val="center"/>
            </w:pPr>
            <w:r>
              <w:rPr>
                <w:b/>
                <w:color w:val="FFFFFF"/>
              </w:rPr>
              <w:t xml:space="preserve">Medio de verificación</w:t>
            </w:r>
          </w:p>
        </w:tc>
      </w:tr>
      <w:tr>
        <w:trPr>
          <w:cantSplit/>
        </w:trPr>
        <w:tc>
          <w:tcPr/>
          <w:p>
            <w:pPr>
              <w:pStyle w:val="Tabla9"/>
              <w:jc w:val="left"/>
            </w:pPr>
            <w:r>
              <w:t xml:space="preserve">A3.1 Co-diseñar umbrales y protocolo de alerta con comités</w:t>
            </w:r>
          </w:p>
        </w:tc>
        <w:tc>
          <w:tcPr/>
          <w:p>
            <w:pPr>
              <w:pStyle w:val="Tabla9"/>
              <w:jc w:val="left"/>
            </w:pPr>
            <w:r>
              <w:t xml:space="preserve">Universidad, con los municipios</w:t>
            </w:r>
          </w:p>
        </w:tc>
        <w:tc>
          <w:tcPr/>
          <w:p>
            <w:pPr>
              <w:pStyle w:val="Tabla9"/>
              <w:jc w:val="left"/>
            </w:pPr>
            <w:r>
              <w:t xml:space="preserve">Co-diseñar umbrales y protocolo de alerta con los 15 comités; realizar talleres de consulta y colaboración</w:t>
            </w:r>
          </w:p>
        </w:tc>
        <w:tc>
          <w:tcPr/>
          <w:p>
            <w:pPr>
              <w:pStyle w:val="Tabla9"/>
              <w:jc w:val="left"/>
            </w:pPr>
            <w:r>
              <w:t xml:space="preserve">Protocolo de alerta y umbrales validados localmente</w:t>
            </w:r>
          </w:p>
        </w:tc>
        <w:tc>
          <w:tcPr/>
          <w:p>
            <w:pPr>
              <w:pStyle w:val="Tabla9"/>
              <w:jc w:val="left"/>
            </w:pPr>
            <w:r>
              <w:t xml:space="preserve">Actas firmadas por representantes de los comités</w:t>
            </w:r>
          </w:p>
        </w:tc>
      </w:tr>
      <w:tr>
        <w:trPr>
          <w:cantSplit/>
        </w:trPr>
        <w:tc>
          <w:tcPr/>
          <w:p>
            <w:pPr>
              <w:pStyle w:val="Tabla9"/>
              <w:jc w:val="left"/>
            </w:pPr>
            <w:r>
              <w:t xml:space="preserve">A3.2 Poner en uso el tablero con los comités</w:t>
            </w:r>
          </w:p>
        </w:tc>
        <w:tc>
          <w:tcPr/>
          <w:p>
            <w:pPr>
              <w:pStyle w:val="Tabla9"/>
              <w:jc w:val="left"/>
            </w:pPr>
            <w:r>
              <w:t xml:space="preserve">Universidad, con los municipios</w:t>
            </w:r>
          </w:p>
        </w:tc>
        <w:tc>
          <w:tcPr/>
          <w:p>
            <w:pPr>
              <w:pStyle w:val="Tabla9"/>
              <w:jc w:val="left"/>
            </w:pPr>
            <w:r>
              <w:t xml:space="preserve">Poner en uso el tablero; capacitar a los funcionarios; registrar las decisiones que usan la medición</w:t>
            </w:r>
          </w:p>
        </w:tc>
        <w:tc>
          <w:tcPr/>
          <w:p>
            <w:pPr>
              <w:pStyle w:val="Tabla9"/>
              <w:jc w:val="left"/>
            </w:pPr>
            <w:r>
              <w:t xml:space="preserve">Tablero en uso por los comités</w:t>
            </w:r>
          </w:p>
        </w:tc>
        <w:tc>
          <w:tcPr/>
          <w:p>
            <w:pPr>
              <w:pStyle w:val="Tabla9"/>
              <w:jc w:val="left"/>
            </w:pPr>
            <w:r>
              <w:t xml:space="preserve">Registros de uso y actas de decisiones documentadas (PERS-E01)</w:t>
            </w:r>
          </w:p>
        </w:tc>
      </w:tr>
      <w:tr>
        <w:trPr>
          <w:cantSplit/>
        </w:trPr>
        <w:tc>
          <w:tcPr/>
          <w:p>
            <w:pPr>
              <w:pStyle w:val="Tabla9"/>
              <w:jc w:val="left"/>
            </w:pPr>
            <w:r>
              <w:t xml:space="preserve">A3.3 Formar custodios y firmar convenios por tramo</w:t>
            </w:r>
          </w:p>
        </w:tc>
        <w:tc>
          <w:tcPr/>
          <w:p>
            <w:pPr>
              <w:pStyle w:val="Tabla9"/>
              <w:jc w:val="left"/>
            </w:pPr>
            <w:r>
              <w:t xml:space="preserve">Actor reconocido, con los municipios y la Universidad</w:t>
            </w:r>
          </w:p>
        </w:tc>
        <w:tc>
          <w:tcPr/>
          <w:p>
            <w:pPr>
              <w:pStyle w:val="Tabla9"/>
              <w:jc w:val="left"/>
            </w:pPr>
            <w:r>
              <w:t xml:space="preserve">Formar custodios por tramo; certificar a 60 personas; firmar convenios de custodia con partida</w:t>
            </w:r>
          </w:p>
        </w:tc>
        <w:tc>
          <w:tcPr/>
          <w:p>
            <w:pPr>
              <w:pStyle w:val="Tabla9"/>
              <w:jc w:val="left"/>
            </w:pPr>
            <w:r>
              <w:t xml:space="preserve">Custodios formados y convenios firmados</w:t>
            </w:r>
          </w:p>
        </w:tc>
        <w:tc>
          <w:tcPr/>
          <w:p>
            <w:pPr>
              <w:pStyle w:val="Tabla9"/>
              <w:jc w:val="left"/>
            </w:pPr>
            <w:r>
              <w:t xml:space="preserve">Certificados, convenios y actas de recepción</w:t>
            </w:r>
          </w:p>
        </w:tc>
      </w:tr>
      <w:tr>
        <w:trPr>
          <w:cantSplit/>
        </w:trPr>
        <w:tc>
          <w:tcPr/>
          <w:p>
            <w:pPr>
              <w:pStyle w:val="Tabla9"/>
              <w:jc w:val="left"/>
            </w:pPr>
            <w:r>
              <w:t xml:space="preserve">A3.4 Transferir, cerrar y evaluar</w:t>
            </w:r>
          </w:p>
        </w:tc>
        <w:tc>
          <w:tcPr/>
          <w:p>
            <w:pPr>
              <w:pStyle w:val="Tabla9"/>
              <w:jc w:val="left"/>
            </w:pPr>
            <w:r>
              <w:t xml:space="preserve">Universidad, con los cuatro actores</w:t>
            </w:r>
          </w:p>
        </w:tc>
        <w:tc>
          <w:tcPr/>
          <w:p>
            <w:pPr>
              <w:pStyle w:val="Tabla9"/>
              <w:jc w:val="left"/>
            </w:pPr>
            <w:r>
              <w:t xml:space="preserve">Transferir los componentes; firmar la cláusula de apertura; ejecutar la evaluación externa final; cerrar el proyecto</w:t>
            </w:r>
          </w:p>
        </w:tc>
        <w:tc>
          <w:tcPr/>
          <w:p>
            <w:pPr>
              <w:pStyle w:val="Tabla9"/>
              <w:jc w:val="left"/>
            </w:pPr>
            <w:r>
              <w:t xml:space="preserve">Transferencia y cierre del proyecto</w:t>
            </w:r>
          </w:p>
        </w:tc>
        <w:tc>
          <w:tcPr/>
          <w:p>
            <w:pPr>
              <w:pStyle w:val="Tabla9"/>
              <w:jc w:val="left"/>
            </w:pPr>
            <w:r>
              <w:t xml:space="preserve">Actas de entrega y cláusula de apertura (hito H8, mes 24)</w:t>
            </w:r>
          </w:p>
        </w:tc>
      </w:tr>
      <w:tr>
        <w:trPr>
          <w:cantSplit/>
        </w:trPr>
        <w:tc>
          <w:tcPr/>
          <w:p>
            <w:pPr>
              <w:pStyle w:val="Tabla9"/>
              <w:jc w:val="left"/>
            </w:pPr>
            <w:r>
              <w:t xml:space="preserve">ADM3 Administración y apoyo a la supervisión (OE3)</w:t>
            </w:r>
          </w:p>
        </w:tc>
        <w:tc>
          <w:tcPr/>
          <w:p>
            <w:pPr>
              <w:pStyle w:val="Tabla9"/>
              <w:jc w:val="left"/>
            </w:pPr>
            <w:r>
              <w:t xml:space="preserve">Universidad</w:t>
            </w:r>
          </w:p>
        </w:tc>
        <w:tc>
          <w:tcPr/>
          <w:p>
            <w:pPr>
              <w:pStyle w:val="Tabla9"/>
              <w:jc w:val="left"/>
            </w:pPr>
            <w:r>
              <w:t xml:space="preserve">Gestionar el objetivo 3: seguimiento técnico y financiero, revisoría y apoyo a la supervisión</w:t>
            </w:r>
          </w:p>
        </w:tc>
        <w:tc>
          <w:tcPr/>
          <w:p>
            <w:pPr>
              <w:pStyle w:val="Tabla9"/>
              <w:jc w:val="left"/>
            </w:pPr>
            <w:r>
              <w:t xml:space="preserve">Informes trimestrales del objetivo 3</w:t>
            </w:r>
          </w:p>
        </w:tc>
        <w:tc>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 la sección S.6. Los responsables son PROPUESTOS.</w:t>
      </w:r>
    </w:p>
    <w:p>
      <w:pPr>
        <w:pStyle w:val="BodyText"/>
      </w:pPr>
      <w:r>
        <w:t xml:space="preserve">Las líneas temáticas y los componentes de los términos de referencia no se aportaron. Cuando se aporten, esta sección incorpora los apartados que correspondan [DATO_USUARIO: apartados exigidos por los términos de referencia].</w:t>
      </w:r>
    </w:p>
    <w:bookmarkEnd w:id="72"/>
    <w:bookmarkEnd w:id="73"/>
    <w:bookmarkStart w:id="74" w:name="_Toc00900035"/>
    <w:p>
      <w:pPr>
        <w:pStyle w:val="Heading1"/>
      </w:pPr>
      <w:r>
        <w:t xml:space="preserve">15. CADENA DE VALOR</w:t>
      </w:r>
    </w:p>
    <w:p>
      <w:pPr>
        <w:pStyle w:val="FirstParagraph"/>
      </w:pPr>
      <w:r>
        <w:t xml:space="preserve">La Tabla D.17 relaciona cada objetivo con sus productos, el medio de verificación, la meta y las actividades. Las actividades de administración y apoyo a la supervisión aparecen en cada objetivo. La Tabla D.18 valora cada actividad con la asignación de las 54 líneas del presupuesto SGR, de modo que la suma coincide con el total solicitado.</w:t>
      </w:r>
    </w:p>
    <w:p>
      <w:pPr>
        <w:pStyle w:val="TablaRotulo"/>
      </w:pPr>
      <w:bookmarkStart w:id="9035" w:name="rot_Tabla_D_17"/>
      <w:r>
        <w:rPr>
          <w:b/>
          <w:bCs/>
        </w:rPr>
        <w:t xml:space="preserve">Tabla D.17</w:t>
      </w:r>
      <w:bookmarkEnd w:id="9035"/>
    </w:p>
    <w:p>
      <w:pPr>
        <w:pStyle w:val="TablaTitulo"/>
      </w:pPr>
      <w:r>
        <w:rPr>
          <w:i/>
          <w:iCs/>
        </w:rPr>
        <w:t xml:space="preserve">Cadena de valor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54"/>
        <w:gridCol w:w="1716"/>
        <w:gridCol w:w="1782"/>
        <w:gridCol w:w="1716"/>
        <w:gridCol w:w="1452"/>
      </w:tblGrid>
      <w:tr>
        <w:trPr>
          <w:cantSplit/>
          <w:tblHeader/>
        </w:trPr>
        <w:tc>
          <w:tcPr>
            <w:shd w:val="clear" w:color="auto" w:fill="00B050"/>
          </w:tcPr>
          <w:p>
            <w:pPr>
              <w:pStyle w:val="Tabla9"/>
              <w:jc w:val="center"/>
            </w:pPr>
            <w:r>
              <w:rPr>
                <w:b/>
                <w:color w:val="FFFFFF"/>
              </w:rPr>
              <w:t xml:space="preserve">Objetivo específico</w:t>
            </w:r>
          </w:p>
        </w:tc>
        <w:tc>
          <w:tcPr>
            <w:shd w:val="clear" w:color="auto" w:fill="00B050"/>
          </w:tcPr>
          <w:p>
            <w:pPr>
              <w:pStyle w:val="Tabla9"/>
              <w:jc w:val="center"/>
            </w:pPr>
            <w:r>
              <w:rPr>
                <w:b/>
                <w:color w:val="FFFFFF"/>
              </w:rPr>
              <w:t xml:space="preserve">Producto</w:t>
            </w:r>
          </w:p>
        </w:tc>
        <w:tc>
          <w:tcPr>
            <w:shd w:val="clear" w:color="auto" w:fill="00B050"/>
          </w:tcPr>
          <w:p>
            <w:pPr>
              <w:pStyle w:val="Tabla9"/>
              <w:jc w:val="center"/>
            </w:pPr>
            <w:r>
              <w:rPr>
                <w:b/>
                <w:color w:val="FFFFFF"/>
              </w:rPr>
              <w:t xml:space="preserve">Medido a través de</w:t>
            </w:r>
          </w:p>
        </w:tc>
        <w:tc>
          <w:tcPr>
            <w:shd w:val="clear" w:color="auto" w:fill="00B050"/>
          </w:tcPr>
          <w:p>
            <w:pPr>
              <w:pStyle w:val="Tabla9"/>
              <w:jc w:val="center"/>
            </w:pPr>
            <w:r>
              <w:rPr>
                <w:b/>
                <w:color w:val="FFFFFF"/>
              </w:rPr>
              <w:t xml:space="preserve">Cantidad o meta</w:t>
            </w:r>
          </w:p>
        </w:tc>
        <w:tc>
          <w:tcPr>
            <w:shd w:val="clear" w:color="auto" w:fill="00B050"/>
          </w:tcPr>
          <w:p>
            <w:pPr>
              <w:pStyle w:val="Tabla9"/>
              <w:jc w:val="center"/>
            </w:pPr>
            <w:r>
              <w:rPr>
                <w:b/>
                <w:color w:val="FFFFFF"/>
              </w:rPr>
              <w:t xml:space="preserve">Actividades asociadas</w:t>
            </w:r>
          </w:p>
        </w:tc>
      </w:tr>
      <w:tr>
        <w:trPr>
          <w:cantSplit/>
        </w:trPr>
        <w:tc>
          <w:tcPr/>
          <w:p>
            <w:pPr>
              <w:pStyle w:val="Tabla9"/>
              <w:jc w:val="left"/>
            </w:pPr>
            <w:r>
              <w:t xml:space="preserve">OE1</w:t>
            </w:r>
          </w:p>
        </w:tc>
        <w:tc>
          <w:tcPr/>
          <w:p>
            <w:pPr>
              <w:pStyle w:val="Tabla9"/>
              <w:jc w:val="left"/>
            </w:pPr>
            <w:r>
              <w:t xml:space="preserve">Modelo de corrección validado y base de datos de colocalización</w:t>
            </w:r>
          </w:p>
        </w:tc>
        <w:tc>
          <w:tcPr/>
          <w:p>
            <w:pPr>
              <w:pStyle w:val="Tabla9"/>
              <w:jc w:val="left"/>
            </w:pPr>
            <w:r>
              <w:t xml:space="preserve">Informes de validación con R² y NRMSE</w:t>
            </w:r>
          </w:p>
        </w:tc>
        <w:tc>
          <w:tcPr/>
          <w:p>
            <w:pPr>
              <w:pStyle w:val="Tabla9"/>
              <w:jc w:val="left"/>
            </w:pPr>
            <w:r>
              <w:t xml:space="preserve">3 verificaciones (una por tramo); 6 ciclos de calibración</w:t>
            </w:r>
          </w:p>
        </w:tc>
        <w:tc>
          <w:tcPr/>
          <w:p>
            <w:pPr>
              <w:pStyle w:val="Tabla9"/>
              <w:jc w:val="left"/>
            </w:pPr>
            <w:r>
              <w:t xml:space="preserve">A0.1, A1.1, A1.2, A1.3, A1.4, C1, A1.5, A1.6, ADM1</w:t>
            </w:r>
          </w:p>
        </w:tc>
      </w:tr>
      <w:tr>
        <w:trPr>
          <w:cantSplit/>
        </w:trPr>
        <w:tc>
          <w:tcPr/>
          <w:p>
            <w:pPr>
              <w:pStyle w:val="Tabla9"/>
              <w:jc w:val="left"/>
            </w:pPr>
            <w:r>
              <w:t xml:space="preserve">OE1</w:t>
            </w:r>
          </w:p>
        </w:tc>
        <w:tc>
          <w:tcPr/>
          <w:p>
            <w:pPr>
              <w:pStyle w:val="Tabla9"/>
              <w:jc w:val="left"/>
            </w:pPr>
            <w:r>
              <w:t xml:space="preserve">Artículos científicos en revistas Q1 o Q2</w:t>
            </w:r>
          </w:p>
        </w:tc>
        <w:tc>
          <w:tcPr/>
          <w:p>
            <w:pPr>
              <w:pStyle w:val="Tabla9"/>
              <w:jc w:val="left"/>
            </w:pPr>
            <w:r>
              <w:t xml:space="preserve">Número de artículos sometidos y aceptados</w:t>
            </w:r>
          </w:p>
        </w:tc>
        <w:tc>
          <w:tcPr/>
          <w:p>
            <w:pPr>
              <w:pStyle w:val="Tabla9"/>
              <w:jc w:val="left"/>
            </w:pPr>
            <w:r>
              <w:t xml:space="preserve">2 sometidos; al menos 1 aceptado</w:t>
            </w:r>
          </w:p>
        </w:tc>
        <w:tc>
          <w:tcPr/>
          <w:p>
            <w:pPr>
              <w:pStyle w:val="Tabla9"/>
              <w:jc w:val="left"/>
            </w:pPr>
            <w:r>
              <w:t xml:space="preserve">A1.4, A1.6</w:t>
            </w:r>
          </w:p>
        </w:tc>
      </w:tr>
      <w:tr>
        <w:trPr>
          <w:cantSplit/>
        </w:trPr>
        <w:tc>
          <w:tcPr/>
          <w:p>
            <w:pPr>
              <w:pStyle w:val="Tabla9"/>
              <w:jc w:val="left"/>
            </w:pPr>
            <w:r>
              <w:t xml:space="preserve">OE1</w:t>
            </w:r>
          </w:p>
        </w:tc>
        <w:tc>
          <w:tcPr/>
          <w:p>
            <w:pPr>
              <w:pStyle w:val="Tabla9"/>
              <w:jc w:val="left"/>
            </w:pPr>
            <w:r>
              <w:t xml:space="preserve">Software de corrección y gemelo digital registrado</w:t>
            </w:r>
          </w:p>
        </w:tc>
        <w:tc>
          <w:tcPr/>
          <w:p>
            <w:pPr>
              <w:pStyle w:val="Tabla9"/>
              <w:jc w:val="left"/>
            </w:pPr>
            <w:r>
              <w:t xml:space="preserve">Registro de software</w:t>
            </w:r>
          </w:p>
        </w:tc>
        <w:tc>
          <w:tcPr/>
          <w:p>
            <w:pPr>
              <w:pStyle w:val="Tabla9"/>
              <w:jc w:val="left"/>
            </w:pPr>
            <w:r>
              <w:t xml:space="preserve">1 registro vigente</w:t>
            </w:r>
          </w:p>
        </w:tc>
        <w:tc>
          <w:tcPr/>
          <w:p>
            <w:pPr>
              <w:pStyle w:val="Tabla9"/>
              <w:jc w:val="left"/>
            </w:pPr>
            <w:r>
              <w:t xml:space="preserve">A1.4, A2.2, A3.3</w:t>
            </w:r>
          </w:p>
        </w:tc>
      </w:tr>
      <w:tr>
        <w:trPr>
          <w:cantSplit/>
        </w:trPr>
        <w:tc>
          <w:tcPr/>
          <w:p>
            <w:pPr>
              <w:pStyle w:val="Tabla9"/>
              <w:jc w:val="left"/>
            </w:pPr>
            <w:r>
              <w:t xml:space="preserve">OE2</w:t>
            </w:r>
          </w:p>
        </w:tc>
        <w:tc>
          <w:tcPr/>
          <w:p>
            <w:pPr>
              <w:pStyle w:val="Tabla9"/>
              <w:jc w:val="left"/>
            </w:pPr>
            <w:r>
              <w:t xml:space="preserve">Red de nodos y gateways operativa</w:t>
            </w:r>
          </w:p>
        </w:tc>
        <w:tc>
          <w:tcPr/>
          <w:p>
            <w:pPr>
              <w:pStyle w:val="Tabla9"/>
              <w:jc w:val="left"/>
            </w:pPr>
            <w:r>
              <w:t xml:space="preserve">Inventario de la red</w:t>
            </w:r>
          </w:p>
        </w:tc>
        <w:tc>
          <w:tcPr/>
          <w:p>
            <w:pPr>
              <w:pStyle w:val="Tabla9"/>
              <w:jc w:val="left"/>
            </w:pPr>
            <w:r>
              <w:t xml:space="preserve">100 nodos y 10 gateways</w:t>
            </w:r>
          </w:p>
        </w:tc>
        <w:tc>
          <w:tcPr/>
          <w:p>
            <w:pPr>
              <w:pStyle w:val="Tabla9"/>
              <w:jc w:val="left"/>
            </w:pPr>
            <w:r>
              <w:t xml:space="preserve">A2.1, A2.3, C2, A2.4, ADM2</w:t>
            </w:r>
          </w:p>
        </w:tc>
      </w:tr>
      <w:tr>
        <w:trPr>
          <w:cantSplit/>
        </w:trPr>
        <w:tc>
          <w:tcPr/>
          <w:p>
            <w:pPr>
              <w:pStyle w:val="Tabla9"/>
              <w:jc w:val="left"/>
            </w:pPr>
            <w:r>
              <w:t xml:space="preserve">OE2</w:t>
            </w:r>
          </w:p>
        </w:tc>
        <w:tc>
          <w:tcPr/>
          <w:p>
            <w:pPr>
              <w:pStyle w:val="Tabla9"/>
              <w:jc w:val="left"/>
            </w:pPr>
            <w:r>
              <w:t xml:space="preserve">Plataforma en la nube y gemelo digital operativos</w:t>
            </w:r>
          </w:p>
        </w:tc>
        <w:tc>
          <w:tcPr/>
          <w:p>
            <w:pPr>
              <w:pStyle w:val="Tabla9"/>
              <w:jc w:val="left"/>
            </w:pPr>
            <w:r>
              <w:t xml:space="preserve">Disponibilidad mensual del servicio</w:t>
            </w:r>
          </w:p>
        </w:tc>
        <w:tc>
          <w:tcPr/>
          <w:p>
            <w:pPr>
              <w:pStyle w:val="Tabla9"/>
              <w:jc w:val="left"/>
            </w:pPr>
            <w:r>
              <w:t xml:space="preserve">99,0 % o más</w:t>
            </w:r>
          </w:p>
        </w:tc>
        <w:tc>
          <w:tcPr/>
          <w:p>
            <w:pPr>
              <w:pStyle w:val="Tabla9"/>
              <w:jc w:val="left"/>
            </w:pPr>
            <w:r>
              <w:t xml:space="preserve">A2.2, A2.3, A2.4</w:t>
            </w:r>
          </w:p>
        </w:tc>
      </w:tr>
      <w:tr>
        <w:trPr>
          <w:cantSplit/>
        </w:trPr>
        <w:tc>
          <w:tcPr/>
          <w:p>
            <w:pPr>
              <w:pStyle w:val="Tabla9"/>
              <w:jc w:val="left"/>
            </w:pPr>
            <w:r>
              <w:t xml:space="preserve">OE3</w:t>
            </w:r>
          </w:p>
        </w:tc>
        <w:tc>
          <w:tcPr/>
          <w:p>
            <w:pPr>
              <w:pStyle w:val="Tabla9"/>
              <w:jc w:val="left"/>
            </w:pPr>
            <w:r>
              <w:t xml:space="preserve">Protocolo de alerta y tablero en uso</w:t>
            </w:r>
          </w:p>
        </w:tc>
        <w:tc>
          <w:tcPr/>
          <w:p>
            <w:pPr>
              <w:pStyle w:val="Tabla9"/>
              <w:jc w:val="left"/>
            </w:pPr>
            <w:r>
              <w:t xml:space="preserve">Comités que usan el tablero en decisiones documentadas</w:t>
            </w:r>
          </w:p>
        </w:tc>
        <w:tc>
          <w:tcPr/>
          <w:p>
            <w:pPr>
              <w:pStyle w:val="Tabla9"/>
              <w:jc w:val="left"/>
            </w:pPr>
            <w:r>
              <w:t xml:space="preserve">75 % o más de 15 comités</w:t>
            </w:r>
          </w:p>
        </w:tc>
        <w:tc>
          <w:tcPr/>
          <w:p>
            <w:pPr>
              <w:pStyle w:val="Tabla9"/>
              <w:jc w:val="left"/>
            </w:pPr>
            <w:r>
              <w:t xml:space="preserve">A3.1, A3.2, ADM3</w:t>
            </w:r>
          </w:p>
        </w:tc>
      </w:tr>
      <w:tr>
        <w:trPr>
          <w:cantSplit/>
        </w:trPr>
        <w:tc>
          <w:tcPr/>
          <w:p>
            <w:pPr>
              <w:pStyle w:val="Tabla9"/>
              <w:jc w:val="left"/>
            </w:pPr>
            <w:r>
              <w:t xml:space="preserve">OE3</w:t>
            </w:r>
          </w:p>
        </w:tc>
        <w:tc>
          <w:tcPr/>
          <w:p>
            <w:pPr>
              <w:pStyle w:val="Tabla9"/>
              <w:jc w:val="left"/>
            </w:pPr>
            <w:r>
              <w:t xml:space="preserve">Actividades de apropiación social del conocimiento</w:t>
            </w:r>
          </w:p>
        </w:tc>
        <w:tc>
          <w:tcPr/>
          <w:p>
            <w:pPr>
              <w:pStyle w:val="Tabla9"/>
              <w:jc w:val="left"/>
            </w:pPr>
            <w:r>
              <w:t xml:space="preserve">Actas y registros de participación</w:t>
            </w:r>
          </w:p>
        </w:tc>
        <w:tc>
          <w:tcPr/>
          <w:p>
            <w:pPr>
              <w:pStyle w:val="Tabla9"/>
              <w:jc w:val="left"/>
            </w:pPr>
            <w:r>
              <w:t xml:space="preserve">29 actividades: 20 talleres y 9 jornadas</w:t>
            </w:r>
          </w:p>
        </w:tc>
        <w:tc>
          <w:tcPr/>
          <w:p>
            <w:pPr>
              <w:pStyle w:val="Tabla9"/>
              <w:jc w:val="left"/>
            </w:pPr>
            <w:r>
              <w:t xml:space="preserve">A3.1, A3.2, A3.3</w:t>
            </w:r>
          </w:p>
        </w:tc>
      </w:tr>
      <w:tr>
        <w:trPr>
          <w:cantSplit/>
        </w:trPr>
        <w:tc>
          <w:tcPr/>
          <w:p>
            <w:pPr>
              <w:pStyle w:val="Tabla9"/>
              <w:jc w:val="left"/>
            </w:pPr>
            <w:r>
              <w:t xml:space="preserve">OE3</w:t>
            </w:r>
          </w:p>
        </w:tc>
        <w:tc>
          <w:tcPr/>
          <w:p>
            <w:pPr>
              <w:pStyle w:val="Tabla9"/>
              <w:jc w:val="left"/>
            </w:pPr>
            <w:r>
              <w:t xml:space="preserve">Personas certificadas y convenios de custodia</w:t>
            </w:r>
          </w:p>
        </w:tc>
        <w:tc>
          <w:tcPr/>
          <w:p>
            <w:pPr>
              <w:pStyle w:val="Tabla9"/>
              <w:jc w:val="left"/>
            </w:pPr>
            <w:r>
              <w:t xml:space="preserve">Certificados y convenios firmados</w:t>
            </w:r>
          </w:p>
        </w:tc>
        <w:tc>
          <w:tcPr/>
          <w:p>
            <w:pPr>
              <w:pStyle w:val="Tabla9"/>
              <w:jc w:val="left"/>
            </w:pPr>
            <w:r>
              <w:t xml:space="preserve">60 personas; convenios por tramo</w:t>
            </w:r>
          </w:p>
        </w:tc>
        <w:tc>
          <w:tcPr/>
          <w:p>
            <w:pPr>
              <w:pStyle w:val="Tabla9"/>
              <w:jc w:val="left"/>
            </w:pPr>
            <w:r>
              <w:t xml:space="preserve">A3.3, A3.4</w:t>
            </w:r>
          </w:p>
        </w:tc>
      </w:tr>
    </w:tbl>
    <w:p>
      <w:pPr>
        <w:pStyle w:val="TablaNota"/>
      </w:pPr>
      <w:r>
        <w:rPr>
          <w:i/>
          <w:iCs/>
        </w:rPr>
        <w:t xml:space="preserve">Nota.</w:t>
      </w:r>
      <w:r>
        <w:t xml:space="preserve"> </w:t>
      </w:r>
      <w:r>
        <w:t xml:space="preserve">Elaboración propia con la ficha maestra (indicadores PERS-P01 a PERS-P04 y PERS-E01 a PERS-E03). Las actividades A1.4, A2.2 y A3.3 contribuyen a más de un producto.</w:t>
      </w:r>
    </w:p>
    <w:p>
      <w:pPr>
        <w:pStyle w:val="TablaRotulo"/>
      </w:pPr>
      <w:bookmarkStart w:id="9036" w:name="rot_Tabla_D_18"/>
      <w:r>
        <w:rPr>
          <w:b/>
          <w:bCs/>
        </w:rPr>
        <w:t xml:space="preserve">Tabla D.18</w:t>
      </w:r>
      <w:bookmarkEnd w:id="9036"/>
    </w:p>
    <w:p>
      <w:pPr>
        <w:pStyle w:val="TablaTitulo"/>
      </w:pPr>
      <w:r>
        <w:rPr>
          <w:i/>
          <w:iCs/>
        </w:rPr>
        <w:t xml:space="preserve">Valor de cada actividad (recursos SGR)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3366"/>
        <w:gridCol w:w="1056"/>
        <w:gridCol w:w="2112"/>
      </w:tblGrid>
      <w:tr>
        <w:trPr>
          <w:cantSplit/>
          <w:tblHeader/>
        </w:trPr>
        <w:tc>
          <w:tcPr>
            <w:shd w:val="clear" w:color="auto" w:fill="00B050"/>
          </w:tcPr>
          <w:p>
            <w:pPr>
              <w:pStyle w:val="Tabla9"/>
              <w:jc w:val="center"/>
            </w:pPr>
            <w:r>
              <w:rPr>
                <w:b/>
                <w:color w:val="FFFFFF"/>
              </w:rPr>
              <w:t xml:space="preserve">Objetivo</w:t>
            </w:r>
          </w:p>
        </w:tc>
        <w:tc>
          <w:tcPr>
            <w:shd w:val="clear" w:color="auto" w:fill="00B050"/>
          </w:tcPr>
          <w:p>
            <w:pPr>
              <w:pStyle w:val="Tabla9"/>
              <w:jc w:val="center"/>
            </w:pPr>
            <w:r>
              <w:rPr>
                <w:b/>
                <w:color w:val="FFFFFF"/>
              </w:rPr>
              <w:t xml:space="preserve">Actividad</w:t>
            </w:r>
          </w:p>
        </w:tc>
        <w:tc>
          <w:tcPr>
            <w:shd w:val="clear" w:color="auto" w:fill="00B050"/>
          </w:tcPr>
          <w:p>
            <w:pPr>
              <w:pStyle w:val="Tabla9"/>
              <w:jc w:val="center"/>
            </w:pPr>
            <w:r>
              <w:rPr>
                <w:b/>
                <w:color w:val="FFFFFF"/>
              </w:rPr>
              <w:t xml:space="preserve">Meses</w:t>
            </w:r>
          </w:p>
        </w:tc>
        <w:tc>
          <w:tcPr>
            <w:shd w:val="clear" w:color="auto" w:fill="00B050"/>
          </w:tcPr>
          <w:p>
            <w:pPr>
              <w:pStyle w:val="Tabla9"/>
              <w:jc w:val="center"/>
            </w:pPr>
            <w:r>
              <w:rPr>
                <w:b/>
                <w:color w:val="FFFFFF"/>
              </w:rPr>
              <w:t xml:space="preserve">Valor SGR</w:t>
            </w:r>
          </w:p>
        </w:tc>
      </w:tr>
      <w:tr>
        <w:trPr>
          <w:cantSplit/>
        </w:trPr>
        <w:tc>
          <w:tcPr/>
          <w:p>
            <w:pPr>
              <w:pStyle w:val="Tabla9"/>
              <w:jc w:val="left"/>
            </w:pPr>
            <w:r>
              <w:t xml:space="preserve">OE1</w:t>
            </w:r>
          </w:p>
        </w:tc>
        <w:tc>
          <w:tcPr/>
          <w:p>
            <w:pPr>
              <w:pStyle w:val="Tabla9"/>
              <w:jc w:val="left"/>
            </w:pPr>
            <w:r>
              <w:t xml:space="preserve">A0.1 Contratar equipo y firmar convenios de ejecución</w:t>
            </w:r>
          </w:p>
        </w:tc>
        <w:tc>
          <w:tcPr/>
          <w:p>
            <w:pPr>
              <w:pStyle w:val="Tabla9"/>
              <w:jc w:val="left"/>
            </w:pPr>
            <w:r>
              <w:t xml:space="preserve">1 a 2</w:t>
            </w:r>
          </w:p>
        </w:tc>
        <w:tc>
          <w:tcPr/>
          <w:p>
            <w:pPr>
              <w:pStyle w:val="Tabla9"/>
              <w:jc w:val="left"/>
            </w:pPr>
            <w:r>
              <w:t xml:space="preserve">$ 106.666.668</w:t>
            </w:r>
          </w:p>
        </w:tc>
      </w:tr>
      <w:tr>
        <w:trPr>
          <w:cantSplit/>
        </w:trPr>
        <w:tc>
          <w:tcPr/>
          <w:p>
            <w:pPr>
              <w:pStyle w:val="Tabla9"/>
              <w:jc w:val="left"/>
            </w:pPr>
            <w:r>
              <w:t xml:space="preserve">OE1</w:t>
            </w:r>
          </w:p>
        </w:tc>
        <w:tc>
          <w:tcPr/>
          <w:p>
            <w:pPr>
              <w:pStyle w:val="Tabla9"/>
              <w:jc w:val="left"/>
            </w:pPr>
            <w:r>
              <w:t xml:space="preserve">A1.1 Seleccionar sitios y diseñar la colocalización</w:t>
            </w:r>
          </w:p>
        </w:tc>
        <w:tc>
          <w:tcPr/>
          <w:p>
            <w:pPr>
              <w:pStyle w:val="Tabla9"/>
              <w:jc w:val="left"/>
            </w:pPr>
            <w:r>
              <w:t xml:space="preserve">2 a 3</w:t>
            </w:r>
          </w:p>
        </w:tc>
        <w:tc>
          <w:tcPr/>
          <w:p>
            <w:pPr>
              <w:pStyle w:val="Tabla9"/>
              <w:jc w:val="left"/>
            </w:pPr>
            <w:r>
              <w:t xml:space="preserve">$ 99.792.000</w:t>
            </w:r>
          </w:p>
        </w:tc>
      </w:tr>
      <w:tr>
        <w:trPr>
          <w:cantSplit/>
        </w:trPr>
        <w:tc>
          <w:tcPr/>
          <w:p>
            <w:pPr>
              <w:pStyle w:val="Tabla9"/>
              <w:jc w:val="left"/>
            </w:pPr>
            <w:r>
              <w:t xml:space="preserve">OE1</w:t>
            </w:r>
          </w:p>
        </w:tc>
        <w:tc>
          <w:tcPr/>
          <w:p>
            <w:pPr>
              <w:pStyle w:val="Tabla9"/>
              <w:jc w:val="left"/>
            </w:pPr>
            <w:r>
              <w:t xml:space="preserve">A1.2 Adquirir y caracterizar lote 1 de nodos y referencias</w:t>
            </w:r>
          </w:p>
        </w:tc>
        <w:tc>
          <w:tcPr/>
          <w:p>
            <w:pPr>
              <w:pStyle w:val="Tabla9"/>
              <w:jc w:val="left"/>
            </w:pPr>
            <w:r>
              <w:t xml:space="preserve">4 a 6</w:t>
            </w:r>
          </w:p>
        </w:tc>
        <w:tc>
          <w:tcPr/>
          <w:p>
            <w:pPr>
              <w:pStyle w:val="Tabla9"/>
              <w:jc w:val="left"/>
            </w:pPr>
            <w:r>
              <w:t xml:space="preserve">$ 967.480.000</w:t>
            </w:r>
          </w:p>
        </w:tc>
      </w:tr>
      <w:tr>
        <w:trPr>
          <w:cantSplit/>
        </w:trPr>
        <w:tc>
          <w:tcPr/>
          <w:p>
            <w:pPr>
              <w:pStyle w:val="Tabla9"/>
              <w:jc w:val="left"/>
            </w:pPr>
            <w:r>
              <w:t xml:space="preserve">OE1</w:t>
            </w:r>
          </w:p>
        </w:tc>
        <w:tc>
          <w:tcPr/>
          <w:p>
            <w:pPr>
              <w:pStyle w:val="Tabla9"/>
              <w:jc w:val="left"/>
            </w:pPr>
            <w:r>
              <w:t xml:space="preserve">A1.3 Colocalizar y calibrar en el piloto (tramo 1)</w:t>
            </w:r>
          </w:p>
        </w:tc>
        <w:tc>
          <w:tcPr/>
          <w:p>
            <w:pPr>
              <w:pStyle w:val="Tabla9"/>
              <w:jc w:val="left"/>
            </w:pPr>
            <w:r>
              <w:t xml:space="preserve">6 a 10</w:t>
            </w:r>
          </w:p>
        </w:tc>
        <w:tc>
          <w:tcPr/>
          <w:p>
            <w:pPr>
              <w:pStyle w:val="Tabla9"/>
              <w:jc w:val="left"/>
            </w:pPr>
            <w:r>
              <w:t xml:space="preserve">$ 480.251.793</w:t>
            </w:r>
          </w:p>
        </w:tc>
      </w:tr>
      <w:tr>
        <w:trPr>
          <w:cantSplit/>
        </w:trPr>
        <w:tc>
          <w:tcPr/>
          <w:p>
            <w:pPr>
              <w:pStyle w:val="Tabla9"/>
              <w:jc w:val="left"/>
            </w:pPr>
            <w:r>
              <w:t xml:space="preserve">OE1</w:t>
            </w:r>
          </w:p>
        </w:tc>
        <w:tc>
          <w:tcPr/>
          <w:p>
            <w:pPr>
              <w:pStyle w:val="Tabla9"/>
              <w:jc w:val="left"/>
            </w:pPr>
            <w:r>
              <w:t xml:space="preserve">A1.4 Entrenar y validar el modelo de corrección</w:t>
            </w:r>
          </w:p>
        </w:tc>
        <w:tc>
          <w:tcPr/>
          <w:p>
            <w:pPr>
              <w:pStyle w:val="Tabla9"/>
              <w:jc w:val="left"/>
            </w:pPr>
            <w:r>
              <w:t xml:space="preserve">10 a 12</w:t>
            </w:r>
          </w:p>
        </w:tc>
        <w:tc>
          <w:tcPr/>
          <w:p>
            <w:pPr>
              <w:pStyle w:val="Tabla9"/>
              <w:jc w:val="left"/>
            </w:pPr>
            <w:r>
              <w:t xml:space="preserve">$ 189.584.000</w:t>
            </w:r>
          </w:p>
        </w:tc>
      </w:tr>
      <w:tr>
        <w:trPr>
          <w:cantSplit/>
        </w:trPr>
        <w:tc>
          <w:tcPr/>
          <w:p>
            <w:pPr>
              <w:pStyle w:val="Tabla9"/>
              <w:jc w:val="left"/>
            </w:pPr>
            <w:r>
              <w:t xml:space="preserve">OE1</w:t>
            </w:r>
          </w:p>
        </w:tc>
        <w:tc>
          <w:tcPr/>
          <w:p>
            <w:pPr>
              <w:pStyle w:val="Tabla9"/>
              <w:jc w:val="left"/>
            </w:pPr>
            <w:r>
              <w:t xml:space="preserve">C1 Compuerta C1: decisión de ampliación al tramo 2</w:t>
            </w:r>
          </w:p>
        </w:tc>
        <w:tc>
          <w:tcPr/>
          <w:p>
            <w:pPr>
              <w:pStyle w:val="Tabla9"/>
              <w:jc w:val="left"/>
            </w:pPr>
            <w:r>
              <w:t xml:space="preserve">12 a 12</w:t>
            </w:r>
          </w:p>
        </w:tc>
        <w:tc>
          <w:tcPr/>
          <w:p>
            <w:pPr>
              <w:pStyle w:val="Tabla9"/>
              <w:jc w:val="left"/>
            </w:pPr>
            <w:r>
              <w:t xml:space="preserve">$ 344.666.666</w:t>
            </w:r>
          </w:p>
        </w:tc>
      </w:tr>
      <w:tr>
        <w:trPr>
          <w:cantSplit/>
        </w:trPr>
        <w:tc>
          <w:tcPr/>
          <w:p>
            <w:pPr>
              <w:pStyle w:val="Tabla9"/>
              <w:jc w:val="left"/>
            </w:pPr>
            <w:r>
              <w:t xml:space="preserve">OE1</w:t>
            </w:r>
          </w:p>
        </w:tc>
        <w:tc>
          <w:tcPr/>
          <w:p>
            <w:pPr>
              <w:pStyle w:val="Tabla9"/>
              <w:jc w:val="left"/>
            </w:pPr>
            <w:r>
              <w:t xml:space="preserve">A1.5 Reentrenar y verificar por departamento (tramo 2)</w:t>
            </w:r>
          </w:p>
        </w:tc>
        <w:tc>
          <w:tcPr/>
          <w:p>
            <w:pPr>
              <w:pStyle w:val="Tabla9"/>
              <w:jc w:val="left"/>
            </w:pPr>
            <w:r>
              <w:t xml:space="preserve">15 a 16</w:t>
            </w:r>
          </w:p>
        </w:tc>
        <w:tc>
          <w:tcPr/>
          <w:p>
            <w:pPr>
              <w:pStyle w:val="Tabla9"/>
              <w:jc w:val="left"/>
            </w:pPr>
            <w:r>
              <w:t xml:space="preserve">$ 126.856.419</w:t>
            </w:r>
          </w:p>
        </w:tc>
      </w:tr>
      <w:tr>
        <w:trPr>
          <w:cantSplit/>
        </w:trPr>
        <w:tc>
          <w:tcPr/>
          <w:p>
            <w:pPr>
              <w:pStyle w:val="Tabla9"/>
              <w:jc w:val="left"/>
            </w:pPr>
            <w:r>
              <w:t xml:space="preserve">OE1</w:t>
            </w:r>
          </w:p>
        </w:tc>
        <w:tc>
          <w:tcPr/>
          <w:p>
            <w:pPr>
              <w:pStyle w:val="Tabla9"/>
              <w:jc w:val="left"/>
            </w:pPr>
            <w:r>
              <w:t xml:space="preserve">A1.6 Verificar desempeño final y ensayo independiente</w:t>
            </w:r>
          </w:p>
        </w:tc>
        <w:tc>
          <w:tcPr/>
          <w:p>
            <w:pPr>
              <w:pStyle w:val="Tabla9"/>
              <w:jc w:val="left"/>
            </w:pPr>
            <w:r>
              <w:t xml:space="preserve">19 a 23</w:t>
            </w:r>
          </w:p>
        </w:tc>
        <w:tc>
          <w:tcPr/>
          <w:p>
            <w:pPr>
              <w:pStyle w:val="Tabla9"/>
              <w:jc w:val="left"/>
            </w:pPr>
            <w:r>
              <w:t xml:space="preserve">$ 465.283.788</w:t>
            </w:r>
          </w:p>
        </w:tc>
      </w:tr>
      <w:tr>
        <w:trPr>
          <w:cantSplit/>
        </w:trPr>
        <w:tc>
          <w:tcPr/>
          <w:p>
            <w:pPr>
              <w:pStyle w:val="Tabla9"/>
              <w:jc w:val="left"/>
            </w:pPr>
            <w:r>
              <w:t xml:space="preserve">OE1</w:t>
            </w:r>
          </w:p>
        </w:tc>
        <w:tc>
          <w:tcPr/>
          <w:p>
            <w:pPr>
              <w:pStyle w:val="Tabla9"/>
              <w:jc w:val="left"/>
            </w:pPr>
            <w:r>
              <w:t xml:space="preserve">ADM1 Administración y apoyo a la supervisión (OE1)</w:t>
            </w:r>
          </w:p>
        </w:tc>
        <w:tc>
          <w:tcPr/>
          <w:p>
            <w:pPr>
              <w:pStyle w:val="Tabla9"/>
              <w:jc w:val="left"/>
            </w:pPr>
            <w:r>
              <w:t xml:space="preserve">1 a 24</w:t>
            </w:r>
          </w:p>
        </w:tc>
        <w:tc>
          <w:tcPr/>
          <w:p>
            <w:pPr>
              <w:pStyle w:val="Tabla9"/>
              <w:jc w:val="left"/>
            </w:pPr>
            <w:r>
              <w:t xml:space="preserve">$ 120.000.000</w:t>
            </w:r>
          </w:p>
        </w:tc>
      </w:tr>
      <w:tr>
        <w:trPr>
          <w:cantSplit/>
        </w:trPr>
        <w:tc>
          <w:tcPr/>
          <w:p>
            <w:pPr>
              <w:pStyle w:val="Tabla9"/>
              <w:jc w:val="left"/>
            </w:pPr>
            <w:r>
              <w:t xml:space="preserve">OE1</w:t>
            </w:r>
          </w:p>
        </w:tc>
        <w:tc>
          <w:tcPr/>
          <w:p>
            <w:pPr>
              <w:pStyle w:val="Tabla9"/>
              <w:jc w:val="left"/>
            </w:pPr>
            <w:r>
              <w:t xml:space="preserve">Subtotal OE1</w:t>
            </w:r>
          </w:p>
        </w:tc>
        <w:tc>
          <w:tcPr/>
          <w:p>
            <w:pPr>
              <w:pStyle w:val="Tabla9"/>
            </w:pPr>
          </w:p>
        </w:tc>
        <w:tc>
          <w:tcPr/>
          <w:p>
            <w:pPr>
              <w:pStyle w:val="Tabla9"/>
              <w:jc w:val="left"/>
            </w:pPr>
            <w:r>
              <w:t xml:space="preserve">$ 2.900.581.334</w:t>
            </w:r>
          </w:p>
        </w:tc>
      </w:tr>
      <w:tr>
        <w:trPr>
          <w:cantSplit/>
        </w:trPr>
        <w:tc>
          <w:tcPr/>
          <w:p>
            <w:pPr>
              <w:pStyle w:val="Tabla9"/>
              <w:jc w:val="left"/>
            </w:pPr>
            <w:r>
              <w:t xml:space="preserve">OE2</w:t>
            </w:r>
          </w:p>
        </w:tc>
        <w:tc>
          <w:tcPr/>
          <w:p>
            <w:pPr>
              <w:pStyle w:val="Tabla9"/>
              <w:jc w:val="left"/>
            </w:pPr>
            <w:r>
              <w:t xml:space="preserve">A2.1 Diseñar arquitectura de enlace y energía</w:t>
            </w:r>
          </w:p>
        </w:tc>
        <w:tc>
          <w:tcPr/>
          <w:p>
            <w:pPr>
              <w:pStyle w:val="Tabla9"/>
              <w:jc w:val="left"/>
            </w:pPr>
            <w:r>
              <w:t xml:space="preserve">2 a 4</w:t>
            </w:r>
          </w:p>
        </w:tc>
        <w:tc>
          <w:tcPr/>
          <w:p>
            <w:pPr>
              <w:pStyle w:val="Tabla9"/>
              <w:jc w:val="left"/>
            </w:pPr>
            <w:r>
              <w:t xml:space="preserve">$ 391.200.000</w:t>
            </w:r>
          </w:p>
        </w:tc>
      </w:tr>
      <w:tr>
        <w:trPr>
          <w:cantSplit/>
        </w:trPr>
        <w:tc>
          <w:tcPr/>
          <w:p>
            <w:pPr>
              <w:pStyle w:val="Tabla9"/>
              <w:jc w:val="left"/>
            </w:pPr>
            <w:r>
              <w:t xml:space="preserve">OE2</w:t>
            </w:r>
          </w:p>
        </w:tc>
        <w:tc>
          <w:tcPr/>
          <w:p>
            <w:pPr>
              <w:pStyle w:val="Tabla9"/>
              <w:jc w:val="left"/>
            </w:pPr>
            <w:r>
              <w:t xml:space="preserve">A2.2 Desarrollar firmware y plataforma base</w:t>
            </w:r>
          </w:p>
        </w:tc>
        <w:tc>
          <w:tcPr/>
          <w:p>
            <w:pPr>
              <w:pStyle w:val="Tabla9"/>
              <w:jc w:val="left"/>
            </w:pPr>
            <w:r>
              <w:t xml:space="preserve">4 a 6</w:t>
            </w:r>
          </w:p>
        </w:tc>
        <w:tc>
          <w:tcPr/>
          <w:p>
            <w:pPr>
              <w:pStyle w:val="Tabla9"/>
              <w:jc w:val="left"/>
            </w:pPr>
            <w:r>
              <w:t xml:space="preserve">$ 777.000.000</w:t>
            </w:r>
          </w:p>
        </w:tc>
      </w:tr>
      <w:tr>
        <w:trPr>
          <w:cantSplit/>
        </w:trPr>
        <w:tc>
          <w:tcPr/>
          <w:p>
            <w:pPr>
              <w:pStyle w:val="Tabla9"/>
              <w:jc w:val="left"/>
            </w:pPr>
            <w:r>
              <w:t xml:space="preserve">OE2</w:t>
            </w:r>
          </w:p>
        </w:tc>
        <w:tc>
          <w:tcPr/>
          <w:p>
            <w:pPr>
              <w:pStyle w:val="Tabla9"/>
              <w:jc w:val="left"/>
            </w:pPr>
            <w:r>
              <w:t xml:space="preserve">A2.3 Instalar tramo 2 (40 nodos, 4 gateways)</w:t>
            </w:r>
          </w:p>
        </w:tc>
        <w:tc>
          <w:tcPr/>
          <w:p>
            <w:pPr>
              <w:pStyle w:val="Tabla9"/>
              <w:jc w:val="left"/>
            </w:pPr>
            <w:r>
              <w:t xml:space="preserve">12 a 15</w:t>
            </w:r>
          </w:p>
        </w:tc>
        <w:tc>
          <w:tcPr/>
          <w:p>
            <w:pPr>
              <w:pStyle w:val="Tabla9"/>
              <w:jc w:val="left"/>
            </w:pPr>
            <w:r>
              <w:t xml:space="preserve">$ 1.338.774.000</w:t>
            </w:r>
          </w:p>
        </w:tc>
      </w:tr>
      <w:tr>
        <w:trPr>
          <w:cantSplit/>
        </w:trPr>
        <w:tc>
          <w:tcPr/>
          <w:p>
            <w:pPr>
              <w:pStyle w:val="Tabla9"/>
              <w:jc w:val="left"/>
            </w:pPr>
            <w:r>
              <w:t xml:space="preserve">OE2</w:t>
            </w:r>
          </w:p>
        </w:tc>
        <w:tc>
          <w:tcPr/>
          <w:p>
            <w:pPr>
              <w:pStyle w:val="Tabla9"/>
              <w:jc w:val="left"/>
            </w:pPr>
            <w:r>
              <w:t xml:space="preserve">C2 Compuerta C2: decisión de consolidación al tramo 3</w:t>
            </w:r>
          </w:p>
        </w:tc>
        <w:tc>
          <w:tcPr/>
          <w:p>
            <w:pPr>
              <w:pStyle w:val="Tabla9"/>
              <w:jc w:val="left"/>
            </w:pPr>
            <w:r>
              <w:t xml:space="preserve">16 a 17</w:t>
            </w:r>
          </w:p>
        </w:tc>
        <w:tc>
          <w:tcPr/>
          <w:p>
            <w:pPr>
              <w:pStyle w:val="Tabla9"/>
              <w:jc w:val="left"/>
            </w:pPr>
            <w:r>
              <w:t xml:space="preserve">$ 344.666.666</w:t>
            </w:r>
          </w:p>
        </w:tc>
      </w:tr>
      <w:tr>
        <w:trPr>
          <w:cantSplit/>
        </w:trPr>
        <w:tc>
          <w:tcPr/>
          <w:p>
            <w:pPr>
              <w:pStyle w:val="Tabla9"/>
              <w:jc w:val="left"/>
            </w:pPr>
            <w:r>
              <w:t xml:space="preserve">OE2</w:t>
            </w:r>
          </w:p>
        </w:tc>
        <w:tc>
          <w:tcPr/>
          <w:p>
            <w:pPr>
              <w:pStyle w:val="Tabla9"/>
              <w:jc w:val="left"/>
            </w:pPr>
            <w:r>
              <w:t xml:space="preserve">A2.4 Instalar tramo 3 (30 nodos, 3 gateways)</w:t>
            </w:r>
          </w:p>
        </w:tc>
        <w:tc>
          <w:tcPr/>
          <w:p>
            <w:pPr>
              <w:pStyle w:val="Tabla9"/>
              <w:jc w:val="left"/>
            </w:pPr>
            <w:r>
              <w:t xml:space="preserve">17 a 19</w:t>
            </w:r>
          </w:p>
        </w:tc>
        <w:tc>
          <w:tcPr/>
          <w:p>
            <w:pPr>
              <w:pStyle w:val="Tabla9"/>
              <w:jc w:val="left"/>
            </w:pPr>
            <w:r>
              <w:t xml:space="preserve">$ 1.193.118.000</w:t>
            </w:r>
          </w:p>
        </w:tc>
      </w:tr>
      <w:tr>
        <w:trPr>
          <w:cantSplit/>
        </w:trPr>
        <w:tc>
          <w:tcPr/>
          <w:p>
            <w:pPr>
              <w:pStyle w:val="Tabla9"/>
              <w:jc w:val="left"/>
            </w:pPr>
            <w:r>
              <w:t xml:space="preserve">OE2</w:t>
            </w:r>
          </w:p>
        </w:tc>
        <w:tc>
          <w:tcPr/>
          <w:p>
            <w:pPr>
              <w:pStyle w:val="Tabla9"/>
              <w:jc w:val="left"/>
            </w:pPr>
            <w:r>
              <w:t xml:space="preserve">ADM2 Administración y apoyo a la supervisión (OE2)</w:t>
            </w:r>
          </w:p>
        </w:tc>
        <w:tc>
          <w:tcPr/>
          <w:p>
            <w:pPr>
              <w:pStyle w:val="Tabla9"/>
              <w:jc w:val="left"/>
            </w:pPr>
            <w:r>
              <w:t xml:space="preserve">1 a 24</w:t>
            </w:r>
          </w:p>
        </w:tc>
        <w:tc>
          <w:tcPr/>
          <w:p>
            <w:pPr>
              <w:pStyle w:val="Tabla9"/>
              <w:jc w:val="left"/>
            </w:pPr>
            <w:r>
              <w:t xml:space="preserve">$ 120.000.000</w:t>
            </w:r>
          </w:p>
        </w:tc>
      </w:tr>
      <w:tr>
        <w:trPr>
          <w:cantSplit/>
        </w:trPr>
        <w:tc>
          <w:tcPr/>
          <w:p>
            <w:pPr>
              <w:pStyle w:val="Tabla9"/>
              <w:jc w:val="left"/>
            </w:pPr>
            <w:r>
              <w:t xml:space="preserve">OE2</w:t>
            </w:r>
          </w:p>
        </w:tc>
        <w:tc>
          <w:tcPr/>
          <w:p>
            <w:pPr>
              <w:pStyle w:val="Tabla9"/>
              <w:jc w:val="left"/>
            </w:pPr>
            <w:r>
              <w:t xml:space="preserve">Subtotal OE2</w:t>
            </w:r>
          </w:p>
        </w:tc>
        <w:tc>
          <w:tcPr/>
          <w:p>
            <w:pPr>
              <w:pStyle w:val="Tabla9"/>
            </w:pPr>
          </w:p>
        </w:tc>
        <w:tc>
          <w:tcPr/>
          <w:p>
            <w:pPr>
              <w:pStyle w:val="Tabla9"/>
              <w:jc w:val="left"/>
            </w:pPr>
            <w:r>
              <w:t xml:space="preserve">$ 4.164.758.666</w:t>
            </w:r>
          </w:p>
        </w:tc>
      </w:tr>
      <w:tr>
        <w:trPr>
          <w:cantSplit/>
        </w:trPr>
        <w:tc>
          <w:tcPr/>
          <w:p>
            <w:pPr>
              <w:pStyle w:val="Tabla9"/>
              <w:jc w:val="left"/>
            </w:pPr>
            <w:r>
              <w:t xml:space="preserve">OE3</w:t>
            </w:r>
          </w:p>
        </w:tc>
        <w:tc>
          <w:tcPr/>
          <w:p>
            <w:pPr>
              <w:pStyle w:val="Tabla9"/>
              <w:jc w:val="left"/>
            </w:pPr>
            <w:r>
              <w:t xml:space="preserve">A3.1 Co-diseñar umbrales y protocolo de alerta con comités</w:t>
            </w:r>
          </w:p>
        </w:tc>
        <w:tc>
          <w:tcPr/>
          <w:p>
            <w:pPr>
              <w:pStyle w:val="Tabla9"/>
              <w:jc w:val="left"/>
            </w:pPr>
            <w:r>
              <w:t xml:space="preserve">3 a 9</w:t>
            </w:r>
          </w:p>
        </w:tc>
        <w:tc>
          <w:tcPr/>
          <w:p>
            <w:pPr>
              <w:pStyle w:val="Tabla9"/>
              <w:jc w:val="left"/>
            </w:pPr>
            <w:r>
              <w:t xml:space="preserve">$ 523.615.395</w:t>
            </w:r>
          </w:p>
        </w:tc>
      </w:tr>
      <w:tr>
        <w:trPr>
          <w:cantSplit/>
        </w:trPr>
        <w:tc>
          <w:tcPr/>
          <w:p>
            <w:pPr>
              <w:pStyle w:val="Tabla9"/>
              <w:jc w:val="left"/>
            </w:pPr>
            <w:r>
              <w:t xml:space="preserve">OE3</w:t>
            </w:r>
          </w:p>
        </w:tc>
        <w:tc>
          <w:tcPr/>
          <w:p>
            <w:pPr>
              <w:pStyle w:val="Tabla9"/>
              <w:jc w:val="left"/>
            </w:pPr>
            <w:r>
              <w:t xml:space="preserve">A3.2 Poner en uso el tablero con los comités</w:t>
            </w:r>
          </w:p>
        </w:tc>
        <w:tc>
          <w:tcPr/>
          <w:p>
            <w:pPr>
              <w:pStyle w:val="Tabla9"/>
              <w:jc w:val="left"/>
            </w:pPr>
            <w:r>
              <w:t xml:space="preserve">12 a 15</w:t>
            </w:r>
          </w:p>
        </w:tc>
        <w:tc>
          <w:tcPr/>
          <w:p>
            <w:pPr>
              <w:pStyle w:val="Tabla9"/>
              <w:jc w:val="left"/>
            </w:pPr>
            <w:r>
              <w:t xml:space="preserve">$ 261.807.686</w:t>
            </w:r>
          </w:p>
        </w:tc>
      </w:tr>
      <w:tr>
        <w:trPr>
          <w:cantSplit/>
        </w:trPr>
        <w:tc>
          <w:tcPr/>
          <w:p>
            <w:pPr>
              <w:pStyle w:val="Tabla9"/>
              <w:jc w:val="left"/>
            </w:pPr>
            <w:r>
              <w:t xml:space="preserve">OE3</w:t>
            </w:r>
          </w:p>
        </w:tc>
        <w:tc>
          <w:tcPr/>
          <w:p>
            <w:pPr>
              <w:pStyle w:val="Tabla9"/>
              <w:jc w:val="left"/>
            </w:pPr>
            <w:r>
              <w:t xml:space="preserve">A3.3 Formar custodios y firmar convenios por tramo</w:t>
            </w:r>
          </w:p>
        </w:tc>
        <w:tc>
          <w:tcPr/>
          <w:p>
            <w:pPr>
              <w:pStyle w:val="Tabla9"/>
              <w:jc w:val="left"/>
            </w:pPr>
            <w:r>
              <w:t xml:space="preserve">17 a 20</w:t>
            </w:r>
          </w:p>
        </w:tc>
        <w:tc>
          <w:tcPr/>
          <w:p>
            <w:pPr>
              <w:pStyle w:val="Tabla9"/>
              <w:jc w:val="left"/>
            </w:pPr>
            <w:r>
              <w:t xml:space="preserve">$ 559.076.919</w:t>
            </w:r>
          </w:p>
        </w:tc>
      </w:tr>
      <w:tr>
        <w:trPr>
          <w:cantSplit/>
        </w:trPr>
        <w:tc>
          <w:tcPr/>
          <w:p>
            <w:pPr>
              <w:pStyle w:val="Tabla9"/>
              <w:jc w:val="left"/>
            </w:pPr>
            <w:r>
              <w:t xml:space="preserve">OE3</w:t>
            </w:r>
          </w:p>
        </w:tc>
        <w:tc>
          <w:tcPr/>
          <w:p>
            <w:pPr>
              <w:pStyle w:val="Tabla9"/>
              <w:jc w:val="left"/>
            </w:pPr>
            <w:r>
              <w:t xml:space="preserve">A3.4 Transferir, cerrar y evaluar</w:t>
            </w:r>
          </w:p>
        </w:tc>
        <w:tc>
          <w:tcPr/>
          <w:p>
            <w:pPr>
              <w:pStyle w:val="Tabla9"/>
              <w:jc w:val="left"/>
            </w:pPr>
            <w:r>
              <w:t xml:space="preserve">23 a 24</w:t>
            </w:r>
          </w:p>
        </w:tc>
        <w:tc>
          <w:tcPr/>
          <w:p>
            <w:pPr>
              <w:pStyle w:val="Tabla9"/>
              <w:jc w:val="left"/>
            </w:pPr>
            <w:r>
              <w:t xml:space="preserve">$ 200.000.000</w:t>
            </w:r>
          </w:p>
        </w:tc>
      </w:tr>
      <w:tr>
        <w:trPr>
          <w:cantSplit/>
        </w:trPr>
        <w:tc>
          <w:tcPr/>
          <w:p>
            <w:pPr>
              <w:pStyle w:val="Tabla9"/>
              <w:jc w:val="left"/>
            </w:pPr>
            <w:r>
              <w:t xml:space="preserve">OE3</w:t>
            </w:r>
          </w:p>
        </w:tc>
        <w:tc>
          <w:tcPr/>
          <w:p>
            <w:pPr>
              <w:pStyle w:val="Tabla9"/>
              <w:jc w:val="left"/>
            </w:pPr>
            <w:r>
              <w:t xml:space="preserve">ADM3 Administración y apoyo a la supervisión (OE3)</w:t>
            </w:r>
          </w:p>
        </w:tc>
        <w:tc>
          <w:tcPr/>
          <w:p>
            <w:pPr>
              <w:pStyle w:val="Tabla9"/>
              <w:jc w:val="left"/>
            </w:pPr>
            <w:r>
              <w:t xml:space="preserve">1 a 24</w:t>
            </w:r>
          </w:p>
        </w:tc>
        <w:tc>
          <w:tcPr/>
          <w:p>
            <w:pPr>
              <w:pStyle w:val="Tabla9"/>
              <w:jc w:val="left"/>
            </w:pPr>
            <w:r>
              <w:t xml:space="preserve">$ 120.000.000</w:t>
            </w:r>
          </w:p>
        </w:tc>
      </w:tr>
      <w:tr>
        <w:trPr>
          <w:cantSplit/>
        </w:trPr>
        <w:tc>
          <w:tcPr/>
          <w:p>
            <w:pPr>
              <w:pStyle w:val="Tabla9"/>
              <w:jc w:val="left"/>
            </w:pPr>
            <w:r>
              <w:t xml:space="preserve">OE3</w:t>
            </w:r>
          </w:p>
        </w:tc>
        <w:tc>
          <w:tcPr/>
          <w:p>
            <w:pPr>
              <w:pStyle w:val="Tabla9"/>
              <w:jc w:val="left"/>
            </w:pPr>
            <w:r>
              <w:t xml:space="preserve">Subtotal OE3</w:t>
            </w:r>
          </w:p>
        </w:tc>
        <w:tc>
          <w:tcPr/>
          <w:p>
            <w:pPr>
              <w:pStyle w:val="Tabla9"/>
            </w:pPr>
          </w:p>
        </w:tc>
        <w:tc>
          <w:tcPr/>
          <w:p>
            <w:pPr>
              <w:pStyle w:val="Tabla9"/>
              <w:jc w:val="left"/>
            </w:pPr>
            <w:r>
              <w:t xml:space="preserve">$ 1.664.500.000</w:t>
            </w:r>
          </w:p>
        </w:tc>
      </w:tr>
      <w:tr>
        <w:trPr>
          <w:cantSplit/>
        </w:trPr>
        <w:tc>
          <w:tcPr/>
          <w:p>
            <w:pPr>
              <w:pStyle w:val="Tabla9"/>
              <w:jc w:val="left"/>
            </w:pPr>
            <w:r>
              <w:t xml:space="preserve">Total</w:t>
            </w:r>
          </w:p>
        </w:tc>
        <w:tc>
          <w:tcPr/>
          <w:p>
            <w:pPr>
              <w:pStyle w:val="Tabla9"/>
              <w:jc w:val="left"/>
            </w:pPr>
            <w:r>
              <w:t xml:space="preserve">Valor SGR del proyecto</w:t>
            </w:r>
          </w:p>
        </w:tc>
        <w:tc>
          <w:tcPr/>
          <w:p>
            <w:pPr>
              <w:pStyle w:val="Tabla9"/>
            </w:pPr>
          </w:p>
        </w:tc>
        <w:tc>
          <w:tcPr/>
          <w:p>
            <w:pPr>
              <w:pStyle w:val="Tabla9"/>
              <w:jc w:val="left"/>
            </w:pPr>
            <w:r>
              <w:t xml:space="preserve">$ 8.729.840.000</w:t>
            </w:r>
          </w:p>
        </w:tc>
      </w:tr>
    </w:tbl>
    <w:p>
      <w:pPr>
        <w:pStyle w:val="TablaNota"/>
      </w:pPr>
      <w:r>
        <w:rPr>
          <w:i/>
          <w:iCs/>
        </w:rPr>
        <w:t xml:space="preserve">Nota.</w:t>
      </w:r>
      <w:r>
        <w:t xml:space="preserve"> </w:t>
      </w:r>
      <w:r>
        <w:t xml:space="preserve">Elaboración propia con las 54 líneas del presupuesto SGR. Regla de asignación PROPUESTA: el personal se reparte según la duración de las actividades de su paquete; los equipos y servicios se asignan a la actividad que los usa; la reserva de contingencia (636 millones de COP) se asigna por mitades a las compuertas C1 y C2, que la liberan; la administración (360 millones de COP) se divide en tres partes iguales.</w:t>
      </w:r>
    </w:p>
    <w:p>
      <w:pPr>
        <w:pStyle w:val="BodyText"/>
      </w:pPr>
      <w:r>
        <w:t xml:space="preserve">La administración y el apoyo a la supervisión suman $ 360.000.000, equivalentes a 4,1 % del valor SGR. El tope porcentual de esta categoría no se verificó (NO_VERIFICADO). Los miembros de la alianza participan en actividades presupuestadas según la Tabla S.8 de la sección S.7.</w:t>
      </w:r>
    </w:p>
    <w:p>
      <w:pPr>
        <w:pStyle w:val="BodyText"/>
      </w:pPr>
      <w:r>
        <w:t xml:space="preserve">Los valores incorporan los ajustes de la verificación presupuestal. Se retiraron los seguros, se incluyó el posdoctorado y la movilidad se limitó al 2 % del valor SGR. Quedan pendientes las cotizaciones y la contrapartida del actor reconocido.</w:t>
      </w:r>
    </w:p>
    <w:bookmarkEnd w:id="74"/>
    <w:bookmarkStart w:id="75" w:name="X6eda6f26400c0ebfb01e1eb3fcfc7622a70617e"/>
    <w:p>
      <w:pPr>
        <w:pStyle w:val="Heading1"/>
      </w:pPr>
      <w:r>
        <w:t xml:space="preserve">16. SOSTENIBILIDAD SOCIAL Y AMBIENTAL DEL PROYECTO</w:t>
      </w:r>
    </w:p>
    <w:p>
      <w:pPr>
        <w:pStyle w:val="FirstParagraph"/>
      </w:pPr>
      <w:r>
        <w:t xml:space="preserve">El proyecto contribuye a los Objetivos de Desarrollo Sostenible 11, 9, 17 y 3, este último de forma indirecta (Organización de las Naciones Unidas [ONU], 2015). Se alinea con el Plan Nacional de Desarrollo en gestión del riesgo y acción climática (Congreso de la República, 2023). Fortalece la capacidad de generación de conocimiento con dos artículos, un laboratorio de calibración y la formación de nueve personas en investigación.</w:t>
      </w:r>
    </w:p>
    <w:p>
      <w:pPr>
        <w:pStyle w:val="BodyText"/>
      </w:pPr>
      <w:r>
        <w:t xml:space="preserve">La sostenibilidad se gestiona con custodia distribuida por componente. La Tabla D.19 resume los componentes, el custodio candidato, el mecanismo y la condición de recepción. Los custodios no están asignados: se definen con un índice de capacidad de absorción (ICAR) que evalúa seis dimensiones. El costo de sostenimiento y el ICAR son NO_CALCULABLE hasta que los candidatos aporten evidencia.</w:t>
      </w:r>
    </w:p>
    <w:p>
      <w:pPr>
        <w:pStyle w:val="TablaRotulo"/>
      </w:pPr>
      <w:bookmarkStart w:id="9037" w:name="rot_Tabla_D_19"/>
      <w:r>
        <w:rPr>
          <w:b/>
          <w:bCs/>
        </w:rPr>
        <w:t xml:space="preserve">Tabla D.19</w:t>
      </w:r>
      <w:bookmarkEnd w:id="9037"/>
    </w:p>
    <w:p>
      <w:pPr>
        <w:pStyle w:val="TablaTitulo"/>
      </w:pPr>
      <w:r>
        <w:rPr>
          <w:i/>
          <w:iCs/>
        </w:rPr>
        <w:t xml:space="preserve">Sostenibilidad: transferencia por componente y condición de recepción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30"/>
        <w:gridCol w:w="1863"/>
        <w:gridCol w:w="1796"/>
        <w:gridCol w:w="598"/>
        <w:gridCol w:w="1930"/>
      </w:tblGrid>
      <w:tr>
        <w:trPr>
          <w:cantSplit/>
          <w:tblHeader/>
        </w:trPr>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Candidatos a custodia</w:t>
            </w:r>
          </w:p>
        </w:tc>
        <w:tc>
          <w:tcPr>
            <w:shd w:val="clear" w:color="auto" w:fill="00B050"/>
          </w:tcPr>
          <w:p>
            <w:pPr>
              <w:pStyle w:val="Tabla9"/>
              <w:jc w:val="center"/>
            </w:pPr>
            <w:r>
              <w:rPr>
                <w:b/>
                <w:color w:val="FFFFFF"/>
              </w:rPr>
              <w:t xml:space="preserve">Mecanismo</w:t>
            </w:r>
          </w:p>
        </w:tc>
        <w:tc>
          <w:tcPr>
            <w:shd w:val="clear" w:color="auto" w:fill="00B050"/>
          </w:tcPr>
          <w:p>
            <w:pPr>
              <w:pStyle w:val="Tabla9"/>
              <w:jc w:val="center"/>
            </w:pPr>
            <w:r>
              <w:rPr>
                <w:b/>
                <w:color w:val="FFFFFF"/>
              </w:rPr>
              <w:t xml:space="preserve">Mes</w:t>
            </w:r>
          </w:p>
        </w:tc>
        <w:tc>
          <w:tcPr>
            <w:shd w:val="clear" w:color="auto" w:fill="00B050"/>
          </w:tcPr>
          <w:p>
            <w:pPr>
              <w:pStyle w:val="Tabla9"/>
              <w:jc w:val="center"/>
            </w:pPr>
            <w:r>
              <w:rPr>
                <w:b/>
                <w:color w:val="FFFFFF"/>
              </w:rPr>
              <w:t xml:space="preserve">Condición de recepción</w:t>
            </w:r>
          </w:p>
        </w:tc>
      </w:tr>
      <w:tr>
        <w:trPr>
          <w:cantSplit/>
        </w:trPr>
        <w:tc>
          <w:tcPr/>
          <w:p>
            <w:pPr>
              <w:pStyle w:val="Tabla9"/>
              <w:jc w:val="left"/>
            </w:pPr>
            <w:r>
              <w:t xml:space="preserve">Gobernanza y acuerdos</w:t>
            </w:r>
          </w:p>
        </w:tc>
        <w:tc>
          <w:tcPr/>
          <w:p>
            <w:pPr>
              <w:pStyle w:val="Tabla9"/>
              <w:jc w:val="left"/>
            </w:pPr>
            <w:r>
              <w:t xml:space="preserve">Órgano de gobierno de la alianza</w:t>
            </w:r>
          </w:p>
        </w:tc>
        <w:tc>
          <w:tcPr/>
          <w:p>
            <w:pPr>
              <w:pStyle w:val="Tabla9"/>
              <w:jc w:val="left"/>
            </w:pPr>
            <w:r>
              <w:t xml:space="preserve">Acuerdo marco y cláusula de apertura</w:t>
            </w:r>
          </w:p>
        </w:tc>
        <w:tc>
          <w:tcPr/>
          <w:p>
            <w:pPr>
              <w:pStyle w:val="Tabla9"/>
              <w:jc w:val="left"/>
            </w:pPr>
            <w:r>
              <w:t xml:space="preserve">6</w:t>
            </w:r>
          </w:p>
        </w:tc>
        <w:tc>
          <w:tcPr/>
          <w:p>
            <w:pPr>
              <w:pStyle w:val="Tabla9"/>
              <w:jc w:val="left"/>
            </w:pPr>
            <w:r>
              <w:t xml:space="preserve">Acuerdos firmados antes de comprar el segundo lote</w:t>
            </w:r>
          </w:p>
        </w:tc>
      </w:tr>
      <w:tr>
        <w:trPr>
          <w:cantSplit/>
        </w:trPr>
        <w:tc>
          <w:tcPr/>
          <w:p>
            <w:pPr>
              <w:pStyle w:val="Tabla9"/>
              <w:jc w:val="left"/>
            </w:pPr>
            <w:r>
              <w:t xml:space="preserve">Protocolo de calibración y series de datos</w:t>
            </w:r>
          </w:p>
        </w:tc>
        <w:tc>
          <w:tcPr/>
          <w:p>
            <w:pPr>
              <w:pStyle w:val="Tabla9"/>
              <w:jc w:val="left"/>
            </w:pPr>
            <w:r>
              <w:t xml:space="preserve">Autoridad ambiental; Universidad</w:t>
            </w:r>
          </w:p>
        </w:tc>
        <w:tc>
          <w:tcPr/>
          <w:p>
            <w:pPr>
              <w:pStyle w:val="Tabla9"/>
              <w:jc w:val="left"/>
            </w:pPr>
            <w:r>
              <w:t xml:space="preserve">Acta de entrega y capacitación</w:t>
            </w:r>
          </w:p>
        </w:tc>
        <w:tc>
          <w:tcPr/>
          <w:p>
            <w:pPr>
              <w:pStyle w:val="Tabla9"/>
              <w:jc w:val="left"/>
            </w:pPr>
            <w:r>
              <w:t xml:space="preserve">12</w:t>
            </w:r>
          </w:p>
        </w:tc>
        <w:tc>
          <w:tcPr/>
          <w:p>
            <w:pPr>
              <w:pStyle w:val="Tabla9"/>
              <w:jc w:val="left"/>
            </w:pPr>
            <w:r>
              <w:t xml:space="preserve">Evidencia del contraste y custodio con ICAR de 2 o más</w:t>
            </w:r>
          </w:p>
        </w:tc>
      </w:tr>
      <w:tr>
        <w:trPr>
          <w:cantSplit/>
        </w:trPr>
        <w:tc>
          <w:tcPr/>
          <w:p>
            <w:pPr>
              <w:pStyle w:val="Tabla9"/>
              <w:jc w:val="left"/>
            </w:pPr>
            <w:r>
              <w:t xml:space="preserve">Nodos adicionales y repuestos</w:t>
            </w:r>
          </w:p>
        </w:tc>
        <w:tc>
          <w:tcPr/>
          <w:p>
            <w:pPr>
              <w:pStyle w:val="Tabla9"/>
              <w:jc w:val="left"/>
            </w:pPr>
            <w:r>
              <w:t xml:space="preserve">Empresa; Universidad</w:t>
            </w:r>
          </w:p>
        </w:tc>
        <w:tc>
          <w:tcPr/>
          <w:p>
            <w:pPr>
              <w:pStyle w:val="Tabla9"/>
              <w:jc w:val="left"/>
            </w:pPr>
            <w:r>
              <w:t xml:space="preserve">Convenio de custodia con partida</w:t>
            </w:r>
          </w:p>
        </w:tc>
        <w:tc>
          <w:tcPr/>
          <w:p>
            <w:pPr>
              <w:pStyle w:val="Tabla9"/>
              <w:jc w:val="left"/>
            </w:pPr>
            <w:r>
              <w:t xml:space="preserve">18</w:t>
            </w:r>
          </w:p>
        </w:tc>
        <w:tc>
          <w:tcPr/>
          <w:p>
            <w:pPr>
              <w:pStyle w:val="Tabla9"/>
              <w:jc w:val="left"/>
            </w:pPr>
            <w:r>
              <w:t xml:space="preserve">Partida en el plan operativo anual y personal designado</w:t>
            </w:r>
          </w:p>
        </w:tc>
      </w:tr>
      <w:tr>
        <w:trPr>
          <w:cantSplit/>
        </w:trPr>
        <w:tc>
          <w:tcPr/>
          <w:p>
            <w:pPr>
              <w:pStyle w:val="Tabla9"/>
              <w:jc w:val="left"/>
            </w:pPr>
            <w:r>
              <w:t xml:space="preserve">Tablero y alertas</w:t>
            </w:r>
          </w:p>
        </w:tc>
        <w:tc>
          <w:tcPr/>
          <w:p>
            <w:pPr>
              <w:pStyle w:val="Tabla9"/>
              <w:jc w:val="left"/>
            </w:pPr>
            <w:r>
              <w:t xml:space="preserve">Unidades de gestión del riesgo; municipios</w:t>
            </w:r>
          </w:p>
        </w:tc>
        <w:tc>
          <w:tcPr/>
          <w:p>
            <w:pPr>
              <w:pStyle w:val="Tabla9"/>
              <w:jc w:val="left"/>
            </w:pPr>
            <w:r>
              <w:t xml:space="preserve">Convenio de uso y de competencia</w:t>
            </w:r>
          </w:p>
        </w:tc>
        <w:tc>
          <w:tcPr/>
          <w:p>
            <w:pPr>
              <w:pStyle w:val="Tabla9"/>
              <w:jc w:val="left"/>
            </w:pPr>
            <w:r>
              <w:t xml:space="preserve">18</w:t>
            </w:r>
          </w:p>
        </w:tc>
        <w:tc>
          <w:tcPr/>
          <w:p>
            <w:pPr>
              <w:pStyle w:val="Tabla9"/>
              <w:jc w:val="left"/>
            </w:pPr>
            <w:r>
              <w:t xml:space="preserve">Partida en el plan operativo anual y personal designado</w:t>
            </w:r>
          </w:p>
        </w:tc>
      </w:tr>
      <w:tr>
        <w:trPr>
          <w:cantSplit/>
        </w:trPr>
        <w:tc>
          <w:tcPr/>
          <w:p>
            <w:pPr>
              <w:pStyle w:val="Tabla9"/>
              <w:jc w:val="left"/>
            </w:pPr>
            <w:r>
              <w:t xml:space="preserve">Gemelo digital y datos</w:t>
            </w:r>
          </w:p>
        </w:tc>
        <w:tc>
          <w:tcPr/>
          <w:p>
            <w:pPr>
              <w:pStyle w:val="Tabla9"/>
              <w:jc w:val="left"/>
            </w:pPr>
            <w:r>
              <w:t xml:space="preserve">Universidad; empresa</w:t>
            </w:r>
          </w:p>
        </w:tc>
        <w:tc>
          <w:tcPr/>
          <w:p>
            <w:pPr>
              <w:pStyle w:val="Tabla9"/>
              <w:jc w:val="left"/>
            </w:pPr>
            <w:r>
              <w:t xml:space="preserve">Convenio de operación y licencia</w:t>
            </w:r>
          </w:p>
        </w:tc>
        <w:tc>
          <w:tcPr/>
          <w:p>
            <w:pPr>
              <w:pStyle w:val="Tabla9"/>
              <w:jc w:val="left"/>
            </w:pPr>
            <w:r>
              <w:t xml:space="preserve">24</w:t>
            </w:r>
          </w:p>
        </w:tc>
        <w:tc>
          <w:tcPr/>
          <w:p>
            <w:pPr>
              <w:pStyle w:val="Tabla9"/>
              <w:jc w:val="left"/>
            </w:pPr>
            <w:r>
              <w:t xml:space="preserve">Competencia jurídica documentada y primer pago del servicio</w:t>
            </w:r>
          </w:p>
        </w:tc>
      </w:tr>
    </w:tbl>
    <w:p>
      <w:pPr>
        <w:pStyle w:val="TablaNota"/>
      </w:pPr>
      <w:r>
        <w:rPr>
          <w:i/>
          <w:iCs/>
        </w:rPr>
        <w:t xml:space="preserve">Nota.</w:t>
      </w:r>
      <w:r>
        <w:t xml:space="preserve"> </w:t>
      </w:r>
      <w:r>
        <w:t xml:space="preserve">Elaboración propia con la sección 4.4-MDR.10 del expediente. Los hitos y las condiciones son PROPUESTOS. El custodio asignado es POR_DEFINIR.</w:t>
      </w:r>
    </w:p>
    <w:p>
      <w:pPr>
        <w:pStyle w:val="BodyText"/>
      </w:pPr>
      <w:r>
        <w:t xml:space="preserve">La cláusula de apertura protege la continuidad. Si ningún custodio demuestra capacidad, los datos y el código se publican de forma abierta y la salida es ordenada. El expediente desarrolla la sostenibilidad en el capítulo 14.</w:t>
      </w:r>
    </w:p>
    <w:bookmarkEnd w:id="75"/>
    <w:bookmarkStart w:id="77" w:name="Xac2dc2fefbd7bdd6ca7fd63789903adb0a5e1fb"/>
    <w:p>
      <w:pPr>
        <w:pStyle w:val="Heading1"/>
      </w:pPr>
      <w:r>
        <w:t xml:space="preserve">17. RESULTADOS E IMPACTOS PARA EL DEPARTAMENTO OBJETO DEL PROYECTO</w:t>
      </w:r>
    </w:p>
    <w:p>
      <w:pPr>
        <w:pStyle w:val="FirstParagraph"/>
      </w:pPr>
      <w:r>
        <w:t xml:space="preserve">La Tabla D.20 presenta los resultados medibles y el impacto esperado a corto, mediano y largo plazo. Los resultados son técnicos, de adopción y de continuidad. El proyecto no afirma efectos en la salud.</w:t>
      </w:r>
    </w:p>
    <w:p>
      <w:pPr>
        <w:pStyle w:val="TablaRotulo"/>
      </w:pPr>
      <w:bookmarkStart w:id="9038" w:name="rot_Tabla_D_20"/>
      <w:r>
        <w:rPr>
          <w:b/>
          <w:bCs/>
        </w:rPr>
        <w:t xml:space="preserve">Tabla D.20</w:t>
      </w:r>
      <w:bookmarkEnd w:id="9038"/>
    </w:p>
    <w:p>
      <w:pPr>
        <w:pStyle w:val="TablaTitulo"/>
      </w:pPr>
      <w:r>
        <w:rPr>
          <w:i/>
          <w:iCs/>
        </w:rPr>
        <w:t xml:space="preserve">Resultados e impactos por horizonte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84"/>
        <w:gridCol w:w="2112"/>
        <w:gridCol w:w="2178"/>
        <w:gridCol w:w="2046"/>
      </w:tblGrid>
      <w:tr>
        <w:trPr>
          <w:cantSplit/>
          <w:tblHeader/>
        </w:trPr>
        <w:tc>
          <w:tcPr>
            <w:shd w:val="clear" w:color="auto" w:fill="00B050"/>
          </w:tcPr>
          <w:p>
            <w:pPr>
              <w:pStyle w:val="Tabla9"/>
              <w:jc w:val="center"/>
            </w:pPr>
            <w:r>
              <w:rPr>
                <w:b/>
                <w:color w:val="FFFFFF"/>
              </w:rPr>
              <w:t xml:space="preserve">Horizonte</w:t>
            </w:r>
          </w:p>
        </w:tc>
        <w:tc>
          <w:tcPr>
            <w:shd w:val="clear" w:color="auto" w:fill="00B050"/>
          </w:tcPr>
          <w:p>
            <w:pPr>
              <w:pStyle w:val="Tabla9"/>
              <w:jc w:val="center"/>
            </w:pPr>
            <w:r>
              <w:rPr>
                <w:b/>
                <w:color w:val="FFFFFF"/>
              </w:rPr>
              <w:t xml:space="preserve">Resultado o impacto</w:t>
            </w:r>
          </w:p>
        </w:tc>
        <w:tc>
          <w:tcPr>
            <w:shd w:val="clear" w:color="auto" w:fill="00B050"/>
          </w:tcPr>
          <w:p>
            <w:pPr>
              <w:pStyle w:val="Tabla9"/>
              <w:jc w:val="center"/>
            </w:pPr>
            <w:r>
              <w:rPr>
                <w:b/>
                <w:color w:val="FFFFFF"/>
              </w:rPr>
              <w:t xml:space="preserve">Indicador y meta</w:t>
            </w:r>
          </w:p>
        </w:tc>
        <w:tc>
          <w:tcPr>
            <w:shd w:val="clear" w:color="auto" w:fill="00B050"/>
          </w:tcPr>
          <w:p>
            <w:pPr>
              <w:pStyle w:val="Tabla9"/>
              <w:jc w:val="center"/>
            </w:pPr>
            <w:r>
              <w:rPr>
                <w:b/>
                <w:color w:val="FFFFFF"/>
              </w:rPr>
              <w:t xml:space="preserve">Departamento beneficiado</w:t>
            </w:r>
          </w:p>
        </w:tc>
      </w:tr>
      <w:tr>
        <w:trPr>
          <w:cantSplit/>
        </w:trPr>
        <w:tc>
          <w:tcPr/>
          <w:p>
            <w:pPr>
              <w:pStyle w:val="Tabla9"/>
              <w:jc w:val="left"/>
            </w:pPr>
            <w:r>
              <w:t xml:space="preserve">Corto plazo (mes 12)</w:t>
            </w:r>
          </w:p>
        </w:tc>
        <w:tc>
          <w:tcPr/>
          <w:p>
            <w:pPr>
              <w:pStyle w:val="Tabla9"/>
              <w:jc w:val="left"/>
            </w:pPr>
            <w:r>
              <w:t xml:space="preserve">Línea base de error medida y modelo validado en el piloto</w:t>
            </w:r>
          </w:p>
        </w:tc>
        <w:tc>
          <w:tcPr/>
          <w:p>
            <w:pPr>
              <w:pStyle w:val="Tabla9"/>
              <w:jc w:val="left"/>
            </w:pPr>
            <w:r>
              <w:t xml:space="preserve">R² ≥ 0,70 y NRMSE ≤ 30 % (compuerta C1)</w:t>
            </w:r>
          </w:p>
        </w:tc>
        <w:tc>
          <w:tcPr/>
          <w:p>
            <w:pPr>
              <w:pStyle w:val="Tabla9"/>
              <w:jc w:val="left"/>
            </w:pPr>
            <w:r>
              <w:t xml:space="preserve">Tramo 1: nodos propuestos por departamento</w:t>
            </w:r>
          </w:p>
        </w:tc>
      </w:tr>
      <w:tr>
        <w:trPr>
          <w:cantSplit/>
        </w:trPr>
        <w:tc>
          <w:tcPr/>
          <w:p>
            <w:pPr>
              <w:pStyle w:val="Tabla9"/>
              <w:jc w:val="left"/>
            </w:pPr>
            <w:r>
              <w:t xml:space="preserve">Corto plazo (mes 12)</w:t>
            </w:r>
          </w:p>
        </w:tc>
        <w:tc>
          <w:tcPr/>
          <w:p>
            <w:pPr>
              <w:pStyle w:val="Tabla9"/>
              <w:jc w:val="left"/>
            </w:pPr>
            <w:r>
              <w:t xml:space="preserve">Uso inicial del tablero</w:t>
            </w:r>
          </w:p>
        </w:tc>
        <w:tc>
          <w:tcPr/>
          <w:p>
            <w:pPr>
              <w:pStyle w:val="Tabla9"/>
              <w:jc w:val="left"/>
            </w:pPr>
            <w:r>
              <w:t xml:space="preserve">50 % o más de los comités del tramo 1</w:t>
            </w:r>
          </w:p>
        </w:tc>
        <w:tc>
          <w:tcPr/>
          <w:p>
            <w:pPr>
              <w:pStyle w:val="Tabla9"/>
              <w:jc w:val="left"/>
            </w:pPr>
            <w:r>
              <w:t xml:space="preserve">Caldas, Cundinamarca y Valle del Cauca</w:t>
            </w:r>
          </w:p>
        </w:tc>
      </w:tr>
      <w:tr>
        <w:trPr>
          <w:cantSplit/>
        </w:trPr>
        <w:tc>
          <w:tcPr/>
          <w:p>
            <w:pPr>
              <w:pStyle w:val="Tabla9"/>
              <w:jc w:val="left"/>
            </w:pPr>
            <w:r>
              <w:t xml:space="preserve">Mediano plazo (mes 24)</w:t>
            </w:r>
          </w:p>
        </w:tc>
        <w:tc>
          <w:tcPr/>
          <w:p>
            <w:pPr>
              <w:pStyle w:val="Tabla9"/>
              <w:jc w:val="left"/>
            </w:pPr>
            <w:r>
              <w:t xml:space="preserve">Red operativa y modelo verificado por departamento</w:t>
            </w:r>
          </w:p>
        </w:tc>
        <w:tc>
          <w:tcPr/>
          <w:p>
            <w:pPr>
              <w:pStyle w:val="Tabla9"/>
              <w:jc w:val="left"/>
            </w:pPr>
            <w:r>
              <w:t xml:space="preserve">100 nodos y 10 gateways; disponibilidad de 90 % o más</w:t>
            </w:r>
          </w:p>
        </w:tc>
        <w:tc>
          <w:tcPr/>
          <w:p>
            <w:pPr>
              <w:pStyle w:val="Tabla9"/>
              <w:jc w:val="left"/>
            </w:pPr>
            <w:r>
              <w:t xml:space="preserve">Caldas 33 nodos; Cundinamarca 34; Valle del Cauca 33</w:t>
            </w:r>
          </w:p>
        </w:tc>
      </w:tr>
      <w:tr>
        <w:trPr>
          <w:cantSplit/>
        </w:trPr>
        <w:tc>
          <w:tcPr/>
          <w:p>
            <w:pPr>
              <w:pStyle w:val="Tabla9"/>
              <w:jc w:val="left"/>
            </w:pPr>
            <w:r>
              <w:t xml:space="preserve">Mediano plazo (mes 24)</w:t>
            </w:r>
          </w:p>
        </w:tc>
        <w:tc>
          <w:tcPr/>
          <w:p>
            <w:pPr>
              <w:pStyle w:val="Tabla9"/>
              <w:jc w:val="left"/>
            </w:pPr>
            <w:r>
              <w:t xml:space="preserve">Uso institucional del tablero y del protocolo</w:t>
            </w:r>
          </w:p>
        </w:tc>
        <w:tc>
          <w:tcPr/>
          <w:p>
            <w:pPr>
              <w:pStyle w:val="Tabla9"/>
              <w:jc w:val="left"/>
            </w:pPr>
            <w:r>
              <w:t xml:space="preserve">75 % o más de 15 comités (PERS-E01)</w:t>
            </w:r>
          </w:p>
        </w:tc>
        <w:tc>
          <w:tcPr/>
          <w:p>
            <w:pPr>
              <w:pStyle w:val="Tabla9"/>
              <w:jc w:val="left"/>
            </w:pPr>
            <w:r>
              <w:t xml:space="preserve">Los tres departamentos</w:t>
            </w:r>
          </w:p>
        </w:tc>
      </w:tr>
      <w:tr>
        <w:trPr>
          <w:cantSplit/>
        </w:trPr>
        <w:tc>
          <w:tcPr/>
          <w:p>
            <w:pPr>
              <w:pStyle w:val="Tabla9"/>
              <w:jc w:val="left"/>
            </w:pPr>
            <w:r>
              <w:t xml:space="preserve">Mediano plazo (mes 24)</w:t>
            </w:r>
          </w:p>
        </w:tc>
        <w:tc>
          <w:tcPr/>
          <w:p>
            <w:pPr>
              <w:pStyle w:val="Tabla9"/>
              <w:jc w:val="left"/>
            </w:pPr>
            <w:r>
              <w:t xml:space="preserve">Reducción relativa de falsas alarmas</w:t>
            </w:r>
          </w:p>
        </w:tc>
        <w:tc>
          <w:tcPr/>
          <w:p>
            <w:pPr>
              <w:pStyle w:val="Tabla9"/>
              <w:jc w:val="left"/>
            </w:pPr>
            <w:r>
              <w:t xml:space="preserve">30 % o más (PERS-E02)</w:t>
            </w:r>
          </w:p>
        </w:tc>
        <w:tc>
          <w:tcPr/>
          <w:p>
            <w:pPr>
              <w:pStyle w:val="Tabla9"/>
              <w:jc w:val="left"/>
            </w:pPr>
            <w:r>
              <w:t xml:space="preserve">Los tres departamentos</w:t>
            </w:r>
          </w:p>
        </w:tc>
      </w:tr>
      <w:tr>
        <w:trPr>
          <w:cantSplit/>
        </w:trPr>
        <w:tc>
          <w:tcPr/>
          <w:p>
            <w:pPr>
              <w:pStyle w:val="Tabla9"/>
              <w:jc w:val="left"/>
            </w:pPr>
            <w:r>
              <w:t xml:space="preserve">Largo plazo (12 meses tras el cierre)</w:t>
            </w:r>
          </w:p>
        </w:tc>
        <w:tc>
          <w:tcPr/>
          <w:p>
            <w:pPr>
              <w:pStyle w:val="Tabla9"/>
              <w:jc w:val="left"/>
            </w:pPr>
            <w:r>
              <w:t xml:space="preserve">Activación del protocolo ante superación de umbral</w:t>
            </w:r>
          </w:p>
        </w:tc>
        <w:tc>
          <w:tcPr/>
          <w:p>
            <w:pPr>
              <w:pStyle w:val="Tabla9"/>
              <w:jc w:val="left"/>
            </w:pPr>
            <w:r>
              <w:t xml:space="preserve">80 % o más (PERS-S01)</w:t>
            </w:r>
          </w:p>
        </w:tc>
        <w:tc>
          <w:tcPr/>
          <w:p>
            <w:pPr>
              <w:pStyle w:val="Tabla9"/>
              <w:jc w:val="left"/>
            </w:pPr>
            <w:r>
              <w:t xml:space="preserve">Los tres departamentos</w:t>
            </w:r>
          </w:p>
        </w:tc>
      </w:tr>
      <w:tr>
        <w:trPr>
          <w:cantSplit/>
        </w:trPr>
        <w:tc>
          <w:tcPr/>
          <w:p>
            <w:pPr>
              <w:pStyle w:val="Tabla9"/>
              <w:jc w:val="left"/>
            </w:pPr>
            <w:r>
              <w:t xml:space="preserve">Largo plazo (12 meses tras el cierre)</w:t>
            </w:r>
          </w:p>
        </w:tc>
        <w:tc>
          <w:tcPr/>
          <w:p>
            <w:pPr>
              <w:pStyle w:val="Tabla9"/>
              <w:jc w:val="left"/>
            </w:pPr>
            <w:r>
              <w:t xml:space="preserve">Continuidad de la red bajo custodia</w:t>
            </w:r>
          </w:p>
        </w:tc>
        <w:tc>
          <w:tcPr/>
          <w:p>
            <w:pPr>
              <w:pStyle w:val="Tabla9"/>
              <w:jc w:val="left"/>
            </w:pPr>
            <w:r>
              <w:t xml:space="preserve">70 % o más (PERS-S02)</w:t>
            </w:r>
          </w:p>
        </w:tc>
        <w:tc>
          <w:tcPr/>
          <w:p>
            <w:pPr>
              <w:pStyle w:val="Tabla9"/>
              <w:jc w:val="left"/>
            </w:pPr>
            <w:r>
              <w:t xml:space="preserve">Los tres departamentos</w:t>
            </w:r>
          </w:p>
        </w:tc>
      </w:tr>
    </w:tbl>
    <w:p>
      <w:pPr>
        <w:pStyle w:val="TablaNota"/>
      </w:pPr>
      <w:r>
        <w:rPr>
          <w:i/>
          <w:iCs/>
        </w:rPr>
        <w:t xml:space="preserve">Nota.</w:t>
      </w:r>
      <w:r>
        <w:t xml:space="preserve"> </w:t>
      </w:r>
      <w:r>
        <w:t xml:space="preserve">Elaboración propia con los indicadores PERS de la ficha maestra. Los indicadores S se miden con una evaluación externa posterior al cierre, que el presupuesto no cubre (VACIO).</w:t>
      </w:r>
    </w:p>
    <w:bookmarkStart w:id="76" w:name="X911fec0b76bcae3fc700e75f381281b25cfabd9"/>
    <w:p>
      <w:pPr>
        <w:pStyle w:val="Heading2"/>
      </w:pPr>
      <w:r>
        <w:t xml:space="preserve">17.1 Efectos sobre el medio ambiente y la salud humana</w:t>
      </w:r>
    </w:p>
    <w:p>
      <w:pPr>
        <w:pStyle w:val="FirstParagraph"/>
      </w:pPr>
      <w:r>
        <w:t xml:space="preserve">Los efectos positivos son indirectos. Una medición verificada permite decidir cuándo proteger a operarios y población. El proyecto no estima ni promete reducciones de enfermedad.</w:t>
      </w:r>
    </w:p>
    <w:p>
      <w:pPr>
        <w:pStyle w:val="BodyText"/>
      </w:pPr>
      <w:r>
        <w:t xml:space="preserve">Los efectos negativos posibles son cuatro. Las baterías y los nodos al final de su vida útil generan residuos electrónicos, y su gestión corresponde al custodio. Las visitas de campo implican riesgos viales y de exposición del personal, que se mitigan con elementos de protección personal. Una lectura errónea podría producir una falsa tranquilidad, y por eso el tablero muestra el error residual. El robo de equipos es un riesgo que se mitiga con la custodia local.</w:t>
      </w:r>
    </w:p>
    <w:bookmarkEnd w:id="76"/>
    <w:bookmarkEnd w:id="77"/>
    <w:bookmarkStart w:id="83" w:name="X092cdebf599a2ce8b8d7568980c1eae9820d072"/>
    <w:p>
      <w:pPr>
        <w:pStyle w:val="Heading1"/>
      </w:pPr>
      <w:r>
        <w:t xml:space="preserve">18. COMPONENTE TRANSVERSAL DE TRANSFERENCIA, ADOPCIÓN Y VALORACIÓN TECNOLÓGICA DEL CONOCIMIENTO</w:t>
      </w:r>
    </w:p>
    <w:p>
      <w:pPr>
        <w:pStyle w:val="FirstParagraph"/>
      </w:pPr>
      <w:r>
        <w:t xml:space="preserve">El componente aplica al proyecto sin excepción. Su propósito es que los resultados se adopten, se apliquen y se sostengan con evidencia de uso. El proyecto destina a este componente un valor superior al mínimo de 1 % del valor total que exige el Anexo 2. La sección 18.4 calcula la proporción.</w:t>
      </w:r>
    </w:p>
    <w:bookmarkStart w:id="78" w:name="Xebc480b37e73dee809dc9a95cb07b402b924b61"/>
    <w:p>
      <w:pPr>
        <w:pStyle w:val="Heading2"/>
      </w:pPr>
      <w:r>
        <w:t xml:space="preserve">18.1 Plan de transferencia, adopción y valoración tecnológica del conocimiento</w:t>
      </w:r>
    </w:p>
    <w:p>
      <w:pPr>
        <w:pStyle w:val="FirstParagraph"/>
      </w:pPr>
      <w:r>
        <w:t xml:space="preserve">El plan se articula con los objetivos, actividades, cronograma y presupuesto del proyecto. Sus siete elementos mínimos están en las secciones 18.2 a 18.5. El plan se actualiza durante la ejecución según los resultados de las compuertas C1 y C2.</w:t>
      </w:r>
    </w:p>
    <w:bookmarkEnd w:id="78"/>
    <w:bookmarkStart w:id="79" w:name="X978ab04e45886d249db09f89c42a4bd7172612c"/>
    <w:p>
      <w:pPr>
        <w:pStyle w:val="Heading2"/>
      </w:pPr>
      <w:r>
        <w:t xml:space="preserve">18.2 Resultados, usuarios y oportunidades de transferencia</w:t>
      </w:r>
    </w:p>
    <w:p>
      <w:pPr>
        <w:pStyle w:val="FirstParagraph"/>
      </w:pPr>
      <w:r>
        <w:t xml:space="preserve">La Tabla D.21 identifica los resultados con potencial de uso, sus usuarios, la oportunidad de aprovechamiento y el activo de propiedad intelectual. Ningún activo cuenta con un acuerdo de titularidad firmado.</w:t>
      </w:r>
    </w:p>
    <w:p>
      <w:pPr>
        <w:pStyle w:val="TablaRotulo"/>
      </w:pPr>
      <w:bookmarkStart w:id="9039" w:name="rot_Tabla_D_21"/>
      <w:r>
        <w:rPr>
          <w:b/>
          <w:bCs/>
        </w:rPr>
        <w:t xml:space="preserve">Tabla D.21</w:t>
      </w:r>
      <w:bookmarkEnd w:id="9039"/>
    </w:p>
    <w:p>
      <w:pPr>
        <w:pStyle w:val="TablaTitulo"/>
      </w:pPr>
      <w:r>
        <w:rPr>
          <w:i/>
          <w:iCs/>
        </w:rPr>
        <w:t xml:space="preserve">Resultados, usuarios y oportunidades de transferencia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64"/>
        <w:gridCol w:w="1530"/>
        <w:gridCol w:w="1597"/>
        <w:gridCol w:w="1796"/>
        <w:gridCol w:w="1530"/>
      </w:tblGrid>
      <w:tr>
        <w:trPr>
          <w:cantSplit/>
          <w:tblHeader/>
        </w:trPr>
        <w:tc>
          <w:tcPr>
            <w:shd w:val="clear" w:color="auto" w:fill="00B050"/>
          </w:tcPr>
          <w:p>
            <w:pPr>
              <w:pStyle w:val="Tabla9"/>
              <w:jc w:val="center"/>
            </w:pPr>
            <w:r>
              <w:rPr>
                <w:b/>
                <w:color w:val="FFFFFF"/>
              </w:rPr>
              <w:t xml:space="preserve">Resultado, conocimiento o tecnología</w:t>
            </w:r>
          </w:p>
        </w:tc>
        <w:tc>
          <w:tcPr>
            <w:shd w:val="clear" w:color="auto" w:fill="00B050"/>
          </w:tcPr>
          <w:p>
            <w:pPr>
              <w:pStyle w:val="Tabla9"/>
              <w:jc w:val="center"/>
            </w:pPr>
            <w:r>
              <w:rPr>
                <w:b/>
                <w:color w:val="FFFFFF"/>
              </w:rPr>
              <w:t xml:space="preserve">Potencial de uso o aplicación</w:t>
            </w:r>
          </w:p>
        </w:tc>
        <w:tc>
          <w:tcPr>
            <w:shd w:val="clear" w:color="auto" w:fill="00B050"/>
          </w:tcPr>
          <w:p>
            <w:pPr>
              <w:pStyle w:val="Tabla9"/>
              <w:jc w:val="center"/>
            </w:pPr>
            <w:r>
              <w:rPr>
                <w:b/>
                <w:color w:val="FFFFFF"/>
              </w:rPr>
              <w:t xml:space="preserve">Usuario, beneficiario o receptor potencial</w:t>
            </w:r>
          </w:p>
        </w:tc>
        <w:tc>
          <w:tcPr>
            <w:shd w:val="clear" w:color="auto" w:fill="00B050"/>
          </w:tcPr>
          <w:p>
            <w:pPr>
              <w:pStyle w:val="Tabla9"/>
              <w:jc w:val="center"/>
            </w:pPr>
            <w:r>
              <w:rPr>
                <w:b/>
                <w:color w:val="FFFFFF"/>
              </w:rPr>
              <w:t xml:space="preserve">Oportunidad de aprovechamiento o transferencia</w:t>
            </w:r>
          </w:p>
        </w:tc>
        <w:tc>
          <w:tcPr>
            <w:shd w:val="clear" w:color="auto" w:fill="00B050"/>
          </w:tcPr>
          <w:p>
            <w:pPr>
              <w:pStyle w:val="Tabla9"/>
              <w:jc w:val="center"/>
            </w:pPr>
            <w:r>
              <w:rPr>
                <w:b/>
                <w:color w:val="FFFFFF"/>
              </w:rPr>
              <w:t xml:space="preserve">Activo de propiedad intelectual</w:t>
            </w:r>
          </w:p>
        </w:tc>
      </w:tr>
      <w:tr>
        <w:trPr>
          <w:cantSplit/>
        </w:trPr>
        <w:tc>
          <w:tcPr/>
          <w:p>
            <w:pPr>
              <w:pStyle w:val="Tabla9"/>
              <w:jc w:val="left"/>
            </w:pPr>
            <w:r>
              <w:t xml:space="preserve">Modelo de corrección en el gateway</w:t>
            </w:r>
          </w:p>
        </w:tc>
        <w:tc>
          <w:tcPr/>
          <w:p>
            <w:pPr>
              <w:pStyle w:val="Tabla9"/>
              <w:jc w:val="left"/>
            </w:pPr>
            <w:r>
              <w:t xml:space="preserve">Corregir lecturas de sensores ópticos por humedad y fracción gruesa</w:t>
            </w:r>
          </w:p>
        </w:tc>
        <w:tc>
          <w:tcPr/>
          <w:p>
            <w:pPr>
              <w:pStyle w:val="Tabla9"/>
              <w:jc w:val="left"/>
            </w:pPr>
            <w:r>
              <w:t xml:space="preserve">Autoridades ambientales, redes municipales de vigilancia y fabricantes de sensores</w:t>
            </w:r>
          </w:p>
        </w:tc>
        <w:tc>
          <w:tcPr/>
          <w:p>
            <w:pPr>
              <w:pStyle w:val="Tabla9"/>
              <w:jc w:val="left"/>
            </w:pPr>
            <w:r>
              <w:t xml:space="preserve">Licencia no exclusiva o codesarrollo, previa definición de la titularidad</w:t>
            </w:r>
          </w:p>
        </w:tc>
        <w:tc>
          <w:tcPr/>
          <w:p>
            <w:pPr>
              <w:pStyle w:val="Tabla9"/>
              <w:jc w:val="left"/>
            </w:pPr>
            <w:r>
              <w:t xml:space="preserve">Software: registro ante la DNDA</w:t>
            </w:r>
          </w:p>
        </w:tc>
      </w:tr>
      <w:tr>
        <w:trPr>
          <w:cantSplit/>
        </w:trPr>
        <w:tc>
          <w:tcPr/>
          <w:p>
            <w:pPr>
              <w:pStyle w:val="Tabla9"/>
              <w:jc w:val="left"/>
            </w:pPr>
            <w:r>
              <w:t xml:space="preserve">Protocolo de calibración colocalizada y series de datos</w:t>
            </w:r>
          </w:p>
        </w:tc>
        <w:tc>
          <w:tcPr/>
          <w:p>
            <w:pPr>
              <w:pStyle w:val="Tabla9"/>
              <w:jc w:val="left"/>
            </w:pPr>
            <w:r>
              <w:t xml:space="preserve">Calibrar redes de bajo costo en sitios sin estación de referencia</w:t>
            </w:r>
          </w:p>
        </w:tc>
        <w:tc>
          <w:tcPr/>
          <w:p>
            <w:pPr>
              <w:pStyle w:val="Tabla9"/>
              <w:jc w:val="left"/>
            </w:pPr>
            <w:r>
              <w:t xml:space="preserve">Autoridades ambientales y universidades</w:t>
            </w:r>
          </w:p>
        </w:tc>
        <w:tc>
          <w:tcPr/>
          <w:p>
            <w:pPr>
              <w:pStyle w:val="Tabla9"/>
              <w:jc w:val="left"/>
            </w:pPr>
            <w:r>
              <w:t xml:space="preserve">Publicación abierta, capacitación y réplica</w:t>
            </w:r>
          </w:p>
        </w:tc>
        <w:tc>
          <w:tcPr/>
          <w:p>
            <w:pPr>
              <w:pStyle w:val="Tabla9"/>
              <w:jc w:val="left"/>
            </w:pPr>
            <w:r>
              <w:t xml:space="preserve">Conocimiento documentado; base de datos con licencia de datos</w:t>
            </w:r>
          </w:p>
        </w:tc>
      </w:tr>
      <w:tr>
        <w:trPr>
          <w:cantSplit/>
        </w:trPr>
        <w:tc>
          <w:tcPr/>
          <w:p>
            <w:pPr>
              <w:pStyle w:val="Tabla9"/>
              <w:jc w:val="left"/>
            </w:pPr>
            <w:r>
              <w:t xml:space="preserve">Red de nodos y gateways</w:t>
            </w:r>
          </w:p>
        </w:tc>
        <w:tc>
          <w:tcPr/>
          <w:p>
            <w:pPr>
              <w:pStyle w:val="Tabla9"/>
              <w:jc w:val="left"/>
            </w:pPr>
            <w:r>
              <w:t xml:space="preserve">Vigilancia en sitios de emergencia</w:t>
            </w:r>
          </w:p>
        </w:tc>
        <w:tc>
          <w:tcPr/>
          <w:p>
            <w:pPr>
              <w:pStyle w:val="Tabla9"/>
              <w:jc w:val="left"/>
            </w:pPr>
            <w:r>
              <w:t xml:space="preserve">Comités de gestión del riesgo y UNGRD</w:t>
            </w:r>
          </w:p>
        </w:tc>
        <w:tc>
          <w:tcPr/>
          <w:p>
            <w:pPr>
              <w:pStyle w:val="Tabla9"/>
              <w:jc w:val="left"/>
            </w:pPr>
            <w:r>
              <w:t xml:space="preserve">Réplica con la unidad de expansión: un gateway con 10 nodos, de 120,08 millones de COP</w:t>
            </w:r>
          </w:p>
        </w:tc>
        <w:tc>
          <w:tcPr/>
          <w:p>
            <w:pPr>
              <w:pStyle w:val="Tabla9"/>
              <w:jc w:val="left"/>
            </w:pPr>
            <w:r>
              <w:t xml:space="preserve">Diseño y firmware: registro de software</w:t>
            </w:r>
          </w:p>
        </w:tc>
      </w:tr>
      <w:tr>
        <w:trPr>
          <w:cantSplit/>
        </w:trPr>
        <w:tc>
          <w:tcPr/>
          <w:p>
            <w:pPr>
              <w:pStyle w:val="Tabla9"/>
              <w:jc w:val="left"/>
            </w:pPr>
            <w:r>
              <w:t xml:space="preserve">Gemelo digital y tablero</w:t>
            </w:r>
          </w:p>
        </w:tc>
        <w:tc>
          <w:tcPr/>
          <w:p>
            <w:pPr>
              <w:pStyle w:val="Tabla9"/>
              <w:jc w:val="left"/>
            </w:pPr>
            <w:r>
              <w:t xml:space="preserve">Presentar la medición con su error residual a quien decide</w:t>
            </w:r>
          </w:p>
        </w:tc>
        <w:tc>
          <w:tcPr/>
          <w:p>
            <w:pPr>
              <w:pStyle w:val="Tabla9"/>
              <w:jc w:val="left"/>
            </w:pPr>
            <w:r>
              <w:t xml:space="preserve">Comités de gestión del riesgo</w:t>
            </w:r>
          </w:p>
        </w:tc>
        <w:tc>
          <w:tcPr/>
          <w:p>
            <w:pPr>
              <w:pStyle w:val="Tabla9"/>
              <w:jc w:val="left"/>
            </w:pPr>
            <w:r>
              <w:t xml:space="preserve">Convenio de operación y licencia con la institución custodia</w:t>
            </w:r>
          </w:p>
        </w:tc>
        <w:tc>
          <w:tcPr/>
          <w:p>
            <w:pPr>
              <w:pStyle w:val="Tabla9"/>
              <w:jc w:val="left"/>
            </w:pPr>
            <w:r>
              <w:t xml:space="preserve">Software y marca del tablero</w:t>
            </w:r>
          </w:p>
        </w:tc>
      </w:tr>
      <w:tr>
        <w:trPr>
          <w:cantSplit/>
        </w:trPr>
        <w:tc>
          <w:tcPr/>
          <w:p>
            <w:pPr>
              <w:pStyle w:val="Tabla9"/>
              <w:jc w:val="left"/>
            </w:pPr>
            <w:r>
              <w:t xml:space="preserve">Medición del error de sensores en polvo de escombros</w:t>
            </w:r>
          </w:p>
        </w:tc>
        <w:tc>
          <w:tcPr/>
          <w:p>
            <w:pPr>
              <w:pStyle w:val="Tabla9"/>
              <w:jc w:val="left"/>
            </w:pPr>
            <w:r>
              <w:t xml:space="preserve">Nuevo conocimiento sobre desempeño bajo condiciones extremas</w:t>
            </w:r>
          </w:p>
        </w:tc>
        <w:tc>
          <w:tcPr/>
          <w:p>
            <w:pPr>
              <w:pStyle w:val="Tabla9"/>
              <w:jc w:val="left"/>
            </w:pPr>
            <w:r>
              <w:t xml:space="preserve">Comunidad científica e industria de sensores</w:t>
            </w:r>
          </w:p>
        </w:tc>
        <w:tc>
          <w:tcPr/>
          <w:p>
            <w:pPr>
              <w:pStyle w:val="Tabla9"/>
              <w:jc w:val="left"/>
            </w:pPr>
            <w:r>
              <w:t xml:space="preserve">Artículos y datos abiertos</w:t>
            </w:r>
          </w:p>
        </w:tc>
        <w:tc>
          <w:tcPr/>
          <w:p>
            <w:pPr>
              <w:pStyle w:val="Tabla9"/>
              <w:jc w:val="left"/>
            </w:pPr>
            <w:r>
              <w:t xml:space="preserve">Artículos; datos</w:t>
            </w:r>
          </w:p>
        </w:tc>
      </w:tr>
    </w:tbl>
    <w:p>
      <w:pPr>
        <w:pStyle w:val="TablaNota"/>
      </w:pPr>
      <w:r>
        <w:rPr>
          <w:i/>
          <w:iCs/>
        </w:rPr>
        <w:t xml:space="preserve">Nota.</w:t>
      </w:r>
      <w:r>
        <w:t xml:space="preserve"> </w:t>
      </w:r>
      <w:r>
        <w:t xml:space="preserve">Elaboración propia con la sección 15.2 del expediente. Titularidad y vía de protección: PROPUESTO; acuerdos pendientes.</w:t>
      </w:r>
    </w:p>
    <w:bookmarkEnd w:id="79"/>
    <w:bookmarkStart w:id="80" w:name="X46b9e6e59775374799528e5c61982811a8bab94"/>
    <w:p>
      <w:pPr>
        <w:pStyle w:val="Heading2"/>
      </w:pPr>
      <w:r>
        <w:t xml:space="preserve">18.3 Estrategia o ruta de transferencia, adopción y valoración tecnológica</w:t>
      </w:r>
    </w:p>
    <w:p>
      <w:pPr>
        <w:pStyle w:val="FirstParagraph"/>
      </w:pPr>
      <w:r>
        <w:t xml:space="preserve">La Tabla D.22 describe la estrategia y las barreras. El proyecto transfiere primero conocimiento y datos, luego equipos y tablero, y al final la operación continua.</w:t>
      </w:r>
    </w:p>
    <w:p>
      <w:pPr>
        <w:pStyle w:val="TablaRotulo"/>
      </w:pPr>
      <w:bookmarkStart w:id="9040" w:name="rot_Tabla_D_22"/>
      <w:r>
        <w:rPr>
          <w:b/>
          <w:bCs/>
        </w:rPr>
        <w:t xml:space="preserve">Tabla D.22</w:t>
      </w:r>
      <w:bookmarkEnd w:id="9040"/>
    </w:p>
    <w:p>
      <w:pPr>
        <w:pStyle w:val="TablaTitulo"/>
      </w:pPr>
      <w:r>
        <w:rPr>
          <w:i/>
          <w:iCs/>
        </w:rPr>
        <w:t xml:space="preserve">Ruta de transferencia y principales barreras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72"/>
        <w:gridCol w:w="5148"/>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Descripción</w:t>
            </w:r>
          </w:p>
        </w:tc>
      </w:tr>
      <w:tr>
        <w:trPr>
          <w:cantSplit/>
        </w:trPr>
        <w:tc>
          <w:tcPr/>
          <w:p>
            <w:pPr>
              <w:pStyle w:val="Tabla9"/>
              <w:jc w:val="left"/>
            </w:pPr>
            <w:r>
              <w:t xml:space="preserve">Ruta o estrategia propuesta</w:t>
            </w:r>
          </w:p>
        </w:tc>
        <w:tc>
          <w:tcPr/>
          <w:p>
            <w:pPr>
              <w:pStyle w:val="Tabla9"/>
              <w:jc w:val="left"/>
            </w:pPr>
            <w:r>
              <w:t xml:space="preserve">Transferencia por tramos condicionados con convenios de custodia y partida. Registro de software y licenciamiento no exclusivo. Cláusula de apertura que publica datos y código si ningún custodio demuestra capacidad. Actores: Universidad, empresa, actor reconocido y municipios. Acciones: consulta de libertad de operación, acuerdos de titularidad, formación de custodios y convenios por tramo.</w:t>
            </w:r>
          </w:p>
        </w:tc>
      </w:tr>
      <w:tr>
        <w:trPr>
          <w:cantSplit/>
        </w:trPr>
        <w:tc>
          <w:tcPr/>
          <w:p>
            <w:pPr>
              <w:pStyle w:val="Tabla9"/>
              <w:jc w:val="left"/>
            </w:pPr>
            <w:r>
              <w:t xml:space="preserve">Principales barreras o retos</w:t>
            </w:r>
          </w:p>
        </w:tc>
        <w:tc>
          <w:tcPr/>
          <w:p>
            <w:pPr>
              <w:pStyle w:val="Tabla9"/>
              <w:jc w:val="left"/>
            </w:pPr>
            <w:r>
              <w:t xml:space="preserve">Acuerdos de titularidad sin firmar. Custodios sin capacidad de absorción demostrada. Solicitudes de patente de terceros que designan a Colombia: diez, de las cuales tres siguen abiertas. Mercado no estudiado. Capacidades limitadas de los municipios. Marco regulatorio que no reconoce datos de sensores como medición oficial.</w:t>
            </w:r>
          </w:p>
        </w:tc>
      </w:tr>
    </w:tbl>
    <w:p>
      <w:pPr>
        <w:pStyle w:val="TablaNota"/>
      </w:pPr>
      <w:r>
        <w:rPr>
          <w:i/>
          <w:iCs/>
        </w:rPr>
        <w:t xml:space="preserve">Nota.</w:t>
      </w:r>
      <w:r>
        <w:t xml:space="preserve"> </w:t>
      </w:r>
      <w:r>
        <w:t xml:space="preserve">Elaboración propia con las secciones 15.1 a 15.3 del expediente. Las barreras de patentes provienen del informe de vigilancia tecnológica.</w:t>
      </w:r>
    </w:p>
    <w:bookmarkEnd w:id="80"/>
    <w:bookmarkStart w:id="81" w:name="X9c768653d2e6080d16a153ef3ee65972a881feb"/>
    <w:p>
      <w:pPr>
        <w:pStyle w:val="Heading2"/>
      </w:pPr>
      <w:r>
        <w:t xml:space="preserve">18.4 Actividades, productos, indicadores y presupuesto</w:t>
      </w:r>
    </w:p>
    <w:p>
      <w:pPr>
        <w:pStyle w:val="FirstParagraph"/>
      </w:pPr>
      <w:r>
        <w:t xml:space="preserve">La Tabla D.23 presenta las tres actividades del plan con su presupuesto. Suman $ 378.000.000, equivalentes a 4,33 % del valor SGR y a 3,49 % del valor total. El mínimo de 1 % del valor total es $ 108.398.400. El proyecto lo supera. Las publicaciones y los talleres de apropiación social no se cuentan.</w:t>
      </w:r>
    </w:p>
    <w:p>
      <w:pPr>
        <w:pStyle w:val="TablaRotulo"/>
      </w:pPr>
      <w:bookmarkStart w:id="9041" w:name="rot_Tabla_D_23"/>
      <w:r>
        <w:rPr>
          <w:b/>
          <w:bCs/>
        </w:rPr>
        <w:t xml:space="preserve">Tabla D.23</w:t>
      </w:r>
      <w:bookmarkEnd w:id="9041"/>
    </w:p>
    <w:p>
      <w:pPr>
        <w:pStyle w:val="TablaTitulo"/>
      </w:pPr>
      <w:r>
        <w:rPr>
          <w:i/>
          <w:iCs/>
        </w:rPr>
        <w:t xml:space="preserve">Actividades, productos, indicadores y presupuesto del plan de transferencia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74"/>
        <w:gridCol w:w="1047"/>
        <w:gridCol w:w="1178"/>
        <w:gridCol w:w="1243"/>
        <w:gridCol w:w="1178"/>
        <w:gridCol w:w="785"/>
        <w:gridCol w:w="1112"/>
      </w:tblGrid>
      <w:tr>
        <w:trPr>
          <w:cantSplit/>
          <w:tblHeader/>
        </w:trPr>
        <w:tc>
          <w:tcPr>
            <w:shd w:val="clear" w:color="auto" w:fill="00B050"/>
          </w:tcPr>
          <w:p>
            <w:pPr>
              <w:pStyle w:val="Tabla8"/>
              <w:jc w:val="center"/>
            </w:pPr>
            <w:r>
              <w:rPr>
                <w:b/>
                <w:color w:val="FFFFFF"/>
              </w:rPr>
              <w:t xml:space="preserve">Actividad</w:t>
            </w:r>
          </w:p>
        </w:tc>
        <w:tc>
          <w:tcPr>
            <w:shd w:val="clear" w:color="auto" w:fill="00B050"/>
          </w:tcPr>
          <w:p>
            <w:pPr>
              <w:pStyle w:val="Tabla8"/>
              <w:jc w:val="center"/>
            </w:pPr>
            <w:r>
              <w:rPr>
                <w:b/>
                <w:color w:val="FFFFFF"/>
              </w:rPr>
              <w:t xml:space="preserve">Resultado asociado</w:t>
            </w:r>
          </w:p>
        </w:tc>
        <w:tc>
          <w:tcPr>
            <w:shd w:val="clear" w:color="auto" w:fill="00B050"/>
          </w:tcPr>
          <w:p>
            <w:pPr>
              <w:pStyle w:val="Tabla8"/>
              <w:jc w:val="center"/>
            </w:pPr>
            <w:r>
              <w:rPr>
                <w:b/>
                <w:color w:val="FFFFFF"/>
              </w:rPr>
              <w:t xml:space="preserve">Producto o evidencia</w:t>
            </w:r>
          </w:p>
        </w:tc>
        <w:tc>
          <w:tcPr>
            <w:shd w:val="clear" w:color="auto" w:fill="00B050"/>
          </w:tcPr>
          <w:p>
            <w:pPr>
              <w:pStyle w:val="Tabla8"/>
              <w:jc w:val="center"/>
            </w:pPr>
            <w:r>
              <w:rPr>
                <w:b/>
                <w:color w:val="FFFFFF"/>
              </w:rPr>
              <w:t xml:space="preserve">Indicador</w:t>
            </w:r>
          </w:p>
        </w:tc>
        <w:tc>
          <w:tcPr>
            <w:shd w:val="clear" w:color="auto" w:fill="00B050"/>
          </w:tcPr>
          <w:p>
            <w:pPr>
              <w:pStyle w:val="Tabla8"/>
              <w:jc w:val="center"/>
            </w:pPr>
            <w:r>
              <w:rPr>
                <w:b/>
                <w:color w:val="FFFFFF"/>
              </w:rPr>
              <w:t xml:space="preserve">Responsable</w:t>
            </w:r>
          </w:p>
        </w:tc>
        <w:tc>
          <w:tcPr>
            <w:shd w:val="clear" w:color="auto" w:fill="00B050"/>
          </w:tcPr>
          <w:p>
            <w:pPr>
              <w:pStyle w:val="Tabla8"/>
              <w:jc w:val="center"/>
            </w:pPr>
            <w:r>
              <w:rPr>
                <w:b/>
                <w:color w:val="FFFFFF"/>
              </w:rPr>
              <w:t xml:space="preserve">Periodo</w:t>
            </w:r>
          </w:p>
        </w:tc>
        <w:tc>
          <w:tcPr>
            <w:shd w:val="clear" w:color="auto" w:fill="00B050"/>
          </w:tcPr>
          <w:p>
            <w:pPr>
              <w:pStyle w:val="Tabla8"/>
              <w:jc w:val="center"/>
            </w:pPr>
            <w:r>
              <w:rPr>
                <w:b/>
                <w:color w:val="FFFFFF"/>
              </w:rPr>
              <w:t xml:space="preserve">Presupuesto</w:t>
            </w:r>
          </w:p>
        </w:tc>
      </w:tr>
      <w:tr>
        <w:trPr>
          <w:cantSplit/>
        </w:trPr>
        <w:tc>
          <w:tcPr/>
          <w:p>
            <w:pPr>
              <w:pStyle w:val="Tabla8"/>
              <w:jc w:val="left"/>
            </w:pPr>
            <w:r>
              <w:t xml:space="preserve">Gestión de propiedad intelectual y libertad de operación (líneas S02 y O03)</w:t>
            </w:r>
          </w:p>
        </w:tc>
        <w:tc>
          <w:tcPr/>
          <w:p>
            <w:pPr>
              <w:pStyle w:val="Tabla8"/>
              <w:jc w:val="left"/>
            </w:pPr>
            <w:r>
              <w:t xml:space="preserve">Activos protegidos y libertad de operación verificada</w:t>
            </w:r>
          </w:p>
        </w:tc>
        <w:tc>
          <w:tcPr/>
          <w:p>
            <w:pPr>
              <w:pStyle w:val="Tabla8"/>
              <w:jc w:val="left"/>
            </w:pPr>
            <w:r>
              <w:t xml:space="preserve">Concepto jurídico y certificado de registro de software</w:t>
            </w:r>
          </w:p>
        </w:tc>
        <w:tc>
          <w:tcPr/>
          <w:p>
            <w:pPr>
              <w:pStyle w:val="Tabla8"/>
              <w:jc w:val="left"/>
            </w:pPr>
            <w:r>
              <w:t xml:space="preserve">1 registro vigente (PERS-P02); 10 solicitudes clasificadas</w:t>
            </w:r>
          </w:p>
        </w:tc>
        <w:tc>
          <w:tcPr/>
          <w:p>
            <w:pPr>
              <w:pStyle w:val="Tabla8"/>
              <w:jc w:val="left"/>
            </w:pPr>
            <w:r>
              <w:t xml:space="preserve">Universidad, con la empresa</w:t>
            </w:r>
          </w:p>
        </w:tc>
        <w:tc>
          <w:tcPr/>
          <w:p>
            <w:pPr>
              <w:pStyle w:val="Tabla8"/>
              <w:jc w:val="left"/>
            </w:pPr>
            <w:r>
              <w:t xml:space="preserve">Meses 1 a 24</w:t>
            </w:r>
          </w:p>
        </w:tc>
        <w:tc>
          <w:tcPr/>
          <w:p>
            <w:pPr>
              <w:pStyle w:val="Tabla8"/>
              <w:jc w:val="left"/>
            </w:pPr>
            <w:r>
              <w:t xml:space="preserve">$ 60.000.000</w:t>
            </w:r>
          </w:p>
        </w:tc>
      </w:tr>
      <w:tr>
        <w:trPr>
          <w:cantSplit/>
        </w:trPr>
        <w:tc>
          <w:tcPr/>
          <w:p>
            <w:pPr>
              <w:pStyle w:val="Tabla8"/>
              <w:jc w:val="left"/>
            </w:pPr>
            <w:r>
              <w:t xml:space="preserve">Formación y soporte a custodios por tramo (línea S09)</w:t>
            </w:r>
          </w:p>
        </w:tc>
        <w:tc>
          <w:tcPr/>
          <w:p>
            <w:pPr>
              <w:pStyle w:val="Tabla8"/>
              <w:jc w:val="left"/>
            </w:pPr>
            <w:r>
              <w:t xml:space="preserve">Capacidad instalada para la operación posproyecto</w:t>
            </w:r>
          </w:p>
        </w:tc>
        <w:tc>
          <w:tcPr/>
          <w:p>
            <w:pPr>
              <w:pStyle w:val="Tabla8"/>
              <w:jc w:val="left"/>
            </w:pPr>
            <w:r>
              <w:t xml:space="preserve">Certificados y actas de evaluación práctica</w:t>
            </w:r>
          </w:p>
        </w:tc>
        <w:tc>
          <w:tcPr/>
          <w:p>
            <w:pPr>
              <w:pStyle w:val="Tabla8"/>
              <w:jc w:val="left"/>
            </w:pPr>
            <w:r>
              <w:t xml:space="preserve">60 personas certificadas (PERS-E03)</w:t>
            </w:r>
          </w:p>
        </w:tc>
        <w:tc>
          <w:tcPr/>
          <w:p>
            <w:pPr>
              <w:pStyle w:val="Tabla8"/>
              <w:jc w:val="left"/>
            </w:pPr>
            <w:r>
              <w:t xml:space="preserve">Actor reconocido por MinCiencias</w:t>
            </w:r>
          </w:p>
        </w:tc>
        <w:tc>
          <w:tcPr/>
          <w:p>
            <w:pPr>
              <w:pStyle w:val="Tabla8"/>
              <w:jc w:val="left"/>
            </w:pPr>
            <w:r>
              <w:t xml:space="preserve">Meses 6 a 24</w:t>
            </w:r>
          </w:p>
        </w:tc>
        <w:tc>
          <w:tcPr/>
          <w:p>
            <w:pPr>
              <w:pStyle w:val="Tabla8"/>
              <w:jc w:val="left"/>
            </w:pPr>
            <w:r>
              <w:t xml:space="preserve">$ 150.000.000</w:t>
            </w:r>
          </w:p>
        </w:tc>
      </w:tr>
      <w:tr>
        <w:trPr>
          <w:cantSplit/>
        </w:trPr>
        <w:tc>
          <w:tcPr/>
          <w:p>
            <w:pPr>
              <w:pStyle w:val="Tabla8"/>
              <w:jc w:val="left"/>
            </w:pPr>
            <w:r>
              <w:t xml:space="preserve">Estructuración de convenios de custodia, licencia y partida (línea P14)</w:t>
            </w:r>
          </w:p>
        </w:tc>
        <w:tc>
          <w:tcPr/>
          <w:p>
            <w:pPr>
              <w:pStyle w:val="Tabla8"/>
              <w:jc w:val="left"/>
            </w:pPr>
            <w:r>
              <w:t xml:space="preserve">Custodia formalizada por componente</w:t>
            </w:r>
          </w:p>
        </w:tc>
        <w:tc>
          <w:tcPr/>
          <w:p>
            <w:pPr>
              <w:pStyle w:val="Tabla8"/>
              <w:jc w:val="left"/>
            </w:pPr>
            <w:r>
              <w:t xml:space="preserve">Convenios firmados con partida</w:t>
            </w:r>
          </w:p>
        </w:tc>
        <w:tc>
          <w:tcPr/>
          <w:p>
            <w:pPr>
              <w:pStyle w:val="Tabla8"/>
              <w:jc w:val="left"/>
            </w:pPr>
            <w:r>
              <w:t xml:space="preserve">3 convenios, uno por tramo; continuidad de 70 % o más (PERS-S02)</w:t>
            </w:r>
          </w:p>
        </w:tc>
        <w:tc>
          <w:tcPr/>
          <w:p>
            <w:pPr>
              <w:pStyle w:val="Tabla8"/>
              <w:jc w:val="left"/>
            </w:pPr>
            <w:r>
              <w:t xml:space="preserve">Universidad, con los municipios</w:t>
            </w:r>
          </w:p>
        </w:tc>
        <w:tc>
          <w:tcPr/>
          <w:p>
            <w:pPr>
              <w:pStyle w:val="Tabla8"/>
              <w:jc w:val="left"/>
            </w:pPr>
            <w:r>
              <w:t xml:space="preserve">Meses 1 a 24</w:t>
            </w:r>
          </w:p>
        </w:tc>
        <w:tc>
          <w:tcPr/>
          <w:p>
            <w:pPr>
              <w:pStyle w:val="Tabla8"/>
              <w:jc w:val="left"/>
            </w:pPr>
            <w:r>
              <w:t xml:space="preserve">$ 168.000.000</w:t>
            </w:r>
          </w:p>
        </w:tc>
      </w:tr>
      <w:tr>
        <w:trPr>
          <w:cantSplit/>
        </w:trPr>
        <w:tc>
          <w:tcPr/>
          <w:p>
            <w:pPr>
              <w:pStyle w:val="Tabla8"/>
              <w:jc w:val="left"/>
            </w:pPr>
            <w:r>
              <w:t xml:space="preserve">TOTAL</w:t>
            </w:r>
          </w:p>
        </w:tc>
        <w:tc>
          <w:tcPr/>
          <w:p>
            <w:pPr>
              <w:pStyle w:val="Tabla8"/>
            </w:pPr>
          </w:p>
        </w:tc>
        <w:tc>
          <w:tcPr/>
          <w:p>
            <w:pPr>
              <w:pStyle w:val="Tabla8"/>
            </w:pPr>
          </w:p>
        </w:tc>
        <w:tc>
          <w:tcPr/>
          <w:p>
            <w:pPr>
              <w:pStyle w:val="Tabla8"/>
            </w:pPr>
          </w:p>
        </w:tc>
        <w:tc>
          <w:tcPr/>
          <w:p>
            <w:pPr>
              <w:pStyle w:val="Tabla8"/>
            </w:pPr>
          </w:p>
        </w:tc>
        <w:tc>
          <w:tcPr/>
          <w:p>
            <w:pPr>
              <w:pStyle w:val="Tabla8"/>
            </w:pPr>
          </w:p>
        </w:tc>
        <w:tc>
          <w:tcPr/>
          <w:p>
            <w:pPr>
              <w:pStyle w:val="Tabla8"/>
              <w:jc w:val="left"/>
            </w:pPr>
            <w:r>
              <w:t xml:space="preserve">$ 378.000.000</w:t>
            </w:r>
          </w:p>
        </w:tc>
      </w:tr>
    </w:tbl>
    <w:p>
      <w:pPr>
        <w:pStyle w:val="TablaNota"/>
      </w:pPr>
      <w:r>
        <w:rPr>
          <w:i/>
          <w:iCs/>
        </w:rPr>
        <w:t xml:space="preserve">Nota.</w:t>
      </w:r>
      <w:r>
        <w:t xml:space="preserve"> </w:t>
      </w:r>
      <w:r>
        <w:t xml:space="preserve">Elaboración propia con las líneas del presupuesto SGR. La vigilancia tecnológica y el estudio de mercado no tienen línea presupuestal propia (VACIO). Los valores son CALCULADOS.</w:t>
      </w:r>
    </w:p>
    <w:bookmarkEnd w:id="81"/>
    <w:bookmarkStart w:id="82" w:name="_Toc00900036"/>
    <w:p>
      <w:pPr>
        <w:pStyle w:val="Heading2"/>
      </w:pPr>
      <w:r>
        <w:t xml:space="preserve">18.5 Continuidad del proceso</w:t>
      </w:r>
    </w:p>
    <w:p>
      <w:pPr>
        <w:pStyle w:val="FirstParagraph"/>
      </w:pPr>
      <w:r>
        <w:t xml:space="preserve">La continuidad depende de los custodios. Doce meses después del cierre, una evaluación externa mide la activación del protocolo y la continuidad de la red (PERS-S01 y PERS-S02). Si un custodio no demuestra capacidad, opera la cláusula de apertura y la salida es ordenada. Los costos de sostenimiento son NO_CALCULABLE hasta que los custodios aporten sus datos.</w:t>
      </w:r>
    </w:p>
    <w:bookmarkEnd w:id="82"/>
    <w:bookmarkEnd w:id="83"/>
    <w:bookmarkStart w:id="85" w:name="X9797c94a4ceeeaa8a66ba037cbfb98da391a11b"/>
    <w:p>
      <w:pPr>
        <w:pStyle w:val="Heading1"/>
      </w:pPr>
      <w:r>
        <w:t xml:space="preserve">19. COMPONENTE TRANSVERSAL DE APROPIACIÓN SOCIAL DEL CONOCIMIENTO (ASC)</w:t>
      </w:r>
    </w:p>
    <w:p>
      <w:pPr>
        <w:pStyle w:val="FirstParagraph"/>
      </w:pPr>
      <w:r>
        <w:t xml:space="preserve">La estrategia de apropiación social del conocimiento es transversal al proyecto. Se articula con la problemática, los objetivos, las actividades, los productos y el presupuesto. El Anexo 10 de los términos de referencia no se aportó. La estrategia se formula con los siete componentes mínimos del Anexo 2 (NO_VERIFICADO frente al Anexo 10).</w:t>
      </w:r>
    </w:p>
    <w:bookmarkStart w:id="84" w:name="Xee4ee6937537342bdcbc549c09593d4f7f39741"/>
    <w:p>
      <w:pPr>
        <w:pStyle w:val="Heading2"/>
      </w:pPr>
      <w:r>
        <w:t xml:space="preserve">19.1 Estrategia de apropiación social del conocimiento</w:t>
      </w:r>
    </w:p>
    <w:p>
      <w:pPr>
        <w:pStyle w:val="FirstParagraph"/>
      </w:pPr>
      <w:r>
        <w:t xml:space="preserve">La estrategia entiende la apropiación como participación, diálogo de saberes y co-creación. Los comités no reciben un producto terminado. Co-diseñan los umbrales y el protocolo de alerta y validan el tablero. La Tabla D.24 describe los siete componentes.</w:t>
      </w:r>
    </w:p>
    <w:p>
      <w:pPr>
        <w:pStyle w:val="TablaRotulo"/>
      </w:pPr>
      <w:bookmarkStart w:id="9042" w:name="rot_Tabla_D_24"/>
      <w:r>
        <w:rPr>
          <w:b/>
          <w:bCs/>
        </w:rPr>
        <w:t xml:space="preserve">Tabla D.24</w:t>
      </w:r>
      <w:bookmarkEnd w:id="9042"/>
    </w:p>
    <w:p>
      <w:pPr>
        <w:pStyle w:val="TablaTitulo"/>
      </w:pPr>
      <w:r>
        <w:rPr>
          <w:i/>
          <w:iCs/>
        </w:rPr>
        <w:t xml:space="preserve">Componentes de la estrategia de apropiación social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762"/>
        <w:gridCol w:w="4158"/>
      </w:tblGrid>
      <w:tr>
        <w:trPr>
          <w:cantSplit/>
          <w:tblHeader/>
        </w:trPr>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Descripción en el proyecto</w:t>
            </w:r>
          </w:p>
        </w:tc>
      </w:tr>
      <w:tr>
        <w:trPr>
          <w:cantSplit/>
        </w:trPr>
        <w:tc>
          <w:tcPr/>
          <w:p>
            <w:pPr>
              <w:pStyle w:val="Tabla9"/>
              <w:jc w:val="left"/>
            </w:pPr>
            <w:r>
              <w:t xml:space="preserve">A. Análisis y reconocimiento del contexto</w:t>
            </w:r>
          </w:p>
        </w:tc>
        <w:tc>
          <w:tcPr/>
          <w:p>
            <w:pPr>
              <w:pStyle w:val="Tabla9"/>
              <w:jc w:val="left"/>
            </w:pPr>
            <w:r>
              <w:t xml:space="preserve">Diagnóstico participativo de los 12 municipios en el tramo 1: sitios de remoción, rutinas de alerta y canales de comunicación existentes</w:t>
            </w:r>
          </w:p>
        </w:tc>
      </w:tr>
      <w:tr>
        <w:trPr>
          <w:cantSplit/>
        </w:trPr>
        <w:tc>
          <w:tcPr/>
          <w:p>
            <w:pPr>
              <w:pStyle w:val="Tabla9"/>
              <w:jc w:val="left"/>
            </w:pPr>
            <w:r>
              <w:t xml:space="preserve">B. Identificación y caracterización de actores</w:t>
            </w:r>
          </w:p>
        </w:tc>
        <w:tc>
          <w:tcPr/>
          <w:p>
            <w:pPr>
              <w:pStyle w:val="Tabla9"/>
              <w:jc w:val="left"/>
            </w:pPr>
            <w:r>
              <w:t xml:space="preserve">15 comités de gestión del riesgo, 150 funcionarios, cuadrillas de remoción, comunidades expuestas y contratistas; el mapa de interesados está en el documento X7</w:t>
            </w:r>
          </w:p>
        </w:tc>
      </w:tr>
      <w:tr>
        <w:trPr>
          <w:cantSplit/>
        </w:trPr>
        <w:tc>
          <w:tcPr/>
          <w:p>
            <w:pPr>
              <w:pStyle w:val="Tabla9"/>
              <w:jc w:val="left"/>
            </w:pPr>
            <w:r>
              <w:t xml:space="preserve">C. Identificación de saberes, conocimientos y capacidades</w:t>
            </w:r>
          </w:p>
        </w:tc>
        <w:tc>
          <w:tcPr/>
          <w:p>
            <w:pPr>
              <w:pStyle w:val="Tabla9"/>
              <w:jc w:val="left"/>
            </w:pPr>
            <w:r>
              <w:t xml:space="preserve">Conocimiento local sobre polvo, lluvia y humedad en cada sitio; experiencia de los operarios; capacidades técnicas de los comités</w:t>
            </w:r>
          </w:p>
        </w:tc>
      </w:tr>
      <w:tr>
        <w:trPr>
          <w:cantSplit/>
        </w:trPr>
        <w:tc>
          <w:tcPr/>
          <w:p>
            <w:pPr>
              <w:pStyle w:val="Tabla9"/>
              <w:jc w:val="left"/>
            </w:pPr>
            <w:r>
              <w:t xml:space="preserve">D. Mecanismos de participación</w:t>
            </w:r>
          </w:p>
        </w:tc>
        <w:tc>
          <w:tcPr/>
          <w:p>
            <w:pPr>
              <w:pStyle w:val="Tabla9"/>
              <w:jc w:val="left"/>
            </w:pPr>
            <w:r>
              <w:t xml:space="preserve">20 talleres de colaboración (4 en el tramo 1, 8 en el tramo 2 y 8 en el tramo 3), 3 jornadas de información y 6 de consulta</w:t>
            </w:r>
          </w:p>
        </w:tc>
      </w:tr>
      <w:tr>
        <w:trPr>
          <w:cantSplit/>
        </w:trPr>
        <w:tc>
          <w:tcPr/>
          <w:p>
            <w:pPr>
              <w:pStyle w:val="Tabla9"/>
              <w:jc w:val="left"/>
            </w:pPr>
            <w:r>
              <w:t xml:space="preserve">E. Enfoque de colaboración y co-creación</w:t>
            </w:r>
          </w:p>
        </w:tc>
        <w:tc>
          <w:tcPr/>
          <w:p>
            <w:pPr>
              <w:pStyle w:val="Tabla9"/>
              <w:jc w:val="left"/>
            </w:pPr>
            <w:r>
              <w:t xml:space="preserve">Co-diseño de umbrales y protocolo en la actividad A3.1; validación del tablero con los comités; cartillas revisadas por los usuarios</w:t>
            </w:r>
          </w:p>
        </w:tc>
      </w:tr>
      <w:tr>
        <w:trPr>
          <w:cantSplit/>
        </w:trPr>
        <w:tc>
          <w:tcPr/>
          <w:p>
            <w:pPr>
              <w:pStyle w:val="Tabla9"/>
              <w:jc w:val="left"/>
            </w:pPr>
            <w:r>
              <w:t xml:space="preserve">F. Articulación con el ciclo de ejecución</w:t>
            </w:r>
          </w:p>
        </w:tc>
        <w:tc>
          <w:tcPr/>
          <w:p>
            <w:pPr>
              <w:pStyle w:val="Tabla9"/>
              <w:jc w:val="left"/>
            </w:pPr>
            <w:r>
              <w:t xml:space="preserve">La compuerta C1 exige uso del tablero por al menos 50 % de los comités del tramo 1; la C2 y el cierre verifican el avance hacia 75 %</w:t>
            </w:r>
          </w:p>
        </w:tc>
      </w:tr>
      <w:tr>
        <w:trPr>
          <w:cantSplit/>
        </w:trPr>
        <w:tc>
          <w:tcPr/>
          <w:p>
            <w:pPr>
              <w:pStyle w:val="Tabla9"/>
              <w:jc w:val="left"/>
            </w:pPr>
            <w:r>
              <w:t xml:space="preserve">G. Sistematización</w:t>
            </w:r>
          </w:p>
        </w:tc>
        <w:tc>
          <w:tcPr/>
          <w:p>
            <w:pPr>
              <w:pStyle w:val="Tabla9"/>
              <w:jc w:val="left"/>
            </w:pPr>
            <w:r>
              <w:t xml:space="preserve">Actas firmadas, bitácora de aprendizajes, informe por tramo y 29 actividades documentadas (PERS-P04)</w:t>
            </w:r>
          </w:p>
        </w:tc>
      </w:tr>
    </w:tbl>
    <w:p>
      <w:pPr>
        <w:pStyle w:val="TablaNota"/>
      </w:pPr>
      <w:r>
        <w:rPr>
          <w:i/>
          <w:iCs/>
        </w:rPr>
        <w:t xml:space="preserve">Nota.</w:t>
      </w:r>
      <w:r>
        <w:t xml:space="preserve"> </w:t>
      </w:r>
      <w:r>
        <w:t xml:space="preserve">Elaboración propia con el capítulo 16 del expediente. Las cantidades por tramo son PROPUESTAS.</w:t>
      </w:r>
    </w:p>
    <w:p>
      <w:pPr>
        <w:pStyle w:val="BodyText"/>
      </w:pPr>
      <w:r>
        <w:t xml:space="preserve">El presupuesto de apropiación social suma $ 726.500.000, equivalentes a 8,3 % del valor SGR. Incluye la coordinación y los profesionales sociales. Incluye también cartillas, kits de talleres y elementos de protección personal. Incluye la logística de ferias y las publicaciones de divulgación (líneas P05, P11, M04, M05, M06, V05, O02 y O06).</w:t>
      </w:r>
    </w:p>
    <w:bookmarkEnd w:id="84"/>
    <w:bookmarkEnd w:id="85"/>
    <w:bookmarkStart w:id="86" w:name="_Toc00900037"/>
    <w:p>
      <w:pPr>
        <w:pStyle w:val="Heading1"/>
      </w:pPr>
      <w:r>
        <w:t xml:space="preserve">20. PRODUCTOS ESPERADOS</w:t>
      </w:r>
    </w:p>
    <w:p>
      <w:pPr>
        <w:pStyle w:val="FirstParagraph"/>
      </w:pPr>
      <w:r>
        <w:t xml:space="preserve">La Tabla D.25 sigue la tabla del Anexo 2 con el programa 3906 del sector 39 de la MGA. Los productos y los indicadores se proponen con la clasificación del catálogo, que debe validarse en la plataforma MGA. No se repite ningún producto.</w:t>
      </w:r>
    </w:p>
    <w:p>
      <w:pPr>
        <w:pStyle w:val="TablaRotulo"/>
      </w:pPr>
      <w:bookmarkStart w:id="9043" w:name="rot_Tabla_D_25"/>
      <w:r>
        <w:rPr>
          <w:b/>
          <w:bCs/>
        </w:rPr>
        <w:t xml:space="preserve">Tabla D.25</w:t>
      </w:r>
      <w:bookmarkEnd w:id="9043"/>
    </w:p>
    <w:p>
      <w:pPr>
        <w:pStyle w:val="TablaTitulo"/>
      </w:pPr>
      <w:r>
        <w:rPr>
          <w:i/>
          <w:iCs/>
        </w:rPr>
        <w:t xml:space="preserve">Productos esperados (programa 3906)</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74"/>
        <w:gridCol w:w="1963"/>
        <w:gridCol w:w="1898"/>
        <w:gridCol w:w="1767"/>
        <w:gridCol w:w="916"/>
      </w:tblGrid>
      <w:tr>
        <w:trPr>
          <w:cantSplit/>
          <w:tblHeader/>
        </w:trPr>
        <w:tc>
          <w:tcPr>
            <w:shd w:val="clear" w:color="auto" w:fill="00B050"/>
          </w:tcPr>
          <w:p>
            <w:pPr>
              <w:pStyle w:val="Tabla9"/>
              <w:jc w:val="center"/>
            </w:pPr>
            <w:r>
              <w:rPr>
                <w:b/>
                <w:color w:val="FFFFFF"/>
              </w:rPr>
              <w:t xml:space="preserve">Programa</w:t>
            </w:r>
          </w:p>
        </w:tc>
        <w:tc>
          <w:tcPr>
            <w:shd w:val="clear" w:color="auto" w:fill="00B050"/>
          </w:tcPr>
          <w:p>
            <w:pPr>
              <w:pStyle w:val="Tabla9"/>
              <w:jc w:val="center"/>
            </w:pPr>
            <w:r>
              <w:rPr>
                <w:b/>
                <w:color w:val="FFFFFF"/>
              </w:rPr>
              <w:t xml:space="preserve">Producto</w:t>
            </w:r>
          </w:p>
        </w:tc>
        <w:tc>
          <w:tcPr>
            <w:shd w:val="clear" w:color="auto" w:fill="00B050"/>
          </w:tcPr>
          <w:p>
            <w:pPr>
              <w:pStyle w:val="Tabla9"/>
              <w:jc w:val="center"/>
            </w:pPr>
            <w:r>
              <w:rPr>
                <w:b/>
                <w:color w:val="FFFFFF"/>
              </w:rPr>
              <w:t xml:space="preserve">Medido a través de</w:t>
            </w:r>
          </w:p>
        </w:tc>
        <w:tc>
          <w:tcPr>
            <w:shd w:val="clear" w:color="auto" w:fill="00B050"/>
          </w:tcPr>
          <w:p>
            <w:pPr>
              <w:pStyle w:val="Tabla9"/>
              <w:jc w:val="center"/>
            </w:pPr>
            <w:r>
              <w:rPr>
                <w:b/>
                <w:color w:val="FFFFFF"/>
              </w:rPr>
              <w:t xml:space="preserve">Indicador de producto</w:t>
            </w:r>
          </w:p>
        </w:tc>
        <w:tc>
          <w:tcPr>
            <w:shd w:val="clear" w:color="auto" w:fill="00B050"/>
          </w:tcPr>
          <w:p>
            <w:pPr>
              <w:pStyle w:val="Tabla9"/>
              <w:jc w:val="center"/>
            </w:pPr>
            <w:r>
              <w:rPr>
                <w:b/>
                <w:color w:val="FFFFFF"/>
              </w:rPr>
              <w:t xml:space="preserve">Unidad de medida</w:t>
            </w:r>
          </w:p>
        </w:tc>
      </w:tr>
      <w:tr>
        <w:trPr>
          <w:cantSplit/>
        </w:trPr>
        <w:tc>
          <w:tcPr/>
          <w:p>
            <w:pPr>
              <w:pStyle w:val="Tabla9"/>
              <w:jc w:val="left"/>
            </w:pPr>
            <w:r>
              <w:t xml:space="preserve">3906</w:t>
            </w:r>
          </w:p>
        </w:tc>
        <w:tc>
          <w:tcPr/>
          <w:p>
            <w:pPr>
              <w:pStyle w:val="Tabla9"/>
              <w:jc w:val="left"/>
            </w:pPr>
            <w:r>
              <w:t xml:space="preserve">Documentos de investigación</w:t>
            </w:r>
          </w:p>
        </w:tc>
        <w:tc>
          <w:tcPr/>
          <w:p>
            <w:pPr>
              <w:pStyle w:val="Tabla9"/>
              <w:jc w:val="left"/>
            </w:pPr>
            <w:r>
              <w:t xml:space="preserve">Documentos de investigación elaborados</w:t>
            </w:r>
          </w:p>
        </w:tc>
        <w:tc>
          <w:tcPr/>
          <w:p>
            <w:pPr>
              <w:pStyle w:val="Tabla9"/>
              <w:jc w:val="left"/>
            </w:pPr>
            <w:r>
              <w:t xml:space="preserve">2 artículos sometidos y al menos 1 aceptado (PERS-P03)</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para la generación de prototipos de materiales, productos o dispositivos</w:t>
            </w:r>
          </w:p>
        </w:tc>
        <w:tc>
          <w:tcPr/>
          <w:p>
            <w:pPr>
              <w:pStyle w:val="Tabla9"/>
              <w:jc w:val="left"/>
            </w:pPr>
            <w:r>
              <w:t xml:space="preserve">Prototipos generados</w:t>
            </w:r>
          </w:p>
        </w:tc>
        <w:tc>
          <w:tcPr/>
          <w:p>
            <w:pPr>
              <w:pStyle w:val="Tabla9"/>
              <w:jc w:val="left"/>
            </w:pPr>
            <w:r>
              <w:t xml:space="preserve">1 red de 100 nodos y 10 gateways (PERS-P01); 1 software registrado (PERS-P02)</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para programas y proyectos de infraestructura científica y tecnológica</w:t>
            </w:r>
          </w:p>
        </w:tc>
        <w:tc>
          <w:tcPr/>
          <w:p>
            <w:pPr>
              <w:pStyle w:val="Tabla9"/>
              <w:jc w:val="left"/>
            </w:pPr>
            <w:r>
              <w:t xml:space="preserve">Equipos de infraestructura científica adquiridos</w:t>
            </w:r>
          </w:p>
        </w:tc>
        <w:tc>
          <w:tcPr/>
          <w:p>
            <w:pPr>
              <w:pStyle w:val="Tabla9"/>
              <w:jc w:val="left"/>
            </w:pPr>
            <w:r>
              <w:t xml:space="preserve">1 banco de calibración y 3 monitores de referencia</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Servicios de apoyo financiero para programas y proyectos de CTI que promueven la innovación, la transferencia tecnológica y el emprendimiento</w:t>
            </w:r>
          </w:p>
        </w:tc>
        <w:tc>
          <w:tcPr/>
          <w:p>
            <w:pPr>
              <w:pStyle w:val="Tabla9"/>
              <w:jc w:val="left"/>
            </w:pPr>
            <w:r>
              <w:t xml:space="preserve">Convenios de transferencia firmados</w:t>
            </w:r>
          </w:p>
        </w:tc>
        <w:tc>
          <w:tcPr/>
          <w:p>
            <w:pPr>
              <w:pStyle w:val="Tabla9"/>
              <w:jc w:val="left"/>
            </w:pPr>
            <w:r>
              <w:t xml:space="preserve">3 convenios de custodia, uno por tramo</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Documentos de política: documentos de planeación</w:t>
            </w:r>
          </w:p>
        </w:tc>
        <w:tc>
          <w:tcPr/>
          <w:p>
            <w:pPr>
              <w:pStyle w:val="Tabla9"/>
              <w:jc w:val="left"/>
            </w:pPr>
            <w:r>
              <w:t xml:space="preserve">Documentos de planeación elaborados</w:t>
            </w:r>
          </w:p>
        </w:tc>
        <w:tc>
          <w:tcPr/>
          <w:p>
            <w:pPr>
              <w:pStyle w:val="Tabla9"/>
              <w:jc w:val="left"/>
            </w:pPr>
            <w:r>
              <w:t xml:space="preserve">1 protocolo de alerta con umbrales validados localmente</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apropiación social del conocimiento</w:t>
            </w:r>
          </w:p>
        </w:tc>
        <w:tc>
          <w:tcPr/>
          <w:p>
            <w:pPr>
              <w:pStyle w:val="Tabla9"/>
              <w:jc w:val="left"/>
            </w:pPr>
            <w:r>
              <w:t xml:space="preserve">Actividades de apropiación realizadas</w:t>
            </w:r>
          </w:p>
        </w:tc>
        <w:tc>
          <w:tcPr/>
          <w:p>
            <w:pPr>
              <w:pStyle w:val="Tabla9"/>
              <w:jc w:val="left"/>
            </w:pPr>
            <w:r>
              <w:t xml:space="preserve">29 actividades: 20 talleres y 9 jornadas (PERS-P04)</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asistencia técnica</w:t>
            </w:r>
          </w:p>
        </w:tc>
        <w:tc>
          <w:tcPr/>
          <w:p>
            <w:pPr>
              <w:pStyle w:val="Tabla9"/>
              <w:jc w:val="left"/>
            </w:pPr>
            <w:r>
              <w:t xml:space="preserve">Entidades asistidas técnicamente</w:t>
            </w:r>
          </w:p>
        </w:tc>
        <w:tc>
          <w:tcPr/>
          <w:p>
            <w:pPr>
              <w:pStyle w:val="Tabla9"/>
              <w:jc w:val="left"/>
            </w:pPr>
            <w:r>
              <w:t xml:space="preserve">15 comités con tablero en uso; 60 personas certificadas (PERS-E03)</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para el fortalecimiento de las vocaciones científicas en CTI</w:t>
            </w:r>
          </w:p>
        </w:tc>
        <w:tc>
          <w:tcPr/>
          <w:p>
            <w:pPr>
              <w:pStyle w:val="Tabla9"/>
              <w:jc w:val="left"/>
            </w:pPr>
            <w:r>
              <w:t xml:space="preserve">Jóvenes investigadores apoyados</w:t>
            </w:r>
          </w:p>
        </w:tc>
        <w:tc>
          <w:tcPr/>
          <w:p>
            <w:pPr>
              <w:pStyle w:val="Tabla9"/>
              <w:jc w:val="left"/>
            </w:pPr>
            <w:r>
              <w:t xml:space="preserve">6</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para la formación de maestría, en modalidad de investigación</w:t>
            </w:r>
          </w:p>
        </w:tc>
        <w:tc>
          <w:tcPr/>
          <w:p>
            <w:pPr>
              <w:pStyle w:val="Tabla9"/>
              <w:jc w:val="left"/>
            </w:pPr>
            <w:r>
              <w:t xml:space="preserve">Beneficiarios de maestría</w:t>
            </w:r>
          </w:p>
        </w:tc>
        <w:tc>
          <w:tcPr/>
          <w:p>
            <w:pPr>
              <w:pStyle w:val="Tabla9"/>
              <w:jc w:val="left"/>
            </w:pPr>
            <w:r>
              <w:t xml:space="preserve">2</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de estancias de investigación</w:t>
            </w:r>
          </w:p>
        </w:tc>
        <w:tc>
          <w:tcPr/>
          <w:p>
            <w:pPr>
              <w:pStyle w:val="Tabla9"/>
              <w:jc w:val="left"/>
            </w:pPr>
            <w:r>
              <w:t xml:space="preserve">No aplica</w:t>
            </w:r>
          </w:p>
        </w:tc>
        <w:tc>
          <w:tcPr/>
          <w:p>
            <w:pPr>
              <w:pStyle w:val="Tabla9"/>
              <w:jc w:val="left"/>
            </w:pPr>
            <w:r>
              <w:t xml:space="preserve">No aplica</w:t>
            </w:r>
          </w:p>
        </w:tc>
        <w:tc>
          <w:tcPr/>
          <w:p>
            <w:pPr>
              <w:pStyle w:val="Tabla9"/>
              <w:jc w:val="left"/>
            </w:pPr>
            <w:r>
              <w:t xml:space="preserve">—</w:t>
            </w:r>
          </w:p>
        </w:tc>
      </w:tr>
      <w:tr>
        <w:trPr>
          <w:cantSplit/>
        </w:trPr>
        <w:tc>
          <w:tcPr/>
          <w:p>
            <w:pPr>
              <w:pStyle w:val="Tabla9"/>
              <w:jc w:val="left"/>
            </w:pPr>
            <w:r>
              <w:t xml:space="preserve">Productos adicionales</w:t>
            </w:r>
          </w:p>
        </w:tc>
        <w:tc>
          <w:tcPr/>
          <w:p>
            <w:pPr>
              <w:pStyle w:val="Tabla9"/>
              <w:jc w:val="left"/>
            </w:pPr>
            <w:r>
              <w:t xml:space="preserve">Ninguno</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bl>
    <w:p>
      <w:pPr>
        <w:pStyle w:val="TablaNota"/>
      </w:pPr>
      <w:r>
        <w:rPr>
          <w:i/>
          <w:iCs/>
        </w:rPr>
        <w:t xml:space="preserve">Nota.</w:t>
      </w:r>
      <w:r>
        <w:t xml:space="preserve"> </w:t>
      </w:r>
      <w:r>
        <w:t xml:space="preserve">Elaboración propia con la ficha maestra y la tabla del Anexo 2. Los nombres de los indicadores MGA son PROPUESTOS y NO_VERIFICADOS frente al catálogo vigente.</w:t>
      </w:r>
    </w:p>
    <w:bookmarkEnd w:id="86"/>
    <w:bookmarkStart w:id="87" w:name="cronograma"/>
    <w:p>
      <w:pPr>
        <w:pStyle w:val="Heading1"/>
      </w:pPr>
      <w:r>
        <w:t xml:space="preserve">21. CRONOGRAMA</w:t>
      </w:r>
    </w:p>
    <w:p>
      <w:pPr>
        <w:pStyle w:val="FirstParagraph"/>
      </w:pPr>
      <w:r>
        <w:t xml:space="preserve">La Tabla D.26 muestra el tiempo de ejecución de cada actividad descrita en la sección 14. Los meses se calculan con el método de la ruta crítica sobre 104 semanas. La ruta crítica coincide con la duración del proyecto. Las actividades de administración se ejecutan durante los 24 meses.</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2240" w:h="15840"/>
          <w:pgMar w:top="1417" w:right="1133" w:bottom="1417" w:left="1133" w:header="709" w:footer="709" w:gutter="0"/>
        </w:sectPr>
      </w:pPr>
    </w:p>
    <w:p>
      <w:pPr>
        <w:pStyle w:val="TablaRotulo"/>
      </w:pPr>
      <w:bookmarkStart w:id="9044" w:name="rot_Tabla_D_26"/>
      <w:r>
        <w:rPr>
          <w:b/>
          <w:bCs/>
        </w:rPr>
        <w:t xml:space="preserve">Tabla D.26</w:t>
      </w:r>
      <w:bookmarkEnd w:id="9044"/>
    </w:p>
    <w:p>
      <w:pPr>
        <w:pStyle w:val="TablaTitulo"/>
      </w:pPr>
      <w:r>
        <w:rPr>
          <w:i/>
          <w:iCs/>
        </w:rPr>
        <w:t xml:space="preserve">Cronograma de actividades por mes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95"/>
        <w:gridCol w:w="1055"/>
        <w:gridCol w:w="725"/>
        <w:gridCol w:w="197"/>
        <w:gridCol w:w="197"/>
        <w:gridCol w:w="197"/>
        <w:gridCol w:w="197"/>
        <w:gridCol w:w="197"/>
        <w:gridCol w:w="197"/>
        <w:gridCol w:w="197"/>
        <w:gridCol w:w="197"/>
        <w:gridCol w:w="197"/>
        <w:gridCol w:w="263"/>
        <w:gridCol w:w="263"/>
        <w:gridCol w:w="263"/>
        <w:gridCol w:w="263"/>
        <w:gridCol w:w="263"/>
        <w:gridCol w:w="263"/>
        <w:gridCol w:w="263"/>
        <w:gridCol w:w="263"/>
        <w:gridCol w:w="263"/>
        <w:gridCol w:w="263"/>
        <w:gridCol w:w="263"/>
        <w:gridCol w:w="263"/>
        <w:gridCol w:w="263"/>
        <w:gridCol w:w="263"/>
        <w:gridCol w:w="263"/>
      </w:tblGrid>
      <w:tr>
        <w:trPr>
          <w:cantSplit/>
          <w:tblHeader/>
        </w:trPr>
        <w:tc>
          <w:tcPr>
            <w:shd w:val="clear" w:color="auto" w:fill="00B050"/>
          </w:tcPr>
          <w:p>
            <w:pPr>
              <w:pStyle w:val="Tabla65"/>
              <w:jc w:val="center"/>
            </w:pPr>
            <w:r>
              <w:rPr>
                <w:b/>
                <w:color w:val="FFFFFF"/>
              </w:rPr>
              <w:t xml:space="preserve">OE</w:t>
            </w:r>
          </w:p>
        </w:tc>
        <w:tc>
          <w:tcPr>
            <w:shd w:val="clear" w:color="auto" w:fill="00B050"/>
          </w:tcPr>
          <w:p>
            <w:pPr>
              <w:pStyle w:val="Tabla65"/>
              <w:jc w:val="center"/>
            </w:pPr>
            <w:r>
              <w:rPr>
                <w:b/>
                <w:color w:val="FFFFFF"/>
              </w:rPr>
              <w:t xml:space="preserve">Producto</w:t>
            </w:r>
          </w:p>
        </w:tc>
        <w:tc>
          <w:tcPr>
            <w:shd w:val="clear" w:color="auto" w:fill="00B050"/>
          </w:tcPr>
          <w:p>
            <w:pPr>
              <w:pStyle w:val="Tabla65"/>
              <w:jc w:val="center"/>
            </w:pPr>
            <w:r>
              <w:rPr>
                <w:b/>
                <w:color w:val="FFFFFF"/>
              </w:rPr>
              <w:t xml:space="preserve">Actividad</w:t>
            </w:r>
          </w:p>
        </w:tc>
        <w:tc>
          <w:tcPr>
            <w:shd w:val="clear" w:color="auto" w:fill="00B050"/>
          </w:tcPr>
          <w:p>
            <w:pPr>
              <w:pStyle w:val="Tabla65"/>
              <w:jc w:val="center"/>
            </w:pPr>
            <w:r>
              <w:rPr>
                <w:b/>
                <w:color w:val="FFFFFF"/>
              </w:rPr>
              <w:t xml:space="preserve">1</w:t>
            </w:r>
          </w:p>
        </w:tc>
        <w:tc>
          <w:tcPr>
            <w:shd w:val="clear" w:color="auto" w:fill="00B050"/>
          </w:tcPr>
          <w:p>
            <w:pPr>
              <w:pStyle w:val="Tabla65"/>
              <w:jc w:val="center"/>
            </w:pPr>
            <w:r>
              <w:rPr>
                <w:b/>
                <w:color w:val="FFFFFF"/>
              </w:rPr>
              <w:t xml:space="preserve">2</w:t>
            </w:r>
          </w:p>
        </w:tc>
        <w:tc>
          <w:tcPr>
            <w:shd w:val="clear" w:color="auto" w:fill="00B050"/>
          </w:tcPr>
          <w:p>
            <w:pPr>
              <w:pStyle w:val="Tabla65"/>
              <w:jc w:val="center"/>
            </w:pPr>
            <w:r>
              <w:rPr>
                <w:b/>
                <w:color w:val="FFFFFF"/>
              </w:rPr>
              <w:t xml:space="preserve">3</w:t>
            </w:r>
          </w:p>
        </w:tc>
        <w:tc>
          <w:tcPr>
            <w:shd w:val="clear" w:color="auto" w:fill="00B050"/>
          </w:tcPr>
          <w:p>
            <w:pPr>
              <w:pStyle w:val="Tabla65"/>
              <w:jc w:val="center"/>
            </w:pPr>
            <w:r>
              <w:rPr>
                <w:b/>
                <w:color w:val="FFFFFF"/>
              </w:rPr>
              <w:t xml:space="preserve">4</w:t>
            </w:r>
          </w:p>
        </w:tc>
        <w:tc>
          <w:tcPr>
            <w:shd w:val="clear" w:color="auto" w:fill="00B050"/>
          </w:tcPr>
          <w:p>
            <w:pPr>
              <w:pStyle w:val="Tabla65"/>
              <w:jc w:val="center"/>
            </w:pPr>
            <w:r>
              <w:rPr>
                <w:b/>
                <w:color w:val="FFFFFF"/>
              </w:rPr>
              <w:t xml:space="preserve">5</w:t>
            </w:r>
          </w:p>
        </w:tc>
        <w:tc>
          <w:tcPr>
            <w:shd w:val="clear" w:color="auto" w:fill="00B050"/>
          </w:tcPr>
          <w:p>
            <w:pPr>
              <w:pStyle w:val="Tabla65"/>
              <w:jc w:val="center"/>
            </w:pPr>
            <w:r>
              <w:rPr>
                <w:b/>
                <w:color w:val="FFFFFF"/>
              </w:rPr>
              <w:t xml:space="preserve">6</w:t>
            </w:r>
          </w:p>
        </w:tc>
        <w:tc>
          <w:tcPr>
            <w:shd w:val="clear" w:color="auto" w:fill="00B050"/>
          </w:tcPr>
          <w:p>
            <w:pPr>
              <w:pStyle w:val="Tabla65"/>
              <w:jc w:val="center"/>
            </w:pPr>
            <w:r>
              <w:rPr>
                <w:b/>
                <w:color w:val="FFFFFF"/>
              </w:rPr>
              <w:t xml:space="preserve">7</w:t>
            </w:r>
          </w:p>
        </w:tc>
        <w:tc>
          <w:tcPr>
            <w:shd w:val="clear" w:color="auto" w:fill="00B050"/>
          </w:tcPr>
          <w:p>
            <w:pPr>
              <w:pStyle w:val="Tabla65"/>
              <w:jc w:val="center"/>
            </w:pPr>
            <w:r>
              <w:rPr>
                <w:b/>
                <w:color w:val="FFFFFF"/>
              </w:rPr>
              <w:t xml:space="preserve">8</w:t>
            </w:r>
          </w:p>
        </w:tc>
        <w:tc>
          <w:tcPr>
            <w:shd w:val="clear" w:color="auto" w:fill="00B050"/>
          </w:tcPr>
          <w:p>
            <w:pPr>
              <w:pStyle w:val="Tabla65"/>
              <w:jc w:val="center"/>
            </w:pPr>
            <w:r>
              <w:rPr>
                <w:b/>
                <w:color w:val="FFFFFF"/>
              </w:rPr>
              <w:t xml:space="preserve">9</w:t>
            </w:r>
          </w:p>
        </w:tc>
        <w:tc>
          <w:tcPr>
            <w:shd w:val="clear" w:color="auto" w:fill="00B050"/>
          </w:tcPr>
          <w:p>
            <w:pPr>
              <w:pStyle w:val="Tabla65"/>
              <w:jc w:val="center"/>
            </w:pPr>
            <w:r>
              <w:rPr>
                <w:b/>
                <w:color w:val="FFFFFF"/>
              </w:rPr>
              <w:t xml:space="preserve">10</w:t>
            </w:r>
          </w:p>
        </w:tc>
        <w:tc>
          <w:tcPr>
            <w:shd w:val="clear" w:color="auto" w:fill="00B050"/>
          </w:tcPr>
          <w:p>
            <w:pPr>
              <w:pStyle w:val="Tabla65"/>
              <w:jc w:val="center"/>
            </w:pPr>
            <w:r>
              <w:rPr>
                <w:b/>
                <w:color w:val="FFFFFF"/>
              </w:rPr>
              <w:t xml:space="preserve">11</w:t>
            </w:r>
          </w:p>
        </w:tc>
        <w:tc>
          <w:tcPr>
            <w:shd w:val="clear" w:color="auto" w:fill="00B050"/>
          </w:tcPr>
          <w:p>
            <w:pPr>
              <w:pStyle w:val="Tabla65"/>
              <w:jc w:val="center"/>
            </w:pPr>
            <w:r>
              <w:rPr>
                <w:b/>
                <w:color w:val="FFFFFF"/>
              </w:rPr>
              <w:t xml:space="preserve">12</w:t>
            </w:r>
          </w:p>
        </w:tc>
        <w:tc>
          <w:tcPr>
            <w:shd w:val="clear" w:color="auto" w:fill="00B050"/>
          </w:tcPr>
          <w:p>
            <w:pPr>
              <w:pStyle w:val="Tabla65"/>
              <w:jc w:val="center"/>
            </w:pPr>
            <w:r>
              <w:rPr>
                <w:b/>
                <w:color w:val="FFFFFF"/>
              </w:rPr>
              <w:t xml:space="preserve">13</w:t>
            </w:r>
          </w:p>
        </w:tc>
        <w:tc>
          <w:tcPr>
            <w:shd w:val="clear" w:color="auto" w:fill="00B050"/>
          </w:tcPr>
          <w:p>
            <w:pPr>
              <w:pStyle w:val="Tabla65"/>
              <w:jc w:val="center"/>
            </w:pPr>
            <w:r>
              <w:rPr>
                <w:b/>
                <w:color w:val="FFFFFF"/>
              </w:rPr>
              <w:t xml:space="preserve">14</w:t>
            </w:r>
          </w:p>
        </w:tc>
        <w:tc>
          <w:tcPr>
            <w:shd w:val="clear" w:color="auto" w:fill="00B050"/>
          </w:tcPr>
          <w:p>
            <w:pPr>
              <w:pStyle w:val="Tabla65"/>
              <w:jc w:val="center"/>
            </w:pPr>
            <w:r>
              <w:rPr>
                <w:b/>
                <w:color w:val="FFFFFF"/>
              </w:rPr>
              <w:t xml:space="preserve">15</w:t>
            </w:r>
          </w:p>
        </w:tc>
        <w:tc>
          <w:tcPr>
            <w:shd w:val="clear" w:color="auto" w:fill="00B050"/>
          </w:tcPr>
          <w:p>
            <w:pPr>
              <w:pStyle w:val="Tabla65"/>
              <w:jc w:val="center"/>
            </w:pPr>
            <w:r>
              <w:rPr>
                <w:b/>
                <w:color w:val="FFFFFF"/>
              </w:rPr>
              <w:t xml:space="preserve">16</w:t>
            </w:r>
          </w:p>
        </w:tc>
        <w:tc>
          <w:tcPr>
            <w:shd w:val="clear" w:color="auto" w:fill="00B050"/>
          </w:tcPr>
          <w:p>
            <w:pPr>
              <w:pStyle w:val="Tabla65"/>
              <w:jc w:val="center"/>
            </w:pPr>
            <w:r>
              <w:rPr>
                <w:b/>
                <w:color w:val="FFFFFF"/>
              </w:rPr>
              <w:t xml:space="preserve">17</w:t>
            </w:r>
          </w:p>
        </w:tc>
        <w:tc>
          <w:tcPr>
            <w:shd w:val="clear" w:color="auto" w:fill="00B050"/>
          </w:tcPr>
          <w:p>
            <w:pPr>
              <w:pStyle w:val="Tabla65"/>
              <w:jc w:val="center"/>
            </w:pPr>
            <w:r>
              <w:rPr>
                <w:b/>
                <w:color w:val="FFFFFF"/>
              </w:rPr>
              <w:t xml:space="preserve">18</w:t>
            </w:r>
          </w:p>
        </w:tc>
        <w:tc>
          <w:tcPr>
            <w:shd w:val="clear" w:color="auto" w:fill="00B050"/>
          </w:tcPr>
          <w:p>
            <w:pPr>
              <w:pStyle w:val="Tabla65"/>
              <w:jc w:val="center"/>
            </w:pPr>
            <w:r>
              <w:rPr>
                <w:b/>
                <w:color w:val="FFFFFF"/>
              </w:rPr>
              <w:t xml:space="preserve">19</w:t>
            </w:r>
          </w:p>
        </w:tc>
        <w:tc>
          <w:tcPr>
            <w:shd w:val="clear" w:color="auto" w:fill="00B050"/>
          </w:tcPr>
          <w:p>
            <w:pPr>
              <w:pStyle w:val="Tabla65"/>
              <w:jc w:val="center"/>
            </w:pPr>
            <w:r>
              <w:rPr>
                <w:b/>
                <w:color w:val="FFFFFF"/>
              </w:rPr>
              <w:t xml:space="preserve">20</w:t>
            </w:r>
          </w:p>
        </w:tc>
        <w:tc>
          <w:tcPr>
            <w:shd w:val="clear" w:color="auto" w:fill="00B050"/>
          </w:tcPr>
          <w:p>
            <w:pPr>
              <w:pStyle w:val="Tabla65"/>
              <w:jc w:val="center"/>
            </w:pPr>
            <w:r>
              <w:rPr>
                <w:b/>
                <w:color w:val="FFFFFF"/>
              </w:rPr>
              <w:t xml:space="preserve">21</w:t>
            </w:r>
          </w:p>
        </w:tc>
        <w:tc>
          <w:tcPr>
            <w:shd w:val="clear" w:color="auto" w:fill="00B050"/>
          </w:tcPr>
          <w:p>
            <w:pPr>
              <w:pStyle w:val="Tabla65"/>
              <w:jc w:val="center"/>
            </w:pPr>
            <w:r>
              <w:rPr>
                <w:b/>
                <w:color w:val="FFFFFF"/>
              </w:rPr>
              <w:t xml:space="preserve">22</w:t>
            </w:r>
          </w:p>
        </w:tc>
        <w:tc>
          <w:tcPr>
            <w:shd w:val="clear" w:color="auto" w:fill="00B050"/>
          </w:tcPr>
          <w:p>
            <w:pPr>
              <w:pStyle w:val="Tabla65"/>
              <w:jc w:val="center"/>
            </w:pPr>
            <w:r>
              <w:rPr>
                <w:b/>
                <w:color w:val="FFFFFF"/>
              </w:rPr>
              <w:t xml:space="preserve">23</w:t>
            </w:r>
          </w:p>
        </w:tc>
        <w:tc>
          <w:tcPr>
            <w:shd w:val="clear" w:color="auto" w:fill="00B050"/>
          </w:tcPr>
          <w:p>
            <w:pPr>
              <w:pStyle w:val="Tabla65"/>
              <w:jc w:val="center"/>
            </w:pPr>
            <w:r>
              <w:rPr>
                <w:b/>
                <w:color w:val="FFFFFF"/>
              </w:rPr>
              <w:t xml:space="preserve">24</w:t>
            </w:r>
          </w:p>
        </w:tc>
      </w:tr>
      <w:tr>
        <w:trPr>
          <w:cantSplit/>
        </w:trPr>
        <w:tc>
          <w:tcPr/>
          <w:p>
            <w:pPr>
              <w:pStyle w:val="Tabla65"/>
              <w:jc w:val="left"/>
            </w:pPr>
            <w:r>
              <w:t xml:space="preserve">OE1</w:t>
            </w:r>
          </w:p>
        </w:tc>
        <w:tc>
          <w:tcPr/>
          <w:p>
            <w:pPr>
              <w:pStyle w:val="Tabla65"/>
              <w:jc w:val="left"/>
            </w:pPr>
            <w:r>
              <w:t xml:space="preserve">Equipo y convenios</w:t>
            </w:r>
          </w:p>
        </w:tc>
        <w:tc>
          <w:tcPr/>
          <w:p>
            <w:pPr>
              <w:pStyle w:val="Tabla65"/>
              <w:jc w:val="left"/>
            </w:pPr>
            <w:r>
              <w:t xml:space="preserve">A0.1</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Plan de colocalización</w:t>
            </w:r>
          </w:p>
        </w:tc>
        <w:tc>
          <w:tcPr/>
          <w:p>
            <w:pPr>
              <w:pStyle w:val="Tabla65"/>
              <w:jc w:val="left"/>
            </w:pPr>
            <w:r>
              <w:t xml:space="preserve">A1.1</w:t>
            </w: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Lote 1 caracterizado</w:t>
            </w:r>
          </w:p>
        </w:tc>
        <w:tc>
          <w:tcPr/>
          <w:p>
            <w:pPr>
              <w:pStyle w:val="Tabla65"/>
              <w:jc w:val="left"/>
            </w:pPr>
            <w:r>
              <w:t xml:space="preserve">A1.2</w:t>
            </w: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Base de colocalización</w:t>
            </w:r>
          </w:p>
        </w:tc>
        <w:tc>
          <w:tcPr/>
          <w:p>
            <w:pPr>
              <w:pStyle w:val="Tabla65"/>
              <w:jc w:val="left"/>
            </w:pPr>
            <w:r>
              <w:t xml:space="preserve">A1.3</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Modelo validado</w:t>
            </w:r>
          </w:p>
        </w:tc>
        <w:tc>
          <w:tcPr/>
          <w:p>
            <w:pPr>
              <w:pStyle w:val="Tabla65"/>
              <w:jc w:val="left"/>
            </w:pPr>
            <w:r>
              <w:t xml:space="preserve">A1.4</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Decisión de ampliar</w:t>
            </w:r>
          </w:p>
        </w:tc>
        <w:tc>
          <w:tcPr/>
          <w:p>
            <w:pPr>
              <w:pStyle w:val="Tabla65"/>
              <w:jc w:val="left"/>
            </w:pPr>
            <w:r>
              <w:t xml:space="preserve">C1</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Modelo por departamento</w:t>
            </w:r>
          </w:p>
        </w:tc>
        <w:tc>
          <w:tcPr/>
          <w:p>
            <w:pPr>
              <w:pStyle w:val="Tabla65"/>
              <w:jc w:val="left"/>
            </w:pPr>
            <w:r>
              <w:t xml:space="preserve">A1.5</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Ensayo independiente</w:t>
            </w:r>
          </w:p>
        </w:tc>
        <w:tc>
          <w:tcPr/>
          <w:p>
            <w:pPr>
              <w:pStyle w:val="Tabla65"/>
              <w:jc w:val="left"/>
            </w:pPr>
            <w:r>
              <w:t xml:space="preserve">A1.6</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r>
      <w:tr>
        <w:trPr>
          <w:cantSplit/>
        </w:trPr>
        <w:tc>
          <w:tcPr/>
          <w:p>
            <w:pPr>
              <w:pStyle w:val="Tabla65"/>
              <w:jc w:val="left"/>
            </w:pPr>
            <w:r>
              <w:t xml:space="preserve">OE1</w:t>
            </w:r>
          </w:p>
        </w:tc>
        <w:tc>
          <w:tcPr/>
          <w:p>
            <w:pPr>
              <w:pStyle w:val="Tabla65"/>
              <w:jc w:val="left"/>
            </w:pPr>
            <w:r>
              <w:t xml:space="preserve">Gestión</w:t>
            </w:r>
          </w:p>
        </w:tc>
        <w:tc>
          <w:tcPr/>
          <w:p>
            <w:pPr>
              <w:pStyle w:val="Tabla65"/>
              <w:jc w:val="left"/>
            </w:pPr>
            <w:r>
              <w:t xml:space="preserve">ADM1</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r>
      <w:tr>
        <w:trPr>
          <w:cantSplit/>
        </w:trPr>
        <w:tc>
          <w:tcPr/>
          <w:p>
            <w:pPr>
              <w:pStyle w:val="Tabla65"/>
              <w:jc w:val="left"/>
            </w:pPr>
            <w:r>
              <w:t xml:space="preserve">OE2</w:t>
            </w:r>
          </w:p>
        </w:tc>
        <w:tc>
          <w:tcPr/>
          <w:p>
            <w:pPr>
              <w:pStyle w:val="Tabla65"/>
              <w:jc w:val="left"/>
            </w:pPr>
            <w:r>
              <w:t xml:space="preserve">Diseño de enlace</w:t>
            </w:r>
          </w:p>
        </w:tc>
        <w:tc>
          <w:tcPr/>
          <w:p>
            <w:pPr>
              <w:pStyle w:val="Tabla65"/>
              <w:jc w:val="left"/>
            </w:pPr>
            <w:r>
              <w:t xml:space="preserve">A2.1</w:t>
            </w: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OE2</w:t>
            </w:r>
          </w:p>
        </w:tc>
        <w:tc>
          <w:tcPr/>
          <w:p>
            <w:pPr>
              <w:pStyle w:val="Tabla65"/>
              <w:jc w:val="left"/>
            </w:pPr>
            <w:r>
              <w:t xml:space="preserve">Plataforma y firmware</w:t>
            </w:r>
          </w:p>
        </w:tc>
        <w:tc>
          <w:tcPr/>
          <w:p>
            <w:pPr>
              <w:pStyle w:val="Tabla65"/>
              <w:jc w:val="left"/>
            </w:pPr>
            <w:r>
              <w:t xml:space="preserve">A2.2</w:t>
            </w: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OE2</w:t>
            </w:r>
          </w:p>
        </w:tc>
        <w:tc>
          <w:tcPr/>
          <w:p>
            <w:pPr>
              <w:pStyle w:val="Tabla65"/>
              <w:jc w:val="left"/>
            </w:pPr>
            <w:r>
              <w:t xml:space="preserve">Tramo 2</w:t>
            </w:r>
          </w:p>
        </w:tc>
        <w:tc>
          <w:tcPr/>
          <w:p>
            <w:pPr>
              <w:pStyle w:val="Tabla65"/>
              <w:jc w:val="left"/>
            </w:pPr>
            <w:r>
              <w:t xml:space="preserve">A2.3</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OE2</w:t>
            </w:r>
          </w:p>
        </w:tc>
        <w:tc>
          <w:tcPr/>
          <w:p>
            <w:pPr>
              <w:pStyle w:val="Tabla65"/>
              <w:jc w:val="left"/>
            </w:pPr>
            <w:r>
              <w:t xml:space="preserve">Decisión de consolidar</w:t>
            </w:r>
          </w:p>
        </w:tc>
        <w:tc>
          <w:tcPr/>
          <w:p>
            <w:pPr>
              <w:pStyle w:val="Tabla65"/>
              <w:jc w:val="left"/>
            </w:pPr>
            <w:r>
              <w:t xml:space="preserve">C2</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OE2</w:t>
            </w:r>
          </w:p>
        </w:tc>
        <w:tc>
          <w:tcPr/>
          <w:p>
            <w:pPr>
              <w:pStyle w:val="Tabla65"/>
              <w:jc w:val="left"/>
            </w:pPr>
            <w:r>
              <w:t xml:space="preserve">Tramo 3</w:t>
            </w:r>
          </w:p>
        </w:tc>
        <w:tc>
          <w:tcPr/>
          <w:p>
            <w:pPr>
              <w:pStyle w:val="Tabla65"/>
              <w:jc w:val="left"/>
            </w:pPr>
            <w:r>
              <w:t xml:space="preserve">A2.4</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OE2</w:t>
            </w:r>
          </w:p>
        </w:tc>
        <w:tc>
          <w:tcPr/>
          <w:p>
            <w:pPr>
              <w:pStyle w:val="Tabla65"/>
              <w:jc w:val="left"/>
            </w:pPr>
            <w:r>
              <w:t xml:space="preserve">Gestión</w:t>
            </w:r>
          </w:p>
        </w:tc>
        <w:tc>
          <w:tcPr/>
          <w:p>
            <w:pPr>
              <w:pStyle w:val="Tabla65"/>
              <w:jc w:val="left"/>
            </w:pPr>
            <w:r>
              <w:t xml:space="preserve">ADM2</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r>
      <w:tr>
        <w:trPr>
          <w:cantSplit/>
        </w:trPr>
        <w:tc>
          <w:tcPr/>
          <w:p>
            <w:pPr>
              <w:pStyle w:val="Tabla65"/>
              <w:jc w:val="left"/>
            </w:pPr>
            <w:r>
              <w:t xml:space="preserve">OE3</w:t>
            </w:r>
          </w:p>
        </w:tc>
        <w:tc>
          <w:tcPr/>
          <w:p>
            <w:pPr>
              <w:pStyle w:val="Tabla65"/>
              <w:jc w:val="left"/>
            </w:pPr>
            <w:r>
              <w:t xml:space="preserve">Protocolo de alerta</w:t>
            </w:r>
          </w:p>
        </w:tc>
        <w:tc>
          <w:tcPr/>
          <w:p>
            <w:pPr>
              <w:pStyle w:val="Tabla65"/>
              <w:jc w:val="left"/>
            </w:pPr>
            <w:r>
              <w:t xml:space="preserve">A3.1</w:t>
            </w: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OE3</w:t>
            </w:r>
          </w:p>
        </w:tc>
        <w:tc>
          <w:tcPr/>
          <w:p>
            <w:pPr>
              <w:pStyle w:val="Tabla65"/>
              <w:jc w:val="left"/>
            </w:pPr>
            <w:r>
              <w:t xml:space="preserve">Tablero en uso</w:t>
            </w:r>
          </w:p>
        </w:tc>
        <w:tc>
          <w:tcPr/>
          <w:p>
            <w:pPr>
              <w:pStyle w:val="Tabla65"/>
              <w:jc w:val="left"/>
            </w:pPr>
            <w:r>
              <w:t xml:space="preserve">A3.2</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OE3</w:t>
            </w:r>
          </w:p>
        </w:tc>
        <w:tc>
          <w:tcPr/>
          <w:p>
            <w:pPr>
              <w:pStyle w:val="Tabla65"/>
              <w:jc w:val="left"/>
            </w:pPr>
            <w:r>
              <w:t xml:space="preserve">Custodios y convenios</w:t>
            </w:r>
          </w:p>
        </w:tc>
        <w:tc>
          <w:tcPr/>
          <w:p>
            <w:pPr>
              <w:pStyle w:val="Tabla65"/>
              <w:jc w:val="left"/>
            </w:pPr>
            <w:r>
              <w:t xml:space="preserve">A3.3</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OE3</w:t>
            </w:r>
          </w:p>
        </w:tc>
        <w:tc>
          <w:tcPr/>
          <w:p>
            <w:pPr>
              <w:pStyle w:val="Tabla65"/>
              <w:jc w:val="left"/>
            </w:pPr>
            <w:r>
              <w:t xml:space="preserve">Transferencia y cierre</w:t>
            </w:r>
          </w:p>
        </w:tc>
        <w:tc>
          <w:tcPr/>
          <w:p>
            <w:pPr>
              <w:pStyle w:val="Tabla65"/>
              <w:jc w:val="left"/>
            </w:pPr>
            <w:r>
              <w:t xml:space="preserve">A3.4</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r>
      <w:tr>
        <w:trPr>
          <w:cantSplit/>
        </w:trPr>
        <w:tc>
          <w:tcPr/>
          <w:p>
            <w:pPr>
              <w:pStyle w:val="Tabla65"/>
              <w:jc w:val="left"/>
            </w:pPr>
            <w:r>
              <w:t xml:space="preserve">OE3</w:t>
            </w:r>
          </w:p>
        </w:tc>
        <w:tc>
          <w:tcPr/>
          <w:p>
            <w:pPr>
              <w:pStyle w:val="Tabla65"/>
              <w:jc w:val="left"/>
            </w:pPr>
            <w:r>
              <w:t xml:space="preserve">Gestión</w:t>
            </w:r>
          </w:p>
        </w:tc>
        <w:tc>
          <w:tcPr/>
          <w:p>
            <w:pPr>
              <w:pStyle w:val="Tabla65"/>
              <w:jc w:val="left"/>
            </w:pPr>
            <w:r>
              <w:t xml:space="preserve">ADM3</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r>
    </w:tbl>
    <w:p>
      <w:pPr>
        <w:pStyle w:val="TablaNota"/>
      </w:pPr>
      <w:r>
        <w:rPr>
          <w:i/>
          <w:iCs/>
        </w:rPr>
        <w:t xml:space="preserve">Nota.</w:t>
      </w:r>
      <w:r>
        <w:t xml:space="preserve"> </w:t>
      </w:r>
      <w:r>
        <w:t xml:space="preserve">Elaboración propia con el cronograma de la ficha maestra. x: mes de ejecución de la actividad. Los nombres de las actividades están en la Tabla D.18. Los hitos H0 a H8 ocurren en los meses 2, 4, 10, 12, 16, 17, 19, 23 y 24.</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5840" w:h="12240" w:orient="landscape"/>
          <w:pgMar w:top="1417" w:right="1133" w:bottom="1417" w:left="1133" w:header="709" w:footer="709" w:gutter="0"/>
        </w:sectPr>
      </w:pPr>
    </w:p>
    <w:bookmarkEnd w:id="87"/>
    <w:bookmarkStart w:id="88" w:name="_Toc00900038"/>
    <w:p>
      <w:pPr>
        <w:pStyle w:val="Heading1"/>
      </w:pPr>
      <w:r>
        <w:t xml:space="preserve">22. ANÁLISIS DE RIESGOS</w:t>
      </w:r>
    </w:p>
    <w:p>
      <w:pPr>
        <w:pStyle w:val="FirstParagraph"/>
      </w:pPr>
      <w:r>
        <w:t xml:space="preserve">La Tabla D.27 analiza los riesgos con las categorías del Anexo 2. La probabilidad y el impacto se expresan en las escalas de la plantilla. Se derivan de las escalas de 1 a 5 del análisis cuantitativo del expediente, que calcula una reserva de contingencia de 636 millones de COP.</w:t>
      </w:r>
    </w:p>
    <w:p>
      <w:pPr>
        <w:pStyle w:val="TablaRotulo"/>
      </w:pPr>
      <w:bookmarkStart w:id="9045" w:name="rot_Tabla_D_27"/>
      <w:r>
        <w:rPr>
          <w:b/>
          <w:bCs/>
        </w:rPr>
        <w:t xml:space="preserve">Tabla D.27</w:t>
      </w:r>
      <w:bookmarkEnd w:id="9045"/>
    </w:p>
    <w:p>
      <w:pPr>
        <w:pStyle w:val="TablaTitulo"/>
      </w:pPr>
      <w:r>
        <w:rPr>
          <w:i/>
          <w:iCs/>
        </w:rPr>
        <w:t xml:space="preserve">Análisis de riesgos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848"/>
        <w:gridCol w:w="1716"/>
        <w:gridCol w:w="1518"/>
        <w:gridCol w:w="1056"/>
        <w:gridCol w:w="1782"/>
      </w:tblGrid>
      <w:tr>
        <w:trPr>
          <w:cantSplit/>
          <w:tblHeader/>
        </w:trPr>
        <w:tc>
          <w:tcPr>
            <w:shd w:val="clear" w:color="auto" w:fill="00B050"/>
          </w:tcPr>
          <w:p>
            <w:pPr>
              <w:pStyle w:val="Tabla9"/>
              <w:jc w:val="center"/>
            </w:pPr>
            <w:r>
              <w:rPr>
                <w:b/>
                <w:color w:val="FFFFFF"/>
              </w:rPr>
              <w:t xml:space="preserve">Tipo de riesgo</w:t>
            </w:r>
          </w:p>
        </w:tc>
        <w:tc>
          <w:tcPr>
            <w:shd w:val="clear" w:color="auto" w:fill="00B050"/>
          </w:tcPr>
          <w:p>
            <w:pPr>
              <w:pStyle w:val="Tabla9"/>
              <w:jc w:val="center"/>
            </w:pPr>
            <w:r>
              <w:rPr>
                <w:b/>
                <w:color w:val="FFFFFF"/>
              </w:rPr>
              <w:t xml:space="preserve">Descripción del riesgo</w:t>
            </w:r>
          </w:p>
        </w:tc>
        <w:tc>
          <w:tcPr>
            <w:shd w:val="clear" w:color="auto" w:fill="00B050"/>
          </w:tcPr>
          <w:p>
            <w:pPr>
              <w:pStyle w:val="Tabla9"/>
              <w:jc w:val="center"/>
            </w:pPr>
            <w:r>
              <w:rPr>
                <w:b/>
                <w:color w:val="FFFFFF"/>
              </w:rPr>
              <w:t xml:space="preserve">Probabilidad</w:t>
            </w:r>
          </w:p>
        </w:tc>
        <w:tc>
          <w:tcPr>
            <w:shd w:val="clear" w:color="auto" w:fill="00B050"/>
          </w:tcPr>
          <w:p>
            <w:pPr>
              <w:pStyle w:val="Tabla9"/>
              <w:jc w:val="center"/>
            </w:pPr>
            <w:r>
              <w:rPr>
                <w:b/>
                <w:color w:val="FFFFFF"/>
              </w:rPr>
              <w:t xml:space="preserve">Impacto</w:t>
            </w:r>
          </w:p>
        </w:tc>
        <w:tc>
          <w:tcPr>
            <w:shd w:val="clear" w:color="auto" w:fill="00B050"/>
          </w:tcPr>
          <w:p>
            <w:pPr>
              <w:pStyle w:val="Tabla9"/>
              <w:jc w:val="center"/>
            </w:pPr>
            <w:r>
              <w:rPr>
                <w:b/>
                <w:color w:val="FFFFFF"/>
              </w:rPr>
              <w:t xml:space="preserve">Medidas de mitigación</w:t>
            </w:r>
          </w:p>
        </w:tc>
      </w:tr>
      <w:tr>
        <w:trPr>
          <w:cantSplit/>
        </w:trPr>
        <w:tc>
          <w:tcPr/>
          <w:p>
            <w:pPr>
              <w:pStyle w:val="Tabla9"/>
              <w:jc w:val="left"/>
            </w:pPr>
            <w:r>
              <w:t xml:space="preserve">Operacionales</w:t>
            </w:r>
          </w:p>
        </w:tc>
        <w:tc>
          <w:tcPr/>
          <w:p>
            <w:pPr>
              <w:pStyle w:val="Tabla9"/>
              <w:jc w:val="left"/>
            </w:pPr>
            <w:r>
              <w:t xml:space="preserve">La humedad y el polvo saturan los cabezales ópticos y sesgan PM2,5 y PM10.</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Modelo de corrección por humedad, banco de calibración y reposición de cabezales.</w:t>
            </w:r>
          </w:p>
        </w:tc>
      </w:tr>
      <w:tr>
        <w:trPr>
          <w:cantSplit/>
        </w:trPr>
        <w:tc>
          <w:tcPr/>
          <w:p>
            <w:pPr>
              <w:pStyle w:val="Tabla9"/>
              <w:jc w:val="left"/>
            </w:pPr>
            <w:r>
              <w:t xml:space="preserve">Operacionales</w:t>
            </w:r>
          </w:p>
        </w:tc>
        <w:tc>
          <w:tcPr/>
          <w:p>
            <w:pPr>
              <w:pStyle w:val="Tabla9"/>
              <w:jc w:val="left"/>
            </w:pPr>
            <w:r>
              <w:t xml:space="preserve">Las baterías se agotan antes de 14 días sin sol y los nodos dejan de transmitir.</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Kits solares dimensionados, modo de bajo consumo y repuestos de batería.</w:t>
            </w:r>
          </w:p>
        </w:tc>
      </w:tr>
      <w:tr>
        <w:trPr>
          <w:cantSplit/>
        </w:trPr>
        <w:tc>
          <w:tcPr/>
          <w:p>
            <w:pPr>
              <w:pStyle w:val="Tabla9"/>
              <w:jc w:val="left"/>
            </w:pPr>
            <w:r>
              <w:t xml:space="preserve">Operacionales</w:t>
            </w:r>
          </w:p>
        </w:tc>
        <w:tc>
          <w:tcPr/>
          <w:p>
            <w:pPr>
              <w:pStyle w:val="Tabla9"/>
              <w:jc w:val="left"/>
            </w:pPr>
            <w:r>
              <w:t xml:space="preserve">La red celular falla en el sitio y los gateways pierden el enlace con la nube.</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Enlace satelital de respaldo y almacenamiento local de 7 días.</w:t>
            </w:r>
          </w:p>
        </w:tc>
      </w:tr>
      <w:tr>
        <w:trPr>
          <w:cantSplit/>
        </w:trPr>
        <w:tc>
          <w:tcPr/>
          <w:p>
            <w:pPr>
              <w:pStyle w:val="Tabla9"/>
              <w:jc w:val="left"/>
            </w:pPr>
            <w:r>
              <w:t xml:space="preserve">Operacionales</w:t>
            </w:r>
          </w:p>
        </w:tc>
        <w:tc>
          <w:tcPr/>
          <w:p>
            <w:pPr>
              <w:pStyle w:val="Tabla9"/>
              <w:jc w:val="left"/>
            </w:pPr>
            <w:r>
              <w:t xml:space="preserve">El modelo de corrección no generaliza entre departamentos.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Validación cruzada por departamento y reentrenamiento por tramo.</w:t>
            </w:r>
          </w:p>
        </w:tc>
      </w:tr>
      <w:tr>
        <w:trPr>
          <w:cantSplit/>
        </w:trPr>
        <w:tc>
          <w:tcPr/>
          <w:p>
            <w:pPr>
              <w:pStyle w:val="Tabla9"/>
              <w:jc w:val="left"/>
            </w:pPr>
            <w:r>
              <w:t xml:space="preserve">Operacionales</w:t>
            </w:r>
          </w:p>
        </w:tc>
        <w:tc>
          <w:tcPr/>
          <w:p>
            <w:pPr>
              <w:pStyle w:val="Tabla9"/>
              <w:jc w:val="left"/>
            </w:pPr>
            <w:r>
              <w:t xml:space="preserve">Los comités de gestión del riesgo no adoptan el tablero ni el protocolo.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Co-diseño de umbrales, formación por comité y uso piloto con registro de decisiones.</w:t>
            </w:r>
          </w:p>
        </w:tc>
      </w:tr>
      <w:tr>
        <w:trPr>
          <w:cantSplit/>
        </w:trPr>
        <w:tc>
          <w:tcPr/>
          <w:p>
            <w:pPr>
              <w:pStyle w:val="Tabla9"/>
              <w:jc w:val="left"/>
            </w:pPr>
            <w:r>
              <w:t xml:space="preserve">Financieros</w:t>
            </w:r>
          </w:p>
        </w:tc>
        <w:tc>
          <w:tcPr/>
          <w:p>
            <w:pPr>
              <w:pStyle w:val="Tabla9"/>
              <w:jc w:val="left"/>
            </w:pPr>
            <w:r>
              <w:t xml:space="preserve">Los custodios no asumen la operación en el posproyecto.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Convenios por tramo, formación de custodios y cláusula de apertura.</w:t>
            </w:r>
          </w:p>
        </w:tc>
      </w:tr>
      <w:tr>
        <w:trPr>
          <w:cantSplit/>
        </w:trPr>
        <w:tc>
          <w:tcPr/>
          <w:p>
            <w:pPr>
              <w:pStyle w:val="Tabla9"/>
              <w:jc w:val="left"/>
            </w:pPr>
            <w:r>
              <w:t xml:space="preserve">De calendario</w:t>
            </w:r>
          </w:p>
        </w:tc>
        <w:tc>
          <w:tcPr/>
          <w:p>
            <w:pPr>
              <w:pStyle w:val="Tabla9"/>
              <w:jc w:val="left"/>
            </w:pPr>
            <w:r>
              <w:t xml:space="preserve">Deslizamientos o réplicas bloquean vías y retrasan la instalación.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Instalación en ventanas secas, técnicos locales y holgura en el cronograma.</w:t>
            </w:r>
          </w:p>
        </w:tc>
      </w:tr>
      <w:tr>
        <w:trPr>
          <w:cantSplit/>
        </w:trPr>
        <w:tc>
          <w:tcPr/>
          <w:p>
            <w:pPr>
              <w:pStyle w:val="Tabla9"/>
              <w:jc w:val="left"/>
            </w:pPr>
            <w:r>
              <w:t xml:space="preserve">Operacionales</w:t>
            </w:r>
          </w:p>
        </w:tc>
        <w:tc>
          <w:tcPr/>
          <w:p>
            <w:pPr>
              <w:pStyle w:val="Tabla9"/>
              <w:jc w:val="left"/>
            </w:pPr>
            <w:r>
              <w:t xml:space="preserve">Robo o vandalismo de nodos en sitios de remoción.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Cerramientos, custodia local por sitio y seguro de equipos de la entidad ejecutora, fuera del presupuesto SGR.</w:t>
            </w:r>
          </w:p>
        </w:tc>
      </w:tr>
      <w:tr>
        <w:trPr>
          <w:cantSplit/>
        </w:trPr>
        <w:tc>
          <w:tcPr/>
          <w:p>
            <w:pPr>
              <w:pStyle w:val="Tabla9"/>
              <w:jc w:val="left"/>
            </w:pPr>
            <w:r>
              <w:t xml:space="preserve">De costos</w:t>
            </w:r>
          </w:p>
        </w:tc>
        <w:tc>
          <w:tcPr/>
          <w:p>
            <w:pPr>
              <w:pStyle w:val="Tabla9"/>
              <w:jc w:val="left"/>
            </w:pPr>
            <w:r>
              <w:t xml:space="preserve">La devaluación del peso encarece los equipos importados.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Compra por tramo con cobertura cambiaria y cotizaciones vigentes.</w:t>
            </w:r>
          </w:p>
        </w:tc>
      </w:tr>
      <w:tr>
        <w:trPr>
          <w:cantSplit/>
        </w:trPr>
        <w:tc>
          <w:tcPr/>
          <w:p>
            <w:pPr>
              <w:pStyle w:val="Tabla9"/>
              <w:jc w:val="left"/>
            </w:pPr>
            <w:r>
              <w:t xml:space="preserve">Financieros</w:t>
            </w:r>
          </w:p>
        </w:tc>
        <w:tc>
          <w:tcPr/>
          <w:p>
            <w:pPr>
              <w:pStyle w:val="Tabla9"/>
              <w:jc w:val="left"/>
            </w:pPr>
            <w:r>
              <w:t xml:space="preserve">La contrapartida en especie no se certifica a tiempo.</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Certificación de la IES y de la empresa antes del acta de inicio.</w:t>
            </w:r>
          </w:p>
        </w:tc>
      </w:tr>
      <w:tr>
        <w:trPr>
          <w:cantSplit/>
        </w:trPr>
        <w:tc>
          <w:tcPr/>
          <w:p>
            <w:pPr>
              <w:pStyle w:val="Tabla9"/>
              <w:jc w:val="left"/>
            </w:pPr>
            <w:r>
              <w:t xml:space="preserve">Legales</w:t>
            </w:r>
          </w:p>
        </w:tc>
        <w:tc>
          <w:tcPr/>
          <w:p>
            <w:pPr>
              <w:pStyle w:val="Tabla9"/>
              <w:jc w:val="left"/>
            </w:pPr>
            <w:r>
              <w:t xml:space="preserve">Una solicitud de patente de terceros afecta la libertad de operación.</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Análisis de libertad de operación y diseño alternativo del módulo afectado.</w:t>
            </w:r>
          </w:p>
        </w:tc>
      </w:tr>
      <w:tr>
        <w:trPr>
          <w:cantSplit/>
        </w:trPr>
        <w:tc>
          <w:tcPr/>
          <w:p>
            <w:pPr>
              <w:pStyle w:val="Tabla9"/>
              <w:jc w:val="left"/>
            </w:pPr>
            <w:r>
              <w:t xml:space="preserve">Operacionales</w:t>
            </w:r>
          </w:p>
        </w:tc>
        <w:tc>
          <w:tcPr/>
          <w:p>
            <w:pPr>
              <w:pStyle w:val="Tabla9"/>
              <w:jc w:val="left"/>
            </w:pPr>
            <w:r>
              <w:t xml:space="preserve">Un incidente de ciberseguridad compromete la plataforma.</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Pruebas de penetración, segmentación y copias de respaldo.</w:t>
            </w:r>
          </w:p>
        </w:tc>
      </w:tr>
      <w:tr>
        <w:trPr>
          <w:cantSplit/>
        </w:trPr>
        <w:tc>
          <w:tcPr/>
          <w:p>
            <w:pPr>
              <w:pStyle w:val="Tabla9"/>
              <w:jc w:val="left"/>
            </w:pPr>
            <w:r>
              <w:t xml:space="preserve">Administrativos</w:t>
            </w:r>
          </w:p>
        </w:tc>
        <w:tc>
          <w:tcPr/>
          <w:p>
            <w:pPr>
              <w:pStyle w:val="Tabla9"/>
              <w:jc w:val="left"/>
            </w:pPr>
            <w:r>
              <w:t xml:space="preserve">Retrasos en la contratación del personal del proyecto</w:t>
            </w:r>
          </w:p>
        </w:tc>
        <w:tc>
          <w:tcPr/>
          <w:p>
            <w:pPr>
              <w:pStyle w:val="Tabla9"/>
              <w:jc w:val="left"/>
            </w:pPr>
            <w:r>
              <w:t xml:space="preserve">Improbable</w:t>
            </w:r>
          </w:p>
        </w:tc>
        <w:tc>
          <w:tcPr/>
          <w:p>
            <w:pPr>
              <w:pStyle w:val="Tabla9"/>
              <w:jc w:val="left"/>
            </w:pPr>
            <w:r>
              <w:t xml:space="preserve">Moderado</w:t>
            </w:r>
          </w:p>
        </w:tc>
        <w:tc>
          <w:tcPr/>
          <w:p>
            <w:pPr>
              <w:pStyle w:val="Tabla9"/>
              <w:jc w:val="left"/>
            </w:pPr>
            <w:r>
              <w:t xml:space="preserve">Iniciar con anticipación los procesos con la oficina jurídica de la Universidad y definir perfiles antes del acta de inicio.</w:t>
            </w:r>
          </w:p>
        </w:tc>
      </w:tr>
      <w:tr>
        <w:trPr>
          <w:cantSplit/>
        </w:trPr>
        <w:tc>
          <w:tcPr/>
          <w:p>
            <w:pPr>
              <w:pStyle w:val="Tabla9"/>
              <w:jc w:val="left"/>
            </w:pPr>
            <w:r>
              <w:t xml:space="preserve">De calendario</w:t>
            </w:r>
          </w:p>
        </w:tc>
        <w:tc>
          <w:tcPr/>
          <w:p>
            <w:pPr>
              <w:pStyle w:val="Tabla9"/>
              <w:jc w:val="left"/>
            </w:pPr>
            <w:r>
              <w:t xml:space="preserve">Incumplimiento en la entrega de actividades de la ruta crítica</w:t>
            </w:r>
          </w:p>
        </w:tc>
        <w:tc>
          <w:tcPr/>
          <w:p>
            <w:pPr>
              <w:pStyle w:val="Tabla9"/>
              <w:jc w:val="left"/>
            </w:pPr>
            <w:r>
              <w:t xml:space="preserve">Improbable</w:t>
            </w:r>
          </w:p>
        </w:tc>
        <w:tc>
          <w:tcPr/>
          <w:p>
            <w:pPr>
              <w:pStyle w:val="Tabla9"/>
              <w:jc w:val="left"/>
            </w:pPr>
            <w:r>
              <w:t xml:space="preserve">Moderado</w:t>
            </w:r>
          </w:p>
        </w:tc>
        <w:tc>
          <w:tcPr/>
          <w:p>
            <w:pPr>
              <w:pStyle w:val="Tabla9"/>
              <w:jc w:val="left"/>
            </w:pPr>
            <w:r>
              <w:t xml:space="preserve">Seguimiento semanal de las 13 actividades críticas y compuertas con criterios objetivos.</w:t>
            </w:r>
          </w:p>
        </w:tc>
      </w:tr>
      <w:tr>
        <w:trPr>
          <w:cantSplit/>
        </w:trPr>
        <w:tc>
          <w:tcPr/>
          <w:p>
            <w:pPr>
              <w:pStyle w:val="Tabla9"/>
              <w:jc w:val="left"/>
            </w:pPr>
            <w:r>
              <w:t xml:space="preserve">Sanitarios</w:t>
            </w:r>
          </w:p>
        </w:tc>
        <w:tc>
          <w:tcPr/>
          <w:p>
            <w:pPr>
              <w:pStyle w:val="Tabla9"/>
              <w:jc w:val="left"/>
            </w:pPr>
            <w:r>
              <w:t xml:space="preserve">Exposición del personal de campo al polvo de los sitios de remoción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Elementos de protección personal (línea M06) y protocolos de seguridad en campo. El riesgo biológico de la plantilla no aplica.</w:t>
            </w:r>
          </w:p>
        </w:tc>
      </w:tr>
    </w:tbl>
    <w:p>
      <w:pPr>
        <w:pStyle w:val="TablaNota"/>
      </w:pPr>
      <w:r>
        <w:rPr>
          <w:i/>
          <w:iCs/>
        </w:rPr>
        <w:t xml:space="preserve">Nota.</w:t>
      </w:r>
      <w:r>
        <w:t xml:space="preserve"> </w:t>
      </w:r>
      <w:r>
        <w:t xml:space="preserve">Elaboración propia con los 12 riesgos cuantificados del capítulo 10 del expediente y tres riesgos adicionales PROPUESTOS. Escalas: probabilidad 1 raro, 2 improbable, 3 a 5 probable; impacto 4 y 5 mayor, 3 moderado, 1 y 2 menor.</w:t>
      </w:r>
    </w:p>
    <w:bookmarkEnd w:id="88"/>
    <w:bookmarkStart w:id="89" w:name="_Toc00900039"/>
    <w:p>
      <w:pPr>
        <w:pStyle w:val="Heading1"/>
      </w:pPr>
      <w:r>
        <w:t xml:space="preserve">23. INDICADORES DE GESTIÓN</w:t>
      </w:r>
    </w:p>
    <w:p>
      <w:pPr>
        <w:pStyle w:val="FirstParagraph"/>
      </w:pPr>
      <w:r>
        <w:t xml:space="preserve">La Tabla D.28 incluye el indicador sugerido por el Anexo 2 y los cinco indicadores de gestión del sistema PERS. Los informes de gestión son trimestrales: cuatro por cada año, ocho en el proyecto.</w:t>
      </w:r>
    </w:p>
    <w:p>
      <w:pPr>
        <w:pStyle w:val="TablaRotulo"/>
      </w:pPr>
      <w:bookmarkStart w:id="9046" w:name="rot_Tabla_D_28"/>
      <w:r>
        <w:rPr>
          <w:b/>
          <w:bCs/>
        </w:rPr>
        <w:t xml:space="preserve">Tabla D.28</w:t>
      </w:r>
      <w:bookmarkEnd w:id="9046"/>
    </w:p>
    <w:p>
      <w:pPr>
        <w:pStyle w:val="TablaTitulo"/>
      </w:pPr>
      <w:r>
        <w:rPr>
          <w:i/>
          <w:iCs/>
        </w:rPr>
        <w:t xml:space="preserve">Indicadores de gestión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036"/>
        <w:gridCol w:w="2574"/>
        <w:gridCol w:w="2310"/>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Medida o meta</w:t>
            </w:r>
          </w:p>
        </w:tc>
        <w:tc>
          <w:tcPr>
            <w:shd w:val="clear" w:color="auto" w:fill="00B050"/>
          </w:tcPr>
          <w:p>
            <w:pPr>
              <w:pStyle w:val="Tabla9"/>
              <w:jc w:val="center"/>
            </w:pPr>
            <w:r>
              <w:rPr>
                <w:b/>
                <w:color w:val="FFFFFF"/>
              </w:rPr>
              <w:t xml:space="preserve">Fecha de entrega de acuerdo con el cronograma</w:t>
            </w:r>
          </w:p>
        </w:tc>
      </w:tr>
      <w:tr>
        <w:trPr>
          <w:cantSplit/>
        </w:trPr>
        <w:tc>
          <w:tcPr/>
          <w:p>
            <w:pPr>
              <w:pStyle w:val="Tabla9"/>
              <w:jc w:val="left"/>
            </w:pPr>
            <w:r>
              <w:t xml:space="preserve">Informes de supervisión del proyecto</w:t>
            </w:r>
          </w:p>
        </w:tc>
        <w:tc>
          <w:tcPr/>
          <w:p>
            <w:pPr>
              <w:pStyle w:val="Tabla9"/>
              <w:jc w:val="left"/>
            </w:pPr>
            <w:r>
              <w:t xml:space="preserve">8 informes (número)</w:t>
            </w:r>
          </w:p>
        </w:tc>
        <w:tc>
          <w:tcPr/>
          <w:p>
            <w:pPr>
              <w:pStyle w:val="Tabla9"/>
              <w:jc w:val="left"/>
            </w:pPr>
            <w:r>
              <w:t xml:space="preserve">Trimestral: meses 3, 6, 9, 12, 15, 18, 21 y 24</w:t>
            </w:r>
          </w:p>
        </w:tc>
      </w:tr>
      <w:tr>
        <w:trPr>
          <w:cantSplit/>
        </w:trPr>
        <w:tc>
          <w:tcPr/>
          <w:p>
            <w:pPr>
              <w:pStyle w:val="Tabla9"/>
              <w:jc w:val="left"/>
            </w:pPr>
            <w:r>
              <w:t xml:space="preserve">PERS-R01 Cumplimiento del despliegue por tramo</w:t>
            </w:r>
          </w:p>
        </w:tc>
        <w:tc>
          <w:tcPr/>
          <w:p>
            <w:pPr>
              <w:pStyle w:val="Tabla9"/>
              <w:jc w:val="left"/>
            </w:pPr>
            <w:r>
              <w:t xml:space="preserve">100 nodos y 10 gateways (100 %)</w:t>
            </w:r>
          </w:p>
        </w:tc>
        <w:tc>
          <w:tcPr/>
          <w:p>
            <w:pPr>
              <w:pStyle w:val="Tabla9"/>
              <w:jc w:val="left"/>
            </w:pPr>
            <w:r>
              <w:t xml:space="preserve">Mensual</w:t>
            </w:r>
          </w:p>
        </w:tc>
      </w:tr>
      <w:tr>
        <w:trPr>
          <w:cantSplit/>
        </w:trPr>
        <w:tc>
          <w:tcPr/>
          <w:p>
            <w:pPr>
              <w:pStyle w:val="Tabla9"/>
              <w:jc w:val="left"/>
            </w:pPr>
            <w:r>
              <w:t xml:space="preserve">PERS-R02 Ciclos de calibración ejecutados</w:t>
            </w:r>
          </w:p>
        </w:tc>
        <w:tc>
          <w:tcPr/>
          <w:p>
            <w:pPr>
              <w:pStyle w:val="Tabla9"/>
              <w:jc w:val="left"/>
            </w:pPr>
            <w:r>
              <w:t xml:space="preserve">6 ciclos (2 por tramo)</w:t>
            </w:r>
          </w:p>
        </w:tc>
        <w:tc>
          <w:tcPr/>
          <w:p>
            <w:pPr>
              <w:pStyle w:val="Tabla9"/>
              <w:jc w:val="left"/>
            </w:pPr>
            <w:r>
              <w:t xml:space="preserve">Mensual</w:t>
            </w:r>
          </w:p>
        </w:tc>
      </w:tr>
      <w:tr>
        <w:trPr>
          <w:cantSplit/>
        </w:trPr>
        <w:tc>
          <w:tcPr/>
          <w:p>
            <w:pPr>
              <w:pStyle w:val="Tabla9"/>
              <w:jc w:val="left"/>
            </w:pPr>
            <w:r>
              <w:t xml:space="preserve">PERS-R03 Disponibilidad de la plataforma en la nube</w:t>
            </w:r>
          </w:p>
        </w:tc>
        <w:tc>
          <w:tcPr/>
          <w:p>
            <w:pPr>
              <w:pStyle w:val="Tabla9"/>
              <w:jc w:val="left"/>
            </w:pPr>
            <w:r>
              <w:t xml:space="preserve">≥ 99,0 %</w:t>
            </w:r>
          </w:p>
        </w:tc>
        <w:tc>
          <w:tcPr/>
          <w:p>
            <w:pPr>
              <w:pStyle w:val="Tabla9"/>
              <w:jc w:val="left"/>
            </w:pPr>
            <w:r>
              <w:t xml:space="preserve">Mensual</w:t>
            </w:r>
          </w:p>
        </w:tc>
      </w:tr>
      <w:tr>
        <w:trPr>
          <w:cantSplit/>
        </w:trPr>
        <w:tc>
          <w:tcPr/>
          <w:p>
            <w:pPr>
              <w:pStyle w:val="Tabla9"/>
              <w:jc w:val="left"/>
            </w:pPr>
            <w:r>
              <w:t xml:space="preserve">PERS-R04 Desviación de la ejecución presupuestal</w:t>
            </w:r>
          </w:p>
        </w:tc>
        <w:tc>
          <w:tcPr/>
          <w:p>
            <w:pPr>
              <w:pStyle w:val="Tabla9"/>
              <w:jc w:val="left"/>
            </w:pPr>
            <w:r>
              <w:t xml:space="preserve">|desviación| ≤ 5 % al cierre</w:t>
            </w:r>
          </w:p>
        </w:tc>
        <w:tc>
          <w:tcPr/>
          <w:p>
            <w:pPr>
              <w:pStyle w:val="Tabla9"/>
              <w:jc w:val="left"/>
            </w:pPr>
            <w:r>
              <w:t xml:space="preserve">Mensual</w:t>
            </w:r>
          </w:p>
        </w:tc>
      </w:tr>
      <w:tr>
        <w:trPr>
          <w:cantSplit/>
        </w:trPr>
        <w:tc>
          <w:tcPr/>
          <w:p>
            <w:pPr>
              <w:pStyle w:val="Tabla9"/>
              <w:jc w:val="left"/>
            </w:pPr>
            <w:r>
              <w:t xml:space="preserve">PERS-R05 Horas-nodo de colocalización válidas</w:t>
            </w:r>
          </w:p>
        </w:tc>
        <w:tc>
          <w:tcPr/>
          <w:p>
            <w:pPr>
              <w:pStyle w:val="Tabla9"/>
              <w:jc w:val="left"/>
            </w:pPr>
            <w:r>
              <w:t xml:space="preserve">≥ 60.000 y 4 rotaciones por departamento</w:t>
            </w:r>
          </w:p>
        </w:tc>
        <w:tc>
          <w:tcPr/>
          <w:p>
            <w:pPr>
              <w:pStyle w:val="Tabla9"/>
              <w:jc w:val="left"/>
            </w:pPr>
            <w:r>
              <w:t xml:space="preserve">Mensual</w:t>
            </w:r>
          </w:p>
        </w:tc>
      </w:tr>
      <w:tr>
        <w:trPr>
          <w:cantSplit/>
        </w:trPr>
        <w:tc>
          <w:tcPr/>
          <w:p>
            <w:pPr>
              <w:pStyle w:val="Tabla9"/>
              <w:jc w:val="left"/>
            </w:pPr>
            <w:r>
              <w:t xml:space="preserve">PERS-R06 Cumplimiento de informes de seguimiento</w:t>
            </w:r>
          </w:p>
        </w:tc>
        <w:tc>
          <w:tcPr/>
          <w:p>
            <w:pPr>
              <w:pStyle w:val="Tabla9"/>
              <w:jc w:val="left"/>
            </w:pPr>
            <w:r>
              <w:t xml:space="preserve">100 %</w:t>
            </w:r>
          </w:p>
        </w:tc>
        <w:tc>
          <w:tcPr/>
          <w:p>
            <w:pPr>
              <w:pStyle w:val="Tabla9"/>
              <w:jc w:val="left"/>
            </w:pPr>
            <w:r>
              <w:t xml:space="preserve">Mensual</w:t>
            </w:r>
          </w:p>
        </w:tc>
      </w:tr>
    </w:tbl>
    <w:p>
      <w:pPr>
        <w:pStyle w:val="TablaNota"/>
      </w:pPr>
      <w:r>
        <w:rPr>
          <w:i/>
          <w:iCs/>
        </w:rPr>
        <w:t xml:space="preserve">Nota.</w:t>
      </w:r>
      <w:r>
        <w:t xml:space="preserve"> </w:t>
      </w:r>
      <w:r>
        <w:t xml:space="preserve">Elaboración propia con los indicadores PERS-R01 a PERS-R06 de la ficha maestra. Los informes del Anexo 2 corresponden al cumplimiento de PERS-R06.</w:t>
      </w:r>
    </w:p>
    <w:bookmarkEnd w:id="89"/>
    <w:bookmarkStart w:id="90" w:name="_Toc00900040"/>
    <w:p>
      <w:pPr>
        <w:pStyle w:val="Heading1"/>
      </w:pPr>
      <w:r>
        <w:t xml:space="preserve">24. INDICADORES DE PRODUCTO</w:t>
      </w:r>
    </w:p>
    <w:p>
      <w:pPr>
        <w:pStyle w:val="FirstParagraph"/>
      </w:pPr>
      <w:r>
        <w:t xml:space="preserve">La Tabla D.29 lista los indicadores de producto y de resultado, con su meta y su medio de verificación. Los indicadores de impacto se miden después del cierre.</w:t>
      </w:r>
    </w:p>
    <w:p>
      <w:pPr>
        <w:pStyle w:val="TablaRotulo"/>
      </w:pPr>
      <w:bookmarkStart w:id="9047" w:name="rot_Tabla_D_29"/>
      <w:r>
        <w:rPr>
          <w:b/>
          <w:bCs/>
        </w:rPr>
        <w:t xml:space="preserve">Tabla D.29</w:t>
      </w:r>
      <w:bookmarkEnd w:id="9047"/>
    </w:p>
    <w:p>
      <w:pPr>
        <w:pStyle w:val="TablaTitulo"/>
      </w:pPr>
      <w:r>
        <w:rPr>
          <w:i/>
          <w:iCs/>
        </w:rPr>
        <w:t xml:space="preserve">Indicadores de producto, de efecto y de sostenibilidad</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31"/>
        <w:gridCol w:w="1730"/>
        <w:gridCol w:w="1597"/>
        <w:gridCol w:w="1397"/>
        <w:gridCol w:w="1863"/>
      </w:tblGrid>
      <w:tr>
        <w:trPr>
          <w:cantSplit/>
          <w:tblHeader/>
        </w:trPr>
        <w:tc>
          <w:tcPr>
            <w:shd w:val="clear" w:color="auto" w:fill="00B050"/>
          </w:tcPr>
          <w:p>
            <w:pPr>
              <w:pStyle w:val="Tabla9"/>
              <w:jc w:val="center"/>
            </w:pPr>
            <w:r>
              <w:rPr>
                <w:b/>
                <w:color w:val="FFFFFF"/>
              </w:rPr>
              <w:t xml:space="preserve">Código</w:t>
            </w:r>
          </w:p>
        </w:tc>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Meta</w:t>
            </w:r>
          </w:p>
        </w:tc>
        <w:tc>
          <w:tcPr>
            <w:shd w:val="clear" w:color="auto" w:fill="00B050"/>
          </w:tcPr>
          <w:p>
            <w:pPr>
              <w:pStyle w:val="Tabla9"/>
              <w:jc w:val="center"/>
            </w:pPr>
            <w:r>
              <w:rPr>
                <w:b/>
                <w:color w:val="FFFFFF"/>
              </w:rPr>
              <w:t xml:space="preserve">Frecuencia</w:t>
            </w:r>
          </w:p>
        </w:tc>
        <w:tc>
          <w:tcPr>
            <w:shd w:val="clear" w:color="auto" w:fill="00B050"/>
          </w:tcPr>
          <w:p>
            <w:pPr>
              <w:pStyle w:val="Tabla9"/>
              <w:jc w:val="center"/>
            </w:pPr>
            <w:r>
              <w:rPr>
                <w:b/>
                <w:color w:val="FFFFFF"/>
              </w:rPr>
              <w:t xml:space="preserve">Medio de verificación</w:t>
            </w:r>
          </w:p>
        </w:tc>
      </w:tr>
      <w:tr>
        <w:trPr>
          <w:cantSplit/>
        </w:trPr>
        <w:tc>
          <w:tcPr/>
          <w:p>
            <w:pPr>
              <w:pStyle w:val="Tabla9"/>
              <w:jc w:val="left"/>
            </w:pPr>
            <w:r>
              <w:t xml:space="preserve">PERS-P01</w:t>
            </w:r>
          </w:p>
        </w:tc>
        <w:tc>
          <w:tcPr/>
          <w:p>
            <w:pPr>
              <w:pStyle w:val="Tabla9"/>
              <w:jc w:val="left"/>
            </w:pPr>
            <w:r>
              <w:t xml:space="preserve">Red de 100 nodos y 10 gateways operativa</w:t>
            </w:r>
          </w:p>
        </w:tc>
        <w:tc>
          <w:tcPr/>
          <w:p>
            <w:pPr>
              <w:pStyle w:val="Tabla9"/>
              <w:jc w:val="left"/>
            </w:pPr>
            <w:r>
              <w:t xml:space="preserve">100 / 10 al mes 24</w:t>
            </w:r>
          </w:p>
        </w:tc>
        <w:tc>
          <w:tcPr/>
          <w:p>
            <w:pPr>
              <w:pStyle w:val="Tabla9"/>
              <w:jc w:val="left"/>
            </w:pPr>
            <w:r>
              <w:t xml:space="preserve">Trimestral</w:t>
            </w:r>
          </w:p>
        </w:tc>
        <w:tc>
          <w:tcPr/>
          <w:p>
            <w:pPr>
              <w:pStyle w:val="Tabla9"/>
              <w:jc w:val="left"/>
            </w:pPr>
            <w:r>
              <w:t xml:space="preserve">Inventario con huella de configuración y registro fotográfico</w:t>
            </w:r>
          </w:p>
        </w:tc>
      </w:tr>
      <w:tr>
        <w:trPr>
          <w:cantSplit/>
        </w:trPr>
        <w:tc>
          <w:tcPr/>
          <w:p>
            <w:pPr>
              <w:pStyle w:val="Tabla9"/>
              <w:jc w:val="left"/>
            </w:pPr>
            <w:r>
              <w:t xml:space="preserve">PERS-P02</w:t>
            </w:r>
          </w:p>
        </w:tc>
        <w:tc>
          <w:tcPr/>
          <w:p>
            <w:pPr>
              <w:pStyle w:val="Tabla9"/>
              <w:jc w:val="left"/>
            </w:pPr>
            <w:r>
              <w:t xml:space="preserve">Software de corrección y gemelo digital registrado</w:t>
            </w:r>
          </w:p>
        </w:tc>
        <w:tc>
          <w:tcPr/>
          <w:p>
            <w:pPr>
              <w:pStyle w:val="Tabla9"/>
              <w:jc w:val="left"/>
            </w:pPr>
            <w:r>
              <w:t xml:space="preserve">1 registro vigente</w:t>
            </w:r>
          </w:p>
        </w:tc>
        <w:tc>
          <w:tcPr/>
          <w:p>
            <w:pPr>
              <w:pStyle w:val="Tabla9"/>
              <w:jc w:val="left"/>
            </w:pPr>
            <w:r>
              <w:t xml:space="preserve">Trimestral</w:t>
            </w:r>
          </w:p>
        </w:tc>
        <w:tc>
          <w:tcPr/>
          <w:p>
            <w:pPr>
              <w:pStyle w:val="Tabla9"/>
              <w:jc w:val="left"/>
            </w:pPr>
            <w:r>
              <w:t xml:space="preserve">Certificado de registro</w:t>
            </w:r>
          </w:p>
        </w:tc>
      </w:tr>
      <w:tr>
        <w:trPr>
          <w:cantSplit/>
        </w:trPr>
        <w:tc>
          <w:tcPr/>
          <w:p>
            <w:pPr>
              <w:pStyle w:val="Tabla9"/>
              <w:jc w:val="left"/>
            </w:pPr>
            <w:r>
              <w:t xml:space="preserve">PERS-P03</w:t>
            </w:r>
          </w:p>
        </w:tc>
        <w:tc>
          <w:tcPr/>
          <w:p>
            <w:pPr>
              <w:pStyle w:val="Tabla9"/>
              <w:jc w:val="left"/>
            </w:pPr>
            <w:r>
              <w:t xml:space="preserve">Artículos científicos en revistas Q1 o Q2</w:t>
            </w:r>
          </w:p>
        </w:tc>
        <w:tc>
          <w:tcPr/>
          <w:p>
            <w:pPr>
              <w:pStyle w:val="Tabla9"/>
              <w:jc w:val="left"/>
            </w:pPr>
            <w:r>
              <w:t xml:space="preserve">2 sometidos y al menos 1 aceptado al mes 24</w:t>
            </w:r>
          </w:p>
        </w:tc>
        <w:tc>
          <w:tcPr/>
          <w:p>
            <w:pPr>
              <w:pStyle w:val="Tabla9"/>
              <w:jc w:val="left"/>
            </w:pPr>
            <w:r>
              <w:t xml:space="preserve">Trimestral</w:t>
            </w:r>
          </w:p>
        </w:tc>
        <w:tc>
          <w:tcPr/>
          <w:p>
            <w:pPr>
              <w:pStyle w:val="Tabla9"/>
              <w:jc w:val="left"/>
            </w:pPr>
            <w:r>
              <w:t xml:space="preserve">Carta de aceptación y soporte de envío</w:t>
            </w:r>
          </w:p>
        </w:tc>
      </w:tr>
      <w:tr>
        <w:trPr>
          <w:cantSplit/>
        </w:trPr>
        <w:tc>
          <w:tcPr/>
          <w:p>
            <w:pPr>
              <w:pStyle w:val="Tabla9"/>
              <w:jc w:val="left"/>
            </w:pPr>
            <w:r>
              <w:t xml:space="preserve">PERS-P04</w:t>
            </w:r>
          </w:p>
        </w:tc>
        <w:tc>
          <w:tcPr/>
          <w:p>
            <w:pPr>
              <w:pStyle w:val="Tabla9"/>
              <w:jc w:val="left"/>
            </w:pPr>
            <w:r>
              <w:t xml:space="preserve">Actividades de apropiación social documentadas</w:t>
            </w:r>
          </w:p>
        </w:tc>
        <w:tc>
          <w:tcPr/>
          <w:p>
            <w:pPr>
              <w:pStyle w:val="Tabla9"/>
              <w:jc w:val="left"/>
            </w:pPr>
            <w:r>
              <w:t xml:space="preserve">29 actividades (20 talleres y 9 jornadas)</w:t>
            </w:r>
          </w:p>
        </w:tc>
        <w:tc>
          <w:tcPr/>
          <w:p>
            <w:pPr>
              <w:pStyle w:val="Tabla9"/>
              <w:jc w:val="left"/>
            </w:pPr>
            <w:r>
              <w:t xml:space="preserve">Trimestral</w:t>
            </w:r>
          </w:p>
        </w:tc>
        <w:tc>
          <w:tcPr/>
          <w:p>
            <w:pPr>
              <w:pStyle w:val="Tabla9"/>
              <w:jc w:val="left"/>
            </w:pPr>
            <w:r>
              <w:t xml:space="preserve">Actas firmadas por representantes comunitarios</w:t>
            </w:r>
          </w:p>
        </w:tc>
      </w:tr>
      <w:tr>
        <w:trPr>
          <w:cantSplit/>
        </w:trPr>
        <w:tc>
          <w:tcPr/>
          <w:p>
            <w:pPr>
              <w:pStyle w:val="Tabla9"/>
              <w:jc w:val="left"/>
            </w:pPr>
            <w:r>
              <w:t xml:space="preserve">PERS-E01</w:t>
            </w:r>
          </w:p>
        </w:tc>
        <w:tc>
          <w:tcPr/>
          <w:p>
            <w:pPr>
              <w:pStyle w:val="Tabla9"/>
              <w:jc w:val="left"/>
            </w:pPr>
            <w:r>
              <w:t xml:space="preserve">Uso institucional del tablero y del protocolo</w:t>
            </w:r>
          </w:p>
        </w:tc>
        <w:tc>
          <w:tcPr/>
          <w:p>
            <w:pPr>
              <w:pStyle w:val="Tabla9"/>
              <w:jc w:val="left"/>
            </w:pPr>
            <w:r>
              <w:t xml:space="preserve">≥ 75 % al mes 24</w:t>
            </w:r>
          </w:p>
        </w:tc>
        <w:tc>
          <w:tcPr/>
          <w:p>
            <w:pPr>
              <w:pStyle w:val="Tabla9"/>
              <w:jc w:val="left"/>
            </w:pPr>
            <w:r>
              <w:t xml:space="preserve">Trimestral</w:t>
            </w:r>
          </w:p>
        </w:tc>
        <w:tc>
          <w:tcPr/>
          <w:p>
            <w:pPr>
              <w:pStyle w:val="Tabla9"/>
              <w:jc w:val="left"/>
            </w:pPr>
            <w:r>
              <w:t xml:space="preserve">Acta del comité con referencia a la lectura del tablero</w:t>
            </w:r>
          </w:p>
        </w:tc>
      </w:tr>
      <w:tr>
        <w:trPr>
          <w:cantSplit/>
        </w:trPr>
        <w:tc>
          <w:tcPr/>
          <w:p>
            <w:pPr>
              <w:pStyle w:val="Tabla9"/>
              <w:jc w:val="left"/>
            </w:pPr>
            <w:r>
              <w:t xml:space="preserve">PERS-E02</w:t>
            </w:r>
          </w:p>
        </w:tc>
        <w:tc>
          <w:tcPr/>
          <w:p>
            <w:pPr>
              <w:pStyle w:val="Tabla9"/>
              <w:jc w:val="left"/>
            </w:pPr>
            <w:r>
              <w:t xml:space="preserve">Reducción relativa de falsas alarmas</w:t>
            </w:r>
          </w:p>
        </w:tc>
        <w:tc>
          <w:tcPr/>
          <w:p>
            <w:pPr>
              <w:pStyle w:val="Tabla9"/>
              <w:jc w:val="left"/>
            </w:pPr>
            <w:r>
              <w:t xml:space="preserve">≥ 30 % de reducción relativa</w:t>
            </w:r>
          </w:p>
        </w:tc>
        <w:tc>
          <w:tcPr/>
          <w:p>
            <w:pPr>
              <w:pStyle w:val="Tabla9"/>
              <w:jc w:val="left"/>
            </w:pPr>
            <w:r>
              <w:t xml:space="preserve">Trimestral</w:t>
            </w:r>
          </w:p>
        </w:tc>
        <w:tc>
          <w:tcPr/>
          <w:p>
            <w:pPr>
              <w:pStyle w:val="Tabla9"/>
              <w:jc w:val="left"/>
            </w:pPr>
            <w:r>
              <w:t xml:space="preserve">Cruce entre alertas emitidas y mediciones de referencia</w:t>
            </w:r>
          </w:p>
        </w:tc>
      </w:tr>
      <w:tr>
        <w:trPr>
          <w:cantSplit/>
        </w:trPr>
        <w:tc>
          <w:tcPr/>
          <w:p>
            <w:pPr>
              <w:pStyle w:val="Tabla9"/>
              <w:jc w:val="left"/>
            </w:pPr>
            <w:r>
              <w:t xml:space="preserve">PERS-E03</w:t>
            </w:r>
          </w:p>
        </w:tc>
        <w:tc>
          <w:tcPr/>
          <w:p>
            <w:pPr>
              <w:pStyle w:val="Tabla9"/>
              <w:jc w:val="left"/>
            </w:pPr>
            <w:r>
              <w:t xml:space="preserve">Capacidad instalada en custodios</w:t>
            </w:r>
          </w:p>
        </w:tc>
        <w:tc>
          <w:tcPr/>
          <w:p>
            <w:pPr>
              <w:pStyle w:val="Tabla9"/>
              <w:jc w:val="left"/>
            </w:pPr>
            <w:r>
              <w:t xml:space="preserve">≥ 60 personas certificadas</w:t>
            </w:r>
          </w:p>
        </w:tc>
        <w:tc>
          <w:tcPr/>
          <w:p>
            <w:pPr>
              <w:pStyle w:val="Tabla9"/>
              <w:jc w:val="left"/>
            </w:pPr>
            <w:r>
              <w:t xml:space="preserve">Semestral</w:t>
            </w:r>
          </w:p>
        </w:tc>
        <w:tc>
          <w:tcPr/>
          <w:p>
            <w:pPr>
              <w:pStyle w:val="Tabla9"/>
              <w:jc w:val="left"/>
            </w:pPr>
            <w:r>
              <w:t xml:space="preserve">Certificados y actas de evaluación práctica</w:t>
            </w:r>
          </w:p>
        </w:tc>
      </w:tr>
      <w:tr>
        <w:trPr>
          <w:cantSplit/>
        </w:trPr>
        <w:tc>
          <w:tcPr/>
          <w:p>
            <w:pPr>
              <w:pStyle w:val="Tabla9"/>
              <w:jc w:val="left"/>
            </w:pPr>
            <w:r>
              <w:t xml:space="preserve">PERS-S01</w:t>
            </w:r>
          </w:p>
        </w:tc>
        <w:tc>
          <w:tcPr/>
          <w:p>
            <w:pPr>
              <w:pStyle w:val="Tabla9"/>
              <w:jc w:val="left"/>
            </w:pPr>
            <w:r>
              <w:t xml:space="preserve">Activación del protocolo ante superación de umbral</w:t>
            </w:r>
          </w:p>
        </w:tc>
        <w:tc>
          <w:tcPr/>
          <w:p>
            <w:pPr>
              <w:pStyle w:val="Tabla9"/>
              <w:jc w:val="left"/>
            </w:pPr>
            <w:r>
              <w:t xml:space="preserve">≥ 80 % a los 12 meses posteriores al cierre</w:t>
            </w:r>
          </w:p>
        </w:tc>
        <w:tc>
          <w:tcPr/>
          <w:p>
            <w:pPr>
              <w:pStyle w:val="Tabla9"/>
              <w:jc w:val="left"/>
            </w:pPr>
            <w:r>
              <w:t xml:space="preserve">Anual, 6 a 12 meses tras el cierre</w:t>
            </w:r>
          </w:p>
        </w:tc>
        <w:tc>
          <w:tcPr/>
          <w:p>
            <w:pPr>
              <w:pStyle w:val="Tabla9"/>
              <w:jc w:val="left"/>
            </w:pPr>
            <w:r>
              <w:t xml:space="preserve">Evaluación externa posproyecto</w:t>
            </w:r>
          </w:p>
        </w:tc>
      </w:tr>
      <w:tr>
        <w:trPr>
          <w:cantSplit/>
        </w:trPr>
        <w:tc>
          <w:tcPr/>
          <w:p>
            <w:pPr>
              <w:pStyle w:val="Tabla9"/>
              <w:jc w:val="left"/>
            </w:pPr>
            <w:r>
              <w:t xml:space="preserve">PERS-S02</w:t>
            </w:r>
          </w:p>
        </w:tc>
        <w:tc>
          <w:tcPr/>
          <w:p>
            <w:pPr>
              <w:pStyle w:val="Tabla9"/>
              <w:jc w:val="left"/>
            </w:pPr>
            <w:r>
              <w:t xml:space="preserve">Continuidad de la red bajo custodia</w:t>
            </w:r>
          </w:p>
        </w:tc>
        <w:tc>
          <w:tcPr/>
          <w:p>
            <w:pPr>
              <w:pStyle w:val="Tabla9"/>
              <w:jc w:val="left"/>
            </w:pPr>
            <w:r>
              <w:t xml:space="preserve">≥ 70 % a los 12 meses posteriores al cierre</w:t>
            </w:r>
          </w:p>
        </w:tc>
        <w:tc>
          <w:tcPr/>
          <w:p>
            <w:pPr>
              <w:pStyle w:val="Tabla9"/>
              <w:jc w:val="left"/>
            </w:pPr>
            <w:r>
              <w:t xml:space="preserve">Anual, 12 meses tras el cierre</w:t>
            </w:r>
          </w:p>
        </w:tc>
        <w:tc>
          <w:tcPr/>
          <w:p>
            <w:pPr>
              <w:pStyle w:val="Tabla9"/>
              <w:jc w:val="left"/>
            </w:pPr>
            <w:r>
              <w:t xml:space="preserve">Evaluación externa posproyecto</w:t>
            </w:r>
          </w:p>
        </w:tc>
      </w:tr>
    </w:tbl>
    <w:p>
      <w:pPr>
        <w:pStyle w:val="TablaNota"/>
      </w:pPr>
      <w:r>
        <w:rPr>
          <w:i/>
          <w:iCs/>
        </w:rPr>
        <w:t xml:space="preserve">Nota.</w:t>
      </w:r>
      <w:r>
        <w:t xml:space="preserve"> </w:t>
      </w:r>
      <w:r>
        <w:t xml:space="preserve">Elaboración propia con el sistema PERS de la ficha maestra. Las líneas base marcadas como VACIO se miden en el tramo 1.</w:t>
      </w:r>
    </w:p>
    <w:bookmarkEnd w:id="90"/>
    <w:bookmarkStart w:id="91" w:name="_Toc00900041"/>
    <w:p>
      <w:pPr>
        <w:pStyle w:val="Heading1"/>
      </w:pPr>
      <w:r>
        <w:t xml:space="preserve">25. ASPECTOS ÉTICOS</w:t>
      </w:r>
    </w:p>
    <w:p>
      <w:pPr>
        <w:pStyle w:val="FirstParagraph"/>
      </w:pPr>
      <w:r>
        <w:t xml:space="preserve">El proyecto no experimenta con seres humanos ni con muestras biológicas. Su ética se concentra en cuatro frentes. El primero es el consentimiento informado de quienes participan en talleres y cuestionarios, que se recoge por escrito. El segundo es la protección de datos personales según la Ley 1581 de 2012 (Congreso de la República, 2012b). El tercero es la transparencia sobre el error de la medición, que el tablero muestra junto con cada valor. El cuarto es la seguridad del personal en los sitios de remoción.</w:t>
      </w:r>
    </w:p>
    <w:p>
      <w:pPr>
        <w:pStyle w:val="BodyText"/>
      </w:pPr>
      <w:r>
        <w:t xml:space="preserve">La Universidad somete el protocolo a su comité de ética [DATO_USUARIO: comité de ética y fecha del aval]. Los datos ambientales se abren con la cláusula de apertura. Los datos de personas permanecen restringidos y se publican solo resultados agregados. Las alertas del proyecto no sustituyen las decisiones de las autoridades de salud ni la medición regulatoria.</w:t>
      </w:r>
    </w:p>
    <w:bookmarkEnd w:id="91"/>
    <w:bookmarkStart w:id="92" w:name="X5fd263d41ce508b94d9d1994bbc9bc82074d724"/>
    <w:p>
      <w:pPr>
        <w:pStyle w:val="Heading1"/>
      </w:pPr>
      <w:r>
        <w:t xml:space="preserve">26. IDONEIDAD Y TRAYECTORIA DE LA ENTIDAD PROPONENTE Y DEMÁS PARTICIPANTES</w:t>
      </w:r>
    </w:p>
    <w:p>
      <w:pPr>
        <w:pStyle w:val="FirstParagraph"/>
      </w:pPr>
      <w:r>
        <w:t xml:space="preserve">La Tabla D.30 describe el aporte individual de cada integrante de la alianza. El Anexo 2 exige tres tipos de aporte: financieros, técnicos o tecnológicos y de talento humano de alto nivel. La trayectoria de cada entidad está pendiente. Debe coincidir con la carta aval, el compromiso institucional y el modelo de gobernanza [DATO_USUARIO: trayectoria y soportes de cada entidad].</w:t>
      </w:r>
    </w:p>
    <w:p>
      <w:pPr>
        <w:pStyle w:val="TablaRotulo"/>
      </w:pPr>
      <w:bookmarkStart w:id="9048" w:name="rot_Tabla_D_30"/>
      <w:r>
        <w:rPr>
          <w:b/>
          <w:bCs/>
        </w:rPr>
        <w:t xml:space="preserve">Tabla D.30</w:t>
      </w:r>
      <w:bookmarkEnd w:id="9048"/>
    </w:p>
    <w:p>
      <w:pPr>
        <w:pStyle w:val="TablaTitulo"/>
      </w:pPr>
      <w:r>
        <w:rPr>
          <w:i/>
          <w:iCs/>
        </w:rPr>
        <w:t xml:space="preserve">Aportes de cada integrante de la alianza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88"/>
        <w:gridCol w:w="1848"/>
        <w:gridCol w:w="1518"/>
        <w:gridCol w:w="1518"/>
        <w:gridCol w:w="1848"/>
      </w:tblGrid>
      <w:tr>
        <w:trPr>
          <w:cantSplit/>
          <w:tblHeader/>
        </w:trPr>
        <w:tc>
          <w:tcPr>
            <w:shd w:val="clear" w:color="auto" w:fill="00B050"/>
          </w:tcPr>
          <w:p>
            <w:pPr>
              <w:pStyle w:val="Tabla9"/>
              <w:jc w:val="center"/>
            </w:pPr>
            <w:r>
              <w:rPr>
                <w:b/>
                <w:color w:val="FFFFFF"/>
              </w:rPr>
              <w:t xml:space="preserve">Integrante</w:t>
            </w:r>
          </w:p>
        </w:tc>
        <w:tc>
          <w:tcPr>
            <w:shd w:val="clear" w:color="auto" w:fill="00B050"/>
          </w:tcPr>
          <w:p>
            <w:pPr>
              <w:pStyle w:val="Tabla9"/>
              <w:jc w:val="center"/>
            </w:pPr>
            <w:r>
              <w:rPr>
                <w:b/>
                <w:color w:val="FFFFFF"/>
              </w:rPr>
              <w:t xml:space="preserve">Aporte financiero</w:t>
            </w:r>
          </w:p>
        </w:tc>
        <w:tc>
          <w:tcPr>
            <w:shd w:val="clear" w:color="auto" w:fill="00B050"/>
          </w:tcPr>
          <w:p>
            <w:pPr>
              <w:pStyle w:val="Tabla9"/>
              <w:jc w:val="center"/>
            </w:pPr>
            <w:r>
              <w:rPr>
                <w:b/>
                <w:color w:val="FFFFFF"/>
              </w:rPr>
              <w:t xml:space="preserve">Aporte técnico o tecnológico</w:t>
            </w:r>
          </w:p>
        </w:tc>
        <w:tc>
          <w:tcPr>
            <w:shd w:val="clear" w:color="auto" w:fill="00B050"/>
          </w:tcPr>
          <w:p>
            <w:pPr>
              <w:pStyle w:val="Tabla9"/>
              <w:jc w:val="center"/>
            </w:pPr>
            <w:r>
              <w:rPr>
                <w:b/>
                <w:color w:val="FFFFFF"/>
              </w:rPr>
              <w:t xml:space="preserve">Talento humano de alto nivel</w:t>
            </w:r>
          </w:p>
        </w:tc>
        <w:tc>
          <w:tcPr>
            <w:shd w:val="clear" w:color="auto" w:fill="00B050"/>
          </w:tcPr>
          <w:p>
            <w:pPr>
              <w:pStyle w:val="Tabla9"/>
              <w:jc w:val="center"/>
            </w:pPr>
            <w:r>
              <w:rPr>
                <w:b/>
                <w:color w:val="FFFFFF"/>
              </w:rPr>
              <w:t xml:space="preserve">Trayectoria</w:t>
            </w:r>
          </w:p>
        </w:tc>
      </w:tr>
      <w:tr>
        <w:trPr>
          <w:cantSplit/>
        </w:trPr>
        <w:tc>
          <w:tcPr/>
          <w:p>
            <w:pPr>
              <w:pStyle w:val="Tabla9"/>
              <w:jc w:val="left"/>
            </w:pPr>
            <w:r>
              <w:t xml:space="preserve">Universidad proponente</w:t>
            </w:r>
          </w:p>
        </w:tc>
        <w:tc>
          <w:tcPr/>
          <w:p>
            <w:pPr>
              <w:pStyle w:val="Tabla9"/>
              <w:jc w:val="left"/>
            </w:pPr>
            <w:r>
              <w:t xml:space="preserve">1.100 millones de COP en especie (reconstruida; certificación pendiente)</w:t>
            </w:r>
          </w:p>
        </w:tc>
        <w:tc>
          <w:tcPr/>
          <w:p>
            <w:pPr>
              <w:pStyle w:val="Tabla9"/>
              <w:jc w:val="left"/>
            </w:pPr>
            <w:r>
              <w:t xml:space="preserve">Laboratorios, banco de calibración y estaciones de trabajo</w:t>
            </w:r>
          </w:p>
        </w:tc>
        <w:tc>
          <w:tcPr/>
          <w:p>
            <w:pPr>
              <w:pStyle w:val="Tabla9"/>
              <w:jc w:val="left"/>
            </w:pPr>
            <w:r>
              <w:t xml:space="preserve">Investigador principal (50 %), coinvestigadores y doctor en estancia posdoctoral</w:t>
            </w:r>
          </w:p>
        </w:tc>
        <w:tc>
          <w:tcPr/>
          <w:p>
            <w:pPr>
              <w:pStyle w:val="Tabla9"/>
              <w:jc w:val="left"/>
            </w:pPr>
            <w:r>
              <w:t xml:space="preserve">[DATO_USUARIO: proyectos y grupo reconocido]</w:t>
            </w:r>
          </w:p>
        </w:tc>
      </w:tr>
      <w:tr>
        <w:trPr>
          <w:cantSplit/>
        </w:trPr>
        <w:tc>
          <w:tcPr/>
          <w:p>
            <w:pPr>
              <w:pStyle w:val="Tabla9"/>
              <w:jc w:val="left"/>
            </w:pPr>
            <w:r>
              <w:t xml:space="preserve">Actor reconocido por MinCiencias</w:t>
            </w:r>
          </w:p>
        </w:tc>
        <w:tc>
          <w:tcPr/>
          <w:p>
            <w:pPr>
              <w:pStyle w:val="Tabla9"/>
              <w:jc w:val="left"/>
            </w:pPr>
            <w:r>
              <w:t xml:space="preserve">[DATO_USUARIO: contrapartida, si aplica]</w:t>
            </w:r>
          </w:p>
        </w:tc>
        <w:tc>
          <w:tcPr/>
          <w:p>
            <w:pPr>
              <w:pStyle w:val="Tabla9"/>
              <w:jc w:val="left"/>
            </w:pPr>
            <w:r>
              <w:t xml:space="preserve">Laboratorio y referencias gravimétricas</w:t>
            </w:r>
          </w:p>
        </w:tc>
        <w:tc>
          <w:tcPr/>
          <w:p>
            <w:pPr>
              <w:pStyle w:val="Tabla9"/>
              <w:jc w:val="left"/>
            </w:pPr>
            <w:r>
              <w:t xml:space="preserve">Especialista en metrología y profesional en calidad del aire</w:t>
            </w:r>
          </w:p>
        </w:tc>
        <w:tc>
          <w:tcPr/>
          <w:p>
            <w:pPr>
              <w:pStyle w:val="Tabla9"/>
              <w:jc w:val="left"/>
            </w:pPr>
            <w:r>
              <w:t xml:space="preserve">[DATO_USUARIO: reconocimiento y proyectos]</w:t>
            </w:r>
          </w:p>
        </w:tc>
      </w:tr>
      <w:tr>
        <w:trPr>
          <w:cantSplit/>
        </w:trPr>
        <w:tc>
          <w:tcPr/>
          <w:p>
            <w:pPr>
              <w:pStyle w:val="Tabla9"/>
              <w:jc w:val="left"/>
            </w:pPr>
            <w:r>
              <w:t xml:space="preserve">Empresa aliada</w:t>
            </w:r>
          </w:p>
        </w:tc>
        <w:tc>
          <w:tcPr/>
          <w:p>
            <w:pPr>
              <w:pStyle w:val="Tabla9"/>
              <w:jc w:val="left"/>
            </w:pPr>
            <w:r>
              <w:t xml:space="preserve">210 millones de COP en efectivo y 800 millones en especie</w:t>
            </w:r>
          </w:p>
        </w:tc>
        <w:tc>
          <w:tcPr/>
          <w:p>
            <w:pPr>
              <w:pStyle w:val="Tabla9"/>
              <w:jc w:val="left"/>
            </w:pPr>
            <w:r>
              <w:t xml:space="preserve">Infraestructura en la nube, hardware IoT y plataforma</w:t>
            </w:r>
          </w:p>
        </w:tc>
        <w:tc>
          <w:tcPr/>
          <w:p>
            <w:pPr>
              <w:pStyle w:val="Tabla9"/>
              <w:jc w:val="left"/>
            </w:pPr>
            <w:r>
              <w:t xml:space="preserve">Ingenieros de software, de firmware y de campo</w:t>
            </w:r>
          </w:p>
        </w:tc>
        <w:tc>
          <w:tcPr/>
          <w:p>
            <w:pPr>
              <w:pStyle w:val="Tabla9"/>
              <w:jc w:val="left"/>
            </w:pPr>
            <w:r>
              <w:t xml:space="preserve">[DATO_USUARIO: experiencia de la empresa]</w:t>
            </w:r>
          </w:p>
        </w:tc>
      </w:tr>
      <w:tr>
        <w:trPr>
          <w:cantSplit/>
        </w:trPr>
        <w:tc>
          <w:tcPr/>
          <w:p>
            <w:pPr>
              <w:pStyle w:val="Tabla9"/>
              <w:jc w:val="left"/>
            </w:pPr>
            <w:r>
              <w:t xml:space="preserve">Municipio focal y municipios focalizados</w:t>
            </w:r>
          </w:p>
        </w:tc>
        <w:tc>
          <w:tcPr/>
          <w:p>
            <w:pPr>
              <w:pStyle w:val="Tabla9"/>
              <w:jc w:val="left"/>
            </w:pPr>
            <w:r>
              <w:t xml:space="preserve">Sin aporte (beneficiarios)</w:t>
            </w:r>
          </w:p>
        </w:tc>
        <w:tc>
          <w:tcPr/>
          <w:p>
            <w:pPr>
              <w:pStyle w:val="Tabla9"/>
              <w:jc w:val="left"/>
            </w:pPr>
            <w:r>
              <w:t xml:space="preserve">Acceso a sitios y comités de gestión del riesgo</w:t>
            </w:r>
          </w:p>
        </w:tc>
        <w:tc>
          <w:tcPr/>
          <w:p>
            <w:pPr>
              <w:pStyle w:val="Tabla9"/>
              <w:jc w:val="left"/>
            </w:pPr>
            <w:r>
              <w:t xml:space="preserve">Funcionarios de gestión del riesgo</w:t>
            </w:r>
          </w:p>
        </w:tc>
        <w:tc>
          <w:tcPr/>
          <w:p>
            <w:pPr>
              <w:pStyle w:val="Tabla9"/>
              <w:jc w:val="left"/>
            </w:pPr>
            <w:r>
              <w:t xml:space="preserve">[DATO_USUARIO: trayectoria del comité]</w:t>
            </w:r>
          </w:p>
        </w:tc>
      </w:tr>
    </w:tbl>
    <w:p>
      <w:pPr>
        <w:pStyle w:val="TablaNota"/>
      </w:pPr>
      <w:r>
        <w:rPr>
          <w:i/>
          <w:iCs/>
        </w:rPr>
        <w:t xml:space="preserve">Nota.</w:t>
      </w:r>
      <w:r>
        <w:t xml:space="preserve"> </w:t>
      </w:r>
      <w:r>
        <w:t xml:space="preserve">Elaboración propia con la ficha maestra y la sección S.8. Las contrapartidas de la Universidad y de la empresa se verifican con las cartas de compromiso.</w:t>
      </w:r>
    </w:p>
    <w:bookmarkEnd w:id="92"/>
    <w:bookmarkStart w:id="93" w:name="_Toc00900042"/>
    <w:p>
      <w:pPr>
        <w:pStyle w:val="Heading1"/>
      </w:pPr>
      <w:r>
        <w:t xml:space="preserve">27. ANÁLISIS DE LICENCIAS Y PERMISOS</w:t>
      </w:r>
    </w:p>
    <w:p>
      <w:pPr>
        <w:pStyle w:val="FirstParagraph"/>
      </w:pPr>
      <w:r>
        <w:t xml:space="preserve">La Tabla D.31 enumera los requerimientos previos o durante la ejecución. El proyecto no interviene recursos genéticos, ni especímenes, ni colecciones biológicas, ni adecuación de infraestructura. Las verificaciones dependen de la normativa vigente y de las autoridades competentes.</w:t>
      </w:r>
    </w:p>
    <w:p>
      <w:pPr>
        <w:pStyle w:val="TablaRotulo"/>
      </w:pPr>
      <w:bookmarkStart w:id="9049" w:name="rot_Tabla_D_31"/>
      <w:r>
        <w:rPr>
          <w:b/>
          <w:bCs/>
        </w:rPr>
        <w:t xml:space="preserve">Tabla D.31</w:t>
      </w:r>
      <w:bookmarkEnd w:id="9049"/>
    </w:p>
    <w:p>
      <w:pPr>
        <w:pStyle w:val="TablaTitulo"/>
      </w:pPr>
      <w:r>
        <w:rPr>
          <w:i/>
          <w:iCs/>
        </w:rPr>
        <w:t xml:space="preserve">Licencias, permisos y requerimientos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320"/>
        <w:gridCol w:w="1056"/>
        <w:gridCol w:w="2046"/>
      </w:tblGrid>
      <w:tr>
        <w:trPr>
          <w:cantSplit/>
          <w:tblHeader/>
        </w:trPr>
        <w:tc>
          <w:tcPr>
            <w:shd w:val="clear" w:color="auto" w:fill="00B050"/>
          </w:tcPr>
          <w:p>
            <w:pPr>
              <w:pStyle w:val="Tabla9"/>
              <w:jc w:val="center"/>
            </w:pPr>
            <w:r>
              <w:rPr>
                <w:b/>
                <w:color w:val="FFFFFF"/>
              </w:rPr>
              <w:t xml:space="preserve">Requerimiento</w:t>
            </w:r>
          </w:p>
        </w:tc>
        <w:tc>
          <w:tcPr>
            <w:shd w:val="clear" w:color="auto" w:fill="00B050"/>
          </w:tcPr>
          <w:p>
            <w:pPr>
              <w:pStyle w:val="Tabla9"/>
              <w:jc w:val="center"/>
            </w:pPr>
            <w:r>
              <w:rPr>
                <w:b/>
                <w:color w:val="FFFFFF"/>
              </w:rPr>
              <w:t xml:space="preserve">Aplica</w:t>
            </w:r>
          </w:p>
        </w:tc>
        <w:tc>
          <w:tcPr>
            <w:shd w:val="clear" w:color="auto" w:fill="00B050"/>
          </w:tcPr>
          <w:p>
            <w:pPr>
              <w:pStyle w:val="Tabla9"/>
              <w:jc w:val="center"/>
            </w:pPr>
            <w:r>
              <w:rPr>
                <w:b/>
                <w:color w:val="FFFFFF"/>
              </w:rPr>
              <w:t xml:space="preserve">Responsable</w:t>
            </w:r>
          </w:p>
        </w:tc>
        <w:tc>
          <w:tcPr>
            <w:shd w:val="clear" w:color="auto" w:fill="00B050"/>
          </w:tcPr>
          <w:p>
            <w:pPr>
              <w:pStyle w:val="Tabla9"/>
              <w:jc w:val="center"/>
            </w:pPr>
            <w:r>
              <w:rPr>
                <w:b/>
                <w:color w:val="FFFFFF"/>
              </w:rPr>
              <w:t xml:space="preserve">Momento</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Licencia ambiental</w:t>
            </w:r>
          </w:p>
        </w:tc>
        <w:tc>
          <w:tcPr/>
          <w:p>
            <w:pPr>
              <w:pStyle w:val="Tabla9"/>
              <w:jc w:val="left"/>
            </w:pPr>
            <w:r>
              <w:t xml:space="preserve">No aplica: no hay obra ni aprovechamiento de recursos</w:t>
            </w:r>
          </w:p>
        </w:tc>
        <w:tc>
          <w:tcPr/>
          <w:p>
            <w:pPr>
              <w:pStyle w:val="Tabla9"/>
              <w:jc w:val="left"/>
            </w:pPr>
            <w:r>
              <w:t xml:space="preserve">—</w:t>
            </w:r>
          </w:p>
        </w:tc>
        <w:tc>
          <w:tcPr/>
          <w:p>
            <w:pPr>
              <w:pStyle w:val="Tabla9"/>
              <w:jc w:val="left"/>
            </w:pPr>
            <w:r>
              <w:t xml:space="preserve">—</w:t>
            </w:r>
          </w:p>
        </w:tc>
        <w:tc>
          <w:tcPr/>
          <w:p>
            <w:pPr>
              <w:pStyle w:val="Tabla9"/>
              <w:jc w:val="left"/>
            </w:pPr>
            <w:r>
              <w:t xml:space="preserve">NO_APLICA</w:t>
            </w:r>
          </w:p>
        </w:tc>
      </w:tr>
      <w:tr>
        <w:trPr>
          <w:cantSplit/>
        </w:trPr>
        <w:tc>
          <w:tcPr/>
          <w:p>
            <w:pPr>
              <w:pStyle w:val="Tabla9"/>
              <w:jc w:val="left"/>
            </w:pPr>
            <w:r>
              <w:t xml:space="preserve">Acceso a recursos genéticos, colecciones biológicas y especímenes</w:t>
            </w:r>
          </w:p>
        </w:tc>
        <w:tc>
          <w:tcPr/>
          <w:p>
            <w:pPr>
              <w:pStyle w:val="Tabla9"/>
              <w:jc w:val="left"/>
            </w:pPr>
            <w:r>
              <w:t xml:space="preserve">No aplica</w:t>
            </w:r>
          </w:p>
        </w:tc>
        <w:tc>
          <w:tcPr/>
          <w:p>
            <w:pPr>
              <w:pStyle w:val="Tabla9"/>
              <w:jc w:val="left"/>
            </w:pPr>
            <w:r>
              <w:t xml:space="preserve">—</w:t>
            </w:r>
          </w:p>
        </w:tc>
        <w:tc>
          <w:tcPr/>
          <w:p>
            <w:pPr>
              <w:pStyle w:val="Tabla9"/>
              <w:jc w:val="left"/>
            </w:pPr>
            <w:r>
              <w:t xml:space="preserve">—</w:t>
            </w:r>
          </w:p>
        </w:tc>
        <w:tc>
          <w:tcPr/>
          <w:p>
            <w:pPr>
              <w:pStyle w:val="Tabla9"/>
              <w:jc w:val="left"/>
            </w:pPr>
            <w:r>
              <w:t xml:space="preserve">NO_APLICA</w:t>
            </w:r>
          </w:p>
        </w:tc>
      </w:tr>
      <w:tr>
        <w:trPr>
          <w:cantSplit/>
        </w:trPr>
        <w:tc>
          <w:tcPr/>
          <w:p>
            <w:pPr>
              <w:pStyle w:val="Tabla9"/>
              <w:jc w:val="left"/>
            </w:pPr>
            <w:r>
              <w:t xml:space="preserve">Consulta previa con comunidades indígenas y afrodescendientes</w:t>
            </w:r>
          </w:p>
        </w:tc>
        <w:tc>
          <w:tcPr/>
          <w:p>
            <w:pPr>
              <w:pStyle w:val="Tabla9"/>
              <w:jc w:val="left"/>
            </w:pPr>
            <w:r>
              <w:t xml:space="preserve">Por verificar si hay resguardos o consejos comunitarios en los sitios</w:t>
            </w:r>
          </w:p>
        </w:tc>
        <w:tc>
          <w:tcPr/>
          <w:p>
            <w:pPr>
              <w:pStyle w:val="Tabla9"/>
              <w:jc w:val="left"/>
            </w:pPr>
            <w:r>
              <w:t xml:space="preserve">Municipios y Universidad</w:t>
            </w:r>
          </w:p>
        </w:tc>
        <w:tc>
          <w:tcPr/>
          <w:p>
            <w:pPr>
              <w:pStyle w:val="Tabla9"/>
              <w:jc w:val="left"/>
            </w:pPr>
            <w:r>
              <w:t xml:space="preserve">Antes de instalar</w:t>
            </w:r>
          </w:p>
        </w:tc>
        <w:tc>
          <w:tcPr/>
          <w:p>
            <w:pPr>
              <w:pStyle w:val="Tabla9"/>
              <w:jc w:val="left"/>
            </w:pPr>
            <w:r>
              <w:t xml:space="preserve">VACIO</w:t>
            </w:r>
          </w:p>
        </w:tc>
      </w:tr>
      <w:tr>
        <w:trPr>
          <w:cantSplit/>
        </w:trPr>
        <w:tc>
          <w:tcPr/>
          <w:p>
            <w:pPr>
              <w:pStyle w:val="Tabla9"/>
              <w:jc w:val="left"/>
            </w:pPr>
            <w:r>
              <w:t xml:space="preserve">Consentimiento informado en talleres y cuestionarios</w:t>
            </w:r>
          </w:p>
        </w:tc>
        <w:tc>
          <w:tcPr/>
          <w:p>
            <w:pPr>
              <w:pStyle w:val="Tabla9"/>
              <w:jc w:val="left"/>
            </w:pPr>
            <w:r>
              <w:t xml:space="preserve">Aplica</w:t>
            </w:r>
          </w:p>
        </w:tc>
        <w:tc>
          <w:tcPr/>
          <w:p>
            <w:pPr>
              <w:pStyle w:val="Tabla9"/>
              <w:jc w:val="left"/>
            </w:pPr>
            <w:r>
              <w:t xml:space="preserve">Universidad</w:t>
            </w:r>
          </w:p>
        </w:tc>
        <w:tc>
          <w:tcPr/>
          <w:p>
            <w:pPr>
              <w:pStyle w:val="Tabla9"/>
              <w:jc w:val="left"/>
            </w:pPr>
            <w:r>
              <w:t xml:space="preserve">Cada actividad</w:t>
            </w:r>
          </w:p>
        </w:tc>
        <w:tc>
          <w:tcPr/>
          <w:p>
            <w:pPr>
              <w:pStyle w:val="Tabla9"/>
              <w:jc w:val="left"/>
            </w:pPr>
            <w:r>
              <w:t xml:space="preserve">PROPUESTO</w:t>
            </w:r>
          </w:p>
        </w:tc>
      </w:tr>
      <w:tr>
        <w:trPr>
          <w:cantSplit/>
        </w:trPr>
        <w:tc>
          <w:tcPr/>
          <w:p>
            <w:pPr>
              <w:pStyle w:val="Tabla9"/>
              <w:jc w:val="left"/>
            </w:pPr>
            <w:r>
              <w:t xml:space="preserve">Autorización de tratamiento de datos personales (Ley 1581 de 2012)</w:t>
            </w:r>
          </w:p>
        </w:tc>
        <w:tc>
          <w:tcPr/>
          <w:p>
            <w:pPr>
              <w:pStyle w:val="Tabla9"/>
              <w:jc w:val="left"/>
            </w:pPr>
            <w:r>
              <w:t xml:space="preserve">Aplica</w:t>
            </w:r>
          </w:p>
        </w:tc>
        <w:tc>
          <w:tcPr/>
          <w:p>
            <w:pPr>
              <w:pStyle w:val="Tabla9"/>
              <w:jc w:val="left"/>
            </w:pPr>
            <w:r>
              <w:t xml:space="preserve">Universidad</w:t>
            </w:r>
          </w:p>
        </w:tc>
        <w:tc>
          <w:tcPr/>
          <w:p>
            <w:pPr>
              <w:pStyle w:val="Tabla9"/>
              <w:jc w:val="left"/>
            </w:pPr>
            <w:r>
              <w:t xml:space="preserve">Antes de recoger datos</w:t>
            </w:r>
          </w:p>
        </w:tc>
        <w:tc>
          <w:tcPr/>
          <w:p>
            <w:pPr>
              <w:pStyle w:val="Tabla9"/>
              <w:jc w:val="left"/>
            </w:pPr>
            <w:r>
              <w:t xml:space="preserve">PROPUESTO</w:t>
            </w:r>
          </w:p>
        </w:tc>
      </w:tr>
      <w:tr>
        <w:trPr>
          <w:cantSplit/>
        </w:trPr>
        <w:tc>
          <w:tcPr/>
          <w:p>
            <w:pPr>
              <w:pStyle w:val="Tabla9"/>
              <w:jc w:val="left"/>
            </w:pPr>
            <w:r>
              <w:t xml:space="preserve">Autorización de los predios y sitios de instalación</w:t>
            </w:r>
          </w:p>
        </w:tc>
        <w:tc>
          <w:tcPr/>
          <w:p>
            <w:pPr>
              <w:pStyle w:val="Tabla9"/>
              <w:jc w:val="left"/>
            </w:pPr>
            <w:r>
              <w:t xml:space="preserve">Aplica</w:t>
            </w:r>
          </w:p>
        </w:tc>
        <w:tc>
          <w:tcPr/>
          <w:p>
            <w:pPr>
              <w:pStyle w:val="Tabla9"/>
              <w:jc w:val="left"/>
            </w:pPr>
            <w:r>
              <w:t xml:space="preserve">Municipios</w:t>
            </w:r>
          </w:p>
        </w:tc>
        <w:tc>
          <w:tcPr/>
          <w:p>
            <w:pPr>
              <w:pStyle w:val="Tabla9"/>
              <w:jc w:val="left"/>
            </w:pPr>
            <w:r>
              <w:t xml:space="preserve">Meses 2 a 4</w:t>
            </w:r>
          </w:p>
        </w:tc>
        <w:tc>
          <w:tcPr/>
          <w:p>
            <w:pPr>
              <w:pStyle w:val="Tabla9"/>
              <w:jc w:val="left"/>
            </w:pPr>
            <w:r>
              <w:t xml:space="preserve">VACIO</w:t>
            </w:r>
          </w:p>
        </w:tc>
      </w:tr>
      <w:tr>
        <w:trPr>
          <w:cantSplit/>
        </w:trPr>
        <w:tc>
          <w:tcPr/>
          <w:p>
            <w:pPr>
              <w:pStyle w:val="Tabla9"/>
              <w:jc w:val="left"/>
            </w:pPr>
            <w:r>
              <w:t xml:space="preserve">Uso de espectro y homologación de equipos de radio (LoRa y enlace satelital)</w:t>
            </w:r>
          </w:p>
        </w:tc>
        <w:tc>
          <w:tcPr/>
          <w:p>
            <w:pPr>
              <w:pStyle w:val="Tabla9"/>
              <w:jc w:val="left"/>
            </w:pPr>
            <w:r>
              <w:t xml:space="preserve">Verificar</w:t>
            </w:r>
          </w:p>
        </w:tc>
        <w:tc>
          <w:tcPr/>
          <w:p>
            <w:pPr>
              <w:pStyle w:val="Tabla9"/>
              <w:jc w:val="left"/>
            </w:pPr>
            <w:r>
              <w:t xml:space="preserve">Empresa</w:t>
            </w:r>
          </w:p>
        </w:tc>
        <w:tc>
          <w:tcPr/>
          <w:p>
            <w:pPr>
              <w:pStyle w:val="Tabla9"/>
              <w:jc w:val="left"/>
            </w:pPr>
            <w:r>
              <w:t xml:space="preserve">Antes de comprar</w:t>
            </w:r>
          </w:p>
        </w:tc>
        <w:tc>
          <w:tcPr/>
          <w:p>
            <w:pPr>
              <w:pStyle w:val="Tabla9"/>
              <w:jc w:val="left"/>
            </w:pPr>
            <w:r>
              <w:t xml:space="preserve">NO_VERIFICADO</w:t>
            </w:r>
          </w:p>
        </w:tc>
      </w:tr>
      <w:tr>
        <w:trPr>
          <w:cantSplit/>
        </w:trPr>
        <w:tc>
          <w:tcPr/>
          <w:p>
            <w:pPr>
              <w:pStyle w:val="Tabla9"/>
              <w:jc w:val="left"/>
            </w:pPr>
            <w:r>
              <w:t xml:space="preserve">Importación y nacionalización de equipos</w:t>
            </w:r>
          </w:p>
        </w:tc>
        <w:tc>
          <w:tcPr/>
          <w:p>
            <w:pPr>
              <w:pStyle w:val="Tabla9"/>
              <w:jc w:val="left"/>
            </w:pPr>
            <w:r>
              <w:t xml:space="preserve">Aplica</w:t>
            </w:r>
          </w:p>
        </w:tc>
        <w:tc>
          <w:tcPr/>
          <w:p>
            <w:pPr>
              <w:pStyle w:val="Tabla9"/>
              <w:jc w:val="left"/>
            </w:pPr>
            <w:r>
              <w:t xml:space="preserve">Empresa y Universidad</w:t>
            </w:r>
          </w:p>
        </w:tc>
        <w:tc>
          <w:tcPr/>
          <w:p>
            <w:pPr>
              <w:pStyle w:val="Tabla9"/>
              <w:jc w:val="left"/>
            </w:pPr>
            <w:r>
              <w:t xml:space="preserve">Meses 1 a 18</w:t>
            </w:r>
          </w:p>
        </w:tc>
        <w:tc>
          <w:tcPr/>
          <w:p>
            <w:pPr>
              <w:pStyle w:val="Tabla9"/>
              <w:jc w:val="left"/>
            </w:pPr>
            <w:r>
              <w:t xml:space="preserve">PROPUESTO</w:t>
            </w:r>
          </w:p>
        </w:tc>
      </w:tr>
      <w:tr>
        <w:trPr>
          <w:cantSplit/>
        </w:trPr>
        <w:tc>
          <w:tcPr/>
          <w:p>
            <w:pPr>
              <w:pStyle w:val="Tabla9"/>
              <w:jc w:val="left"/>
            </w:pPr>
            <w:r>
              <w:t xml:space="preserve">Licencia urbanística para mástiles y obra menor</w:t>
            </w:r>
          </w:p>
        </w:tc>
        <w:tc>
          <w:tcPr/>
          <w:p>
            <w:pPr>
              <w:pStyle w:val="Tabla9"/>
              <w:jc w:val="left"/>
            </w:pPr>
            <w:r>
              <w:t xml:space="preserve">Verificar con la curaduría o la secretaría de planeación</w:t>
            </w:r>
          </w:p>
        </w:tc>
        <w:tc>
          <w:tcPr/>
          <w:p>
            <w:pPr>
              <w:pStyle w:val="Tabla9"/>
              <w:jc w:val="left"/>
            </w:pPr>
            <w:r>
              <w:t xml:space="preserve">Empresa y municipios</w:t>
            </w:r>
          </w:p>
        </w:tc>
        <w:tc>
          <w:tcPr/>
          <w:p>
            <w:pPr>
              <w:pStyle w:val="Tabla9"/>
              <w:jc w:val="left"/>
            </w:pPr>
            <w:r>
              <w:t xml:space="preserve">Antes de instalar</w:t>
            </w:r>
          </w:p>
        </w:tc>
        <w:tc>
          <w:tcPr/>
          <w:p>
            <w:pPr>
              <w:pStyle w:val="Tabla9"/>
              <w:jc w:val="left"/>
            </w:pPr>
            <w:r>
              <w:t xml:space="preserve">NO_VERIFICADO</w:t>
            </w:r>
          </w:p>
        </w:tc>
      </w:tr>
      <w:tr>
        <w:trPr>
          <w:cantSplit/>
        </w:trPr>
        <w:tc>
          <w:tcPr/>
          <w:p>
            <w:pPr>
              <w:pStyle w:val="Tabla9"/>
              <w:jc w:val="left"/>
            </w:pPr>
            <w:r>
              <w:t xml:space="preserve">Decreto 1203 de 2017 (adecuación de infraestructura)</w:t>
            </w:r>
          </w:p>
        </w:tc>
        <w:tc>
          <w:tcPr/>
          <w:p>
            <w:pPr>
              <w:pStyle w:val="Tabla9"/>
              <w:jc w:val="left"/>
            </w:pPr>
            <w:r>
              <w:t xml:space="preserve">No aplica: sin adecuación de infraestructura</w:t>
            </w:r>
          </w:p>
        </w:tc>
        <w:tc>
          <w:tcPr/>
          <w:p>
            <w:pPr>
              <w:pStyle w:val="Tabla9"/>
              <w:jc w:val="left"/>
            </w:pPr>
            <w:r>
              <w:t xml:space="preserve">—</w:t>
            </w:r>
          </w:p>
        </w:tc>
        <w:tc>
          <w:tcPr/>
          <w:p>
            <w:pPr>
              <w:pStyle w:val="Tabla9"/>
              <w:jc w:val="left"/>
            </w:pPr>
            <w:r>
              <w:t xml:space="preserve">—</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la lista de ejemplos del Anexo 2. Las normas de espectro y de licencias urbanísticas no se consultaron en esta corrida.</w:t>
      </w:r>
    </w:p>
    <w:bookmarkEnd w:id="93"/>
    <w:bookmarkStart w:id="94" w:name="_Toc00900043"/>
    <w:p>
      <w:pPr>
        <w:pStyle w:val="Heading1"/>
      </w:pPr>
      <w:r>
        <w:t xml:space="preserve">28. RESUMEN DE FUENTES DE FINANCIACIÓN</w:t>
      </w:r>
    </w:p>
    <w:p>
      <w:pPr>
        <w:pStyle w:val="FirstParagraph"/>
      </w:pPr>
      <w:r>
        <w:t xml:space="preserve">La Tabla D.32 resume las fuentes de financiación. El aporte de cada cooperante coincide con el presupuesto y debe coincidir con la carta aval, el compromiso institucional y el modelo de gobernanza.</w:t>
      </w:r>
    </w:p>
    <w:p>
      <w:pPr>
        <w:pStyle w:val="TablaRotulo"/>
      </w:pPr>
      <w:bookmarkStart w:id="9050" w:name="rot_Tabla_D_32"/>
      <w:r>
        <w:rPr>
          <w:b/>
          <w:bCs/>
        </w:rPr>
        <w:t xml:space="preserve">Tabla D.32</w:t>
      </w:r>
      <w:bookmarkEnd w:id="9050"/>
    </w:p>
    <w:p>
      <w:pPr>
        <w:pStyle w:val="TablaTitulo"/>
      </w:pPr>
      <w:r>
        <w:rPr>
          <w:i/>
          <w:iCs/>
        </w:rPr>
        <w:t xml:space="preserve">Resumen de fuentes de financiación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76"/>
        <w:gridCol w:w="3432"/>
        <w:gridCol w:w="2112"/>
      </w:tblGrid>
      <w:tr>
        <w:trPr>
          <w:cantSplit/>
          <w:tblHeader/>
        </w:trPr>
        <w:tc>
          <w:tcPr>
            <w:shd w:val="clear" w:color="auto" w:fill="00B050"/>
          </w:tcPr>
          <w:p>
            <w:pPr>
              <w:pStyle w:val="Tabla9"/>
              <w:jc w:val="center"/>
            </w:pPr>
            <w:r>
              <w:rPr>
                <w:b/>
                <w:color w:val="FFFFFF"/>
              </w:rPr>
              <w:t xml:space="preserve">Entidad</w:t>
            </w:r>
          </w:p>
        </w:tc>
        <w:tc>
          <w:tcPr>
            <w:shd w:val="clear" w:color="auto" w:fill="00B050"/>
          </w:tcPr>
          <w:p>
            <w:pPr>
              <w:pStyle w:val="Tabla9"/>
              <w:jc w:val="center"/>
            </w:pPr>
            <w:r>
              <w:rPr>
                <w:b/>
                <w:color w:val="FFFFFF"/>
              </w:rPr>
              <w:t xml:space="preserve">Fuente de recursos</w:t>
            </w:r>
          </w:p>
        </w:tc>
        <w:tc>
          <w:tcPr>
            <w:shd w:val="clear" w:color="auto" w:fill="00B050"/>
          </w:tcPr>
          <w:p>
            <w:pPr>
              <w:pStyle w:val="Tabla9"/>
              <w:jc w:val="center"/>
            </w:pPr>
            <w:r>
              <w:rPr>
                <w:b/>
                <w:color w:val="FFFFFF"/>
              </w:rPr>
              <w:t xml:space="preserve">Valor</w:t>
            </w:r>
          </w:p>
        </w:tc>
      </w:tr>
      <w:tr>
        <w:trPr>
          <w:cantSplit/>
        </w:trPr>
        <w:tc>
          <w:tcPr/>
          <w:p>
            <w:pPr>
              <w:pStyle w:val="Tabla9"/>
              <w:jc w:val="left"/>
            </w:pPr>
            <w:r>
              <w:t xml:space="preserve">Asignación de CTeI del SGR</w:t>
            </w:r>
          </w:p>
        </w:tc>
        <w:tc>
          <w:tcPr/>
          <w:p>
            <w:pPr>
              <w:pStyle w:val="Tabla9"/>
              <w:jc w:val="left"/>
            </w:pPr>
            <w:r>
              <w:t xml:space="preserve">Asignación de CTeI del SGR</w:t>
            </w:r>
          </w:p>
        </w:tc>
        <w:tc>
          <w:tcPr/>
          <w:p>
            <w:pPr>
              <w:pStyle w:val="Tabla9"/>
              <w:jc w:val="left"/>
            </w:pPr>
            <w:r>
              <w:t xml:space="preserve">$ 8.729.840.000</w:t>
            </w:r>
          </w:p>
        </w:tc>
      </w:tr>
      <w:tr>
        <w:trPr>
          <w:cantSplit/>
        </w:trPr>
        <w:tc>
          <w:tcPr/>
          <w:p>
            <w:pPr>
              <w:pStyle w:val="Tabla9"/>
              <w:jc w:val="left"/>
            </w:pPr>
            <w:r>
              <w:t xml:space="preserve">Entidad proponente: Universidad</w:t>
            </w:r>
          </w:p>
        </w:tc>
        <w:tc>
          <w:tcPr/>
          <w:p>
            <w:pPr>
              <w:pStyle w:val="Tabla9"/>
              <w:jc w:val="left"/>
            </w:pPr>
            <w:r>
              <w:t xml:space="preserve">Propios, en especie</w:t>
            </w:r>
          </w:p>
        </w:tc>
        <w:tc>
          <w:tcPr/>
          <w:p>
            <w:pPr>
              <w:pStyle w:val="Tabla9"/>
              <w:jc w:val="left"/>
            </w:pPr>
            <w:r>
              <w:t xml:space="preserve">$ 1.100.000.000</w:t>
            </w:r>
          </w:p>
        </w:tc>
      </w:tr>
      <w:tr>
        <w:trPr>
          <w:cantSplit/>
        </w:trPr>
        <w:tc>
          <w:tcPr/>
          <w:p>
            <w:pPr>
              <w:pStyle w:val="Tabla9"/>
              <w:jc w:val="left"/>
            </w:pPr>
            <w:r>
              <w:t xml:space="preserve">Entidad aliada: empresa</w:t>
            </w:r>
          </w:p>
        </w:tc>
        <w:tc>
          <w:tcPr/>
          <w:p>
            <w:pPr>
              <w:pStyle w:val="Tabla9"/>
              <w:jc w:val="left"/>
            </w:pPr>
            <w:r>
              <w:t xml:space="preserve">Propios, en efectivo (210 millones) y en especie (800 millones)</w:t>
            </w:r>
          </w:p>
        </w:tc>
        <w:tc>
          <w:tcPr/>
          <w:p>
            <w:pPr>
              <w:pStyle w:val="Tabla9"/>
              <w:jc w:val="left"/>
            </w:pPr>
            <w:r>
              <w:t xml:space="preserve">$ 1.010.000.000</w:t>
            </w:r>
          </w:p>
        </w:tc>
      </w:tr>
      <w:tr>
        <w:trPr>
          <w:cantSplit/>
        </w:trPr>
        <w:tc>
          <w:tcPr/>
          <w:p>
            <w:pPr>
              <w:pStyle w:val="Tabla9"/>
              <w:jc w:val="left"/>
            </w:pPr>
            <w:r>
              <w:t xml:space="preserve">Entidad aliada: actor reconocido por MinCiencias</w:t>
            </w:r>
          </w:p>
        </w:tc>
        <w:tc>
          <w:tcPr/>
          <w:p>
            <w:pPr>
              <w:pStyle w:val="Tabla9"/>
              <w:jc w:val="left"/>
            </w:pPr>
            <w:r>
              <w:t xml:space="preserve">Propios [DATO_USUARIO: valor, si aplica]</w:t>
            </w:r>
          </w:p>
        </w:tc>
        <w:tc>
          <w:tcPr/>
          <w:p>
            <w:pPr>
              <w:pStyle w:val="Tabla9"/>
              <w:jc w:val="left"/>
            </w:pPr>
            <w:r>
              <w:t xml:space="preserve">$ 0</w:t>
            </w:r>
          </w:p>
        </w:tc>
      </w:tr>
      <w:tr>
        <w:trPr>
          <w:cantSplit/>
        </w:trPr>
        <w:tc>
          <w:tcPr/>
          <w:p>
            <w:pPr>
              <w:pStyle w:val="Tabla9"/>
              <w:jc w:val="left"/>
            </w:pPr>
            <w:r>
              <w:t xml:space="preserve">Total</w:t>
            </w:r>
          </w:p>
        </w:tc>
        <w:tc>
          <w:tcPr/>
          <w:p>
            <w:pPr>
              <w:pStyle w:val="Tabla9"/>
            </w:pPr>
          </w:p>
        </w:tc>
        <w:tc>
          <w:tcPr/>
          <w:p>
            <w:pPr>
              <w:pStyle w:val="Tabla9"/>
              <w:jc w:val="left"/>
            </w:pPr>
            <w:r>
              <w:t xml:space="preserve">$ 10.839.840.000</w:t>
            </w:r>
          </w:p>
        </w:tc>
      </w:tr>
    </w:tbl>
    <w:p>
      <w:pPr>
        <w:pStyle w:val="TablaNota"/>
      </w:pPr>
      <w:r>
        <w:rPr>
          <w:i/>
          <w:iCs/>
        </w:rPr>
        <w:t xml:space="preserve">Nota.</w:t>
      </w:r>
      <w:r>
        <w:t xml:space="preserve"> </w:t>
      </w:r>
      <w:r>
        <w:t xml:space="preserve">Elaboración propia con la ficha maestra (CALCULADO). La contrapartida de la Universidad es una reconstrucción PROPUESTA y la de la empresa es DECLARADA en el expediente E3.</w:t>
      </w:r>
    </w:p>
    <w:p>
      <w:pPr>
        <w:pStyle w:val="BodyText"/>
      </w:pPr>
      <w:r>
        <w:t xml:space="preserve">Los valores incorporan los ajustes de la verificación presupuestal. La contrapartida del actor reconocido queda en blanco hasta que la alianza la defina.</w:t>
      </w:r>
    </w:p>
    <w:p>
      <w:pPr>
        <w:pStyle w:val="BodyText"/>
      </w:pPr>
      <w:r>
        <w:rPr>
          <w:b/>
          <w:bCs/>
        </w:rPr>
        <w:t xml:space="preserve">Valor total de recursos solicitados a la Asignación de CTeI del SGR:</w:t>
      </w:r>
      <w:r>
        <w:t xml:space="preserve"> </w:t>
      </w:r>
      <w:r>
        <w:t xml:space="preserve">ocho mil setecientos veintinueve millones ochocientos cuarenta mil pesos ($ 8.729.840.000).</w:t>
      </w:r>
    </w:p>
    <w:p>
      <w:pPr>
        <w:pStyle w:val="BodyText"/>
      </w:pPr>
      <w:r>
        <w:rPr>
          <w:b/>
          <w:bCs/>
        </w:rPr>
        <w:t xml:space="preserve">Valor total contrapartida:</w:t>
      </w:r>
      <w:r>
        <w:t xml:space="preserve"> </w:t>
      </w:r>
      <w:r>
        <w:t xml:space="preserve">dos mil ciento diez millones de pesos ($ 2.110.000.000).</w:t>
      </w:r>
    </w:p>
    <w:p>
      <w:pPr>
        <w:pStyle w:val="BodyText"/>
      </w:pPr>
      <w:r>
        <w:rPr>
          <w:b/>
          <w:bCs/>
        </w:rPr>
        <w:t xml:space="preserve">Valor total del proyecto:</w:t>
      </w:r>
      <w:r>
        <w:t xml:space="preserve"> </w:t>
      </w:r>
      <w:r>
        <w:t xml:space="preserve">diez mil ochocientos treinta y nueve millones ochocientos cuarenta mil pesos ($ 10.839.840.000).</w:t>
      </w:r>
    </w:p>
    <w:bookmarkEnd w:id="94"/>
    <w:bookmarkStart w:id="97" w:name="_Toc00900044"/>
    <w:p>
      <w:pPr>
        <w:pStyle w:val="Heading1"/>
      </w:pPr>
      <w:r>
        <w:t xml:space="preserve">29. BIBLIOGRAFÍA</w:t>
      </w:r>
    </w:p>
    <w:bookmarkStart w:id="95" w:name="_Toc00900045"/>
    <w:p>
      <w:pPr>
        <w:pStyle w:val="Heading2"/>
      </w:pPr>
      <w:r>
        <w:t xml:space="preserve">29.1 Referencias bibliográficas</w:t>
      </w:r>
    </w:p>
    <w:p>
      <w:pPr>
        <w:pStyle w:val="FirstParagraph"/>
      </w:pPr>
      <w:r>
        <w:t xml:space="preserve">Esta lista reúne las 156 obras citadas en el documento, ordenadas alfabéticamente y con sangría francesa, en formato APA 7. Cada cita del texto corresponde a una referencia de la lista, y cada referencia de la lista se cita al menos una vez. Cuando dos obras comparten autor y año, el año lleva una letra: 2012a y 2012b distinguen la Ley 1523 de la Ley 1581. La lista no incluye obras no citadas.</w:t>
      </w:r>
    </w:p>
    <w:p>
      <w:pPr>
        <w:pStyle w:val="BodyText"/>
      </w:pPr>
      <w:r>
        <w:t xml:space="preserve">El estado de verificación de cada referencia procede de una revisión web parcial que la corrida registró. Las obras del corpus de vigilancia tecnológica (informe_FINAL) conservan la naturaleza DECLARADO: su verificación independiente queda pendiente. Se añadió el DOI solo cuando la fuente lo aportó. Ninguna referencia se inventó, y las que no se encontraron en la revisión web conservan el estado NO_VERIFICADO. La Tabla 29.1 del apartado 19.2 resume la composición de la lista.</w:t>
      </w:r>
    </w:p>
    <w:p>
      <w:pPr>
        <w:pStyle w:val="Referencia"/>
      </w:pPr>
      <w:r>
        <w:t xml:space="preserve">Abernathy, C. L., Chiaramonte, G. J., Levin, S. R., Horn, D., Umang, N., Soimakallio, A., y Perez Zarate, V. M. (2019).</w:t>
      </w:r>
      <w:r>
        <w:t xml:space="preserve"> </w:t>
      </w:r>
      <w:r>
        <w:rPr>
          <w:i/>
          <w:iCs/>
        </w:rPr>
        <w:t xml:space="preserve">Methods and apparatus to generate an asset health quantifier of a turbine engine</w:t>
      </w:r>
      <w:r>
        <w:t xml:space="preserve"> </w:t>
      </w:r>
      <w:r>
        <w:t xml:space="preserve">(European Patent Application No. EP 3 483 800 A1). European Patent Office.</w:t>
      </w:r>
    </w:p>
    <w:p>
      <w:pPr>
        <w:pStyle w:val="Referencia"/>
      </w:pPr>
      <w:r>
        <w:t xml:space="preserve">Acosta, M., y Horstmann, S. (2026).</w:t>
      </w:r>
      <w:r>
        <w:t xml:space="preserve"> </w:t>
      </w:r>
      <w:r>
        <w:rPr>
          <w:i/>
          <w:iCs/>
        </w:rPr>
        <w:t xml:space="preserve">Built environment management system and method for monitoring, controlling and optimizing built environment</w:t>
      </w:r>
      <w:r>
        <w:t xml:space="preserve"> </w:t>
      </w:r>
      <w:r>
        <w:t xml:space="preserve">(International Patent Application No. WO 2026/093802 A1). World Intellectual Property Organization.</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Ali, S., Bakr, M., y Kanj, H. (2022).</w:t>
      </w:r>
      <w:r>
        <w:t xml:space="preserve"> </w:t>
      </w:r>
      <w:r>
        <w:rPr>
          <w:i/>
          <w:iCs/>
        </w:rPr>
        <w:t xml:space="preserve">Monitoring an ambient air parameter using a trained model</w:t>
      </w:r>
      <w:r>
        <w:t xml:space="preserve"> </w:t>
      </w:r>
      <w:r>
        <w:t xml:space="preserve">(International Patent No. WO 2022/217342 A1). World Intellectual Property Organization.</w:t>
      </w:r>
    </w:p>
    <w:p>
      <w:pPr>
        <w:pStyle w:val="Referencia"/>
      </w:pPr>
      <w:r>
        <w:t xml:space="preserve">American Psychological Association. (2020).</w:t>
      </w:r>
      <w:r>
        <w:t xml:space="preserve"> </w:t>
      </w:r>
      <w:r>
        <w:rPr>
          <w:i/>
          <w:iCs/>
        </w:rPr>
        <w:t xml:space="preserve">Publication manual of the American Psychological Association</w:t>
      </w:r>
      <w:r>
        <w:t xml:space="preserve"> </w:t>
      </w:r>
      <w:r>
        <w:t xml:space="preserve">(7.ª ed.). American Psychological Association. https://doi.org/10.1037/0000165-000</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Aria, M., y Cuccurullo, C. (2017). bibliometrix: An R-tool for comprehensive science mapping analysis.</w:t>
      </w:r>
      <w:r>
        <w:t xml:space="preserve"> </w:t>
      </w:r>
      <w:r>
        <w:rPr>
          <w:i/>
          <w:iCs/>
        </w:rPr>
        <w:t xml:space="preserve">Journal of Informetrics, 11</w:t>
      </w:r>
      <w:r>
        <w:t xml:space="preserve">(4), 959–975. https://doi.org/10.1016/j.joi.2017.08.007</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Becerra, M. A., Uribe, Y., Peluffo-Ordóñez, D. H., Álvarez-Uribe, K. C., y Tobón, C. (2021). Information fusion and information quality assessment for environmental forecasting.</w:t>
      </w:r>
      <w:r>
        <w:t xml:space="preserve"> </w:t>
      </w:r>
      <w:r>
        <w:rPr>
          <w:i/>
          <w:iCs/>
        </w:rPr>
        <w:t xml:space="preserve">Urban Climate, 39</w:t>
      </w:r>
      <w:r>
        <w:t xml:space="preserve">, Article 100960. https://doi.org/10.1016/j.uclim.2021.100960</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Blythe, D. R., y Hohman, J. (2020).</w:t>
      </w:r>
      <w:r>
        <w:t xml:space="preserve"> </w:t>
      </w:r>
      <w:r>
        <w:rPr>
          <w:i/>
          <w:iCs/>
        </w:rPr>
        <w:t xml:space="preserve">Enriched air gasifier</w:t>
      </w:r>
      <w:r>
        <w:t xml:space="preserve"> </w:t>
      </w:r>
      <w:r>
        <w:t xml:space="preserve">(European Patent Application No. EP 3 623 453 A1). European Patent Office.</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Botezat, E., Linares, C., Salvador, P., Navas, M. A., Díaz, J., y López-Bueno, J. A. (2025). How air pollution affects cause-specific emergency hospital admissions on days with biomass combustion in Spain?</w:t>
      </w:r>
      <w:r>
        <w:t xml:space="preserve"> </w:t>
      </w:r>
      <w:r>
        <w:rPr>
          <w:i/>
          <w:iCs/>
        </w:rPr>
        <w:t xml:space="preserve">Science of the Total Environment, 981</w:t>
      </w:r>
      <w:r>
        <w:t xml:space="preserve">, Article 179560. https://doi.org/10.1016/j.scitotenv.2025.179560</w:t>
      </w:r>
    </w:p>
    <w:p>
      <w:pPr>
        <w:pStyle w:val="Referencia"/>
      </w:pPr>
      <w:r>
        <w:t xml:space="preserve">Bradford, S. C. (1934). Sources of information on specific subjects.</w:t>
      </w:r>
      <w:r>
        <w:t xml:space="preserve"> </w:t>
      </w:r>
      <w:r>
        <w:rPr>
          <w:i/>
          <w:iCs/>
        </w:rPr>
        <w:t xml:space="preserve">Engineering, 137</w:t>
      </w:r>
      <w:r>
        <w:t xml:space="preserve">, 85–86.</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Callon, M., Courtial, J.-P., y Laville, F. (1991). Co-word analysis as a tool for describing the network of interactions between basic and technological research: The case of polymer chemistry.</w:t>
      </w:r>
      <w:r>
        <w:t xml:space="preserve"> </w:t>
      </w:r>
      <w:r>
        <w:rPr>
          <w:i/>
          <w:iCs/>
        </w:rPr>
        <w:t xml:space="preserve">Scientometrics, 22</w:t>
      </w:r>
      <w:r>
        <w:t xml:space="preserve">(1), 155–205. https://doi.org/10.1007/BF02019280</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Christensen, C. M. (2016).</w:t>
      </w:r>
      <w:r>
        <w:t xml:space="preserve"> </w:t>
      </w:r>
      <w:r>
        <w:rPr>
          <w:i/>
          <w:iCs/>
        </w:rPr>
        <w:t xml:space="preserve">The innovator's dilemma: When new technologies cause great firms to fail</w:t>
      </w:r>
      <w:r>
        <w:t xml:space="preserve">. Harvard Business Review Press.</w:t>
      </w:r>
    </w:p>
    <w:p>
      <w:pPr>
        <w:pStyle w:val="Referencia"/>
      </w:pPr>
      <w:r>
        <w:t xml:space="preserve">Christensen, C. M., Hall, T., Dillon, K., y Duncan, D. S. (2016).</w:t>
      </w:r>
      <w:r>
        <w:t xml:space="preserve"> </w:t>
      </w:r>
      <w:r>
        <w:rPr>
          <w:i/>
          <w:iCs/>
        </w:rPr>
        <w:t xml:space="preserve">Competing against luck: The story of innovation and customer choice</w:t>
      </w:r>
      <w:r>
        <w:t xml:space="preserve">. Harper Business.</w:t>
      </w:r>
    </w:p>
    <w:p>
      <w:pPr>
        <w:pStyle w:val="Referencia"/>
      </w:pPr>
      <w:r>
        <w:t xml:space="preserve">Cobo, M. J., López-Herrera, A. G., Herrera-Viedma, E., y Herrera, F. (2011). An approach for detecting, quantifying, and visualizing the evolution of a research field: A practical application to the fuzzy sets theory field.</w:t>
      </w:r>
      <w:r>
        <w:t xml:space="preserve"> </w:t>
      </w:r>
      <w:r>
        <w:rPr>
          <w:i/>
          <w:iCs/>
        </w:rPr>
        <w:t xml:space="preserve">Journal of Informetrics, 5</w:t>
      </w:r>
      <w:r>
        <w:t xml:space="preserve">(1), 146–166. https://doi.org/10.1016/j.joi.2010.10.002</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 Moura, F. R., Buffarini, R., Barlem, E. L. D., Nadaleti, W. C., Carvalho, H., y da Silva Júnior, F. M. R. (2025). Amazon's climate crossroads: Analyzing air pollution and health impacts under machine learning-based temperature increase scenarios in Northern Mato Grosso, Brazil.</w:t>
      </w:r>
      <w:r>
        <w:t xml:space="preserve"> </w:t>
      </w:r>
      <w:r>
        <w:rPr>
          <w:i/>
          <w:iCs/>
        </w:rPr>
        <w:t xml:space="preserve">Environmental Geochemistry and Health, 47</w:t>
      </w:r>
      <w:r>
        <w:t xml:space="preserve">, Article 206. https://doi.org/10.1007/s10653-025-02524-7</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Eckenrode, B. A., y Stevenson, C. E. (2025).</w:t>
      </w:r>
      <w:r>
        <w:t xml:space="preserve"> </w:t>
      </w:r>
      <w:r>
        <w:rPr>
          <w:i/>
          <w:iCs/>
        </w:rPr>
        <w:t xml:space="preserve">Building decarbonization apparatus and method</w:t>
      </w:r>
      <w:r>
        <w:t xml:space="preserve"> </w:t>
      </w:r>
      <w:r>
        <w:t xml:space="preserve">(International Patent Application No. WO 2025/049390 A2). World Intellectual Property Organization.</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Festinger, L. (1957).</w:t>
      </w:r>
      <w:r>
        <w:t xml:space="preserve"> </w:t>
      </w:r>
      <w:r>
        <w:rPr>
          <w:i/>
          <w:iCs/>
        </w:rPr>
        <w:t xml:space="preserve">A theory of cognitive dissonance</w:t>
      </w:r>
      <w:r>
        <w:t xml:space="preserve">. Stanford University Press.</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Gallego-Cartagena, E., Morillas, H., y Maguregui, M. (2026). Biodeterioration of built heritage in the context of climate change and atmospheric pollution: Toward transdisciplinary conservation strategies.</w:t>
      </w:r>
      <w:r>
        <w:t xml:space="preserve"> </w:t>
      </w:r>
      <w:r>
        <w:rPr>
          <w:i/>
          <w:iCs/>
        </w:rPr>
        <w:t xml:space="preserve">Science of the Total Environment, 1013</w:t>
      </w:r>
      <w:r>
        <w:t xml:space="preserve">, Article 181313. https://doi.org/10.1016/j.scitotenv.2025.181313</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Gumaste, R. A., Haas, M., Hemami, T. L., Mohan, K., Perks, V. S., Saurabh, S., y Diwakar Abraham, J. D. S. (2021).</w:t>
      </w:r>
      <w:r>
        <w:t xml:space="preserve"> </w:t>
      </w:r>
      <w:r>
        <w:rPr>
          <w:i/>
          <w:iCs/>
        </w:rPr>
        <w:t xml:space="preserve">Systems and methods for identifying field-replaceable units using a digital twin</w:t>
      </w:r>
      <w:r>
        <w:t xml:space="preserve"> </w:t>
      </w:r>
      <w:r>
        <w:t xml:space="preserve">(International Patent Application No. WO 2021/061603 A1). World Intellectual Property Organization.</w:t>
      </w:r>
    </w:p>
    <w:p>
      <w:pPr>
        <w:pStyle w:val="Referencia"/>
      </w:pPr>
      <w:r>
        <w:t xml:space="preserve">Hale, G. B., Markowitz, G. D., Wilkinson, C., Eaton, J., y Gilmore, D. B. (2025).</w:t>
      </w:r>
      <w:r>
        <w:t xml:space="preserve"> </w:t>
      </w:r>
      <w:r>
        <w:rPr>
          <w:i/>
          <w:iCs/>
        </w:rPr>
        <w:t xml:space="preserve">Method of predicting microclimate conditions based on global weather</w:t>
      </w:r>
      <w:r>
        <w:t xml:space="preserve"> </w:t>
      </w:r>
      <w:r>
        <w:t xml:space="preserve">(European Patent Application No. EP 4 617 736 A1). European Patent Office.</w:t>
      </w:r>
    </w:p>
    <w:p>
      <w:pPr>
        <w:pStyle w:val="Referencia"/>
      </w:pPr>
      <w:r>
        <w:t xml:space="preserve">Haris, M., Keshtkar, S., Anjum, A., Syed, M. H., Kojima, H., y Ahmad, R. (2026). Disaster management technology and approaches: A focus on heterogeneous systems.</w:t>
      </w:r>
      <w:r>
        <w:t xml:space="preserve"> </w:t>
      </w:r>
      <w:r>
        <w:rPr>
          <w:i/>
          <w:iCs/>
        </w:rPr>
        <w:t xml:space="preserve">Environment Systems and Decisions, 46</w:t>
      </w:r>
      <w:r>
        <w:t xml:space="preserve">, Article 33. https://doi.org/10.1007/s10669-026-10090-1</w:t>
      </w:r>
    </w:p>
    <w:p>
      <w:pPr>
        <w:pStyle w:val="Referencia"/>
      </w:pPr>
      <w:r>
        <w:t xml:space="preserve">Hay, C. (2002).</w:t>
      </w:r>
      <w:r>
        <w:t xml:space="preserve"> </w:t>
      </w:r>
      <w:r>
        <w:rPr>
          <w:i/>
          <w:iCs/>
        </w:rPr>
        <w:t xml:space="preserve">Political analysis: A critical introduction</w:t>
      </w:r>
      <w:r>
        <w:t xml:space="preserve">. Palgrave.</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Hurst, W. E., Nowicki, K. T., Gandhi, V., Kumar, A., Plybon, R. C., Levin, S. R., Horn, D. J., Gao, M., Bailey, M. W., Chiaramonte, G. J., y Dokucu, M. T. (2024).</w:t>
      </w:r>
      <w:r>
        <w:t xml:space="preserve"> </w:t>
      </w:r>
      <w:r>
        <w:rPr>
          <w:i/>
          <w:iCs/>
        </w:rPr>
        <w:t xml:space="preserve">Methods and apparatus for prognostic health monitoring of a turbine engine</w:t>
      </w:r>
      <w:r>
        <w:t xml:space="preserve"> </w:t>
      </w:r>
      <w:r>
        <w:t xml:space="preserve">(European Patent No. EP 3 483 686 B1). European Patent Office.</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Izod, R., y Burch, S. (2023).</w:t>
      </w:r>
      <w:r>
        <w:t xml:space="preserve"> </w:t>
      </w:r>
      <w:r>
        <w:rPr>
          <w:i/>
          <w:iCs/>
        </w:rPr>
        <w:t xml:space="preserve">System and method for measuring and managing health risks in an enclosed space</w:t>
      </w:r>
      <w:r>
        <w:t xml:space="preserve"> </w:t>
      </w:r>
      <w:r>
        <w:t xml:space="preserve">(International Patent Application No. WO 2023/139267 A1). World Intellectual Property Organization.</w:t>
      </w:r>
    </w:p>
    <w:p>
      <w:pPr>
        <w:pStyle w:val="Referencia"/>
      </w:pPr>
      <w:r>
        <w:t xml:space="preserve">Janis, I. L. (1982).</w:t>
      </w:r>
      <w:r>
        <w:t xml:space="preserve"> </w:t>
      </w:r>
      <w:r>
        <w:rPr>
          <w:i/>
          <w:iCs/>
        </w:rPr>
        <w:t xml:space="preserve">Groupthink: Psychological studies of policy decisions and fiascoes</w:t>
      </w:r>
      <w:r>
        <w:t xml:space="preserve"> </w:t>
      </w:r>
      <w:r>
        <w:t xml:space="preserve">(2.ª ed.). Houghton Mifflin.</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Jessop, B. (2008).</w:t>
      </w:r>
      <w:r>
        <w:t xml:space="preserve"> </w:t>
      </w:r>
      <w:r>
        <w:rPr>
          <w:i/>
          <w:iCs/>
        </w:rPr>
        <w:t xml:space="preserve">State power: A strategic-relational approach</w:t>
      </w:r>
      <w:r>
        <w:t xml:space="preserve">. Polity.</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Kessler, M. M. (1963). Bibliographic coupling between scientific papers.</w:t>
      </w:r>
      <w:r>
        <w:t xml:space="preserve"> </w:t>
      </w:r>
      <w:r>
        <w:rPr>
          <w:i/>
          <w:iCs/>
        </w:rPr>
        <w:t xml:space="preserve">American Documentation, 14</w:t>
      </w:r>
      <w:r>
        <w:t xml:space="preserve">(1), 10–25. https://doi.org/10.1002/asi.5090140103</w:t>
      </w:r>
    </w:p>
    <w:p>
      <w:pPr>
        <w:pStyle w:val="Referencia"/>
      </w:pPr>
      <w:r>
        <w:t xml:space="preserve">Klein, G. (2007). Performing a project premortem.</w:t>
      </w:r>
      <w:r>
        <w:t xml:space="preserve"> </w:t>
      </w:r>
      <w:r>
        <w:rPr>
          <w:i/>
          <w:iCs/>
        </w:rPr>
        <w:t xml:space="preserve">Harvard Business Review, 85</w:t>
      </w:r>
      <w:r>
        <w:t xml:space="preserve">(9), 18–19.</w:t>
      </w:r>
    </w:p>
    <w:p>
      <w:pPr>
        <w:pStyle w:val="Referencia"/>
      </w:pPr>
      <w:r>
        <w:t xml:space="preserve">Koppinen, P., Sillanpää, T., y Ylilammi, M. (2019).</w:t>
      </w:r>
      <w:r>
        <w:t xml:space="preserve"> </w:t>
      </w:r>
      <w:r>
        <w:rPr>
          <w:i/>
          <w:iCs/>
        </w:rPr>
        <w:t xml:space="preserve">Particle sensor</w:t>
      </w:r>
      <w:r>
        <w:t xml:space="preserve"> </w:t>
      </w:r>
      <w:r>
        <w:t xml:space="preserve">(International Patent No. WO 2019/215392 A1). World Intellectual Property Organization.</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Kumar, S., Koley, A., Balachandran, S., Kumar, R., Chakraborty, D., y Yadav, S. (2026). Particulate matter is a global challenge for air quality management: Recent advancement, research trends, and gaps.</w:t>
      </w:r>
      <w:r>
        <w:t xml:space="preserve"> </w:t>
      </w:r>
      <w:r>
        <w:rPr>
          <w:i/>
          <w:iCs/>
        </w:rPr>
        <w:t xml:space="preserve">CLEAN – Soil, Air, Water, 54</w:t>
      </w:r>
      <w:r>
        <w:t xml:space="preserve">(9), Article e70262. https://doi.org/10.1002/clen.70262</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Lotka, A. J. (1926). The frequency distribution of scientific productivity.</w:t>
      </w:r>
      <w:r>
        <w:t xml:space="preserve"> </w:t>
      </w:r>
      <w:r>
        <w:rPr>
          <w:i/>
          <w:iCs/>
        </w:rPr>
        <w:t xml:space="preserve">Journal of the Washington Academy of Sciences, 16</w:t>
      </w:r>
      <w:r>
        <w:t xml:space="preserve">(12), 317–323.</w:t>
      </w:r>
    </w:p>
    <w:p>
      <w:pPr>
        <w:pStyle w:val="Referencia"/>
      </w:pPr>
      <w:r>
        <w:t xml:space="preserve">Machida, Y., y Ammendola, G. (2025).</w:t>
      </w:r>
      <w:r>
        <w:t xml:space="preserve"> </w:t>
      </w:r>
      <w:r>
        <w:rPr>
          <w:i/>
          <w:iCs/>
        </w:rPr>
        <w:t xml:space="preserve">Multi-modal context-aware environmental health monitoring and recommendation system and method</w:t>
      </w:r>
      <w:r>
        <w:t xml:space="preserve"> </w:t>
      </w:r>
      <w:r>
        <w:t xml:space="preserve">(International Patent Application No. WO 2025/257740 A1). World Intellectual Property Organization.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March, J. G., y Olsen, J. P. (1989).</w:t>
      </w:r>
      <w:r>
        <w:t xml:space="preserve"> </w:t>
      </w:r>
      <w:r>
        <w:rPr>
          <w:i/>
          <w:iCs/>
        </w:rPr>
        <w:t xml:space="preserve">Rediscovering institutions: The organizational basis of politics</w:t>
      </w:r>
      <w:r>
        <w:t xml:space="preserve">. Free Press.</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Miraglia, S. G. E. K., Tavella, R. A., y Debone, D. (2025). Unprecedented air quality crisis: The impact of widespread fires on air pollution in São Paulo.</w:t>
      </w:r>
      <w:r>
        <w:t xml:space="preserve"> </w:t>
      </w:r>
      <w:r>
        <w:rPr>
          <w:i/>
          <w:iCs/>
        </w:rPr>
        <w:t xml:space="preserve">Air Quality, Atmosphere &amp; Health, 18</w:t>
      </w:r>
      <w:r>
        <w:t xml:space="preserve">, 1257–1262. https://doi.org/10.1007/s11869-025-01701-y</w:t>
      </w:r>
    </w:p>
    <w:p>
      <w:pPr>
        <w:pStyle w:val="Referencia"/>
      </w:pPr>
      <w:r>
        <w:t xml:space="preserve">Mirjalili, S., Mirjalili, S. M., y Lewis, A. (2014). Grey wolf optimizer.</w:t>
      </w:r>
      <w:r>
        <w:t xml:space="preserve"> </w:t>
      </w:r>
      <w:r>
        <w:rPr>
          <w:i/>
          <w:iCs/>
        </w:rPr>
        <w:t xml:space="preserve">Advances in Engineering Software, 69</w:t>
      </w:r>
      <w:r>
        <w:t xml:space="preserve">, 46–61. https://doi.org/10.1016/j.advengsoft.2013.12.007</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Organización para la Cooperación y el Desarrollo Económicos, y Eurostat. (2018).</w:t>
      </w:r>
      <w:r>
        <w:t xml:space="preserve"> </w:t>
      </w:r>
      <w:r>
        <w:rPr>
          <w:i/>
          <w:iCs/>
        </w:rPr>
        <w:t xml:space="preserve">Oslo manual 2018: Guidelines for collecting, reporting and using data on innovation</w:t>
      </w:r>
      <w:r>
        <w:t xml:space="preserve"> </w:t>
      </w:r>
      <w:r>
        <w:t xml:space="preserve">(4.ª ed.). OECD Publishing. https://doi.org/10.1787/9789264304604-en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Page, M. J., McKenzie, J. E., Bossuyt, P. M., Boutron, I., Hoffmann, T. C., Mulrow, C. D., et al. (2021). The PRISMA 2020 statement: An updated guideline for reporting systematic reviews.</w:t>
      </w:r>
      <w:r>
        <w:t xml:space="preserve"> </w:t>
      </w:r>
      <w:r>
        <w:rPr>
          <w:i/>
          <w:iCs/>
        </w:rPr>
        <w:t xml:space="preserve">BMJ, 372</w:t>
      </w:r>
      <w:r>
        <w:t xml:space="preserve">, Artículo n71. https://doi.org/10.1136/bmj.n71</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Reintjes, J. F., Duncan, M. D., Mahon, R., Tankersley, L. L., Howard, P. L., Chamberlain, M., y McKenna, T. (1995).</w:t>
      </w:r>
      <w:r>
        <w:t xml:space="preserve"> </w:t>
      </w:r>
      <w:r>
        <w:rPr>
          <w:i/>
          <w:iCs/>
        </w:rPr>
        <w:t xml:space="preserve">Real time suspended particle monitor</w:t>
      </w:r>
      <w:r>
        <w:t xml:space="preserve"> </w:t>
      </w:r>
      <w:r>
        <w:t xml:space="preserve">(International Patent No. WO 95/12118 A1). World Intellectual Property Organization.</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Ries, E. (2011).</w:t>
      </w:r>
      <w:r>
        <w:t xml:space="preserve"> </w:t>
      </w:r>
      <w:r>
        <w:rPr>
          <w:i/>
          <w:iCs/>
        </w:rPr>
        <w:t xml:space="preserve">The lean startup: How today's entrepreneurs use continuous innovation to create radically successful businesses</w:t>
      </w:r>
      <w:r>
        <w:t xml:space="preserve">. Crown Business.</w:t>
      </w:r>
    </w:p>
    <w:p>
      <w:pPr>
        <w:pStyle w:val="Referencia"/>
      </w:pPr>
      <w:r>
        <w:t xml:space="preserve">Røine, P. T. (2024).</w:t>
      </w:r>
      <w:r>
        <w:t xml:space="preserve"> </w:t>
      </w:r>
      <w:r>
        <w:rPr>
          <w:i/>
          <w:iCs/>
        </w:rPr>
        <w:t xml:space="preserve">System and method for removal of CO2 from indoor air</w:t>
      </w:r>
      <w:r>
        <w:t xml:space="preserve"> </w:t>
      </w:r>
      <w:r>
        <w:t xml:space="preserve">(International Patent Application No. WO 2024/080881 A1). World Intellectual Property Organization.</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Small, H. (1973). Co-citation in the scientific literature: A new measure of the relationship between two documents.</w:t>
      </w:r>
      <w:r>
        <w:t xml:space="preserve"> </w:t>
      </w:r>
      <w:r>
        <w:rPr>
          <w:i/>
          <w:iCs/>
        </w:rPr>
        <w:t xml:space="preserve">Journal of the American Society for Information Science, 24</w:t>
      </w:r>
      <w:r>
        <w:t xml:space="preserve">(4), 265–269. https://doi.org/10.1002/asi.4630240406</w:t>
      </w:r>
    </w:p>
    <w:p>
      <w:pPr>
        <w:pStyle w:val="Referencia"/>
      </w:pPr>
      <w:r>
        <w:t xml:space="preserve">Smalley, A. (2018).</w:t>
      </w:r>
      <w:r>
        <w:t xml:space="preserve"> </w:t>
      </w:r>
      <w:r>
        <w:rPr>
          <w:i/>
          <w:iCs/>
        </w:rPr>
        <w:t xml:space="preserve">Four types of problems: From reactive troubleshooting to creative innovation</w:t>
      </w:r>
      <w:r>
        <w:t xml:space="preserve">. Lean Enterprise Institute.</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Spasojevic Brkic, V., Janev, N., Mihajlovic, I., Misita, M., y Brkic, A. (2026).</w:t>
      </w:r>
      <w:r>
        <w:t xml:space="preserve"> </w:t>
      </w:r>
      <w:r>
        <w:rPr>
          <w:i/>
          <w:iCs/>
        </w:rPr>
        <w:t xml:space="preserve">System and method for monitoring and risk management of earthmoving machinery workplace conditions</w:t>
      </w:r>
      <w:r>
        <w:t xml:space="preserve"> </w:t>
      </w:r>
      <w:r>
        <w:t xml:space="preserve">(International Patent Application No. WO 2026/180852 A1). World Intellectual Property Organization.</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Swales, J. M. (1990).</w:t>
      </w:r>
      <w:r>
        <w:t xml:space="preserve"> </w:t>
      </w:r>
      <w:r>
        <w:rPr>
          <w:i/>
          <w:iCs/>
        </w:rPr>
        <w:t xml:space="preserve">Genre analysis: English in academic and research settings</w:t>
      </w:r>
      <w:r>
        <w:t xml:space="preserve">. Cambridge University Press.</w:t>
      </w:r>
    </w:p>
    <w:p>
      <w:pPr>
        <w:pStyle w:val="Referencia"/>
      </w:pPr>
      <w:r>
        <w:t xml:space="preserve">Swales, J. M. (2004).</w:t>
      </w:r>
      <w:r>
        <w:t xml:space="preserve"> </w:t>
      </w:r>
      <w:r>
        <w:rPr>
          <w:i/>
          <w:iCs/>
        </w:rPr>
        <w:t xml:space="preserve">Research genres: Explorations and applications</w:t>
      </w:r>
      <w:r>
        <w:t xml:space="preserve">. Cambridge University Press.</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Taplin, D. H., y Clark, H. (2012).</w:t>
      </w:r>
      <w:r>
        <w:t xml:space="preserve"> </w:t>
      </w:r>
      <w:r>
        <w:rPr>
          <w:i/>
          <w:iCs/>
        </w:rPr>
        <w:t xml:space="preserve">Theory of change basics: A primer on theory of change</w:t>
      </w:r>
      <w:r>
        <w:t xml:space="preserve">. ActKnowledge.</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Thompson, J. D., y Tuden, A. (1959). Strategies, structures, and processes of organizational decision. En J. D. Thompson et al. (Eds.),</w:t>
      </w:r>
      <w:r>
        <w:t xml:space="preserve"> </w:t>
      </w:r>
      <w:r>
        <w:rPr>
          <w:i/>
          <w:iCs/>
        </w:rPr>
        <w:t xml:space="preserve">Comparative studies in administration</w:t>
      </w:r>
      <w:r>
        <w:t xml:space="preserve">. University of Pittsburgh Press.</w:t>
      </w:r>
    </w:p>
    <w:p>
      <w:pPr>
        <w:pStyle w:val="Referencia"/>
      </w:pPr>
      <w:r>
        <w:t xml:space="preserve">Toulmin, S. E. (1958).</w:t>
      </w:r>
      <w:r>
        <w:t xml:space="preserve"> </w:t>
      </w:r>
      <w:r>
        <w:rPr>
          <w:i/>
          <w:iCs/>
        </w:rPr>
        <w:t xml:space="preserve">The uses of argument</w:t>
      </w:r>
      <w:r>
        <w:t xml:space="preserve">. Cambridge University Press.</w:t>
      </w:r>
    </w:p>
    <w:p>
      <w:pPr>
        <w:pStyle w:val="Referencia"/>
      </w:pPr>
      <w:r>
        <w:t xml:space="preserve">Tsebelis, G. (2002).</w:t>
      </w:r>
      <w:r>
        <w:t xml:space="preserve"> </w:t>
      </w:r>
      <w:r>
        <w:rPr>
          <w:i/>
          <w:iCs/>
        </w:rPr>
        <w:t xml:space="preserve">Veto players: How political institutions work</w:t>
      </w:r>
      <w:r>
        <w:t xml:space="preserve">. Princeton University Press.</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van Eck, N. J., y Waltman, L. (2010). Software survey: VOSviewer, a computer program for bibliometric mapping.</w:t>
      </w:r>
      <w:r>
        <w:t xml:space="preserve"> </w:t>
      </w:r>
      <w:r>
        <w:rPr>
          <w:i/>
          <w:iCs/>
        </w:rPr>
        <w:t xml:space="preserve">Scientometrics, 84</w:t>
      </w:r>
      <w:r>
        <w:t xml:space="preserve">(2), 523–538. https://doi.org/10.1007/s11192-009-0146-3</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p>
      <w:pPr>
        <w:pStyle w:val="Referencia"/>
      </w:pPr>
      <w:r>
        <w:t xml:space="preserve">Weiss, C. H. (1995). Nothing as practical as good theory. En J. P. Connell et al. (Eds.),</w:t>
      </w:r>
      <w:r>
        <w:t xml:space="preserve"> </w:t>
      </w:r>
      <w:r>
        <w:rPr>
          <w:i/>
          <w:iCs/>
        </w:rPr>
        <w:t xml:space="preserve">New approaches to evaluating community initiatives</w:t>
      </w:r>
      <w:r>
        <w:t xml:space="preserve"> </w:t>
      </w:r>
      <w:r>
        <w:t xml:space="preserve">(pp. 65–92). Aspen Institute.</w:t>
      </w:r>
    </w:p>
    <w:p>
      <w:pPr>
        <w:pStyle w:val="Referencia"/>
      </w:pPr>
      <w:r>
        <w:t xml:space="preserve">Wilson, J. C., MacNaughton, P. I. I. O., y Clarke, C. G. (2024).</w:t>
      </w:r>
      <w:r>
        <w:t xml:space="preserve"> </w:t>
      </w:r>
      <w:r>
        <w:rPr>
          <w:i/>
          <w:iCs/>
        </w:rPr>
        <w:t xml:space="preserve">Building health, safety, performance scoring</w:t>
      </w:r>
      <w:r>
        <w:t xml:space="preserve"> </w:t>
      </w:r>
      <w:r>
        <w:t xml:space="preserve">(International Patent Application No. WO 2024/064927 A1). World Intellectual Property Organization.</w:t>
      </w:r>
    </w:p>
    <w:bookmarkEnd w:id="95"/>
    <w:bookmarkStart w:id="96" w:name="Xcd8e5bde144f80a5540825920ee77cded3f6794"/>
    <w:p>
      <w:pPr>
        <w:pStyle w:val="Heading2"/>
      </w:pPr>
      <w:r>
        <w:t xml:space="preserve">29.2 Análisis bibliométrico de las referencias</w:t>
      </w:r>
    </w:p>
    <w:p>
      <w:pPr>
        <w:pStyle w:val="FirstParagraph"/>
      </w:pPr>
      <w:r>
        <w:t xml:space="preserve">El análisis describe la composición de las 156 referencias por tipo de fuente, por año de publicación, por origen y por estado de verificación. El cuartil de las revistas no se consultó en esta corrida, porque no se accedió a SJR ni a JCR. La Tabla 29.1 presenta el resumen estadístico.</w:t>
      </w:r>
    </w:p>
    <w:p>
      <w:pPr>
        <w:pStyle w:val="TablaRotulo"/>
      </w:pPr>
      <w:bookmarkStart w:id="9051" w:name="rot_Tabla_29_1"/>
      <w:r>
        <w:rPr>
          <w:b/>
          <w:bCs/>
        </w:rPr>
        <w:t xml:space="preserve">Tabla 29.1</w:t>
      </w:r>
      <w:bookmarkEnd w:id="9051"/>
    </w:p>
    <w:p>
      <w:pPr>
        <w:pStyle w:val="TablaTitulo"/>
      </w:pPr>
      <w:r>
        <w:rPr>
          <w:i/>
          <w:iCs/>
        </w:rPr>
        <w:t xml:space="preserve">Resumen estadístico de las referencias por tipo, año, origen y verificación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31"/>
        <w:gridCol w:w="2994"/>
        <w:gridCol w:w="1796"/>
        <w:gridCol w:w="1796"/>
      </w:tblGrid>
      <w:tr>
        <w:trPr>
          <w:cantSplit/>
          <w:tblHeader/>
        </w:trPr>
        <w:tc>
          <w:tcPr>
            <w:shd w:val="clear" w:color="auto" w:fill="00B050"/>
          </w:tcPr>
          <w:p>
            <w:pPr>
              <w:pStyle w:val="Tabla9"/>
              <w:jc w:val="center"/>
            </w:pPr>
            <w:r>
              <w:rPr>
                <w:b/>
                <w:color w:val="FFFFFF"/>
              </w:rPr>
              <w:t xml:space="preserve">Dimensión</w:t>
            </w:r>
          </w:p>
        </w:tc>
        <w:tc>
          <w:tcPr>
            <w:shd w:val="clear" w:color="auto" w:fill="00B050"/>
          </w:tcPr>
          <w:p>
            <w:pPr>
              <w:pStyle w:val="Tabla9"/>
              <w:jc w:val="center"/>
            </w:pPr>
            <w:r>
              <w:rPr>
                <w:b/>
                <w:color w:val="FFFFFF"/>
              </w:rPr>
              <w:t xml:space="preserve">Categoría</w:t>
            </w:r>
          </w:p>
        </w:tc>
        <w:tc>
          <w:tcPr>
            <w:shd w:val="clear" w:color="auto" w:fill="00B050"/>
          </w:tcPr>
          <w:p>
            <w:pPr>
              <w:pStyle w:val="Tabla9"/>
              <w:jc w:val="center"/>
            </w:pPr>
            <w:r>
              <w:rPr>
                <w:b/>
                <w:color w:val="FFFFFF"/>
              </w:rPr>
              <w:t xml:space="preserve">Referencias</w:t>
            </w:r>
          </w:p>
        </w:tc>
        <w:tc>
          <w:tcPr>
            <w:shd w:val="clear" w:color="auto" w:fill="00B050"/>
          </w:tcPr>
          <w:p>
            <w:pPr>
              <w:pStyle w:val="Tabla9"/>
              <w:jc w:val="center"/>
            </w:pPr>
            <w:r>
              <w:rPr>
                <w:b/>
                <w:color w:val="FFFFFF"/>
              </w:rPr>
              <w:t xml:space="preserve">Porcentaje</w:t>
            </w:r>
          </w:p>
        </w:tc>
      </w:tr>
      <w:tr>
        <w:trPr>
          <w:cantSplit/>
        </w:trPr>
        <w:tc>
          <w:tcPr/>
          <w:p>
            <w:pPr>
              <w:pStyle w:val="Tabla9"/>
              <w:jc w:val="left"/>
            </w:pPr>
            <w:r>
              <w:t xml:space="preserve">Tipo de fuente</w:t>
            </w:r>
          </w:p>
        </w:tc>
        <w:tc>
          <w:tcPr/>
          <w:p>
            <w:pPr>
              <w:pStyle w:val="Tabla9"/>
              <w:jc w:val="left"/>
            </w:pPr>
            <w:r>
              <w:t xml:space="preserve">Artículo de revista</w:t>
            </w:r>
          </w:p>
        </w:tc>
        <w:tc>
          <w:tcPr/>
          <w:p>
            <w:pPr>
              <w:pStyle w:val="Tabla9"/>
              <w:jc w:val="left"/>
            </w:pPr>
            <w:r>
              <w:t xml:space="preserve">72</w:t>
            </w:r>
          </w:p>
        </w:tc>
        <w:tc>
          <w:tcPr/>
          <w:p>
            <w:pPr>
              <w:pStyle w:val="Tabla9"/>
              <w:jc w:val="left"/>
            </w:pPr>
            <w:r>
              <w:t xml:space="preserve">46,2 %</w:t>
            </w:r>
          </w:p>
        </w:tc>
      </w:tr>
      <w:tr>
        <w:trPr>
          <w:cantSplit/>
        </w:trPr>
        <w:tc>
          <w:tcPr/>
          <w:p>
            <w:pPr>
              <w:pStyle w:val="Tabla9"/>
              <w:jc w:val="left"/>
            </w:pPr>
            <w:r>
              <w:t xml:space="preserve">Tipo de fuente</w:t>
            </w:r>
          </w:p>
        </w:tc>
        <w:tc>
          <w:tcPr/>
          <w:p>
            <w:pPr>
              <w:pStyle w:val="Tabla9"/>
              <w:jc w:val="left"/>
            </w:pPr>
            <w:r>
              <w:t xml:space="preserve">Libro</w:t>
            </w:r>
          </w:p>
        </w:tc>
        <w:tc>
          <w:tcPr/>
          <w:p>
            <w:pPr>
              <w:pStyle w:val="Tabla9"/>
              <w:jc w:val="left"/>
            </w:pPr>
            <w:r>
              <w:t xml:space="preserve">45</w:t>
            </w:r>
          </w:p>
        </w:tc>
        <w:tc>
          <w:tcPr/>
          <w:p>
            <w:pPr>
              <w:pStyle w:val="Tabla9"/>
              <w:jc w:val="left"/>
            </w:pPr>
            <w:r>
              <w:t xml:space="preserve">28,8 %</w:t>
            </w:r>
          </w:p>
        </w:tc>
      </w:tr>
      <w:tr>
        <w:trPr>
          <w:cantSplit/>
        </w:trPr>
        <w:tc>
          <w:tcPr/>
          <w:p>
            <w:pPr>
              <w:pStyle w:val="Tabla9"/>
              <w:jc w:val="left"/>
            </w:pPr>
            <w:r>
              <w:t xml:space="preserve">Tipo de fuente</w:t>
            </w:r>
          </w:p>
        </w:tc>
        <w:tc>
          <w:tcPr/>
          <w:p>
            <w:pPr>
              <w:pStyle w:val="Tabla9"/>
              <w:jc w:val="left"/>
            </w:pPr>
            <w:r>
              <w:t xml:space="preserve">Patente</w:t>
            </w:r>
          </w:p>
        </w:tc>
        <w:tc>
          <w:tcPr/>
          <w:p>
            <w:pPr>
              <w:pStyle w:val="Tabla9"/>
              <w:jc w:val="left"/>
            </w:pPr>
            <w:r>
              <w:t xml:space="preserve">15</w:t>
            </w:r>
          </w:p>
        </w:tc>
        <w:tc>
          <w:tcPr/>
          <w:p>
            <w:pPr>
              <w:pStyle w:val="Tabla9"/>
              <w:jc w:val="left"/>
            </w:pPr>
            <w:r>
              <w:t xml:space="preserve">9,6 %</w:t>
            </w:r>
          </w:p>
        </w:tc>
      </w:tr>
      <w:tr>
        <w:trPr>
          <w:cantSplit/>
        </w:trPr>
        <w:tc>
          <w:tcPr/>
          <w:p>
            <w:pPr>
              <w:pStyle w:val="Tabla9"/>
              <w:jc w:val="left"/>
            </w:pPr>
            <w:r>
              <w:t xml:space="preserve">Tipo de fuente</w:t>
            </w:r>
          </w:p>
        </w:tc>
        <w:tc>
          <w:tcPr/>
          <w:p>
            <w:pPr>
              <w:pStyle w:val="Tabla9"/>
              <w:jc w:val="left"/>
            </w:pPr>
            <w:r>
              <w:t xml:space="preserve">Informe o documento institucional</w:t>
            </w:r>
          </w:p>
        </w:tc>
        <w:tc>
          <w:tcPr/>
          <w:p>
            <w:pPr>
              <w:pStyle w:val="Tabla9"/>
              <w:jc w:val="left"/>
            </w:pPr>
            <w:r>
              <w:t xml:space="preserve">12</w:t>
            </w:r>
          </w:p>
        </w:tc>
        <w:tc>
          <w:tcPr/>
          <w:p>
            <w:pPr>
              <w:pStyle w:val="Tabla9"/>
              <w:jc w:val="left"/>
            </w:pPr>
            <w:r>
              <w:t xml:space="preserve">7,7 %</w:t>
            </w:r>
          </w:p>
        </w:tc>
      </w:tr>
      <w:tr>
        <w:trPr>
          <w:cantSplit/>
        </w:trPr>
        <w:tc>
          <w:tcPr/>
          <w:p>
            <w:pPr>
              <w:pStyle w:val="Tabla9"/>
              <w:jc w:val="left"/>
            </w:pPr>
            <w:r>
              <w:t xml:space="preserve">Tipo de fuente</w:t>
            </w:r>
          </w:p>
        </w:tc>
        <w:tc>
          <w:tcPr/>
          <w:p>
            <w:pPr>
              <w:pStyle w:val="Tabla9"/>
              <w:jc w:val="left"/>
            </w:pPr>
            <w:r>
              <w:t xml:space="preserve">Norma o documento oficial colombiano</w:t>
            </w:r>
          </w:p>
        </w:tc>
        <w:tc>
          <w:tcPr/>
          <w:p>
            <w:pPr>
              <w:pStyle w:val="Tabla9"/>
              <w:jc w:val="left"/>
            </w:pPr>
            <w:r>
              <w:t xml:space="preserve">9</w:t>
            </w:r>
          </w:p>
        </w:tc>
        <w:tc>
          <w:tcPr/>
          <w:p>
            <w:pPr>
              <w:pStyle w:val="Tabla9"/>
              <w:jc w:val="left"/>
            </w:pPr>
            <w:r>
              <w:t xml:space="preserve">5,8 %</w:t>
            </w:r>
          </w:p>
        </w:tc>
      </w:tr>
      <w:tr>
        <w:trPr>
          <w:cantSplit/>
        </w:trPr>
        <w:tc>
          <w:tcPr/>
          <w:p>
            <w:pPr>
              <w:pStyle w:val="Tabla9"/>
              <w:jc w:val="left"/>
            </w:pPr>
            <w:r>
              <w:t xml:space="preserve">Tipo de fuente</w:t>
            </w:r>
          </w:p>
        </w:tc>
        <w:tc>
          <w:tcPr/>
          <w:p>
            <w:pPr>
              <w:pStyle w:val="Tabla9"/>
              <w:jc w:val="left"/>
            </w:pPr>
            <w:r>
              <w:t xml:space="preserve">Capítulo de libro</w:t>
            </w:r>
          </w:p>
        </w:tc>
        <w:tc>
          <w:tcPr/>
          <w:p>
            <w:pPr>
              <w:pStyle w:val="Tabla9"/>
              <w:jc w:val="left"/>
            </w:pPr>
            <w:r>
              <w:t xml:space="preserve">3</w:t>
            </w:r>
          </w:p>
        </w:tc>
        <w:tc>
          <w:tcPr/>
          <w:p>
            <w:pPr>
              <w:pStyle w:val="Tabla9"/>
              <w:jc w:val="left"/>
            </w:pPr>
            <w:r>
              <w:t xml:space="preserve">1,9 %</w:t>
            </w:r>
          </w:p>
        </w:tc>
      </w:tr>
      <w:tr>
        <w:trPr>
          <w:cantSplit/>
        </w:trPr>
        <w:tc>
          <w:tcPr/>
          <w:p>
            <w:pPr>
              <w:pStyle w:val="Tabla9"/>
              <w:jc w:val="left"/>
            </w:pPr>
            <w:r>
              <w:t xml:space="preserve">Año de publicación</w:t>
            </w:r>
          </w:p>
        </w:tc>
        <w:tc>
          <w:tcPr/>
          <w:p>
            <w:pPr>
              <w:pStyle w:val="Tabla9"/>
              <w:jc w:val="left"/>
            </w:pPr>
            <w:r>
              <w:t xml:space="preserve">1900 a 1999</w:t>
            </w:r>
          </w:p>
        </w:tc>
        <w:tc>
          <w:tcPr/>
          <w:p>
            <w:pPr>
              <w:pStyle w:val="Tabla9"/>
              <w:jc w:val="left"/>
            </w:pPr>
            <w:r>
              <w:t xml:space="preserve">44</w:t>
            </w:r>
          </w:p>
        </w:tc>
        <w:tc>
          <w:tcPr/>
          <w:p>
            <w:pPr>
              <w:pStyle w:val="Tabla9"/>
              <w:jc w:val="left"/>
            </w:pPr>
            <w:r>
              <w:t xml:space="preserve">28,2 %</w:t>
            </w:r>
          </w:p>
        </w:tc>
      </w:tr>
      <w:tr>
        <w:trPr>
          <w:cantSplit/>
        </w:trPr>
        <w:tc>
          <w:tcPr/>
          <w:p>
            <w:pPr>
              <w:pStyle w:val="Tabla9"/>
              <w:jc w:val="left"/>
            </w:pPr>
            <w:r>
              <w:t xml:space="preserve">Año de publicación</w:t>
            </w:r>
          </w:p>
        </w:tc>
        <w:tc>
          <w:tcPr/>
          <w:p>
            <w:pPr>
              <w:pStyle w:val="Tabla9"/>
              <w:jc w:val="left"/>
            </w:pPr>
            <w:r>
              <w:t xml:space="preserve">2000 a 2015</w:t>
            </w:r>
          </w:p>
        </w:tc>
        <w:tc>
          <w:tcPr/>
          <w:p>
            <w:pPr>
              <w:pStyle w:val="Tabla9"/>
              <w:jc w:val="left"/>
            </w:pPr>
            <w:r>
              <w:t xml:space="preserve">38</w:t>
            </w:r>
          </w:p>
        </w:tc>
        <w:tc>
          <w:tcPr/>
          <w:p>
            <w:pPr>
              <w:pStyle w:val="Tabla9"/>
              <w:jc w:val="left"/>
            </w:pPr>
            <w:r>
              <w:t xml:space="preserve">24,4 %</w:t>
            </w:r>
          </w:p>
        </w:tc>
      </w:tr>
      <w:tr>
        <w:trPr>
          <w:cantSplit/>
        </w:trPr>
        <w:tc>
          <w:tcPr/>
          <w:p>
            <w:pPr>
              <w:pStyle w:val="Tabla9"/>
              <w:jc w:val="left"/>
            </w:pPr>
            <w:r>
              <w:t xml:space="preserve">Año de publicación</w:t>
            </w:r>
          </w:p>
        </w:tc>
        <w:tc>
          <w:tcPr/>
          <w:p>
            <w:pPr>
              <w:pStyle w:val="Tabla9"/>
              <w:jc w:val="left"/>
            </w:pPr>
            <w:r>
              <w:t xml:space="preserve">2016 a 2021</w:t>
            </w:r>
          </w:p>
        </w:tc>
        <w:tc>
          <w:tcPr/>
          <w:p>
            <w:pPr>
              <w:pStyle w:val="Tabla9"/>
              <w:jc w:val="left"/>
            </w:pPr>
            <w:r>
              <w:t xml:space="preserve">40</w:t>
            </w:r>
          </w:p>
        </w:tc>
        <w:tc>
          <w:tcPr/>
          <w:p>
            <w:pPr>
              <w:pStyle w:val="Tabla9"/>
              <w:jc w:val="left"/>
            </w:pPr>
            <w:r>
              <w:t xml:space="preserve">25,6 %</w:t>
            </w:r>
          </w:p>
        </w:tc>
      </w:tr>
      <w:tr>
        <w:trPr>
          <w:cantSplit/>
        </w:trPr>
        <w:tc>
          <w:tcPr/>
          <w:p>
            <w:pPr>
              <w:pStyle w:val="Tabla9"/>
              <w:jc w:val="left"/>
            </w:pPr>
            <w:r>
              <w:t xml:space="preserve">Año de publicación</w:t>
            </w:r>
          </w:p>
        </w:tc>
        <w:tc>
          <w:tcPr/>
          <w:p>
            <w:pPr>
              <w:pStyle w:val="Tabla9"/>
              <w:jc w:val="left"/>
            </w:pPr>
            <w:r>
              <w:t xml:space="preserve">2022 a 2026</w:t>
            </w:r>
          </w:p>
        </w:tc>
        <w:tc>
          <w:tcPr/>
          <w:p>
            <w:pPr>
              <w:pStyle w:val="Tabla9"/>
              <w:jc w:val="left"/>
            </w:pPr>
            <w:r>
              <w:t xml:space="preserve">34</w:t>
            </w:r>
          </w:p>
        </w:tc>
        <w:tc>
          <w:tcPr/>
          <w:p>
            <w:pPr>
              <w:pStyle w:val="Tabla9"/>
              <w:jc w:val="left"/>
            </w:pPr>
            <w:r>
              <w:t xml:space="preserve">21,8 %</w:t>
            </w:r>
          </w:p>
        </w:tc>
      </w:tr>
      <w:tr>
        <w:trPr>
          <w:cantSplit/>
        </w:trPr>
        <w:tc>
          <w:tcPr/>
          <w:p>
            <w:pPr>
              <w:pStyle w:val="Tabla9"/>
              <w:jc w:val="left"/>
            </w:pPr>
            <w:r>
              <w:t xml:space="preserve">Origen</w:t>
            </w:r>
          </w:p>
        </w:tc>
        <w:tc>
          <w:tcPr/>
          <w:p>
            <w:pPr>
              <w:pStyle w:val="Tabla9"/>
              <w:jc w:val="left"/>
            </w:pPr>
            <w:r>
              <w:t xml:space="preserve">Corpus del informe de vigilancia tecnológica</w:t>
            </w:r>
          </w:p>
        </w:tc>
        <w:tc>
          <w:tcPr/>
          <w:p>
            <w:pPr>
              <w:pStyle w:val="Tabla9"/>
              <w:jc w:val="left"/>
            </w:pPr>
            <w:r>
              <w:t xml:space="preserve">39</w:t>
            </w:r>
          </w:p>
        </w:tc>
        <w:tc>
          <w:tcPr/>
          <w:p>
            <w:pPr>
              <w:pStyle w:val="Tabla9"/>
              <w:jc w:val="left"/>
            </w:pPr>
            <w:r>
              <w:t xml:space="preserve">25,0 %</w:t>
            </w:r>
          </w:p>
        </w:tc>
      </w:tr>
      <w:tr>
        <w:trPr>
          <w:cantSplit/>
        </w:trPr>
        <w:tc>
          <w:tcPr/>
          <w:p>
            <w:pPr>
              <w:pStyle w:val="Tabla9"/>
              <w:jc w:val="left"/>
            </w:pPr>
            <w:r>
              <w:t xml:space="preserve">Origen</w:t>
            </w:r>
          </w:p>
        </w:tc>
        <w:tc>
          <w:tcPr/>
          <w:p>
            <w:pPr>
              <w:pStyle w:val="Tabla9"/>
              <w:jc w:val="left"/>
            </w:pPr>
            <w:r>
              <w:t xml:space="preserve">Obras canónicas del metaprompt y del análisis de decisión</w:t>
            </w:r>
          </w:p>
        </w:tc>
        <w:tc>
          <w:tcPr/>
          <w:p>
            <w:pPr>
              <w:pStyle w:val="Tabla9"/>
              <w:jc w:val="left"/>
            </w:pPr>
            <w:r>
              <w:t xml:space="preserve">55</w:t>
            </w:r>
          </w:p>
        </w:tc>
        <w:tc>
          <w:tcPr/>
          <w:p>
            <w:pPr>
              <w:pStyle w:val="Tabla9"/>
              <w:jc w:val="left"/>
            </w:pPr>
            <w:r>
              <w:t xml:space="preserve">35,3 %</w:t>
            </w:r>
          </w:p>
        </w:tc>
      </w:tr>
      <w:tr>
        <w:trPr>
          <w:cantSplit/>
        </w:trPr>
        <w:tc>
          <w:tcPr/>
          <w:p>
            <w:pPr>
              <w:pStyle w:val="Tabla9"/>
              <w:jc w:val="left"/>
            </w:pPr>
            <w:r>
              <w:t xml:space="preserve">Origen</w:t>
            </w:r>
          </w:p>
        </w:tc>
        <w:tc>
          <w:tcPr/>
          <w:p>
            <w:pPr>
              <w:pStyle w:val="Tabla9"/>
              <w:jc w:val="left"/>
            </w:pPr>
            <w:r>
              <w:t xml:space="preserve">Literatura de dominio</w:t>
            </w:r>
          </w:p>
        </w:tc>
        <w:tc>
          <w:tcPr/>
          <w:p>
            <w:pPr>
              <w:pStyle w:val="Tabla9"/>
              <w:jc w:val="left"/>
            </w:pPr>
            <w:r>
              <w:t xml:space="preserve">52</w:t>
            </w:r>
          </w:p>
        </w:tc>
        <w:tc>
          <w:tcPr/>
          <w:p>
            <w:pPr>
              <w:pStyle w:val="Tabla9"/>
              <w:jc w:val="left"/>
            </w:pPr>
            <w:r>
              <w:t xml:space="preserve">33,3 %</w:t>
            </w:r>
          </w:p>
        </w:tc>
      </w:tr>
      <w:tr>
        <w:trPr>
          <w:cantSplit/>
        </w:trPr>
        <w:tc>
          <w:tcPr/>
          <w:p>
            <w:pPr>
              <w:pStyle w:val="Tabla9"/>
              <w:jc w:val="left"/>
            </w:pPr>
            <w:r>
              <w:t xml:space="preserve">Origen</w:t>
            </w:r>
          </w:p>
        </w:tc>
        <w:tc>
          <w:tcPr/>
          <w:p>
            <w:pPr>
              <w:pStyle w:val="Tabla9"/>
              <w:jc w:val="left"/>
            </w:pPr>
            <w:r>
              <w:t xml:space="preserve">Normas y documentos oficiales</w:t>
            </w:r>
          </w:p>
        </w:tc>
        <w:tc>
          <w:tcPr/>
          <w:p>
            <w:pPr>
              <w:pStyle w:val="Tabla9"/>
              <w:jc w:val="left"/>
            </w:pPr>
            <w:r>
              <w:t xml:space="preserve">10</w:t>
            </w:r>
          </w:p>
        </w:tc>
        <w:tc>
          <w:tcPr/>
          <w:p>
            <w:pPr>
              <w:pStyle w:val="Tabla9"/>
              <w:jc w:val="left"/>
            </w:pPr>
            <w:r>
              <w:t xml:space="preserve">6,4 %</w:t>
            </w:r>
          </w:p>
        </w:tc>
      </w:tr>
      <w:tr>
        <w:trPr>
          <w:cantSplit/>
        </w:trPr>
        <w:tc>
          <w:tcPr/>
          <w:p>
            <w:pPr>
              <w:pStyle w:val="Tabla9"/>
              <w:jc w:val="left"/>
            </w:pPr>
            <w:r>
              <w:t xml:space="preserve">Estado de verificación</w:t>
            </w:r>
          </w:p>
        </w:tc>
        <w:tc>
          <w:tcPr/>
          <w:p>
            <w:pPr>
              <w:pStyle w:val="Tabla9"/>
              <w:jc w:val="left"/>
            </w:pPr>
            <w:r>
              <w:t xml:space="preserve">VERIFICADO</w:t>
            </w:r>
          </w:p>
        </w:tc>
        <w:tc>
          <w:tcPr/>
          <w:p>
            <w:pPr>
              <w:pStyle w:val="Tabla9"/>
              <w:jc w:val="left"/>
            </w:pPr>
            <w:r>
              <w:t xml:space="preserve">72</w:t>
            </w:r>
          </w:p>
        </w:tc>
        <w:tc>
          <w:tcPr/>
          <w:p>
            <w:pPr>
              <w:pStyle w:val="Tabla9"/>
              <w:jc w:val="left"/>
            </w:pPr>
            <w:r>
              <w:t xml:space="preserve">46,2 %</w:t>
            </w:r>
          </w:p>
        </w:tc>
      </w:tr>
      <w:tr>
        <w:trPr>
          <w:cantSplit/>
        </w:trPr>
        <w:tc>
          <w:tcPr/>
          <w:p>
            <w:pPr>
              <w:pStyle w:val="Tabla9"/>
              <w:jc w:val="left"/>
            </w:pPr>
            <w:r>
              <w:t xml:space="preserve">Estado de verificación</w:t>
            </w:r>
          </w:p>
        </w:tc>
        <w:tc>
          <w:tcPr/>
          <w:p>
            <w:pPr>
              <w:pStyle w:val="Tabla9"/>
              <w:jc w:val="left"/>
            </w:pPr>
            <w:r>
              <w:t xml:space="preserve">PARCIALMENTE_VERIFICADO</w:t>
            </w:r>
          </w:p>
        </w:tc>
        <w:tc>
          <w:tcPr/>
          <w:p>
            <w:pPr>
              <w:pStyle w:val="Tabla9"/>
              <w:jc w:val="left"/>
            </w:pPr>
            <w:r>
              <w:t xml:space="preserve">12</w:t>
            </w:r>
          </w:p>
        </w:tc>
        <w:tc>
          <w:tcPr/>
          <w:p>
            <w:pPr>
              <w:pStyle w:val="Tabla9"/>
              <w:jc w:val="left"/>
            </w:pPr>
            <w:r>
              <w:t xml:space="preserve">7,7 %</w:t>
            </w:r>
          </w:p>
        </w:tc>
      </w:tr>
      <w:tr>
        <w:trPr>
          <w:cantSplit/>
        </w:trPr>
        <w:tc>
          <w:tcPr/>
          <w:p>
            <w:pPr>
              <w:pStyle w:val="Tabla9"/>
              <w:jc w:val="left"/>
            </w:pPr>
            <w:r>
              <w:t xml:space="preserve">Estado de verificación</w:t>
            </w:r>
          </w:p>
        </w:tc>
        <w:tc>
          <w:tcPr/>
          <w:p>
            <w:pPr>
              <w:pStyle w:val="Tabla9"/>
              <w:jc w:val="left"/>
            </w:pPr>
            <w:r>
              <w:t xml:space="preserve">NO_VERIFICADO</w:t>
            </w:r>
          </w:p>
        </w:tc>
        <w:tc>
          <w:tcPr/>
          <w:p>
            <w:pPr>
              <w:pStyle w:val="Tabla9"/>
              <w:jc w:val="left"/>
            </w:pPr>
            <w:r>
              <w:t xml:space="preserve">72</w:t>
            </w:r>
          </w:p>
        </w:tc>
        <w:tc>
          <w:tcPr/>
          <w:p>
            <w:pPr>
              <w:pStyle w:val="Tabla9"/>
              <w:jc w:val="left"/>
            </w:pPr>
            <w:r>
              <w:t xml:space="preserve">46,2 %</w:t>
            </w:r>
          </w:p>
        </w:tc>
      </w:tr>
      <w:tr>
        <w:trPr>
          <w:cantSplit/>
        </w:trPr>
        <w:tc>
          <w:tcPr/>
          <w:p>
            <w:pPr>
              <w:pStyle w:val="Tabla9"/>
              <w:jc w:val="left"/>
            </w:pPr>
            <w:r>
              <w:t xml:space="preserve">Identificador</w:t>
            </w:r>
          </w:p>
        </w:tc>
        <w:tc>
          <w:tcPr/>
          <w:p>
            <w:pPr>
              <w:pStyle w:val="Tabla9"/>
              <w:jc w:val="left"/>
            </w:pPr>
            <w:r>
              <w:t xml:space="preserve">Referencias con DOI</w:t>
            </w:r>
          </w:p>
        </w:tc>
        <w:tc>
          <w:tcPr/>
          <w:p>
            <w:pPr>
              <w:pStyle w:val="Tabla9"/>
              <w:jc w:val="left"/>
            </w:pPr>
            <w:r>
              <w:t xml:space="preserve">64</w:t>
            </w:r>
          </w:p>
        </w:tc>
        <w:tc>
          <w:tcPr/>
          <w:p>
            <w:pPr>
              <w:pStyle w:val="Tabla9"/>
              <w:jc w:val="left"/>
            </w:pPr>
            <w:r>
              <w:t xml:space="preserve">41,0 %</w:t>
            </w:r>
          </w:p>
        </w:tc>
      </w:tr>
      <w:tr>
        <w:trPr>
          <w:cantSplit/>
        </w:trPr>
        <w:tc>
          <w:tcPr/>
          <w:p>
            <w:pPr>
              <w:pStyle w:val="Tabla9"/>
              <w:jc w:val="left"/>
            </w:pPr>
            <w:r>
              <w:t xml:space="preserve">Cuartil de la revista</w:t>
            </w:r>
          </w:p>
        </w:tc>
        <w:tc>
          <w:tcPr/>
          <w:p>
            <w:pPr>
              <w:pStyle w:val="Tabla9"/>
              <w:jc w:val="left"/>
            </w:pPr>
            <w:r>
              <w:t xml:space="preserve">Q1 o Q2</w:t>
            </w:r>
          </w:p>
        </w:tc>
        <w:tc>
          <w:tcPr/>
          <w:p>
            <w:pPr>
              <w:pStyle w:val="Tabla9"/>
              <w:jc w:val="left"/>
            </w:pPr>
            <w:r>
              <w:t xml:space="preserve">NO_VERIFICADO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banco cerrado de referencias (banco.json) y el recuento de citas del documento. Total de referencias: 156. Los años se cuentan desde la fecha de la publicación citada. El cuartil no se consultó (NO_VERIFICADO). Decimales con coma.</w:t>
      </w:r>
    </w:p>
    <w:p>
      <w:pPr>
        <w:pStyle w:val="BodyText"/>
      </w:pPr>
      <w:r>
        <w:t xml:space="preserve">La lista cumple el mínimo de 60 referencias, con 156. En actualidad, 34 referencias, equivalentes a 21,8 %, son de 2022 a 2026. El criterio exige 70 % o más en los últimos cinco años. La lista no cumple ese criterio. La diferencia se explica por la presencia de obras canónicas de teoría de la decisión, de la evaluación y de la innovación. Su antigüedad es parte de su valor. Un documento que cita a Simon (1973), Raiffa (1968) o Rogers (2003) no puede cumplir una regla de actualidad estricta sin renunciar a su fundamento teórico. La ruta de solución es añadir literatura reciente de 2022 a 2026 en los capítulos que hoy se apoyan en obras clásicas.</w:t>
      </w:r>
    </w:p>
    <w:p>
      <w:pPr>
        <w:pStyle w:val="BodyText"/>
      </w:pPr>
      <w:r>
        <w:t xml:space="preserve">El criterio de 60 % de artículos en cuartiles Q1 o Q2 no puede verificarse. Los 72 artículos de la lista no tienen cuartil consultado, y declarar cumplimiento sin ese dato sería inventar un resultado. La ruta de solución es consultar SJR o JCR para cada revista y registrar el cuartil de la fecha de publicación. Esa tarea corresponde a la verificación de referencias de la revisión final y se registra como pendiente en el cierre del documento.</w:t>
      </w:r>
    </w:p>
    <w:p>
      <w:pPr>
        <w:pStyle w:val="BodyText"/>
      </w:pPr>
      <w:r>
        <w:t xml:space="preserve">La composición por origen muestra que 39 referencias (25,0 %) provienen del corpus de vigilancia tecnológica del informe aportado. Ese corpus incluye 15 patentes, que sustentan el análisis de libertad de operación y no la evidencia científica. El estado de verificación indica que 72 referencias quedaron verificadas, 12 quedaron parcialmente verificadas y 72 quedaron sin verificar. Antes de la radicación se deben verificar las 72 restantes, con edición, páginas y DOI.</w:t>
      </w:r>
    </w:p>
    <w:bookmarkEnd w:id="96"/>
    <w:bookmarkEnd w:id="97"/>
    <w:bookmarkStart w:id="98" w:name="X72393a5b3773a58e0187c6d9eaee04933e019e6"/>
    <w:p>
      <w:pPr>
        <w:pStyle w:val="Heading1"/>
      </w:pPr>
      <w:r>
        <w:t xml:space="preserve">30. ANEXOS REQUISITOS SECTORIALES QUE LE SEAN APLICABLES</w:t>
      </w:r>
    </w:p>
    <w:p>
      <w:pPr>
        <w:pStyle w:val="FirstParagraph"/>
      </w:pPr>
      <w:r>
        <w:t xml:space="preserve">La Tabla D.33 lista los anexos que el Anexo 2 menciona y su estado. Los documentos exigidos por los términos de referencia no se aportaron al proyecto. El expediente de formulación que sigue a esta sección contiene los análisis de soporte y los anexos técnicos A a N.</w:t>
      </w:r>
    </w:p>
    <w:p>
      <w:pPr>
        <w:pStyle w:val="TablaRotulo"/>
      </w:pPr>
      <w:bookmarkStart w:id="9052" w:name="rot_Tabla_D_33"/>
      <w:r>
        <w:rPr>
          <w:b/>
          <w:bCs/>
        </w:rPr>
        <w:t xml:space="preserve">Tabla D.33</w:t>
      </w:r>
      <w:bookmarkEnd w:id="9052"/>
    </w:p>
    <w:p>
      <w:pPr>
        <w:pStyle w:val="TablaTitulo"/>
      </w:pPr>
      <w:r>
        <w:rPr>
          <w:i/>
          <w:iCs/>
        </w:rPr>
        <w:t xml:space="preserve">Anexos requeridos y estado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40"/>
        <w:gridCol w:w="2970"/>
        <w:gridCol w:w="2310"/>
      </w:tblGrid>
      <w:tr>
        <w:trPr>
          <w:cantSplit/>
          <w:tblHeader/>
        </w:trPr>
        <w:tc>
          <w:tcPr>
            <w:shd w:val="clear" w:color="auto" w:fill="00B050"/>
          </w:tcPr>
          <w:p>
            <w:pPr>
              <w:pStyle w:val="Tabla9"/>
              <w:jc w:val="center"/>
            </w:pPr>
            <w:r>
              <w:rPr>
                <w:b/>
                <w:color w:val="FFFFFF"/>
              </w:rPr>
              <w:t xml:space="preserve">Anexo</w:t>
            </w:r>
          </w:p>
        </w:tc>
        <w:tc>
          <w:tcPr>
            <w:shd w:val="clear" w:color="auto" w:fill="00B050"/>
          </w:tcPr>
          <w:p>
            <w:pPr>
              <w:pStyle w:val="Tabla9"/>
              <w:jc w:val="center"/>
            </w:pPr>
            <w:r>
              <w:rPr>
                <w:b/>
                <w:color w:val="FFFFFF"/>
              </w:rPr>
              <w:t xml:space="preserve">Contenido</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Carta aval, compromiso institucional y modelo de gobernanza</w:t>
            </w:r>
          </w:p>
        </w:tc>
        <w:tc>
          <w:tcPr/>
          <w:p>
            <w:pPr>
              <w:pStyle w:val="Tabla9"/>
              <w:jc w:val="left"/>
            </w:pPr>
            <w:r>
              <w:t xml:space="preserve">Compromiso de cada integrante de la alianza y reglas de decisión</w:t>
            </w:r>
          </w:p>
        </w:tc>
        <w:tc>
          <w:tcPr/>
          <w:p>
            <w:pPr>
              <w:pStyle w:val="Tabla9"/>
              <w:jc w:val="left"/>
            </w:pPr>
            <w:r>
              <w:t xml:space="preserve">VACIO: se obtiene en la reunión con la Universidad</w:t>
            </w:r>
          </w:p>
        </w:tc>
      </w:tr>
      <w:tr>
        <w:trPr>
          <w:cantSplit/>
        </w:trPr>
        <w:tc>
          <w:tcPr/>
          <w:p>
            <w:pPr>
              <w:pStyle w:val="Tabla9"/>
              <w:jc w:val="left"/>
            </w:pPr>
            <w:r>
              <w:t xml:space="preserve">Anexo 4</w:t>
            </w:r>
          </w:p>
        </w:tc>
        <w:tc>
          <w:tcPr/>
          <w:p>
            <w:pPr>
              <w:pStyle w:val="Tabla9"/>
              <w:jc w:val="left"/>
            </w:pPr>
            <w:r>
              <w:t xml:space="preserve">Plan bienal de convocatorias: retos estratégicos y demandas territoriales</w:t>
            </w:r>
          </w:p>
        </w:tc>
        <w:tc>
          <w:tcPr/>
          <w:p>
            <w:pPr>
              <w:pStyle w:val="Tabla9"/>
              <w:jc w:val="left"/>
            </w:pPr>
            <w:r>
              <w:t xml:space="preserve">VACIO: no aportado</w:t>
            </w:r>
          </w:p>
        </w:tc>
      </w:tr>
      <w:tr>
        <w:trPr>
          <w:cantSplit/>
        </w:trPr>
        <w:tc>
          <w:tcPr/>
          <w:p>
            <w:pPr>
              <w:pStyle w:val="Tabla9"/>
              <w:jc w:val="left"/>
            </w:pPr>
            <w:r>
              <w:t xml:space="preserve">Anexo 10</w:t>
            </w:r>
          </w:p>
        </w:tc>
        <w:tc>
          <w:tcPr/>
          <w:p>
            <w:pPr>
              <w:pStyle w:val="Tabla9"/>
              <w:jc w:val="left"/>
            </w:pPr>
            <w:r>
              <w:t xml:space="preserve">Lineamientos para integrar la apropiación social del conocimiento</w:t>
            </w:r>
          </w:p>
        </w:tc>
        <w:tc>
          <w:tcPr/>
          <w:p>
            <w:pPr>
              <w:pStyle w:val="Tabla9"/>
              <w:jc w:val="left"/>
            </w:pPr>
            <w:r>
              <w:t xml:space="preserve">VACIO: no aportado</w:t>
            </w:r>
          </w:p>
        </w:tc>
      </w:tr>
      <w:tr>
        <w:trPr>
          <w:cantSplit/>
        </w:trPr>
        <w:tc>
          <w:tcPr/>
          <w:p>
            <w:pPr>
              <w:pStyle w:val="Tabla9"/>
              <w:jc w:val="left"/>
            </w:pPr>
            <w:r>
              <w:t xml:space="preserve">Anexo 12</w:t>
            </w:r>
          </w:p>
        </w:tc>
        <w:tc>
          <w:tcPr/>
          <w:p>
            <w:pPr>
              <w:pStyle w:val="Tabla9"/>
              <w:jc w:val="left"/>
            </w:pPr>
            <w:r>
              <w:t xml:space="preserve">Categorías de enfoque diferencial e interseccional del personal</w:t>
            </w:r>
          </w:p>
        </w:tc>
        <w:tc>
          <w:tcPr/>
          <w:p>
            <w:pPr>
              <w:pStyle w:val="Tabla9"/>
              <w:jc w:val="left"/>
            </w:pPr>
            <w:r>
              <w:t xml:space="preserve">VACIO: no aportado</w:t>
            </w:r>
          </w:p>
        </w:tc>
      </w:tr>
      <w:tr>
        <w:trPr>
          <w:cantSplit/>
        </w:trPr>
        <w:tc>
          <w:tcPr/>
          <w:p>
            <w:pPr>
              <w:pStyle w:val="Tabla9"/>
              <w:jc w:val="left"/>
            </w:pPr>
            <w:r>
              <w:t xml:space="preserve">Reporte oficial de afectación y lista de municipios afectados</w:t>
            </w:r>
          </w:p>
        </w:tc>
        <w:tc>
          <w:tcPr/>
          <w:p>
            <w:pPr>
              <w:pStyle w:val="Tabla9"/>
              <w:jc w:val="left"/>
            </w:pPr>
            <w:r>
              <w:t xml:space="preserve">Soporte de la demanda territorial</w:t>
            </w:r>
          </w:p>
        </w:tc>
        <w:tc>
          <w:tcPr/>
          <w:p>
            <w:pPr>
              <w:pStyle w:val="Tabla9"/>
              <w:jc w:val="left"/>
            </w:pPr>
            <w:r>
              <w:t xml:space="preserve">VACIO: no aportado</w:t>
            </w:r>
          </w:p>
        </w:tc>
      </w:tr>
      <w:tr>
        <w:trPr>
          <w:cantSplit/>
        </w:trPr>
        <w:tc>
          <w:tcPr/>
          <w:p>
            <w:pPr>
              <w:pStyle w:val="Tabla9"/>
              <w:jc w:val="left"/>
            </w:pPr>
            <w:r>
              <w:t xml:space="preserve">Requisitos sectoriales aplicables</w:t>
            </w:r>
          </w:p>
        </w:tc>
        <w:tc>
          <w:tcPr/>
          <w:p>
            <w:pPr>
              <w:pStyle w:val="Tabla9"/>
              <w:jc w:val="left"/>
            </w:pPr>
            <w:r>
              <w:t xml:space="preserve">Los que fijen los términos de referencia</w:t>
            </w:r>
          </w:p>
        </w:tc>
        <w:tc>
          <w:tcPr/>
          <w:p>
            <w:pPr>
              <w:pStyle w:val="Tabla9"/>
              <w:jc w:val="left"/>
            </w:pPr>
            <w:r>
              <w:t xml:space="preserve">VACIO</w:t>
            </w:r>
          </w:p>
        </w:tc>
      </w:tr>
      <w:tr>
        <w:trPr>
          <w:cantSplit/>
        </w:trPr>
        <w:tc>
          <w:tcPr/>
          <w:p>
            <w:pPr>
              <w:pStyle w:val="Tabla9"/>
              <w:jc w:val="left"/>
            </w:pPr>
            <w:r>
              <w:t xml:space="preserve">Expediente de formulación (anexos A a N, capítulo 20)</w:t>
            </w:r>
          </w:p>
        </w:tc>
        <w:tc>
          <w:tcPr/>
          <w:p>
            <w:pPr>
              <w:pStyle w:val="Tabla9"/>
              <w:jc w:val="left"/>
            </w:pPr>
            <w:r>
              <w:t xml:space="preserve">Análisis de soporte, trazabilidad y verificadores</w:t>
            </w:r>
          </w:p>
        </w:tc>
        <w:tc>
          <w:tcPr/>
          <w:p>
            <w:pPr>
              <w:pStyle w:val="Tabla9"/>
              <w:jc w:val="left"/>
            </w:pPr>
            <w:r>
              <w:t xml:space="preserve">Incluido a continuación</w:t>
            </w:r>
          </w:p>
        </w:tc>
      </w:tr>
    </w:tbl>
    <w:p>
      <w:pPr>
        <w:pStyle w:val="TablaNota"/>
      </w:pPr>
      <w:r>
        <w:rPr>
          <w:i/>
          <w:iCs/>
        </w:rPr>
        <w:t xml:space="preserve">Nota.</w:t>
      </w:r>
      <w:r>
        <w:t xml:space="preserve"> </w:t>
      </w:r>
      <w:r>
        <w:t xml:space="preserve">Elaboración propia con el Anexo 2 de la convocatoria.</w:t>
      </w:r>
    </w:p>
    <w:bookmarkEnd w:id="98"/>
    <w:bookmarkStart w:id="99" w:name="X4a63f71f8df7a24ae3a288d0f10a2c865d5150d"/>
    <w:p>
      <w:pPr>
        <w:pStyle w:val="Heading1"/>
      </w:pPr>
      <w:r>
        <w:t xml:space="preserve">ANEXOS TÉCNICOS DE LA SECCIÓN 30. EXPEDIENTE AMPLIADO DEL PROYECTO</w:t>
      </w:r>
    </w:p>
    <w:p>
      <w:pPr>
        <w:pStyle w:val="FirstParagraph"/>
      </w:pPr>
      <w:r>
        <w:t xml:space="preserve">Las páginas siguientes reúnen el expediente de formulación que respalda las secciones 1 a 30. Se organizan en tres bloques. El bloque I contiene los pasos 0 a 7 del metaprompt GENESIS-CTeI 36.10 RC2. El bloque II contiene los capítulos 1 a 21 con sus anexos. El bloque III contiene el paquete 1000X y el cierre del documento. La bibliografía de todo el archivo está en la sección 29.</w:t>
      </w:r>
    </w:p>
    <w:bookmarkEnd w:id="99"/>
    <w:bookmarkStart w:id="112" w:name="Xf84576a3fca2f10a3b84a07e2caf6a236ebf413"/>
    <w:p>
      <w:pPr>
        <w:pStyle w:val="Heading1"/>
      </w:pPr>
      <w:r>
        <w:t xml:space="preserve">Paso 0. Configuración de la convocatoria y del documento</w:t>
      </w:r>
    </w:p>
    <w:bookmarkStart w:id="100" w:name="_Toc00900046"/>
    <w:p>
      <w:pPr>
        <w:pStyle w:val="Heading2"/>
      </w:pPr>
      <w:r>
        <w:t xml:space="preserve">F0.1 Identificación de la convocatoria</w:t>
      </w:r>
    </w:p>
    <w:p>
      <w:pPr>
        <w:pStyle w:val="FirstParagraph"/>
      </w:pPr>
      <w:r>
        <w:t xml:space="preserve">El Paso 0 del metaprompt solicita los términos de referencia (TdR) de la convocatoria. En su defecto, pide los datos de identificación, los requisitos técnicos y la estructura del documento. El usuario no aportó los TdR. La configuración se reconstruye con el expediente E3-P00, el informe de vigilancia tecnológica y la instrucción expresa del 13 de octubre de 2026. Cada valor lleva su naturaleza y su estado de verificación según la norma de trazabilidad NTC 1.1. Así, ningún dato del expediente aparece como confirmado por la fuente normativa.</w:t>
      </w:r>
    </w:p>
    <w:p>
      <w:pPr>
        <w:pStyle w:val="BodyText"/>
      </w:pPr>
      <w:r>
        <w:t xml:space="preserve">La Tabla F0.1 registra la identificación de la convocatoria. Los valores del expediente se conservan como declarados. Los valores que solo los TdR pueden fijar quedan como vacíos y se resuelven con la entidad financiadora antes de radicar.</w:t>
      </w:r>
    </w:p>
    <w:p>
      <w:pPr>
        <w:pStyle w:val="TablaRotulo"/>
      </w:pPr>
      <w:bookmarkStart w:id="9053" w:name="rot_Tabla_F0_1"/>
      <w:r>
        <w:rPr>
          <w:b/>
          <w:bCs/>
        </w:rPr>
        <w:t xml:space="preserve">Tabla F0.1</w:t>
      </w:r>
      <w:bookmarkEnd w:id="9053"/>
    </w:p>
    <w:p>
      <w:pPr>
        <w:pStyle w:val="TablaTitulo"/>
      </w:pPr>
      <w:r>
        <w:rPr>
          <w:i/>
          <w:iCs/>
        </w:rPr>
        <w:t xml:space="preserve">Identificación de la convocatoria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40"/>
        <w:gridCol w:w="1963"/>
        <w:gridCol w:w="1112"/>
        <w:gridCol w:w="1440"/>
        <w:gridCol w:w="1963"/>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Valor adoptado</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Nombre de la convocatoria</w:t>
            </w:r>
          </w:p>
        </w:tc>
        <w:tc>
          <w:tcPr/>
          <w:p>
            <w:pPr>
              <w:pStyle w:val="Tabla9"/>
              <w:jc w:val="left"/>
            </w:pPr>
            <w:r>
              <w:t xml:space="preserve">Convocatoria de Emergencia, Decreto 1414 de 2026 (SGR_CONV56)</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Entidad financiadora</w:t>
            </w:r>
          </w:p>
        </w:tc>
        <w:tc>
          <w:tcPr/>
          <w:p>
            <w:pPr>
              <w:pStyle w:val="Tabla9"/>
              <w:jc w:val="left"/>
            </w:pPr>
            <w:r>
              <w:t xml:space="preserve">Sistema General de Regalías (SGR) / Ministerio de Ciencia, Tecnología e Innovación (MinCiencias)</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Tipología del proyecto</w:t>
            </w:r>
          </w:p>
        </w:tc>
        <w:tc>
          <w:tcPr/>
          <w:p>
            <w:pPr>
              <w:pStyle w:val="Tabla9"/>
              <w:jc w:val="left"/>
            </w:pPr>
            <w:r>
              <w:t xml:space="preserve">Investigación aplicada, desarrollo tecnológico e innovación</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NO_APLICA</w:t>
            </w:r>
          </w:p>
        </w:tc>
      </w:tr>
      <w:tr>
        <w:trPr>
          <w:cantSplit/>
        </w:trPr>
        <w:tc>
          <w:tcPr/>
          <w:p>
            <w:pPr>
              <w:pStyle w:val="Tabla9"/>
              <w:jc w:val="left"/>
            </w:pPr>
            <w:r>
              <w:t xml:space="preserve">Fecha límite de presentación</w:t>
            </w:r>
          </w:p>
        </w:tc>
        <w:tc>
          <w:tcPr/>
          <w:p>
            <w:pPr>
              <w:pStyle w:val="Tabla9"/>
              <w:jc w:val="left"/>
            </w:pPr>
            <w:r>
              <w:t xml:space="preserve">3 de noviembre de 2026, 4:00 p. m.</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Presupuesto máximo por proyecto</w:t>
            </w:r>
          </w:p>
        </w:tc>
        <w:tc>
          <w:tcPr/>
          <w:p>
            <w:pPr>
              <w:pStyle w:val="Tabla9"/>
              <w:jc w:val="left"/>
            </w:pPr>
            <w:r>
              <w:t xml:space="preserve">$ 14.000.000.000 COP</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Contrapartida requerida (%)</w:t>
            </w:r>
          </w:p>
        </w:tc>
        <w:tc>
          <w:tcPr/>
          <w:p>
            <w:pPr>
              <w:pStyle w:val="Tabla9"/>
              <w:jc w:val="left"/>
            </w:pPr>
            <w:r>
              <w:t xml:space="preserve">[DATO_USUARIO: porcentaje exigido por los TdR]. Contrapartida ofrecida: $ 2,110,000,000 COP, equivalente a 22,8 % del valor solicitado al SGR y a 19,5 % del total</w:t>
            </w:r>
          </w:p>
        </w:tc>
        <w:tc>
          <w:tcPr/>
          <w:p>
            <w:pPr>
              <w:pStyle w:val="Tabla9"/>
              <w:jc w:val="left"/>
            </w:pPr>
            <w:r>
              <w:t xml:space="preserve">Cálculo sobre maestro.py</w:t>
            </w:r>
          </w:p>
        </w:tc>
        <w:tc>
          <w:tcPr/>
          <w:p>
            <w:pPr>
              <w:pStyle w:val="Tabla9"/>
              <w:jc w:val="left"/>
            </w:pPr>
            <w:r>
              <w:t xml:space="preserve">CALCULADO</w:t>
            </w:r>
          </w:p>
        </w:tc>
        <w:tc>
          <w:tcPr/>
          <w:p>
            <w:pPr>
              <w:pStyle w:val="Tabla9"/>
              <w:jc w:val="left"/>
            </w:pPr>
            <w:r>
              <w:t xml:space="preserve">NO_VERIFICADO</w:t>
            </w:r>
          </w:p>
        </w:tc>
      </w:tr>
      <w:tr>
        <w:trPr>
          <w:cantSplit/>
        </w:trPr>
        <w:tc>
          <w:tcPr/>
          <w:p>
            <w:pPr>
              <w:pStyle w:val="Tabla9"/>
              <w:jc w:val="left"/>
            </w:pPr>
            <w:r>
              <w:t xml:space="preserve">Duración máxima (meses)</w:t>
            </w:r>
          </w:p>
        </w:tc>
        <w:tc>
          <w:tcPr/>
          <w:p>
            <w:pPr>
              <w:pStyle w:val="Tabla9"/>
              <w:jc w:val="left"/>
            </w:pPr>
            <w:r>
              <w:t xml:space="preserve">24 meses de ejecución (104 semanas) y 12 meses de seguimiento posproyecto</w:t>
            </w:r>
          </w:p>
        </w:tc>
        <w:tc>
          <w:tcPr/>
          <w:p>
            <w:pPr>
              <w:pStyle w:val="Tabla9"/>
              <w:jc w:val="left"/>
            </w:pPr>
            <w:r>
              <w:t xml:space="preserve">Paso 1 del usuario y decisión DEC-F08</w:t>
            </w:r>
          </w:p>
        </w:tc>
        <w:tc>
          <w:tcPr/>
          <w:p>
            <w:pPr>
              <w:pStyle w:val="Tabla9"/>
              <w:jc w:val="left"/>
            </w:pPr>
            <w:r>
              <w:t xml:space="preserve">DECLARADO y PROPUESTO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y la ficha maestra (sección 1). Los TdR no se aportaron; la regla bloqueante de articulación territorial (Paso 5.0) queda registrada como reserva en el cierre del documento.</w:t>
      </w:r>
    </w:p>
    <w:bookmarkEnd w:id="100"/>
    <w:bookmarkStart w:id="101" w:name="_Toc00900047"/>
    <w:p>
      <w:pPr>
        <w:pStyle w:val="Heading2"/>
      </w:pPr>
      <w:r>
        <w:t xml:space="preserve">F0.2 Requisitos técnicos</w:t>
      </w:r>
    </w:p>
    <w:p>
      <w:pPr>
        <w:pStyle w:val="FirstParagraph"/>
      </w:pPr>
      <w:r>
        <w:t xml:space="preserve">Los requisitos técnicos definen la madurez de partida y de llegada, el tipo de grupo ejecutor y la alianza. El expediente E3 declara la madurez final en TRL 8 y también en «TRL 4 a 7 u 8». Esta formulación fija TRL 7 porque la demostración en entorno operativo no incluye calificación independiente del sistema completo, requisito del nivel 8. La Tabla F0.2 muestra el valor adoptado y su estado.</w:t>
      </w:r>
    </w:p>
    <w:p>
      <w:pPr>
        <w:pStyle w:val="TablaRotulo"/>
      </w:pPr>
      <w:bookmarkStart w:id="9054" w:name="rot_Tabla_F0_2"/>
      <w:r>
        <w:rPr>
          <w:b/>
          <w:bCs/>
        </w:rPr>
        <w:t xml:space="preserve">Tabla F0.2</w:t>
      </w:r>
      <w:bookmarkEnd w:id="9054"/>
    </w:p>
    <w:p>
      <w:pPr>
        <w:pStyle w:val="TablaTitulo"/>
      </w:pPr>
      <w:r>
        <w:rPr>
          <w:i/>
          <w:iCs/>
        </w:rPr>
        <w:t xml:space="preserve">Requisitos técnicos de la convocatoria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97"/>
        <w:gridCol w:w="2063"/>
        <w:gridCol w:w="998"/>
        <w:gridCol w:w="1464"/>
        <w:gridCol w:w="1996"/>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Valor adoptado</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TRL inicial mínimo exigido</w:t>
            </w:r>
          </w:p>
        </w:tc>
        <w:tc>
          <w:tcPr/>
          <w:p>
            <w:pPr>
              <w:pStyle w:val="Tabla9"/>
              <w:jc w:val="left"/>
            </w:pPr>
            <w:r>
              <w:t xml:space="preserve">[DATO_USUARIO: nivel mínimo exigido por los TdR]</w:t>
            </w:r>
          </w:p>
        </w:tc>
        <w:tc>
          <w:tcPr/>
          <w:p>
            <w:pPr>
              <w:pStyle w:val="Tabla9"/>
              <w:jc w:val="left"/>
            </w:pPr>
            <w:r>
              <w:t xml:space="preserve">TdR no aportados</w:t>
            </w:r>
          </w:p>
        </w:tc>
        <w:tc>
          <w:tcPr/>
          <w:p>
            <w:pPr>
              <w:pStyle w:val="Tabla9"/>
              <w:jc w:val="left"/>
            </w:pPr>
            <w:r>
              <w:t xml:space="preserve">VACIO</w:t>
            </w:r>
          </w:p>
        </w:tc>
        <w:tc>
          <w:tcPr/>
          <w:p>
            <w:pPr>
              <w:pStyle w:val="Tabla9"/>
              <w:jc w:val="left"/>
            </w:pPr>
            <w:r>
              <w:t xml:space="preserve">NO_VERIFICADO</w:t>
            </w:r>
          </w:p>
        </w:tc>
      </w:tr>
      <w:tr>
        <w:trPr>
          <w:cantSplit/>
        </w:trPr>
        <w:tc>
          <w:tcPr/>
          <w:p>
            <w:pPr>
              <w:pStyle w:val="Tabla9"/>
              <w:jc w:val="left"/>
            </w:pPr>
            <w:r>
              <w:t xml:space="preserve">TRL inicial del proyecto</w:t>
            </w:r>
          </w:p>
        </w:tc>
        <w:tc>
          <w:tcPr/>
          <w:p>
            <w:pPr>
              <w:pStyle w:val="Tabla9"/>
              <w:jc w:val="left"/>
            </w:pPr>
            <w:r>
              <w:t xml:space="preserve">TRL 4: validación de componentes en laboratorio</w:t>
            </w:r>
          </w:p>
        </w:tc>
        <w:tc>
          <w:tcPr/>
          <w:p>
            <w:pPr>
              <w:pStyle w:val="Tabla9"/>
              <w:jc w:val="left"/>
            </w:pPr>
            <w:r>
              <w:t xml:space="preserve">Paso 1 del usuario</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TRL final esperado</w:t>
            </w:r>
          </w:p>
        </w:tc>
        <w:tc>
          <w:tcPr/>
          <w:p>
            <w:pPr>
              <w:pStyle w:val="Tabla9"/>
              <w:jc w:val="left"/>
            </w:pPr>
            <w:r>
              <w:t xml:space="preserve">TRL 7: demostración del sistema en entorno operativo (el expediente declaraba TRL 8)</w:t>
            </w:r>
          </w:p>
        </w:tc>
        <w:tc>
          <w:tcPr/>
          <w:p>
            <w:pPr>
              <w:pStyle w:val="Tabla9"/>
              <w:jc w:val="left"/>
            </w:pPr>
            <w:r>
              <w:t xml:space="preserve">Decisión DEC-F05</w:t>
            </w:r>
          </w:p>
        </w:tc>
        <w:tc>
          <w:tcPr/>
          <w:p>
            <w:pPr>
              <w:pStyle w:val="Tabla9"/>
              <w:jc w:val="left"/>
            </w:pPr>
            <w:r>
              <w:t xml:space="preserve">PROPUESTO</w:t>
            </w:r>
          </w:p>
        </w:tc>
        <w:tc>
          <w:tcPr/>
          <w:p>
            <w:pPr>
              <w:pStyle w:val="Tabla9"/>
              <w:jc w:val="left"/>
            </w:pPr>
            <w:r>
              <w:t xml:space="preserve">NO_APLICA</w:t>
            </w:r>
          </w:p>
        </w:tc>
      </w:tr>
      <w:tr>
        <w:trPr>
          <w:cantSplit/>
        </w:trPr>
        <w:tc>
          <w:tcPr/>
          <w:p>
            <w:pPr>
              <w:pStyle w:val="Tabla9"/>
              <w:jc w:val="left"/>
            </w:pPr>
            <w:r>
              <w:t xml:space="preserve">Grupos de investigación requeridos</w:t>
            </w:r>
          </w:p>
        </w:tc>
        <w:tc>
          <w:tcPr/>
          <w:p>
            <w:pPr>
              <w:pStyle w:val="Tabla9"/>
              <w:jc w:val="left"/>
            </w:pPr>
            <w:r>
              <w:t xml:space="preserve">Un grupo de telecomunicaciones y señales con categoría A1 o A; [DATO_USUARIO: nombre y código GrupLAC]</w:t>
            </w:r>
          </w:p>
        </w:tc>
        <w:tc>
          <w:tcPr/>
          <w:p>
            <w:pPr>
              <w:pStyle w:val="Tabla9"/>
              <w:jc w:val="left"/>
            </w:pPr>
            <w:r>
              <w:t xml:space="preserve">Paso 1 del usuario</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Alianzas obligatorias</w:t>
            </w:r>
          </w:p>
        </w:tc>
        <w:tc>
          <w:tcPr/>
          <w:p>
            <w:pPr>
              <w:pStyle w:val="Tabla9"/>
              <w:jc w:val="left"/>
            </w:pPr>
            <w:r>
              <w:t xml:space="preserve">Empresa tecnológica, institución de educación superior y entidades territoriales</w:t>
            </w:r>
          </w:p>
        </w:tc>
        <w:tc>
          <w:tcPr/>
          <w:p>
            <w:pPr>
              <w:pStyle w:val="Tabla9"/>
              <w:jc w:val="left"/>
            </w:pPr>
            <w:r>
              <w:t xml:space="preserve">Paso 1 del usuario y supuesto del usuario</w:t>
            </w:r>
          </w:p>
        </w:tc>
        <w:tc>
          <w:tcPr/>
          <w:p>
            <w:pPr>
              <w:pStyle w:val="Tabla9"/>
              <w:jc w:val="left"/>
            </w:pPr>
            <w:r>
              <w:t xml:space="preserve">SUPUESTO</w:t>
            </w:r>
          </w:p>
        </w:tc>
        <w:tc>
          <w:tcPr/>
          <w:p>
            <w:pPr>
              <w:pStyle w:val="Tabla9"/>
              <w:jc w:val="left"/>
            </w:pPr>
            <w:r>
              <w:t xml:space="preserve">NO_VERIFICADO</w:t>
            </w:r>
          </w:p>
        </w:tc>
      </w:tr>
      <w:tr>
        <w:trPr>
          <w:cantSplit/>
        </w:trPr>
        <w:tc>
          <w:tcPr/>
          <w:p>
            <w:pPr>
              <w:pStyle w:val="Tabla9"/>
              <w:jc w:val="left"/>
            </w:pPr>
            <w:r>
              <w:t xml:space="preserve">Enfoque diferencial</w:t>
            </w:r>
          </w:p>
        </w:tc>
        <w:tc>
          <w:tcPr/>
          <w:p>
            <w:pPr>
              <w:pStyle w:val="Tabla9"/>
              <w:jc w:val="left"/>
            </w:pPr>
            <w:r>
              <w:t xml:space="preserve">[DATO_USUARIO: enfoque diferencial exigido por los TdR]</w:t>
            </w:r>
          </w:p>
        </w:tc>
        <w:tc>
          <w:tcPr/>
          <w:p>
            <w:pPr>
              <w:pStyle w:val="Tabla9"/>
              <w:jc w:val="left"/>
            </w:pPr>
            <w:r>
              <w:t xml:space="preserve">TdR no aportados</w:t>
            </w:r>
          </w:p>
        </w:tc>
        <w:tc>
          <w:tcPr/>
          <w:p>
            <w:pPr>
              <w:pStyle w:val="Tabla9"/>
              <w:jc w:val="left"/>
            </w:pPr>
            <w:r>
              <w:t xml:space="preserve">VACIO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y la ficha maestra. La categoría del grupo es una declaración del expediente y no se verificó en la plataforma de MinCiencias.</w:t>
      </w:r>
    </w:p>
    <w:bookmarkEnd w:id="101"/>
    <w:bookmarkStart w:id="102" w:name="_Toc00900048"/>
    <w:p>
      <w:pPr>
        <w:pStyle w:val="Heading2"/>
      </w:pPr>
      <w:r>
        <w:t xml:space="preserve">F0.3 Estructura del documento</w:t>
      </w:r>
    </w:p>
    <w:p>
      <w:pPr>
        <w:pStyle w:val="FirstParagraph"/>
      </w:pPr>
      <w:r>
        <w:t xml:space="preserve">La estructura obedece a la secuencia del metaprompt GENESIS-CTeI 36.10 RC2 y se entrega en un solo documento. La Tabla F0.3 lista las partes. La Parte I reúne los pasos previos a la redacción de los capítulos. La Parte II desarrolla los 21 capítulos del Paso 8. La Parte III contiene el paquete de documentos 1000X del Paso 9 y el capítulo de estrategia del Mensaje 10. El documento cierra con el registro de vacíos y los cuatro cierres F-01 a F-04.</w:t>
      </w:r>
    </w:p>
    <w:p>
      <w:pPr>
        <w:pStyle w:val="TablaRotulo"/>
      </w:pPr>
      <w:bookmarkStart w:id="9055" w:name="rot_Tabla_F0_3"/>
      <w:r>
        <w:rPr>
          <w:b/>
          <w:bCs/>
        </w:rPr>
        <w:t xml:space="preserve">Tabla F0.3</w:t>
      </w:r>
      <w:bookmarkEnd w:id="9055"/>
    </w:p>
    <w:p>
      <w:pPr>
        <w:pStyle w:val="TablaTitulo"/>
      </w:pPr>
      <w:r>
        <w:rPr>
          <w:i/>
          <w:iCs/>
        </w:rPr>
        <w:t xml:space="preserve">Estructura del documento único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064"/>
        <w:gridCol w:w="2928"/>
        <w:gridCol w:w="1597"/>
        <w:gridCol w:w="2329"/>
      </w:tblGrid>
      <w:tr>
        <w:trPr>
          <w:cantSplit/>
          <w:tblHeader/>
        </w:trPr>
        <w:tc>
          <w:tcPr>
            <w:shd w:val="clear" w:color="auto" w:fill="00B050"/>
          </w:tcPr>
          <w:p>
            <w:pPr>
              <w:pStyle w:val="Tabla9"/>
              <w:jc w:val="center"/>
            </w:pPr>
            <w:r>
              <w:rPr>
                <w:b/>
                <w:color w:val="FFFFFF"/>
              </w:rPr>
              <w:t xml:space="preserve">Parte</w:t>
            </w:r>
          </w:p>
        </w:tc>
        <w:tc>
          <w:tcPr>
            <w:shd w:val="clear" w:color="auto" w:fill="00B050"/>
          </w:tcPr>
          <w:p>
            <w:pPr>
              <w:pStyle w:val="Tabla9"/>
              <w:jc w:val="center"/>
            </w:pPr>
            <w:r>
              <w:rPr>
                <w:b/>
                <w:color w:val="FFFFFF"/>
              </w:rPr>
              <w:t xml:space="preserve">Contenido</w:t>
            </w:r>
          </w:p>
        </w:tc>
        <w:tc>
          <w:tcPr>
            <w:shd w:val="clear" w:color="auto" w:fill="00B050"/>
          </w:tcPr>
          <w:p>
            <w:pPr>
              <w:pStyle w:val="Tabla9"/>
              <w:jc w:val="center"/>
            </w:pPr>
            <w:r>
              <w:rPr>
                <w:b/>
                <w:color w:val="FFFFFF"/>
              </w:rPr>
              <w:t xml:space="preserve">Pasos del metaprompt</w:t>
            </w:r>
          </w:p>
        </w:tc>
        <w:tc>
          <w:tcPr>
            <w:shd w:val="clear" w:color="auto" w:fill="00B050"/>
          </w:tcPr>
          <w:p>
            <w:pPr>
              <w:pStyle w:val="Tabla9"/>
              <w:jc w:val="center"/>
            </w:pPr>
            <w:r>
              <w:rPr>
                <w:b/>
                <w:color w:val="FFFFFF"/>
              </w:rPr>
              <w:t xml:space="preserve">Formato</w:t>
            </w:r>
          </w:p>
        </w:tc>
      </w:tr>
      <w:tr>
        <w:trPr>
          <w:cantSplit/>
        </w:trPr>
        <w:tc>
          <w:tcPr/>
          <w:p>
            <w:pPr>
              <w:pStyle w:val="Tabla9"/>
              <w:jc w:val="left"/>
            </w:pPr>
            <w:r>
              <w:t xml:space="preserve">Parte I</w:t>
            </w:r>
          </w:p>
        </w:tc>
        <w:tc>
          <w:tcPr/>
          <w:p>
            <w:pPr>
              <w:pStyle w:val="Tabla9"/>
              <w:jc w:val="left"/>
            </w:pPr>
            <w:r>
              <w:t xml:space="preserve">Configuración, información básica, ecuaciones de vigilancia, procesamiento bibliométrico, análisis causal, formalización, alternativas e indicadores</w:t>
            </w:r>
          </w:p>
        </w:tc>
        <w:tc>
          <w:tcPr/>
          <w:p>
            <w:pPr>
              <w:pStyle w:val="Tabla9"/>
              <w:jc w:val="left"/>
            </w:pPr>
            <w:r>
              <w:t xml:space="preserve">Pasos 0 a 7</w:t>
            </w:r>
          </w:p>
        </w:tc>
        <w:tc>
          <w:tcPr/>
          <w:p>
            <w:pPr>
              <w:pStyle w:val="Tabla9"/>
              <w:jc w:val="left"/>
            </w:pPr>
            <w:r>
              <w:t xml:space="preserve">Prefijo F en tablas y figuras (por ejemplo, Tabla F5.1)</w:t>
            </w:r>
          </w:p>
        </w:tc>
      </w:tr>
      <w:tr>
        <w:trPr>
          <w:cantSplit/>
        </w:trPr>
        <w:tc>
          <w:tcPr/>
          <w:p>
            <w:pPr>
              <w:pStyle w:val="Tabla9"/>
              <w:jc w:val="left"/>
            </w:pPr>
            <w:r>
              <w:t xml:space="preserve">Parte II</w:t>
            </w:r>
          </w:p>
        </w:tc>
        <w:tc>
          <w:tcPr/>
          <w:p>
            <w:pPr>
              <w:pStyle w:val="Tabla9"/>
              <w:jc w:val="left"/>
            </w:pPr>
            <w:r>
              <w:t xml:space="preserve">Capítulos 1 a 21: del problema al Project Charter, con bibliografía y anexos</w:t>
            </w:r>
          </w:p>
        </w:tc>
        <w:tc>
          <w:tcPr/>
          <w:p>
            <w:pPr>
              <w:pStyle w:val="Tabla9"/>
              <w:jc w:val="left"/>
            </w:pPr>
            <w:r>
              <w:t xml:space="preserve">Paso 8</w:t>
            </w:r>
          </w:p>
        </w:tc>
        <w:tc>
          <w:tcPr/>
          <w:p>
            <w:pPr>
              <w:pStyle w:val="Tabla9"/>
              <w:jc w:val="left"/>
            </w:pPr>
            <w:r>
              <w:t xml:space="preserve">Numeración «capítulo.n» (por ejemplo, Tabla 8.3)</w:t>
            </w:r>
          </w:p>
        </w:tc>
      </w:tr>
      <w:tr>
        <w:trPr>
          <w:cantSplit/>
        </w:trPr>
        <w:tc>
          <w:tcPr/>
          <w:p>
            <w:pPr>
              <w:pStyle w:val="Tabla9"/>
              <w:jc w:val="left"/>
            </w:pPr>
            <w:r>
              <w:t xml:space="preserve">Parte III</w:t>
            </w:r>
          </w:p>
        </w:tc>
        <w:tc>
          <w:tcPr/>
          <w:p>
            <w:pPr>
              <w:pStyle w:val="Tabla9"/>
              <w:jc w:val="left"/>
            </w:pPr>
            <w:r>
              <w:t xml:space="preserve">Paquete 1000X (diez documentos) y capítulo de estrategia</w:t>
            </w:r>
          </w:p>
        </w:tc>
        <w:tc>
          <w:tcPr/>
          <w:p>
            <w:pPr>
              <w:pStyle w:val="Tabla9"/>
              <w:jc w:val="left"/>
            </w:pPr>
            <w:r>
              <w:t xml:space="preserve">Paso 9 y Mensaje 10</w:t>
            </w:r>
          </w:p>
        </w:tc>
        <w:tc>
          <w:tcPr/>
          <w:p>
            <w:pPr>
              <w:pStyle w:val="Tabla9"/>
              <w:jc w:val="left"/>
            </w:pPr>
            <w:r>
              <w:t xml:space="preserve">Prefijo X y número de documento (por ejemplo, Tabla X4.2)</w:t>
            </w:r>
          </w:p>
        </w:tc>
      </w:tr>
      <w:tr>
        <w:trPr>
          <w:cantSplit/>
        </w:trPr>
        <w:tc>
          <w:tcPr/>
          <w:p>
            <w:pPr>
              <w:pStyle w:val="Tabla9"/>
              <w:jc w:val="left"/>
            </w:pPr>
            <w:r>
              <w:t xml:space="preserve">Cierre</w:t>
            </w:r>
          </w:p>
        </w:tc>
        <w:tc>
          <w:tcPr/>
          <w:p>
            <w:pPr>
              <w:pStyle w:val="Tabla9"/>
              <w:jc w:val="left"/>
            </w:pPr>
            <w:r>
              <w:t xml:space="preserve">Registro de vacíos, reservas y cierres F-01 a F-04</w:t>
            </w:r>
          </w:p>
        </w:tc>
        <w:tc>
          <w:tcPr/>
          <w:p>
            <w:pPr>
              <w:pStyle w:val="Tabla9"/>
              <w:jc w:val="left"/>
            </w:pPr>
            <w:r>
              <w:t xml:space="preserve">Módulos de cierre</w:t>
            </w:r>
          </w:p>
        </w:tc>
        <w:tc>
          <w:tcPr/>
          <w:p>
            <w:pPr>
              <w:pStyle w:val="Tabla9"/>
              <w:jc w:val="left"/>
            </w:pPr>
            <w:r>
              <w:t xml:space="preserve">Prefijo C</w:t>
            </w:r>
          </w:p>
        </w:tc>
      </w:tr>
    </w:tbl>
    <w:p>
      <w:pPr>
        <w:pStyle w:val="TablaNota"/>
      </w:pPr>
      <w:r>
        <w:rPr>
          <w:i/>
          <w:iCs/>
        </w:rPr>
        <w:t xml:space="preserve">Nota.</w:t>
      </w:r>
      <w:r>
        <w:t xml:space="preserve"> </w:t>
      </w:r>
      <w:r>
        <w:t xml:space="preserve">Elaboración propia con la especificación del metaprompt. La extensión máxima y el formato exigidos por los TdR son [DATO_USUARIO: extensión y formato de radicación]; el documento se entrega en Word y PDF por instrucción del usuario.</w:t>
      </w:r>
    </w:p>
    <w:bookmarkEnd w:id="102"/>
    <w:bookmarkStart w:id="109" w:name="_Toc00900049"/>
    <w:p>
      <w:pPr>
        <w:pStyle w:val="Heading2"/>
      </w:pPr>
      <w:r>
        <w:t xml:space="preserve">F0.4 Convenciones de presentación</w:t>
      </w:r>
    </w:p>
    <w:p>
      <w:pPr>
        <w:pStyle w:val="FirstParagraph"/>
      </w:pPr>
      <w:r>
        <w:t xml:space="preserve">El usuario fijó dos reglas de presentación el 13 de octubre de 2026. La primera adopta los cinco niveles de encabezado de la séptima edición de las normas APA (American Psychological Association, 2020). La segunda impone una sola plantilla visual para todas las figuras y tablas. Ambas reglas se aplican al documento completo mediante estilos de Word y una hoja de estilo gráfica común. Ningún capítulo usa un criterio propio. El 16 de octubre de 2026 el usuario ordenó presentar el documento en el formato oficial del Anexo 2 de la convocatoria (decisión DEC-F23). Esa decisión reemplaza la presentación de encabezados y de tablas descrita abajo, y conserva la plantilla visual para las figuras.</w:t>
      </w:r>
    </w:p>
    <w:bookmarkStart w:id="103" w:name="_Toc00900050"/>
    <w:p>
      <w:pPr>
        <w:pStyle w:val="Heading3"/>
      </w:pPr>
      <w:r>
        <w:t xml:space="preserve">F0.4.1 Jerarquía de encabezados</w:t>
      </w:r>
    </w:p>
    <w:p>
      <w:pPr>
        <w:pStyle w:val="FirstParagraph"/>
      </w:pPr>
      <w:r>
        <w:t xml:space="preserve">La Tabla F0.4 describe los cinco niveles. Los niveles 1 a 3 aparecen en la tabla de contenido. Los niveles 4 y 5 inician el párrafo, terminan en punto y no se numeran. El documento numera los títulos de niveles 1 y 2 con un código decimal que se declara aquí una sola vez.</w:t>
      </w:r>
    </w:p>
    <w:p>
      <w:pPr>
        <w:pStyle w:val="TablaRotulo"/>
      </w:pPr>
      <w:bookmarkStart w:id="9056" w:name="rot_Tabla_F0_4"/>
      <w:r>
        <w:rPr>
          <w:b/>
          <w:bCs/>
        </w:rPr>
        <w:t xml:space="preserve">Tabla F0.4</w:t>
      </w:r>
      <w:bookmarkEnd w:id="9056"/>
    </w:p>
    <w:p>
      <w:pPr>
        <w:pStyle w:val="TablaTitulo"/>
      </w:pPr>
      <w:r>
        <w:rPr>
          <w:i/>
          <w:iCs/>
        </w:rPr>
        <w:t xml:space="preserve">Niveles de encabezado según APA 7 aplicados al documento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24"/>
        <w:gridCol w:w="2574"/>
        <w:gridCol w:w="1914"/>
        <w:gridCol w:w="2508"/>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Formato</w:t>
            </w:r>
          </w:p>
        </w:tc>
        <w:tc>
          <w:tcPr>
            <w:shd w:val="clear" w:color="auto" w:fill="00B050"/>
          </w:tcPr>
          <w:p>
            <w:pPr>
              <w:pStyle w:val="Tabla9"/>
              <w:jc w:val="center"/>
            </w:pPr>
            <w:r>
              <w:rPr>
                <w:b/>
                <w:color w:val="FFFFFF"/>
              </w:rPr>
              <w:t xml:space="preserve">Ubicación del texto</w:t>
            </w:r>
          </w:p>
        </w:tc>
        <w:tc>
          <w:tcPr>
            <w:shd w:val="clear" w:color="auto" w:fill="00B050"/>
          </w:tcPr>
          <w:p>
            <w:pPr>
              <w:pStyle w:val="Tabla9"/>
              <w:jc w:val="center"/>
            </w:pPr>
            <w:r>
              <w:rPr>
                <w:b/>
                <w:color w:val="FFFFFF"/>
              </w:rPr>
              <w:t xml:space="preserve">Uso en el documento</w:t>
            </w:r>
          </w:p>
        </w:tc>
      </w:tr>
      <w:tr>
        <w:trPr>
          <w:cantSplit/>
        </w:trPr>
        <w:tc>
          <w:tcPr/>
          <w:p>
            <w:pPr>
              <w:pStyle w:val="Tabla9"/>
              <w:jc w:val="left"/>
            </w:pPr>
            <w:r>
              <w:t xml:space="preserve">1</w:t>
            </w:r>
          </w:p>
        </w:tc>
        <w:tc>
          <w:tcPr/>
          <w:p>
            <w:pPr>
              <w:pStyle w:val="Tabla9"/>
              <w:jc w:val="left"/>
            </w:pPr>
            <w:r>
              <w:t xml:space="preserve">Alineado a la izquierda, negrita, mayúscula sostenida (formato Anexo 2, DEC-F23)</w:t>
            </w:r>
          </w:p>
        </w:tc>
        <w:tc>
          <w:tcPr/>
          <w:p>
            <w:pPr>
              <w:pStyle w:val="Tabla9"/>
              <w:jc w:val="left"/>
            </w:pPr>
            <w:r>
              <w:t xml:space="preserve">Párrafo nuevo bajo el título</w:t>
            </w:r>
          </w:p>
        </w:tc>
        <w:tc>
          <w:tcPr/>
          <w:p>
            <w:pPr>
              <w:pStyle w:val="Tabla9"/>
              <w:jc w:val="left"/>
            </w:pPr>
            <w:r>
              <w:t xml:space="preserve">Pasos, capítulos, paquete 1000X y cierre</w:t>
            </w:r>
          </w:p>
        </w:tc>
      </w:tr>
      <w:tr>
        <w:trPr>
          <w:cantSplit/>
        </w:trPr>
        <w:tc>
          <w:tcPr/>
          <w:p>
            <w:pPr>
              <w:pStyle w:val="Tabla9"/>
              <w:jc w:val="left"/>
            </w:pPr>
            <w:r>
              <w:t xml:space="preserve">2</w:t>
            </w:r>
          </w:p>
        </w:tc>
        <w:tc>
          <w:tcPr/>
          <w:p>
            <w:pPr>
              <w:pStyle w:val="Tabla9"/>
              <w:jc w:val="left"/>
            </w:pPr>
            <w:r>
              <w:t xml:space="preserve">Alineado a la izquierda, negrita</w:t>
            </w:r>
          </w:p>
        </w:tc>
        <w:tc>
          <w:tcPr/>
          <w:p>
            <w:pPr>
              <w:pStyle w:val="Tabla9"/>
              <w:jc w:val="left"/>
            </w:pPr>
            <w:r>
              <w:t xml:space="preserve">Párrafo nuevo bajo el título</w:t>
            </w:r>
          </w:p>
        </w:tc>
        <w:tc>
          <w:tcPr/>
          <w:p>
            <w:pPr>
              <w:pStyle w:val="Tabla9"/>
              <w:jc w:val="left"/>
            </w:pPr>
            <w:r>
              <w:t xml:space="preserve">Secciones numeradas (por ejemplo, 8.2)</w:t>
            </w:r>
          </w:p>
        </w:tc>
      </w:tr>
      <w:tr>
        <w:trPr>
          <w:cantSplit/>
        </w:trPr>
        <w:tc>
          <w:tcPr/>
          <w:p>
            <w:pPr>
              <w:pStyle w:val="Tabla9"/>
              <w:jc w:val="left"/>
            </w:pPr>
            <w:r>
              <w:t xml:space="preserve">3</w:t>
            </w:r>
          </w:p>
        </w:tc>
        <w:tc>
          <w:tcPr/>
          <w:p>
            <w:pPr>
              <w:pStyle w:val="Tabla9"/>
              <w:jc w:val="left"/>
            </w:pPr>
            <w:r>
              <w:t xml:space="preserve">Alineado a la izquierda, negrita cursiva</w:t>
            </w:r>
          </w:p>
        </w:tc>
        <w:tc>
          <w:tcPr/>
          <w:p>
            <w:pPr>
              <w:pStyle w:val="Tabla9"/>
              <w:jc w:val="left"/>
            </w:pPr>
            <w:r>
              <w:t xml:space="preserve">Párrafo nuevo bajo el título</w:t>
            </w:r>
          </w:p>
        </w:tc>
        <w:tc>
          <w:tcPr/>
          <w:p>
            <w:pPr>
              <w:pStyle w:val="Tabla9"/>
              <w:jc w:val="left"/>
            </w:pPr>
            <w:r>
              <w:t xml:space="preserve">Subsecciones numeradas (por ejemplo, 8.2.1)</w:t>
            </w:r>
          </w:p>
        </w:tc>
      </w:tr>
      <w:tr>
        <w:trPr>
          <w:cantSplit/>
        </w:trPr>
        <w:tc>
          <w:tcPr/>
          <w:p>
            <w:pPr>
              <w:pStyle w:val="Tabla9"/>
              <w:jc w:val="left"/>
            </w:pPr>
            <w:r>
              <w:t xml:space="preserve">4</w:t>
            </w:r>
          </w:p>
        </w:tc>
        <w:tc>
          <w:tcPr/>
          <w:p>
            <w:pPr>
              <w:pStyle w:val="Tabla9"/>
              <w:jc w:val="left"/>
            </w:pPr>
            <w:r>
              <w:t xml:space="preserve">Sangría de 1,27 cm, negrita, con punto final</w:t>
            </w:r>
          </w:p>
        </w:tc>
        <w:tc>
          <w:tcPr/>
          <w:p>
            <w:pPr>
              <w:pStyle w:val="Tabla9"/>
              <w:jc w:val="left"/>
            </w:pPr>
            <w:r>
              <w:t xml:space="preserve">Misma línea que el título</w:t>
            </w:r>
          </w:p>
        </w:tc>
        <w:tc>
          <w:tcPr/>
          <w:p>
            <w:pPr>
              <w:pStyle w:val="Tabla9"/>
              <w:jc w:val="left"/>
            </w:pPr>
            <w:r>
              <w:t xml:space="preserve">Apartados dentro de una subsección</w:t>
            </w:r>
          </w:p>
        </w:tc>
      </w:tr>
      <w:tr>
        <w:trPr>
          <w:cantSplit/>
        </w:trPr>
        <w:tc>
          <w:tcPr/>
          <w:p>
            <w:pPr>
              <w:pStyle w:val="Tabla9"/>
              <w:jc w:val="left"/>
            </w:pPr>
            <w:r>
              <w:t xml:space="preserve">5</w:t>
            </w:r>
          </w:p>
        </w:tc>
        <w:tc>
          <w:tcPr/>
          <w:p>
            <w:pPr>
              <w:pStyle w:val="Tabla9"/>
              <w:jc w:val="left"/>
            </w:pPr>
            <w:r>
              <w:t xml:space="preserve">Sangría de 1,27 cm, negrita cursiva, con punto final</w:t>
            </w:r>
          </w:p>
        </w:tc>
        <w:tc>
          <w:tcPr/>
          <w:p>
            <w:pPr>
              <w:pStyle w:val="Tabla9"/>
              <w:jc w:val="left"/>
            </w:pPr>
            <w:r>
              <w:t xml:space="preserve">Misma línea que el título</w:t>
            </w:r>
          </w:p>
        </w:tc>
        <w:tc>
          <w:tcPr/>
          <w:p>
            <w:pPr>
              <w:pStyle w:val="Tabla9"/>
              <w:jc w:val="left"/>
            </w:pPr>
            <w:r>
              <w:t xml:space="preserve">Ítems dentro de un apartado</w:t>
            </w:r>
          </w:p>
        </w:tc>
      </w:tr>
    </w:tbl>
    <w:p>
      <w:pPr>
        <w:pStyle w:val="TablaNota"/>
      </w:pPr>
      <w:r>
        <w:rPr>
          <w:i/>
          <w:iCs/>
        </w:rPr>
        <w:t xml:space="preserve">Nota.</w:t>
      </w:r>
      <w:r>
        <w:t xml:space="preserve"> </w:t>
      </w:r>
      <w:r>
        <w:t xml:space="preserve">Elaboración propia con American Psychological Association (2020). Los niveles 4 y 5 no figuran en la tabla de contenido.</w:t>
      </w:r>
    </w:p>
    <w:bookmarkEnd w:id="103"/>
    <w:bookmarkStart w:id="107" w:name="_Toc00900051"/>
    <w:p>
      <w:pPr>
        <w:pStyle w:val="Heading3"/>
      </w:pPr>
      <w:r>
        <w:t xml:space="preserve">F0.4.2 Plantilla visual</w:t>
      </w:r>
    </w:p>
    <w:p>
      <w:pPr>
        <w:pStyle w:val="FirstParagraph"/>
      </w:pPr>
      <w:r>
        <w:t xml:space="preserve">La plantilla visual asigna una función a cada color y define una jerarquía tipográfica. El color #2A3439 se reserva para texto, estructura y máximo contraste. El color #6699CC marca la categoría principal, el punto más alto y el filete bajo el encabezado de tabla. El color #9EB9D4 identifica la serie secundaria, y #B9D9EB, el apoyo y la baja prioridad. Los neutros #F5F5F5 y #F7F7F7 rellenan cajas y filas alternas. La Figura F0.1 resume esas funciones.</w:t>
      </w:r>
    </w:p>
    <w:p>
      <w:pPr>
        <w:pStyle w:val="FiguraRotulo"/>
      </w:pPr>
      <w:bookmarkStart w:id="9472" w:name="rot_Figura_F0_1"/>
      <w:r>
        <w:rPr>
          <w:b/>
          <w:bCs/>
        </w:rPr>
        <w:t xml:space="preserve">Figura F0.1</w:t>
      </w:r>
      <w:bookmarkEnd w:id="9472"/>
    </w:p>
    <w:p>
      <w:pPr>
        <w:pStyle w:val="FiguraTitulo"/>
      </w:pPr>
      <w:r>
        <w:rPr>
          <w:i/>
          <w:iCs/>
        </w:rPr>
        <w:t xml:space="preserve">Funciones de color de la plantilla visual</w:t>
      </w:r>
    </w:p>
    <w:p>
      <w:pPr>
        <w:pStyle w:val="BodyText"/>
      </w:pPr>
      <w:r>
        <w:drawing>
          <wp:inline>
            <wp:extent cx="5579999" cy="3160699"/>
            <wp:effectExtent b="0" l="0" r="0" t="0"/>
            <wp:docPr descr="" title="" id="105" name="Picture"/>
            <a:graphic>
              <a:graphicData uri="http://schemas.openxmlformats.org/drawingml/2006/picture">
                <pic:pic>
                  <pic:nvPicPr>
                    <pic:cNvPr descr="/tmp/claude-0/-home-user-docs/ddf38714-2a7e-502b-92b4-1008e2832422/scratchpad/proy/figs/out/cF0_f01.png" id="106" name="Picture"/>
                    <pic:cNvPicPr>
                      <a:picLocks noChangeArrowheads="1" noChangeAspect="1"/>
                    </pic:cNvPicPr>
                  </pic:nvPicPr>
                  <pic:blipFill>
                    <a:blip r:embed="rId104"/>
                    <a:stretch>
                      <a:fillRect/>
                    </a:stretch>
                  </pic:blipFill>
                  <pic:spPr bwMode="auto">
                    <a:xfrm>
                      <a:off x="0" y="0"/>
                      <a:ext cx="5579999" cy="31606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3 y la hoja de estilo figs/estilo.py; paleta definida por el usuario el 13 de octubre de 2026. El texto sobre #6699CC alcanza una relación de contraste de 4,24:1, inferior a 4,5:1; por eso los encabezados de tabla usan #B9D9EB (8,61:1) y reservan #6699CC para el filete.</w:t>
      </w:r>
    </w:p>
    <w:p>
      <w:pPr>
        <w:pStyle w:val="BodyText"/>
      </w:pPr>
      <w:r>
        <w:t xml:space="preserve">Las figuras siguen cuatro reglas adicionales. El título de la figura enuncia el hallazgo en negrita y el subtítulo indica variable, periodo y unidades en peso normal. Las etiquetas de datos se escriben junto a la marca y no en una leyenda separada. Los ejes superior y derecho no se dibujan, y la cuadrícula horizontal es una línea discontinua fina con opacidad de 0,25. El fondo es transparente, con exportación recortada al contenido. Este último criterio exceptúa la regla FIG-02 del metaprompt, que prohíbe la cuadrícula, por instrucción expresa del usuario (decisión DEC-F13).</w:t>
      </w:r>
    </w:p>
    <w:p>
      <w:pPr>
        <w:pStyle w:val="BodyText"/>
      </w:pPr>
      <w:r>
        <w:t xml:space="preserve">Las tablas siguen el formato del Anexo 2 (decisión DEC-F23). El rótulo («Tabla c.n») va en negrita y el título en cursiva, sin punto final. La tabla lleva bordes negros en todas las celdas. El encabezado usa relleno verde #00B050 con texto blanco en negrita y centrado. La nota comienza con la palabra «Nota» en cursiva. Las tablas con doce o más columnas se imprimen en hoja apaisada.</w:t>
      </w:r>
    </w:p>
    <w:bookmarkEnd w:id="107"/>
    <w:bookmarkStart w:id="108" w:name="Xb994f9b7a3e57018fcd479c8d52e76bdb388b6f"/>
    <w:p>
      <w:pPr>
        <w:pStyle w:val="Heading3"/>
      </w:pPr>
      <w:r>
        <w:t xml:space="preserve">F0.4.3 Convenciones de redacción y de trazabilidad</w:t>
      </w:r>
    </w:p>
    <w:p>
      <w:pPr>
        <w:pStyle w:val="FirstParagraph"/>
      </w:pPr>
      <w:r>
        <w:t xml:space="preserve">El texto usa registro impersonal, oraciones de 25 palabras o menos y siglas desarrolladas en su primera aparición. Los decimales se escriben con coma y los miles con punto. Cada cifra cardinal procede de la ficha maestra del proyecto o del informe de vigilancia tecnológica con su página. La naturaleza del dato puede ser DOCUMENTADO, DECLARADO, CALCULADO, INFERIDO, SUPUESTO, PROPUESTO, ILUSTRATIVO o VACIO. Su verificación puede ser VERIFICADO, PARCIALMENTE_VERIFICADO, NO_VERIFICADO, CONTRADICTORIO o NO_APLICA. Ambos son ejes independientes. El marcador [DATO_USUARIO: descripción] señala la información que solo el usuario posee y que no se inventa.</w:t>
      </w:r>
    </w:p>
    <w:bookmarkEnd w:id="108"/>
    <w:bookmarkEnd w:id="109"/>
    <w:bookmarkStart w:id="110" w:name="_Toc00900052"/>
    <w:p>
      <w:pPr>
        <w:pStyle w:val="Heading2"/>
      </w:pPr>
      <w:r>
        <w:t xml:space="preserve">F0.5 Decisiones de formulación</w:t>
      </w:r>
    </w:p>
    <w:p>
      <w:pPr>
        <w:pStyle w:val="FirstParagraph"/>
      </w:pPr>
      <w:r>
        <w:t xml:space="preserve">La formulación exigió quince decisiones que resuelven contradicciones del expediente E3-P00 o que fijan una opción cuando el metaprompt ofrece varias. La Tabla F0.5 las registra con el código DEC-F que se cita en el resto del documento. Cada decisión es PROPUESTA y requiere ratificación del equipo formulador antes de radicar.</w:t>
      </w:r>
    </w:p>
    <w:p>
      <w:pPr>
        <w:pStyle w:val="TablaRotulo"/>
      </w:pPr>
      <w:bookmarkStart w:id="9057" w:name="rot_Tabla_F0_5"/>
      <w:r>
        <w:rPr>
          <w:b/>
          <w:bCs/>
        </w:rPr>
        <w:t xml:space="preserve">Tabla F0.5</w:t>
      </w:r>
      <w:bookmarkEnd w:id="9057"/>
    </w:p>
    <w:p>
      <w:pPr>
        <w:pStyle w:val="TablaTitulo"/>
      </w:pPr>
      <w:r>
        <w:rPr>
          <w:i/>
          <w:iCs/>
        </w:rPr>
        <w:t xml:space="preserve">Registro de decisiones de formulación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6204"/>
      </w:tblGrid>
      <w:tr>
        <w:trPr>
          <w:cantSplit/>
          <w:tblHeader/>
        </w:trPr>
        <w:tc>
          <w:tcPr>
            <w:shd w:val="clear" w:color="auto" w:fill="00B050"/>
          </w:tcPr>
          <w:p>
            <w:pPr>
              <w:pStyle w:val="Tabla9"/>
              <w:jc w:val="center"/>
            </w:pPr>
            <w:r>
              <w:rPr>
                <w:b/>
                <w:color w:val="FFFFFF"/>
              </w:rPr>
              <w:t xml:space="preserve">Código</w:t>
            </w:r>
          </w:p>
        </w:tc>
        <w:tc>
          <w:tcPr>
            <w:shd w:val="clear" w:color="auto" w:fill="00B050"/>
          </w:tcPr>
          <w:p>
            <w:pPr>
              <w:pStyle w:val="Tabla9"/>
              <w:jc w:val="center"/>
            </w:pPr>
            <w:r>
              <w:rPr>
                <w:b/>
                <w:color w:val="FFFFFF"/>
              </w:rPr>
              <w:t xml:space="preserve">Decisión y fundamento</w:t>
            </w:r>
          </w:p>
        </w:tc>
      </w:tr>
      <w:tr>
        <w:trPr>
          <w:cantSplit/>
        </w:trPr>
        <w:tc>
          <w:tcPr/>
          <w:p>
            <w:pPr>
              <w:pStyle w:val="Tabla9"/>
              <w:jc w:val="left"/>
            </w:pPr>
            <w:r>
              <w:t xml:space="preserve">DEC-F01</w:t>
            </w:r>
          </w:p>
        </w:tc>
        <w:tc>
          <w:tcPr/>
          <w:p>
            <w:pPr>
              <w:pStyle w:val="Tabla9"/>
              <w:jc w:val="left"/>
            </w:pPr>
            <w:r>
              <w:t xml:space="preserve">Fuente de financiación y estructura: el expediente mezcla 'Convocatoria 56 MinCiencias' y 'SGR/OCAD/MGA'. Se adopta la denominación 'Convocatoria de Emergencia, Decreto 1414 de 2026 (SGR_CONV56)' del Paso 1 del usuario. Los términos de referencia no se aportaron: la estructura de 21 capítulos es la del metaprompt (SUPUESTO) y los datos que solo el usuario posee se marcan [DATO_USUARIO].</w:t>
            </w:r>
          </w:p>
        </w:tc>
      </w:tr>
      <w:tr>
        <w:trPr>
          <w:cantSplit/>
        </w:trPr>
        <w:tc>
          <w:tcPr/>
          <w:p>
            <w:pPr>
              <w:pStyle w:val="Tabla9"/>
              <w:jc w:val="left"/>
            </w:pPr>
            <w:r>
              <w:t xml:space="preserve">DEC-F02</w:t>
            </w:r>
          </w:p>
        </w:tc>
        <w:tc>
          <w:tcPr/>
          <w:p>
            <w:pPr>
              <w:pStyle w:val="Tabla9"/>
              <w:jc w:val="left"/>
            </w:pPr>
            <w:r>
              <w:t xml:space="preserve">Arquitectura: la corrección ocurre en el gateway; los nodos hoja usan LoRa y bajo consumo; los gateways usan red celular con enlace satelital alterno y almacenamiento local de 7 días (corrige HR-12 y HR-13).</w:t>
            </w:r>
          </w:p>
        </w:tc>
      </w:tr>
      <w:tr>
        <w:trPr>
          <w:cantSplit/>
        </w:trPr>
        <w:tc>
          <w:tcPr/>
          <w:p>
            <w:pPr>
              <w:pStyle w:val="Tabla9"/>
              <w:jc w:val="left"/>
            </w:pPr>
            <w:r>
              <w:t xml:space="preserve">DEC-F03</w:t>
            </w:r>
          </w:p>
        </w:tc>
        <w:tc>
          <w:tcPr/>
          <w:p>
            <w:pPr>
              <w:pStyle w:val="Tabla9"/>
              <w:jc w:val="left"/>
            </w:pPr>
            <w:r>
              <w:t xml:space="preserve">Estrategia de despliegue: R4 de 4.4-MDR (tramos con piloto de contraste y custodia distribuida), con compuertas C1 y C2 que liberan las compras del tramo siguiente.</w:t>
            </w:r>
          </w:p>
        </w:tc>
      </w:tr>
      <w:tr>
        <w:trPr>
          <w:cantSplit/>
        </w:trPr>
        <w:tc>
          <w:tcPr/>
          <w:p>
            <w:pPr>
              <w:pStyle w:val="Tabla9"/>
              <w:jc w:val="left"/>
            </w:pPr>
            <w:r>
              <w:t xml:space="preserve">DEC-F04</w:t>
            </w:r>
          </w:p>
        </w:tc>
        <w:tc>
          <w:tcPr/>
          <w:p>
            <w:pPr>
              <w:pStyle w:val="Tabla9"/>
              <w:jc w:val="left"/>
            </w:pPr>
            <w:r>
              <w:t xml:space="preserve">Meta de desempeño: R² ≥ 0,70 y NRMSE ≤ 30 % frente a referencia (ancla EPA, 2021); NMAE ≤ 15 % aspiracional; línea base medida en el tramo 1 (corrige HR-14: tres metas contradictorias).</w:t>
            </w:r>
          </w:p>
        </w:tc>
      </w:tr>
      <w:tr>
        <w:trPr>
          <w:cantSplit/>
        </w:trPr>
        <w:tc>
          <w:tcPr/>
          <w:p>
            <w:pPr>
              <w:pStyle w:val="Tabla9"/>
              <w:jc w:val="left"/>
            </w:pPr>
            <w:r>
              <w:t xml:space="preserve">DEC-F05</w:t>
            </w:r>
          </w:p>
        </w:tc>
        <w:tc>
          <w:tcPr/>
          <w:p>
            <w:pPr>
              <w:pStyle w:val="Tabla9"/>
              <w:jc w:val="left"/>
            </w:pPr>
            <w:r>
              <w:t xml:space="preserve">TRL final 7 (no 8): demostración en entorno operativo; TRL 8 exige calificación independiente que el plazo no cubre.</w:t>
            </w:r>
          </w:p>
        </w:tc>
      </w:tr>
      <w:tr>
        <w:trPr>
          <w:cantSplit/>
        </w:trPr>
        <w:tc>
          <w:tcPr/>
          <w:p>
            <w:pPr>
              <w:pStyle w:val="Tabla9"/>
              <w:jc w:val="left"/>
            </w:pPr>
            <w:r>
              <w:t xml:space="preserve">DEC-F06</w:t>
            </w:r>
          </w:p>
        </w:tc>
        <w:tc>
          <w:tcPr/>
          <w:p>
            <w:pPr>
              <w:pStyle w:val="Tabla9"/>
              <w:jc w:val="left"/>
            </w:pPr>
            <w:r>
              <w:t xml:space="preserve">Presupuesto: se solicita la suma justificada por actividad (62,4 % del tope), no el tope; la holgura se describe como opciones sin presupuestar (corrige HR-10).</w:t>
            </w:r>
          </w:p>
        </w:tc>
      </w:tr>
      <w:tr>
        <w:trPr>
          <w:cantSplit/>
        </w:trPr>
        <w:tc>
          <w:tcPr/>
          <w:p>
            <w:pPr>
              <w:pStyle w:val="Tabla9"/>
              <w:jc w:val="left"/>
            </w:pPr>
            <w:r>
              <w:t xml:space="preserve">DEC-F07</w:t>
            </w:r>
          </w:p>
        </w:tc>
        <w:tc>
          <w:tcPr/>
          <w:p>
            <w:pPr>
              <w:pStyle w:val="Tabla9"/>
              <w:jc w:val="left"/>
            </w:pPr>
            <w:r>
              <w:t xml:space="preserve">Contrapartida: 2.110 M (IES 1.100 en especie; empresa 210 en efectivo y 800 en especie), valores del expediente E3 con desglose de la IES reconstruido; certificaciones pendientes; las alcaldías no aportan (VACIO).</w:t>
            </w:r>
          </w:p>
        </w:tc>
      </w:tr>
      <w:tr>
        <w:trPr>
          <w:cantSplit/>
        </w:trPr>
        <w:tc>
          <w:tcPr/>
          <w:p>
            <w:pPr>
              <w:pStyle w:val="Tabla9"/>
              <w:jc w:val="left"/>
            </w:pPr>
            <w:r>
              <w:t xml:space="preserve">DEC-F08</w:t>
            </w:r>
          </w:p>
        </w:tc>
        <w:tc>
          <w:tcPr/>
          <w:p>
            <w:pPr>
              <w:pStyle w:val="Tabla9"/>
              <w:jc w:val="left"/>
            </w:pPr>
            <w:r>
              <w:t xml:space="preserve">Cronograma: red de 17 actividades con ruta crítica igual a la duración (104 semanas); importación de 12 semanas máximo por lote; compras por tramo y no 100 % en la semana 2 (corrige HR-11).</w:t>
            </w:r>
          </w:p>
        </w:tc>
      </w:tr>
      <w:tr>
        <w:trPr>
          <w:cantSplit/>
        </w:trPr>
        <w:tc>
          <w:tcPr/>
          <w:p>
            <w:pPr>
              <w:pStyle w:val="Tabla9"/>
              <w:jc w:val="left"/>
            </w:pPr>
            <w:r>
              <w:t xml:space="preserve">DEC-F09</w:t>
            </w:r>
          </w:p>
        </w:tc>
        <w:tc>
          <w:tcPr/>
          <w:p>
            <w:pPr>
              <w:pStyle w:val="Tabla9"/>
              <w:jc w:val="left"/>
            </w:pPr>
            <w:r>
              <w:t xml:space="preserve">Alternativa seleccionada: ALT-03 híbrida por tramos, condicionada a la ratificación del panel; el puntaje no se interpreta como probabilidad de éxito.</w:t>
            </w:r>
          </w:p>
        </w:tc>
      </w:tr>
      <w:tr>
        <w:trPr>
          <w:cantSplit/>
        </w:trPr>
        <w:tc>
          <w:tcPr/>
          <w:p>
            <w:pPr>
              <w:pStyle w:val="Tabla9"/>
              <w:jc w:val="left"/>
            </w:pPr>
            <w:r>
              <w:t xml:space="preserve">DEC-F10</w:t>
            </w:r>
          </w:p>
        </w:tc>
        <w:tc>
          <w:tcPr/>
          <w:p>
            <w:pPr>
              <w:pStyle w:val="Tabla9"/>
              <w:jc w:val="left"/>
            </w:pPr>
            <w:r>
              <w:t xml:space="preserve">Indicadores: los de impacto (S) se miden 6 a 12 meses tras el cierre y por una evaluación externa; las líneas base VACIO se miden en el tramo 1.</w:t>
            </w:r>
          </w:p>
        </w:tc>
      </w:tr>
      <w:tr>
        <w:trPr>
          <w:cantSplit/>
        </w:trPr>
        <w:tc>
          <w:tcPr/>
          <w:p>
            <w:pPr>
              <w:pStyle w:val="Tabla9"/>
              <w:jc w:val="left"/>
            </w:pPr>
            <w:r>
              <w:t xml:space="preserve">DEC-F11</w:t>
            </w:r>
          </w:p>
        </w:tc>
        <w:tc>
          <w:tcPr/>
          <w:p>
            <w:pPr>
              <w:pStyle w:val="Tabla9"/>
              <w:jc w:val="left"/>
            </w:pPr>
            <w:r>
              <w:t xml:space="preserve">Escenarios estratégicos: el metaprompt sugiere probabilidades 25/50/20/5; se omiten porque ninguna tiene fuente (NTC 1.1). Los escenarios se presentan sin probabilidad y con condiciones de activación.</w:t>
            </w:r>
          </w:p>
        </w:tc>
      </w:tr>
      <w:tr>
        <w:trPr>
          <w:cantSplit/>
        </w:trPr>
        <w:tc>
          <w:tcPr/>
          <w:p>
            <w:pPr>
              <w:pStyle w:val="Tabla9"/>
              <w:jc w:val="left"/>
            </w:pPr>
            <w:r>
              <w:t xml:space="preserve">DEC-F12</w:t>
            </w:r>
          </w:p>
        </w:tc>
        <w:tc>
          <w:tcPr/>
          <w:p>
            <w:pPr>
              <w:pStyle w:val="Tabla9"/>
              <w:jc w:val="left"/>
            </w:pPr>
            <w:r>
              <w:t xml:space="preserve">Articulación territorial (Paso 5.0): los ocho elementos del checklist quedan NO_VERIFICADO por falta de PDD, CONPES y anexos. La regla bloqueante del metaprompt exige regresar a Gate 0; se continúa por orden expresa del usuario (13-oct-2026) con la reserva R-ART registrada en el cierre.</w:t>
            </w:r>
          </w:p>
        </w:tc>
      </w:tr>
      <w:tr>
        <w:trPr>
          <w:cantSplit/>
        </w:trPr>
        <w:tc>
          <w:tcPr/>
          <w:p>
            <w:pPr>
              <w:pStyle w:val="Tabla9"/>
              <w:jc w:val="left"/>
            </w:pPr>
            <w:r>
              <w:t xml:space="preserve">DEC-F13</w:t>
            </w:r>
          </w:p>
        </w:tc>
        <w:tc>
          <w:tcPr/>
          <w:p>
            <w:pPr>
              <w:pStyle w:val="Tabla9"/>
              <w:jc w:val="left"/>
            </w:pPr>
            <w:r>
              <w:t xml:space="preserve">Estética: se aplica la paleta y la jerarquía tipográfica del usuario; excepción a FIG-02: opacidad 0,25 solo en la cuadrícula; el relleno de encabezados de tabla usa #B9D9EB con texto #2A3439 (contraste superior a 4,5:1; el texto sobre #6699CC no lo alcanza) y #6699CC como filete inferior del encabezado; filas alternas #F7F7F7.</w:t>
            </w:r>
          </w:p>
        </w:tc>
      </w:tr>
      <w:tr>
        <w:trPr>
          <w:cantSplit/>
        </w:trPr>
        <w:tc>
          <w:tcPr/>
          <w:p>
            <w:pPr>
              <w:pStyle w:val="Tabla9"/>
              <w:jc w:val="left"/>
            </w:pPr>
            <w:r>
              <w:t xml:space="preserve">DEC-F14</w:t>
            </w:r>
          </w:p>
        </w:tc>
        <w:tc>
          <w:tcPr/>
          <w:p>
            <w:pPr>
              <w:pStyle w:val="Tabla9"/>
              <w:jc w:val="left"/>
            </w:pPr>
            <w:r>
              <w:t xml:space="preserve">Numeración: tablas y figuras 'c.n' por capítulo; Parte I con prefijo F (F5.1), paquete 1000X con prefijo X (X6.1) y anexos con letra (A1).</w:t>
            </w:r>
          </w:p>
        </w:tc>
      </w:tr>
      <w:tr>
        <w:trPr>
          <w:cantSplit/>
        </w:trPr>
        <w:tc>
          <w:tcPr/>
          <w:p>
            <w:pPr>
              <w:pStyle w:val="Tabla9"/>
              <w:jc w:val="left"/>
            </w:pPr>
            <w:r>
              <w:t xml:space="preserve">DEC-F15</w:t>
            </w:r>
          </w:p>
        </w:tc>
        <w:tc>
          <w:tcPr/>
          <w:p>
            <w:pPr>
              <w:pStyle w:val="Tabla9"/>
              <w:jc w:val="left"/>
            </w:pPr>
            <w:r>
              <w:t xml:space="preserve">GWO no se activa porque el espacio de decisión (4 alternativas) es enumerable (AS-32).</w:t>
            </w:r>
          </w:p>
        </w:tc>
      </w:tr>
      <w:tr>
        <w:trPr>
          <w:cantSplit/>
        </w:trPr>
        <w:tc>
          <w:tcPr/>
          <w:p>
            <w:pPr>
              <w:pStyle w:val="Tabla9"/>
              <w:jc w:val="left"/>
            </w:pPr>
            <w:r>
              <w:t xml:space="preserve">DEC-F23</w:t>
            </w:r>
          </w:p>
        </w:tc>
        <w:tc>
          <w:tcPr/>
          <w:p>
            <w:pPr>
              <w:pStyle w:val="Tabla9"/>
              <w:jc w:val="left"/>
            </w:pPr>
            <w:r>
              <w:t xml:space="preserve">Formato: el documento completo se presenta con el formato oficial del Anexo 2 (encabezado y pie de la plantilla, Arial, encabezados en mayúscula sostenida, tablas con encabezado verde #00B050 y bordes negros). Las figuras conservan la plantilla visual de DEC-F13.</w:t>
            </w:r>
          </w:p>
        </w:tc>
      </w:tr>
    </w:tbl>
    <w:p>
      <w:pPr>
        <w:pStyle w:val="TablaNota"/>
      </w:pPr>
      <w:r>
        <w:rPr>
          <w:i/>
          <w:iCs/>
        </w:rPr>
        <w:t xml:space="preserve">Nota.</w:t>
      </w:r>
      <w:r>
        <w:t xml:space="preserve"> </w:t>
      </w:r>
      <w:r>
        <w:t xml:space="preserve">Elaboración propia con la ficha maestra (sección 11). Naturaleza: PROPUESTO. Las decisiones DEC-F05 y DEC-F09 dependen de la ratificación del panel evaluador.</w:t>
      </w:r>
    </w:p>
    <w:bookmarkEnd w:id="110"/>
    <w:bookmarkStart w:id="111" w:name="_Toc00900053"/>
    <w:p>
      <w:pPr>
        <w:pStyle w:val="Heading2"/>
      </w:pPr>
      <w:r>
        <w:t xml:space="preserve">F0.6 Valor que crea el paso</w:t>
      </w:r>
    </w:p>
    <w:p>
      <w:pPr>
        <w:pStyle w:val="FirstParagraph"/>
      </w:pPr>
      <w:r>
        <w:t xml:space="preserve">El Paso 0 convierte la ausencia de los TdR en una lista cerrada de datos pendientes. Esa lista evita que el documento se presente como conforme con una convocatoria que no se leyó. También fija el criterio con que se resuelve cualquier discrepancia posterior: gobierna la ficha maestra, y los TdR, cuando existan, gobiernan sobre la ficha.</w:t>
      </w:r>
    </w:p>
    <w:bookmarkEnd w:id="111"/>
    <w:bookmarkEnd w:id="112"/>
    <w:bookmarkStart w:id="120" w:name="_Toc00900054"/>
    <w:p>
      <w:pPr>
        <w:pStyle w:val="Heading1"/>
      </w:pPr>
      <w:r>
        <w:t xml:space="preserve">Paso 1. Información básica del proyecto</w:t>
      </w:r>
    </w:p>
    <w:p>
      <w:pPr>
        <w:pStyle w:val="FirstParagraph"/>
      </w:pPr>
      <w:r>
        <w:t xml:space="preserve">El sistema se configura para la Convocatoria de Emergencia, Decreto 1414 de 2026 (SGR_CONV56). La entidad financiadora es el Sistema General de Regalías (SGR), con el Ministerio de Ciencia, Tecnología e Innovación (MinCiencias). La tipología es investigación aplicada, desarrollo tecnológico e innovación. La fecha límite es el 3 de noviembre de 2026 a las 4:00 p. m.. El Paso 1 se organiza en cinco secciones: identificación, caracterización del problema, hipótesis de solución, contexto y alcance, y capacidades. Cada sección contrasta la respuesta del expediente E3-P00 con el valor adoptado en esta formulación. Cada fila declara la naturaleza del dato y su estado de verificación.</w:t>
      </w:r>
    </w:p>
    <w:bookmarkStart w:id="113" w:name="X174dcc7b1d6d15383d0c5d1cceca571ff1d5bc7"/>
    <w:p>
      <w:pPr>
        <w:pStyle w:val="Heading2"/>
      </w:pPr>
      <w:r>
        <w:t xml:space="preserve">F1.1 Identificación del proyecto (Sección A)</w:t>
      </w:r>
    </w:p>
    <w:p>
      <w:pPr>
        <w:pStyle w:val="FirstParagraph"/>
      </w:pPr>
      <w:r>
        <w:t xml:space="preserve">La Tabla F1.1 reúne los seis campos de identificación. El título adoptado cumple el límite de 20 palabras y reemplaza «post-sismo» por «posterremoto». La madurez final baja de TRL 8 a TRL 7 por la decisión DEC-F05. El proyecto demuestra el sistema en entorno operativo. El plazo no cubre la calificación independiente que exige el nivel 8.</w:t>
      </w:r>
    </w:p>
    <w:p>
      <w:pPr>
        <w:pStyle w:val="TablaRotulo"/>
      </w:pPr>
      <w:bookmarkStart w:id="9058" w:name="rot_Tabla_F1_1"/>
      <w:r>
        <w:rPr>
          <w:b/>
          <w:bCs/>
        </w:rPr>
        <w:t xml:space="preserve">Tabla F1.1</w:t>
      </w:r>
      <w:bookmarkEnd w:id="9058"/>
    </w:p>
    <w:p>
      <w:pPr>
        <w:pStyle w:val="TablaTitulo"/>
      </w:pPr>
      <w:r>
        <w:rPr>
          <w:i/>
          <w:iCs/>
        </w:rPr>
        <w:t xml:space="preserve">Identificación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52"/>
        <w:gridCol w:w="1518"/>
        <w:gridCol w:w="1518"/>
        <w:gridCol w:w="1452"/>
        <w:gridCol w:w="1980"/>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Respuesta del expediente E3-P00</w:t>
            </w:r>
          </w:p>
        </w:tc>
        <w:tc>
          <w:tcPr>
            <w:shd w:val="clear" w:color="auto" w:fill="00B050"/>
          </w:tcPr>
          <w:p>
            <w:pPr>
              <w:pStyle w:val="Tabla9"/>
              <w:jc w:val="center"/>
            </w:pPr>
            <w:r>
              <w:rPr>
                <w:b/>
                <w:color w:val="FFFFFF"/>
              </w:rPr>
              <w:t xml:space="preserve">Valor adoptado en esta formulación</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Título del proyecto</w:t>
            </w:r>
          </w:p>
        </w:tc>
        <w:tc>
          <w:tcPr/>
          <w:p>
            <w:pPr>
              <w:pStyle w:val="Tabla9"/>
              <w:jc w:val="left"/>
            </w:pPr>
            <w:r>
              <w:t xml:space="preserve">Implementación de una red IoT híbrida Edge-Cloud y gemelo digital para la gestión anticipada del riesgo por material particulado post-sismo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c>
          <w:tcPr/>
          <w:p>
            <w:pPr>
              <w:pStyle w:val="Tabla9"/>
              <w:jc w:val="left"/>
            </w:pPr>
            <w:r>
              <w:t xml:space="preserve">NO_APLICA</w:t>
            </w:r>
          </w:p>
        </w:tc>
      </w:tr>
      <w:tr>
        <w:trPr>
          <w:cantSplit/>
        </w:trPr>
        <w:tc>
          <w:tcPr/>
          <w:p>
            <w:pPr>
              <w:pStyle w:val="Tabla9"/>
              <w:jc w:val="left"/>
            </w:pPr>
            <w:r>
              <w:t xml:space="preserve">Sector principal (OCDE)</w:t>
            </w:r>
          </w:p>
        </w:tc>
        <w:tc>
          <w:tcPr/>
          <w:p>
            <w:pPr>
              <w:pStyle w:val="Tabla9"/>
              <w:jc w:val="left"/>
            </w:pPr>
            <w:r>
              <w:t xml:space="preserve">1.2 Ingeniería eléctrica, electrónica e informática</w:t>
            </w:r>
          </w:p>
        </w:tc>
        <w:tc>
          <w:tcPr/>
          <w:p>
            <w:pPr>
              <w:pStyle w:val="Tabla9"/>
              <w:jc w:val="left"/>
            </w:pPr>
            <w:r>
              <w:t xml:space="preserve">1.2 Ingeniería eléctrica, electrónica e informática</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Clasificación</w:t>
            </w:r>
          </w:p>
        </w:tc>
        <w:tc>
          <w:tcPr/>
          <w:p>
            <w:pPr>
              <w:pStyle w:val="Tabla9"/>
              <w:jc w:val="left"/>
            </w:pPr>
            <w:r>
              <w:t xml:space="preserve">Investigación aplicada y desarrollo tecnológico</w:t>
            </w:r>
          </w:p>
        </w:tc>
        <w:tc>
          <w:tcPr/>
          <w:p>
            <w:pPr>
              <w:pStyle w:val="Tabla9"/>
              <w:jc w:val="left"/>
            </w:pPr>
            <w:r>
              <w:t xml:space="preserve">Investigación aplicada, desarrollo tecnológico e innovación (la innovación en servicio se mantiene del Paso 1 del usuario)</w:t>
            </w:r>
          </w:p>
        </w:tc>
        <w:tc>
          <w:tcPr/>
          <w:p>
            <w:pPr>
              <w:pStyle w:val="Tabla9"/>
              <w:jc w:val="left"/>
            </w:pPr>
            <w:r>
              <w:t xml:space="preserve">DECLARADO</w:t>
            </w:r>
          </w:p>
        </w:tc>
        <w:tc>
          <w:tcPr/>
          <w:p>
            <w:pPr>
              <w:pStyle w:val="Tabla9"/>
              <w:jc w:val="left"/>
            </w:pPr>
            <w:r>
              <w:t xml:space="preserve">NO_APLICA</w:t>
            </w:r>
          </w:p>
        </w:tc>
      </w:tr>
      <w:tr>
        <w:trPr>
          <w:cantSplit/>
        </w:trPr>
        <w:tc>
          <w:tcPr/>
          <w:p>
            <w:pPr>
              <w:pStyle w:val="Tabla9"/>
              <w:jc w:val="left"/>
            </w:pPr>
            <w:r>
              <w:t xml:space="preserve">Palabras clave</w:t>
            </w:r>
          </w:p>
        </w:tc>
        <w:tc>
          <w:tcPr/>
          <w:p>
            <w:pPr>
              <w:pStyle w:val="Tabla9"/>
              <w:jc w:val="left"/>
            </w:pPr>
            <w:r>
              <w:t xml:space="preserve">Internet of Things (IoT), Edge Computing, TinyML, Gemelo Digital, Material Particulado, Gestión del Riesgo, Calibración Dinámica</w:t>
            </w:r>
          </w:p>
        </w:tc>
        <w:tc>
          <w:tcPr/>
          <w:p>
            <w:pPr>
              <w:pStyle w:val="Tabla9"/>
              <w:jc w:val="left"/>
            </w:pPr>
            <w:r>
              <w:t xml:space="preserve">Internet de las cosas, computación en el borde, TinyML, gemelo digital, material particulado, gestión del riesgo, calibración dinámica</w:t>
            </w:r>
          </w:p>
        </w:tc>
        <w:tc>
          <w:tcPr/>
          <w:p>
            <w:pPr>
              <w:pStyle w:val="Tabla9"/>
              <w:jc w:val="left"/>
            </w:pPr>
            <w:r>
              <w:t xml:space="preserve">DECLARADO</w:t>
            </w:r>
          </w:p>
        </w:tc>
        <w:tc>
          <w:tcPr/>
          <w:p>
            <w:pPr>
              <w:pStyle w:val="Tabla9"/>
              <w:jc w:val="left"/>
            </w:pPr>
            <w:r>
              <w:t xml:space="preserve">NO_APLICA</w:t>
            </w:r>
          </w:p>
        </w:tc>
      </w:tr>
      <w:tr>
        <w:trPr>
          <w:cantSplit/>
        </w:trPr>
        <w:tc>
          <w:tcPr/>
          <w:p>
            <w:pPr>
              <w:pStyle w:val="Tabla9"/>
              <w:jc w:val="left"/>
            </w:pPr>
            <w:r>
              <w:t xml:space="preserve">TRL inicial</w:t>
            </w:r>
          </w:p>
        </w:tc>
        <w:tc>
          <w:tcPr/>
          <w:p>
            <w:pPr>
              <w:pStyle w:val="Tabla9"/>
              <w:jc w:val="left"/>
            </w:pPr>
            <w:r>
              <w:t xml:space="preserve">TRL 4: validación de componentes en laboratorio</w:t>
            </w:r>
          </w:p>
        </w:tc>
        <w:tc>
          <w:tcPr/>
          <w:p>
            <w:pPr>
              <w:pStyle w:val="Tabla9"/>
              <w:jc w:val="left"/>
            </w:pPr>
            <w:r>
              <w:t xml:space="preserve">TRL 4</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TRL final</w:t>
            </w:r>
          </w:p>
        </w:tc>
        <w:tc>
          <w:tcPr/>
          <w:p>
            <w:pPr>
              <w:pStyle w:val="Tabla9"/>
              <w:jc w:val="left"/>
            </w:pPr>
            <w:r>
              <w:t xml:space="preserve">TRL 8: sistema completo y calificado en condiciones reales</w:t>
            </w:r>
          </w:p>
        </w:tc>
        <w:tc>
          <w:tcPr/>
          <w:p>
            <w:pPr>
              <w:pStyle w:val="Tabla9"/>
              <w:jc w:val="left"/>
            </w:pPr>
            <w:r>
              <w:t xml:space="preserve">TRL 7: demostración del sistema en entorno operativo (DEC-F05)</w:t>
            </w:r>
          </w:p>
        </w:tc>
        <w:tc>
          <w:tcPr/>
          <w:p>
            <w:pPr>
              <w:pStyle w:val="Tabla9"/>
              <w:jc w:val="left"/>
            </w:pPr>
            <w:r>
              <w:t xml:space="preserve">PROPUESTO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el expediente E3-P00 (Paso 1, Sección A) y la ficha maestra (sección 1).</w:t>
      </w:r>
    </w:p>
    <w:bookmarkEnd w:id="113"/>
    <w:bookmarkStart w:id="115" w:name="X2431b23c198c3128bc21666600174b7ee091456"/>
    <w:p>
      <w:pPr>
        <w:pStyle w:val="Heading2"/>
      </w:pPr>
      <w:r>
        <w:t xml:space="preserve">F1.2 Caracterización del problema (Sección B)</w:t>
      </w:r>
    </w:p>
    <w:bookmarkStart w:id="114" w:name="_Toc00900055"/>
    <w:p>
      <w:pPr>
        <w:pStyle w:val="Heading3"/>
      </w:pPr>
      <w:r>
        <w:t xml:space="preserve">F1.2.1 Descripción del problema</w:t>
      </w:r>
    </w:p>
    <w:p>
      <w:pPr>
        <w:pStyle w:val="FirstParagraph"/>
      </w:pPr>
      <w:r>
        <w:t xml:space="preserve">El problema se origina en la falta de verificación de las mediciones de material particulado en los sitios de remoción de escombros. Los sensores ópticos de bajo costo estiman la masa de partículas a partir de la luz dispersada. Esa señal cambia con la humedad relativa y con el tamaño de la partícula. Por ello el error de lectura varía entre sitios y entre horas. Jayaratne et al. (2018) documentaron que la humedad altera la respuesta de un sensor de bajo costo, y Barkjohn et al. (2021) aplicaron una corrección nacional que incorpora la humedad. En el corpus de vigilancia, una estación cercana y un desfase de 35 minutos elevaron el R² de menos de 0,2 a 0,81 (Bang et al., 2026, pp. 6-8).</w:t>
      </w:r>
    </w:p>
    <w:p>
      <w:pPr>
        <w:pStyle w:val="BodyText"/>
      </w:pPr>
      <w:r>
        <w:t xml:space="preserve">El expediente E3-P00 declara un error normalizado superior a 45 % en sensores sin calibración dinámica en alta humedad. La cifra carece de localizador y no se verificó. Por esa razón, esta formulación no la usa como línea base. La línea base de error se mide en el tramo 1, durante la colocalización con equipos de referencia gravimétricos. Un resultado propio, con intervalo de confianza, sustituye así a una declaración sin fuente.</w:t>
      </w:r>
    </w:p>
    <w:p>
      <w:pPr>
        <w:pStyle w:val="BodyText"/>
      </w:pPr>
      <w:r>
        <w:t xml:space="preserve">La segunda dimensión del problema es institucional. Los comités de gestión del riesgo deciden con el índice de calidad del aire y salud (AQHI, por sus siglas en inglés). El índice se calcula con datos de calidad desconocida. Si el dato carece de error conocido, la alerta emitida puede ser una falsa alarma o una omisión. El efecto sobre la confianza es acumulativo: una falsa alarma reduce el uso posterior del tablero. El análisis estructural de las secciones 4.3 y 4.4 identificó la adopción institucional (V15) como variable crítica. Esa variable aparece en 140 de 144 ciclos simples del escenario de trabajo.</w:t>
      </w:r>
    </w:p>
    <w:p>
      <w:pPr>
        <w:pStyle w:val="BodyText"/>
      </w:pPr>
      <w:r>
        <w:t xml:space="preserve">La tercera dimensión es la disponibilidad de la red. Los sitios de remoción exponen los cabezales al polvo y a la humedad, y con frecuencia carecen de energía estable y de cobertura celular. La literatura del corpus describe una correlación de 0,73 entre las partículas y la humedad en una mina a cielo abierto (Suresh et al., 2025, p. 30). El contexto nacional agrava la restricción. Hay 209 estaciones reportadas y 154 integradas a un sistema de vigilancia. Solo 28 de 1.122 municipios cuentan con estaciones utilizables para estimar la carga de enfermedad (Rodríguez-Villamizar et al., 2022, pp. 3 y 6). En la red nacional propuesta, 90,8 % de las 5.076 estaciones serían sensores sin plan de calibración (Murad Pedraza et al., 2026, pp. 10-11 y 13). El 90,8 % es un cálculo del analista sobre las cifras del documento.</w:t>
      </w:r>
    </w:p>
    <w:p>
      <w:pPr>
        <w:pStyle w:val="BodyText"/>
      </w:pPr>
      <w:r>
        <w:t xml:space="preserve">El expediente declara un sismo del 10 de agosto y el Decreto 1261 de 2026 como origen de la demanda. El usuario autorizó tratar el territorio, el evento y la alianza como supuestos de trabajo. Ninguno se verificó con una fuente normativa. El proyecto no promete efectos en la salud de la población. Promete mediciones con error conocido, uso institucional documentado y continuidad de la red bajo custodia.</w:t>
      </w:r>
    </w:p>
    <w:p>
      <w:pPr>
        <w:pStyle w:val="BodyText"/>
      </w:pPr>
      <w:r>
        <w:t xml:space="preserve">La Tabla F1.2 compara cada campo de la Sección B con el valor adoptado. Los campos «problema trascendente» y «deficiencia oculta» se conservan con ajuste de redacción. Ambos describen una disyuntiva de diseño entre exactitud y continuidad. La arquitectura propuesta la resuelve con la corrección en el gateway.</w:t>
      </w:r>
    </w:p>
    <w:p>
      <w:pPr>
        <w:pStyle w:val="TablaRotulo"/>
      </w:pPr>
      <w:bookmarkStart w:id="9059" w:name="rot_Tabla_F1_2"/>
      <w:r>
        <w:rPr>
          <w:b/>
          <w:bCs/>
        </w:rPr>
        <w:t xml:space="preserve">Tabla F1.2</w:t>
      </w:r>
      <w:bookmarkEnd w:id="9059"/>
    </w:p>
    <w:p>
      <w:pPr>
        <w:pStyle w:val="TablaTitulo"/>
      </w:pPr>
      <w:r>
        <w:rPr>
          <w:i/>
          <w:iCs/>
        </w:rPr>
        <w:t xml:space="preserve">Caracterización del problema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43"/>
        <w:gridCol w:w="1570"/>
        <w:gridCol w:w="1898"/>
        <w:gridCol w:w="1374"/>
        <w:gridCol w:w="1832"/>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Respuesta del expediente E3-P00</w:t>
            </w:r>
          </w:p>
        </w:tc>
        <w:tc>
          <w:tcPr>
            <w:shd w:val="clear" w:color="auto" w:fill="00B050"/>
          </w:tcPr>
          <w:p>
            <w:pPr>
              <w:pStyle w:val="Tabla9"/>
              <w:jc w:val="center"/>
            </w:pPr>
            <w:r>
              <w:rPr>
                <w:b/>
                <w:color w:val="FFFFFF"/>
              </w:rPr>
              <w:t xml:space="preserve">Valor adoptado en esta formulación</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Problema trascendente</w:t>
            </w:r>
          </w:p>
        </w:tc>
        <w:tc>
          <w:tcPr/>
          <w:p>
            <w:pPr>
              <w:pStyle w:val="Tabla9"/>
              <w:jc w:val="left"/>
            </w:pPr>
            <w:r>
              <w:t xml:space="preserve">Tensión entre precisión metrológica (alto procesamiento) y supervivencia de la red (bajo consumo de batería y de ancho de banda)</w:t>
            </w:r>
          </w:p>
        </w:tc>
        <w:tc>
          <w:tcPr/>
          <w:p>
            <w:pPr>
              <w:pStyle w:val="Tabla9"/>
              <w:jc w:val="left"/>
            </w:pPr>
            <w:r>
              <w:t xml:space="preserve">Disyuntiva entre exactitud de la medición, que exige procesamiento, y continuidad de la red, que exige bajo consumo de energía y de ancho de banda</w:t>
            </w:r>
          </w:p>
        </w:tc>
        <w:tc>
          <w:tcPr/>
          <w:p>
            <w:pPr>
              <w:pStyle w:val="Tabla9"/>
              <w:jc w:val="left"/>
            </w:pPr>
            <w:r>
              <w:t xml:space="preserve">DECLARADO</w:t>
            </w:r>
          </w:p>
        </w:tc>
        <w:tc>
          <w:tcPr/>
          <w:p>
            <w:pPr>
              <w:pStyle w:val="Tabla9"/>
              <w:jc w:val="left"/>
            </w:pPr>
            <w:r>
              <w:t xml:space="preserve">NO_APLICA</w:t>
            </w:r>
          </w:p>
        </w:tc>
      </w:tr>
      <w:tr>
        <w:trPr>
          <w:cantSplit/>
        </w:trPr>
        <w:tc>
          <w:tcPr/>
          <w:p>
            <w:pPr>
              <w:pStyle w:val="Tabla9"/>
              <w:jc w:val="left"/>
            </w:pPr>
            <w:r>
              <w:t xml:space="preserve">Deficiencia oculta</w:t>
            </w:r>
          </w:p>
        </w:tc>
        <w:tc>
          <w:tcPr/>
          <w:p>
            <w:pPr>
              <w:pStyle w:val="Tabla9"/>
              <w:jc w:val="left"/>
            </w:pPr>
            <w:r>
              <w:t xml:space="preserve">El sector público tolera la fatiga de alarmas y supone que los sensores no se calibran sin un técnico en campo</w:t>
            </w:r>
          </w:p>
        </w:tc>
        <w:tc>
          <w:tcPr/>
          <w:p>
            <w:pPr>
              <w:pStyle w:val="Tabla9"/>
              <w:jc w:val="left"/>
            </w:pPr>
            <w:r>
              <w:t xml:space="preserve">Los comités toleran falsas alarmas porque suponen que la calibración exige visitas técnicas; la corrección remota en el gateway elimina esa condición</w:t>
            </w:r>
          </w:p>
        </w:tc>
        <w:tc>
          <w:tcPr/>
          <w:p>
            <w:pPr>
              <w:pStyle w:val="Tabla9"/>
              <w:jc w:val="left"/>
            </w:pPr>
            <w:r>
              <w:t xml:space="preserve">INFERIDO</w:t>
            </w:r>
          </w:p>
        </w:tc>
        <w:tc>
          <w:tcPr/>
          <w:p>
            <w:pPr>
              <w:pStyle w:val="Tabla9"/>
              <w:jc w:val="left"/>
            </w:pPr>
            <w:r>
              <w:t xml:space="preserve">NO_VERIFICADO</w:t>
            </w:r>
          </w:p>
        </w:tc>
      </w:tr>
      <w:tr>
        <w:trPr>
          <w:cantSplit/>
        </w:trPr>
        <w:tc>
          <w:tcPr/>
          <w:p>
            <w:pPr>
              <w:pStyle w:val="Tabla9"/>
              <w:jc w:val="left"/>
            </w:pPr>
            <w:r>
              <w:t xml:space="preserve">Población afectada</w:t>
            </w:r>
          </w:p>
        </w:tc>
        <w:tc>
          <w:tcPr/>
          <w:p>
            <w:pPr>
              <w:pStyle w:val="Tabla9"/>
              <w:jc w:val="left"/>
            </w:pPr>
            <w:r>
              <w:t xml:space="preserve">Población urbana y rural y operarios de remoción en polígonos de afectación sísmica severa de Caldas, Cundinamarca y Valle del Cauca</w:t>
            </w:r>
          </w:p>
        </w:tc>
        <w:tc>
          <w:tcPr/>
          <w:p>
            <w:pPr>
              <w:pStyle w:val="Tabla9"/>
              <w:jc w:val="left"/>
            </w:pPr>
            <w:r>
              <w:t xml:space="preserve">Operarios de remoción y población expuesta en 12 municipios focalizados, 4 por departamento [DATO_USUARIO: lista de municipios y polígonos]</w:t>
            </w:r>
          </w:p>
        </w:tc>
        <w:tc>
          <w:tcPr/>
          <w:p>
            <w:pPr>
              <w:pStyle w:val="Tabla9"/>
              <w:jc w:val="left"/>
            </w:pPr>
            <w:r>
              <w:t xml:space="preserve">SUPUESTO</w:t>
            </w:r>
          </w:p>
        </w:tc>
        <w:tc>
          <w:tcPr/>
          <w:p>
            <w:pPr>
              <w:pStyle w:val="Tabla9"/>
              <w:jc w:val="left"/>
            </w:pPr>
            <w:r>
              <w:t xml:space="preserve">NO_VERIFICADO</w:t>
            </w:r>
          </w:p>
        </w:tc>
      </w:tr>
      <w:tr>
        <w:trPr>
          <w:cantSplit/>
        </w:trPr>
        <w:tc>
          <w:tcPr/>
          <w:p>
            <w:pPr>
              <w:pStyle w:val="Tabla9"/>
              <w:jc w:val="left"/>
            </w:pPr>
            <w:r>
              <w:t xml:space="preserve">Magnitud del problema</w:t>
            </w:r>
          </w:p>
        </w:tc>
        <w:tc>
          <w:tcPr/>
          <w:p>
            <w:pPr>
              <w:pStyle w:val="Tabla9"/>
              <w:jc w:val="left"/>
            </w:pPr>
            <w:r>
              <w:t xml:space="preserve">Error normalizado superior a 45 % en alta humedad frente a estaciones gravimétricas</w:t>
            </w:r>
          </w:p>
        </w:tc>
        <w:tc>
          <w:tcPr/>
          <w:p>
            <w:pPr>
              <w:pStyle w:val="Tabla9"/>
              <w:jc w:val="left"/>
            </w:pPr>
            <w:r>
              <w:t xml:space="preserve">Línea base propia: [VACIO: se mide en el tramo 1]. Cifra de E3: DECLARADO sin localizador</w:t>
            </w:r>
          </w:p>
        </w:tc>
        <w:tc>
          <w:tcPr/>
          <w:p>
            <w:pPr>
              <w:pStyle w:val="Tabla9"/>
              <w:jc w:val="left"/>
            </w:pPr>
            <w:r>
              <w:t xml:space="preserve">DECLARADO y VACIO</w:t>
            </w:r>
          </w:p>
        </w:tc>
        <w:tc>
          <w:tcPr/>
          <w:p>
            <w:pPr>
              <w:pStyle w:val="Tabla9"/>
              <w:jc w:val="left"/>
            </w:pPr>
            <w:r>
              <w:t xml:space="preserve">NO_VERIFICADO</w:t>
            </w:r>
          </w:p>
        </w:tc>
      </w:tr>
      <w:tr>
        <w:trPr>
          <w:cantSplit/>
        </w:trPr>
        <w:tc>
          <w:tcPr/>
          <w:p>
            <w:pPr>
              <w:pStyle w:val="Tabla9"/>
              <w:jc w:val="left"/>
            </w:pPr>
            <w:r>
              <w:t xml:space="preserve">Causas preliminares</w:t>
            </w:r>
          </w:p>
        </w:tc>
        <w:tc>
          <w:tcPr/>
          <w:p>
            <w:pPr>
              <w:pStyle w:val="Tabla9"/>
              <w:jc w:val="left"/>
            </w:pPr>
            <w:r>
              <w:t xml:space="preserve">Cinco causas: interferencia de humedad, obstrucción por macropartículas, calibración estática, latencia de datos crudos y consumo de energía</w:t>
            </w:r>
          </w:p>
        </w:tc>
        <w:tc>
          <w:tcPr/>
          <w:p>
            <w:pPr>
              <w:pStyle w:val="Tabla9"/>
              <w:jc w:val="left"/>
            </w:pPr>
            <w:r>
              <w:t xml:space="preserve">Quince variables del sistema, con el problema central V06 y cinco causas directas o indirectas (Paso 4)</w:t>
            </w:r>
          </w:p>
        </w:tc>
        <w:tc>
          <w:tcPr/>
          <w:p>
            <w:pPr>
              <w:pStyle w:val="Tabla9"/>
              <w:jc w:val="left"/>
            </w:pPr>
            <w:r>
              <w:t xml:space="preserve">INFERIDO</w:t>
            </w:r>
          </w:p>
        </w:tc>
        <w:tc>
          <w:tcPr/>
          <w:p>
            <w:pPr>
              <w:pStyle w:val="Tabla9"/>
              <w:jc w:val="left"/>
            </w:pPr>
            <w:r>
              <w:t xml:space="preserve">NO_VERIFICADO</w:t>
            </w:r>
          </w:p>
        </w:tc>
      </w:tr>
      <w:tr>
        <w:trPr>
          <w:cantSplit/>
        </w:trPr>
        <w:tc>
          <w:tcPr/>
          <w:p>
            <w:pPr>
              <w:pStyle w:val="Tabla9"/>
              <w:jc w:val="left"/>
            </w:pPr>
            <w:r>
              <w:t xml:space="preserve">Efectos observados</w:t>
            </w:r>
          </w:p>
        </w:tc>
        <w:tc>
          <w:tcPr/>
          <w:p>
            <w:pPr>
              <w:pStyle w:val="Tabla9"/>
              <w:jc w:val="left"/>
            </w:pPr>
            <w:r>
              <w:t xml:space="preserve">Índices AQHI sesgados, evacuaciones innecesarias, omisión de alertas y descarte de la tecnología por los comités</w:t>
            </w:r>
          </w:p>
        </w:tc>
        <w:tc>
          <w:tcPr/>
          <w:p>
            <w:pPr>
              <w:pStyle w:val="Tabla9"/>
              <w:jc w:val="left"/>
            </w:pPr>
            <w:r>
              <w:t xml:space="preserve">Se conservan como hipótesis de efecto; ninguna se cuantifica sin línea base (V11, V12, V14, V15)</w:t>
            </w:r>
          </w:p>
        </w:tc>
        <w:tc>
          <w:tcPr/>
          <w:p>
            <w:pPr>
              <w:pStyle w:val="Tabla9"/>
              <w:jc w:val="left"/>
            </w:pPr>
            <w:r>
              <w:t xml:space="preserve">DECLARADO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B) y la ficha maestra (secciones 10 y 10c).</w:t>
      </w:r>
    </w:p>
    <w:bookmarkEnd w:id="114"/>
    <w:bookmarkEnd w:id="115"/>
    <w:bookmarkStart w:id="116" w:name="_Toc00900056"/>
    <w:p>
      <w:pPr>
        <w:pStyle w:val="Heading2"/>
      </w:pPr>
      <w:r>
        <w:t xml:space="preserve">F1.3 Hipótesis de solución (Sección C)</w:t>
      </w:r>
    </w:p>
    <w:p>
      <w:pPr>
        <w:pStyle w:val="FirstParagraph"/>
      </w:pPr>
      <w:r>
        <w:t xml:space="preserve">La hipótesis de solución afirma que una red de 100 nodos de bajo costo alcanza un desempeño verificado frente a referencia. Para ello, el modelo de corrección se aplica en el gateway y se entrena con colocalización. La arquitectura separa tres capas. Los nodos hoja miden PM2,5 y PM10 con temperatura y humedad, y transmiten por LoRa. Los diez gateways corrigen la lectura con el modelo vigente, almacenan siete días de datos y reenvían por red celular con enlace satelital alterno. La nube entrena el modelo, aloja el gemelo digital que estima la distribución espacial y publica el tablero del AQHI.</w:t>
      </w:r>
    </w:p>
    <w:p>
      <w:pPr>
        <w:pStyle w:val="BodyText"/>
      </w:pPr>
      <w:r>
        <w:t xml:space="preserve">El expediente E3-P00 propone 90 % de nodos hoja pasivos y 10 % de gateways. Además, ubica la corrección en tres lugares distintos: el sensor, el microcontrolador del nodo y el gateway. Esta formulación conserva la proporción de 10 gateways por cada 100 nodos y fija un solo lugar de corrección, el gateway (DEC-F02). La razón es la trazabilidad: un solo modelo vigente por gateway permite auditar qué corrección produjo cada dato.</w:t>
      </w:r>
    </w:p>
    <w:p>
      <w:pPr>
        <w:pStyle w:val="BodyText"/>
      </w:pPr>
      <w:r>
        <w:t xml:space="preserve">El desempeño se mide con los umbrales de la Agencia de Protección Ambiental de Estados Unidos para sensores en sitio fijo (U.S. Environmental Protection Agency [EPA], 2021). El coeficiente de determinación debe ser mayor o igual que 0,70. El error cuadrático medio normalizado debe ser menor o igual que 30 %. El error absoluto medio normalizado (NMAE) de 15 % es aspiracional y no condiciona las compuertas (DEC-F04). La Tabla F1.3 resume la sección.</w:t>
      </w:r>
    </w:p>
    <w:p>
      <w:pPr>
        <w:pStyle w:val="TablaRotulo"/>
      </w:pPr>
      <w:bookmarkStart w:id="9060" w:name="rot_Tabla_F1_3"/>
      <w:r>
        <w:rPr>
          <w:b/>
          <w:bCs/>
        </w:rPr>
        <w:t xml:space="preserve">Tabla F1.3</w:t>
      </w:r>
      <w:bookmarkEnd w:id="9060"/>
    </w:p>
    <w:p>
      <w:pPr>
        <w:pStyle w:val="TablaTitulo"/>
      </w:pPr>
      <w:r>
        <w:rPr>
          <w:i/>
          <w:iCs/>
        </w:rPr>
        <w:t xml:space="preserve">Hipótesis de solución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22"/>
        <w:gridCol w:w="1320"/>
        <w:gridCol w:w="2046"/>
        <w:gridCol w:w="1452"/>
        <w:gridCol w:w="1980"/>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Respuesta del expediente E3-P00</w:t>
            </w:r>
          </w:p>
        </w:tc>
        <w:tc>
          <w:tcPr>
            <w:shd w:val="clear" w:color="auto" w:fill="00B050"/>
          </w:tcPr>
          <w:p>
            <w:pPr>
              <w:pStyle w:val="Tabla9"/>
              <w:jc w:val="center"/>
            </w:pPr>
            <w:r>
              <w:rPr>
                <w:b/>
                <w:color w:val="FFFFFF"/>
              </w:rPr>
              <w:t xml:space="preserve">Valor adoptado en esta formulación</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Solución propuesta</w:t>
            </w:r>
          </w:p>
        </w:tc>
        <w:tc>
          <w:tcPr/>
          <w:p>
            <w:pPr>
              <w:pStyle w:val="Tabla9"/>
              <w:jc w:val="left"/>
            </w:pPr>
            <w:r>
              <w:t xml:space="preserve">Arquitectura híbrida de computación en el borde y TinyML (ALT-03); 90 % de nodos hoja y 10 % de gateways con calibración local</w:t>
            </w:r>
          </w:p>
        </w:tc>
        <w:tc>
          <w:tcPr/>
          <w:p>
            <w:pPr>
              <w:pStyle w:val="Tabla9"/>
              <w:jc w:val="left"/>
            </w:pPr>
            <w:r>
              <w:t xml:space="preserve">Red de 100 nodos, 10 gateways y 3 monitores de referencia, con corrección en el gateway, despliegue por tramos y custodia distribuida</w:t>
            </w:r>
          </w:p>
        </w:tc>
        <w:tc>
          <w:tcPr/>
          <w:p>
            <w:pPr>
              <w:pStyle w:val="Tabla9"/>
              <w:jc w:val="left"/>
            </w:pPr>
            <w:r>
              <w:t xml:space="preserve">PROPUESTO</w:t>
            </w:r>
          </w:p>
        </w:tc>
        <w:tc>
          <w:tcPr/>
          <w:p>
            <w:pPr>
              <w:pStyle w:val="Tabla9"/>
              <w:jc w:val="left"/>
            </w:pPr>
            <w:r>
              <w:t xml:space="preserve">NO_APLICA</w:t>
            </w:r>
          </w:p>
        </w:tc>
      </w:tr>
      <w:tr>
        <w:trPr>
          <w:cantSplit/>
        </w:trPr>
        <w:tc>
          <w:tcPr/>
          <w:p>
            <w:pPr>
              <w:pStyle w:val="Tabla9"/>
              <w:jc w:val="left"/>
            </w:pPr>
            <w:r>
              <w:t xml:space="preserve">TRL inicial de la solución</w:t>
            </w:r>
          </w:p>
        </w:tc>
        <w:tc>
          <w:tcPr/>
          <w:p>
            <w:pPr>
              <w:pStyle w:val="Tabla9"/>
              <w:jc w:val="left"/>
            </w:pPr>
            <w:r>
              <w:t xml:space="preserve">TRL 4 en algoritmos de calibración higroscópica</w:t>
            </w:r>
          </w:p>
        </w:tc>
        <w:tc>
          <w:tcPr/>
          <w:p>
            <w:pPr>
              <w:pStyle w:val="Tabla9"/>
              <w:jc w:val="left"/>
            </w:pPr>
            <w:r>
              <w:t xml:space="preserve">TRL 4 (componentes validados en laboratorio por el grupo ejecutor [DATO_USUARIO: evidencia de la validación de laboratorio])</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Tipo de innovación</w:t>
            </w:r>
          </w:p>
        </w:tc>
        <w:tc>
          <w:tcPr/>
          <w:p>
            <w:pPr>
              <w:pStyle w:val="Tabla9"/>
              <w:jc w:val="left"/>
            </w:pPr>
            <w:r>
              <w:t xml:space="preserve">Producto (hardware y gemelo digital) y servicio (alertas de gestión del riesgo)</w:t>
            </w:r>
          </w:p>
        </w:tc>
        <w:tc>
          <w:tcPr/>
          <w:p>
            <w:pPr>
              <w:pStyle w:val="Tabla9"/>
              <w:jc w:val="left"/>
            </w:pPr>
            <w:r>
              <w:t xml:space="preserve">Producto, proceso (calibración dinámica en el borde) y servicio (tablero y protocolo de alerta)</w:t>
            </w:r>
          </w:p>
        </w:tc>
        <w:tc>
          <w:tcPr/>
          <w:p>
            <w:pPr>
              <w:pStyle w:val="Tabla9"/>
              <w:jc w:val="left"/>
            </w:pPr>
            <w:r>
              <w:t xml:space="preserve">PROPUESTO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el expediente E3-P00 (Paso 1, Sección C) y la ficha maestra (sección 2).</w:t>
      </w:r>
    </w:p>
    <w:bookmarkEnd w:id="116"/>
    <w:bookmarkStart w:id="117" w:name="_Toc00900057"/>
    <w:p>
      <w:pPr>
        <w:pStyle w:val="Heading2"/>
      </w:pPr>
      <w:r>
        <w:t xml:space="preserve">F1.4 Contexto y alcance (Sección D)</w:t>
      </w:r>
    </w:p>
    <w:p>
      <w:pPr>
        <w:pStyle w:val="FirstParagraph"/>
      </w:pPr>
      <w:r>
        <w:t xml:space="preserve">La Sección D fija territorio, duración, presupuesto y participantes. La Tabla F1.4 contiene los siete campos. El valor solicitado al SGR se reduce de 14.000 millones al monto justificado por actividad, $ 8.729.840.000 COP. Ese monto equivale a 62,4 % del tope declarado (DEC-F06). La diferencia no se solicita y se describe como opciones de ampliación condicionadas a los términos de referencia. Los beneficiarios directos se cuantifican por comité: 15 comités y 150 funcionarios, a razón de 10 por comité (SUPUESTO).</w:t>
      </w:r>
    </w:p>
    <w:p>
      <w:pPr>
        <w:pStyle w:val="TablaRotulo"/>
      </w:pPr>
      <w:bookmarkStart w:id="9061" w:name="rot_Tabla_F1_4"/>
      <w:r>
        <w:rPr>
          <w:b/>
          <w:bCs/>
        </w:rPr>
        <w:t xml:space="preserve">Tabla F1.4</w:t>
      </w:r>
      <w:bookmarkEnd w:id="9061"/>
    </w:p>
    <w:p>
      <w:pPr>
        <w:pStyle w:val="TablaTitulo"/>
      </w:pPr>
      <w:r>
        <w:rPr>
          <w:i/>
          <w:iCs/>
        </w:rPr>
        <w:t xml:space="preserve">Contexto y alcance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1386"/>
        <w:gridCol w:w="1914"/>
        <w:gridCol w:w="1386"/>
        <w:gridCol w:w="1848"/>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Respuesta del expediente E3-P00</w:t>
            </w:r>
          </w:p>
        </w:tc>
        <w:tc>
          <w:tcPr>
            <w:shd w:val="clear" w:color="auto" w:fill="00B050"/>
          </w:tcPr>
          <w:p>
            <w:pPr>
              <w:pStyle w:val="Tabla9"/>
              <w:jc w:val="center"/>
            </w:pPr>
            <w:r>
              <w:rPr>
                <w:b/>
                <w:color w:val="FFFFFF"/>
              </w:rPr>
              <w:t xml:space="preserve">Valor adoptado en esta formulación</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Ubicación geográfica</w:t>
            </w:r>
          </w:p>
        </w:tc>
        <w:tc>
          <w:tcPr/>
          <w:p>
            <w:pPr>
              <w:pStyle w:val="Tabla9"/>
              <w:jc w:val="left"/>
            </w:pPr>
            <w:r>
              <w:t xml:space="preserve">Caldas, Cundinamarca y Valle del Cauca, en zonas con declaratoria de calamidad por escombros (Anexo 8)</w:t>
            </w:r>
          </w:p>
        </w:tc>
        <w:tc>
          <w:tcPr/>
          <w:p>
            <w:pPr>
              <w:pStyle w:val="Tabla9"/>
              <w:jc w:val="left"/>
            </w:pPr>
            <w:r>
              <w:t xml:space="preserve">Caldas (33 nodos), Cundinamarca (34) y Valle del Cauca (33); 12 municipios [DATO_USUARIO: lista y polígonos]</w:t>
            </w:r>
          </w:p>
        </w:tc>
        <w:tc>
          <w:tcPr/>
          <w:p>
            <w:pPr>
              <w:pStyle w:val="Tabla9"/>
              <w:jc w:val="left"/>
            </w:pPr>
            <w:r>
              <w:t xml:space="preserve">SUPUESTO</w:t>
            </w:r>
          </w:p>
        </w:tc>
        <w:tc>
          <w:tcPr/>
          <w:p>
            <w:pPr>
              <w:pStyle w:val="Tabla9"/>
              <w:jc w:val="left"/>
            </w:pPr>
            <w:r>
              <w:t xml:space="preserve">NO_VERIFICADO</w:t>
            </w:r>
          </w:p>
        </w:tc>
      </w:tr>
      <w:tr>
        <w:trPr>
          <w:cantSplit/>
        </w:trPr>
        <w:tc>
          <w:tcPr/>
          <w:p>
            <w:pPr>
              <w:pStyle w:val="Tabla9"/>
              <w:jc w:val="left"/>
            </w:pPr>
            <w:r>
              <w:t xml:space="preserve">Duración estimada</w:t>
            </w:r>
          </w:p>
        </w:tc>
        <w:tc>
          <w:tcPr/>
          <w:p>
            <w:pPr>
              <w:pStyle w:val="Tabla9"/>
              <w:jc w:val="left"/>
            </w:pPr>
            <w:r>
              <w:t xml:space="preserve">24 meses (límite normativo de los TdR)</w:t>
            </w:r>
          </w:p>
        </w:tc>
        <w:tc>
          <w:tcPr/>
          <w:p>
            <w:pPr>
              <w:pStyle w:val="Tabla9"/>
              <w:jc w:val="left"/>
            </w:pPr>
            <w:r>
              <w:t xml:space="preserve">24 meses (104 semanas) más 12 meses de seguimiento posproyecto</w:t>
            </w:r>
          </w:p>
        </w:tc>
        <w:tc>
          <w:tcPr/>
          <w:p>
            <w:pPr>
              <w:pStyle w:val="Tabla9"/>
              <w:jc w:val="left"/>
            </w:pPr>
            <w:r>
              <w:t xml:space="preserve">DECLARADO y PROPUESTO</w:t>
            </w:r>
          </w:p>
        </w:tc>
        <w:tc>
          <w:tcPr/>
          <w:p>
            <w:pPr>
              <w:pStyle w:val="Tabla9"/>
              <w:jc w:val="left"/>
            </w:pPr>
            <w:r>
              <w:t xml:space="preserve">NO_VERIFICADO</w:t>
            </w:r>
          </w:p>
        </w:tc>
      </w:tr>
      <w:tr>
        <w:trPr>
          <w:cantSplit/>
        </w:trPr>
        <w:tc>
          <w:tcPr/>
          <w:p>
            <w:pPr>
              <w:pStyle w:val="Tabla9"/>
              <w:jc w:val="left"/>
            </w:pPr>
            <w:r>
              <w:t xml:space="preserve">Presupuesto estimado</w:t>
            </w:r>
          </w:p>
        </w:tc>
        <w:tc>
          <w:tcPr/>
          <w:p>
            <w:pPr>
              <w:pStyle w:val="Tabla9"/>
              <w:jc w:val="left"/>
            </w:pPr>
            <w:r>
              <w:t xml:space="preserve">$ 14.000.000.000 COP (límite normativo)</w:t>
            </w:r>
          </w:p>
        </w:tc>
        <w:tc>
          <w:tcPr/>
          <w:p>
            <w:pPr>
              <w:pStyle w:val="Tabla9"/>
              <w:jc w:val="left"/>
            </w:pPr>
            <w:r>
              <w:t xml:space="preserve">Solicitado al SGR: $ 8.729.840.000 COP; contrapartida: $ 2.110.000.000 COP; total: $ 10.839.840.000 COP</w:t>
            </w:r>
          </w:p>
        </w:tc>
        <w:tc>
          <w:tcPr/>
          <w:p>
            <w:pPr>
              <w:pStyle w:val="Tabla9"/>
              <w:jc w:val="left"/>
            </w:pPr>
            <w:r>
              <w:t xml:space="preserve">CALCULADO</w:t>
            </w:r>
          </w:p>
        </w:tc>
        <w:tc>
          <w:tcPr/>
          <w:p>
            <w:pPr>
              <w:pStyle w:val="Tabla9"/>
              <w:jc w:val="left"/>
            </w:pPr>
            <w:r>
              <w:t xml:space="preserve">NO_VERIFICADO</w:t>
            </w:r>
          </w:p>
        </w:tc>
      </w:tr>
      <w:tr>
        <w:trPr>
          <w:cantSplit/>
        </w:trPr>
        <w:tc>
          <w:tcPr/>
          <w:p>
            <w:pPr>
              <w:pStyle w:val="Tabla9"/>
              <w:jc w:val="left"/>
            </w:pPr>
            <w:r>
              <w:t xml:space="preserve">Entidad ejecutora</w:t>
            </w:r>
          </w:p>
        </w:tc>
        <w:tc>
          <w:tcPr/>
          <w:p>
            <w:pPr>
              <w:pStyle w:val="Tabla9"/>
              <w:jc w:val="left"/>
            </w:pPr>
            <w:r>
              <w:t xml:space="preserve">Institución de educación superior con acreditación de alta calidad (por definir)</w:t>
            </w:r>
          </w:p>
        </w:tc>
        <w:tc>
          <w:tcPr/>
          <w:p>
            <w:pPr>
              <w:pStyle w:val="Tabla9"/>
              <w:jc w:val="left"/>
            </w:pPr>
            <w:r>
              <w:t xml:space="preserve">[DATO_USUARIO: nombre de la entidad ejecutora]; institución de educación superior con acreditación de alta calidad</w:t>
            </w:r>
          </w:p>
        </w:tc>
        <w:tc>
          <w:tcPr/>
          <w:p>
            <w:pPr>
              <w:pStyle w:val="Tabla9"/>
              <w:jc w:val="left"/>
            </w:pPr>
            <w:r>
              <w:t xml:space="preserve">SUPUESTO</w:t>
            </w:r>
          </w:p>
        </w:tc>
        <w:tc>
          <w:tcPr/>
          <w:p>
            <w:pPr>
              <w:pStyle w:val="Tabla9"/>
              <w:jc w:val="left"/>
            </w:pPr>
            <w:r>
              <w:t xml:space="preserve">NO_VERIFICADO</w:t>
            </w:r>
          </w:p>
        </w:tc>
      </w:tr>
      <w:tr>
        <w:trPr>
          <w:cantSplit/>
        </w:trPr>
        <w:tc>
          <w:tcPr/>
          <w:p>
            <w:pPr>
              <w:pStyle w:val="Tabla9"/>
              <w:jc w:val="left"/>
            </w:pPr>
            <w:r>
              <w:t xml:space="preserve">Co-ejecutores</w:t>
            </w:r>
          </w:p>
        </w:tc>
        <w:tc>
          <w:tcPr/>
          <w:p>
            <w:pPr>
              <w:pStyle w:val="Tabla9"/>
              <w:jc w:val="left"/>
            </w:pPr>
            <w:r>
              <w:t xml:space="preserve">Empresa tecnológica y alcaldías municipales</w:t>
            </w:r>
          </w:p>
        </w:tc>
        <w:tc>
          <w:tcPr/>
          <w:p>
            <w:pPr>
              <w:pStyle w:val="Tabla9"/>
              <w:jc w:val="left"/>
            </w:pPr>
            <w:r>
              <w:t xml:space="preserve">Empresa tecnológica [DATO_USUARIO: razón social y NIT]; las alcaldías participan como custodios y no aportan contrapartida (VACIO)</w:t>
            </w:r>
          </w:p>
        </w:tc>
        <w:tc>
          <w:tcPr/>
          <w:p>
            <w:pPr>
              <w:pStyle w:val="Tabla9"/>
              <w:jc w:val="left"/>
            </w:pPr>
            <w:r>
              <w:t xml:space="preserve">SUPUESTO</w:t>
            </w:r>
          </w:p>
        </w:tc>
        <w:tc>
          <w:tcPr/>
          <w:p>
            <w:pPr>
              <w:pStyle w:val="Tabla9"/>
              <w:jc w:val="left"/>
            </w:pPr>
            <w:r>
              <w:t xml:space="preserve">NO_VERIFICADO</w:t>
            </w:r>
          </w:p>
        </w:tc>
      </w:tr>
      <w:tr>
        <w:trPr>
          <w:cantSplit/>
        </w:trPr>
        <w:tc>
          <w:tcPr/>
          <w:p>
            <w:pPr>
              <w:pStyle w:val="Tabla9"/>
              <w:jc w:val="left"/>
            </w:pPr>
            <w:r>
              <w:t xml:space="preserve">Beneficiarios directos</w:t>
            </w:r>
          </w:p>
        </w:tc>
        <w:tc>
          <w:tcPr/>
          <w:p>
            <w:pPr>
              <w:pStyle w:val="Tabla9"/>
              <w:jc w:val="left"/>
            </w:pPr>
            <w:r>
              <w:t xml:space="preserve">Operarios de rescate y funcionarios de la Defensa Civil y la UNGRD que usan los tableros</w:t>
            </w:r>
          </w:p>
        </w:tc>
        <w:tc>
          <w:tcPr/>
          <w:p>
            <w:pPr>
              <w:pStyle w:val="Tabla9"/>
              <w:jc w:val="left"/>
            </w:pPr>
            <w:r>
              <w:t xml:space="preserve">150 funcionarios de 15 comités de gestión del riesgo; operarios de remoción [DATO_USUARIO: número de operarios en sitios monitoreados]</w:t>
            </w:r>
          </w:p>
        </w:tc>
        <w:tc>
          <w:tcPr/>
          <w:p>
            <w:pPr>
              <w:pStyle w:val="Tabla9"/>
              <w:jc w:val="left"/>
            </w:pPr>
            <w:r>
              <w:t xml:space="preserve">SUPUESTO</w:t>
            </w:r>
          </w:p>
        </w:tc>
        <w:tc>
          <w:tcPr/>
          <w:p>
            <w:pPr>
              <w:pStyle w:val="Tabla9"/>
              <w:jc w:val="left"/>
            </w:pPr>
            <w:r>
              <w:t xml:space="preserve">NO_VERIFICADO</w:t>
            </w:r>
          </w:p>
        </w:tc>
      </w:tr>
      <w:tr>
        <w:trPr>
          <w:cantSplit/>
        </w:trPr>
        <w:tc>
          <w:tcPr/>
          <w:p>
            <w:pPr>
              <w:pStyle w:val="Tabla9"/>
              <w:jc w:val="left"/>
            </w:pPr>
            <w:r>
              <w:t xml:space="preserve">Beneficiarios indirectos</w:t>
            </w:r>
          </w:p>
        </w:tc>
        <w:tc>
          <w:tcPr/>
          <w:p>
            <w:pPr>
              <w:pStyle w:val="Tabla9"/>
              <w:jc w:val="left"/>
            </w:pPr>
            <w:r>
              <w:t xml:space="preserve">Habitantes de municipios afectados expuestos a la pluma de partículas</w:t>
            </w:r>
          </w:p>
        </w:tc>
        <w:tc>
          <w:tcPr/>
          <w:p>
            <w:pPr>
              <w:pStyle w:val="Tabla9"/>
              <w:jc w:val="left"/>
            </w:pPr>
            <w:r>
              <w:t xml:space="preserve">[DATO_USUARIO: población de los 12 municipios según el DANE]</w:t>
            </w:r>
          </w:p>
        </w:tc>
        <w:tc>
          <w:tcPr/>
          <w:p>
            <w:pPr>
              <w:pStyle w:val="Tabla9"/>
              <w:jc w:val="left"/>
            </w:pPr>
            <w:r>
              <w:t xml:space="preserve">VACIO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D), la ficha maestra (secciones 1, 4 y 5) y maestro.py. COP: pesos colombianos.</w:t>
      </w:r>
    </w:p>
    <w:bookmarkEnd w:id="117"/>
    <w:bookmarkStart w:id="118" w:name="X4da1aacdf1f1866c95f0757cf3f8d8101fbde18"/>
    <w:p>
      <w:pPr>
        <w:pStyle w:val="Heading2"/>
      </w:pPr>
      <w:r>
        <w:t xml:space="preserve">F1.5 Capacidades y antecedentes (Sección E)</w:t>
      </w:r>
    </w:p>
    <w:p>
      <w:pPr>
        <w:pStyle w:val="FirstParagraph"/>
      </w:pPr>
      <w:r>
        <w:t xml:space="preserve">La Sección E describe lo que el ejecutor aporta. El expediente declara dos proyectos de CTeI previos, un grupo de categoría A1 o A y laboratorios de calibración óptica. Ninguna de esas declaraciones tiene soporte documental en los archivos del usuario. La formulación las conserva como declaradas y exige su acreditación antes de radicar. La Tabla F1.5 lista cada capacidad y el documento que la acredita.</w:t>
      </w:r>
    </w:p>
    <w:p>
      <w:pPr>
        <w:pStyle w:val="TablaRotulo"/>
      </w:pPr>
      <w:bookmarkStart w:id="9062" w:name="rot_Tabla_F1_5"/>
      <w:r>
        <w:rPr>
          <w:b/>
          <w:bCs/>
        </w:rPr>
        <w:t xml:space="preserve">Tabla F1.5</w:t>
      </w:r>
      <w:bookmarkEnd w:id="9062"/>
    </w:p>
    <w:p>
      <w:pPr>
        <w:pStyle w:val="TablaTitulo"/>
      </w:pPr>
      <w:r>
        <w:rPr>
          <w:i/>
          <w:iCs/>
        </w:rPr>
        <w:t xml:space="preserve">Capacidades y antecedentes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54"/>
        <w:gridCol w:w="1386"/>
        <w:gridCol w:w="1518"/>
        <w:gridCol w:w="1320"/>
        <w:gridCol w:w="2442"/>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Respuesta del expediente E3-P00</w:t>
            </w:r>
          </w:p>
        </w:tc>
        <w:tc>
          <w:tcPr>
            <w:shd w:val="clear" w:color="auto" w:fill="00B050"/>
          </w:tcPr>
          <w:p>
            <w:pPr>
              <w:pStyle w:val="Tabla9"/>
              <w:jc w:val="center"/>
            </w:pPr>
            <w:r>
              <w:rPr>
                <w:b/>
                <w:color w:val="FFFFFF"/>
              </w:rPr>
              <w:t xml:space="preserve">Valor adoptado en esta formulación</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Experiencia del equipo</w:t>
            </w:r>
          </w:p>
        </w:tc>
        <w:tc>
          <w:tcPr/>
          <w:p>
            <w:pPr>
              <w:pStyle w:val="Tabla9"/>
              <w:jc w:val="left"/>
            </w:pPr>
            <w:r>
              <w:t xml:space="preserve">Al menos dos proyectos de CTeI en telecomunicaciones o monitoreo ambiental</w:t>
            </w:r>
          </w:p>
        </w:tc>
        <w:tc>
          <w:tcPr/>
          <w:p>
            <w:pPr>
              <w:pStyle w:val="Tabla9"/>
              <w:jc w:val="left"/>
            </w:pPr>
            <w:r>
              <w:t xml:space="preserve">[DATO_USUARIO: dos certificaciones de proyectos ejecutados, con entidad, valor y fechas]</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Grupos de investigación</w:t>
            </w:r>
          </w:p>
        </w:tc>
        <w:tc>
          <w:tcPr/>
          <w:p>
            <w:pPr>
              <w:pStyle w:val="Tabla9"/>
              <w:jc w:val="left"/>
            </w:pPr>
            <w:r>
              <w:t xml:space="preserve">Grupo de telecomunicaciones y señales, categoría A1 o A</w:t>
            </w:r>
          </w:p>
        </w:tc>
        <w:tc>
          <w:tcPr/>
          <w:p>
            <w:pPr>
              <w:pStyle w:val="Tabla9"/>
              <w:jc w:val="left"/>
            </w:pPr>
            <w:r>
              <w:t xml:space="preserve">[DATO_USUARIO: nombre, código y categoría vigente del grupo en la plataforma de MinCiencias]</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Infraestructura disponible</w:t>
            </w:r>
          </w:p>
        </w:tc>
        <w:tc>
          <w:tcPr/>
          <w:p>
            <w:pPr>
              <w:pStyle w:val="Tabla9"/>
              <w:jc w:val="left"/>
            </w:pPr>
            <w:r>
              <w:t xml:space="preserve">Laboratorios de calibración óptica de la institución y servidores en la nube de la empresa</w:t>
            </w:r>
          </w:p>
        </w:tc>
        <w:tc>
          <w:tcPr/>
          <w:p>
            <w:pPr>
              <w:pStyle w:val="Tabla9"/>
              <w:jc w:val="left"/>
            </w:pPr>
            <w:r>
              <w:t xml:space="preserve">Laboratorio de la institución (aporte valorado en 300 millones de pesos) y nube de la empresa (800 millones en especie); [DATO_USUARIO: inventario de equipos y certificados de calibración]</w:t>
            </w:r>
          </w:p>
        </w:tc>
        <w:tc>
          <w:tcPr/>
          <w:p>
            <w:pPr>
              <w:pStyle w:val="Tabla9"/>
              <w:jc w:val="left"/>
            </w:pPr>
            <w:r>
              <w:t xml:space="preserve">DECLARADO y PROPUESTO</w:t>
            </w:r>
          </w:p>
        </w:tc>
        <w:tc>
          <w:tcPr/>
          <w:p>
            <w:pPr>
              <w:pStyle w:val="Tabla9"/>
              <w:jc w:val="left"/>
            </w:pPr>
            <w:r>
              <w:t xml:space="preserve">NO_VERIFICADO</w:t>
            </w:r>
          </w:p>
        </w:tc>
      </w:tr>
      <w:tr>
        <w:trPr>
          <w:cantSplit/>
        </w:trPr>
        <w:tc>
          <w:tcPr/>
          <w:p>
            <w:pPr>
              <w:pStyle w:val="Tabla9"/>
              <w:jc w:val="left"/>
            </w:pPr>
            <w:r>
              <w:t xml:space="preserve">Proyectos previos relacionados</w:t>
            </w:r>
          </w:p>
        </w:tc>
        <w:tc>
          <w:tcPr/>
          <w:p>
            <w:pPr>
              <w:pStyle w:val="Tabla9"/>
              <w:jc w:val="left"/>
            </w:pPr>
            <w:r>
              <w:t xml:space="preserve">Redes urbanas de calidad del aire como línea base de comparación de fallos</w:t>
            </w:r>
          </w:p>
        </w:tc>
        <w:tc>
          <w:tcPr/>
          <w:p>
            <w:pPr>
              <w:pStyle w:val="Tabla9"/>
              <w:jc w:val="left"/>
            </w:pPr>
            <w:r>
              <w:t xml:space="preserve">Estado del arte del capítulo 2 y análisis de la sección 4.3; [DATO_USUARIO: proyectos propios del ejecutor]</w:t>
            </w:r>
          </w:p>
        </w:tc>
        <w:tc>
          <w:tcPr/>
          <w:p>
            <w:pPr>
              <w:pStyle w:val="Tabla9"/>
              <w:jc w:val="left"/>
            </w:pPr>
            <w:r>
              <w:t xml:space="preserve">DOCUMENTADO</w:t>
            </w:r>
          </w:p>
        </w:tc>
        <w:tc>
          <w:tcPr/>
          <w:p>
            <w:pPr>
              <w:pStyle w:val="Tabla9"/>
              <w:jc w:val="left"/>
            </w:pPr>
            <w:r>
              <w:t xml:space="preserve">PARCIALMENTE_VERIFICADO</w:t>
            </w:r>
          </w:p>
        </w:tc>
      </w:tr>
      <w:tr>
        <w:trPr>
          <w:cantSplit/>
        </w:trPr>
        <w:tc>
          <w:tcPr/>
          <w:p>
            <w:pPr>
              <w:pStyle w:val="Tabla9"/>
              <w:jc w:val="left"/>
            </w:pPr>
            <w:r>
              <w:t xml:space="preserve">Alianzas existentes</w:t>
            </w:r>
          </w:p>
        </w:tc>
        <w:tc>
          <w:tcPr/>
          <w:p>
            <w:pPr>
              <w:pStyle w:val="Tabla9"/>
              <w:jc w:val="left"/>
            </w:pPr>
            <w:r>
              <w:t xml:space="preserve">Acuerdos en estructuración: carta unificada de aval y gobernanza (Anexo 1)</w:t>
            </w:r>
          </w:p>
        </w:tc>
        <w:tc>
          <w:tcPr/>
          <w:p>
            <w:pPr>
              <w:pStyle w:val="Tabla9"/>
              <w:jc w:val="left"/>
            </w:pPr>
            <w:r>
              <w:t xml:space="preserve">Alianza entre institución, empresa y entidades territoriales como supuesto; [DATO_USUARIO: cartas de compromiso firmadas]</w:t>
            </w:r>
          </w:p>
        </w:tc>
        <w:tc>
          <w:tcPr/>
          <w:p>
            <w:pPr>
              <w:pStyle w:val="Tabla9"/>
              <w:jc w:val="left"/>
            </w:pPr>
            <w:r>
              <w:t xml:space="preserve">SUPUESTO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E) y la ficha maestra (sección 5, contrapartida).</w:t>
      </w:r>
    </w:p>
    <w:bookmarkEnd w:id="118"/>
    <w:bookmarkStart w:id="119" w:name="Xe4263ebeec94dad672400df51a351a838a907a3"/>
    <w:p>
      <w:pPr>
        <w:pStyle w:val="Heading2"/>
      </w:pPr>
      <w:r>
        <w:t xml:space="preserve">F1.6 Verificación de completitud del paso</w:t>
      </w:r>
    </w:p>
    <w:p>
      <w:pPr>
        <w:pStyle w:val="FirstParagraph"/>
      </w:pPr>
      <w:r>
        <w:t xml:space="preserve">El Paso 1 exige completar todas las secciones. La Tabla F1.6 verifica la cobertura de los 27 campos de la plantilla del metaprompt y señala cuántos valores dependen de datos que solo el usuario posee. El resultado alimenta el registro de vacíos del cierre del documento.</w:t>
      </w:r>
    </w:p>
    <w:p>
      <w:pPr>
        <w:pStyle w:val="TablaRotulo"/>
      </w:pPr>
      <w:bookmarkStart w:id="9063" w:name="rot_Tabla_F1_6"/>
      <w:r>
        <w:rPr>
          <w:b/>
          <w:bCs/>
        </w:rPr>
        <w:t xml:space="preserve">Tabla F1.6</w:t>
      </w:r>
      <w:bookmarkEnd w:id="9063"/>
    </w:p>
    <w:p>
      <w:pPr>
        <w:pStyle w:val="TablaTitulo"/>
      </w:pPr>
      <w:r>
        <w:rPr>
          <w:i/>
          <w:iCs/>
        </w:rPr>
        <w:t xml:space="preserve">Verificación de completitud del Paso 1</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1122"/>
        <w:gridCol w:w="1056"/>
        <w:gridCol w:w="2046"/>
        <w:gridCol w:w="1980"/>
      </w:tblGrid>
      <w:tr>
        <w:trPr>
          <w:cantSplit/>
          <w:tblHeader/>
        </w:trPr>
        <w:tc>
          <w:tcPr>
            <w:shd w:val="clear" w:color="auto" w:fill="00B050"/>
          </w:tcPr>
          <w:p>
            <w:pPr>
              <w:pStyle w:val="Tabla9"/>
              <w:jc w:val="center"/>
            </w:pPr>
            <w:r>
              <w:rPr>
                <w:b/>
                <w:color w:val="FFFFFF"/>
              </w:rPr>
              <w:t xml:space="preserve">Sección</w:t>
            </w:r>
          </w:p>
        </w:tc>
        <w:tc>
          <w:tcPr>
            <w:shd w:val="clear" w:color="auto" w:fill="00B050"/>
          </w:tcPr>
          <w:p>
            <w:pPr>
              <w:pStyle w:val="Tabla9"/>
              <w:jc w:val="center"/>
            </w:pPr>
            <w:r>
              <w:rPr>
                <w:b/>
                <w:color w:val="FFFFFF"/>
              </w:rPr>
              <w:t xml:space="preserve">Campos de la plantilla</w:t>
            </w:r>
          </w:p>
        </w:tc>
        <w:tc>
          <w:tcPr>
            <w:shd w:val="clear" w:color="auto" w:fill="00B050"/>
          </w:tcPr>
          <w:p>
            <w:pPr>
              <w:pStyle w:val="Tabla9"/>
              <w:jc w:val="center"/>
            </w:pPr>
            <w:r>
              <w:rPr>
                <w:b/>
                <w:color w:val="FFFFFF"/>
              </w:rPr>
              <w:t xml:space="preserve">Campos con valor adoptado</w:t>
            </w:r>
          </w:p>
        </w:tc>
        <w:tc>
          <w:tcPr>
            <w:shd w:val="clear" w:color="auto" w:fill="00B050"/>
          </w:tcPr>
          <w:p>
            <w:pPr>
              <w:pStyle w:val="Tabla9"/>
              <w:jc w:val="center"/>
            </w:pPr>
            <w:r>
              <w:rPr>
                <w:b/>
                <w:color w:val="FFFFFF"/>
              </w:rPr>
              <w:t xml:space="preserve">Campos con marcador DATO_USUARIO</w:t>
            </w:r>
          </w:p>
        </w:tc>
        <w:tc>
          <w:tcPr>
            <w:shd w:val="clear" w:color="auto" w:fill="00B050"/>
          </w:tcPr>
          <w:p>
            <w:pPr>
              <w:pStyle w:val="Tabla9"/>
              <w:jc w:val="center"/>
            </w:pPr>
            <w:r>
              <w:rPr>
                <w:b/>
                <w:color w:val="FFFFFF"/>
              </w:rPr>
              <w:t xml:space="preserve">Observación</w:t>
            </w:r>
          </w:p>
        </w:tc>
      </w:tr>
      <w:tr>
        <w:trPr>
          <w:cantSplit/>
        </w:trPr>
        <w:tc>
          <w:tcPr/>
          <w:p>
            <w:pPr>
              <w:pStyle w:val="Tabla9"/>
              <w:jc w:val="left"/>
            </w:pPr>
            <w:r>
              <w:t xml:space="preserve">A. Identificación</w:t>
            </w:r>
          </w:p>
        </w:tc>
        <w:tc>
          <w:tcPr/>
          <w:p>
            <w:pPr>
              <w:pStyle w:val="Tabla9"/>
              <w:jc w:val="left"/>
            </w:pPr>
            <w:r>
              <w:t xml:space="preserve">6</w:t>
            </w:r>
          </w:p>
        </w:tc>
        <w:tc>
          <w:tcPr/>
          <w:p>
            <w:pPr>
              <w:pStyle w:val="Tabla9"/>
              <w:jc w:val="left"/>
            </w:pPr>
            <w:r>
              <w:t xml:space="preserve">6</w:t>
            </w:r>
          </w:p>
        </w:tc>
        <w:tc>
          <w:tcPr/>
          <w:p>
            <w:pPr>
              <w:pStyle w:val="Tabla9"/>
              <w:jc w:val="left"/>
            </w:pPr>
            <w:r>
              <w:t xml:space="preserve">0</w:t>
            </w:r>
          </w:p>
        </w:tc>
        <w:tc>
          <w:tcPr/>
          <w:p>
            <w:pPr>
              <w:pStyle w:val="Tabla9"/>
              <w:jc w:val="left"/>
            </w:pPr>
            <w:r>
              <w:t xml:space="preserve">Título de 20 palabras; TRL final ajustado a 7</w:t>
            </w:r>
          </w:p>
        </w:tc>
      </w:tr>
      <w:tr>
        <w:trPr>
          <w:cantSplit/>
        </w:trPr>
        <w:tc>
          <w:tcPr/>
          <w:p>
            <w:pPr>
              <w:pStyle w:val="Tabla9"/>
              <w:jc w:val="left"/>
            </w:pPr>
            <w:r>
              <w:t xml:space="preserve">B. Problema</w:t>
            </w:r>
          </w:p>
        </w:tc>
        <w:tc>
          <w:tcPr/>
          <w:p>
            <w:pPr>
              <w:pStyle w:val="Tabla9"/>
              <w:jc w:val="left"/>
            </w:pPr>
            <w:r>
              <w:t xml:space="preserve">7</w:t>
            </w:r>
          </w:p>
        </w:tc>
        <w:tc>
          <w:tcPr/>
          <w:p>
            <w:pPr>
              <w:pStyle w:val="Tabla9"/>
              <w:jc w:val="left"/>
            </w:pPr>
            <w:r>
              <w:t xml:space="preserve">7</w:t>
            </w:r>
          </w:p>
        </w:tc>
        <w:tc>
          <w:tcPr/>
          <w:p>
            <w:pPr>
              <w:pStyle w:val="Tabla9"/>
              <w:jc w:val="left"/>
            </w:pPr>
            <w:r>
              <w:t xml:space="preserve">2</w:t>
            </w:r>
          </w:p>
        </w:tc>
        <w:tc>
          <w:tcPr/>
          <w:p>
            <w:pPr>
              <w:pStyle w:val="Tabla9"/>
              <w:jc w:val="left"/>
            </w:pPr>
            <w:r>
              <w:t xml:space="preserve">Línea base propia pendiente del tramo 1; lista de municipios</w:t>
            </w:r>
          </w:p>
        </w:tc>
      </w:tr>
      <w:tr>
        <w:trPr>
          <w:cantSplit/>
        </w:trPr>
        <w:tc>
          <w:tcPr/>
          <w:p>
            <w:pPr>
              <w:pStyle w:val="Tabla9"/>
              <w:jc w:val="left"/>
            </w:pPr>
            <w:r>
              <w:t xml:space="preserve">C. Hipótesis de solución</w:t>
            </w:r>
          </w:p>
        </w:tc>
        <w:tc>
          <w:tcPr/>
          <w:p>
            <w:pPr>
              <w:pStyle w:val="Tabla9"/>
              <w:jc w:val="left"/>
            </w:pPr>
            <w:r>
              <w:t xml:space="preserve">3</w:t>
            </w:r>
          </w:p>
        </w:tc>
        <w:tc>
          <w:tcPr/>
          <w:p>
            <w:pPr>
              <w:pStyle w:val="Tabla9"/>
              <w:jc w:val="left"/>
            </w:pPr>
            <w:r>
              <w:t xml:space="preserve">3</w:t>
            </w:r>
          </w:p>
        </w:tc>
        <w:tc>
          <w:tcPr/>
          <w:p>
            <w:pPr>
              <w:pStyle w:val="Tabla9"/>
              <w:jc w:val="left"/>
            </w:pPr>
            <w:r>
              <w:t xml:space="preserve">1</w:t>
            </w:r>
          </w:p>
        </w:tc>
        <w:tc>
          <w:tcPr/>
          <w:p>
            <w:pPr>
              <w:pStyle w:val="Tabla9"/>
              <w:jc w:val="left"/>
            </w:pPr>
            <w:r>
              <w:t xml:space="preserve">Evidencia del TRL 4</w:t>
            </w:r>
          </w:p>
        </w:tc>
      </w:tr>
      <w:tr>
        <w:trPr>
          <w:cantSplit/>
        </w:trPr>
        <w:tc>
          <w:tcPr/>
          <w:p>
            <w:pPr>
              <w:pStyle w:val="Tabla9"/>
              <w:jc w:val="left"/>
            </w:pPr>
            <w:r>
              <w:t xml:space="preserve">D. Contexto y alcance</w:t>
            </w:r>
          </w:p>
        </w:tc>
        <w:tc>
          <w:tcPr/>
          <w:p>
            <w:pPr>
              <w:pStyle w:val="Tabla9"/>
              <w:jc w:val="left"/>
            </w:pPr>
            <w:r>
              <w:t xml:space="preserve">7</w:t>
            </w:r>
          </w:p>
        </w:tc>
        <w:tc>
          <w:tcPr/>
          <w:p>
            <w:pPr>
              <w:pStyle w:val="Tabla9"/>
              <w:jc w:val="left"/>
            </w:pPr>
            <w:r>
              <w:t xml:space="preserve">7</w:t>
            </w:r>
          </w:p>
        </w:tc>
        <w:tc>
          <w:tcPr/>
          <w:p>
            <w:pPr>
              <w:pStyle w:val="Tabla9"/>
              <w:jc w:val="left"/>
            </w:pPr>
            <w:r>
              <w:t xml:space="preserve">5</w:t>
            </w:r>
          </w:p>
        </w:tc>
        <w:tc>
          <w:tcPr/>
          <w:p>
            <w:pPr>
              <w:pStyle w:val="Tabla9"/>
              <w:jc w:val="left"/>
            </w:pPr>
            <w:r>
              <w:t xml:space="preserve">Entidad ejecutora, empresa, municipios, operarios y población</w:t>
            </w:r>
          </w:p>
        </w:tc>
      </w:tr>
      <w:tr>
        <w:trPr>
          <w:cantSplit/>
        </w:trPr>
        <w:tc>
          <w:tcPr/>
          <w:p>
            <w:pPr>
              <w:pStyle w:val="Tabla9"/>
              <w:jc w:val="left"/>
            </w:pPr>
            <w:r>
              <w:t xml:space="preserve">E. Capacidades</w:t>
            </w:r>
          </w:p>
        </w:tc>
        <w:tc>
          <w:tcPr/>
          <w:p>
            <w:pPr>
              <w:pStyle w:val="Tabla9"/>
              <w:jc w:val="left"/>
            </w:pPr>
            <w:r>
              <w:t xml:space="preserve">5</w:t>
            </w:r>
          </w:p>
        </w:tc>
        <w:tc>
          <w:tcPr/>
          <w:p>
            <w:pPr>
              <w:pStyle w:val="Tabla9"/>
              <w:jc w:val="left"/>
            </w:pPr>
            <w:r>
              <w:t xml:space="preserve">5</w:t>
            </w:r>
          </w:p>
        </w:tc>
        <w:tc>
          <w:tcPr/>
          <w:p>
            <w:pPr>
              <w:pStyle w:val="Tabla9"/>
              <w:jc w:val="left"/>
            </w:pPr>
            <w:r>
              <w:t xml:space="preserve">5</w:t>
            </w:r>
          </w:p>
        </w:tc>
        <w:tc>
          <w:tcPr/>
          <w:p>
            <w:pPr>
              <w:pStyle w:val="Tabla9"/>
              <w:jc w:val="left"/>
            </w:pPr>
            <w:r>
              <w:t xml:space="preserve">Certificaciones, grupo, inventario, proyectos y cartas</w:t>
            </w:r>
          </w:p>
        </w:tc>
      </w:tr>
      <w:tr>
        <w:trPr>
          <w:cantSplit/>
        </w:trPr>
        <w:tc>
          <w:tcPr/>
          <w:p>
            <w:pPr>
              <w:pStyle w:val="Tabla9"/>
              <w:jc w:val="left"/>
            </w:pPr>
            <w:r>
              <w:t xml:space="preserve">Total</w:t>
            </w:r>
          </w:p>
        </w:tc>
        <w:tc>
          <w:tcPr/>
          <w:p>
            <w:pPr>
              <w:pStyle w:val="Tabla9"/>
              <w:jc w:val="left"/>
            </w:pPr>
            <w:r>
              <w:t xml:space="preserve">28</w:t>
            </w:r>
          </w:p>
        </w:tc>
        <w:tc>
          <w:tcPr/>
          <w:p>
            <w:pPr>
              <w:pStyle w:val="Tabla9"/>
              <w:jc w:val="left"/>
            </w:pPr>
            <w:r>
              <w:t xml:space="preserve">28</w:t>
            </w:r>
          </w:p>
        </w:tc>
        <w:tc>
          <w:tcPr/>
          <w:p>
            <w:pPr>
              <w:pStyle w:val="Tabla9"/>
              <w:jc w:val="left"/>
            </w:pPr>
            <w:r>
              <w:t xml:space="preserve">13</w:t>
            </w:r>
          </w:p>
        </w:tc>
        <w:tc>
          <w:tcPr/>
          <w:p>
            <w:pPr>
              <w:pStyle w:val="Tabla9"/>
              <w:jc w:val="left"/>
            </w:pPr>
            <w:r>
              <w:t xml:space="preserve">Los 28 campos tienen valor adoptado; 13 filas requieren documento del usuario</w:t>
            </w:r>
          </w:p>
        </w:tc>
      </w:tr>
    </w:tbl>
    <w:p>
      <w:pPr>
        <w:pStyle w:val="TablaNota"/>
      </w:pPr>
      <w:r>
        <w:rPr>
          <w:i/>
          <w:iCs/>
        </w:rPr>
        <w:t xml:space="preserve">Nota.</w:t>
      </w:r>
      <w:r>
        <w:t xml:space="preserve"> </w:t>
      </w:r>
      <w:r>
        <w:t xml:space="preserve">Elaboración propia. La plantilla del metaprompt tiene 28 campos: 6 + 7 + 3 + 7 + 5. Los marcadores se cuentan por fila, no por aparición en el texto.</w:t>
      </w:r>
    </w:p>
    <w:p>
      <w:pPr>
        <w:pStyle w:val="BodyText"/>
      </w:pPr>
      <w:r>
        <w:t xml:space="preserve">El Paso 1 crea valor al separar lo que el expediente declara de lo que esta formulación adopta y de lo que falta. Esa separación impide trasladar al documento final cifras sin localizador, como el error de 45 %. Además, entrega a la entidad ejecutora una lista cerrada de certificaciones por reunir.</w:t>
      </w:r>
    </w:p>
    <w:bookmarkEnd w:id="119"/>
    <w:bookmarkEnd w:id="120"/>
    <w:bookmarkStart w:id="129" w:name="X956b21080b160c15e6d57d0c7a6d75895192b16"/>
    <w:p>
      <w:pPr>
        <w:pStyle w:val="Heading1"/>
      </w:pPr>
      <w:r>
        <w:t xml:space="preserve">Paso 2. Ecuaciones de búsqueda para la vigilancia tecnológica</w:t>
      </w:r>
    </w:p>
    <w:p>
      <w:pPr>
        <w:pStyle w:val="FirstParagraph"/>
      </w:pPr>
      <w:r>
        <w:t xml:space="preserve">El Paso 2 define las palabras clave, las ecuaciones de búsqueda y el protocolo de selección que alimentan el procesamiento bibliométrico del Paso 3. El usuario aportó un corpus ya construido: 42 documentos analizados en el informe de vigilancia tecnológica. Ese informe propone dos ecuaciones en su Anexo D, con carácter de supuesto del analista. No documenta las ecuaciones con que se obtuvo el corpus. Por esa razón, las ecuaciones de este paso son PROPUESTAS y no se ejecutaron en esta corrida. El equipo formulador las usa para reproducir y actualizar la vigilancia en las bases con licencia.</w:t>
      </w:r>
    </w:p>
    <w:bookmarkStart w:id="121" w:name="_Toc00900058"/>
    <w:p>
      <w:pPr>
        <w:pStyle w:val="Heading2"/>
      </w:pPr>
      <w:r>
        <w:t xml:space="preserve">F2.1 Palabras clave identificadas</w:t>
      </w:r>
    </w:p>
    <w:p>
      <w:pPr>
        <w:pStyle w:val="FirstParagraph"/>
      </w:pPr>
      <w:r>
        <w:t xml:space="preserve">Las palabras clave se derivan de la formulación del problema y de los términos de la literatura del corpus. La Tabla F2.1 separa cuatro categorías. Cada categoría incluye términos en inglés y en español. Las bases científicas indexan en inglés. Las bases regionales, como SciELO, admiten español y portugués.</w:t>
      </w:r>
    </w:p>
    <w:p>
      <w:pPr>
        <w:pStyle w:val="TablaRotulo"/>
      </w:pPr>
      <w:bookmarkStart w:id="9064" w:name="rot_Tabla_F2_1"/>
      <w:r>
        <w:rPr>
          <w:b/>
          <w:bCs/>
        </w:rPr>
        <w:t xml:space="preserve">Tabla F2.1</w:t>
      </w:r>
      <w:bookmarkEnd w:id="9064"/>
    </w:p>
    <w:p>
      <w:pPr>
        <w:pStyle w:val="TablaTitulo"/>
      </w:pPr>
      <w:r>
        <w:rPr>
          <w:i/>
          <w:iCs/>
        </w:rPr>
        <w:t xml:space="preserve">Palabras clave estructuradas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650"/>
        <w:gridCol w:w="1914"/>
        <w:gridCol w:w="2112"/>
        <w:gridCol w:w="2244"/>
      </w:tblGrid>
      <w:tr>
        <w:trPr>
          <w:cantSplit/>
          <w:tblHeader/>
        </w:trPr>
        <w:tc>
          <w:tcPr>
            <w:shd w:val="clear" w:color="auto" w:fill="00B050"/>
          </w:tcPr>
          <w:p>
            <w:pPr>
              <w:pStyle w:val="Tabla9"/>
              <w:jc w:val="center"/>
            </w:pPr>
            <w:r>
              <w:rPr>
                <w:b/>
                <w:color w:val="FFFFFF"/>
              </w:rPr>
              <w:t xml:space="preserve">Categoría</w:t>
            </w:r>
          </w:p>
        </w:tc>
        <w:tc>
          <w:tcPr>
            <w:shd w:val="clear" w:color="auto" w:fill="00B050"/>
          </w:tcPr>
          <w:p>
            <w:pPr>
              <w:pStyle w:val="Tabla9"/>
              <w:jc w:val="center"/>
            </w:pPr>
            <w:r>
              <w:rPr>
                <w:b/>
                <w:color w:val="FFFFFF"/>
              </w:rPr>
              <w:t xml:space="preserve">Palabras clave primarias</w:t>
            </w:r>
          </w:p>
        </w:tc>
        <w:tc>
          <w:tcPr>
            <w:shd w:val="clear" w:color="auto" w:fill="00B050"/>
          </w:tcPr>
          <w:p>
            <w:pPr>
              <w:pStyle w:val="Tabla9"/>
              <w:jc w:val="center"/>
            </w:pPr>
            <w:r>
              <w:rPr>
                <w:b/>
                <w:color w:val="FFFFFF"/>
              </w:rPr>
              <w:t xml:space="preserve">Palabras clave secundarias</w:t>
            </w:r>
          </w:p>
        </w:tc>
        <w:tc>
          <w:tcPr>
            <w:shd w:val="clear" w:color="auto" w:fill="00B050"/>
          </w:tcPr>
          <w:p>
            <w:pPr>
              <w:pStyle w:val="Tabla9"/>
              <w:jc w:val="center"/>
            </w:pPr>
            <w:r>
              <w:rPr>
                <w:b/>
                <w:color w:val="FFFFFF"/>
              </w:rPr>
              <w:t xml:space="preserve">Sinónimos y variantes</w:t>
            </w:r>
          </w:p>
        </w:tc>
      </w:tr>
      <w:tr>
        <w:trPr>
          <w:cantSplit/>
        </w:trPr>
        <w:tc>
          <w:tcPr/>
          <w:p>
            <w:pPr>
              <w:pStyle w:val="Tabla9"/>
              <w:jc w:val="left"/>
            </w:pPr>
            <w:r>
              <w:t xml:space="preserve">Temática principal</w:t>
            </w:r>
          </w:p>
        </w:tc>
        <w:tc>
          <w:tcPr/>
          <w:p>
            <w:pPr>
              <w:pStyle w:val="Tabla9"/>
              <w:jc w:val="left"/>
            </w:pPr>
            <w:r>
              <w:t xml:space="preserve">particulate matter; PM2.5; PM10</w:t>
            </w:r>
          </w:p>
        </w:tc>
        <w:tc>
          <w:tcPr/>
          <w:p>
            <w:pPr>
              <w:pStyle w:val="Tabla9"/>
              <w:jc w:val="left"/>
            </w:pPr>
            <w:r>
              <w:t xml:space="preserve">air quality; calidad del aire; AQHI</w:t>
            </w:r>
          </w:p>
        </w:tc>
        <w:tc>
          <w:tcPr/>
          <w:p>
            <w:pPr>
              <w:pStyle w:val="Tabla9"/>
              <w:jc w:val="left"/>
            </w:pPr>
            <w:r>
              <w:t xml:space="preserve">material particulado; fine particles; aerosol mass</w:t>
            </w:r>
          </w:p>
        </w:tc>
      </w:tr>
      <w:tr>
        <w:trPr>
          <w:cantSplit/>
        </w:trPr>
        <w:tc>
          <w:tcPr/>
          <w:p>
            <w:pPr>
              <w:pStyle w:val="Tabla9"/>
              <w:jc w:val="left"/>
            </w:pPr>
            <w:r>
              <w:t xml:space="preserve">Metodología y tecnología</w:t>
            </w:r>
          </w:p>
        </w:tc>
        <w:tc>
          <w:tcPr/>
          <w:p>
            <w:pPr>
              <w:pStyle w:val="Tabla9"/>
              <w:jc w:val="left"/>
            </w:pPr>
            <w:r>
              <w:t xml:space="preserve">low-cost sensor; calibration; edge computing</w:t>
            </w:r>
          </w:p>
        </w:tc>
        <w:tc>
          <w:tcPr/>
          <w:p>
            <w:pPr>
              <w:pStyle w:val="Tabla9"/>
              <w:jc w:val="left"/>
            </w:pPr>
            <w:r>
              <w:t xml:space="preserve">digital twin; TinyML; machine learning; LoRa</w:t>
            </w:r>
          </w:p>
        </w:tc>
        <w:tc>
          <w:tcPr/>
          <w:p>
            <w:pPr>
              <w:pStyle w:val="Tabla9"/>
              <w:jc w:val="left"/>
            </w:pPr>
            <w:r>
              <w:t xml:space="preserve">optical particle counter; sensor network; correction model; gemelo digital</w:t>
            </w:r>
          </w:p>
        </w:tc>
      </w:tr>
      <w:tr>
        <w:trPr>
          <w:cantSplit/>
        </w:trPr>
        <w:tc>
          <w:tcPr/>
          <w:p>
            <w:pPr>
              <w:pStyle w:val="Tabla9"/>
              <w:jc w:val="left"/>
            </w:pPr>
            <w:r>
              <w:t xml:space="preserve">Contexto geográfico</w:t>
            </w:r>
          </w:p>
        </w:tc>
        <w:tc>
          <w:tcPr/>
          <w:p>
            <w:pPr>
              <w:pStyle w:val="Tabla9"/>
              <w:jc w:val="left"/>
            </w:pPr>
            <w:r>
              <w:t xml:space="preserve">Colombia; Latin America</w:t>
            </w:r>
          </w:p>
        </w:tc>
        <w:tc>
          <w:tcPr/>
          <w:p>
            <w:pPr>
              <w:pStyle w:val="Tabla9"/>
              <w:jc w:val="left"/>
            </w:pPr>
            <w:r>
              <w:t xml:space="preserve">Andean region; América Latina</w:t>
            </w:r>
          </w:p>
        </w:tc>
        <w:tc>
          <w:tcPr/>
          <w:p>
            <w:pPr>
              <w:pStyle w:val="Tabla9"/>
              <w:jc w:val="left"/>
            </w:pPr>
            <w:r>
              <w:t xml:space="preserve">Caldas; Cundinamarca; Valle del Cauca</w:t>
            </w:r>
          </w:p>
        </w:tc>
      </w:tr>
      <w:tr>
        <w:trPr>
          <w:cantSplit/>
        </w:trPr>
        <w:tc>
          <w:tcPr/>
          <w:p>
            <w:pPr>
              <w:pStyle w:val="Tabla9"/>
              <w:jc w:val="left"/>
            </w:pPr>
            <w:r>
              <w:t xml:space="preserve">Sector y aplicación</w:t>
            </w:r>
          </w:p>
        </w:tc>
        <w:tc>
          <w:tcPr/>
          <w:p>
            <w:pPr>
              <w:pStyle w:val="Tabla9"/>
              <w:jc w:val="left"/>
            </w:pPr>
            <w:r>
              <w:t xml:space="preserve">disaster risk management; debris removal</w:t>
            </w:r>
          </w:p>
        </w:tc>
        <w:tc>
          <w:tcPr/>
          <w:p>
            <w:pPr>
              <w:pStyle w:val="Tabla9"/>
              <w:jc w:val="left"/>
            </w:pPr>
            <w:r>
              <w:t xml:space="preserve">earthquake; post-disaster; early warning</w:t>
            </w:r>
          </w:p>
        </w:tc>
        <w:tc>
          <w:tcPr/>
          <w:p>
            <w:pPr>
              <w:pStyle w:val="Tabla9"/>
              <w:jc w:val="left"/>
            </w:pPr>
            <w:r>
              <w:t xml:space="preserve">construction dust; demolition; gestión del riesgo de desastres</w:t>
            </w:r>
          </w:p>
        </w:tc>
      </w:tr>
    </w:tbl>
    <w:p>
      <w:pPr>
        <w:pStyle w:val="TablaNota"/>
      </w:pPr>
      <w:r>
        <w:rPr>
          <w:i/>
          <w:iCs/>
        </w:rPr>
        <w:t xml:space="preserve">Nota.</w:t>
      </w:r>
      <w:r>
        <w:t xml:space="preserve"> </w:t>
      </w:r>
      <w:r>
        <w:t xml:space="preserve">Elaboración propia con la formulación del problema (Paso 1) y el informe de vigilancia tecnológica. Naturaleza: PROPUESTO. Los términos en español se usan en SciELO y en la búsqueda de patentes de la Superintendencia de Industria y Comercio.</w:t>
      </w:r>
    </w:p>
    <w:bookmarkEnd w:id="121"/>
    <w:bookmarkStart w:id="122" w:name="_Toc00900059"/>
    <w:p>
      <w:pPr>
        <w:pStyle w:val="Heading2"/>
      </w:pPr>
      <w:r>
        <w:t xml:space="preserve">F2.2 Ecuaciones para bases científicas</w:t>
      </w:r>
    </w:p>
    <w:p>
      <w:pPr>
        <w:pStyle w:val="FirstParagraph"/>
      </w:pPr>
      <w:r>
        <w:t xml:space="preserve">Las ecuaciones combinan tres bloques con el operador Y: la variable medida, el instrumento y la técnica de corrección. Un cuarto bloque, el de contexto, se agrega en una segunda ejecución para medir la proporción de documentos sobre escenarios de desastre. La ventana temporal va de 2020 a 2026, y el corpus recibido contiene documentos hasta ese último año. Las ecuaciones siguientes se presentan por base de datos.</w:t>
      </w:r>
    </w:p>
    <w:p>
      <w:pPr>
        <w:pStyle w:val="BodyText"/>
      </w:pPr>
      <w:r>
        <w:rPr>
          <w:b/>
          <w:bCs/>
        </w:rPr>
        <w:t xml:space="preserve">Scopus.</w:t>
      </w:r>
    </w:p>
    <w:p>
      <w:pPr>
        <w:pStyle w:val="SourceCode"/>
      </w:pPr>
      <w:r>
        <w:rPr>
          <w:rStyle w:val="VerbatimChar"/>
        </w:rPr>
        <w:t xml:space="preserve">TITLE-ABS-KEY(("particulate matter" OR "PM2.5" OR "PM10")</w:t>
      </w:r>
      <w:r>
        <w:br/>
      </w:r>
      <w:r>
        <w:rPr>
          <w:rStyle w:val="VerbatimChar"/>
        </w:rPr>
        <w:t xml:space="preserve">  AND ("low-cost sensor*" OR "low cost sensor*" OR "optical particle counter*")</w:t>
      </w:r>
      <w:r>
        <w:br/>
      </w:r>
      <w:r>
        <w:rPr>
          <w:rStyle w:val="VerbatimChar"/>
        </w:rPr>
        <w:t xml:space="preserve">  AND (calibrat* OR correct* OR "machine learning" OR "edge comput*" OR "digital twin"))</w:t>
      </w:r>
      <w:r>
        <w:br/>
      </w:r>
      <w:r>
        <w:rPr>
          <w:rStyle w:val="VerbatimChar"/>
        </w:rPr>
        <w:t xml:space="preserve">AND PUBYEAR &gt; 2019 AND (LIMIT-TO(DOCTYPE, "ar") OR LIMIT-TO(DOCTYPE, "re"))</w:t>
      </w:r>
    </w:p>
    <w:p>
      <w:pPr>
        <w:pStyle w:val="FirstParagraph"/>
      </w:pPr>
      <w:r>
        <w:rPr>
          <w:b/>
          <w:bCs/>
        </w:rPr>
        <w:t xml:space="preserve">Web of Science.</w:t>
      </w:r>
    </w:p>
    <w:p>
      <w:pPr>
        <w:pStyle w:val="SourceCode"/>
      </w:pPr>
      <w:r>
        <w:rPr>
          <w:rStyle w:val="VerbatimChar"/>
        </w:rPr>
        <w:t xml:space="preserve">TS=(("particulate matter" OR "PM2.5" OR "PM10")</w:t>
      </w:r>
      <w:r>
        <w:br/>
      </w:r>
      <w:r>
        <w:rPr>
          <w:rStyle w:val="VerbatimChar"/>
        </w:rPr>
        <w:t xml:space="preserve">  AND ("low-cost sensor*" OR "low cost sensor*" OR "optical particle counter*")</w:t>
      </w:r>
      <w:r>
        <w:br/>
      </w:r>
      <w:r>
        <w:rPr>
          <w:rStyle w:val="VerbatimChar"/>
        </w:rPr>
        <w:t xml:space="preserve">  AND (calibrat* OR correct* OR "machine learning" OR "edge comput*" OR "digital twin"))</w:t>
      </w:r>
      <w:r>
        <w:br/>
      </w:r>
      <w:r>
        <w:rPr>
          <w:rStyle w:val="VerbatimChar"/>
        </w:rPr>
        <w:t xml:space="preserve">AND PY=(2020-2026) AND DT=(Article OR Review)</w:t>
      </w:r>
    </w:p>
    <w:p>
      <w:pPr>
        <w:pStyle w:val="FirstParagraph"/>
      </w:pPr>
      <w:r>
        <w:rPr>
          <w:b/>
          <w:bCs/>
        </w:rPr>
        <w:t xml:space="preserve">IEEE Xplore.</w:t>
      </w:r>
    </w:p>
    <w:p>
      <w:pPr>
        <w:pStyle w:val="SourceCode"/>
      </w:pPr>
      <w:r>
        <w:rPr>
          <w:rStyle w:val="VerbatimChar"/>
        </w:rPr>
        <w:t xml:space="preserve">("All Metadata":"particulate matter" OR "All Metadata":"PM2.5")</w:t>
      </w:r>
      <w:r>
        <w:br/>
      </w:r>
      <w:r>
        <w:rPr>
          <w:rStyle w:val="VerbatimChar"/>
        </w:rPr>
        <w:t xml:space="preserve">AND ("All Metadata":"low-cost sensor" OR "All Metadata":"optical particle counter")</w:t>
      </w:r>
      <w:r>
        <w:br/>
      </w:r>
      <w:r>
        <w:rPr>
          <w:rStyle w:val="VerbatimChar"/>
        </w:rPr>
        <w:t xml:space="preserve">AND ("All Metadata":calibration OR "All Metadata":"edge computing" OR "All Metadata":"digital twin")</w:t>
      </w:r>
    </w:p>
    <w:p>
      <w:pPr>
        <w:pStyle w:val="FirstParagraph"/>
      </w:pPr>
      <w:r>
        <w:rPr>
          <w:b/>
          <w:bCs/>
        </w:rPr>
        <w:t xml:space="preserve">PubMed.</w:t>
      </w:r>
    </w:p>
    <w:p>
      <w:pPr>
        <w:pStyle w:val="SourceCode"/>
      </w:pPr>
      <w:r>
        <w:rPr>
          <w:rStyle w:val="VerbatimChar"/>
        </w:rPr>
        <w:t xml:space="preserve">("particulate matter"[Title/Abstract] OR "PM2.5"[Title/Abstract])</w:t>
      </w:r>
      <w:r>
        <w:br/>
      </w:r>
      <w:r>
        <w:rPr>
          <w:rStyle w:val="VerbatimChar"/>
        </w:rPr>
        <w:t xml:space="preserve">AND ("low-cost sensor*"[Title/Abstract] OR "optical particle counter*"[Title/Abstract])</w:t>
      </w:r>
      <w:r>
        <w:br/>
      </w:r>
      <w:r>
        <w:rPr>
          <w:rStyle w:val="VerbatimChar"/>
        </w:rPr>
        <w:t xml:space="preserve">AND ("2020"[Date - Publication] : "2026"[Date - Publication])</w:t>
      </w:r>
    </w:p>
    <w:p>
      <w:pPr>
        <w:pStyle w:val="FirstParagraph"/>
      </w:pPr>
      <w:r>
        <w:rPr>
          <w:b/>
          <w:bCs/>
        </w:rPr>
        <w:t xml:space="preserve">SciELO.</w:t>
      </w:r>
    </w:p>
    <w:p>
      <w:pPr>
        <w:pStyle w:val="SourceCode"/>
      </w:pPr>
      <w:r>
        <w:rPr>
          <w:rStyle w:val="VerbatimChar"/>
        </w:rPr>
        <w:t xml:space="preserve">(ti:("material particulado" OR "PM2,5" OR "calidad del aire"))</w:t>
      </w:r>
      <w:r>
        <w:br/>
      </w:r>
      <w:r>
        <w:rPr>
          <w:rStyle w:val="VerbatimChar"/>
        </w:rPr>
        <w:t xml:space="preserve">AND (ab:(sensor* OR calibraci* OR "bajo costo"))</w:t>
      </w:r>
      <w:r>
        <w:br/>
      </w:r>
      <w:r>
        <w:rPr>
          <w:rStyle w:val="VerbatimChar"/>
        </w:rPr>
        <w:t xml:space="preserve">AND year_cluster:("2020" OR "2021" OR "2022" OR "2023" OR "2024" OR "2025" OR "2026")</w:t>
      </w:r>
    </w:p>
    <w:p>
      <w:pPr>
        <w:pStyle w:val="FirstParagraph"/>
      </w:pPr>
      <w:r>
        <w:rPr>
          <w:b/>
          <w:bCs/>
        </w:rPr>
        <w:t xml:space="preserve">Google Scholar (complementaria).</w:t>
      </w:r>
    </w:p>
    <w:p>
      <w:pPr>
        <w:pStyle w:val="SourceCode"/>
      </w:pPr>
      <w:r>
        <w:rPr>
          <w:rStyle w:val="VerbatimChar"/>
        </w:rPr>
        <w:t xml:space="preserve">allintitle: "low-cost" sensors particulate calibration  after:2020</w:t>
      </w:r>
    </w:p>
    <w:bookmarkEnd w:id="122"/>
    <w:bookmarkStart w:id="123" w:name="_Toc00900060"/>
    <w:p>
      <w:pPr>
        <w:pStyle w:val="Heading2"/>
      </w:pPr>
      <w:r>
        <w:t xml:space="preserve">F2.3 Ecuaciones para bases de patentes</w:t>
      </w:r>
    </w:p>
    <w:p>
      <w:pPr>
        <w:pStyle w:val="FirstParagraph"/>
      </w:pPr>
      <w:r>
        <w:t xml:space="preserve">La vigilancia de patentes busca por texto y por clasificación. El procedimiento de la Superintendencia de Industria y Comercio (SIC) usa dos ecuaciones. Una contiene palabras clave y otra clases de la Clasificación Internacional de Patentes (Superintendencia de Industria y Comercio [SIC], 2026, pp. 4-9). El informe de vigilancia adapta ese procedimiento con las clases F24F, G01N33, B01D46, B01D53 y G08B21/12 (supuesto del analista del informe, Anexo D). Esta formulación conserva esas cinco clases y las combina con la ecuación de texto de la Tabla F2.2.</w:t>
      </w:r>
    </w:p>
    <w:p>
      <w:pPr>
        <w:pStyle w:val="TablaRotulo"/>
      </w:pPr>
      <w:bookmarkStart w:id="9065" w:name="rot_Tabla_F2_2"/>
      <w:r>
        <w:rPr>
          <w:b/>
          <w:bCs/>
        </w:rPr>
        <w:t xml:space="preserve">Tabla F2.2</w:t>
      </w:r>
      <w:bookmarkEnd w:id="9065"/>
    </w:p>
    <w:p>
      <w:pPr>
        <w:pStyle w:val="TablaTitulo"/>
      </w:pPr>
      <w:r>
        <w:rPr>
          <w:i/>
          <w:iCs/>
        </w:rPr>
        <w:t xml:space="preserve">Ecuaciones para bases de patentes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10"/>
        <w:gridCol w:w="3630"/>
        <w:gridCol w:w="1980"/>
      </w:tblGrid>
      <w:tr>
        <w:trPr>
          <w:cantSplit/>
          <w:tblHeader/>
        </w:trPr>
        <w:tc>
          <w:tcPr>
            <w:shd w:val="clear" w:color="auto" w:fill="00B050"/>
          </w:tcPr>
          <w:p>
            <w:pPr>
              <w:pStyle w:val="Tabla9"/>
              <w:jc w:val="center"/>
            </w:pPr>
            <w:r>
              <w:rPr>
                <w:b/>
                <w:color w:val="FFFFFF"/>
              </w:rPr>
              <w:t xml:space="preserve">Base</w:t>
            </w:r>
          </w:p>
        </w:tc>
        <w:tc>
          <w:tcPr>
            <w:shd w:val="clear" w:color="auto" w:fill="00B050"/>
          </w:tcPr>
          <w:p>
            <w:pPr>
              <w:pStyle w:val="Tabla9"/>
              <w:jc w:val="center"/>
            </w:pPr>
            <w:r>
              <w:rPr>
                <w:b/>
                <w:color w:val="FFFFFF"/>
              </w:rPr>
              <w:t xml:space="preserve">Ecuación</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Google Patents</w:t>
            </w:r>
          </w:p>
        </w:tc>
        <w:tc>
          <w:tcPr/>
          <w:p>
            <w:pPr>
              <w:pStyle w:val="Tabla9"/>
              <w:jc w:val="left"/>
            </w:pPr>
            <w:r>
              <w:t xml:space="preserve">("particulate matter" OR "PM2.5") AND ("low-cost sensor" OR "optical sensor") AND (calibration OR correction OR "digital twin") country:CO,US,EP,WO after:2019</w:t>
            </w:r>
          </w:p>
        </w:tc>
        <w:tc>
          <w:tcPr/>
          <w:p>
            <w:pPr>
              <w:pStyle w:val="Tabla9"/>
              <w:jc w:val="left"/>
            </w:pPr>
            <w:r>
              <w:t xml:space="preserve">PROPUESTO</w:t>
            </w:r>
          </w:p>
        </w:tc>
      </w:tr>
      <w:tr>
        <w:trPr>
          <w:cantSplit/>
        </w:trPr>
        <w:tc>
          <w:tcPr/>
          <w:p>
            <w:pPr>
              <w:pStyle w:val="Tabla9"/>
              <w:jc w:val="left"/>
            </w:pPr>
            <w:r>
              <w:t xml:space="preserve">Espacenet</w:t>
            </w:r>
          </w:p>
        </w:tc>
        <w:tc>
          <w:tcPr/>
          <w:p>
            <w:pPr>
              <w:pStyle w:val="Tabla9"/>
              <w:jc w:val="left"/>
            </w:pPr>
            <w:r>
              <w:t xml:space="preserve">ta = ("particulate matter" OR "PM2.5") AND ta = (sensor AND (calibration OR "machine learning")) AND pd &gt;= 2020</w:t>
            </w:r>
          </w:p>
        </w:tc>
        <w:tc>
          <w:tcPr/>
          <w:p>
            <w:pPr>
              <w:pStyle w:val="Tabla9"/>
              <w:jc w:val="left"/>
            </w:pPr>
            <w:r>
              <w:t xml:space="preserve">PROPUESTO</w:t>
            </w:r>
          </w:p>
        </w:tc>
      </w:tr>
      <w:tr>
        <w:trPr>
          <w:cantSplit/>
        </w:trPr>
        <w:tc>
          <w:tcPr/>
          <w:p>
            <w:pPr>
              <w:pStyle w:val="Tabla9"/>
              <w:jc w:val="left"/>
            </w:pPr>
            <w:r>
              <w:t xml:space="preserve">USPTO</w:t>
            </w:r>
          </w:p>
        </w:tc>
        <w:tc>
          <w:tcPr/>
          <w:p>
            <w:pPr>
              <w:pStyle w:val="Tabla9"/>
              <w:jc w:val="left"/>
            </w:pPr>
            <w:r>
              <w:t xml:space="preserve">ABST/("particulate matter" OR "PM2.5") AND ABST/(sensor AND calibration)</w:t>
            </w:r>
          </w:p>
        </w:tc>
        <w:tc>
          <w:tcPr/>
          <w:p>
            <w:pPr>
              <w:pStyle w:val="Tabla9"/>
              <w:jc w:val="left"/>
            </w:pPr>
            <w:r>
              <w:t xml:space="preserve">PROPUESTO</w:t>
            </w:r>
          </w:p>
        </w:tc>
      </w:tr>
      <w:tr>
        <w:trPr>
          <w:cantSplit/>
        </w:trPr>
        <w:tc>
          <w:tcPr/>
          <w:p>
            <w:pPr>
              <w:pStyle w:val="Tabla9"/>
              <w:jc w:val="left"/>
            </w:pPr>
            <w:r>
              <w:t xml:space="preserve">WIPO PATENTSCOPE</w:t>
            </w:r>
          </w:p>
        </w:tc>
        <w:tc>
          <w:tcPr/>
          <w:p>
            <w:pPr>
              <w:pStyle w:val="Tabla9"/>
              <w:jc w:val="left"/>
            </w:pPr>
            <w:r>
              <w:t xml:space="preserve">FP:("particulate matter" OR "PM2.5") AND FP:(sensor AND calibration) AND DP:[2020 TO 2026]</w:t>
            </w:r>
          </w:p>
        </w:tc>
        <w:tc>
          <w:tcPr/>
          <w:p>
            <w:pPr>
              <w:pStyle w:val="Tabla9"/>
              <w:jc w:val="left"/>
            </w:pPr>
            <w:r>
              <w:t xml:space="preserve">PROPUESTO</w:t>
            </w:r>
          </w:p>
        </w:tc>
      </w:tr>
      <w:tr>
        <w:trPr>
          <w:cantSplit/>
        </w:trPr>
        <w:tc>
          <w:tcPr/>
          <w:p>
            <w:pPr>
              <w:pStyle w:val="Tabla9"/>
              <w:jc w:val="left"/>
            </w:pPr>
            <w:r>
              <w:t xml:space="preserve">SIC Colombia (clasificación)</w:t>
            </w:r>
          </w:p>
        </w:tc>
        <w:tc>
          <w:tcPr/>
          <w:p>
            <w:pPr>
              <w:pStyle w:val="Tabla9"/>
              <w:jc w:val="left"/>
            </w:pPr>
            <w:r>
              <w:t xml:space="preserve">(F24F OR G01N33 OR B01D46 OR B01D53 OR G08B21/12) AND (CO2 OR PM2,5 OR «calidad del aire» OR «air quality»)</w:t>
            </w:r>
          </w:p>
        </w:tc>
        <w:tc>
          <w:tcPr/>
          <w:p>
            <w:pPr>
              <w:pStyle w:val="Tabla9"/>
              <w:jc w:val="left"/>
            </w:pPr>
            <w:r>
              <w:t xml:space="preserve">SUPUESTO del analista del informe</w:t>
            </w:r>
          </w:p>
        </w:tc>
      </w:tr>
      <w:tr>
        <w:trPr>
          <w:cantSplit/>
        </w:trPr>
        <w:tc>
          <w:tcPr/>
          <w:p>
            <w:pPr>
              <w:pStyle w:val="Tabla9"/>
              <w:jc w:val="left"/>
            </w:pPr>
            <w:r>
              <w:t xml:space="preserve">SIC Colombia (palabras clave)</w:t>
            </w:r>
          </w:p>
        </w:tc>
        <w:tc>
          <w:tcPr/>
          <w:p>
            <w:pPr>
              <w:pStyle w:val="Tabla9"/>
              <w:jc w:val="left"/>
            </w:pPr>
            <w:r>
              <w:t xml:space="preserve">(«calidad del aire» OR «material particulado» OR «PM2,5» OR «air quality») AND (sensor OR monitor* OR calibraci* OR calibrat*), en título y resumen</w:t>
            </w:r>
          </w:p>
        </w:tc>
        <w:tc>
          <w:tcPr/>
          <w:p>
            <w:pPr>
              <w:pStyle w:val="Tabla9"/>
              <w:jc w:val="left"/>
            </w:pPr>
            <w:r>
              <w:t xml:space="preserve">SUPUESTO del analista del informe</w:t>
            </w:r>
          </w:p>
        </w:tc>
      </w:tr>
    </w:tbl>
    <w:p>
      <w:pPr>
        <w:pStyle w:val="TablaNota"/>
      </w:pPr>
      <w:r>
        <w:rPr>
          <w:i/>
          <w:iCs/>
        </w:rPr>
        <w:t xml:space="preserve">Nota.</w:t>
      </w:r>
      <w:r>
        <w:t xml:space="preserve"> </w:t>
      </w:r>
      <w:r>
        <w:t xml:space="preserve">Elaboración propia. Las dos últimas filas reproducen las ecuaciones del Anexo D del informe de vigilancia tecnológica. Ninguna ecuación se ejecutó: el número de resultados por base queda como [DATO_USUARIO: resultados por base y fecha de corte de cada búsqueda].</w:t>
      </w:r>
    </w:p>
    <w:bookmarkEnd w:id="123"/>
    <w:bookmarkStart w:id="124" w:name="X3b5847a5bbd9ae6a49c696b2ce7af79c5cf240d"/>
    <w:p>
      <w:pPr>
        <w:pStyle w:val="Heading2"/>
      </w:pPr>
      <w:r>
        <w:t xml:space="preserve">F2.4 Protocolo PRISMA-VT de selección sistemática</w:t>
      </w:r>
    </w:p>
    <w:p>
      <w:pPr>
        <w:pStyle w:val="FirstParagraph"/>
      </w:pPr>
      <w:r>
        <w:t xml:space="preserve">PRISMA-VT es una adaptación operativa de la declaración PRISMA 2020 (Page et al., 2021) a la vigilancia tecnológica. La declaración original es una guía para reportar revisiones sistemáticas en salud. Su finalidad no es la vigilancia tecnológica ni la selección de patentes. Por esa razón, el documento declara la adaptación como tal y no la presenta como cumplimiento del estándar. El protocolo tiene cuatro etapas y dos tablas de criterios.</w:t>
      </w:r>
    </w:p>
    <w:p>
      <w:pPr>
        <w:pStyle w:val="BodyText"/>
      </w:pPr>
      <w:r>
        <w:t xml:space="preserve">La Tabla F2.3 describe las etapas. La columna final contrasta cada etapa con lo que se dispone en esta corrida. El diagrama de flujo con cifras reales de los 42 documentos del corpus se presenta en el Paso 3.</w:t>
      </w:r>
    </w:p>
    <w:p>
      <w:pPr>
        <w:pStyle w:val="TablaRotulo"/>
      </w:pPr>
      <w:bookmarkStart w:id="9066" w:name="rot_Tabla_F2_3"/>
      <w:r>
        <w:rPr>
          <w:b/>
          <w:bCs/>
        </w:rPr>
        <w:t xml:space="preserve">Tabla F2.3</w:t>
      </w:r>
      <w:bookmarkEnd w:id="9066"/>
    </w:p>
    <w:p>
      <w:pPr>
        <w:pStyle w:val="TablaTitulo"/>
      </w:pPr>
      <w:r>
        <w:rPr>
          <w:i/>
          <w:iCs/>
        </w:rPr>
        <w:t xml:space="preserve">Etapas PRISMA-VT para la vigilancia tecnológica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650"/>
        <w:gridCol w:w="1254"/>
        <w:gridCol w:w="1452"/>
        <w:gridCol w:w="1452"/>
        <w:gridCol w:w="2112"/>
      </w:tblGrid>
      <w:tr>
        <w:trPr>
          <w:cantSplit/>
          <w:tblHeader/>
        </w:trPr>
        <w:tc>
          <w:tcPr>
            <w:shd w:val="clear" w:color="auto" w:fill="00B050"/>
          </w:tcPr>
          <w:p>
            <w:pPr>
              <w:pStyle w:val="Tabla9"/>
              <w:jc w:val="center"/>
            </w:pPr>
            <w:r>
              <w:rPr>
                <w:b/>
                <w:color w:val="FFFFFF"/>
              </w:rPr>
              <w:t xml:space="preserve">Etapa</w:t>
            </w:r>
          </w:p>
        </w:tc>
        <w:tc>
          <w:tcPr>
            <w:shd w:val="clear" w:color="auto" w:fill="00B050"/>
          </w:tcPr>
          <w:p>
            <w:pPr>
              <w:pStyle w:val="Tabla9"/>
              <w:jc w:val="center"/>
            </w:pPr>
            <w:r>
              <w:rPr>
                <w:b/>
                <w:color w:val="FFFFFF"/>
              </w:rPr>
              <w:t xml:space="preserve">Acción</w:t>
            </w:r>
          </w:p>
        </w:tc>
        <w:tc>
          <w:tcPr>
            <w:shd w:val="clear" w:color="auto" w:fill="00B050"/>
          </w:tcPr>
          <w:p>
            <w:pPr>
              <w:pStyle w:val="Tabla9"/>
              <w:jc w:val="center"/>
            </w:pPr>
            <w:r>
              <w:rPr>
                <w:b/>
                <w:color w:val="FFFFFF"/>
              </w:rPr>
              <w:t xml:space="preserve">Criterio de decisión</w:t>
            </w:r>
          </w:p>
        </w:tc>
        <w:tc>
          <w:tcPr>
            <w:shd w:val="clear" w:color="auto" w:fill="00B050"/>
          </w:tcPr>
          <w:p>
            <w:pPr>
              <w:pStyle w:val="Tabla9"/>
              <w:jc w:val="center"/>
            </w:pPr>
            <w:r>
              <w:rPr>
                <w:b/>
                <w:color w:val="FFFFFF"/>
              </w:rPr>
              <w:t xml:space="preserve">Registro</w:t>
            </w:r>
          </w:p>
        </w:tc>
        <w:tc>
          <w:tcPr>
            <w:shd w:val="clear" w:color="auto" w:fill="00B050"/>
          </w:tcPr>
          <w:p>
            <w:pPr>
              <w:pStyle w:val="Tabla9"/>
              <w:jc w:val="center"/>
            </w:pPr>
            <w:r>
              <w:rPr>
                <w:b/>
                <w:color w:val="FFFFFF"/>
              </w:rPr>
              <w:t xml:space="preserve">Estado en esta corrida</w:t>
            </w:r>
          </w:p>
        </w:tc>
      </w:tr>
      <w:tr>
        <w:trPr>
          <w:cantSplit/>
        </w:trPr>
        <w:tc>
          <w:tcPr/>
          <w:p>
            <w:pPr>
              <w:pStyle w:val="Tabla9"/>
              <w:jc w:val="left"/>
            </w:pPr>
            <w:r>
              <w:t xml:space="preserve">Identificación</w:t>
            </w:r>
          </w:p>
        </w:tc>
        <w:tc>
          <w:tcPr/>
          <w:p>
            <w:pPr>
              <w:pStyle w:val="Tabla9"/>
              <w:jc w:val="left"/>
            </w:pPr>
            <w:r>
              <w:t xml:space="preserve">Búsqueda en seis bases científicas y cinco de patentes</w:t>
            </w:r>
          </w:p>
        </w:tc>
        <w:tc>
          <w:tcPr/>
          <w:p>
            <w:pPr>
              <w:pStyle w:val="Tabla9"/>
              <w:jc w:val="left"/>
            </w:pPr>
            <w:r>
              <w:t xml:space="preserve">Todas las ecuaciones de las secciones F2.2 y F2.3</w:t>
            </w:r>
          </w:p>
        </w:tc>
        <w:tc>
          <w:tcPr/>
          <w:p>
            <w:pPr>
              <w:pStyle w:val="Tabla9"/>
              <w:jc w:val="left"/>
            </w:pPr>
            <w:r>
              <w:t xml:space="preserve">Documentos recuperados por base</w:t>
            </w:r>
          </w:p>
        </w:tc>
        <w:tc>
          <w:tcPr/>
          <w:p>
            <w:pPr>
              <w:pStyle w:val="Tabla9"/>
              <w:jc w:val="left"/>
            </w:pPr>
            <w:r>
              <w:t xml:space="preserve">No ejecutada; [DATO_USUARIO: resultados por base]</w:t>
            </w:r>
          </w:p>
        </w:tc>
      </w:tr>
      <w:tr>
        <w:trPr>
          <w:cantSplit/>
        </w:trPr>
        <w:tc>
          <w:tcPr/>
          <w:p>
            <w:pPr>
              <w:pStyle w:val="Tabla9"/>
              <w:jc w:val="left"/>
            </w:pPr>
            <w:r>
              <w:t xml:space="preserve">Cribado</w:t>
            </w:r>
          </w:p>
        </w:tc>
        <w:tc>
          <w:tcPr/>
          <w:p>
            <w:pPr>
              <w:pStyle w:val="Tabla9"/>
              <w:jc w:val="left"/>
            </w:pPr>
            <w:r>
              <w:t xml:space="preserve">Lectura de título y resumen</w:t>
            </w:r>
          </w:p>
        </w:tc>
        <w:tc>
          <w:tcPr/>
          <w:p>
            <w:pPr>
              <w:pStyle w:val="Tabla9"/>
              <w:jc w:val="left"/>
            </w:pPr>
            <w:r>
              <w:t xml:space="preserve">Relevancia temática directa con el problema central</w:t>
            </w:r>
          </w:p>
        </w:tc>
        <w:tc>
          <w:tcPr/>
          <w:p>
            <w:pPr>
              <w:pStyle w:val="Tabla9"/>
              <w:jc w:val="left"/>
            </w:pPr>
            <w:r>
              <w:t xml:space="preserve">Excluidos y motivo</w:t>
            </w:r>
          </w:p>
        </w:tc>
        <w:tc>
          <w:tcPr/>
          <w:p>
            <w:pPr>
              <w:pStyle w:val="Tabla9"/>
              <w:jc w:val="left"/>
            </w:pPr>
            <w:r>
              <w:t xml:space="preserve">No documentada en el informe</w:t>
            </w:r>
          </w:p>
        </w:tc>
      </w:tr>
      <w:tr>
        <w:trPr>
          <w:cantSplit/>
        </w:trPr>
        <w:tc>
          <w:tcPr/>
          <w:p>
            <w:pPr>
              <w:pStyle w:val="Tabla9"/>
              <w:jc w:val="left"/>
            </w:pPr>
            <w:r>
              <w:t xml:space="preserve">Elegibilidad</w:t>
            </w:r>
          </w:p>
        </w:tc>
        <w:tc>
          <w:tcPr/>
          <w:p>
            <w:pPr>
              <w:pStyle w:val="Tabla9"/>
              <w:jc w:val="left"/>
            </w:pPr>
            <w:r>
              <w:t xml:space="preserve">Lectura de texto completo</w:t>
            </w:r>
          </w:p>
        </w:tc>
        <w:tc>
          <w:tcPr/>
          <w:p>
            <w:pPr>
              <w:pStyle w:val="Tabla9"/>
              <w:jc w:val="left"/>
            </w:pPr>
            <w:r>
              <w:t xml:space="preserve">Calidad metodológica y pertinencia</w:t>
            </w:r>
          </w:p>
        </w:tc>
        <w:tc>
          <w:tcPr/>
          <w:p>
            <w:pPr>
              <w:pStyle w:val="Tabla9"/>
              <w:jc w:val="left"/>
            </w:pPr>
            <w:r>
              <w:t xml:space="preserve">Excluidos y motivo</w:t>
            </w:r>
          </w:p>
        </w:tc>
        <w:tc>
          <w:tcPr/>
          <w:p>
            <w:pPr>
              <w:pStyle w:val="Tabla9"/>
              <w:jc w:val="left"/>
            </w:pPr>
            <w:r>
              <w:t xml:space="preserve">Cada uno de los 42 documentos se leyó completo (informe, sección 1)</w:t>
            </w:r>
          </w:p>
        </w:tc>
      </w:tr>
      <w:tr>
        <w:trPr>
          <w:cantSplit/>
        </w:trPr>
        <w:tc>
          <w:tcPr/>
          <w:p>
            <w:pPr>
              <w:pStyle w:val="Tabla9"/>
              <w:jc w:val="left"/>
            </w:pPr>
            <w:r>
              <w:t xml:space="preserve">Inclusión</w:t>
            </w:r>
          </w:p>
        </w:tc>
        <w:tc>
          <w:tcPr/>
          <w:p>
            <w:pPr>
              <w:pStyle w:val="Tabla9"/>
              <w:jc w:val="left"/>
            </w:pPr>
            <w:r>
              <w:t xml:space="preserve">Corpus final</w:t>
            </w:r>
          </w:p>
        </w:tc>
        <w:tc>
          <w:tcPr/>
          <w:p>
            <w:pPr>
              <w:pStyle w:val="Tabla9"/>
              <w:jc w:val="left"/>
            </w:pPr>
            <w:r>
              <w:t xml:space="preserve">Artículos, patentes e informes seleccionados</w:t>
            </w:r>
          </w:p>
        </w:tc>
        <w:tc>
          <w:tcPr/>
          <w:p>
            <w:pPr>
              <w:pStyle w:val="Tabla9"/>
              <w:jc w:val="left"/>
            </w:pPr>
            <w:r>
              <w:t xml:space="preserve">Distribución por tipo y relevancia</w:t>
            </w:r>
          </w:p>
        </w:tc>
        <w:tc>
          <w:tcPr/>
          <w:p>
            <w:pPr>
              <w:pStyle w:val="Tabla9"/>
              <w:jc w:val="left"/>
            </w:pPr>
            <w:r>
              <w:t xml:space="preserve">26 artículos, 15 patentes y 1 informe institucional</w:t>
            </w:r>
          </w:p>
        </w:tc>
      </w:tr>
    </w:tbl>
    <w:p>
      <w:pPr>
        <w:pStyle w:val="TablaNota"/>
      </w:pPr>
      <w:r>
        <w:rPr>
          <w:i/>
          <w:iCs/>
        </w:rPr>
        <w:t xml:space="preserve">Nota.</w:t>
      </w:r>
      <w:r>
        <w:t xml:space="preserve"> </w:t>
      </w:r>
      <w:r>
        <w:t xml:space="preserve">Elaboración propia con la especificación del metaprompt y el informe de vigilancia tecnológica. Naturaleza: PROPUESTO y DOCUMENTADO. Las siglas PRISMA-VT designan una adaptación y no un estándar publicado.</w:t>
      </w:r>
    </w:p>
    <w:p>
      <w:pPr>
        <w:pStyle w:val="BodyText"/>
      </w:pPr>
      <w:r>
        <w:t xml:space="preserve">Los criterios de inclusión y exclusión se detallan en la Tabla F2.4. El criterio de cuartil exige que al menos 60 % del corpus pertenezca a revistas Q1 o Q2. El informe no reporta cuartiles, de modo que ese criterio no se puede verificar con los archivos del usuario.</w:t>
      </w:r>
    </w:p>
    <w:p>
      <w:pPr>
        <w:pStyle w:val="TablaRotulo"/>
      </w:pPr>
      <w:bookmarkStart w:id="9067" w:name="rot_Tabla_F2_4"/>
      <w:r>
        <w:rPr>
          <w:b/>
          <w:bCs/>
        </w:rPr>
        <w:t xml:space="preserve">Tabla F2.4</w:t>
      </w:r>
      <w:bookmarkEnd w:id="9067"/>
    </w:p>
    <w:p>
      <w:pPr>
        <w:pStyle w:val="TablaTitulo"/>
      </w:pPr>
      <w:r>
        <w:rPr>
          <w:i/>
          <w:iCs/>
        </w:rPr>
        <w:t xml:space="preserve">Criterios de inclusión y exclusión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1716"/>
        <w:gridCol w:w="2574"/>
        <w:gridCol w:w="2244"/>
      </w:tblGrid>
      <w:tr>
        <w:trPr>
          <w:cantSplit/>
          <w:tblHeader/>
        </w:trPr>
        <w:tc>
          <w:tcPr>
            <w:shd w:val="clear" w:color="auto" w:fill="00B050"/>
          </w:tcPr>
          <w:p>
            <w:pPr>
              <w:pStyle w:val="Tabla9"/>
              <w:jc w:val="center"/>
            </w:pPr>
            <w:r>
              <w:rPr>
                <w:b/>
                <w:color w:val="FFFFFF"/>
              </w:rPr>
              <w:t xml:space="preserve">Tipo</w:t>
            </w:r>
          </w:p>
        </w:tc>
        <w:tc>
          <w:tcPr>
            <w:shd w:val="clear" w:color="auto" w:fill="00B050"/>
          </w:tcPr>
          <w:p>
            <w:pPr>
              <w:pStyle w:val="Tabla9"/>
              <w:jc w:val="center"/>
            </w:pPr>
            <w:r>
              <w:rPr>
                <w:b/>
                <w:color w:val="FFFFFF"/>
              </w:rPr>
              <w:t xml:space="preserve">Criterio</w:t>
            </w:r>
          </w:p>
        </w:tc>
        <w:tc>
          <w:tcPr>
            <w:shd w:val="clear" w:color="auto" w:fill="00B050"/>
          </w:tcPr>
          <w:p>
            <w:pPr>
              <w:pStyle w:val="Tabla9"/>
              <w:jc w:val="center"/>
            </w:pPr>
            <w:r>
              <w:rPr>
                <w:b/>
                <w:color w:val="FFFFFF"/>
              </w:rPr>
              <w:t xml:space="preserve">Especificación</w:t>
            </w:r>
          </w:p>
        </w:tc>
        <w:tc>
          <w:tcPr>
            <w:shd w:val="clear" w:color="auto" w:fill="00B050"/>
          </w:tcPr>
          <w:p>
            <w:pPr>
              <w:pStyle w:val="Tabla9"/>
              <w:jc w:val="center"/>
            </w:pPr>
            <w:r>
              <w:rPr>
                <w:b/>
                <w:color w:val="FFFFFF"/>
              </w:rPr>
              <w:t xml:space="preserve">Evaluación sobre el corpus recibido</w:t>
            </w:r>
          </w:p>
        </w:tc>
      </w:tr>
      <w:tr>
        <w:trPr>
          <w:cantSplit/>
        </w:trPr>
        <w:tc>
          <w:tcPr/>
          <w:p>
            <w:pPr>
              <w:pStyle w:val="Tabla9"/>
              <w:jc w:val="left"/>
            </w:pPr>
            <w:r>
              <w:t xml:space="preserve">Inclusión</w:t>
            </w:r>
          </w:p>
        </w:tc>
        <w:tc>
          <w:tcPr/>
          <w:p>
            <w:pPr>
              <w:pStyle w:val="Tabla9"/>
              <w:jc w:val="left"/>
            </w:pPr>
            <w:r>
              <w:t xml:space="preserve">Temporalidad</w:t>
            </w:r>
          </w:p>
        </w:tc>
        <w:tc>
          <w:tcPr/>
          <w:p>
            <w:pPr>
              <w:pStyle w:val="Tabla9"/>
              <w:jc w:val="left"/>
            </w:pPr>
            <w:r>
              <w:t xml:space="preserve">Publicaciones de los últimos cinco a siete años; excepciones para obras fundacionales</w:t>
            </w:r>
          </w:p>
        </w:tc>
        <w:tc>
          <w:tcPr/>
          <w:p>
            <w:pPr>
              <w:pStyle w:val="Tabla9"/>
              <w:jc w:val="left"/>
            </w:pPr>
            <w:r>
              <w:t xml:space="preserve">Años del corpus entre 1995 y 2026; 17 documentos de 2026 y 9 de 2025</w:t>
            </w:r>
          </w:p>
        </w:tc>
      </w:tr>
      <w:tr>
        <w:trPr>
          <w:cantSplit/>
        </w:trPr>
        <w:tc>
          <w:tcPr/>
          <w:p>
            <w:pPr>
              <w:pStyle w:val="Tabla9"/>
              <w:jc w:val="left"/>
            </w:pPr>
            <w:r>
              <w:t xml:space="preserve">Inclusión</w:t>
            </w:r>
          </w:p>
        </w:tc>
        <w:tc>
          <w:tcPr/>
          <w:p>
            <w:pPr>
              <w:pStyle w:val="Tabla9"/>
              <w:jc w:val="left"/>
            </w:pPr>
            <w:r>
              <w:t xml:space="preserve">Idioma</w:t>
            </w:r>
          </w:p>
        </w:tc>
        <w:tc>
          <w:tcPr/>
          <w:p>
            <w:pPr>
              <w:pStyle w:val="Tabla9"/>
              <w:jc w:val="left"/>
            </w:pPr>
            <w:r>
              <w:t xml:space="preserve">Inglés, español o portugués</w:t>
            </w:r>
          </w:p>
        </w:tc>
        <w:tc>
          <w:tcPr/>
          <w:p>
            <w:pPr>
              <w:pStyle w:val="Tabla9"/>
              <w:jc w:val="left"/>
            </w:pPr>
            <w:r>
              <w:t xml:space="preserve">Sin evaluación documentada</w:t>
            </w:r>
          </w:p>
        </w:tc>
      </w:tr>
      <w:tr>
        <w:trPr>
          <w:cantSplit/>
        </w:trPr>
        <w:tc>
          <w:tcPr/>
          <w:p>
            <w:pPr>
              <w:pStyle w:val="Tabla9"/>
              <w:jc w:val="left"/>
            </w:pPr>
            <w:r>
              <w:t xml:space="preserve">Inclusión</w:t>
            </w:r>
          </w:p>
        </w:tc>
        <w:tc>
          <w:tcPr/>
          <w:p>
            <w:pPr>
              <w:pStyle w:val="Tabla9"/>
              <w:jc w:val="left"/>
            </w:pPr>
            <w:r>
              <w:t xml:space="preserve">Tipo</w:t>
            </w:r>
          </w:p>
        </w:tc>
        <w:tc>
          <w:tcPr/>
          <w:p>
            <w:pPr>
              <w:pStyle w:val="Tabla9"/>
              <w:jc w:val="left"/>
            </w:pPr>
            <w:r>
              <w:t xml:space="preserve">Artículos arbitrados, patentes concedidas o solicitadas, informes técnicos y tesis</w:t>
            </w:r>
          </w:p>
        </w:tc>
        <w:tc>
          <w:tcPr/>
          <w:p>
            <w:pPr>
              <w:pStyle w:val="Tabla9"/>
              <w:jc w:val="left"/>
            </w:pPr>
            <w:r>
              <w:t xml:space="preserve">Sin tesis en el corpus</w:t>
            </w:r>
          </w:p>
        </w:tc>
      </w:tr>
      <w:tr>
        <w:trPr>
          <w:cantSplit/>
        </w:trPr>
        <w:tc>
          <w:tcPr/>
          <w:p>
            <w:pPr>
              <w:pStyle w:val="Tabla9"/>
              <w:jc w:val="left"/>
            </w:pPr>
            <w:r>
              <w:t xml:space="preserve">Inclusión</w:t>
            </w:r>
          </w:p>
        </w:tc>
        <w:tc>
          <w:tcPr/>
          <w:p>
            <w:pPr>
              <w:pStyle w:val="Tabla9"/>
              <w:jc w:val="left"/>
            </w:pPr>
            <w:r>
              <w:t xml:space="preserve">Calidad</w:t>
            </w:r>
          </w:p>
        </w:tc>
        <w:tc>
          <w:tcPr/>
          <w:p>
            <w:pPr>
              <w:pStyle w:val="Tabla9"/>
              <w:jc w:val="left"/>
            </w:pPr>
            <w:r>
              <w:t xml:space="preserve">Al menos 60 % en cuartiles Q1 o Q2</w:t>
            </w:r>
          </w:p>
        </w:tc>
        <w:tc>
          <w:tcPr/>
          <w:p>
            <w:pPr>
              <w:pStyle w:val="Tabla9"/>
              <w:jc w:val="left"/>
            </w:pPr>
            <w:r>
              <w:t xml:space="preserve">VACIO: el informe no reporta cuartiles</w:t>
            </w:r>
          </w:p>
        </w:tc>
      </w:tr>
      <w:tr>
        <w:trPr>
          <w:cantSplit/>
        </w:trPr>
        <w:tc>
          <w:tcPr/>
          <w:p>
            <w:pPr>
              <w:pStyle w:val="Tabla9"/>
              <w:jc w:val="left"/>
            </w:pPr>
            <w:r>
              <w:t xml:space="preserve">Inclusión</w:t>
            </w:r>
          </w:p>
        </w:tc>
        <w:tc>
          <w:tcPr/>
          <w:p>
            <w:pPr>
              <w:pStyle w:val="Tabla9"/>
              <w:jc w:val="left"/>
            </w:pPr>
            <w:r>
              <w:t xml:space="preserve">Citas</w:t>
            </w:r>
          </w:p>
        </w:tc>
        <w:tc>
          <w:tcPr/>
          <w:p>
            <w:pPr>
              <w:pStyle w:val="Tabla9"/>
              <w:jc w:val="left"/>
            </w:pPr>
            <w:r>
              <w:t xml:space="preserve">Más de 10 citas para publicaciones de más de dos años</w:t>
            </w:r>
          </w:p>
        </w:tc>
        <w:tc>
          <w:tcPr/>
          <w:p>
            <w:pPr>
              <w:pStyle w:val="Tabla9"/>
              <w:jc w:val="left"/>
            </w:pPr>
            <w:r>
              <w:t xml:space="preserve">VACIO: el informe no reporta citas recibidas</w:t>
            </w:r>
          </w:p>
        </w:tc>
      </w:tr>
      <w:tr>
        <w:trPr>
          <w:cantSplit/>
        </w:trPr>
        <w:tc>
          <w:tcPr/>
          <w:p>
            <w:pPr>
              <w:pStyle w:val="Tabla9"/>
              <w:jc w:val="left"/>
            </w:pPr>
            <w:r>
              <w:t xml:space="preserve">Exclusión</w:t>
            </w:r>
          </w:p>
        </w:tc>
        <w:tc>
          <w:tcPr/>
          <w:p>
            <w:pPr>
              <w:pStyle w:val="Tabla9"/>
              <w:jc w:val="left"/>
            </w:pPr>
            <w:r>
              <w:t xml:space="preserve">Duplicados</w:t>
            </w:r>
          </w:p>
        </w:tc>
        <w:tc>
          <w:tcPr/>
          <w:p>
            <w:pPr>
              <w:pStyle w:val="Tabla9"/>
              <w:jc w:val="left"/>
            </w:pPr>
            <w:r>
              <w:t xml:space="preserve">Eliminar registros repetidos entre bases</w:t>
            </w:r>
          </w:p>
        </w:tc>
        <w:tc>
          <w:tcPr/>
          <w:p>
            <w:pPr>
              <w:pStyle w:val="Tabla9"/>
              <w:jc w:val="left"/>
            </w:pPr>
            <w:r>
              <w:t xml:space="preserve">Sin registro de duplicados</w:t>
            </w:r>
          </w:p>
        </w:tc>
      </w:tr>
      <w:tr>
        <w:trPr>
          <w:cantSplit/>
        </w:trPr>
        <w:tc>
          <w:tcPr/>
          <w:p>
            <w:pPr>
              <w:pStyle w:val="Tabla9"/>
              <w:jc w:val="left"/>
            </w:pPr>
            <w:r>
              <w:t xml:space="preserve">Exclusión</w:t>
            </w:r>
          </w:p>
        </w:tc>
        <w:tc>
          <w:tcPr/>
          <w:p>
            <w:pPr>
              <w:pStyle w:val="Tabla9"/>
              <w:jc w:val="left"/>
            </w:pPr>
            <w:r>
              <w:t xml:space="preserve">Predatorios</w:t>
            </w:r>
          </w:p>
        </w:tc>
        <w:tc>
          <w:tcPr/>
          <w:p>
            <w:pPr>
              <w:pStyle w:val="Tabla9"/>
              <w:jc w:val="left"/>
            </w:pPr>
            <w:r>
              <w:t xml:space="preserve">Excluir revistas de lista Beall o sin indexación verificable</w:t>
            </w:r>
          </w:p>
        </w:tc>
        <w:tc>
          <w:tcPr/>
          <w:p>
            <w:pPr>
              <w:pStyle w:val="Tabla9"/>
              <w:jc w:val="left"/>
            </w:pPr>
            <w:r>
              <w:t xml:space="preserve">Sin verificación documentada</w:t>
            </w:r>
          </w:p>
        </w:tc>
      </w:tr>
      <w:tr>
        <w:trPr>
          <w:cantSplit/>
        </w:trPr>
        <w:tc>
          <w:tcPr/>
          <w:p>
            <w:pPr>
              <w:pStyle w:val="Tabla9"/>
              <w:jc w:val="left"/>
            </w:pPr>
            <w:r>
              <w:t xml:space="preserve">Exclusión</w:t>
            </w:r>
          </w:p>
        </w:tc>
        <w:tc>
          <w:tcPr/>
          <w:p>
            <w:pPr>
              <w:pStyle w:val="Tabla9"/>
              <w:jc w:val="left"/>
            </w:pPr>
            <w:r>
              <w:t xml:space="preserve">Irrelevantes</w:t>
            </w:r>
          </w:p>
        </w:tc>
        <w:tc>
          <w:tcPr/>
          <w:p>
            <w:pPr>
              <w:pStyle w:val="Tabla9"/>
              <w:jc w:val="left"/>
            </w:pPr>
            <w:r>
              <w:t xml:space="preserve">Sin relación directa con el problema central</w:t>
            </w:r>
          </w:p>
        </w:tc>
        <w:tc>
          <w:tcPr/>
          <w:p>
            <w:pPr>
              <w:pStyle w:val="Tabla9"/>
              <w:jc w:val="left"/>
            </w:pPr>
            <w:r>
              <w:t xml:space="preserve">El informe conserva patentes de otros dominios como contraste</w:t>
            </w:r>
          </w:p>
        </w:tc>
      </w:tr>
      <w:tr>
        <w:trPr>
          <w:cantSplit/>
        </w:trPr>
        <w:tc>
          <w:tcPr/>
          <w:p>
            <w:pPr>
              <w:pStyle w:val="Tabla9"/>
              <w:jc w:val="left"/>
            </w:pPr>
            <w:r>
              <w:t xml:space="preserve">Exclusión</w:t>
            </w:r>
          </w:p>
        </w:tc>
        <w:tc>
          <w:tcPr/>
          <w:p>
            <w:pPr>
              <w:pStyle w:val="Tabla9"/>
              <w:jc w:val="left"/>
            </w:pPr>
            <w:r>
              <w:t xml:space="preserve">Obsoletos</w:t>
            </w:r>
          </w:p>
        </w:tc>
        <w:tc>
          <w:tcPr/>
          <w:p>
            <w:pPr>
              <w:pStyle w:val="Tabla9"/>
              <w:jc w:val="left"/>
            </w:pPr>
            <w:r>
              <w:t xml:space="preserve">Más de diez años, salvo referencia fundacional con más de 50 citas</w:t>
            </w:r>
          </w:p>
        </w:tc>
        <w:tc>
          <w:tcPr/>
          <w:p>
            <w:pPr>
              <w:pStyle w:val="Tabla9"/>
              <w:jc w:val="left"/>
            </w:pPr>
            <w:r>
              <w:t xml:space="preserve">1 patente de 1995 (Reintjes et al., 1995)</w:t>
            </w:r>
          </w:p>
        </w:tc>
      </w:tr>
      <w:tr>
        <w:trPr>
          <w:cantSplit/>
        </w:trPr>
        <w:tc>
          <w:tcPr/>
          <w:p>
            <w:pPr>
              <w:pStyle w:val="Tabla9"/>
              <w:jc w:val="left"/>
            </w:pPr>
            <w:r>
              <w:t xml:space="preserve">Exclusión</w:t>
            </w:r>
          </w:p>
        </w:tc>
        <w:tc>
          <w:tcPr/>
          <w:p>
            <w:pPr>
              <w:pStyle w:val="Tabla9"/>
              <w:jc w:val="left"/>
            </w:pPr>
            <w:r>
              <w:t xml:space="preserve">Incompletos</w:t>
            </w:r>
          </w:p>
        </w:tc>
        <w:tc>
          <w:tcPr/>
          <w:p>
            <w:pPr>
              <w:pStyle w:val="Tabla9"/>
              <w:jc w:val="left"/>
            </w:pPr>
            <w:r>
              <w:t xml:space="preserve">Sin resumen, metodología explícita o datos de soporte</w:t>
            </w:r>
          </w:p>
        </w:tc>
        <w:tc>
          <w:tcPr/>
          <w:p>
            <w:pPr>
              <w:pStyle w:val="Tabla9"/>
              <w:jc w:val="left"/>
            </w:pPr>
            <w:r>
              <w:t xml:space="preserve">Sin registro de exclusión</w:t>
            </w:r>
          </w:p>
        </w:tc>
      </w:tr>
    </w:tbl>
    <w:p>
      <w:pPr>
        <w:pStyle w:val="TablaNota"/>
      </w:pPr>
      <w:r>
        <w:rPr>
          <w:i/>
          <w:iCs/>
        </w:rPr>
        <w:t xml:space="preserve">Nota.</w:t>
      </w:r>
      <w:r>
        <w:t xml:space="preserve"> </w:t>
      </w:r>
      <w:r>
        <w:t xml:space="preserve">Elaboración propia con la especificación del metaprompt y las cifras del informe de vigilancia tecnológica. La fila «Irrelevantes» corresponde a patentes de turbinas, gasificación y descarbonización de edificios, que el informe conserva como contraste.</w:t>
      </w:r>
    </w:p>
    <w:bookmarkEnd w:id="124"/>
    <w:bookmarkStart w:id="125" w:name="_Toc00900061"/>
    <w:p>
      <w:pPr>
        <w:pStyle w:val="Heading2"/>
      </w:pPr>
      <w:r>
        <w:t xml:space="preserve">F2.5 Métricas bibliométricas a registrar</w:t>
      </w:r>
    </w:p>
    <w:p>
      <w:pPr>
        <w:pStyle w:val="FirstParagraph"/>
      </w:pPr>
      <w:r>
        <w:t xml:space="preserve">Cada documento del corpus final se registra con diez métricas. La Tabla F2.5 señala cuáles reporta el informe de vigilancia y cuáles quedan vacías. Las métricas ausentes (cuartil, factor de impacto y citas) limitan la verificación de los criterios de calidad, y el Paso 3 las declara como límite.</w:t>
      </w:r>
    </w:p>
    <w:p>
      <w:pPr>
        <w:pStyle w:val="TablaRotulo"/>
      </w:pPr>
      <w:bookmarkStart w:id="9068" w:name="rot_Tabla_F2_5"/>
      <w:r>
        <w:rPr>
          <w:b/>
          <w:bCs/>
        </w:rPr>
        <w:t xml:space="preserve">Tabla F2.5</w:t>
      </w:r>
      <w:bookmarkEnd w:id="9068"/>
    </w:p>
    <w:p>
      <w:pPr>
        <w:pStyle w:val="TablaTitulo"/>
      </w:pPr>
      <w:r>
        <w:rPr>
          <w:i/>
          <w:iCs/>
        </w:rPr>
        <w:t xml:space="preserve">Métricas bibliométricas por documento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650"/>
        <w:gridCol w:w="2112"/>
        <w:gridCol w:w="1650"/>
        <w:gridCol w:w="2508"/>
      </w:tblGrid>
      <w:tr>
        <w:trPr>
          <w:cantSplit/>
          <w:tblHeader/>
        </w:trPr>
        <w:tc>
          <w:tcPr>
            <w:shd w:val="clear" w:color="auto" w:fill="00B050"/>
          </w:tcPr>
          <w:p>
            <w:pPr>
              <w:pStyle w:val="Tabla9"/>
              <w:jc w:val="center"/>
            </w:pPr>
            <w:r>
              <w:rPr>
                <w:b/>
                <w:color w:val="FFFFFF"/>
              </w:rPr>
              <w:t xml:space="preserve">Métrica</w:t>
            </w:r>
          </w:p>
        </w:tc>
        <w:tc>
          <w:tcPr>
            <w:shd w:val="clear" w:color="auto" w:fill="00B050"/>
          </w:tcPr>
          <w:p>
            <w:pPr>
              <w:pStyle w:val="Tabla9"/>
              <w:jc w:val="center"/>
            </w:pPr>
            <w:r>
              <w:rPr>
                <w:b/>
                <w:color w:val="FFFFFF"/>
              </w:rPr>
              <w:t xml:space="preserve">Descripción</w:t>
            </w:r>
          </w:p>
        </w:tc>
        <w:tc>
          <w:tcPr>
            <w:shd w:val="clear" w:color="auto" w:fill="00B050"/>
          </w:tcPr>
          <w:p>
            <w:pPr>
              <w:pStyle w:val="Tabla9"/>
              <w:jc w:val="center"/>
            </w:pPr>
            <w:r>
              <w:rPr>
                <w:b/>
                <w:color w:val="FFFFFF"/>
              </w:rPr>
              <w:t xml:space="preserve">Obligatoria</w:t>
            </w:r>
          </w:p>
        </w:tc>
        <w:tc>
          <w:tcPr>
            <w:shd w:val="clear" w:color="auto" w:fill="00B050"/>
          </w:tcPr>
          <w:p>
            <w:pPr>
              <w:pStyle w:val="Tabla9"/>
              <w:jc w:val="center"/>
            </w:pPr>
            <w:r>
              <w:rPr>
                <w:b/>
                <w:color w:val="FFFFFF"/>
              </w:rPr>
              <w:t xml:space="preserve">Disponibilidad en el informe</w:t>
            </w:r>
          </w:p>
        </w:tc>
      </w:tr>
      <w:tr>
        <w:trPr>
          <w:cantSplit/>
        </w:trPr>
        <w:tc>
          <w:tcPr/>
          <w:p>
            <w:pPr>
              <w:pStyle w:val="Tabla9"/>
              <w:jc w:val="left"/>
            </w:pPr>
            <w:r>
              <w:t xml:space="preserve">DOI o URL</w:t>
            </w:r>
          </w:p>
        </w:tc>
        <w:tc>
          <w:tcPr/>
          <w:p>
            <w:pPr>
              <w:pStyle w:val="Tabla9"/>
              <w:jc w:val="left"/>
            </w:pPr>
            <w:r>
              <w:t xml:space="preserve">Identificador único</w:t>
            </w:r>
          </w:p>
        </w:tc>
        <w:tc>
          <w:tcPr/>
          <w:p>
            <w:pPr>
              <w:pStyle w:val="Tabla9"/>
              <w:jc w:val="left"/>
            </w:pPr>
            <w:r>
              <w:t xml:space="preserve">Sí</w:t>
            </w:r>
          </w:p>
        </w:tc>
        <w:tc>
          <w:tcPr/>
          <w:p>
            <w:pPr>
              <w:pStyle w:val="Tabla9"/>
              <w:jc w:val="left"/>
            </w:pPr>
            <w:r>
              <w:t xml:space="preserve">Disponible en la lista de referencias para los artículos; número de solicitud para las patentes</w:t>
            </w:r>
          </w:p>
        </w:tc>
      </w:tr>
      <w:tr>
        <w:trPr>
          <w:cantSplit/>
        </w:trPr>
        <w:tc>
          <w:tcPr/>
          <w:p>
            <w:pPr>
              <w:pStyle w:val="Tabla9"/>
              <w:jc w:val="left"/>
            </w:pPr>
            <w:r>
              <w:t xml:space="preserve">Año</w:t>
            </w:r>
          </w:p>
        </w:tc>
        <w:tc>
          <w:tcPr/>
          <w:p>
            <w:pPr>
              <w:pStyle w:val="Tabla9"/>
              <w:jc w:val="left"/>
            </w:pPr>
            <w:r>
              <w:t xml:space="preserve">Fecha de publicación</w:t>
            </w:r>
          </w:p>
        </w:tc>
        <w:tc>
          <w:tcPr/>
          <w:p>
            <w:pPr>
              <w:pStyle w:val="Tabla9"/>
              <w:jc w:val="left"/>
            </w:pPr>
            <w:r>
              <w:t xml:space="preserve">Sí</w:t>
            </w:r>
          </w:p>
        </w:tc>
        <w:tc>
          <w:tcPr/>
          <w:p>
            <w:pPr>
              <w:pStyle w:val="Tabla9"/>
              <w:jc w:val="left"/>
            </w:pPr>
            <w:r>
              <w:t xml:space="preserve">Disponible</w:t>
            </w:r>
          </w:p>
        </w:tc>
      </w:tr>
      <w:tr>
        <w:trPr>
          <w:cantSplit/>
        </w:trPr>
        <w:tc>
          <w:tcPr/>
          <w:p>
            <w:pPr>
              <w:pStyle w:val="Tabla9"/>
              <w:jc w:val="left"/>
            </w:pPr>
            <w:r>
              <w:t xml:space="preserve">Cuartil SJR</w:t>
            </w:r>
          </w:p>
        </w:tc>
        <w:tc>
          <w:tcPr/>
          <w:p>
            <w:pPr>
              <w:pStyle w:val="Tabla9"/>
              <w:jc w:val="left"/>
            </w:pPr>
            <w:r>
              <w:t xml:space="preserve">Q1, Q2, Q3 o Q4</w:t>
            </w:r>
          </w:p>
        </w:tc>
        <w:tc>
          <w:tcPr/>
          <w:p>
            <w:pPr>
              <w:pStyle w:val="Tabla9"/>
              <w:jc w:val="left"/>
            </w:pPr>
            <w:r>
              <w:t xml:space="preserve">Sí (artículos)</w:t>
            </w:r>
          </w:p>
        </w:tc>
        <w:tc>
          <w:tcPr/>
          <w:p>
            <w:pPr>
              <w:pStyle w:val="Tabla9"/>
              <w:jc w:val="left"/>
            </w:pPr>
            <w:r>
              <w:t xml:space="preserve">VACIO</w:t>
            </w:r>
          </w:p>
        </w:tc>
      </w:tr>
      <w:tr>
        <w:trPr>
          <w:cantSplit/>
        </w:trPr>
        <w:tc>
          <w:tcPr/>
          <w:p>
            <w:pPr>
              <w:pStyle w:val="Tabla9"/>
              <w:jc w:val="left"/>
            </w:pPr>
            <w:r>
              <w:t xml:space="preserve">Factor de impacto o CiteScore</w:t>
            </w:r>
          </w:p>
        </w:tc>
        <w:tc>
          <w:tcPr/>
          <w:p>
            <w:pPr>
              <w:pStyle w:val="Tabla9"/>
              <w:jc w:val="left"/>
            </w:pPr>
            <w:r>
              <w:t xml:space="preserve">Indicador de la revista</w:t>
            </w:r>
          </w:p>
        </w:tc>
        <w:tc>
          <w:tcPr/>
          <w:p>
            <w:pPr>
              <w:pStyle w:val="Tabla9"/>
              <w:jc w:val="left"/>
            </w:pPr>
            <w:r>
              <w:t xml:space="preserve">Sí (artículos)</w:t>
            </w:r>
          </w:p>
        </w:tc>
        <w:tc>
          <w:tcPr/>
          <w:p>
            <w:pPr>
              <w:pStyle w:val="Tabla9"/>
              <w:jc w:val="left"/>
            </w:pPr>
            <w:r>
              <w:t xml:space="preserve">VACIO</w:t>
            </w:r>
          </w:p>
        </w:tc>
      </w:tr>
      <w:tr>
        <w:trPr>
          <w:cantSplit/>
        </w:trPr>
        <w:tc>
          <w:tcPr/>
          <w:p>
            <w:pPr>
              <w:pStyle w:val="Tabla9"/>
              <w:jc w:val="left"/>
            </w:pPr>
            <w:r>
              <w:t xml:space="preserve">Citas</w:t>
            </w:r>
          </w:p>
        </w:tc>
        <w:tc>
          <w:tcPr/>
          <w:p>
            <w:pPr>
              <w:pStyle w:val="Tabla9"/>
              <w:jc w:val="left"/>
            </w:pPr>
            <w:r>
              <w:t xml:space="preserve">Citas recibidas</w:t>
            </w:r>
          </w:p>
        </w:tc>
        <w:tc>
          <w:tcPr/>
          <w:p>
            <w:pPr>
              <w:pStyle w:val="Tabla9"/>
              <w:jc w:val="left"/>
            </w:pPr>
            <w:r>
              <w:t xml:space="preserve">Sí</w:t>
            </w:r>
          </w:p>
        </w:tc>
        <w:tc>
          <w:tcPr/>
          <w:p>
            <w:pPr>
              <w:pStyle w:val="Tabla9"/>
              <w:jc w:val="left"/>
            </w:pPr>
            <w:r>
              <w:t xml:space="preserve">VACIO</w:t>
            </w:r>
          </w:p>
        </w:tc>
      </w:tr>
      <w:tr>
        <w:trPr>
          <w:cantSplit/>
        </w:trPr>
        <w:tc>
          <w:tcPr/>
          <w:p>
            <w:pPr>
              <w:pStyle w:val="Tabla9"/>
              <w:jc w:val="left"/>
            </w:pPr>
            <w:r>
              <w:t xml:space="preserve">País de los autores</w:t>
            </w:r>
          </w:p>
        </w:tc>
        <w:tc>
          <w:tcPr/>
          <w:p>
            <w:pPr>
              <w:pStyle w:val="Tabla9"/>
              <w:jc w:val="left"/>
            </w:pPr>
            <w:r>
              <w:t xml:space="preserve">Afiliación institucional</w:t>
            </w:r>
          </w:p>
        </w:tc>
        <w:tc>
          <w:tcPr/>
          <w:p>
            <w:pPr>
              <w:pStyle w:val="Tabla9"/>
              <w:jc w:val="left"/>
            </w:pPr>
            <w:r>
              <w:t xml:space="preserve">Sí</w:t>
            </w:r>
          </w:p>
        </w:tc>
        <w:tc>
          <w:tcPr/>
          <w:p>
            <w:pPr>
              <w:pStyle w:val="Tabla9"/>
              <w:jc w:val="left"/>
            </w:pPr>
            <w:r>
              <w:t xml:space="preserve">Disponible (análisis geográfico del Paso 3)</w:t>
            </w:r>
          </w:p>
        </w:tc>
      </w:tr>
      <w:tr>
        <w:trPr>
          <w:cantSplit/>
        </w:trPr>
        <w:tc>
          <w:tcPr/>
          <w:p>
            <w:pPr>
              <w:pStyle w:val="Tabla9"/>
              <w:jc w:val="left"/>
            </w:pPr>
            <w:r>
              <w:t xml:space="preserve">Palabras clave</w:t>
            </w:r>
          </w:p>
        </w:tc>
        <w:tc>
          <w:tcPr/>
          <w:p>
            <w:pPr>
              <w:pStyle w:val="Tabla9"/>
              <w:jc w:val="left"/>
            </w:pPr>
            <w:r>
              <w:t xml:space="preserve">Palabras clave del autor</w:t>
            </w:r>
          </w:p>
        </w:tc>
        <w:tc>
          <w:tcPr/>
          <w:p>
            <w:pPr>
              <w:pStyle w:val="Tabla9"/>
              <w:jc w:val="left"/>
            </w:pPr>
            <w:r>
              <w:t xml:space="preserve">Sí</w:t>
            </w:r>
          </w:p>
        </w:tc>
        <w:tc>
          <w:tcPr/>
          <w:p>
            <w:pPr>
              <w:pStyle w:val="Tabla9"/>
              <w:jc w:val="left"/>
            </w:pPr>
            <w:r>
              <w:t xml:space="preserve">Disponible (análisis de coocurrencia del Paso 3)</w:t>
            </w:r>
          </w:p>
        </w:tc>
      </w:tr>
      <w:tr>
        <w:trPr>
          <w:cantSplit/>
        </w:trPr>
        <w:tc>
          <w:tcPr/>
          <w:p>
            <w:pPr>
              <w:pStyle w:val="Tabla9"/>
              <w:jc w:val="left"/>
            </w:pPr>
            <w:r>
              <w:t xml:space="preserve">IPC o CPC</w:t>
            </w:r>
          </w:p>
        </w:tc>
        <w:tc>
          <w:tcPr/>
          <w:p>
            <w:pPr>
              <w:pStyle w:val="Tabla9"/>
              <w:jc w:val="left"/>
            </w:pPr>
            <w:r>
              <w:t xml:space="preserve">Clasificación de patentes</w:t>
            </w:r>
          </w:p>
        </w:tc>
        <w:tc>
          <w:tcPr/>
          <w:p>
            <w:pPr>
              <w:pStyle w:val="Tabla9"/>
              <w:jc w:val="left"/>
            </w:pPr>
            <w:r>
              <w:t xml:space="preserve">Sí (patentes)</w:t>
            </w:r>
          </w:p>
        </w:tc>
        <w:tc>
          <w:tcPr/>
          <w:p>
            <w:pPr>
              <w:pStyle w:val="Tabla9"/>
              <w:jc w:val="left"/>
            </w:pPr>
            <w:r>
              <w:t xml:space="preserve">VACIO: el informe no reporta la clasificación de las 15 patentes</w:t>
            </w:r>
          </w:p>
        </w:tc>
      </w:tr>
      <w:tr>
        <w:trPr>
          <w:cantSplit/>
        </w:trPr>
        <w:tc>
          <w:tcPr/>
          <w:p>
            <w:pPr>
              <w:pStyle w:val="Tabla9"/>
              <w:jc w:val="left"/>
            </w:pPr>
            <w:r>
              <w:t xml:space="preserve">Tipo de documento</w:t>
            </w:r>
          </w:p>
        </w:tc>
        <w:tc>
          <w:tcPr/>
          <w:p>
            <w:pPr>
              <w:pStyle w:val="Tabla9"/>
              <w:jc w:val="left"/>
            </w:pPr>
            <w:r>
              <w:t xml:space="preserve">Artículo, patente, informe o tesis</w:t>
            </w:r>
          </w:p>
        </w:tc>
        <w:tc>
          <w:tcPr/>
          <w:p>
            <w:pPr>
              <w:pStyle w:val="Tabla9"/>
              <w:jc w:val="left"/>
            </w:pPr>
            <w:r>
              <w:t xml:space="preserve">Sí</w:t>
            </w:r>
          </w:p>
        </w:tc>
        <w:tc>
          <w:tcPr/>
          <w:p>
            <w:pPr>
              <w:pStyle w:val="Tabla9"/>
              <w:jc w:val="left"/>
            </w:pPr>
            <w:r>
              <w:t xml:space="preserve">Disponible</w:t>
            </w:r>
          </w:p>
        </w:tc>
      </w:tr>
      <w:tr>
        <w:trPr>
          <w:cantSplit/>
        </w:trPr>
        <w:tc>
          <w:tcPr/>
          <w:p>
            <w:pPr>
              <w:pStyle w:val="Tabla9"/>
              <w:jc w:val="left"/>
            </w:pPr>
            <w:r>
              <w:t xml:space="preserve">Relevancia</w:t>
            </w:r>
          </w:p>
        </w:tc>
        <w:tc>
          <w:tcPr/>
          <w:p>
            <w:pPr>
              <w:pStyle w:val="Tabla9"/>
              <w:jc w:val="left"/>
            </w:pPr>
            <w:r>
              <w:t xml:space="preserve">Alta, media o baja</w:t>
            </w:r>
          </w:p>
        </w:tc>
        <w:tc>
          <w:tcPr/>
          <w:p>
            <w:pPr>
              <w:pStyle w:val="Tabla9"/>
              <w:jc w:val="left"/>
            </w:pPr>
            <w:r>
              <w:t xml:space="preserve">Sí</w:t>
            </w:r>
          </w:p>
        </w:tc>
        <w:tc>
          <w:tcPr/>
          <w:p>
            <w:pPr>
              <w:pStyle w:val="Tabla9"/>
              <w:jc w:val="left"/>
            </w:pPr>
            <w:r>
              <w:t xml:space="preserve">Disponible (agrupación en grupos documentales)</w:t>
            </w:r>
          </w:p>
        </w:tc>
      </w:tr>
    </w:tbl>
    <w:p>
      <w:pPr>
        <w:pStyle w:val="TablaNota"/>
      </w:pPr>
      <w:r>
        <w:rPr>
          <w:i/>
          <w:iCs/>
        </w:rPr>
        <w:t xml:space="preserve">Nota.</w:t>
      </w:r>
      <w:r>
        <w:t xml:space="preserve"> </w:t>
      </w:r>
      <w:r>
        <w:t xml:space="preserve">Elaboración propia con la especificación del metaprompt y el informe de vigilancia tecnológica. Los datos vacíos requieren acceso a Scopus, Web of Science o SJR [DATO_USUARIO: cuartiles y citas por documento].</w:t>
      </w:r>
    </w:p>
    <w:bookmarkEnd w:id="125"/>
    <w:bookmarkStart w:id="126" w:name="_Toc00900062"/>
    <w:p>
      <w:pPr>
        <w:pStyle w:val="Heading2"/>
      </w:pPr>
      <w:r>
        <w:t xml:space="preserve">F2.6 Requisitos de documentos</w:t>
      </w:r>
    </w:p>
    <w:p>
      <w:pPr>
        <w:pStyle w:val="FirstParagraph"/>
      </w:pPr>
      <w:r>
        <w:t xml:space="preserve">El metaprompt exige entre 45 y 60 documentos distribuidos por tipo. La Tabla F2.6 contrasta esa distribución con el corpus recibido. El corpus tiene 42 documentos y queda por debajo del mínimo de 45. Además, carece de tesis y de documentos de política en sentido estricto. El único informe institucional es el reporte de patentes en dominio público de la SIC.</w:t>
      </w:r>
    </w:p>
    <w:p>
      <w:pPr>
        <w:pStyle w:val="TablaRotulo"/>
      </w:pPr>
      <w:bookmarkStart w:id="9069" w:name="rot_Tabla_F2_6"/>
      <w:r>
        <w:rPr>
          <w:b/>
          <w:bCs/>
        </w:rPr>
        <w:t xml:space="preserve">Tabla F2.6</w:t>
      </w:r>
      <w:bookmarkEnd w:id="9069"/>
    </w:p>
    <w:p>
      <w:pPr>
        <w:pStyle w:val="TablaTitulo"/>
      </w:pPr>
      <w:r>
        <w:rPr>
          <w:i/>
          <w:iCs/>
        </w:rPr>
        <w:t xml:space="preserve">Distribución de documentos requeridos y disponibles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12"/>
        <w:gridCol w:w="1320"/>
        <w:gridCol w:w="1320"/>
        <w:gridCol w:w="1452"/>
        <w:gridCol w:w="1716"/>
      </w:tblGrid>
      <w:tr>
        <w:trPr>
          <w:cantSplit/>
          <w:tblHeader/>
        </w:trPr>
        <w:tc>
          <w:tcPr>
            <w:shd w:val="clear" w:color="auto" w:fill="00B050"/>
          </w:tcPr>
          <w:p>
            <w:pPr>
              <w:pStyle w:val="Tabla9"/>
              <w:jc w:val="center"/>
            </w:pPr>
            <w:r>
              <w:rPr>
                <w:b/>
                <w:color w:val="FFFFFF"/>
              </w:rPr>
              <w:t xml:space="preserve">Tipo de documento</w:t>
            </w:r>
          </w:p>
        </w:tc>
        <w:tc>
          <w:tcPr>
            <w:shd w:val="clear" w:color="auto" w:fill="00B050"/>
          </w:tcPr>
          <w:p>
            <w:pPr>
              <w:pStyle w:val="Tabla9"/>
              <w:jc w:val="center"/>
            </w:pPr>
            <w:r>
              <w:rPr>
                <w:b/>
                <w:color w:val="FFFFFF"/>
              </w:rPr>
              <w:t xml:space="preserve">Cantidad mínima requerida</w:t>
            </w:r>
          </w:p>
        </w:tc>
        <w:tc>
          <w:tcPr>
            <w:shd w:val="clear" w:color="auto" w:fill="00B050"/>
          </w:tcPr>
          <w:p>
            <w:pPr>
              <w:pStyle w:val="Tabla9"/>
              <w:jc w:val="center"/>
            </w:pPr>
            <w:r>
              <w:rPr>
                <w:b/>
                <w:color w:val="FFFFFF"/>
              </w:rPr>
              <w:t xml:space="preserve">Prioridad</w:t>
            </w:r>
          </w:p>
        </w:tc>
        <w:tc>
          <w:tcPr>
            <w:shd w:val="clear" w:color="auto" w:fill="00B050"/>
          </w:tcPr>
          <w:p>
            <w:pPr>
              <w:pStyle w:val="Tabla9"/>
              <w:jc w:val="center"/>
            </w:pPr>
            <w:r>
              <w:rPr>
                <w:b/>
                <w:color w:val="FFFFFF"/>
              </w:rPr>
              <w:t xml:space="preserve">Corpus recibido</w:t>
            </w:r>
          </w:p>
        </w:tc>
        <w:tc>
          <w:tcPr>
            <w:shd w:val="clear" w:color="auto" w:fill="00B050"/>
          </w:tcPr>
          <w:p>
            <w:pPr>
              <w:pStyle w:val="Tabla9"/>
              <w:jc w:val="center"/>
            </w:pPr>
            <w:r>
              <w:rPr>
                <w:b/>
                <w:color w:val="FFFFFF"/>
              </w:rPr>
              <w:t xml:space="preserve">Brecha</w:t>
            </w:r>
          </w:p>
        </w:tc>
      </w:tr>
      <w:tr>
        <w:trPr>
          <w:cantSplit/>
        </w:trPr>
        <w:tc>
          <w:tcPr/>
          <w:p>
            <w:pPr>
              <w:pStyle w:val="Tabla9"/>
              <w:jc w:val="left"/>
            </w:pPr>
            <w:r>
              <w:t xml:space="preserve">Artículos Q1 y Q2</w:t>
            </w:r>
          </w:p>
        </w:tc>
        <w:tc>
          <w:tcPr/>
          <w:p>
            <w:pPr>
              <w:pStyle w:val="Tabla9"/>
              <w:jc w:val="left"/>
            </w:pPr>
            <w:r>
              <w:t xml:space="preserve">15 a 20</w:t>
            </w:r>
          </w:p>
        </w:tc>
        <w:tc>
          <w:tcPr/>
          <w:p>
            <w:pPr>
              <w:pStyle w:val="Tabla9"/>
              <w:jc w:val="left"/>
            </w:pPr>
            <w:r>
              <w:t xml:space="preserve">Alta</w:t>
            </w:r>
          </w:p>
        </w:tc>
        <w:tc>
          <w:tcPr/>
          <w:p>
            <w:pPr>
              <w:pStyle w:val="Tabla9"/>
              <w:jc w:val="left"/>
            </w:pPr>
            <w:r>
              <w:t xml:space="preserve">26 artículos en total; cuartil VACIO</w:t>
            </w:r>
          </w:p>
        </w:tc>
        <w:tc>
          <w:tcPr/>
          <w:p>
            <w:pPr>
              <w:pStyle w:val="Tabla9"/>
              <w:jc w:val="left"/>
            </w:pPr>
            <w:r>
              <w:t xml:space="preserve">No verificable</w:t>
            </w:r>
          </w:p>
        </w:tc>
      </w:tr>
      <w:tr>
        <w:trPr>
          <w:cantSplit/>
        </w:trPr>
        <w:tc>
          <w:tcPr/>
          <w:p>
            <w:pPr>
              <w:pStyle w:val="Tabla9"/>
              <w:jc w:val="left"/>
            </w:pPr>
            <w:r>
              <w:t xml:space="preserve">Artículos Q3 y Q4</w:t>
            </w:r>
          </w:p>
        </w:tc>
        <w:tc>
          <w:tcPr/>
          <w:p>
            <w:pPr>
              <w:pStyle w:val="Tabla9"/>
              <w:jc w:val="left"/>
            </w:pPr>
            <w:r>
              <w:t xml:space="preserve">10 a 15</w:t>
            </w:r>
          </w:p>
        </w:tc>
        <w:tc>
          <w:tcPr/>
          <w:p>
            <w:pPr>
              <w:pStyle w:val="Tabla9"/>
              <w:jc w:val="left"/>
            </w:pPr>
            <w:r>
              <w:t xml:space="preserve">Media</w:t>
            </w:r>
          </w:p>
        </w:tc>
        <w:tc>
          <w:tcPr/>
          <w:p>
            <w:pPr>
              <w:pStyle w:val="Tabla9"/>
              <w:jc w:val="left"/>
            </w:pPr>
            <w:r>
              <w:t xml:space="preserve">Incluidos en los 26 artículos</w:t>
            </w:r>
          </w:p>
        </w:tc>
        <w:tc>
          <w:tcPr/>
          <w:p>
            <w:pPr>
              <w:pStyle w:val="Tabla9"/>
              <w:jc w:val="left"/>
            </w:pPr>
            <w:r>
              <w:t xml:space="preserve">No verificable</w:t>
            </w:r>
          </w:p>
        </w:tc>
      </w:tr>
      <w:tr>
        <w:trPr>
          <w:cantSplit/>
        </w:trPr>
        <w:tc>
          <w:tcPr/>
          <w:p>
            <w:pPr>
              <w:pStyle w:val="Tabla9"/>
              <w:jc w:val="left"/>
            </w:pPr>
            <w:r>
              <w:t xml:space="preserve">Patentes relevantes</w:t>
            </w:r>
          </w:p>
        </w:tc>
        <w:tc>
          <w:tcPr/>
          <w:p>
            <w:pPr>
              <w:pStyle w:val="Tabla9"/>
              <w:jc w:val="left"/>
            </w:pPr>
            <w:r>
              <w:t xml:space="preserve">5 a 10</w:t>
            </w:r>
          </w:p>
        </w:tc>
        <w:tc>
          <w:tcPr/>
          <w:p>
            <w:pPr>
              <w:pStyle w:val="Tabla9"/>
              <w:jc w:val="left"/>
            </w:pPr>
            <w:r>
              <w:t xml:space="preserve">Alta</w:t>
            </w:r>
          </w:p>
        </w:tc>
        <w:tc>
          <w:tcPr/>
          <w:p>
            <w:pPr>
              <w:pStyle w:val="Tabla9"/>
              <w:jc w:val="left"/>
            </w:pPr>
            <w:r>
              <w:t xml:space="preserve">15</w:t>
            </w:r>
          </w:p>
        </w:tc>
        <w:tc>
          <w:tcPr/>
          <w:p>
            <w:pPr>
              <w:pStyle w:val="Tabla9"/>
              <w:jc w:val="left"/>
            </w:pPr>
            <w:r>
              <w:t xml:space="preserve">Cumple; 10 a 15 superan el máximo del rango</w:t>
            </w:r>
          </w:p>
        </w:tc>
      </w:tr>
      <w:tr>
        <w:trPr>
          <w:cantSplit/>
        </w:trPr>
        <w:tc>
          <w:tcPr/>
          <w:p>
            <w:pPr>
              <w:pStyle w:val="Tabla9"/>
              <w:jc w:val="left"/>
            </w:pPr>
            <w:r>
              <w:t xml:space="preserve">Informes técnicos o institucionales</w:t>
            </w:r>
          </w:p>
        </w:tc>
        <w:tc>
          <w:tcPr/>
          <w:p>
            <w:pPr>
              <w:pStyle w:val="Tabla9"/>
              <w:jc w:val="left"/>
            </w:pPr>
            <w:r>
              <w:t xml:space="preserve">5 a 8</w:t>
            </w:r>
          </w:p>
        </w:tc>
        <w:tc>
          <w:tcPr/>
          <w:p>
            <w:pPr>
              <w:pStyle w:val="Tabla9"/>
              <w:jc w:val="left"/>
            </w:pPr>
            <w:r>
              <w:t xml:space="preserve">Media</w:t>
            </w:r>
          </w:p>
        </w:tc>
        <w:tc>
          <w:tcPr/>
          <w:p>
            <w:pPr>
              <w:pStyle w:val="Tabla9"/>
              <w:jc w:val="left"/>
            </w:pPr>
            <w:r>
              <w:t xml:space="preserve">1</w:t>
            </w:r>
          </w:p>
        </w:tc>
        <w:tc>
          <w:tcPr/>
          <w:p>
            <w:pPr>
              <w:pStyle w:val="Tabla9"/>
              <w:jc w:val="left"/>
            </w:pPr>
            <w:r>
              <w:t xml:space="preserve">4 por debajo del mínimo</w:t>
            </w:r>
          </w:p>
        </w:tc>
      </w:tr>
      <w:tr>
        <w:trPr>
          <w:cantSplit/>
        </w:trPr>
        <w:tc>
          <w:tcPr/>
          <w:p>
            <w:pPr>
              <w:pStyle w:val="Tabla9"/>
              <w:jc w:val="left"/>
            </w:pPr>
            <w:r>
              <w:t xml:space="preserve">Tesis doctorales o de maestría</w:t>
            </w:r>
          </w:p>
        </w:tc>
        <w:tc>
          <w:tcPr/>
          <w:p>
            <w:pPr>
              <w:pStyle w:val="Tabla9"/>
              <w:jc w:val="left"/>
            </w:pPr>
            <w:r>
              <w:t xml:space="preserve">3 a 5</w:t>
            </w:r>
          </w:p>
        </w:tc>
        <w:tc>
          <w:tcPr/>
          <w:p>
            <w:pPr>
              <w:pStyle w:val="Tabla9"/>
              <w:jc w:val="left"/>
            </w:pPr>
            <w:r>
              <w:t xml:space="preserve">Media</w:t>
            </w:r>
          </w:p>
        </w:tc>
        <w:tc>
          <w:tcPr/>
          <w:p>
            <w:pPr>
              <w:pStyle w:val="Tabla9"/>
              <w:jc w:val="left"/>
            </w:pPr>
            <w:r>
              <w:t xml:space="preserve">0</w:t>
            </w:r>
          </w:p>
        </w:tc>
        <w:tc>
          <w:tcPr/>
          <w:p>
            <w:pPr>
              <w:pStyle w:val="Tabla9"/>
              <w:jc w:val="left"/>
            </w:pPr>
            <w:r>
              <w:t xml:space="preserve">3 por debajo del mínimo</w:t>
            </w:r>
          </w:p>
        </w:tc>
      </w:tr>
      <w:tr>
        <w:trPr>
          <w:cantSplit/>
        </w:trPr>
        <w:tc>
          <w:tcPr/>
          <w:p>
            <w:pPr>
              <w:pStyle w:val="Tabla9"/>
              <w:jc w:val="left"/>
            </w:pPr>
            <w:r>
              <w:t xml:space="preserve">Documentos de política</w:t>
            </w:r>
          </w:p>
        </w:tc>
        <w:tc>
          <w:tcPr/>
          <w:p>
            <w:pPr>
              <w:pStyle w:val="Tabla9"/>
              <w:jc w:val="left"/>
            </w:pPr>
            <w:r>
              <w:t xml:space="preserve">2 a 3</w:t>
            </w:r>
          </w:p>
        </w:tc>
        <w:tc>
          <w:tcPr/>
          <w:p>
            <w:pPr>
              <w:pStyle w:val="Tabla9"/>
              <w:jc w:val="left"/>
            </w:pPr>
            <w:r>
              <w:t xml:space="preserve">Baja</w:t>
            </w:r>
          </w:p>
        </w:tc>
        <w:tc>
          <w:tcPr/>
          <w:p>
            <w:pPr>
              <w:pStyle w:val="Tabla9"/>
              <w:jc w:val="left"/>
            </w:pPr>
            <w:r>
              <w:t xml:space="preserve">0</w:t>
            </w:r>
          </w:p>
        </w:tc>
        <w:tc>
          <w:tcPr/>
          <w:p>
            <w:pPr>
              <w:pStyle w:val="Tabla9"/>
              <w:jc w:val="left"/>
            </w:pPr>
            <w:r>
              <w:t xml:space="preserve">2 por debajo del mínimo</w:t>
            </w:r>
          </w:p>
        </w:tc>
      </w:tr>
      <w:tr>
        <w:trPr>
          <w:cantSplit/>
        </w:trPr>
        <w:tc>
          <w:tcPr/>
          <w:p>
            <w:pPr>
              <w:pStyle w:val="Tabla9"/>
              <w:jc w:val="left"/>
            </w:pPr>
            <w:r>
              <w:t xml:space="preserve">Total</w:t>
            </w:r>
          </w:p>
        </w:tc>
        <w:tc>
          <w:tcPr/>
          <w:p>
            <w:pPr>
              <w:pStyle w:val="Tabla9"/>
              <w:jc w:val="left"/>
            </w:pPr>
            <w:r>
              <w:t xml:space="preserve">45 a 60</w:t>
            </w:r>
          </w:p>
        </w:tc>
        <w:tc>
          <w:tcPr/>
          <w:p>
            <w:pPr>
              <w:pStyle w:val="Tabla9"/>
            </w:pPr>
          </w:p>
        </w:tc>
        <w:tc>
          <w:tcPr/>
          <w:p>
            <w:pPr>
              <w:pStyle w:val="Tabla9"/>
              <w:jc w:val="left"/>
            </w:pPr>
            <w:r>
              <w:t xml:space="preserve">42</w:t>
            </w:r>
          </w:p>
        </w:tc>
        <w:tc>
          <w:tcPr/>
          <w:p>
            <w:pPr>
              <w:pStyle w:val="Tabla9"/>
              <w:jc w:val="left"/>
            </w:pPr>
            <w:r>
              <w:t xml:space="preserve">3 por debajo del mínimo</w:t>
            </w:r>
          </w:p>
        </w:tc>
      </w:tr>
    </w:tbl>
    <w:p>
      <w:pPr>
        <w:pStyle w:val="TablaNota"/>
      </w:pPr>
      <w:r>
        <w:rPr>
          <w:i/>
          <w:iCs/>
        </w:rPr>
        <w:t xml:space="preserve">Nota.</w:t>
      </w:r>
      <w:r>
        <w:t xml:space="preserve"> </w:t>
      </w:r>
      <w:r>
        <w:t xml:space="preserve">Elaboración propia con la especificación del metaprompt y las cifras del informe de vigilancia tecnológica (26 artículos, 15 patentes y 1 informe). Los documentos de política del proyecto (leyes, documentos CONPES y resoluciones) se incorporan en el capítulo 3 y no integran el corpus bibliométrico.</w:t>
      </w:r>
    </w:p>
    <w:bookmarkEnd w:id="126"/>
    <w:bookmarkStart w:id="127" w:name="Xc52c622165f2a43d9aeb4d6d407496a14889e94"/>
    <w:p>
      <w:pPr>
        <w:pStyle w:val="Heading2"/>
      </w:pPr>
      <w:r>
        <w:t xml:space="preserve">F2.7 Herramientas de análisis bibliométrico</w:t>
      </w:r>
    </w:p>
    <w:p>
      <w:pPr>
        <w:pStyle w:val="FirstParagraph"/>
      </w:pPr>
      <w:r>
        <w:t xml:space="preserve">El procesamiento posterior usa cinco herramientas. La Tabla F2.7 indica la función de cada una y el formato de entrada. El Paso 3 de este documento se generó con Python, matplotlib y networkx, con la paleta de la plantilla visual del proyecto.</w:t>
      </w:r>
    </w:p>
    <w:p>
      <w:pPr>
        <w:pStyle w:val="TablaRotulo"/>
      </w:pPr>
      <w:bookmarkStart w:id="9070" w:name="rot_Tabla_F2_7"/>
      <w:r>
        <w:rPr>
          <w:b/>
          <w:bCs/>
        </w:rPr>
        <w:t xml:space="preserve">Tabla F2.7</w:t>
      </w:r>
      <w:bookmarkEnd w:id="9070"/>
    </w:p>
    <w:p>
      <w:pPr>
        <w:pStyle w:val="TablaTitulo"/>
      </w:pPr>
      <w:r>
        <w:rPr>
          <w:i/>
          <w:iCs/>
        </w:rPr>
        <w:t xml:space="preserve">Herramientas de análisis bibliométrico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442"/>
        <w:gridCol w:w="3300"/>
        <w:gridCol w:w="2178"/>
      </w:tblGrid>
      <w:tr>
        <w:trPr>
          <w:cantSplit/>
          <w:tblHeader/>
        </w:trPr>
        <w:tc>
          <w:tcPr>
            <w:shd w:val="clear" w:color="auto" w:fill="00B050"/>
          </w:tcPr>
          <w:p>
            <w:pPr>
              <w:pStyle w:val="Tabla9"/>
              <w:jc w:val="center"/>
            </w:pPr>
            <w:r>
              <w:rPr>
                <w:b/>
                <w:color w:val="FFFFFF"/>
              </w:rPr>
              <w:t xml:space="preserve">Herramienta</w:t>
            </w:r>
          </w:p>
        </w:tc>
        <w:tc>
          <w:tcPr>
            <w:shd w:val="clear" w:color="auto" w:fill="00B050"/>
          </w:tcPr>
          <w:p>
            <w:pPr>
              <w:pStyle w:val="Tabla9"/>
              <w:jc w:val="center"/>
            </w:pPr>
            <w:r>
              <w:rPr>
                <w:b/>
                <w:color w:val="FFFFFF"/>
              </w:rPr>
              <w:t xml:space="preserve">Función principal</w:t>
            </w:r>
          </w:p>
        </w:tc>
        <w:tc>
          <w:tcPr>
            <w:shd w:val="clear" w:color="auto" w:fill="00B050"/>
          </w:tcPr>
          <w:p>
            <w:pPr>
              <w:pStyle w:val="Tabla9"/>
              <w:jc w:val="center"/>
            </w:pPr>
            <w:r>
              <w:rPr>
                <w:b/>
                <w:color w:val="FFFFFF"/>
              </w:rPr>
              <w:t xml:space="preserve">Formato de entrada</w:t>
            </w:r>
          </w:p>
        </w:tc>
      </w:tr>
      <w:tr>
        <w:trPr>
          <w:cantSplit/>
        </w:trPr>
        <w:tc>
          <w:tcPr/>
          <w:p>
            <w:pPr>
              <w:pStyle w:val="Tabla9"/>
              <w:jc w:val="left"/>
            </w:pPr>
            <w:r>
              <w:t xml:space="preserve">VOSviewer (van Eck y Waltman, 2010)</w:t>
            </w:r>
          </w:p>
        </w:tc>
        <w:tc>
          <w:tcPr/>
          <w:p>
            <w:pPr>
              <w:pStyle w:val="Tabla9"/>
              <w:jc w:val="left"/>
            </w:pPr>
            <w:r>
              <w:t xml:space="preserve">Mapas de cocitación, coocurrencia y acoplamiento bibliográfico</w:t>
            </w:r>
          </w:p>
        </w:tc>
        <w:tc>
          <w:tcPr/>
          <w:p>
            <w:pPr>
              <w:pStyle w:val="Tabla9"/>
              <w:jc w:val="left"/>
            </w:pPr>
            <w:r>
              <w:t xml:space="preserve">RIS, BibTeX, CSV</w:t>
            </w:r>
          </w:p>
        </w:tc>
      </w:tr>
      <w:tr>
        <w:trPr>
          <w:cantSplit/>
        </w:trPr>
        <w:tc>
          <w:tcPr/>
          <w:p>
            <w:pPr>
              <w:pStyle w:val="Tabla9"/>
              <w:jc w:val="left"/>
            </w:pPr>
            <w:r>
              <w:t xml:space="preserve">bibliometrix (Aria y Cuccurullo, 2017)</w:t>
            </w:r>
          </w:p>
        </w:tc>
        <w:tc>
          <w:tcPr/>
          <w:p>
            <w:pPr>
              <w:pStyle w:val="Tabla9"/>
              <w:jc w:val="left"/>
            </w:pPr>
            <w:r>
              <w:t xml:space="preserve">Análisis integral: Lotka, Bradford, evolución temática y redes</w:t>
            </w:r>
          </w:p>
        </w:tc>
        <w:tc>
          <w:tcPr/>
          <w:p>
            <w:pPr>
              <w:pStyle w:val="Tabla9"/>
              <w:jc w:val="left"/>
            </w:pPr>
            <w:r>
              <w:t xml:space="preserve">BibTeX, CSV</w:t>
            </w:r>
          </w:p>
        </w:tc>
      </w:tr>
      <w:tr>
        <w:trPr>
          <w:cantSplit/>
        </w:trPr>
        <w:tc>
          <w:tcPr/>
          <w:p>
            <w:pPr>
              <w:pStyle w:val="Tabla9"/>
              <w:jc w:val="left"/>
            </w:pPr>
            <w:r>
              <w:t xml:space="preserve">CiteSpace</w:t>
            </w:r>
          </w:p>
        </w:tc>
        <w:tc>
          <w:tcPr/>
          <w:p>
            <w:pPr>
              <w:pStyle w:val="Tabla9"/>
              <w:jc w:val="left"/>
            </w:pPr>
            <w:r>
              <w:t xml:space="preserve">Detección de ráfagas, frentes emergentes y evolución temporal</w:t>
            </w:r>
          </w:p>
        </w:tc>
        <w:tc>
          <w:tcPr/>
          <w:p>
            <w:pPr>
              <w:pStyle w:val="Tabla9"/>
              <w:jc w:val="left"/>
            </w:pPr>
            <w:r>
              <w:t xml:space="preserve">Exportación de Web of Science</w:t>
            </w:r>
          </w:p>
        </w:tc>
      </w:tr>
      <w:tr>
        <w:trPr>
          <w:cantSplit/>
        </w:trPr>
        <w:tc>
          <w:tcPr/>
          <w:p>
            <w:pPr>
              <w:pStyle w:val="Tabla9"/>
              <w:jc w:val="left"/>
            </w:pPr>
            <w:r>
              <w:t xml:space="preserve">Gephi</w:t>
            </w:r>
          </w:p>
        </w:tc>
        <w:tc>
          <w:tcPr/>
          <w:p>
            <w:pPr>
              <w:pStyle w:val="Tabla9"/>
              <w:jc w:val="left"/>
            </w:pPr>
            <w:r>
              <w:t xml:space="preserve">Redes complejas de gran escala con métricas de centralidad</w:t>
            </w:r>
          </w:p>
        </w:tc>
        <w:tc>
          <w:tcPr/>
          <w:p>
            <w:pPr>
              <w:pStyle w:val="Tabla9"/>
              <w:jc w:val="left"/>
            </w:pPr>
            <w:r>
              <w:t xml:space="preserve">GEXF, GraphML</w:t>
            </w:r>
          </w:p>
        </w:tc>
      </w:tr>
      <w:tr>
        <w:trPr>
          <w:cantSplit/>
        </w:trPr>
        <w:tc>
          <w:tcPr/>
          <w:p>
            <w:pPr>
              <w:pStyle w:val="Tabla9"/>
              <w:jc w:val="left"/>
            </w:pPr>
            <w:r>
              <w:t xml:space="preserve">Python (matplotlib y networkx)</w:t>
            </w:r>
          </w:p>
        </w:tc>
        <w:tc>
          <w:tcPr/>
          <w:p>
            <w:pPr>
              <w:pStyle w:val="Tabla9"/>
              <w:jc w:val="left"/>
            </w:pPr>
            <w:r>
              <w:t xml:space="preserve">Figuras con la paleta estandarizada</w:t>
            </w:r>
          </w:p>
        </w:tc>
        <w:tc>
          <w:tcPr/>
          <w:p>
            <w:pPr>
              <w:pStyle w:val="Tabla9"/>
              <w:jc w:val="left"/>
            </w:pPr>
            <w:r>
              <w:t xml:space="preserve">CSV, JSON</w:t>
            </w:r>
          </w:p>
        </w:tc>
      </w:tr>
    </w:tbl>
    <w:p>
      <w:pPr>
        <w:pStyle w:val="TablaNota"/>
      </w:pPr>
      <w:r>
        <w:rPr>
          <w:i/>
          <w:iCs/>
        </w:rPr>
        <w:t xml:space="preserve">Nota.</w:t>
      </w:r>
      <w:r>
        <w:t xml:space="preserve"> </w:t>
      </w:r>
      <w:r>
        <w:t xml:space="preserve">Elaboración propia con la especificación del metaprompt. VOSviewer y bibliometrix se citan por sus artículos de referencia; CiteSpace y Gephi no se incorporan al banco de referencias.</w:t>
      </w:r>
    </w:p>
    <w:bookmarkEnd w:id="127"/>
    <w:bookmarkStart w:id="128" w:name="X3537242e55f777f67c25eecb9c6a0b9cafdeca6"/>
    <w:p>
      <w:pPr>
        <w:pStyle w:val="Heading2"/>
      </w:pPr>
      <w:r>
        <w:t xml:space="preserve">F2.8 Instrucciones para el equipo y valor del paso</w:t>
      </w:r>
    </w:p>
    <w:p>
      <w:pPr>
        <w:pStyle w:val="FirstParagraph"/>
      </w:pPr>
      <w:r>
        <w:t xml:space="preserve">El equipo formulador ejecuta siete acciones antes de actualizar la vigilancia. Primero, ejecuta las ecuaciones en las bases con licencia y registra los resultados por base y la fecha de corte. Segundo, aplica las etapas de la Tabla F2.3 y los criterios de la Tabla F2.4 y documenta cada exclusión con su motivo. Tercero, descarga los registros en formato RIS, BibTeX o CSV. Cuarto, consolida los documentos seleccionados. Quinto, completa las métricas faltantes: cuartil, factor de impacto y citas. Sexto, compara el nuevo corpus con los 42 documentos recibidos. Séptimo, repite el Paso 3 con el corpus actualizado.</w:t>
      </w:r>
    </w:p>
    <w:p>
      <w:pPr>
        <w:pStyle w:val="BodyText"/>
      </w:pPr>
      <w:r>
        <w:t xml:space="preserve">El Paso 2 crea valor porque vuelve reproducible una vigilancia que el informe recibido solo describe. Con las ecuaciones y los criterios registrados, otro equipo repite la búsqueda, mide su cobertura y detecta documentos que el corpus omitió. La brecha de tres documentos frente al mínimo y los datos vacíos de cuartil son las dos tareas prioritarias.</w:t>
      </w:r>
    </w:p>
    <w:bookmarkEnd w:id="128"/>
    <w:bookmarkEnd w:id="129"/>
    <w:bookmarkStart w:id="145" w:name="X75d344233a9d6a33733461c44ba0e33e81d62cf"/>
    <w:p>
      <w:pPr>
        <w:pStyle w:val="Heading1"/>
      </w:pPr>
      <w:r>
        <w:t xml:space="preserve">Paso 3. Procesamiento bibliométrico del corpus de vigilancia tecnológica</w:t>
      </w:r>
    </w:p>
    <w:p>
      <w:pPr>
        <w:pStyle w:val="FirstParagraph"/>
      </w:pPr>
      <w:r>
        <w:t xml:space="preserve">Este apartado reúne la salida del Paso 3 y del Paso 3.5 del metaprompt GENESIS-CTeI 36.10 RC2. El corpus procede del informe de vigilancia tecnológica y bibliometría consolidado el 30 de septiembre de 2026 (F-INF). El Paso 3 verifica la completitud del corpus, documenta la selección y fija los parámetros reproducibles. El Paso 3.5 aplica las reglas de corpus pequeño a las leyes de Lotka y de Bradford. Las figuras y las tablas analíticas se presentan en el Capítulo 2, sección 2.2. Este apartado remite a ellas en texto plano.</w:t>
      </w:r>
    </w:p>
    <w:bookmarkStart w:id="133" w:name="_Toc00900063"/>
    <w:p>
      <w:pPr>
        <w:pStyle w:val="Heading2"/>
      </w:pPr>
      <w:r>
        <w:t xml:space="preserve">3.1 Verificación de completitud del corpus</w:t>
      </w:r>
    </w:p>
    <w:bookmarkStart w:id="130" w:name="_Toc00900064"/>
    <w:p>
      <w:pPr>
        <w:pStyle w:val="Heading3"/>
      </w:pPr>
      <w:r>
        <w:t xml:space="preserve">3.1.1 Inventario de los 42 documentos</w:t>
      </w:r>
    </w:p>
    <w:p>
      <w:pPr>
        <w:pStyle w:val="FirstParagraph"/>
      </w:pPr>
      <w:r>
        <w:t xml:space="preserve">La regla absoluta del Paso 3 exige que cada documento del corpus figure en el inventario. La verificación compara cada referencia con la bibliografía de la sección 13.2 del informe de vigilancia (F-INF §13.2, p. 212). La comparación fue textual y automática. Se normalizaron cursivas, tildes y signos, y se contrastaron las 42 cadenas una por una. Las 42 referencias coinciden con la bibliografía del informe. La Tabla F3.1 lista los documentos con autores, año, tipo, fuente e identificador. El identificador es un identificador de objeto digital (DOI) o un número de solicitud. La tabla incluye el nivel de preparación tecnológica (TRL, por su sigla en inglés) cuando el informe lo reporta. El TRL usa una escala de nueve niveles (Mankins, 1995).</w:t>
      </w:r>
    </w:p>
    <w:p>
      <w:pPr>
        <w:pStyle w:val="TablaRotulo"/>
      </w:pPr>
      <w:bookmarkStart w:id="9071" w:name="rot_Tabla_F3_1"/>
      <w:r>
        <w:rPr>
          <w:b/>
          <w:bCs/>
        </w:rPr>
        <w:t xml:space="preserve">Tabla F3.1</w:t>
      </w:r>
      <w:bookmarkEnd w:id="9071"/>
    </w:p>
    <w:p>
      <w:pPr>
        <w:pStyle w:val="TablaTitulo"/>
      </w:pPr>
      <w:r>
        <w:rPr>
          <w:i/>
          <w:iCs/>
        </w:rPr>
        <w:t xml:space="preserve">Inventario completo de los 42 documentos del corpus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462"/>
        <w:gridCol w:w="1650"/>
        <w:gridCol w:w="396"/>
        <w:gridCol w:w="1056"/>
        <w:gridCol w:w="1188"/>
        <w:gridCol w:w="1716"/>
        <w:gridCol w:w="792"/>
        <w:gridCol w:w="660"/>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Autores</w:t>
            </w:r>
          </w:p>
        </w:tc>
        <w:tc>
          <w:tcPr>
            <w:shd w:val="clear" w:color="auto" w:fill="00B050"/>
          </w:tcPr>
          <w:p>
            <w:pPr>
              <w:pStyle w:val="Tabla8"/>
              <w:jc w:val="center"/>
            </w:pPr>
            <w:r>
              <w:rPr>
                <w:b/>
                <w:color w:val="FFFFFF"/>
              </w:rPr>
              <w:t xml:space="preserve">Año</w:t>
            </w:r>
          </w:p>
        </w:tc>
        <w:tc>
          <w:tcPr>
            <w:shd w:val="clear" w:color="auto" w:fill="00B050"/>
          </w:tcPr>
          <w:p>
            <w:pPr>
              <w:pStyle w:val="Tabla8"/>
              <w:jc w:val="center"/>
            </w:pPr>
            <w:r>
              <w:rPr>
                <w:b/>
                <w:color w:val="FFFFFF"/>
              </w:rPr>
              <w:t xml:space="preserve">Tipo</w:t>
            </w:r>
          </w:p>
        </w:tc>
        <w:tc>
          <w:tcPr>
            <w:shd w:val="clear" w:color="auto" w:fill="00B050"/>
          </w:tcPr>
          <w:p>
            <w:pPr>
              <w:pStyle w:val="Tabla8"/>
              <w:jc w:val="center"/>
            </w:pPr>
            <w:r>
              <w:rPr>
                <w:b/>
                <w:color w:val="FFFFFF"/>
              </w:rPr>
              <w:t xml:space="preserve">Fuente</w:t>
            </w:r>
          </w:p>
        </w:tc>
        <w:tc>
          <w:tcPr>
            <w:shd w:val="clear" w:color="auto" w:fill="00B050"/>
          </w:tcPr>
          <w:p>
            <w:pPr>
              <w:pStyle w:val="Tabla8"/>
              <w:jc w:val="center"/>
            </w:pPr>
            <w:r>
              <w:rPr>
                <w:b/>
                <w:color w:val="FFFFFF"/>
              </w:rPr>
              <w:t xml:space="preserve">DOI o número de solicitud</w:t>
            </w:r>
          </w:p>
        </w:tc>
        <w:tc>
          <w:tcPr>
            <w:shd w:val="clear" w:color="auto" w:fill="00B050"/>
          </w:tcPr>
          <w:p>
            <w:pPr>
              <w:pStyle w:val="Tabla8"/>
              <w:jc w:val="center"/>
            </w:pPr>
            <w:r>
              <w:rPr>
                <w:b/>
                <w:color w:val="FFFFFF"/>
              </w:rPr>
              <w:t xml:space="preserve">TRL</w:t>
            </w:r>
          </w:p>
        </w:tc>
        <w:tc>
          <w:tcPr>
            <w:shd w:val="clear" w:color="auto" w:fill="00B050"/>
          </w:tcPr>
          <w:p>
            <w:pPr>
              <w:pStyle w:val="Tabla8"/>
              <w:jc w:val="center"/>
            </w:pPr>
            <w:r>
              <w:rPr>
                <w:b/>
                <w:color w:val="FFFFFF"/>
              </w:rPr>
              <w:t xml:space="preserve">En F-INF §13.2</w:t>
            </w:r>
          </w:p>
        </w:tc>
      </w:tr>
      <w:tr>
        <w:trPr>
          <w:cantSplit/>
        </w:trPr>
        <w:tc>
          <w:tcPr/>
          <w:p>
            <w:pPr>
              <w:pStyle w:val="Tabla8"/>
              <w:jc w:val="left"/>
            </w:pPr>
            <w:r>
              <w:t xml:space="preserve">G-01</w:t>
            </w:r>
          </w:p>
        </w:tc>
        <w:tc>
          <w:tcPr/>
          <w:p>
            <w:pPr>
              <w:pStyle w:val="Tabla8"/>
              <w:jc w:val="left"/>
            </w:pPr>
            <w:r>
              <w:t xml:space="preserve">Reintjes et al.</w:t>
            </w:r>
          </w:p>
        </w:tc>
        <w:tc>
          <w:tcPr/>
          <w:p>
            <w:pPr>
              <w:pStyle w:val="Tabla8"/>
              <w:jc w:val="left"/>
            </w:pPr>
            <w:r>
              <w:t xml:space="preserve">1995</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95/12118 A1</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G-02</w:t>
            </w:r>
          </w:p>
        </w:tc>
        <w:tc>
          <w:tcPr/>
          <w:p>
            <w:pPr>
              <w:pStyle w:val="Tabla8"/>
              <w:jc w:val="left"/>
            </w:pPr>
            <w:r>
              <w:t xml:space="preserve">Koppinen et al.</w:t>
            </w:r>
          </w:p>
        </w:tc>
        <w:tc>
          <w:tcPr/>
          <w:p>
            <w:pPr>
              <w:pStyle w:val="Tabla8"/>
              <w:jc w:val="left"/>
            </w:pPr>
            <w:r>
              <w:t xml:space="preserve">2019</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2019/215392 A1</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G-03</w:t>
            </w:r>
          </w:p>
        </w:tc>
        <w:tc>
          <w:tcPr/>
          <w:p>
            <w:pPr>
              <w:pStyle w:val="Tabla8"/>
              <w:jc w:val="left"/>
            </w:pPr>
            <w:r>
              <w:t xml:space="preserve">Abernathy et al.</w:t>
            </w:r>
          </w:p>
        </w:tc>
        <w:tc>
          <w:tcPr/>
          <w:p>
            <w:pPr>
              <w:pStyle w:val="Tabla8"/>
              <w:jc w:val="left"/>
            </w:pPr>
            <w:r>
              <w:t xml:space="preserve">2019</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3 483 800 A1</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G-04</w:t>
            </w:r>
          </w:p>
        </w:tc>
        <w:tc>
          <w:tcPr/>
          <w:p>
            <w:pPr>
              <w:pStyle w:val="Tabla8"/>
              <w:jc w:val="left"/>
            </w:pPr>
            <w:r>
              <w:t xml:space="preserve">Blythe y Hohman</w:t>
            </w:r>
          </w:p>
        </w:tc>
        <w:tc>
          <w:tcPr/>
          <w:p>
            <w:pPr>
              <w:pStyle w:val="Tabla8"/>
              <w:jc w:val="left"/>
            </w:pPr>
            <w:r>
              <w:t xml:space="preserve">2020</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3 623 453 A1</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G-05</w:t>
            </w:r>
          </w:p>
        </w:tc>
        <w:tc>
          <w:tcPr/>
          <w:p>
            <w:pPr>
              <w:pStyle w:val="Tabla8"/>
              <w:jc w:val="left"/>
            </w:pPr>
            <w:r>
              <w:t xml:space="preserve">Molina-Gómez et al.</w:t>
            </w:r>
          </w:p>
        </w:tc>
        <w:tc>
          <w:tcPr/>
          <w:p>
            <w:pPr>
              <w:pStyle w:val="Tabla8"/>
              <w:jc w:val="left"/>
            </w:pPr>
            <w:r>
              <w:t xml:space="preserve">2021</w:t>
            </w:r>
          </w:p>
        </w:tc>
        <w:tc>
          <w:tcPr/>
          <w:p>
            <w:pPr>
              <w:pStyle w:val="Tabla8"/>
              <w:jc w:val="left"/>
            </w:pPr>
            <w:r>
              <w:t xml:space="preserve">Artículo</w:t>
            </w:r>
          </w:p>
        </w:tc>
        <w:tc>
          <w:tcPr/>
          <w:p>
            <w:pPr>
              <w:pStyle w:val="Tabla8"/>
              <w:jc w:val="left"/>
            </w:pPr>
            <w:r>
              <w:t xml:space="preserve">International Journal of Environmental Science and Technology</w:t>
            </w:r>
          </w:p>
        </w:tc>
        <w:tc>
          <w:tcPr/>
          <w:p>
            <w:pPr>
              <w:pStyle w:val="Tabla8"/>
              <w:jc w:val="left"/>
            </w:pPr>
            <w:r>
              <w:t xml:space="preserve">10.1007/s13762-020-02896-6</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G-06</w:t>
            </w:r>
          </w:p>
        </w:tc>
        <w:tc>
          <w:tcPr/>
          <w:p>
            <w:pPr>
              <w:pStyle w:val="Tabla8"/>
              <w:jc w:val="left"/>
            </w:pPr>
            <w:r>
              <w:t xml:space="preserve">Becerra et al.</w:t>
            </w:r>
          </w:p>
        </w:tc>
        <w:tc>
          <w:tcPr/>
          <w:p>
            <w:pPr>
              <w:pStyle w:val="Tabla8"/>
              <w:jc w:val="left"/>
            </w:pPr>
            <w:r>
              <w:t xml:space="preserve">2021</w:t>
            </w:r>
          </w:p>
        </w:tc>
        <w:tc>
          <w:tcPr/>
          <w:p>
            <w:pPr>
              <w:pStyle w:val="Tabla8"/>
              <w:jc w:val="left"/>
            </w:pPr>
            <w:r>
              <w:t xml:space="preserve">Artículo</w:t>
            </w:r>
          </w:p>
        </w:tc>
        <w:tc>
          <w:tcPr/>
          <w:p>
            <w:pPr>
              <w:pStyle w:val="Tabla8"/>
              <w:jc w:val="left"/>
            </w:pPr>
            <w:r>
              <w:t xml:space="preserve">Urban Climate</w:t>
            </w:r>
          </w:p>
        </w:tc>
        <w:tc>
          <w:tcPr/>
          <w:p>
            <w:pPr>
              <w:pStyle w:val="Tabla8"/>
              <w:jc w:val="left"/>
            </w:pPr>
            <w:r>
              <w:t xml:space="preserve">10.1016/j.uclim.2021.100960</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G-07</w:t>
            </w:r>
          </w:p>
        </w:tc>
        <w:tc>
          <w:tcPr/>
          <w:p>
            <w:pPr>
              <w:pStyle w:val="Tabla8"/>
              <w:jc w:val="left"/>
            </w:pPr>
            <w:r>
              <w:t xml:space="preserve">Gumaste et al.</w:t>
            </w:r>
          </w:p>
        </w:tc>
        <w:tc>
          <w:tcPr/>
          <w:p>
            <w:pPr>
              <w:pStyle w:val="Tabla8"/>
              <w:jc w:val="left"/>
            </w:pPr>
            <w:r>
              <w:t xml:space="preserve">2021</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2021/061603 A1</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G-08</w:t>
            </w:r>
          </w:p>
        </w:tc>
        <w:tc>
          <w:tcPr/>
          <w:p>
            <w:pPr>
              <w:pStyle w:val="Tabla8"/>
              <w:jc w:val="left"/>
            </w:pPr>
            <w:r>
              <w:t xml:space="preserve">Rodríguez-Villamizar et al.</w:t>
            </w:r>
          </w:p>
        </w:tc>
        <w:tc>
          <w:tcPr/>
          <w:p>
            <w:pPr>
              <w:pStyle w:val="Tabla8"/>
              <w:jc w:val="left"/>
            </w:pPr>
            <w:r>
              <w:t xml:space="preserve">2022</w:t>
            </w:r>
          </w:p>
        </w:tc>
        <w:tc>
          <w:tcPr/>
          <w:p>
            <w:pPr>
              <w:pStyle w:val="Tabla8"/>
              <w:jc w:val="left"/>
            </w:pPr>
            <w:r>
              <w:t xml:space="preserve">Artículo</w:t>
            </w:r>
          </w:p>
        </w:tc>
        <w:tc>
          <w:tcPr/>
          <w:p>
            <w:pPr>
              <w:pStyle w:val="Tabla8"/>
              <w:jc w:val="left"/>
            </w:pPr>
            <w:r>
              <w:t xml:space="preserve">Environmental Health</w:t>
            </w:r>
          </w:p>
        </w:tc>
        <w:tc>
          <w:tcPr/>
          <w:p>
            <w:pPr>
              <w:pStyle w:val="Tabla8"/>
              <w:jc w:val="left"/>
            </w:pPr>
            <w:r>
              <w:t xml:space="preserve">10.1186/s12940-022-00947-8</w:t>
            </w:r>
          </w:p>
        </w:tc>
        <w:tc>
          <w:tcPr/>
          <w:p>
            <w:pPr>
              <w:pStyle w:val="Tabla8"/>
              <w:jc w:val="left"/>
            </w:pPr>
            <w:r>
              <w:t xml:space="preserve">5</w:t>
            </w:r>
          </w:p>
        </w:tc>
        <w:tc>
          <w:tcPr/>
          <w:p>
            <w:pPr>
              <w:pStyle w:val="Tabla8"/>
              <w:jc w:val="left"/>
            </w:pPr>
            <w:r>
              <w:t xml:space="preserve">Sí</w:t>
            </w:r>
          </w:p>
        </w:tc>
      </w:tr>
      <w:tr>
        <w:trPr>
          <w:cantSplit/>
        </w:trPr>
        <w:tc>
          <w:tcPr/>
          <w:p>
            <w:pPr>
              <w:pStyle w:val="Tabla8"/>
              <w:jc w:val="left"/>
            </w:pPr>
            <w:r>
              <w:t xml:space="preserve">G-09</w:t>
            </w:r>
          </w:p>
        </w:tc>
        <w:tc>
          <w:tcPr/>
          <w:p>
            <w:pPr>
              <w:pStyle w:val="Tabla8"/>
              <w:jc w:val="left"/>
            </w:pPr>
            <w:r>
              <w:t xml:space="preserve">Ali et al.</w:t>
            </w:r>
          </w:p>
        </w:tc>
        <w:tc>
          <w:tcPr/>
          <w:p>
            <w:pPr>
              <w:pStyle w:val="Tabla8"/>
              <w:jc w:val="left"/>
            </w:pPr>
            <w:r>
              <w:t xml:space="preserve">2022</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2022/217342 A1</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G-10</w:t>
            </w:r>
          </w:p>
        </w:tc>
        <w:tc>
          <w:tcPr/>
          <w:p>
            <w:pPr>
              <w:pStyle w:val="Tabla8"/>
              <w:jc w:val="left"/>
            </w:pPr>
            <w:r>
              <w:t xml:space="preserve">Chang et al.</w:t>
            </w:r>
          </w:p>
        </w:tc>
        <w:tc>
          <w:tcPr/>
          <w:p>
            <w:pPr>
              <w:pStyle w:val="Tabla8"/>
              <w:jc w:val="left"/>
            </w:pPr>
            <w:r>
              <w:t xml:space="preserve">2023</w:t>
            </w:r>
          </w:p>
        </w:tc>
        <w:tc>
          <w:tcPr/>
          <w:p>
            <w:pPr>
              <w:pStyle w:val="Tabla8"/>
              <w:jc w:val="left"/>
            </w:pPr>
            <w:r>
              <w:t xml:space="preserve">Artículo</w:t>
            </w:r>
          </w:p>
        </w:tc>
        <w:tc>
          <w:tcPr/>
          <w:p>
            <w:pPr>
              <w:pStyle w:val="Tabla8"/>
              <w:jc w:val="left"/>
            </w:pPr>
            <w:r>
              <w:t xml:space="preserve">Sustainability</w:t>
            </w:r>
          </w:p>
        </w:tc>
        <w:tc>
          <w:tcPr/>
          <w:p>
            <w:pPr>
              <w:pStyle w:val="Tabla8"/>
              <w:jc w:val="left"/>
            </w:pPr>
            <w:r>
              <w:t xml:space="preserve">10.3390/su152216064</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G-11</w:t>
            </w:r>
          </w:p>
        </w:tc>
        <w:tc>
          <w:tcPr/>
          <w:p>
            <w:pPr>
              <w:pStyle w:val="Tabla8"/>
              <w:jc w:val="left"/>
            </w:pPr>
            <w:r>
              <w:t xml:space="preserve">Izod y Burch</w:t>
            </w:r>
          </w:p>
        </w:tc>
        <w:tc>
          <w:tcPr/>
          <w:p>
            <w:pPr>
              <w:pStyle w:val="Tabla8"/>
              <w:jc w:val="left"/>
            </w:pPr>
            <w:r>
              <w:t xml:space="preserve">2023</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2023/139267 A1</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G-12</w:t>
            </w:r>
          </w:p>
        </w:tc>
        <w:tc>
          <w:tcPr/>
          <w:p>
            <w:pPr>
              <w:pStyle w:val="Tabla8"/>
              <w:jc w:val="left"/>
            </w:pPr>
            <w:r>
              <w:t xml:space="preserve">Essamlali et al.</w:t>
            </w:r>
          </w:p>
        </w:tc>
        <w:tc>
          <w:tcPr/>
          <w:p>
            <w:pPr>
              <w:pStyle w:val="Tabla8"/>
              <w:jc w:val="left"/>
            </w:pPr>
            <w:r>
              <w:t xml:space="preserve">2024</w:t>
            </w:r>
          </w:p>
        </w:tc>
        <w:tc>
          <w:tcPr/>
          <w:p>
            <w:pPr>
              <w:pStyle w:val="Tabla8"/>
              <w:jc w:val="left"/>
            </w:pPr>
            <w:r>
              <w:t xml:space="preserve">Artículo</w:t>
            </w:r>
          </w:p>
        </w:tc>
        <w:tc>
          <w:tcPr/>
          <w:p>
            <w:pPr>
              <w:pStyle w:val="Tabla8"/>
              <w:jc w:val="left"/>
            </w:pPr>
            <w:r>
              <w:t xml:space="preserve">Sustainability</w:t>
            </w:r>
          </w:p>
        </w:tc>
        <w:tc>
          <w:tcPr/>
          <w:p>
            <w:pPr>
              <w:pStyle w:val="Tabla8"/>
              <w:jc w:val="left"/>
            </w:pPr>
            <w:r>
              <w:t xml:space="preserve">10.3390/su16030976</w:t>
            </w:r>
          </w:p>
        </w:tc>
        <w:tc>
          <w:tcPr/>
          <w:p>
            <w:pPr>
              <w:pStyle w:val="Tabla8"/>
              <w:jc w:val="left"/>
            </w:pPr>
            <w:r>
              <w:t xml:space="preserve">5</w:t>
            </w:r>
          </w:p>
        </w:tc>
        <w:tc>
          <w:tcPr/>
          <w:p>
            <w:pPr>
              <w:pStyle w:val="Tabla8"/>
              <w:jc w:val="left"/>
            </w:pPr>
            <w:r>
              <w:t xml:space="preserve">Sí</w:t>
            </w:r>
          </w:p>
        </w:tc>
      </w:tr>
      <w:tr>
        <w:trPr>
          <w:cantSplit/>
        </w:trPr>
        <w:tc>
          <w:tcPr/>
          <w:p>
            <w:pPr>
              <w:pStyle w:val="Tabla8"/>
              <w:jc w:val="left"/>
            </w:pPr>
            <w:r>
              <w:t xml:space="preserve">G-13</w:t>
            </w:r>
          </w:p>
        </w:tc>
        <w:tc>
          <w:tcPr/>
          <w:p>
            <w:pPr>
              <w:pStyle w:val="Tabla8"/>
              <w:jc w:val="left"/>
            </w:pPr>
            <w:r>
              <w:t xml:space="preserve">Rendón-Marín et al.</w:t>
            </w:r>
          </w:p>
        </w:tc>
        <w:tc>
          <w:tcPr/>
          <w:p>
            <w:pPr>
              <w:pStyle w:val="Tabla8"/>
              <w:jc w:val="left"/>
            </w:pPr>
            <w:r>
              <w:t xml:space="preserve">2024</w:t>
            </w:r>
          </w:p>
        </w:tc>
        <w:tc>
          <w:tcPr/>
          <w:p>
            <w:pPr>
              <w:pStyle w:val="Tabla8"/>
              <w:jc w:val="left"/>
            </w:pPr>
            <w:r>
              <w:t xml:space="preserve">Artículo</w:t>
            </w:r>
          </w:p>
        </w:tc>
        <w:tc>
          <w:tcPr/>
          <w:p>
            <w:pPr>
              <w:pStyle w:val="Tabla8"/>
              <w:jc w:val="left"/>
            </w:pPr>
            <w:r>
              <w:t xml:space="preserve">International Journal of Environmental Research and Public Health</w:t>
            </w:r>
          </w:p>
        </w:tc>
        <w:tc>
          <w:tcPr/>
          <w:p>
            <w:pPr>
              <w:pStyle w:val="Tabla8"/>
              <w:jc w:val="left"/>
            </w:pPr>
            <w:r>
              <w:t xml:space="preserve">10.3390/ijerph21060789</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G-14</w:t>
            </w:r>
          </w:p>
        </w:tc>
        <w:tc>
          <w:tcPr/>
          <w:p>
            <w:pPr>
              <w:pStyle w:val="Tabla8"/>
              <w:jc w:val="left"/>
            </w:pPr>
            <w:r>
              <w:t xml:space="preserve">Hurst et al.</w:t>
            </w:r>
          </w:p>
        </w:tc>
        <w:tc>
          <w:tcPr/>
          <w:p>
            <w:pPr>
              <w:pStyle w:val="Tabla8"/>
              <w:jc w:val="left"/>
            </w:pPr>
            <w:r>
              <w:t xml:space="preserve">2024</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3 483 686 B1</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G-15</w:t>
            </w:r>
          </w:p>
        </w:tc>
        <w:tc>
          <w:tcPr/>
          <w:p>
            <w:pPr>
              <w:pStyle w:val="Tabla8"/>
              <w:jc w:val="left"/>
            </w:pPr>
            <w:r>
              <w:t xml:space="preserve">Wilson et al.</w:t>
            </w:r>
          </w:p>
        </w:tc>
        <w:tc>
          <w:tcPr/>
          <w:p>
            <w:pPr>
              <w:pStyle w:val="Tabla8"/>
              <w:jc w:val="left"/>
            </w:pPr>
            <w:r>
              <w:t xml:space="preserve">2024</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2024/064927 A1</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G-16</w:t>
            </w:r>
          </w:p>
        </w:tc>
        <w:tc>
          <w:tcPr/>
          <w:p>
            <w:pPr>
              <w:pStyle w:val="Tabla8"/>
              <w:jc w:val="left"/>
            </w:pPr>
            <w:r>
              <w:t xml:space="preserve">Røine</w:t>
            </w:r>
          </w:p>
        </w:tc>
        <w:tc>
          <w:tcPr/>
          <w:p>
            <w:pPr>
              <w:pStyle w:val="Tabla8"/>
              <w:jc w:val="left"/>
            </w:pPr>
            <w:r>
              <w:t xml:space="preserve">2024</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2024/080881 A1</w:t>
            </w:r>
          </w:p>
        </w:tc>
        <w:tc>
          <w:tcPr/>
          <w:p>
            <w:pPr>
              <w:pStyle w:val="Tabla8"/>
              <w:jc w:val="left"/>
            </w:pPr>
            <w:r>
              <w:t xml:space="preserve">2</w:t>
            </w:r>
          </w:p>
        </w:tc>
        <w:tc>
          <w:tcPr/>
          <w:p>
            <w:pPr>
              <w:pStyle w:val="Tabla8"/>
              <w:jc w:val="left"/>
            </w:pPr>
            <w:r>
              <w:t xml:space="preserve">Sí</w:t>
            </w:r>
          </w:p>
        </w:tc>
      </w:tr>
      <w:tr>
        <w:trPr>
          <w:cantSplit/>
        </w:trPr>
        <w:tc>
          <w:tcPr/>
          <w:p>
            <w:pPr>
              <w:pStyle w:val="Tabla8"/>
              <w:jc w:val="left"/>
            </w:pPr>
            <w:r>
              <w:t xml:space="preserve">G-17</w:t>
            </w:r>
          </w:p>
        </w:tc>
        <w:tc>
          <w:tcPr/>
          <w:p>
            <w:pPr>
              <w:pStyle w:val="Tabla8"/>
              <w:jc w:val="left"/>
            </w:pPr>
            <w:r>
              <w:t xml:space="preserve">Huang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Atmosphere</w:t>
            </w:r>
          </w:p>
        </w:tc>
        <w:tc>
          <w:tcPr/>
          <w:p>
            <w:pPr>
              <w:pStyle w:val="Tabla8"/>
              <w:jc w:val="left"/>
            </w:pPr>
            <w:r>
              <w:t xml:space="preserve">10.3390/atmos16091095</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G-18</w:t>
            </w:r>
          </w:p>
        </w:tc>
        <w:tc>
          <w:tcPr/>
          <w:p>
            <w:pPr>
              <w:pStyle w:val="Tabla8"/>
              <w:jc w:val="left"/>
            </w:pPr>
            <w:r>
              <w:t xml:space="preserve">Vélez-Pereira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Atmosphere</w:t>
            </w:r>
          </w:p>
        </w:tc>
        <w:tc>
          <w:tcPr/>
          <w:p>
            <w:pPr>
              <w:pStyle w:val="Tabla8"/>
              <w:jc w:val="left"/>
            </w:pPr>
            <w:r>
              <w:t xml:space="preserve">10.3390/atmos16121377</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G-19</w:t>
            </w:r>
          </w:p>
        </w:tc>
        <w:tc>
          <w:tcPr/>
          <w:p>
            <w:pPr>
              <w:pStyle w:val="Tabla8"/>
              <w:jc w:val="left"/>
            </w:pPr>
            <w:r>
              <w:t xml:space="preserve">de Moura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Environmental Geochemistry and Health</w:t>
            </w:r>
          </w:p>
        </w:tc>
        <w:tc>
          <w:tcPr/>
          <w:p>
            <w:pPr>
              <w:pStyle w:val="Tabla8"/>
              <w:jc w:val="left"/>
            </w:pPr>
            <w:r>
              <w:t xml:space="preserve">10.1007/s10653-025-02524-7</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G-20</w:t>
            </w:r>
          </w:p>
        </w:tc>
        <w:tc>
          <w:tcPr/>
          <w:p>
            <w:pPr>
              <w:pStyle w:val="Tabla8"/>
              <w:jc w:val="left"/>
            </w:pPr>
            <w:r>
              <w:t xml:space="preserve">Suresh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Sustainability</w:t>
            </w:r>
          </w:p>
        </w:tc>
        <w:tc>
          <w:tcPr/>
          <w:p>
            <w:pPr>
              <w:pStyle w:val="Tabla8"/>
              <w:jc w:val="left"/>
            </w:pPr>
            <w:r>
              <w:t xml:space="preserve">10.3390/su17031301</w:t>
            </w:r>
          </w:p>
        </w:tc>
        <w:tc>
          <w:tcPr/>
          <w:p>
            <w:pPr>
              <w:pStyle w:val="Tabla8"/>
              <w:jc w:val="left"/>
            </w:pPr>
            <w:r>
              <w:t xml:space="preserve">6</w:t>
            </w:r>
          </w:p>
        </w:tc>
        <w:tc>
          <w:tcPr/>
          <w:p>
            <w:pPr>
              <w:pStyle w:val="Tabla8"/>
              <w:jc w:val="left"/>
            </w:pPr>
            <w:r>
              <w:t xml:space="preserve">Sí</w:t>
            </w:r>
          </w:p>
        </w:tc>
      </w:tr>
      <w:tr>
        <w:trPr>
          <w:cantSplit/>
        </w:trPr>
        <w:tc>
          <w:tcPr/>
          <w:p>
            <w:pPr>
              <w:pStyle w:val="Tabla8"/>
              <w:jc w:val="left"/>
            </w:pPr>
            <w:r>
              <w:t xml:space="preserve">G-21</w:t>
            </w:r>
          </w:p>
        </w:tc>
        <w:tc>
          <w:tcPr/>
          <w:p>
            <w:pPr>
              <w:pStyle w:val="Tabla8"/>
              <w:jc w:val="left"/>
            </w:pPr>
            <w:r>
              <w:t xml:space="preserve">Botezat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Science of the Total Environment</w:t>
            </w:r>
          </w:p>
        </w:tc>
        <w:tc>
          <w:tcPr/>
          <w:p>
            <w:pPr>
              <w:pStyle w:val="Tabla8"/>
              <w:jc w:val="left"/>
            </w:pPr>
            <w:r>
              <w:t xml:space="preserve">10.1016/j.scitotenv.2025.179560</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G-22</w:t>
            </w:r>
          </w:p>
        </w:tc>
        <w:tc>
          <w:tcPr/>
          <w:p>
            <w:pPr>
              <w:pStyle w:val="Tabla8"/>
              <w:jc w:val="left"/>
            </w:pPr>
            <w:r>
              <w:t xml:space="preserve">Miraglia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Air Quality, Atmosphere y Health</w:t>
            </w:r>
          </w:p>
        </w:tc>
        <w:tc>
          <w:tcPr/>
          <w:p>
            <w:pPr>
              <w:pStyle w:val="Tabla8"/>
              <w:jc w:val="left"/>
            </w:pPr>
            <w:r>
              <w:t xml:space="preserve">10.1007/s11869-025-01701-y</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G-23</w:t>
            </w:r>
          </w:p>
        </w:tc>
        <w:tc>
          <w:tcPr/>
          <w:p>
            <w:pPr>
              <w:pStyle w:val="Tabla8"/>
              <w:jc w:val="left"/>
            </w:pPr>
            <w:r>
              <w:t xml:space="preserve">Hale et al.</w:t>
            </w:r>
          </w:p>
        </w:tc>
        <w:tc>
          <w:tcPr/>
          <w:p>
            <w:pPr>
              <w:pStyle w:val="Tabla8"/>
              <w:jc w:val="left"/>
            </w:pPr>
            <w:r>
              <w:t xml:space="preserve">2025</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4 617 736 A1</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G-24</w:t>
            </w:r>
          </w:p>
        </w:tc>
        <w:tc>
          <w:tcPr/>
          <w:p>
            <w:pPr>
              <w:pStyle w:val="Tabla8"/>
              <w:jc w:val="left"/>
            </w:pPr>
            <w:r>
              <w:t xml:space="preserve">Eckenrode y Stevenson</w:t>
            </w:r>
          </w:p>
        </w:tc>
        <w:tc>
          <w:tcPr/>
          <w:p>
            <w:pPr>
              <w:pStyle w:val="Tabla8"/>
              <w:jc w:val="left"/>
            </w:pPr>
            <w:r>
              <w:t xml:space="preserve">2025</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2025/049390 A2</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G-25</w:t>
            </w:r>
          </w:p>
        </w:tc>
        <w:tc>
          <w:tcPr/>
          <w:p>
            <w:pPr>
              <w:pStyle w:val="Tabla8"/>
              <w:jc w:val="left"/>
            </w:pPr>
            <w:r>
              <w:t xml:space="preserve">Machida y Ammendola</w:t>
            </w:r>
          </w:p>
        </w:tc>
        <w:tc>
          <w:tcPr/>
          <w:p>
            <w:pPr>
              <w:pStyle w:val="Tabla8"/>
              <w:jc w:val="left"/>
            </w:pPr>
            <w:r>
              <w:t xml:space="preserve">2025</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2025/257740 A1</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G-26</w:t>
            </w:r>
          </w:p>
        </w:tc>
        <w:tc>
          <w:tcPr/>
          <w:p>
            <w:pPr>
              <w:pStyle w:val="Tabla8"/>
              <w:jc w:val="left"/>
            </w:pPr>
            <w:r>
              <w:t xml:space="preserve">Nelson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Science of the Total Environment</w:t>
            </w:r>
          </w:p>
        </w:tc>
        <w:tc>
          <w:tcPr/>
          <w:p>
            <w:pPr>
              <w:pStyle w:val="Tabla8"/>
              <w:jc w:val="left"/>
            </w:pPr>
            <w:r>
              <w:t xml:space="preserve">10.1016/j.scitotenv.2026.181593</w:t>
            </w:r>
          </w:p>
        </w:tc>
        <w:tc>
          <w:tcPr/>
          <w:p>
            <w:pPr>
              <w:pStyle w:val="Tabla8"/>
              <w:jc w:val="left"/>
            </w:pPr>
            <w:r>
              <w:t xml:space="preserve">5</w:t>
            </w:r>
          </w:p>
        </w:tc>
        <w:tc>
          <w:tcPr/>
          <w:p>
            <w:pPr>
              <w:pStyle w:val="Tabla8"/>
              <w:jc w:val="left"/>
            </w:pPr>
            <w:r>
              <w:t xml:space="preserve">Sí</w:t>
            </w:r>
          </w:p>
        </w:tc>
      </w:tr>
      <w:tr>
        <w:trPr>
          <w:cantSplit/>
        </w:trPr>
        <w:tc>
          <w:tcPr/>
          <w:p>
            <w:pPr>
              <w:pStyle w:val="Tabla8"/>
              <w:jc w:val="left"/>
            </w:pPr>
            <w:r>
              <w:t xml:space="preserve">G-27</w:t>
            </w:r>
          </w:p>
        </w:tc>
        <w:tc>
          <w:tcPr/>
          <w:p>
            <w:pPr>
              <w:pStyle w:val="Tabla8"/>
              <w:jc w:val="left"/>
            </w:pPr>
            <w:r>
              <w:t xml:space="preserve">Wei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Urban Climate</w:t>
            </w:r>
          </w:p>
        </w:tc>
        <w:tc>
          <w:tcPr/>
          <w:p>
            <w:pPr>
              <w:pStyle w:val="Tabla8"/>
              <w:jc w:val="left"/>
            </w:pPr>
            <w:r>
              <w:t xml:space="preserve">10.1016/j.uclim.2026.102937</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G-28</w:t>
            </w:r>
          </w:p>
        </w:tc>
        <w:tc>
          <w:tcPr/>
          <w:p>
            <w:pPr>
              <w:pStyle w:val="Tabla8"/>
              <w:jc w:val="left"/>
            </w:pPr>
            <w:r>
              <w:t xml:space="preserve">Murad Pedraza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Luna Azul</w:t>
            </w:r>
          </w:p>
        </w:tc>
        <w:tc>
          <w:tcPr/>
          <w:p>
            <w:pPr>
              <w:pStyle w:val="Tabla8"/>
              <w:jc w:val="left"/>
            </w:pPr>
            <w:r>
              <w:t xml:space="preserve">10.17151/luaz.2025.62.13</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G-29</w:t>
            </w:r>
          </w:p>
        </w:tc>
        <w:tc>
          <w:tcPr/>
          <w:p>
            <w:pPr>
              <w:pStyle w:val="Tabla8"/>
              <w:jc w:val="left"/>
            </w:pPr>
            <w:r>
              <w:t xml:space="preserve">Ruiz-Carrascal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Climate Services</w:t>
            </w:r>
          </w:p>
        </w:tc>
        <w:tc>
          <w:tcPr/>
          <w:p>
            <w:pPr>
              <w:pStyle w:val="Tabla8"/>
              <w:jc w:val="left"/>
            </w:pPr>
            <w:r>
              <w:t xml:space="preserve">10.1016/j.cliser.2026.100653</w:t>
            </w:r>
          </w:p>
        </w:tc>
        <w:tc>
          <w:tcPr/>
          <w:p>
            <w:pPr>
              <w:pStyle w:val="Tabla8"/>
              <w:jc w:val="left"/>
            </w:pPr>
            <w:r>
              <w:t xml:space="preserve">9</w:t>
            </w:r>
          </w:p>
        </w:tc>
        <w:tc>
          <w:tcPr/>
          <w:p>
            <w:pPr>
              <w:pStyle w:val="Tabla8"/>
              <w:jc w:val="left"/>
            </w:pPr>
            <w:r>
              <w:t xml:space="preserve">Sí</w:t>
            </w:r>
          </w:p>
        </w:tc>
      </w:tr>
      <w:tr>
        <w:trPr>
          <w:cantSplit/>
        </w:trPr>
        <w:tc>
          <w:tcPr/>
          <w:p>
            <w:pPr>
              <w:pStyle w:val="Tabla8"/>
              <w:jc w:val="left"/>
            </w:pPr>
            <w:r>
              <w:t xml:space="preserve">G-30</w:t>
            </w:r>
          </w:p>
        </w:tc>
        <w:tc>
          <w:tcPr/>
          <w:p>
            <w:pPr>
              <w:pStyle w:val="Tabla8"/>
              <w:jc w:val="left"/>
            </w:pPr>
            <w:r>
              <w:t xml:space="preserve">Ayala-Parra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Atmospheric Research</w:t>
            </w:r>
          </w:p>
        </w:tc>
        <w:tc>
          <w:tcPr/>
          <w:p>
            <w:pPr>
              <w:pStyle w:val="Tabla8"/>
              <w:jc w:val="left"/>
            </w:pPr>
            <w:r>
              <w:t xml:space="preserve">10.1016/j.atmosres.2025.108512</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G-31</w:t>
            </w:r>
          </w:p>
        </w:tc>
        <w:tc>
          <w:tcPr/>
          <w:p>
            <w:pPr>
              <w:pStyle w:val="Tabla8"/>
              <w:jc w:val="left"/>
            </w:pPr>
            <w:r>
              <w:t xml:space="preserve">Bang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Sensors</w:t>
            </w:r>
          </w:p>
        </w:tc>
        <w:tc>
          <w:tcPr/>
          <w:p>
            <w:pPr>
              <w:pStyle w:val="Tabla8"/>
              <w:jc w:val="left"/>
            </w:pPr>
            <w:r>
              <w:t xml:space="preserve">10.3390/s26134307</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G-32</w:t>
            </w:r>
          </w:p>
        </w:tc>
        <w:tc>
          <w:tcPr/>
          <w:p>
            <w:pPr>
              <w:pStyle w:val="Tabla8"/>
              <w:jc w:val="left"/>
            </w:pPr>
            <w:r>
              <w:t xml:space="preserve">Alvarez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Geocarto International</w:t>
            </w:r>
          </w:p>
        </w:tc>
        <w:tc>
          <w:tcPr/>
          <w:p>
            <w:pPr>
              <w:pStyle w:val="Tabla8"/>
              <w:jc w:val="left"/>
            </w:pPr>
            <w:r>
              <w:t xml:space="preserve">10.1080/10106049.2026.2684384</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G-33</w:t>
            </w:r>
          </w:p>
        </w:tc>
        <w:tc>
          <w:tcPr/>
          <w:p>
            <w:pPr>
              <w:pStyle w:val="Tabla8"/>
              <w:jc w:val="left"/>
            </w:pPr>
            <w:r>
              <w:t xml:space="preserve">Espinoza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Journal of South American Earth Sciences</w:t>
            </w:r>
          </w:p>
        </w:tc>
        <w:tc>
          <w:tcPr/>
          <w:p>
            <w:pPr>
              <w:pStyle w:val="Tabla8"/>
              <w:jc w:val="left"/>
            </w:pPr>
            <w:r>
              <w:t xml:space="preserve">10.1016/j.jsames.2026.106211</w:t>
            </w:r>
          </w:p>
        </w:tc>
        <w:tc>
          <w:tcPr/>
          <w:p>
            <w:pPr>
              <w:pStyle w:val="Tabla8"/>
              <w:jc w:val="left"/>
            </w:pPr>
            <w:r>
              <w:t xml:space="preserve">7</w:t>
            </w:r>
          </w:p>
        </w:tc>
        <w:tc>
          <w:tcPr/>
          <w:p>
            <w:pPr>
              <w:pStyle w:val="Tabla8"/>
              <w:jc w:val="left"/>
            </w:pPr>
            <w:r>
              <w:t xml:space="preserve">Sí</w:t>
            </w:r>
          </w:p>
        </w:tc>
      </w:tr>
      <w:tr>
        <w:trPr>
          <w:cantSplit/>
        </w:trPr>
        <w:tc>
          <w:tcPr/>
          <w:p>
            <w:pPr>
              <w:pStyle w:val="Tabla8"/>
              <w:jc w:val="left"/>
            </w:pPr>
            <w:r>
              <w:t xml:space="preserve">G-34</w:t>
            </w:r>
          </w:p>
        </w:tc>
        <w:tc>
          <w:tcPr/>
          <w:p>
            <w:pPr>
              <w:pStyle w:val="Tabla8"/>
              <w:jc w:val="left"/>
            </w:pPr>
            <w:r>
              <w:t xml:space="preserve">Haris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Environment Systems and Decisions</w:t>
            </w:r>
          </w:p>
        </w:tc>
        <w:tc>
          <w:tcPr/>
          <w:p>
            <w:pPr>
              <w:pStyle w:val="Tabla8"/>
              <w:jc w:val="left"/>
            </w:pPr>
            <w:r>
              <w:t xml:space="preserve">10.1007/s10669-026-10090-1</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G-35</w:t>
            </w:r>
          </w:p>
        </w:tc>
        <w:tc>
          <w:tcPr/>
          <w:p>
            <w:pPr>
              <w:pStyle w:val="Tabla8"/>
              <w:jc w:val="left"/>
            </w:pPr>
            <w:r>
              <w:t xml:space="preserve">Tavella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Atmosphere</w:t>
            </w:r>
          </w:p>
        </w:tc>
        <w:tc>
          <w:tcPr/>
          <w:p>
            <w:pPr>
              <w:pStyle w:val="Tabla8"/>
              <w:jc w:val="left"/>
            </w:pPr>
            <w:r>
              <w:t xml:space="preserve">10.3390/atmos17080797</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G-36</w:t>
            </w:r>
          </w:p>
        </w:tc>
        <w:tc>
          <w:tcPr/>
          <w:p>
            <w:pPr>
              <w:pStyle w:val="Tabla8"/>
              <w:jc w:val="left"/>
            </w:pPr>
            <w:r>
              <w:t xml:space="preserve">Kumar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CLEAN -- Soil, Air, Water</w:t>
            </w:r>
          </w:p>
        </w:tc>
        <w:tc>
          <w:tcPr/>
          <w:p>
            <w:pPr>
              <w:pStyle w:val="Tabla8"/>
              <w:jc w:val="left"/>
            </w:pPr>
            <w:r>
              <w:t xml:space="preserve">10.1002/clen.70262</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G-37</w:t>
            </w:r>
          </w:p>
        </w:tc>
        <w:tc>
          <w:tcPr/>
          <w:p>
            <w:pPr>
              <w:pStyle w:val="Tabla8"/>
              <w:jc w:val="left"/>
            </w:pPr>
            <w:r>
              <w:t xml:space="preserve">Liao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Hygiene and Environmental Health Advances</w:t>
            </w:r>
          </w:p>
        </w:tc>
        <w:tc>
          <w:tcPr/>
          <w:p>
            <w:pPr>
              <w:pStyle w:val="Tabla8"/>
              <w:jc w:val="left"/>
            </w:pPr>
            <w:r>
              <w:t xml:space="preserve">10.1016/j.heha.2026.100184</w:t>
            </w:r>
          </w:p>
        </w:tc>
        <w:tc>
          <w:tcPr/>
          <w:p>
            <w:pPr>
              <w:pStyle w:val="Tabla8"/>
              <w:jc w:val="left"/>
            </w:pPr>
            <w:r>
              <w:t xml:space="preserve">5</w:t>
            </w:r>
          </w:p>
        </w:tc>
        <w:tc>
          <w:tcPr/>
          <w:p>
            <w:pPr>
              <w:pStyle w:val="Tabla8"/>
              <w:jc w:val="left"/>
            </w:pPr>
            <w:r>
              <w:t xml:space="preserve">Sí</w:t>
            </w:r>
          </w:p>
        </w:tc>
      </w:tr>
      <w:tr>
        <w:trPr>
          <w:cantSplit/>
        </w:trPr>
        <w:tc>
          <w:tcPr/>
          <w:p>
            <w:pPr>
              <w:pStyle w:val="Tabla8"/>
              <w:jc w:val="left"/>
            </w:pPr>
            <w:r>
              <w:t xml:space="preserve">G-38</w:t>
            </w:r>
          </w:p>
        </w:tc>
        <w:tc>
          <w:tcPr/>
          <w:p>
            <w:pPr>
              <w:pStyle w:val="Tabla8"/>
              <w:jc w:val="left"/>
            </w:pPr>
            <w:r>
              <w:t xml:space="preserve">Gallego-Cartagena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Science of the Total Environment</w:t>
            </w:r>
          </w:p>
        </w:tc>
        <w:tc>
          <w:tcPr/>
          <w:p>
            <w:pPr>
              <w:pStyle w:val="Tabla8"/>
              <w:jc w:val="left"/>
            </w:pPr>
            <w:r>
              <w:t xml:space="preserve">10.1016/j.scitotenv.2025.181313</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G-39</w:t>
            </w:r>
          </w:p>
        </w:tc>
        <w:tc>
          <w:tcPr/>
          <w:p>
            <w:pPr>
              <w:pStyle w:val="Tabla8"/>
              <w:jc w:val="left"/>
            </w:pPr>
            <w:r>
              <w:t xml:space="preserve">Huang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Sustainable Cities and Society</w:t>
            </w:r>
          </w:p>
        </w:tc>
        <w:tc>
          <w:tcPr/>
          <w:p>
            <w:pPr>
              <w:pStyle w:val="Tabla8"/>
              <w:jc w:val="left"/>
            </w:pPr>
            <w:r>
              <w:t xml:space="preserve">10.1016/j.scs.2026.107281</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G-40</w:t>
            </w:r>
          </w:p>
        </w:tc>
        <w:tc>
          <w:tcPr/>
          <w:p>
            <w:pPr>
              <w:pStyle w:val="Tabla8"/>
              <w:jc w:val="left"/>
            </w:pPr>
            <w:r>
              <w:t xml:space="preserve">Acosta y Horstmann</w:t>
            </w:r>
          </w:p>
        </w:tc>
        <w:tc>
          <w:tcPr/>
          <w:p>
            <w:pPr>
              <w:pStyle w:val="Tabla8"/>
              <w:jc w:val="left"/>
            </w:pPr>
            <w:r>
              <w:t xml:space="preserve">2026</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2026/093802 A1</w:t>
            </w:r>
          </w:p>
        </w:tc>
        <w:tc>
          <w:tcPr/>
          <w:p>
            <w:pPr>
              <w:pStyle w:val="Tabla8"/>
              <w:jc w:val="left"/>
            </w:pPr>
            <w:r>
              <w:t xml:space="preserve">3</w:t>
            </w:r>
          </w:p>
        </w:tc>
        <w:tc>
          <w:tcPr/>
          <w:p>
            <w:pPr>
              <w:pStyle w:val="Tabla8"/>
              <w:jc w:val="left"/>
            </w:pPr>
            <w:r>
              <w:t xml:space="preserve">Sí</w:t>
            </w:r>
          </w:p>
        </w:tc>
      </w:tr>
      <w:tr>
        <w:trPr>
          <w:cantSplit/>
        </w:trPr>
        <w:tc>
          <w:tcPr/>
          <w:p>
            <w:pPr>
              <w:pStyle w:val="Tabla8"/>
              <w:jc w:val="left"/>
            </w:pPr>
            <w:r>
              <w:t xml:space="preserve">G-41</w:t>
            </w:r>
          </w:p>
        </w:tc>
        <w:tc>
          <w:tcPr/>
          <w:p>
            <w:pPr>
              <w:pStyle w:val="Tabla8"/>
              <w:jc w:val="left"/>
            </w:pPr>
            <w:r>
              <w:t xml:space="preserve">Spasojevic Brkic et al.</w:t>
            </w:r>
          </w:p>
        </w:tc>
        <w:tc>
          <w:tcPr/>
          <w:p>
            <w:pPr>
              <w:pStyle w:val="Tabla8"/>
              <w:jc w:val="left"/>
            </w:pPr>
            <w:r>
              <w:t xml:space="preserve">2026</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2026/180852 A1</w:t>
            </w:r>
          </w:p>
        </w:tc>
        <w:tc>
          <w:tcPr/>
          <w:p>
            <w:pPr>
              <w:pStyle w:val="Tabla8"/>
              <w:jc w:val="left"/>
            </w:pPr>
            <w:r>
              <w:t xml:space="preserve">4</w:t>
            </w:r>
          </w:p>
        </w:tc>
        <w:tc>
          <w:tcPr/>
          <w:p>
            <w:pPr>
              <w:pStyle w:val="Tabla8"/>
              <w:jc w:val="left"/>
            </w:pPr>
            <w:r>
              <w:t xml:space="preserve">Sí</w:t>
            </w:r>
          </w:p>
        </w:tc>
      </w:tr>
      <w:tr>
        <w:trPr>
          <w:cantSplit/>
        </w:trPr>
        <w:tc>
          <w:tcPr/>
          <w:p>
            <w:pPr>
              <w:pStyle w:val="Tabla8"/>
              <w:jc w:val="left"/>
            </w:pPr>
            <w:r>
              <w:t xml:space="preserve">G-42</w:t>
            </w:r>
          </w:p>
        </w:tc>
        <w:tc>
          <w:tcPr/>
          <w:p>
            <w:pPr>
              <w:pStyle w:val="Tabla8"/>
              <w:jc w:val="left"/>
            </w:pPr>
            <w:r>
              <w:t xml:space="preserve">Superintendencia de Industria y Comercio [SIC]</w:t>
            </w:r>
          </w:p>
        </w:tc>
        <w:tc>
          <w:tcPr/>
          <w:p>
            <w:pPr>
              <w:pStyle w:val="Tabla8"/>
              <w:jc w:val="left"/>
            </w:pPr>
            <w:r>
              <w:t xml:space="preserve">2026</w:t>
            </w:r>
          </w:p>
        </w:tc>
        <w:tc>
          <w:tcPr/>
          <w:p>
            <w:pPr>
              <w:pStyle w:val="Tabla8"/>
              <w:jc w:val="left"/>
            </w:pPr>
            <w:r>
              <w:t xml:space="preserve">Informe institucional</w:t>
            </w:r>
          </w:p>
        </w:tc>
        <w:tc>
          <w:tcPr/>
          <w:p>
            <w:pPr>
              <w:pStyle w:val="Tabla8"/>
              <w:jc w:val="left"/>
            </w:pPr>
            <w:r>
              <w:t xml:space="preserve">SIC (CIGEPI)</w:t>
            </w:r>
          </w:p>
        </w:tc>
        <w:tc>
          <w:tcPr/>
          <w:p>
            <w:pPr>
              <w:pStyle w:val="Tabla8"/>
              <w:jc w:val="left"/>
            </w:pPr>
            <w:r>
              <w:t xml:space="preserve">Sin DOI ni número</w:t>
            </w:r>
          </w:p>
        </w:tc>
        <w:tc>
          <w:tcPr/>
          <w:p>
            <w:pPr>
              <w:pStyle w:val="Tabla8"/>
              <w:jc w:val="left"/>
            </w:pPr>
            <w:r>
              <w:t xml:space="preserve">No reportado</w:t>
            </w:r>
          </w:p>
        </w:tc>
        <w:tc>
          <w:tcPr/>
          <w:p>
            <w:pPr>
              <w:pStyle w:val="Tabla8"/>
              <w:jc w:val="left"/>
            </w:pPr>
            <w:r>
              <w:t xml:space="preserve">Sí</w:t>
            </w:r>
          </w:p>
        </w:tc>
      </w:tr>
    </w:tbl>
    <w:p>
      <w:pPr>
        <w:pStyle w:val="TablaNota"/>
      </w:pPr>
      <w:r>
        <w:rPr>
          <w:i/>
          <w:iCs/>
        </w:rPr>
        <w:t xml:space="preserve">Nota.</w:t>
      </w:r>
      <w:r>
        <w:t xml:space="preserve"> </w:t>
      </w:r>
      <w:r>
        <w:t xml:space="preserve">Elaboración propia con datos de F-INF §13.2 (p. 212) y §4.1, Tabla 13 (p. 29). OMPI = Organización Mundial de la Propiedad Intelectual; OEP = Oficina Europea de Patentes; SIC = Superintendencia de Industria y Comercio. TRL en escala de 1 a 9 asignado por el analista del informe. Naturaleza: DOCUMENTADO. Verificación: PARCIALMENTE_VERIFICADO, porque se comprobó la coincidencia textual con el informe y no la resolución en línea de los DOI.</w:t>
      </w:r>
    </w:p>
    <w:p>
      <w:pPr>
        <w:pStyle w:val="BodyText"/>
      </w:pPr>
      <w:r>
        <w:t xml:space="preserve">El inventario contiene 26 artículos con DOI, 15 patentes con número de solicitud o de patente y un informe institucional sin identificador. El TRL se reporta para 41 de los 42 documentos. El informe de la Superintendencia de Industria y Comercio (SIC) no describe una tecnología y carece de TRL (F-INF §4.1, p. 29). Las 15 patentes se reparten entre dos oficinas. La Organización Mundial de la Propiedad Intelectual (OMPI) publica 11 y la Oficina Europea de Patentes (OEP) publica cuatro. Ninguna referencia falta ni sobra frente a la bibliografía del informe. El inventario cumple la regla absoluta del Paso 3.</w:t>
      </w:r>
    </w:p>
    <w:p>
      <w:pPr>
        <w:pStyle w:val="BodyText"/>
      </w:pPr>
      <w:r>
        <w:t xml:space="preserve">Los DOI se concentran en siete prefijos. Los prefijos 10.1016 y 10.3390 cubren 18 de los 26 artículos (69,2 %). Los otros cinco prefijos cubren ocho artículos. Cada patente tiene una oficina y un número propios, sin repeticiones. Esta comprobación protege el inventario contra duplicados que un conteo simple no detectaría.</w:t>
      </w:r>
    </w:p>
    <w:bookmarkEnd w:id="130"/>
    <w:bookmarkStart w:id="131" w:name="_Toc00900065"/>
    <w:p>
      <w:pPr>
        <w:pStyle w:val="Heading3"/>
      </w:pPr>
      <w:r>
        <w:t xml:space="preserve">3.1.2 Composición por grupo documental</w:t>
      </w:r>
    </w:p>
    <w:p>
      <w:pPr>
        <w:pStyle w:val="FirstParagraph"/>
      </w:pPr>
      <w:r>
        <w:t xml:space="preserve">El informe de vigilancia organiza el corpus en cinco grupos documentales que definió por criterio temático (F-INF §3.2, p. 22). La composición por grupo permite comprobar la estructura original. La Tabla F3.2 cruza cada grupo con el tipo documental y con el total del informe.</w:t>
      </w:r>
    </w:p>
    <w:p>
      <w:pPr>
        <w:pStyle w:val="TablaRotulo"/>
      </w:pPr>
      <w:bookmarkStart w:id="9072" w:name="rot_Tabla_F3_2"/>
      <w:r>
        <w:rPr>
          <w:b/>
          <w:bCs/>
        </w:rPr>
        <w:t xml:space="preserve">Tabla F3.2</w:t>
      </w:r>
      <w:bookmarkEnd w:id="9072"/>
    </w:p>
    <w:p>
      <w:pPr>
        <w:pStyle w:val="TablaTitulo"/>
      </w:pPr>
      <w:r>
        <w:rPr>
          <w:i/>
          <w:iCs/>
        </w:rPr>
        <w:t xml:space="preserve">Composición del corpus por grupo documental y tipo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85"/>
        <w:gridCol w:w="1832"/>
        <w:gridCol w:w="1178"/>
        <w:gridCol w:w="1112"/>
        <w:gridCol w:w="1112"/>
        <w:gridCol w:w="785"/>
        <w:gridCol w:w="1112"/>
      </w:tblGrid>
      <w:tr>
        <w:trPr>
          <w:cantSplit/>
          <w:tblHeader/>
        </w:trPr>
        <w:tc>
          <w:tcPr>
            <w:shd w:val="clear" w:color="auto" w:fill="00B050"/>
          </w:tcPr>
          <w:p>
            <w:pPr>
              <w:pStyle w:val="Tabla8"/>
              <w:jc w:val="center"/>
            </w:pPr>
            <w:r>
              <w:rPr>
                <w:b/>
                <w:color w:val="FFFFFF"/>
              </w:rPr>
              <w:t xml:space="preserve">Grupo</w:t>
            </w:r>
          </w:p>
        </w:tc>
        <w:tc>
          <w:tcPr>
            <w:shd w:val="clear" w:color="auto" w:fill="00B050"/>
          </w:tcPr>
          <w:p>
            <w:pPr>
              <w:pStyle w:val="Tabla8"/>
              <w:jc w:val="center"/>
            </w:pPr>
            <w:r>
              <w:rPr>
                <w:b/>
                <w:color w:val="FFFFFF"/>
              </w:rPr>
              <w:t xml:space="preserve">Contenido temático</w:t>
            </w:r>
          </w:p>
        </w:tc>
        <w:tc>
          <w:tcPr>
            <w:shd w:val="clear" w:color="auto" w:fill="00B050"/>
          </w:tcPr>
          <w:p>
            <w:pPr>
              <w:pStyle w:val="Tabla8"/>
              <w:jc w:val="center"/>
            </w:pPr>
            <w:r>
              <w:rPr>
                <w:b/>
                <w:color w:val="FFFFFF"/>
              </w:rPr>
              <w:t xml:space="preserve">Artículos</w:t>
            </w:r>
          </w:p>
        </w:tc>
        <w:tc>
          <w:tcPr>
            <w:shd w:val="clear" w:color="auto" w:fill="00B050"/>
          </w:tcPr>
          <w:p>
            <w:pPr>
              <w:pStyle w:val="Tabla8"/>
              <w:jc w:val="center"/>
            </w:pPr>
            <w:r>
              <w:rPr>
                <w:b/>
                <w:color w:val="FFFFFF"/>
              </w:rPr>
              <w:t xml:space="preserve">Patentes</w:t>
            </w:r>
          </w:p>
        </w:tc>
        <w:tc>
          <w:tcPr>
            <w:shd w:val="clear" w:color="auto" w:fill="00B050"/>
          </w:tcPr>
          <w:p>
            <w:pPr>
              <w:pStyle w:val="Tabla8"/>
              <w:jc w:val="center"/>
            </w:pPr>
            <w:r>
              <w:rPr>
                <w:b/>
                <w:color w:val="FFFFFF"/>
              </w:rPr>
              <w:t xml:space="preserve">Informes</w:t>
            </w:r>
          </w:p>
        </w:tc>
        <w:tc>
          <w:tcPr>
            <w:shd w:val="clear" w:color="auto" w:fill="00B050"/>
          </w:tcPr>
          <w:p>
            <w:pPr>
              <w:pStyle w:val="Tabla8"/>
              <w:jc w:val="center"/>
            </w:pPr>
            <w:r>
              <w:rPr>
                <w:b/>
                <w:color w:val="FFFFFF"/>
              </w:rPr>
              <w:t xml:space="preserve">Total</w:t>
            </w:r>
          </w:p>
        </w:tc>
        <w:tc>
          <w:tcPr>
            <w:shd w:val="clear" w:color="auto" w:fill="00B050"/>
          </w:tcPr>
          <w:p>
            <w:pPr>
              <w:pStyle w:val="Tabla8"/>
              <w:jc w:val="center"/>
            </w:pPr>
            <w:r>
              <w:rPr>
                <w:b/>
                <w:color w:val="FFFFFF"/>
              </w:rPr>
              <w:t xml:space="preserve">Total en F-INF (§13.3, Tabla 67)</w:t>
            </w:r>
          </w:p>
        </w:tc>
      </w:tr>
      <w:tr>
        <w:trPr>
          <w:cantSplit/>
        </w:trPr>
        <w:tc>
          <w:tcPr/>
          <w:p>
            <w:pPr>
              <w:pStyle w:val="Tabla8"/>
              <w:jc w:val="left"/>
            </w:pPr>
            <w:r>
              <w:t xml:space="preserve">G1</w:t>
            </w:r>
          </w:p>
        </w:tc>
        <w:tc>
          <w:tcPr/>
          <w:p>
            <w:pPr>
              <w:pStyle w:val="Tabla8"/>
              <w:jc w:val="left"/>
            </w:pPr>
            <w:r>
              <w:t xml:space="preserve">Pronóstico con aprendizaje automático</w:t>
            </w:r>
          </w:p>
        </w:tc>
        <w:tc>
          <w:tcPr/>
          <w:p>
            <w:pPr>
              <w:pStyle w:val="Tabla8"/>
              <w:jc w:val="left"/>
            </w:pPr>
            <w:r>
              <w:t xml:space="preserve">9</w:t>
            </w:r>
          </w:p>
        </w:tc>
        <w:tc>
          <w:tcPr/>
          <w:p>
            <w:pPr>
              <w:pStyle w:val="Tabla8"/>
              <w:jc w:val="left"/>
            </w:pPr>
            <w:r>
              <w:t xml:space="preserve">0</w:t>
            </w:r>
          </w:p>
        </w:tc>
        <w:tc>
          <w:tcPr/>
          <w:p>
            <w:pPr>
              <w:pStyle w:val="Tabla8"/>
              <w:jc w:val="left"/>
            </w:pPr>
            <w:r>
              <w:t xml:space="preserve">0</w:t>
            </w:r>
          </w:p>
        </w:tc>
        <w:tc>
          <w:tcPr/>
          <w:p>
            <w:pPr>
              <w:pStyle w:val="Tabla8"/>
              <w:jc w:val="left"/>
            </w:pPr>
            <w:r>
              <w:t xml:space="preserve">9</w:t>
            </w:r>
          </w:p>
        </w:tc>
        <w:tc>
          <w:tcPr/>
          <w:p>
            <w:pPr>
              <w:pStyle w:val="Tabla8"/>
              <w:jc w:val="left"/>
            </w:pPr>
            <w:r>
              <w:t xml:space="preserve">9</w:t>
            </w:r>
          </w:p>
        </w:tc>
      </w:tr>
      <w:tr>
        <w:trPr>
          <w:cantSplit/>
        </w:trPr>
        <w:tc>
          <w:tcPr/>
          <w:p>
            <w:pPr>
              <w:pStyle w:val="Tabla8"/>
              <w:jc w:val="left"/>
            </w:pPr>
            <w:r>
              <w:t xml:space="preserve">G2</w:t>
            </w:r>
          </w:p>
        </w:tc>
        <w:tc>
          <w:tcPr/>
          <w:p>
            <w:pPr>
              <w:pStyle w:val="Tabla8"/>
              <w:jc w:val="left"/>
            </w:pPr>
            <w:r>
              <w:t xml:space="preserve">Monitoreo, redes de sensores y alerta temprana</w:t>
            </w:r>
          </w:p>
        </w:tc>
        <w:tc>
          <w:tcPr/>
          <w:p>
            <w:pPr>
              <w:pStyle w:val="Tabla8"/>
              <w:jc w:val="left"/>
            </w:pPr>
            <w:r>
              <w:t xml:space="preserve">8</w:t>
            </w:r>
          </w:p>
        </w:tc>
        <w:tc>
          <w:tcPr/>
          <w:p>
            <w:pPr>
              <w:pStyle w:val="Tabla8"/>
              <w:jc w:val="left"/>
            </w:pPr>
            <w:r>
              <w:t xml:space="preserve">0</w:t>
            </w:r>
          </w:p>
        </w:tc>
        <w:tc>
          <w:tcPr/>
          <w:p>
            <w:pPr>
              <w:pStyle w:val="Tabla8"/>
              <w:jc w:val="left"/>
            </w:pPr>
            <w:r>
              <w:t xml:space="preserve">0</w:t>
            </w:r>
          </w:p>
        </w:tc>
        <w:tc>
          <w:tcPr/>
          <w:p>
            <w:pPr>
              <w:pStyle w:val="Tabla8"/>
              <w:jc w:val="left"/>
            </w:pPr>
            <w:r>
              <w:t xml:space="preserve">8</w:t>
            </w:r>
          </w:p>
        </w:tc>
        <w:tc>
          <w:tcPr/>
          <w:p>
            <w:pPr>
              <w:pStyle w:val="Tabla8"/>
              <w:jc w:val="left"/>
            </w:pPr>
            <w:r>
              <w:t xml:space="preserve">8</w:t>
            </w:r>
          </w:p>
        </w:tc>
      </w:tr>
      <w:tr>
        <w:trPr>
          <w:cantSplit/>
        </w:trPr>
        <w:tc>
          <w:tcPr/>
          <w:p>
            <w:pPr>
              <w:pStyle w:val="Tabla8"/>
              <w:jc w:val="left"/>
            </w:pPr>
            <w:r>
              <w:t xml:space="preserve">G3</w:t>
            </w:r>
          </w:p>
        </w:tc>
        <w:tc>
          <w:tcPr/>
          <w:p>
            <w:pPr>
              <w:pStyle w:val="Tabla8"/>
              <w:jc w:val="left"/>
            </w:pPr>
            <w:r>
              <w:t xml:space="preserve">Exposición, carga de enfermedad y salud</w:t>
            </w:r>
          </w:p>
        </w:tc>
        <w:tc>
          <w:tcPr/>
          <w:p>
            <w:pPr>
              <w:pStyle w:val="Tabla8"/>
              <w:jc w:val="left"/>
            </w:pPr>
            <w:r>
              <w:t xml:space="preserve">9</w:t>
            </w:r>
          </w:p>
        </w:tc>
        <w:tc>
          <w:tcPr/>
          <w:p>
            <w:pPr>
              <w:pStyle w:val="Tabla8"/>
              <w:jc w:val="left"/>
            </w:pPr>
            <w:r>
              <w:t xml:space="preserve">0</w:t>
            </w:r>
          </w:p>
        </w:tc>
        <w:tc>
          <w:tcPr/>
          <w:p>
            <w:pPr>
              <w:pStyle w:val="Tabla8"/>
              <w:jc w:val="left"/>
            </w:pPr>
            <w:r>
              <w:t xml:space="preserve">0</w:t>
            </w:r>
          </w:p>
        </w:tc>
        <w:tc>
          <w:tcPr/>
          <w:p>
            <w:pPr>
              <w:pStyle w:val="Tabla8"/>
              <w:jc w:val="left"/>
            </w:pPr>
            <w:r>
              <w:t xml:space="preserve">9</w:t>
            </w:r>
          </w:p>
        </w:tc>
        <w:tc>
          <w:tcPr/>
          <w:p>
            <w:pPr>
              <w:pStyle w:val="Tabla8"/>
              <w:jc w:val="left"/>
            </w:pPr>
            <w:r>
              <w:t xml:space="preserve">9</w:t>
            </w:r>
          </w:p>
        </w:tc>
      </w:tr>
      <w:tr>
        <w:trPr>
          <w:cantSplit/>
        </w:trPr>
        <w:tc>
          <w:tcPr/>
          <w:p>
            <w:pPr>
              <w:pStyle w:val="Tabla8"/>
              <w:jc w:val="left"/>
            </w:pPr>
            <w:r>
              <w:t xml:space="preserve">G4</w:t>
            </w:r>
          </w:p>
        </w:tc>
        <w:tc>
          <w:tcPr/>
          <w:p>
            <w:pPr>
              <w:pStyle w:val="Tabla8"/>
              <w:jc w:val="left"/>
            </w:pPr>
            <w:r>
              <w:t xml:space="preserve">Patentes de sensores y activos industriales</w:t>
            </w:r>
          </w:p>
        </w:tc>
        <w:tc>
          <w:tcPr/>
          <w:p>
            <w:pPr>
              <w:pStyle w:val="Tabla8"/>
              <w:jc w:val="left"/>
            </w:pPr>
            <w:r>
              <w:t xml:space="preserve">0</w:t>
            </w:r>
          </w:p>
        </w:tc>
        <w:tc>
          <w:tcPr/>
          <w:p>
            <w:pPr>
              <w:pStyle w:val="Tabla8"/>
              <w:jc w:val="left"/>
            </w:pPr>
            <w:r>
              <w:t xml:space="preserve">8</w:t>
            </w:r>
          </w:p>
        </w:tc>
        <w:tc>
          <w:tcPr/>
          <w:p>
            <w:pPr>
              <w:pStyle w:val="Tabla8"/>
              <w:jc w:val="left"/>
            </w:pPr>
            <w:r>
              <w:t xml:space="preserve">0</w:t>
            </w:r>
          </w:p>
        </w:tc>
        <w:tc>
          <w:tcPr/>
          <w:p>
            <w:pPr>
              <w:pStyle w:val="Tabla8"/>
              <w:jc w:val="left"/>
            </w:pPr>
            <w:r>
              <w:t xml:space="preserve">8</w:t>
            </w:r>
          </w:p>
        </w:tc>
        <w:tc>
          <w:tcPr/>
          <w:p>
            <w:pPr>
              <w:pStyle w:val="Tabla8"/>
              <w:jc w:val="left"/>
            </w:pPr>
            <w:r>
              <w:t xml:space="preserve">8</w:t>
            </w:r>
          </w:p>
        </w:tc>
      </w:tr>
      <w:tr>
        <w:trPr>
          <w:cantSplit/>
        </w:trPr>
        <w:tc>
          <w:tcPr/>
          <w:p>
            <w:pPr>
              <w:pStyle w:val="Tabla8"/>
              <w:jc w:val="left"/>
            </w:pPr>
            <w:r>
              <w:t xml:space="preserve">G5</w:t>
            </w:r>
          </w:p>
        </w:tc>
        <w:tc>
          <w:tcPr/>
          <w:p>
            <w:pPr>
              <w:pStyle w:val="Tabla8"/>
              <w:jc w:val="left"/>
            </w:pPr>
            <w:r>
              <w:t xml:space="preserve">Patentes de espacios interiores y reporte de la SIC</w:t>
            </w:r>
          </w:p>
        </w:tc>
        <w:tc>
          <w:tcPr/>
          <w:p>
            <w:pPr>
              <w:pStyle w:val="Tabla8"/>
              <w:jc w:val="left"/>
            </w:pPr>
            <w:r>
              <w:t xml:space="preserve">0</w:t>
            </w:r>
          </w:p>
        </w:tc>
        <w:tc>
          <w:tcPr/>
          <w:p>
            <w:pPr>
              <w:pStyle w:val="Tabla8"/>
              <w:jc w:val="left"/>
            </w:pPr>
            <w:r>
              <w:t xml:space="preserve">7</w:t>
            </w:r>
          </w:p>
        </w:tc>
        <w:tc>
          <w:tcPr/>
          <w:p>
            <w:pPr>
              <w:pStyle w:val="Tabla8"/>
              <w:jc w:val="left"/>
            </w:pPr>
            <w:r>
              <w:t xml:space="preserve">1</w:t>
            </w:r>
          </w:p>
        </w:tc>
        <w:tc>
          <w:tcPr/>
          <w:p>
            <w:pPr>
              <w:pStyle w:val="Tabla8"/>
              <w:jc w:val="left"/>
            </w:pPr>
            <w:r>
              <w:t xml:space="preserve">8</w:t>
            </w:r>
          </w:p>
        </w:tc>
        <w:tc>
          <w:tcPr/>
          <w:p>
            <w:pPr>
              <w:pStyle w:val="Tabla8"/>
              <w:jc w:val="left"/>
            </w:pPr>
            <w:r>
              <w:t xml:space="preserve">8</w:t>
            </w:r>
          </w:p>
        </w:tc>
      </w:tr>
      <w:tr>
        <w:trPr>
          <w:cantSplit/>
        </w:trPr>
        <w:tc>
          <w:tcPr/>
          <w:p>
            <w:pPr>
              <w:pStyle w:val="Tabla8"/>
              <w:jc w:val="left"/>
            </w:pPr>
            <w:r>
              <w:t xml:space="preserve">Total</w:t>
            </w:r>
          </w:p>
        </w:tc>
        <w:tc>
          <w:tcPr/>
          <w:p>
            <w:pPr>
              <w:pStyle w:val="Tabla8"/>
              <w:jc w:val="left"/>
            </w:pPr>
            <w:r>
              <w:t xml:space="preserve">Corpus completo</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42</w:t>
            </w:r>
          </w:p>
        </w:tc>
        <w:tc>
          <w:tcPr/>
          <w:p>
            <w:pPr>
              <w:pStyle w:val="Tabla8"/>
              <w:jc w:val="left"/>
            </w:pPr>
            <w:r>
              <w:t xml:space="preserve">42</w:t>
            </w:r>
          </w:p>
        </w:tc>
      </w:tr>
    </w:tbl>
    <w:p>
      <w:pPr>
        <w:pStyle w:val="TablaNota"/>
      </w:pPr>
      <w:r>
        <w:rPr>
          <w:i/>
          <w:iCs/>
        </w:rPr>
        <w:t xml:space="preserve">Nota.</w:t>
      </w:r>
      <w:r>
        <w:t xml:space="preserve"> </w:t>
      </w:r>
      <w:r>
        <w:t xml:space="preserve">Elaboración propia con datos de F-INF §13.3, Tabla 67 (p. 219), §10.1, Tabla 46 (p. 124) y §3.2 (p. 22). La asignación de cada documento a su grupo se reconstruyó con la Tabla 46 y con los conteos por año. Naturaleza: DOCUMENTADO; verificación: PARCIALMENTE_VERIFICADO.</w:t>
      </w:r>
    </w:p>
    <w:p>
      <w:pPr>
        <w:pStyle w:val="BodyText"/>
      </w:pPr>
      <w:r>
        <w:t xml:space="preserve">Los tres primeros grupos reúnen los 26 artículos y los dos últimos reúnen las 15 patentes y el informe institucional. La suma coincide con la Tabla 67 del informe en los cinco casos. Seis de las ocho patentes de G4 son de 1995 a 2022. Las siete solicitudes del grupo G5 son de 2023 a 2026 y tratan edificios y exposición ocupacional. Esa separación explica por qué la composición temática cambia entre eras, como muestra el Capítulo 2, sección 2.2.8.</w:t>
      </w:r>
    </w:p>
    <w:bookmarkEnd w:id="131"/>
    <w:bookmarkStart w:id="132" w:name="_Toc00900066"/>
    <w:p>
      <w:pPr>
        <w:pStyle w:val="Heading3"/>
      </w:pPr>
      <w:r>
        <w:t xml:space="preserve">3.1.3 Verificación documento por documento</w:t>
      </w:r>
    </w:p>
    <w:p>
      <w:pPr>
        <w:pStyle w:val="FirstParagraph"/>
      </w:pPr>
      <w:r>
        <w:t xml:space="preserve">La verificación no se limita al conteo total. Cada comprobación contrasta un valor reproducido desde la bibliografía con el valor que reporta el informe. La Tabla F3.3 registra 13 comprobaciones y su resultado. La última concilia el inventario con el Paso 3 del expediente E3 que aportó el equipo del proyecto.</w:t>
      </w:r>
    </w:p>
    <w:p>
      <w:pPr>
        <w:pStyle w:val="TablaRotulo"/>
      </w:pPr>
      <w:bookmarkStart w:id="9073" w:name="rot_Tabla_F3_3"/>
      <w:r>
        <w:rPr>
          <w:b/>
          <w:bCs/>
        </w:rPr>
        <w:t xml:space="preserve">Tabla F3.3</w:t>
      </w:r>
      <w:bookmarkEnd w:id="9073"/>
    </w:p>
    <w:p>
      <w:pPr>
        <w:pStyle w:val="TablaTitulo"/>
      </w:pPr>
      <w:r>
        <w:rPr>
          <w:i/>
          <w:iCs/>
        </w:rPr>
        <w:t xml:space="preserve">Tabla de verificación de completitud del corpus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386"/>
        <w:gridCol w:w="1584"/>
        <w:gridCol w:w="2508"/>
      </w:tblGrid>
      <w:tr>
        <w:trPr>
          <w:cantSplit/>
          <w:tblHeader/>
        </w:trPr>
        <w:tc>
          <w:tcPr>
            <w:shd w:val="clear" w:color="auto" w:fill="00B050"/>
          </w:tcPr>
          <w:p>
            <w:pPr>
              <w:pStyle w:val="Tabla9"/>
              <w:jc w:val="center"/>
            </w:pPr>
            <w:r>
              <w:rPr>
                <w:b/>
                <w:color w:val="FFFFFF"/>
              </w:rPr>
              <w:t xml:space="preserve">N.º</w:t>
            </w:r>
          </w:p>
        </w:tc>
        <w:tc>
          <w:tcPr>
            <w:shd w:val="clear" w:color="auto" w:fill="00B050"/>
          </w:tcPr>
          <w:p>
            <w:pPr>
              <w:pStyle w:val="Tabla9"/>
              <w:jc w:val="center"/>
            </w:pPr>
            <w:r>
              <w:rPr>
                <w:b/>
                <w:color w:val="FFFFFF"/>
              </w:rPr>
              <w:t xml:space="preserve">Comprobación</w:t>
            </w:r>
          </w:p>
        </w:tc>
        <w:tc>
          <w:tcPr>
            <w:shd w:val="clear" w:color="auto" w:fill="00B050"/>
          </w:tcPr>
          <w:p>
            <w:pPr>
              <w:pStyle w:val="Tabla9"/>
              <w:jc w:val="center"/>
            </w:pPr>
            <w:r>
              <w:rPr>
                <w:b/>
                <w:color w:val="FFFFFF"/>
              </w:rPr>
              <w:t xml:space="preserve">Valor reproducido</w:t>
            </w:r>
          </w:p>
        </w:tc>
        <w:tc>
          <w:tcPr>
            <w:shd w:val="clear" w:color="auto" w:fill="00B050"/>
          </w:tcPr>
          <w:p>
            <w:pPr>
              <w:pStyle w:val="Tabla9"/>
              <w:jc w:val="center"/>
            </w:pPr>
            <w:r>
              <w:rPr>
                <w:b/>
                <w:color w:val="FFFFFF"/>
              </w:rPr>
              <w:t xml:space="preserve">Valor del informe de vigilancia</w:t>
            </w:r>
          </w:p>
        </w:tc>
        <w:tc>
          <w:tcPr>
            <w:shd w:val="clear" w:color="auto" w:fill="00B050"/>
          </w:tcPr>
          <w:p>
            <w:pPr>
              <w:pStyle w:val="Tabla9"/>
              <w:jc w:val="center"/>
            </w:pPr>
            <w:r>
              <w:rPr>
                <w:b/>
                <w:color w:val="FFFFFF"/>
              </w:rPr>
              <w:t xml:space="preserve">Resultado</w:t>
            </w:r>
          </w:p>
        </w:tc>
      </w:tr>
      <w:tr>
        <w:trPr>
          <w:cantSplit/>
        </w:trPr>
        <w:tc>
          <w:tcPr/>
          <w:p>
            <w:pPr>
              <w:pStyle w:val="Tabla9"/>
              <w:jc w:val="left"/>
            </w:pPr>
            <w:r>
              <w:t xml:space="preserve">1</w:t>
            </w:r>
          </w:p>
        </w:tc>
        <w:tc>
          <w:tcPr/>
          <w:p>
            <w:pPr>
              <w:pStyle w:val="Tabla9"/>
              <w:jc w:val="left"/>
            </w:pPr>
            <w:r>
              <w:t xml:space="preserve">Documentos en el inventario</w:t>
            </w:r>
          </w:p>
        </w:tc>
        <w:tc>
          <w:tcPr/>
          <w:p>
            <w:pPr>
              <w:pStyle w:val="Tabla9"/>
              <w:jc w:val="left"/>
            </w:pPr>
            <w:r>
              <w:t xml:space="preserve">42</w:t>
            </w:r>
          </w:p>
        </w:tc>
        <w:tc>
          <w:tcPr/>
          <w:p>
            <w:pPr>
              <w:pStyle w:val="Tabla9"/>
              <w:jc w:val="left"/>
            </w:pPr>
            <w:r>
              <w:t xml:space="preserve">42 (F-INF §3.1, p. 19)</w:t>
            </w:r>
          </w:p>
        </w:tc>
        <w:tc>
          <w:tcPr/>
          <w:p>
            <w:pPr>
              <w:pStyle w:val="Tabla9"/>
              <w:jc w:val="left"/>
            </w:pPr>
            <w:r>
              <w:t xml:space="preserve">Coincide</w:t>
            </w:r>
          </w:p>
        </w:tc>
      </w:tr>
      <w:tr>
        <w:trPr>
          <w:cantSplit/>
        </w:trPr>
        <w:tc>
          <w:tcPr/>
          <w:p>
            <w:pPr>
              <w:pStyle w:val="Tabla9"/>
              <w:jc w:val="left"/>
            </w:pPr>
            <w:r>
              <w:t xml:space="preserve">2</w:t>
            </w:r>
          </w:p>
        </w:tc>
        <w:tc>
          <w:tcPr/>
          <w:p>
            <w:pPr>
              <w:pStyle w:val="Tabla9"/>
              <w:jc w:val="left"/>
            </w:pPr>
            <w:r>
              <w:t xml:space="preserve">Tipos documentales</w:t>
            </w:r>
          </w:p>
        </w:tc>
        <w:tc>
          <w:tcPr/>
          <w:p>
            <w:pPr>
              <w:pStyle w:val="Tabla9"/>
              <w:jc w:val="left"/>
            </w:pPr>
            <w:r>
              <w:t xml:space="preserve">26 artículos, 15 patentes, 1 informe</w:t>
            </w:r>
          </w:p>
        </w:tc>
        <w:tc>
          <w:tcPr/>
          <w:p>
            <w:pPr>
              <w:pStyle w:val="Tabla9"/>
              <w:jc w:val="left"/>
            </w:pPr>
            <w:r>
              <w:t xml:space="preserve">26, 15 y 1 (F-INF §3.1, p. 19)</w:t>
            </w:r>
          </w:p>
        </w:tc>
        <w:tc>
          <w:tcPr/>
          <w:p>
            <w:pPr>
              <w:pStyle w:val="Tabla9"/>
              <w:jc w:val="left"/>
            </w:pPr>
            <w:r>
              <w:t xml:space="preserve">Coincide</w:t>
            </w:r>
          </w:p>
        </w:tc>
      </w:tr>
      <w:tr>
        <w:trPr>
          <w:cantSplit/>
        </w:trPr>
        <w:tc>
          <w:tcPr/>
          <w:p>
            <w:pPr>
              <w:pStyle w:val="Tabla9"/>
              <w:jc w:val="left"/>
            </w:pPr>
            <w:r>
              <w:t xml:space="preserve">3</w:t>
            </w:r>
          </w:p>
        </w:tc>
        <w:tc>
          <w:tcPr/>
          <w:p>
            <w:pPr>
              <w:pStyle w:val="Tabla9"/>
              <w:jc w:val="left"/>
            </w:pPr>
            <w:r>
              <w:t xml:space="preserve">Referencias con coincidencia textual en la bibliografía</w:t>
            </w:r>
          </w:p>
        </w:tc>
        <w:tc>
          <w:tcPr/>
          <w:p>
            <w:pPr>
              <w:pStyle w:val="Tabla9"/>
              <w:jc w:val="left"/>
            </w:pPr>
            <w:r>
              <w:t xml:space="preserve">42 de 42</w:t>
            </w:r>
          </w:p>
        </w:tc>
        <w:tc>
          <w:tcPr/>
          <w:p>
            <w:pPr>
              <w:pStyle w:val="Tabla9"/>
              <w:jc w:val="left"/>
            </w:pPr>
            <w:r>
              <w:t xml:space="preserve">42 referencias (F-INF §13.2, p. 212)</w:t>
            </w:r>
          </w:p>
        </w:tc>
        <w:tc>
          <w:tcPr/>
          <w:p>
            <w:pPr>
              <w:pStyle w:val="Tabla9"/>
              <w:jc w:val="left"/>
            </w:pPr>
            <w:r>
              <w:t xml:space="preserve">Coincide</w:t>
            </w:r>
          </w:p>
        </w:tc>
      </w:tr>
      <w:tr>
        <w:trPr>
          <w:cantSplit/>
        </w:trPr>
        <w:tc>
          <w:tcPr/>
          <w:p>
            <w:pPr>
              <w:pStyle w:val="Tabla9"/>
              <w:jc w:val="left"/>
            </w:pPr>
            <w:r>
              <w:t xml:space="preserve">4</w:t>
            </w:r>
          </w:p>
        </w:tc>
        <w:tc>
          <w:tcPr/>
          <w:p>
            <w:pPr>
              <w:pStyle w:val="Tabla9"/>
              <w:jc w:val="left"/>
            </w:pPr>
            <w:r>
              <w:t xml:space="preserve">Artículos con DOI único</w:t>
            </w:r>
          </w:p>
        </w:tc>
        <w:tc>
          <w:tcPr/>
          <w:p>
            <w:pPr>
              <w:pStyle w:val="Tabla9"/>
              <w:jc w:val="left"/>
            </w:pPr>
            <w:r>
              <w:t xml:space="preserve">26 de 26</w:t>
            </w:r>
          </w:p>
        </w:tc>
        <w:tc>
          <w:tcPr/>
          <w:p>
            <w:pPr>
              <w:pStyle w:val="Tabla9"/>
              <w:jc w:val="left"/>
            </w:pPr>
            <w:r>
              <w:t xml:space="preserve">El DOI consta en cada referencia (F-INF §13.2)</w:t>
            </w:r>
          </w:p>
        </w:tc>
        <w:tc>
          <w:tcPr/>
          <w:p>
            <w:pPr>
              <w:pStyle w:val="Tabla9"/>
              <w:jc w:val="left"/>
            </w:pPr>
            <w:r>
              <w:t xml:space="preserve">Coincide</w:t>
            </w:r>
          </w:p>
        </w:tc>
      </w:tr>
      <w:tr>
        <w:trPr>
          <w:cantSplit/>
        </w:trPr>
        <w:tc>
          <w:tcPr/>
          <w:p>
            <w:pPr>
              <w:pStyle w:val="Tabla9"/>
              <w:jc w:val="left"/>
            </w:pPr>
            <w:r>
              <w:t xml:space="preserve">5</w:t>
            </w:r>
          </w:p>
        </w:tc>
        <w:tc>
          <w:tcPr/>
          <w:p>
            <w:pPr>
              <w:pStyle w:val="Tabla9"/>
              <w:jc w:val="left"/>
            </w:pPr>
            <w:r>
              <w:t xml:space="preserve">Patentes con número único de solicitud o de patente</w:t>
            </w:r>
          </w:p>
        </w:tc>
        <w:tc>
          <w:tcPr/>
          <w:p>
            <w:pPr>
              <w:pStyle w:val="Tabla9"/>
              <w:jc w:val="left"/>
            </w:pPr>
            <w:r>
              <w:t xml:space="preserve">15 de 15</w:t>
            </w:r>
          </w:p>
        </w:tc>
        <w:tc>
          <w:tcPr/>
          <w:p>
            <w:pPr>
              <w:pStyle w:val="Tabla9"/>
              <w:jc w:val="left"/>
            </w:pPr>
            <w:r>
              <w:t xml:space="preserve">El número consta en cada referencia (F-INF §13.2)</w:t>
            </w:r>
          </w:p>
        </w:tc>
        <w:tc>
          <w:tcPr/>
          <w:p>
            <w:pPr>
              <w:pStyle w:val="Tabla9"/>
              <w:jc w:val="left"/>
            </w:pPr>
            <w:r>
              <w:t xml:space="preserve">Coincide</w:t>
            </w:r>
          </w:p>
        </w:tc>
      </w:tr>
      <w:tr>
        <w:trPr>
          <w:cantSplit/>
        </w:trPr>
        <w:tc>
          <w:tcPr/>
          <w:p>
            <w:pPr>
              <w:pStyle w:val="Tabla9"/>
              <w:jc w:val="left"/>
            </w:pPr>
            <w:r>
              <w:t xml:space="preserve">6</w:t>
            </w:r>
          </w:p>
        </w:tc>
        <w:tc>
          <w:tcPr/>
          <w:p>
            <w:pPr>
              <w:pStyle w:val="Tabla9"/>
              <w:jc w:val="left"/>
            </w:pPr>
            <w:r>
              <w:t xml:space="preserve">Identificadores G-01 a G-42 asociados a una referencia con autor y año iguales</w:t>
            </w:r>
          </w:p>
        </w:tc>
        <w:tc>
          <w:tcPr/>
          <w:p>
            <w:pPr>
              <w:pStyle w:val="Tabla9"/>
              <w:jc w:val="left"/>
            </w:pPr>
            <w:r>
              <w:t xml:space="preserve">42 de 42</w:t>
            </w:r>
          </w:p>
        </w:tc>
        <w:tc>
          <w:tcPr/>
          <w:p>
            <w:pPr>
              <w:pStyle w:val="Tabla9"/>
              <w:jc w:val="left"/>
            </w:pPr>
            <w:r>
              <w:t xml:space="preserve">42 filas (F-INF §4.1, Tabla 13, p. 29)</w:t>
            </w:r>
          </w:p>
        </w:tc>
        <w:tc>
          <w:tcPr/>
          <w:p>
            <w:pPr>
              <w:pStyle w:val="Tabla9"/>
              <w:jc w:val="left"/>
            </w:pPr>
            <w:r>
              <w:t xml:space="preserve">Coincide</w:t>
            </w:r>
          </w:p>
        </w:tc>
      </w:tr>
      <w:tr>
        <w:trPr>
          <w:cantSplit/>
        </w:trPr>
        <w:tc>
          <w:tcPr/>
          <w:p>
            <w:pPr>
              <w:pStyle w:val="Tabla9"/>
              <w:jc w:val="left"/>
            </w:pPr>
            <w:r>
              <w:t xml:space="preserve">7</w:t>
            </w:r>
          </w:p>
        </w:tc>
        <w:tc>
          <w:tcPr/>
          <w:p>
            <w:pPr>
              <w:pStyle w:val="Tabla9"/>
              <w:jc w:val="left"/>
            </w:pPr>
            <w:r>
              <w:t xml:space="preserve">TRL, IRL y DRL medios reproducidos desde la Tabla 13</w:t>
            </w:r>
          </w:p>
        </w:tc>
        <w:tc>
          <w:tcPr/>
          <w:p>
            <w:pPr>
              <w:pStyle w:val="Tabla9"/>
              <w:jc w:val="left"/>
            </w:pPr>
            <w:r>
              <w:t xml:space="preserve">3,85 (n = 41); 2,88 (n = 41); 3,05 (n = 42)</w:t>
            </w:r>
          </w:p>
        </w:tc>
        <w:tc>
          <w:tcPr/>
          <w:p>
            <w:pPr>
              <w:pStyle w:val="Tabla9"/>
              <w:jc w:val="left"/>
            </w:pPr>
            <w:r>
              <w:t xml:space="preserve">3,85; 2,88; 3,05 (F-INF §3.2, Tabla 4, p. 22)</w:t>
            </w:r>
          </w:p>
        </w:tc>
        <w:tc>
          <w:tcPr/>
          <w:p>
            <w:pPr>
              <w:pStyle w:val="Tabla9"/>
              <w:jc w:val="left"/>
            </w:pPr>
            <w:r>
              <w:t xml:space="preserve">Coincide</w:t>
            </w:r>
          </w:p>
        </w:tc>
      </w:tr>
      <w:tr>
        <w:trPr>
          <w:cantSplit/>
        </w:trPr>
        <w:tc>
          <w:tcPr/>
          <w:p>
            <w:pPr>
              <w:pStyle w:val="Tabla9"/>
              <w:jc w:val="left"/>
            </w:pPr>
            <w:r>
              <w:t xml:space="preserve">8</w:t>
            </w:r>
          </w:p>
        </w:tc>
        <w:tc>
          <w:tcPr/>
          <w:p>
            <w:pPr>
              <w:pStyle w:val="Tabla9"/>
              <w:jc w:val="left"/>
            </w:pPr>
            <w:r>
              <w:t xml:space="preserve">Documentos por valle V1, V2, V3, V4, V5 y sin valle</w:t>
            </w:r>
          </w:p>
        </w:tc>
        <w:tc>
          <w:tcPr/>
          <w:p>
            <w:pPr>
              <w:pStyle w:val="Tabla9"/>
              <w:jc w:val="left"/>
            </w:pPr>
            <w:r>
              <w:t xml:space="preserve">18, 6, 2, 13, 1 y 2</w:t>
            </w:r>
          </w:p>
        </w:tc>
        <w:tc>
          <w:tcPr/>
          <w:p>
            <w:pPr>
              <w:pStyle w:val="Tabla9"/>
              <w:jc w:val="left"/>
            </w:pPr>
            <w:r>
              <w:t xml:space="preserve">18, 6, 2, 13, 1 y 2 (F-INF §4.6, Tabla 17, p. 38)</w:t>
            </w:r>
          </w:p>
        </w:tc>
        <w:tc>
          <w:tcPr/>
          <w:p>
            <w:pPr>
              <w:pStyle w:val="Tabla9"/>
              <w:jc w:val="left"/>
            </w:pPr>
            <w:r>
              <w:t xml:space="preserve">Coincide</w:t>
            </w:r>
          </w:p>
        </w:tc>
      </w:tr>
      <w:tr>
        <w:trPr>
          <w:cantSplit/>
        </w:trPr>
        <w:tc>
          <w:tcPr/>
          <w:p>
            <w:pPr>
              <w:pStyle w:val="Tabla9"/>
              <w:jc w:val="left"/>
            </w:pPr>
            <w:r>
              <w:t xml:space="preserve">9</w:t>
            </w:r>
          </w:p>
        </w:tc>
        <w:tc>
          <w:tcPr/>
          <w:p>
            <w:pPr>
              <w:pStyle w:val="Tabla9"/>
              <w:jc w:val="left"/>
            </w:pPr>
            <w:r>
              <w:t xml:space="preserve">Documentos por año de 1995 a 2026</w:t>
            </w:r>
          </w:p>
        </w:tc>
        <w:tc>
          <w:tcPr/>
          <w:p>
            <w:pPr>
              <w:pStyle w:val="Tabla9"/>
              <w:jc w:val="left"/>
            </w:pPr>
            <w:r>
              <w:t xml:space="preserve">1, 2, 1, 3, 2, 2, 5, 9 y 17 en los nueve años con documentos</w:t>
            </w:r>
          </w:p>
        </w:tc>
        <w:tc>
          <w:tcPr/>
          <w:p>
            <w:pPr>
              <w:pStyle w:val="Tabla9"/>
              <w:jc w:val="left"/>
            </w:pPr>
            <w:r>
              <w:t xml:space="preserve">Mismos valores (F-INF §4.3, p. 34)</w:t>
            </w:r>
          </w:p>
        </w:tc>
        <w:tc>
          <w:tcPr/>
          <w:p>
            <w:pPr>
              <w:pStyle w:val="Tabla9"/>
              <w:jc w:val="left"/>
            </w:pPr>
            <w:r>
              <w:t xml:space="preserve">Coincide</w:t>
            </w:r>
          </w:p>
        </w:tc>
      </w:tr>
      <w:tr>
        <w:trPr>
          <w:cantSplit/>
        </w:trPr>
        <w:tc>
          <w:tcPr/>
          <w:p>
            <w:pPr>
              <w:pStyle w:val="Tabla9"/>
              <w:jc w:val="left"/>
            </w:pPr>
            <w:r>
              <w:t xml:space="preserve">10</w:t>
            </w:r>
          </w:p>
        </w:tc>
        <w:tc>
          <w:tcPr/>
          <w:p>
            <w:pPr>
              <w:pStyle w:val="Tabla9"/>
              <w:jc w:val="left"/>
            </w:pPr>
            <w:r>
              <w:t xml:space="preserve">Documentos por grupo documental</w:t>
            </w:r>
          </w:p>
        </w:tc>
        <w:tc>
          <w:tcPr/>
          <w:p>
            <w:pPr>
              <w:pStyle w:val="Tabla9"/>
              <w:jc w:val="left"/>
            </w:pPr>
            <w:r>
              <w:t xml:space="preserve">9, 8, 9, 8 y 8</w:t>
            </w:r>
          </w:p>
        </w:tc>
        <w:tc>
          <w:tcPr/>
          <w:p>
            <w:pPr>
              <w:pStyle w:val="Tabla9"/>
              <w:jc w:val="left"/>
            </w:pPr>
            <w:r>
              <w:t xml:space="preserve">9, 8, 9, 8 y 8 (F-INF §13.3, Tabla 67, p. 219)</w:t>
            </w:r>
          </w:p>
        </w:tc>
        <w:tc>
          <w:tcPr/>
          <w:p>
            <w:pPr>
              <w:pStyle w:val="Tabla9"/>
              <w:jc w:val="left"/>
            </w:pPr>
            <w:r>
              <w:t xml:space="preserve">Coincide</w:t>
            </w:r>
          </w:p>
        </w:tc>
      </w:tr>
      <w:tr>
        <w:trPr>
          <w:cantSplit/>
        </w:trPr>
        <w:tc>
          <w:tcPr/>
          <w:p>
            <w:pPr>
              <w:pStyle w:val="Tabla9"/>
              <w:jc w:val="left"/>
            </w:pPr>
            <w:r>
              <w:t xml:space="preserve">11</w:t>
            </w:r>
          </w:p>
        </w:tc>
        <w:tc>
          <w:tcPr/>
          <w:p>
            <w:pPr>
              <w:pStyle w:val="Tabla9"/>
              <w:jc w:val="left"/>
            </w:pPr>
            <w:r>
              <w:t xml:space="preserve">Autores únicos por apellido e inicial</w:t>
            </w:r>
          </w:p>
        </w:tc>
        <w:tc>
          <w:tcPr/>
          <w:p>
            <w:pPr>
              <w:pStyle w:val="Tabla9"/>
              <w:jc w:val="left"/>
            </w:pPr>
            <w:r>
              <w:t xml:space="preserve">213</w:t>
            </w:r>
          </w:p>
        </w:tc>
        <w:tc>
          <w:tcPr/>
          <w:p>
            <w:pPr>
              <w:pStyle w:val="Tabla9"/>
              <w:jc w:val="left"/>
            </w:pPr>
            <w:r>
              <w:t xml:space="preserve">213 (F-INF §7.6, p. 93)</w:t>
            </w:r>
          </w:p>
        </w:tc>
        <w:tc>
          <w:tcPr/>
          <w:p>
            <w:pPr>
              <w:pStyle w:val="Tabla9"/>
              <w:jc w:val="left"/>
            </w:pPr>
            <w:r>
              <w:t xml:space="preserve">Coincide</w:t>
            </w:r>
          </w:p>
        </w:tc>
      </w:tr>
      <w:tr>
        <w:trPr>
          <w:cantSplit/>
        </w:trPr>
        <w:tc>
          <w:tcPr/>
          <w:p>
            <w:pPr>
              <w:pStyle w:val="Tabla9"/>
              <w:jc w:val="left"/>
            </w:pPr>
            <w:r>
              <w:t xml:space="preserve">12</w:t>
            </w:r>
          </w:p>
        </w:tc>
        <w:tc>
          <w:tcPr/>
          <w:p>
            <w:pPr>
              <w:pStyle w:val="Tabla9"/>
              <w:jc w:val="left"/>
            </w:pPr>
            <w:r>
              <w:t xml:space="preserve">Autores por documento</w:t>
            </w:r>
          </w:p>
        </w:tc>
        <w:tc>
          <w:tcPr/>
          <w:p>
            <w:pPr>
              <w:pStyle w:val="Tabla9"/>
              <w:jc w:val="left"/>
            </w:pPr>
            <w:r>
              <w:t xml:space="preserve">5,29</w:t>
            </w:r>
          </w:p>
        </w:tc>
        <w:tc>
          <w:tcPr/>
          <w:p>
            <w:pPr>
              <w:pStyle w:val="Tabla9"/>
              <w:jc w:val="left"/>
            </w:pPr>
            <w:r>
              <w:t xml:space="preserve">5,29 (F-INF §7.6, p. 93)</w:t>
            </w:r>
          </w:p>
        </w:tc>
        <w:tc>
          <w:tcPr/>
          <w:p>
            <w:pPr>
              <w:pStyle w:val="Tabla9"/>
              <w:jc w:val="left"/>
            </w:pPr>
            <w:r>
              <w:t xml:space="preserve">Coincide</w:t>
            </w:r>
          </w:p>
        </w:tc>
      </w:tr>
      <w:tr>
        <w:trPr>
          <w:cantSplit/>
        </w:trPr>
        <w:tc>
          <w:tcPr/>
          <w:p>
            <w:pPr>
              <w:pStyle w:val="Tabla9"/>
              <w:jc w:val="left"/>
            </w:pPr>
            <w:r>
              <w:t xml:space="preserve">13</w:t>
            </w:r>
          </w:p>
        </w:tc>
        <w:tc>
          <w:tcPr/>
          <w:p>
            <w:pPr>
              <w:pStyle w:val="Tabla9"/>
              <w:jc w:val="left"/>
            </w:pPr>
            <w:r>
              <w:t xml:space="preserve">Conciliación con el Paso 3 del expediente E3</w:t>
            </w:r>
          </w:p>
        </w:tc>
        <w:tc>
          <w:tcPr/>
          <w:p>
            <w:pPr>
              <w:pStyle w:val="Tabla9"/>
              <w:jc w:val="left"/>
            </w:pPr>
            <w:r>
              <w:t xml:space="preserve">26 artículos, 15 patentes, 1 informe; 83,3 % en 2022 a 2026</w:t>
            </w:r>
          </w:p>
        </w:tc>
        <w:tc>
          <w:tcPr/>
          <w:p>
            <w:pPr>
              <w:pStyle w:val="Tabla9"/>
              <w:jc w:val="left"/>
            </w:pPr>
            <w:r>
              <w:t xml:space="preserve">E3 contiene dos conteos incompatibles (26, 15 y 1 frente a 25, 14 y 3) y 88,1 % en 2022 a 2026</w:t>
            </w:r>
          </w:p>
        </w:tc>
        <w:tc>
          <w:tcPr/>
          <w:p>
            <w:pPr>
              <w:pStyle w:val="Tabla9"/>
              <w:jc w:val="left"/>
            </w:pPr>
            <w:r>
              <w:t xml:space="preserve">CONTRADICTORIO en E3; se adopta el valor reproducible</w:t>
            </w:r>
          </w:p>
        </w:tc>
      </w:tr>
    </w:tbl>
    <w:p>
      <w:pPr>
        <w:pStyle w:val="TablaNota"/>
      </w:pPr>
      <w:r>
        <w:rPr>
          <w:i/>
          <w:iCs/>
        </w:rPr>
        <w:t xml:space="preserve">Nota.</w:t>
      </w:r>
      <w:r>
        <w:t xml:space="preserve"> </w:t>
      </w:r>
      <w:r>
        <w:t xml:space="preserve">Elaboración propia con datos de F-INF y del expediente E3 (DECLARADO). IRL = nivel de integración; DRL = nivel de preparación de la demanda. El valor de la comprobación 9 corresponde a los años 1995, 2019, 2020, 2021, 2022, 2023, 2024, 2025 y 2026. Naturaleza: CALCULADO; verificación: PARCIALMENTE_VERIFICADO.</w:t>
      </w:r>
    </w:p>
    <w:p>
      <w:pPr>
        <w:pStyle w:val="BodyText"/>
      </w:pPr>
      <w:r>
        <w:t xml:space="preserve">Doce de las 13 comprobaciones coinciden con el informe de vigilancia. La restante señala una contradicción interna del expediente E3. El texto y el diagrama de flujo de E3 reportan 26 artículos, 15 patentes y un informe. La tabla de inventario de E3 reporta 25, 14 y tres. Su porcentaje de 88,1 % para 2022 a 2026 no coincide con 35 de 42 documentos (83,3 %). El proyecto adopta los valores reproducibles. Esa decisión elimina la inconsistencia en los capítulos posteriores.</w:t>
      </w:r>
    </w:p>
    <w:bookmarkEnd w:id="132"/>
    <w:bookmarkEnd w:id="133"/>
    <w:bookmarkStart w:id="137" w:name="Xc8c9304fda0a3c576167d2eca9a0fb323902a69"/>
    <w:p>
      <w:pPr>
        <w:pStyle w:val="Heading2"/>
      </w:pPr>
      <w:r>
        <w:t xml:space="preserve">3.2 Diagrama PRISMA y parámetros de selección</w:t>
      </w:r>
    </w:p>
    <w:p>
      <w:pPr>
        <w:pStyle w:val="FirstParagraph"/>
      </w:pPr>
      <w:r>
        <w:t xml:space="preserve">El esquema Elementos de Informe Preferidos para Revisiones Sistemáticas y Metaanálisis (PRISMA) ordena la selección en cuatro etapas: identificación, cribado, elegibilidad e inclusión (Page et al., 2021). El Paso 3 exige reportar el número de documentos en cada etapa. Solo la etapa de inclusión tiene un número documentado en este proyecto. Los 42 documentos llegaron como archivos aportados al informe de vigilancia. El informe no registra el criterio de selección (F-INF §10.1, p. 124). La Figura F3.1 presenta el flujo y distingue los datos documentados de los no verificados.</w:t>
      </w:r>
    </w:p>
    <w:p>
      <w:pPr>
        <w:pStyle w:val="FiguraRotulo"/>
      </w:pPr>
      <w:bookmarkStart w:id="9473" w:name="rot_Figura_F3_1"/>
      <w:r>
        <w:rPr>
          <w:b/>
          <w:bCs/>
        </w:rPr>
        <w:t xml:space="preserve">Figura F3.1</w:t>
      </w:r>
      <w:bookmarkEnd w:id="9473"/>
    </w:p>
    <w:p>
      <w:pPr>
        <w:pStyle w:val="FiguraTitulo"/>
      </w:pPr>
      <w:r>
        <w:rPr>
          <w:i/>
          <w:iCs/>
        </w:rPr>
        <w:t xml:space="preserve">Diagrama PRISMA del corpus de 42 documentos</w:t>
      </w:r>
    </w:p>
    <w:p>
      <w:pPr>
        <w:pStyle w:val="BodyText"/>
      </w:pPr>
      <w:r>
        <w:drawing>
          <wp:inline>
            <wp:extent cx="5579999" cy="4384285"/>
            <wp:effectExtent b="0" l="0" r="0" t="0"/>
            <wp:docPr descr="" title="" id="135" name="Picture"/>
            <a:graphic>
              <a:graphicData uri="http://schemas.openxmlformats.org/drawingml/2006/picture">
                <pic:pic>
                  <pic:nvPicPr>
                    <pic:cNvPr descr="/tmp/claude-0/-home-user-docs/ddf38714-2a7e-502b-92b4-1008e2832422/scratchpad/proy/figs/out/cF3_prisma.png" id="136" name="Picture"/>
                    <pic:cNvPicPr>
                      <a:picLocks noChangeArrowheads="1" noChangeAspect="1"/>
                    </pic:cNvPicPr>
                  </pic:nvPicPr>
                  <pic:blipFill>
                    <a:blip r:embed="rId134"/>
                    <a:stretch>
                      <a:fillRect/>
                    </a:stretch>
                  </pic:blipFill>
                  <pic:spPr bwMode="auto">
                    <a:xfrm>
                      <a:off x="0" y="0"/>
                      <a:ext cx="5579999" cy="43842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§1.2 (p. 9), §3.1 (p. 19) y §10.1 (p. 124). Las etapas de identificación y cribado carecen de registro y se marcan NO_VERIFICADO. Corpus de 42 documentos; año de corte 2026; semilla 42.</w:t>
      </w:r>
    </w:p>
    <w:p>
      <w:pPr>
        <w:pStyle w:val="BodyText"/>
      </w:pPr>
      <w:r>
        <w:t xml:space="preserve">El diagrama muestra una asimetría. La etapa de inclusión se documenta con precisión y las etapas previas carecen de registro. El proyecto no puede presentar este corpus como resultado de una búsqueda sistemática. Lo presenta como una muestra intencional y no aleatoria (F-INF §3.3, p. 24). La Tabla F3.4 reúne los parámetros de selección que pide el Paso 3. Declara cuáles se documentan, cuáles se calculan y cuáles faltan.</w:t>
      </w:r>
    </w:p>
    <w:p>
      <w:pPr>
        <w:pStyle w:val="TablaRotulo"/>
      </w:pPr>
      <w:bookmarkStart w:id="9074" w:name="rot_Tabla_F3_4"/>
      <w:r>
        <w:rPr>
          <w:b/>
          <w:bCs/>
        </w:rPr>
        <w:t xml:space="preserve">Tabla F3.4</w:t>
      </w:r>
      <w:bookmarkEnd w:id="9074"/>
    </w:p>
    <w:p>
      <w:pPr>
        <w:pStyle w:val="TablaTitulo"/>
      </w:pPr>
      <w:r>
        <w:rPr>
          <w:i/>
          <w:iCs/>
        </w:rPr>
        <w:t xml:space="preserve">Parámetros de selección del Paso 3</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96"/>
        <w:gridCol w:w="1796"/>
        <w:gridCol w:w="1464"/>
        <w:gridCol w:w="2662"/>
      </w:tblGrid>
      <w:tr>
        <w:trPr>
          <w:cantSplit/>
          <w:tblHeader/>
        </w:trPr>
        <w:tc>
          <w:tcPr>
            <w:shd w:val="clear" w:color="auto" w:fill="00B050"/>
          </w:tcPr>
          <w:p>
            <w:pPr>
              <w:pStyle w:val="Tabla9"/>
              <w:jc w:val="center"/>
            </w:pPr>
            <w:r>
              <w:rPr>
                <w:b/>
                <w:color w:val="FFFFFF"/>
              </w:rPr>
              <w:t xml:space="preserve">Parámetro</w:t>
            </w:r>
          </w:p>
        </w:tc>
        <w:tc>
          <w:tcPr>
            <w:shd w:val="clear" w:color="auto" w:fill="00B050"/>
          </w:tcPr>
          <w:p>
            <w:pPr>
              <w:pStyle w:val="Tabla9"/>
              <w:jc w:val="center"/>
            </w:pPr>
            <w:r>
              <w:rPr>
                <w:b/>
                <w:color w:val="FFFFFF"/>
              </w:rPr>
              <w:t xml:space="preserve">Definición</w:t>
            </w:r>
          </w:p>
        </w:tc>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Naturaleza y verificación</w:t>
            </w:r>
          </w:p>
        </w:tc>
      </w:tr>
      <w:tr>
        <w:trPr>
          <w:cantSplit/>
        </w:trPr>
        <w:tc>
          <w:tcPr/>
          <w:p>
            <w:pPr>
              <w:pStyle w:val="Tabla9"/>
              <w:jc w:val="left"/>
            </w:pPr>
            <w:r>
              <w:t xml:space="preserve">Documentos identificados (N)</w:t>
            </w:r>
          </w:p>
        </w:tc>
        <w:tc>
          <w:tcPr/>
          <w:p>
            <w:pPr>
              <w:pStyle w:val="Tabla9"/>
              <w:jc w:val="left"/>
            </w:pPr>
            <w:r>
              <w:t xml:space="preserve">Registros recuperados en bases de datos</w:t>
            </w:r>
          </w:p>
        </w:tc>
        <w:tc>
          <w:tcPr/>
          <w:p>
            <w:pPr>
              <w:pStyle w:val="Tabla9"/>
              <w:jc w:val="left"/>
            </w:pPr>
            <w:r>
              <w:t xml:space="preserve">Sin dato</w:t>
            </w:r>
          </w:p>
        </w:tc>
        <w:tc>
          <w:tcPr/>
          <w:p>
            <w:pPr>
              <w:pStyle w:val="Tabla9"/>
              <w:jc w:val="left"/>
            </w:pPr>
            <w:r>
              <w:t xml:space="preserve">VACIO; NO_VERIFICADO</w:t>
            </w:r>
          </w:p>
        </w:tc>
      </w:tr>
      <w:tr>
        <w:trPr>
          <w:cantSplit/>
        </w:trPr>
        <w:tc>
          <w:tcPr/>
          <w:p>
            <w:pPr>
              <w:pStyle w:val="Tabla9"/>
              <w:jc w:val="left"/>
            </w:pPr>
            <w:r>
              <w:t xml:space="preserve">Documentos tras eliminar duplicados (N2)</w:t>
            </w:r>
          </w:p>
        </w:tc>
        <w:tc>
          <w:tcPr/>
          <w:p>
            <w:pPr>
              <w:pStyle w:val="Tabla9"/>
              <w:jc w:val="left"/>
            </w:pPr>
            <w:r>
              <w:t xml:space="preserve">Registros únicos</w:t>
            </w:r>
          </w:p>
        </w:tc>
        <w:tc>
          <w:tcPr/>
          <w:p>
            <w:pPr>
              <w:pStyle w:val="Tabla9"/>
              <w:jc w:val="left"/>
            </w:pPr>
            <w:r>
              <w:t xml:space="preserve">Sin dato</w:t>
            </w:r>
          </w:p>
        </w:tc>
        <w:tc>
          <w:tcPr/>
          <w:p>
            <w:pPr>
              <w:pStyle w:val="Tabla9"/>
              <w:jc w:val="left"/>
            </w:pPr>
            <w:r>
              <w:t xml:space="preserve">VACIO; NO_VERIFICADO</w:t>
            </w:r>
          </w:p>
        </w:tc>
      </w:tr>
      <w:tr>
        <w:trPr>
          <w:cantSplit/>
        </w:trPr>
        <w:tc>
          <w:tcPr/>
          <w:p>
            <w:pPr>
              <w:pStyle w:val="Tabla9"/>
              <w:jc w:val="left"/>
            </w:pPr>
            <w:r>
              <w:t xml:space="preserve">Documentos evaluados a texto completo (N3)</w:t>
            </w:r>
          </w:p>
        </w:tc>
        <w:tc>
          <w:tcPr/>
          <w:p>
            <w:pPr>
              <w:pStyle w:val="Tabla9"/>
              <w:jc w:val="left"/>
            </w:pPr>
            <w:r>
              <w:t xml:space="preserve">Documentos leídos por completo</w:t>
            </w:r>
          </w:p>
        </w:tc>
        <w:tc>
          <w:tcPr/>
          <w:p>
            <w:pPr>
              <w:pStyle w:val="Tabla9"/>
              <w:jc w:val="left"/>
            </w:pPr>
            <w:r>
              <w:t xml:space="preserve">42</w:t>
            </w:r>
          </w:p>
        </w:tc>
        <w:tc>
          <w:tcPr/>
          <w:p>
            <w:pPr>
              <w:pStyle w:val="Tabla9"/>
              <w:jc w:val="left"/>
            </w:pPr>
            <w:r>
              <w:t xml:space="preserve">DOCUMENTADO (F-INF §1.2, p. 9)</w:t>
            </w:r>
          </w:p>
        </w:tc>
      </w:tr>
      <w:tr>
        <w:trPr>
          <w:cantSplit/>
        </w:trPr>
        <w:tc>
          <w:tcPr/>
          <w:p>
            <w:pPr>
              <w:pStyle w:val="Tabla9"/>
              <w:jc w:val="left"/>
            </w:pPr>
            <w:r>
              <w:t xml:space="preserve">Documentos incluidos (N4)</w:t>
            </w:r>
          </w:p>
        </w:tc>
        <w:tc>
          <w:tcPr/>
          <w:p>
            <w:pPr>
              <w:pStyle w:val="Tabla9"/>
              <w:jc w:val="left"/>
            </w:pPr>
            <w:r>
              <w:t xml:space="preserve">Corpus final</w:t>
            </w:r>
          </w:p>
        </w:tc>
        <w:tc>
          <w:tcPr/>
          <w:p>
            <w:pPr>
              <w:pStyle w:val="Tabla9"/>
              <w:jc w:val="left"/>
            </w:pPr>
            <w:r>
              <w:t xml:space="preserve">42</w:t>
            </w:r>
          </w:p>
        </w:tc>
        <w:tc>
          <w:tcPr/>
          <w:p>
            <w:pPr>
              <w:pStyle w:val="Tabla9"/>
              <w:jc w:val="left"/>
            </w:pPr>
            <w:r>
              <w:t xml:space="preserve">DOCUMENTADO (F-INF §3.1, p. 19)</w:t>
            </w:r>
          </w:p>
        </w:tc>
      </w:tr>
      <w:tr>
        <w:trPr>
          <w:cantSplit/>
        </w:trPr>
        <w:tc>
          <w:tcPr/>
          <w:p>
            <w:pPr>
              <w:pStyle w:val="Tabla9"/>
              <w:jc w:val="left"/>
            </w:pPr>
            <w:r>
              <w:t xml:space="preserve">Tasa de selección</w:t>
            </w:r>
          </w:p>
        </w:tc>
        <w:tc>
          <w:tcPr/>
          <w:p>
            <w:pPr>
              <w:pStyle w:val="Tabla9"/>
              <w:jc w:val="left"/>
            </w:pPr>
            <w:r>
              <w:t xml:space="preserve">N4 sobre N, en porcentaje</w:t>
            </w:r>
          </w:p>
        </w:tc>
        <w:tc>
          <w:tcPr/>
          <w:p>
            <w:pPr>
              <w:pStyle w:val="Tabla9"/>
              <w:jc w:val="left"/>
            </w:pPr>
            <w:r>
              <w:t xml:space="preserve">No calculable</w:t>
            </w:r>
          </w:p>
        </w:tc>
        <w:tc>
          <w:tcPr/>
          <w:p>
            <w:pPr>
              <w:pStyle w:val="Tabla9"/>
              <w:jc w:val="left"/>
            </w:pPr>
            <w:r>
              <w:t xml:space="preserve">NO_CALCULABLE por falta de N</w:t>
            </w:r>
          </w:p>
        </w:tc>
      </w:tr>
      <w:tr>
        <w:trPr>
          <w:cantSplit/>
        </w:trPr>
        <w:tc>
          <w:tcPr/>
          <w:p>
            <w:pPr>
              <w:pStyle w:val="Tabla9"/>
              <w:jc w:val="left"/>
            </w:pPr>
            <w:r>
              <w:t xml:space="preserve">Distribución por tipo</w:t>
            </w:r>
          </w:p>
        </w:tc>
        <w:tc>
          <w:tcPr/>
          <w:p>
            <w:pPr>
              <w:pStyle w:val="Tabla9"/>
              <w:jc w:val="left"/>
            </w:pPr>
            <w:r>
              <w:t xml:space="preserve">Artículos, patentes e informes sobre 42</w:t>
            </w:r>
          </w:p>
        </w:tc>
        <w:tc>
          <w:tcPr/>
          <w:p>
            <w:pPr>
              <w:pStyle w:val="Tabla9"/>
              <w:jc w:val="left"/>
            </w:pPr>
            <w:r>
              <w:t xml:space="preserve">61,9 %; 35,7 %; 2,4 %</w:t>
            </w:r>
          </w:p>
        </w:tc>
        <w:tc>
          <w:tcPr/>
          <w:p>
            <w:pPr>
              <w:pStyle w:val="Tabla9"/>
              <w:jc w:val="left"/>
            </w:pPr>
            <w:r>
              <w:t xml:space="preserve">CALCULADO</w:t>
            </w:r>
          </w:p>
        </w:tc>
      </w:tr>
      <w:tr>
        <w:trPr>
          <w:cantSplit/>
        </w:trPr>
        <w:tc>
          <w:tcPr/>
          <w:p>
            <w:pPr>
              <w:pStyle w:val="Tabla9"/>
              <w:jc w:val="left"/>
            </w:pPr>
            <w:r>
              <w:t xml:space="preserve">Distribución por cuartil</w:t>
            </w:r>
          </w:p>
        </w:tc>
        <w:tc>
          <w:tcPr/>
          <w:p>
            <w:pPr>
              <w:pStyle w:val="Tabla9"/>
              <w:jc w:val="left"/>
            </w:pPr>
            <w:r>
              <w:t xml:space="preserve">Q1, Q2, Q3, Q4 y sin cuartil</w:t>
            </w:r>
          </w:p>
        </w:tc>
        <w:tc>
          <w:tcPr/>
          <w:p>
            <w:pPr>
              <w:pStyle w:val="Tabla9"/>
              <w:jc w:val="left"/>
            </w:pPr>
            <w:r>
              <w:t xml:space="preserve">Sin dato</w:t>
            </w:r>
          </w:p>
        </w:tc>
        <w:tc>
          <w:tcPr/>
          <w:p>
            <w:pPr>
              <w:pStyle w:val="Tabla9"/>
              <w:jc w:val="left"/>
            </w:pPr>
            <w:r>
              <w:t xml:space="preserve">VACIO; no se consultaron bases de indicadores</w:t>
            </w:r>
          </w:p>
        </w:tc>
      </w:tr>
      <w:tr>
        <w:trPr>
          <w:cantSplit/>
        </w:trPr>
        <w:tc>
          <w:tcPr/>
          <w:p>
            <w:pPr>
              <w:pStyle w:val="Tabla9"/>
              <w:jc w:val="left"/>
            </w:pPr>
            <w:r>
              <w:t xml:space="preserve">Documentos de 2025 y 2026</w:t>
            </w:r>
          </w:p>
        </w:tc>
        <w:tc>
          <w:tcPr/>
          <w:p>
            <w:pPr>
              <w:pStyle w:val="Tabla9"/>
              <w:jc w:val="left"/>
            </w:pPr>
            <w:r>
              <w:t xml:space="preserve">Corpus de los dos últimos años</w:t>
            </w:r>
          </w:p>
        </w:tc>
        <w:tc>
          <w:tcPr/>
          <w:p>
            <w:pPr>
              <w:pStyle w:val="Tabla9"/>
              <w:jc w:val="left"/>
            </w:pPr>
            <w:r>
              <w:t xml:space="preserve">26 de 42 (61,9 %)</w:t>
            </w:r>
          </w:p>
        </w:tc>
        <w:tc>
          <w:tcPr/>
          <w:p>
            <w:pPr>
              <w:pStyle w:val="Tabla9"/>
              <w:jc w:val="left"/>
            </w:pPr>
            <w:r>
              <w:t xml:space="preserve">DOCUMENTADO (F-INF §3.1, p. 19)</w:t>
            </w:r>
          </w:p>
        </w:tc>
      </w:tr>
      <w:tr>
        <w:trPr>
          <w:cantSplit/>
        </w:trPr>
        <w:tc>
          <w:tcPr/>
          <w:p>
            <w:pPr>
              <w:pStyle w:val="Tabla9"/>
              <w:jc w:val="left"/>
            </w:pPr>
            <w:r>
              <w:t xml:space="preserve">Documentos de 2022 a 2026</w:t>
            </w:r>
          </w:p>
        </w:tc>
        <w:tc>
          <w:tcPr/>
          <w:p>
            <w:pPr>
              <w:pStyle w:val="Tabla9"/>
              <w:jc w:val="left"/>
            </w:pPr>
            <w:r>
              <w:t xml:space="preserve">Últimos cinco años</w:t>
            </w:r>
          </w:p>
        </w:tc>
        <w:tc>
          <w:tcPr/>
          <w:p>
            <w:pPr>
              <w:pStyle w:val="Tabla9"/>
              <w:jc w:val="left"/>
            </w:pPr>
            <w:r>
              <w:t xml:space="preserve">35 de 42 (83,3 %)</w:t>
            </w:r>
          </w:p>
        </w:tc>
        <w:tc>
          <w:tcPr/>
          <w:p>
            <w:pPr>
              <w:pStyle w:val="Tabla9"/>
              <w:jc w:val="left"/>
            </w:pPr>
            <w:r>
              <w:t xml:space="preserve">CALCULADO</w:t>
            </w:r>
          </w:p>
        </w:tc>
      </w:tr>
      <w:tr>
        <w:trPr>
          <w:cantSplit/>
        </w:trPr>
        <w:tc>
          <w:tcPr/>
          <w:p>
            <w:pPr>
              <w:pStyle w:val="Tabla9"/>
              <w:jc w:val="left"/>
            </w:pPr>
            <w:r>
              <w:t xml:space="preserve">Documentos de 2017 a 2026</w:t>
            </w:r>
          </w:p>
        </w:tc>
        <w:tc>
          <w:tcPr/>
          <w:p>
            <w:pPr>
              <w:pStyle w:val="Tabla9"/>
              <w:jc w:val="left"/>
            </w:pPr>
            <w:r>
              <w:t xml:space="preserve">Últimos diez años</w:t>
            </w:r>
          </w:p>
        </w:tc>
        <w:tc>
          <w:tcPr/>
          <w:p>
            <w:pPr>
              <w:pStyle w:val="Tabla9"/>
              <w:jc w:val="left"/>
            </w:pPr>
            <w:r>
              <w:t xml:space="preserve">41 de 42 (97,6 %)</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F-INF §1.2 (p. 9), §3.1 (p. 19) y §13.2 (p. 212). Porcentajes sobre 42 documentos, con decimales con coma. Corpus de 42 documentos; año de corte 2026.</w:t>
      </w:r>
    </w:p>
    <w:p>
      <w:pPr>
        <w:pStyle w:val="BodyText"/>
      </w:pPr>
      <w:r>
        <w:t xml:space="preserve">La tasa de selección no se calcula porque falta el número de registros identificados. La distribución por tipo sí se calcula: 61,9 % de artículos, 35,7 % de patentes y 2,4 % de informes. La distribución por cuartil queda vacía porque no se consultaron bases de indicadores de revistas. La concentración temporal es alta. Treinta y cinco de los 42 documentos son de 2022 a 2026, y solo uno es anterior a 2017. Esa concentración obliga a leer el corpus como un retrato reciente del campo y no como su historia completa.</w:t>
      </w:r>
    </w:p>
    <w:p>
      <w:pPr>
        <w:pStyle w:val="BodyText"/>
      </w:pPr>
      <w:r>
        <w:t xml:space="preserve">El informe describe el ámbito del corpus: calidad del aire, sensores, pronóstico, exposición, salud y tecnología patentada. Cada documento se leyó por completo (F-INF §1.2, p. 9). El informe no registra criterios de exclusión ni documentos excluidos. Por esa razón, los criterios del Capítulo 2, sección 2.1, describen el corpus actual y orientan la vigilancia futura. No se presentan como criterios aplicados. Esta distinción evita atribuir al corpus un rigor de selección que el informe no documenta.</w:t>
      </w:r>
    </w:p>
    <w:p>
      <w:pPr>
        <w:pStyle w:val="BodyText"/>
      </w:pPr>
      <w:r>
        <w:t xml:space="preserve">El proyecto propone completar las etapas ausentes durante el primer mes de ejecución (PROPUESTO). El plan tiene cuatro pasos. Primero, se ejecutan las ecuaciones E1 a E3 del Capítulo 2, sección 2.1, en las bases previstas. Se registra el número de registros por base. Segundo, se eliminan los duplicados por DOI y por título normalizado. Tercero, dos revisores aplican los criterios de inclusión y exclusión a título, resumen y texto completo. Cuarto, se actualiza el diagrama con los números reales y se calcula la tasa de selección. Hasta entonces, el diagrama de este apartado es la única versión vigente.</w:t>
      </w:r>
    </w:p>
    <w:bookmarkEnd w:id="137"/>
    <w:bookmarkStart w:id="140" w:name="_Toc00900067"/>
    <w:p>
      <w:pPr>
        <w:pStyle w:val="Heading2"/>
      </w:pPr>
      <w:r>
        <w:t xml:space="preserve">3.3 Parámetros reproducibles del análisis</w:t>
      </w:r>
    </w:p>
    <w:bookmarkStart w:id="138" w:name="_Toc00900068"/>
    <w:p>
      <w:pPr>
        <w:pStyle w:val="Heading3"/>
      </w:pPr>
      <w:r>
        <w:t xml:space="preserve">3.3.1 Entorno, semillas y definiciones</w:t>
      </w:r>
    </w:p>
    <w:p>
      <w:pPr>
        <w:pStyle w:val="FirstParagraph"/>
      </w:pPr>
      <w:r>
        <w:t xml:space="preserve">El Paso 3 exige que cada cálculo sea reproducible. Esta sección fija el entorno, las semillas y las definiciones operativas. La Tabla F3.5 lista los parámetros. Distingue los que se calcularon en esta corrida de los que se heredan del informe de vigilancia sin recalcular.</w:t>
      </w:r>
    </w:p>
    <w:p>
      <w:pPr>
        <w:pStyle w:val="TablaRotulo"/>
      </w:pPr>
      <w:bookmarkStart w:id="9075" w:name="rot_Tabla_F3_5"/>
      <w:r>
        <w:rPr>
          <w:b/>
          <w:bCs/>
        </w:rPr>
        <w:t xml:space="preserve">Tabla F3.5</w:t>
      </w:r>
      <w:bookmarkEnd w:id="9075"/>
    </w:p>
    <w:p>
      <w:pPr>
        <w:pStyle w:val="TablaTitulo"/>
      </w:pPr>
      <w:r>
        <w:rPr>
          <w:i/>
          <w:iCs/>
        </w:rPr>
        <w:t xml:space="preserve">Parámetros reproducibles del análisis bibliométrico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78"/>
        <w:gridCol w:w="3168"/>
        <w:gridCol w:w="2574"/>
      </w:tblGrid>
      <w:tr>
        <w:trPr>
          <w:cantSplit/>
          <w:tblHeader/>
        </w:trPr>
        <w:tc>
          <w:tcPr>
            <w:shd w:val="clear" w:color="auto" w:fill="00B050"/>
          </w:tcPr>
          <w:p>
            <w:pPr>
              <w:pStyle w:val="Tabla9"/>
              <w:jc w:val="center"/>
            </w:pPr>
            <w:r>
              <w:rPr>
                <w:b/>
                <w:color w:val="FFFFFF"/>
              </w:rPr>
              <w:t xml:space="preserve">Parámetro</w:t>
            </w:r>
          </w:p>
        </w:tc>
        <w:tc>
          <w:tcPr>
            <w:shd w:val="clear" w:color="auto" w:fill="00B050"/>
          </w:tcPr>
          <w:p>
            <w:pPr>
              <w:pStyle w:val="Tabla9"/>
              <w:jc w:val="center"/>
            </w:pPr>
            <w:r>
              <w:rPr>
                <w:b/>
                <w:color w:val="FFFFFF"/>
              </w:rPr>
              <w:t xml:space="preserve">Valor o definición</w:t>
            </w:r>
          </w:p>
        </w:tc>
        <w:tc>
          <w:tcPr>
            <w:shd w:val="clear" w:color="auto" w:fill="00B050"/>
          </w:tcPr>
          <w:p>
            <w:pPr>
              <w:pStyle w:val="Tabla9"/>
              <w:jc w:val="center"/>
            </w:pPr>
            <w:r>
              <w:rPr>
                <w:b/>
                <w:color w:val="FFFFFF"/>
              </w:rPr>
              <w:t xml:space="preserve">Origen</w:t>
            </w:r>
          </w:p>
        </w:tc>
      </w:tr>
      <w:tr>
        <w:trPr>
          <w:cantSplit/>
        </w:trPr>
        <w:tc>
          <w:tcPr/>
          <w:p>
            <w:pPr>
              <w:pStyle w:val="Tabla9"/>
              <w:jc w:val="left"/>
            </w:pPr>
            <w:r>
              <w:t xml:space="preserve">Corpus de entrada</w:t>
            </w:r>
          </w:p>
        </w:tc>
        <w:tc>
          <w:tcPr/>
          <w:p>
            <w:pPr>
              <w:pStyle w:val="Tabla9"/>
              <w:jc w:val="left"/>
            </w:pPr>
            <w:r>
              <w:t xml:space="preserve">42 referencias estructuradas derivadas de la bibliografía del informe (§13.2)</w:t>
            </w:r>
          </w:p>
        </w:tc>
        <w:tc>
          <w:tcPr/>
          <w:p>
            <w:pPr>
              <w:pStyle w:val="Tabla9"/>
              <w:jc w:val="left"/>
            </w:pPr>
            <w:r>
              <w:t xml:space="preserve">DOCUMENTADO</w:t>
            </w:r>
          </w:p>
        </w:tc>
      </w:tr>
      <w:tr>
        <w:trPr>
          <w:cantSplit/>
        </w:trPr>
        <w:tc>
          <w:tcPr/>
          <w:p>
            <w:pPr>
              <w:pStyle w:val="Tabla9"/>
              <w:jc w:val="left"/>
            </w:pPr>
            <w:r>
              <w:t xml:space="preserve">Año de corte</w:t>
            </w:r>
          </w:p>
        </w:tc>
        <w:tc>
          <w:tcPr/>
          <w:p>
            <w:pPr>
              <w:pStyle w:val="Tabla9"/>
              <w:jc w:val="left"/>
            </w:pPr>
            <w:r>
              <w:t xml:space="preserve">2026; fecha de corte del proyecto: 13 de octubre de 2026</w:t>
            </w:r>
          </w:p>
        </w:tc>
        <w:tc>
          <w:tcPr/>
          <w:p>
            <w:pPr>
              <w:pStyle w:val="Tabla9"/>
              <w:jc w:val="left"/>
            </w:pPr>
            <w:r>
              <w:t xml:space="preserve">Ficha maestra</w:t>
            </w:r>
          </w:p>
        </w:tc>
      </w:tr>
      <w:tr>
        <w:trPr>
          <w:cantSplit/>
        </w:trPr>
        <w:tc>
          <w:tcPr/>
          <w:p>
            <w:pPr>
              <w:pStyle w:val="Tabla9"/>
              <w:jc w:val="left"/>
            </w:pPr>
            <w:r>
              <w:t xml:space="preserve">Entorno de cálculo</w:t>
            </w:r>
          </w:p>
        </w:tc>
        <w:tc>
          <w:tcPr/>
          <w:p>
            <w:pPr>
              <w:pStyle w:val="Tabla9"/>
              <w:jc w:val="left"/>
            </w:pPr>
            <w:r>
              <w:t xml:space="preserve">Python 3.13.16; numpy 2.5.3; scipy 1.18.1; networkx 3.7; matplotlib 3.11.2</w:t>
            </w:r>
          </w:p>
        </w:tc>
        <w:tc>
          <w:tcPr/>
          <w:p>
            <w:pPr>
              <w:pStyle w:val="Tabla9"/>
              <w:jc w:val="left"/>
            </w:pPr>
            <w:r>
              <w:t xml:space="preserve">CALCULADO</w:t>
            </w:r>
          </w:p>
        </w:tc>
      </w:tr>
      <w:tr>
        <w:trPr>
          <w:cantSplit/>
        </w:trPr>
        <w:tc>
          <w:tcPr/>
          <w:p>
            <w:pPr>
              <w:pStyle w:val="Tabla9"/>
              <w:jc w:val="left"/>
            </w:pPr>
            <w:r>
              <w:t xml:space="preserve">Semilla</w:t>
            </w:r>
          </w:p>
        </w:tc>
        <w:tc>
          <w:tcPr/>
          <w:p>
            <w:pPr>
              <w:pStyle w:val="Tabla9"/>
              <w:jc w:val="left"/>
            </w:pPr>
            <w:r>
              <w:t xml:space="preserve">42 para el remuestreo, la disposición de redes y la detección de comunidades</w:t>
            </w:r>
          </w:p>
        </w:tc>
        <w:tc>
          <w:tcPr/>
          <w:p>
            <w:pPr>
              <w:pStyle w:val="Tabla9"/>
              <w:jc w:val="left"/>
            </w:pPr>
            <w:r>
              <w:t xml:space="preserve">PROPUESTO por el metaprompt</w:t>
            </w:r>
          </w:p>
        </w:tc>
      </w:tr>
      <w:tr>
        <w:trPr>
          <w:cantSplit/>
        </w:trPr>
        <w:tc>
          <w:tcPr/>
          <w:p>
            <w:pPr>
              <w:pStyle w:val="Tabla9"/>
              <w:jc w:val="left"/>
            </w:pPr>
            <w:r>
              <w:t xml:space="preserve">Clave de autor</w:t>
            </w:r>
          </w:p>
        </w:tc>
        <w:tc>
          <w:tcPr/>
          <w:p>
            <w:pPr>
              <w:pStyle w:val="Tabla9"/>
              <w:jc w:val="left"/>
            </w:pPr>
            <w:r>
              <w:t xml:space="preserve">Apellido y primera inicial; los duplicados dentro de un documento se cuentan una vez</w:t>
            </w:r>
          </w:p>
        </w:tc>
        <w:tc>
          <w:tcPr/>
          <w:p>
            <w:pPr>
              <w:pStyle w:val="Tabla9"/>
              <w:jc w:val="left"/>
            </w:pPr>
            <w:r>
              <w:t xml:space="preserve">CALCULADO</w:t>
            </w:r>
          </w:p>
        </w:tc>
      </w:tr>
      <w:tr>
        <w:trPr>
          <w:cantSplit/>
        </w:trPr>
        <w:tc>
          <w:tcPr/>
          <w:p>
            <w:pPr>
              <w:pStyle w:val="Tabla9"/>
              <w:jc w:val="left"/>
            </w:pPr>
            <w:r>
              <w:t xml:space="preserve">Ley de Lotka</w:t>
            </w:r>
          </w:p>
        </w:tc>
        <w:tc>
          <w:tcPr/>
          <w:p>
            <w:pPr>
              <w:pStyle w:val="Tabla9"/>
              <w:jc w:val="left"/>
            </w:pPr>
            <w:r>
              <w:t xml:space="preserve">Máxima verosimilitud con aproximación continua y x mínimo de 1; mínimos cuadrados log-log; 1.000 réplicas bootstrap</w:t>
            </w:r>
          </w:p>
        </w:tc>
        <w:tc>
          <w:tcPr/>
          <w:p>
            <w:pPr>
              <w:pStyle w:val="Tabla9"/>
              <w:jc w:val="left"/>
            </w:pPr>
            <w:r>
              <w:t xml:space="preserve">CALCULADO</w:t>
            </w:r>
          </w:p>
        </w:tc>
      </w:tr>
      <w:tr>
        <w:trPr>
          <w:cantSplit/>
        </w:trPr>
        <w:tc>
          <w:tcPr/>
          <w:p>
            <w:pPr>
              <w:pStyle w:val="Tabla9"/>
              <w:jc w:val="left"/>
            </w:pPr>
            <w:r>
              <w:t xml:space="preserve">Ley de Bradford</w:t>
            </w:r>
          </w:p>
        </w:tc>
        <w:tc>
          <w:tcPr/>
          <w:p>
            <w:pPr>
              <w:pStyle w:val="Tabla9"/>
              <w:jc w:val="left"/>
            </w:pPr>
            <w:r>
              <w:t xml:space="preserve">26 artículos en 19 revistas; zonas por tercios de artículos (8,67 por zona); desempate alfabético</w:t>
            </w:r>
          </w:p>
        </w:tc>
        <w:tc>
          <w:tcPr/>
          <w:p>
            <w:pPr>
              <w:pStyle w:val="Tabla9"/>
              <w:jc w:val="left"/>
            </w:pPr>
            <w:r>
              <w:t xml:space="preserve">CALCULADO</w:t>
            </w:r>
          </w:p>
        </w:tc>
      </w:tr>
      <w:tr>
        <w:trPr>
          <w:cantSplit/>
        </w:trPr>
        <w:tc>
          <w:tcPr/>
          <w:p>
            <w:pPr>
              <w:pStyle w:val="Tabla9"/>
              <w:jc w:val="left"/>
            </w:pPr>
            <w:r>
              <w:t xml:space="preserve">Eras históricas</w:t>
            </w:r>
          </w:p>
        </w:tc>
        <w:tc>
          <w:tcPr/>
          <w:p>
            <w:pPr>
              <w:pStyle w:val="Tabla9"/>
              <w:jc w:val="left"/>
            </w:pPr>
            <w:r>
              <w:t xml:space="preserve">Segmentación óptima de la serie anual 1995 a 2026 en tres tramos contiguos por mínima suma de cuadrados</w:t>
            </w:r>
          </w:p>
        </w:tc>
        <w:tc>
          <w:tcPr/>
          <w:p>
            <w:pPr>
              <w:pStyle w:val="Tabla9"/>
              <w:jc w:val="left"/>
            </w:pPr>
            <w:r>
              <w:t xml:space="preserve">CALCULADO</w:t>
            </w:r>
          </w:p>
        </w:tc>
      </w:tr>
      <w:tr>
        <w:trPr>
          <w:cantSplit/>
        </w:trPr>
        <w:tc>
          <w:tcPr/>
          <w:p>
            <w:pPr>
              <w:pStyle w:val="Tabla9"/>
              <w:jc w:val="left"/>
            </w:pPr>
            <w:r>
              <w:t xml:space="preserve">Tasa de crecimiento anual compuesta (CAGR)</w:t>
            </w:r>
          </w:p>
        </w:tc>
        <w:tc>
          <w:tcPr/>
          <w:p>
            <w:pPr>
              <w:pStyle w:val="Tabla9"/>
              <w:jc w:val="left"/>
            </w:pPr>
            <w:r>
              <w:t xml:space="preserve">(valor final dividido por valor inicial) elevado a 1 sobre n, menos 1; ventanas 2019 a 2026, 2021 a 2026 y 2024 a 2026</w:t>
            </w:r>
          </w:p>
        </w:tc>
        <w:tc>
          <w:tcPr/>
          <w:p>
            <w:pPr>
              <w:pStyle w:val="Tabla9"/>
              <w:jc w:val="left"/>
            </w:pPr>
            <w:r>
              <w:t xml:space="preserve">CALCULADO</w:t>
            </w:r>
          </w:p>
        </w:tc>
      </w:tr>
      <w:tr>
        <w:trPr>
          <w:cantSplit/>
        </w:trPr>
        <w:tc>
          <w:tcPr/>
          <w:p>
            <w:pPr>
              <w:pStyle w:val="Tabla9"/>
              <w:jc w:val="left"/>
            </w:pPr>
            <w:r>
              <w:t xml:space="preserve">Red de palabras de título</w:t>
            </w:r>
          </w:p>
        </w:tc>
        <w:tc>
          <w:tcPr/>
          <w:p>
            <w:pPr>
              <w:pStyle w:val="Tabla9"/>
              <w:jc w:val="left"/>
            </w:pPr>
            <w:r>
              <w:t xml:space="preserve">42 títulos; lista de palabras vacías; frecuencia mínima de 2; co-ocurrencia en el mismo título; Louvain con resolución de 1,0</w:t>
            </w:r>
          </w:p>
        </w:tc>
        <w:tc>
          <w:tcPr/>
          <w:p>
            <w:pPr>
              <w:pStyle w:val="Tabla9"/>
              <w:jc w:val="left"/>
            </w:pPr>
            <w:r>
              <w:t xml:space="preserve">CALCULADO</w:t>
            </w:r>
          </w:p>
        </w:tc>
      </w:tr>
      <w:tr>
        <w:trPr>
          <w:cantSplit/>
        </w:trPr>
        <w:tc>
          <w:tcPr/>
          <w:p>
            <w:pPr>
              <w:pStyle w:val="Tabla9"/>
              <w:jc w:val="left"/>
            </w:pPr>
            <w:r>
              <w:t xml:space="preserve">Redes y tópicos de texto completo</w:t>
            </w:r>
          </w:p>
        </w:tc>
        <w:tc>
          <w:tcPr/>
          <w:p>
            <w:pPr>
              <w:pStyle w:val="Tabla9"/>
              <w:jc w:val="left"/>
            </w:pPr>
            <w:r>
              <w:t xml:space="preserve">TF-IDF, k-means (K de 15), LDA (K de 25), co-palabras (584 nodos) y acoplamiento (102 pares)</w:t>
            </w:r>
          </w:p>
        </w:tc>
        <w:tc>
          <w:tcPr/>
          <w:p>
            <w:pPr>
              <w:pStyle w:val="Tabla9"/>
              <w:jc w:val="left"/>
            </w:pPr>
            <w:r>
              <w:t xml:space="preserve">DOCUMENTADO (F-INF §7)</w:t>
            </w:r>
          </w:p>
        </w:tc>
      </w:tr>
      <w:tr>
        <w:trPr>
          <w:cantSplit/>
        </w:trPr>
        <w:tc>
          <w:tcPr/>
          <w:p>
            <w:pPr>
              <w:pStyle w:val="Tabla9"/>
              <w:jc w:val="left"/>
            </w:pPr>
            <w:r>
              <w:t xml:space="preserve">Madurez y robustez</w:t>
            </w:r>
          </w:p>
        </w:tc>
        <w:tc>
          <w:tcPr/>
          <w:p>
            <w:pPr>
              <w:pStyle w:val="Tabla9"/>
              <w:jc w:val="left"/>
            </w:pPr>
            <w:r>
              <w:t xml:space="preserve">Rúbricas del analista con escalas ordinales de 1 a 9 y de 0 a 10</w:t>
            </w:r>
          </w:p>
        </w:tc>
        <w:tc>
          <w:tcPr/>
          <w:p>
            <w:pPr>
              <w:pStyle w:val="Tabla9"/>
              <w:jc w:val="left"/>
            </w:pPr>
            <w:r>
              <w:t xml:space="preserve">DOCUMENTADO (F-INF §2.2 y §3.2)</w:t>
            </w:r>
          </w:p>
        </w:tc>
      </w:tr>
    </w:tbl>
    <w:p>
      <w:pPr>
        <w:pStyle w:val="TablaNota"/>
      </w:pPr>
      <w:r>
        <w:rPr>
          <w:i/>
          <w:iCs/>
        </w:rPr>
        <w:t xml:space="preserve">Nota.</w:t>
      </w:r>
      <w:r>
        <w:t xml:space="preserve"> </w:t>
      </w:r>
      <w:r>
        <w:t xml:space="preserve">Elaboración propia con datos de F-INF §2.2 (p. 14), §3.2 (p. 22) y §7 (pp. 72-95). Las versiones corresponden al entorno de esta corrida. Corpus de 42 documentos; año de corte 2026; semilla 42.</w:t>
      </w:r>
    </w:p>
    <w:p>
      <w:pPr>
        <w:pStyle w:val="BodyText"/>
      </w:pPr>
      <w:r>
        <w:t xml:space="preserve">Los parámetros heredados provienen de procedimientos que usan texto completo, como las redes de co-palabras y el acoplamiento bibliográfico (F-INF §7, pp. 72-95). El proyecto no los recalcula porque no dispone de los textos completos. Los parámetros calculados dependen solo de la bibliografía. Cualquier revisor puede repetirlos con el archivo de 42 referencias y la semilla 42. Los resultados de ambos tipos se rotulan con su naturaleza en cada tabla. El protocolo sigue la lógica del mapeo científico que implementa bibliometrix (Aria y Cuccurullo, 2017), con las adaptaciones que exige un corpus pequeño.</w:t>
      </w:r>
    </w:p>
    <w:bookmarkEnd w:id="138"/>
    <w:bookmarkStart w:id="139" w:name="_Toc00900069"/>
    <w:p>
      <w:pPr>
        <w:pStyle w:val="Heading3"/>
      </w:pPr>
      <w:r>
        <w:t xml:space="preserve">3.3.2 Definiciones operativas</w:t>
      </w:r>
    </w:p>
    <w:p>
      <w:pPr>
        <w:pStyle w:val="FirstParagraph"/>
      </w:pPr>
      <w:r>
        <w:t xml:space="preserve">El análisis define autor por apellido y primera inicial. Esa clave coincide con la del informe de vigilancia, que reporta 213 autores únicos. Dos autores de Bang et al. (2026) comparten apellido e inicial (Kim, K. H. y Kim, K.-R.) y se cuentan como uno. El máximo posible de autores únicos es por tanto 214. La diferencia no altera ninguna conclusión.</w:t>
      </w:r>
    </w:p>
    <w:p>
      <w:pPr>
        <w:pStyle w:val="BodyText"/>
      </w:pPr>
      <w:r>
        <w:t xml:space="preserve">La productividad es el número de documentos por autor. La fuente de un artículo es su revista. Las patentes se agrupan por oficina de publicación y el informe institucional por entidad emisora. Esta definición evita mezclar revistas con oficinas en una misma distribución de Bradford, que se calcula solo sobre los 26 artículos.</w:t>
      </w:r>
    </w:p>
    <w:p>
      <w:pPr>
        <w:pStyle w:val="BodyText"/>
      </w:pPr>
      <w:r>
        <w:t xml:space="preserve">Las eras históricas resultan de una segmentación de la serie anual. El algoritmo prueba todas las particiones en tres tramos contiguos y elige la de menor suma de cuadrados intra-tramo. Con 32 años calendario, el resultado es 1995 a 2023, 2024 a 2025 y 2026. La tasa de crecimiento anual compuesta se calcula en tres ventanas porque depende de los años de inicio y de fin. La ventana principal es 2019 a 2026, la única serie continua sin años vacíos.</w:t>
      </w:r>
    </w:p>
    <w:p>
      <w:pPr>
        <w:pStyle w:val="BodyText"/>
      </w:pPr>
      <w:r>
        <w:t xml:space="preserve">La red de palabras de título usa los títulos de los 42 documentos. Se eliminaron las palabras vacías y se equipararon cuatro términos del español a su equivalente en inglés: aire, calidad, salud y gestión. Se conservaron las 49 palabras con frecuencia de dos o más. Dos palabras quedan enlazadas cuando aparecen en el mismo título. La red resultante tiene 260 aristas, cinco comunidades de Louvain y modularidad de 0,27. Esta red es una herramienta complementaria. Aplica la lógica de la co-ocurrencia para el mapeo bibliométrico (van Eck y Waltman, 2010). Se rotula palabras de título porque el informe no reporta las palabras clave de cada documento.</w:t>
      </w:r>
    </w:p>
    <w:bookmarkEnd w:id="139"/>
    <w:bookmarkEnd w:id="140"/>
    <w:bookmarkStart w:id="141" w:name="X0efde146865472ad2cd3a5830dd2aa426544bf7"/>
    <w:p>
      <w:pPr>
        <w:pStyle w:val="Heading2"/>
      </w:pPr>
      <w:r>
        <w:t xml:space="preserve">3.4 Reglas de corpus pequeño aplicadas a Lotka y a Bradford</w:t>
      </w:r>
    </w:p>
    <w:p>
      <w:pPr>
        <w:pStyle w:val="FirstParagraph"/>
      </w:pPr>
      <w:r>
        <w:t xml:space="preserve">El Paso 3.5 impone tres reglas condicionales a las leyes de Lotka (1926) y de Bradford (1934). La primera exige la etiqueta estimación exploratoria cuando el corpus tiene menos de 100 documentos. La segunda exige un intervalo de confianza de 95 % por remuestreo con 1.000 réplicas. La tercera ordena sustituir las leyes por estadística descriptiva cuando el corpus tiene menos de 45 documentos. El corpus tiene 42 documentos, de modo que las tres reglas aplican. La Tabla F3.6 resume cada regla, su condición y la forma en que se aplicó.</w:t>
      </w:r>
    </w:p>
    <w:p>
      <w:pPr>
        <w:pStyle w:val="TablaRotulo"/>
      </w:pPr>
      <w:bookmarkStart w:id="9076" w:name="rot_Tabla_F3_6"/>
      <w:r>
        <w:rPr>
          <w:b/>
          <w:bCs/>
        </w:rPr>
        <w:t xml:space="preserve">Tabla F3.6</w:t>
      </w:r>
      <w:bookmarkEnd w:id="9076"/>
    </w:p>
    <w:p>
      <w:pPr>
        <w:pStyle w:val="TablaTitulo"/>
      </w:pPr>
      <w:r>
        <w:rPr>
          <w:i/>
          <w:iCs/>
        </w:rPr>
        <w:t xml:space="preserve">Reglas condicionales de corpus pequeño y su aplicación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30"/>
        <w:gridCol w:w="2529"/>
        <w:gridCol w:w="1397"/>
        <w:gridCol w:w="2063"/>
      </w:tblGrid>
      <w:tr>
        <w:trPr>
          <w:cantSplit/>
          <w:tblHeader/>
        </w:trPr>
        <w:tc>
          <w:tcPr>
            <w:shd w:val="clear" w:color="auto" w:fill="00B050"/>
          </w:tcPr>
          <w:p>
            <w:pPr>
              <w:pStyle w:val="Tabla9"/>
              <w:jc w:val="center"/>
            </w:pPr>
            <w:r>
              <w:rPr>
                <w:b/>
                <w:color w:val="FFFFFF"/>
              </w:rPr>
              <w:t xml:space="preserve">Regla</w:t>
            </w:r>
          </w:p>
        </w:tc>
        <w:tc>
          <w:tcPr>
            <w:shd w:val="clear" w:color="auto" w:fill="00B050"/>
          </w:tcPr>
          <w:p>
            <w:pPr>
              <w:pStyle w:val="Tabla9"/>
              <w:jc w:val="center"/>
            </w:pPr>
            <w:r>
              <w:rPr>
                <w:b/>
                <w:color w:val="FFFFFF"/>
              </w:rPr>
              <w:t xml:space="preserve">Condición</w:t>
            </w:r>
          </w:p>
        </w:tc>
        <w:tc>
          <w:tcPr>
            <w:shd w:val="clear" w:color="auto" w:fill="00B050"/>
          </w:tcPr>
          <w:p>
            <w:pPr>
              <w:pStyle w:val="Tabla9"/>
              <w:jc w:val="center"/>
            </w:pPr>
            <w:r>
              <w:rPr>
                <w:b/>
                <w:color w:val="FFFFFF"/>
              </w:rPr>
              <w:t xml:space="preserve">Estado del corpus</w:t>
            </w:r>
          </w:p>
        </w:tc>
        <w:tc>
          <w:tcPr>
            <w:shd w:val="clear" w:color="auto" w:fill="00B050"/>
          </w:tcPr>
          <w:p>
            <w:pPr>
              <w:pStyle w:val="Tabla9"/>
              <w:jc w:val="center"/>
            </w:pPr>
            <w:r>
              <w:rPr>
                <w:b/>
                <w:color w:val="FFFFFF"/>
              </w:rPr>
              <w:t xml:space="preserve">Aplicación en este proyecto</w:t>
            </w:r>
          </w:p>
        </w:tc>
      </w:tr>
      <w:tr>
        <w:trPr>
          <w:cantSplit/>
        </w:trPr>
        <w:tc>
          <w:tcPr/>
          <w:p>
            <w:pPr>
              <w:pStyle w:val="Tabla9"/>
              <w:jc w:val="left"/>
            </w:pPr>
            <w:r>
              <w:t xml:space="preserve">R1 Advertencia</w:t>
            </w:r>
          </w:p>
        </w:tc>
        <w:tc>
          <w:tcPr/>
          <w:p>
            <w:pPr>
              <w:pStyle w:val="Tabla9"/>
              <w:jc w:val="left"/>
            </w:pPr>
            <w:r>
              <w:t xml:space="preserve">Menos de 100 documentos</w:t>
            </w:r>
          </w:p>
        </w:tc>
        <w:tc>
          <w:tcPr/>
          <w:p>
            <w:pPr>
              <w:pStyle w:val="Tabla9"/>
              <w:jc w:val="left"/>
            </w:pPr>
            <w:r>
              <w:t xml:space="preserve">42 documentos</w:t>
            </w:r>
          </w:p>
        </w:tc>
        <w:tc>
          <w:tcPr/>
          <w:p>
            <w:pPr>
              <w:pStyle w:val="Tabla9"/>
              <w:jc w:val="left"/>
            </w:pPr>
            <w:r>
              <w:t xml:space="preserve">α y φ se rotulan estimación exploratoria</w:t>
            </w:r>
          </w:p>
        </w:tc>
      </w:tr>
      <w:tr>
        <w:trPr>
          <w:cantSplit/>
        </w:trPr>
        <w:tc>
          <w:tcPr/>
          <w:p>
            <w:pPr>
              <w:pStyle w:val="Tabla9"/>
              <w:jc w:val="left"/>
            </w:pPr>
            <w:r>
              <w:t xml:space="preserve">R2 Remuestreo</w:t>
            </w:r>
          </w:p>
        </w:tc>
        <w:tc>
          <w:tcPr/>
          <w:p>
            <w:pPr>
              <w:pStyle w:val="Tabla9"/>
              <w:jc w:val="left"/>
            </w:pPr>
            <w:r>
              <w:t xml:space="preserve">Bootstrap de 1.000 réplicas con intervalo de 95 %</w:t>
            </w:r>
          </w:p>
        </w:tc>
        <w:tc>
          <w:tcPr/>
          <w:p>
            <w:pPr>
              <w:pStyle w:val="Tabla9"/>
              <w:jc w:val="left"/>
            </w:pPr>
            <w:r>
              <w:t xml:space="preserve">Semilla 42; intervalos calculados</w:t>
            </w:r>
          </w:p>
        </w:tc>
        <w:tc>
          <w:tcPr/>
          <w:p>
            <w:pPr>
              <w:pStyle w:val="Tabla9"/>
              <w:jc w:val="left"/>
            </w:pPr>
            <w:r>
              <w:t xml:space="preserve">IC de α por máxima verosimilitud: 2,35 a 2,42; por mínimos cuadrados: 3,72 a 6,13; IC de φ: 1,00 a 2,50</w:t>
            </w:r>
          </w:p>
        </w:tc>
      </w:tr>
      <w:tr>
        <w:trPr>
          <w:cantSplit/>
        </w:trPr>
        <w:tc>
          <w:tcPr/>
          <w:p>
            <w:pPr>
              <w:pStyle w:val="Tabla9"/>
              <w:jc w:val="left"/>
            </w:pPr>
            <w:r>
              <w:t xml:space="preserve">R2 Indeterminación</w:t>
            </w:r>
          </w:p>
        </w:tc>
        <w:tc>
          <w:tcPr/>
          <w:p>
            <w:pPr>
              <w:pStyle w:val="Tabla9"/>
              <w:jc w:val="left"/>
            </w:pPr>
            <w:r>
              <w:t xml:space="preserve">Si el IC de α cruza 2, la lectura es INDETERMINADA</w:t>
            </w:r>
          </w:p>
        </w:tc>
        <w:tc>
          <w:tcPr/>
          <w:p>
            <w:pPr>
              <w:pStyle w:val="Tabla9"/>
              <w:jc w:val="left"/>
            </w:pPr>
            <w:r>
              <w:t xml:space="preserve">Ningún IC de α cruza 2</w:t>
            </w:r>
          </w:p>
        </w:tc>
        <w:tc>
          <w:tcPr/>
          <w:p>
            <w:pPr>
              <w:pStyle w:val="Tabla9"/>
              <w:jc w:val="left"/>
            </w:pPr>
            <w:r>
              <w:t xml:space="preserve">No se declara indeterminación por esta regla</w:t>
            </w:r>
          </w:p>
        </w:tc>
      </w:tr>
      <w:tr>
        <w:trPr>
          <w:cantSplit/>
        </w:trPr>
        <w:tc>
          <w:tcPr/>
          <w:p>
            <w:pPr>
              <w:pStyle w:val="Tabla9"/>
              <w:jc w:val="left"/>
            </w:pPr>
            <w:r>
              <w:t xml:space="preserve">R3 Sustitución</w:t>
            </w:r>
          </w:p>
        </w:tc>
        <w:tc>
          <w:tcPr/>
          <w:p>
            <w:pPr>
              <w:pStyle w:val="Tabla9"/>
              <w:jc w:val="left"/>
            </w:pPr>
            <w:r>
              <w:t xml:space="preserve">Menos de 45 documentos: sustituir por estadística descriptiva</w:t>
            </w:r>
          </w:p>
        </w:tc>
        <w:tc>
          <w:tcPr/>
          <w:p>
            <w:pPr>
              <w:pStyle w:val="Tabla9"/>
              <w:jc w:val="left"/>
            </w:pPr>
            <w:r>
              <w:t xml:space="preserve">42 documentos</w:t>
            </w:r>
          </w:p>
        </w:tc>
        <w:tc>
          <w:tcPr/>
          <w:p>
            <w:pPr>
              <w:pStyle w:val="Tabla9"/>
              <w:jc w:val="left"/>
            </w:pPr>
            <w:r>
              <w:t xml:space="preserve">La estadística descriptiva es la lectura vigente; el ajuste se conserva como ilustración</w:t>
            </w:r>
          </w:p>
        </w:tc>
      </w:tr>
    </w:tbl>
    <w:p>
      <w:pPr>
        <w:pStyle w:val="TablaNota"/>
      </w:pPr>
      <w:r>
        <w:rPr>
          <w:i/>
          <w:iCs/>
        </w:rPr>
        <w:t xml:space="preserve">Nota.</w:t>
      </w:r>
      <w:r>
        <w:t xml:space="preserve"> </w:t>
      </w:r>
      <w:r>
        <w:t xml:space="preserve">Elaboración propia con las reglas R1 a R3 del Paso 3.5 del metaprompt y cálculos propios (CALCULADO). Corpus de 42 documentos; año de corte 2026; semilla 42.</w:t>
      </w:r>
    </w:p>
    <w:p>
      <w:pPr>
        <w:pStyle w:val="BodyText"/>
      </w:pPr>
      <w:r>
        <w:t xml:space="preserve">El proyecto presenta primero la estadística descriptiva y conserva el ajuste de α y de φ como ilustración del procedimiento. Los 213 autores se distribuyen en dos niveles de productividad. Un total de 204 autores firma un documento (95,8 %) y nueve firman dos. Ningún autor firma tres. Los 26 artículos se distribuyen en 19 revistas, y 15 revistas aportan un solo artículo (78,9 %). Tres revistas reúnen nueve artículos (34,6 %).</w:t>
      </w:r>
    </w:p>
    <w:p>
      <w:pPr>
        <w:pStyle w:val="BodyText"/>
      </w:pPr>
      <w:r>
        <w:t xml:space="preserve">Las dos leyes cumplen funciones distintas. La ley de Lotka (1926) describe cuántos autores producen cada número de documentos. La ley de Bradford (1934) describe cómo se dispersan los documentos de un tema entre las revistas. Ambas se formularon para literaturas amplias y acumuladas durante años. Un corpus de 42 documentos seleccionado por tema no cumple esa condición. Aun así, el cálculo tiene valor descriptivo, porque cuantifica la dispersión que el proyecto necesita conocer para diseñar su vigilancia. El proyecto adopta la posición prudente: informa el valor, informa su intervalo y no lo interpreta como ley del campo.</w:t>
      </w:r>
    </w:p>
    <w:p>
      <w:pPr>
        <w:pStyle w:val="BodyText"/>
      </w:pPr>
      <w:r>
        <w:t xml:space="preserve">El ajuste exploratorio de α da 2,38 por máxima verosimilitud y 4,50 por mínimos cuadrados. Los intervalos de 95 % van de 2,35 a 2,42 y de 3,72 a 6,13. La distancia entre ambos métodos muestra que la magnitud de α no es estable con dos niveles de productividad. Con dos puntos no hay grados de libertad. El parámetro φ de Bradford vale 2,67 entre las zonas 1 y 2 y 1,00 entre las zonas 2 y 3. Su intervalo de 95 % para la primera transición va de 1,00 a 2,50.</w:t>
      </w:r>
    </w:p>
    <w:bookmarkEnd w:id="141"/>
    <w:bookmarkStart w:id="142" w:name="X341f4ad90f3d7e3043557112df6472761627fe0"/>
    <w:p>
      <w:pPr>
        <w:pStyle w:val="Heading2"/>
      </w:pPr>
      <w:r>
        <w:t xml:space="preserve">3.5 Resultados del Paso 3 y remisión al Capítulo 2</w:t>
      </w:r>
    </w:p>
    <w:p>
      <w:pPr>
        <w:pStyle w:val="FirstParagraph"/>
      </w:pPr>
      <w:r>
        <w:t xml:space="preserve">Las figuras y las tablas analíticas del Paso 3 ocupan el Capítulo 2, sección 2.2. Allí se desarrollan 14 subsecciones, desde el diagrama PRISMA hasta la síntesis de brechas. La Tabla F3.7 resume los indicadores principales y señala dónde se interpreta cada uno. Los indicadores se leen con las limitaciones de la sección 3.7. Para el detalle de cada análisis, véase el Capítulo 2, sección 2.2.</w:t>
      </w:r>
    </w:p>
    <w:p>
      <w:pPr>
        <w:pStyle w:val="BodyText"/>
      </w:pPr>
      <w:r>
        <w:t xml:space="preserve">Las subsecciones 2.2.1 y 2.2.2 describen la selección y la producción temporal. Las subsecciones 2.2.3 y 2.2.4 tratan autores y fuentes con las leyes de Lotka y de Bradford. Las subsecciones 2.2.5 a 2.2.8 analizan la estructura temática con la red de co-ocurrencia, el acoplamiento bibliográfico, el mapa estratégico y la evolución por eras. Las subsecciones 2.2.9 a 2.2.11 usan los niveles de madurez para construir el gráfico de burbujas, el radar y el mapa de calor. Las subsecciones 2.2.12 y 2.2.13 cubren la geografía y la robustez. La subsección 2.2.14 consolida las brechas, y la sección 2.3 analiza las patentes y la libertad de operación.</w:t>
      </w:r>
    </w:p>
    <w:p>
      <w:pPr>
        <w:pStyle w:val="TablaRotulo"/>
      </w:pPr>
      <w:bookmarkStart w:id="9077" w:name="rot_Tabla_F3_7"/>
      <w:r>
        <w:rPr>
          <w:b/>
          <w:bCs/>
        </w:rPr>
        <w:t xml:space="preserve">Tabla F3.7</w:t>
      </w:r>
      <w:bookmarkEnd w:id="9077"/>
    </w:p>
    <w:p>
      <w:pPr>
        <w:pStyle w:val="TablaTitulo"/>
      </w:pPr>
      <w:r>
        <w:rPr>
          <w:i/>
          <w:iCs/>
        </w:rPr>
        <w:t xml:space="preserve">Indicadores principales del Paso 3 y ubicación de su análisis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96"/>
        <w:gridCol w:w="2196"/>
        <w:gridCol w:w="2129"/>
        <w:gridCol w:w="1597"/>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Ubicación</w:t>
            </w:r>
          </w:p>
        </w:tc>
      </w:tr>
      <w:tr>
        <w:trPr>
          <w:cantSplit/>
        </w:trPr>
        <w:tc>
          <w:tcPr/>
          <w:p>
            <w:pPr>
              <w:pStyle w:val="Tabla9"/>
              <w:jc w:val="left"/>
            </w:pPr>
            <w:r>
              <w:t xml:space="preserve">Corpus por tipo</w:t>
            </w:r>
          </w:p>
        </w:tc>
        <w:tc>
          <w:tcPr/>
          <w:p>
            <w:pPr>
              <w:pStyle w:val="Tabla9"/>
              <w:jc w:val="left"/>
            </w:pPr>
            <w:r>
              <w:t xml:space="preserve">42 documentos: 26 artículos, 15 patentes, 1 informe</w:t>
            </w:r>
          </w:p>
        </w:tc>
        <w:tc>
          <w:tcPr/>
          <w:p>
            <w:pPr>
              <w:pStyle w:val="Tabla9"/>
              <w:jc w:val="left"/>
            </w:pPr>
            <w:r>
              <w:t xml:space="preserve">DOCUMENTADO</w:t>
            </w:r>
          </w:p>
        </w:tc>
        <w:tc>
          <w:tcPr/>
          <w:p>
            <w:pPr>
              <w:pStyle w:val="Tabla9"/>
              <w:jc w:val="left"/>
            </w:pPr>
            <w:r>
              <w:t xml:space="preserve">Capítulo 2, sección 2.2.1</w:t>
            </w:r>
          </w:p>
        </w:tc>
      </w:tr>
      <w:tr>
        <w:trPr>
          <w:cantSplit/>
        </w:trPr>
        <w:tc>
          <w:tcPr/>
          <w:p>
            <w:pPr>
              <w:pStyle w:val="Tabla9"/>
              <w:jc w:val="left"/>
            </w:pPr>
            <w:r>
              <w:t xml:space="preserve">Producción anual</w:t>
            </w:r>
          </w:p>
        </w:tc>
        <w:tc>
          <w:tcPr/>
          <w:p>
            <w:pPr>
              <w:pStyle w:val="Tabla9"/>
              <w:jc w:val="left"/>
            </w:pPr>
            <w:r>
              <w:t xml:space="preserve">Pico de 17 documentos en 2026 (40,5 %); CAGR 2019 a 2026 de 35,8 %</w:t>
            </w:r>
          </w:p>
        </w:tc>
        <w:tc>
          <w:tcPr/>
          <w:p>
            <w:pPr>
              <w:pStyle w:val="Tabla9"/>
              <w:jc w:val="left"/>
            </w:pPr>
            <w:r>
              <w:t xml:space="preserve">CALCULADO</w:t>
            </w:r>
          </w:p>
        </w:tc>
        <w:tc>
          <w:tcPr/>
          <w:p>
            <w:pPr>
              <w:pStyle w:val="Tabla9"/>
              <w:jc w:val="left"/>
            </w:pPr>
            <w:r>
              <w:t xml:space="preserve">Capítulo 2, sección 2.2.2</w:t>
            </w:r>
          </w:p>
        </w:tc>
      </w:tr>
      <w:tr>
        <w:trPr>
          <w:cantSplit/>
        </w:trPr>
        <w:tc>
          <w:tcPr/>
          <w:p>
            <w:pPr>
              <w:pStyle w:val="Tabla9"/>
              <w:jc w:val="left"/>
            </w:pPr>
            <w:r>
              <w:t xml:space="preserve">Concentración temporal</w:t>
            </w:r>
          </w:p>
        </w:tc>
        <w:tc>
          <w:tcPr/>
          <w:p>
            <w:pPr>
              <w:pStyle w:val="Tabla9"/>
              <w:jc w:val="left"/>
            </w:pPr>
            <w:r>
              <w:t xml:space="preserve">35 de 42 (83,3 %) en 2022 a 2026</w:t>
            </w:r>
          </w:p>
        </w:tc>
        <w:tc>
          <w:tcPr/>
          <w:p>
            <w:pPr>
              <w:pStyle w:val="Tabla9"/>
              <w:jc w:val="left"/>
            </w:pPr>
            <w:r>
              <w:t xml:space="preserve">CALCULADO</w:t>
            </w:r>
          </w:p>
        </w:tc>
        <w:tc>
          <w:tcPr/>
          <w:p>
            <w:pPr>
              <w:pStyle w:val="Tabla9"/>
              <w:jc w:val="left"/>
            </w:pPr>
            <w:r>
              <w:t xml:space="preserve">Capítulo 2, sección 2.2.2</w:t>
            </w:r>
          </w:p>
        </w:tc>
      </w:tr>
      <w:tr>
        <w:trPr>
          <w:cantSplit/>
        </w:trPr>
        <w:tc>
          <w:tcPr/>
          <w:p>
            <w:pPr>
              <w:pStyle w:val="Tabla9"/>
              <w:jc w:val="left"/>
            </w:pPr>
            <w:r>
              <w:t xml:space="preserve">Autores</w:t>
            </w:r>
          </w:p>
        </w:tc>
        <w:tc>
          <w:tcPr/>
          <w:p>
            <w:pPr>
              <w:pStyle w:val="Tabla9"/>
              <w:jc w:val="left"/>
            </w:pPr>
            <w:r>
              <w:t xml:space="preserve">213 autores; 95,8 % con un documento; α exploratorio de 2,38</w:t>
            </w:r>
          </w:p>
        </w:tc>
        <w:tc>
          <w:tcPr/>
          <w:p>
            <w:pPr>
              <w:pStyle w:val="Tabla9"/>
              <w:jc w:val="left"/>
            </w:pPr>
            <w:r>
              <w:t xml:space="preserve">CALCULADO</w:t>
            </w:r>
          </w:p>
        </w:tc>
        <w:tc>
          <w:tcPr/>
          <w:p>
            <w:pPr>
              <w:pStyle w:val="Tabla9"/>
              <w:jc w:val="left"/>
            </w:pPr>
            <w:r>
              <w:t xml:space="preserve">Capítulo 2, sección 2.2.3</w:t>
            </w:r>
          </w:p>
        </w:tc>
      </w:tr>
      <w:tr>
        <w:trPr>
          <w:cantSplit/>
        </w:trPr>
        <w:tc>
          <w:tcPr/>
          <w:p>
            <w:pPr>
              <w:pStyle w:val="Tabla9"/>
              <w:jc w:val="left"/>
            </w:pPr>
            <w:r>
              <w:t xml:space="preserve">Fuentes</w:t>
            </w:r>
          </w:p>
        </w:tc>
        <w:tc>
          <w:tcPr/>
          <w:p>
            <w:pPr>
              <w:pStyle w:val="Tabla9"/>
              <w:jc w:val="left"/>
            </w:pPr>
            <w:r>
              <w:t xml:space="preserve">19 revistas; zonas de 3, 8 y 8 revistas; φ de 2,67</w:t>
            </w:r>
          </w:p>
        </w:tc>
        <w:tc>
          <w:tcPr/>
          <w:p>
            <w:pPr>
              <w:pStyle w:val="Tabla9"/>
              <w:jc w:val="left"/>
            </w:pPr>
            <w:r>
              <w:t xml:space="preserve">CALCULADO</w:t>
            </w:r>
          </w:p>
        </w:tc>
        <w:tc>
          <w:tcPr/>
          <w:p>
            <w:pPr>
              <w:pStyle w:val="Tabla9"/>
              <w:jc w:val="left"/>
            </w:pPr>
            <w:r>
              <w:t xml:space="preserve">Capítulo 2, sección 2.2.4</w:t>
            </w:r>
          </w:p>
        </w:tc>
      </w:tr>
      <w:tr>
        <w:trPr>
          <w:cantSplit/>
        </w:trPr>
        <w:tc>
          <w:tcPr/>
          <w:p>
            <w:pPr>
              <w:pStyle w:val="Tabla9"/>
              <w:jc w:val="left"/>
            </w:pPr>
            <w:r>
              <w:t xml:space="preserve">Red de co-palabras de texto completo</w:t>
            </w:r>
          </w:p>
        </w:tc>
        <w:tc>
          <w:tcPr/>
          <w:p>
            <w:pPr>
              <w:pStyle w:val="Tabla9"/>
              <w:jc w:val="left"/>
            </w:pPr>
            <w:r>
              <w:t xml:space="preserve">584 nodos; 8 comunidades; modularidad de 0,311</w:t>
            </w:r>
          </w:p>
        </w:tc>
        <w:tc>
          <w:tcPr/>
          <w:p>
            <w:pPr>
              <w:pStyle w:val="Tabla9"/>
              <w:jc w:val="left"/>
            </w:pPr>
            <w:r>
              <w:t xml:space="preserve">DOCUMENTADO</w:t>
            </w:r>
          </w:p>
        </w:tc>
        <w:tc>
          <w:tcPr/>
          <w:p>
            <w:pPr>
              <w:pStyle w:val="Tabla9"/>
              <w:jc w:val="left"/>
            </w:pPr>
            <w:r>
              <w:t xml:space="preserve">Capítulo 2, sección 2.2.5</w:t>
            </w:r>
          </w:p>
        </w:tc>
      </w:tr>
      <w:tr>
        <w:trPr>
          <w:cantSplit/>
        </w:trPr>
        <w:tc>
          <w:tcPr/>
          <w:p>
            <w:pPr>
              <w:pStyle w:val="Tabla9"/>
              <w:jc w:val="left"/>
            </w:pPr>
            <w:r>
              <w:t xml:space="preserve">Red de palabras de título</w:t>
            </w:r>
          </w:p>
        </w:tc>
        <w:tc>
          <w:tcPr/>
          <w:p>
            <w:pPr>
              <w:pStyle w:val="Tabla9"/>
              <w:jc w:val="left"/>
            </w:pPr>
            <w:r>
              <w:t xml:space="preserve">49 nodos; 5 comunidades; modularidad de 0,27</w:t>
            </w:r>
          </w:p>
        </w:tc>
        <w:tc>
          <w:tcPr/>
          <w:p>
            <w:pPr>
              <w:pStyle w:val="Tabla9"/>
              <w:jc w:val="left"/>
            </w:pPr>
            <w:r>
              <w:t xml:space="preserve">CALCULADO</w:t>
            </w:r>
          </w:p>
        </w:tc>
        <w:tc>
          <w:tcPr/>
          <w:p>
            <w:pPr>
              <w:pStyle w:val="Tabla9"/>
              <w:jc w:val="left"/>
            </w:pPr>
            <w:r>
              <w:t xml:space="preserve">Capítulo 2, sección 2.2.5</w:t>
            </w:r>
          </w:p>
        </w:tc>
      </w:tr>
      <w:tr>
        <w:trPr>
          <w:cantSplit/>
        </w:trPr>
        <w:tc>
          <w:tcPr/>
          <w:p>
            <w:pPr>
              <w:pStyle w:val="Tabla9"/>
              <w:jc w:val="left"/>
            </w:pPr>
            <w:r>
              <w:t xml:space="preserve">Acoplamiento bibliográfico</w:t>
            </w:r>
          </w:p>
        </w:tc>
        <w:tc>
          <w:tcPr/>
          <w:p>
            <w:pPr>
              <w:pStyle w:val="Tabla9"/>
              <w:jc w:val="left"/>
            </w:pPr>
            <w:r>
              <w:t xml:space="preserve">102 pares; máximo de 12 referencias compartidas</w:t>
            </w:r>
          </w:p>
        </w:tc>
        <w:tc>
          <w:tcPr/>
          <w:p>
            <w:pPr>
              <w:pStyle w:val="Tabla9"/>
              <w:jc w:val="left"/>
            </w:pPr>
            <w:r>
              <w:t xml:space="preserve">DOCUMENTADO</w:t>
            </w:r>
          </w:p>
        </w:tc>
        <w:tc>
          <w:tcPr/>
          <w:p>
            <w:pPr>
              <w:pStyle w:val="Tabla9"/>
              <w:jc w:val="left"/>
            </w:pPr>
            <w:r>
              <w:t xml:space="preserve">Capítulo 2, sección 2.2.6</w:t>
            </w:r>
          </w:p>
        </w:tc>
      </w:tr>
      <w:tr>
        <w:trPr>
          <w:cantSplit/>
        </w:trPr>
        <w:tc>
          <w:tcPr/>
          <w:p>
            <w:pPr>
              <w:pStyle w:val="Tabla9"/>
              <w:jc w:val="left"/>
            </w:pPr>
            <w:r>
              <w:t xml:space="preserve">Mapa estratégico</w:t>
            </w:r>
          </w:p>
        </w:tc>
        <w:tc>
          <w:tcPr/>
          <w:p>
            <w:pPr>
              <w:pStyle w:val="Tabla9"/>
              <w:jc w:val="left"/>
            </w:pPr>
            <w:r>
              <w:t xml:space="preserve">4 comunidades motoras y 4 emergentes o marginales</w:t>
            </w:r>
          </w:p>
        </w:tc>
        <w:tc>
          <w:tcPr/>
          <w:p>
            <w:pPr>
              <w:pStyle w:val="Tabla9"/>
              <w:jc w:val="left"/>
            </w:pPr>
            <w:r>
              <w:t xml:space="preserve">DOCUMENTADO</w:t>
            </w:r>
          </w:p>
        </w:tc>
        <w:tc>
          <w:tcPr/>
          <w:p>
            <w:pPr>
              <w:pStyle w:val="Tabla9"/>
              <w:jc w:val="left"/>
            </w:pPr>
            <w:r>
              <w:t xml:space="preserve">Capítulo 2, sección 2.2.7</w:t>
            </w:r>
          </w:p>
        </w:tc>
      </w:tr>
      <w:tr>
        <w:trPr>
          <w:cantSplit/>
        </w:trPr>
        <w:tc>
          <w:tcPr/>
          <w:p>
            <w:pPr>
              <w:pStyle w:val="Tabla9"/>
              <w:jc w:val="left"/>
            </w:pPr>
            <w:r>
              <w:t xml:space="preserve">Madurez</w:t>
            </w:r>
          </w:p>
        </w:tc>
        <w:tc>
          <w:tcPr/>
          <w:p>
            <w:pPr>
              <w:pStyle w:val="Tabla9"/>
              <w:jc w:val="left"/>
            </w:pPr>
            <w:r>
              <w:t xml:space="preserve">TRL 3,85; IRL 2,88; DRL 3,05</w:t>
            </w:r>
          </w:p>
        </w:tc>
        <w:tc>
          <w:tcPr/>
          <w:p>
            <w:pPr>
              <w:pStyle w:val="Tabla9"/>
              <w:jc w:val="left"/>
            </w:pPr>
            <w:r>
              <w:t xml:space="preserve">DOCUMENTADO</w:t>
            </w:r>
          </w:p>
        </w:tc>
        <w:tc>
          <w:tcPr/>
          <w:p>
            <w:pPr>
              <w:pStyle w:val="Tabla9"/>
              <w:jc w:val="left"/>
            </w:pPr>
            <w:r>
              <w:t xml:space="preserve">Capítulo 2, sección 2.2.9</w:t>
            </w:r>
          </w:p>
        </w:tc>
      </w:tr>
      <w:tr>
        <w:trPr>
          <w:cantSplit/>
        </w:trPr>
        <w:tc>
          <w:tcPr/>
          <w:p>
            <w:pPr>
              <w:pStyle w:val="Tabla9"/>
              <w:jc w:val="left"/>
            </w:pPr>
            <w:r>
              <w:t xml:space="preserve">Geografía</w:t>
            </w:r>
          </w:p>
        </w:tc>
        <w:tc>
          <w:tcPr/>
          <w:p>
            <w:pPr>
              <w:pStyle w:val="Tabla9"/>
              <w:jc w:val="left"/>
            </w:pPr>
            <w:r>
              <w:t xml:space="preserve">Colombia con 9 documentos, segundo lugar</w:t>
            </w:r>
          </w:p>
        </w:tc>
        <w:tc>
          <w:tcPr/>
          <w:p>
            <w:pPr>
              <w:pStyle w:val="Tabla9"/>
              <w:jc w:val="left"/>
            </w:pPr>
            <w:r>
              <w:t xml:space="preserve">DOCUMENTADO</w:t>
            </w:r>
          </w:p>
        </w:tc>
        <w:tc>
          <w:tcPr/>
          <w:p>
            <w:pPr>
              <w:pStyle w:val="Tabla9"/>
              <w:jc w:val="left"/>
            </w:pPr>
            <w:r>
              <w:t xml:space="preserve">Capítulo 2, sección 2.2.12</w:t>
            </w:r>
          </w:p>
        </w:tc>
      </w:tr>
      <w:tr>
        <w:trPr>
          <w:cantSplit/>
        </w:trPr>
        <w:tc>
          <w:tcPr/>
          <w:p>
            <w:pPr>
              <w:pStyle w:val="Tabla9"/>
              <w:jc w:val="left"/>
            </w:pPr>
            <w:r>
              <w:t xml:space="preserve">Robustez</w:t>
            </w:r>
          </w:p>
        </w:tc>
        <w:tc>
          <w:tcPr/>
          <w:p>
            <w:pPr>
              <w:pStyle w:val="Tabla9"/>
              <w:jc w:val="left"/>
            </w:pPr>
            <w:r>
              <w:t xml:space="preserve">Media 3,93; desviación estándar 0,75; ningún documento sobre 6,1</w:t>
            </w:r>
          </w:p>
        </w:tc>
        <w:tc>
          <w:tcPr/>
          <w:p>
            <w:pPr>
              <w:pStyle w:val="Tabla9"/>
              <w:jc w:val="left"/>
            </w:pPr>
            <w:r>
              <w:t xml:space="preserve">DOCUMENTADO</w:t>
            </w:r>
          </w:p>
        </w:tc>
        <w:tc>
          <w:tcPr/>
          <w:p>
            <w:pPr>
              <w:pStyle w:val="Tabla9"/>
              <w:jc w:val="left"/>
            </w:pPr>
            <w:r>
              <w:t xml:space="preserve">Capítulo 2, sección 2.2.13</w:t>
            </w:r>
          </w:p>
        </w:tc>
      </w:tr>
      <w:tr>
        <w:trPr>
          <w:cantSplit/>
        </w:trPr>
        <w:tc>
          <w:tcPr/>
          <w:p>
            <w:pPr>
              <w:pStyle w:val="Tabla9"/>
              <w:jc w:val="left"/>
            </w:pPr>
            <w:r>
              <w:t xml:space="preserve">Patentes</w:t>
            </w:r>
          </w:p>
        </w:tc>
        <w:tc>
          <w:tcPr/>
          <w:p>
            <w:pPr>
              <w:pStyle w:val="Tabla9"/>
              <w:jc w:val="left"/>
            </w:pPr>
            <w:r>
              <w:t xml:space="preserve">15 patentes; 10 solicitudes con Colombia designada: 7 con plazo vencido y 3 abiertas</w:t>
            </w:r>
          </w:p>
        </w:tc>
        <w:tc>
          <w:tcPr/>
          <w:p>
            <w:pPr>
              <w:pStyle w:val="Tabla9"/>
              <w:jc w:val="left"/>
            </w:pPr>
            <w:r>
              <w:t xml:space="preserve">DOCUMENTADO</w:t>
            </w:r>
          </w:p>
        </w:tc>
        <w:tc>
          <w:tcPr/>
          <w:p>
            <w:pPr>
              <w:pStyle w:val="Tabla9"/>
              <w:jc w:val="left"/>
            </w:pPr>
            <w:r>
              <w:t xml:space="preserve">Capítulo 2, sección 2.3</w:t>
            </w:r>
          </w:p>
        </w:tc>
      </w:tr>
    </w:tbl>
    <w:p>
      <w:pPr>
        <w:pStyle w:val="TablaNota"/>
      </w:pPr>
      <w:r>
        <w:rPr>
          <w:i/>
          <w:iCs/>
        </w:rPr>
        <w:t xml:space="preserve">Nota.</w:t>
      </w:r>
      <w:r>
        <w:t xml:space="preserve"> </w:t>
      </w:r>
      <w:r>
        <w:t xml:space="preserve">Elaboración propia con datos de F-INF §3.1, §3.2, §6.2, §7.5 a §7.7, Anexo C y cálculos propios. Corpus de 42 documentos; año de corte 2026; semilla 42.</w:t>
      </w:r>
    </w:p>
    <w:p>
      <w:pPr>
        <w:pStyle w:val="BodyText"/>
      </w:pPr>
      <w:r>
        <w:t xml:space="preserve">La tabla confirma que cada resultado del Paso 3 tiene una ubicación y una naturaleza declaradas. Los indicadores calculados dependen de la bibliografía y los heredados dependen del informe. Ningún indicador usa las cifras del Paso 3 del expediente E3. Las 13 figuras del protocolo y la línea de tiempo de patentes están en el Capítulo 2.</w:t>
      </w:r>
    </w:p>
    <w:bookmarkEnd w:id="142"/>
    <w:bookmarkStart w:id="143" w:name="X0a12cccf5beb1759463e2f01103b71733b59422"/>
    <w:p>
      <w:pPr>
        <w:pStyle w:val="Heading2"/>
      </w:pPr>
      <w:r>
        <w:t xml:space="preserve">3.6 Síntesis ejecutiva del análisis bibliométrico</w:t>
      </w:r>
    </w:p>
    <w:p>
      <w:pPr>
        <w:pStyle w:val="FirstParagraph"/>
      </w:pPr>
      <w:r>
        <w:t xml:space="preserve">El corpus reúne 42 documentos de 1995 a 2026: 26 artículos, 15 patentes y un informe institucional. La producción pasa de dos documentos en 2019 a 17 en 2026, con una tasa de crecimiento anual compuesta de 35,8 %. El 83,3 % es de 2022 a 2026. El crecimiento describe la composición del corpus y no la producción del campo.</w:t>
      </w:r>
    </w:p>
    <w:p>
      <w:pPr>
        <w:pStyle w:val="BodyText"/>
      </w:pPr>
      <w:r>
        <w:t xml:space="preserve">La estructura autoral es dispersa. Hay 213 autores y 204 firman un solo documento. Nueve autores aparecen en dos documentos y ninguno en más. El ajuste de Lotka es exploratorio, con α de 2,38 por máxima verosimilitud. La magnitud depende del método, y el corpus no permite identificar escuelas.</w:t>
      </w:r>
    </w:p>
    <w:p>
      <w:pPr>
        <w:pStyle w:val="BodyText"/>
      </w:pPr>
      <w:r>
        <w:t xml:space="preserve">Los 26 artículos se publican en 19 revistas. Atmosphere, Science of the Total Environment y Sustainability reúnen nueve artículos. Las zonas de Bradford tienen tres, ocho y ocho revistas, con φ de 2,67 y 1,00. Las patentes se concentran en la OMPI con 11 documentos y en la OEP con cuatro.</w:t>
      </w:r>
    </w:p>
    <w:p>
      <w:pPr>
        <w:pStyle w:val="BodyText"/>
      </w:pPr>
      <w:r>
        <w:t xml:space="preserve">La estructura temática tiene cinco grupos documentales y ocho comunidades de co-palabras. Los términos centrales son data, air, model y sensor. El término salud aparece en la comunidad de activos y motores por el vocabulario de dos patentes. La humedad queda en una comunidad emergente de 48 términos.</w:t>
      </w:r>
    </w:p>
    <w:p>
      <w:pPr>
        <w:pStyle w:val="BodyText"/>
      </w:pPr>
      <w:r>
        <w:t xml:space="preserve">Colombia ocupa el segundo lugar con nueve documentos, después de Estados Unidos con 12. Solo ocho de los 26 artículos tienen coautoría internacional. Ninguna de las 15 patentes tiene solicitante colombiano y diez designan a Colombia. Ninguno de los 53 estudios de índices de calidad del aire y salud proviene de América Latina (Liao et al., 2026, p. 6).</w:t>
      </w:r>
    </w:p>
    <w:p>
      <w:pPr>
        <w:pStyle w:val="BodyText"/>
      </w:pPr>
      <w:r>
        <w:t xml:space="preserve">La robustez media es 3,93 sobre 10, con desviación estándar de 0,75 y rango de 2,7 a 6,1. Ningún documento llega a 7. Los artículos promedian 4,34 y las patentes 3,27.</w:t>
      </w:r>
    </w:p>
    <w:p>
      <w:pPr>
        <w:pStyle w:val="BodyText"/>
      </w:pPr>
      <w:r>
        <w:t xml:space="preserve">Las brechas se instancian en cuatro categorías y una emergente. El TRL medio de 3,85 supera al nivel de integración (IRL) de 2,88 en 0,98 niveles. La brecha entre TRL y nivel de preparación del negocio llega a 2,33 niveles en nueve documentos. La brecha emergente es la producción sin verificación, porque ninguna patente valida con verdad de referencia.</w:t>
      </w:r>
    </w:p>
    <w:p>
      <w:pPr>
        <w:pStyle w:val="BodyText"/>
      </w:pPr>
      <w:r>
        <w:t xml:space="preserve">Las implicaciones para el proyecto son tres. La calibración colocalizada ocupa un vacío documentado: el 90,8 % de las estaciones de la red nacional propuesta serían sensores sin plan de calibración (Murad Pedraza et al., 2026, pp. 10-11 y 13). El Sistema de Alerta Temprana de Medellín y el Valle de Aburrá (SIATA) es el único sistema de TRL 9 (Ruiz-Carrascal et al., 2026). La adopción institucional requiere una medición propia desde el tramo 1. La libertad de operación exige consultar a la SIC por diez solicitudes del Tratado de Cooperación en materia de Patentes (PCT). Esas solicitudes designan a Colombia y tres siguen abiertas hasta 2027.</w:t>
      </w:r>
    </w:p>
    <w:bookmarkEnd w:id="143"/>
    <w:bookmarkStart w:id="144" w:name="_Toc00900070"/>
    <w:p>
      <w:pPr>
        <w:pStyle w:val="Heading2"/>
      </w:pPr>
      <w:r>
        <w:t xml:space="preserve">3.7 Limitaciones del Paso 3</w:t>
      </w:r>
    </w:p>
    <w:p>
      <w:pPr>
        <w:pStyle w:val="FirstParagraph"/>
      </w:pPr>
      <w:r>
        <w:t xml:space="preserve">El Paso 3 se apoya en un corpus intencional de 42 documentos. Las escalas de madurez y de robustez son ordinales y las asignó el analista del informe (F-INF §3.3, p. 24). Los intervalos de confianza describen la variación del remuestreo y no una población de documentos. Esa lectura restringe cualquier generalización al campo.</w:t>
      </w:r>
    </w:p>
    <w:p>
      <w:pPr>
        <w:pStyle w:val="BodyText"/>
      </w:pPr>
      <w:r>
        <w:t xml:space="preserve">El proyecto no consultó bases bibliométricas. El índice h, el factor de impacto, el cuartil y el número de citas quedan vacíos (VACIO; NO_VERIFICADO). La co-citación de autores no es calculable sin una base de citas. La geografía se mide por documento y no por autor. Cerrar esas lagunas requiere acceso a bases comerciales [DATO_USUARIO: acceso institucional a Scopus, Web of Science y Lens.org]. Cada limitación se repite en la sección del Capítulo 2 donde afecta la lectura.</w:t>
      </w:r>
    </w:p>
    <w:bookmarkEnd w:id="144"/>
    <w:bookmarkEnd w:id="145"/>
    <w:bookmarkStart w:id="225" w:name="_Toc00900071"/>
    <w:p>
      <w:pPr>
        <w:pStyle w:val="Heading1"/>
      </w:pPr>
      <w:r>
        <w:t xml:space="preserve">Paso 4. Análisis causal completo</w:t>
      </w:r>
    </w:p>
    <w:p>
      <w:pPr>
        <w:pStyle w:val="FirstParagraph"/>
      </w:pPr>
      <w:r>
        <w:t xml:space="preserve">El Paso 4 identifica las causas del problema central, desmantela las ortodoxias que condicionan el diseño y establece qué afirmaciones causales admite la evidencia. Sigue la secuencia del metaprompt en nueve etapas. Las primeras son la identificación de causas (F4.1) y el desmantelamiento de ortodoxias (F4.2). Siguen la clasificación de variables para inferencia causal (F4.3) y el análisis estructural de Vester y MICMAC (F4.4). Después vienen la metodología integrada de decisión y resolución (F4.4-MDR) y el árbol de problemas (F4.5). Cierran los cinco porqués (F4.6), las causas priorizadas (F4.7) y la causa raíz (F4.8).</w:t>
      </w:r>
    </w:p>
    <w:p>
      <w:pPr>
        <w:pStyle w:val="BodyText"/>
      </w:pPr>
      <w:r>
        <w:t xml:space="preserve">El análisis recorre 15 variables que E3-P01 definió y que esta formulación conserva. Ninguna relación entre variables se trata como efecto causal estimado. Todas son hipótesis de influencia estructural (estatuto HIE). El único estimando con identificación posible es el efecto del método de corrección sobre el error de medición. Solo es identificable si se ejecuta el sorteo semanal que propone el informe de vigilancia (estatuto IDC prospectivo). Las secciones F4.3 a F4.5 reproducen el análisis completo, con sus 105 fichas bidireccionales en el Anexo K.</w:t>
      </w:r>
    </w:p>
    <w:bookmarkStart w:id="147" w:name="Xb845c504589b093225de7cbd53bf00e724d6bbe"/>
    <w:p>
      <w:pPr>
        <w:pStyle w:val="Heading2"/>
      </w:pPr>
      <w:r>
        <w:t xml:space="preserve">F4.1 Identificación de causas con evidencia</w:t>
      </w:r>
    </w:p>
    <w:p>
      <w:pPr>
        <w:pStyle w:val="FirstParagraph"/>
      </w:pPr>
      <w:r>
        <w:t xml:space="preserve">El metaprompt pide 15 causas en cinco categorías: tecnológicas, organizacionales, económicas, de ecosistema y territoriales o institucionales. El expediente E3-P00 respondió con sus 15 variables, que mezclan causas, condiciones y efectos. Esta sección asigna cada variable a una categoría y registra su evidencia con fuente y página, solo cuando el corpus la contiene. Donde el corpus calla, la tabla declara VACIO y no completa la celda con una cifra del expediente.</w:t>
      </w:r>
    </w:p>
    <w:p>
      <w:pPr>
        <w:pStyle w:val="BodyText"/>
      </w:pPr>
      <w:r>
        <w:t xml:space="preserve">El diccionario no contiene variables económicas. El costo de calibrar, el costo de custodia y el financiamiento posproyecto se tratan en la sección F4.4-MDR y en el capítulo 14. Esa omisión es un límite del diccionario de 15 variables y no una ausencia de causas económicas. La Tabla F4.1 presenta las variables agrupadas por categoría.</w:t>
      </w:r>
    </w:p>
    <w:p>
      <w:pPr>
        <w:pStyle w:val="TablaRotulo"/>
      </w:pPr>
      <w:bookmarkStart w:id="9078" w:name="rot_Tabla_F4_1"/>
      <w:r>
        <w:rPr>
          <w:b/>
          <w:bCs/>
        </w:rPr>
        <w:t xml:space="preserve">Tabla F4.1</w:t>
      </w:r>
      <w:bookmarkEnd w:id="9078"/>
    </w:p>
    <w:p>
      <w:pPr>
        <w:pStyle w:val="TablaTitulo"/>
      </w:pPr>
      <w:r>
        <w:rPr>
          <w:i/>
          <w:iCs/>
        </w:rPr>
        <w:t xml:space="preserve">Identificación de las 15 causas y condiciones con su evidencia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465"/>
        <w:gridCol w:w="998"/>
        <w:gridCol w:w="998"/>
        <w:gridCol w:w="998"/>
        <w:gridCol w:w="1264"/>
        <w:gridCol w:w="1131"/>
        <w:gridCol w:w="2063"/>
      </w:tblGrid>
      <w:tr>
        <w:trPr>
          <w:cantSplit/>
          <w:tblHeader/>
        </w:trPr>
        <w:tc>
          <w:tcPr>
            <w:shd w:val="clear" w:color="auto" w:fill="00B050"/>
          </w:tcPr>
          <w:p>
            <w:pPr>
              <w:pStyle w:val="Tabla8"/>
              <w:jc w:val="center"/>
            </w:pPr>
            <w:r>
              <w:rPr>
                <w:b/>
                <w:color w:val="FFFFFF"/>
              </w:rPr>
              <w:t xml:space="preserve">Código</w:t>
            </w:r>
          </w:p>
        </w:tc>
        <w:tc>
          <w:tcPr>
            <w:shd w:val="clear" w:color="auto" w:fill="00B050"/>
          </w:tcPr>
          <w:p>
            <w:pPr>
              <w:pStyle w:val="Tabla8"/>
              <w:jc w:val="center"/>
            </w:pPr>
            <w:r>
              <w:rPr>
                <w:b/>
                <w:color w:val="FFFFFF"/>
              </w:rPr>
              <w:t xml:space="preserve">Categoría</w:t>
            </w:r>
          </w:p>
        </w:tc>
        <w:tc>
          <w:tcPr>
            <w:shd w:val="clear" w:color="auto" w:fill="00B050"/>
          </w:tcPr>
          <w:p>
            <w:pPr>
              <w:pStyle w:val="Tabla8"/>
              <w:jc w:val="center"/>
            </w:pPr>
            <w:r>
              <w:rPr>
                <w:b/>
                <w:color w:val="FFFFFF"/>
              </w:rPr>
              <w:t xml:space="preserve">Descripción</w:t>
            </w:r>
          </w:p>
        </w:tc>
        <w:tc>
          <w:tcPr>
            <w:shd w:val="clear" w:color="auto" w:fill="00B050"/>
          </w:tcPr>
          <w:p>
            <w:pPr>
              <w:pStyle w:val="Tabla8"/>
              <w:jc w:val="center"/>
            </w:pPr>
            <w:r>
              <w:rPr>
                <w:b/>
                <w:color w:val="FFFFFF"/>
              </w:rPr>
              <w:t xml:space="preserve">Evidencia (fuente y página)</w:t>
            </w:r>
          </w:p>
        </w:tc>
        <w:tc>
          <w:tcPr>
            <w:shd w:val="clear" w:color="auto" w:fill="00B050"/>
          </w:tcPr>
          <w:p>
            <w:pPr>
              <w:pStyle w:val="Tabla8"/>
              <w:jc w:val="center"/>
            </w:pPr>
            <w:r>
              <w:rPr>
                <w:b/>
                <w:color w:val="FFFFFF"/>
              </w:rPr>
              <w:t xml:space="preserve">Magnitud</w:t>
            </w:r>
          </w:p>
        </w:tc>
        <w:tc>
          <w:tcPr>
            <w:shd w:val="clear" w:color="auto" w:fill="00B050"/>
          </w:tcPr>
          <w:p>
            <w:pPr>
              <w:pStyle w:val="Tabla8"/>
              <w:jc w:val="center"/>
            </w:pPr>
            <w:r>
              <w:rPr>
                <w:b/>
                <w:color w:val="FFFFFF"/>
              </w:rPr>
              <w:t xml:space="preserve">Naturaleza</w:t>
            </w:r>
          </w:p>
        </w:tc>
        <w:tc>
          <w:tcPr>
            <w:shd w:val="clear" w:color="auto" w:fill="00B050"/>
          </w:tcPr>
          <w:p>
            <w:pPr>
              <w:pStyle w:val="Tabla8"/>
              <w:jc w:val="center"/>
            </w:pPr>
            <w:r>
              <w:rPr>
                <w:b/>
                <w:color w:val="FFFFFF"/>
              </w:rPr>
              <w:t xml:space="preserve">Verificación</w:t>
            </w:r>
          </w:p>
        </w:tc>
      </w:tr>
      <w:tr>
        <w:trPr>
          <w:cantSplit/>
        </w:trPr>
        <w:tc>
          <w:tcPr/>
          <w:p>
            <w:pPr>
              <w:pStyle w:val="Tabla8"/>
              <w:jc w:val="left"/>
            </w:pPr>
            <w:r>
              <w:t xml:space="preserve">V06</w:t>
            </w:r>
          </w:p>
        </w:tc>
        <w:tc>
          <w:tcPr/>
          <w:p>
            <w:pPr>
              <w:pStyle w:val="Tabla8"/>
              <w:jc w:val="left"/>
            </w:pPr>
            <w:r>
              <w:t xml:space="preserve">Tecnológica</w:t>
            </w:r>
          </w:p>
        </w:tc>
        <w:tc>
          <w:tcPr/>
          <w:p>
            <w:pPr>
              <w:pStyle w:val="Tabla8"/>
              <w:jc w:val="left"/>
            </w:pPr>
            <w:r>
              <w:t xml:space="preserve">Error de medición de PM2,5 y PM10 frente a una referencia gravimétrica; problema central</w:t>
            </w:r>
          </w:p>
        </w:tc>
        <w:tc>
          <w:tcPr/>
          <w:p>
            <w:pPr>
              <w:pStyle w:val="Tabla8"/>
              <w:jc w:val="left"/>
            </w:pPr>
            <w:r>
              <w:t xml:space="preserve">Bang et al. (2026, pp. 6-8): con una estación cercana y un desfase de 35 minutos, el R² pasó de menos de 0,2 a 0,81</w:t>
            </w:r>
          </w:p>
        </w:tc>
        <w:tc>
          <w:tcPr/>
          <w:p>
            <w:pPr>
              <w:pStyle w:val="Tabla8"/>
              <w:jc w:val="left"/>
            </w:pPr>
            <w:r>
              <w:t xml:space="preserve">Línea base propia: VACIO (se mide en el tramo 1). El expediente declara NMAE superior a 45 % sin localizador</w:t>
            </w:r>
          </w:p>
        </w:tc>
        <w:tc>
          <w:tcPr/>
          <w:p>
            <w:pPr>
              <w:pStyle w:val="Tabla8"/>
              <w:jc w:val="left"/>
            </w:pPr>
            <w:r>
              <w:t xml:space="preserve">DECLARADO</w:t>
            </w:r>
          </w:p>
        </w:tc>
        <w:tc>
          <w:tcPr/>
          <w:p>
            <w:pPr>
              <w:pStyle w:val="Tabla8"/>
              <w:jc w:val="left"/>
            </w:pPr>
            <w:r>
              <w:t xml:space="preserve">NO_VERIFICADO</w:t>
            </w:r>
          </w:p>
        </w:tc>
      </w:tr>
      <w:tr>
        <w:trPr>
          <w:cantSplit/>
        </w:trPr>
        <w:tc>
          <w:tcPr/>
          <w:p>
            <w:pPr>
              <w:pStyle w:val="Tabla8"/>
              <w:jc w:val="left"/>
            </w:pPr>
            <w:r>
              <w:t xml:space="preserve">V07</w:t>
            </w:r>
          </w:p>
        </w:tc>
        <w:tc>
          <w:tcPr/>
          <w:p>
            <w:pPr>
              <w:pStyle w:val="Tabla8"/>
              <w:jc w:val="left"/>
            </w:pPr>
            <w:r>
              <w:t xml:space="preserve">Tecnológica</w:t>
            </w:r>
          </w:p>
        </w:tc>
        <w:tc>
          <w:tcPr/>
          <w:p>
            <w:pPr>
              <w:pStyle w:val="Tabla8"/>
              <w:jc w:val="left"/>
            </w:pPr>
            <w:r>
              <w:t xml:space="preserve">Frecuencia de calibración de los nodos, medida en ajustes por semana</w:t>
            </w:r>
          </w:p>
        </w:tc>
        <w:tc>
          <w:tcPr/>
          <w:p>
            <w:pPr>
              <w:pStyle w:val="Tabla8"/>
              <w:jc w:val="left"/>
            </w:pPr>
            <w:r>
              <w:t xml:space="preserve">Murad Pedraza et al. (2026, pp. 10-11 y 13)</w:t>
            </w:r>
          </w:p>
        </w:tc>
        <w:tc>
          <w:tcPr/>
          <w:p>
            <w:pPr>
              <w:pStyle w:val="Tabla8"/>
              <w:jc w:val="left"/>
            </w:pPr>
            <w:r>
              <w:t xml:space="preserve">90,8 % de 5.076 estaciones de la red nacional propuesta serían sensores sin plan de calibración (cálculo del analista)</w:t>
            </w:r>
          </w:p>
        </w:tc>
        <w:tc>
          <w:tcPr/>
          <w:p>
            <w:pPr>
              <w:pStyle w:val="Tabla8"/>
              <w:jc w:val="left"/>
            </w:pPr>
            <w:r>
              <w:t xml:space="preserve">CALCULADO</w:t>
            </w:r>
          </w:p>
        </w:tc>
        <w:tc>
          <w:tcPr/>
          <w:p>
            <w:pPr>
              <w:pStyle w:val="Tabla8"/>
              <w:jc w:val="left"/>
            </w:pPr>
            <w:r>
              <w:t xml:space="preserve">PARCIALMENTE_VERIFICADO</w:t>
            </w:r>
          </w:p>
        </w:tc>
      </w:tr>
      <w:tr>
        <w:trPr>
          <w:cantSplit/>
        </w:trPr>
        <w:tc>
          <w:tcPr/>
          <w:p>
            <w:pPr>
              <w:pStyle w:val="Tabla8"/>
              <w:jc w:val="left"/>
            </w:pPr>
            <w:r>
              <w:t xml:space="preserve">V08</w:t>
            </w:r>
          </w:p>
        </w:tc>
        <w:tc>
          <w:tcPr/>
          <w:p>
            <w:pPr>
              <w:pStyle w:val="Tabla8"/>
              <w:jc w:val="left"/>
            </w:pPr>
            <w:r>
              <w:t xml:space="preserve">Tecnológica</w:t>
            </w:r>
          </w:p>
        </w:tc>
        <w:tc>
          <w:tcPr/>
          <w:p>
            <w:pPr>
              <w:pStyle w:val="Tabla8"/>
              <w:jc w:val="left"/>
            </w:pPr>
            <w:r>
              <w:t xml:space="preserve">Latencia de datos entre el nodo y la nube</w:t>
            </w:r>
          </w:p>
        </w:tc>
        <w:tc>
          <w:tcPr/>
          <w:p>
            <w:pPr>
              <w:pStyle w:val="Tabla8"/>
              <w:jc w:val="left"/>
            </w:pPr>
            <w:r>
              <w:t xml:space="preserve">Bang et al. (2026, pp. 6-8): desfase sensor-estación de 35 minutos, que no equivale a latencia de red</w:t>
            </w:r>
          </w:p>
        </w:tc>
        <w:tc>
          <w:tcPr/>
          <w:p>
            <w:pPr>
              <w:pStyle w:val="Tabla8"/>
              <w:jc w:val="left"/>
            </w:pPr>
            <w:r>
              <w:t xml:space="preserve">VACIO: no hay medición de latencia de red</w:t>
            </w:r>
          </w:p>
        </w:tc>
        <w:tc>
          <w:tcPr/>
          <w:p>
            <w:pPr>
              <w:pStyle w:val="Tabla8"/>
              <w:jc w:val="left"/>
            </w:pPr>
            <w:r>
              <w:t xml:space="preserve">VACIO</w:t>
            </w:r>
          </w:p>
        </w:tc>
        <w:tc>
          <w:tcPr/>
          <w:p>
            <w:pPr>
              <w:pStyle w:val="Tabla8"/>
              <w:jc w:val="left"/>
            </w:pPr>
            <w:r>
              <w:t xml:space="preserve">NO_VERIFICADO</w:t>
            </w:r>
          </w:p>
        </w:tc>
      </w:tr>
      <w:tr>
        <w:trPr>
          <w:cantSplit/>
        </w:trPr>
        <w:tc>
          <w:tcPr/>
          <w:p>
            <w:pPr>
              <w:pStyle w:val="Tabla8"/>
              <w:jc w:val="left"/>
            </w:pPr>
            <w:r>
              <w:t xml:space="preserve">V09</w:t>
            </w:r>
          </w:p>
        </w:tc>
        <w:tc>
          <w:tcPr/>
          <w:p>
            <w:pPr>
              <w:pStyle w:val="Tabla8"/>
              <w:jc w:val="left"/>
            </w:pPr>
            <w:r>
              <w:t xml:space="preserve">Tecnológica</w:t>
            </w:r>
          </w:p>
        </w:tc>
        <w:tc>
          <w:tcPr/>
          <w:p>
            <w:pPr>
              <w:pStyle w:val="Tabla8"/>
              <w:jc w:val="left"/>
            </w:pPr>
            <w:r>
              <w:t xml:space="preserve">Disponibilidad de nodos con energía y enlace</w:t>
            </w:r>
          </w:p>
        </w:tc>
        <w:tc>
          <w:tcPr/>
          <w:p>
            <w:pPr>
              <w:pStyle w:val="Tabla8"/>
              <w:jc w:val="left"/>
            </w:pPr>
            <w:r>
              <w:t xml:space="preserve">Tavella et al. (2026, p. 6)</w:t>
            </w:r>
          </w:p>
        </w:tc>
        <w:tc>
          <w:tcPr/>
          <w:p>
            <w:pPr>
              <w:pStyle w:val="Tabla8"/>
              <w:jc w:val="left"/>
            </w:pPr>
            <w:r>
              <w:t xml:space="preserve">96 de 570 estaciones inactivas o sin estado en Brasil, 2022 a 2024: 16,8 %</w:t>
            </w:r>
          </w:p>
        </w:tc>
        <w:tc>
          <w:tcPr/>
          <w:p>
            <w:pPr>
              <w:pStyle w:val="Tabla8"/>
              <w:jc w:val="left"/>
            </w:pPr>
            <w:r>
              <w:t xml:space="preserve">DOCUMENTADO</w:t>
            </w:r>
          </w:p>
        </w:tc>
        <w:tc>
          <w:tcPr/>
          <w:p>
            <w:pPr>
              <w:pStyle w:val="Tabla8"/>
              <w:jc w:val="left"/>
            </w:pPr>
            <w:r>
              <w:t xml:space="preserve">NO_VERIFICADO</w:t>
            </w:r>
          </w:p>
        </w:tc>
      </w:tr>
      <w:tr>
        <w:trPr>
          <w:cantSplit/>
        </w:trPr>
        <w:tc>
          <w:tcPr/>
          <w:p>
            <w:pPr>
              <w:pStyle w:val="Tabla8"/>
              <w:jc w:val="left"/>
            </w:pPr>
            <w:r>
              <w:t xml:space="preserve">V10</w:t>
            </w:r>
          </w:p>
        </w:tc>
        <w:tc>
          <w:tcPr/>
          <w:p>
            <w:pPr>
              <w:pStyle w:val="Tabla8"/>
              <w:jc w:val="left"/>
            </w:pPr>
            <w:r>
              <w:t xml:space="preserve">Tecnológica</w:t>
            </w:r>
          </w:p>
        </w:tc>
        <w:tc>
          <w:tcPr/>
          <w:p>
            <w:pPr>
              <w:pStyle w:val="Tabla8"/>
              <w:jc w:val="left"/>
            </w:pPr>
            <w:r>
              <w:t xml:space="preserve">Densidad efectiva del gemelo digital</w:t>
            </w:r>
          </w:p>
        </w:tc>
        <w:tc>
          <w:tcPr/>
          <w:p>
            <w:pPr>
              <w:pStyle w:val="Tabla8"/>
              <w:jc w:val="left"/>
            </w:pPr>
            <w:r>
              <w:t xml:space="preserve">VACIO: el corpus no reporta densidad efectiva</w:t>
            </w:r>
          </w:p>
        </w:tc>
        <w:tc>
          <w:tcPr/>
          <w:p>
            <w:pPr>
              <w:pStyle w:val="Tabla8"/>
              <w:jc w:val="left"/>
            </w:pPr>
            <w:r>
              <w:t xml:space="preserve">Diseño propuesto: 100 nodos y 10 gateways en 12 municipios</w:t>
            </w:r>
          </w:p>
        </w:tc>
        <w:tc>
          <w:tcPr/>
          <w:p>
            <w:pPr>
              <w:pStyle w:val="Tabla8"/>
              <w:jc w:val="left"/>
            </w:pPr>
            <w:r>
              <w:t xml:space="preserve">PROPUESTO</w:t>
            </w:r>
          </w:p>
        </w:tc>
        <w:tc>
          <w:tcPr/>
          <w:p>
            <w:pPr>
              <w:pStyle w:val="Tabla8"/>
              <w:jc w:val="left"/>
            </w:pPr>
            <w:r>
              <w:t xml:space="preserve">NO_APLICA</w:t>
            </w:r>
          </w:p>
        </w:tc>
      </w:tr>
      <w:tr>
        <w:trPr>
          <w:cantSplit/>
        </w:trPr>
        <w:tc>
          <w:tcPr/>
          <w:p>
            <w:pPr>
              <w:pStyle w:val="Tabla8"/>
              <w:jc w:val="left"/>
            </w:pPr>
            <w:r>
              <w:t xml:space="preserve">V01</w:t>
            </w:r>
          </w:p>
        </w:tc>
        <w:tc>
          <w:tcPr/>
          <w:p>
            <w:pPr>
              <w:pStyle w:val="Tabla8"/>
              <w:jc w:val="left"/>
            </w:pPr>
            <w:r>
              <w:t xml:space="preserve">Ecosistema</w:t>
            </w:r>
          </w:p>
        </w:tc>
        <w:tc>
          <w:tcPr/>
          <w:p>
            <w:pPr>
              <w:pStyle w:val="Tabla8"/>
              <w:jc w:val="left"/>
            </w:pPr>
            <w:r>
              <w:t xml:space="preserve">Concentración de PM2,5 en el sitio</w:t>
            </w:r>
          </w:p>
        </w:tc>
        <w:tc>
          <w:tcPr/>
          <w:p>
            <w:pPr>
              <w:pStyle w:val="Tabla8"/>
              <w:jc w:val="left"/>
            </w:pPr>
            <w:r>
              <w:t xml:space="preserve">Informe de vigilancia, §3.1 (Suresh et al., 2025): cociente PM2,5/PM10 de 0,88 en una mina</w:t>
            </w:r>
          </w:p>
        </w:tc>
        <w:tc>
          <w:tcPr/>
          <w:p>
            <w:pPr>
              <w:pStyle w:val="Tabla8"/>
              <w:jc w:val="left"/>
            </w:pPr>
            <w:r>
              <w:t xml:space="preserve">Sin serie del territorio</w:t>
            </w:r>
          </w:p>
        </w:tc>
        <w:tc>
          <w:tcPr/>
          <w:p>
            <w:pPr>
              <w:pStyle w:val="Tabla8"/>
              <w:jc w:val="left"/>
            </w:pPr>
            <w:r>
              <w:t xml:space="preserve">VACIO</w:t>
            </w:r>
          </w:p>
        </w:tc>
        <w:tc>
          <w:tcPr/>
          <w:p>
            <w:pPr>
              <w:pStyle w:val="Tabla8"/>
              <w:jc w:val="left"/>
            </w:pPr>
            <w:r>
              <w:t xml:space="preserve">NO_VERIFICADO</w:t>
            </w:r>
          </w:p>
        </w:tc>
      </w:tr>
      <w:tr>
        <w:trPr>
          <w:cantSplit/>
        </w:trPr>
        <w:tc>
          <w:tcPr/>
          <w:p>
            <w:pPr>
              <w:pStyle w:val="Tabla8"/>
              <w:jc w:val="left"/>
            </w:pPr>
            <w:r>
              <w:t xml:space="preserve">V02</w:t>
            </w:r>
          </w:p>
        </w:tc>
        <w:tc>
          <w:tcPr/>
          <w:p>
            <w:pPr>
              <w:pStyle w:val="Tabla8"/>
              <w:jc w:val="left"/>
            </w:pPr>
            <w:r>
              <w:t xml:space="preserve">Ecosistema</w:t>
            </w:r>
          </w:p>
        </w:tc>
        <w:tc>
          <w:tcPr/>
          <w:p>
            <w:pPr>
              <w:pStyle w:val="Tabla8"/>
              <w:jc w:val="left"/>
            </w:pPr>
            <w:r>
              <w:t xml:space="preserve">Concentración de PM10, con fracción gruesa</w:t>
            </w:r>
          </w:p>
        </w:tc>
        <w:tc>
          <w:tcPr/>
          <w:p>
            <w:pPr>
              <w:pStyle w:val="Tabla8"/>
              <w:jc w:val="left"/>
            </w:pPr>
            <w:r>
              <w:t xml:space="preserve">Informe de vigilancia, §3.1 (Suresh et al., 2025): régimen distinto del de escombros</w:t>
            </w:r>
          </w:p>
        </w:tc>
        <w:tc>
          <w:tcPr/>
          <w:p>
            <w:pPr>
              <w:pStyle w:val="Tabla8"/>
              <w:jc w:val="left"/>
            </w:pPr>
            <w:r>
              <w:t xml:space="preserve">Sin serie del territorio</w:t>
            </w:r>
          </w:p>
        </w:tc>
        <w:tc>
          <w:tcPr/>
          <w:p>
            <w:pPr>
              <w:pStyle w:val="Tabla8"/>
              <w:jc w:val="left"/>
            </w:pPr>
            <w:r>
              <w:t xml:space="preserve">INFERIDO</w:t>
            </w:r>
          </w:p>
        </w:tc>
        <w:tc>
          <w:tcPr/>
          <w:p>
            <w:pPr>
              <w:pStyle w:val="Tabla8"/>
              <w:jc w:val="left"/>
            </w:pPr>
            <w:r>
              <w:t xml:space="preserve">NO_VERIFICADO</w:t>
            </w:r>
          </w:p>
        </w:tc>
      </w:tr>
      <w:tr>
        <w:trPr>
          <w:cantSplit/>
        </w:trPr>
        <w:tc>
          <w:tcPr/>
          <w:p>
            <w:pPr>
              <w:pStyle w:val="Tabla8"/>
              <w:jc w:val="left"/>
            </w:pPr>
            <w:r>
              <w:t xml:space="preserve">V03</w:t>
            </w:r>
          </w:p>
        </w:tc>
        <w:tc>
          <w:tcPr/>
          <w:p>
            <w:pPr>
              <w:pStyle w:val="Tabla8"/>
              <w:jc w:val="left"/>
            </w:pPr>
            <w:r>
              <w:t xml:space="preserve">Ecosistema</w:t>
            </w:r>
          </w:p>
        </w:tc>
        <w:tc>
          <w:tcPr/>
          <w:p>
            <w:pPr>
              <w:pStyle w:val="Tabla8"/>
              <w:jc w:val="left"/>
            </w:pPr>
            <w:r>
              <w:t xml:space="preserve">Humedad relativa en el sitio de medición</w:t>
            </w:r>
          </w:p>
        </w:tc>
        <w:tc>
          <w:tcPr/>
          <w:p>
            <w:pPr>
              <w:pStyle w:val="Tabla8"/>
              <w:jc w:val="left"/>
            </w:pPr>
            <w:r>
              <w:t xml:space="preserve">Suresh et al. (2025, p. 30)</w:t>
            </w:r>
          </w:p>
        </w:tc>
        <w:tc>
          <w:tcPr/>
          <w:p>
            <w:pPr>
              <w:pStyle w:val="Tabla8"/>
              <w:jc w:val="left"/>
            </w:pPr>
            <w:r>
              <w:t xml:space="preserve">Correlación de 0,73 entre partículas y humedad en una mina a cielo abierto</w:t>
            </w:r>
          </w:p>
        </w:tc>
        <w:tc>
          <w:tcPr/>
          <w:p>
            <w:pPr>
              <w:pStyle w:val="Tabla8"/>
              <w:jc w:val="left"/>
            </w:pPr>
            <w:r>
              <w:t xml:space="preserve">DOCUMENTADO</w:t>
            </w:r>
          </w:p>
        </w:tc>
        <w:tc>
          <w:tcPr/>
          <w:p>
            <w:pPr>
              <w:pStyle w:val="Tabla8"/>
              <w:jc w:val="left"/>
            </w:pPr>
            <w:r>
              <w:t xml:space="preserve">PARCIALMENTE_VERIFICADO</w:t>
            </w:r>
          </w:p>
        </w:tc>
      </w:tr>
      <w:tr>
        <w:trPr>
          <w:cantSplit/>
        </w:trPr>
        <w:tc>
          <w:tcPr/>
          <w:p>
            <w:pPr>
              <w:pStyle w:val="Tabla8"/>
              <w:jc w:val="left"/>
            </w:pPr>
            <w:r>
              <w:t xml:space="preserve">V04</w:t>
            </w:r>
          </w:p>
        </w:tc>
        <w:tc>
          <w:tcPr/>
          <w:p>
            <w:pPr>
              <w:pStyle w:val="Tabla8"/>
              <w:jc w:val="left"/>
            </w:pPr>
            <w:r>
              <w:t xml:space="preserve">Ecosistema</w:t>
            </w:r>
          </w:p>
        </w:tc>
        <w:tc>
          <w:tcPr/>
          <w:p>
            <w:pPr>
              <w:pStyle w:val="Tabla8"/>
              <w:jc w:val="left"/>
            </w:pPr>
            <w:r>
              <w:t xml:space="preserve">Velocidad del viento superficial</w:t>
            </w:r>
          </w:p>
        </w:tc>
        <w:tc>
          <w:tcPr/>
          <w:p>
            <w:pPr>
              <w:pStyle w:val="Tabla8"/>
              <w:jc w:val="left"/>
            </w:pPr>
            <w:r>
              <w:t xml:space="preserve">Informe de vigilancia, §11.4: control del error normalizado</w:t>
            </w:r>
          </w:p>
        </w:tc>
        <w:tc>
          <w:tcPr/>
          <w:p>
            <w:pPr>
              <w:pStyle w:val="Tabla8"/>
              <w:jc w:val="left"/>
            </w:pPr>
            <w:r>
              <w:t xml:space="preserve">VACIO: sin serie del territorio</w:t>
            </w:r>
          </w:p>
        </w:tc>
        <w:tc>
          <w:tcPr/>
          <w:p>
            <w:pPr>
              <w:pStyle w:val="Tabla8"/>
              <w:jc w:val="left"/>
            </w:pPr>
            <w:r>
              <w:t xml:space="preserve">VACIO</w:t>
            </w:r>
          </w:p>
        </w:tc>
        <w:tc>
          <w:tcPr/>
          <w:p>
            <w:pPr>
              <w:pStyle w:val="Tabla8"/>
              <w:jc w:val="left"/>
            </w:pPr>
            <w:r>
              <w:t xml:space="preserve">NO_VERIFICADO</w:t>
            </w:r>
          </w:p>
        </w:tc>
      </w:tr>
      <w:tr>
        <w:trPr>
          <w:cantSplit/>
        </w:trPr>
        <w:tc>
          <w:tcPr/>
          <w:p>
            <w:pPr>
              <w:pStyle w:val="Tabla8"/>
              <w:jc w:val="left"/>
            </w:pPr>
            <w:r>
              <w:t xml:space="preserve">V05</w:t>
            </w:r>
          </w:p>
        </w:tc>
        <w:tc>
          <w:tcPr/>
          <w:p>
            <w:pPr>
              <w:pStyle w:val="Tabla8"/>
              <w:jc w:val="left"/>
            </w:pPr>
            <w:r>
              <w:t xml:space="preserve">Territorial</w:t>
            </w:r>
          </w:p>
        </w:tc>
        <w:tc>
          <w:tcPr/>
          <w:p>
            <w:pPr>
              <w:pStyle w:val="Tabla8"/>
              <w:jc w:val="left"/>
            </w:pPr>
            <w:r>
              <w:t xml:space="preserve">Volumen de escombros removido (actividad en el sitio)</w:t>
            </w:r>
          </w:p>
        </w:tc>
        <w:tc>
          <w:tcPr/>
          <w:p>
            <w:pPr>
              <w:pStyle w:val="Tabla8"/>
              <w:jc w:val="left"/>
            </w:pPr>
            <w:r>
              <w:t xml:space="preserve">Premisa del caso por instrucción del usuario</w:t>
            </w:r>
          </w:p>
        </w:tc>
        <w:tc>
          <w:tcPr/>
          <w:p>
            <w:pPr>
              <w:pStyle w:val="Tabla8"/>
              <w:jc w:val="left"/>
            </w:pPr>
            <w:r>
              <w:t xml:space="preserve">[DATO_USUARIO: toneladas por día en cada sitio de remoción]</w:t>
            </w:r>
          </w:p>
        </w:tc>
        <w:tc>
          <w:tcPr/>
          <w:p>
            <w:pPr>
              <w:pStyle w:val="Tabla8"/>
              <w:jc w:val="left"/>
            </w:pPr>
            <w:r>
              <w:t xml:space="preserve">SUPUESTO</w:t>
            </w:r>
          </w:p>
        </w:tc>
        <w:tc>
          <w:tcPr/>
          <w:p>
            <w:pPr>
              <w:pStyle w:val="Tabla8"/>
              <w:jc w:val="left"/>
            </w:pPr>
            <w:r>
              <w:t xml:space="preserve">NO_VERIFICADO</w:t>
            </w:r>
          </w:p>
        </w:tc>
      </w:tr>
      <w:tr>
        <w:trPr>
          <w:cantSplit/>
        </w:trPr>
        <w:tc>
          <w:tcPr/>
          <w:p>
            <w:pPr>
              <w:pStyle w:val="Tabla8"/>
              <w:jc w:val="left"/>
            </w:pPr>
            <w:r>
              <w:t xml:space="preserve">V11</w:t>
            </w:r>
          </w:p>
        </w:tc>
        <w:tc>
          <w:tcPr/>
          <w:p>
            <w:pPr>
              <w:pStyle w:val="Tabla8"/>
              <w:jc w:val="left"/>
            </w:pPr>
            <w:r>
              <w:t xml:space="preserve">Organizacional</w:t>
            </w:r>
          </w:p>
        </w:tc>
        <w:tc>
          <w:tcPr/>
          <w:p>
            <w:pPr>
              <w:pStyle w:val="Tabla8"/>
              <w:jc w:val="left"/>
            </w:pPr>
            <w:r>
              <w:t xml:space="preserve">Índice AQHI emitido, sin fórmula local validada</w:t>
            </w:r>
          </w:p>
        </w:tc>
        <w:tc>
          <w:tcPr/>
          <w:p>
            <w:pPr>
              <w:pStyle w:val="Tabla8"/>
              <w:jc w:val="left"/>
            </w:pPr>
            <w:r>
              <w:t xml:space="preserve">Liao et al. (2026, pp. 6 y 8)</w:t>
            </w:r>
          </w:p>
        </w:tc>
        <w:tc>
          <w:tcPr/>
          <w:p>
            <w:pPr>
              <w:pStyle w:val="Tabla8"/>
              <w:jc w:val="left"/>
            </w:pPr>
            <w:r>
              <w:t xml:space="preserve">53 estudios de AQHI; 9,4 % con partición de datos y 11,3 % con análisis de sensibilidad</w:t>
            </w:r>
          </w:p>
        </w:tc>
        <w:tc>
          <w:tcPr/>
          <w:p>
            <w:pPr>
              <w:pStyle w:val="Tabla8"/>
              <w:jc w:val="left"/>
            </w:pPr>
            <w:r>
              <w:t xml:space="preserve">DOCUMENTADO</w:t>
            </w:r>
          </w:p>
        </w:tc>
        <w:tc>
          <w:tcPr/>
          <w:p>
            <w:pPr>
              <w:pStyle w:val="Tabla8"/>
              <w:jc w:val="left"/>
            </w:pPr>
            <w:r>
              <w:t xml:space="preserve">NO_VERIFICADO</w:t>
            </w:r>
          </w:p>
        </w:tc>
      </w:tr>
      <w:tr>
        <w:trPr>
          <w:cantSplit/>
        </w:trPr>
        <w:tc>
          <w:tcPr/>
          <w:p>
            <w:pPr>
              <w:pStyle w:val="Tabla8"/>
              <w:jc w:val="left"/>
            </w:pPr>
            <w:r>
              <w:t xml:space="preserve">V12</w:t>
            </w:r>
          </w:p>
        </w:tc>
        <w:tc>
          <w:tcPr/>
          <w:p>
            <w:pPr>
              <w:pStyle w:val="Tabla8"/>
              <w:jc w:val="left"/>
            </w:pPr>
            <w:r>
              <w:t xml:space="preserve">Organizacional</w:t>
            </w:r>
          </w:p>
        </w:tc>
        <w:tc>
          <w:tcPr/>
          <w:p>
            <w:pPr>
              <w:pStyle w:val="Tabla8"/>
              <w:jc w:val="left"/>
            </w:pPr>
            <w:r>
              <w:t xml:space="preserve">Tasa de falsas alarmas</w:t>
            </w:r>
          </w:p>
        </w:tc>
        <w:tc>
          <w:tcPr/>
          <w:p>
            <w:pPr>
              <w:pStyle w:val="Tabla8"/>
              <w:jc w:val="left"/>
            </w:pPr>
            <w:r>
              <w:t xml:space="preserve">Informe de vigilancia, §1.3, hallazgo 2: ningún documento de alertas la reporta</w:t>
            </w:r>
          </w:p>
        </w:tc>
        <w:tc>
          <w:tcPr/>
          <w:p>
            <w:pPr>
              <w:pStyle w:val="Tabla8"/>
              <w:jc w:val="left"/>
            </w:pPr>
            <w:r>
              <w:t xml:space="preserve">VACIO</w:t>
            </w:r>
          </w:p>
        </w:tc>
        <w:tc>
          <w:tcPr/>
          <w:p>
            <w:pPr>
              <w:pStyle w:val="Tabla8"/>
              <w:jc w:val="left"/>
            </w:pPr>
            <w:r>
              <w:t xml:space="preserve">VACIO</w:t>
            </w:r>
          </w:p>
        </w:tc>
        <w:tc>
          <w:tcPr/>
          <w:p>
            <w:pPr>
              <w:pStyle w:val="Tabla8"/>
              <w:jc w:val="left"/>
            </w:pPr>
            <w:r>
              <w:t xml:space="preserve">NO_VERIFICADO</w:t>
            </w:r>
          </w:p>
        </w:tc>
      </w:tr>
      <w:tr>
        <w:trPr>
          <w:cantSplit/>
        </w:trPr>
        <w:tc>
          <w:tcPr/>
          <w:p>
            <w:pPr>
              <w:pStyle w:val="Tabla8"/>
              <w:jc w:val="left"/>
            </w:pPr>
            <w:r>
              <w:t xml:space="preserve">V13</w:t>
            </w:r>
          </w:p>
        </w:tc>
        <w:tc>
          <w:tcPr/>
          <w:p>
            <w:pPr>
              <w:pStyle w:val="Tabla8"/>
              <w:jc w:val="left"/>
            </w:pPr>
            <w:r>
              <w:t xml:space="preserve">Organizacional</w:t>
            </w:r>
          </w:p>
        </w:tc>
        <w:tc>
          <w:tcPr/>
          <w:p>
            <w:pPr>
              <w:pStyle w:val="Tabla8"/>
              <w:jc w:val="left"/>
            </w:pPr>
            <w:r>
              <w:t xml:space="preserve">Anticipación del aviso, en horas</w:t>
            </w:r>
          </w:p>
        </w:tc>
        <w:tc>
          <w:tcPr/>
          <w:p>
            <w:pPr>
              <w:pStyle w:val="Tabla8"/>
              <w:jc w:val="left"/>
            </w:pPr>
            <w:r>
              <w:t xml:space="preserve">VACIO: sin línea base en el corpus</w:t>
            </w:r>
          </w:p>
        </w:tc>
        <w:tc>
          <w:tcPr/>
          <w:p>
            <w:pPr>
              <w:pStyle w:val="Tabla8"/>
              <w:jc w:val="left"/>
            </w:pPr>
            <w:r>
              <w:t xml:space="preserve">VACIO</w:t>
            </w:r>
          </w:p>
        </w:tc>
        <w:tc>
          <w:tcPr/>
          <w:p>
            <w:pPr>
              <w:pStyle w:val="Tabla8"/>
              <w:jc w:val="left"/>
            </w:pPr>
            <w:r>
              <w:t xml:space="preserve">VACIO</w:t>
            </w:r>
          </w:p>
        </w:tc>
        <w:tc>
          <w:tcPr/>
          <w:p>
            <w:pPr>
              <w:pStyle w:val="Tabla8"/>
              <w:jc w:val="left"/>
            </w:pPr>
            <w:r>
              <w:t xml:space="preserve">NO_VERIFICADO</w:t>
            </w:r>
          </w:p>
        </w:tc>
      </w:tr>
      <w:tr>
        <w:trPr>
          <w:cantSplit/>
        </w:trPr>
        <w:tc>
          <w:tcPr/>
          <w:p>
            <w:pPr>
              <w:pStyle w:val="Tabla8"/>
              <w:jc w:val="left"/>
            </w:pPr>
            <w:r>
              <w:t xml:space="preserve">V14</w:t>
            </w:r>
          </w:p>
        </w:tc>
        <w:tc>
          <w:tcPr/>
          <w:p>
            <w:pPr>
              <w:pStyle w:val="Tabla8"/>
              <w:jc w:val="left"/>
            </w:pPr>
            <w:r>
              <w:t xml:space="preserve">Institucional</w:t>
            </w:r>
          </w:p>
        </w:tc>
        <w:tc>
          <w:tcPr/>
          <w:p>
            <w:pPr>
              <w:pStyle w:val="Tabla8"/>
              <w:jc w:val="left"/>
            </w:pPr>
            <w:r>
              <w:t xml:space="preserve">Personas bajo protección efectiva por alertas</w:t>
            </w:r>
          </w:p>
        </w:tc>
        <w:tc>
          <w:tcPr/>
          <w:p>
            <w:pPr>
              <w:pStyle w:val="Tabla8"/>
              <w:jc w:val="left"/>
            </w:pPr>
            <w:r>
              <w:t xml:space="preserve">VACIO: sin variable de resultado ni línea base</w:t>
            </w:r>
          </w:p>
        </w:tc>
        <w:tc>
          <w:tcPr/>
          <w:p>
            <w:pPr>
              <w:pStyle w:val="Tabla8"/>
              <w:jc w:val="left"/>
            </w:pPr>
            <w:r>
              <w:t xml:space="preserve">VACIO</w:t>
            </w:r>
          </w:p>
        </w:tc>
        <w:tc>
          <w:tcPr/>
          <w:p>
            <w:pPr>
              <w:pStyle w:val="Tabla8"/>
              <w:jc w:val="left"/>
            </w:pPr>
            <w:r>
              <w:t xml:space="preserve">VACIO</w:t>
            </w:r>
          </w:p>
        </w:tc>
        <w:tc>
          <w:tcPr/>
          <w:p>
            <w:pPr>
              <w:pStyle w:val="Tabla8"/>
              <w:jc w:val="left"/>
            </w:pPr>
            <w:r>
              <w:t xml:space="preserve">NO_VERIFICADO</w:t>
            </w:r>
          </w:p>
        </w:tc>
      </w:tr>
      <w:tr>
        <w:trPr>
          <w:cantSplit/>
        </w:trPr>
        <w:tc>
          <w:tcPr/>
          <w:p>
            <w:pPr>
              <w:pStyle w:val="Tabla8"/>
              <w:jc w:val="left"/>
            </w:pPr>
            <w:r>
              <w:t xml:space="preserve">V15</w:t>
            </w:r>
          </w:p>
        </w:tc>
        <w:tc>
          <w:tcPr/>
          <w:p>
            <w:pPr>
              <w:pStyle w:val="Tabla8"/>
              <w:jc w:val="left"/>
            </w:pPr>
            <w:r>
              <w:t xml:space="preserve">Institucional</w:t>
            </w:r>
          </w:p>
        </w:tc>
        <w:tc>
          <w:tcPr/>
          <w:p>
            <w:pPr>
              <w:pStyle w:val="Tabla8"/>
              <w:jc w:val="left"/>
            </w:pPr>
            <w:r>
              <w:t xml:space="preserve">Adopción institucional del tablero</w:t>
            </w:r>
          </w:p>
        </w:tc>
        <w:tc>
          <w:tcPr/>
          <w:p>
            <w:pPr>
              <w:pStyle w:val="Tabla8"/>
              <w:jc w:val="left"/>
            </w:pPr>
            <w:r>
              <w:t xml:space="preserve">Supuesto crítico SC-3; sin medición de uso</w:t>
            </w:r>
          </w:p>
        </w:tc>
        <w:tc>
          <w:tcPr/>
          <w:p>
            <w:pPr>
              <w:pStyle w:val="Tabla8"/>
              <w:jc w:val="left"/>
            </w:pPr>
            <w:r>
              <w:t xml:space="preserve">VACIO: se mide desde el tramo 1</w:t>
            </w:r>
          </w:p>
        </w:tc>
        <w:tc>
          <w:tcPr/>
          <w:p>
            <w:pPr>
              <w:pStyle w:val="Tabla8"/>
              <w:jc w:val="left"/>
            </w:pPr>
            <w:r>
              <w:t xml:space="preserve">SUPUESTO</w:t>
            </w:r>
          </w:p>
        </w:tc>
        <w:tc>
          <w:tcPr/>
          <w:p>
            <w:pPr>
              <w:pStyle w:val="Tabla8"/>
              <w:jc w:val="left"/>
            </w:pPr>
            <w:r>
              <w:t xml:space="preserve">NO_VERIFICADO</w:t>
            </w:r>
          </w:p>
        </w:tc>
      </w:tr>
    </w:tbl>
    <w:p>
      <w:pPr>
        <w:pStyle w:val="TablaNota"/>
      </w:pPr>
      <w:r>
        <w:rPr>
          <w:i/>
          <w:iCs/>
        </w:rPr>
        <w:t xml:space="preserve">Nota.</w:t>
      </w:r>
      <w:r>
        <w:t xml:space="preserve"> </w:t>
      </w:r>
      <w:r>
        <w:t xml:space="preserve">Elaboración propia con el diccionario de la sección F4.4.2, la ficha maestra y el informe de vigilancia tecnológica (F-INF). Las citas con página proceden del informe, no de lectura de la fuente primaria.</w:t>
      </w:r>
    </w:p>
    <w:p>
      <w:pPr>
        <w:pStyle w:val="BodyText"/>
      </w:pPr>
      <w:r>
        <w:t xml:space="preserve">De las 15 variables, 8 cuentan con una cita del corpus y 7 quedan sin evidencia propia. Las 8 citas tienen una limitación común. Provienen de entornos distintos del sitio de remoción de escombros, como una mina a cielo abierto, estaciones brasileñas o estudios de índices en China. Por esa razón, el proyecto no usa ninguna de estas cifras como línea base. Las usa como motivo para medir: la colocalización del tramo 1 produce la línea base propia de V06, V12 y V15.</w:t>
      </w:r>
    </w:p>
    <w:bookmarkStart w:id="146" w:name="Xf96cd47dbf2610beb3f5ab52ab89fec8c39406b"/>
    <w:p>
      <w:pPr>
        <w:pStyle w:val="Heading3"/>
      </w:pPr>
      <w:r>
        <w:t xml:space="preserve">F4.1.1 Validación de la articulación territorial de las causas</w:t>
      </w:r>
    </w:p>
    <w:p>
      <w:pPr>
        <w:pStyle w:val="FirstParagraph"/>
      </w:pPr>
      <w:r>
        <w:t xml:space="preserve">El metaprompt exige un origen territorial para al menos dos causas. Las fuentes admitidas son tres. La primera es el diagnóstico del Plan de Desarrollo Departamental (PDD). La segunda son las demandas territoriales del Anexo 4. La tercera son los diagnósticos del Observatorio de Ciencia y Tecnología. Exige también que al menos 8 de 15 causas tengan un respaldo territorial. El expediente E3-P00 declara 10 causas articuladas. Cada una lleva un artículo del PDD, un indicador y un código de demanda. Lleva además una misión de la política de investigación e innovación orientada por misiones (PIIOM).</w:t>
      </w:r>
    </w:p>
    <w:p>
      <w:pPr>
        <w:pStyle w:val="BodyText"/>
      </w:pPr>
      <w:r>
        <w:t xml:space="preserve">Ninguno de esos documentos se aportó. Los artículos, indicadores y códigos de la Tabla F4.2 son declaraciones de E3 sin fuente verificable. Algunos códigos repiten el mismo patrón entre departamentos, y por ello la tabla los conserva como declarados. La regla de 8 de 15 se cumple en la declaración y no se cumple en la verificación: 0 de 15 respaldos verificados.</w:t>
      </w:r>
    </w:p>
    <w:p>
      <w:pPr>
        <w:pStyle w:val="TablaRotulo"/>
      </w:pPr>
      <w:bookmarkStart w:id="9079" w:name="rot_Tabla_F4_2"/>
      <w:r>
        <w:rPr>
          <w:b/>
          <w:bCs/>
        </w:rPr>
        <w:t xml:space="preserve">Tabla F4.2</w:t>
      </w:r>
      <w:bookmarkEnd w:id="9079"/>
    </w:p>
    <w:p>
      <w:pPr>
        <w:pStyle w:val="TablaTitulo"/>
      </w:pPr>
      <w:r>
        <w:rPr>
          <w:i/>
          <w:iCs/>
        </w:rPr>
        <w:t xml:space="preserve">Articulación territorial declarada por E3 para cada causa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24"/>
        <w:gridCol w:w="1452"/>
        <w:gridCol w:w="1188"/>
        <w:gridCol w:w="990"/>
        <w:gridCol w:w="1452"/>
        <w:gridCol w:w="1914"/>
      </w:tblGrid>
      <w:tr>
        <w:trPr>
          <w:cantSplit/>
          <w:tblHeader/>
        </w:trPr>
        <w:tc>
          <w:tcPr>
            <w:shd w:val="clear" w:color="auto" w:fill="00B050"/>
          </w:tcPr>
          <w:p>
            <w:pPr>
              <w:pStyle w:val="Tabla9"/>
              <w:jc w:val="center"/>
            </w:pPr>
            <w:r>
              <w:rPr>
                <w:b/>
                <w:color w:val="FFFFFF"/>
              </w:rPr>
              <w:t xml:space="preserve">Variable</w:t>
            </w:r>
          </w:p>
        </w:tc>
        <w:tc>
          <w:tcPr>
            <w:shd w:val="clear" w:color="auto" w:fill="00B050"/>
          </w:tcPr>
          <w:p>
            <w:pPr>
              <w:pStyle w:val="Tabla9"/>
              <w:jc w:val="center"/>
            </w:pPr>
            <w:r>
              <w:rPr>
                <w:b/>
                <w:color w:val="FFFFFF"/>
              </w:rPr>
              <w:t xml:space="preserve">PDD (artículo o eje) e indicador declarados</w:t>
            </w:r>
          </w:p>
        </w:tc>
        <w:tc>
          <w:tcPr>
            <w:shd w:val="clear" w:color="auto" w:fill="00B050"/>
          </w:tcPr>
          <w:p>
            <w:pPr>
              <w:pStyle w:val="Tabla9"/>
              <w:jc w:val="center"/>
            </w:pPr>
            <w:r>
              <w:rPr>
                <w:b/>
                <w:color w:val="FFFFFF"/>
              </w:rPr>
              <w:t xml:space="preserve">Código de demanda territorial declarado</w:t>
            </w:r>
          </w:p>
        </w:tc>
        <w:tc>
          <w:tcPr>
            <w:shd w:val="clear" w:color="auto" w:fill="00B050"/>
          </w:tcPr>
          <w:p>
            <w:pPr>
              <w:pStyle w:val="Tabla9"/>
              <w:jc w:val="center"/>
            </w:pPr>
            <w:r>
              <w:rPr>
                <w:b/>
                <w:color w:val="FFFFFF"/>
              </w:rPr>
              <w:t xml:space="preserve">Misión PIIOM declarada</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V06</w:t>
            </w:r>
          </w:p>
        </w:tc>
        <w:tc>
          <w:tcPr/>
          <w:p>
            <w:pPr>
              <w:pStyle w:val="Tabla9"/>
              <w:jc w:val="left"/>
            </w:pPr>
            <w:r>
              <w:t xml:space="preserve">PDD Caldas, Eje 2; «Sensores instalados»</w:t>
            </w:r>
          </w:p>
        </w:tc>
        <w:tc>
          <w:tcPr/>
          <w:p>
            <w:pPr>
              <w:pStyle w:val="Tabla9"/>
              <w:jc w:val="left"/>
            </w:pPr>
            <w:r>
              <w:t xml:space="preserve">Cal-11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V07</w:t>
            </w:r>
          </w:p>
        </w:tc>
        <w:tc>
          <w:tcPr/>
          <w:p>
            <w:pPr>
              <w:pStyle w:val="Tabla9"/>
              <w:jc w:val="left"/>
            </w:pPr>
            <w:r>
              <w:t xml:space="preserve">PDD Valle del Cauca, Art. 45; «Nodos calibrados»</w:t>
            </w:r>
          </w:p>
        </w:tc>
        <w:tc>
          <w:tcPr/>
          <w:p>
            <w:pPr>
              <w:pStyle w:val="Tabla9"/>
              <w:jc w:val="left"/>
            </w:pPr>
            <w:r>
              <w:t xml:space="preserve">Val-7</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V08</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Misión 2</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V09</w:t>
            </w:r>
          </w:p>
        </w:tc>
        <w:tc>
          <w:tcPr/>
          <w:p>
            <w:pPr>
              <w:pStyle w:val="Tabla9"/>
              <w:jc w:val="left"/>
            </w:pPr>
            <w:r>
              <w:t xml:space="preserve">PDD Cundinamarca, Eje 3; «Cobertura de red IoT»</w:t>
            </w:r>
          </w:p>
        </w:tc>
        <w:tc>
          <w:tcPr/>
          <w:p>
            <w:pPr>
              <w:pStyle w:val="Tabla9"/>
              <w:jc w:val="left"/>
            </w:pPr>
            <w:r>
              <w:t xml:space="preserve">Cun-11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V10</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V01</w:t>
            </w:r>
          </w:p>
        </w:tc>
        <w:tc>
          <w:tcPr/>
          <w:p>
            <w:pPr>
              <w:pStyle w:val="Tabla9"/>
              <w:jc w:val="left"/>
            </w:pPr>
            <w:r>
              <w:t xml:space="preserve">PDD Caldas, Eje 4; «Nivel PM2.5 anual»</w:t>
            </w:r>
          </w:p>
        </w:tc>
        <w:tc>
          <w:tcPr/>
          <w:p>
            <w:pPr>
              <w:pStyle w:val="Tabla9"/>
              <w:jc w:val="left"/>
            </w:pPr>
            <w:r>
              <w:t xml:space="preserve">No</w:t>
            </w:r>
          </w:p>
        </w:tc>
        <w:tc>
          <w:tcPr/>
          <w:p>
            <w:pPr>
              <w:pStyle w:val="Tabla9"/>
              <w:jc w:val="left"/>
            </w:pPr>
            <w:r>
              <w:t xml:space="preserve">Misión 5</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V02</w:t>
            </w:r>
          </w:p>
        </w:tc>
        <w:tc>
          <w:tcPr/>
          <w:p>
            <w:pPr>
              <w:pStyle w:val="Tabla9"/>
              <w:jc w:val="left"/>
            </w:pPr>
            <w:r>
              <w:t xml:space="preserve">PDD Valle del Cauca, Art. 50; «Nivel PM10 anual»</w:t>
            </w:r>
          </w:p>
        </w:tc>
        <w:tc>
          <w:tcPr/>
          <w:p>
            <w:pPr>
              <w:pStyle w:val="Tabla9"/>
              <w:jc w:val="left"/>
            </w:pPr>
            <w:r>
              <w:t xml:space="preserve">No</w:t>
            </w:r>
          </w:p>
        </w:tc>
        <w:tc>
          <w:tcPr/>
          <w:p>
            <w:pPr>
              <w:pStyle w:val="Tabla9"/>
              <w:jc w:val="left"/>
            </w:pPr>
            <w:r>
              <w:t xml:space="preserve">Misión 5</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V03</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V04</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V11</w:t>
            </w:r>
          </w:p>
        </w:tc>
        <w:tc>
          <w:tcPr/>
          <w:p>
            <w:pPr>
              <w:pStyle w:val="Tabla9"/>
              <w:jc w:val="left"/>
            </w:pPr>
            <w:r>
              <w:t xml:space="preserve">PDD Cundinamarca, Art. 12; «Índice de riesgo en salud»</w:t>
            </w:r>
          </w:p>
        </w:tc>
        <w:tc>
          <w:tcPr/>
          <w:p>
            <w:pPr>
              <w:pStyle w:val="Tabla9"/>
              <w:jc w:val="left"/>
            </w:pPr>
            <w:r>
              <w:t xml:space="preserve">Cun-11</w:t>
            </w:r>
          </w:p>
        </w:tc>
        <w:tc>
          <w:tcPr/>
          <w:p>
            <w:pPr>
              <w:pStyle w:val="Tabla9"/>
              <w:jc w:val="left"/>
            </w:pPr>
            <w:r>
              <w:t xml:space="preserve">Misión 1</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V12</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V13</w:t>
            </w:r>
          </w:p>
        </w:tc>
        <w:tc>
          <w:tcPr/>
          <w:p>
            <w:pPr>
              <w:pStyle w:val="Tabla9"/>
              <w:jc w:val="left"/>
            </w:pPr>
            <w:r>
              <w:t xml:space="preserve">PDD Caldas, Eje 2; «Tiempo de alerta temprana»</w:t>
            </w:r>
          </w:p>
        </w:tc>
        <w:tc>
          <w:tcPr/>
          <w:p>
            <w:pPr>
              <w:pStyle w:val="Tabla9"/>
              <w:jc w:val="left"/>
            </w:pPr>
            <w:r>
              <w:t xml:space="preserve">Cal-11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V05</w:t>
            </w:r>
          </w:p>
        </w:tc>
        <w:tc>
          <w:tcPr/>
          <w:p>
            <w:pPr>
              <w:pStyle w:val="Tabla9"/>
              <w:jc w:val="left"/>
            </w:pPr>
            <w:r>
              <w:t xml:space="preserve">PDD Valle del Cauca, Eje 3; «Toneladas dispuestas»</w:t>
            </w:r>
          </w:p>
        </w:tc>
        <w:tc>
          <w:tcPr/>
          <w:p>
            <w:pPr>
              <w:pStyle w:val="Tabla9"/>
              <w:jc w:val="left"/>
            </w:pPr>
            <w:r>
              <w:t xml:space="preserve">Val-7</w:t>
            </w:r>
          </w:p>
        </w:tc>
        <w:tc>
          <w:tcPr/>
          <w:p>
            <w:pPr>
              <w:pStyle w:val="Tabla9"/>
              <w:jc w:val="left"/>
            </w:pPr>
            <w:r>
              <w:t xml:space="preserve">Misión 5</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V14</w:t>
            </w:r>
          </w:p>
        </w:tc>
        <w:tc>
          <w:tcPr/>
          <w:p>
            <w:pPr>
              <w:pStyle w:val="Tabla9"/>
              <w:jc w:val="left"/>
            </w:pPr>
            <w:r>
              <w:t xml:space="preserve">PDD Caldas, Art. 22; «Personas alertadas»</w:t>
            </w:r>
          </w:p>
        </w:tc>
        <w:tc>
          <w:tcPr/>
          <w:p>
            <w:pPr>
              <w:pStyle w:val="Tabla9"/>
              <w:jc w:val="left"/>
            </w:pPr>
            <w:r>
              <w:t xml:space="preserve">Cal-11</w:t>
            </w:r>
          </w:p>
        </w:tc>
        <w:tc>
          <w:tcPr/>
          <w:p>
            <w:pPr>
              <w:pStyle w:val="Tabla9"/>
              <w:jc w:val="left"/>
            </w:pPr>
            <w:r>
              <w:t xml:space="preserve">Misión 1</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V15</w:t>
            </w:r>
          </w:p>
        </w:tc>
        <w:tc>
          <w:tcPr/>
          <w:p>
            <w:pPr>
              <w:pStyle w:val="Tabla9"/>
              <w:jc w:val="left"/>
            </w:pPr>
            <w:r>
              <w:t xml:space="preserve">PDD Cundinamarca, Art. 30; «% de municipios con SAT»</w:t>
            </w:r>
          </w:p>
        </w:tc>
        <w:tc>
          <w:tcPr/>
          <w:p>
            <w:pPr>
              <w:pStyle w:val="Tabla9"/>
              <w:jc w:val="left"/>
            </w:pPr>
            <w:r>
              <w:t xml:space="preserve">Cun-11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(Tabla E3-4.1a). El PDD, el Anexo 4 de la convocatoria, la PIIOM y el diagnóstico del Observatorio no se aportaron. SAT: sistema de alerta temprana. Ver decisión DEC-F12.</w:t>
      </w:r>
    </w:p>
    <w:p>
      <w:pPr>
        <w:pStyle w:val="BodyText"/>
      </w:pPr>
      <w:r>
        <w:t xml:space="preserve">La decisión DEC-F12 mantiene la formulación y registra la reserva R-ART. La corrida continúa por orden expresa del usuario. El cierre del documento lista los cinco documentos que el equipo formulador debe obtener antes de radicar: PDD de los tres departamentos, Anexo 4, PIIOM, diagnóstico del Observatorio y CONPES vigentes.</w:t>
      </w:r>
    </w:p>
    <w:bookmarkEnd w:id="146"/>
    <w:bookmarkEnd w:id="147"/>
    <w:bookmarkStart w:id="148" w:name="_Toc00900072"/>
    <w:p>
      <w:pPr>
        <w:pStyle w:val="Heading2"/>
      </w:pPr>
      <w:r>
        <w:t xml:space="preserve">F4.2 Desmantelamiento de ortodoxias</w:t>
      </w:r>
    </w:p>
    <w:p>
      <w:pPr>
        <w:pStyle w:val="FirstParagraph"/>
      </w:pPr>
      <w:r>
        <w:t xml:space="preserve">Una ortodoxia es un supuesto implícito que orienta el diseño sin haberse sometido a prueba. El método plantea tres preguntas para cada variable. Pregunta si la creencia perjudica el objetivo, si se puede imaginar una alternativa y qué ocurriría si el supuesto fuera falso. La Tabla F4.3 aplica las tres preguntas a las 15 variables. Las decisiones posibles son mantener, cuestionar o eliminar el supuesto.</w:t>
      </w:r>
    </w:p>
    <w:p>
      <w:pPr>
        <w:pStyle w:val="BodyText"/>
      </w:pPr>
      <w:r>
        <w:t xml:space="preserve">El expediente E3-P00 eliminó nueve de quince ortodoxias. Propuso alternativas técnicas específicas, como la inferencia en el chip del sensor o los nodos que duermen el 90 % del tiempo. Esta formulación revisa cada decisión contra el corpus y contra la arquitectura que adopta (corrección en el gateway). Una ortodoxia solo se elimina cuando existe evidencia en contra. Si la alternativa carece de respaldo, el supuesto se cuestiona y se pone a prueba en el piloto.</w:t>
      </w:r>
    </w:p>
    <w:p>
      <w:pPr>
        <w:pStyle w:val="TablaRotulo"/>
      </w:pPr>
      <w:bookmarkStart w:id="9080" w:name="rot_Tabla_F4_3"/>
      <w:r>
        <w:rPr>
          <w:b/>
          <w:bCs/>
        </w:rPr>
        <w:t xml:space="preserve">Tabla F4.3</w:t>
      </w:r>
      <w:bookmarkEnd w:id="9080"/>
    </w:p>
    <w:p>
      <w:pPr>
        <w:pStyle w:val="TablaTitulo"/>
      </w:pPr>
      <w:r>
        <w:rPr>
          <w:i/>
          <w:iCs/>
        </w:rPr>
        <w:t xml:space="preserve">Análisis crítico de supuestos implícitos por variable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31"/>
        <w:gridCol w:w="1397"/>
        <w:gridCol w:w="1397"/>
        <w:gridCol w:w="1530"/>
        <w:gridCol w:w="1131"/>
        <w:gridCol w:w="1530"/>
      </w:tblGrid>
      <w:tr>
        <w:trPr>
          <w:cantSplit/>
          <w:tblHeader/>
        </w:trPr>
        <w:tc>
          <w:tcPr>
            <w:shd w:val="clear" w:color="auto" w:fill="00B050"/>
          </w:tcPr>
          <w:p>
            <w:pPr>
              <w:pStyle w:val="Tabla9"/>
              <w:jc w:val="center"/>
            </w:pPr>
            <w:r>
              <w:rPr>
                <w:b/>
                <w:color w:val="FFFFFF"/>
              </w:rPr>
              <w:t xml:space="preserve">Variable</w:t>
            </w:r>
          </w:p>
        </w:tc>
        <w:tc>
          <w:tcPr>
            <w:shd w:val="clear" w:color="auto" w:fill="00B050"/>
          </w:tcPr>
          <w:p>
            <w:pPr>
              <w:pStyle w:val="Tabla9"/>
              <w:jc w:val="center"/>
            </w:pPr>
            <w:r>
              <w:rPr>
                <w:b/>
                <w:color w:val="FFFFFF"/>
              </w:rPr>
              <w:t xml:space="preserve">Supuesto implícito</w:t>
            </w:r>
          </w:p>
        </w:tc>
        <w:tc>
          <w:tcPr>
            <w:shd w:val="clear" w:color="auto" w:fill="00B050"/>
          </w:tcPr>
          <w:p>
            <w:pPr>
              <w:pStyle w:val="Tabla9"/>
              <w:jc w:val="center"/>
            </w:pPr>
            <w:r>
              <w:rPr>
                <w:b/>
                <w:color w:val="FFFFFF"/>
              </w:rPr>
              <w:t xml:space="preserve">¿Perjudicial?</w:t>
            </w:r>
          </w:p>
        </w:tc>
        <w:tc>
          <w:tcPr>
            <w:shd w:val="clear" w:color="auto" w:fill="00B050"/>
          </w:tcPr>
          <w:p>
            <w:pPr>
              <w:pStyle w:val="Tabla9"/>
              <w:jc w:val="center"/>
            </w:pPr>
            <w:r>
              <w:rPr>
                <w:b/>
                <w:color w:val="FFFFFF"/>
              </w:rPr>
              <w:t xml:space="preserve">Alternativa imaginable</w:t>
            </w:r>
          </w:p>
        </w:tc>
        <w:tc>
          <w:tcPr>
            <w:shd w:val="clear" w:color="auto" w:fill="00B050"/>
          </w:tcPr>
          <w:p>
            <w:pPr>
              <w:pStyle w:val="Tabla9"/>
              <w:jc w:val="center"/>
            </w:pPr>
            <w:r>
              <w:rPr>
                <w:b/>
                <w:color w:val="FFFFFF"/>
              </w:rPr>
              <w:t xml:space="preserve">Decisión</w:t>
            </w:r>
          </w:p>
        </w:tc>
        <w:tc>
          <w:tcPr>
            <w:shd w:val="clear" w:color="auto" w:fill="00B050"/>
          </w:tcPr>
          <w:p>
            <w:pPr>
              <w:pStyle w:val="Tabla9"/>
              <w:jc w:val="center"/>
            </w:pPr>
            <w:r>
              <w:rPr>
                <w:b/>
                <w:color w:val="FFFFFF"/>
              </w:rPr>
              <w:t xml:space="preserve">Fundamento</w:t>
            </w:r>
          </w:p>
        </w:tc>
      </w:tr>
      <w:tr>
        <w:trPr>
          <w:cantSplit/>
        </w:trPr>
        <w:tc>
          <w:tcPr/>
          <w:p>
            <w:pPr>
              <w:pStyle w:val="Tabla9"/>
              <w:jc w:val="left"/>
            </w:pPr>
            <w:r>
              <w:t xml:space="preserve">V06</w:t>
            </w:r>
          </w:p>
        </w:tc>
        <w:tc>
          <w:tcPr/>
          <w:p>
            <w:pPr>
              <w:pStyle w:val="Tabla9"/>
              <w:jc w:val="left"/>
            </w:pPr>
            <w:r>
              <w:t xml:space="preserve">Un sensor de bajo costo nunca alcanza la calidad de una referencia.</w:t>
            </w:r>
          </w:p>
        </w:tc>
        <w:tc>
          <w:tcPr/>
          <w:p>
            <w:pPr>
              <w:pStyle w:val="Tabla9"/>
              <w:jc w:val="left"/>
            </w:pPr>
            <w:r>
              <w:t xml:space="preserve">Sí</w:t>
            </w:r>
          </w:p>
        </w:tc>
        <w:tc>
          <w:tcPr/>
          <w:p>
            <w:pPr>
              <w:pStyle w:val="Tabla9"/>
              <w:jc w:val="left"/>
            </w:pPr>
            <w:r>
              <w:t xml:space="preserve">Corrección con modelo entrenado por colocalización, evaluada con los umbrales de EPA (2021)</w:t>
            </w:r>
          </w:p>
        </w:tc>
        <w:tc>
          <w:tcPr/>
          <w:p>
            <w:pPr>
              <w:pStyle w:val="Tabla9"/>
              <w:jc w:val="left"/>
            </w:pPr>
            <w:r>
              <w:t xml:space="preserve">Cuestionar</w:t>
            </w:r>
          </w:p>
        </w:tc>
        <w:tc>
          <w:tcPr/>
          <w:p>
            <w:pPr>
              <w:pStyle w:val="Tabla9"/>
              <w:jc w:val="left"/>
            </w:pPr>
            <w:r>
              <w:t xml:space="preserve">Barkjohn et al. (2021) aplicaron una corrección que incorpora la humedad; el piloto del tramo 1 mide si el resultado se sostiene en escombros.</w:t>
            </w:r>
          </w:p>
        </w:tc>
      </w:tr>
      <w:tr>
        <w:trPr>
          <w:cantSplit/>
        </w:trPr>
        <w:tc>
          <w:tcPr/>
          <w:p>
            <w:pPr>
              <w:pStyle w:val="Tabla9"/>
              <w:jc w:val="left"/>
            </w:pPr>
            <w:r>
              <w:t xml:space="preserve">V07</w:t>
            </w:r>
          </w:p>
        </w:tc>
        <w:tc>
          <w:tcPr/>
          <w:p>
            <w:pPr>
              <w:pStyle w:val="Tabla9"/>
              <w:jc w:val="left"/>
            </w:pPr>
            <w:r>
              <w:t xml:space="preserve">La calibración exige retirar el sensor al laboratorio.</w:t>
            </w:r>
          </w:p>
        </w:tc>
        <w:tc>
          <w:tcPr/>
          <w:p>
            <w:pPr>
              <w:pStyle w:val="Tabla9"/>
              <w:jc w:val="left"/>
            </w:pPr>
            <w:r>
              <w:t xml:space="preserve">Sí</w:t>
            </w:r>
          </w:p>
        </w:tc>
        <w:tc>
          <w:tcPr/>
          <w:p>
            <w:pPr>
              <w:pStyle w:val="Tabla9"/>
              <w:jc w:val="left"/>
            </w:pPr>
            <w:r>
              <w:t xml:space="preserve">Actualización remota del modelo de corrección en el gateway, con ciclos de colocalización</w:t>
            </w:r>
          </w:p>
        </w:tc>
        <w:tc>
          <w:tcPr/>
          <w:p>
            <w:pPr>
              <w:pStyle w:val="Tabla9"/>
              <w:jc w:val="left"/>
            </w:pPr>
            <w:r>
              <w:t xml:space="preserve">Eliminar</w:t>
            </w:r>
          </w:p>
        </w:tc>
        <w:tc>
          <w:tcPr/>
          <w:p>
            <w:pPr>
              <w:pStyle w:val="Tabla9"/>
              <w:jc w:val="left"/>
            </w:pPr>
            <w:r>
              <w:t xml:space="preserve">Murad Pedraza et al. (2026, pp. 10-11 y 13) reportan redes sin plan de calibración; el diseño separa la calibración del retiro físico.</w:t>
            </w:r>
          </w:p>
        </w:tc>
      </w:tr>
      <w:tr>
        <w:trPr>
          <w:cantSplit/>
        </w:trPr>
        <w:tc>
          <w:tcPr/>
          <w:p>
            <w:pPr>
              <w:pStyle w:val="Tabla9"/>
              <w:jc w:val="left"/>
            </w:pPr>
            <w:r>
              <w:t xml:space="preserve">V08</w:t>
            </w:r>
          </w:p>
        </w:tc>
        <w:tc>
          <w:tcPr/>
          <w:p>
            <w:pPr>
              <w:pStyle w:val="Tabla9"/>
              <w:jc w:val="left"/>
            </w:pPr>
            <w:r>
              <w:t xml:space="preserve">Hay que transmitir el dato crudo continuamente a la nube.</w:t>
            </w:r>
          </w:p>
        </w:tc>
        <w:tc>
          <w:tcPr/>
          <w:p>
            <w:pPr>
              <w:pStyle w:val="Tabla9"/>
              <w:jc w:val="left"/>
            </w:pPr>
            <w:r>
              <w:t xml:space="preserve">Sí</w:t>
            </w:r>
          </w:p>
        </w:tc>
        <w:tc>
          <w:tcPr/>
          <w:p>
            <w:pPr>
              <w:pStyle w:val="Tabla9"/>
              <w:jc w:val="left"/>
            </w:pPr>
            <w:r>
              <w:t xml:space="preserve">Corrección en el gateway y envío del dato corregido con almacenamiento local de 7 días</w:t>
            </w:r>
          </w:p>
        </w:tc>
        <w:tc>
          <w:tcPr/>
          <w:p>
            <w:pPr>
              <w:pStyle w:val="Tabla9"/>
              <w:jc w:val="left"/>
            </w:pPr>
            <w:r>
              <w:t xml:space="preserve">Cuestionar</w:t>
            </w:r>
          </w:p>
        </w:tc>
        <w:tc>
          <w:tcPr/>
          <w:p>
            <w:pPr>
              <w:pStyle w:val="Tabla9"/>
              <w:jc w:val="left"/>
            </w:pPr>
            <w:r>
              <w:t xml:space="preserve">El valor de latencia es VACIO; el piloto la mide antes de optimizarla.</w:t>
            </w:r>
          </w:p>
        </w:tc>
      </w:tr>
      <w:tr>
        <w:trPr>
          <w:cantSplit/>
        </w:trPr>
        <w:tc>
          <w:tcPr/>
          <w:p>
            <w:pPr>
              <w:pStyle w:val="Tabla9"/>
              <w:jc w:val="left"/>
            </w:pPr>
            <w:r>
              <w:t xml:space="preserve">V09</w:t>
            </w:r>
          </w:p>
        </w:tc>
        <w:tc>
          <w:tcPr/>
          <w:p>
            <w:pPr>
              <w:pStyle w:val="Tabla9"/>
              <w:jc w:val="left"/>
            </w:pPr>
            <w:r>
              <w:t xml:space="preserve">Los nodos fallan porque consumen mucha energía.</w:t>
            </w:r>
          </w:p>
        </w:tc>
        <w:tc>
          <w:tcPr/>
          <w:p>
            <w:pPr>
              <w:pStyle w:val="Tabla9"/>
              <w:jc w:val="left"/>
            </w:pPr>
            <w:r>
              <w:t xml:space="preserve">Sí</w:t>
            </w:r>
          </w:p>
        </w:tc>
        <w:tc>
          <w:tcPr/>
          <w:p>
            <w:pPr>
              <w:pStyle w:val="Tabla9"/>
              <w:jc w:val="left"/>
            </w:pPr>
            <w:r>
              <w:t xml:space="preserve">Autonomía mínima de 14 días sin sol y reserva de 20 nodos</w:t>
            </w:r>
          </w:p>
        </w:tc>
        <w:tc>
          <w:tcPr/>
          <w:p>
            <w:pPr>
              <w:pStyle w:val="Tabla9"/>
              <w:jc w:val="left"/>
            </w:pPr>
            <w:r>
              <w:t xml:space="preserve">Cuestionar</w:t>
            </w:r>
          </w:p>
        </w:tc>
        <w:tc>
          <w:tcPr/>
          <w:p>
            <w:pPr>
              <w:pStyle w:val="Tabla9"/>
              <w:jc w:val="left"/>
            </w:pPr>
            <w:r>
              <w:t xml:space="preserve">Tavella et al. (2026, p. 6) reportan 16,8 % de estaciones inactivas o sin estado; la causa de la inactividad no consta.</w:t>
            </w:r>
          </w:p>
        </w:tc>
      </w:tr>
      <w:tr>
        <w:trPr>
          <w:cantSplit/>
        </w:trPr>
        <w:tc>
          <w:tcPr/>
          <w:p>
            <w:pPr>
              <w:pStyle w:val="Tabla9"/>
              <w:jc w:val="left"/>
            </w:pPr>
            <w:r>
              <w:t xml:space="preserve">V10</w:t>
            </w:r>
          </w:p>
        </w:tc>
        <w:tc>
          <w:tcPr/>
          <w:p>
            <w:pPr>
              <w:pStyle w:val="Tabla9"/>
              <w:jc w:val="left"/>
            </w:pPr>
            <w:r>
              <w:t xml:space="preserve">Un gemelo digital exige modelos numéricos de gran tamaño.</w:t>
            </w:r>
          </w:p>
        </w:tc>
        <w:tc>
          <w:tcPr/>
          <w:p>
            <w:pPr>
              <w:pStyle w:val="Tabla9"/>
              <w:jc w:val="left"/>
            </w:pPr>
            <w:r>
              <w:t xml:space="preserve">No</w:t>
            </w:r>
          </w:p>
        </w:tc>
        <w:tc>
          <w:tcPr/>
          <w:p>
            <w:pPr>
              <w:pStyle w:val="Tabla9"/>
              <w:jc w:val="left"/>
            </w:pPr>
            <w:r>
              <w:t xml:space="preserve">Estimación espacial por interpolación con la red de 100 nodos</w:t>
            </w:r>
          </w:p>
        </w:tc>
        <w:tc>
          <w:tcPr/>
          <w:p>
            <w:pPr>
              <w:pStyle w:val="Tabla9"/>
              <w:jc w:val="left"/>
            </w:pPr>
            <w:r>
              <w:t xml:space="preserve">Mantener</w:t>
            </w:r>
          </w:p>
        </w:tc>
        <w:tc>
          <w:tcPr/>
          <w:p>
            <w:pPr>
              <w:pStyle w:val="Tabla9"/>
              <w:jc w:val="left"/>
            </w:pPr>
            <w:r>
              <w:t xml:space="preserve">Sin evidencia propia; se evalúa en el tramo 2 con la densidad efectiva.</w:t>
            </w:r>
          </w:p>
        </w:tc>
      </w:tr>
      <w:tr>
        <w:trPr>
          <w:cantSplit/>
        </w:trPr>
        <w:tc>
          <w:tcPr/>
          <w:p>
            <w:pPr>
              <w:pStyle w:val="Tabla9"/>
              <w:jc w:val="left"/>
            </w:pPr>
            <w:r>
              <w:t xml:space="preserve">V01</w:t>
            </w:r>
          </w:p>
        </w:tc>
        <w:tc>
          <w:tcPr/>
          <w:p>
            <w:pPr>
              <w:pStyle w:val="Tabla9"/>
              <w:jc w:val="left"/>
            </w:pPr>
            <w:r>
              <w:t xml:space="preserve">El PM2,5 se predice con variables climáticas simples.</w:t>
            </w:r>
          </w:p>
        </w:tc>
        <w:tc>
          <w:tcPr/>
          <w:p>
            <w:pPr>
              <w:pStyle w:val="Tabla9"/>
              <w:jc w:val="left"/>
            </w:pPr>
            <w:r>
              <w:t xml:space="preserve">Sí</w:t>
            </w:r>
          </w:p>
        </w:tc>
        <w:tc>
          <w:tcPr/>
          <w:p>
            <w:pPr>
              <w:pStyle w:val="Tabla9"/>
              <w:jc w:val="left"/>
            </w:pPr>
            <w:r>
              <w:t xml:space="preserve">Medir en el sitio con referencia colocalizada</w:t>
            </w:r>
          </w:p>
        </w:tc>
        <w:tc>
          <w:tcPr/>
          <w:p>
            <w:pPr>
              <w:pStyle w:val="Tabla9"/>
              <w:jc w:val="left"/>
            </w:pPr>
            <w:r>
              <w:t xml:space="preserve">Cuestionar</w:t>
            </w:r>
          </w:p>
        </w:tc>
        <w:tc>
          <w:tcPr/>
          <w:p>
            <w:pPr>
              <w:pStyle w:val="Tabla9"/>
              <w:jc w:val="left"/>
            </w:pPr>
            <w:r>
              <w:t xml:space="preserve">El proyecto mide y corrige; no predice.</w:t>
            </w:r>
          </w:p>
        </w:tc>
      </w:tr>
      <w:tr>
        <w:trPr>
          <w:cantSplit/>
        </w:trPr>
        <w:tc>
          <w:tcPr/>
          <w:p>
            <w:pPr>
              <w:pStyle w:val="Tabla9"/>
              <w:jc w:val="left"/>
            </w:pPr>
            <w:r>
              <w:t xml:space="preserve">V02</w:t>
            </w:r>
          </w:p>
        </w:tc>
        <w:tc>
          <w:tcPr/>
          <w:p>
            <w:pPr>
              <w:pStyle w:val="Tabla9"/>
              <w:jc w:val="left"/>
            </w:pPr>
            <w:r>
              <w:t xml:space="preserve">El polvo de demolición equivale a la contaminación urbana.</w:t>
            </w:r>
          </w:p>
        </w:tc>
        <w:tc>
          <w:tcPr/>
          <w:p>
            <w:pPr>
              <w:pStyle w:val="Tabla9"/>
              <w:jc w:val="left"/>
            </w:pPr>
            <w:r>
              <w:t xml:space="preserve">Sí</w:t>
            </w:r>
          </w:p>
        </w:tc>
        <w:tc>
          <w:tcPr/>
          <w:p>
            <w:pPr>
              <w:pStyle w:val="Tabla9"/>
              <w:jc w:val="left"/>
            </w:pPr>
            <w:r>
              <w:t xml:space="preserve">Tratar V02 como fracción gruesa (PM10 menos PM2,5)</w:t>
            </w:r>
          </w:p>
        </w:tc>
        <w:tc>
          <w:tcPr/>
          <w:p>
            <w:pPr>
              <w:pStyle w:val="Tabla9"/>
              <w:jc w:val="left"/>
            </w:pPr>
            <w:r>
              <w:t xml:space="preserve">Eliminar</w:t>
            </w:r>
          </w:p>
        </w:tc>
        <w:tc>
          <w:tcPr/>
          <w:p>
            <w:pPr>
              <w:pStyle w:val="Tabla9"/>
              <w:jc w:val="left"/>
            </w:pPr>
            <w:r>
              <w:t xml:space="preserve">El cociente PM2,5/PM10 de 0,88 en una mina (Suresh et al., 2025) corresponde a otro régimen; la ficha de V02 propone la redefinición.</w:t>
            </w:r>
          </w:p>
        </w:tc>
      </w:tr>
      <w:tr>
        <w:trPr>
          <w:cantSplit/>
        </w:trPr>
        <w:tc>
          <w:tcPr/>
          <w:p>
            <w:pPr>
              <w:pStyle w:val="Tabla9"/>
              <w:jc w:val="left"/>
            </w:pPr>
            <w:r>
              <w:t xml:space="preserve">V03</w:t>
            </w:r>
          </w:p>
        </w:tc>
        <w:tc>
          <w:tcPr/>
          <w:p>
            <w:pPr>
              <w:pStyle w:val="Tabla9"/>
              <w:jc w:val="left"/>
            </w:pPr>
            <w:r>
              <w:t xml:space="preserve">La humedad daña de forma irreversible el sensor óptico.</w:t>
            </w:r>
          </w:p>
        </w:tc>
        <w:tc>
          <w:tcPr/>
          <w:p>
            <w:pPr>
              <w:pStyle w:val="Tabla9"/>
              <w:jc w:val="left"/>
            </w:pPr>
            <w:r>
              <w:t xml:space="preserve">Sí</w:t>
            </w:r>
          </w:p>
        </w:tc>
        <w:tc>
          <w:tcPr/>
          <w:p>
            <w:pPr>
              <w:pStyle w:val="Tabla9"/>
              <w:jc w:val="left"/>
            </w:pPr>
            <w:r>
              <w:t xml:space="preserve">Corregir el sesgo higroscópico con el modelo</w:t>
            </w:r>
          </w:p>
        </w:tc>
        <w:tc>
          <w:tcPr/>
          <w:p>
            <w:pPr>
              <w:pStyle w:val="Tabla9"/>
              <w:jc w:val="left"/>
            </w:pPr>
            <w:r>
              <w:t xml:space="preserve">Eliminar</w:t>
            </w:r>
          </w:p>
        </w:tc>
        <w:tc>
          <w:tcPr/>
          <w:p>
            <w:pPr>
              <w:pStyle w:val="Tabla9"/>
              <w:jc w:val="left"/>
            </w:pPr>
            <w:r>
              <w:t xml:space="preserve">Jayaratne et al. (2018) y Barkjohn et al. (2021) muestran corrección posible con humedad; la carcasa mitiga el daño por condensación.</w:t>
            </w:r>
          </w:p>
        </w:tc>
      </w:tr>
      <w:tr>
        <w:trPr>
          <w:cantSplit/>
        </w:trPr>
        <w:tc>
          <w:tcPr/>
          <w:p>
            <w:pPr>
              <w:pStyle w:val="Tabla9"/>
              <w:jc w:val="left"/>
            </w:pPr>
            <w:r>
              <w:t xml:space="preserve">V04</w:t>
            </w:r>
          </w:p>
        </w:tc>
        <w:tc>
          <w:tcPr/>
          <w:p>
            <w:pPr>
              <w:pStyle w:val="Tabla9"/>
              <w:jc w:val="left"/>
            </w:pPr>
            <w:r>
              <w:t xml:space="preserve">El viento superficial es constante en el sitio.</w:t>
            </w:r>
          </w:p>
        </w:tc>
        <w:tc>
          <w:tcPr/>
          <w:p>
            <w:pPr>
              <w:pStyle w:val="Tabla9"/>
              <w:jc w:val="left"/>
            </w:pPr>
            <w:r>
              <w:t xml:space="preserve">Sí</w:t>
            </w:r>
          </w:p>
        </w:tc>
        <w:tc>
          <w:tcPr/>
          <w:p>
            <w:pPr>
              <w:pStyle w:val="Tabla9"/>
              <w:jc w:val="left"/>
            </w:pPr>
            <w:r>
              <w:t xml:space="preserve">Registrar viento como variable de control</w:t>
            </w:r>
          </w:p>
        </w:tc>
        <w:tc>
          <w:tcPr/>
          <w:p>
            <w:pPr>
              <w:pStyle w:val="Tabla9"/>
              <w:jc w:val="left"/>
            </w:pPr>
            <w:r>
              <w:t xml:space="preserve">Cuestionar</w:t>
            </w:r>
          </w:p>
        </w:tc>
        <w:tc>
          <w:tcPr/>
          <w:p>
            <w:pPr>
              <w:pStyle w:val="Tabla9"/>
              <w:jc w:val="left"/>
            </w:pPr>
            <w:r>
              <w:t xml:space="preserve">No existe serie del territorio; E3 propone modelos de cizalladura, que el proyecto no adopta.</w:t>
            </w:r>
          </w:p>
        </w:tc>
      </w:tr>
      <w:tr>
        <w:trPr>
          <w:cantSplit/>
        </w:trPr>
        <w:tc>
          <w:tcPr/>
          <w:p>
            <w:pPr>
              <w:pStyle w:val="Tabla9"/>
              <w:jc w:val="left"/>
            </w:pPr>
            <w:r>
              <w:t xml:space="preserve">V11</w:t>
            </w:r>
          </w:p>
        </w:tc>
        <w:tc>
          <w:tcPr/>
          <w:p>
            <w:pPr>
              <w:pStyle w:val="Tabla9"/>
              <w:jc w:val="left"/>
            </w:pPr>
            <w:r>
              <w:t xml:space="preserve">Un índice de calidad del aire mide el riesgo de salud.</w:t>
            </w:r>
          </w:p>
        </w:tc>
        <w:tc>
          <w:tcPr/>
          <w:p>
            <w:pPr>
              <w:pStyle w:val="Tabla9"/>
              <w:jc w:val="left"/>
            </w:pPr>
            <w:r>
              <w:t xml:space="preserve">Sí</w:t>
            </w:r>
          </w:p>
        </w:tc>
        <w:tc>
          <w:tcPr/>
          <w:p>
            <w:pPr>
              <w:pStyle w:val="Tabla9"/>
              <w:jc w:val="left"/>
            </w:pPr>
            <w:r>
              <w:t xml:space="preserve">AQHI con fórmula y umbrales validados localmente</w:t>
            </w:r>
          </w:p>
        </w:tc>
        <w:tc>
          <w:tcPr/>
          <w:p>
            <w:pPr>
              <w:pStyle w:val="Tabla9"/>
              <w:jc w:val="left"/>
            </w:pPr>
            <w:r>
              <w:t xml:space="preserve">Cuestionar</w:t>
            </w:r>
          </w:p>
        </w:tc>
        <w:tc>
          <w:tcPr/>
          <w:p>
            <w:pPr>
              <w:pStyle w:val="Tabla9"/>
              <w:jc w:val="left"/>
            </w:pPr>
            <w:r>
              <w:t xml:space="preserve">Liao et al. (2026, pp. 6 y 8): 9,4 % de los estudios usó partición de datos; la validación local es una tarea del proyecto.</w:t>
            </w:r>
          </w:p>
        </w:tc>
      </w:tr>
      <w:tr>
        <w:trPr>
          <w:cantSplit/>
        </w:trPr>
        <w:tc>
          <w:tcPr/>
          <w:p>
            <w:pPr>
              <w:pStyle w:val="Tabla9"/>
              <w:jc w:val="left"/>
            </w:pPr>
            <w:r>
              <w:t xml:space="preserve">V12</w:t>
            </w:r>
          </w:p>
        </w:tc>
        <w:tc>
          <w:tcPr/>
          <w:p>
            <w:pPr>
              <w:pStyle w:val="Tabla9"/>
              <w:jc w:val="left"/>
            </w:pPr>
            <w:r>
              <w:t xml:space="preserve">Las falsas alarmas son inevitables con sensores baratos.</w:t>
            </w:r>
          </w:p>
        </w:tc>
        <w:tc>
          <w:tcPr/>
          <w:p>
            <w:pPr>
              <w:pStyle w:val="Tabla9"/>
              <w:jc w:val="left"/>
            </w:pPr>
            <w:r>
              <w:t xml:space="preserve">Sí</w:t>
            </w:r>
          </w:p>
        </w:tc>
        <w:tc>
          <w:tcPr/>
          <w:p>
            <w:pPr>
              <w:pStyle w:val="Tabla9"/>
              <w:jc w:val="left"/>
            </w:pPr>
            <w:r>
              <w:t xml:space="preserve">Medir la tasa de falsas alarmas y reducirla con la corrección</w:t>
            </w:r>
          </w:p>
        </w:tc>
        <w:tc>
          <w:tcPr/>
          <w:p>
            <w:pPr>
              <w:pStyle w:val="Tabla9"/>
              <w:jc w:val="left"/>
            </w:pPr>
            <w:r>
              <w:t xml:space="preserve">Cuestionar</w:t>
            </w:r>
          </w:p>
        </w:tc>
        <w:tc>
          <w:tcPr/>
          <w:p>
            <w:pPr>
              <w:pStyle w:val="Tabla9"/>
              <w:jc w:val="left"/>
            </w:pPr>
            <w:r>
              <w:t xml:space="preserve">Ningún documento de alertas del corpus la reporta.</w:t>
            </w:r>
          </w:p>
        </w:tc>
      </w:tr>
      <w:tr>
        <w:trPr>
          <w:cantSplit/>
        </w:trPr>
        <w:tc>
          <w:tcPr/>
          <w:p>
            <w:pPr>
              <w:pStyle w:val="Tabla9"/>
              <w:jc w:val="left"/>
            </w:pPr>
            <w:r>
              <w:t xml:space="preserve">V13</w:t>
            </w:r>
          </w:p>
        </w:tc>
        <w:tc>
          <w:tcPr/>
          <w:p>
            <w:pPr>
              <w:pStyle w:val="Tabla9"/>
              <w:jc w:val="left"/>
            </w:pPr>
            <w:r>
              <w:t xml:space="preserve">Anticipar una hora salva pocas vidas.</w:t>
            </w:r>
          </w:p>
        </w:tc>
        <w:tc>
          <w:tcPr/>
          <w:p>
            <w:pPr>
              <w:pStyle w:val="Tabla9"/>
              <w:jc w:val="left"/>
            </w:pPr>
            <w:r>
              <w:t xml:space="preserve">Sí</w:t>
            </w:r>
          </w:p>
        </w:tc>
        <w:tc>
          <w:tcPr/>
          <w:p>
            <w:pPr>
              <w:pStyle w:val="Tabla9"/>
              <w:jc w:val="left"/>
            </w:pPr>
            <w:r>
              <w:t xml:space="preserve">Medir la anticipación y no afirmar efectos sobre vidas</w:t>
            </w:r>
          </w:p>
        </w:tc>
        <w:tc>
          <w:tcPr/>
          <w:p>
            <w:pPr>
              <w:pStyle w:val="Tabla9"/>
              <w:jc w:val="left"/>
            </w:pPr>
            <w:r>
              <w:t xml:space="preserve">Cuestionar</w:t>
            </w:r>
          </w:p>
        </w:tc>
        <w:tc>
          <w:tcPr/>
          <w:p>
            <w:pPr>
              <w:pStyle w:val="Tabla9"/>
              <w:jc w:val="left"/>
            </w:pPr>
            <w:r>
              <w:t xml:space="preserve">Sin línea base en el corpus; el proyecto no promete efectos en salud.</w:t>
            </w:r>
          </w:p>
        </w:tc>
      </w:tr>
      <w:tr>
        <w:trPr>
          <w:cantSplit/>
        </w:trPr>
        <w:tc>
          <w:tcPr/>
          <w:p>
            <w:pPr>
              <w:pStyle w:val="Tabla9"/>
              <w:jc w:val="left"/>
            </w:pPr>
            <w:r>
              <w:t xml:space="preserve">V05</w:t>
            </w:r>
          </w:p>
        </w:tc>
        <w:tc>
          <w:tcPr/>
          <w:p>
            <w:pPr>
              <w:pStyle w:val="Tabla9"/>
              <w:jc w:val="left"/>
            </w:pPr>
            <w:r>
              <w:t xml:space="preserve">Los escombros son solo un problema logístico.</w:t>
            </w:r>
          </w:p>
        </w:tc>
        <w:tc>
          <w:tcPr/>
          <w:p>
            <w:pPr>
              <w:pStyle w:val="Tabla9"/>
              <w:jc w:val="left"/>
            </w:pPr>
            <w:r>
              <w:t xml:space="preserve">Sí</w:t>
            </w:r>
          </w:p>
        </w:tc>
        <w:tc>
          <w:tcPr/>
          <w:p>
            <w:pPr>
              <w:pStyle w:val="Tabla9"/>
              <w:jc w:val="left"/>
            </w:pPr>
            <w:r>
              <w:t xml:space="preserve">Tratar la remoción como fuente de exposición a partículas</w:t>
            </w:r>
          </w:p>
        </w:tc>
        <w:tc>
          <w:tcPr/>
          <w:p>
            <w:pPr>
              <w:pStyle w:val="Tabla9"/>
              <w:jc w:val="left"/>
            </w:pPr>
            <w:r>
              <w:t xml:space="preserve">Eliminar</w:t>
            </w:r>
          </w:p>
        </w:tc>
        <w:tc>
          <w:tcPr/>
          <w:p>
            <w:pPr>
              <w:pStyle w:val="Tabla9"/>
              <w:jc w:val="left"/>
            </w:pPr>
            <w:r>
              <w:t xml:space="preserve">Premisa del caso por instrucción del usuario (SUPUESTO).</w:t>
            </w:r>
          </w:p>
        </w:tc>
      </w:tr>
      <w:tr>
        <w:trPr>
          <w:cantSplit/>
        </w:trPr>
        <w:tc>
          <w:tcPr/>
          <w:p>
            <w:pPr>
              <w:pStyle w:val="Tabla9"/>
              <w:jc w:val="left"/>
            </w:pPr>
            <w:r>
              <w:t xml:space="preserve">V14</w:t>
            </w:r>
          </w:p>
        </w:tc>
        <w:tc>
          <w:tcPr/>
          <w:p>
            <w:pPr>
              <w:pStyle w:val="Tabla9"/>
              <w:jc w:val="left"/>
            </w:pPr>
            <w:r>
              <w:t xml:space="preserve">Una alerta basta para que la población se proteja.</w:t>
            </w:r>
          </w:p>
        </w:tc>
        <w:tc>
          <w:tcPr/>
          <w:p>
            <w:pPr>
              <w:pStyle w:val="Tabla9"/>
              <w:jc w:val="left"/>
            </w:pPr>
            <w:r>
              <w:t xml:space="preserve">Sí</w:t>
            </w:r>
          </w:p>
        </w:tc>
        <w:tc>
          <w:tcPr/>
          <w:p>
            <w:pPr>
              <w:pStyle w:val="Tabla9"/>
              <w:jc w:val="left"/>
            </w:pPr>
            <w:r>
              <w:t xml:space="preserve">Protocolo con medidas y capacitación, medido como protección efectiva</w:t>
            </w:r>
          </w:p>
        </w:tc>
        <w:tc>
          <w:tcPr/>
          <w:p>
            <w:pPr>
              <w:pStyle w:val="Tabla9"/>
              <w:jc w:val="left"/>
            </w:pPr>
            <w:r>
              <w:t xml:space="preserve">Cuestionar</w:t>
            </w:r>
          </w:p>
        </w:tc>
        <w:tc>
          <w:tcPr/>
          <w:p>
            <w:pPr>
              <w:pStyle w:val="Tabla9"/>
              <w:jc w:val="left"/>
            </w:pPr>
            <w:r>
              <w:t xml:space="preserve">Sin variable de resultado; no se afirma protección.</w:t>
            </w:r>
          </w:p>
        </w:tc>
      </w:tr>
      <w:tr>
        <w:trPr>
          <w:cantSplit/>
        </w:trPr>
        <w:tc>
          <w:tcPr/>
          <w:p>
            <w:pPr>
              <w:pStyle w:val="Tabla9"/>
              <w:jc w:val="left"/>
            </w:pPr>
            <w:r>
              <w:t xml:space="preserve">V15</w:t>
            </w:r>
          </w:p>
        </w:tc>
        <w:tc>
          <w:tcPr/>
          <w:p>
            <w:pPr>
              <w:pStyle w:val="Tabla9"/>
              <w:jc w:val="left"/>
            </w:pPr>
            <w:r>
              <w:t xml:space="preserve">Las alcaldías usarán el sistema solo por ser nuevo.</w:t>
            </w:r>
          </w:p>
        </w:tc>
        <w:tc>
          <w:tcPr/>
          <w:p>
            <w:pPr>
              <w:pStyle w:val="Tabla9"/>
              <w:jc w:val="left"/>
            </w:pPr>
            <w:r>
              <w:t xml:space="preserve">Sí</w:t>
            </w:r>
          </w:p>
        </w:tc>
        <w:tc>
          <w:tcPr/>
          <w:p>
            <w:pPr>
              <w:pStyle w:val="Tabla9"/>
              <w:jc w:val="left"/>
            </w:pPr>
            <w:r>
              <w:t xml:space="preserve">Convenios por tramo y compuertas que condicionan la ampliación</w:t>
            </w:r>
          </w:p>
        </w:tc>
        <w:tc>
          <w:tcPr/>
          <w:p>
            <w:pPr>
              <w:pStyle w:val="Tabla9"/>
              <w:jc w:val="left"/>
            </w:pPr>
            <w:r>
              <w:t xml:space="preserve">Eliminar</w:t>
            </w:r>
          </w:p>
        </w:tc>
        <w:tc>
          <w:tcPr/>
          <w:p>
            <w:pPr>
              <w:pStyle w:val="Tabla9"/>
              <w:jc w:val="left"/>
            </w:pPr>
            <w:r>
              <w:t xml:space="preserve">La adopción es el supuesto crítico SC-3 y se verifica en las compuertas C1 y C2.</w:t>
            </w:r>
          </w:p>
        </w:tc>
      </w:tr>
    </w:tbl>
    <w:p>
      <w:pPr>
        <w:pStyle w:val="TablaNota"/>
      </w:pPr>
      <w:r>
        <w:rPr>
          <w:i/>
          <w:iCs/>
        </w:rPr>
        <w:t xml:space="preserve">Nota.</w:t>
      </w:r>
      <w:r>
        <w:t xml:space="preserve"> </w:t>
      </w:r>
      <w:r>
        <w:t xml:space="preserve">Elaboración propia con el expediente E3-P00 (Tabla E3-4.2), el informe de vigilancia y la ficha maestra. Naturaleza: PROPUESTO. Verificación: NO_VERIFICADO salvo donde se cita fuente.</w:t>
      </w:r>
    </w:p>
    <w:p>
      <w:pPr>
        <w:pStyle w:val="BodyText"/>
      </w:pPr>
      <w:r>
        <w:t xml:space="preserve">El resultado difiere del expediente: 5 supuestos se eliminan, 9 se cuestionan y 1 se mantiene. La diferencia obedece a un criterio de prueba. Una creencia se elimina cuando una fuente la contradice. Se cuestiona cuando solo hay una alternativa plausible. Cuatro alternativas de E3 se retiran del diseño porque no tienen respaldo en el corpus. Son la inferencia en el chip del sensor y el silencio del 90 % de los nodos. También se retiran los modelos de cizalladura del viento y la provisión de mascarillas.</w:t>
      </w:r>
    </w:p>
    <w:p>
      <w:pPr>
        <w:pStyle w:val="BodyText"/>
      </w:pPr>
      <w:r>
        <w:t xml:space="preserve">El registro de decisión de la Tabla F4.4 cierra el nodo ND-06.</w:t>
      </w:r>
    </w:p>
    <w:p>
      <w:pPr>
        <w:pStyle w:val="TablaRotulo"/>
      </w:pPr>
      <w:bookmarkStart w:id="9081" w:name="rot_Tabla_F4_4"/>
      <w:r>
        <w:rPr>
          <w:b/>
          <w:bCs/>
        </w:rPr>
        <w:t xml:space="preserve">Tabla F4.4</w:t>
      </w:r>
      <w:bookmarkEnd w:id="9081"/>
    </w:p>
    <w:p>
      <w:pPr>
        <w:pStyle w:val="TablaTitulo"/>
      </w:pPr>
      <w:r>
        <w:rPr>
          <w:i/>
          <w:iCs/>
        </w:rPr>
        <w:t xml:space="preserve">Registro de decisión GENESIS: ND-06 Desmantelamiento de ortodoxias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NODO</w:t>
            </w:r>
          </w:p>
        </w:tc>
        <w:tc>
          <w:tcPr/>
          <w:p>
            <w:pPr>
              <w:pStyle w:val="Tabla9"/>
              <w:jc w:val="left"/>
            </w:pPr>
            <w:r>
              <w:t xml:space="preserve">ND-06 Desmantelamiento de ortodoxias</w:t>
            </w:r>
          </w:p>
        </w:tc>
      </w:tr>
      <w:tr>
        <w:trPr>
          <w:cantSplit/>
        </w:trPr>
        <w:tc>
          <w:tcPr/>
          <w:p>
            <w:pPr>
              <w:pStyle w:val="Tabla9"/>
              <w:jc w:val="left"/>
            </w:pPr>
            <w:r>
              <w:t xml:space="preserve">CLASE</w:t>
            </w:r>
          </w:p>
        </w:tc>
        <w:tc>
          <w:tcPr/>
          <w:p>
            <w:pPr>
              <w:pStyle w:val="Tabla9"/>
              <w:jc w:val="left"/>
            </w:pPr>
            <w:r>
              <w:t xml:space="preserve">MAYOR. Determina qué supuestos de diseño sobreviven a la formulación.</w:t>
            </w:r>
          </w:p>
        </w:tc>
      </w:tr>
      <w:tr>
        <w:trPr>
          <w:cantSplit/>
        </w:trPr>
        <w:tc>
          <w:tcPr/>
          <w:p>
            <w:pPr>
              <w:pStyle w:val="Tabla9"/>
              <w:jc w:val="left"/>
            </w:pPr>
            <w:r>
              <w:t xml:space="preserve">DECISION</w:t>
            </w:r>
          </w:p>
        </w:tc>
        <w:tc>
          <w:tcPr/>
          <w:p>
            <w:pPr>
              <w:pStyle w:val="Tabla9"/>
              <w:jc w:val="left"/>
            </w:pPr>
            <w:r>
              <w:t xml:space="preserve">Eliminar 5 supuestos con evidencia en contra, cuestionar 9 y mantener 1; retirar del diseño las cuatro alternativas de E3 sin respaldo en el corpus.</w:t>
            </w:r>
          </w:p>
        </w:tc>
      </w:tr>
      <w:tr>
        <w:trPr>
          <w:cantSplit/>
        </w:trPr>
        <w:tc>
          <w:tcPr/>
          <w:p>
            <w:pPr>
              <w:pStyle w:val="Tabla9"/>
              <w:jc w:val="left"/>
            </w:pPr>
            <w:r>
              <w:t xml:space="preserve">DECIDE</w:t>
            </w:r>
          </w:p>
        </w:tc>
        <w:tc>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Eliminar un supuesto por preferencia de diseño. Adoptar la inferencia en el chip del sensor, el silencio del 90 % de los nodos o los modelos de cizalladura del viento.</w:t>
            </w:r>
          </w:p>
        </w:tc>
      </w:tr>
      <w:tr>
        <w:trPr>
          <w:cantSplit/>
        </w:trPr>
        <w:tc>
          <w:tcPr/>
          <w:p>
            <w:pPr>
              <w:pStyle w:val="Tabla9"/>
              <w:jc w:val="left"/>
            </w:pPr>
            <w:r>
              <w:t xml:space="preserve">NODOS_BLANCOS</w:t>
            </w:r>
          </w:p>
        </w:tc>
        <w:tc>
          <w:tcPr/>
          <w:p>
            <w:pPr>
              <w:pStyle w:val="Tabla9"/>
              <w:jc w:val="left"/>
            </w:pPr>
            <w:r>
              <w:t xml:space="preserve">3: corrección con humedad documentada (Jayaratne et al., 2018; Barkjohn et al., 2021); redes sin plan de calibración (Murad Pedraza et al., 2026, pp. 10-11 y 13); estaciones inactivas (Tavella et al., 2026, p. 6).</w:t>
            </w:r>
          </w:p>
        </w:tc>
      </w:tr>
      <w:tr>
        <w:trPr>
          <w:cantSplit/>
        </w:trPr>
        <w:tc>
          <w:tcPr/>
          <w:p>
            <w:pPr>
              <w:pStyle w:val="Tabla9"/>
              <w:jc w:val="left"/>
            </w:pPr>
            <w:r>
              <w:t xml:space="preserve">NODOS_GRISES</w:t>
            </w:r>
          </w:p>
        </w:tc>
        <w:tc>
          <w:tcPr/>
          <w:p>
            <w:pPr>
              <w:pStyle w:val="Tabla9"/>
              <w:jc w:val="left"/>
            </w:pPr>
            <w:r>
              <w:t xml:space="preserve">4: latencia de red, línea base de error en escombros, tasa de falsas alarmas y adopción institucional. Ninguno tiene medición.</w:t>
            </w:r>
          </w:p>
        </w:tc>
      </w:tr>
      <w:tr>
        <w:trPr>
          <w:cantSplit/>
        </w:trPr>
        <w:tc>
          <w:tcPr/>
          <w:p>
            <w:pPr>
              <w:pStyle w:val="Tabla9"/>
              <w:jc w:val="left"/>
            </w:pPr>
            <w:r>
              <w:t xml:space="preserve">RUPTURAS</w:t>
            </w:r>
          </w:p>
        </w:tc>
        <w:tc>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decidir por la existencia de una fuente que contradiga el supuesto.</w:t>
            </w:r>
          </w:p>
        </w:tc>
      </w:tr>
      <w:tr>
        <w:trPr>
          <w:cantSplit/>
        </w:trPr>
        <w:tc>
          <w:tcPr/>
          <w:p>
            <w:pPr>
              <w:pStyle w:val="Tabla9"/>
              <w:jc w:val="left"/>
            </w:pPr>
            <w:r>
              <w:t xml:space="preserve">ANTIPATRONES_PR</w:t>
            </w:r>
          </w:p>
        </w:tc>
        <w:tc>
          <w:tcPr/>
          <w:p>
            <w:pPr>
              <w:pStyle w:val="Tabla9"/>
              <w:jc w:val="left"/>
            </w:pPr>
            <w:r>
              <w:t xml:space="preserve">PR-04 ausente: Sí. PR-05 ausente: No. La alternativa de convenios por tramo supone capacidad institucional no verificada.</w:t>
            </w:r>
          </w:p>
        </w:tc>
      </w:tr>
      <w:tr>
        <w:trPr>
          <w:cantSplit/>
        </w:trPr>
        <w:tc>
          <w:tcPr/>
          <w:p>
            <w:pPr>
              <w:pStyle w:val="Tabla9"/>
              <w:jc w:val="left"/>
            </w:pPr>
            <w:r>
              <w:t xml:space="preserve">ESCENA_SIMULABLE</w:t>
            </w:r>
          </w:p>
        </w:tc>
        <w:tc>
          <w:tcPr/>
          <w:p>
            <w:pPr>
              <w:pStyle w:val="Tabla9"/>
              <w:jc w:val="left"/>
            </w:pPr>
            <w:r>
              <w:t xml:space="preserve">El equipo revisa en el mes 4 cada supuesto «cuestionado» con los datos del piloto y registra si se confirma o se retira.</w:t>
            </w:r>
          </w:p>
        </w:tc>
      </w:tr>
      <w:tr>
        <w:trPr>
          <w:cantSplit/>
        </w:trPr>
        <w:tc>
          <w:tcPr/>
          <w:p>
            <w:pPr>
              <w:pStyle w:val="Tabla9"/>
              <w:jc w:val="left"/>
            </w:pPr>
            <w:r>
              <w:t xml:space="preserve">EVIDENCIA_JH_A</w:t>
            </w:r>
          </w:p>
        </w:tc>
        <w:tc>
          <w:tcPr/>
          <w:p>
            <w:pPr>
              <w:pStyle w:val="Tabla9"/>
              <w:jc w:val="left"/>
            </w:pPr>
            <w:r>
              <w:t xml:space="preserve">Tres citas del corpus con página (tabla F4.3).</w:t>
            </w:r>
          </w:p>
        </w:tc>
      </w:tr>
      <w:tr>
        <w:trPr>
          <w:cantSplit/>
        </w:trPr>
        <w:tc>
          <w:tcPr/>
          <w:p>
            <w:pPr>
              <w:pStyle w:val="Tabla9"/>
              <w:jc w:val="left"/>
            </w:pPr>
            <w:r>
              <w:t xml:space="preserve">EVIDENCIA_JH_B</w:t>
            </w:r>
          </w:p>
        </w:tc>
        <w:tc>
          <w:tcPr/>
          <w:p>
            <w:pPr>
              <w:pStyle w:val="Tabla9"/>
              <w:jc w:val="left"/>
            </w:pPr>
            <w:r>
              <w:t xml:space="preserve">Ausencia de fuente para cuatro alternativas de E3: ninguna aparece en el informe de vigilancia.</w:t>
            </w:r>
          </w:p>
        </w:tc>
      </w:tr>
      <w:tr>
        <w:trPr>
          <w:cantSplit/>
        </w:trPr>
        <w:tc>
          <w:tcPr/>
          <w:p>
            <w:pPr>
              <w:pStyle w:val="Tabla9"/>
              <w:jc w:val="left"/>
            </w:pPr>
            <w:r>
              <w:t xml:space="preserve">CERCA_CONCEPTUAL</w:t>
            </w:r>
          </w:p>
        </w:tc>
        <w:tc>
          <w:tcPr/>
          <w:p>
            <w:pPr>
              <w:pStyle w:val="Tabla9"/>
              <w:jc w:val="left"/>
            </w:pPr>
            <w:r>
              <w:t xml:space="preserve">Eliminar un supuesto no prueba que la alternativa funcione. Solo el piloto del tramo 1 lo demuestra.</w:t>
            </w:r>
          </w:p>
        </w:tc>
      </w:tr>
      <w:tr>
        <w:trPr>
          <w:cantSplit/>
        </w:trPr>
        <w:tc>
          <w:tcPr/>
          <w:p>
            <w:pPr>
              <w:pStyle w:val="Tabla9"/>
              <w:jc w:val="left"/>
            </w:pPr>
            <w:r>
              <w:t xml:space="preserve">ESTATUTO_CAUSAL</w:t>
            </w:r>
          </w:p>
        </w:tc>
        <w:tc>
          <w:tcPr/>
          <w:p>
            <w:pPr>
              <w:pStyle w:val="Tabla9"/>
              <w:jc w:val="left"/>
            </w:pPr>
            <w:r>
              <w:t xml:space="preserve">HIE. Ninguna afirmación causal.</w:t>
            </w:r>
          </w:p>
        </w:tc>
      </w:tr>
      <w:tr>
        <w:trPr>
          <w:cantSplit/>
        </w:trPr>
        <w:tc>
          <w:tcPr/>
          <w:p>
            <w:pPr>
              <w:pStyle w:val="Tabla9"/>
              <w:jc w:val="left"/>
            </w:pPr>
            <w:r>
              <w:t xml:space="preserve">VEREDICTO</w:t>
            </w:r>
          </w:p>
        </w:tc>
        <w:tc>
          <w:tcPr/>
          <w:p>
            <w:pPr>
              <w:pStyle w:val="Tabla9"/>
              <w:jc w:val="left"/>
            </w:pPr>
            <w:r>
              <w:t xml:space="preserve">Decisión adoptada con reserva: los supuestos cuestionados se evalúan en el tramo 1.</w:t>
            </w:r>
          </w:p>
        </w:tc>
      </w:tr>
      <w:tr>
        <w:trPr>
          <w:cantSplit/>
        </w:trPr>
        <w:tc>
          <w:tcPr/>
          <w:p>
            <w:pPr>
              <w:pStyle w:val="Tabla9"/>
              <w:jc w:val="left"/>
            </w:pPr>
            <w:r>
              <w:t xml:space="preserve">RAZON_DEL_DESCARTE</w:t>
            </w:r>
          </w:p>
        </w:tc>
        <w:tc>
          <w:tcPr/>
          <w:p>
            <w:pPr>
              <w:pStyle w:val="Tabla9"/>
              <w:jc w:val="left"/>
            </w:pPr>
            <w:r>
              <w:t xml:space="preserve">Se descarta la eliminación en bloque de E3 porque cuatro alternativas carecen de respaldo.</w:t>
            </w:r>
          </w:p>
        </w:tc>
      </w:tr>
      <w:tr>
        <w:trPr>
          <w:cantSplit/>
        </w:trPr>
        <w:tc>
          <w:tcPr/>
          <w:p>
            <w:pPr>
              <w:pStyle w:val="Tabla9"/>
              <w:jc w:val="left"/>
            </w:pPr>
            <w:r>
              <w:t xml:space="preserve">RESULTADO</w:t>
            </w:r>
          </w:p>
        </w:tc>
        <w:tc>
          <w:tcPr/>
          <w:p>
            <w:pPr>
              <w:pStyle w:val="Tabla9"/>
              <w:jc w:val="left"/>
            </w:pPr>
            <w:r>
              <w:t xml:space="preserve">CIERRA con vacíos declarados (latencia, línea base, falsas alarmas, adopción).</w:t>
            </w:r>
          </w:p>
        </w:tc>
      </w:tr>
    </w:tbl>
    <w:p>
      <w:pPr>
        <w:pStyle w:val="TablaNota"/>
      </w:pPr>
      <w:r>
        <w:rPr>
          <w:i/>
          <w:iCs/>
        </w:rPr>
        <w:t xml:space="preserve">Nota.</w:t>
      </w:r>
      <w:r>
        <w:t xml:space="preserve"> </w:t>
      </w:r>
      <w:r>
        <w:t xml:space="preserve">Elaboración propia con el protocolo de decisión GENESIS. Las referencias de las celdas corresponden a la lista del capítulo 19.</w:t>
      </w:r>
    </w:p>
    <w:bookmarkEnd w:id="148"/>
    <w:bookmarkStart w:id="158" w:name="X48d01c14ab0288b327fda7e99470b3b9d9a4cf8"/>
    <w:p>
      <w:pPr>
        <w:pStyle w:val="Heading2"/>
      </w:pPr>
      <w:r>
        <w:t xml:space="preserve">F4.3 Clasificación de variables para inferencia causal</w:t>
      </w:r>
    </w:p>
    <w:p>
      <w:pPr>
        <w:pStyle w:val="FirstParagraph"/>
      </w:pPr>
      <w:r>
        <w:t xml:space="preserve">Esta sección declara el estimando antes de clasificar variables. Deriva los roles del grafo y no de la clase de Vester. La clasificación estructural de 4.4 aporta hipótesis de influencia (HIE). No sustituye la identificación causal (Pearl y Mackenzie, 2018). Todos los juicios son propuestas de la instancia analítica y carecen de ratificación.</w:t>
      </w:r>
    </w:p>
    <w:bookmarkStart w:id="149" w:name="_Toc00900073"/>
    <w:p>
      <w:pPr>
        <w:pStyle w:val="Heading3"/>
      </w:pPr>
      <w:r>
        <w:t xml:space="preserve">F4.3.1 Estimando antes del ajuste causal</w:t>
      </w:r>
    </w:p>
    <w:p>
      <w:pPr>
        <w:pStyle w:val="FirstParagraph"/>
      </w:pPr>
      <w:r>
        <w:t xml:space="preserve">El expediente E3 omitió esta sección. Los registros de decisión del documento asignan estatutos IDC y EST sin declarar estimando. Esta sección declara dos estimandos y evalúa si cada uno puede publicarse como efecto causal. Si algún campo es VACIO, no se publica un efecto causal.</w:t>
      </w:r>
    </w:p>
    <w:p>
      <w:pPr>
        <w:pStyle w:val="BodyText"/>
      </w:pPr>
      <w:r>
        <w:t xml:space="preserve">La Tabla F4.5 reúne los datos de «Estimando del efecto del método de corrección».</w:t>
      </w:r>
    </w:p>
    <w:p>
      <w:pPr>
        <w:pStyle w:val="TablaRotulo"/>
      </w:pPr>
      <w:bookmarkStart w:id="9082" w:name="rot_Tabla_F4_5"/>
      <w:r>
        <w:rPr>
          <w:b/>
          <w:bCs/>
        </w:rPr>
        <w:t xml:space="preserve">Tabla F4.5</w:t>
      </w:r>
      <w:bookmarkEnd w:id="9082"/>
    </w:p>
    <w:p>
      <w:pPr>
        <w:pStyle w:val="TablaTitulo"/>
      </w:pPr>
      <w:r>
        <w:rPr>
          <w:i/>
          <w:iCs/>
        </w:rPr>
        <w:t xml:space="preserve">Estimando del efecto del método de corrección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14"/>
        <w:gridCol w:w="2970"/>
        <w:gridCol w:w="3036"/>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E1. Efecto técnico del método de corrección</w:t>
            </w:r>
          </w:p>
        </w:tc>
        <w:tc>
          <w:tcPr>
            <w:shd w:val="clear" w:color="auto" w:fill="00B050"/>
          </w:tcPr>
          <w:p>
            <w:pPr>
              <w:pStyle w:val="Tabla9"/>
              <w:jc w:val="center"/>
            </w:pPr>
            <w:r>
              <w:rPr>
                <w:b/>
                <w:color w:val="FFFFFF"/>
              </w:rPr>
              <w:t xml:space="preserve">E2. Efecto institucional de la adopción</w:t>
            </w:r>
          </w:p>
        </w:tc>
      </w:tr>
      <w:tr>
        <w:trPr>
          <w:cantSplit/>
        </w:trPr>
        <w:tc>
          <w:tcPr/>
          <w:p>
            <w:pPr>
              <w:pStyle w:val="Tabla9"/>
              <w:jc w:val="left"/>
            </w:pPr>
            <w:r>
              <w:t xml:space="preserve">Intervención X</w:t>
            </w:r>
          </w:p>
        </w:tc>
        <w:tc>
          <w:tcPr/>
          <w:p>
            <w:pPr>
              <w:pStyle w:val="Tabla9"/>
              <w:jc w:val="left"/>
            </w:pPr>
            <w:r>
              <w:t xml:space="preserve">Nivel del método de corrección de los nodos: N1 corrección lineal fija; N2 referencia cercana con humedad; N3 N2 más alineación temporal; N4 N3 más ponderación por confianza o autocalibración por ventana estable (variante en el borde, ALT-03). Intensidad en el modelo: V07.</w:t>
            </w:r>
          </w:p>
        </w:tc>
        <w:tc>
          <w:tcPr/>
          <w:p>
            <w:pPr>
              <w:pStyle w:val="Tabla9"/>
              <w:jc w:val="left"/>
            </w:pPr>
            <w:r>
              <w:t xml:space="preserve">Adopción formal del tablero por la alcaldía (V15) mediante acto administrativo.</w:t>
            </w:r>
          </w:p>
        </w:tc>
      </w:tr>
      <w:tr>
        <w:trPr>
          <w:cantSplit/>
        </w:trPr>
        <w:tc>
          <w:tcPr/>
          <w:p>
            <w:pPr>
              <w:pStyle w:val="Tabla9"/>
              <w:jc w:val="left"/>
            </w:pPr>
            <w:r>
              <w:t xml:space="preserve">Resultado Y</w:t>
            </w:r>
          </w:p>
        </w:tc>
        <w:tc>
          <w:tcPr/>
          <w:p>
            <w:pPr>
              <w:pStyle w:val="Tabla9"/>
              <w:jc w:val="left"/>
            </w:pPr>
            <w:r>
              <w:t xml:space="preserve">V06: logaritmo del NMAE del PM2,5 de cada nodo frente a la referencia asignada, por semana.</w:t>
            </w:r>
          </w:p>
        </w:tc>
        <w:tc>
          <w:tcPr/>
          <w:p>
            <w:pPr>
              <w:pStyle w:val="Tabla9"/>
              <w:jc w:val="left"/>
            </w:pPr>
            <w:r>
              <w:t xml:space="preserve">V14: personas bajo protección efectiva.</w:t>
            </w:r>
          </w:p>
        </w:tc>
      </w:tr>
      <w:tr>
        <w:trPr>
          <w:cantSplit/>
        </w:trPr>
        <w:tc>
          <w:tcPr/>
          <w:p>
            <w:pPr>
              <w:pStyle w:val="Tabla9"/>
              <w:jc w:val="left"/>
            </w:pPr>
            <w:r>
              <w:t xml:space="preserve">Población</w:t>
            </w:r>
          </w:p>
        </w:tc>
        <w:tc>
          <w:tcPr/>
          <w:p>
            <w:pPr>
              <w:pStyle w:val="Tabla9"/>
              <w:jc w:val="left"/>
            </w:pPr>
            <w:r>
              <w:t xml:space="preserve">Nodos fijos del piloto (100 más 20 % de repuestos) en sitios de remoción de escombros.</w:t>
            </w:r>
          </w:p>
        </w:tc>
        <w:tc>
          <w:tcPr/>
          <w:p>
            <w:pPr>
              <w:pStyle w:val="Tabla9"/>
              <w:jc w:val="left"/>
            </w:pPr>
            <w:r>
              <w:t xml:space="preserve">Municipios con sitios de remoción.</w:t>
            </w:r>
          </w:p>
        </w:tc>
      </w:tr>
      <w:tr>
        <w:trPr>
          <w:cantSplit/>
        </w:trPr>
        <w:tc>
          <w:tcPr/>
          <w:p>
            <w:pPr>
              <w:pStyle w:val="Tabla9"/>
              <w:jc w:val="left"/>
            </w:pPr>
            <w:r>
              <w:t xml:space="preserve">Territorio</w:t>
            </w:r>
          </w:p>
        </w:tc>
        <w:tc>
          <w:tcPr/>
          <w:p>
            <w:pPr>
              <w:pStyle w:val="Tabla9"/>
              <w:jc w:val="left"/>
            </w:pPr>
            <w:r>
              <w:t xml:space="preserve">Caldas, Cundinamarca y Valle del Cauca (SUPUESTO).</w:t>
            </w:r>
          </w:p>
        </w:tc>
        <w:tc>
          <w:tcPr/>
          <w:p>
            <w:pPr>
              <w:pStyle w:val="Tabla9"/>
              <w:jc w:val="left"/>
            </w:pPr>
            <w:r>
              <w:t xml:space="preserve">Mismo (SUPUESTO).</w:t>
            </w:r>
          </w:p>
        </w:tc>
      </w:tr>
      <w:tr>
        <w:trPr>
          <w:cantSplit/>
        </w:trPr>
        <w:tc>
          <w:tcPr/>
          <w:p>
            <w:pPr>
              <w:pStyle w:val="Tabla9"/>
              <w:jc w:val="left"/>
            </w:pPr>
            <w:r>
              <w:t xml:space="preserve">Horizonte</w:t>
            </w:r>
          </w:p>
        </w:tc>
        <w:tc>
          <w:tcPr/>
          <w:p>
            <w:pPr>
              <w:pStyle w:val="Tabla9"/>
              <w:jc w:val="left"/>
            </w:pPr>
            <w:r>
              <w:t xml:space="preserve">Diseño alternado de 52 semanas dentro de los 24 meses de ejecución; el Hito 2 (mes 12) usa las primeras 30 jornadas de contraste.</w:t>
            </w:r>
          </w:p>
        </w:tc>
        <w:tc>
          <w:tcPr/>
          <w:p>
            <w:pPr>
              <w:pStyle w:val="Tabla9"/>
              <w:jc w:val="left"/>
            </w:pPr>
            <w:r>
              <w:t xml:space="preserve">36 meses (24 de ejecución y 12 posproyecto).</w:t>
            </w:r>
          </w:p>
        </w:tc>
      </w:tr>
      <w:tr>
        <w:trPr>
          <w:cantSplit/>
        </w:trPr>
        <w:tc>
          <w:tcPr/>
          <w:p>
            <w:pPr>
              <w:pStyle w:val="Tabla9"/>
              <w:jc w:val="left"/>
            </w:pPr>
            <w:r>
              <w:t xml:space="preserve">Contraste causal</w:t>
            </w:r>
          </w:p>
        </w:tc>
        <w:tc>
          <w:tcPr/>
          <w:p>
            <w:pPr>
              <w:pStyle w:val="Tabla9"/>
              <w:jc w:val="left"/>
            </w:pPr>
            <w:r>
              <w:t xml:space="preserve">N4 frente a N1 (paquete de corrección en el borde frente a la lectura sin corrección dinámica). Contrastes secundarios: N4 frente a N2 y N4 en el borde frente a N4 en la nube.</w:t>
            </w:r>
          </w:p>
        </w:tc>
        <w:tc>
          <w:tcPr/>
          <w:p>
            <w:pPr>
              <w:pStyle w:val="Tabla9"/>
              <w:jc w:val="left"/>
            </w:pPr>
            <w:r>
              <w:t xml:space="preserve">VACIO: no existe grupo comparable ni regla de asignación.</w:t>
            </w:r>
          </w:p>
        </w:tc>
      </w:tr>
      <w:tr>
        <w:trPr>
          <w:cantSplit/>
        </w:trPr>
        <w:tc>
          <w:tcPr/>
          <w:p>
            <w:pPr>
              <w:pStyle w:val="Tabla9"/>
              <w:jc w:val="left"/>
            </w:pPr>
            <w:r>
              <w:t xml:space="preserve">Estimando</w:t>
            </w:r>
          </w:p>
        </w:tc>
        <w:tc>
          <w:tcPr/>
          <w:p>
            <w:pPr>
              <w:pStyle w:val="Tabla9"/>
              <w:jc w:val="left"/>
            </w:pPr>
            <w:r>
              <w:t xml:space="preserve">Efecto promedio en los tratados (ATT) sobre el logaritmo del NMAE, bajo sorteo semanal de nivel por nodo.</w:t>
            </w:r>
          </w:p>
        </w:tc>
        <w:tc>
          <w:tcPr/>
          <w:p>
            <w:pPr>
              <w:pStyle w:val="Tabla9"/>
              <w:jc w:val="left"/>
            </w:pPr>
            <w:r>
              <w:t xml:space="preserve">VACIO.</w:t>
            </w:r>
          </w:p>
        </w:tc>
      </w:tr>
      <w:tr>
        <w:trPr>
          <w:cantSplit/>
        </w:trPr>
        <w:tc>
          <w:tcPr/>
          <w:p>
            <w:pPr>
              <w:pStyle w:val="Tabla9"/>
              <w:jc w:val="left"/>
            </w:pPr>
            <w:r>
              <w:t xml:space="preserve">Unidad de análisis</w:t>
            </w:r>
          </w:p>
        </w:tc>
        <w:tc>
          <w:tcPr/>
          <w:p>
            <w:pPr>
              <w:pStyle w:val="Tabla9"/>
              <w:jc w:val="left"/>
            </w:pPr>
            <w:r>
              <w:t xml:space="preserve">Nodo-semana.</w:t>
            </w:r>
          </w:p>
        </w:tc>
        <w:tc>
          <w:tcPr/>
          <w:p>
            <w:pPr>
              <w:pStyle w:val="Tabla9"/>
              <w:jc w:val="left"/>
            </w:pPr>
            <w:r>
              <w:t xml:space="preserve">Municipio-mes (propuesta).</w:t>
            </w:r>
          </w:p>
        </w:tc>
      </w:tr>
      <w:tr>
        <w:trPr>
          <w:cantSplit/>
        </w:trPr>
        <w:tc>
          <w:tcPr/>
          <w:p>
            <w:pPr>
              <w:pStyle w:val="Tabla9"/>
              <w:jc w:val="left"/>
            </w:pPr>
            <w:r>
              <w:t xml:space="preserve">Resultado de la evaluación</w:t>
            </w:r>
          </w:p>
        </w:tc>
        <w:tc>
          <w:tcPr/>
          <w:p>
            <w:pPr>
              <w:pStyle w:val="Tabla9"/>
              <w:jc w:val="left"/>
            </w:pPr>
            <w:r>
              <w:t xml:space="preserve">Estimando completo. Identificable por diseño si se ejecuta el sorteo (IDC prospectivo). Sin datos: no se publica ningún efecto.</w:t>
            </w:r>
          </w:p>
        </w:tc>
        <w:tc>
          <w:tcPr/>
          <w:p>
            <w:pPr>
              <w:pStyle w:val="Tabla9"/>
              <w:jc w:val="left"/>
            </w:pPr>
            <w:r>
              <w:t xml:space="preserve">NO IDENTIFICADO CON LOS INSUMOS DISPONIBLES.</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Origen del diseño.</w:t>
      </w:r>
      <w:r>
        <w:t xml:space="preserve"> </w:t>
      </w:r>
      <w:r>
        <w:t xml:space="preserve">El informe_FINAL (sección 11.4 a 11.8) propone un diseño alternado con asignación aleatoria semanal, panel con efectos fijos por nodo y semana y 52 semanas. La propuesta nace en SIATA (Valle de Aburrá). Aquí se adapta a nodos de remoción de escombros. Las cuatro hipótesis del informe (H1 a H4) siguen sin evidencia propia.</w:t>
      </w:r>
    </w:p>
    <w:p>
      <w:pPr>
        <w:pStyle w:val="BodyText"/>
      </w:pPr>
      <w:r>
        <w:rPr>
          <w:b/>
          <w:bCs/>
        </w:rPr>
        <w:t xml:space="preserve">Estimando E3 (fuera de alcance).</w:t>
      </w:r>
      <w:r>
        <w:t xml:space="preserve"> </w:t>
      </w:r>
      <w:r>
        <w:t xml:space="preserve">El efecto del sistema de alerta sobre morbilidad respiratoria no tiene variable de resultado ni línea base en el modelo (VACIO-05 de E3-P20). No se declara estimando. Cualquier afirmación sobre morbilidad permanece como hipótesis.</w:t>
      </w:r>
    </w:p>
    <w:bookmarkEnd w:id="149"/>
    <w:bookmarkStart w:id="150" w:name="_Toc00900074"/>
    <w:p>
      <w:pPr>
        <w:pStyle w:val="Heading3"/>
      </w:pPr>
      <w:r>
        <w:t xml:space="preserve">F4.3.2 Roles del DAG y regla de ajuste</w:t>
      </w:r>
    </w:p>
    <w:p>
      <w:pPr>
        <w:pStyle w:val="FirstParagraph"/>
      </w:pPr>
      <w:r>
        <w:t xml:space="preserve">La Tabla F4.6 reúne los datos de «Roles del DAG y regla de ajuste».</w:t>
      </w:r>
    </w:p>
    <w:p>
      <w:pPr>
        <w:pStyle w:val="TablaRotulo"/>
      </w:pPr>
      <w:bookmarkStart w:id="9083" w:name="rot_Tabla_F4_6"/>
      <w:r>
        <w:rPr>
          <w:b/>
          <w:bCs/>
        </w:rPr>
        <w:t xml:space="preserve">Tabla F4.6</w:t>
      </w:r>
      <w:bookmarkEnd w:id="9083"/>
    </w:p>
    <w:p>
      <w:pPr>
        <w:pStyle w:val="TablaTitulo"/>
      </w:pPr>
      <w:r>
        <w:rPr>
          <w:i/>
          <w:iCs/>
        </w:rPr>
        <w:t xml:space="preserve">Roles del DAG y regla de ajuste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62"/>
        <w:gridCol w:w="2595"/>
        <w:gridCol w:w="2662"/>
      </w:tblGrid>
      <w:tr>
        <w:trPr>
          <w:cantSplit/>
          <w:tblHeader/>
        </w:trPr>
        <w:tc>
          <w:tcPr>
            <w:shd w:val="clear" w:color="auto" w:fill="00B050"/>
          </w:tcPr>
          <w:p>
            <w:pPr>
              <w:pStyle w:val="Tabla9"/>
              <w:jc w:val="center"/>
            </w:pPr>
            <w:r>
              <w:rPr>
                <w:b/>
                <w:color w:val="FFFFFF"/>
              </w:rPr>
              <w:t xml:space="preserve">Rol</w:t>
            </w:r>
          </w:p>
        </w:tc>
        <w:tc>
          <w:tcPr>
            <w:shd w:val="clear" w:color="auto" w:fill="00B050"/>
          </w:tcPr>
          <w:p>
            <w:pPr>
              <w:pStyle w:val="Tabla9"/>
              <w:jc w:val="center"/>
            </w:pPr>
            <w:r>
              <w:rPr>
                <w:b/>
                <w:color w:val="FFFFFF"/>
              </w:rPr>
              <w:t xml:space="preserve">Definición operacional</w:t>
            </w:r>
          </w:p>
        </w:tc>
        <w:tc>
          <w:tcPr>
            <w:shd w:val="clear" w:color="auto" w:fill="00B050"/>
          </w:tcPr>
          <w:p>
            <w:pPr>
              <w:pStyle w:val="Tabla9"/>
              <w:jc w:val="center"/>
            </w:pPr>
            <w:r>
              <w:rPr>
                <w:b/>
                <w:color w:val="FFFFFF"/>
              </w:rPr>
              <w:t xml:space="preserve">Regla para el efecto total de X sobre Y</w:t>
            </w:r>
          </w:p>
        </w:tc>
      </w:tr>
      <w:tr>
        <w:trPr>
          <w:cantSplit/>
        </w:trPr>
        <w:tc>
          <w:tcPr/>
          <w:p>
            <w:pPr>
              <w:pStyle w:val="Tabla9"/>
              <w:jc w:val="left"/>
            </w:pPr>
            <w:r>
              <w:t xml:space="preserve">CONFUSOR_PRE</w:t>
            </w:r>
          </w:p>
        </w:tc>
        <w:tc>
          <w:tcPr/>
          <w:p>
            <w:pPr>
              <w:pStyle w:val="Tabla9"/>
              <w:jc w:val="left"/>
            </w:pPr>
            <w:r>
              <w:t xml:space="preserve">Causa pretratamiento de X y de Y, o nodo que bloquea un camino trasero.</w:t>
            </w:r>
          </w:p>
        </w:tc>
        <w:tc>
          <w:tcPr/>
          <w:p>
            <w:pPr>
              <w:pStyle w:val="Tabla9"/>
              <w:jc w:val="left"/>
            </w:pPr>
            <w:r>
              <w:t xml:space="preserve">Candidato al conjunto de ajuste.</w:t>
            </w:r>
          </w:p>
        </w:tc>
      </w:tr>
      <w:tr>
        <w:trPr>
          <w:cantSplit/>
        </w:trPr>
        <w:tc>
          <w:tcPr/>
          <w:p>
            <w:pPr>
              <w:pStyle w:val="Tabla9"/>
              <w:jc w:val="left"/>
            </w:pPr>
            <w:r>
              <w:t xml:space="preserve">PREDICTOR_Y</w:t>
            </w:r>
          </w:p>
        </w:tc>
        <w:tc>
          <w:tcPr/>
          <w:p>
            <w:pPr>
              <w:pStyle w:val="Tabla9"/>
              <w:jc w:val="left"/>
            </w:pPr>
            <w:r>
              <w:t xml:space="preserve">Predice Y sin abrir caminos espurios.</w:t>
            </w:r>
          </w:p>
        </w:tc>
        <w:tc>
          <w:tcPr/>
          <w:p>
            <w:pPr>
              <w:pStyle w:val="Tabla9"/>
              <w:jc w:val="left"/>
            </w:pPr>
            <w:r>
              <w:t xml:space="preserve">Mejora precisión; no se incluye solo por correlación.</w:t>
            </w:r>
          </w:p>
        </w:tc>
      </w:tr>
      <w:tr>
        <w:trPr>
          <w:cantSplit/>
        </w:trPr>
        <w:tc>
          <w:tcPr/>
          <w:p>
            <w:pPr>
              <w:pStyle w:val="Tabla9"/>
              <w:jc w:val="left"/>
            </w:pPr>
            <w:r>
              <w:t xml:space="preserve">MEDIADOR</w:t>
            </w:r>
          </w:p>
        </w:tc>
        <w:tc>
          <w:tcPr/>
          <w:p>
            <w:pPr>
              <w:pStyle w:val="Tabla9"/>
              <w:jc w:val="left"/>
            </w:pPr>
            <w:r>
              <w:t xml:space="preserve">Está en el camino causal de X a Y.</w:t>
            </w:r>
          </w:p>
        </w:tc>
        <w:tc>
          <w:tcPr/>
          <w:p>
            <w:pPr>
              <w:pStyle w:val="Tabla9"/>
              <w:jc w:val="left"/>
            </w:pPr>
            <w:r>
              <w:t xml:space="preserve">No ajustar para el efecto total.</w:t>
            </w:r>
          </w:p>
        </w:tc>
      </w:tr>
      <w:tr>
        <w:trPr>
          <w:cantSplit/>
        </w:trPr>
        <w:tc>
          <w:tcPr/>
          <w:p>
            <w:pPr>
              <w:pStyle w:val="Tabla9"/>
              <w:jc w:val="left"/>
            </w:pPr>
            <w:r>
              <w:t xml:space="preserve">COLLIDER</w:t>
            </w:r>
          </w:p>
        </w:tc>
        <w:tc>
          <w:tcPr/>
          <w:p>
            <w:pPr>
              <w:pStyle w:val="Tabla9"/>
              <w:jc w:val="left"/>
            </w:pPr>
            <w:r>
              <w:t xml:space="preserve">Efecto común de dos nodos relevantes.</w:t>
            </w:r>
          </w:p>
        </w:tc>
        <w:tc>
          <w:tcPr/>
          <w:p>
            <w:pPr>
              <w:pStyle w:val="Tabla9"/>
              <w:jc w:val="left"/>
            </w:pPr>
            <w:r>
              <w:t xml:space="preserve">No condicionar sin justificación.</w:t>
            </w:r>
          </w:p>
        </w:tc>
      </w:tr>
      <w:tr>
        <w:trPr>
          <w:cantSplit/>
        </w:trPr>
        <w:tc>
          <w:tcPr/>
          <w:p>
            <w:pPr>
              <w:pStyle w:val="Tabla9"/>
              <w:jc w:val="left"/>
            </w:pPr>
            <w:r>
              <w:t xml:space="preserve">DESCENDIENTE_X</w:t>
            </w:r>
          </w:p>
        </w:tc>
        <w:tc>
          <w:tcPr/>
          <w:p>
            <w:pPr>
              <w:pStyle w:val="Tabla9"/>
              <w:jc w:val="left"/>
            </w:pPr>
            <w:r>
              <w:t xml:space="preserve">Variable causada por X.</w:t>
            </w:r>
          </w:p>
        </w:tc>
        <w:tc>
          <w:tcPr/>
          <w:p>
            <w:pPr>
              <w:pStyle w:val="Tabla9"/>
              <w:jc w:val="left"/>
            </w:pPr>
            <w:r>
              <w:t xml:space="preserve">No usar como control pretratamiento.</w:t>
            </w:r>
          </w:p>
        </w:tc>
      </w:tr>
      <w:tr>
        <w:trPr>
          <w:cantSplit/>
        </w:trPr>
        <w:tc>
          <w:tcPr/>
          <w:p>
            <w:pPr>
              <w:pStyle w:val="Tabla9"/>
              <w:jc w:val="left"/>
            </w:pPr>
            <w:r>
              <w:t xml:space="preserve">INSTRUMENTO</w:t>
            </w:r>
          </w:p>
        </w:tc>
        <w:tc>
          <w:tcPr/>
          <w:p>
            <w:pPr>
              <w:pStyle w:val="Tabla9"/>
              <w:jc w:val="left"/>
            </w:pPr>
            <w:r>
              <w:t xml:space="preserve">Afecta X y cumple relevancia, exclusión e independencia declaradas.</w:t>
            </w:r>
          </w:p>
        </w:tc>
        <w:tc>
          <w:tcPr/>
          <w:p>
            <w:pPr>
              <w:pStyle w:val="Tabla9"/>
              <w:jc w:val="left"/>
            </w:pPr>
            <w:r>
              <w:t xml:space="preserve">Solo bajo estrategia instrumental explícita.</w:t>
            </w:r>
          </w:p>
        </w:tc>
      </w:tr>
      <w:tr>
        <w:trPr>
          <w:cantSplit/>
        </w:trPr>
        <w:tc>
          <w:tcPr/>
          <w:p>
            <w:pPr>
              <w:pStyle w:val="Tabla9"/>
              <w:jc w:val="left"/>
            </w:pPr>
            <w:r>
              <w:t xml:space="preserve">LATENTE</w:t>
            </w:r>
          </w:p>
        </w:tc>
        <w:tc>
          <w:tcPr/>
          <w:p>
            <w:pPr>
              <w:pStyle w:val="Tabla9"/>
              <w:jc w:val="left"/>
            </w:pPr>
            <w:r>
              <w:t xml:space="preserve">Nodo no observado relevante.</w:t>
            </w:r>
          </w:p>
        </w:tc>
        <w:tc>
          <w:tcPr/>
          <w:p>
            <w:pPr>
              <w:pStyle w:val="Tabla9"/>
              <w:jc w:val="left"/>
            </w:pPr>
            <w:r>
              <w:t xml:space="preserve">Registrar amenaza de identificación; no fingir control.</w:t>
            </w:r>
          </w:p>
        </w:tc>
      </w:tr>
    </w:tbl>
    <w:p>
      <w:pPr>
        <w:pStyle w:val="TablaNota"/>
      </w:pPr>
      <w:r>
        <w:rPr>
          <w:i/>
          <w:iCs/>
        </w:rPr>
        <w:t xml:space="preserve">Nota.</w:t>
      </w:r>
      <w:r>
        <w:t xml:space="preserve"> </w:t>
      </w:r>
      <w:r>
        <w:t xml:space="preserve">Elaboración propia con el expediente de la sección F4.3.</w:t>
      </w:r>
    </w:p>
    <w:p>
      <w:pPr>
        <w:pStyle w:val="BodyText"/>
      </w:pPr>
      <w:r>
        <w:t xml:space="preserve">La frase «correlacionada con X» no es un rol causal. El conjunto de ajuste se deriva del grafo y del estimando. Se retira la taxonomía universal A/B/C/E y el umbral del 50 % de caída del coeficiente como prueba de mediación.</w:t>
      </w:r>
    </w:p>
    <w:bookmarkEnd w:id="150"/>
    <w:bookmarkStart w:id="151" w:name="Xb7244fa1c832a5f51676ba6801cf62d416d8384"/>
    <w:p>
      <w:pPr>
        <w:pStyle w:val="Heading3"/>
      </w:pPr>
      <w:r>
        <w:t xml:space="preserve">F4.3.3 Tabla de clasificación DAG para el estimando E1</w:t>
      </w:r>
    </w:p>
    <w:p>
      <w:pPr>
        <w:pStyle w:val="FirstParagraph"/>
      </w:pPr>
      <w:r>
        <w:t xml:space="preserve">La Tabla F4.7 usa X = método de corrección (V07) y Y = V06. El estatuto de cada fila es HIE: ningún rol se estima con datos. La naturaleza de cada fila es INFERIDO y su verificación NO_VERIFICADO. Las relaciones provienen de las fichas de S2 (F4.4.4).</w:t>
      </w:r>
    </w:p>
    <w:p>
      <w:pPr>
        <w:pStyle w:val="TablaRotulo"/>
      </w:pPr>
      <w:bookmarkStart w:id="9084" w:name="rot_Tabla_F4_7"/>
      <w:r>
        <w:rPr>
          <w:b/>
          <w:bCs/>
        </w:rPr>
        <w:t xml:space="preserve">Tabla F4.7</w:t>
      </w:r>
      <w:bookmarkEnd w:id="9084"/>
    </w:p>
    <w:p>
      <w:pPr>
        <w:pStyle w:val="TablaTitulo"/>
      </w:pPr>
      <w:r>
        <w:rPr>
          <w:i/>
          <w:iCs/>
        </w:rPr>
        <w:t xml:space="preserve">Tabla de clasificación DAG para el estimando E1</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22"/>
        <w:gridCol w:w="1122"/>
        <w:gridCol w:w="1650"/>
        <w:gridCol w:w="1056"/>
        <w:gridCol w:w="990"/>
        <w:gridCol w:w="1122"/>
        <w:gridCol w:w="858"/>
      </w:tblGrid>
      <w:tr>
        <w:trPr>
          <w:cantSplit/>
          <w:tblHeader/>
        </w:trPr>
        <w:tc>
          <w:tcPr>
            <w:shd w:val="clear" w:color="auto" w:fill="00B050"/>
          </w:tcPr>
          <w:p>
            <w:pPr>
              <w:pStyle w:val="Tabla8"/>
              <w:jc w:val="center"/>
            </w:pPr>
            <w:r>
              <w:rPr>
                <w:b/>
                <w:color w:val="FFFFFF"/>
              </w:rPr>
              <w:t xml:space="preserve">Variable</w:t>
            </w:r>
          </w:p>
        </w:tc>
        <w:tc>
          <w:tcPr>
            <w:shd w:val="clear" w:color="auto" w:fill="00B050"/>
          </w:tcPr>
          <w:p>
            <w:pPr>
              <w:pStyle w:val="Tabla8"/>
              <w:jc w:val="center"/>
            </w:pPr>
            <w:r>
              <w:rPr>
                <w:b/>
                <w:color w:val="FFFFFF"/>
              </w:rPr>
              <w:t xml:space="preserve">Temporalidad respecto a X</w:t>
            </w:r>
          </w:p>
        </w:tc>
        <w:tc>
          <w:tcPr>
            <w:shd w:val="clear" w:color="auto" w:fill="00B050"/>
          </w:tcPr>
          <w:p>
            <w:pPr>
              <w:pStyle w:val="Tabla8"/>
              <w:jc w:val="center"/>
            </w:pPr>
            <w:r>
              <w:rPr>
                <w:b/>
                <w:color w:val="FFFFFF"/>
              </w:rPr>
              <w:t xml:space="preserve">Rol DAG</w:t>
            </w:r>
          </w:p>
        </w:tc>
        <w:tc>
          <w:tcPr>
            <w:shd w:val="clear" w:color="auto" w:fill="00B050"/>
          </w:tcPr>
          <w:p>
            <w:pPr>
              <w:pStyle w:val="Tabla8"/>
              <w:jc w:val="center"/>
            </w:pPr>
            <w:r>
              <w:rPr>
                <w:b/>
                <w:color w:val="FFFFFF"/>
              </w:rPr>
              <w:t xml:space="preserve">Caminos relevantes</w:t>
            </w:r>
          </w:p>
        </w:tc>
        <w:tc>
          <w:tcPr>
            <w:shd w:val="clear" w:color="auto" w:fill="00B050"/>
          </w:tcPr>
          <w:p>
            <w:pPr>
              <w:pStyle w:val="Tabla8"/>
              <w:jc w:val="center"/>
            </w:pPr>
            <w:r>
              <w:rPr>
                <w:b/>
                <w:color w:val="FFFFFF"/>
              </w:rPr>
              <w:t xml:space="preserve">¿Ajustar?</w:t>
            </w:r>
          </w:p>
        </w:tc>
        <w:tc>
          <w:tcPr>
            <w:shd w:val="clear" w:color="auto" w:fill="00B050"/>
          </w:tcPr>
          <w:p>
            <w:pPr>
              <w:pStyle w:val="Tabla8"/>
              <w:jc w:val="center"/>
            </w:pPr>
            <w:r>
              <w:rPr>
                <w:b/>
                <w:color w:val="FFFFFF"/>
              </w:rPr>
              <w:t xml:space="preserve">Evidencia</w:t>
            </w:r>
          </w:p>
        </w:tc>
        <w:tc>
          <w:tcPr>
            <w:shd w:val="clear" w:color="auto" w:fill="00B050"/>
          </w:tcPr>
          <w:p>
            <w:pPr>
              <w:pStyle w:val="Tabla8"/>
              <w:jc w:val="center"/>
            </w:pPr>
            <w:r>
              <w:rPr>
                <w:b/>
                <w:color w:val="FFFFFF"/>
              </w:rPr>
              <w:t xml:space="preserve">Estatuto</w:t>
            </w:r>
          </w:p>
        </w:tc>
      </w:tr>
      <w:tr>
        <w:trPr>
          <w:cantSplit/>
        </w:trPr>
        <w:tc>
          <w:tcPr/>
          <w:p>
            <w:pPr>
              <w:pStyle w:val="Tabla8"/>
              <w:jc w:val="left"/>
            </w:pPr>
            <w:r>
              <w:t xml:space="preserve">V01 PM2,5</w:t>
            </w:r>
          </w:p>
        </w:tc>
        <w:tc>
          <w:tcPr/>
          <w:p>
            <w:pPr>
              <w:pStyle w:val="Tabla8"/>
              <w:jc w:val="left"/>
            </w:pPr>
            <w:r>
              <w:t xml:space="preserve">Simultánea; independiente de X</w:t>
            </w:r>
          </w:p>
        </w:tc>
        <w:tc>
          <w:tcPr/>
          <w:p>
            <w:pPr>
              <w:pStyle w:val="Tabla8"/>
              <w:jc w:val="left"/>
            </w:pPr>
            <w:r>
              <w:t xml:space="preserve">PREDICTOR_Y</w:t>
            </w:r>
          </w:p>
        </w:tc>
        <w:tc>
          <w:tcPr/>
          <w:p>
            <w:pPr>
              <w:pStyle w:val="Tabla8"/>
              <w:jc w:val="left"/>
            </w:pPr>
            <w:r>
              <w:t xml:space="preserve">V01→V06 (2); V05→V01→V06</w:t>
            </w:r>
          </w:p>
        </w:tc>
        <w:tc>
          <w:tcPr/>
          <w:p>
            <w:pPr>
              <w:pStyle w:val="Tabla8"/>
              <w:jc w:val="left"/>
            </w:pPr>
            <w:r>
              <w:t xml:space="preserve">Sí, por precisión. No es necesario para identificar bajo sorteo.</w:t>
            </w:r>
          </w:p>
        </w:tc>
        <w:tc>
          <w:tcPr/>
          <w:p>
            <w:pPr>
              <w:pStyle w:val="Tabla8"/>
              <w:jc w:val="left"/>
            </w:pPr>
            <w:r>
              <w:t xml:space="preserve">Ficha V01→V06, confianza BAJA</w:t>
            </w:r>
          </w:p>
        </w:tc>
        <w:tc>
          <w:tcPr/>
          <w:p>
            <w:pPr>
              <w:pStyle w:val="Tabla8"/>
              <w:jc w:val="left"/>
            </w:pPr>
            <w:r>
              <w:t xml:space="preserve">HIE</w:t>
            </w:r>
          </w:p>
        </w:tc>
      </w:tr>
      <w:tr>
        <w:trPr>
          <w:cantSplit/>
        </w:trPr>
        <w:tc>
          <w:tcPr/>
          <w:p>
            <w:pPr>
              <w:pStyle w:val="Tabla8"/>
              <w:jc w:val="left"/>
            </w:pPr>
            <w:r>
              <w:t xml:space="preserve">V02 PM10</w:t>
            </w:r>
          </w:p>
        </w:tc>
        <w:tc>
          <w:tcPr/>
          <w:p>
            <w:pPr>
              <w:pStyle w:val="Tabla8"/>
              <w:jc w:val="left"/>
            </w:pPr>
            <w:r>
              <w:t xml:space="preserve">Simultánea; independiente de X</w:t>
            </w:r>
          </w:p>
        </w:tc>
        <w:tc>
          <w:tcPr/>
          <w:p>
            <w:pPr>
              <w:pStyle w:val="Tabla8"/>
              <w:jc w:val="left"/>
            </w:pPr>
            <w:r>
              <w:t xml:space="preserve">PREDICTOR_Y</w:t>
            </w:r>
          </w:p>
        </w:tc>
        <w:tc>
          <w:tcPr/>
          <w:p>
            <w:pPr>
              <w:pStyle w:val="Tabla8"/>
              <w:jc w:val="left"/>
            </w:pPr>
            <w:r>
              <w:t xml:space="preserve">V02→V06 (3); V02→V09 (1); V05→V02</w:t>
            </w:r>
          </w:p>
        </w:tc>
        <w:tc>
          <w:tcPr/>
          <w:p>
            <w:pPr>
              <w:pStyle w:val="Tabla8"/>
              <w:jc w:val="left"/>
            </w:pPr>
            <w:r>
              <w:t xml:space="preserve">Sí, por precisión. Evitar incluir V01 y V02 si son colineales por inclusión.</w:t>
            </w:r>
          </w:p>
        </w:tc>
        <w:tc>
          <w:tcPr/>
          <w:p>
            <w:pPr>
              <w:pStyle w:val="Tabla8"/>
              <w:jc w:val="left"/>
            </w:pPr>
            <w:r>
              <w:t xml:space="preserve">Ficha V02→V06, confianza MEDIA</w:t>
            </w:r>
          </w:p>
        </w:tc>
        <w:tc>
          <w:tcPr/>
          <w:p>
            <w:pPr>
              <w:pStyle w:val="Tabla8"/>
              <w:jc w:val="left"/>
            </w:pPr>
            <w:r>
              <w:t xml:space="preserve">HIE</w:t>
            </w:r>
          </w:p>
        </w:tc>
      </w:tr>
      <w:tr>
        <w:trPr>
          <w:cantSplit/>
        </w:trPr>
        <w:tc>
          <w:tcPr/>
          <w:p>
            <w:pPr>
              <w:pStyle w:val="Tabla8"/>
              <w:jc w:val="left"/>
            </w:pPr>
            <w:r>
              <w:t xml:space="preserve">V03 humedad</w:t>
            </w:r>
          </w:p>
        </w:tc>
        <w:tc>
          <w:tcPr/>
          <w:p>
            <w:pPr>
              <w:pStyle w:val="Tabla8"/>
              <w:jc w:val="left"/>
            </w:pPr>
            <w:r>
              <w:t xml:space="preserve">Simultánea; independiente de X</w:t>
            </w:r>
          </w:p>
        </w:tc>
        <w:tc>
          <w:tcPr/>
          <w:p>
            <w:pPr>
              <w:pStyle w:val="Tabla8"/>
              <w:jc w:val="left"/>
            </w:pPr>
            <w:r>
              <w:t xml:space="preserve">PREDICTOR_Y y moderador</w:t>
            </w:r>
          </w:p>
        </w:tc>
        <w:tc>
          <w:tcPr/>
          <w:p>
            <w:pPr>
              <w:pStyle w:val="Tabla8"/>
              <w:jc w:val="left"/>
            </w:pPr>
            <w:r>
              <w:t xml:space="preserve">V03→V06 (3); V03→V09 (1)</w:t>
            </w:r>
          </w:p>
        </w:tc>
        <w:tc>
          <w:tcPr/>
          <w:p>
            <w:pPr>
              <w:pStyle w:val="Tabla8"/>
              <w:jc w:val="left"/>
            </w:pPr>
            <w:r>
              <w:t xml:space="preserve">Sí, con interacción X por V03.</w:t>
            </w:r>
          </w:p>
        </w:tc>
        <w:tc>
          <w:tcPr/>
          <w:p>
            <w:pPr>
              <w:pStyle w:val="Tabla8"/>
              <w:jc w:val="left"/>
            </w:pPr>
            <w:r>
              <w:t xml:space="preserve">F-INF §3.1 (Suresh et al., 2025, p. 30), cita secundaria</w:t>
            </w:r>
          </w:p>
        </w:tc>
        <w:tc>
          <w:tcPr/>
          <w:p>
            <w:pPr>
              <w:pStyle w:val="Tabla8"/>
              <w:jc w:val="left"/>
            </w:pPr>
            <w:r>
              <w:t xml:space="preserve">HIE</w:t>
            </w:r>
          </w:p>
        </w:tc>
      </w:tr>
      <w:tr>
        <w:trPr>
          <w:cantSplit/>
        </w:trPr>
        <w:tc>
          <w:tcPr/>
          <w:p>
            <w:pPr>
              <w:pStyle w:val="Tabla8"/>
              <w:jc w:val="left"/>
            </w:pPr>
            <w:r>
              <w:t xml:space="preserve">V04 viento</w:t>
            </w:r>
          </w:p>
        </w:tc>
        <w:tc>
          <w:tcPr/>
          <w:p>
            <w:pPr>
              <w:pStyle w:val="Tabla8"/>
              <w:jc w:val="left"/>
            </w:pPr>
            <w:r>
              <w:t xml:space="preserve">Simultánea; independiente de X</w:t>
            </w:r>
          </w:p>
        </w:tc>
        <w:tc>
          <w:tcPr/>
          <w:p>
            <w:pPr>
              <w:pStyle w:val="Tabla8"/>
              <w:jc w:val="left"/>
            </w:pPr>
            <w:r>
              <w:t xml:space="preserve">PREDICTOR_Y débil</w:t>
            </w:r>
          </w:p>
        </w:tc>
        <w:tc>
          <w:tcPr/>
          <w:p>
            <w:pPr>
              <w:pStyle w:val="Tabla8"/>
              <w:jc w:val="left"/>
            </w:pPr>
            <w:r>
              <w:t xml:space="preserve">V04→V06 (1); V04→V01 y V04→V02</w:t>
            </w:r>
          </w:p>
        </w:tc>
        <w:tc>
          <w:tcPr/>
          <w:p>
            <w:pPr>
              <w:pStyle w:val="Tabla8"/>
              <w:jc w:val="left"/>
            </w:pPr>
            <w:r>
              <w:t xml:space="preserve">Sí, como control.</w:t>
            </w:r>
          </w:p>
        </w:tc>
        <w:tc>
          <w:tcPr/>
          <w:p>
            <w:pPr>
              <w:pStyle w:val="Tabla8"/>
              <w:jc w:val="left"/>
            </w:pPr>
            <w:r>
              <w:t xml:space="preserve">Control del NMAE en F-INF §11.4</w:t>
            </w:r>
          </w:p>
        </w:tc>
        <w:tc>
          <w:tcPr/>
          <w:p>
            <w:pPr>
              <w:pStyle w:val="Tabla8"/>
              <w:jc w:val="left"/>
            </w:pPr>
            <w:r>
              <w:t xml:space="preserve">HIE</w:t>
            </w:r>
          </w:p>
        </w:tc>
      </w:tr>
      <w:tr>
        <w:trPr>
          <w:cantSplit/>
        </w:trPr>
        <w:tc>
          <w:tcPr/>
          <w:p>
            <w:pPr>
              <w:pStyle w:val="Tabla8"/>
              <w:jc w:val="left"/>
            </w:pPr>
            <w:r>
              <w:t xml:space="preserve">V05 escombros</w:t>
            </w:r>
          </w:p>
        </w:tc>
        <w:tc>
          <w:tcPr/>
          <w:p>
            <w:pPr>
              <w:pStyle w:val="Tabla8"/>
              <w:jc w:val="left"/>
            </w:pPr>
            <w:r>
              <w:t xml:space="preserve">Pretratamiento de cada semana</w:t>
            </w:r>
          </w:p>
        </w:tc>
        <w:tc>
          <w:tcPr/>
          <w:p>
            <w:pPr>
              <w:pStyle w:val="Tabla8"/>
              <w:jc w:val="left"/>
            </w:pPr>
            <w:r>
              <w:t xml:space="preserve">PREDICTOR_Y indirecto; causa de atrición</w:t>
            </w:r>
          </w:p>
        </w:tc>
        <w:tc>
          <w:tcPr/>
          <w:p>
            <w:pPr>
              <w:pStyle w:val="Tabla8"/>
              <w:jc w:val="left"/>
            </w:pPr>
            <w:r>
              <w:t xml:space="preserve">V05→V01 y V05→V02→V06; V05→V09</w:t>
            </w:r>
          </w:p>
        </w:tc>
        <w:tc>
          <w:tcPr/>
          <w:p>
            <w:pPr>
              <w:pStyle w:val="Tabla8"/>
              <w:jc w:val="left"/>
            </w:pPr>
            <w:r>
              <w:t xml:space="preserve">Depende: absorber con efectos fijos de nodo y semana. No condicionar sobre V09.</w:t>
            </w:r>
          </w:p>
        </w:tc>
        <w:tc>
          <w:tcPr/>
          <w:p>
            <w:pPr>
              <w:pStyle w:val="Tabla8"/>
              <w:jc w:val="left"/>
            </w:pPr>
            <w:r>
              <w:t xml:space="preserve">Fichas V05→V09 (MEDIA) y V05→V02 (ALTA)</w:t>
            </w:r>
          </w:p>
        </w:tc>
        <w:tc>
          <w:tcPr/>
          <w:p>
            <w:pPr>
              <w:pStyle w:val="Tabla8"/>
              <w:jc w:val="left"/>
            </w:pPr>
            <w:r>
              <w:t xml:space="preserve">HIE</w:t>
            </w:r>
          </w:p>
        </w:tc>
      </w:tr>
      <w:tr>
        <w:trPr>
          <w:cantSplit/>
        </w:trPr>
        <w:tc>
          <w:tcPr/>
          <w:p>
            <w:pPr>
              <w:pStyle w:val="Tabla8"/>
              <w:jc w:val="left"/>
            </w:pPr>
            <w:r>
              <w:t xml:space="preserve">V06 error de medición</w:t>
            </w:r>
          </w:p>
        </w:tc>
        <w:tc>
          <w:tcPr/>
          <w:p>
            <w:pPr>
              <w:pStyle w:val="Tabla8"/>
              <w:jc w:val="left"/>
            </w:pPr>
            <w:r>
              <w:t xml:space="preserve">Posterior a X</w:t>
            </w:r>
          </w:p>
        </w:tc>
        <w:tc>
          <w:tcPr/>
          <w:p>
            <w:pPr>
              <w:pStyle w:val="Tabla8"/>
              <w:jc w:val="left"/>
            </w:pPr>
            <w:r>
              <w:t xml:space="preserve">Resultado Y</w:t>
            </w:r>
          </w:p>
        </w:tc>
        <w:tc>
          <w:tcPr/>
          <w:p>
            <w:pPr>
              <w:pStyle w:val="Tabla8"/>
              <w:jc w:val="left"/>
            </w:pPr>
            <w:r>
              <w:t xml:space="preserve">X→V06 (3)</w:t>
            </w:r>
          </w:p>
        </w:tc>
        <w:tc>
          <w:tcPr/>
          <w:p>
            <w:pPr>
              <w:pStyle w:val="Tabla8"/>
              <w:jc w:val="left"/>
            </w:pPr>
            <w:r>
              <w:t xml:space="preserve">No aplica</w:t>
            </w:r>
          </w:p>
        </w:tc>
        <w:tc>
          <w:tcPr/>
          <w:p>
            <w:pPr>
              <w:pStyle w:val="Tabla8"/>
              <w:jc w:val="left"/>
            </w:pPr>
            <w:r>
              <w:t xml:space="preserve">Ficha V07→V06; F-INF §3.1 (Bang et al., 2026, pp. 6-8)</w:t>
            </w:r>
          </w:p>
        </w:tc>
        <w:tc>
          <w:tcPr/>
          <w:p>
            <w:pPr>
              <w:pStyle w:val="Tabla8"/>
              <w:jc w:val="left"/>
            </w:pPr>
            <w:r>
              <w:t xml:space="preserve">HIE</w:t>
            </w:r>
          </w:p>
        </w:tc>
      </w:tr>
      <w:tr>
        <w:trPr>
          <w:cantSplit/>
        </w:trPr>
        <w:tc>
          <w:tcPr/>
          <w:p>
            <w:pPr>
              <w:pStyle w:val="Tabla8"/>
              <w:jc w:val="left"/>
            </w:pPr>
            <w:r>
              <w:t xml:space="preserve">V07 calibración</w:t>
            </w:r>
          </w:p>
        </w:tc>
        <w:tc>
          <w:tcPr/>
          <w:p>
            <w:pPr>
              <w:pStyle w:val="Tabla8"/>
              <w:jc w:val="left"/>
            </w:pPr>
            <w:r>
              <w:t xml:space="preserve">Asignada al inicio de la semana</w:t>
            </w:r>
          </w:p>
        </w:tc>
        <w:tc>
          <w:tcPr/>
          <w:p>
            <w:pPr>
              <w:pStyle w:val="Tabla8"/>
              <w:jc w:val="left"/>
            </w:pPr>
            <w:r>
              <w:t xml:space="preserve">Exposición X (intensidad)</w:t>
            </w:r>
          </w:p>
        </w:tc>
        <w:tc>
          <w:tcPr/>
          <w:p>
            <w:pPr>
              <w:pStyle w:val="Tabla8"/>
              <w:jc w:val="left"/>
            </w:pPr>
            <w:r>
              <w:t xml:space="preserve">V07→V06; V07→V08; V07→V09</w:t>
            </w:r>
          </w:p>
        </w:tc>
        <w:tc>
          <w:tcPr/>
          <w:p>
            <w:pPr>
              <w:pStyle w:val="Tabla8"/>
              <w:jc w:val="left"/>
            </w:pPr>
            <w:r>
              <w:t xml:space="preserve">No aplica</w:t>
            </w:r>
          </w:p>
        </w:tc>
        <w:tc>
          <w:tcPr/>
          <w:p>
            <w:pPr>
              <w:pStyle w:val="Tabla8"/>
              <w:jc w:val="left"/>
            </w:pPr>
            <w:r>
              <w:t xml:space="preserve">Sorteo semanal propuesto en F-INF §11.7</w:t>
            </w:r>
          </w:p>
        </w:tc>
        <w:tc>
          <w:tcPr/>
          <w:p>
            <w:pPr>
              <w:pStyle w:val="Tabla8"/>
              <w:jc w:val="left"/>
            </w:pPr>
            <w:r>
              <w:t xml:space="preserve">IDC prospectivo</w:t>
            </w:r>
          </w:p>
        </w:tc>
      </w:tr>
      <w:tr>
        <w:trPr>
          <w:cantSplit/>
        </w:trPr>
        <w:tc>
          <w:tcPr/>
          <w:p>
            <w:pPr>
              <w:pStyle w:val="Tabla8"/>
              <w:jc w:val="left"/>
            </w:pPr>
            <w:r>
              <w:t xml:space="preserve">V08 latencia</w:t>
            </w:r>
          </w:p>
        </w:tc>
        <w:tc>
          <w:tcPr/>
          <w:p>
            <w:pPr>
              <w:pStyle w:val="Tabla8"/>
              <w:jc w:val="left"/>
            </w:pPr>
            <w:r>
              <w:t xml:space="preserve">Posterior a X</w:t>
            </w:r>
          </w:p>
        </w:tc>
        <w:tc>
          <w:tcPr/>
          <w:p>
            <w:pPr>
              <w:pStyle w:val="Tabla8"/>
              <w:jc w:val="left"/>
            </w:pPr>
            <w:r>
              <w:t xml:space="preserve">DESCENDIENTE_X; MEDIADOR si V08→V06 fuera positivo</w:t>
            </w:r>
          </w:p>
        </w:tc>
        <w:tc>
          <w:tcPr/>
          <w:p>
            <w:pPr>
              <w:pStyle w:val="Tabla8"/>
              <w:jc w:val="left"/>
            </w:pPr>
            <w:r>
              <w:t xml:space="preserve">V07→V08 (1)</w:t>
            </w:r>
          </w:p>
        </w:tc>
        <w:tc>
          <w:tcPr/>
          <w:p>
            <w:pPr>
              <w:pStyle w:val="Tabla8"/>
              <w:jc w:val="left"/>
            </w:pPr>
            <w:r>
              <w:t xml:space="preserve">No. Bajo la ficha V08→V06 = 0 no hay camino a Y.</w:t>
            </w:r>
          </w:p>
        </w:tc>
        <w:tc>
          <w:tcPr/>
          <w:p>
            <w:pPr>
              <w:pStyle w:val="Tabla8"/>
              <w:jc w:val="left"/>
            </w:pPr>
            <w:r>
              <w:t xml:space="preserve">Fichas V07→V08 y V08→V06 (dominio {0,1,2})</w:t>
            </w:r>
          </w:p>
        </w:tc>
        <w:tc>
          <w:tcPr/>
          <w:p>
            <w:pPr>
              <w:pStyle w:val="Tabla8"/>
              <w:jc w:val="left"/>
            </w:pPr>
            <w:r>
              <w:t xml:space="preserve">HIE</w:t>
            </w:r>
          </w:p>
        </w:tc>
      </w:tr>
      <w:tr>
        <w:trPr>
          <w:cantSplit/>
        </w:trPr>
        <w:tc>
          <w:tcPr/>
          <w:p>
            <w:pPr>
              <w:pStyle w:val="Tabla8"/>
              <w:jc w:val="left"/>
            </w:pPr>
            <w:r>
              <w:t xml:space="preserve">V09 disponibilidad</w:t>
            </w:r>
          </w:p>
        </w:tc>
        <w:tc>
          <w:tcPr/>
          <w:p>
            <w:pPr>
              <w:pStyle w:val="Tabla8"/>
              <w:jc w:val="left"/>
            </w:pPr>
            <w:r>
              <w:t xml:space="preserve">Posterior a X</w:t>
            </w:r>
          </w:p>
        </w:tc>
        <w:tc>
          <w:tcPr/>
          <w:p>
            <w:pPr>
              <w:pStyle w:val="Tabla8"/>
              <w:jc w:val="left"/>
            </w:pPr>
            <w:r>
              <w:t xml:space="preserve">DESCENDIENTE_X y COLLIDER (V05→V09←X) para la muestra observada</w:t>
            </w:r>
          </w:p>
        </w:tc>
        <w:tc>
          <w:tcPr/>
          <w:p>
            <w:pPr>
              <w:pStyle w:val="Tabla8"/>
              <w:jc w:val="left"/>
            </w:pPr>
            <w:r>
              <w:t xml:space="preserve">V07→V09 (1); V05→V09 (2); V02→V09 (1)</w:t>
            </w:r>
          </w:p>
        </w:tc>
        <w:tc>
          <w:tcPr/>
          <w:p>
            <w:pPr>
              <w:pStyle w:val="Tabla8"/>
              <w:jc w:val="left"/>
            </w:pPr>
            <w:r>
              <w:t xml:space="preserve">No condicionar a nodos activos. Usar intención de tratar con ponderación.</w:t>
            </w:r>
          </w:p>
        </w:tc>
        <w:tc>
          <w:tcPr/>
          <w:p>
            <w:pPr>
              <w:pStyle w:val="Tabla8"/>
              <w:jc w:val="left"/>
            </w:pPr>
            <w:r>
              <w:t xml:space="preserve">Fichas V07→V09, V05→V09, V02→V09</w:t>
            </w:r>
          </w:p>
        </w:tc>
        <w:tc>
          <w:tcPr/>
          <w:p>
            <w:pPr>
              <w:pStyle w:val="Tabla8"/>
              <w:jc w:val="left"/>
            </w:pPr>
            <w:r>
              <w:t xml:space="preserve">HIE</w:t>
            </w:r>
          </w:p>
        </w:tc>
      </w:tr>
      <w:tr>
        <w:trPr>
          <w:cantSplit/>
        </w:trPr>
        <w:tc>
          <w:tcPr/>
          <w:p>
            <w:pPr>
              <w:pStyle w:val="Tabla8"/>
              <w:jc w:val="left"/>
            </w:pPr>
            <w:r>
              <w:t xml:space="preserve">V10 densidad</w:t>
            </w:r>
          </w:p>
        </w:tc>
        <w:tc>
          <w:tcPr/>
          <w:p>
            <w:pPr>
              <w:pStyle w:val="Tabla8"/>
              <w:jc w:val="left"/>
            </w:pPr>
            <w:r>
              <w:t xml:space="preserve">Nominal: previa. Efectiva: posterior (depende de V09)</w:t>
            </w:r>
          </w:p>
        </w:tc>
        <w:tc>
          <w:tcPr/>
          <w:p>
            <w:pPr>
              <w:pStyle w:val="Tabla8"/>
              <w:jc w:val="left"/>
            </w:pPr>
            <w:r>
              <w:t xml:space="preserve">PREDICTOR_Y débil (nominal); DESCENDIENTE_X (efectiva)</w:t>
            </w:r>
          </w:p>
        </w:tc>
        <w:tc>
          <w:tcPr/>
          <w:p>
            <w:pPr>
              <w:pStyle w:val="Tabla8"/>
              <w:jc w:val="left"/>
            </w:pPr>
            <w:r>
              <w:t xml:space="preserve">V10→V06 (1); V09→V10 (3)</w:t>
            </w:r>
          </w:p>
        </w:tc>
        <w:tc>
          <w:tcPr/>
          <w:p>
            <w:pPr>
              <w:pStyle w:val="Tabla8"/>
              <w:jc w:val="left"/>
            </w:pPr>
            <w:r>
              <w:t xml:space="preserve">Depende: usar solo la densidad nominal de diseño.</w:t>
            </w:r>
          </w:p>
        </w:tc>
        <w:tc>
          <w:tcPr/>
          <w:p>
            <w:pPr>
              <w:pStyle w:val="Tabla8"/>
              <w:jc w:val="left"/>
            </w:pPr>
            <w:r>
              <w:t xml:space="preserve">Ficha V10→V06; VACIO V-DIC-02</w:t>
            </w:r>
          </w:p>
        </w:tc>
        <w:tc>
          <w:tcPr/>
          <w:p>
            <w:pPr>
              <w:pStyle w:val="Tabla8"/>
              <w:jc w:val="left"/>
            </w:pPr>
            <w:r>
              <w:t xml:space="preserve">HIE</w:t>
            </w:r>
          </w:p>
        </w:tc>
      </w:tr>
      <w:tr>
        <w:trPr>
          <w:cantSplit/>
        </w:trPr>
        <w:tc>
          <w:tcPr/>
          <w:p>
            <w:pPr>
              <w:pStyle w:val="Tabla8"/>
              <w:jc w:val="left"/>
            </w:pPr>
            <w:r>
              <w:t xml:space="preserve">V11 AQHI</w:t>
            </w:r>
          </w:p>
        </w:tc>
        <w:tc>
          <w:tcPr/>
          <w:p>
            <w:pPr>
              <w:pStyle w:val="Tabla8"/>
              <w:jc w:val="left"/>
            </w:pPr>
            <w:r>
              <w:t xml:space="preserve">Posterior a Y</w:t>
            </w:r>
          </w:p>
        </w:tc>
        <w:tc>
          <w:tcPr/>
          <w:p>
            <w:pPr>
              <w:pStyle w:val="Tabla8"/>
              <w:jc w:val="left"/>
            </w:pPr>
            <w:r>
              <w:t xml:space="preserve">DESCENDIENTE de Y</w:t>
            </w:r>
          </w:p>
        </w:tc>
        <w:tc>
          <w:tcPr/>
          <w:p>
            <w:pPr>
              <w:pStyle w:val="Tabla8"/>
              <w:jc w:val="left"/>
            </w:pPr>
            <w:r>
              <w:t xml:space="preserve">V06→V11 (3)</w:t>
            </w:r>
          </w:p>
        </w:tc>
        <w:tc>
          <w:tcPr/>
          <w:p>
            <w:pPr>
              <w:pStyle w:val="Tabla8"/>
              <w:jc w:val="left"/>
            </w:pPr>
            <w:r>
              <w:t xml:space="preserve">No</w:t>
            </w:r>
          </w:p>
        </w:tc>
        <w:tc>
          <w:tcPr/>
          <w:p>
            <w:pPr>
              <w:pStyle w:val="Tabla8"/>
              <w:jc w:val="left"/>
            </w:pPr>
            <w:r>
              <w:t xml:space="preserve">Ficha V06→V11</w:t>
            </w:r>
          </w:p>
        </w:tc>
        <w:tc>
          <w:tcPr/>
          <w:p>
            <w:pPr>
              <w:pStyle w:val="Tabla8"/>
              <w:jc w:val="left"/>
            </w:pPr>
            <w:r>
              <w:t xml:space="preserve">HIE</w:t>
            </w:r>
          </w:p>
        </w:tc>
      </w:tr>
      <w:tr>
        <w:trPr>
          <w:cantSplit/>
        </w:trPr>
        <w:tc>
          <w:tcPr/>
          <w:p>
            <w:pPr>
              <w:pStyle w:val="Tabla8"/>
              <w:jc w:val="left"/>
            </w:pPr>
            <w:r>
              <w:t xml:space="preserve">V12 falsas alarmas</w:t>
            </w:r>
          </w:p>
        </w:tc>
        <w:tc>
          <w:tcPr/>
          <w:p>
            <w:pPr>
              <w:pStyle w:val="Tabla8"/>
              <w:jc w:val="left"/>
            </w:pPr>
            <w:r>
              <w:t xml:space="preserve">Posterior a Y</w:t>
            </w:r>
          </w:p>
        </w:tc>
        <w:tc>
          <w:tcPr/>
          <w:p>
            <w:pPr>
              <w:pStyle w:val="Tabla8"/>
              <w:jc w:val="left"/>
            </w:pPr>
            <w:r>
              <w:t xml:space="preserve">DESCENDIENTE de Y</w:t>
            </w:r>
          </w:p>
        </w:tc>
        <w:tc>
          <w:tcPr/>
          <w:p>
            <w:pPr>
              <w:pStyle w:val="Tabla8"/>
              <w:jc w:val="left"/>
            </w:pPr>
            <w:r>
              <w:t xml:space="preserve">V06→V12 (2); V11→V12 (2)</w:t>
            </w:r>
          </w:p>
        </w:tc>
        <w:tc>
          <w:tcPr/>
          <w:p>
            <w:pPr>
              <w:pStyle w:val="Tabla8"/>
              <w:jc w:val="left"/>
            </w:pPr>
            <w:r>
              <w:t xml:space="preserve">No</w:t>
            </w:r>
          </w:p>
        </w:tc>
        <w:tc>
          <w:tcPr/>
          <w:p>
            <w:pPr>
              <w:pStyle w:val="Tabla8"/>
              <w:jc w:val="left"/>
            </w:pPr>
            <w:r>
              <w:t xml:space="preserve">Fichas V06→V12 y V11→V12</w:t>
            </w:r>
          </w:p>
        </w:tc>
        <w:tc>
          <w:tcPr/>
          <w:p>
            <w:pPr>
              <w:pStyle w:val="Tabla8"/>
              <w:jc w:val="left"/>
            </w:pPr>
            <w:r>
              <w:t xml:space="preserve">HIE</w:t>
            </w:r>
          </w:p>
        </w:tc>
      </w:tr>
      <w:tr>
        <w:trPr>
          <w:cantSplit/>
        </w:trPr>
        <w:tc>
          <w:tcPr/>
          <w:p>
            <w:pPr>
              <w:pStyle w:val="Tabla8"/>
              <w:jc w:val="left"/>
            </w:pPr>
            <w:r>
              <w:t xml:space="preserve">V13 anticipación</w:t>
            </w:r>
          </w:p>
        </w:tc>
        <w:tc>
          <w:tcPr/>
          <w:p>
            <w:pPr>
              <w:pStyle w:val="Tabla8"/>
              <w:jc w:val="left"/>
            </w:pPr>
            <w:r>
              <w:t xml:space="preserve">Posterior a Y</w:t>
            </w:r>
          </w:p>
        </w:tc>
        <w:tc>
          <w:tcPr/>
          <w:p>
            <w:pPr>
              <w:pStyle w:val="Tabla8"/>
              <w:jc w:val="left"/>
            </w:pPr>
            <w:r>
              <w:t xml:space="preserve">DESCENDIENTE de Y (vía V10 y V08)</w:t>
            </w:r>
          </w:p>
        </w:tc>
        <w:tc>
          <w:tcPr/>
          <w:p>
            <w:pPr>
              <w:pStyle w:val="Tabla8"/>
              <w:jc w:val="left"/>
            </w:pPr>
            <w:r>
              <w:t xml:space="preserve">V08→V13; V10→V13</w:t>
            </w:r>
          </w:p>
        </w:tc>
        <w:tc>
          <w:tcPr/>
          <w:p>
            <w:pPr>
              <w:pStyle w:val="Tabla8"/>
              <w:jc w:val="left"/>
            </w:pPr>
            <w:r>
              <w:t xml:space="preserve">No</w:t>
            </w:r>
          </w:p>
        </w:tc>
        <w:tc>
          <w:tcPr/>
          <w:p>
            <w:pPr>
              <w:pStyle w:val="Tabla8"/>
              <w:jc w:val="left"/>
            </w:pPr>
            <w:r>
              <w:t xml:space="preserve">Fichas V08→V13 y V10→V13</w:t>
            </w:r>
          </w:p>
        </w:tc>
        <w:tc>
          <w:tcPr/>
          <w:p>
            <w:pPr>
              <w:pStyle w:val="Tabla8"/>
              <w:jc w:val="left"/>
            </w:pPr>
            <w:r>
              <w:t xml:space="preserve">HIE</w:t>
            </w:r>
          </w:p>
        </w:tc>
      </w:tr>
      <w:tr>
        <w:trPr>
          <w:cantSplit/>
        </w:trPr>
        <w:tc>
          <w:tcPr/>
          <w:p>
            <w:pPr>
              <w:pStyle w:val="Tabla8"/>
              <w:jc w:val="left"/>
            </w:pPr>
            <w:r>
              <w:t xml:space="preserve">V14 personas alertadas</w:t>
            </w:r>
          </w:p>
        </w:tc>
        <w:tc>
          <w:tcPr/>
          <w:p>
            <w:pPr>
              <w:pStyle w:val="Tabla8"/>
              <w:jc w:val="left"/>
            </w:pPr>
            <w:r>
              <w:t xml:space="preserve">Posterior a Y</w:t>
            </w:r>
          </w:p>
        </w:tc>
        <w:tc>
          <w:tcPr/>
          <w:p>
            <w:pPr>
              <w:pStyle w:val="Tabla8"/>
              <w:jc w:val="left"/>
            </w:pPr>
            <w:r>
              <w:t xml:space="preserve">DESCENDIENTE de Y</w:t>
            </w:r>
          </w:p>
        </w:tc>
        <w:tc>
          <w:tcPr/>
          <w:p>
            <w:pPr>
              <w:pStyle w:val="Tabla8"/>
              <w:jc w:val="left"/>
            </w:pPr>
            <w:r>
              <w:t xml:space="preserve">V11→V14; V13→V14; V12→V14</w:t>
            </w:r>
          </w:p>
        </w:tc>
        <w:tc>
          <w:tcPr/>
          <w:p>
            <w:pPr>
              <w:pStyle w:val="Tabla8"/>
              <w:jc w:val="left"/>
            </w:pPr>
            <w:r>
              <w:t xml:space="preserve">No</w:t>
            </w:r>
          </w:p>
        </w:tc>
        <w:tc>
          <w:tcPr/>
          <w:p>
            <w:pPr>
              <w:pStyle w:val="Tabla8"/>
              <w:jc w:val="left"/>
            </w:pPr>
            <w:r>
              <w:t xml:space="preserve">Fichas de entrada de V14</w:t>
            </w:r>
          </w:p>
        </w:tc>
        <w:tc>
          <w:tcPr/>
          <w:p>
            <w:pPr>
              <w:pStyle w:val="Tabla8"/>
              <w:jc w:val="left"/>
            </w:pPr>
            <w:r>
              <w:t xml:space="preserve">HIE</w:t>
            </w:r>
          </w:p>
        </w:tc>
      </w:tr>
      <w:tr>
        <w:trPr>
          <w:cantSplit/>
        </w:trPr>
        <w:tc>
          <w:tcPr/>
          <w:p>
            <w:pPr>
              <w:pStyle w:val="Tabla8"/>
              <w:jc w:val="left"/>
            </w:pPr>
            <w:r>
              <w:t xml:space="preserve">V15 adopción</w:t>
            </w:r>
          </w:p>
        </w:tc>
        <w:tc>
          <w:tcPr/>
          <w:p>
            <w:pPr>
              <w:pStyle w:val="Tabla8"/>
              <w:jc w:val="left"/>
            </w:pPr>
            <w:r>
              <w:t xml:space="preserve">Posterior; retroalimenta a X</w:t>
            </w:r>
          </w:p>
        </w:tc>
        <w:tc>
          <w:tcPr/>
          <w:p>
            <w:pPr>
              <w:pStyle w:val="Tabla8"/>
              <w:jc w:val="left"/>
            </w:pPr>
            <w:r>
              <w:t xml:space="preserve">DESCENDIENTE de Y; causa de X futuro si X no es aleatorizado</w:t>
            </w:r>
          </w:p>
        </w:tc>
        <w:tc>
          <w:tcPr/>
          <w:p>
            <w:pPr>
              <w:pStyle w:val="Tabla8"/>
              <w:jc w:val="left"/>
            </w:pPr>
            <w:r>
              <w:t xml:space="preserve">V06→V15; V12→V15; V15→V07</w:t>
            </w:r>
          </w:p>
        </w:tc>
        <w:tc>
          <w:tcPr/>
          <w:p>
            <w:pPr>
              <w:pStyle w:val="Tabla8"/>
              <w:jc w:val="left"/>
            </w:pPr>
            <w:r>
              <w:t xml:space="preserve">No. Riesgo de confusión dependiente del tiempo sin sorteo.</w:t>
            </w:r>
          </w:p>
        </w:tc>
        <w:tc>
          <w:tcPr/>
          <w:p>
            <w:pPr>
              <w:pStyle w:val="Tabla8"/>
              <w:jc w:val="left"/>
            </w:pPr>
            <w:r>
              <w:t xml:space="preserve">Fichas V12→V15, V15→V07</w:t>
            </w:r>
          </w:p>
        </w:tc>
        <w:tc>
          <w:tcPr/>
          <w:p>
            <w:pPr>
              <w:pStyle w:val="Tabla8"/>
              <w:jc w:val="left"/>
            </w:pPr>
            <w:r>
              <w:t xml:space="preserve">HIE</w:t>
            </w:r>
          </w:p>
        </w:tc>
      </w:tr>
      <w:tr>
        <w:trPr>
          <w:cantSplit/>
        </w:trPr>
        <w:tc>
          <w:tcPr/>
          <w:p>
            <w:pPr>
              <w:pStyle w:val="Tabla8"/>
              <w:jc w:val="left"/>
            </w:pPr>
            <w:r>
              <w:t xml:space="preserve">L1 distancia a la referencia</w:t>
            </w:r>
          </w:p>
        </w:tc>
        <w:tc>
          <w:tcPr/>
          <w:p>
            <w:pPr>
              <w:pStyle w:val="Tabla8"/>
              <w:jc w:val="left"/>
            </w:pPr>
            <w:r>
              <w:t xml:space="preserve">Previa</w:t>
            </w:r>
          </w:p>
        </w:tc>
        <w:tc>
          <w:tcPr/>
          <w:p>
            <w:pPr>
              <w:pStyle w:val="Tabla8"/>
              <w:jc w:val="left"/>
            </w:pPr>
            <w:r>
              <w:t xml:space="preserve">LATENTE (medible)</w:t>
            </w:r>
          </w:p>
        </w:tc>
        <w:tc>
          <w:tcPr/>
          <w:p>
            <w:pPr>
              <w:pStyle w:val="Tabla8"/>
              <w:jc w:val="left"/>
            </w:pPr>
            <w:r>
              <w:t xml:space="preserve">L1→V06 (H2 del informe)</w:t>
            </w:r>
          </w:p>
        </w:tc>
        <w:tc>
          <w:tcPr/>
          <w:p>
            <w:pPr>
              <w:pStyle w:val="Tabla8"/>
              <w:jc w:val="left"/>
            </w:pPr>
            <w:r>
              <w:t xml:space="preserve">Sí si hay medición y no hay sorteo</w:t>
            </w:r>
          </w:p>
        </w:tc>
        <w:tc>
          <w:tcPr/>
          <w:p>
            <w:pPr>
              <w:pStyle w:val="Tabla8"/>
              <w:jc w:val="left"/>
            </w:pPr>
            <w:r>
              <w:t xml:space="preserve">F-INF §11.4 y §11.6</w:t>
            </w:r>
          </w:p>
        </w:tc>
        <w:tc>
          <w:tcPr/>
          <w:p>
            <w:pPr>
              <w:pStyle w:val="Tabla8"/>
              <w:jc w:val="left"/>
            </w:pPr>
            <w:r>
              <w:t xml:space="preserve">HIE</w:t>
            </w:r>
          </w:p>
        </w:tc>
      </w:tr>
      <w:tr>
        <w:trPr>
          <w:cantSplit/>
        </w:trPr>
        <w:tc>
          <w:tcPr/>
          <w:p>
            <w:pPr>
              <w:pStyle w:val="Tabla8"/>
              <w:jc w:val="left"/>
            </w:pPr>
            <w:r>
              <w:t xml:space="preserve">L2 edad del sensor</w:t>
            </w:r>
          </w:p>
        </w:tc>
        <w:tc>
          <w:tcPr/>
          <w:p>
            <w:pPr>
              <w:pStyle w:val="Tabla8"/>
              <w:jc w:val="left"/>
            </w:pPr>
            <w:r>
              <w:t xml:space="preserve">Previa</w:t>
            </w:r>
          </w:p>
        </w:tc>
        <w:tc>
          <w:tcPr/>
          <w:p>
            <w:pPr>
              <w:pStyle w:val="Tabla8"/>
              <w:jc w:val="left"/>
            </w:pPr>
            <w:r>
              <w:t xml:space="preserve">LATENTE (medible); moderador</w:t>
            </w:r>
          </w:p>
        </w:tc>
        <w:tc>
          <w:tcPr/>
          <w:p>
            <w:pPr>
              <w:pStyle w:val="Tabla8"/>
              <w:jc w:val="left"/>
            </w:pPr>
            <w:r>
              <w:t xml:space="preserve">L2→V06 (H4 del informe)</w:t>
            </w:r>
          </w:p>
        </w:tc>
        <w:tc>
          <w:tcPr/>
          <w:p>
            <w:pPr>
              <w:pStyle w:val="Tabla8"/>
              <w:jc w:val="left"/>
            </w:pPr>
            <w:r>
              <w:t xml:space="preserve">Sí si no hay sorteo</w:t>
            </w:r>
          </w:p>
        </w:tc>
        <w:tc>
          <w:tcPr/>
          <w:p>
            <w:pPr>
              <w:pStyle w:val="Tabla8"/>
              <w:jc w:val="left"/>
            </w:pPr>
            <w:r>
              <w:t xml:space="preserve">F-INF §11.4 y §11.6</w:t>
            </w:r>
          </w:p>
        </w:tc>
        <w:tc>
          <w:tcPr/>
          <w:p>
            <w:pPr>
              <w:pStyle w:val="Tabla8"/>
              <w:jc w:val="left"/>
            </w:pPr>
            <w:r>
              <w:t xml:space="preserve">HIE</w:t>
            </w:r>
          </w:p>
        </w:tc>
      </w:tr>
      <w:tr>
        <w:trPr>
          <w:cantSplit/>
        </w:trPr>
        <w:tc>
          <w:tcPr/>
          <w:p>
            <w:pPr>
              <w:pStyle w:val="Tabla8"/>
              <w:jc w:val="left"/>
            </w:pPr>
            <w:r>
              <w:t xml:space="preserve">L3 episodio de humo</w:t>
            </w:r>
          </w:p>
        </w:tc>
        <w:tc>
          <w:tcPr/>
          <w:p>
            <w:pPr>
              <w:pStyle w:val="Tabla8"/>
              <w:jc w:val="left"/>
            </w:pPr>
            <w:r>
              <w:t xml:space="preserve">Simultánea</w:t>
            </w:r>
          </w:p>
        </w:tc>
        <w:tc>
          <w:tcPr/>
          <w:p>
            <w:pPr>
              <w:pStyle w:val="Tabla8"/>
              <w:jc w:val="left"/>
            </w:pPr>
            <w:r>
              <w:t xml:space="preserve">LATENTE; moderador</w:t>
            </w:r>
          </w:p>
        </w:tc>
        <w:tc>
          <w:tcPr/>
          <w:p>
            <w:pPr>
              <w:pStyle w:val="Tabla8"/>
              <w:jc w:val="left"/>
            </w:pPr>
            <w:r>
              <w:t xml:space="preserve">L3→V06 (H3 del informe)</w:t>
            </w:r>
          </w:p>
        </w:tc>
        <w:tc>
          <w:tcPr/>
          <w:p>
            <w:pPr>
              <w:pStyle w:val="Tabla8"/>
              <w:jc w:val="left"/>
            </w:pPr>
            <w:r>
              <w:t xml:space="preserve">Sí como interacción</w:t>
            </w:r>
          </w:p>
        </w:tc>
        <w:tc>
          <w:tcPr/>
          <w:p>
            <w:pPr>
              <w:pStyle w:val="Tabla8"/>
              <w:jc w:val="left"/>
            </w:pPr>
            <w:r>
              <w:t xml:space="preserve">F-INF §11.4 y §11.6</w:t>
            </w:r>
          </w:p>
        </w:tc>
        <w:tc>
          <w:tcPr/>
          <w:p>
            <w:pPr>
              <w:pStyle w:val="Tabla8"/>
              <w:jc w:val="left"/>
            </w:pPr>
            <w:r>
              <w:t xml:space="preserve">HIE</w:t>
            </w:r>
          </w:p>
        </w:tc>
      </w:tr>
      <w:tr>
        <w:trPr>
          <w:cantSplit/>
        </w:trPr>
        <w:tc>
          <w:tcPr/>
          <w:p>
            <w:pPr>
              <w:pStyle w:val="Tabla8"/>
              <w:jc w:val="left"/>
            </w:pPr>
            <w:r>
              <w:t xml:space="preserve">L4 precipitación</w:t>
            </w:r>
          </w:p>
        </w:tc>
        <w:tc>
          <w:tcPr/>
          <w:p>
            <w:pPr>
              <w:pStyle w:val="Tabla8"/>
              <w:jc w:val="left"/>
            </w:pPr>
            <w:r>
              <w:t xml:space="preserve">Simultánea</w:t>
            </w:r>
          </w:p>
        </w:tc>
        <w:tc>
          <w:tcPr/>
          <w:p>
            <w:pPr>
              <w:pStyle w:val="Tabla8"/>
              <w:jc w:val="left"/>
            </w:pPr>
            <w:r>
              <w:t xml:space="preserve">LATENTE; no modelada</w:t>
            </w:r>
          </w:p>
        </w:tc>
        <w:tc>
          <w:tcPr/>
          <w:p>
            <w:pPr>
              <w:pStyle w:val="Tabla8"/>
              <w:jc w:val="left"/>
            </w:pPr>
            <w:r>
              <w:t xml:space="preserve">L4→V03, L4→V02, L4→V05</w:t>
            </w:r>
          </w:p>
        </w:tc>
        <w:tc>
          <w:tcPr/>
          <w:p>
            <w:pPr>
              <w:pStyle w:val="Tabla8"/>
              <w:jc w:val="left"/>
            </w:pPr>
            <w:r>
              <w:t xml:space="preserve">Declarar como amenaza</w:t>
            </w:r>
          </w:p>
        </w:tc>
        <w:tc>
          <w:tcPr/>
          <w:p>
            <w:pPr>
              <w:pStyle w:val="Tabla8"/>
              <w:jc w:val="left"/>
            </w:pPr>
            <w:r>
              <w:t xml:space="preserve">VACIO V-LLUVIA-01</w:t>
            </w:r>
          </w:p>
        </w:tc>
        <w:tc>
          <w:tcPr/>
          <w:p>
            <w:pPr>
              <w:pStyle w:val="Tabla8"/>
              <w:jc w:val="left"/>
            </w:pPr>
            <w:r>
              <w:t xml:space="preserve">HIE</w:t>
            </w:r>
          </w:p>
        </w:tc>
      </w:tr>
      <w:tr>
        <w:trPr>
          <w:cantSplit/>
        </w:trPr>
        <w:tc>
          <w:tcPr/>
          <w:p>
            <w:pPr>
              <w:pStyle w:val="Tabla8"/>
              <w:jc w:val="left"/>
            </w:pPr>
            <w:r>
              <w:t xml:space="preserve">U sorteo semanal</w:t>
            </w:r>
          </w:p>
        </w:tc>
        <w:tc>
          <w:tcPr/>
          <w:p>
            <w:pPr>
              <w:pStyle w:val="Tabla8"/>
              <w:jc w:val="left"/>
            </w:pPr>
            <w:r>
              <w:t xml:space="preserve">Previa</w:t>
            </w:r>
          </w:p>
        </w:tc>
        <w:tc>
          <w:tcPr/>
          <w:p>
            <w:pPr>
              <w:pStyle w:val="Tabla8"/>
              <w:jc w:val="left"/>
            </w:pPr>
            <w:r>
              <w:t xml:space="preserve">INSTRUMENTO y regla de asignación</w:t>
            </w:r>
          </w:p>
        </w:tc>
        <w:tc>
          <w:tcPr/>
          <w:p>
            <w:pPr>
              <w:pStyle w:val="Tabla8"/>
              <w:jc w:val="left"/>
            </w:pPr>
            <w:r>
              <w:t xml:space="preserve">U→X</w:t>
            </w:r>
          </w:p>
        </w:tc>
        <w:tc>
          <w:tcPr/>
          <w:p>
            <w:pPr>
              <w:pStyle w:val="Tabla8"/>
              <w:jc w:val="left"/>
            </w:pPr>
            <w:r>
              <w:t xml:space="preserve">No aplica</w:t>
            </w:r>
          </w:p>
        </w:tc>
        <w:tc>
          <w:tcPr/>
          <w:p>
            <w:pPr>
              <w:pStyle w:val="Tabla8"/>
              <w:jc w:val="left"/>
            </w:pPr>
            <w:r>
              <w:t xml:space="preserve">F-INF §11.7</w:t>
            </w:r>
          </w:p>
        </w:tc>
        <w:tc>
          <w:tcPr/>
          <w:p>
            <w:pPr>
              <w:pStyle w:val="Tabla8"/>
              <w:jc w:val="left"/>
            </w:pPr>
            <w:r>
              <w:t xml:space="preserve">IDC prospectivo</w:t>
            </w:r>
          </w:p>
        </w:tc>
      </w:tr>
    </w:tbl>
    <w:p>
      <w:pPr>
        <w:pStyle w:val="TablaNota"/>
      </w:pPr>
      <w:r>
        <w:rPr>
          <w:i/>
          <w:iCs/>
        </w:rPr>
        <w:t xml:space="preserve">Nota.</w:t>
      </w:r>
      <w:r>
        <w:t xml:space="preserve"> </w:t>
      </w:r>
      <w:r>
        <w:t xml:space="preserve">Elaboración propia con el expediente de la sección F4.3.</w:t>
      </w:r>
    </w:p>
    <w:bookmarkEnd w:id="151"/>
    <w:bookmarkStart w:id="155" w:name="_Toc00900075"/>
    <w:p>
      <w:pPr>
        <w:pStyle w:val="Heading3"/>
      </w:pPr>
      <w:r>
        <w:t xml:space="preserve">F4.3.4 Identificación y DAGs rivales</w:t>
      </w:r>
    </w:p>
    <w:p>
      <w:pPr>
        <w:pStyle w:val="FirstParagraph"/>
      </w:pPr>
      <w:r>
        <w:t xml:space="preserve">El DAG principal se dibujó antes de cualquier estimación. La Figura F4.1 y su alternativa textual constan en DAG_E1.svg y DAG_E1.alt.md.</w:t>
      </w:r>
    </w:p>
    <w:p>
      <w:pPr>
        <w:pStyle w:val="FiguraRotulo"/>
      </w:pPr>
      <w:bookmarkStart w:id="9474" w:name="rot_Figura_F4_1"/>
      <w:r>
        <w:rPr>
          <w:b/>
          <w:bCs/>
        </w:rPr>
        <w:t xml:space="preserve">Figura F4.1</w:t>
      </w:r>
      <w:bookmarkEnd w:id="9474"/>
    </w:p>
    <w:p>
      <w:pPr>
        <w:pStyle w:val="FiguraTitulo"/>
      </w:pPr>
      <w:r>
        <w:rPr>
          <w:i/>
          <w:iCs/>
        </w:rPr>
        <w:t xml:space="preserve">DAG principal del estimando E1</w:t>
      </w:r>
    </w:p>
    <w:p>
      <w:pPr>
        <w:pStyle w:val="BodyText"/>
      </w:pPr>
      <w:r>
        <w:drawing>
          <wp:inline>
            <wp:extent cx="5579999" cy="3918930"/>
            <wp:effectExtent b="0" l="0" r="0" t="0"/>
            <wp:docPr descr="" title="" id="153" name="Picture"/>
            <a:graphic>
              <a:graphicData uri="http://schemas.openxmlformats.org/drawingml/2006/picture">
                <pic:pic>
                  <pic:nvPicPr>
                    <pic:cNvPr descr="/tmp/claude-0/-home-user-docs/ddf38714-2a7e-502b-92b4-1008e2832422/scratchpad/proy/figs/out/cF4_dag.png" id="154" name="Picture"/>
                    <pic:cNvPicPr>
                      <a:picLocks noChangeArrowheads="1" noChangeAspect="1"/>
                    </pic:cNvPicPr>
                  </pic:nvPicPr>
                  <pic:blipFill>
                    <a:blip r:embed="rId152"/>
                    <a:stretch>
                      <a:fillRect/>
                    </a:stretch>
                  </pic:blipFill>
                  <pic:spPr bwMode="auto">
                    <a:xfrm>
                      <a:off x="0" y="0"/>
                      <a:ext cx="5579999" cy="39189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estructura de la sección F4.3. X: método de corrección (V07). Y: error de medición (V06). U: sorteo semanal. Los nodos latentes se dibujan con trazo discontinuo. Estatuto de todas las relaciones: HIE.</w:t>
      </w:r>
    </w:p>
    <w:p>
      <w:pPr>
        <w:pStyle w:val="BodyText"/>
      </w:pPr>
      <w:r>
        <w:rPr>
          <w:b/>
          <w:bCs/>
        </w:rPr>
        <w:t xml:space="preserve">Conjunto de ajuste mínimo bajo el DAG principal.</w:t>
      </w:r>
      <w:r>
        <w:t xml:space="preserve"> </w:t>
      </w:r>
      <w:r>
        <w:t xml:space="preserve">Con sorteo semanal por nodo, el conjunto de ajuste mínimo es vacío: X es independiente de las causas de Y por diseño. Para precisión se propone {V03 con interacción, V01 o V02, V04} más efectos fijos de nodo y de semana. No se incluyen V08, V09, V11, V12, V13, V14 ni V15.</w:t>
      </w:r>
    </w:p>
    <w:p>
      <w:pPr>
        <w:pStyle w:val="BodyText"/>
      </w:pPr>
      <w:r>
        <w:rPr>
          <w:b/>
          <w:bCs/>
        </w:rPr>
        <w:t xml:space="preserve">DAGs rivales y conjuntos de ajuste.</w:t>
      </w:r>
    </w:p>
    <w:p>
      <w:pPr>
        <w:pStyle w:val="BodyText"/>
      </w:pPr>
      <w:r>
        <w:t xml:space="preserve">La Tabla F4.8 reúne los datos de «DAGs rivales y conjuntos de ajuste».</w:t>
      </w:r>
    </w:p>
    <w:p>
      <w:pPr>
        <w:pStyle w:val="TablaRotulo"/>
      </w:pPr>
      <w:bookmarkStart w:id="9085" w:name="rot_Tabla_F4_8"/>
      <w:r>
        <w:rPr>
          <w:b/>
          <w:bCs/>
        </w:rPr>
        <w:t xml:space="preserve">Tabla F4.8</w:t>
      </w:r>
      <w:bookmarkEnd w:id="9085"/>
    </w:p>
    <w:p>
      <w:pPr>
        <w:pStyle w:val="TablaTitulo"/>
      </w:pPr>
      <w:r>
        <w:rPr>
          <w:i/>
          <w:iCs/>
        </w:rPr>
        <w:t xml:space="preserve">DAGs rivales y conjuntos de ajuste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60"/>
        <w:gridCol w:w="1584"/>
        <w:gridCol w:w="1980"/>
        <w:gridCol w:w="1650"/>
        <w:gridCol w:w="2046"/>
      </w:tblGrid>
      <w:tr>
        <w:trPr>
          <w:cantSplit/>
          <w:tblHeader/>
        </w:trPr>
        <w:tc>
          <w:tcPr>
            <w:shd w:val="clear" w:color="auto" w:fill="00B050"/>
          </w:tcPr>
          <w:p>
            <w:pPr>
              <w:pStyle w:val="Tabla9"/>
              <w:jc w:val="center"/>
            </w:pPr>
            <w:r>
              <w:rPr>
                <w:b/>
                <w:color w:val="FFFFFF"/>
              </w:rPr>
              <w:t xml:space="preserve">DAG rival</w:t>
            </w:r>
          </w:p>
        </w:tc>
        <w:tc>
          <w:tcPr>
            <w:shd w:val="clear" w:color="auto" w:fill="00B050"/>
          </w:tcPr>
          <w:p>
            <w:pPr>
              <w:pStyle w:val="Tabla9"/>
              <w:jc w:val="center"/>
            </w:pPr>
            <w:r>
              <w:rPr>
                <w:b/>
                <w:color w:val="FFFFFF"/>
              </w:rPr>
              <w:t xml:space="preserve">Hipótesis</w:t>
            </w:r>
          </w:p>
        </w:tc>
        <w:tc>
          <w:tcPr>
            <w:shd w:val="clear" w:color="auto" w:fill="00B050"/>
          </w:tcPr>
          <w:p>
            <w:pPr>
              <w:pStyle w:val="Tabla9"/>
              <w:jc w:val="center"/>
            </w:pPr>
            <w:r>
              <w:rPr>
                <w:b/>
                <w:color w:val="FFFFFF"/>
              </w:rPr>
              <w:t xml:space="preserve">Amenaza</w:t>
            </w:r>
          </w:p>
        </w:tc>
        <w:tc>
          <w:tcPr>
            <w:shd w:val="clear" w:color="auto" w:fill="00B050"/>
          </w:tcPr>
          <w:p>
            <w:pPr>
              <w:pStyle w:val="Tabla9"/>
              <w:jc w:val="center"/>
            </w:pPr>
            <w:r>
              <w:rPr>
                <w:b/>
                <w:color w:val="FFFFFF"/>
              </w:rPr>
              <w:t xml:space="preserve">Conjunto de ajuste</w:t>
            </w:r>
          </w:p>
        </w:tc>
        <w:tc>
          <w:tcPr>
            <w:shd w:val="clear" w:color="auto" w:fill="00B050"/>
          </w:tcPr>
          <w:p>
            <w:pPr>
              <w:pStyle w:val="Tabla9"/>
              <w:jc w:val="center"/>
            </w:pPr>
            <w:r>
              <w:rPr>
                <w:b/>
                <w:color w:val="FFFFFF"/>
              </w:rPr>
              <w:t xml:space="preserve">Resultado de identificación</w:t>
            </w:r>
          </w:p>
        </w:tc>
      </w:tr>
      <w:tr>
        <w:trPr>
          <w:cantSplit/>
        </w:trPr>
        <w:tc>
          <w:tcPr/>
          <w:p>
            <w:pPr>
              <w:pStyle w:val="Tabla9"/>
              <w:jc w:val="left"/>
            </w:pPr>
            <w:r>
              <w:t xml:space="preserve">R1</w:t>
            </w:r>
          </w:p>
        </w:tc>
        <w:tc>
          <w:tcPr/>
          <w:p>
            <w:pPr>
              <w:pStyle w:val="Tabla9"/>
              <w:jc w:val="left"/>
            </w:pPr>
            <w:r>
              <w:t xml:space="preserve">La distancia a la referencia explica más del error que el método y se asigna por conveniencia a sitios cercanos.</w:t>
            </w:r>
          </w:p>
        </w:tc>
        <w:tc>
          <w:tcPr/>
          <w:p>
            <w:pPr>
              <w:pStyle w:val="Tabla9"/>
              <w:jc w:val="left"/>
            </w:pPr>
            <w:r>
              <w:t xml:space="preserve">Confusión por selección de sitios (L1).</w:t>
            </w:r>
          </w:p>
        </w:tc>
        <w:tc>
          <w:tcPr/>
          <w:p>
            <w:pPr>
              <w:pStyle w:val="Tabla9"/>
              <w:jc w:val="left"/>
            </w:pPr>
            <w:r>
              <w:t xml:space="preserve">Con sorteo: ninguno. Sin sorteo: L1 medida.</w:t>
            </w:r>
          </w:p>
        </w:tc>
        <w:tc>
          <w:tcPr/>
          <w:p>
            <w:pPr>
              <w:pStyle w:val="Tabla9"/>
              <w:jc w:val="left"/>
            </w:pPr>
            <w:r>
              <w:t xml:space="preserve">Identificado con sorteo. Sin sorteo, NO IDENTIFICADO CON LOS INSUMOS DISPONIBLES.</w:t>
            </w:r>
          </w:p>
        </w:tc>
      </w:tr>
      <w:tr>
        <w:trPr>
          <w:cantSplit/>
        </w:trPr>
        <w:tc>
          <w:tcPr/>
          <w:p>
            <w:pPr>
              <w:pStyle w:val="Tabla9"/>
              <w:jc w:val="left"/>
            </w:pPr>
            <w:r>
              <w:t xml:space="preserve">R2</w:t>
            </w:r>
          </w:p>
        </w:tc>
        <w:tc>
          <w:tcPr/>
          <w:p>
            <w:pPr>
              <w:pStyle w:val="Tabla9"/>
              <w:jc w:val="left"/>
            </w:pPr>
            <w:r>
              <w:t xml:space="preserve">La edad del sensor determina la deriva y los nodos viejos reciben más recalibración.</w:t>
            </w:r>
          </w:p>
        </w:tc>
        <w:tc>
          <w:tcPr/>
          <w:p>
            <w:pPr>
              <w:pStyle w:val="Tabla9"/>
              <w:jc w:val="left"/>
            </w:pPr>
            <w:r>
              <w:t xml:space="preserve">Confusión por L2.</w:t>
            </w:r>
          </w:p>
        </w:tc>
        <w:tc>
          <w:tcPr/>
          <w:p>
            <w:pPr>
              <w:pStyle w:val="Tabla9"/>
              <w:jc w:val="left"/>
            </w:pPr>
            <w:r>
              <w:t xml:space="preserve">Con sorteo: ninguno. Sin sorteo: L2 medida.</w:t>
            </w:r>
          </w:p>
        </w:tc>
        <w:tc>
          <w:tcPr/>
          <w:p>
            <w:pPr>
              <w:pStyle w:val="Tabla9"/>
              <w:jc w:val="left"/>
            </w:pPr>
            <w:r>
              <w:t xml:space="preserve">Igual que R1.</w:t>
            </w:r>
          </w:p>
        </w:tc>
      </w:tr>
      <w:tr>
        <w:trPr>
          <w:cantSplit/>
        </w:trPr>
        <w:tc>
          <w:tcPr/>
          <w:p>
            <w:pPr>
              <w:pStyle w:val="Tabla9"/>
              <w:jc w:val="left"/>
            </w:pPr>
            <w:r>
              <w:t xml:space="preserve">R3</w:t>
            </w:r>
          </w:p>
        </w:tc>
        <w:tc>
          <w:tcPr/>
          <w:p>
            <w:pPr>
              <w:pStyle w:val="Tabla9"/>
              <w:jc w:val="left"/>
            </w:pPr>
            <w:r>
              <w:t xml:space="preserve">La pérdida de nodos por maquinaria (V05→V09) y el efecto de X sobre la energía (X→V09) abren un camino por V09.</w:t>
            </w:r>
          </w:p>
        </w:tc>
        <w:tc>
          <w:tcPr/>
          <w:p>
            <w:pPr>
              <w:pStyle w:val="Tabla9"/>
              <w:jc w:val="left"/>
            </w:pPr>
            <w:r>
              <w:t xml:space="preserve">Colisionador: condicionar a nodos activos sesga el efecto.</w:t>
            </w:r>
          </w:p>
        </w:tc>
        <w:tc>
          <w:tcPr/>
          <w:p>
            <w:pPr>
              <w:pStyle w:val="Tabla9"/>
              <w:jc w:val="left"/>
            </w:pPr>
            <w:r>
              <w:t xml:space="preserve">No condicionar sobre V09; intención de tratar y ponderación inversa por disponibilidad.</w:t>
            </w:r>
          </w:p>
        </w:tc>
        <w:tc>
          <w:tcPr/>
          <w:p>
            <w:pPr>
              <w:pStyle w:val="Tabla9"/>
              <w:jc w:val="left"/>
            </w:pPr>
            <w:r>
              <w:t xml:space="preserve">Identificado bajo intención de tratar. Efecto sobre nodos activos NO IDENTIFICADO.</w:t>
            </w:r>
          </w:p>
        </w:tc>
      </w:tr>
      <w:tr>
        <w:trPr>
          <w:cantSplit/>
        </w:trPr>
        <w:tc>
          <w:tcPr/>
          <w:p>
            <w:pPr>
              <w:pStyle w:val="Tabla9"/>
              <w:jc w:val="left"/>
            </w:pPr>
            <w:r>
              <w:t xml:space="preserve">R4</w:t>
            </w:r>
          </w:p>
        </w:tc>
        <w:tc>
          <w:tcPr/>
          <w:p>
            <w:pPr>
              <w:pStyle w:val="Tabla9"/>
              <w:jc w:val="left"/>
            </w:pPr>
            <w:r>
              <w:t xml:space="preserve">La adopción institucional (V15) modifica el uso de X en el tiempo.</w:t>
            </w:r>
          </w:p>
        </w:tc>
        <w:tc>
          <w:tcPr/>
          <w:p>
            <w:pPr>
              <w:pStyle w:val="Tabla9"/>
              <w:jc w:val="left"/>
            </w:pPr>
            <w:r>
              <w:t xml:space="preserve">Retroalimentación: rompe la aciclicidad y la exogeneidad de X.</w:t>
            </w:r>
          </w:p>
        </w:tc>
        <w:tc>
          <w:tcPr/>
          <w:p>
            <w:pPr>
              <w:pStyle w:val="Tabla9"/>
              <w:jc w:val="left"/>
            </w:pPr>
            <w:r>
              <w:t xml:space="preserve">Sorteo como regla de asignación o instrumento con F de primera etapa mayor que 10.</w:t>
            </w:r>
          </w:p>
        </w:tc>
        <w:tc>
          <w:tcPr/>
          <w:p>
            <w:pPr>
              <w:pStyle w:val="Tabla9"/>
              <w:jc w:val="left"/>
            </w:pPr>
            <w:r>
              <w:t xml:space="preserve">Identificado solo con sorteo cumplido o instrumento válido.</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Declaración de identificación.</w:t>
      </w:r>
      <w:r>
        <w:t xml:space="preserve"> </w:t>
      </w:r>
      <w:r>
        <w:t xml:space="preserve">Con los insumos actuales no existe ningún dato del piloto, ni sorteo ejecutado, ni referencia para todos los nodos. El efecto de E1 queda NO IDENTIFICADO CON LOS INSUMOS DISPONIBLES para cualquier estimación observacional. Es identificable por diseño si se ejecutan el sorteo y los supuestos de F4.3.6. El estimando E2 no es identificable en este diseño.</w:t>
      </w:r>
    </w:p>
    <w:bookmarkEnd w:id="155"/>
    <w:bookmarkStart w:id="156" w:name="_Toc00900076"/>
    <w:p>
      <w:pPr>
        <w:pStyle w:val="Heading3"/>
      </w:pPr>
      <w:r>
        <w:t xml:space="preserve">F4.3.5 Estatutos de afirmación causal</w:t>
      </w:r>
    </w:p>
    <w:p>
      <w:pPr>
        <w:pStyle w:val="FirstParagraph"/>
      </w:pPr>
      <w:r>
        <w:t xml:space="preserve">La Tabla F4.9 reúne los datos de «Estatutos de afirmación causal».</w:t>
      </w:r>
    </w:p>
    <w:p>
      <w:pPr>
        <w:pStyle w:val="TablaRotulo"/>
      </w:pPr>
      <w:bookmarkStart w:id="9086" w:name="rot_Tabla_F4_9"/>
      <w:r>
        <w:rPr>
          <w:b/>
          <w:bCs/>
        </w:rPr>
        <w:t xml:space="preserve">Tabla F4.9</w:t>
      </w:r>
      <w:bookmarkEnd w:id="9086"/>
    </w:p>
    <w:p>
      <w:pPr>
        <w:pStyle w:val="TablaTitulo"/>
      </w:pPr>
      <w:r>
        <w:rPr>
          <w:i/>
          <w:iCs/>
        </w:rPr>
        <w:t xml:space="preserve">Estatutos de afirmación causal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88"/>
        <w:gridCol w:w="3234"/>
        <w:gridCol w:w="3498"/>
      </w:tblGrid>
      <w:tr>
        <w:trPr>
          <w:cantSplit/>
          <w:tblHeader/>
        </w:trPr>
        <w:tc>
          <w:tcPr>
            <w:shd w:val="clear" w:color="auto" w:fill="00B050"/>
          </w:tcPr>
          <w:p>
            <w:pPr>
              <w:pStyle w:val="Tabla9"/>
              <w:jc w:val="center"/>
            </w:pPr>
            <w:r>
              <w:rPr>
                <w:b/>
                <w:color w:val="FFFFFF"/>
              </w:rPr>
              <w:t xml:space="preserve">Código</w:t>
            </w:r>
          </w:p>
        </w:tc>
        <w:tc>
          <w:tcPr>
            <w:shd w:val="clear" w:color="auto" w:fill="00B050"/>
          </w:tcPr>
          <w:p>
            <w:pPr>
              <w:pStyle w:val="Tabla9"/>
              <w:jc w:val="center"/>
            </w:pPr>
            <w:r>
              <w:rPr>
                <w:b/>
                <w:color w:val="FFFFFF"/>
              </w:rPr>
              <w:t xml:space="preserve">Estatuto</w:t>
            </w:r>
          </w:p>
        </w:tc>
        <w:tc>
          <w:tcPr>
            <w:shd w:val="clear" w:color="auto" w:fill="00B050"/>
          </w:tcPr>
          <w:p>
            <w:pPr>
              <w:pStyle w:val="Tabla9"/>
              <w:jc w:val="center"/>
            </w:pPr>
            <w:r>
              <w:rPr>
                <w:b/>
                <w:color w:val="FFFFFF"/>
              </w:rPr>
              <w:t xml:space="preserve">Lenguaje permitido</w:t>
            </w:r>
          </w:p>
        </w:tc>
      </w:tr>
      <w:tr>
        <w:trPr>
          <w:cantSplit/>
        </w:trPr>
        <w:tc>
          <w:tcPr/>
          <w:p>
            <w:pPr>
              <w:pStyle w:val="Tabla9"/>
              <w:jc w:val="left"/>
            </w:pPr>
            <w:r>
              <w:t xml:space="preserve">HIE</w:t>
            </w:r>
          </w:p>
        </w:tc>
        <w:tc>
          <w:tcPr/>
          <w:p>
            <w:pPr>
              <w:pStyle w:val="Tabla9"/>
              <w:jc w:val="left"/>
            </w:pPr>
            <w:r>
              <w:t xml:space="preserve">Hipótesis de influencia estructural</w:t>
            </w:r>
          </w:p>
        </w:tc>
        <w:tc>
          <w:tcPr/>
          <w:p>
            <w:pPr>
              <w:pStyle w:val="Tabla9"/>
              <w:jc w:val="left"/>
            </w:pPr>
            <w:r>
              <w:t xml:space="preserve">«podría influir», «se prioriza como hipótesis»</w:t>
            </w:r>
          </w:p>
        </w:tc>
      </w:tr>
      <w:tr>
        <w:trPr>
          <w:cantSplit/>
        </w:trPr>
        <w:tc>
          <w:tcPr/>
          <w:p>
            <w:pPr>
              <w:pStyle w:val="Tabla9"/>
              <w:jc w:val="left"/>
            </w:pPr>
            <w:r>
              <w:t xml:space="preserve">IDC</w:t>
            </w:r>
          </w:p>
        </w:tc>
        <w:tc>
          <w:tcPr/>
          <w:p>
            <w:pPr>
              <w:pStyle w:val="Tabla9"/>
              <w:jc w:val="left"/>
            </w:pPr>
            <w:r>
              <w:t xml:space="preserve">Estimando causal identificado bajo supuestos</w:t>
            </w:r>
          </w:p>
        </w:tc>
        <w:tc>
          <w:tcPr/>
          <w:p>
            <w:pPr>
              <w:pStyle w:val="Tabla9"/>
              <w:jc w:val="left"/>
            </w:pPr>
            <w:r>
              <w:t xml:space="preserve">«efecto identificable si se cumplen…»</w:t>
            </w:r>
          </w:p>
        </w:tc>
      </w:tr>
      <w:tr>
        <w:trPr>
          <w:cantSplit/>
        </w:trPr>
        <w:tc>
          <w:tcPr/>
          <w:p>
            <w:pPr>
              <w:pStyle w:val="Tabla9"/>
              <w:jc w:val="left"/>
            </w:pPr>
            <w:r>
              <w:t xml:space="preserve">EST</w:t>
            </w:r>
          </w:p>
        </w:tc>
        <w:tc>
          <w:tcPr/>
          <w:p>
            <w:pPr>
              <w:pStyle w:val="Tabla9"/>
              <w:jc w:val="left"/>
            </w:pPr>
            <w:r>
              <w:t xml:space="preserve">Efecto estimado con datos y diseño</w:t>
            </w:r>
          </w:p>
        </w:tc>
        <w:tc>
          <w:tcPr/>
          <w:p>
            <w:pPr>
              <w:pStyle w:val="Tabla9"/>
              <w:jc w:val="left"/>
            </w:pPr>
            <w:r>
              <w:t xml:space="preserve">«se estimó…», con intervalo y sensibilidad</w:t>
            </w:r>
          </w:p>
        </w:tc>
      </w:tr>
    </w:tbl>
    <w:p>
      <w:pPr>
        <w:pStyle w:val="TablaNota"/>
      </w:pPr>
      <w:r>
        <w:rPr>
          <w:i/>
          <w:iCs/>
        </w:rPr>
        <w:t xml:space="preserve">Nota.</w:t>
      </w:r>
      <w:r>
        <w:t xml:space="preserve"> </w:t>
      </w:r>
      <w:r>
        <w:t xml:space="preserve">Elaboración propia con el expediente de la sección F4.3.</w:t>
      </w:r>
    </w:p>
    <w:p>
      <w:pPr>
        <w:pStyle w:val="BodyText"/>
      </w:pPr>
      <w:r>
        <w:t xml:space="preserve">Está prohibido pasar de HIE a IDC o a EST porque una variable resulte activa o crítica en Vester o ascienda en MICMAC. Las 210 puntuaciones de 4.4 y las clases de F4.4.8 son HIE. El estimando E1 es IDC prospectivo, condicionado al sorteo. Ninguna afirmación del proyecto es EST.</w:t>
      </w:r>
    </w:p>
    <w:p>
      <w:pPr>
        <w:pStyle w:val="BodyText"/>
      </w:pPr>
      <w:r>
        <w:rPr>
          <w:b/>
          <w:bCs/>
        </w:rPr>
        <w:t xml:space="preserve">Auditoría de los estatutos del documento previo.</w:t>
      </w:r>
      <w:r>
        <w:t xml:space="preserve"> </w:t>
      </w:r>
      <w:r>
        <w:t xml:space="preserve">El documento declara estatutos causales en sus registros RDG sin estimando ni datos.</w:t>
      </w:r>
    </w:p>
    <w:p>
      <w:pPr>
        <w:pStyle w:val="BodyText"/>
      </w:pPr>
      <w:r>
        <w:t xml:space="preserve">La Tabla F4.10 reúne los datos de «Auditoría de los estatutos del documento previo».</w:t>
      </w:r>
    </w:p>
    <w:p>
      <w:pPr>
        <w:pStyle w:val="TablaRotulo"/>
      </w:pPr>
      <w:bookmarkStart w:id="9087" w:name="rot_Tabla_F4_10"/>
      <w:r>
        <w:rPr>
          <w:b/>
          <w:bCs/>
        </w:rPr>
        <w:t xml:space="preserve">Tabla F4.10</w:t>
      </w:r>
      <w:bookmarkEnd w:id="9087"/>
    </w:p>
    <w:p>
      <w:pPr>
        <w:pStyle w:val="TablaTitulo"/>
      </w:pPr>
      <w:r>
        <w:rPr>
          <w:i/>
          <w:iCs/>
        </w:rPr>
        <w:t xml:space="preserve">Auditoría de los estatutos del documento previo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78"/>
        <w:gridCol w:w="1320"/>
        <w:gridCol w:w="1848"/>
        <w:gridCol w:w="2574"/>
      </w:tblGrid>
      <w:tr>
        <w:trPr>
          <w:cantSplit/>
          <w:tblHeader/>
        </w:trPr>
        <w:tc>
          <w:tcPr>
            <w:shd w:val="clear" w:color="auto" w:fill="00B050"/>
          </w:tcPr>
          <w:p>
            <w:pPr>
              <w:pStyle w:val="Tabla9"/>
              <w:jc w:val="center"/>
            </w:pPr>
            <w:r>
              <w:rPr>
                <w:b/>
                <w:color w:val="FFFFFF"/>
              </w:rPr>
              <w:t xml:space="preserve">Nodo</w:t>
            </w:r>
          </w:p>
        </w:tc>
        <w:tc>
          <w:tcPr>
            <w:shd w:val="clear" w:color="auto" w:fill="00B050"/>
          </w:tcPr>
          <w:p>
            <w:pPr>
              <w:pStyle w:val="Tabla9"/>
              <w:jc w:val="center"/>
            </w:pPr>
            <w:r>
              <w:rPr>
                <w:b/>
                <w:color w:val="FFFFFF"/>
              </w:rPr>
              <w:t xml:space="preserve">Estatuto declarado</w:t>
            </w:r>
          </w:p>
        </w:tc>
        <w:tc>
          <w:tcPr>
            <w:shd w:val="clear" w:color="auto" w:fill="00B050"/>
          </w:tcPr>
          <w:p>
            <w:pPr>
              <w:pStyle w:val="Tabla9"/>
              <w:jc w:val="center"/>
            </w:pPr>
            <w:r>
              <w:rPr>
                <w:b/>
                <w:color w:val="FFFFFF"/>
              </w:rPr>
              <w:t xml:space="preserve">Estatuto sostenible hoy</w:t>
            </w:r>
          </w:p>
        </w:tc>
        <w:tc>
          <w:tcPr>
            <w:shd w:val="clear" w:color="auto" w:fill="00B050"/>
          </w:tcPr>
          <w:p>
            <w:pPr>
              <w:pStyle w:val="Tabla9"/>
              <w:jc w:val="center"/>
            </w:pPr>
            <w:r>
              <w:rPr>
                <w:b/>
                <w:color w:val="FFFFFF"/>
              </w:rPr>
              <w:t xml:space="preserve">Motivo</w:t>
            </w:r>
          </w:p>
        </w:tc>
      </w:tr>
      <w:tr>
        <w:trPr>
          <w:cantSplit/>
        </w:trPr>
        <w:tc>
          <w:tcPr/>
          <w:p>
            <w:pPr>
              <w:pStyle w:val="Tabla9"/>
              <w:jc w:val="left"/>
            </w:pPr>
            <w:r>
              <w:t xml:space="preserve">ND-05 Brechas instanciadas</w:t>
            </w:r>
          </w:p>
        </w:tc>
        <w:tc>
          <w:tcPr/>
          <w:p>
            <w:pPr>
              <w:pStyle w:val="Tabla9"/>
              <w:jc w:val="left"/>
            </w:pPr>
            <w:r>
              <w:t xml:space="preserve">IDC</w:t>
            </w:r>
          </w:p>
        </w:tc>
        <w:tc>
          <w:tcPr/>
          <w:p>
            <w:pPr>
              <w:pStyle w:val="Tabla9"/>
              <w:jc w:val="left"/>
            </w:pPr>
            <w:r>
              <w:t xml:space="preserve">NO_APLICA (descriptivo)</w:t>
            </w:r>
          </w:p>
        </w:tc>
        <w:tc>
          <w:tcPr/>
          <w:p>
            <w:pPr>
              <w:pStyle w:val="Tabla9"/>
              <w:jc w:val="left"/>
            </w:pPr>
            <w:r>
              <w:t xml:space="preserve">Es un hallazgo bibliométrico; no declara estimando.</w:t>
            </w:r>
          </w:p>
        </w:tc>
      </w:tr>
      <w:tr>
        <w:trPr>
          <w:cantSplit/>
        </w:trPr>
        <w:tc>
          <w:tcPr/>
          <w:p>
            <w:pPr>
              <w:pStyle w:val="Tabla9"/>
              <w:jc w:val="left"/>
            </w:pPr>
            <w:r>
              <w:t xml:space="preserve">ND-06 Ortodoxias</w:t>
            </w:r>
          </w:p>
        </w:tc>
        <w:tc>
          <w:tcPr/>
          <w:p>
            <w:pPr>
              <w:pStyle w:val="Tabla9"/>
              <w:jc w:val="left"/>
            </w:pPr>
            <w:r>
              <w:t xml:space="preserve">HIE</w:t>
            </w:r>
          </w:p>
        </w:tc>
        <w:tc>
          <w:tcPr/>
          <w:p>
            <w:pPr>
              <w:pStyle w:val="Tabla9"/>
              <w:jc w:val="left"/>
            </w:pPr>
            <w:r>
              <w:t xml:space="preserve">HIE</w:t>
            </w:r>
          </w:p>
        </w:tc>
        <w:tc>
          <w:tcPr/>
          <w:p>
            <w:pPr>
              <w:pStyle w:val="Tabla9"/>
              <w:jc w:val="left"/>
            </w:pPr>
            <w:r>
              <w:t xml:space="preserve">Coincide.</w:t>
            </w:r>
          </w:p>
        </w:tc>
      </w:tr>
      <w:tr>
        <w:trPr>
          <w:cantSplit/>
        </w:trPr>
        <w:tc>
          <w:tcPr/>
          <w:p>
            <w:pPr>
              <w:pStyle w:val="Tabla9"/>
              <w:jc w:val="left"/>
            </w:pPr>
            <w:r>
              <w:t xml:space="preserve">ND-10 Causa raíz adoptada</w:t>
            </w:r>
          </w:p>
        </w:tc>
        <w:tc>
          <w:tcPr/>
          <w:p>
            <w:pPr>
              <w:pStyle w:val="Tabla9"/>
              <w:jc w:val="left"/>
            </w:pPr>
            <w:r>
              <w:t xml:space="preserve">IDC</w:t>
            </w:r>
          </w:p>
        </w:tc>
        <w:tc>
          <w:tcPr/>
          <w:p>
            <w:pPr>
              <w:pStyle w:val="Tabla9"/>
              <w:jc w:val="left"/>
            </w:pPr>
            <w:r>
              <w:t xml:space="preserve">HIE</w:t>
            </w:r>
          </w:p>
        </w:tc>
        <w:tc>
          <w:tcPr/>
          <w:p>
            <w:pPr>
              <w:pStyle w:val="Tabla9"/>
              <w:jc w:val="left"/>
            </w:pPr>
            <w:r>
              <w:t xml:space="preserve">No existe estimando ni identificación; la causa raíz es una hipótesis estructural.</w:t>
            </w:r>
          </w:p>
        </w:tc>
      </w:tr>
      <w:tr>
        <w:trPr>
          <w:cantSplit/>
        </w:trPr>
        <w:tc>
          <w:tcPr/>
          <w:p>
            <w:pPr>
              <w:pStyle w:val="Tabla9"/>
              <w:jc w:val="left"/>
            </w:pPr>
            <w:r>
              <w:t xml:space="preserve">ND-11 Enunciado tripartito</w:t>
            </w:r>
          </w:p>
        </w:tc>
        <w:tc>
          <w:tcPr/>
          <w:p>
            <w:pPr>
              <w:pStyle w:val="Tabla9"/>
              <w:jc w:val="left"/>
            </w:pPr>
            <w:r>
              <w:t xml:space="preserve">IDC</w:t>
            </w:r>
          </w:p>
        </w:tc>
        <w:tc>
          <w:tcPr/>
          <w:p>
            <w:pPr>
              <w:pStyle w:val="Tabla9"/>
              <w:jc w:val="left"/>
            </w:pPr>
            <w:r>
              <w:t xml:space="preserve">HIE</w:t>
            </w:r>
          </w:p>
        </w:tc>
        <w:tc>
          <w:tcPr/>
          <w:p>
            <w:pPr>
              <w:pStyle w:val="Tabla9"/>
              <w:jc w:val="left"/>
            </w:pPr>
            <w:r>
              <w:t xml:space="preserve">La ecuación Y = f(X1, X2, X3 | M, C) no está identificada; X2 y X3 no actúan sobre V06 en el ledger E3.</w:t>
            </w:r>
          </w:p>
        </w:tc>
      </w:tr>
      <w:tr>
        <w:trPr>
          <w:cantSplit/>
        </w:trPr>
        <w:tc>
          <w:tcPr/>
          <w:p>
            <w:pPr>
              <w:pStyle w:val="Tabla9"/>
              <w:jc w:val="left"/>
            </w:pPr>
            <w:r>
              <w:t xml:space="preserve">ND-12 Autenticidad contrainductiva</w:t>
            </w:r>
          </w:p>
        </w:tc>
        <w:tc>
          <w:tcPr/>
          <w:p>
            <w:pPr>
              <w:pStyle w:val="Tabla9"/>
              <w:jc w:val="left"/>
            </w:pPr>
            <w:r>
              <w:t xml:space="preserve">HIE</w:t>
            </w:r>
          </w:p>
        </w:tc>
        <w:tc>
          <w:tcPr/>
          <w:p>
            <w:pPr>
              <w:pStyle w:val="Tabla9"/>
              <w:jc w:val="left"/>
            </w:pPr>
            <w:r>
              <w:t xml:space="preserve">HIE</w:t>
            </w:r>
          </w:p>
        </w:tc>
        <w:tc>
          <w:tcPr/>
          <w:p>
            <w:pPr>
              <w:pStyle w:val="Tabla9"/>
              <w:jc w:val="left"/>
            </w:pPr>
            <w:r>
              <w:t xml:space="preserve">Coincide.</w:t>
            </w:r>
          </w:p>
        </w:tc>
      </w:tr>
      <w:tr>
        <w:trPr>
          <w:cantSplit/>
        </w:trPr>
        <w:tc>
          <w:tcPr/>
          <w:p>
            <w:pPr>
              <w:pStyle w:val="Tabla9"/>
              <w:jc w:val="left"/>
            </w:pPr>
            <w:r>
              <w:t xml:space="preserve">ND-13 Pesos y puntajes MCDA</w:t>
            </w:r>
          </w:p>
        </w:tc>
        <w:tc>
          <w:tcPr/>
          <w:p>
            <w:pPr>
              <w:pStyle w:val="Tabla9"/>
              <w:jc w:val="left"/>
            </w:pPr>
            <w:r>
              <w:t xml:space="preserve">IDC</w:t>
            </w:r>
          </w:p>
        </w:tc>
        <w:tc>
          <w:tcPr/>
          <w:p>
            <w:pPr>
              <w:pStyle w:val="Tabla9"/>
              <w:jc w:val="left"/>
            </w:pPr>
            <w:r>
              <w:t xml:space="preserve">NO_APLICA</w:t>
            </w:r>
          </w:p>
        </w:tc>
        <w:tc>
          <w:tcPr/>
          <w:p>
            <w:pPr>
              <w:pStyle w:val="Tabla9"/>
              <w:jc w:val="left"/>
            </w:pPr>
            <w:r>
              <w:t xml:space="preserve">Es una evaluación multicriterio con pesos supuestos; no estima efectos.</w:t>
            </w:r>
          </w:p>
        </w:tc>
      </w:tr>
      <w:tr>
        <w:trPr>
          <w:cantSplit/>
        </w:trPr>
        <w:tc>
          <w:tcPr/>
          <w:p>
            <w:pPr>
              <w:pStyle w:val="Tabla9"/>
              <w:jc w:val="left"/>
            </w:pPr>
            <w:r>
              <w:t xml:space="preserve">ND-14 Metaheurística</w:t>
            </w:r>
          </w:p>
        </w:tc>
        <w:tc>
          <w:tcPr/>
          <w:p>
            <w:pPr>
              <w:pStyle w:val="Tabla9"/>
              <w:jc w:val="left"/>
            </w:pPr>
            <w:r>
              <w:t xml:space="preserve">EST</w:t>
            </w:r>
          </w:p>
        </w:tc>
        <w:tc>
          <w:tcPr/>
          <w:p>
            <w:pPr>
              <w:pStyle w:val="Tabla9"/>
              <w:jc w:val="left"/>
            </w:pPr>
            <w:r>
              <w:t xml:space="preserve">NO_APLICA</w:t>
            </w:r>
          </w:p>
        </w:tc>
        <w:tc>
          <w:tcPr/>
          <w:p>
            <w:pPr>
              <w:pStyle w:val="Tabla9"/>
              <w:jc w:val="left"/>
            </w:pPr>
            <w:r>
              <w:t xml:space="preserve">El código es una función de aptitud sin ejecución trazable; no estima un efecto con datos.</w:t>
            </w:r>
          </w:p>
        </w:tc>
      </w:tr>
      <w:tr>
        <w:trPr>
          <w:cantSplit/>
        </w:trPr>
        <w:tc>
          <w:tcPr/>
          <w:p>
            <w:pPr>
              <w:pStyle w:val="Tabla9"/>
              <w:jc w:val="left"/>
            </w:pPr>
            <w:r>
              <w:t xml:space="preserve">ND-15 Alternativa seleccionada</w:t>
            </w:r>
          </w:p>
        </w:tc>
        <w:tc>
          <w:tcPr/>
          <w:p>
            <w:pPr>
              <w:pStyle w:val="Tabla9"/>
              <w:jc w:val="left"/>
            </w:pPr>
            <w:r>
              <w:t xml:space="preserve">EST</w:t>
            </w:r>
          </w:p>
        </w:tc>
        <w:tc>
          <w:tcPr/>
          <w:p>
            <w:pPr>
              <w:pStyle w:val="Tabla9"/>
              <w:jc w:val="left"/>
            </w:pPr>
            <w:r>
              <w:t xml:space="preserve">HIE</w:t>
            </w:r>
          </w:p>
        </w:tc>
        <w:tc>
          <w:tcPr/>
          <w:p>
            <w:pPr>
              <w:pStyle w:val="Tabla9"/>
              <w:jc w:val="left"/>
            </w:pPr>
            <w:r>
              <w:t xml:space="preserve">La alternativa se selecciona por puntaje; no hay efecto estimado.</w:t>
            </w:r>
          </w:p>
        </w:tc>
      </w:tr>
      <w:tr>
        <w:trPr>
          <w:cantSplit/>
        </w:trPr>
        <w:tc>
          <w:tcPr/>
          <w:p>
            <w:pPr>
              <w:pStyle w:val="Tabla9"/>
              <w:jc w:val="left"/>
            </w:pPr>
            <w:r>
              <w:t xml:space="preserve">ND-16 Output, outcome e impact</w:t>
            </w:r>
          </w:p>
        </w:tc>
        <w:tc>
          <w:tcPr/>
          <w:p>
            <w:pPr>
              <w:pStyle w:val="Tabla9"/>
              <w:jc w:val="left"/>
            </w:pPr>
            <w:r>
              <w:t xml:space="preserve">IDC</w:t>
            </w:r>
          </w:p>
        </w:tc>
        <w:tc>
          <w:tcPr/>
          <w:p>
            <w:pPr>
              <w:pStyle w:val="Tabla9"/>
              <w:jc w:val="left"/>
            </w:pPr>
            <w:r>
              <w:t xml:space="preserve">HIE</w:t>
            </w:r>
          </w:p>
        </w:tc>
        <w:tc>
          <w:tcPr/>
          <w:p>
            <w:pPr>
              <w:pStyle w:val="Tabla9"/>
              <w:jc w:val="left"/>
            </w:pPr>
            <w:r>
              <w:t xml:space="preserve">La cadena hasta morbilidad no tiene resultado identificado (E3 en F4.3.1).</w:t>
            </w:r>
          </w:p>
        </w:tc>
      </w:tr>
    </w:tbl>
    <w:p>
      <w:pPr>
        <w:pStyle w:val="TablaNota"/>
      </w:pPr>
      <w:r>
        <w:rPr>
          <w:i/>
          <w:iCs/>
        </w:rPr>
        <w:t xml:space="preserve">Nota.</w:t>
      </w:r>
      <w:r>
        <w:t xml:space="preserve"> </w:t>
      </w:r>
      <w:r>
        <w:t xml:space="preserve">Elaboración propia con el expediente de la sección F4.3.</w:t>
      </w:r>
    </w:p>
    <w:bookmarkEnd w:id="156"/>
    <w:bookmarkStart w:id="157" w:name="_Toc00900077"/>
    <w:p>
      <w:pPr>
        <w:pStyle w:val="Heading3"/>
      </w:pPr>
      <w:r>
        <w:t xml:space="preserve">F4.3.6 Pruebas de robustez</w:t>
      </w:r>
    </w:p>
    <w:p>
      <w:pPr>
        <w:pStyle w:val="FirstParagraph"/>
      </w:pPr>
      <w:r>
        <w:t xml:space="preserve">La Tabla F4.11 reúne los datos de «Pruebas de robustez».</w:t>
      </w:r>
    </w:p>
    <w:p>
      <w:pPr>
        <w:pStyle w:val="TablaRotulo"/>
      </w:pPr>
      <w:bookmarkStart w:id="9088" w:name="rot_Tabla_F4_11"/>
      <w:r>
        <w:rPr>
          <w:b/>
          <w:bCs/>
        </w:rPr>
        <w:t xml:space="preserve">Tabla F4.11</w:t>
      </w:r>
      <w:bookmarkEnd w:id="9088"/>
    </w:p>
    <w:p>
      <w:pPr>
        <w:pStyle w:val="TablaTitulo"/>
      </w:pPr>
      <w:r>
        <w:rPr>
          <w:i/>
          <w:iCs/>
        </w:rPr>
        <w:t xml:space="preserve">Pruebas de robustez</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970"/>
        <w:gridCol w:w="2904"/>
      </w:tblGrid>
      <w:tr>
        <w:trPr>
          <w:cantSplit/>
          <w:tblHeader/>
        </w:trPr>
        <w:tc>
          <w:tcPr>
            <w:shd w:val="clear" w:color="auto" w:fill="00B050"/>
          </w:tcPr>
          <w:p>
            <w:pPr>
              <w:pStyle w:val="Tabla9"/>
              <w:jc w:val="center"/>
            </w:pPr>
            <w:r>
              <w:rPr>
                <w:b/>
                <w:color w:val="FFFFFF"/>
              </w:rPr>
              <w:t xml:space="preserve">Prueba</w:t>
            </w:r>
          </w:p>
        </w:tc>
        <w:tc>
          <w:tcPr>
            <w:shd w:val="clear" w:color="auto" w:fill="00B050"/>
          </w:tcPr>
          <w:p>
            <w:pPr>
              <w:pStyle w:val="Tabla9"/>
              <w:jc w:val="center"/>
            </w:pPr>
            <w:r>
              <w:rPr>
                <w:b/>
                <w:color w:val="FFFFFF"/>
              </w:rPr>
              <w:t xml:space="preserve">Aplicación al diseño E1</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Precedencia temporal</w:t>
            </w:r>
          </w:p>
        </w:tc>
        <w:tc>
          <w:tcPr/>
          <w:p>
            <w:pPr>
              <w:pStyle w:val="Tabla9"/>
              <w:jc w:val="left"/>
            </w:pPr>
            <w:r>
              <w:t xml:space="preserve">El nivel se asigna el lunes antes de la medición semanal. V01 a V04 se miden en la misma semana y no son causadas por X.</w:t>
            </w:r>
          </w:p>
        </w:tc>
        <w:tc>
          <w:tcPr/>
          <w:p>
            <w:pPr>
              <w:pStyle w:val="Tabla9"/>
              <w:jc w:val="left"/>
            </w:pPr>
            <w:r>
              <w:t xml:space="preserve">Diseño propuesto; NO_EJECUTADO</w:t>
            </w:r>
          </w:p>
        </w:tc>
      </w:tr>
      <w:tr>
        <w:trPr>
          <w:cantSplit/>
        </w:trPr>
        <w:tc>
          <w:tcPr/>
          <w:p>
            <w:pPr>
              <w:pStyle w:val="Tabla9"/>
              <w:jc w:val="left"/>
            </w:pPr>
            <w:r>
              <w:t xml:space="preserve">Positividad y solapamiento</w:t>
            </w:r>
          </w:p>
        </w:tc>
        <w:tc>
          <w:tcPr/>
          <w:p>
            <w:pPr>
              <w:pStyle w:val="Tabla9"/>
              <w:jc w:val="left"/>
            </w:pPr>
            <w:r>
              <w:t xml:space="preserve">Con 4 niveles y 52 semanas, cada nodo recibe cada nivel unas 13 veces en promedio. La positividad se cumple por diseño si el sorteo es estricto.</w:t>
            </w:r>
          </w:p>
        </w:tc>
        <w:tc>
          <w:tcPr/>
          <w:p>
            <w:pPr>
              <w:pStyle w:val="Tabla9"/>
              <w:jc w:val="left"/>
            </w:pPr>
            <w:r>
              <w:t xml:space="preserve">Diseño propuesto; NO_EJECUTADO</w:t>
            </w:r>
          </w:p>
        </w:tc>
      </w:tr>
      <w:tr>
        <w:trPr>
          <w:cantSplit/>
        </w:trPr>
        <w:tc>
          <w:tcPr/>
          <w:p>
            <w:pPr>
              <w:pStyle w:val="Tabla9"/>
              <w:jc w:val="left"/>
            </w:pPr>
            <w:r>
              <w:t xml:space="preserve">Medición</w:t>
            </w:r>
          </w:p>
        </w:tc>
        <w:tc>
          <w:tcPr/>
          <w:p>
            <w:pPr>
              <w:pStyle w:val="Tabla9"/>
              <w:jc w:val="left"/>
            </w:pPr>
            <w:r>
              <w:t xml:space="preserve">El denominador depende de una referencia. El presupuesto prevé 3 monitores gravimétricos (Capítulo 8, Tabla E3-8.3) para 100 nodos en tres departamentos.</w:t>
            </w:r>
          </w:p>
        </w:tc>
        <w:tc>
          <w:tcPr/>
          <w:p>
            <w:pPr>
              <w:pStyle w:val="Tabla9"/>
              <w:jc w:val="left"/>
            </w:pPr>
            <w:r>
              <w:t xml:space="preserve">VACIO: cobertura de referencias</w:t>
            </w:r>
          </w:p>
        </w:tc>
      </w:tr>
      <w:tr>
        <w:trPr>
          <w:cantSplit/>
        </w:trPr>
        <w:tc>
          <w:tcPr/>
          <w:p>
            <w:pPr>
              <w:pStyle w:val="Tabla9"/>
              <w:jc w:val="left"/>
            </w:pPr>
            <w:r>
              <w:t xml:space="preserve">Selección</w:t>
            </w:r>
          </w:p>
        </w:tc>
        <w:tc>
          <w:tcPr/>
          <w:p>
            <w:pPr>
              <w:pStyle w:val="Tabla9"/>
              <w:jc w:val="left"/>
            </w:pPr>
            <w:r>
              <w:t xml:space="preserve">Se espera pérdida de nodos por maquinaria (V05→V09). Se analiza por intención de tratar con ponderación por disponibilidad y se informa la atrición por nivel.</w:t>
            </w:r>
          </w:p>
        </w:tc>
        <w:tc>
          <w:tcPr/>
          <w:p>
            <w:pPr>
              <w:pStyle w:val="Tabla9"/>
              <w:jc w:val="left"/>
            </w:pPr>
            <w:r>
              <w:t xml:space="preserve">Diseño propuesto; NO_EJECUTADO</w:t>
            </w:r>
          </w:p>
        </w:tc>
      </w:tr>
      <w:tr>
        <w:trPr>
          <w:cantSplit/>
        </w:trPr>
        <w:tc>
          <w:tcPr/>
          <w:p>
            <w:pPr>
              <w:pStyle w:val="Tabla9"/>
              <w:jc w:val="left"/>
            </w:pPr>
            <w:r>
              <w:t xml:space="preserve">Datos faltantes</w:t>
            </w:r>
          </w:p>
        </w:tc>
        <w:tc>
          <w:tcPr/>
          <w:p>
            <w:pPr>
              <w:pStyle w:val="Tabla9"/>
              <w:jc w:val="left"/>
            </w:pPr>
            <w:r>
              <w:t xml:space="preserve">No se imputa Y. Se ponderan las observaciones y se informan cotas por escenarios de pérdida.</w:t>
            </w:r>
          </w:p>
        </w:tc>
        <w:tc>
          <w:tcPr/>
          <w:p>
            <w:pPr>
              <w:pStyle w:val="Tabla9"/>
              <w:jc w:val="left"/>
            </w:pPr>
            <w:r>
              <w:t xml:space="preserve">Diseño propuesto; NO_EJECUTADO</w:t>
            </w:r>
          </w:p>
        </w:tc>
      </w:tr>
      <w:tr>
        <w:trPr>
          <w:cantSplit/>
        </w:trPr>
        <w:tc>
          <w:tcPr/>
          <w:p>
            <w:pPr>
              <w:pStyle w:val="Tabla9"/>
              <w:jc w:val="left"/>
            </w:pPr>
            <w:r>
              <w:t xml:space="preserve">Confusión no observada</w:t>
            </w:r>
          </w:p>
        </w:tc>
        <w:tc>
          <w:tcPr/>
          <w:p>
            <w:pPr>
              <w:pStyle w:val="Tabla9"/>
              <w:jc w:val="left"/>
            </w:pPr>
            <w:r>
              <w:t xml:space="preserve">El sorteo la neutraliza si se cumple. Sin sorteo, se requiere análisis de sensibilidad a confusión no medida [conocimiento externo].</w:t>
            </w:r>
          </w:p>
        </w:tc>
        <w:tc>
          <w:tcPr/>
          <w:p>
            <w:pPr>
              <w:pStyle w:val="Tabla9"/>
              <w:jc w:val="left"/>
            </w:pPr>
            <w:r>
              <w:t xml:space="preserve">No aplicable aún</w:t>
            </w:r>
          </w:p>
        </w:tc>
      </w:tr>
      <w:tr>
        <w:trPr>
          <w:cantSplit/>
        </w:trPr>
        <w:tc>
          <w:tcPr/>
          <w:p>
            <w:pPr>
              <w:pStyle w:val="Tabla9"/>
              <w:jc w:val="left"/>
            </w:pPr>
            <w:r>
              <w:t xml:space="preserve">Sensibilidad compatible con el diseño</w:t>
            </w:r>
          </w:p>
        </w:tc>
        <w:tc>
          <w:tcPr/>
          <w:p>
            <w:pPr>
              <w:pStyle w:val="Tabla9"/>
              <w:jc w:val="left"/>
            </w:pPr>
            <w:r>
              <w:t xml:space="preserve">Balance de covariables por nivel, prueba de arrastre con una semana de lavado, pruebas placebo con fechas falsas y modelos alternos M2 y M3 del informe_FINAL.</w:t>
            </w:r>
          </w:p>
        </w:tc>
        <w:tc>
          <w:tcPr/>
          <w:p>
            <w:pPr>
              <w:pStyle w:val="Tabla9"/>
              <w:jc w:val="left"/>
            </w:pPr>
            <w:r>
              <w:t xml:space="preserve">Diseño propuesto; NO_EJECUTADO</w:t>
            </w:r>
          </w:p>
        </w:tc>
      </w:tr>
      <w:tr>
        <w:trPr>
          <w:cantSplit/>
        </w:trPr>
        <w:tc>
          <w:tcPr/>
          <w:p>
            <w:pPr>
              <w:pStyle w:val="Tabla9"/>
              <w:jc w:val="left"/>
            </w:pPr>
            <w:r>
              <w:t xml:space="preserve">Potencia (recalculada)</w:t>
            </w:r>
          </w:p>
        </w:tc>
        <w:tc>
          <w:tcPr/>
          <w:p>
            <w:pPr>
              <w:pStyle w:val="Tabla9"/>
              <w:jc w:val="left"/>
            </w:pPr>
            <w:r>
              <w:t xml:space="preserve">Con desviación 0,25, efecto de diseño 3, 5.200 nodo-semanas y proporción 0,5, el error estándar es 0.0120 y la diferencia mínima detectable con 80 % de potencia es 0.0336 puntos de NMAE, cerca de 11.2 % de una línea base de 0,30. Premisas del informe_FINAL §11.8.</w:t>
            </w:r>
          </w:p>
        </w:tc>
        <w:tc>
          <w:tcPr/>
          <w:p>
            <w:pPr>
              <w:pStyle w:val="Tabla9"/>
              <w:jc w:val="left"/>
            </w:pPr>
            <w:r>
              <w:t xml:space="preserve">CALCULADO sobre premisas NO_VERIFICADAS</w:t>
            </w:r>
          </w:p>
        </w:tc>
      </w:tr>
      <w:tr>
        <w:trPr>
          <w:cantSplit/>
        </w:trPr>
        <w:tc>
          <w:tcPr/>
          <w:p>
            <w:pPr>
              <w:pStyle w:val="Tabla9"/>
              <w:jc w:val="left"/>
            </w:pPr>
            <w:r>
              <w:t xml:space="preserve">Predicción frente a causalidad</w:t>
            </w:r>
          </w:p>
        </w:tc>
        <w:tc>
          <w:tcPr/>
          <w:p>
            <w:pPr>
              <w:pStyle w:val="Tabla9"/>
              <w:jc w:val="left"/>
            </w:pPr>
            <w:r>
              <w:t xml:space="preserve">El modelo TinyML puede usar V03 y V01 como predictores de corrección. Que mejoren el ajuste no los convierte en causas de V06 ni valida el efecto del método.</w:t>
            </w:r>
          </w:p>
        </w:tc>
        <w:tc>
          <w:tcPr/>
          <w:p>
            <w:pPr>
              <w:pStyle w:val="Tabla9"/>
              <w:jc w:val="left"/>
            </w:pPr>
            <w:r>
              <w:t xml:space="preserve">Regla de interpretación</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Factibilidad del sorteo.</w:t>
      </w:r>
      <w:r>
        <w:t xml:space="preserve"> </w:t>
      </w:r>
      <w:r>
        <w:t xml:space="preserve">El sorteo semanal exige control remoto del nivel de corrección en cada nodo. El expediente no describe actualización remota ni registro de asignación. La factibilidad es un VACIO que condiciona el estatuto IDC del estimando E1.</w:t>
      </w:r>
    </w:p>
    <w:p>
      <w:pPr>
        <w:pStyle w:val="BodyText"/>
      </w:pPr>
      <w:r>
        <w:rPr>
          <w:b/>
          <w:bCs/>
        </w:rPr>
        <w:t xml:space="preserve">Registro de decisión ND-07 (estimando, roles y conjunto de ajuste).</w:t>
      </w:r>
    </w:p>
    <w:p>
      <w:pPr>
        <w:pStyle w:val="BodyText"/>
      </w:pPr>
      <w:r>
        <w:t xml:space="preserve">La Tabla F4.12 reúne los datos de «Registro de decisión GENESIS: ND-07 Estimando, roles y conjunto de ajuste».</w:t>
      </w:r>
    </w:p>
    <w:p>
      <w:pPr>
        <w:pStyle w:val="TablaRotulo"/>
      </w:pPr>
      <w:bookmarkStart w:id="9089" w:name="rot_Tabla_F4_12"/>
      <w:r>
        <w:rPr>
          <w:b/>
          <w:bCs/>
        </w:rPr>
        <w:t xml:space="preserve">Tabla F4.12</w:t>
      </w:r>
      <w:bookmarkEnd w:id="9089"/>
    </w:p>
    <w:p>
      <w:pPr>
        <w:pStyle w:val="TablaTitulo"/>
      </w:pPr>
      <w:r>
        <w:rPr>
          <w:i/>
          <w:iCs/>
        </w:rPr>
        <w:t xml:space="preserve">Registro de decisión GENESIS: ND-07 Estimando, roles y conjunto de ajuste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NODO</w:t>
            </w:r>
          </w:p>
        </w:tc>
        <w:tc>
          <w:tcPr/>
          <w:p>
            <w:pPr>
              <w:pStyle w:val="Tabla9"/>
              <w:jc w:val="left"/>
            </w:pPr>
            <w:r>
              <w:t xml:space="preserve">ND-07 Estimando, roles y conjunto de ajuste</w:t>
            </w:r>
          </w:p>
        </w:tc>
      </w:tr>
      <w:tr>
        <w:trPr>
          <w:cantSplit/>
        </w:trPr>
        <w:tc>
          <w:tcPr/>
          <w:p>
            <w:pPr>
              <w:pStyle w:val="Tabla9"/>
              <w:jc w:val="left"/>
            </w:pPr>
            <w:r>
              <w:t xml:space="preserve">CLASE</w:t>
            </w:r>
          </w:p>
        </w:tc>
        <w:tc>
          <w:tcPr/>
          <w:p>
            <w:pPr>
              <w:pStyle w:val="Tabla9"/>
              <w:jc w:val="left"/>
            </w:pPr>
            <w:r>
              <w:t xml:space="preserve">MAYOR. Determina qué afirmaciones causales pueden publicarse.</w:t>
            </w:r>
          </w:p>
        </w:tc>
      </w:tr>
      <w:tr>
        <w:trPr>
          <w:cantSplit/>
        </w:trPr>
        <w:tc>
          <w:tcPr/>
          <w:p>
            <w:pPr>
              <w:pStyle w:val="Tabla9"/>
              <w:jc w:val="left"/>
            </w:pPr>
            <w:r>
              <w:t xml:space="preserve">DECISION</w:t>
            </w:r>
          </w:p>
        </w:tc>
        <w:tc>
          <w:tcPr/>
          <w:p>
            <w:pPr>
              <w:pStyle w:val="Tabla9"/>
              <w:jc w:val="left"/>
            </w:pPr>
            <w:r>
              <w:t xml:space="preserve">Declarar el estimando del efecto del método de corrección sobre el error de medición y adoptar el conjunto de ajuste mínimo que deriva del DAG.</w:t>
            </w:r>
          </w:p>
        </w:tc>
      </w:tr>
      <w:tr>
        <w:trPr>
          <w:cantSplit/>
        </w:trPr>
        <w:tc>
          <w:tcPr/>
          <w:p>
            <w:pPr>
              <w:pStyle w:val="Tabla9"/>
              <w:jc w:val="left"/>
            </w:pPr>
            <w:r>
              <w:t xml:space="preserve">DECIDE</w:t>
            </w:r>
          </w:p>
        </w:tc>
        <w:tc>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Publicar un efecto causal con datos observacionales. Ajustar por V08, V09, V11 a V15. Usar la clase de Vester como rol causal.</w:t>
            </w:r>
          </w:p>
        </w:tc>
      </w:tr>
      <w:tr>
        <w:trPr>
          <w:cantSplit/>
        </w:trPr>
        <w:tc>
          <w:tcPr/>
          <w:p>
            <w:pPr>
              <w:pStyle w:val="Tabla9"/>
              <w:jc w:val="left"/>
            </w:pPr>
            <w:r>
              <w:t xml:space="preserve">NODOS_BLANCOS</w:t>
            </w:r>
          </w:p>
        </w:tc>
        <w:tc>
          <w:tcPr/>
          <w:p>
            <w:pPr>
              <w:pStyle w:val="Tabla9"/>
              <w:jc w:val="left"/>
            </w:pPr>
            <w:r>
              <w:t xml:space="preserve">6: diseño alternado con sorteo semanal (F-INF §11.7, T08); 5.200 nodo-semanas (F-INF §11.8, T09); diferencia mínima detectable 0,034 recalculada (T09); V03→V06 = 3 y V07→V06 = 3 (fichas de S2, T09); V05→V09 = 2 (ficha, T09); corrección por estación cercana con R2 de menos de 0,2 a 0,81 (Bang et al., 2026, pp. 6-8, T08).</w:t>
            </w:r>
          </w:p>
        </w:tc>
      </w:tr>
      <w:tr>
        <w:trPr>
          <w:cantSplit/>
        </w:trPr>
        <w:tc>
          <w:tcPr/>
          <w:p>
            <w:pPr>
              <w:pStyle w:val="Tabla9"/>
              <w:jc w:val="left"/>
            </w:pPr>
            <w:r>
              <w:t xml:space="preserve">NODOS_GRISES</w:t>
            </w:r>
          </w:p>
        </w:tc>
        <w:tc>
          <w:tcPr/>
          <w:p>
            <w:pPr>
              <w:pStyle w:val="Tabla9"/>
              <w:jc w:val="left"/>
            </w:pPr>
            <w:r>
              <w:t xml:space="preserve">2: el sorteo semanal es operable en terreno; hay referencia gravimétrica para los nodos del sorteo (solo 3 monitores presupuestados).</w:t>
            </w:r>
          </w:p>
        </w:tc>
      </w:tr>
      <w:tr>
        <w:trPr>
          <w:cantSplit/>
        </w:trPr>
        <w:tc>
          <w:tcPr/>
          <w:p>
            <w:pPr>
              <w:pStyle w:val="Tabla9"/>
              <w:jc w:val="left"/>
            </w:pPr>
            <w:r>
              <w:t xml:space="preserve">RUPTURAS</w:t>
            </w:r>
          </w:p>
        </w:tc>
        <w:tc>
          <w:tcPr/>
          <w:p>
            <w:pPr>
              <w:pStyle w:val="Tabla9"/>
              <w:jc w:val="left"/>
            </w:pPr>
            <w:r>
              <w:t xml:space="preserve">R-01: 0 | R-02: 0 | R-03: 0 | R-04: 0 | R-05: 1 (el estimando no alcanza V14; la cadena hasta personas protegidas permanece HIE y se declara).</w:t>
            </w:r>
          </w:p>
        </w:tc>
      </w:tr>
      <w:tr>
        <w:trPr>
          <w:cantSplit/>
        </w:trPr>
        <w:tc>
          <w:tcPr/>
          <w:p>
            <w:pPr>
              <w:pStyle w:val="Tabla9"/>
              <w:jc w:val="left"/>
            </w:pPr>
            <w:r>
              <w:t xml:space="preserve">PATRON_DOMINANTE</w:t>
            </w:r>
          </w:p>
        </w:tc>
        <w:tc>
          <w:tcPr/>
          <w:p>
            <w:pPr>
              <w:pStyle w:val="Tabla9"/>
              <w:jc w:val="left"/>
            </w:pPr>
            <w:r>
              <w:t xml:space="preserve">PR-06 (patrón emergente): exogeneidad condicionada al sorteo. La retroalimentación V15→V07 aparece en S2 (ciclos de F4.4.13) y justifica el patrón.</w:t>
            </w:r>
          </w:p>
        </w:tc>
      </w:tr>
      <w:tr>
        <w:trPr>
          <w:cantSplit/>
        </w:trPr>
        <w:tc>
          <w:tcPr/>
          <w:p>
            <w:pPr>
              <w:pStyle w:val="Tabla9"/>
              <w:jc w:val="left"/>
            </w:pPr>
            <w:r>
              <w:t xml:space="preserve">ANTIPATRONES_PR</w:t>
            </w:r>
          </w:p>
        </w:tc>
        <w:tc>
          <w:tcPr/>
          <w:p>
            <w:pPr>
              <w:pStyle w:val="Tabla9"/>
              <w:jc w:val="left"/>
            </w:pPr>
            <w:r>
              <w:t xml:space="preserve">PR-04 ausente: Sí. PR-05 ausente: No. El sorteo y las referencias exigen capacidad técnica y conectividad no verificadas en el territorio.</w:t>
            </w:r>
          </w:p>
        </w:tc>
      </w:tr>
      <w:tr>
        <w:trPr>
          <w:cantSplit/>
        </w:trPr>
        <w:tc>
          <w:tcPr/>
          <w:p>
            <w:pPr>
              <w:pStyle w:val="Tabla9"/>
              <w:jc w:val="left"/>
            </w:pPr>
            <w:r>
              <w:t xml:space="preserve">ESCENA_SIMULABLE</w:t>
            </w:r>
          </w:p>
        </w:tc>
        <w:tc>
          <w:tcPr/>
          <w:p>
            <w:pPr>
              <w:pStyle w:val="Tabla9"/>
              <w:jc w:val="left"/>
            </w:pPr>
            <w:r>
              <w:t xml:space="preserve">El ingeniero de campo de la IES registra cada lunes el nivel sorteado por nodo antes de ver los datos. El científico de datos compara en el mes 12 el NMAE del nivel 4 con el del nivel 1.</w:t>
            </w:r>
          </w:p>
        </w:tc>
      </w:tr>
      <w:tr>
        <w:trPr>
          <w:cantSplit/>
        </w:trPr>
        <w:tc>
          <w:tcPr/>
          <w:p>
            <w:pPr>
              <w:pStyle w:val="Tabla9"/>
              <w:jc w:val="left"/>
            </w:pPr>
            <w:r>
              <w:t xml:space="preserve">EVIDENCIA_JH_A</w:t>
            </w:r>
          </w:p>
        </w:tc>
        <w:tc>
          <w:tcPr/>
          <w:p>
            <w:pPr>
              <w:pStyle w:val="Tabla9"/>
              <w:jc w:val="left"/>
            </w:pPr>
            <w:r>
              <w:t xml:space="preserve">Acta semanal de asignación con listado de nodos por municipio (artefacto por producir; no existe aún).</w:t>
            </w:r>
          </w:p>
        </w:tc>
      </w:tr>
      <w:tr>
        <w:trPr>
          <w:cantSplit/>
        </w:trPr>
        <w:tc>
          <w:tcPr/>
          <w:p>
            <w:pPr>
              <w:pStyle w:val="Tabla9"/>
              <w:jc w:val="left"/>
            </w:pPr>
            <w:r>
              <w:t xml:space="preserve">EVIDENCIA_JH_B</w:t>
            </w:r>
          </w:p>
        </w:tc>
        <w:tc>
          <w:tcPr/>
          <w:p>
            <w:pPr>
              <w:pStyle w:val="Tabla9"/>
              <w:jc w:val="left"/>
            </w:pPr>
            <w:r>
              <w:t xml:space="preserve">Ecuación M1 del informe_FINAL §11.7, potencia recalculada y 3 monitores de referencia presupuestados (Tabla E3-8.3).</w:t>
            </w:r>
          </w:p>
        </w:tc>
      </w:tr>
      <w:tr>
        <w:trPr>
          <w:cantSplit/>
        </w:trPr>
        <w:tc>
          <w:tcPr/>
          <w:p>
            <w:pPr>
              <w:pStyle w:val="Tabla9"/>
              <w:jc w:val="left"/>
            </w:pPr>
            <w:r>
              <w:t xml:space="preserve">CERCA_CONCEPTUAL</w:t>
            </w:r>
          </w:p>
        </w:tc>
        <w:tc>
          <w:tcPr/>
          <w:p>
            <w:pPr>
              <w:pStyle w:val="Tabla9"/>
              <w:jc w:val="left"/>
            </w:pPr>
            <w:r>
              <w:t xml:space="preserve">El estimando no prueba que el sistema proteja personas. Mide el efecto del método de corrección sobre el error del sensor.</w:t>
            </w:r>
          </w:p>
        </w:tc>
      </w:tr>
      <w:tr>
        <w:trPr>
          <w:cantSplit/>
        </w:trPr>
        <w:tc>
          <w:tcPr/>
          <w:p>
            <w:pPr>
              <w:pStyle w:val="Tabla9"/>
              <w:jc w:val="left"/>
            </w:pPr>
            <w:r>
              <w:t xml:space="preserve">ESTATUTO_CAUSAL</w:t>
            </w:r>
          </w:p>
        </w:tc>
        <w:tc>
          <w:tcPr/>
          <w:p>
            <w:pPr>
              <w:pStyle w:val="Tabla9"/>
              <w:jc w:val="left"/>
            </w:pPr>
            <w:r>
              <w:t xml:space="preserve">IDC prospectivo para E1, condicionado al sorteo cumplido. HIE para toda otra relación. Ninguna EST.</w:t>
            </w:r>
          </w:p>
        </w:tc>
      </w:tr>
      <w:tr>
        <w:trPr>
          <w:cantSplit/>
        </w:trPr>
        <w:tc>
          <w:tcPr/>
          <w:p>
            <w:pPr>
              <w:pStyle w:val="Tabla9"/>
              <w:jc w:val="left"/>
            </w:pPr>
            <w:r>
              <w:t xml:space="preserve">VEREDICTO</w:t>
            </w:r>
          </w:p>
        </w:tc>
        <w:tc>
          <w:tcPr/>
          <w:p>
            <w:pPr>
              <w:pStyle w:val="Tabla9"/>
              <w:jc w:val="left"/>
            </w:pPr>
            <w:r>
              <w:t xml:space="preserve">Estimando E1 declarado. Conjunto de ajuste mínimo vacío bajo sorteo. E2 no identificado.</w:t>
            </w:r>
          </w:p>
        </w:tc>
      </w:tr>
      <w:tr>
        <w:trPr>
          <w:cantSplit/>
        </w:trPr>
        <w:tc>
          <w:tcPr/>
          <w:p>
            <w:pPr>
              <w:pStyle w:val="Tabla9"/>
              <w:jc w:val="left"/>
            </w:pPr>
            <w:r>
              <w:t xml:space="preserve">RAZON_DEL_DESCARTE</w:t>
            </w:r>
          </w:p>
        </w:tc>
        <w:tc>
          <w:tcPr/>
          <w:p>
            <w:pPr>
              <w:pStyle w:val="Tabla9"/>
              <w:jc w:val="left"/>
            </w:pPr>
            <w:r>
              <w:t xml:space="preserve">Se descarta estimar el efecto con comparaciones entre sitios sin sorteo, por confusión con la distancia a la referencia y la edad del sensor.</w:t>
            </w:r>
          </w:p>
        </w:tc>
      </w:tr>
      <w:tr>
        <w:trPr>
          <w:cantSplit/>
        </w:trPr>
        <w:tc>
          <w:tcPr/>
          <w:p>
            <w:pPr>
              <w:pStyle w:val="Tabla9"/>
              <w:jc w:val="left"/>
            </w:pPr>
            <w:r>
              <w:t xml:space="preserve">RESULTADO</w:t>
            </w:r>
          </w:p>
        </w:tc>
        <w:tc>
          <w:tcPr/>
          <w:p>
            <w:pPr>
              <w:pStyle w:val="Tabla9"/>
              <w:jc w:val="left"/>
            </w:pPr>
            <w:r>
              <w:t xml:space="preserve">CIERRA con vacíos declarados (factibilidad del sorteo; cobertura de referencias).</w:t>
            </w:r>
          </w:p>
        </w:tc>
      </w:tr>
    </w:tbl>
    <w:p>
      <w:pPr>
        <w:pStyle w:val="TablaNota"/>
      </w:pPr>
      <w:r>
        <w:rPr>
          <w:i/>
          <w:iCs/>
        </w:rPr>
        <w:t xml:space="preserve">Nota.</w:t>
      </w:r>
      <w:r>
        <w:t xml:space="preserve"> </w:t>
      </w:r>
      <w:r>
        <w:t xml:space="preserve">Elaboración propia con el expediente de la sección F4.3.</w:t>
      </w:r>
    </w:p>
    <w:bookmarkEnd w:id="157"/>
    <w:bookmarkEnd w:id="158"/>
    <w:bookmarkStart w:id="191" w:name="X7ce23dbf7c0c4ab51a664241f8d5392bd135539"/>
    <w:p>
      <w:pPr>
        <w:pStyle w:val="Heading2"/>
      </w:pPr>
      <w:r>
        <w:t xml:space="preserve">F4.4 Vester y MICMAC: protocolo paritario integrado</w:t>
      </w:r>
    </w:p>
    <w:p>
      <w:pPr>
        <w:pStyle w:val="FirstParagraph"/>
      </w:pPr>
      <w:r>
        <w:t xml:space="preserve">Sección generada con GENESIS-CTeI 36.10 RC2 / VM-PAR3-MDR3-CONT1. Contiene las catorce piezas MP-06, numeradas F4.4.1 a F4.4.14. Las piezas son subsecciones y no autorizan otras secciones. Los valores son propuestas no ratificadas. El análisis estructural expresa hipótesis de influencia (HIE), no efectos causales.</w:t>
      </w:r>
    </w:p>
    <w:bookmarkStart w:id="159" w:name="Xb7be886f437648469d8ea1e5bfb2510c47ac670"/>
    <w:p>
      <w:pPr>
        <w:pStyle w:val="Heading3"/>
      </w:pPr>
      <w:r>
        <w:t xml:space="preserve">F4.4.1 Procedencia, estado y alcance de los objetos</w:t>
      </w:r>
    </w:p>
    <w:p>
      <w:pPr>
        <w:pStyle w:val="FirstParagraph"/>
      </w:pPr>
      <w:r>
        <w:t xml:space="preserve">Esta pieza identifica los objetos que entran al análisis, su naturaleza y su estado de verificación. Separa el cálculo de la ratificación, como exige el canon paritario VM-PAR3.</w:t>
      </w:r>
    </w:p>
    <w:p>
      <w:pPr>
        <w:pStyle w:val="BodyText"/>
      </w:pPr>
      <w:r>
        <w:rPr>
          <w:b/>
          <w:bCs/>
        </w:rPr>
        <w:t xml:space="preserve">Identidad de la corrida.</w:t>
      </w:r>
      <w:r>
        <w:t xml:space="preserve"> </w:t>
      </w:r>
      <w:r>
        <w:t xml:space="preserve">Caso SGR_CONV56_AIRE. Implementación GENESIS-CTeI 36.10 RC2, revisión VM-PAR3-MDR3-CONT1. Fecha de corrida: 13 de octubre de 2026. Semilla del plan: 20261011. Corte principal: mediana. KMAX: 10. Ventana de estabilidad: 3.</w:t>
      </w:r>
    </w:p>
    <w:p>
      <w:pPr>
        <w:pStyle w:val="BodyText"/>
      </w:pPr>
      <w:r>
        <w:t xml:space="preserve">La Tabla F4.13 reúne los datos de «Identidad de la corrida».</w:t>
      </w:r>
    </w:p>
    <w:p>
      <w:pPr>
        <w:pStyle w:val="TablaRotulo"/>
      </w:pPr>
      <w:bookmarkStart w:id="9090" w:name="rot_Tabla_F4_13"/>
      <w:r>
        <w:rPr>
          <w:b/>
          <w:bCs/>
        </w:rPr>
        <w:t xml:space="preserve">Tabla F4.13</w:t>
      </w:r>
      <w:bookmarkEnd w:id="9090"/>
    </w:p>
    <w:p>
      <w:pPr>
        <w:pStyle w:val="TablaTitulo"/>
      </w:pPr>
      <w:r>
        <w:rPr>
          <w:i/>
          <w:iCs/>
        </w:rPr>
        <w:t xml:space="preserve">Identidad de la corrida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97"/>
        <w:gridCol w:w="1597"/>
        <w:gridCol w:w="998"/>
        <w:gridCol w:w="1131"/>
        <w:gridCol w:w="2063"/>
        <w:gridCol w:w="931"/>
      </w:tblGrid>
      <w:tr>
        <w:trPr>
          <w:cantSplit/>
          <w:tblHeader/>
        </w:trPr>
        <w:tc>
          <w:tcPr>
            <w:shd w:val="clear" w:color="auto" w:fill="00B050"/>
          </w:tcPr>
          <w:p>
            <w:pPr>
              <w:pStyle w:val="Tabla9"/>
              <w:jc w:val="center"/>
            </w:pPr>
            <w:r>
              <w:rPr>
                <w:b/>
                <w:color w:val="FFFFFF"/>
              </w:rPr>
              <w:t xml:space="preserve">Objeto</w:t>
            </w:r>
          </w:p>
        </w:tc>
        <w:tc>
          <w:tcPr>
            <w:shd w:val="clear" w:color="auto" w:fill="00B050"/>
          </w:tcPr>
          <w:p>
            <w:pPr>
              <w:pStyle w:val="Tabla9"/>
              <w:jc w:val="center"/>
            </w:pPr>
            <w:r>
              <w:rPr>
                <w:b/>
                <w:color w:val="FFFFFF"/>
              </w:rPr>
              <w:t xml:space="preserve">Procedencia y localizador</w:t>
            </w:r>
          </w:p>
        </w:tc>
        <w:tc>
          <w:tcPr>
            <w:shd w:val="clear" w:color="auto" w:fill="00B050"/>
          </w:tcPr>
          <w:p>
            <w:pPr>
              <w:pStyle w:val="Tabla9"/>
              <w:jc w:val="center"/>
            </w:pPr>
            <w:r>
              <w:rPr>
                <w:b/>
                <w:color w:val="FFFFFF"/>
              </w:rPr>
              <w:t xml:space="preserve">Contenido</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Verificación y alcance</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E3_ORIGINAL</w:t>
            </w:r>
          </w:p>
        </w:tc>
        <w:tc>
          <w:tcPr/>
          <w:p>
            <w:pPr>
              <w:pStyle w:val="Tabla9"/>
              <w:jc w:val="left"/>
            </w:pPr>
            <w:r>
              <w:t xml:space="preserve">Problematica_E3-P00.docx, E3-P04 §12</w:t>
            </w:r>
          </w:p>
        </w:tc>
        <w:tc>
          <w:tcPr/>
          <w:p>
            <w:pPr>
              <w:pStyle w:val="Tabla9"/>
              <w:jc w:val="left"/>
            </w:pPr>
            <w:r>
              <w:t xml:space="preserve">22 aristas positivas (ΣI = 53) y 188 ceros por «Regla Cero»</w:t>
            </w:r>
          </w:p>
        </w:tc>
        <w:tc>
          <w:tcPr/>
          <w:p>
            <w:pPr>
              <w:pStyle w:val="Tabla9"/>
              <w:jc w:val="left"/>
            </w:pPr>
            <w:r>
              <w:t xml:space="preserve">DECLARADO</w:t>
            </w:r>
          </w:p>
        </w:tc>
        <w:tc>
          <w:tcPr/>
          <w:p>
            <w:pPr>
              <w:pStyle w:val="Tabla9"/>
              <w:jc w:val="left"/>
            </w:pPr>
            <w:r>
              <w:t xml:space="preserve">PARCIALMENTE_VERIFICADO: aritmética recalculada (ΣI = ΣD = 53); contenido semántico NO_VERIFICADO</w:t>
            </w:r>
          </w:p>
        </w:tc>
        <w:tc>
          <w:tcPr/>
          <w:p>
            <w:pPr>
              <w:pStyle w:val="Tabla9"/>
              <w:jc w:val="left"/>
            </w:pPr>
            <w:r>
              <w:t xml:space="preserve">Conservado sin cambios</w:t>
            </w:r>
          </w:p>
        </w:tc>
      </w:tr>
      <w:tr>
        <w:trPr>
          <w:cantSplit/>
        </w:trPr>
        <w:tc>
          <w:tcPr/>
          <w:p>
            <w:pPr>
              <w:pStyle w:val="Tabla9"/>
              <w:jc w:val="left"/>
            </w:pPr>
            <w:r>
              <w:t xml:space="preserve">MID_FORMAL</w:t>
            </w:r>
          </w:p>
        </w:tc>
        <w:tc>
          <w:tcPr/>
          <w:p>
            <w:pPr>
              <w:pStyle w:val="Tabla9"/>
              <w:jc w:val="left"/>
            </w:pPr>
            <w:r>
              <w:t xml:space="preserve">Derivada de E3_ORIGINAL</w:t>
            </w:r>
          </w:p>
        </w:tc>
        <w:tc>
          <w:tcPr/>
          <w:p>
            <w:pPr>
              <w:pStyle w:val="Tabla9"/>
              <w:jc w:val="left"/>
            </w:pPr>
            <w:r>
              <w:t xml:space="preserve">22 valores positivos como DECLARADO; 188 celdas U</w:t>
            </w:r>
          </w:p>
        </w:tc>
        <w:tc>
          <w:tcPr/>
          <w:p>
            <w:pPr>
              <w:pStyle w:val="Tabla9"/>
              <w:jc w:val="left"/>
            </w:pPr>
            <w:r>
              <w:t xml:space="preserve">DECLARADO y VACIO</w:t>
            </w:r>
          </w:p>
        </w:tc>
        <w:tc>
          <w:tcPr/>
          <w:p>
            <w:pPr>
              <w:pStyle w:val="Tabla9"/>
              <w:jc w:val="left"/>
            </w:pPr>
            <w:r>
              <w:t xml:space="preserve">NO_VERIFICADO. El cero por bloque no cumple la adjudicación individual que exige el contrato E3→E4 V2.1</w:t>
            </w:r>
          </w:p>
        </w:tc>
        <w:tc>
          <w:tcPr/>
          <w:p>
            <w:pPr>
              <w:pStyle w:val="Tabla9"/>
              <w:jc w:val="left"/>
            </w:pPr>
            <w:r>
              <w:t xml:space="preserve">Matriz formal preservada; no se eleva</w:t>
            </w:r>
          </w:p>
        </w:tc>
      </w:tr>
      <w:tr>
        <w:trPr>
          <w:cantSplit/>
        </w:trPr>
        <w:tc>
          <w:tcPr/>
          <w:p>
            <w:pPr>
              <w:pStyle w:val="Tabla9"/>
              <w:jc w:val="left"/>
            </w:pPr>
            <w:r>
              <w:t xml:space="preserve">S0</w:t>
            </w:r>
          </w:p>
        </w:tc>
        <w:tc>
          <w:tcPr/>
          <w:p>
            <w:pPr>
              <w:pStyle w:val="Tabla9"/>
              <w:jc w:val="left"/>
            </w:pPr>
            <w:r>
              <w:t xml:space="preserve">Mismo origen</w:t>
            </w:r>
          </w:p>
        </w:tc>
        <w:tc>
          <w:tcPr/>
          <w:p>
            <w:pPr>
              <w:pStyle w:val="Tabla9"/>
              <w:jc w:val="left"/>
            </w:pPr>
            <w:r>
              <w:t xml:space="preserve">Escenario histórico condicionado: 22 aristas, 188 ceros heredados</w:t>
            </w:r>
          </w:p>
        </w:tc>
        <w:tc>
          <w:tcPr/>
          <w:p>
            <w:pPr>
              <w:pStyle w:val="Tabla9"/>
              <w:jc w:val="left"/>
            </w:pPr>
            <w:r>
              <w:t xml:space="preserve">DECLARADO</w:t>
            </w:r>
          </w:p>
        </w:tc>
        <w:tc>
          <w:tcPr/>
          <w:p>
            <w:pPr>
              <w:pStyle w:val="Tabla9"/>
              <w:jc w:val="left"/>
            </w:pPr>
            <w:r>
              <w:t xml:space="preserve">VERIFICADO (aritmético)</w:t>
            </w:r>
          </w:p>
        </w:tc>
        <w:tc>
          <w:tcPr/>
          <w:p>
            <w:pPr>
              <w:pStyle w:val="Tabla9"/>
              <w:jc w:val="left"/>
            </w:pPr>
            <w:r>
              <w:t xml:space="preserve">Escenario independiente</w:t>
            </w:r>
          </w:p>
        </w:tc>
      </w:tr>
      <w:tr>
        <w:trPr>
          <w:cantSplit/>
        </w:trPr>
        <w:tc>
          <w:tcPr/>
          <w:p>
            <w:pPr>
              <w:pStyle w:val="Tabla9"/>
              <w:jc w:val="left"/>
            </w:pPr>
            <w:r>
              <w:t xml:space="preserve">S1</w:t>
            </w:r>
          </w:p>
        </w:tc>
        <w:tc>
          <w:tcPr/>
          <w:p>
            <w:pPr>
              <w:pStyle w:val="Tabla9"/>
              <w:jc w:val="left"/>
            </w:pPr>
            <w:r>
              <w:t xml:space="preserve">Problematica_E3-P00.docx, Paso 4, F4.4.5</w:t>
            </w:r>
          </w:p>
        </w:tc>
        <w:tc>
          <w:tcPr/>
          <w:p>
            <w:pPr>
              <w:pStyle w:val="Tabla9"/>
              <w:jc w:val="left"/>
            </w:pPr>
            <w:r>
              <w:t xml:space="preserve">32 aristas, ΣI = 67</w:t>
            </w:r>
          </w:p>
        </w:tc>
        <w:tc>
          <w:tcPr/>
          <w:p>
            <w:pPr>
              <w:pStyle w:val="Tabla9"/>
              <w:jc w:val="left"/>
            </w:pPr>
            <w:r>
              <w:t xml:space="preserve">PROPUESTO</w:t>
            </w:r>
          </w:p>
        </w:tc>
        <w:tc>
          <w:tcPr/>
          <w:p>
            <w:pPr>
              <w:pStyle w:val="Tabla9"/>
              <w:jc w:val="left"/>
            </w:pPr>
            <w:r>
              <w:t xml:space="preserve">VERIFICADO (aritmético). La narrativa asociada resulta CONTRADICTORIA con el cálculo (F4.4.11 y F4.4.12)</w:t>
            </w:r>
          </w:p>
        </w:tc>
        <w:tc>
          <w:tcPr/>
          <w:p>
            <w:pPr>
              <w:pStyle w:val="Tabla9"/>
              <w:jc w:val="left"/>
            </w:pPr>
            <w:r>
              <w:t xml:space="preserve">Escenario independiente</w:t>
            </w:r>
          </w:p>
        </w:tc>
      </w:tr>
      <w:tr>
        <w:trPr>
          <w:cantSplit/>
        </w:trPr>
        <w:tc>
          <w:tcPr/>
          <w:p>
            <w:pPr>
              <w:pStyle w:val="Tabla9"/>
              <w:jc w:val="left"/>
            </w:pPr>
            <w:r>
              <w:t xml:space="preserve">S2 (MID_TRABAJO)</w:t>
            </w:r>
          </w:p>
        </w:tc>
        <w:tc>
          <w:tcPr/>
          <w:p>
            <w:pPr>
              <w:pStyle w:val="Tabla9"/>
              <w:jc w:val="left"/>
            </w:pPr>
            <w:r>
              <w:t xml:space="preserve">Esta corrida, 105 fichas paritarias</w:t>
            </w:r>
          </w:p>
        </w:tc>
        <w:tc>
          <w:tcPr/>
          <w:p>
            <w:pPr>
              <w:pStyle w:val="Tabla9"/>
              <w:jc w:val="left"/>
            </w:pPr>
            <w:r>
              <w:t xml:space="preserve">48 aristas, ΣI = 78</w:t>
            </w:r>
          </w:p>
        </w:tc>
        <w:tc>
          <w:tcPr/>
          <w:p>
            <w:pPr>
              <w:pStyle w:val="Tabla9"/>
              <w:jc w:val="left"/>
            </w:pPr>
            <w:r>
              <w:t xml:space="preserve">PROPUESTO</w:t>
            </w:r>
          </w:p>
        </w:tc>
        <w:tc>
          <w:tcPr/>
          <w:p>
            <w:pPr>
              <w:pStyle w:val="Tabla9"/>
              <w:jc w:val="left"/>
            </w:pPr>
            <w:r>
              <w:t xml:space="preserve">Esquema VERIFICADO; contenido semántico NO_VERIFICADO</w:t>
            </w:r>
          </w:p>
        </w:tc>
        <w:tc>
          <w:tcPr/>
          <w:p>
            <w:pPr>
              <w:pStyle w:val="Tabla9"/>
              <w:jc w:val="left"/>
            </w:pPr>
            <w:r>
              <w:t xml:space="preserve">Escenario de trabajo; no ratificado</w:t>
            </w:r>
          </w:p>
        </w:tc>
      </w:tr>
      <w:tr>
        <w:trPr>
          <w:cantSplit/>
        </w:trPr>
        <w:tc>
          <w:tcPr/>
          <w:p>
            <w:pPr>
              <w:pStyle w:val="Tabla9"/>
              <w:jc w:val="left"/>
            </w:pPr>
            <w:r>
              <w:t xml:space="preserve">S3 y S4</w:t>
            </w:r>
          </w:p>
        </w:tc>
        <w:tc>
          <w:tcPr/>
          <w:p>
            <w:pPr>
              <w:pStyle w:val="Tabla9"/>
              <w:jc w:val="left"/>
            </w:pPr>
            <w:r>
              <w:t xml:space="preserve">Esta corrida, dominios admisibles de las fichas</w:t>
            </w:r>
          </w:p>
        </w:tc>
        <w:tc>
          <w:tcPr/>
          <w:p>
            <w:pPr>
              <w:pStyle w:val="Tabla9"/>
              <w:jc w:val="left"/>
            </w:pPr>
            <w:r>
              <w:t xml:space="preserve">Valor mínimo y máximo admisible por dirección</w:t>
            </w:r>
          </w:p>
        </w:tc>
        <w:tc>
          <w:tcPr/>
          <w:p>
            <w:pPr>
              <w:pStyle w:val="Tabla9"/>
              <w:jc w:val="left"/>
            </w:pPr>
            <w:r>
              <w:t xml:space="preserve">CALCULADO</w:t>
            </w:r>
          </w:p>
        </w:tc>
        <w:tc>
          <w:tcPr/>
          <w:p>
            <w:pPr>
              <w:pStyle w:val="Tabla9"/>
              <w:jc w:val="left"/>
            </w:pPr>
            <w:r>
              <w:t xml:space="preserve">VERIFICADO (aritmético)</w:t>
            </w:r>
          </w:p>
        </w:tc>
        <w:tc>
          <w:tcPr/>
          <w:p>
            <w:pPr>
              <w:pStyle w:val="Tabla9"/>
              <w:jc w:val="left"/>
            </w:pPr>
            <w:r>
              <w:t xml:space="preserve">Envolventes de sensibilidad, no predictivas</w:t>
            </w:r>
          </w:p>
        </w:tc>
      </w:tr>
      <w:tr>
        <w:trPr>
          <w:cantSplit/>
        </w:trPr>
        <w:tc>
          <w:tcPr/>
          <w:p>
            <w:pPr>
              <w:pStyle w:val="Tabla9"/>
              <w:jc w:val="left"/>
            </w:pPr>
            <w:r>
              <w:t xml:space="preserve">Plantilla XLSX</w:t>
            </w:r>
          </w:p>
        </w:tc>
        <w:tc>
          <w:tcPr/>
          <w:p>
            <w:pPr>
              <w:pStyle w:val="Tabla9"/>
              <w:jc w:val="left"/>
            </w:pPr>
            <w:r>
              <w:t xml:space="preserve">Vester_MICMAC_Plantilla_15_vacia.xlsx</w:t>
            </w:r>
          </w:p>
        </w:tc>
        <w:tc>
          <w:tcPr/>
          <w:p>
            <w:pPr>
              <w:pStyle w:val="Tabla9"/>
              <w:jc w:val="left"/>
            </w:pPr>
            <w:r>
              <w:t xml:space="preserve">Nombres de las 15 variables y matriz idéntica a S1 (no está vacía)</w:t>
            </w:r>
          </w:p>
        </w:tc>
        <w:tc>
          <w:tcPr/>
          <w:p>
            <w:pPr>
              <w:pStyle w:val="Tabla9"/>
              <w:jc w:val="left"/>
            </w:pPr>
            <w:r>
              <w:t xml:space="preserve">DECLARADO</w:t>
            </w:r>
          </w:p>
        </w:tc>
        <w:tc>
          <w:tcPr/>
          <w:p>
            <w:pPr>
              <w:pStyle w:val="Tabla9"/>
              <w:jc w:val="left"/>
            </w:pPr>
            <w:r>
              <w:t xml:space="preserve">Coincidencia exacta con S1 VERIFICADA celda a celda</w:t>
            </w:r>
          </w:p>
        </w:tc>
        <w:tc>
          <w:tcPr/>
          <w:p>
            <w:pPr>
              <w:pStyle w:val="Tabla9"/>
              <w:jc w:val="left"/>
            </w:pPr>
            <w:r>
              <w:t xml:space="preserve">Usada como segunda implementación de cálculo</w:t>
            </w:r>
          </w:p>
        </w:tc>
      </w:tr>
      <w:tr>
        <w:trPr>
          <w:cantSplit/>
        </w:trPr>
        <w:tc>
          <w:tcPr/>
          <w:p>
            <w:pPr>
              <w:pStyle w:val="Tabla9"/>
              <w:jc w:val="left"/>
            </w:pPr>
            <w:r>
              <w:t xml:space="preserve">informe_FINAL</w:t>
            </w:r>
          </w:p>
        </w:tc>
        <w:tc>
          <w:tcPr/>
          <w:p>
            <w:pPr>
              <w:pStyle w:val="Tabla9"/>
              <w:jc w:val="left"/>
            </w:pPr>
            <w:r>
              <w:t xml:space="preserve">informe_FINAL.docx (42 documentos, consolidado al 30-09-2026)</w:t>
            </w:r>
          </w:p>
        </w:tc>
        <w:tc>
          <w:tcPr/>
          <w:p>
            <w:pPr>
              <w:pStyle w:val="Tabla9"/>
              <w:jc w:val="left"/>
            </w:pPr>
            <w:r>
              <w:t xml:space="preserve">Vigilancia tecnológica y bibliometría</w:t>
            </w:r>
          </w:p>
        </w:tc>
        <w:tc>
          <w:tcPr/>
          <w:p>
            <w:pPr>
              <w:pStyle w:val="Tabla9"/>
              <w:jc w:val="left"/>
            </w:pPr>
            <w:r>
              <w:t xml:space="preserve">DOCUMENTADO</w:t>
            </w:r>
          </w:p>
        </w:tc>
        <w:tc>
          <w:tcPr/>
          <w:p>
            <w:pPr>
              <w:pStyle w:val="Tabla9"/>
              <w:jc w:val="left"/>
            </w:pPr>
            <w:r>
              <w:t xml:space="preserve">PARCIAL: secciones 1, 2, 3.1, 4.1, 8.4, 11 y anexos; artículos originales NO leídos</w:t>
            </w:r>
          </w:p>
        </w:tc>
        <w:tc>
          <w:tcPr/>
          <w:p>
            <w:pPr>
              <w:pStyle w:val="Tabla9"/>
              <w:jc w:val="left"/>
            </w:pPr>
            <w:r>
              <w:t xml:space="preserve">Fuente secundaria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Separación de dimensiones.</w:t>
      </w:r>
      <w:r>
        <w:t xml:space="preserve"> </w:t>
      </w:r>
      <w:r>
        <w:t xml:space="preserve">La autorrevisión no emite un veredicto global único. Cada dimensión tiene su estado.</w:t>
      </w:r>
    </w:p>
    <w:p>
      <w:pPr>
        <w:pStyle w:val="BodyText"/>
      </w:pPr>
      <w:r>
        <w:t xml:space="preserve">La Tabla F4.14 reúne los datos de «Separación de dimensiones».</w:t>
      </w:r>
    </w:p>
    <w:p>
      <w:pPr>
        <w:pStyle w:val="TablaRotulo"/>
      </w:pPr>
      <w:bookmarkStart w:id="9091" w:name="rot_Tabla_F4_14"/>
      <w:r>
        <w:rPr>
          <w:b/>
          <w:bCs/>
        </w:rPr>
        <w:t xml:space="preserve">Tabla F4.14</w:t>
      </w:r>
      <w:bookmarkEnd w:id="9091"/>
    </w:p>
    <w:p>
      <w:pPr>
        <w:pStyle w:val="TablaTitulo"/>
      </w:pPr>
      <w:r>
        <w:rPr>
          <w:i/>
          <w:iCs/>
        </w:rPr>
        <w:t xml:space="preserve">Separación de dimensiones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244"/>
        <w:gridCol w:w="1782"/>
        <w:gridCol w:w="3894"/>
      </w:tblGrid>
      <w:tr>
        <w:trPr>
          <w:cantSplit/>
          <w:tblHeader/>
        </w:trPr>
        <w:tc>
          <w:tcPr>
            <w:shd w:val="clear" w:color="auto" w:fill="00B050"/>
          </w:tcPr>
          <w:p>
            <w:pPr>
              <w:pStyle w:val="Tabla9"/>
              <w:jc w:val="center"/>
            </w:pPr>
            <w:r>
              <w:rPr>
                <w:b/>
                <w:color w:val="FFFFFF"/>
              </w:rPr>
              <w:t xml:space="preserve">Dimensión</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Evidencia y límite</w:t>
            </w:r>
          </w:p>
        </w:tc>
      </w:tr>
      <w:tr>
        <w:trPr>
          <w:cantSplit/>
        </w:trPr>
        <w:tc>
          <w:tcPr/>
          <w:p>
            <w:pPr>
              <w:pStyle w:val="Tabla9"/>
              <w:jc w:val="left"/>
            </w:pPr>
            <w:r>
              <w:t xml:space="preserve">CÁLCULO</w:t>
            </w:r>
          </w:p>
        </w:tc>
        <w:tc>
          <w:tcPr/>
          <w:p>
            <w:pPr>
              <w:pStyle w:val="Tabla9"/>
              <w:jc w:val="left"/>
            </w:pPr>
            <w:r>
              <w:t xml:space="preserve">EJECUTADO</w:t>
            </w:r>
          </w:p>
        </w:tc>
        <w:tc>
          <w:tcPr/>
          <w:p>
            <w:pPr>
              <w:pStyle w:val="Tabla9"/>
              <w:jc w:val="left"/>
            </w:pPr>
            <w:r>
              <w:t xml:space="preserve">Motor genesis_paritario_vm.py con SHA-256 comprobado. Cinco escenarios. La plantilla XLSX, recalculada con LibreOffice, reproduce A¹ a A⁶ en S0, S1 y S2. Cinco permutaciones de filas y columnas dan resultados idénticos tras restaurar los IDs.</w:t>
            </w:r>
          </w:p>
        </w:tc>
      </w:tr>
      <w:tr>
        <w:trPr>
          <w:cantSplit/>
        </w:trPr>
        <w:tc>
          <w:tcPr/>
          <w:p>
            <w:pPr>
              <w:pStyle w:val="Tabla9"/>
              <w:jc w:val="left"/>
            </w:pPr>
            <w:r>
              <w:t xml:space="preserve">COMPLETITUD DE FICHAS</w:t>
            </w:r>
          </w:p>
        </w:tc>
        <w:tc>
          <w:tcPr/>
          <w:p>
            <w:pPr>
              <w:pStyle w:val="Tabla9"/>
              <w:jc w:val="left"/>
            </w:pPr>
            <w:r>
              <w:t xml:space="preserve">105 de 105 fichas válidas por esquema</w:t>
            </w:r>
          </w:p>
        </w:tc>
        <w:tc>
          <w:tcPr/>
          <w:p>
            <w:pPr>
              <w:pStyle w:val="Tabla9"/>
              <w:jc w:val="left"/>
            </w:pPr>
            <w:r>
              <w:t xml:space="preserve">210 direcciones únicas; 0 errores de esquema. El esquema no prueba mecanismo, intensidad ni fuentes.</w:t>
            </w:r>
          </w:p>
        </w:tc>
      </w:tr>
      <w:tr>
        <w:trPr>
          <w:cantSplit/>
        </w:trPr>
        <w:tc>
          <w:tcPr/>
          <w:p>
            <w:pPr>
              <w:pStyle w:val="Tabla9"/>
              <w:jc w:val="left"/>
            </w:pPr>
            <w:r>
              <w:t xml:space="preserve">RESPALDO DOCUMENTAL</w:t>
            </w:r>
          </w:p>
        </w:tc>
        <w:tc>
          <w:tcPr/>
          <w:p>
            <w:pPr>
              <w:pStyle w:val="Tabla9"/>
              <w:jc w:val="left"/>
            </w:pPr>
            <w:r>
              <w:t xml:space="preserve">PARCIAL</w:t>
            </w:r>
          </w:p>
        </w:tc>
        <w:tc>
          <w:tcPr/>
          <w:p>
            <w:pPr>
              <w:pStyle w:val="Tabla9"/>
              <w:jc w:val="left"/>
            </w:pPr>
            <w:r>
              <w:t xml:space="preserve">De 48 direcciones no nulas, 22 citan el informe_FINAL, 19 citan solo el expediente E3 y 7 se apoyan en premisas. Ninguna fuente primaria fue leída. Las 162 direcciones nulas se apoyan en premisas de frontera y mediación.</w:t>
            </w:r>
          </w:p>
        </w:tc>
      </w:tr>
      <w:tr>
        <w:trPr>
          <w:cantSplit/>
        </w:trPr>
        <w:tc>
          <w:tcPr/>
          <w:p>
            <w:pPr>
              <w:pStyle w:val="Tabla9"/>
              <w:jc w:val="left"/>
            </w:pPr>
            <w:r>
              <w:t xml:space="preserve">RATIFICACIÓN</w:t>
            </w:r>
          </w:p>
        </w:tc>
        <w:tc>
          <w:tcPr/>
          <w:p>
            <w:pPr>
              <w:pStyle w:val="Tabla9"/>
              <w:jc w:val="left"/>
            </w:pPr>
            <w:r>
              <w:t xml:space="preserve">PENDIENTE</w:t>
            </w:r>
          </w:p>
        </w:tc>
        <w:tc>
          <w:tcPr/>
          <w:p>
            <w:pPr>
              <w:pStyle w:val="Tabla9"/>
              <w:jc w:val="left"/>
            </w:pPr>
            <w:r>
              <w:t xml:space="preserve">Cero adjudicaciones documentadas. Todo valor es PROPUESTO por la instancia analítica de esta corrida, sin panel humano.</w:t>
            </w:r>
          </w:p>
        </w:tc>
      </w:tr>
      <w:tr>
        <w:trPr>
          <w:cantSplit/>
        </w:trPr>
        <w:tc>
          <w:tcPr/>
          <w:p>
            <w:pPr>
              <w:pStyle w:val="Tabla9"/>
              <w:jc w:val="left"/>
            </w:pPr>
            <w:r>
              <w:t xml:space="preserve">ALCANCE</w:t>
            </w:r>
          </w:p>
        </w:tc>
        <w:tc>
          <w:tcPr/>
          <w:p>
            <w:pPr>
              <w:pStyle w:val="Tabla9"/>
              <w:jc w:val="left"/>
            </w:pPr>
            <w:r>
              <w:t xml:space="preserve">4.4 dentro de la cadena 4.3, 4.4, F4.4-MDR y 4.5</w:t>
            </w:r>
          </w:p>
        </w:tc>
        <w:tc>
          <w:tcPr/>
          <w:p>
            <w:pPr>
              <w:pStyle w:val="Tabla9"/>
              <w:jc w:val="left"/>
            </w:pPr>
            <w:r>
              <w:t xml:space="preserve">La corrida no incluye los pasos 5 y 6 ni los 21 capítulos ni el paquete 1000X.</w:t>
            </w:r>
          </w:p>
        </w:tc>
      </w:tr>
      <w:tr>
        <w:trPr>
          <w:cantSplit/>
        </w:trPr>
        <w:tc>
          <w:tcPr/>
          <w:p>
            <w:pPr>
              <w:pStyle w:val="Tabla9"/>
              <w:jc w:val="left"/>
            </w:pPr>
            <w:r>
              <w:t xml:space="preserve">ARTEFACTOS</w:t>
            </w:r>
          </w:p>
        </w:tc>
        <w:tc>
          <w:tcPr/>
          <w:p>
            <w:pPr>
              <w:pStyle w:val="Tabla9"/>
              <w:jc w:val="left"/>
            </w:pPr>
            <w:r>
              <w:t xml:space="preserve">Ver F4.4.14</w:t>
            </w:r>
          </w:p>
        </w:tc>
        <w:tc>
          <w:tcPr/>
          <w:p>
            <w:pPr>
              <w:pStyle w:val="Tabla9"/>
              <w:jc w:val="left"/>
            </w:pPr>
            <w:r>
              <w:t xml:space="preserve">XLSX oficial (artifact_tool): XLSX_PENDIENTE_POR_DEPENDENCIA. Se entregan CSV, JSON, SVG y tres libros derivados de la plantilla del usuario.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Conteos separados de fichas (H02).</w:t>
      </w:r>
      <w:r>
        <w:t xml:space="preserve"> </w:t>
      </w:r>
      <w:r>
        <w:t xml:space="preserve">Ningún contador mecánico equivale a verificación semántica.</w:t>
      </w:r>
    </w:p>
    <w:p>
      <w:pPr>
        <w:pStyle w:val="BodyText"/>
      </w:pPr>
      <w:r>
        <w:t xml:space="preserve">La Tabla F4.15 reúne los datos de «Conteos separados de fichas (H02)».</w:t>
      </w:r>
    </w:p>
    <w:p>
      <w:pPr>
        <w:pStyle w:val="TablaRotulo"/>
      </w:pPr>
      <w:bookmarkStart w:id="9092" w:name="rot_Tabla_F4_15"/>
      <w:r>
        <w:rPr>
          <w:b/>
          <w:bCs/>
        </w:rPr>
        <w:t xml:space="preserve">Tabla F4.15</w:t>
      </w:r>
      <w:bookmarkEnd w:id="9092"/>
    </w:p>
    <w:p>
      <w:pPr>
        <w:pStyle w:val="TablaTitulo"/>
      </w:pPr>
      <w:r>
        <w:rPr>
          <w:i/>
          <w:iCs/>
        </w:rPr>
        <w:t xml:space="preserve">Conteos separados de fichas (H02)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072"/>
        <w:gridCol w:w="1848"/>
      </w:tblGrid>
      <w:tr>
        <w:trPr>
          <w:cantSplit/>
          <w:tblHeader/>
        </w:trPr>
        <w:tc>
          <w:tcPr>
            <w:shd w:val="clear" w:color="auto" w:fill="00B050"/>
          </w:tcPr>
          <w:p>
            <w:pPr>
              <w:pStyle w:val="Tabla9"/>
              <w:jc w:val="center"/>
            </w:pPr>
            <w:r>
              <w:rPr>
                <w:b/>
                <w:color w:val="FFFFFF"/>
              </w:rPr>
              <w:t xml:space="preserve">Contador</w:t>
            </w:r>
          </w:p>
        </w:tc>
        <w:tc>
          <w:tcPr>
            <w:shd w:val="clear" w:color="auto" w:fill="00B050"/>
          </w:tcPr>
          <w:p>
            <w:pPr>
              <w:pStyle w:val="Tabla9"/>
              <w:jc w:val="center"/>
            </w:pPr>
            <w:r>
              <w:rPr>
                <w:b/>
                <w:color w:val="FFFFFF"/>
              </w:rPr>
              <w:t xml:space="preserve">Valor</w:t>
            </w:r>
          </w:p>
        </w:tc>
      </w:tr>
      <w:tr>
        <w:trPr>
          <w:cantSplit/>
        </w:trPr>
        <w:tc>
          <w:tcPr/>
          <w:p>
            <w:pPr>
              <w:pStyle w:val="Tabla9"/>
              <w:jc w:val="left"/>
            </w:pPr>
            <w:r>
              <w:t xml:space="preserve">Fichas recibidas</w:t>
            </w:r>
          </w:p>
        </w:tc>
        <w:tc>
          <w:tcPr/>
          <w:p>
            <w:pPr>
              <w:pStyle w:val="Tabla9"/>
              <w:jc w:val="left"/>
            </w:pPr>
            <w:r>
              <w:t xml:space="preserve">105</w:t>
            </w:r>
          </w:p>
        </w:tc>
      </w:tr>
      <w:tr>
        <w:trPr>
          <w:cantSplit/>
        </w:trPr>
        <w:tc>
          <w:tcPr/>
          <w:p>
            <w:pPr>
              <w:pStyle w:val="Tabla9"/>
              <w:jc w:val="left"/>
            </w:pPr>
            <w:r>
              <w:t xml:space="preserve">Fichas bidireccionales válidas</w:t>
            </w:r>
          </w:p>
        </w:tc>
        <w:tc>
          <w:tcPr/>
          <w:p>
            <w:pPr>
              <w:pStyle w:val="Tabla9"/>
              <w:jc w:val="left"/>
            </w:pPr>
            <w:r>
              <w:t xml:space="preserve">105</w:t>
            </w:r>
          </w:p>
        </w:tc>
      </w:tr>
      <w:tr>
        <w:trPr>
          <w:cantSplit/>
        </w:trPr>
        <w:tc>
          <w:tcPr/>
          <w:p>
            <w:pPr>
              <w:pStyle w:val="Tabla9"/>
              <w:jc w:val="left"/>
            </w:pPr>
            <w:r>
              <w:t xml:space="preserve">Fichas con justificación declarada</w:t>
            </w:r>
          </w:p>
        </w:tc>
        <w:tc>
          <w:tcPr/>
          <w:p>
            <w:pPr>
              <w:pStyle w:val="Tabla9"/>
              <w:jc w:val="left"/>
            </w:pPr>
            <w:r>
              <w:t xml:space="preserve">105</w:t>
            </w:r>
          </w:p>
        </w:tc>
      </w:tr>
      <w:tr>
        <w:trPr>
          <w:cantSplit/>
        </w:trPr>
        <w:tc>
          <w:tcPr/>
          <w:p>
            <w:pPr>
              <w:pStyle w:val="Tabla9"/>
              <w:jc w:val="left"/>
            </w:pPr>
            <w:r>
              <w:t xml:space="preserve">Fichas con dos valores propuestos</w:t>
            </w:r>
          </w:p>
        </w:tc>
        <w:tc>
          <w:tcPr/>
          <w:p>
            <w:pPr>
              <w:pStyle w:val="Tabla9"/>
              <w:jc w:val="left"/>
            </w:pPr>
            <w:r>
              <w:t xml:space="preserve">105</w:t>
            </w:r>
          </w:p>
        </w:tc>
      </w:tr>
      <w:tr>
        <w:trPr>
          <w:cantSplit/>
        </w:trPr>
        <w:tc>
          <w:tcPr/>
          <w:p>
            <w:pPr>
              <w:pStyle w:val="Tabla9"/>
              <w:jc w:val="left"/>
            </w:pPr>
            <w:r>
              <w:t xml:space="preserve">Fichas con adjudicación documentada</w:t>
            </w:r>
          </w:p>
        </w:tc>
        <w:tc>
          <w:tcPr/>
          <w:p>
            <w:pPr>
              <w:pStyle w:val="Tabla9"/>
              <w:jc w:val="left"/>
            </w:pPr>
            <w:r>
              <w:t xml:space="preserve">0</w:t>
            </w:r>
          </w:p>
        </w:tc>
      </w:tr>
      <w:tr>
        <w:trPr>
          <w:cantSplit/>
        </w:trPr>
        <w:tc>
          <w:tcPr/>
          <w:p>
            <w:pPr>
              <w:pStyle w:val="Tabla9"/>
              <w:jc w:val="left"/>
            </w:pPr>
            <w:r>
              <w:t xml:space="preserve">Direcciones recibidas únicas</w:t>
            </w:r>
          </w:p>
        </w:tc>
        <w:tc>
          <w:tcPr/>
          <w:p>
            <w:pPr>
              <w:pStyle w:val="Tabla9"/>
              <w:jc w:val="left"/>
            </w:pPr>
            <w:r>
              <w:t xml:space="preserve">210</w:t>
            </w:r>
          </w:p>
        </w:tc>
      </w:tr>
      <w:tr>
        <w:trPr>
          <w:cantSplit/>
        </w:trPr>
        <w:tc>
          <w:tcPr/>
          <w:p>
            <w:pPr>
              <w:pStyle w:val="Tabla9"/>
              <w:jc w:val="left"/>
            </w:pPr>
            <w:r>
              <w:t xml:space="preserve">Direcciones con justificación declarada</w:t>
            </w:r>
          </w:p>
        </w:tc>
        <w:tc>
          <w:tcPr/>
          <w:p>
            <w:pPr>
              <w:pStyle w:val="Tabla9"/>
              <w:jc w:val="left"/>
            </w:pPr>
            <w:r>
              <w:t xml:space="preserve">210</w:t>
            </w:r>
          </w:p>
        </w:tc>
      </w:tr>
      <w:tr>
        <w:trPr>
          <w:cantSplit/>
        </w:trPr>
        <w:tc>
          <w:tcPr/>
          <w:p>
            <w:pPr>
              <w:pStyle w:val="Tabla9"/>
              <w:jc w:val="left"/>
            </w:pPr>
            <w:r>
              <w:t xml:space="preserve">Direcciones con valor propuesto</w:t>
            </w:r>
          </w:p>
        </w:tc>
        <w:tc>
          <w:tcPr/>
          <w:p>
            <w:pPr>
              <w:pStyle w:val="Tabla9"/>
              <w:jc w:val="left"/>
            </w:pPr>
            <w:r>
              <w:t xml:space="preserve">210</w:t>
            </w:r>
          </w:p>
        </w:tc>
      </w:tr>
      <w:tr>
        <w:trPr>
          <w:cantSplit/>
        </w:trPr>
        <w:tc>
          <w:tcPr/>
          <w:p>
            <w:pPr>
              <w:pStyle w:val="Tabla9"/>
              <w:jc w:val="left"/>
            </w:pPr>
            <w:r>
              <w:t xml:space="preserve">Direcciones con adjudicación documentada</w:t>
            </w:r>
          </w:p>
        </w:tc>
        <w:tc>
          <w:tcPr/>
          <w:p>
            <w:pPr>
              <w:pStyle w:val="Tabla9"/>
              <w:jc w:val="left"/>
            </w:pPr>
            <w:r>
              <w:t xml:space="preserve">0</w:t>
            </w:r>
          </w:p>
        </w:tc>
      </w:tr>
      <w:tr>
        <w:trPr>
          <w:cantSplit/>
        </w:trPr>
        <w:tc>
          <w:tcPr/>
          <w:p>
            <w:pPr>
              <w:pStyle w:val="Tabla9"/>
              <w:jc w:val="left"/>
            </w:pPr>
            <w:r>
              <w:t xml:space="preserve">Fichas verificadas semánticamente</w:t>
            </w:r>
          </w:p>
        </w:tc>
        <w:tc>
          <w:tcPr/>
          <w:p>
            <w:pPr>
              <w:pStyle w:val="Tabla9"/>
              <w:jc w:val="left"/>
            </w:pPr>
            <w:r>
              <w:t xml:space="preserve">no medido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Naturaleza de las 48 direcciones no nulas.</w:t>
      </w:r>
      <w:r>
        <w:t xml:space="preserve"> </w:t>
      </w:r>
      <w:r>
        <w:t xml:space="preserve">INFERIDO: 27; PROPUESTO: 11; SUPUESTO: 8; DOCUMENTADO: 2. Las dos direcciones DOCUMENTADO (V03→V06 y V04→V01) se apoyan en citas secundarias del informe_FINAL.</w:t>
      </w:r>
    </w:p>
    <w:p>
      <w:pPr>
        <w:pStyle w:val="BodyText"/>
      </w:pPr>
      <w:r>
        <w:rPr>
          <w:b/>
          <w:bCs/>
        </w:rPr>
        <w:t xml:space="preserve">Reservas vigentes.</w:t>
      </w:r>
    </w:p>
    <w:p>
      <w:pPr>
        <w:numPr>
          <w:ilvl w:val="0"/>
          <w:numId w:val="1001"/>
        </w:numPr>
      </w:pPr>
      <w:r>
        <w:t xml:space="preserve">R-01. El territorio (Caldas, Cundinamarca, Valle del Cauca) y la alianza son SUPUESTO por instrucción del usuario. No existen términos de referencia en el expediente (F_TDR_MINCIENCIAS no aportado).</w:t>
      </w:r>
    </w:p>
    <w:p>
      <w:pPr>
        <w:numPr>
          <w:ilvl w:val="0"/>
          <w:numId w:val="1001"/>
        </w:numPr>
      </w:pPr>
      <w:r>
        <w:t xml:space="preserve">R-02. Los valores heredados de E3 conservan su estado DECLARADO. El rótulo DOCUMENTADO de E3-P04 para V03→V01 y V03→V02 carece de localizador y no se acepta.</w:t>
      </w:r>
    </w:p>
    <w:p>
      <w:pPr>
        <w:numPr>
          <w:ilvl w:val="0"/>
          <w:numId w:val="1001"/>
        </w:numPr>
      </w:pPr>
      <w:r>
        <w:t xml:space="preserve">R-03. VACIO V-DIC-01: el diccionario no precisa si V01 y V02 son concentración real o medida. VACIO V-DIC-02: V10 puede ser densidad nominal o efectiva. VACIO V-DIC-03: V06 puede referirse al sensor o al producto de red.</w:t>
      </w:r>
    </w:p>
    <w:p>
      <w:pPr>
        <w:numPr>
          <w:ilvl w:val="0"/>
          <w:numId w:val="1001"/>
        </w:numPr>
      </w:pPr>
      <w:r>
        <w:t xml:space="preserve">R-04. VACIO V-AQHI-01: la fórmula local del índice V11 no figura en el expediente.</w:t>
      </w:r>
    </w:p>
    <w:p>
      <w:pPr>
        <w:numPr>
          <w:ilvl w:val="0"/>
          <w:numId w:val="1001"/>
        </w:numPr>
      </w:pPr>
      <w:r>
        <w:t xml:space="preserve">R-05. VACIO V-LLUVIA-01 y V-VIENTO-01: no hay variable de precipitación ni umbral operativo de viento.</w:t>
      </w:r>
    </w:p>
    <w:p>
      <w:pPr>
        <w:numPr>
          <w:ilvl w:val="0"/>
          <w:numId w:val="1001"/>
        </w:numPr>
      </w:pPr>
      <w:r>
        <w:t xml:space="preserve">R-06. La iteración previa atribuyó a la patente Ali et al. (2022) un respaldo empírico que el informe_FINAL niega; esa cita no respalda mecanismo alguno.</w:t>
      </w:r>
    </w:p>
    <w:bookmarkEnd w:id="159"/>
    <w:bookmarkStart w:id="160" w:name="X0dfc0f4150a47e06a88cbb53cea87e9bc88a566"/>
    <w:p>
      <w:pPr>
        <w:pStyle w:val="Heading3"/>
      </w:pPr>
      <w:r>
        <w:t xml:space="preserve">F4.4.2 Diccionario revisado y tabla de escala con anclas y límites</w:t>
      </w:r>
    </w:p>
    <w:p>
      <w:pPr>
        <w:pStyle w:val="FirstParagraph"/>
      </w:pPr>
      <w:r>
        <w:t xml:space="preserve">El diccionario conserva los 15 identificadores y las definiciones operacionales de E3-P01. No se agregan ni se retiran variables. La revisión añade el sentido de aumento y las observaciones de ambigüedad.</w:t>
      </w:r>
    </w:p>
    <w:p>
      <w:pPr>
        <w:pStyle w:val="BodyText"/>
      </w:pPr>
      <w:r>
        <w:rPr>
          <w:b/>
          <w:bCs/>
        </w:rPr>
        <w:t xml:space="preserve">Frontera y horizonte.</w:t>
      </w:r>
      <w:r>
        <w:t xml:space="preserve"> </w:t>
      </w:r>
      <w:r>
        <w:t xml:space="preserve">Frontera: red IoT de material particulado en sitios de remoción de escombros, con territorio y alianza como SUPUESTO. Horizonte H: 24 meses de ejecución más 12 meses posproyecto (36 meses). El horizonte es una propuesta de esta corrida; E3 no lo fija.</w:t>
      </w:r>
    </w:p>
    <w:p>
      <w:pPr>
        <w:pStyle w:val="BodyText"/>
      </w:pPr>
      <w:r>
        <w:t xml:space="preserve">La Tabla F4.16 reúne los datos de «Frontera y horizonte».</w:t>
      </w:r>
    </w:p>
    <w:p>
      <w:pPr>
        <w:pStyle w:val="TablaRotulo"/>
      </w:pPr>
      <w:bookmarkStart w:id="9093" w:name="rot_Tabla_F4_16"/>
      <w:r>
        <w:rPr>
          <w:b/>
          <w:bCs/>
        </w:rPr>
        <w:t xml:space="preserve">Tabla F4.16</w:t>
      </w:r>
      <w:bookmarkEnd w:id="9093"/>
    </w:p>
    <w:p>
      <w:pPr>
        <w:pStyle w:val="TablaTitulo"/>
      </w:pPr>
      <w:r>
        <w:rPr>
          <w:i/>
          <w:iCs/>
        </w:rPr>
        <w:t xml:space="preserve">Frontera y horizonte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28"/>
        <w:gridCol w:w="1716"/>
        <w:gridCol w:w="1320"/>
        <w:gridCol w:w="858"/>
        <w:gridCol w:w="1584"/>
        <w:gridCol w:w="1914"/>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Variable</w:t>
            </w:r>
          </w:p>
        </w:tc>
        <w:tc>
          <w:tcPr>
            <w:shd w:val="clear" w:color="auto" w:fill="00B050"/>
          </w:tcPr>
          <w:p>
            <w:pPr>
              <w:pStyle w:val="Tabla9"/>
              <w:jc w:val="center"/>
            </w:pPr>
            <w:r>
              <w:rPr>
                <w:b/>
                <w:color w:val="FFFFFF"/>
              </w:rPr>
              <w:t xml:space="preserve">Definición operacional (unidad)</w:t>
            </w:r>
          </w:p>
        </w:tc>
        <w:tc>
          <w:tcPr>
            <w:shd w:val="clear" w:color="auto" w:fill="00B050"/>
          </w:tcPr>
          <w:p>
            <w:pPr>
              <w:pStyle w:val="Tabla9"/>
              <w:jc w:val="center"/>
            </w:pPr>
            <w:r>
              <w:rPr>
                <w:b/>
                <w:color w:val="FFFFFF"/>
              </w:rPr>
              <w:t xml:space="preserve">Bloque</w:t>
            </w:r>
          </w:p>
        </w:tc>
        <w:tc>
          <w:tcPr>
            <w:shd w:val="clear" w:color="auto" w:fill="00B050"/>
          </w:tcPr>
          <w:p>
            <w:pPr>
              <w:pStyle w:val="Tabla9"/>
              <w:jc w:val="center"/>
            </w:pPr>
            <w:r>
              <w:rPr>
                <w:b/>
                <w:color w:val="FFFFFF"/>
              </w:rPr>
              <w:t xml:space="preserve">Sentido de aumento</w:t>
            </w:r>
          </w:p>
        </w:tc>
        <w:tc>
          <w:tcPr>
            <w:shd w:val="clear" w:color="auto" w:fill="00B050"/>
          </w:tcPr>
          <w:p>
            <w:pPr>
              <w:pStyle w:val="Tabla9"/>
              <w:jc w:val="center"/>
            </w:pPr>
            <w:r>
              <w:rPr>
                <w:b/>
                <w:color w:val="FFFFFF"/>
              </w:rPr>
              <w:t xml:space="preserve">Observación de revisión</w:t>
            </w:r>
          </w:p>
        </w:tc>
      </w:tr>
      <w:tr>
        <w:trPr>
          <w:cantSplit/>
        </w:trPr>
        <w:tc>
          <w:tcPr/>
          <w:p>
            <w:pPr>
              <w:pStyle w:val="Tabla9"/>
              <w:jc w:val="left"/>
            </w:pPr>
            <w:r>
              <w:t xml:space="preserve">V01</w:t>
            </w:r>
          </w:p>
        </w:tc>
        <w:tc>
          <w:tcPr/>
          <w:p>
            <w:pPr>
              <w:pStyle w:val="Tabla9"/>
              <w:jc w:val="left"/>
            </w:pPr>
            <w:r>
              <w:t xml:space="preserve">Concentración PM2.5</w:t>
            </w:r>
          </w:p>
        </w:tc>
        <w:tc>
          <w:tcPr/>
          <w:p>
            <w:pPr>
              <w:pStyle w:val="Tabla9"/>
              <w:jc w:val="left"/>
            </w:pPr>
            <w:r>
              <w:t xml:space="preserve">Masa de partículas &lt;2,5 µm (µg/m³).</w:t>
            </w:r>
          </w:p>
        </w:tc>
        <w:tc>
          <w:tcPr/>
          <w:p>
            <w:pPr>
              <w:pStyle w:val="Tabla9"/>
              <w:jc w:val="left"/>
            </w:pPr>
            <w:r>
              <w:t xml:space="preserve">FIS</w:t>
            </w:r>
          </w:p>
        </w:tc>
        <w:tc>
          <w:tcPr/>
          <w:p>
            <w:pPr>
              <w:pStyle w:val="Tabla9"/>
              <w:jc w:val="left"/>
            </w:pPr>
            <w:r>
              <w:t xml:space="preserve">mayor concentración</w:t>
            </w:r>
          </w:p>
        </w:tc>
        <w:tc>
          <w:tcPr/>
          <w:p>
            <w:pPr>
              <w:pStyle w:val="Tabla9"/>
              <w:jc w:val="left"/>
            </w:pPr>
            <w:r>
              <w:t xml:space="preserve">Incluida en V02 por tamaño de partícula.</w:t>
            </w:r>
          </w:p>
        </w:tc>
      </w:tr>
      <w:tr>
        <w:trPr>
          <w:cantSplit/>
        </w:trPr>
        <w:tc>
          <w:tcPr/>
          <w:p>
            <w:pPr>
              <w:pStyle w:val="Tabla9"/>
              <w:jc w:val="left"/>
            </w:pPr>
            <w:r>
              <w:t xml:space="preserve">V02</w:t>
            </w:r>
          </w:p>
        </w:tc>
        <w:tc>
          <w:tcPr/>
          <w:p>
            <w:pPr>
              <w:pStyle w:val="Tabla9"/>
              <w:jc w:val="left"/>
            </w:pPr>
            <w:r>
              <w:t xml:space="preserve">Concentración PM10</w:t>
            </w:r>
          </w:p>
        </w:tc>
        <w:tc>
          <w:tcPr/>
          <w:p>
            <w:pPr>
              <w:pStyle w:val="Tabla9"/>
              <w:jc w:val="left"/>
            </w:pPr>
            <w:r>
              <w:t xml:space="preserve">Masa de partículas &lt;10 µm (µg/m³).</w:t>
            </w:r>
          </w:p>
        </w:tc>
        <w:tc>
          <w:tcPr/>
          <w:p>
            <w:pPr>
              <w:pStyle w:val="Tabla9"/>
              <w:jc w:val="left"/>
            </w:pPr>
            <w:r>
              <w:t xml:space="preserve">FIS</w:t>
            </w:r>
          </w:p>
        </w:tc>
        <w:tc>
          <w:tcPr/>
          <w:p>
            <w:pPr>
              <w:pStyle w:val="Tabla9"/>
              <w:jc w:val="left"/>
            </w:pPr>
            <w:r>
              <w:t xml:space="preserve">mayor concentración</w:t>
            </w:r>
          </w:p>
        </w:tc>
        <w:tc>
          <w:tcPr/>
          <w:p>
            <w:pPr>
              <w:pStyle w:val="Tabla9"/>
              <w:jc w:val="left"/>
            </w:pPr>
            <w:r>
              <w:t xml:space="preserve">Incluye la masa de V01; se propone redefinirla como fracción gruesa (PM10 menos PM2,5) en una versión posterior.</w:t>
            </w:r>
          </w:p>
        </w:tc>
      </w:tr>
      <w:tr>
        <w:trPr>
          <w:cantSplit/>
        </w:trPr>
        <w:tc>
          <w:tcPr/>
          <w:p>
            <w:pPr>
              <w:pStyle w:val="Tabla9"/>
              <w:jc w:val="left"/>
            </w:pPr>
            <w:r>
              <w:t xml:space="preserve">V03</w:t>
            </w:r>
          </w:p>
        </w:tc>
        <w:tc>
          <w:tcPr/>
          <w:p>
            <w:pPr>
              <w:pStyle w:val="Tabla9"/>
              <w:jc w:val="left"/>
            </w:pPr>
            <w:r>
              <w:t xml:space="preserve">Humedad relativa</w:t>
            </w:r>
          </w:p>
        </w:tc>
        <w:tc>
          <w:tcPr/>
          <w:p>
            <w:pPr>
              <w:pStyle w:val="Tabla9"/>
              <w:jc w:val="left"/>
            </w:pPr>
            <w:r>
              <w:t xml:space="preserve">Saturación de vapor de agua (%).</w:t>
            </w:r>
          </w:p>
        </w:tc>
        <w:tc>
          <w:tcPr/>
          <w:p>
            <w:pPr>
              <w:pStyle w:val="Tabla9"/>
              <w:jc w:val="left"/>
            </w:pPr>
            <w:r>
              <w:t xml:space="preserve">FIS</w:t>
            </w:r>
          </w:p>
        </w:tc>
        <w:tc>
          <w:tcPr/>
          <w:p>
            <w:pPr>
              <w:pStyle w:val="Tabla9"/>
              <w:jc w:val="left"/>
            </w:pPr>
            <w:r>
              <w:t xml:space="preserve">mayor humedad</w:t>
            </w:r>
          </w:p>
        </w:tc>
        <w:tc>
          <w:tcPr/>
          <w:p>
            <w:pPr>
              <w:pStyle w:val="Tabla9"/>
              <w:jc w:val="left"/>
            </w:pPr>
            <w:r>
              <w:t xml:space="preserve">Exógena; sin variable de precipitación en el modelo.</w:t>
            </w:r>
          </w:p>
        </w:tc>
      </w:tr>
      <w:tr>
        <w:trPr>
          <w:cantSplit/>
        </w:trPr>
        <w:tc>
          <w:tcPr/>
          <w:p>
            <w:pPr>
              <w:pStyle w:val="Tabla9"/>
              <w:jc w:val="left"/>
            </w:pPr>
            <w:r>
              <w:t xml:space="preserve">V04</w:t>
            </w:r>
          </w:p>
        </w:tc>
        <w:tc>
          <w:tcPr/>
          <w:p>
            <w:pPr>
              <w:pStyle w:val="Tabla9"/>
              <w:jc w:val="left"/>
            </w:pPr>
            <w:r>
              <w:t xml:space="preserve">Velocidad del viento</w:t>
            </w:r>
          </w:p>
        </w:tc>
        <w:tc>
          <w:tcPr/>
          <w:p>
            <w:pPr>
              <w:pStyle w:val="Tabla9"/>
              <w:jc w:val="left"/>
            </w:pPr>
            <w:r>
              <w:t xml:space="preserve">Fuerza de dispersión eólica superficial (m/s).</w:t>
            </w:r>
          </w:p>
        </w:tc>
        <w:tc>
          <w:tcPr/>
          <w:p>
            <w:pPr>
              <w:pStyle w:val="Tabla9"/>
              <w:jc w:val="left"/>
            </w:pPr>
            <w:r>
              <w:t xml:space="preserve">FIS</w:t>
            </w:r>
          </w:p>
        </w:tc>
        <w:tc>
          <w:tcPr/>
          <w:p>
            <w:pPr>
              <w:pStyle w:val="Tabla9"/>
              <w:jc w:val="left"/>
            </w:pPr>
            <w:r>
              <w:t xml:space="preserve">mayor velocidad</w:t>
            </w:r>
          </w:p>
        </w:tc>
        <w:tc>
          <w:tcPr/>
          <w:p>
            <w:pPr>
              <w:pStyle w:val="Tabla9"/>
              <w:jc w:val="left"/>
            </w:pPr>
            <w:r>
              <w:t xml:space="preserve">Exógena; la dirección del viento no figura en el modelo.</w:t>
            </w:r>
          </w:p>
        </w:tc>
      </w:tr>
      <w:tr>
        <w:trPr>
          <w:cantSplit/>
        </w:trPr>
        <w:tc>
          <w:tcPr/>
          <w:p>
            <w:pPr>
              <w:pStyle w:val="Tabla9"/>
              <w:jc w:val="left"/>
            </w:pPr>
            <w:r>
              <w:t xml:space="preserve">V05</w:t>
            </w:r>
          </w:p>
        </w:tc>
        <w:tc>
          <w:tcPr/>
          <w:p>
            <w:pPr>
              <w:pStyle w:val="Tabla9"/>
              <w:jc w:val="left"/>
            </w:pPr>
            <w:r>
              <w:t xml:space="preserve">Volumen de escombros</w:t>
            </w:r>
          </w:p>
        </w:tc>
        <w:tc>
          <w:tcPr/>
          <w:p>
            <w:pPr>
              <w:pStyle w:val="Tabla9"/>
              <w:jc w:val="left"/>
            </w:pPr>
            <w:r>
              <w:t xml:space="preserve">Residuos removidos tras el sismo (t/día).</w:t>
            </w:r>
          </w:p>
        </w:tc>
        <w:tc>
          <w:tcPr/>
          <w:p>
            <w:pPr>
              <w:pStyle w:val="Tabla9"/>
              <w:jc w:val="left"/>
            </w:pPr>
            <w:r>
              <w:t xml:space="preserve">FIS</w:t>
            </w:r>
          </w:p>
        </w:tc>
        <w:tc>
          <w:tcPr/>
          <w:p>
            <w:pPr>
              <w:pStyle w:val="Tabla9"/>
              <w:jc w:val="left"/>
            </w:pPr>
            <w:r>
              <w:t xml:space="preserve">mayor volumen removido</w:t>
            </w:r>
          </w:p>
        </w:tc>
        <w:tc>
          <w:tcPr/>
          <w:p>
            <w:pPr>
              <w:pStyle w:val="Tabla9"/>
              <w:jc w:val="left"/>
            </w:pPr>
            <w:r>
              <w:t xml:space="preserve">Variable de actividad; modificable por decisión institucional.</w:t>
            </w:r>
          </w:p>
        </w:tc>
      </w:tr>
      <w:tr>
        <w:trPr>
          <w:cantSplit/>
        </w:trPr>
        <w:tc>
          <w:tcPr/>
          <w:p>
            <w:pPr>
              <w:pStyle w:val="Tabla9"/>
              <w:jc w:val="left"/>
            </w:pPr>
            <w:r>
              <w:t xml:space="preserve">V06</w:t>
            </w:r>
          </w:p>
        </w:tc>
        <w:tc>
          <w:tcPr/>
          <w:p>
            <w:pPr>
              <w:pStyle w:val="Tabla9"/>
              <w:jc w:val="left"/>
            </w:pPr>
            <w:r>
              <w:t xml:space="preserve">Error de medición IoT</w:t>
            </w:r>
          </w:p>
        </w:tc>
        <w:tc>
          <w:tcPr/>
          <w:p>
            <w:pPr>
              <w:pStyle w:val="Tabla9"/>
              <w:jc w:val="left"/>
            </w:pPr>
            <w:r>
              <w:t xml:space="preserve">Desfase metrológico del sensor láser (NMAE %).</w:t>
            </w:r>
          </w:p>
        </w:tc>
        <w:tc>
          <w:tcPr/>
          <w:p>
            <w:pPr>
              <w:pStyle w:val="Tabla9"/>
              <w:jc w:val="left"/>
            </w:pPr>
            <w:r>
              <w:t xml:space="preserve">TEC</w:t>
            </w:r>
          </w:p>
        </w:tc>
        <w:tc>
          <w:tcPr/>
          <w:p>
            <w:pPr>
              <w:pStyle w:val="Tabla9"/>
              <w:jc w:val="left"/>
            </w:pPr>
            <w:r>
              <w:t xml:space="preserve">mayor error</w:t>
            </w:r>
          </w:p>
        </w:tc>
        <w:tc>
          <w:tcPr/>
          <w:p>
            <w:pPr>
              <w:pStyle w:val="Tabla9"/>
              <w:jc w:val="left"/>
            </w:pPr>
            <w:r>
              <w:t xml:space="preserve">Se define para el sensor individual; el error del producto de red es otro objeto.</w:t>
            </w:r>
          </w:p>
        </w:tc>
      </w:tr>
      <w:tr>
        <w:trPr>
          <w:cantSplit/>
        </w:trPr>
        <w:tc>
          <w:tcPr/>
          <w:p>
            <w:pPr>
              <w:pStyle w:val="Tabla9"/>
              <w:jc w:val="left"/>
            </w:pPr>
            <w:r>
              <w:t xml:space="preserve">V07</w:t>
            </w:r>
          </w:p>
        </w:tc>
        <w:tc>
          <w:tcPr/>
          <w:p>
            <w:pPr>
              <w:pStyle w:val="Tabla9"/>
              <w:jc w:val="left"/>
            </w:pPr>
            <w:r>
              <w:t xml:space="preserve">Frecuencia de calibración</w:t>
            </w:r>
          </w:p>
        </w:tc>
        <w:tc>
          <w:tcPr/>
          <w:p>
            <w:pPr>
              <w:pStyle w:val="Tabla9"/>
              <w:jc w:val="left"/>
            </w:pPr>
            <w:r>
              <w:t xml:space="preserve">Tasa de ajuste algorítmico del gemelo (ajustes/semana).</w:t>
            </w:r>
          </w:p>
        </w:tc>
        <w:tc>
          <w:tcPr/>
          <w:p>
            <w:pPr>
              <w:pStyle w:val="Tabla9"/>
              <w:jc w:val="left"/>
            </w:pPr>
            <w:r>
              <w:t xml:space="preserve">TEC</w:t>
            </w:r>
          </w:p>
        </w:tc>
        <w:tc>
          <w:tcPr/>
          <w:p>
            <w:pPr>
              <w:pStyle w:val="Tabla9"/>
              <w:jc w:val="left"/>
            </w:pPr>
            <w:r>
              <w:t xml:space="preserve">más ajustes por semana</w:t>
            </w:r>
          </w:p>
        </w:tc>
        <w:tc>
          <w:tcPr/>
          <w:p>
            <w:pPr>
              <w:pStyle w:val="Tabla9"/>
              <w:jc w:val="left"/>
            </w:pPr>
            <w:r>
              <w:t xml:space="preserve">Variable de operación; palanca de diseño.</w:t>
            </w:r>
          </w:p>
        </w:tc>
      </w:tr>
      <w:tr>
        <w:trPr>
          <w:cantSplit/>
        </w:trPr>
        <w:tc>
          <w:tcPr/>
          <w:p>
            <w:pPr>
              <w:pStyle w:val="Tabla9"/>
              <w:jc w:val="left"/>
            </w:pPr>
            <w:r>
              <w:t xml:space="preserve">V08</w:t>
            </w:r>
          </w:p>
        </w:tc>
        <w:tc>
          <w:tcPr/>
          <w:p>
            <w:pPr>
              <w:pStyle w:val="Tabla9"/>
              <w:jc w:val="left"/>
            </w:pPr>
            <w:r>
              <w:t xml:space="preserve">Latencia de datos</w:t>
            </w:r>
          </w:p>
        </w:tc>
        <w:tc>
          <w:tcPr/>
          <w:p>
            <w:pPr>
              <w:pStyle w:val="Tabla9"/>
              <w:jc w:val="left"/>
            </w:pPr>
            <w:r>
              <w:t xml:space="preserve">Retraso en la transmisión a la nube central (minutos).</w:t>
            </w:r>
          </w:p>
        </w:tc>
        <w:tc>
          <w:tcPr/>
          <w:p>
            <w:pPr>
              <w:pStyle w:val="Tabla9"/>
              <w:jc w:val="left"/>
            </w:pPr>
            <w:r>
              <w:t xml:space="preserve">TEC</w:t>
            </w:r>
          </w:p>
        </w:tc>
        <w:tc>
          <w:tcPr/>
          <w:p>
            <w:pPr>
              <w:pStyle w:val="Tabla9"/>
              <w:jc w:val="left"/>
            </w:pPr>
            <w:r>
              <w:t xml:space="preserve">mayor retraso</w:t>
            </w:r>
          </w:p>
        </w:tc>
        <w:tc>
          <w:tcPr/>
          <w:p>
            <w:pPr>
              <w:pStyle w:val="Tabla9"/>
              <w:jc w:val="left"/>
            </w:pPr>
            <w:r>
              <w:t xml:space="preserve">No distingue retraso de red y desfase temporal sensor-estación.</w:t>
            </w:r>
          </w:p>
        </w:tc>
      </w:tr>
      <w:tr>
        <w:trPr>
          <w:cantSplit/>
        </w:trPr>
        <w:tc>
          <w:tcPr/>
          <w:p>
            <w:pPr>
              <w:pStyle w:val="Tabla9"/>
              <w:jc w:val="left"/>
            </w:pPr>
            <w:r>
              <w:t xml:space="preserve">V09</w:t>
            </w:r>
          </w:p>
        </w:tc>
        <w:tc>
          <w:tcPr/>
          <w:p>
            <w:pPr>
              <w:pStyle w:val="Tabla9"/>
              <w:jc w:val="left"/>
            </w:pPr>
            <w:r>
              <w:t xml:space="preserve">Disponibilidad de nodos IoT</w:t>
            </w:r>
          </w:p>
        </w:tc>
        <w:tc>
          <w:tcPr/>
          <w:p>
            <w:pPr>
              <w:pStyle w:val="Tabla9"/>
              <w:jc w:val="left"/>
            </w:pPr>
            <w:r>
              <w:t xml:space="preserve">Porcentaje de la red de sensores activa y con energía (%).</w:t>
            </w:r>
          </w:p>
        </w:tc>
        <w:tc>
          <w:tcPr/>
          <w:p>
            <w:pPr>
              <w:pStyle w:val="Tabla9"/>
              <w:jc w:val="left"/>
            </w:pPr>
            <w:r>
              <w:t xml:space="preserve">TEC</w:t>
            </w:r>
          </w:p>
        </w:tc>
        <w:tc>
          <w:tcPr/>
          <w:p>
            <w:pPr>
              <w:pStyle w:val="Tabla9"/>
              <w:jc w:val="left"/>
            </w:pPr>
            <w:r>
              <w:t xml:space="preserve">más nodos activos con energía</w:t>
            </w:r>
          </w:p>
        </w:tc>
        <w:tc>
          <w:tcPr/>
          <w:p>
            <w:pPr>
              <w:pStyle w:val="Tabla9"/>
              <w:jc w:val="left"/>
            </w:pPr>
            <w:r>
              <w:t xml:space="preserve">Condiciona la lectura efectiva de V10.</w:t>
            </w:r>
          </w:p>
        </w:tc>
      </w:tr>
      <w:tr>
        <w:trPr>
          <w:cantSplit/>
        </w:trPr>
        <w:tc>
          <w:tcPr/>
          <w:p>
            <w:pPr>
              <w:pStyle w:val="Tabla9"/>
              <w:jc w:val="left"/>
            </w:pPr>
            <w:r>
              <w:t xml:space="preserve">V10</w:t>
            </w:r>
          </w:p>
        </w:tc>
        <w:tc>
          <w:tcPr/>
          <w:p>
            <w:pPr>
              <w:pStyle w:val="Tabla9"/>
              <w:jc w:val="left"/>
            </w:pPr>
            <w:r>
              <w:t xml:space="preserve">Densidad del gemelo</w:t>
            </w:r>
          </w:p>
        </w:tc>
        <w:tc>
          <w:tcPr/>
          <w:p>
            <w:pPr>
              <w:pStyle w:val="Tabla9"/>
              <w:jc w:val="left"/>
            </w:pPr>
            <w:r>
              <w:t xml:space="preserve">Resolución del mapa predictivo espacial (nodos/km²).</w:t>
            </w:r>
          </w:p>
        </w:tc>
        <w:tc>
          <w:tcPr/>
          <w:p>
            <w:pPr>
              <w:pStyle w:val="Tabla9"/>
              <w:jc w:val="left"/>
            </w:pPr>
            <w:r>
              <w:t xml:space="preserve">TEC</w:t>
            </w:r>
          </w:p>
        </w:tc>
        <w:tc>
          <w:tcPr/>
          <w:p>
            <w:pPr>
              <w:pStyle w:val="Tabla9"/>
              <w:jc w:val="left"/>
            </w:pPr>
            <w:r>
              <w:t xml:space="preserve">mayor densidad efectiva o nominal (ambigua)</w:t>
            </w:r>
          </w:p>
        </w:tc>
        <w:tc>
          <w:tcPr/>
          <w:p>
            <w:pPr>
              <w:pStyle w:val="Tabla9"/>
              <w:jc w:val="left"/>
            </w:pPr>
            <w:r>
              <w:t xml:space="preserve">Ambigua entre densidad nominal de diseño y resolución efectiva.</w:t>
            </w:r>
          </w:p>
        </w:tc>
      </w:tr>
      <w:tr>
        <w:trPr>
          <w:cantSplit/>
        </w:trPr>
        <w:tc>
          <w:tcPr/>
          <w:p>
            <w:pPr>
              <w:pStyle w:val="Tabla9"/>
              <w:jc w:val="left"/>
            </w:pPr>
            <w:r>
              <w:t xml:space="preserve">V11</w:t>
            </w:r>
          </w:p>
        </w:tc>
        <w:tc>
          <w:tcPr/>
          <w:p>
            <w:pPr>
              <w:pStyle w:val="Tabla9"/>
              <w:jc w:val="left"/>
            </w:pPr>
            <w:r>
              <w:t xml:space="preserve">Índice AQHI</w:t>
            </w:r>
          </w:p>
        </w:tc>
        <w:tc>
          <w:tcPr/>
          <w:p>
            <w:pPr>
              <w:pStyle w:val="Tabla9"/>
              <w:jc w:val="left"/>
            </w:pPr>
            <w:r>
              <w:t xml:space="preserve">Nivel de peligro de salud pública emitido (escala 1-10).</w:t>
            </w:r>
          </w:p>
        </w:tc>
        <w:tc>
          <w:tcPr/>
          <w:p>
            <w:pPr>
              <w:pStyle w:val="Tabla9"/>
              <w:jc w:val="left"/>
            </w:pPr>
            <w:r>
              <w:t xml:space="preserve">DEC</w:t>
            </w:r>
          </w:p>
        </w:tc>
        <w:tc>
          <w:tcPr/>
          <w:p>
            <w:pPr>
              <w:pStyle w:val="Tabla9"/>
              <w:jc w:val="left"/>
            </w:pPr>
            <w:r>
              <w:t xml:space="preserve">mayor peligro</w:t>
            </w:r>
          </w:p>
        </w:tc>
        <w:tc>
          <w:tcPr/>
          <w:p>
            <w:pPr>
              <w:pStyle w:val="Tabla9"/>
              <w:jc w:val="left"/>
            </w:pPr>
            <w:r>
              <w:t xml:space="preserve">Fórmula local no disponible en el expediente.</w:t>
            </w:r>
          </w:p>
        </w:tc>
      </w:tr>
      <w:tr>
        <w:trPr>
          <w:cantSplit/>
        </w:trPr>
        <w:tc>
          <w:tcPr/>
          <w:p>
            <w:pPr>
              <w:pStyle w:val="Tabla9"/>
              <w:jc w:val="left"/>
            </w:pPr>
            <w:r>
              <w:t xml:space="preserve">V12</w:t>
            </w:r>
          </w:p>
        </w:tc>
        <w:tc>
          <w:tcPr/>
          <w:p>
            <w:pPr>
              <w:pStyle w:val="Tabla9"/>
              <w:jc w:val="left"/>
            </w:pPr>
            <w:r>
              <w:t xml:space="preserve">Falsas alarmas</w:t>
            </w:r>
          </w:p>
        </w:tc>
        <w:tc>
          <w:tcPr/>
          <w:p>
            <w:pPr>
              <w:pStyle w:val="Tabla9"/>
              <w:jc w:val="left"/>
            </w:pPr>
            <w:r>
              <w:t xml:space="preserve">Tasa de alertas emitidas sin superación de umbral real (%).</w:t>
            </w:r>
          </w:p>
        </w:tc>
        <w:tc>
          <w:tcPr/>
          <w:p>
            <w:pPr>
              <w:pStyle w:val="Tabla9"/>
              <w:jc w:val="left"/>
            </w:pPr>
            <w:r>
              <w:t xml:space="preserve">DEC</w:t>
            </w:r>
          </w:p>
        </w:tc>
        <w:tc>
          <w:tcPr/>
          <w:p>
            <w:pPr>
              <w:pStyle w:val="Tabla9"/>
              <w:jc w:val="left"/>
            </w:pPr>
            <w:r>
              <w:t xml:space="preserve">más alertas sin superación real</w:t>
            </w:r>
          </w:p>
        </w:tc>
        <w:tc>
          <w:tcPr/>
          <w:p>
            <w:pPr>
              <w:pStyle w:val="Tabla9"/>
              <w:jc w:val="left"/>
            </w:pPr>
            <w:r>
              <w:t xml:space="preserve">Depende del umbral del índice y del error de medición.</w:t>
            </w:r>
          </w:p>
        </w:tc>
      </w:tr>
      <w:tr>
        <w:trPr>
          <w:cantSplit/>
        </w:trPr>
        <w:tc>
          <w:tcPr/>
          <w:p>
            <w:pPr>
              <w:pStyle w:val="Tabla9"/>
              <w:jc w:val="left"/>
            </w:pPr>
            <w:r>
              <w:t xml:space="preserve">V13</w:t>
            </w:r>
          </w:p>
        </w:tc>
        <w:tc>
          <w:tcPr/>
          <w:p>
            <w:pPr>
              <w:pStyle w:val="Tabla9"/>
              <w:jc w:val="left"/>
            </w:pPr>
            <w:r>
              <w:t xml:space="preserve">Anticipación</w:t>
            </w:r>
          </w:p>
        </w:tc>
        <w:tc>
          <w:tcPr/>
          <w:p>
            <w:pPr>
              <w:pStyle w:val="Tabla9"/>
              <w:jc w:val="left"/>
            </w:pPr>
            <w:r>
              <w:t xml:space="preserve">Tiempo de aviso preventivo antes del impacto (horas).</w:t>
            </w:r>
          </w:p>
        </w:tc>
        <w:tc>
          <w:tcPr/>
          <w:p>
            <w:pPr>
              <w:pStyle w:val="Tabla9"/>
              <w:jc w:val="left"/>
            </w:pPr>
            <w:r>
              <w:t xml:space="preserve">DEC</w:t>
            </w:r>
          </w:p>
        </w:tc>
        <w:tc>
          <w:tcPr/>
          <w:p>
            <w:pPr>
              <w:pStyle w:val="Tabla9"/>
              <w:jc w:val="left"/>
            </w:pPr>
            <w:r>
              <w:t xml:space="preserve">más horas de aviso</w:t>
            </w:r>
          </w:p>
        </w:tc>
        <w:tc>
          <w:tcPr/>
          <w:p>
            <w:pPr>
              <w:pStyle w:val="Tabla9"/>
              <w:jc w:val="left"/>
            </w:pPr>
            <w:r>
              <w:t xml:space="preserve">Sin línea base en el corpus.</w:t>
            </w:r>
          </w:p>
        </w:tc>
      </w:tr>
      <w:tr>
        <w:trPr>
          <w:cantSplit/>
        </w:trPr>
        <w:tc>
          <w:tcPr/>
          <w:p>
            <w:pPr>
              <w:pStyle w:val="Tabla9"/>
              <w:jc w:val="left"/>
            </w:pPr>
            <w:r>
              <w:t xml:space="preserve">V14</w:t>
            </w:r>
          </w:p>
        </w:tc>
        <w:tc>
          <w:tcPr/>
          <w:p>
            <w:pPr>
              <w:pStyle w:val="Tabla9"/>
              <w:jc w:val="left"/>
            </w:pPr>
            <w:r>
              <w:t xml:space="preserve">Personas alertadas</w:t>
            </w:r>
          </w:p>
        </w:tc>
        <w:tc>
          <w:tcPr/>
          <w:p>
            <w:pPr>
              <w:pStyle w:val="Tabla9"/>
              <w:jc w:val="left"/>
            </w:pPr>
            <w:r>
              <w:t xml:space="preserve">Población y operarios bajo protección efectiva (conteo).</w:t>
            </w:r>
          </w:p>
        </w:tc>
        <w:tc>
          <w:tcPr/>
          <w:p>
            <w:pPr>
              <w:pStyle w:val="Tabla9"/>
              <w:jc w:val="left"/>
            </w:pPr>
            <w:r>
              <w:t xml:space="preserve">DEC</w:t>
            </w:r>
          </w:p>
        </w:tc>
        <w:tc>
          <w:tcPr/>
          <w:p>
            <w:pPr>
              <w:pStyle w:val="Tabla9"/>
              <w:jc w:val="left"/>
            </w:pPr>
            <w:r>
              <w:t xml:space="preserve">más personas protegidas</w:t>
            </w:r>
          </w:p>
        </w:tc>
        <w:tc>
          <w:tcPr/>
          <w:p>
            <w:pPr>
              <w:pStyle w:val="Tabla9"/>
              <w:jc w:val="left"/>
            </w:pPr>
            <w:r>
              <w:t xml:space="preserve">Mide protección efectiva; la definición no separa protección autónoma de la inducida por alerta.</w:t>
            </w:r>
          </w:p>
        </w:tc>
      </w:tr>
      <w:tr>
        <w:trPr>
          <w:cantSplit/>
        </w:trPr>
        <w:tc>
          <w:tcPr/>
          <w:p>
            <w:pPr>
              <w:pStyle w:val="Tabla9"/>
              <w:jc w:val="left"/>
            </w:pPr>
            <w:r>
              <w:t xml:space="preserve">V15</w:t>
            </w:r>
          </w:p>
        </w:tc>
        <w:tc>
          <w:tcPr/>
          <w:p>
            <w:pPr>
              <w:pStyle w:val="Tabla9"/>
              <w:jc w:val="left"/>
            </w:pPr>
            <w:r>
              <w:t xml:space="preserve">Adopción institucional</w:t>
            </w:r>
          </w:p>
        </w:tc>
        <w:tc>
          <w:tcPr/>
          <w:p>
            <w:pPr>
              <w:pStyle w:val="Tabla9"/>
              <w:jc w:val="left"/>
            </w:pPr>
            <w:r>
              <w:t xml:space="preserve">Uso efectivo del tablero por alcaldías y UNGRD (%).</w:t>
            </w:r>
          </w:p>
        </w:tc>
        <w:tc>
          <w:tcPr/>
          <w:p>
            <w:pPr>
              <w:pStyle w:val="Tabla9"/>
              <w:jc w:val="left"/>
            </w:pPr>
            <w:r>
              <w:t xml:space="preserve">DEC</w:t>
            </w:r>
          </w:p>
        </w:tc>
        <w:tc>
          <w:tcPr/>
          <w:p>
            <w:pPr>
              <w:pStyle w:val="Tabla9"/>
              <w:jc w:val="left"/>
            </w:pPr>
            <w:r>
              <w:t xml:space="preserve">mayor uso efectivo</w:t>
            </w:r>
          </w:p>
        </w:tc>
        <w:tc>
          <w:tcPr/>
          <w:p>
            <w:pPr>
              <w:pStyle w:val="Tabla9"/>
              <w:jc w:val="left"/>
            </w:pPr>
            <w:r>
              <w:t xml:space="preserve">Variable de resultado institucional y de sostenibilidad.</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Revisión de solapamiento.</w:t>
      </w:r>
      <w:r>
        <w:t xml:space="preserve"> </w:t>
      </w:r>
      <w:r>
        <w:t xml:space="preserve">Se examinaron los 105 pares posibles. Resultado: UNICA 101; SOLAPAMIENTO_DEFINICIONAL 1; AMBIGUEDAD_CONDICIONAL 2; DEPENDENCIA_FUNCIONAL 1. El archivo REVISION_SOLAPAMIENTO.csv registra los 105 veredictos. E3-P02 solo documentó 5 pares y declaró ÚNICA los otros 100 en bloque; esa revisión no examinó la inclusión de V01 en V02.</w:t>
      </w:r>
    </w:p>
    <w:p>
      <w:pPr>
        <w:pStyle w:val="BodyText"/>
      </w:pPr>
      <w:r>
        <w:rPr>
          <w:b/>
          <w:bCs/>
        </w:rPr>
        <w:t xml:space="preserve">Escala operacional 0 a 3.</w:t>
      </w:r>
      <w:r>
        <w:t xml:space="preserve"> </w:t>
      </w:r>
      <w:r>
        <w:t xml:space="preserve">La escala es ordinal. No expresa proporciones, probabilidades ni magnitudes métricas. Las anclas se fijan antes de puntuar las 210 direcciones.</w:t>
      </w:r>
    </w:p>
    <w:p>
      <w:pPr>
        <w:pStyle w:val="BodyText"/>
      </w:pPr>
      <w:r>
        <w:t xml:space="preserve">La Tabla F4.17 reúne los datos de «Escala operacional 0 a 3».</w:t>
      </w:r>
    </w:p>
    <w:p>
      <w:pPr>
        <w:pStyle w:val="TablaRotulo"/>
      </w:pPr>
      <w:bookmarkStart w:id="9094" w:name="rot_Tabla_F4_17"/>
      <w:r>
        <w:rPr>
          <w:b/>
          <w:bCs/>
        </w:rPr>
        <w:t xml:space="preserve">Tabla F4.17</w:t>
      </w:r>
      <w:bookmarkEnd w:id="9094"/>
    </w:p>
    <w:p>
      <w:pPr>
        <w:pStyle w:val="TablaTitulo"/>
      </w:pPr>
      <w:r>
        <w:rPr>
          <w:i/>
          <w:iCs/>
        </w:rPr>
        <w:t xml:space="preserve">Escala operacional 0 a 3</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90"/>
        <w:gridCol w:w="3366"/>
        <w:gridCol w:w="3564"/>
      </w:tblGrid>
      <w:tr>
        <w:trPr>
          <w:cantSplit/>
          <w:tblHeader/>
        </w:trPr>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Definición operacional</w:t>
            </w:r>
          </w:p>
        </w:tc>
        <w:tc>
          <w:tcPr>
            <w:shd w:val="clear" w:color="auto" w:fill="00B050"/>
          </w:tcPr>
          <w:p>
            <w:pPr>
              <w:pStyle w:val="Tabla9"/>
              <w:jc w:val="center"/>
            </w:pPr>
            <w:r>
              <w:rPr>
                <w:b/>
                <w:color w:val="FFFFFF"/>
              </w:rPr>
              <w:t xml:space="preserve">Ancla del caso</w:t>
            </w:r>
          </w:p>
        </w:tc>
      </w:tr>
      <w:tr>
        <w:trPr>
          <w:cantSplit/>
        </w:trPr>
        <w:tc>
          <w:tcPr/>
          <w:p>
            <w:pPr>
              <w:pStyle w:val="Tabla9"/>
              <w:jc w:val="left"/>
            </w:pPr>
            <w:r>
              <w:t xml:space="preserve">0</w:t>
            </w:r>
          </w:p>
        </w:tc>
        <w:tc>
          <w:tcPr/>
          <w:p>
            <w:pPr>
              <w:pStyle w:val="Tabla9"/>
              <w:jc w:val="left"/>
            </w:pPr>
            <w:r>
              <w:t xml:space="preserve">Ausencia de influencia directa dentro del modelo, por frontera, definición, mediación explícita o mecanismo ausente. No equivale a U.</w:t>
            </w:r>
          </w:p>
        </w:tc>
        <w:tc>
          <w:tcPr/>
          <w:p>
            <w:pPr>
              <w:pStyle w:val="Tabla9"/>
              <w:jc w:val="left"/>
            </w:pPr>
            <w:r>
              <w:t xml:space="preserve">V11-&gt;V04: el índice emitido en pantalla no altera el viento (ausencia por imposibilidad física).</w:t>
            </w:r>
          </w:p>
        </w:tc>
      </w:tr>
      <w:tr>
        <w:trPr>
          <w:cantSplit/>
        </w:trPr>
        <w:tc>
          <w:tcPr/>
          <w:p>
            <w:pPr>
              <w:pStyle w:val="Tabla9"/>
              <w:jc w:val="left"/>
            </w:pPr>
            <w:r>
              <w:t xml:space="preserve">1</w:t>
            </w:r>
          </w:p>
        </w:tc>
        <w:tc>
          <w:tcPr/>
          <w:p>
            <w:pPr>
              <w:pStyle w:val="Tabla9"/>
              <w:jc w:val="left"/>
            </w:pPr>
            <w:r>
              <w:t xml:space="preserve">Influencia directa débil: efecto gradual, parcial o mitigable por diseño dentro de H.</w:t>
            </w:r>
          </w:p>
        </w:tc>
        <w:tc>
          <w:tcPr/>
          <w:p>
            <w:pPr>
              <w:pStyle w:val="Tabla9"/>
              <w:jc w:val="left"/>
            </w:pPr>
            <w:r>
              <w:t xml:space="preserve">V03-&gt;V09: la humedad corroe y condensa; reduce la vida útil de los nodos a mediano plazo y la carcasa NEMA 4X lo mitiga (influencia débil).</w:t>
            </w:r>
          </w:p>
        </w:tc>
      </w:tr>
      <w:tr>
        <w:trPr>
          <w:cantSplit/>
        </w:trPr>
        <w:tc>
          <w:tcPr/>
          <w:p>
            <w:pPr>
              <w:pStyle w:val="Tabla9"/>
              <w:jc w:val="left"/>
            </w:pPr>
            <w:r>
              <w:t xml:space="preserve">2</w:t>
            </w:r>
          </w:p>
        </w:tc>
        <w:tc>
          <w:tcPr/>
          <w:p>
            <w:pPr>
              <w:pStyle w:val="Tabla9"/>
              <w:jc w:val="left"/>
            </w:pPr>
            <w:r>
              <w:t xml:space="preserve">Influencia directa moderada: altera el funcionamiento estándar y exige acción correctiva, sin determinarlo.</w:t>
            </w:r>
          </w:p>
        </w:tc>
        <w:tc>
          <w:tcPr/>
          <w:p>
            <w:pPr>
              <w:pStyle w:val="Tabla9"/>
              <w:jc w:val="left"/>
            </w:pPr>
            <w:r>
              <w:t xml:space="preserve">V08-&gt;V13: la latencia resta una fracción del tiempo útil de aviso; la relación es aritmética pero parcial (minutos frente a horas) (influencia moderada).</w:t>
            </w:r>
          </w:p>
        </w:tc>
      </w:tr>
      <w:tr>
        <w:trPr>
          <w:cantSplit/>
        </w:trPr>
        <w:tc>
          <w:tcPr/>
          <w:p>
            <w:pPr>
              <w:pStyle w:val="Tabla9"/>
              <w:jc w:val="left"/>
            </w:pPr>
            <w:r>
              <w:t xml:space="preserve">3</w:t>
            </w:r>
          </w:p>
        </w:tc>
        <w:tc>
          <w:tcPr/>
          <w:p>
            <w:pPr>
              <w:pStyle w:val="Tabla9"/>
              <w:jc w:val="left"/>
            </w:pPr>
            <w:r>
              <w:t xml:space="preserve">Influencia directa fuerte: determina la variable destino casi de forma mecánica, sin agente intermedio y sin explicar por qué 2 no representa la hipótesis.</w:t>
            </w:r>
          </w:p>
        </w:tc>
        <w:tc>
          <w:tcPr/>
          <w:p>
            <w:pPr>
              <w:pStyle w:val="Tabla9"/>
              <w:jc w:val="left"/>
            </w:pPr>
            <w:r>
              <w:t xml:space="preserve">V05-&gt;V02 y V06-&gt;V11: la remoción mecánica genera PM10 y el error del sensor entra al cálculo del índice sin acción humana intermedia (influencia fuerte).</w:t>
            </w:r>
          </w:p>
        </w:tc>
      </w:tr>
      <w:tr>
        <w:trPr>
          <w:cantSplit/>
        </w:trPr>
        <w:tc>
          <w:tcPr/>
          <w:p>
            <w:pPr>
              <w:pStyle w:val="Tabla9"/>
              <w:jc w:val="left"/>
            </w:pPr>
            <w:r>
              <w:t xml:space="preserve">null (U)</w:t>
            </w:r>
          </w:p>
        </w:tc>
        <w:tc>
          <w:tcPr/>
          <w:p>
            <w:pPr>
              <w:pStyle w:val="Tabla9"/>
              <w:jc w:val="left"/>
            </w:pPr>
            <w:r>
              <w:t xml:space="preserve">No existe fundamento para preferir un valor. Se conserva en la matriz formal y se documenta el conjunto plausible.</w:t>
            </w:r>
          </w:p>
        </w:tc>
        <w:tc>
          <w:tcPr/>
          <w:p>
            <w:pPr>
              <w:pStyle w:val="Tabla9"/>
              <w:jc w:val="left"/>
            </w:pPr>
            <w:r>
              <w:t xml:space="preserve">Celdas U de MID_FORMAL: 188</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Límites de la escala.</w:t>
      </w:r>
      <w:r>
        <w:t xml:space="preserve"> </w:t>
      </w:r>
      <w:r>
        <w:t xml:space="preserve">La confianza es otro eje y no multiplica la puntuación. Una fuente respalda el mecanismo que contiene, no un valor ordinal exacto. El documento previo usa V09→V10 como ancla del valor 2. Su propio ledger le asigna 3. Aquí se fijan anclas únicas.</w:t>
      </w:r>
    </w:p>
    <w:bookmarkEnd w:id="160"/>
    <w:bookmarkStart w:id="161" w:name="X12692d56ce0b30727320ae9aee2e3e11942f398"/>
    <w:p>
      <w:pPr>
        <w:pStyle w:val="Heading3"/>
      </w:pPr>
      <w:r>
        <w:t xml:space="preserve">F4.4.3 Plan paritario completo, semilla y orden de ejecución</w:t>
      </w:r>
    </w:p>
    <w:p>
      <w:pPr>
        <w:pStyle w:val="FirstParagraph"/>
      </w:pPr>
      <w:r>
        <w:t xml:space="preserve">El plan contiene 105 pares no ordenados y 210 direcciones para n = 15. Semilla registrada: 20261011. Los bloques declarados son FIS (V01 a V05), TEC (V06 a V10) y DEC (V11 a V15). Hay 30 pares intrabloque y 75 pares interbloque.</w:t>
      </w:r>
    </w:p>
    <w:p>
      <w:pPr>
        <w:pStyle w:val="BodyText"/>
      </w:pPr>
      <w:r>
        <w:t xml:space="preserve">El motor ordena al azar cada clase con la semilla y alterna un par interbloque con un par intrabloque mientras existan ambas clases. El plan se registró antes de valorar. La paridad es de atención analítica: ambos sentidos reciben su propia ficha, sin imponer simetría de valores.</w:t>
      </w:r>
    </w:p>
    <w:p>
      <w:pPr>
        <w:pStyle w:val="BodyText"/>
      </w:pPr>
      <w:r>
        <w:rPr>
          <w:b/>
          <w:bCs/>
        </w:rPr>
        <w:t xml:space="preserve">Primeros 15 pares del orden de ejecución.</w:t>
      </w:r>
      <w:r>
        <w:t xml:space="preserve"> </w:t>
      </w:r>
      <w:r>
        <w:t xml:space="preserve">El orden completo de los 105 pares consta en PLAN_PARITARIO.csv.</w:t>
      </w:r>
    </w:p>
    <w:p>
      <w:pPr>
        <w:pStyle w:val="BodyText"/>
      </w:pPr>
      <w:r>
        <w:t xml:space="preserve">La Tabla F4.18 reúne los datos de «Primeros 15 pares del orden de ejecución».</w:t>
      </w:r>
    </w:p>
    <w:p>
      <w:pPr>
        <w:pStyle w:val="TablaRotulo"/>
      </w:pPr>
      <w:bookmarkStart w:id="9095" w:name="rot_Tabla_F4_18"/>
      <w:r>
        <w:rPr>
          <w:b/>
          <w:bCs/>
        </w:rPr>
        <w:t xml:space="preserve">Tabla F4.18</w:t>
      </w:r>
      <w:bookmarkEnd w:id="9095"/>
    </w:p>
    <w:p>
      <w:pPr>
        <w:pStyle w:val="TablaTitulo"/>
      </w:pPr>
      <w:r>
        <w:rPr>
          <w:i/>
          <w:iCs/>
        </w:rPr>
        <w:t xml:space="preserve">Primeros 15 pares del orden de ejecución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3300"/>
        <w:gridCol w:w="2574"/>
      </w:tblGrid>
      <w:tr>
        <w:trPr>
          <w:cantSplit/>
          <w:tblHeader/>
        </w:trPr>
        <w:tc>
          <w:tcPr>
            <w:shd w:val="clear" w:color="auto" w:fill="00B050"/>
          </w:tcPr>
          <w:p>
            <w:pPr>
              <w:pStyle w:val="Tabla9"/>
              <w:jc w:val="center"/>
            </w:pPr>
            <w:r>
              <w:rPr>
                <w:b/>
                <w:color w:val="FFFFFF"/>
              </w:rPr>
              <w:t xml:space="preserve">Orden</w:t>
            </w:r>
          </w:p>
        </w:tc>
        <w:tc>
          <w:tcPr>
            <w:shd w:val="clear" w:color="auto" w:fill="00B050"/>
          </w:tcPr>
          <w:p>
            <w:pPr>
              <w:pStyle w:val="Tabla9"/>
              <w:jc w:val="center"/>
            </w:pPr>
            <w:r>
              <w:rPr>
                <w:b/>
                <w:color w:val="FFFFFF"/>
              </w:rPr>
              <w:t xml:space="preserve">Par</w:t>
            </w:r>
          </w:p>
        </w:tc>
        <w:tc>
          <w:tcPr>
            <w:shd w:val="clear" w:color="auto" w:fill="00B050"/>
          </w:tcPr>
          <w:p>
            <w:pPr>
              <w:pStyle w:val="Tabla9"/>
              <w:jc w:val="center"/>
            </w:pPr>
            <w:r>
              <w:rPr>
                <w:b/>
                <w:color w:val="FFFFFF"/>
              </w:rPr>
              <w:t xml:space="preserve">Clase</w:t>
            </w:r>
          </w:p>
        </w:tc>
      </w:tr>
      <w:tr>
        <w:trPr>
          <w:cantSplit/>
        </w:trPr>
        <w:tc>
          <w:tcPr/>
          <w:p>
            <w:pPr>
              <w:pStyle w:val="Tabla9"/>
              <w:jc w:val="left"/>
            </w:pPr>
            <w:r>
              <w:t xml:space="preserve">1</w:t>
            </w:r>
          </w:p>
        </w:tc>
        <w:tc>
          <w:tcPr/>
          <w:p>
            <w:pPr>
              <w:pStyle w:val="Tabla9"/>
              <w:jc w:val="left"/>
            </w:pPr>
            <w:r>
              <w:t xml:space="preserve">V04__V08</w:t>
            </w:r>
          </w:p>
        </w:tc>
        <w:tc>
          <w:tcPr/>
          <w:p>
            <w:pPr>
              <w:pStyle w:val="Tabla9"/>
              <w:jc w:val="left"/>
            </w:pPr>
            <w:r>
              <w:t xml:space="preserve">INTER</w:t>
            </w:r>
          </w:p>
        </w:tc>
      </w:tr>
      <w:tr>
        <w:trPr>
          <w:cantSplit/>
        </w:trPr>
        <w:tc>
          <w:tcPr/>
          <w:p>
            <w:pPr>
              <w:pStyle w:val="Tabla9"/>
              <w:jc w:val="left"/>
            </w:pPr>
            <w:r>
              <w:t xml:space="preserve">2</w:t>
            </w:r>
          </w:p>
        </w:tc>
        <w:tc>
          <w:tcPr/>
          <w:p>
            <w:pPr>
              <w:pStyle w:val="Tabla9"/>
              <w:jc w:val="left"/>
            </w:pPr>
            <w:r>
              <w:t xml:space="preserve">V07__V09</w:t>
            </w:r>
          </w:p>
        </w:tc>
        <w:tc>
          <w:tcPr/>
          <w:p>
            <w:pPr>
              <w:pStyle w:val="Tabla9"/>
              <w:jc w:val="left"/>
            </w:pPr>
            <w:r>
              <w:t xml:space="preserve">INTRA</w:t>
            </w:r>
          </w:p>
        </w:tc>
      </w:tr>
      <w:tr>
        <w:trPr>
          <w:cantSplit/>
        </w:trPr>
        <w:tc>
          <w:tcPr/>
          <w:p>
            <w:pPr>
              <w:pStyle w:val="Tabla9"/>
              <w:jc w:val="left"/>
            </w:pPr>
            <w:r>
              <w:t xml:space="preserve">3</w:t>
            </w:r>
          </w:p>
        </w:tc>
        <w:tc>
          <w:tcPr/>
          <w:p>
            <w:pPr>
              <w:pStyle w:val="Tabla9"/>
              <w:jc w:val="left"/>
            </w:pPr>
            <w:r>
              <w:t xml:space="preserve">V06__V14</w:t>
            </w:r>
          </w:p>
        </w:tc>
        <w:tc>
          <w:tcPr/>
          <w:p>
            <w:pPr>
              <w:pStyle w:val="Tabla9"/>
              <w:jc w:val="left"/>
            </w:pPr>
            <w:r>
              <w:t xml:space="preserve">INTER</w:t>
            </w:r>
          </w:p>
        </w:tc>
      </w:tr>
      <w:tr>
        <w:trPr>
          <w:cantSplit/>
        </w:trPr>
        <w:tc>
          <w:tcPr/>
          <w:p>
            <w:pPr>
              <w:pStyle w:val="Tabla9"/>
              <w:jc w:val="left"/>
            </w:pPr>
            <w:r>
              <w:t xml:space="preserve">4</w:t>
            </w:r>
          </w:p>
        </w:tc>
        <w:tc>
          <w:tcPr/>
          <w:p>
            <w:pPr>
              <w:pStyle w:val="Tabla9"/>
              <w:jc w:val="left"/>
            </w:pPr>
            <w:r>
              <w:t xml:space="preserve">V06__V08</w:t>
            </w:r>
          </w:p>
        </w:tc>
        <w:tc>
          <w:tcPr/>
          <w:p>
            <w:pPr>
              <w:pStyle w:val="Tabla9"/>
              <w:jc w:val="left"/>
            </w:pPr>
            <w:r>
              <w:t xml:space="preserve">INTRA</w:t>
            </w:r>
          </w:p>
        </w:tc>
      </w:tr>
      <w:tr>
        <w:trPr>
          <w:cantSplit/>
        </w:trPr>
        <w:tc>
          <w:tcPr/>
          <w:p>
            <w:pPr>
              <w:pStyle w:val="Tabla9"/>
              <w:jc w:val="left"/>
            </w:pPr>
            <w:r>
              <w:t xml:space="preserve">5</w:t>
            </w:r>
          </w:p>
        </w:tc>
        <w:tc>
          <w:tcPr/>
          <w:p>
            <w:pPr>
              <w:pStyle w:val="Tabla9"/>
              <w:jc w:val="left"/>
            </w:pPr>
            <w:r>
              <w:t xml:space="preserve">V05__V10</w:t>
            </w:r>
          </w:p>
        </w:tc>
        <w:tc>
          <w:tcPr/>
          <w:p>
            <w:pPr>
              <w:pStyle w:val="Tabla9"/>
              <w:jc w:val="left"/>
            </w:pPr>
            <w:r>
              <w:t xml:space="preserve">INTER</w:t>
            </w:r>
          </w:p>
        </w:tc>
      </w:tr>
      <w:tr>
        <w:trPr>
          <w:cantSplit/>
        </w:trPr>
        <w:tc>
          <w:tcPr/>
          <w:p>
            <w:pPr>
              <w:pStyle w:val="Tabla9"/>
              <w:jc w:val="left"/>
            </w:pPr>
            <w:r>
              <w:t xml:space="preserve">6</w:t>
            </w:r>
          </w:p>
        </w:tc>
        <w:tc>
          <w:tcPr/>
          <w:p>
            <w:pPr>
              <w:pStyle w:val="Tabla9"/>
              <w:jc w:val="left"/>
            </w:pPr>
            <w:r>
              <w:t xml:space="preserve">V14__V15</w:t>
            </w:r>
          </w:p>
        </w:tc>
        <w:tc>
          <w:tcPr/>
          <w:p>
            <w:pPr>
              <w:pStyle w:val="Tabla9"/>
              <w:jc w:val="left"/>
            </w:pPr>
            <w:r>
              <w:t xml:space="preserve">INTRA</w:t>
            </w:r>
          </w:p>
        </w:tc>
      </w:tr>
      <w:tr>
        <w:trPr>
          <w:cantSplit/>
        </w:trPr>
        <w:tc>
          <w:tcPr/>
          <w:p>
            <w:pPr>
              <w:pStyle w:val="Tabla9"/>
              <w:jc w:val="left"/>
            </w:pPr>
            <w:r>
              <w:t xml:space="preserve">7</w:t>
            </w:r>
          </w:p>
        </w:tc>
        <w:tc>
          <w:tcPr/>
          <w:p>
            <w:pPr>
              <w:pStyle w:val="Tabla9"/>
              <w:jc w:val="left"/>
            </w:pPr>
            <w:r>
              <w:t xml:space="preserve">V03__V11</w:t>
            </w:r>
          </w:p>
        </w:tc>
        <w:tc>
          <w:tcPr/>
          <w:p>
            <w:pPr>
              <w:pStyle w:val="Tabla9"/>
              <w:jc w:val="left"/>
            </w:pPr>
            <w:r>
              <w:t xml:space="preserve">INTER</w:t>
            </w:r>
          </w:p>
        </w:tc>
      </w:tr>
      <w:tr>
        <w:trPr>
          <w:cantSplit/>
        </w:trPr>
        <w:tc>
          <w:tcPr/>
          <w:p>
            <w:pPr>
              <w:pStyle w:val="Tabla9"/>
              <w:jc w:val="left"/>
            </w:pPr>
            <w:r>
              <w:t xml:space="preserve">8</w:t>
            </w:r>
          </w:p>
        </w:tc>
        <w:tc>
          <w:tcPr/>
          <w:p>
            <w:pPr>
              <w:pStyle w:val="Tabla9"/>
              <w:jc w:val="left"/>
            </w:pPr>
            <w:r>
              <w:t xml:space="preserve">V06__V07</w:t>
            </w:r>
          </w:p>
        </w:tc>
        <w:tc>
          <w:tcPr/>
          <w:p>
            <w:pPr>
              <w:pStyle w:val="Tabla9"/>
              <w:jc w:val="left"/>
            </w:pPr>
            <w:r>
              <w:t xml:space="preserve">INTRA</w:t>
            </w:r>
          </w:p>
        </w:tc>
      </w:tr>
      <w:tr>
        <w:trPr>
          <w:cantSplit/>
        </w:trPr>
        <w:tc>
          <w:tcPr/>
          <w:p>
            <w:pPr>
              <w:pStyle w:val="Tabla9"/>
              <w:jc w:val="left"/>
            </w:pPr>
            <w:r>
              <w:t xml:space="preserve">9</w:t>
            </w:r>
          </w:p>
        </w:tc>
        <w:tc>
          <w:tcPr/>
          <w:p>
            <w:pPr>
              <w:pStyle w:val="Tabla9"/>
              <w:jc w:val="left"/>
            </w:pPr>
            <w:r>
              <w:t xml:space="preserve">V04__V14</w:t>
            </w:r>
          </w:p>
        </w:tc>
        <w:tc>
          <w:tcPr/>
          <w:p>
            <w:pPr>
              <w:pStyle w:val="Tabla9"/>
              <w:jc w:val="left"/>
            </w:pPr>
            <w:r>
              <w:t xml:space="preserve">INTER</w:t>
            </w:r>
          </w:p>
        </w:tc>
      </w:tr>
      <w:tr>
        <w:trPr>
          <w:cantSplit/>
        </w:trPr>
        <w:tc>
          <w:tcPr/>
          <w:p>
            <w:pPr>
              <w:pStyle w:val="Tabla9"/>
              <w:jc w:val="left"/>
            </w:pPr>
            <w:r>
              <w:t xml:space="preserve">10</w:t>
            </w:r>
          </w:p>
        </w:tc>
        <w:tc>
          <w:tcPr/>
          <w:p>
            <w:pPr>
              <w:pStyle w:val="Tabla9"/>
              <w:jc w:val="left"/>
            </w:pPr>
            <w:r>
              <w:t xml:space="preserve">V03__V05</w:t>
            </w:r>
          </w:p>
        </w:tc>
        <w:tc>
          <w:tcPr/>
          <w:p>
            <w:pPr>
              <w:pStyle w:val="Tabla9"/>
              <w:jc w:val="left"/>
            </w:pPr>
            <w:r>
              <w:t xml:space="preserve">INTRA</w:t>
            </w:r>
          </w:p>
        </w:tc>
      </w:tr>
      <w:tr>
        <w:trPr>
          <w:cantSplit/>
        </w:trPr>
        <w:tc>
          <w:tcPr/>
          <w:p>
            <w:pPr>
              <w:pStyle w:val="Tabla9"/>
              <w:jc w:val="left"/>
            </w:pPr>
            <w:r>
              <w:t xml:space="preserve">11</w:t>
            </w:r>
          </w:p>
        </w:tc>
        <w:tc>
          <w:tcPr/>
          <w:p>
            <w:pPr>
              <w:pStyle w:val="Tabla9"/>
              <w:jc w:val="left"/>
            </w:pPr>
            <w:r>
              <w:t xml:space="preserve">V03__V14</w:t>
            </w:r>
          </w:p>
        </w:tc>
        <w:tc>
          <w:tcPr/>
          <w:p>
            <w:pPr>
              <w:pStyle w:val="Tabla9"/>
              <w:jc w:val="left"/>
            </w:pPr>
            <w:r>
              <w:t xml:space="preserve">INTER</w:t>
            </w:r>
          </w:p>
        </w:tc>
      </w:tr>
      <w:tr>
        <w:trPr>
          <w:cantSplit/>
        </w:trPr>
        <w:tc>
          <w:tcPr/>
          <w:p>
            <w:pPr>
              <w:pStyle w:val="Tabla9"/>
              <w:jc w:val="left"/>
            </w:pPr>
            <w:r>
              <w:t xml:space="preserve">12</w:t>
            </w:r>
          </w:p>
        </w:tc>
        <w:tc>
          <w:tcPr/>
          <w:p>
            <w:pPr>
              <w:pStyle w:val="Tabla9"/>
              <w:jc w:val="left"/>
            </w:pPr>
            <w:r>
              <w:t xml:space="preserve">V01__V03</w:t>
            </w:r>
          </w:p>
        </w:tc>
        <w:tc>
          <w:tcPr/>
          <w:p>
            <w:pPr>
              <w:pStyle w:val="Tabla9"/>
              <w:jc w:val="left"/>
            </w:pPr>
            <w:r>
              <w:t xml:space="preserve">INTRA</w:t>
            </w:r>
          </w:p>
        </w:tc>
      </w:tr>
      <w:tr>
        <w:trPr>
          <w:cantSplit/>
        </w:trPr>
        <w:tc>
          <w:tcPr/>
          <w:p>
            <w:pPr>
              <w:pStyle w:val="Tabla9"/>
              <w:jc w:val="left"/>
            </w:pPr>
            <w:r>
              <w:t xml:space="preserve">13</w:t>
            </w:r>
          </w:p>
        </w:tc>
        <w:tc>
          <w:tcPr/>
          <w:p>
            <w:pPr>
              <w:pStyle w:val="Tabla9"/>
              <w:jc w:val="left"/>
            </w:pPr>
            <w:r>
              <w:t xml:space="preserve">V05__V11</w:t>
            </w:r>
          </w:p>
        </w:tc>
        <w:tc>
          <w:tcPr/>
          <w:p>
            <w:pPr>
              <w:pStyle w:val="Tabla9"/>
              <w:jc w:val="left"/>
            </w:pPr>
            <w:r>
              <w:t xml:space="preserve">INTER</w:t>
            </w:r>
          </w:p>
        </w:tc>
      </w:tr>
      <w:tr>
        <w:trPr>
          <w:cantSplit/>
        </w:trPr>
        <w:tc>
          <w:tcPr/>
          <w:p>
            <w:pPr>
              <w:pStyle w:val="Tabla9"/>
              <w:jc w:val="left"/>
            </w:pPr>
            <w:r>
              <w:t xml:space="preserve">14</w:t>
            </w:r>
          </w:p>
        </w:tc>
        <w:tc>
          <w:tcPr/>
          <w:p>
            <w:pPr>
              <w:pStyle w:val="Tabla9"/>
              <w:jc w:val="left"/>
            </w:pPr>
            <w:r>
              <w:t xml:space="preserve">V12__V13</w:t>
            </w:r>
          </w:p>
        </w:tc>
        <w:tc>
          <w:tcPr/>
          <w:p>
            <w:pPr>
              <w:pStyle w:val="Tabla9"/>
              <w:jc w:val="left"/>
            </w:pPr>
            <w:r>
              <w:t xml:space="preserve">INTRA</w:t>
            </w:r>
          </w:p>
        </w:tc>
      </w:tr>
      <w:tr>
        <w:trPr>
          <w:cantSplit/>
        </w:trPr>
        <w:tc>
          <w:tcPr/>
          <w:p>
            <w:pPr>
              <w:pStyle w:val="Tabla9"/>
              <w:jc w:val="left"/>
            </w:pPr>
            <w:r>
              <w:t xml:space="preserve">15</w:t>
            </w:r>
          </w:p>
        </w:tc>
        <w:tc>
          <w:tcPr/>
          <w:p>
            <w:pPr>
              <w:pStyle w:val="Tabla9"/>
              <w:jc w:val="left"/>
            </w:pPr>
            <w:r>
              <w:t xml:space="preserve">V09__V11</w:t>
            </w:r>
          </w:p>
        </w:tc>
        <w:tc>
          <w:tcPr/>
          <w:p>
            <w:pPr>
              <w:pStyle w:val="Tabla9"/>
              <w:jc w:val="left"/>
            </w:pPr>
            <w:r>
              <w:t xml:space="preserve">INTER</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lotes organizan el trabajo; no atribuyen independencia estadística entre fichas. La instancia analítica valoró las 105 fichas en esta corrida sin solicitar un comando por par.</w:t>
      </w:r>
    </w:p>
    <w:bookmarkEnd w:id="161"/>
    <w:bookmarkStart w:id="162" w:name="X4c055dfb06bf3aa76152aa6e3b50414e94f939d"/>
    <w:p>
      <w:pPr>
        <w:pStyle w:val="Heading3"/>
      </w:pPr>
      <w:r>
        <w:t xml:space="preserve">F4.4.4 Fichas bidireccionales con mecanismos, fundamentos y estados</w:t>
      </w:r>
    </w:p>
    <w:p>
      <w:pPr>
        <w:pStyle w:val="FirstParagraph"/>
      </w:pPr>
      <w:r>
        <w:t xml:space="preserve">Esta pieza contiene las 105 fichas paritarias en el orden del plan. Cada ficha valora los dos sentidos del par por separado. Ninguna ficha es una plantilla: cada dirección declara su mecanismo o la razón del cero, su fundamento, su justificación y la explicación rival.</w:t>
      </w:r>
    </w:p>
    <w:p>
      <w:pPr>
        <w:pStyle w:val="BodyText"/>
      </w:pPr>
      <w:r>
        <w:rPr>
          <w:b/>
          <w:bCs/>
        </w:rPr>
        <w:t xml:space="preserve">Campos uniformes en las 210 direcciones.</w:t>
      </w:r>
      <w:r>
        <w:t xml:space="preserve"> </w:t>
      </w:r>
      <w:r>
        <w:t xml:space="preserve">Horizonte: H = 24 meses de ejecución más 12 meses posproyecto (36 meses). Horizonte PROPUESTO por la corrida; el diccionario E3 no lo fija. Recorrido directo sin pasar por otra variable explícita del modelo. Frontera: Red IoT de material particulado en sitios de remoción de escombros. El territorio y la alianza son SUPUESTO por instrucción del usuario. El modelo incluye solo las variables V01 a V15. Quedan fuera la distancia a la referencia, la edad del sensor y el episodio de humo. Procedencia: Instancia analítica de GENESIS en esta corrida. Sin panel humano, sin adjudicación ni acta. Juicio PROPUESTO, sujeto a ratificación. Estado de todas las direcciones: PROPUESTO. El archivo FICHAS_PARITARIAS.json repite esos campos en cada dirección, como exige el esquema.</w:t>
      </w:r>
    </w:p>
    <w:p>
      <w:pPr>
        <w:pStyle w:val="BodyText"/>
      </w:pPr>
      <w:r>
        <w:rPr>
          <w:b/>
          <w:bCs/>
        </w:rPr>
        <w:t xml:space="preserve">Lectura de los rótulos.</w:t>
      </w:r>
      <w:r>
        <w:t xml:space="preserve"> </w:t>
      </w:r>
      <w:r>
        <w:t xml:space="preserve">«Valor» es la puntuación propuesta en la escala 0 a 3. «Admisibles» es el conjunto de valores que la instancia considera plausibles y alimenta la sensibilidad. «Naturaleza» y «verificación» son ejes independientes (NTC 1.1); todas las fichas tienen verificación semántica NO_VERIFICADO. Las fuentes F-INF y F-E3 son los archivos aportados por el usuario; las demás son citas secundarias dentro de F-INF. Los artículos y patentes originales no fueron leídos.</w:t>
      </w:r>
    </w:p>
    <w:p>
      <w:pPr>
        <w:pStyle w:val="BodyText"/>
      </w:pPr>
      <w:r>
        <w:t xml:space="preserve">Las 105 fichas bidireccionales se reproducen en el Anexo K, en el orden del plan paritario. Cada ficha conserva sus dos direcciones, sus campos y sus estados.</w:t>
      </w:r>
    </w:p>
    <w:bookmarkEnd w:id="162"/>
    <w:bookmarkStart w:id="163" w:name="X5896287f39103f779fa58f84c1aeb80db8045c1"/>
    <w:p>
      <w:pPr>
        <w:pStyle w:val="Heading3"/>
      </w:pPr>
      <w:r>
        <w:t xml:space="preserve">F4.4.5 Vester completa: matriz formal y matrices de trabajo por escenario</w:t>
      </w:r>
    </w:p>
    <w:p>
      <w:pPr>
        <w:pStyle w:val="FirstParagraph"/>
      </w:pPr>
      <w:r>
        <w:t xml:space="preserve">La matriz formal conserva los 22 valores heredados como DECLARADO y deja 188 celdas en U. Los vectores TA y TP no están definidos donde hay U. Cada escenario numérico usa los enteros 0 a 3 con diagonal cero. TA es la suma de la fila; TP es la suma de la columna.</w:t>
      </w:r>
    </w:p>
    <w:p>
      <w:pPr>
        <w:pStyle w:val="BodyText"/>
      </w:pPr>
      <w:r>
        <w:rPr>
          <w:b/>
          <w:bCs/>
        </w:rPr>
        <w:t xml:space="preserve">MID_FORMAL.</w:t>
      </w:r>
    </w:p>
    <w:p>
      <w:pPr>
        <w:pStyle w:val="BodyText"/>
      </w:pPr>
      <w:r>
        <w:t xml:space="preserve">La Tabla F4.19 reúne los datos de «Matriz formal MID_FORMAL de 15 por 15 variables».</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2240" w:h="15840"/>
          <w:pgMar w:top="1417" w:right="1133" w:bottom="1417" w:left="1133" w:header="709" w:footer="709" w:gutter="0"/>
        </w:sectPr>
      </w:pPr>
    </w:p>
    <w:p>
      <w:pPr>
        <w:pStyle w:val="TablaRotulo"/>
      </w:pPr>
      <w:bookmarkStart w:id="9096" w:name="rot_Tabla_F4_19"/>
      <w:r>
        <w:rPr>
          <w:b/>
          <w:bCs/>
        </w:rPr>
        <w:t xml:space="preserve">Tabla F4.19</w:t>
      </w:r>
      <w:bookmarkEnd w:id="9096"/>
    </w:p>
    <w:p>
      <w:pPr>
        <w:pStyle w:val="TablaTitulo"/>
      </w:pPr>
      <w:r>
        <w:rPr>
          <w:i/>
          <w:iCs/>
        </w:rPr>
        <w:t xml:space="preserve">Matriz formal MID_FORMAL de 15 por 15 variables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3"/>
        <w:gridCol w:w="477"/>
        <w:gridCol w:w="477"/>
        <w:gridCol w:w="477"/>
        <w:gridCol w:w="477"/>
        <w:gridCol w:w="477"/>
        <w:gridCol w:w="477"/>
        <w:gridCol w:w="477"/>
        <w:gridCol w:w="477"/>
        <w:gridCol w:w="477"/>
        <w:gridCol w:w="477"/>
        <w:gridCol w:w="477"/>
        <w:gridCol w:w="477"/>
        <w:gridCol w:w="477"/>
        <w:gridCol w:w="477"/>
        <w:gridCol w:w="477"/>
        <w:gridCol w:w="477"/>
      </w:tblGrid>
      <w:tr>
        <w:trPr>
          <w:cantSplit/>
          <w:tblHeader/>
        </w:trPr>
        <w:tc>
          <w:tcPr>
            <w:shd w:val="clear" w:color="auto" w:fill="00B050"/>
          </w:tcPr>
          <w:p>
            <w:pPr>
              <w:pStyle w:val="Tabla65"/>
              <w:jc w:val="center"/>
            </w:pPr>
            <w:r>
              <w:rPr>
                <w:b/>
                <w:color w:val="FFFFFF"/>
              </w:rPr>
              <w:t xml:space="preserve">Origen  Destino</w:t>
            </w:r>
          </w:p>
        </w:tc>
        <w:tc>
          <w:tcPr>
            <w:shd w:val="clear" w:color="auto" w:fill="00B050"/>
          </w:tcPr>
          <w:p>
            <w:pPr>
              <w:pStyle w:val="Tabla65"/>
              <w:jc w:val="center"/>
            </w:pPr>
            <w:r>
              <w:rPr>
                <w:b/>
                <w:color w:val="FFFFFF"/>
              </w:rPr>
              <w:t xml:space="preserve">V01</w:t>
            </w:r>
          </w:p>
        </w:tc>
        <w:tc>
          <w:tcPr>
            <w:shd w:val="clear" w:color="auto" w:fill="00B050"/>
          </w:tcPr>
          <w:p>
            <w:pPr>
              <w:pStyle w:val="Tabla65"/>
              <w:jc w:val="center"/>
            </w:pPr>
            <w:r>
              <w:rPr>
                <w:b/>
                <w:color w:val="FFFFFF"/>
              </w:rPr>
              <w:t xml:space="preserve">V02</w:t>
            </w:r>
          </w:p>
        </w:tc>
        <w:tc>
          <w:tcPr>
            <w:shd w:val="clear" w:color="auto" w:fill="00B050"/>
          </w:tcPr>
          <w:p>
            <w:pPr>
              <w:pStyle w:val="Tabla65"/>
              <w:jc w:val="center"/>
            </w:pPr>
            <w:r>
              <w:rPr>
                <w:b/>
                <w:color w:val="FFFFFF"/>
              </w:rPr>
              <w:t xml:space="preserve">V03</w:t>
            </w:r>
          </w:p>
        </w:tc>
        <w:tc>
          <w:tcPr>
            <w:shd w:val="clear" w:color="auto" w:fill="00B050"/>
          </w:tcPr>
          <w:p>
            <w:pPr>
              <w:pStyle w:val="Tabla65"/>
              <w:jc w:val="center"/>
            </w:pPr>
            <w:r>
              <w:rPr>
                <w:b/>
                <w:color w:val="FFFFFF"/>
              </w:rPr>
              <w:t xml:space="preserve">V04</w:t>
            </w:r>
          </w:p>
        </w:tc>
        <w:tc>
          <w:tcPr>
            <w:shd w:val="clear" w:color="auto" w:fill="00B050"/>
          </w:tcPr>
          <w:p>
            <w:pPr>
              <w:pStyle w:val="Tabla65"/>
              <w:jc w:val="center"/>
            </w:pPr>
            <w:r>
              <w:rPr>
                <w:b/>
                <w:color w:val="FFFFFF"/>
              </w:rPr>
              <w:t xml:space="preserve">V05</w:t>
            </w:r>
          </w:p>
        </w:tc>
        <w:tc>
          <w:tcPr>
            <w:shd w:val="clear" w:color="auto" w:fill="00B050"/>
          </w:tcPr>
          <w:p>
            <w:pPr>
              <w:pStyle w:val="Tabla65"/>
              <w:jc w:val="center"/>
            </w:pPr>
            <w:r>
              <w:rPr>
                <w:b/>
                <w:color w:val="FFFFFF"/>
              </w:rPr>
              <w:t xml:space="preserve">V06</w:t>
            </w:r>
          </w:p>
        </w:tc>
        <w:tc>
          <w:tcPr>
            <w:shd w:val="clear" w:color="auto" w:fill="00B050"/>
          </w:tcPr>
          <w:p>
            <w:pPr>
              <w:pStyle w:val="Tabla65"/>
              <w:jc w:val="center"/>
            </w:pPr>
            <w:r>
              <w:rPr>
                <w:b/>
                <w:color w:val="FFFFFF"/>
              </w:rPr>
              <w:t xml:space="preserve">V07</w:t>
            </w:r>
          </w:p>
        </w:tc>
        <w:tc>
          <w:tcPr>
            <w:shd w:val="clear" w:color="auto" w:fill="00B050"/>
          </w:tcPr>
          <w:p>
            <w:pPr>
              <w:pStyle w:val="Tabla65"/>
              <w:jc w:val="center"/>
            </w:pPr>
            <w:r>
              <w:rPr>
                <w:b/>
                <w:color w:val="FFFFFF"/>
              </w:rPr>
              <w:t xml:space="preserve">V08</w:t>
            </w:r>
          </w:p>
        </w:tc>
        <w:tc>
          <w:tcPr>
            <w:shd w:val="clear" w:color="auto" w:fill="00B050"/>
          </w:tcPr>
          <w:p>
            <w:pPr>
              <w:pStyle w:val="Tabla65"/>
              <w:jc w:val="center"/>
            </w:pPr>
            <w:r>
              <w:rPr>
                <w:b/>
                <w:color w:val="FFFFFF"/>
              </w:rPr>
              <w:t xml:space="preserve">V09</w:t>
            </w:r>
          </w:p>
        </w:tc>
        <w:tc>
          <w:tcPr>
            <w:shd w:val="clear" w:color="auto" w:fill="00B050"/>
          </w:tcPr>
          <w:p>
            <w:pPr>
              <w:pStyle w:val="Tabla65"/>
              <w:jc w:val="center"/>
            </w:pPr>
            <w:r>
              <w:rPr>
                <w:b/>
                <w:color w:val="FFFFFF"/>
              </w:rPr>
              <w:t xml:space="preserve">V10</w:t>
            </w:r>
          </w:p>
        </w:tc>
        <w:tc>
          <w:tcPr>
            <w:shd w:val="clear" w:color="auto" w:fill="00B050"/>
          </w:tcPr>
          <w:p>
            <w:pPr>
              <w:pStyle w:val="Tabla65"/>
              <w:jc w:val="center"/>
            </w:pPr>
            <w:r>
              <w:rPr>
                <w:b/>
                <w:color w:val="FFFFFF"/>
              </w:rPr>
              <w:t xml:space="preserve">V11</w:t>
            </w:r>
          </w:p>
        </w:tc>
        <w:tc>
          <w:tcPr>
            <w:shd w:val="clear" w:color="auto" w:fill="00B050"/>
          </w:tcPr>
          <w:p>
            <w:pPr>
              <w:pStyle w:val="Tabla65"/>
              <w:jc w:val="center"/>
            </w:pPr>
            <w:r>
              <w:rPr>
                <w:b/>
                <w:color w:val="FFFFFF"/>
              </w:rPr>
              <w:t xml:space="preserve">V12</w:t>
            </w:r>
          </w:p>
        </w:tc>
        <w:tc>
          <w:tcPr>
            <w:shd w:val="clear" w:color="auto" w:fill="00B050"/>
          </w:tcPr>
          <w:p>
            <w:pPr>
              <w:pStyle w:val="Tabla65"/>
              <w:jc w:val="center"/>
            </w:pPr>
            <w:r>
              <w:rPr>
                <w:b/>
                <w:color w:val="FFFFFF"/>
              </w:rPr>
              <w:t xml:space="preserve">V13</w:t>
            </w:r>
          </w:p>
        </w:tc>
        <w:tc>
          <w:tcPr>
            <w:shd w:val="clear" w:color="auto" w:fill="00B050"/>
          </w:tcPr>
          <w:p>
            <w:pPr>
              <w:pStyle w:val="Tabla65"/>
              <w:jc w:val="center"/>
            </w:pPr>
            <w:r>
              <w:rPr>
                <w:b/>
                <w:color w:val="FFFFFF"/>
              </w:rPr>
              <w:t xml:space="preserve">V14</w:t>
            </w:r>
          </w:p>
        </w:tc>
        <w:tc>
          <w:tcPr>
            <w:shd w:val="clear" w:color="auto" w:fill="00B050"/>
          </w:tcPr>
          <w:p>
            <w:pPr>
              <w:pStyle w:val="Tabla65"/>
              <w:jc w:val="center"/>
            </w:pPr>
            <w:r>
              <w:rPr>
                <w:b/>
                <w:color w:val="FFFFFF"/>
              </w:rPr>
              <w:t xml:space="preserve">V15</w:t>
            </w:r>
          </w:p>
        </w:tc>
        <w:tc>
          <w:tcPr>
            <w:shd w:val="clear" w:color="auto" w:fill="00B050"/>
          </w:tcPr>
          <w:p>
            <w:pPr>
              <w:pStyle w:val="Tabla65"/>
              <w:jc w:val="center"/>
            </w:pPr>
            <w:r>
              <w:rPr>
                <w:b/>
                <w:color w:val="FFFFFF"/>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2</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p>
            <w:pPr>
              <w:pStyle w:val="Tabla65"/>
              <w:jc w:val="left"/>
            </w:pPr>
            <w:r>
              <w:t xml:space="preserve">V02</w:t>
            </w:r>
          </w:p>
        </w:tc>
        <w:tc>
          <w:tcPr/>
          <w:p>
            <w:pPr>
              <w:pStyle w:val="Tabla65"/>
              <w:jc w:val="left"/>
            </w:pPr>
            <w:r>
              <w:t xml:space="preserve">U</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p>
            <w:pPr>
              <w:pStyle w:val="Tabla65"/>
              <w:jc w:val="left"/>
            </w:pPr>
            <w:r>
              <w:t xml:space="preserve">V04</w:t>
            </w:r>
          </w:p>
        </w:tc>
        <w:tc>
          <w:tcPr/>
          <w:p>
            <w:pPr>
              <w:pStyle w:val="Tabla65"/>
              <w:jc w:val="left"/>
            </w:pPr>
            <w:r>
              <w:t xml:space="preserve">2</w:t>
            </w:r>
          </w:p>
        </w:tc>
        <w:tc>
          <w:tcPr/>
          <w:p>
            <w:pPr>
              <w:pStyle w:val="Tabla65"/>
              <w:jc w:val="left"/>
            </w:pPr>
            <w:r>
              <w:t xml:space="preserve">2</w:t>
            </w:r>
          </w:p>
        </w:tc>
        <w:tc>
          <w:tcPr/>
          <w:p>
            <w:pPr>
              <w:pStyle w:val="Tabla65"/>
              <w:jc w:val="left"/>
            </w:pPr>
            <w:r>
              <w:t xml:space="preserve">U</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p>
            <w:pPr>
              <w:pStyle w:val="Tabla65"/>
              <w:jc w:val="left"/>
            </w:pPr>
            <w:r>
              <w:t xml:space="preserve">V06</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p>
            <w:pPr>
              <w:pStyle w:val="Tabla65"/>
              <w:jc w:val="left"/>
            </w:pPr>
            <w:r>
              <w:t xml:space="preserve">V07</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0</w:t>
            </w:r>
          </w:p>
        </w:tc>
        <w:tc>
          <w:tcPr/>
          <w:p>
            <w:pPr>
              <w:pStyle w:val="Tabla65"/>
              <w:jc w:val="left"/>
            </w:pPr>
            <w:r>
              <w:t xml:space="preserve">U</w:t>
            </w:r>
          </w:p>
        </w:tc>
        <w:tc>
          <w:tcPr/>
          <w:p>
            <w:pPr>
              <w:pStyle w:val="Tabla65"/>
              <w:jc w:val="left"/>
            </w:pPr>
            <w:r>
              <w:t xml:space="preserve">1</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p>
            <w:pPr>
              <w:pStyle w:val="Tabla65"/>
              <w:jc w:val="left"/>
            </w:pPr>
            <w:r>
              <w:t xml:space="preserve">V08</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2</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p>
            <w:pPr>
              <w:pStyle w:val="Tabla65"/>
              <w:jc w:val="left"/>
            </w:pPr>
            <w:r>
              <w:t xml:space="preserve">V09</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p>
            <w:pPr>
              <w:pStyle w:val="Tabla65"/>
              <w:jc w:val="left"/>
            </w:pPr>
            <w:r>
              <w:t xml:space="preserve">V10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2</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p>
            <w:pPr>
              <w:pStyle w:val="Tabla65"/>
              <w:jc w:val="left"/>
            </w:pPr>
            <w:r>
              <w:t xml:space="preserve">V11</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2</w:t>
            </w:r>
          </w:p>
        </w:tc>
        <w:tc>
          <w:tcPr/>
          <w:p>
            <w:pPr>
              <w:pStyle w:val="Tabla65"/>
              <w:jc w:val="left"/>
            </w:pPr>
            <w:r>
              <w:t xml:space="preserve">U</w:t>
            </w:r>
          </w:p>
        </w:tc>
        <w:tc>
          <w:tcPr/>
          <w:p>
            <w:pPr>
              <w:pStyle w:val="Tabla65"/>
              <w:jc w:val="left"/>
            </w:pPr>
            <w:r>
              <w:t xml:space="preserve">3</w:t>
            </w:r>
          </w:p>
        </w:tc>
        <w:tc>
          <w:tcPr/>
          <w:p>
            <w:pPr>
              <w:pStyle w:val="Tabla65"/>
              <w:jc w:val="left"/>
            </w:pPr>
            <w:r>
              <w:t xml:space="preserve">U</w:t>
            </w:r>
          </w:p>
        </w:tc>
        <w:tc>
          <w:tcPr/>
          <w:p>
            <w:pPr>
              <w:pStyle w:val="Tabla65"/>
              <w:jc w:val="left"/>
            </w:pPr>
            <w:r>
              <w:t xml:space="preserve">PENDIENTE</w:t>
            </w:r>
          </w:p>
        </w:tc>
      </w:tr>
      <w:tr>
        <w:trPr>
          <w:cantSplit/>
        </w:trPr>
        <w:tc>
          <w:tcPr/>
          <w:p>
            <w:pPr>
              <w:pStyle w:val="Tabla65"/>
              <w:jc w:val="left"/>
            </w:pPr>
            <w:r>
              <w:t xml:space="preserve">V12</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PENDIENTE</w:t>
            </w:r>
          </w:p>
        </w:tc>
      </w:tr>
      <w:tr>
        <w:trPr>
          <w:cantSplit/>
        </w:trPr>
        <w:tc>
          <w:tcPr/>
          <w:p>
            <w:pPr>
              <w:pStyle w:val="Tabla65"/>
              <w:jc w:val="left"/>
            </w:pPr>
            <w:r>
              <w:t xml:space="preserve">V13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3</w:t>
            </w:r>
          </w:p>
        </w:tc>
        <w:tc>
          <w:tcPr/>
          <w:p>
            <w:pPr>
              <w:pStyle w:val="Tabla65"/>
              <w:jc w:val="left"/>
            </w:pPr>
            <w:r>
              <w:t xml:space="preserve">U</w:t>
            </w:r>
          </w:p>
        </w:tc>
        <w:tc>
          <w:tcPr/>
          <w:p>
            <w:pPr>
              <w:pStyle w:val="Tabla65"/>
              <w:jc w:val="left"/>
            </w:pPr>
            <w:r>
              <w:t xml:space="preserve">PENDIENTE</w:t>
            </w:r>
          </w:p>
        </w:tc>
      </w:tr>
      <w:tr>
        <w:trPr>
          <w:cantSplit/>
        </w:trPr>
        <w:tc>
          <w:tcPr/>
          <w:p>
            <w:pPr>
              <w:pStyle w:val="Tabla65"/>
              <w:jc w:val="left"/>
            </w:pPr>
            <w:r>
              <w:t xml:space="preserve">V14</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2</w:t>
            </w:r>
          </w:p>
        </w:tc>
        <w:tc>
          <w:tcPr/>
          <w:p>
            <w:pPr>
              <w:pStyle w:val="Tabla65"/>
              <w:jc w:val="left"/>
            </w:pPr>
            <w:r>
              <w:t xml:space="preserve">PENDIENTE</w:t>
            </w:r>
          </w:p>
        </w:tc>
      </w:tr>
      <w:tr>
        <w:trPr>
          <w:cantSplit/>
        </w:trPr>
        <w:tc>
          <w:tcPr/>
          <w:p>
            <w:pPr>
              <w:pStyle w:val="Tabla65"/>
              <w:jc w:val="left"/>
            </w:pPr>
            <w:r>
              <w:t xml:space="preserve">V15</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PENDIENTE</w:t>
            </w:r>
          </w:p>
        </w:tc>
      </w:tr>
      <w:tr>
        <w:trPr>
          <w:cantSplit/>
        </w:trPr>
        <w:tc>
          <w:tcPr/>
          <w:p>
            <w:pPr>
              <w:pStyle w:val="Tabla65"/>
              <w:jc w:val="left"/>
            </w:pPr>
            <w:r>
              <w:t xml:space="preserve">TP</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c>
          <w:tcPr/>
          <w:p>
            <w:pPr>
              <w:pStyle w:val="Tabla65"/>
              <w:jc w:val="left"/>
            </w:pPr>
            <w:r>
              <w:t xml:space="preserve">PENDIENTE</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5840" w:h="12240" w:orient="landscape"/>
          <w:pgMar w:top="1417" w:right="1133" w:bottom="1417" w:left="1133" w:header="709" w:footer="709" w:gutter="0"/>
        </w:sectPr>
      </w:pPr>
    </w:p>
    <w:p>
      <w:pPr>
        <w:pStyle w:val="BodyText"/>
      </w:pPr>
      <w:r>
        <w:rPr>
          <w:b/>
          <w:bCs/>
        </w:rPr>
        <w:t xml:space="preserve">Cotas aritméticas de la matriz formal (NO_PREDICTIVAS).</w:t>
      </w:r>
      <w:r>
        <w:t xml:space="preserve"> </w:t>
      </w:r>
      <w:r>
        <w:t xml:space="preserve">Reemplazar cada U por 0 y por 3 produce una envolvente que no discrimina variables. No es un diagnóstico plausible ni una adjudicación. Estado: NO_PRIORIZACION_ESTABLE con esa envolvente.</w:t>
      </w:r>
    </w:p>
    <w:p>
      <w:pPr>
        <w:pStyle w:val="BodyText"/>
      </w:pPr>
      <w:r>
        <w:t xml:space="preserve">La Tabla F4.20 reúne los datos de «Cotas aritméticas de la matriz formal (NO_PREDICTIVAS)».</w:t>
      </w:r>
    </w:p>
    <w:p>
      <w:pPr>
        <w:pStyle w:val="TablaRotulo"/>
      </w:pPr>
      <w:bookmarkStart w:id="9097" w:name="rot_Tabla_F4_20"/>
      <w:r>
        <w:rPr>
          <w:b/>
          <w:bCs/>
        </w:rPr>
        <w:t xml:space="preserve">Tabla F4.20</w:t>
      </w:r>
      <w:bookmarkEnd w:id="9097"/>
    </w:p>
    <w:p>
      <w:pPr>
        <w:pStyle w:val="TablaTitulo"/>
      </w:pPr>
      <w:r>
        <w:rPr>
          <w:i/>
          <w:iCs/>
        </w:rPr>
        <w:t xml:space="preserve">Cotas aritméticas de la matriz formal (NO_PREDICTIVAS)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98"/>
        <w:gridCol w:w="1730"/>
        <w:gridCol w:w="1730"/>
        <w:gridCol w:w="1730"/>
        <w:gridCol w:w="1730"/>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I inferior</w:t>
            </w:r>
          </w:p>
        </w:tc>
        <w:tc>
          <w:tcPr>
            <w:shd w:val="clear" w:color="auto" w:fill="00B050"/>
          </w:tcPr>
          <w:p>
            <w:pPr>
              <w:pStyle w:val="Tabla9"/>
              <w:jc w:val="center"/>
            </w:pPr>
            <w:r>
              <w:rPr>
                <w:b/>
                <w:color w:val="FFFFFF"/>
              </w:rPr>
              <w:t xml:space="preserve">I superior</w:t>
            </w:r>
          </w:p>
        </w:tc>
        <w:tc>
          <w:tcPr>
            <w:shd w:val="clear" w:color="auto" w:fill="00B050"/>
          </w:tcPr>
          <w:p>
            <w:pPr>
              <w:pStyle w:val="Tabla9"/>
              <w:jc w:val="center"/>
            </w:pPr>
            <w:r>
              <w:rPr>
                <w:b/>
                <w:color w:val="FFFFFF"/>
              </w:rPr>
              <w:t xml:space="preserve">D inferior</w:t>
            </w:r>
          </w:p>
        </w:tc>
        <w:tc>
          <w:tcPr>
            <w:shd w:val="clear" w:color="auto" w:fill="00B050"/>
          </w:tcPr>
          <w:p>
            <w:pPr>
              <w:pStyle w:val="Tabla9"/>
              <w:jc w:val="center"/>
            </w:pPr>
            <w:r>
              <w:rPr>
                <w:b/>
                <w:color w:val="FFFFFF"/>
              </w:rPr>
              <w:t xml:space="preserve">D superior</w:t>
            </w:r>
          </w:p>
        </w:tc>
      </w:tr>
      <w:tr>
        <w:trPr>
          <w:cantSplit/>
        </w:trPr>
        <w:tc>
          <w:tcPr/>
          <w:p>
            <w:pPr>
              <w:pStyle w:val="Tabla9"/>
              <w:jc w:val="left"/>
            </w:pPr>
            <w:r>
              <w:t xml:space="preserve">V01</w:t>
            </w:r>
          </w:p>
        </w:tc>
        <w:tc>
          <w:tcPr/>
          <w:p>
            <w:pPr>
              <w:pStyle w:val="Tabla9"/>
              <w:jc w:val="left"/>
            </w:pPr>
            <w:r>
              <w:t xml:space="preserve">2</w:t>
            </w:r>
          </w:p>
        </w:tc>
        <w:tc>
          <w:tcPr/>
          <w:p>
            <w:pPr>
              <w:pStyle w:val="Tabla9"/>
              <w:jc w:val="left"/>
            </w:pPr>
            <w:r>
              <w:t xml:space="preserve">41</w:t>
            </w:r>
          </w:p>
        </w:tc>
        <w:tc>
          <w:tcPr/>
          <w:p>
            <w:pPr>
              <w:pStyle w:val="Tabla9"/>
              <w:jc w:val="left"/>
            </w:pPr>
            <w:r>
              <w:t xml:space="preserve">6</w:t>
            </w:r>
          </w:p>
        </w:tc>
        <w:tc>
          <w:tcPr/>
          <w:p>
            <w:pPr>
              <w:pStyle w:val="Tabla9"/>
              <w:jc w:val="left"/>
            </w:pPr>
            <w:r>
              <w:t xml:space="preserve">39</w:t>
            </w:r>
          </w:p>
        </w:tc>
      </w:tr>
      <w:tr>
        <w:trPr>
          <w:cantSplit/>
        </w:trPr>
        <w:tc>
          <w:tcPr/>
          <w:p>
            <w:pPr>
              <w:pStyle w:val="Tabla9"/>
              <w:jc w:val="left"/>
            </w:pPr>
            <w:r>
              <w:t xml:space="preserve">V02</w:t>
            </w:r>
          </w:p>
        </w:tc>
        <w:tc>
          <w:tcPr/>
          <w:p>
            <w:pPr>
              <w:pStyle w:val="Tabla9"/>
              <w:jc w:val="left"/>
            </w:pPr>
            <w:r>
              <w:t xml:space="preserve">3</w:t>
            </w:r>
          </w:p>
        </w:tc>
        <w:tc>
          <w:tcPr/>
          <w:p>
            <w:pPr>
              <w:pStyle w:val="Tabla9"/>
              <w:jc w:val="left"/>
            </w:pPr>
            <w:r>
              <w:t xml:space="preserve">42</w:t>
            </w:r>
          </w:p>
        </w:tc>
        <w:tc>
          <w:tcPr/>
          <w:p>
            <w:pPr>
              <w:pStyle w:val="Tabla9"/>
              <w:jc w:val="left"/>
            </w:pPr>
            <w:r>
              <w:t xml:space="preserve">6</w:t>
            </w:r>
          </w:p>
        </w:tc>
        <w:tc>
          <w:tcPr/>
          <w:p>
            <w:pPr>
              <w:pStyle w:val="Tabla9"/>
              <w:jc w:val="left"/>
            </w:pPr>
            <w:r>
              <w:t xml:space="preserve">39</w:t>
            </w:r>
          </w:p>
        </w:tc>
      </w:tr>
      <w:tr>
        <w:trPr>
          <w:cantSplit/>
        </w:trPr>
        <w:tc>
          <w:tcPr/>
          <w:p>
            <w:pPr>
              <w:pStyle w:val="Tabla9"/>
              <w:jc w:val="left"/>
            </w:pPr>
            <w:r>
              <w:t xml:space="preserve">V03</w:t>
            </w:r>
          </w:p>
        </w:tc>
        <w:tc>
          <w:tcPr/>
          <w:p>
            <w:pPr>
              <w:pStyle w:val="Tabla9"/>
              <w:jc w:val="left"/>
            </w:pPr>
            <w:r>
              <w:t xml:space="preserve">5</w:t>
            </w:r>
          </w:p>
        </w:tc>
        <w:tc>
          <w:tcPr/>
          <w:p>
            <w:pPr>
              <w:pStyle w:val="Tabla9"/>
              <w:jc w:val="left"/>
            </w:pPr>
            <w:r>
              <w:t xml:space="preserve">38</w:t>
            </w:r>
          </w:p>
        </w:tc>
        <w:tc>
          <w:tcPr/>
          <w:p>
            <w:pPr>
              <w:pStyle w:val="Tabla9"/>
              <w:jc w:val="left"/>
            </w:pPr>
            <w:r>
              <w:t xml:space="preserve">0</w:t>
            </w:r>
          </w:p>
        </w:tc>
        <w:tc>
          <w:tcPr/>
          <w:p>
            <w:pPr>
              <w:pStyle w:val="Tabla9"/>
              <w:jc w:val="left"/>
            </w:pPr>
            <w:r>
              <w:t xml:space="preserve">42</w:t>
            </w:r>
          </w:p>
        </w:tc>
      </w:tr>
      <w:tr>
        <w:trPr>
          <w:cantSplit/>
        </w:trPr>
        <w:tc>
          <w:tcPr/>
          <w:p>
            <w:pPr>
              <w:pStyle w:val="Tabla9"/>
              <w:jc w:val="left"/>
            </w:pPr>
            <w:r>
              <w:t xml:space="preserve">V04</w:t>
            </w:r>
          </w:p>
        </w:tc>
        <w:tc>
          <w:tcPr/>
          <w:p>
            <w:pPr>
              <w:pStyle w:val="Tabla9"/>
              <w:jc w:val="left"/>
            </w:pPr>
            <w:r>
              <w:t xml:space="preserve">4</w:t>
            </w:r>
          </w:p>
        </w:tc>
        <w:tc>
          <w:tcPr/>
          <w:p>
            <w:pPr>
              <w:pStyle w:val="Tabla9"/>
              <w:jc w:val="left"/>
            </w:pPr>
            <w:r>
              <w:t xml:space="preserve">40</w:t>
            </w:r>
          </w:p>
        </w:tc>
        <w:tc>
          <w:tcPr/>
          <w:p>
            <w:pPr>
              <w:pStyle w:val="Tabla9"/>
              <w:jc w:val="left"/>
            </w:pPr>
            <w:r>
              <w:t xml:space="preserve">0</w:t>
            </w:r>
          </w:p>
        </w:tc>
        <w:tc>
          <w:tcPr/>
          <w:p>
            <w:pPr>
              <w:pStyle w:val="Tabla9"/>
              <w:jc w:val="left"/>
            </w:pPr>
            <w:r>
              <w:t xml:space="preserve">42</w:t>
            </w:r>
          </w:p>
        </w:tc>
      </w:tr>
      <w:tr>
        <w:trPr>
          <w:cantSplit/>
        </w:trPr>
        <w:tc>
          <w:tcPr/>
          <w:p>
            <w:pPr>
              <w:pStyle w:val="Tabla9"/>
              <w:jc w:val="left"/>
            </w:pPr>
            <w:r>
              <w:t xml:space="preserve">V05</w:t>
            </w:r>
          </w:p>
        </w:tc>
        <w:tc>
          <w:tcPr/>
          <w:p>
            <w:pPr>
              <w:pStyle w:val="Tabla9"/>
              <w:jc w:val="left"/>
            </w:pPr>
            <w:r>
              <w:t xml:space="preserve">6</w:t>
            </w:r>
          </w:p>
        </w:tc>
        <w:tc>
          <w:tcPr/>
          <w:p>
            <w:pPr>
              <w:pStyle w:val="Tabla9"/>
              <w:jc w:val="left"/>
            </w:pPr>
            <w:r>
              <w:t xml:space="preserve">42</w:t>
            </w:r>
          </w:p>
        </w:tc>
        <w:tc>
          <w:tcPr/>
          <w:p>
            <w:pPr>
              <w:pStyle w:val="Tabla9"/>
              <w:jc w:val="left"/>
            </w:pPr>
            <w:r>
              <w:t xml:space="preserve">0</w:t>
            </w:r>
          </w:p>
        </w:tc>
        <w:tc>
          <w:tcPr/>
          <w:p>
            <w:pPr>
              <w:pStyle w:val="Tabla9"/>
              <w:jc w:val="left"/>
            </w:pPr>
            <w:r>
              <w:t xml:space="preserve">42</w:t>
            </w:r>
          </w:p>
        </w:tc>
      </w:tr>
      <w:tr>
        <w:trPr>
          <w:cantSplit/>
        </w:trPr>
        <w:tc>
          <w:tcPr/>
          <w:p>
            <w:pPr>
              <w:pStyle w:val="Tabla9"/>
              <w:jc w:val="left"/>
            </w:pPr>
            <w:r>
              <w:t xml:space="preserve">V06</w:t>
            </w:r>
          </w:p>
        </w:tc>
        <w:tc>
          <w:tcPr/>
          <w:p>
            <w:pPr>
              <w:pStyle w:val="Tabla9"/>
              <w:jc w:val="left"/>
            </w:pPr>
            <w:r>
              <w:t xml:space="preserve">6</w:t>
            </w:r>
          </w:p>
        </w:tc>
        <w:tc>
          <w:tcPr/>
          <w:p>
            <w:pPr>
              <w:pStyle w:val="Tabla9"/>
              <w:jc w:val="left"/>
            </w:pPr>
            <w:r>
              <w:t xml:space="preserve">42</w:t>
            </w:r>
          </w:p>
        </w:tc>
        <w:tc>
          <w:tcPr/>
          <w:p>
            <w:pPr>
              <w:pStyle w:val="Tabla9"/>
              <w:jc w:val="left"/>
            </w:pPr>
            <w:r>
              <w:t xml:space="preserve">13</w:t>
            </w:r>
          </w:p>
        </w:tc>
        <w:tc>
          <w:tcPr/>
          <w:p>
            <w:pPr>
              <w:pStyle w:val="Tabla9"/>
              <w:jc w:val="left"/>
            </w:pPr>
            <w:r>
              <w:t xml:space="preserve">40</w:t>
            </w:r>
          </w:p>
        </w:tc>
      </w:tr>
      <w:tr>
        <w:trPr>
          <w:cantSplit/>
        </w:trPr>
        <w:tc>
          <w:tcPr/>
          <w:p>
            <w:pPr>
              <w:pStyle w:val="Tabla9"/>
              <w:jc w:val="left"/>
            </w:pPr>
            <w:r>
              <w:t xml:space="preserve">V07</w:t>
            </w:r>
          </w:p>
        </w:tc>
        <w:tc>
          <w:tcPr/>
          <w:p>
            <w:pPr>
              <w:pStyle w:val="Tabla9"/>
              <w:jc w:val="left"/>
            </w:pPr>
            <w:r>
              <w:t xml:space="preserve">4</w:t>
            </w:r>
          </w:p>
        </w:tc>
        <w:tc>
          <w:tcPr/>
          <w:p>
            <w:pPr>
              <w:pStyle w:val="Tabla9"/>
              <w:jc w:val="left"/>
            </w:pPr>
            <w:r>
              <w:t xml:space="preserve">40</w:t>
            </w:r>
          </w:p>
        </w:tc>
        <w:tc>
          <w:tcPr/>
          <w:p>
            <w:pPr>
              <w:pStyle w:val="Tabla9"/>
              <w:jc w:val="left"/>
            </w:pPr>
            <w:r>
              <w:t xml:space="preserve">0</w:t>
            </w:r>
          </w:p>
        </w:tc>
        <w:tc>
          <w:tcPr/>
          <w:p>
            <w:pPr>
              <w:pStyle w:val="Tabla9"/>
              <w:jc w:val="left"/>
            </w:pPr>
            <w:r>
              <w:t xml:space="preserve">42</w:t>
            </w:r>
          </w:p>
        </w:tc>
      </w:tr>
      <w:tr>
        <w:trPr>
          <w:cantSplit/>
        </w:trPr>
        <w:tc>
          <w:tcPr/>
          <w:p>
            <w:pPr>
              <w:pStyle w:val="Tabla9"/>
              <w:jc w:val="left"/>
            </w:pPr>
            <w:r>
              <w:t xml:space="preserve">V08</w:t>
            </w:r>
          </w:p>
        </w:tc>
        <w:tc>
          <w:tcPr/>
          <w:p>
            <w:pPr>
              <w:pStyle w:val="Tabla9"/>
              <w:jc w:val="left"/>
            </w:pPr>
            <w:r>
              <w:t xml:space="preserve">2</w:t>
            </w:r>
          </w:p>
        </w:tc>
        <w:tc>
          <w:tcPr/>
          <w:p>
            <w:pPr>
              <w:pStyle w:val="Tabla9"/>
              <w:jc w:val="left"/>
            </w:pPr>
            <w:r>
              <w:t xml:space="preserve">41</w:t>
            </w:r>
          </w:p>
        </w:tc>
        <w:tc>
          <w:tcPr/>
          <w:p>
            <w:pPr>
              <w:pStyle w:val="Tabla9"/>
              <w:jc w:val="left"/>
            </w:pPr>
            <w:r>
              <w:t xml:space="preserve">0</w:t>
            </w:r>
          </w:p>
        </w:tc>
        <w:tc>
          <w:tcPr/>
          <w:p>
            <w:pPr>
              <w:pStyle w:val="Tabla9"/>
              <w:jc w:val="left"/>
            </w:pPr>
            <w:r>
              <w:t xml:space="preserve">42</w:t>
            </w:r>
          </w:p>
        </w:tc>
      </w:tr>
      <w:tr>
        <w:trPr>
          <w:cantSplit/>
        </w:trPr>
        <w:tc>
          <w:tcPr/>
          <w:p>
            <w:pPr>
              <w:pStyle w:val="Tabla9"/>
              <w:jc w:val="left"/>
            </w:pPr>
            <w:r>
              <w:t xml:space="preserve">V09</w:t>
            </w:r>
          </w:p>
        </w:tc>
        <w:tc>
          <w:tcPr/>
          <w:p>
            <w:pPr>
              <w:pStyle w:val="Tabla9"/>
              <w:jc w:val="left"/>
            </w:pPr>
            <w:r>
              <w:t xml:space="preserve">3</w:t>
            </w:r>
          </w:p>
        </w:tc>
        <w:tc>
          <w:tcPr/>
          <w:p>
            <w:pPr>
              <w:pStyle w:val="Tabla9"/>
              <w:jc w:val="left"/>
            </w:pPr>
            <w:r>
              <w:t xml:space="preserve">42</w:t>
            </w:r>
          </w:p>
        </w:tc>
        <w:tc>
          <w:tcPr/>
          <w:p>
            <w:pPr>
              <w:pStyle w:val="Tabla9"/>
              <w:jc w:val="left"/>
            </w:pPr>
            <w:r>
              <w:t xml:space="preserve">1</w:t>
            </w:r>
          </w:p>
        </w:tc>
        <w:tc>
          <w:tcPr/>
          <w:p>
            <w:pPr>
              <w:pStyle w:val="Tabla9"/>
              <w:jc w:val="left"/>
            </w:pPr>
            <w:r>
              <w:t xml:space="preserve">40</w:t>
            </w:r>
          </w:p>
        </w:tc>
      </w:tr>
      <w:tr>
        <w:trPr>
          <w:cantSplit/>
        </w:trPr>
        <w:tc>
          <w:tcPr/>
          <w:p>
            <w:pPr>
              <w:pStyle w:val="Tabla9"/>
              <w:jc w:val="left"/>
            </w:pPr>
            <w:r>
              <w:t xml:space="preserve">V10</w:t>
            </w:r>
          </w:p>
        </w:tc>
        <w:tc>
          <w:tcPr/>
          <w:p>
            <w:pPr>
              <w:pStyle w:val="Tabla9"/>
              <w:jc w:val="left"/>
            </w:pPr>
            <w:r>
              <w:t xml:space="preserve">5</w:t>
            </w:r>
          </w:p>
        </w:tc>
        <w:tc>
          <w:tcPr/>
          <w:p>
            <w:pPr>
              <w:pStyle w:val="Tabla9"/>
              <w:jc w:val="left"/>
            </w:pPr>
            <w:r>
              <w:t xml:space="preserve">41</w:t>
            </w:r>
          </w:p>
        </w:tc>
        <w:tc>
          <w:tcPr/>
          <w:p>
            <w:pPr>
              <w:pStyle w:val="Tabla9"/>
              <w:jc w:val="left"/>
            </w:pPr>
            <w:r>
              <w:t xml:space="preserve">3</w:t>
            </w:r>
          </w:p>
        </w:tc>
        <w:tc>
          <w:tcPr/>
          <w:p>
            <w:pPr>
              <w:pStyle w:val="Tabla9"/>
              <w:jc w:val="left"/>
            </w:pPr>
            <w:r>
              <w:t xml:space="preserve">42</w:t>
            </w:r>
          </w:p>
        </w:tc>
      </w:tr>
      <w:tr>
        <w:trPr>
          <w:cantSplit/>
        </w:trPr>
        <w:tc>
          <w:tcPr/>
          <w:p>
            <w:pPr>
              <w:pStyle w:val="Tabla9"/>
              <w:jc w:val="left"/>
            </w:pPr>
            <w:r>
              <w:t xml:space="preserve">V11</w:t>
            </w:r>
          </w:p>
        </w:tc>
        <w:tc>
          <w:tcPr/>
          <w:p>
            <w:pPr>
              <w:pStyle w:val="Tabla9"/>
              <w:jc w:val="left"/>
            </w:pPr>
            <w:r>
              <w:t xml:space="preserve">5</w:t>
            </w:r>
          </w:p>
        </w:tc>
        <w:tc>
          <w:tcPr/>
          <w:p>
            <w:pPr>
              <w:pStyle w:val="Tabla9"/>
              <w:jc w:val="left"/>
            </w:pPr>
            <w:r>
              <w:t xml:space="preserve">41</w:t>
            </w:r>
          </w:p>
        </w:tc>
        <w:tc>
          <w:tcPr/>
          <w:p>
            <w:pPr>
              <w:pStyle w:val="Tabla9"/>
              <w:jc w:val="left"/>
            </w:pPr>
            <w:r>
              <w:t xml:space="preserve">6</w:t>
            </w:r>
          </w:p>
        </w:tc>
        <w:tc>
          <w:tcPr/>
          <w:p>
            <w:pPr>
              <w:pStyle w:val="Tabla9"/>
              <w:jc w:val="left"/>
            </w:pPr>
            <w:r>
              <w:t xml:space="preserve">42</w:t>
            </w:r>
          </w:p>
        </w:tc>
      </w:tr>
      <w:tr>
        <w:trPr>
          <w:cantSplit/>
        </w:trPr>
        <w:tc>
          <w:tcPr/>
          <w:p>
            <w:pPr>
              <w:pStyle w:val="Tabla9"/>
              <w:jc w:val="left"/>
            </w:pPr>
            <w:r>
              <w:t xml:space="preserve">V12</w:t>
            </w:r>
          </w:p>
        </w:tc>
        <w:tc>
          <w:tcPr/>
          <w:p>
            <w:pPr>
              <w:pStyle w:val="Tabla9"/>
              <w:jc w:val="left"/>
            </w:pPr>
            <w:r>
              <w:t xml:space="preserve">3</w:t>
            </w:r>
          </w:p>
        </w:tc>
        <w:tc>
          <w:tcPr/>
          <w:p>
            <w:pPr>
              <w:pStyle w:val="Tabla9"/>
              <w:jc w:val="left"/>
            </w:pPr>
            <w:r>
              <w:t xml:space="preserve">42</w:t>
            </w:r>
          </w:p>
        </w:tc>
        <w:tc>
          <w:tcPr/>
          <w:p>
            <w:pPr>
              <w:pStyle w:val="Tabla9"/>
              <w:jc w:val="left"/>
            </w:pPr>
            <w:r>
              <w:t xml:space="preserve">5</w:t>
            </w:r>
          </w:p>
        </w:tc>
        <w:tc>
          <w:tcPr/>
          <w:p>
            <w:pPr>
              <w:pStyle w:val="Tabla9"/>
              <w:jc w:val="left"/>
            </w:pPr>
            <w:r>
              <w:t xml:space="preserve">41</w:t>
            </w:r>
          </w:p>
        </w:tc>
      </w:tr>
      <w:tr>
        <w:trPr>
          <w:cantSplit/>
        </w:trPr>
        <w:tc>
          <w:tcPr/>
          <w:p>
            <w:pPr>
              <w:pStyle w:val="Tabla9"/>
              <w:jc w:val="left"/>
            </w:pPr>
            <w:r>
              <w:t xml:space="preserve">V13</w:t>
            </w:r>
          </w:p>
        </w:tc>
        <w:tc>
          <w:tcPr/>
          <w:p>
            <w:pPr>
              <w:pStyle w:val="Tabla9"/>
              <w:jc w:val="left"/>
            </w:pPr>
            <w:r>
              <w:t xml:space="preserve">3</w:t>
            </w:r>
          </w:p>
        </w:tc>
        <w:tc>
          <w:tcPr/>
          <w:p>
            <w:pPr>
              <w:pStyle w:val="Tabla9"/>
              <w:jc w:val="left"/>
            </w:pPr>
            <w:r>
              <w:t xml:space="preserve">42</w:t>
            </w:r>
          </w:p>
        </w:tc>
        <w:tc>
          <w:tcPr/>
          <w:p>
            <w:pPr>
              <w:pStyle w:val="Tabla9"/>
              <w:jc w:val="left"/>
            </w:pPr>
            <w:r>
              <w:t xml:space="preserve">2</w:t>
            </w:r>
          </w:p>
        </w:tc>
        <w:tc>
          <w:tcPr/>
          <w:p>
            <w:pPr>
              <w:pStyle w:val="Tabla9"/>
              <w:jc w:val="left"/>
            </w:pPr>
            <w:r>
              <w:t xml:space="preserve">41</w:t>
            </w:r>
          </w:p>
        </w:tc>
      </w:tr>
      <w:tr>
        <w:trPr>
          <w:cantSplit/>
        </w:trPr>
        <w:tc>
          <w:tcPr/>
          <w:p>
            <w:pPr>
              <w:pStyle w:val="Tabla9"/>
              <w:jc w:val="left"/>
            </w:pPr>
            <w:r>
              <w:t xml:space="preserve">V14</w:t>
            </w:r>
          </w:p>
        </w:tc>
        <w:tc>
          <w:tcPr/>
          <w:p>
            <w:pPr>
              <w:pStyle w:val="Tabla9"/>
              <w:jc w:val="left"/>
            </w:pPr>
            <w:r>
              <w:t xml:space="preserve">2</w:t>
            </w:r>
          </w:p>
        </w:tc>
        <w:tc>
          <w:tcPr/>
          <w:p>
            <w:pPr>
              <w:pStyle w:val="Tabla9"/>
              <w:jc w:val="left"/>
            </w:pPr>
            <w:r>
              <w:t xml:space="preserve">41</w:t>
            </w:r>
          </w:p>
        </w:tc>
        <w:tc>
          <w:tcPr/>
          <w:p>
            <w:pPr>
              <w:pStyle w:val="Tabla9"/>
              <w:jc w:val="left"/>
            </w:pPr>
            <w:r>
              <w:t xml:space="preserve">6</w:t>
            </w:r>
          </w:p>
        </w:tc>
        <w:tc>
          <w:tcPr/>
          <w:p>
            <w:pPr>
              <w:pStyle w:val="Tabla9"/>
              <w:jc w:val="left"/>
            </w:pPr>
            <w:r>
              <w:t xml:space="preserve">42</w:t>
            </w:r>
          </w:p>
        </w:tc>
      </w:tr>
      <w:tr>
        <w:trPr>
          <w:cantSplit/>
        </w:trPr>
        <w:tc>
          <w:tcPr/>
          <w:p>
            <w:pPr>
              <w:pStyle w:val="Tabla9"/>
              <w:jc w:val="left"/>
            </w:pPr>
            <w:r>
              <w:t xml:space="preserve">V15</w:t>
            </w:r>
          </w:p>
        </w:tc>
        <w:tc>
          <w:tcPr/>
          <w:p>
            <w:pPr>
              <w:pStyle w:val="Tabla9"/>
              <w:jc w:val="left"/>
            </w:pPr>
            <w:r>
              <w:t xml:space="preserve">0</w:t>
            </w:r>
          </w:p>
        </w:tc>
        <w:tc>
          <w:tcPr/>
          <w:p>
            <w:pPr>
              <w:pStyle w:val="Tabla9"/>
              <w:jc w:val="left"/>
            </w:pPr>
            <w:r>
              <w:t xml:space="preserve">42</w:t>
            </w:r>
          </w:p>
        </w:tc>
        <w:tc>
          <w:tcPr/>
          <w:p>
            <w:pPr>
              <w:pStyle w:val="Tabla9"/>
              <w:jc w:val="left"/>
            </w:pPr>
            <w:r>
              <w:t xml:space="preserve">5</w:t>
            </w:r>
          </w:p>
        </w:tc>
        <w:tc>
          <w:tcPr/>
          <w:p>
            <w:pPr>
              <w:pStyle w:val="Tabla9"/>
              <w:jc w:val="left"/>
            </w:pPr>
            <w:r>
              <w:t xml:space="preserve">41</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S0. Ledger E3-P04 (22 aristas). Ceros heredados condicionados; no son adjudicaciones.</w:t>
      </w:r>
      <w:r>
        <w:t xml:space="preserve"> </w:t>
      </w:r>
      <w:r>
        <w:t xml:space="preserve">Total TA = TP = 53.</w:t>
      </w:r>
    </w:p>
    <w:p>
      <w:pPr>
        <w:pStyle w:val="BodyText"/>
      </w:pPr>
      <w:r>
        <w:t xml:space="preserve">La Tabla F4.21 reúne los datos de «Matriz de influencia directa del escenario S0 (ledger de E3-P04, 22 aristas)».</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2240" w:h="15840"/>
          <w:pgMar w:top="1417" w:right="1133" w:bottom="1417" w:left="1133" w:header="709" w:footer="709" w:gutter="0"/>
        </w:sectPr>
      </w:pPr>
    </w:p>
    <w:p>
      <w:pPr>
        <w:pStyle w:val="TablaRotulo"/>
      </w:pPr>
      <w:bookmarkStart w:id="9098" w:name="rot_Tabla_F4_21"/>
      <w:r>
        <w:rPr>
          <w:b/>
          <w:bCs/>
        </w:rPr>
        <w:t xml:space="preserve">Tabla F4.21</w:t>
      </w:r>
      <w:bookmarkEnd w:id="9098"/>
    </w:p>
    <w:p>
      <w:pPr>
        <w:pStyle w:val="TablaTitulo"/>
      </w:pPr>
      <w:r>
        <w:rPr>
          <w:i/>
          <w:iCs/>
        </w:rPr>
        <w:t xml:space="preserve">Matriz de influencia directa del escenario S0 (ledger de E3-P04, 22 aristas)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shd w:val="clear" w:color="auto" w:fill="00B050"/>
          </w:tcPr>
          <w:p>
            <w:pPr>
              <w:pStyle w:val="Tabla65"/>
              <w:jc w:val="center"/>
            </w:pPr>
            <w:r>
              <w:rPr>
                <w:b/>
                <w:color w:val="FFFFFF"/>
              </w:rPr>
              <w:t xml:space="preserve">Origen  Destino</w:t>
            </w:r>
          </w:p>
        </w:tc>
        <w:tc>
          <w:tcPr>
            <w:shd w:val="clear" w:color="auto" w:fill="00B050"/>
          </w:tcPr>
          <w:p>
            <w:pPr>
              <w:pStyle w:val="Tabla65"/>
              <w:jc w:val="center"/>
            </w:pPr>
            <w:r>
              <w:rPr>
                <w:b/>
                <w:color w:val="FFFFFF"/>
              </w:rPr>
              <w:t xml:space="preserve">V01</w:t>
            </w:r>
          </w:p>
        </w:tc>
        <w:tc>
          <w:tcPr>
            <w:shd w:val="clear" w:color="auto" w:fill="00B050"/>
          </w:tcPr>
          <w:p>
            <w:pPr>
              <w:pStyle w:val="Tabla65"/>
              <w:jc w:val="center"/>
            </w:pPr>
            <w:r>
              <w:rPr>
                <w:b/>
                <w:color w:val="FFFFFF"/>
              </w:rPr>
              <w:t xml:space="preserve">V02</w:t>
            </w:r>
          </w:p>
        </w:tc>
        <w:tc>
          <w:tcPr>
            <w:shd w:val="clear" w:color="auto" w:fill="00B050"/>
          </w:tcPr>
          <w:p>
            <w:pPr>
              <w:pStyle w:val="Tabla65"/>
              <w:jc w:val="center"/>
            </w:pPr>
            <w:r>
              <w:rPr>
                <w:b/>
                <w:color w:val="FFFFFF"/>
              </w:rPr>
              <w:t xml:space="preserve">V03</w:t>
            </w:r>
          </w:p>
        </w:tc>
        <w:tc>
          <w:tcPr>
            <w:shd w:val="clear" w:color="auto" w:fill="00B050"/>
          </w:tcPr>
          <w:p>
            <w:pPr>
              <w:pStyle w:val="Tabla65"/>
              <w:jc w:val="center"/>
            </w:pPr>
            <w:r>
              <w:rPr>
                <w:b/>
                <w:color w:val="FFFFFF"/>
              </w:rPr>
              <w:t xml:space="preserve">V04</w:t>
            </w:r>
          </w:p>
        </w:tc>
        <w:tc>
          <w:tcPr>
            <w:shd w:val="clear" w:color="auto" w:fill="00B050"/>
          </w:tcPr>
          <w:p>
            <w:pPr>
              <w:pStyle w:val="Tabla65"/>
              <w:jc w:val="center"/>
            </w:pPr>
            <w:r>
              <w:rPr>
                <w:b/>
                <w:color w:val="FFFFFF"/>
              </w:rPr>
              <w:t xml:space="preserve">V05</w:t>
            </w:r>
          </w:p>
        </w:tc>
        <w:tc>
          <w:tcPr>
            <w:shd w:val="clear" w:color="auto" w:fill="00B050"/>
          </w:tcPr>
          <w:p>
            <w:pPr>
              <w:pStyle w:val="Tabla65"/>
              <w:jc w:val="center"/>
            </w:pPr>
            <w:r>
              <w:rPr>
                <w:b/>
                <w:color w:val="FFFFFF"/>
              </w:rPr>
              <w:t xml:space="preserve">V06</w:t>
            </w:r>
          </w:p>
        </w:tc>
        <w:tc>
          <w:tcPr>
            <w:shd w:val="clear" w:color="auto" w:fill="00B050"/>
          </w:tcPr>
          <w:p>
            <w:pPr>
              <w:pStyle w:val="Tabla65"/>
              <w:jc w:val="center"/>
            </w:pPr>
            <w:r>
              <w:rPr>
                <w:b/>
                <w:color w:val="FFFFFF"/>
              </w:rPr>
              <w:t xml:space="preserve">V07</w:t>
            </w:r>
          </w:p>
        </w:tc>
        <w:tc>
          <w:tcPr>
            <w:shd w:val="clear" w:color="auto" w:fill="00B050"/>
          </w:tcPr>
          <w:p>
            <w:pPr>
              <w:pStyle w:val="Tabla65"/>
              <w:jc w:val="center"/>
            </w:pPr>
            <w:r>
              <w:rPr>
                <w:b/>
                <w:color w:val="FFFFFF"/>
              </w:rPr>
              <w:t xml:space="preserve">V08</w:t>
            </w:r>
          </w:p>
        </w:tc>
        <w:tc>
          <w:tcPr>
            <w:shd w:val="clear" w:color="auto" w:fill="00B050"/>
          </w:tcPr>
          <w:p>
            <w:pPr>
              <w:pStyle w:val="Tabla65"/>
              <w:jc w:val="center"/>
            </w:pPr>
            <w:r>
              <w:rPr>
                <w:b/>
                <w:color w:val="FFFFFF"/>
              </w:rPr>
              <w:t xml:space="preserve">V09</w:t>
            </w:r>
          </w:p>
        </w:tc>
        <w:tc>
          <w:tcPr>
            <w:shd w:val="clear" w:color="auto" w:fill="00B050"/>
          </w:tcPr>
          <w:p>
            <w:pPr>
              <w:pStyle w:val="Tabla65"/>
              <w:jc w:val="center"/>
            </w:pPr>
            <w:r>
              <w:rPr>
                <w:b/>
                <w:color w:val="FFFFFF"/>
              </w:rPr>
              <w:t xml:space="preserve">V10</w:t>
            </w:r>
          </w:p>
        </w:tc>
        <w:tc>
          <w:tcPr>
            <w:shd w:val="clear" w:color="auto" w:fill="00B050"/>
          </w:tcPr>
          <w:p>
            <w:pPr>
              <w:pStyle w:val="Tabla65"/>
              <w:jc w:val="center"/>
            </w:pPr>
            <w:r>
              <w:rPr>
                <w:b/>
                <w:color w:val="FFFFFF"/>
              </w:rPr>
              <w:t xml:space="preserve">V11</w:t>
            </w:r>
          </w:p>
        </w:tc>
        <w:tc>
          <w:tcPr>
            <w:shd w:val="clear" w:color="auto" w:fill="00B050"/>
          </w:tcPr>
          <w:p>
            <w:pPr>
              <w:pStyle w:val="Tabla65"/>
              <w:jc w:val="center"/>
            </w:pPr>
            <w:r>
              <w:rPr>
                <w:b/>
                <w:color w:val="FFFFFF"/>
              </w:rPr>
              <w:t xml:space="preserve">V12</w:t>
            </w:r>
          </w:p>
        </w:tc>
        <w:tc>
          <w:tcPr>
            <w:shd w:val="clear" w:color="auto" w:fill="00B050"/>
          </w:tcPr>
          <w:p>
            <w:pPr>
              <w:pStyle w:val="Tabla65"/>
              <w:jc w:val="center"/>
            </w:pPr>
            <w:r>
              <w:rPr>
                <w:b/>
                <w:color w:val="FFFFFF"/>
              </w:rPr>
              <w:t xml:space="preserve">V13</w:t>
            </w:r>
          </w:p>
        </w:tc>
        <w:tc>
          <w:tcPr>
            <w:shd w:val="clear" w:color="auto" w:fill="00B050"/>
          </w:tcPr>
          <w:p>
            <w:pPr>
              <w:pStyle w:val="Tabla65"/>
              <w:jc w:val="center"/>
            </w:pPr>
            <w:r>
              <w:rPr>
                <w:b/>
                <w:color w:val="FFFFFF"/>
              </w:rPr>
              <w:t xml:space="preserve">V14</w:t>
            </w:r>
          </w:p>
        </w:tc>
        <w:tc>
          <w:tcPr>
            <w:shd w:val="clear" w:color="auto" w:fill="00B050"/>
          </w:tcPr>
          <w:p>
            <w:pPr>
              <w:pStyle w:val="Tabla65"/>
              <w:jc w:val="center"/>
            </w:pPr>
            <w:r>
              <w:rPr>
                <w:b/>
                <w:color w:val="FFFFFF"/>
              </w:rPr>
              <w:t xml:space="preserve">V15</w:t>
            </w:r>
          </w:p>
        </w:tc>
        <w:tc>
          <w:tcPr>
            <w:shd w:val="clear" w:color="auto" w:fill="00B050"/>
          </w:tcPr>
          <w:p>
            <w:pPr>
              <w:pStyle w:val="Tabla65"/>
              <w:jc w:val="center"/>
            </w:pPr>
            <w:r>
              <w:rPr>
                <w:b/>
                <w:color w:val="FFFFFF"/>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p>
            <w:pPr>
              <w:pStyle w:val="Tabla65"/>
              <w:jc w:val="left"/>
            </w:pPr>
            <w:r>
              <w:t xml:space="preserve">V02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p>
            <w:pPr>
              <w:pStyle w:val="Tabla65"/>
              <w:jc w:val="left"/>
            </w:pPr>
            <w:r>
              <w:t xml:space="preserve">V04</w:t>
            </w:r>
          </w:p>
        </w:tc>
        <w:tc>
          <w:tcPr/>
          <w:p>
            <w:pPr>
              <w:pStyle w:val="Tabla65"/>
              <w:jc w:val="left"/>
            </w:pPr>
            <w:r>
              <w:t xml:space="preserve">2</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p>
            <w:pPr>
              <w:pStyle w:val="Tabla65"/>
              <w:jc w:val="left"/>
            </w:pPr>
            <w:r>
              <w:t xml:space="preserve">V06</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p>
            <w:pPr>
              <w:pStyle w:val="Tabla65"/>
              <w:jc w:val="left"/>
            </w:pPr>
            <w:r>
              <w:t xml:space="preserve">V08</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p>
            <w:pPr>
              <w:pStyle w:val="Tabla65"/>
              <w:jc w:val="left"/>
            </w:pPr>
            <w:r>
              <w:t xml:space="preserve">V10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5</w:t>
            </w:r>
          </w:p>
        </w:tc>
      </w:tr>
      <w:tr>
        <w:trPr>
          <w:cantSplit/>
        </w:trPr>
        <w:tc>
          <w:tcPr/>
          <w:p>
            <w:pPr>
              <w:pStyle w:val="Tabla65"/>
              <w:jc w:val="left"/>
            </w:pPr>
            <w:r>
              <w:t xml:space="preserve">V12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3</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p>
            <w:pPr>
              <w:pStyle w:val="Tabla65"/>
              <w:jc w:val="left"/>
            </w:pPr>
            <w:r>
              <w:t xml:space="preserve">V14</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r>
      <w:tr>
        <w:trPr>
          <w:cantSplit/>
        </w:trPr>
        <w:tc>
          <w:tcPr/>
          <w:p>
            <w:pPr>
              <w:pStyle w:val="Tabla65"/>
              <w:jc w:val="left"/>
            </w:pPr>
            <w:r>
              <w:t xml:space="preserve">TP</w:t>
            </w:r>
          </w:p>
        </w:tc>
        <w:tc>
          <w:tcPr/>
          <w:p>
            <w:pPr>
              <w:pStyle w:val="Tabla65"/>
              <w:jc w:val="left"/>
            </w:pPr>
            <w:r>
              <w:t xml:space="preserve">6</w:t>
            </w:r>
          </w:p>
        </w:tc>
        <w:tc>
          <w:tcPr/>
          <w:p>
            <w:pPr>
              <w:pStyle w:val="Tabla65"/>
              <w:jc w:val="left"/>
            </w:pPr>
            <w:r>
              <w:t xml:space="preserve">6</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3</w:t>
            </w:r>
          </w:p>
        </w:tc>
        <w:tc>
          <w:tcPr/>
          <w:p>
            <w:pPr>
              <w:pStyle w:val="Tabla65"/>
              <w:jc w:val="left"/>
            </w:pPr>
            <w:r>
              <w:t xml:space="preserve">6</w:t>
            </w:r>
          </w:p>
        </w:tc>
        <w:tc>
          <w:tcPr/>
          <w:p>
            <w:pPr>
              <w:pStyle w:val="Tabla65"/>
              <w:jc w:val="left"/>
            </w:pPr>
            <w:r>
              <w:t xml:space="preserve">5</w:t>
            </w:r>
          </w:p>
        </w:tc>
        <w:tc>
          <w:tcPr/>
          <w:p>
            <w:pPr>
              <w:pStyle w:val="Tabla65"/>
              <w:jc w:val="left"/>
            </w:pPr>
            <w:r>
              <w:t xml:space="preserve">2</w:t>
            </w:r>
          </w:p>
        </w:tc>
        <w:tc>
          <w:tcPr/>
          <w:p>
            <w:pPr>
              <w:pStyle w:val="Tabla65"/>
              <w:jc w:val="left"/>
            </w:pPr>
            <w:r>
              <w:t xml:space="preserve">6</w:t>
            </w:r>
          </w:p>
        </w:tc>
        <w:tc>
          <w:tcPr/>
          <w:p>
            <w:pPr>
              <w:pStyle w:val="Tabla65"/>
              <w:jc w:val="left"/>
            </w:pPr>
            <w:r>
              <w:t xml:space="preserve">5</w:t>
            </w:r>
          </w:p>
        </w:tc>
        <w:tc>
          <w:tcPr/>
          <w:p>
            <w:pPr>
              <w:pStyle w:val="Tabla65"/>
              <w:jc w:val="left"/>
            </w:pPr>
            <w:r>
              <w:t xml:space="preserve">53</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5840" w:h="12240" w:orient="landscape"/>
          <w:pgMar w:top="1417" w:right="1133" w:bottom="1417" w:left="1133" w:header="709" w:footer="709" w:gutter="0"/>
        </w:sectPr>
      </w:pPr>
    </w:p>
    <w:p>
      <w:pPr>
        <w:pStyle w:val="BodyText"/>
      </w:pPr>
      <w:r>
        <w:rPr>
          <w:b/>
          <w:bCs/>
        </w:rPr>
        <w:t xml:space="preserve">S1. Matriz S1_TRABAJO_PROPUESTO del Paso 4 (32 aristas). Iteración previa, no ratificada, sin fichas completas.</w:t>
      </w:r>
      <w:r>
        <w:t xml:space="preserve"> </w:t>
      </w:r>
      <w:r>
        <w:t xml:space="preserve">Total TA = TP = 67.</w:t>
      </w:r>
    </w:p>
    <w:p>
      <w:pPr>
        <w:pStyle w:val="BodyText"/>
      </w:pPr>
      <w:r>
        <w:t xml:space="preserve">La Tabla F4.22 reúne los datos de «Matriz de influencia directa del escenario S1 (32 aristas)».</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2240" w:h="15840"/>
          <w:pgMar w:top="1417" w:right="1133" w:bottom="1417" w:left="1133" w:header="709" w:footer="709" w:gutter="0"/>
        </w:sectPr>
      </w:pPr>
    </w:p>
    <w:p>
      <w:pPr>
        <w:pStyle w:val="TablaRotulo"/>
      </w:pPr>
      <w:bookmarkStart w:id="9099" w:name="rot_Tabla_F4_22"/>
      <w:r>
        <w:rPr>
          <w:b/>
          <w:bCs/>
        </w:rPr>
        <w:t xml:space="preserve">Tabla F4.22</w:t>
      </w:r>
      <w:bookmarkEnd w:id="9099"/>
    </w:p>
    <w:p>
      <w:pPr>
        <w:pStyle w:val="TablaTitulo"/>
      </w:pPr>
      <w:r>
        <w:rPr>
          <w:i/>
          <w:iCs/>
        </w:rPr>
        <w:t xml:space="preserve">Matriz de influencia directa del escenario S1 (32 aristas)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shd w:val="clear" w:color="auto" w:fill="00B050"/>
          </w:tcPr>
          <w:p>
            <w:pPr>
              <w:pStyle w:val="Tabla65"/>
              <w:jc w:val="center"/>
            </w:pPr>
            <w:r>
              <w:rPr>
                <w:b/>
                <w:color w:val="FFFFFF"/>
              </w:rPr>
              <w:t xml:space="preserve">Origen  Destino</w:t>
            </w:r>
          </w:p>
        </w:tc>
        <w:tc>
          <w:tcPr>
            <w:shd w:val="clear" w:color="auto" w:fill="00B050"/>
          </w:tcPr>
          <w:p>
            <w:pPr>
              <w:pStyle w:val="Tabla65"/>
              <w:jc w:val="center"/>
            </w:pPr>
            <w:r>
              <w:rPr>
                <w:b/>
                <w:color w:val="FFFFFF"/>
              </w:rPr>
              <w:t xml:space="preserve">V01</w:t>
            </w:r>
          </w:p>
        </w:tc>
        <w:tc>
          <w:tcPr>
            <w:shd w:val="clear" w:color="auto" w:fill="00B050"/>
          </w:tcPr>
          <w:p>
            <w:pPr>
              <w:pStyle w:val="Tabla65"/>
              <w:jc w:val="center"/>
            </w:pPr>
            <w:r>
              <w:rPr>
                <w:b/>
                <w:color w:val="FFFFFF"/>
              </w:rPr>
              <w:t xml:space="preserve">V02</w:t>
            </w:r>
          </w:p>
        </w:tc>
        <w:tc>
          <w:tcPr>
            <w:shd w:val="clear" w:color="auto" w:fill="00B050"/>
          </w:tcPr>
          <w:p>
            <w:pPr>
              <w:pStyle w:val="Tabla65"/>
              <w:jc w:val="center"/>
            </w:pPr>
            <w:r>
              <w:rPr>
                <w:b/>
                <w:color w:val="FFFFFF"/>
              </w:rPr>
              <w:t xml:space="preserve">V03</w:t>
            </w:r>
          </w:p>
        </w:tc>
        <w:tc>
          <w:tcPr>
            <w:shd w:val="clear" w:color="auto" w:fill="00B050"/>
          </w:tcPr>
          <w:p>
            <w:pPr>
              <w:pStyle w:val="Tabla65"/>
              <w:jc w:val="center"/>
            </w:pPr>
            <w:r>
              <w:rPr>
                <w:b/>
                <w:color w:val="FFFFFF"/>
              </w:rPr>
              <w:t xml:space="preserve">V04</w:t>
            </w:r>
          </w:p>
        </w:tc>
        <w:tc>
          <w:tcPr>
            <w:shd w:val="clear" w:color="auto" w:fill="00B050"/>
          </w:tcPr>
          <w:p>
            <w:pPr>
              <w:pStyle w:val="Tabla65"/>
              <w:jc w:val="center"/>
            </w:pPr>
            <w:r>
              <w:rPr>
                <w:b/>
                <w:color w:val="FFFFFF"/>
              </w:rPr>
              <w:t xml:space="preserve">V05</w:t>
            </w:r>
          </w:p>
        </w:tc>
        <w:tc>
          <w:tcPr>
            <w:shd w:val="clear" w:color="auto" w:fill="00B050"/>
          </w:tcPr>
          <w:p>
            <w:pPr>
              <w:pStyle w:val="Tabla65"/>
              <w:jc w:val="center"/>
            </w:pPr>
            <w:r>
              <w:rPr>
                <w:b/>
                <w:color w:val="FFFFFF"/>
              </w:rPr>
              <w:t xml:space="preserve">V06</w:t>
            </w:r>
          </w:p>
        </w:tc>
        <w:tc>
          <w:tcPr>
            <w:shd w:val="clear" w:color="auto" w:fill="00B050"/>
          </w:tcPr>
          <w:p>
            <w:pPr>
              <w:pStyle w:val="Tabla65"/>
              <w:jc w:val="center"/>
            </w:pPr>
            <w:r>
              <w:rPr>
                <w:b/>
                <w:color w:val="FFFFFF"/>
              </w:rPr>
              <w:t xml:space="preserve">V07</w:t>
            </w:r>
          </w:p>
        </w:tc>
        <w:tc>
          <w:tcPr>
            <w:shd w:val="clear" w:color="auto" w:fill="00B050"/>
          </w:tcPr>
          <w:p>
            <w:pPr>
              <w:pStyle w:val="Tabla65"/>
              <w:jc w:val="center"/>
            </w:pPr>
            <w:r>
              <w:rPr>
                <w:b/>
                <w:color w:val="FFFFFF"/>
              </w:rPr>
              <w:t xml:space="preserve">V08</w:t>
            </w:r>
          </w:p>
        </w:tc>
        <w:tc>
          <w:tcPr>
            <w:shd w:val="clear" w:color="auto" w:fill="00B050"/>
          </w:tcPr>
          <w:p>
            <w:pPr>
              <w:pStyle w:val="Tabla65"/>
              <w:jc w:val="center"/>
            </w:pPr>
            <w:r>
              <w:rPr>
                <w:b/>
                <w:color w:val="FFFFFF"/>
              </w:rPr>
              <w:t xml:space="preserve">V09</w:t>
            </w:r>
          </w:p>
        </w:tc>
        <w:tc>
          <w:tcPr>
            <w:shd w:val="clear" w:color="auto" w:fill="00B050"/>
          </w:tcPr>
          <w:p>
            <w:pPr>
              <w:pStyle w:val="Tabla65"/>
              <w:jc w:val="center"/>
            </w:pPr>
            <w:r>
              <w:rPr>
                <w:b/>
                <w:color w:val="FFFFFF"/>
              </w:rPr>
              <w:t xml:space="preserve">V10</w:t>
            </w:r>
          </w:p>
        </w:tc>
        <w:tc>
          <w:tcPr>
            <w:shd w:val="clear" w:color="auto" w:fill="00B050"/>
          </w:tcPr>
          <w:p>
            <w:pPr>
              <w:pStyle w:val="Tabla65"/>
              <w:jc w:val="center"/>
            </w:pPr>
            <w:r>
              <w:rPr>
                <w:b/>
                <w:color w:val="FFFFFF"/>
              </w:rPr>
              <w:t xml:space="preserve">V11</w:t>
            </w:r>
          </w:p>
        </w:tc>
        <w:tc>
          <w:tcPr>
            <w:shd w:val="clear" w:color="auto" w:fill="00B050"/>
          </w:tcPr>
          <w:p>
            <w:pPr>
              <w:pStyle w:val="Tabla65"/>
              <w:jc w:val="center"/>
            </w:pPr>
            <w:r>
              <w:rPr>
                <w:b/>
                <w:color w:val="FFFFFF"/>
              </w:rPr>
              <w:t xml:space="preserve">V12</w:t>
            </w:r>
          </w:p>
        </w:tc>
        <w:tc>
          <w:tcPr>
            <w:shd w:val="clear" w:color="auto" w:fill="00B050"/>
          </w:tcPr>
          <w:p>
            <w:pPr>
              <w:pStyle w:val="Tabla65"/>
              <w:jc w:val="center"/>
            </w:pPr>
            <w:r>
              <w:rPr>
                <w:b/>
                <w:color w:val="FFFFFF"/>
              </w:rPr>
              <w:t xml:space="preserve">V13</w:t>
            </w:r>
          </w:p>
        </w:tc>
        <w:tc>
          <w:tcPr>
            <w:shd w:val="clear" w:color="auto" w:fill="00B050"/>
          </w:tcPr>
          <w:p>
            <w:pPr>
              <w:pStyle w:val="Tabla65"/>
              <w:jc w:val="center"/>
            </w:pPr>
            <w:r>
              <w:rPr>
                <w:b/>
                <w:color w:val="FFFFFF"/>
              </w:rPr>
              <w:t xml:space="preserve">V14</w:t>
            </w:r>
          </w:p>
        </w:tc>
        <w:tc>
          <w:tcPr>
            <w:shd w:val="clear" w:color="auto" w:fill="00B050"/>
          </w:tcPr>
          <w:p>
            <w:pPr>
              <w:pStyle w:val="Tabla65"/>
              <w:jc w:val="center"/>
            </w:pPr>
            <w:r>
              <w:rPr>
                <w:b/>
                <w:color w:val="FFFFFF"/>
              </w:rPr>
              <w:t xml:space="preserve">V15</w:t>
            </w:r>
          </w:p>
        </w:tc>
        <w:tc>
          <w:tcPr>
            <w:shd w:val="clear" w:color="auto" w:fill="00B050"/>
          </w:tcPr>
          <w:p>
            <w:pPr>
              <w:pStyle w:val="Tabla65"/>
              <w:jc w:val="center"/>
            </w:pPr>
            <w:r>
              <w:rPr>
                <w:b/>
                <w:color w:val="FFFFFF"/>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3</w:t>
            </w:r>
          </w:p>
        </w:tc>
      </w:tr>
      <w:tr>
        <w:trPr>
          <w:cantSplit/>
        </w:trPr>
        <w:tc>
          <w:tcPr/>
          <w:p>
            <w:pPr>
              <w:pStyle w:val="Tabla65"/>
              <w:jc w:val="left"/>
            </w:pPr>
            <w:r>
              <w:t xml:space="preserve">V02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4</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p>
            <w:pPr>
              <w:pStyle w:val="Tabla65"/>
              <w:jc w:val="left"/>
            </w:pPr>
            <w:r>
              <w:t xml:space="preserve">V04</w:t>
            </w:r>
          </w:p>
        </w:tc>
        <w:tc>
          <w:tcPr/>
          <w:p>
            <w:pPr>
              <w:pStyle w:val="Tabla65"/>
              <w:jc w:val="left"/>
            </w:pPr>
            <w:r>
              <w:t xml:space="preserve">2</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8</w:t>
            </w:r>
          </w:p>
        </w:tc>
      </w:tr>
      <w:tr>
        <w:trPr>
          <w:cantSplit/>
        </w:trPr>
        <w:tc>
          <w:tcPr/>
          <w:p>
            <w:pPr>
              <w:pStyle w:val="Tabla65"/>
              <w:jc w:val="left"/>
            </w:pPr>
            <w:r>
              <w:t xml:space="preserve">V06</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p>
            <w:pPr>
              <w:pStyle w:val="Tabla65"/>
              <w:jc w:val="left"/>
            </w:pPr>
            <w:r>
              <w:t xml:space="preserve">V08</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p>
            <w:pPr>
              <w:pStyle w:val="Tabla65"/>
              <w:jc w:val="left"/>
            </w:pPr>
            <w:r>
              <w:t xml:space="preserve">V10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5</w:t>
            </w:r>
          </w:p>
        </w:tc>
      </w:tr>
      <w:tr>
        <w:trPr>
          <w:cantSplit/>
        </w:trPr>
        <w:tc>
          <w:tcPr/>
          <w:p>
            <w:pPr>
              <w:pStyle w:val="Tabla65"/>
              <w:jc w:val="left"/>
            </w:pPr>
            <w:r>
              <w:t xml:space="preserve">V12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4</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p>
            <w:pPr>
              <w:pStyle w:val="Tabla65"/>
              <w:jc w:val="left"/>
            </w:pPr>
            <w:r>
              <w:t xml:space="preserve">V14</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p>
            <w:pPr>
              <w:pStyle w:val="Tabla65"/>
              <w:jc w:val="left"/>
            </w:pPr>
            <w:r>
              <w:t xml:space="preserve">TP</w:t>
            </w:r>
          </w:p>
        </w:tc>
        <w:tc>
          <w:tcPr/>
          <w:p>
            <w:pPr>
              <w:pStyle w:val="Tabla65"/>
              <w:jc w:val="left"/>
            </w:pPr>
            <w:r>
              <w:t xml:space="preserve">6</w:t>
            </w:r>
          </w:p>
        </w:tc>
        <w:tc>
          <w:tcPr/>
          <w:p>
            <w:pPr>
              <w:pStyle w:val="Tabla65"/>
              <w:jc w:val="left"/>
            </w:pPr>
            <w:r>
              <w:t xml:space="preserve">6</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15</w:t>
            </w:r>
          </w:p>
        </w:tc>
        <w:tc>
          <w:tcPr/>
          <w:p>
            <w:pPr>
              <w:pStyle w:val="Tabla65"/>
              <w:jc w:val="left"/>
            </w:pPr>
            <w:r>
              <w:t xml:space="preserve">2</w:t>
            </w:r>
          </w:p>
        </w:tc>
        <w:tc>
          <w:tcPr/>
          <w:p>
            <w:pPr>
              <w:pStyle w:val="Tabla65"/>
              <w:jc w:val="left"/>
            </w:pPr>
            <w:r>
              <w:t xml:space="preserve">2</w:t>
            </w:r>
          </w:p>
        </w:tc>
        <w:tc>
          <w:tcPr/>
          <w:p>
            <w:pPr>
              <w:pStyle w:val="Tabla65"/>
              <w:jc w:val="left"/>
            </w:pPr>
            <w:r>
              <w:t xml:space="preserve">6</w:t>
            </w:r>
          </w:p>
        </w:tc>
        <w:tc>
          <w:tcPr/>
          <w:p>
            <w:pPr>
              <w:pStyle w:val="Tabla65"/>
              <w:jc w:val="left"/>
            </w:pPr>
            <w:r>
              <w:t xml:space="preserve">3</w:t>
            </w:r>
          </w:p>
        </w:tc>
        <w:tc>
          <w:tcPr/>
          <w:p>
            <w:pPr>
              <w:pStyle w:val="Tabla65"/>
              <w:jc w:val="left"/>
            </w:pPr>
            <w:r>
              <w:t xml:space="preserve">7</w:t>
            </w:r>
          </w:p>
        </w:tc>
        <w:tc>
          <w:tcPr/>
          <w:p>
            <w:pPr>
              <w:pStyle w:val="Tabla65"/>
              <w:jc w:val="left"/>
            </w:pPr>
            <w:r>
              <w:t xml:space="preserve">5</w:t>
            </w:r>
          </w:p>
        </w:tc>
        <w:tc>
          <w:tcPr/>
          <w:p>
            <w:pPr>
              <w:pStyle w:val="Tabla65"/>
              <w:jc w:val="left"/>
            </w:pPr>
            <w:r>
              <w:t xml:space="preserve">2</w:t>
            </w:r>
          </w:p>
        </w:tc>
        <w:tc>
          <w:tcPr/>
          <w:p>
            <w:pPr>
              <w:pStyle w:val="Tabla65"/>
              <w:jc w:val="left"/>
            </w:pPr>
            <w:r>
              <w:t xml:space="preserve">8</w:t>
            </w:r>
          </w:p>
        </w:tc>
        <w:tc>
          <w:tcPr/>
          <w:p>
            <w:pPr>
              <w:pStyle w:val="Tabla65"/>
              <w:jc w:val="left"/>
            </w:pPr>
            <w:r>
              <w:t xml:space="preserve">5</w:t>
            </w:r>
          </w:p>
        </w:tc>
        <w:tc>
          <w:tcPr/>
          <w:p>
            <w:pPr>
              <w:pStyle w:val="Tabla65"/>
              <w:jc w:val="left"/>
            </w:pPr>
            <w:r>
              <w:t xml:space="preserve">67</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5840" w:h="12240" w:orient="landscape"/>
          <w:pgMar w:top="1417" w:right="1133" w:bottom="1417" w:left="1133" w:header="709" w:footer="709" w:gutter="0"/>
        </w:sectPr>
      </w:pPr>
    </w:p>
    <w:p>
      <w:pPr>
        <w:pStyle w:val="BodyText"/>
      </w:pPr>
      <w:r>
        <w:rPr>
          <w:b/>
          <w:bCs/>
        </w:rPr>
        <w:t xml:space="preserve">S2. MID_TRABAJO derivada de las 105 fichas de F4.4.4 (48 aristas). Juicios PROPUESTOS por la instancia analítica; no ratificados.</w:t>
      </w:r>
      <w:r>
        <w:t xml:space="preserve"> </w:t>
      </w:r>
      <w:r>
        <w:t xml:space="preserve">Total TA = TP = 78.</w:t>
      </w:r>
    </w:p>
    <w:p>
      <w:pPr>
        <w:pStyle w:val="BodyText"/>
      </w:pPr>
      <w:r>
        <w:t xml:space="preserve">La Tabla F4.23 reúne los datos de «Matriz de influencia directa del escenario S2 (48 aristas)».</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2240" w:h="15840"/>
          <w:pgMar w:top="1417" w:right="1133" w:bottom="1417" w:left="1133" w:header="709" w:footer="709" w:gutter="0"/>
        </w:sectPr>
      </w:pPr>
    </w:p>
    <w:p>
      <w:pPr>
        <w:pStyle w:val="TablaRotulo"/>
      </w:pPr>
      <w:bookmarkStart w:id="9100" w:name="rot_Tabla_F4_23"/>
      <w:r>
        <w:rPr>
          <w:b/>
          <w:bCs/>
        </w:rPr>
        <w:t xml:space="preserve">Tabla F4.23</w:t>
      </w:r>
      <w:bookmarkEnd w:id="9100"/>
    </w:p>
    <w:p>
      <w:pPr>
        <w:pStyle w:val="TablaTitulo"/>
      </w:pPr>
      <w:r>
        <w:rPr>
          <w:i/>
          <w:iCs/>
        </w:rPr>
        <w:t xml:space="preserve">Matriz de influencia directa del escenario S2 (48 aristas)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shd w:val="clear" w:color="auto" w:fill="00B050"/>
          </w:tcPr>
          <w:p>
            <w:pPr>
              <w:pStyle w:val="Tabla65"/>
              <w:jc w:val="center"/>
            </w:pPr>
            <w:r>
              <w:rPr>
                <w:b/>
                <w:color w:val="FFFFFF"/>
              </w:rPr>
              <w:t xml:space="preserve">Origen  Destino</w:t>
            </w:r>
          </w:p>
        </w:tc>
        <w:tc>
          <w:tcPr>
            <w:shd w:val="clear" w:color="auto" w:fill="00B050"/>
          </w:tcPr>
          <w:p>
            <w:pPr>
              <w:pStyle w:val="Tabla65"/>
              <w:jc w:val="center"/>
            </w:pPr>
            <w:r>
              <w:rPr>
                <w:b/>
                <w:color w:val="FFFFFF"/>
              </w:rPr>
              <w:t xml:space="preserve">V01</w:t>
            </w:r>
          </w:p>
        </w:tc>
        <w:tc>
          <w:tcPr>
            <w:shd w:val="clear" w:color="auto" w:fill="00B050"/>
          </w:tcPr>
          <w:p>
            <w:pPr>
              <w:pStyle w:val="Tabla65"/>
              <w:jc w:val="center"/>
            </w:pPr>
            <w:r>
              <w:rPr>
                <w:b/>
                <w:color w:val="FFFFFF"/>
              </w:rPr>
              <w:t xml:space="preserve">V02</w:t>
            </w:r>
          </w:p>
        </w:tc>
        <w:tc>
          <w:tcPr>
            <w:shd w:val="clear" w:color="auto" w:fill="00B050"/>
          </w:tcPr>
          <w:p>
            <w:pPr>
              <w:pStyle w:val="Tabla65"/>
              <w:jc w:val="center"/>
            </w:pPr>
            <w:r>
              <w:rPr>
                <w:b/>
                <w:color w:val="FFFFFF"/>
              </w:rPr>
              <w:t xml:space="preserve">V03</w:t>
            </w:r>
          </w:p>
        </w:tc>
        <w:tc>
          <w:tcPr>
            <w:shd w:val="clear" w:color="auto" w:fill="00B050"/>
          </w:tcPr>
          <w:p>
            <w:pPr>
              <w:pStyle w:val="Tabla65"/>
              <w:jc w:val="center"/>
            </w:pPr>
            <w:r>
              <w:rPr>
                <w:b/>
                <w:color w:val="FFFFFF"/>
              </w:rPr>
              <w:t xml:space="preserve">V04</w:t>
            </w:r>
          </w:p>
        </w:tc>
        <w:tc>
          <w:tcPr>
            <w:shd w:val="clear" w:color="auto" w:fill="00B050"/>
          </w:tcPr>
          <w:p>
            <w:pPr>
              <w:pStyle w:val="Tabla65"/>
              <w:jc w:val="center"/>
            </w:pPr>
            <w:r>
              <w:rPr>
                <w:b/>
                <w:color w:val="FFFFFF"/>
              </w:rPr>
              <w:t xml:space="preserve">V05</w:t>
            </w:r>
          </w:p>
        </w:tc>
        <w:tc>
          <w:tcPr>
            <w:shd w:val="clear" w:color="auto" w:fill="00B050"/>
          </w:tcPr>
          <w:p>
            <w:pPr>
              <w:pStyle w:val="Tabla65"/>
              <w:jc w:val="center"/>
            </w:pPr>
            <w:r>
              <w:rPr>
                <w:b/>
                <w:color w:val="FFFFFF"/>
              </w:rPr>
              <w:t xml:space="preserve">V06</w:t>
            </w:r>
          </w:p>
        </w:tc>
        <w:tc>
          <w:tcPr>
            <w:shd w:val="clear" w:color="auto" w:fill="00B050"/>
          </w:tcPr>
          <w:p>
            <w:pPr>
              <w:pStyle w:val="Tabla65"/>
              <w:jc w:val="center"/>
            </w:pPr>
            <w:r>
              <w:rPr>
                <w:b/>
                <w:color w:val="FFFFFF"/>
              </w:rPr>
              <w:t xml:space="preserve">V07</w:t>
            </w:r>
          </w:p>
        </w:tc>
        <w:tc>
          <w:tcPr>
            <w:shd w:val="clear" w:color="auto" w:fill="00B050"/>
          </w:tcPr>
          <w:p>
            <w:pPr>
              <w:pStyle w:val="Tabla65"/>
              <w:jc w:val="center"/>
            </w:pPr>
            <w:r>
              <w:rPr>
                <w:b/>
                <w:color w:val="FFFFFF"/>
              </w:rPr>
              <w:t xml:space="preserve">V08</w:t>
            </w:r>
          </w:p>
        </w:tc>
        <w:tc>
          <w:tcPr>
            <w:shd w:val="clear" w:color="auto" w:fill="00B050"/>
          </w:tcPr>
          <w:p>
            <w:pPr>
              <w:pStyle w:val="Tabla65"/>
              <w:jc w:val="center"/>
            </w:pPr>
            <w:r>
              <w:rPr>
                <w:b/>
                <w:color w:val="FFFFFF"/>
              </w:rPr>
              <w:t xml:space="preserve">V09</w:t>
            </w:r>
          </w:p>
        </w:tc>
        <w:tc>
          <w:tcPr>
            <w:shd w:val="clear" w:color="auto" w:fill="00B050"/>
          </w:tcPr>
          <w:p>
            <w:pPr>
              <w:pStyle w:val="Tabla65"/>
              <w:jc w:val="center"/>
            </w:pPr>
            <w:r>
              <w:rPr>
                <w:b/>
                <w:color w:val="FFFFFF"/>
              </w:rPr>
              <w:t xml:space="preserve">V10</w:t>
            </w:r>
          </w:p>
        </w:tc>
        <w:tc>
          <w:tcPr>
            <w:shd w:val="clear" w:color="auto" w:fill="00B050"/>
          </w:tcPr>
          <w:p>
            <w:pPr>
              <w:pStyle w:val="Tabla65"/>
              <w:jc w:val="center"/>
            </w:pPr>
            <w:r>
              <w:rPr>
                <w:b/>
                <w:color w:val="FFFFFF"/>
              </w:rPr>
              <w:t xml:space="preserve">V11</w:t>
            </w:r>
          </w:p>
        </w:tc>
        <w:tc>
          <w:tcPr>
            <w:shd w:val="clear" w:color="auto" w:fill="00B050"/>
          </w:tcPr>
          <w:p>
            <w:pPr>
              <w:pStyle w:val="Tabla65"/>
              <w:jc w:val="center"/>
            </w:pPr>
            <w:r>
              <w:rPr>
                <w:b/>
                <w:color w:val="FFFFFF"/>
              </w:rPr>
              <w:t xml:space="preserve">V12</w:t>
            </w:r>
          </w:p>
        </w:tc>
        <w:tc>
          <w:tcPr>
            <w:shd w:val="clear" w:color="auto" w:fill="00B050"/>
          </w:tcPr>
          <w:p>
            <w:pPr>
              <w:pStyle w:val="Tabla65"/>
              <w:jc w:val="center"/>
            </w:pPr>
            <w:r>
              <w:rPr>
                <w:b/>
                <w:color w:val="FFFFFF"/>
              </w:rPr>
              <w:t xml:space="preserve">V13</w:t>
            </w:r>
          </w:p>
        </w:tc>
        <w:tc>
          <w:tcPr>
            <w:shd w:val="clear" w:color="auto" w:fill="00B050"/>
          </w:tcPr>
          <w:p>
            <w:pPr>
              <w:pStyle w:val="Tabla65"/>
              <w:jc w:val="center"/>
            </w:pPr>
            <w:r>
              <w:rPr>
                <w:b/>
                <w:color w:val="FFFFFF"/>
              </w:rPr>
              <w:t xml:space="preserve">V14</w:t>
            </w:r>
          </w:p>
        </w:tc>
        <w:tc>
          <w:tcPr>
            <w:shd w:val="clear" w:color="auto" w:fill="00B050"/>
          </w:tcPr>
          <w:p>
            <w:pPr>
              <w:pStyle w:val="Tabla65"/>
              <w:jc w:val="center"/>
            </w:pPr>
            <w:r>
              <w:rPr>
                <w:b/>
                <w:color w:val="FFFFFF"/>
              </w:rPr>
              <w:t xml:space="preserve">V15</w:t>
            </w:r>
          </w:p>
        </w:tc>
        <w:tc>
          <w:tcPr>
            <w:shd w:val="clear" w:color="auto" w:fill="00B050"/>
          </w:tcPr>
          <w:p>
            <w:pPr>
              <w:pStyle w:val="Tabla65"/>
              <w:jc w:val="center"/>
            </w:pPr>
            <w:r>
              <w:rPr>
                <w:b/>
                <w:color w:val="FFFFFF"/>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6</w:t>
            </w:r>
          </w:p>
        </w:tc>
      </w:tr>
      <w:tr>
        <w:trPr>
          <w:cantSplit/>
        </w:trPr>
        <w:tc>
          <w:tcPr/>
          <w:p>
            <w:pPr>
              <w:pStyle w:val="Tabla65"/>
              <w:jc w:val="left"/>
            </w:pPr>
            <w:r>
              <w:t xml:space="preserve">V02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7</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p>
            <w:pPr>
              <w:pStyle w:val="Tabla65"/>
              <w:jc w:val="left"/>
            </w:pPr>
            <w:r>
              <w:t xml:space="preserve">V04</w:t>
            </w:r>
          </w:p>
        </w:tc>
        <w:tc>
          <w:tcPr/>
          <w:p>
            <w:pPr>
              <w:pStyle w:val="Tabla65"/>
              <w:jc w:val="left"/>
            </w:pPr>
            <w:r>
              <w:t xml:space="preserve">2</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8</w:t>
            </w:r>
          </w:p>
        </w:tc>
      </w:tr>
      <w:tr>
        <w:trPr>
          <w:cantSplit/>
        </w:trPr>
        <w:tc>
          <w:tcPr/>
          <w:p>
            <w:pPr>
              <w:pStyle w:val="Tabla65"/>
              <w:jc w:val="left"/>
            </w:pPr>
            <w:r>
              <w:t xml:space="preserve">V05</w:t>
            </w:r>
          </w:p>
        </w:tc>
        <w:tc>
          <w:tcPr/>
          <w:p>
            <w:pPr>
              <w:pStyle w:val="Tabla65"/>
              <w:jc w:val="left"/>
            </w:pPr>
            <w:r>
              <w:t xml:space="preserve">2</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7</w:t>
            </w:r>
          </w:p>
        </w:tc>
      </w:tr>
      <w:tr>
        <w:trPr>
          <w:cantSplit/>
        </w:trPr>
        <w:tc>
          <w:tcPr/>
          <w:p>
            <w:pPr>
              <w:pStyle w:val="Tabla65"/>
              <w:jc w:val="left"/>
            </w:pPr>
            <w:r>
              <w:t xml:space="preserve">V06</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3</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8</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p>
            <w:pPr>
              <w:pStyle w:val="Tabla65"/>
              <w:jc w:val="left"/>
            </w:pPr>
            <w:r>
              <w:t xml:space="preserve">V08</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4</w:t>
            </w:r>
          </w:p>
        </w:tc>
      </w:tr>
      <w:tr>
        <w:trPr>
          <w:cantSplit/>
        </w:trPr>
        <w:tc>
          <w:tcPr/>
          <w:p>
            <w:pPr>
              <w:pStyle w:val="Tabla65"/>
              <w:jc w:val="left"/>
            </w:pPr>
            <w:r>
              <w:t xml:space="preserve">V10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5</w:t>
            </w:r>
          </w:p>
        </w:tc>
      </w:tr>
      <w:tr>
        <w:trPr>
          <w:cantSplit/>
        </w:trPr>
        <w:tc>
          <w:tcPr/>
          <w:p>
            <w:pPr>
              <w:pStyle w:val="Tabla65"/>
              <w:jc w:val="left"/>
            </w:pPr>
            <w:r>
              <w:t xml:space="preserve">V12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2</w:t>
            </w:r>
          </w:p>
        </w:tc>
        <w:tc>
          <w:tcPr/>
          <w:p>
            <w:pPr>
              <w:pStyle w:val="Tabla65"/>
              <w:jc w:val="left"/>
            </w:pPr>
            <w:r>
              <w:t xml:space="preserve">4</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r>
      <w:tr>
        <w:trPr>
          <w:cantSplit/>
        </w:trPr>
        <w:tc>
          <w:tcPr/>
          <w:p>
            <w:pPr>
              <w:pStyle w:val="Tabla65"/>
              <w:jc w:val="left"/>
            </w:pPr>
            <w:r>
              <w:t xml:space="preserve">V14</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7</w:t>
            </w:r>
          </w:p>
        </w:tc>
      </w:tr>
      <w:tr>
        <w:trPr>
          <w:cantSplit/>
        </w:trPr>
        <w:tc>
          <w:tcPr/>
          <w:p>
            <w:pPr>
              <w:pStyle w:val="Tabla65"/>
              <w:jc w:val="left"/>
            </w:pPr>
            <w:r>
              <w:t xml:space="preserve">TP</w:t>
            </w:r>
          </w:p>
        </w:tc>
        <w:tc>
          <w:tcPr/>
          <w:p>
            <w:pPr>
              <w:pStyle w:val="Tabla65"/>
              <w:jc w:val="left"/>
            </w:pPr>
            <w:r>
              <w:t xml:space="preserve">5</w:t>
            </w:r>
          </w:p>
        </w:tc>
        <w:tc>
          <w:tcPr/>
          <w:p>
            <w:pPr>
              <w:pStyle w:val="Tabla65"/>
              <w:jc w:val="left"/>
            </w:pPr>
            <w:r>
              <w:t xml:space="preserve">6</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13</w:t>
            </w:r>
          </w:p>
        </w:tc>
        <w:tc>
          <w:tcPr/>
          <w:p>
            <w:pPr>
              <w:pStyle w:val="Tabla65"/>
              <w:jc w:val="left"/>
            </w:pPr>
            <w:r>
              <w:t xml:space="preserve">2</w:t>
            </w:r>
          </w:p>
        </w:tc>
        <w:tc>
          <w:tcPr/>
          <w:p>
            <w:pPr>
              <w:pStyle w:val="Tabla65"/>
              <w:jc w:val="left"/>
            </w:pPr>
            <w:r>
              <w:t xml:space="preserve">2</w:t>
            </w:r>
          </w:p>
        </w:tc>
        <w:tc>
          <w:tcPr/>
          <w:p>
            <w:pPr>
              <w:pStyle w:val="Tabla65"/>
              <w:jc w:val="left"/>
            </w:pPr>
            <w:r>
              <w:t xml:space="preserve">9</w:t>
            </w:r>
          </w:p>
        </w:tc>
        <w:tc>
          <w:tcPr/>
          <w:p>
            <w:pPr>
              <w:pStyle w:val="Tabla65"/>
              <w:jc w:val="left"/>
            </w:pPr>
            <w:r>
              <w:t xml:space="preserve">4</w:t>
            </w:r>
          </w:p>
        </w:tc>
        <w:tc>
          <w:tcPr/>
          <w:p>
            <w:pPr>
              <w:pStyle w:val="Tabla65"/>
              <w:jc w:val="left"/>
            </w:pPr>
            <w:r>
              <w:t xml:space="preserve">11</w:t>
            </w:r>
          </w:p>
        </w:tc>
        <w:tc>
          <w:tcPr/>
          <w:p>
            <w:pPr>
              <w:pStyle w:val="Tabla65"/>
              <w:jc w:val="left"/>
            </w:pPr>
            <w:r>
              <w:t xml:space="preserve">5</w:t>
            </w:r>
          </w:p>
        </w:tc>
        <w:tc>
          <w:tcPr/>
          <w:p>
            <w:pPr>
              <w:pStyle w:val="Tabla65"/>
              <w:jc w:val="left"/>
            </w:pPr>
            <w:r>
              <w:t xml:space="preserve">4</w:t>
            </w:r>
          </w:p>
        </w:tc>
        <w:tc>
          <w:tcPr/>
          <w:p>
            <w:pPr>
              <w:pStyle w:val="Tabla65"/>
              <w:jc w:val="left"/>
            </w:pPr>
            <w:r>
              <w:t xml:space="preserve">9</w:t>
            </w:r>
          </w:p>
        </w:tc>
        <w:tc>
          <w:tcPr/>
          <w:p>
            <w:pPr>
              <w:pStyle w:val="Tabla65"/>
              <w:jc w:val="left"/>
            </w:pPr>
            <w:r>
              <w:t xml:space="preserve">7</w:t>
            </w:r>
          </w:p>
        </w:tc>
        <w:tc>
          <w:tcPr/>
          <w:p>
            <w:pPr>
              <w:pStyle w:val="Tabla65"/>
              <w:jc w:val="left"/>
            </w:pPr>
            <w:r>
              <w:t xml:space="preserve">78</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5840" w:h="12240" w:orient="landscape"/>
          <w:pgMar w:top="1417" w:right="1133" w:bottom="1417" w:left="1133" w:header="709" w:footer="709" w:gutter="0"/>
        </w:sectPr>
      </w:pPr>
    </w:p>
    <w:p>
      <w:pPr>
        <w:pStyle w:val="BodyText"/>
      </w:pPr>
      <w:r>
        <w:rPr>
          <w:b/>
          <w:bCs/>
        </w:rPr>
        <w:t xml:space="preserve">S3. Cada dirección toma el mínimo de su conjunto admisible (21 aristas). Envolvente de sensibilidad, no predictiva.</w:t>
      </w:r>
      <w:r>
        <w:t xml:space="preserve"> </w:t>
      </w:r>
      <w:r>
        <w:t xml:space="preserve">Total TA = TP = 29.</w:t>
      </w:r>
    </w:p>
    <w:p>
      <w:pPr>
        <w:pStyle w:val="BodyText"/>
      </w:pPr>
      <w:r>
        <w:t xml:space="preserve">La Tabla F4.24 reúne los datos de «Matriz de influencia directa del escenario S3 (21 aristas)».</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2240" w:h="15840"/>
          <w:pgMar w:top="1417" w:right="1133" w:bottom="1417" w:left="1133" w:header="709" w:footer="709" w:gutter="0"/>
        </w:sectPr>
      </w:pPr>
    </w:p>
    <w:p>
      <w:pPr>
        <w:pStyle w:val="TablaRotulo"/>
      </w:pPr>
      <w:bookmarkStart w:id="9101" w:name="rot_Tabla_F4_24"/>
      <w:r>
        <w:rPr>
          <w:b/>
          <w:bCs/>
        </w:rPr>
        <w:t xml:space="preserve">Tabla F4.24</w:t>
      </w:r>
      <w:bookmarkEnd w:id="9101"/>
    </w:p>
    <w:p>
      <w:pPr>
        <w:pStyle w:val="TablaTitulo"/>
      </w:pPr>
      <w:r>
        <w:rPr>
          <w:i/>
          <w:iCs/>
        </w:rPr>
        <w:t xml:space="preserve">Matriz de influencia directa del escenario S3 (21 aristas)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shd w:val="clear" w:color="auto" w:fill="00B050"/>
          </w:tcPr>
          <w:p>
            <w:pPr>
              <w:pStyle w:val="Tabla65"/>
              <w:jc w:val="center"/>
            </w:pPr>
            <w:r>
              <w:rPr>
                <w:b/>
                <w:color w:val="FFFFFF"/>
              </w:rPr>
              <w:t xml:space="preserve">Origen  Destino</w:t>
            </w:r>
          </w:p>
        </w:tc>
        <w:tc>
          <w:tcPr>
            <w:shd w:val="clear" w:color="auto" w:fill="00B050"/>
          </w:tcPr>
          <w:p>
            <w:pPr>
              <w:pStyle w:val="Tabla65"/>
              <w:jc w:val="center"/>
            </w:pPr>
            <w:r>
              <w:rPr>
                <w:b/>
                <w:color w:val="FFFFFF"/>
              </w:rPr>
              <w:t xml:space="preserve">V01</w:t>
            </w:r>
          </w:p>
        </w:tc>
        <w:tc>
          <w:tcPr>
            <w:shd w:val="clear" w:color="auto" w:fill="00B050"/>
          </w:tcPr>
          <w:p>
            <w:pPr>
              <w:pStyle w:val="Tabla65"/>
              <w:jc w:val="center"/>
            </w:pPr>
            <w:r>
              <w:rPr>
                <w:b/>
                <w:color w:val="FFFFFF"/>
              </w:rPr>
              <w:t xml:space="preserve">V02</w:t>
            </w:r>
          </w:p>
        </w:tc>
        <w:tc>
          <w:tcPr>
            <w:shd w:val="clear" w:color="auto" w:fill="00B050"/>
          </w:tcPr>
          <w:p>
            <w:pPr>
              <w:pStyle w:val="Tabla65"/>
              <w:jc w:val="center"/>
            </w:pPr>
            <w:r>
              <w:rPr>
                <w:b/>
                <w:color w:val="FFFFFF"/>
              </w:rPr>
              <w:t xml:space="preserve">V03</w:t>
            </w:r>
          </w:p>
        </w:tc>
        <w:tc>
          <w:tcPr>
            <w:shd w:val="clear" w:color="auto" w:fill="00B050"/>
          </w:tcPr>
          <w:p>
            <w:pPr>
              <w:pStyle w:val="Tabla65"/>
              <w:jc w:val="center"/>
            </w:pPr>
            <w:r>
              <w:rPr>
                <w:b/>
                <w:color w:val="FFFFFF"/>
              </w:rPr>
              <w:t xml:space="preserve">V04</w:t>
            </w:r>
          </w:p>
        </w:tc>
        <w:tc>
          <w:tcPr>
            <w:shd w:val="clear" w:color="auto" w:fill="00B050"/>
          </w:tcPr>
          <w:p>
            <w:pPr>
              <w:pStyle w:val="Tabla65"/>
              <w:jc w:val="center"/>
            </w:pPr>
            <w:r>
              <w:rPr>
                <w:b/>
                <w:color w:val="FFFFFF"/>
              </w:rPr>
              <w:t xml:space="preserve">V05</w:t>
            </w:r>
          </w:p>
        </w:tc>
        <w:tc>
          <w:tcPr>
            <w:shd w:val="clear" w:color="auto" w:fill="00B050"/>
          </w:tcPr>
          <w:p>
            <w:pPr>
              <w:pStyle w:val="Tabla65"/>
              <w:jc w:val="center"/>
            </w:pPr>
            <w:r>
              <w:rPr>
                <w:b/>
                <w:color w:val="FFFFFF"/>
              </w:rPr>
              <w:t xml:space="preserve">V06</w:t>
            </w:r>
          </w:p>
        </w:tc>
        <w:tc>
          <w:tcPr>
            <w:shd w:val="clear" w:color="auto" w:fill="00B050"/>
          </w:tcPr>
          <w:p>
            <w:pPr>
              <w:pStyle w:val="Tabla65"/>
              <w:jc w:val="center"/>
            </w:pPr>
            <w:r>
              <w:rPr>
                <w:b/>
                <w:color w:val="FFFFFF"/>
              </w:rPr>
              <w:t xml:space="preserve">V07</w:t>
            </w:r>
          </w:p>
        </w:tc>
        <w:tc>
          <w:tcPr>
            <w:shd w:val="clear" w:color="auto" w:fill="00B050"/>
          </w:tcPr>
          <w:p>
            <w:pPr>
              <w:pStyle w:val="Tabla65"/>
              <w:jc w:val="center"/>
            </w:pPr>
            <w:r>
              <w:rPr>
                <w:b/>
                <w:color w:val="FFFFFF"/>
              </w:rPr>
              <w:t xml:space="preserve">V08</w:t>
            </w:r>
          </w:p>
        </w:tc>
        <w:tc>
          <w:tcPr>
            <w:shd w:val="clear" w:color="auto" w:fill="00B050"/>
          </w:tcPr>
          <w:p>
            <w:pPr>
              <w:pStyle w:val="Tabla65"/>
              <w:jc w:val="center"/>
            </w:pPr>
            <w:r>
              <w:rPr>
                <w:b/>
                <w:color w:val="FFFFFF"/>
              </w:rPr>
              <w:t xml:space="preserve">V09</w:t>
            </w:r>
          </w:p>
        </w:tc>
        <w:tc>
          <w:tcPr>
            <w:shd w:val="clear" w:color="auto" w:fill="00B050"/>
          </w:tcPr>
          <w:p>
            <w:pPr>
              <w:pStyle w:val="Tabla65"/>
              <w:jc w:val="center"/>
            </w:pPr>
            <w:r>
              <w:rPr>
                <w:b/>
                <w:color w:val="FFFFFF"/>
              </w:rPr>
              <w:t xml:space="preserve">V10</w:t>
            </w:r>
          </w:p>
        </w:tc>
        <w:tc>
          <w:tcPr>
            <w:shd w:val="clear" w:color="auto" w:fill="00B050"/>
          </w:tcPr>
          <w:p>
            <w:pPr>
              <w:pStyle w:val="Tabla65"/>
              <w:jc w:val="center"/>
            </w:pPr>
            <w:r>
              <w:rPr>
                <w:b/>
                <w:color w:val="FFFFFF"/>
              </w:rPr>
              <w:t xml:space="preserve">V11</w:t>
            </w:r>
          </w:p>
        </w:tc>
        <w:tc>
          <w:tcPr>
            <w:shd w:val="clear" w:color="auto" w:fill="00B050"/>
          </w:tcPr>
          <w:p>
            <w:pPr>
              <w:pStyle w:val="Tabla65"/>
              <w:jc w:val="center"/>
            </w:pPr>
            <w:r>
              <w:rPr>
                <w:b/>
                <w:color w:val="FFFFFF"/>
              </w:rPr>
              <w:t xml:space="preserve">V12</w:t>
            </w:r>
          </w:p>
        </w:tc>
        <w:tc>
          <w:tcPr>
            <w:shd w:val="clear" w:color="auto" w:fill="00B050"/>
          </w:tcPr>
          <w:p>
            <w:pPr>
              <w:pStyle w:val="Tabla65"/>
              <w:jc w:val="center"/>
            </w:pPr>
            <w:r>
              <w:rPr>
                <w:b/>
                <w:color w:val="FFFFFF"/>
              </w:rPr>
              <w:t xml:space="preserve">V13</w:t>
            </w:r>
          </w:p>
        </w:tc>
        <w:tc>
          <w:tcPr>
            <w:shd w:val="clear" w:color="auto" w:fill="00B050"/>
          </w:tcPr>
          <w:p>
            <w:pPr>
              <w:pStyle w:val="Tabla65"/>
              <w:jc w:val="center"/>
            </w:pPr>
            <w:r>
              <w:rPr>
                <w:b/>
                <w:color w:val="FFFFFF"/>
              </w:rPr>
              <w:t xml:space="preserve">V14</w:t>
            </w:r>
          </w:p>
        </w:tc>
        <w:tc>
          <w:tcPr>
            <w:shd w:val="clear" w:color="auto" w:fill="00B050"/>
          </w:tcPr>
          <w:p>
            <w:pPr>
              <w:pStyle w:val="Tabla65"/>
              <w:jc w:val="center"/>
            </w:pPr>
            <w:r>
              <w:rPr>
                <w:b/>
                <w:color w:val="FFFFFF"/>
              </w:rPr>
              <w:t xml:space="preserve">V15</w:t>
            </w:r>
          </w:p>
        </w:tc>
        <w:tc>
          <w:tcPr>
            <w:shd w:val="clear" w:color="auto" w:fill="00B050"/>
          </w:tcPr>
          <w:p>
            <w:pPr>
              <w:pStyle w:val="Tabla65"/>
              <w:jc w:val="center"/>
            </w:pPr>
            <w:r>
              <w:rPr>
                <w:b/>
                <w:color w:val="FFFFFF"/>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p>
            <w:pPr>
              <w:pStyle w:val="Tabla65"/>
              <w:jc w:val="left"/>
            </w:pPr>
            <w:r>
              <w:t xml:space="preserve">V02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p>
            <w:pPr>
              <w:pStyle w:val="Tabla65"/>
              <w:jc w:val="left"/>
            </w:pPr>
            <w:r>
              <w:t xml:space="preserve">V03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p>
            <w:pPr>
              <w:pStyle w:val="Tabla65"/>
              <w:jc w:val="left"/>
            </w:pPr>
            <w:r>
              <w:t xml:space="preserve">V04</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p>
            <w:pPr>
              <w:pStyle w:val="Tabla65"/>
              <w:jc w:val="left"/>
            </w:pPr>
            <w:r>
              <w:t xml:space="preserve">V05</w:t>
            </w:r>
          </w:p>
        </w:tc>
        <w:tc>
          <w:tcPr/>
          <w:p>
            <w:pPr>
              <w:pStyle w:val="Tabla65"/>
              <w:jc w:val="left"/>
            </w:pPr>
            <w:r>
              <w:t xml:space="preserve">2</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p>
            <w:pPr>
              <w:pStyle w:val="Tabla65"/>
              <w:jc w:val="left"/>
            </w:pPr>
            <w:r>
              <w:t xml:space="preserve">V06</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p>
            <w:pPr>
              <w:pStyle w:val="Tabla65"/>
              <w:jc w:val="left"/>
            </w:pPr>
            <w:r>
              <w:t xml:space="preserve">V08</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r>
      <w:tr>
        <w:trPr>
          <w:cantSplit/>
        </w:trPr>
        <w:tc>
          <w:tcPr/>
          <w:p>
            <w:pPr>
              <w:pStyle w:val="Tabla65"/>
              <w:jc w:val="left"/>
            </w:pPr>
            <w:r>
              <w:t xml:space="preserve">V10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r>
      <w:tr>
        <w:trPr>
          <w:cantSplit/>
        </w:trPr>
        <w:tc>
          <w:tcPr/>
          <w:p>
            <w:pPr>
              <w:pStyle w:val="Tabla65"/>
              <w:jc w:val="left"/>
            </w:pPr>
            <w:r>
              <w:t xml:space="preserve">V12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r>
      <w:tr>
        <w:trPr>
          <w:cantSplit/>
        </w:trPr>
        <w:tc>
          <w:tcPr/>
          <w:p>
            <w:pPr>
              <w:pStyle w:val="Tabla65"/>
              <w:jc w:val="left"/>
            </w:pPr>
            <w:r>
              <w:t xml:space="preserve">V14</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r>
      <w:tr>
        <w:trPr>
          <w:cantSplit/>
        </w:trPr>
        <w:tc>
          <w:tcPr/>
          <w:p>
            <w:pPr>
              <w:pStyle w:val="Tabla65"/>
              <w:jc w:val="left"/>
            </w:pPr>
            <w:r>
              <w:t xml:space="preserve">TP</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7</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5</w:t>
            </w:r>
          </w:p>
        </w:tc>
        <w:tc>
          <w:tcPr/>
          <w:p>
            <w:pPr>
              <w:pStyle w:val="Tabla65"/>
              <w:jc w:val="left"/>
            </w:pPr>
            <w:r>
              <w:t xml:space="preserve">2</w:t>
            </w:r>
          </w:p>
        </w:tc>
        <w:tc>
          <w:tcPr/>
          <w:p>
            <w:pPr>
              <w:pStyle w:val="Tabla65"/>
              <w:jc w:val="left"/>
            </w:pPr>
            <w:r>
              <w:t xml:space="preserve">1</w:t>
            </w:r>
          </w:p>
        </w:tc>
        <w:tc>
          <w:tcPr/>
          <w:p>
            <w:pPr>
              <w:pStyle w:val="Tabla65"/>
              <w:jc w:val="left"/>
            </w:pPr>
            <w:r>
              <w:t xml:space="preserve">4</w:t>
            </w:r>
          </w:p>
        </w:tc>
        <w:tc>
          <w:tcPr/>
          <w:p>
            <w:pPr>
              <w:pStyle w:val="Tabla65"/>
              <w:jc w:val="left"/>
            </w:pPr>
            <w:r>
              <w:t xml:space="preserve">2</w:t>
            </w:r>
          </w:p>
        </w:tc>
        <w:tc>
          <w:tcPr/>
          <w:p>
            <w:pPr>
              <w:pStyle w:val="Tabla65"/>
              <w:jc w:val="left"/>
            </w:pPr>
            <w:r>
              <w:t xml:space="preserve">29</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5840" w:h="12240" w:orient="landscape"/>
          <w:pgMar w:top="1417" w:right="1133" w:bottom="1417" w:left="1133" w:header="709" w:footer="709" w:gutter="0"/>
        </w:sectPr>
      </w:pPr>
    </w:p>
    <w:p>
      <w:pPr>
        <w:pStyle w:val="BodyText"/>
      </w:pPr>
      <w:r>
        <w:rPr>
          <w:b/>
          <w:bCs/>
        </w:rPr>
        <w:t xml:space="preserve">S4. Cada dirección toma el máximo de su conjunto admisible (60 aristas). Envolvente de sensibilidad, no predictiva.</w:t>
      </w:r>
      <w:r>
        <w:t xml:space="preserve"> </w:t>
      </w:r>
      <w:r>
        <w:t xml:space="preserve">Total TA = TP = 118.</w:t>
      </w:r>
    </w:p>
    <w:p>
      <w:pPr>
        <w:pStyle w:val="BodyText"/>
      </w:pPr>
      <w:r>
        <w:t xml:space="preserve">La Tabla F4.25 reúne los datos de «Matriz de influencia directa del escenario S4 (60 aristas)».</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2240" w:h="15840"/>
          <w:pgMar w:top="1417" w:right="1133" w:bottom="1417" w:left="1133" w:header="709" w:footer="709" w:gutter="0"/>
        </w:sectPr>
      </w:pPr>
    </w:p>
    <w:p>
      <w:pPr>
        <w:pStyle w:val="TablaRotulo"/>
      </w:pPr>
      <w:bookmarkStart w:id="9102" w:name="rot_Tabla_F4_25"/>
      <w:r>
        <w:rPr>
          <w:b/>
          <w:bCs/>
        </w:rPr>
        <w:t xml:space="preserve">Tabla F4.25</w:t>
      </w:r>
      <w:bookmarkEnd w:id="9102"/>
    </w:p>
    <w:p>
      <w:pPr>
        <w:pStyle w:val="TablaTitulo"/>
      </w:pPr>
      <w:r>
        <w:rPr>
          <w:i/>
          <w:iCs/>
        </w:rPr>
        <w:t xml:space="preserve">Matriz de influencia directa del escenario S4 (60 aristas)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shd w:val="clear" w:color="auto" w:fill="00B050"/>
          </w:tcPr>
          <w:p>
            <w:pPr>
              <w:pStyle w:val="Tabla65"/>
              <w:jc w:val="center"/>
            </w:pPr>
            <w:r>
              <w:rPr>
                <w:b/>
                <w:color w:val="FFFFFF"/>
              </w:rPr>
              <w:t xml:space="preserve">Origen  Destino</w:t>
            </w:r>
          </w:p>
        </w:tc>
        <w:tc>
          <w:tcPr>
            <w:shd w:val="clear" w:color="auto" w:fill="00B050"/>
          </w:tcPr>
          <w:p>
            <w:pPr>
              <w:pStyle w:val="Tabla65"/>
              <w:jc w:val="center"/>
            </w:pPr>
            <w:r>
              <w:rPr>
                <w:b/>
                <w:color w:val="FFFFFF"/>
              </w:rPr>
              <w:t xml:space="preserve">V01</w:t>
            </w:r>
          </w:p>
        </w:tc>
        <w:tc>
          <w:tcPr>
            <w:shd w:val="clear" w:color="auto" w:fill="00B050"/>
          </w:tcPr>
          <w:p>
            <w:pPr>
              <w:pStyle w:val="Tabla65"/>
              <w:jc w:val="center"/>
            </w:pPr>
            <w:r>
              <w:rPr>
                <w:b/>
                <w:color w:val="FFFFFF"/>
              </w:rPr>
              <w:t xml:space="preserve">V02</w:t>
            </w:r>
          </w:p>
        </w:tc>
        <w:tc>
          <w:tcPr>
            <w:shd w:val="clear" w:color="auto" w:fill="00B050"/>
          </w:tcPr>
          <w:p>
            <w:pPr>
              <w:pStyle w:val="Tabla65"/>
              <w:jc w:val="center"/>
            </w:pPr>
            <w:r>
              <w:rPr>
                <w:b/>
                <w:color w:val="FFFFFF"/>
              </w:rPr>
              <w:t xml:space="preserve">V03</w:t>
            </w:r>
          </w:p>
        </w:tc>
        <w:tc>
          <w:tcPr>
            <w:shd w:val="clear" w:color="auto" w:fill="00B050"/>
          </w:tcPr>
          <w:p>
            <w:pPr>
              <w:pStyle w:val="Tabla65"/>
              <w:jc w:val="center"/>
            </w:pPr>
            <w:r>
              <w:rPr>
                <w:b/>
                <w:color w:val="FFFFFF"/>
              </w:rPr>
              <w:t xml:space="preserve">V04</w:t>
            </w:r>
          </w:p>
        </w:tc>
        <w:tc>
          <w:tcPr>
            <w:shd w:val="clear" w:color="auto" w:fill="00B050"/>
          </w:tcPr>
          <w:p>
            <w:pPr>
              <w:pStyle w:val="Tabla65"/>
              <w:jc w:val="center"/>
            </w:pPr>
            <w:r>
              <w:rPr>
                <w:b/>
                <w:color w:val="FFFFFF"/>
              </w:rPr>
              <w:t xml:space="preserve">V05</w:t>
            </w:r>
          </w:p>
        </w:tc>
        <w:tc>
          <w:tcPr>
            <w:shd w:val="clear" w:color="auto" w:fill="00B050"/>
          </w:tcPr>
          <w:p>
            <w:pPr>
              <w:pStyle w:val="Tabla65"/>
              <w:jc w:val="center"/>
            </w:pPr>
            <w:r>
              <w:rPr>
                <w:b/>
                <w:color w:val="FFFFFF"/>
              </w:rPr>
              <w:t xml:space="preserve">V06</w:t>
            </w:r>
          </w:p>
        </w:tc>
        <w:tc>
          <w:tcPr>
            <w:shd w:val="clear" w:color="auto" w:fill="00B050"/>
          </w:tcPr>
          <w:p>
            <w:pPr>
              <w:pStyle w:val="Tabla65"/>
              <w:jc w:val="center"/>
            </w:pPr>
            <w:r>
              <w:rPr>
                <w:b/>
                <w:color w:val="FFFFFF"/>
              </w:rPr>
              <w:t xml:space="preserve">V07</w:t>
            </w:r>
          </w:p>
        </w:tc>
        <w:tc>
          <w:tcPr>
            <w:shd w:val="clear" w:color="auto" w:fill="00B050"/>
          </w:tcPr>
          <w:p>
            <w:pPr>
              <w:pStyle w:val="Tabla65"/>
              <w:jc w:val="center"/>
            </w:pPr>
            <w:r>
              <w:rPr>
                <w:b/>
                <w:color w:val="FFFFFF"/>
              </w:rPr>
              <w:t xml:space="preserve">V08</w:t>
            </w:r>
          </w:p>
        </w:tc>
        <w:tc>
          <w:tcPr>
            <w:shd w:val="clear" w:color="auto" w:fill="00B050"/>
          </w:tcPr>
          <w:p>
            <w:pPr>
              <w:pStyle w:val="Tabla65"/>
              <w:jc w:val="center"/>
            </w:pPr>
            <w:r>
              <w:rPr>
                <w:b/>
                <w:color w:val="FFFFFF"/>
              </w:rPr>
              <w:t xml:space="preserve">V09</w:t>
            </w:r>
          </w:p>
        </w:tc>
        <w:tc>
          <w:tcPr>
            <w:shd w:val="clear" w:color="auto" w:fill="00B050"/>
          </w:tcPr>
          <w:p>
            <w:pPr>
              <w:pStyle w:val="Tabla65"/>
              <w:jc w:val="center"/>
            </w:pPr>
            <w:r>
              <w:rPr>
                <w:b/>
                <w:color w:val="FFFFFF"/>
              </w:rPr>
              <w:t xml:space="preserve">V10</w:t>
            </w:r>
          </w:p>
        </w:tc>
        <w:tc>
          <w:tcPr>
            <w:shd w:val="clear" w:color="auto" w:fill="00B050"/>
          </w:tcPr>
          <w:p>
            <w:pPr>
              <w:pStyle w:val="Tabla65"/>
              <w:jc w:val="center"/>
            </w:pPr>
            <w:r>
              <w:rPr>
                <w:b/>
                <w:color w:val="FFFFFF"/>
              </w:rPr>
              <w:t xml:space="preserve">V11</w:t>
            </w:r>
          </w:p>
        </w:tc>
        <w:tc>
          <w:tcPr>
            <w:shd w:val="clear" w:color="auto" w:fill="00B050"/>
          </w:tcPr>
          <w:p>
            <w:pPr>
              <w:pStyle w:val="Tabla65"/>
              <w:jc w:val="center"/>
            </w:pPr>
            <w:r>
              <w:rPr>
                <w:b/>
                <w:color w:val="FFFFFF"/>
              </w:rPr>
              <w:t xml:space="preserve">V12</w:t>
            </w:r>
          </w:p>
        </w:tc>
        <w:tc>
          <w:tcPr>
            <w:shd w:val="clear" w:color="auto" w:fill="00B050"/>
          </w:tcPr>
          <w:p>
            <w:pPr>
              <w:pStyle w:val="Tabla65"/>
              <w:jc w:val="center"/>
            </w:pPr>
            <w:r>
              <w:rPr>
                <w:b/>
                <w:color w:val="FFFFFF"/>
              </w:rPr>
              <w:t xml:space="preserve">V13</w:t>
            </w:r>
          </w:p>
        </w:tc>
        <w:tc>
          <w:tcPr>
            <w:shd w:val="clear" w:color="auto" w:fill="00B050"/>
          </w:tcPr>
          <w:p>
            <w:pPr>
              <w:pStyle w:val="Tabla65"/>
              <w:jc w:val="center"/>
            </w:pPr>
            <w:r>
              <w:rPr>
                <w:b/>
                <w:color w:val="FFFFFF"/>
              </w:rPr>
              <w:t xml:space="preserve">V14</w:t>
            </w:r>
          </w:p>
        </w:tc>
        <w:tc>
          <w:tcPr>
            <w:shd w:val="clear" w:color="auto" w:fill="00B050"/>
          </w:tcPr>
          <w:p>
            <w:pPr>
              <w:pStyle w:val="Tabla65"/>
              <w:jc w:val="center"/>
            </w:pPr>
            <w:r>
              <w:rPr>
                <w:b/>
                <w:color w:val="FFFFFF"/>
              </w:rPr>
              <w:t xml:space="preserve">V15</w:t>
            </w:r>
          </w:p>
        </w:tc>
        <w:tc>
          <w:tcPr>
            <w:shd w:val="clear" w:color="auto" w:fill="00B050"/>
          </w:tcPr>
          <w:p>
            <w:pPr>
              <w:pStyle w:val="Tabla65"/>
              <w:jc w:val="center"/>
            </w:pPr>
            <w:r>
              <w:rPr>
                <w:b/>
                <w:color w:val="FFFFFF"/>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7</w:t>
            </w:r>
          </w:p>
        </w:tc>
      </w:tr>
      <w:tr>
        <w:trPr>
          <w:cantSplit/>
        </w:trPr>
        <w:tc>
          <w:tcPr/>
          <w:p>
            <w:pPr>
              <w:pStyle w:val="Tabla65"/>
              <w:jc w:val="left"/>
            </w:pPr>
            <w:r>
              <w:t xml:space="preserve">V02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8</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8</w:t>
            </w:r>
          </w:p>
        </w:tc>
      </w:tr>
      <w:tr>
        <w:trPr>
          <w:cantSplit/>
        </w:trPr>
        <w:tc>
          <w:tcPr/>
          <w:p>
            <w:pPr>
              <w:pStyle w:val="Tabla65"/>
              <w:jc w:val="left"/>
            </w:pPr>
            <w:r>
              <w:t xml:space="preserve">V04</w:t>
            </w:r>
          </w:p>
        </w:tc>
        <w:tc>
          <w:tcPr/>
          <w:p>
            <w:pPr>
              <w:pStyle w:val="Tabla65"/>
              <w:jc w:val="left"/>
            </w:pPr>
            <w:r>
              <w:t xml:space="preserve">3</w:t>
            </w:r>
          </w:p>
        </w:tc>
        <w:tc>
          <w:tcPr/>
          <w:p>
            <w:pPr>
              <w:pStyle w:val="Tabla65"/>
              <w:jc w:val="left"/>
            </w:pPr>
            <w:r>
              <w:t xml:space="preserve">3</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13</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10</w:t>
            </w:r>
          </w:p>
        </w:tc>
      </w:tr>
      <w:tr>
        <w:trPr>
          <w:cantSplit/>
        </w:trPr>
        <w:tc>
          <w:tcPr/>
          <w:p>
            <w:pPr>
              <w:pStyle w:val="Tabla65"/>
              <w:jc w:val="left"/>
            </w:pPr>
            <w:r>
              <w:t xml:space="preserve">V06</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10</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p>
            <w:pPr>
              <w:pStyle w:val="Tabla65"/>
              <w:jc w:val="left"/>
            </w:pPr>
            <w:r>
              <w:t xml:space="preserve">V08</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8</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5</w:t>
            </w:r>
          </w:p>
        </w:tc>
      </w:tr>
      <w:tr>
        <w:trPr>
          <w:cantSplit/>
        </w:trPr>
        <w:tc>
          <w:tcPr/>
          <w:p>
            <w:pPr>
              <w:pStyle w:val="Tabla65"/>
              <w:jc w:val="left"/>
            </w:pPr>
            <w:r>
              <w:t xml:space="preserve">V10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2</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10</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1</w:t>
            </w:r>
          </w:p>
        </w:tc>
        <w:tc>
          <w:tcPr/>
          <w:p>
            <w:pPr>
              <w:pStyle w:val="Tabla65"/>
              <w:jc w:val="left"/>
            </w:pPr>
            <w:r>
              <w:t xml:space="preserve">3</w:t>
            </w:r>
          </w:p>
        </w:tc>
        <w:tc>
          <w:tcPr/>
          <w:p>
            <w:pPr>
              <w:pStyle w:val="Tabla65"/>
              <w:jc w:val="left"/>
            </w:pPr>
            <w:r>
              <w:t xml:space="preserve">2</w:t>
            </w:r>
          </w:p>
        </w:tc>
        <w:tc>
          <w:tcPr/>
          <w:p>
            <w:pPr>
              <w:pStyle w:val="Tabla65"/>
              <w:jc w:val="left"/>
            </w:pPr>
            <w:r>
              <w:t xml:space="preserve">9</w:t>
            </w:r>
          </w:p>
        </w:tc>
      </w:tr>
      <w:tr>
        <w:trPr>
          <w:cantSplit/>
        </w:trPr>
        <w:tc>
          <w:tcPr/>
          <w:p>
            <w:pPr>
              <w:pStyle w:val="Tabla65"/>
              <w:jc w:val="left"/>
            </w:pPr>
            <w:r>
              <w:t xml:space="preserve">V12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3</w:t>
            </w:r>
          </w:p>
        </w:tc>
        <w:tc>
          <w:tcPr/>
          <w:p>
            <w:pPr>
              <w:pStyle w:val="Tabla65"/>
              <w:jc w:val="left"/>
            </w:pPr>
            <w:r>
              <w:t xml:space="preserve">7</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p>
            <w:pPr>
              <w:pStyle w:val="Tabla65"/>
              <w:jc w:val="left"/>
            </w:pPr>
            <w:r>
              <w:t xml:space="preserve">V14</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3</w:t>
            </w:r>
          </w:p>
        </w:tc>
        <w:tc>
          <w:tcPr/>
          <w:p>
            <w:pPr>
              <w:pStyle w:val="Tabla65"/>
              <w:jc w:val="left"/>
            </w:pPr>
            <w:r>
              <w:t xml:space="preserve">0</w:t>
            </w:r>
          </w:p>
        </w:tc>
        <w:tc>
          <w:tcPr/>
          <w:p>
            <w:pPr>
              <w:pStyle w:val="Tabla65"/>
              <w:jc w:val="left"/>
            </w:pPr>
            <w:r>
              <w:t xml:space="preserve">12</w:t>
            </w:r>
          </w:p>
        </w:tc>
      </w:tr>
      <w:tr>
        <w:trPr>
          <w:cantSplit/>
        </w:trPr>
        <w:tc>
          <w:tcPr/>
          <w:p>
            <w:pPr>
              <w:pStyle w:val="Tabla65"/>
              <w:jc w:val="left"/>
            </w:pPr>
            <w:r>
              <w:t xml:space="preserve">TP</w:t>
            </w:r>
          </w:p>
        </w:tc>
        <w:tc>
          <w:tcPr/>
          <w:p>
            <w:pPr>
              <w:pStyle w:val="Tabla65"/>
              <w:jc w:val="left"/>
            </w:pPr>
            <w:r>
              <w:t xml:space="preserve">7</w:t>
            </w:r>
          </w:p>
        </w:tc>
        <w:tc>
          <w:tcPr/>
          <w:p>
            <w:pPr>
              <w:pStyle w:val="Tabla65"/>
              <w:jc w:val="left"/>
            </w:pPr>
            <w:r>
              <w:t xml:space="preserve">7</w:t>
            </w:r>
          </w:p>
        </w:tc>
        <w:tc>
          <w:tcPr/>
          <w:p>
            <w:pPr>
              <w:pStyle w:val="Tabla65"/>
              <w:jc w:val="left"/>
            </w:pPr>
            <w:r>
              <w:t xml:space="preserve">1</w:t>
            </w:r>
          </w:p>
        </w:tc>
        <w:tc>
          <w:tcPr/>
          <w:p>
            <w:pPr>
              <w:pStyle w:val="Tabla65"/>
              <w:jc w:val="left"/>
            </w:pPr>
            <w:r>
              <w:t xml:space="preserve">0</w:t>
            </w:r>
          </w:p>
        </w:tc>
        <w:tc>
          <w:tcPr/>
          <w:p>
            <w:pPr>
              <w:pStyle w:val="Tabla65"/>
              <w:jc w:val="left"/>
            </w:pPr>
            <w:r>
              <w:t xml:space="preserve">3</w:t>
            </w:r>
          </w:p>
        </w:tc>
        <w:tc>
          <w:tcPr/>
          <w:p>
            <w:pPr>
              <w:pStyle w:val="Tabla65"/>
              <w:jc w:val="left"/>
            </w:pPr>
            <w:r>
              <w:t xml:space="preserve">17</w:t>
            </w:r>
          </w:p>
        </w:tc>
        <w:tc>
          <w:tcPr/>
          <w:p>
            <w:pPr>
              <w:pStyle w:val="Tabla65"/>
              <w:jc w:val="left"/>
            </w:pPr>
            <w:r>
              <w:t xml:space="preserve">4</w:t>
            </w:r>
          </w:p>
        </w:tc>
        <w:tc>
          <w:tcPr/>
          <w:p>
            <w:pPr>
              <w:pStyle w:val="Tabla65"/>
              <w:jc w:val="left"/>
            </w:pPr>
            <w:r>
              <w:t xml:space="preserve">3</w:t>
            </w:r>
          </w:p>
        </w:tc>
        <w:tc>
          <w:tcPr/>
          <w:p>
            <w:pPr>
              <w:pStyle w:val="Tabla65"/>
              <w:jc w:val="left"/>
            </w:pPr>
            <w:r>
              <w:t xml:space="preserve">14</w:t>
            </w:r>
          </w:p>
        </w:tc>
        <w:tc>
          <w:tcPr/>
          <w:p>
            <w:pPr>
              <w:pStyle w:val="Tabla65"/>
              <w:jc w:val="left"/>
            </w:pPr>
            <w:r>
              <w:t xml:space="preserve">4</w:t>
            </w:r>
          </w:p>
        </w:tc>
        <w:tc>
          <w:tcPr/>
          <w:p>
            <w:pPr>
              <w:pStyle w:val="Tabla65"/>
              <w:jc w:val="left"/>
            </w:pPr>
            <w:r>
              <w:t xml:space="preserve">15</w:t>
            </w:r>
          </w:p>
        </w:tc>
        <w:tc>
          <w:tcPr/>
          <w:p>
            <w:pPr>
              <w:pStyle w:val="Tabla65"/>
              <w:jc w:val="left"/>
            </w:pPr>
            <w:r>
              <w:t xml:space="preserve">9</w:t>
            </w:r>
          </w:p>
        </w:tc>
        <w:tc>
          <w:tcPr/>
          <w:p>
            <w:pPr>
              <w:pStyle w:val="Tabla65"/>
              <w:jc w:val="left"/>
            </w:pPr>
            <w:r>
              <w:t xml:space="preserve">9</w:t>
            </w:r>
          </w:p>
        </w:tc>
        <w:tc>
          <w:tcPr/>
          <w:p>
            <w:pPr>
              <w:pStyle w:val="Tabla65"/>
              <w:jc w:val="left"/>
            </w:pPr>
            <w:r>
              <w:t xml:space="preserve">14</w:t>
            </w:r>
          </w:p>
        </w:tc>
        <w:tc>
          <w:tcPr/>
          <w:p>
            <w:pPr>
              <w:pStyle w:val="Tabla65"/>
              <w:jc w:val="left"/>
            </w:pPr>
            <w:r>
              <w:t xml:space="preserve">11</w:t>
            </w:r>
          </w:p>
        </w:tc>
        <w:tc>
          <w:tcPr/>
          <w:p>
            <w:pPr>
              <w:pStyle w:val="Tabla65"/>
              <w:jc w:val="left"/>
            </w:pPr>
            <w:r>
              <w:t xml:space="preserve">118</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5840" w:h="12240" w:orient="landscape"/>
          <w:pgMar w:top="1417" w:right="1133" w:bottom="1417" w:left="1133" w:header="709" w:footer="709" w:gutter="0"/>
        </w:sectPr>
      </w:pPr>
    </w:p>
    <w:p>
      <w:pPr>
        <w:pStyle w:val="BodyText"/>
      </w:pPr>
      <w:r>
        <w:t xml:space="preserve">Los vectores TA y TP de cada tabla se verificaron contra las celdas; ambos totales globales coinciden en los cinco escenarios. La igualdad es necesaria y no suficiente para validar el modelo.</w:t>
      </w:r>
    </w:p>
    <w:bookmarkEnd w:id="163"/>
    <w:bookmarkStart w:id="164" w:name="Xbe2bbf90bab89ca2284b6df8f29cd213ae21f6e"/>
    <w:p>
      <w:pPr>
        <w:pStyle w:val="Heading3"/>
      </w:pPr>
      <w:r>
        <w:t xml:space="preserve">F4.4.6 Controles numéricos y metodológicos</w:t>
      </w:r>
    </w:p>
    <w:p>
      <w:pPr>
        <w:pStyle w:val="FirstParagraph"/>
      </w:pPr>
      <w:r>
        <w:t xml:space="preserve">Los controles describen la estructura de cada escenario. Ninguno impone densidad, simetría, mínimos de entradas o salidas ni límites a las variables exógenas. Las medidas de triangularidad y de reciprocidad son descriptivas y no constituyen un veto.</w:t>
      </w:r>
    </w:p>
    <w:p>
      <w:pPr>
        <w:pStyle w:val="BodyText"/>
      </w:pPr>
      <w:r>
        <w:t xml:space="preserve">La Tabla F4.26 reúne los datos de «Controles numéricos y metodológicos».</w:t>
      </w:r>
    </w:p>
    <w:p>
      <w:pPr>
        <w:pStyle w:val="TablaRotulo"/>
      </w:pPr>
      <w:bookmarkStart w:id="9103" w:name="rot_Tabla_F4_26"/>
      <w:r>
        <w:rPr>
          <w:b/>
          <w:bCs/>
        </w:rPr>
        <w:t xml:space="preserve">Tabla F4.26</w:t>
      </w:r>
      <w:bookmarkEnd w:id="9103"/>
    </w:p>
    <w:p>
      <w:pPr>
        <w:pStyle w:val="TablaTitulo"/>
      </w:pPr>
      <w:r>
        <w:rPr>
          <w:i/>
          <w:iCs/>
        </w:rPr>
        <w:t xml:space="preserve">Controles numéricos y metodológicos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58"/>
        <w:gridCol w:w="330"/>
        <w:gridCol w:w="726"/>
        <w:gridCol w:w="792"/>
        <w:gridCol w:w="528"/>
        <w:gridCol w:w="660"/>
        <w:gridCol w:w="726"/>
        <w:gridCol w:w="660"/>
        <w:gridCol w:w="2640"/>
      </w:tblGrid>
      <w:tr>
        <w:trPr>
          <w:cantSplit/>
          <w:tblHeader/>
        </w:trPr>
        <w:tc>
          <w:tcPr>
            <w:shd w:val="clear" w:color="auto" w:fill="00B050"/>
          </w:tcPr>
          <w:p>
            <w:pPr>
              <w:pStyle w:val="Tabla8"/>
              <w:jc w:val="center"/>
            </w:pPr>
            <w:r>
              <w:rPr>
                <w:b/>
                <w:color w:val="FFFFFF"/>
              </w:rPr>
              <w:t xml:space="preserve">Escenario</w:t>
            </w:r>
          </w:p>
        </w:tc>
        <w:tc>
          <w:tcPr>
            <w:shd w:val="clear" w:color="auto" w:fill="00B050"/>
          </w:tcPr>
          <w:p>
            <w:pPr>
              <w:pStyle w:val="Tabla8"/>
              <w:jc w:val="center"/>
            </w:pPr>
            <w:r>
              <w:rPr>
                <w:b/>
                <w:color w:val="FFFFFF"/>
              </w:rPr>
              <w:t xml:space="preserve">TA = TP</w:t>
            </w:r>
          </w:p>
        </w:tc>
        <w:tc>
          <w:tcPr>
            <w:shd w:val="clear" w:color="auto" w:fill="00B050"/>
          </w:tcPr>
          <w:p>
            <w:pPr>
              <w:pStyle w:val="Tabla8"/>
              <w:jc w:val="center"/>
            </w:pPr>
            <w:r>
              <w:rPr>
                <w:b/>
                <w:color w:val="FFFFFF"/>
              </w:rPr>
              <w:t xml:space="preserve">Aristas</w:t>
            </w:r>
          </w:p>
        </w:tc>
        <w:tc>
          <w:tcPr>
            <w:shd w:val="clear" w:color="auto" w:fill="00B050"/>
          </w:tcPr>
          <w:p>
            <w:pPr>
              <w:pStyle w:val="Tabla8"/>
              <w:jc w:val="center"/>
            </w:pPr>
            <w:r>
              <w:rPr>
                <w:b/>
                <w:color w:val="FFFFFF"/>
              </w:rPr>
              <w:t xml:space="preserve">Densidad</w:t>
            </w:r>
          </w:p>
        </w:tc>
        <w:tc>
          <w:tcPr>
            <w:shd w:val="clear" w:color="auto" w:fill="00B050"/>
          </w:tcPr>
          <w:p>
            <w:pPr>
              <w:pStyle w:val="Tabla8"/>
              <w:jc w:val="center"/>
            </w:pPr>
            <w:r>
              <w:rPr>
                <w:b/>
                <w:color w:val="FFFFFF"/>
              </w:rPr>
              <w:t xml:space="preserve">Ceros/1/2/3</w:t>
            </w:r>
          </w:p>
        </w:tc>
        <w:tc>
          <w:tcPr>
            <w:shd w:val="clear" w:color="auto" w:fill="00B050"/>
          </w:tcPr>
          <w:p>
            <w:pPr>
              <w:pStyle w:val="Tabla8"/>
              <w:jc w:val="center"/>
            </w:pPr>
            <w:r>
              <w:rPr>
                <w:b/>
                <w:color w:val="FFFFFF"/>
              </w:rPr>
              <w:t xml:space="preserve">Ciclos</w:t>
            </w:r>
          </w:p>
        </w:tc>
        <w:tc>
          <w:tcPr>
            <w:shd w:val="clear" w:color="auto" w:fill="00B050"/>
          </w:tcPr>
          <w:p>
            <w:pPr>
              <w:pStyle w:val="Tabla8"/>
              <w:jc w:val="center"/>
            </w:pPr>
            <w:r>
              <w:rPr>
                <w:b/>
                <w:color w:val="FFFFFF"/>
              </w:rPr>
              <w:t xml:space="preserve">Sin entradas</w:t>
            </w:r>
          </w:p>
        </w:tc>
        <w:tc>
          <w:tcPr>
            <w:shd w:val="clear" w:color="auto" w:fill="00B050"/>
          </w:tcPr>
          <w:p>
            <w:pPr>
              <w:pStyle w:val="Tabla8"/>
              <w:jc w:val="center"/>
            </w:pPr>
            <w:r>
              <w:rPr>
                <w:b/>
                <w:color w:val="FFFFFF"/>
              </w:rPr>
              <w:t xml:space="preserve">Sin salidas</w:t>
            </w:r>
          </w:p>
        </w:tc>
        <w:tc>
          <w:tcPr>
            <w:shd w:val="clear" w:color="auto" w:fill="00B050"/>
          </w:tcPr>
          <w:p>
            <w:pPr>
              <w:pStyle w:val="Tabla8"/>
              <w:jc w:val="center"/>
            </w:pPr>
            <w:r>
              <w:rPr>
                <w:b/>
                <w:color w:val="FFFFFF"/>
              </w:rPr>
              <w:t xml:space="preserve">Estado MICMAC</w:t>
            </w:r>
          </w:p>
        </w:tc>
      </w:tr>
      <w:tr>
        <w:trPr>
          <w:cantSplit/>
        </w:trPr>
        <w:tc>
          <w:tcPr/>
          <w:p>
            <w:pPr>
              <w:pStyle w:val="Tabla8"/>
              <w:jc w:val="left"/>
            </w:pPr>
            <w:r>
              <w:t xml:space="preserve">S0</w:t>
            </w:r>
          </w:p>
        </w:tc>
        <w:tc>
          <w:tcPr/>
          <w:p>
            <w:pPr>
              <w:pStyle w:val="Tabla8"/>
              <w:jc w:val="left"/>
            </w:pPr>
            <w:r>
              <w:t xml:space="preserve">53</w:t>
            </w:r>
          </w:p>
        </w:tc>
        <w:tc>
          <w:tcPr/>
          <w:p>
            <w:pPr>
              <w:pStyle w:val="Tabla8"/>
              <w:jc w:val="left"/>
            </w:pPr>
            <w:r>
              <w:t xml:space="preserve">22</w:t>
            </w:r>
          </w:p>
        </w:tc>
        <w:tc>
          <w:tcPr/>
          <w:p>
            <w:pPr>
              <w:pStyle w:val="Tabla8"/>
              <w:jc w:val="left"/>
            </w:pPr>
            <w:r>
              <w:t xml:space="preserve">10,5 %</w:t>
            </w:r>
          </w:p>
        </w:tc>
        <w:tc>
          <w:tcPr/>
          <w:p>
            <w:pPr>
              <w:pStyle w:val="Tabla8"/>
              <w:jc w:val="left"/>
            </w:pPr>
            <w:r>
              <w:t xml:space="preserve">188/3/7/12</w:t>
            </w:r>
          </w:p>
        </w:tc>
        <w:tc>
          <w:tcPr/>
          <w:p>
            <w:pPr>
              <w:pStyle w:val="Tabla8"/>
              <w:jc w:val="left"/>
            </w:pPr>
            <w:r>
              <w:t xml:space="preserve">No</w:t>
            </w:r>
          </w:p>
        </w:tc>
        <w:tc>
          <w:tcPr/>
          <w:p>
            <w:pPr>
              <w:pStyle w:val="Tabla8"/>
              <w:jc w:val="left"/>
            </w:pPr>
            <w:r>
              <w:t xml:space="preserve">V03, V04, V05, V07, V08</w:t>
            </w:r>
          </w:p>
        </w:tc>
        <w:tc>
          <w:tcPr/>
          <w:p>
            <w:pPr>
              <w:pStyle w:val="Tabla8"/>
              <w:jc w:val="left"/>
            </w:pPr>
            <w:r>
              <w:t xml:space="preserve">V15</w:t>
            </w:r>
          </w:p>
        </w:tc>
        <w:tc>
          <w:tcPr/>
          <w:p>
            <w:pPr>
              <w:pStyle w:val="Tabla8"/>
              <w:jc w:val="left"/>
            </w:pPr>
            <w:r>
              <w:t xml:space="preserve">EXTINCION_DE_CAMINOS</w:t>
            </w:r>
          </w:p>
        </w:tc>
      </w:tr>
      <w:tr>
        <w:trPr>
          <w:cantSplit/>
        </w:trPr>
        <w:tc>
          <w:tcPr/>
          <w:p>
            <w:pPr>
              <w:pStyle w:val="Tabla8"/>
              <w:jc w:val="left"/>
            </w:pPr>
            <w:r>
              <w:t xml:space="preserve">S1</w:t>
            </w:r>
          </w:p>
        </w:tc>
        <w:tc>
          <w:tcPr/>
          <w:p>
            <w:pPr>
              <w:pStyle w:val="Tabla8"/>
              <w:jc w:val="left"/>
            </w:pPr>
            <w:r>
              <w:t xml:space="preserve">67</w:t>
            </w:r>
          </w:p>
        </w:tc>
        <w:tc>
          <w:tcPr/>
          <w:p>
            <w:pPr>
              <w:pStyle w:val="Tabla8"/>
              <w:jc w:val="left"/>
            </w:pPr>
            <w:r>
              <w:t xml:space="preserve">32</w:t>
            </w:r>
          </w:p>
        </w:tc>
        <w:tc>
          <w:tcPr/>
          <w:p>
            <w:pPr>
              <w:pStyle w:val="Tabla8"/>
              <w:jc w:val="left"/>
            </w:pPr>
            <w:r>
              <w:t xml:space="preserve">15,2 %</w:t>
            </w:r>
          </w:p>
        </w:tc>
        <w:tc>
          <w:tcPr/>
          <w:p>
            <w:pPr>
              <w:pStyle w:val="Tabla8"/>
              <w:jc w:val="left"/>
            </w:pPr>
            <w:r>
              <w:t xml:space="preserve">178/9/11/12</w:t>
            </w:r>
          </w:p>
        </w:tc>
        <w:tc>
          <w:tcPr/>
          <w:p>
            <w:pPr>
              <w:pStyle w:val="Tabla8"/>
              <w:jc w:val="left"/>
            </w:pPr>
            <w:r>
              <w:t xml:space="preserve">Sí</w:t>
            </w:r>
          </w:p>
        </w:tc>
        <w:tc>
          <w:tcPr/>
          <w:p>
            <w:pPr>
              <w:pStyle w:val="Tabla8"/>
              <w:jc w:val="left"/>
            </w:pPr>
            <w:r>
              <w:t xml:space="preserve">V03, V04, V05</w:t>
            </w:r>
          </w:p>
        </w:tc>
        <w:tc>
          <w:tcPr/>
          <w:p>
            <w:pPr>
              <w:pStyle w:val="Tabla8"/>
              <w:jc w:val="left"/>
            </w:pPr>
            <w:r>
              <w:t xml:space="preserve">ninguna</w:t>
            </w:r>
          </w:p>
        </w:tc>
        <w:tc>
          <w:tcPr/>
          <w:p>
            <w:pPr>
              <w:pStyle w:val="Tabla8"/>
              <w:jc w:val="left"/>
            </w:pPr>
            <w:r>
              <w:t xml:space="preserve">SIN_ESTABILIDAD_OBSERVADA_HASTA_KMAX</w:t>
            </w:r>
          </w:p>
        </w:tc>
      </w:tr>
      <w:tr>
        <w:trPr>
          <w:cantSplit/>
        </w:trPr>
        <w:tc>
          <w:tcPr/>
          <w:p>
            <w:pPr>
              <w:pStyle w:val="Tabla8"/>
              <w:jc w:val="left"/>
            </w:pPr>
            <w:r>
              <w:t xml:space="preserve">S2</w:t>
            </w:r>
          </w:p>
        </w:tc>
        <w:tc>
          <w:tcPr/>
          <w:p>
            <w:pPr>
              <w:pStyle w:val="Tabla8"/>
              <w:jc w:val="left"/>
            </w:pPr>
            <w:r>
              <w:t xml:space="preserve">78</w:t>
            </w:r>
          </w:p>
        </w:tc>
        <w:tc>
          <w:tcPr/>
          <w:p>
            <w:pPr>
              <w:pStyle w:val="Tabla8"/>
              <w:jc w:val="left"/>
            </w:pPr>
            <w:r>
              <w:t xml:space="preserve">48</w:t>
            </w:r>
          </w:p>
        </w:tc>
        <w:tc>
          <w:tcPr/>
          <w:p>
            <w:pPr>
              <w:pStyle w:val="Tabla8"/>
              <w:jc w:val="left"/>
            </w:pPr>
            <w:r>
              <w:t xml:space="preserve">22,9 %</w:t>
            </w:r>
          </w:p>
        </w:tc>
        <w:tc>
          <w:tcPr/>
          <w:p>
            <w:pPr>
              <w:pStyle w:val="Tabla8"/>
              <w:jc w:val="left"/>
            </w:pPr>
            <w:r>
              <w:t xml:space="preserve">162/25/16/7</w:t>
            </w:r>
          </w:p>
        </w:tc>
        <w:tc>
          <w:tcPr/>
          <w:p>
            <w:pPr>
              <w:pStyle w:val="Tabla8"/>
              <w:jc w:val="left"/>
            </w:pPr>
            <w:r>
              <w:t xml:space="preserve">Sí</w:t>
            </w:r>
          </w:p>
        </w:tc>
        <w:tc>
          <w:tcPr/>
          <w:p>
            <w:pPr>
              <w:pStyle w:val="Tabla8"/>
              <w:jc w:val="left"/>
            </w:pPr>
            <w:r>
              <w:t xml:space="preserve">V03, V04</w:t>
            </w:r>
          </w:p>
        </w:tc>
        <w:tc>
          <w:tcPr/>
          <w:p>
            <w:pPr>
              <w:pStyle w:val="Tabla8"/>
              <w:jc w:val="left"/>
            </w:pPr>
            <w:r>
              <w:t xml:space="preserve">ninguna</w:t>
            </w:r>
          </w:p>
        </w:tc>
        <w:tc>
          <w:tcPr/>
          <w:p>
            <w:pPr>
              <w:pStyle w:val="Tabla8"/>
              <w:jc w:val="left"/>
            </w:pPr>
            <w:r>
              <w:t xml:space="preserve">SIN_ESTABILIDAD_OBSERVADA_HASTA_KMAX</w:t>
            </w:r>
          </w:p>
        </w:tc>
      </w:tr>
      <w:tr>
        <w:trPr>
          <w:cantSplit/>
        </w:trPr>
        <w:tc>
          <w:tcPr/>
          <w:p>
            <w:pPr>
              <w:pStyle w:val="Tabla8"/>
              <w:jc w:val="left"/>
            </w:pPr>
            <w:r>
              <w:t xml:space="preserve">S3</w:t>
            </w:r>
          </w:p>
        </w:tc>
        <w:tc>
          <w:tcPr/>
          <w:p>
            <w:pPr>
              <w:pStyle w:val="Tabla8"/>
              <w:jc w:val="left"/>
            </w:pPr>
            <w:r>
              <w:t xml:space="preserve">29</w:t>
            </w:r>
          </w:p>
        </w:tc>
        <w:tc>
          <w:tcPr/>
          <w:p>
            <w:pPr>
              <w:pStyle w:val="Tabla8"/>
              <w:jc w:val="left"/>
            </w:pPr>
            <w:r>
              <w:t xml:space="preserve">21</w:t>
            </w:r>
          </w:p>
        </w:tc>
        <w:tc>
          <w:tcPr/>
          <w:p>
            <w:pPr>
              <w:pStyle w:val="Tabla8"/>
              <w:jc w:val="left"/>
            </w:pPr>
            <w:r>
              <w:t xml:space="preserve">10 %</w:t>
            </w:r>
          </w:p>
        </w:tc>
        <w:tc>
          <w:tcPr/>
          <w:p>
            <w:pPr>
              <w:pStyle w:val="Tabla8"/>
              <w:jc w:val="left"/>
            </w:pPr>
            <w:r>
              <w:t xml:space="preserve">189/13/8/0</w:t>
            </w:r>
          </w:p>
        </w:tc>
        <w:tc>
          <w:tcPr/>
          <w:p>
            <w:pPr>
              <w:pStyle w:val="Tabla8"/>
              <w:jc w:val="left"/>
            </w:pPr>
            <w:r>
              <w:t xml:space="preserve">Sí</w:t>
            </w:r>
          </w:p>
        </w:tc>
        <w:tc>
          <w:tcPr/>
          <w:p>
            <w:pPr>
              <w:pStyle w:val="Tabla8"/>
              <w:jc w:val="left"/>
            </w:pPr>
            <w:r>
              <w:t xml:space="preserve">V03, V04, V05, V07, V08, V10</w:t>
            </w:r>
          </w:p>
        </w:tc>
        <w:tc>
          <w:tcPr/>
          <w:p>
            <w:pPr>
              <w:pStyle w:val="Tabla8"/>
              <w:jc w:val="left"/>
            </w:pPr>
            <w:r>
              <w:t xml:space="preserve">V09</w:t>
            </w:r>
          </w:p>
        </w:tc>
        <w:tc>
          <w:tcPr/>
          <w:p>
            <w:pPr>
              <w:pStyle w:val="Tabla8"/>
              <w:jc w:val="left"/>
            </w:pPr>
            <w:r>
              <w:t xml:space="preserve">PERIODICIDAD_OBSERVADA</w:t>
            </w:r>
          </w:p>
        </w:tc>
      </w:tr>
      <w:tr>
        <w:trPr>
          <w:cantSplit/>
        </w:trPr>
        <w:tc>
          <w:tcPr/>
          <w:p>
            <w:pPr>
              <w:pStyle w:val="Tabla8"/>
              <w:jc w:val="left"/>
            </w:pPr>
            <w:r>
              <w:t xml:space="preserve">S4</w:t>
            </w:r>
          </w:p>
        </w:tc>
        <w:tc>
          <w:tcPr/>
          <w:p>
            <w:pPr>
              <w:pStyle w:val="Tabla8"/>
              <w:jc w:val="left"/>
            </w:pPr>
            <w:r>
              <w:t xml:space="preserve">118</w:t>
            </w:r>
          </w:p>
        </w:tc>
        <w:tc>
          <w:tcPr/>
          <w:p>
            <w:pPr>
              <w:pStyle w:val="Tabla8"/>
              <w:jc w:val="left"/>
            </w:pPr>
            <w:r>
              <w:t xml:space="preserve">60</w:t>
            </w:r>
          </w:p>
        </w:tc>
        <w:tc>
          <w:tcPr/>
          <w:p>
            <w:pPr>
              <w:pStyle w:val="Tabla8"/>
              <w:jc w:val="left"/>
            </w:pPr>
            <w:r>
              <w:t xml:space="preserve">28,6 %</w:t>
            </w:r>
          </w:p>
        </w:tc>
        <w:tc>
          <w:tcPr/>
          <w:p>
            <w:pPr>
              <w:pStyle w:val="Tabla8"/>
              <w:jc w:val="left"/>
            </w:pPr>
            <w:r>
              <w:t xml:space="preserve">150/24/14/22</w:t>
            </w:r>
          </w:p>
        </w:tc>
        <w:tc>
          <w:tcPr/>
          <w:p>
            <w:pPr>
              <w:pStyle w:val="Tabla8"/>
              <w:jc w:val="left"/>
            </w:pPr>
            <w:r>
              <w:t xml:space="preserve">Sí</w:t>
            </w:r>
          </w:p>
        </w:tc>
        <w:tc>
          <w:tcPr/>
          <w:p>
            <w:pPr>
              <w:pStyle w:val="Tabla8"/>
              <w:jc w:val="left"/>
            </w:pPr>
            <w:r>
              <w:t xml:space="preserve">V04</w:t>
            </w:r>
          </w:p>
        </w:tc>
        <w:tc>
          <w:tcPr/>
          <w:p>
            <w:pPr>
              <w:pStyle w:val="Tabla8"/>
              <w:jc w:val="left"/>
            </w:pPr>
            <w:r>
              <w:t xml:space="preserve">ninguna</w:t>
            </w:r>
          </w:p>
        </w:tc>
        <w:tc>
          <w:tcPr/>
          <w:p>
            <w:pPr>
              <w:pStyle w:val="Tabla8"/>
              <w:jc w:val="left"/>
            </w:pPr>
            <w:r>
              <w:t xml:space="preserve">SIN_ESTABILIDAD_OBSERVADA_HASTA_KMAX</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Estructura de S2.</w:t>
      </w:r>
      <w:r>
        <w:t xml:space="preserve"> </w:t>
      </w:r>
      <w:r>
        <w:t xml:space="preserve">La componente fuertemente conexa mayor contiene 13 variables. V03 y V04 quedan fuera como fuentes sin entradas. Ciclo testigo: V06 → V07 → V06. El grafo no es acíclico; el ciclo V06↔V07 corresponde a la regla de reentrenamiento propuesta en E3 (Tabla E3-10.4).</w:t>
      </w:r>
    </w:p>
    <w:p>
      <w:pPr>
        <w:pStyle w:val="BodyText"/>
      </w:pPr>
      <w:r>
        <w:rPr>
          <w:b/>
          <w:bCs/>
        </w:rPr>
        <w:t xml:space="preserve">Reciprocidad y direccionalidad en S2.</w:t>
      </w:r>
      <w:r>
        <w:t xml:space="preserve"> </w:t>
      </w:r>
      <w:r>
        <w:t xml:space="preserve">Los 105 pares se distribuyen en tres grupos. Cuatro pares tienen aristas en ambos sentidos (V06–V07, V09–V15, V11–V12, V14–V15). Cuarenta pares tienen una sola arista. Sesenta y un pares no tienen arista. Tres de los cuatro pares recíprocos tienen valores distintos entre sentidos. El análisis paritario no impone simetría.</w:t>
      </w:r>
    </w:p>
    <w:p>
      <w:pPr>
        <w:pStyle w:val="BodyText"/>
      </w:pPr>
      <w:r>
        <w:rPr>
          <w:b/>
          <w:bCs/>
        </w:rPr>
        <w:t xml:space="preserve">Tríadas.</w:t>
      </w:r>
      <w:r>
        <w:t xml:space="preserve"> </w:t>
      </w:r>
      <w:r>
        <w:t xml:space="preserve">94 tríadas A→B→C de S2 carecen de la arista A→C. La MID no se completa por transitividad; esas rutas se calculan en las potencias de F4.4.11.</w:t>
      </w:r>
    </w:p>
    <w:p>
      <w:pPr>
        <w:pStyle w:val="BodyText"/>
      </w:pPr>
      <w:r>
        <w:rPr>
          <w:b/>
          <w:bCs/>
        </w:rPr>
        <w:t xml:space="preserve">Medidas descriptivas dependientes del orden (S2).</w:t>
      </w:r>
      <w:r>
        <w:t xml:space="preserve"> </w:t>
      </w:r>
      <w:r>
        <w:t xml:space="preserve">Suma del triángulo superior: 55; inferior: 23. La razón no mide retroalimentación. Correlación de rangos entre posición e influencia: -0,552; entre posición y dependencia: 0,393. Son descriptivas y no prueban que el orden haya causado el patrón.</w:t>
      </w:r>
    </w:p>
    <w:p>
      <w:pPr>
        <w:pStyle w:val="BodyText"/>
      </w:pPr>
      <w:r>
        <w:rPr>
          <w:b/>
          <w:bCs/>
        </w:rPr>
        <w:t xml:space="preserve">Invarianza a permutaciones.</w:t>
      </w:r>
      <w:r>
        <w:t xml:space="preserve"> </w:t>
      </w:r>
      <w:r>
        <w:t xml:space="preserve">Se aplicaron 5 permutaciones simultáneas de filas y columnas con semilla 20261011. Tras restaurar los IDs, coincidieron los totales de las diez potencias, los vectores directos, las clases y los rangos indirectos: sí en todas.</w:t>
      </w:r>
    </w:p>
    <w:p>
      <w:pPr>
        <w:pStyle w:val="BodyText"/>
      </w:pPr>
      <w:r>
        <w:rPr>
          <w:b/>
          <w:bCs/>
        </w:rPr>
        <w:t xml:space="preserve">Objeciones metodológicas y respuesta (protocolo de auditoría Vester).</w:t>
      </w:r>
    </w:p>
    <w:p>
      <w:pPr>
        <w:pStyle w:val="BodyText"/>
      </w:pPr>
      <w:r>
        <w:t xml:space="preserve">La Tabla F4.27 reúne los datos de «Objeciones metodológicas y respuesta (protocolo de auditoría Vester)».</w:t>
      </w:r>
    </w:p>
    <w:p>
      <w:pPr>
        <w:pStyle w:val="TablaRotulo"/>
      </w:pPr>
      <w:bookmarkStart w:id="9104" w:name="rot_Tabla_F4_27"/>
      <w:r>
        <w:rPr>
          <w:b/>
          <w:bCs/>
        </w:rPr>
        <w:t xml:space="preserve">Tabla F4.27</w:t>
      </w:r>
      <w:bookmarkEnd w:id="9104"/>
    </w:p>
    <w:p>
      <w:pPr>
        <w:pStyle w:val="TablaTitulo"/>
      </w:pPr>
      <w:r>
        <w:rPr>
          <w:i/>
          <w:iCs/>
        </w:rPr>
        <w:t xml:space="preserve">Objeciones metodológicas y respuesta (protocolo de auditoría Vester)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60"/>
        <w:gridCol w:w="2814"/>
        <w:gridCol w:w="2945"/>
      </w:tblGrid>
      <w:tr>
        <w:trPr>
          <w:cantSplit/>
          <w:tblHeader/>
        </w:trPr>
        <w:tc>
          <w:tcPr>
            <w:shd w:val="clear" w:color="auto" w:fill="00B050"/>
          </w:tcPr>
          <w:p>
            <w:pPr>
              <w:pStyle w:val="Tabla9"/>
              <w:jc w:val="center"/>
            </w:pPr>
            <w:r>
              <w:rPr>
                <w:b/>
                <w:color w:val="FFFFFF"/>
              </w:rPr>
              <w:t xml:space="preserve">Objeción</w:t>
            </w:r>
          </w:p>
        </w:tc>
        <w:tc>
          <w:tcPr>
            <w:shd w:val="clear" w:color="auto" w:fill="00B050"/>
          </w:tcPr>
          <w:p>
            <w:pPr>
              <w:pStyle w:val="Tabla9"/>
              <w:jc w:val="center"/>
            </w:pPr>
            <w:r>
              <w:rPr>
                <w:b/>
                <w:color w:val="FFFFFF"/>
              </w:rPr>
              <w:t xml:space="preserve">Riesgo en este caso</w:t>
            </w:r>
          </w:p>
        </w:tc>
        <w:tc>
          <w:tcPr>
            <w:shd w:val="clear" w:color="auto" w:fill="00B050"/>
          </w:tcPr>
          <w:p>
            <w:pPr>
              <w:pStyle w:val="Tabla9"/>
              <w:jc w:val="center"/>
            </w:pPr>
            <w:r>
              <w:rPr>
                <w:b/>
                <w:color w:val="FFFFFF"/>
              </w:rPr>
              <w:t xml:space="preserve">Respuesta y límite</w:t>
            </w:r>
          </w:p>
        </w:tc>
      </w:tr>
      <w:tr>
        <w:trPr>
          <w:cantSplit/>
        </w:trPr>
        <w:tc>
          <w:tcPr/>
          <w:p>
            <w:pPr>
              <w:pStyle w:val="Tabla9"/>
              <w:jc w:val="left"/>
            </w:pPr>
            <w:r>
              <w:t xml:space="preserve">Sesgo confirmacional</w:t>
            </w:r>
          </w:p>
        </w:tc>
        <w:tc>
          <w:tcPr/>
          <w:p>
            <w:pPr>
              <w:pStyle w:val="Tabla9"/>
              <w:jc w:val="left"/>
            </w:pPr>
            <w:r>
              <w:t xml:space="preserve">La instancia que redacta las fichas conoce la hipótesis ALT-03 y podría favorecerla.</w:t>
            </w:r>
          </w:p>
        </w:tc>
        <w:tc>
          <w:tcPr/>
          <w:p>
            <w:pPr>
              <w:pStyle w:val="Tabla9"/>
              <w:jc w:val="left"/>
            </w:pPr>
            <w:r>
              <w:t xml:space="preserve">V07→V06 recibe 3 con dominio {2,3}; V10→V06 baja de 2 a 1; V12→V15 baja de 3 a 2. La autorrevisión es una segunda pasada del mismo modelo, no un panel independiente.</w:t>
            </w:r>
          </w:p>
        </w:tc>
      </w:tr>
      <w:tr>
        <w:trPr>
          <w:cantSplit/>
        </w:trPr>
        <w:tc>
          <w:tcPr/>
          <w:p>
            <w:pPr>
              <w:pStyle w:val="Tabla9"/>
              <w:jc w:val="left"/>
            </w:pPr>
            <w:r>
              <w:t xml:space="preserve">Arrastre entre fichas</w:t>
            </w:r>
          </w:p>
        </w:tc>
        <w:tc>
          <w:tcPr/>
          <w:p>
            <w:pPr>
              <w:pStyle w:val="Tabla9"/>
              <w:jc w:val="left"/>
            </w:pPr>
            <w:r>
              <w:t xml:space="preserve">Las fichas de una misma variable comparten premisas.</w:t>
            </w:r>
          </w:p>
        </w:tc>
        <w:tc>
          <w:tcPr/>
          <w:p>
            <w:pPr>
              <w:pStyle w:val="Tabla9"/>
              <w:jc w:val="left"/>
            </w:pPr>
            <w:r>
              <w:t xml:space="preserve">Cada dirección tiene su ficha, rival y dominio. El arrastre no se mide; queda como reserva.</w:t>
            </w:r>
          </w:p>
        </w:tc>
      </w:tr>
      <w:tr>
        <w:trPr>
          <w:cantSplit/>
        </w:trPr>
        <w:tc>
          <w:tcPr/>
          <w:p>
            <w:pPr>
              <w:pStyle w:val="Tabla9"/>
              <w:jc w:val="left"/>
            </w:pPr>
            <w:r>
              <w:t xml:space="preserve">Inducción precipitada</w:t>
            </w:r>
          </w:p>
        </w:tc>
        <w:tc>
          <w:tcPr/>
          <w:p>
            <w:pPr>
              <w:pStyle w:val="Tabla9"/>
              <w:jc w:val="left"/>
            </w:pPr>
            <w:r>
              <w:t xml:space="preserve">Asignar flechas porque «tiene sentido» sin mecanismo.</w:t>
            </w:r>
          </w:p>
        </w:tc>
        <w:tc>
          <w:tcPr/>
          <w:p>
            <w:pPr>
              <w:pStyle w:val="Tabla9"/>
              <w:jc w:val="left"/>
            </w:pPr>
            <w:r>
              <w:t xml:space="preserve">162 ceros declaran razón o mediación. Las 48 aristas declaran mecanismo; 7 se apoyan solo en premisas.</w:t>
            </w:r>
          </w:p>
        </w:tc>
      </w:tr>
      <w:tr>
        <w:trPr>
          <w:cantSplit/>
        </w:trPr>
        <w:tc>
          <w:tcPr/>
          <w:p>
            <w:pPr>
              <w:pStyle w:val="Tabla9"/>
              <w:jc w:val="left"/>
            </w:pPr>
            <w:r>
              <w:t xml:space="preserve">Escala temporal</w:t>
            </w:r>
          </w:p>
        </w:tc>
        <w:tc>
          <w:tcPr/>
          <w:p>
            <w:pPr>
              <w:pStyle w:val="Tabla9"/>
              <w:jc w:val="left"/>
            </w:pPr>
            <w:r>
              <w:t xml:space="preserve">Mezclar efectos de semanas con efectos de años.</w:t>
            </w:r>
          </w:p>
        </w:tc>
        <w:tc>
          <w:tcPr/>
          <w:p>
            <w:pPr>
              <w:pStyle w:val="Tabla9"/>
              <w:jc w:val="left"/>
            </w:pPr>
            <w:r>
              <w:t xml:space="preserve">Horizonte único H = 36 meses; los vínculos que solo actúan posproyecto (V15→V07) bajan a 1 con dominio {0,1,2}.</w:t>
            </w:r>
          </w:p>
        </w:tc>
      </w:tr>
      <w:tr>
        <w:trPr>
          <w:cantSplit/>
        </w:trPr>
        <w:tc>
          <w:tcPr/>
          <w:p>
            <w:pPr>
              <w:pStyle w:val="Tabla9"/>
              <w:jc w:val="left"/>
            </w:pPr>
            <w:r>
              <w:t xml:space="preserve">Directo frente a indirecto</w:t>
            </w:r>
          </w:p>
        </w:tc>
        <w:tc>
          <w:tcPr/>
          <w:p>
            <w:pPr>
              <w:pStyle w:val="Tabla9"/>
              <w:jc w:val="left"/>
            </w:pPr>
            <w:r>
              <w:t xml:space="preserve">Contar dos veces rutas mediadas (V06→V12 y V06→V11→V12).</w:t>
            </w:r>
          </w:p>
        </w:tc>
        <w:tc>
          <w:tcPr/>
          <w:p>
            <w:pPr>
              <w:pStyle w:val="Tabla9"/>
              <w:jc w:val="left"/>
            </w:pPr>
            <w:r>
              <w:t xml:space="preserve">V06→V12 baja de 3 a 2; las rutas por variables explícitas puntúan 0 con mediador declarado (31 ceros con mediador declarado).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Cambios entre escenarios.</w:t>
      </w:r>
      <w:r>
        <w:t xml:space="preserve"> </w:t>
      </w:r>
      <w:r>
        <w:t xml:space="preserve">34 celdas difieren entre S0, S1 y S2. S2 coincide con S0 en 177 de 210 celdas y con S1 en 184. S1 coincide con S0 en 200. La tabla lista cada celda con su motivo en las fichas.</w:t>
      </w:r>
    </w:p>
    <w:p>
      <w:pPr>
        <w:pStyle w:val="BodyText"/>
      </w:pPr>
      <w:r>
        <w:t xml:space="preserve">La Tabla F4.28 reúne los datos de «Cambios entre escenarios».</w:t>
      </w:r>
    </w:p>
    <w:p>
      <w:pPr>
        <w:pStyle w:val="TablaRotulo"/>
      </w:pPr>
      <w:bookmarkStart w:id="9105" w:name="rot_Tabla_F4_28"/>
      <w:r>
        <w:rPr>
          <w:b/>
          <w:bCs/>
        </w:rPr>
        <w:t xml:space="preserve">Tabla F4.28</w:t>
      </w:r>
      <w:bookmarkEnd w:id="9105"/>
    </w:p>
    <w:p>
      <w:pPr>
        <w:pStyle w:val="TablaTitulo"/>
      </w:pPr>
      <w:r>
        <w:rPr>
          <w:i/>
          <w:iCs/>
        </w:rPr>
        <w:t xml:space="preserve">Cambios entre escenarios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4189"/>
        <w:gridCol w:w="1243"/>
        <w:gridCol w:w="1243"/>
        <w:gridCol w:w="1243"/>
      </w:tblGrid>
      <w:tr>
        <w:trPr>
          <w:cantSplit/>
          <w:tblHeader/>
        </w:trPr>
        <w:tc>
          <w:tcPr>
            <w:shd w:val="clear" w:color="auto" w:fill="00B050"/>
          </w:tcPr>
          <w:p>
            <w:pPr>
              <w:pStyle w:val="Tabla9"/>
              <w:jc w:val="center"/>
            </w:pPr>
            <w:r>
              <w:rPr>
                <w:b/>
                <w:color w:val="FFFFFF"/>
              </w:rPr>
              <w:t xml:space="preserve">Origen→Destino</w:t>
            </w:r>
          </w:p>
        </w:tc>
        <w:tc>
          <w:tcPr>
            <w:shd w:val="clear" w:color="auto" w:fill="00B050"/>
          </w:tcPr>
          <w:p>
            <w:pPr>
              <w:pStyle w:val="Tabla9"/>
              <w:jc w:val="center"/>
            </w:pPr>
            <w:r>
              <w:rPr>
                <w:b/>
                <w:color w:val="FFFFFF"/>
              </w:rPr>
              <w:t xml:space="preserve">S0</w:t>
            </w:r>
          </w:p>
        </w:tc>
        <w:tc>
          <w:tcPr>
            <w:shd w:val="clear" w:color="auto" w:fill="00B050"/>
          </w:tcPr>
          <w:p>
            <w:pPr>
              <w:pStyle w:val="Tabla9"/>
              <w:jc w:val="center"/>
            </w:pPr>
            <w:r>
              <w:rPr>
                <w:b/>
                <w:color w:val="FFFFFF"/>
              </w:rPr>
              <w:t xml:space="preserve">S1</w:t>
            </w:r>
          </w:p>
        </w:tc>
        <w:tc>
          <w:tcPr>
            <w:shd w:val="clear" w:color="auto" w:fill="00B050"/>
          </w:tcPr>
          <w:p>
            <w:pPr>
              <w:pStyle w:val="Tabla9"/>
              <w:jc w:val="center"/>
            </w:pPr>
            <w:r>
              <w:rPr>
                <w:b/>
                <w:color w:val="FFFFFF"/>
              </w:rPr>
              <w:t xml:space="preserve">S2</w:t>
            </w:r>
          </w:p>
        </w:tc>
      </w:tr>
      <w:tr>
        <w:trPr>
          <w:cantSplit/>
        </w:trPr>
        <w:tc>
          <w:tcPr/>
          <w:p>
            <w:pPr>
              <w:pStyle w:val="Tabla9"/>
              <w:jc w:val="left"/>
            </w:pPr>
            <w:r>
              <w:t xml:space="preserve">V01→V11</w:t>
            </w:r>
          </w:p>
        </w:tc>
        <w:tc>
          <w:tcPr/>
          <w:p>
            <w:pPr>
              <w:pStyle w:val="Tabla9"/>
              <w:jc w:val="left"/>
            </w:pPr>
            <w:r>
              <w:t xml:space="preserve">0</w:t>
            </w:r>
          </w:p>
        </w:tc>
        <w:tc>
          <w:tcPr/>
          <w:p>
            <w:pPr>
              <w:pStyle w:val="Tabla9"/>
              <w:jc w:val="left"/>
            </w:pPr>
            <w:r>
              <w:t xml:space="preserve">0</w:t>
            </w:r>
          </w:p>
        </w:tc>
        <w:tc>
          <w:tcPr/>
          <w:p>
            <w:pPr>
              <w:pStyle w:val="Tabla9"/>
              <w:jc w:val="left"/>
            </w:pPr>
            <w:r>
              <w:t xml:space="preserve">3</w:t>
            </w:r>
          </w:p>
        </w:tc>
      </w:tr>
      <w:tr>
        <w:trPr>
          <w:cantSplit/>
        </w:trPr>
        <w:tc>
          <w:tcPr/>
          <w:p>
            <w:pPr>
              <w:pStyle w:val="Tabla9"/>
              <w:jc w:val="left"/>
            </w:pPr>
            <w:r>
              <w:t xml:space="preserve">V01→V14</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p>
            <w:pPr>
              <w:pStyle w:val="Tabla9"/>
              <w:jc w:val="left"/>
            </w:pPr>
            <w:r>
              <w:t xml:space="preserve">V02→V09</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V02→V11</w:t>
            </w:r>
          </w:p>
        </w:tc>
        <w:tc>
          <w:tcPr/>
          <w:p>
            <w:pPr>
              <w:pStyle w:val="Tabla9"/>
              <w:jc w:val="left"/>
            </w:pPr>
            <w:r>
              <w:t xml:space="preserve">0</w:t>
            </w:r>
          </w:p>
        </w:tc>
        <w:tc>
          <w:tcPr/>
          <w:p>
            <w:pPr>
              <w:pStyle w:val="Tabla9"/>
              <w:jc w:val="left"/>
            </w:pPr>
            <w:r>
              <w:t xml:space="preserve">0</w:t>
            </w:r>
          </w:p>
        </w:tc>
        <w:tc>
          <w:tcPr/>
          <w:p>
            <w:pPr>
              <w:pStyle w:val="Tabla9"/>
              <w:jc w:val="left"/>
            </w:pPr>
            <w:r>
              <w:t xml:space="preserve">2</w:t>
            </w:r>
          </w:p>
        </w:tc>
      </w:tr>
      <w:tr>
        <w:trPr>
          <w:cantSplit/>
        </w:trPr>
        <w:tc>
          <w:tcPr/>
          <w:p>
            <w:pPr>
              <w:pStyle w:val="Tabla9"/>
              <w:jc w:val="left"/>
            </w:pPr>
            <w:r>
              <w:t xml:space="preserve">V02→V14</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p>
            <w:pPr>
              <w:pStyle w:val="Tabla9"/>
              <w:jc w:val="left"/>
            </w:pPr>
            <w:r>
              <w:t xml:space="preserve">V03→V09</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p>
            <w:pPr>
              <w:pStyle w:val="Tabla9"/>
              <w:jc w:val="left"/>
            </w:pPr>
            <w:r>
              <w:t xml:space="preserve">V04→V06</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V04→V08</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p>
            <w:pPr>
              <w:pStyle w:val="Tabla9"/>
              <w:jc w:val="left"/>
            </w:pPr>
            <w:r>
              <w:t xml:space="preserve">V04→V09</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V04→V13</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V05→V01</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p>
            <w:pPr>
              <w:pStyle w:val="Tabla9"/>
              <w:jc w:val="left"/>
            </w:pPr>
            <w:r>
              <w:t xml:space="preserve">V05→V09</w:t>
            </w:r>
          </w:p>
        </w:tc>
        <w:tc>
          <w:tcPr/>
          <w:p>
            <w:pPr>
              <w:pStyle w:val="Tabla9"/>
              <w:jc w:val="left"/>
            </w:pPr>
            <w:r>
              <w:t xml:space="preserve">0</w:t>
            </w:r>
          </w:p>
        </w:tc>
        <w:tc>
          <w:tcPr/>
          <w:p>
            <w:pPr>
              <w:pStyle w:val="Tabla9"/>
              <w:jc w:val="left"/>
            </w:pPr>
            <w:r>
              <w:t xml:space="preserve">2</w:t>
            </w:r>
          </w:p>
        </w:tc>
        <w:tc>
          <w:tcPr/>
          <w:p>
            <w:pPr>
              <w:pStyle w:val="Tabla9"/>
              <w:jc w:val="left"/>
            </w:pPr>
            <w:r>
              <w:t xml:space="preserve">2</w:t>
            </w:r>
          </w:p>
        </w:tc>
      </w:tr>
      <w:tr>
        <w:trPr>
          <w:cantSplit/>
        </w:trPr>
        <w:tc>
          <w:tcPr/>
          <w:p>
            <w:pPr>
              <w:pStyle w:val="Tabla9"/>
              <w:jc w:val="left"/>
            </w:pPr>
            <w:r>
              <w:t xml:space="preserve">V06→V07</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V06→V09</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V06→V12</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p>
            <w:pPr>
              <w:pStyle w:val="Tabla9"/>
              <w:jc w:val="left"/>
            </w:pPr>
            <w:r>
              <w:t xml:space="preserve">V06→V15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V07→V08</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p>
            <w:pPr>
              <w:pStyle w:val="Tabla9"/>
              <w:jc w:val="left"/>
            </w:pPr>
            <w:r>
              <w:t xml:space="preserve">V08→V06</w:t>
            </w:r>
          </w:p>
        </w:tc>
        <w:tc>
          <w:tcPr/>
          <w:p>
            <w:pPr>
              <w:pStyle w:val="Tabla9"/>
              <w:jc w:val="left"/>
            </w:pPr>
            <w:r>
              <w:t xml:space="preserve">0</w:t>
            </w:r>
          </w:p>
        </w:tc>
        <w:tc>
          <w:tcPr/>
          <w:p>
            <w:pPr>
              <w:pStyle w:val="Tabla9"/>
              <w:jc w:val="left"/>
            </w:pPr>
            <w:r>
              <w:t xml:space="preserve">2</w:t>
            </w:r>
          </w:p>
        </w:tc>
        <w:tc>
          <w:tcPr/>
          <w:p>
            <w:pPr>
              <w:pStyle w:val="Tabla9"/>
              <w:jc w:val="left"/>
            </w:pPr>
            <w:r>
              <w:t xml:space="preserve">0</w:t>
            </w:r>
          </w:p>
        </w:tc>
      </w:tr>
      <w:tr>
        <w:trPr>
          <w:cantSplit/>
        </w:trPr>
        <w:tc>
          <w:tcPr/>
          <w:p>
            <w:pPr>
              <w:pStyle w:val="Tabla9"/>
              <w:jc w:val="left"/>
            </w:pPr>
            <w:r>
              <w:t xml:space="preserve">V09→V15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V10→V06</w:t>
            </w:r>
          </w:p>
        </w:tc>
        <w:tc>
          <w:tcPr/>
          <w:p>
            <w:pPr>
              <w:pStyle w:val="Tabla9"/>
              <w:jc w:val="left"/>
            </w:pPr>
            <w:r>
              <w:t xml:space="preserve">2</w:t>
            </w:r>
          </w:p>
        </w:tc>
        <w:tc>
          <w:tcPr/>
          <w:p>
            <w:pPr>
              <w:pStyle w:val="Tabla9"/>
              <w:jc w:val="left"/>
            </w:pPr>
            <w:r>
              <w:t xml:space="preserve">2</w:t>
            </w:r>
          </w:p>
        </w:tc>
        <w:tc>
          <w:tcPr/>
          <w:p>
            <w:pPr>
              <w:pStyle w:val="Tabla9"/>
              <w:jc w:val="left"/>
            </w:pPr>
            <w:r>
              <w:t xml:space="preserve">1</w:t>
            </w:r>
          </w:p>
        </w:tc>
      </w:tr>
      <w:tr>
        <w:trPr>
          <w:cantSplit/>
        </w:trPr>
        <w:tc>
          <w:tcPr/>
          <w:p>
            <w:pPr>
              <w:pStyle w:val="Tabla9"/>
              <w:jc w:val="left"/>
            </w:pPr>
            <w:r>
              <w:t xml:space="preserve">V10→V11</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p>
            <w:pPr>
              <w:pStyle w:val="Tabla9"/>
              <w:jc w:val="left"/>
            </w:pPr>
            <w:r>
              <w:t xml:space="preserve">V10→V12</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V10→V13</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V11→V14</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p>
            <w:pPr>
              <w:pStyle w:val="Tabla9"/>
              <w:jc w:val="left"/>
            </w:pPr>
            <w:r>
              <w:t xml:space="preserve">V11→V15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V12→V11</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p>
            <w:pPr>
              <w:pStyle w:val="Tabla9"/>
              <w:jc w:val="left"/>
            </w:pPr>
            <w:r>
              <w:t xml:space="preserve">V12→V14</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V12→V15</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p>
            <w:pPr>
              <w:pStyle w:val="Tabla9"/>
              <w:jc w:val="left"/>
            </w:pPr>
            <w:r>
              <w:t xml:space="preserve">V13→V14</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p>
            <w:pPr>
              <w:pStyle w:val="Tabla9"/>
              <w:jc w:val="left"/>
            </w:pPr>
            <w:r>
              <w:t xml:space="preserve">V15→V05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V15→V07</w:t>
            </w:r>
          </w:p>
        </w:tc>
        <w:tc>
          <w:tcPr/>
          <w:p>
            <w:pPr>
              <w:pStyle w:val="Tabla9"/>
              <w:jc w:val="left"/>
            </w:pPr>
            <w:r>
              <w:t xml:space="preserve">0</w:t>
            </w:r>
          </w:p>
        </w:tc>
        <w:tc>
          <w:tcPr/>
          <w:p>
            <w:pPr>
              <w:pStyle w:val="Tabla9"/>
              <w:jc w:val="left"/>
            </w:pPr>
            <w:r>
              <w:t xml:space="preserve">2</w:t>
            </w:r>
          </w:p>
        </w:tc>
        <w:tc>
          <w:tcPr/>
          <w:p>
            <w:pPr>
              <w:pStyle w:val="Tabla9"/>
              <w:jc w:val="left"/>
            </w:pPr>
            <w:r>
              <w:t xml:space="preserve">1</w:t>
            </w:r>
          </w:p>
        </w:tc>
      </w:tr>
      <w:tr>
        <w:trPr>
          <w:cantSplit/>
        </w:trPr>
        <w:tc>
          <w:tcPr/>
          <w:p>
            <w:pPr>
              <w:pStyle w:val="Tabla9"/>
              <w:jc w:val="left"/>
            </w:pPr>
            <w:r>
              <w:t xml:space="preserve">V15→V09</w:t>
            </w:r>
          </w:p>
        </w:tc>
        <w:tc>
          <w:tcPr/>
          <w:p>
            <w:pPr>
              <w:pStyle w:val="Tabla9"/>
              <w:jc w:val="left"/>
            </w:pPr>
            <w:r>
              <w:t xml:space="preserve">0</w:t>
            </w:r>
          </w:p>
        </w:tc>
        <w:tc>
          <w:tcPr/>
          <w:p>
            <w:pPr>
              <w:pStyle w:val="Tabla9"/>
              <w:jc w:val="left"/>
            </w:pPr>
            <w:r>
              <w:t xml:space="preserve">2</w:t>
            </w:r>
          </w:p>
        </w:tc>
        <w:tc>
          <w:tcPr/>
          <w:p>
            <w:pPr>
              <w:pStyle w:val="Tabla9"/>
              <w:jc w:val="left"/>
            </w:pPr>
            <w:r>
              <w:t xml:space="preserve">2</w:t>
            </w:r>
          </w:p>
        </w:tc>
      </w:tr>
      <w:tr>
        <w:trPr>
          <w:cantSplit/>
        </w:trPr>
        <w:tc>
          <w:tcPr/>
          <w:p>
            <w:pPr>
              <w:pStyle w:val="Tabla9"/>
              <w:jc w:val="left"/>
            </w:pPr>
            <w:r>
              <w:t xml:space="preserve">V15→V10</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p>
            <w:pPr>
              <w:pStyle w:val="Tabla9"/>
              <w:jc w:val="left"/>
            </w:pPr>
            <w:r>
              <w:t xml:space="preserve">V15→V14</w:t>
            </w:r>
          </w:p>
        </w:tc>
        <w:tc>
          <w:tcPr/>
          <w:p>
            <w:pPr>
              <w:pStyle w:val="Tabla9"/>
              <w:jc w:val="left"/>
            </w:pPr>
            <w:r>
              <w:t xml:space="preserve">0</w:t>
            </w:r>
          </w:p>
        </w:tc>
        <w:tc>
          <w:tcPr/>
          <w:p>
            <w:pPr>
              <w:pStyle w:val="Tabla9"/>
              <w:jc w:val="left"/>
            </w:pPr>
            <w:r>
              <w:t xml:space="preserve">0</w:t>
            </w:r>
          </w:p>
        </w:tc>
        <w:tc>
          <w:tcPr/>
          <w:p>
            <w:pPr>
              <w:pStyle w:val="Tabla9"/>
              <w:jc w:val="left"/>
            </w:pPr>
            <w:r>
              <w:t xml:space="preserve">2</w:t>
            </w:r>
          </w:p>
        </w:tc>
      </w:tr>
    </w:tbl>
    <w:p>
      <w:pPr>
        <w:pStyle w:val="TablaNota"/>
      </w:pPr>
      <w:r>
        <w:rPr>
          <w:i/>
          <w:iCs/>
        </w:rPr>
        <w:t xml:space="preserve">Nota.</w:t>
      </w:r>
      <w:r>
        <w:t xml:space="preserve"> </w:t>
      </w:r>
      <w:r>
        <w:t xml:space="preserve">Elaboración propia con el expediente de la sección F4.4.</w:t>
      </w:r>
    </w:p>
    <w:bookmarkEnd w:id="164"/>
    <w:bookmarkStart w:id="180" w:name="_Toc00900078"/>
    <w:p>
      <w:pPr>
        <w:pStyle w:val="Heading3"/>
      </w:pPr>
      <w:r>
        <w:t xml:space="preserve">F4.4.7 Plano Vester por escenario</w:t>
      </w:r>
    </w:p>
    <w:p>
      <w:pPr>
        <w:pStyle w:val="FirstParagraph"/>
      </w:pPr>
      <w:r>
        <w:t xml:space="preserve">Cada escenario tiene su plano con la dependencia en el eje X y la influencia en el eje Y. Las variables con idéntica posición comparten etiqueta. Los ejes usan el porcentaje del total de cada eje y los cortes por mediana. El motor genera el SVG editable con fondo transparente y la nota de que el escenario no está ratificado.</w:t>
      </w:r>
    </w:p>
    <w:p>
      <w:pPr>
        <w:pStyle w:val="BodyText"/>
      </w:pPr>
      <w:r>
        <w:rPr>
          <w:b/>
          <w:bCs/>
        </w:rPr>
        <w:t xml:space="preserve">S0 (S0_HISTORICO_CONDICIONADO).</w:t>
      </w:r>
      <w:r>
        <w:t xml:space="preserve"> </w:t>
      </w:r>
      <w:r>
        <w:t xml:space="preserve">Cortes: influencia 3 y dependencia 3 (mediana); media 3,533. Igualdad con un corte implica FRONTERA.</w:t>
      </w:r>
    </w:p>
    <w:p>
      <w:pPr>
        <w:pStyle w:val="BodyText"/>
      </w:pPr>
      <w:r>
        <w:t xml:space="preserve">La Figura F4.2 reproduce «Plano Vester del escenario S0: ledger de E3-P04 con 22 aristas».</w:t>
      </w:r>
    </w:p>
    <w:p>
      <w:pPr>
        <w:pStyle w:val="FiguraRotulo"/>
      </w:pPr>
      <w:bookmarkStart w:id="9475" w:name="rot_Figura_F4_2"/>
      <w:r>
        <w:rPr>
          <w:b/>
          <w:bCs/>
        </w:rPr>
        <w:t xml:space="preserve">Figura F4.2</w:t>
      </w:r>
      <w:bookmarkEnd w:id="9475"/>
    </w:p>
    <w:p>
      <w:pPr>
        <w:pStyle w:val="FiguraTitulo"/>
      </w:pPr>
      <w:r>
        <w:rPr>
          <w:i/>
          <w:iCs/>
        </w:rPr>
        <w:t xml:space="preserve">Plano Vester del escenario S0: ledger de E3-P04 con 22 aristas</w:t>
      </w:r>
    </w:p>
    <w:p>
      <w:pPr>
        <w:pStyle w:val="BodyText"/>
      </w:pPr>
      <w:r>
        <w:drawing>
          <wp:inline>
            <wp:extent cx="5579999" cy="3243598"/>
            <wp:effectExtent b="0" l="0" r="0" t="0"/>
            <wp:docPr descr="" title="" id="166" name="Picture"/>
            <a:graphic>
              <a:graphicData uri="http://schemas.openxmlformats.org/drawingml/2006/picture">
                <pic:pic>
                  <pic:nvPicPr>
                    <pic:cNvPr descr="/tmp/claude-0/-home-user-docs/ddf38714-2a7e-502b-92b4-1008e2832422/scratchpad/proy/figs/out/cF4_vester_s0.png" id="167" name="Picture"/>
                    <pic:cNvPicPr>
                      <a:picLocks noChangeArrowheads="1" noChangeAspect="1"/>
                    </pic:cNvPicPr>
                  </pic:nvPicPr>
                  <pic:blipFill>
                    <a:blip r:embed="rId165"/>
                    <a:stretch>
                      <a:fillRect/>
                    </a:stretch>
                  </pic:blipFill>
                  <pic:spPr bwMode="auto">
                    <a:xfrm>
                      <a:off x="0" y="0"/>
                      <a:ext cx="5579999" cy="324359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Eje vertical: influencia activa. Eje horizontal: dependencia pasiva. Las líneas discontinuas marcan las medianas de influencia y de dependencia.</w:t>
      </w:r>
    </w:p>
    <w:p>
      <w:pPr>
        <w:pStyle w:val="BodyText"/>
      </w:pPr>
      <w:r>
        <w:rPr>
          <w:b/>
          <w:bCs/>
        </w:rPr>
        <w:t xml:space="preserve">S1 (S1_PREVIO_DOC).</w:t>
      </w:r>
      <w:r>
        <w:t xml:space="preserve"> </w:t>
      </w:r>
      <w:r>
        <w:t xml:space="preserve">Cortes: influencia 4 y dependencia 5 (mediana); media 4,467. Igualdad con un corte implica FRONTERA.</w:t>
      </w:r>
    </w:p>
    <w:p>
      <w:pPr>
        <w:pStyle w:val="BodyText"/>
      </w:pPr>
      <w:r>
        <w:t xml:space="preserve">La Figura F4.3 reproduce «Plano Vester del escenario S1: iteración previa con 32 aristas».</w:t>
      </w:r>
    </w:p>
    <w:p>
      <w:pPr>
        <w:pStyle w:val="FiguraRotulo"/>
      </w:pPr>
      <w:bookmarkStart w:id="9476" w:name="rot_Figura_F4_3"/>
      <w:r>
        <w:rPr>
          <w:b/>
          <w:bCs/>
        </w:rPr>
        <w:t xml:space="preserve">Figura F4.3</w:t>
      </w:r>
      <w:bookmarkEnd w:id="9476"/>
    </w:p>
    <w:p>
      <w:pPr>
        <w:pStyle w:val="FiguraTitulo"/>
      </w:pPr>
      <w:r>
        <w:rPr>
          <w:i/>
          <w:iCs/>
        </w:rPr>
        <w:t xml:space="preserve">Plano Vester del escenario S1: iteración previa con 32 aristas</w:t>
      </w:r>
    </w:p>
    <w:p>
      <w:pPr>
        <w:pStyle w:val="BodyText"/>
      </w:pPr>
      <w:r>
        <w:drawing>
          <wp:inline>
            <wp:extent cx="5579999" cy="3557625"/>
            <wp:effectExtent b="0" l="0" r="0" t="0"/>
            <wp:docPr descr="" title="" id="169" name="Picture"/>
            <a:graphic>
              <a:graphicData uri="http://schemas.openxmlformats.org/drawingml/2006/picture">
                <pic:pic>
                  <pic:nvPicPr>
                    <pic:cNvPr descr="/tmp/claude-0/-home-user-docs/ddf38714-2a7e-502b-92b4-1008e2832422/scratchpad/proy/figs/out/cF4_vester_s1.png" id="170" name="Picture"/>
                    <pic:cNvPicPr>
                      <a:picLocks noChangeArrowheads="1" noChangeAspect="1"/>
                    </pic:cNvPicPr>
                  </pic:nvPicPr>
                  <pic:blipFill>
                    <a:blip r:embed="rId168"/>
                    <a:stretch>
                      <a:fillRect/>
                    </a:stretch>
                  </pic:blipFill>
                  <pic:spPr bwMode="auto">
                    <a:xfrm>
                      <a:off x="0" y="0"/>
                      <a:ext cx="5579999" cy="355762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Las líneas discontinuas marcan las medianas.</w:t>
      </w:r>
    </w:p>
    <w:p>
      <w:pPr>
        <w:pStyle w:val="BodyText"/>
      </w:pPr>
      <w:r>
        <w:rPr>
          <w:b/>
          <w:bCs/>
        </w:rPr>
        <w:t xml:space="preserve">S2 (S_TRABAJO_PROPUESTO).</w:t>
      </w:r>
      <w:r>
        <w:t xml:space="preserve"> </w:t>
      </w:r>
      <w:r>
        <w:t xml:space="preserve">Cortes: influencia 5 y dependencia 5 (mediana); media 5,2. Igualdad con un corte implica FRONTERA.</w:t>
      </w:r>
    </w:p>
    <w:p>
      <w:pPr>
        <w:pStyle w:val="BodyText"/>
      </w:pPr>
      <w:r>
        <w:t xml:space="preserve">La Figura F4.4 reproduce «Plano Vester del escenario S2: escenario de trabajo con 48 aristas».</w:t>
      </w:r>
    </w:p>
    <w:p>
      <w:pPr>
        <w:pStyle w:val="FiguraRotulo"/>
      </w:pPr>
      <w:bookmarkStart w:id="9477" w:name="rot_Figura_F4_4"/>
      <w:r>
        <w:rPr>
          <w:b/>
          <w:bCs/>
        </w:rPr>
        <w:t xml:space="preserve">Figura F4.4</w:t>
      </w:r>
      <w:bookmarkEnd w:id="9477"/>
    </w:p>
    <w:p>
      <w:pPr>
        <w:pStyle w:val="FiguraTitulo"/>
      </w:pPr>
      <w:r>
        <w:rPr>
          <w:i/>
          <w:iCs/>
        </w:rPr>
        <w:t xml:space="preserve">Plano Vester del escenario S2: escenario de trabajo con 48 aristas</w:t>
      </w:r>
    </w:p>
    <w:p>
      <w:pPr>
        <w:pStyle w:val="BodyText"/>
      </w:pPr>
      <w:r>
        <w:drawing>
          <wp:inline>
            <wp:extent cx="5579999" cy="3390686"/>
            <wp:effectExtent b="0" l="0" r="0" t="0"/>
            <wp:docPr descr="" title="" id="172" name="Picture"/>
            <a:graphic>
              <a:graphicData uri="http://schemas.openxmlformats.org/drawingml/2006/picture">
                <pic:pic>
                  <pic:nvPicPr>
                    <pic:cNvPr descr="/tmp/claude-0/-home-user-docs/ddf38714-2a7e-502b-92b4-1008e2832422/scratchpad/proy/figs/out/cF4_vester_s2.png" id="173" name="Picture"/>
                    <pic:cNvPicPr>
                      <a:picLocks noChangeArrowheads="1" noChangeAspect="1"/>
                    </pic:cNvPicPr>
                  </pic:nvPicPr>
                  <pic:blipFill>
                    <a:blip r:embed="rId171"/>
                    <a:stretch>
                      <a:fillRect/>
                    </a:stretch>
                  </pic:blipFill>
                  <pic:spPr bwMode="auto">
                    <a:xfrm>
                      <a:off x="0" y="0"/>
                      <a:ext cx="5579999" cy="339068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Escenario de trabajo del proyecto. Las líneas discontinuas marcan las medianas.</w:t>
      </w:r>
    </w:p>
    <w:p>
      <w:pPr>
        <w:pStyle w:val="BodyText"/>
      </w:pPr>
      <w:r>
        <w:rPr>
          <w:b/>
          <w:bCs/>
        </w:rPr>
        <w:t xml:space="preserve">S3 (S3_ENVOLVENTE_ADMISIBLE_BAJA).</w:t>
      </w:r>
      <w:r>
        <w:t xml:space="preserve"> </w:t>
      </w:r>
      <w:r>
        <w:t xml:space="preserve">Cortes: influencia 2 y dependencia 2 (mediana); media 1,933. Igualdad con un corte implica FRONTERA.</w:t>
      </w:r>
    </w:p>
    <w:p>
      <w:pPr>
        <w:pStyle w:val="BodyText"/>
      </w:pPr>
      <w:r>
        <w:t xml:space="preserve">La Figura F4.5 reproduce «Plano Vester del escenario S3: envolvente admisible baja con 21 aristas».</w:t>
      </w:r>
    </w:p>
    <w:p>
      <w:pPr>
        <w:pStyle w:val="FiguraRotulo"/>
      </w:pPr>
      <w:bookmarkStart w:id="9478" w:name="rot_Figura_F4_5"/>
      <w:r>
        <w:rPr>
          <w:b/>
          <w:bCs/>
        </w:rPr>
        <w:t xml:space="preserve">Figura F4.5</w:t>
      </w:r>
      <w:bookmarkEnd w:id="9478"/>
    </w:p>
    <w:p>
      <w:pPr>
        <w:pStyle w:val="FiguraTitulo"/>
      </w:pPr>
      <w:r>
        <w:rPr>
          <w:i/>
          <w:iCs/>
        </w:rPr>
        <w:t xml:space="preserve">Plano Vester del escenario S3: envolvente admisible baja con 21 aristas</w:t>
      </w:r>
    </w:p>
    <w:p>
      <w:pPr>
        <w:pStyle w:val="BodyText"/>
      </w:pPr>
      <w:r>
        <w:drawing>
          <wp:inline>
            <wp:extent cx="5579999" cy="3198950"/>
            <wp:effectExtent b="0" l="0" r="0" t="0"/>
            <wp:docPr descr="" title="" id="175" name="Picture"/>
            <a:graphic>
              <a:graphicData uri="http://schemas.openxmlformats.org/drawingml/2006/picture">
                <pic:pic>
                  <pic:nvPicPr>
                    <pic:cNvPr descr="/tmp/claude-0/-home-user-docs/ddf38714-2a7e-502b-92b4-1008e2832422/scratchpad/proy/figs/out/cF4_vester_s3.png" id="176" name="Picture"/>
                    <pic:cNvPicPr>
                      <a:picLocks noChangeArrowheads="1" noChangeAspect="1"/>
                    </pic:cNvPicPr>
                  </pic:nvPicPr>
                  <pic:blipFill>
                    <a:blip r:embed="rId174"/>
                    <a:stretch>
                      <a:fillRect/>
                    </a:stretch>
                  </pic:blipFill>
                  <pic:spPr bwMode="auto">
                    <a:xfrm>
                      <a:off x="0" y="0"/>
                      <a:ext cx="5579999" cy="319895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Cada dirección toma el mínimo de su conjunto admisible.</w:t>
      </w:r>
    </w:p>
    <w:p>
      <w:pPr>
        <w:pStyle w:val="BodyText"/>
      </w:pPr>
      <w:r>
        <w:rPr>
          <w:b/>
          <w:bCs/>
        </w:rPr>
        <w:t xml:space="preserve">S4 (S4_ENVOLVENTE_ADMISIBLE_ALTA).</w:t>
      </w:r>
      <w:r>
        <w:t xml:space="preserve"> </w:t>
      </w:r>
      <w:r>
        <w:t xml:space="preserve">Cortes: influencia 8 y dependencia 7 (mediana); media 7,867. Igualdad con un corte implica FRONTERA.</w:t>
      </w:r>
    </w:p>
    <w:p>
      <w:pPr>
        <w:pStyle w:val="BodyText"/>
      </w:pPr>
      <w:r>
        <w:t xml:space="preserve">La Figura F4.6 reproduce «Plano Vester del escenario S4: envolvente admisible alta con 60 aristas».</w:t>
      </w:r>
    </w:p>
    <w:p>
      <w:pPr>
        <w:pStyle w:val="FiguraRotulo"/>
      </w:pPr>
      <w:bookmarkStart w:id="9479" w:name="rot_Figura_F4_6"/>
      <w:r>
        <w:rPr>
          <w:b/>
          <w:bCs/>
        </w:rPr>
        <w:t xml:space="preserve">Figura F4.6</w:t>
      </w:r>
      <w:bookmarkEnd w:id="9479"/>
    </w:p>
    <w:p>
      <w:pPr>
        <w:pStyle w:val="FiguraTitulo"/>
      </w:pPr>
      <w:r>
        <w:rPr>
          <w:i/>
          <w:iCs/>
        </w:rPr>
        <w:t xml:space="preserve">Plano Vester del escenario S4: envolvente admisible alta con 60 aristas</w:t>
      </w:r>
    </w:p>
    <w:p>
      <w:pPr>
        <w:pStyle w:val="BodyText"/>
      </w:pPr>
      <w:r>
        <w:drawing>
          <wp:inline>
            <wp:extent cx="5579999" cy="3176497"/>
            <wp:effectExtent b="0" l="0" r="0" t="0"/>
            <wp:docPr descr="" title="" id="178" name="Picture"/>
            <a:graphic>
              <a:graphicData uri="http://schemas.openxmlformats.org/drawingml/2006/picture">
                <pic:pic>
                  <pic:nvPicPr>
                    <pic:cNvPr descr="/tmp/claude-0/-home-user-docs/ddf38714-2a7e-502b-92b4-1008e2832422/scratchpad/proy/figs/out/cF4_vester_s4.png" id="179" name="Picture"/>
                    <pic:cNvPicPr>
                      <a:picLocks noChangeArrowheads="1" noChangeAspect="1"/>
                    </pic:cNvPicPr>
                  </pic:nvPicPr>
                  <pic:blipFill>
                    <a:blip r:embed="rId177"/>
                    <a:stretch>
                      <a:fillRect/>
                    </a:stretch>
                  </pic:blipFill>
                  <pic:spPr bwMode="auto">
                    <a:xfrm>
                      <a:off x="0" y="0"/>
                      <a:ext cx="5579999" cy="317649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Cada dirección toma el máximo de su conjunto admisible.</w:t>
      </w:r>
    </w:p>
    <w:p>
      <w:pPr>
        <w:pStyle w:val="BodyText"/>
      </w:pPr>
      <w:r>
        <w:rPr>
          <w:b/>
          <w:bCs/>
        </w:rPr>
        <w:t xml:space="preserve">Nota de lectura.</w:t>
      </w:r>
      <w:r>
        <w:t xml:space="preserve"> </w:t>
      </w:r>
      <w:r>
        <w:t xml:space="preserve">Los cuadrantes clasifican posiciones estructurales. No acreditan causalidad ni prioridad de inversión. Los planos S3 y S4 son envolventes de sensibilidad.</w:t>
      </w:r>
    </w:p>
    <w:bookmarkEnd w:id="180"/>
    <w:bookmarkStart w:id="181" w:name="Xca6a6554b659dbc1d9edcaea42cf1f7d6680ef0"/>
    <w:p>
      <w:pPr>
        <w:pStyle w:val="Heading3"/>
      </w:pPr>
      <w:r>
        <w:t xml:space="preserve">F4.4.8 Clasificación directa por variable, rangos y contraste media-mediana</w:t>
      </w:r>
    </w:p>
    <w:p>
      <w:pPr>
        <w:pStyle w:val="FirstParagraph"/>
      </w:pPr>
      <w:r>
        <w:t xml:space="preserve">La clasificación usa enteros exactos. Una variable es CRITICA si supera ambos cortes. Es ACTIVA si supera el de influencia y no el de dependencia. Es REACTIVA en el caso inverso y AUTONOMA_RELATIVA si queda por debajo de ambos. Igualar un corte es FRONTERA.</w:t>
      </w:r>
    </w:p>
    <w:p>
      <w:pPr>
        <w:pStyle w:val="BodyText"/>
      </w:pPr>
      <w:r>
        <w:rPr>
          <w:b/>
          <w:bCs/>
        </w:rPr>
        <w:t xml:space="preserve">S0.</w:t>
      </w:r>
      <w:r>
        <w:t xml:space="preserve"> </w:t>
      </w:r>
      <w:r>
        <w:t xml:space="preserve">Mediana de I = 3; mediana de D = 3; media = 3,533. Clases por mediana: ACTIVA 4, AUTONOMA_RELATIVA 1, CRITICA 2, FRONTERA 5, REACTIVA 3. Cambian con la media: V02, V09, V10, V12, V13.</w:t>
      </w:r>
    </w:p>
    <w:p>
      <w:pPr>
        <w:pStyle w:val="BodyText"/>
      </w:pPr>
      <w:r>
        <w:t xml:space="preserve">La Tabla F4.29 reúne los datos de «Clasificación directa de las variables en el escenario S0».</w:t>
      </w:r>
    </w:p>
    <w:p>
      <w:pPr>
        <w:pStyle w:val="TablaRotulo"/>
      </w:pPr>
      <w:bookmarkStart w:id="9106" w:name="rot_Tabla_F4_29"/>
      <w:r>
        <w:rPr>
          <w:b/>
          <w:bCs/>
        </w:rPr>
        <w:t xml:space="preserve">Tabla F4.29</w:t>
      </w:r>
      <w:bookmarkEnd w:id="9106"/>
    </w:p>
    <w:p>
      <w:pPr>
        <w:pStyle w:val="TablaTitulo"/>
      </w:pPr>
      <w:r>
        <w:rPr>
          <w:i/>
          <w:iCs/>
        </w:rPr>
        <w:t xml:space="preserve">Clasificación directa de las variables en el escenario S0</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Variable</w:t>
            </w:r>
          </w:p>
        </w:tc>
        <w:tc>
          <w:tcPr>
            <w:shd w:val="clear" w:color="auto" w:fill="00B050"/>
          </w:tcPr>
          <w:p>
            <w:pPr>
              <w:pStyle w:val="Tabla8"/>
              <w:jc w:val="center"/>
            </w:pPr>
            <w:r>
              <w:rPr>
                <w:b/>
                <w:color w:val="FFFFFF"/>
              </w:rPr>
              <w:t xml:space="preserve">I</w:t>
            </w:r>
          </w:p>
        </w:tc>
        <w:tc>
          <w:tcPr>
            <w:shd w:val="clear" w:color="auto" w:fill="00B050"/>
          </w:tcPr>
          <w:p>
            <w:pPr>
              <w:pStyle w:val="Tabla8"/>
              <w:jc w:val="center"/>
            </w:pPr>
            <w:r>
              <w:rPr>
                <w:b/>
                <w:color w:val="FFFFFF"/>
              </w:rPr>
              <w:t xml:space="preserve">D</w:t>
            </w:r>
          </w:p>
        </w:tc>
        <w:tc>
          <w:tcPr>
            <w:shd w:val="clear" w:color="auto" w:fill="00B050"/>
          </w:tcPr>
          <w:p>
            <w:pPr>
              <w:pStyle w:val="Tabla8"/>
              <w:jc w:val="center"/>
            </w:pPr>
            <w:r>
              <w:rPr>
                <w:b/>
                <w:color w:val="FFFFFF"/>
              </w:rPr>
              <w:t xml:space="preserve">Rango I</w:t>
            </w:r>
          </w:p>
        </w:tc>
        <w:tc>
          <w:tcPr>
            <w:shd w:val="clear" w:color="auto" w:fill="00B050"/>
          </w:tcPr>
          <w:p>
            <w:pPr>
              <w:pStyle w:val="Tabla8"/>
              <w:jc w:val="center"/>
            </w:pPr>
            <w:r>
              <w:rPr>
                <w:b/>
                <w:color w:val="FFFFFF"/>
              </w:rPr>
              <w:t xml:space="preserve">Rango D</w:t>
            </w:r>
          </w:p>
        </w:tc>
        <w:tc>
          <w:tcPr>
            <w:shd w:val="clear" w:color="auto" w:fill="00B050"/>
          </w:tcPr>
          <w:p>
            <w:pPr>
              <w:pStyle w:val="Tabla8"/>
              <w:jc w:val="center"/>
            </w:pPr>
            <w:r>
              <w:rPr>
                <w:b/>
                <w:color w:val="FFFFFF"/>
              </w:rPr>
              <w:t xml:space="preserve">Clase por mediana</w:t>
            </w:r>
          </w:p>
        </w:tc>
        <w:tc>
          <w:tcPr>
            <w:shd w:val="clear" w:color="auto" w:fill="00B050"/>
          </w:tcPr>
          <w:p>
            <w:pPr>
              <w:pStyle w:val="Tabla8"/>
              <w:jc w:val="center"/>
            </w:pPr>
            <w:r>
              <w:rPr>
                <w:b/>
                <w:color w:val="FFFFFF"/>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2</w:t>
            </w:r>
          </w:p>
        </w:tc>
        <w:tc>
          <w:tcPr/>
          <w:p>
            <w:pPr>
              <w:pStyle w:val="Tabla8"/>
              <w:jc w:val="left"/>
            </w:pPr>
            <w:r>
              <w:t xml:space="preserve">6</w:t>
            </w:r>
          </w:p>
        </w:tc>
        <w:tc>
          <w:tcPr/>
          <w:p>
            <w:pPr>
              <w:pStyle w:val="Tabla8"/>
              <w:jc w:val="left"/>
            </w:pPr>
            <w:r>
              <w:t xml:space="preserve">13</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p>
            <w:pPr>
              <w:pStyle w:val="Tabla8"/>
              <w:jc w:val="left"/>
            </w:pPr>
            <w:r>
              <w:t xml:space="preserve">V02</w:t>
            </w:r>
          </w:p>
        </w:tc>
        <w:tc>
          <w:tcPr/>
          <w:p>
            <w:pPr>
              <w:pStyle w:val="Tabla8"/>
              <w:jc w:val="left"/>
            </w:pPr>
            <w:r>
              <w:t xml:space="preserve">Concentración PM10</w:t>
            </w:r>
          </w:p>
        </w:tc>
        <w:tc>
          <w:tcPr/>
          <w:p>
            <w:pPr>
              <w:pStyle w:val="Tabla8"/>
              <w:jc w:val="left"/>
            </w:pPr>
            <w:r>
              <w:t xml:space="preserve">3</w:t>
            </w:r>
          </w:p>
        </w:tc>
        <w:tc>
          <w:tcPr/>
          <w:p>
            <w:pPr>
              <w:pStyle w:val="Tabla8"/>
              <w:jc w:val="left"/>
            </w:pPr>
            <w:r>
              <w:t xml:space="preserve">6</w:t>
            </w:r>
          </w:p>
        </w:tc>
        <w:tc>
          <w:tcPr/>
          <w:p>
            <w:pPr>
              <w:pStyle w:val="Tabla8"/>
              <w:jc w:val="left"/>
            </w:pPr>
            <w:r>
              <w:t xml:space="preserve">9,5</w:t>
            </w:r>
          </w:p>
        </w:tc>
        <w:tc>
          <w:tcPr/>
          <w:p>
            <w:pPr>
              <w:pStyle w:val="Tabla8"/>
              <w:jc w:val="left"/>
            </w:pPr>
            <w:r>
              <w:t xml:space="preserve">3,5</w:t>
            </w:r>
          </w:p>
        </w:tc>
        <w:tc>
          <w:tcPr/>
          <w:p>
            <w:pPr>
              <w:pStyle w:val="Tabla8"/>
              <w:jc w:val="left"/>
            </w:pPr>
            <w:r>
              <w:t xml:space="preserve">FRONTERA</w:t>
            </w:r>
          </w:p>
        </w:tc>
        <w:tc>
          <w:tcPr/>
          <w:p>
            <w:pPr>
              <w:pStyle w:val="Tabla8"/>
              <w:jc w:val="left"/>
            </w:pPr>
            <w:r>
              <w:t xml:space="preserve">REACTIVA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5</w:t>
            </w:r>
          </w:p>
        </w:tc>
        <w:tc>
          <w:tcPr/>
          <w:p>
            <w:pPr>
              <w:pStyle w:val="Tabla8"/>
              <w:jc w:val="left"/>
            </w:pPr>
            <w:r>
              <w:t xml:space="preserve">0</w:t>
            </w:r>
          </w:p>
        </w:tc>
        <w:tc>
          <w:tcPr/>
          <w:p>
            <w:pPr>
              <w:pStyle w:val="Tabla8"/>
              <w:jc w:val="left"/>
            </w:pPr>
            <w:r>
              <w:t xml:space="preserve">4</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V04</w:t>
            </w:r>
          </w:p>
        </w:tc>
        <w:tc>
          <w:tcPr/>
          <w:p>
            <w:pPr>
              <w:pStyle w:val="Tabla8"/>
              <w:jc w:val="left"/>
            </w:pPr>
            <w:r>
              <w:t xml:space="preserve">Velocidad del viento</w:t>
            </w:r>
          </w:p>
        </w:tc>
        <w:tc>
          <w:tcPr/>
          <w:p>
            <w:pPr>
              <w:pStyle w:val="Tabla8"/>
              <w:jc w:val="left"/>
            </w:pPr>
            <w:r>
              <w:t xml:space="preserve">4</w:t>
            </w:r>
          </w:p>
        </w:tc>
        <w:tc>
          <w:tcPr/>
          <w:p>
            <w:pPr>
              <w:pStyle w:val="Tabla8"/>
              <w:jc w:val="left"/>
            </w:pPr>
            <w:r>
              <w:t xml:space="preserve">0</w:t>
            </w:r>
          </w:p>
        </w:tc>
        <w:tc>
          <w:tcPr/>
          <w:p>
            <w:pPr>
              <w:pStyle w:val="Tabla8"/>
              <w:jc w:val="left"/>
            </w:pPr>
            <w:r>
              <w:t xml:space="preserve">6,5</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6</w:t>
            </w:r>
          </w:p>
        </w:tc>
        <w:tc>
          <w:tcPr/>
          <w:p>
            <w:pPr>
              <w:pStyle w:val="Tabla8"/>
              <w:jc w:val="left"/>
            </w:pPr>
            <w:r>
              <w:t xml:space="preserve">0</w:t>
            </w:r>
          </w:p>
        </w:tc>
        <w:tc>
          <w:tcPr/>
          <w:p>
            <w:pPr>
              <w:pStyle w:val="Tabla8"/>
              <w:jc w:val="left"/>
            </w:pPr>
            <w:r>
              <w:t xml:space="preserve">1,5</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V06</w:t>
            </w:r>
          </w:p>
        </w:tc>
        <w:tc>
          <w:tcPr/>
          <w:p>
            <w:pPr>
              <w:pStyle w:val="Tabla8"/>
              <w:jc w:val="left"/>
            </w:pPr>
            <w:r>
              <w:t xml:space="preserve">Error de medición IoT</w:t>
            </w:r>
          </w:p>
        </w:tc>
        <w:tc>
          <w:tcPr/>
          <w:p>
            <w:pPr>
              <w:pStyle w:val="Tabla8"/>
              <w:jc w:val="left"/>
            </w:pPr>
            <w:r>
              <w:t xml:space="preserve">6</w:t>
            </w:r>
          </w:p>
        </w:tc>
        <w:tc>
          <w:tcPr/>
          <w:p>
            <w:pPr>
              <w:pStyle w:val="Tabla8"/>
              <w:jc w:val="left"/>
            </w:pPr>
            <w:r>
              <w:t xml:space="preserve">13</w:t>
            </w:r>
          </w:p>
        </w:tc>
        <w:tc>
          <w:tcPr/>
          <w:p>
            <w:pPr>
              <w:pStyle w:val="Tabla8"/>
              <w:jc w:val="left"/>
            </w:pPr>
            <w:r>
              <w:t xml:space="preserve">1,5</w:t>
            </w:r>
          </w:p>
        </w:tc>
        <w:tc>
          <w:tcPr/>
          <w:p>
            <w:pPr>
              <w:pStyle w:val="Tabla8"/>
              <w:jc w:val="left"/>
            </w:pPr>
            <w:r>
              <w:t xml:space="preserve">1</w:t>
            </w:r>
          </w:p>
        </w:tc>
        <w:tc>
          <w:tcPr/>
          <w:p>
            <w:pPr>
              <w:pStyle w:val="Tabla8"/>
              <w:jc w:val="left"/>
            </w:pPr>
            <w:r>
              <w:t xml:space="preserve">CRITICA</w:t>
            </w:r>
          </w:p>
        </w:tc>
        <w:tc>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4</w:t>
            </w:r>
          </w:p>
        </w:tc>
        <w:tc>
          <w:tcPr/>
          <w:p>
            <w:pPr>
              <w:pStyle w:val="Tabla8"/>
              <w:jc w:val="left"/>
            </w:pPr>
            <w:r>
              <w:t xml:space="preserve">0</w:t>
            </w:r>
          </w:p>
        </w:tc>
        <w:tc>
          <w:tcPr/>
          <w:p>
            <w:pPr>
              <w:pStyle w:val="Tabla8"/>
              <w:jc w:val="left"/>
            </w:pPr>
            <w:r>
              <w:t xml:space="preserve">6,5</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V08</w:t>
            </w:r>
          </w:p>
        </w:tc>
        <w:tc>
          <w:tcPr/>
          <w:p>
            <w:pPr>
              <w:pStyle w:val="Tabla8"/>
              <w:jc w:val="left"/>
            </w:pPr>
            <w:r>
              <w:t xml:space="preserve">Latencia de datos</w:t>
            </w:r>
          </w:p>
        </w:tc>
        <w:tc>
          <w:tcPr/>
          <w:p>
            <w:pPr>
              <w:pStyle w:val="Tabla8"/>
              <w:jc w:val="left"/>
            </w:pPr>
            <w:r>
              <w:t xml:space="preserve">2</w:t>
            </w:r>
          </w:p>
        </w:tc>
        <w:tc>
          <w:tcPr/>
          <w:p>
            <w:pPr>
              <w:pStyle w:val="Tabla8"/>
              <w:jc w:val="left"/>
            </w:pPr>
            <w:r>
              <w:t xml:space="preserve">0</w:t>
            </w:r>
          </w:p>
        </w:tc>
        <w:tc>
          <w:tcPr/>
          <w:p>
            <w:pPr>
              <w:pStyle w:val="Tabla8"/>
              <w:jc w:val="left"/>
            </w:pPr>
            <w:r>
              <w:t xml:space="preserve">13</w:t>
            </w:r>
          </w:p>
        </w:tc>
        <w:tc>
          <w:tcPr/>
          <w:p>
            <w:pPr>
              <w:pStyle w:val="Tabla8"/>
              <w:jc w:val="left"/>
            </w:pPr>
            <w:r>
              <w:t xml:space="preserve">13</w:t>
            </w:r>
          </w:p>
        </w:tc>
        <w:tc>
          <w:tcPr/>
          <w:p>
            <w:pPr>
              <w:pStyle w:val="Tabla8"/>
              <w:jc w:val="left"/>
            </w:pPr>
            <w:r>
              <w:t xml:space="preserve">AUTONOMA_RELATIVA</w:t>
            </w:r>
          </w:p>
        </w:tc>
        <w:tc>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3</w:t>
            </w:r>
          </w:p>
        </w:tc>
        <w:tc>
          <w:tcPr/>
          <w:p>
            <w:pPr>
              <w:pStyle w:val="Tabla8"/>
              <w:jc w:val="left"/>
            </w:pPr>
            <w:r>
              <w:t xml:space="preserve">1</w:t>
            </w:r>
          </w:p>
        </w:tc>
        <w:tc>
          <w:tcPr/>
          <w:p>
            <w:pPr>
              <w:pStyle w:val="Tabla8"/>
              <w:jc w:val="left"/>
            </w:pPr>
            <w:r>
              <w:t xml:space="preserve">9,5</w:t>
            </w:r>
          </w:p>
        </w:tc>
        <w:tc>
          <w:tcPr/>
          <w:p>
            <w:pPr>
              <w:pStyle w:val="Tabla8"/>
              <w:jc w:val="left"/>
            </w:pPr>
            <w:r>
              <w:t xml:space="preserve">10</w:t>
            </w:r>
          </w:p>
        </w:tc>
        <w:tc>
          <w:tcPr/>
          <w:p>
            <w:pPr>
              <w:pStyle w:val="Tabla8"/>
              <w:jc w:val="left"/>
            </w:pPr>
            <w:r>
              <w:t xml:space="preserve">FRONTERA</w:t>
            </w:r>
          </w:p>
        </w:tc>
        <w:tc>
          <w:tcPr/>
          <w:p>
            <w:pPr>
              <w:pStyle w:val="Tabla8"/>
              <w:jc w:val="left"/>
            </w:pPr>
            <w:r>
              <w:t xml:space="preserve">AUTONOMA_RELATIVA</w:t>
            </w:r>
          </w:p>
        </w:tc>
      </w:tr>
      <w:tr>
        <w:trPr>
          <w:cantSplit/>
        </w:trPr>
        <w:tc>
          <w:tcPr/>
          <w:p>
            <w:pPr>
              <w:pStyle w:val="Tabla8"/>
              <w:jc w:val="left"/>
            </w:pPr>
            <w:r>
              <w:t xml:space="preserve">V10</w:t>
            </w:r>
          </w:p>
        </w:tc>
        <w:tc>
          <w:tcPr/>
          <w:p>
            <w:pPr>
              <w:pStyle w:val="Tabla8"/>
              <w:jc w:val="left"/>
            </w:pPr>
            <w:r>
              <w:t xml:space="preserve">Densidad del gemelo</w:t>
            </w:r>
          </w:p>
        </w:tc>
        <w:tc>
          <w:tcPr/>
          <w:p>
            <w:pPr>
              <w:pStyle w:val="Tabla8"/>
              <w:jc w:val="left"/>
            </w:pPr>
            <w:r>
              <w:t xml:space="preserve">5</w:t>
            </w:r>
          </w:p>
        </w:tc>
        <w:tc>
          <w:tcPr/>
          <w:p>
            <w:pPr>
              <w:pStyle w:val="Tabla8"/>
              <w:jc w:val="left"/>
            </w:pPr>
            <w:r>
              <w:t xml:space="preserve">3</w:t>
            </w:r>
          </w:p>
        </w:tc>
        <w:tc>
          <w:tcPr/>
          <w:p>
            <w:pPr>
              <w:pStyle w:val="Tabla8"/>
              <w:jc w:val="left"/>
            </w:pPr>
            <w:r>
              <w:t xml:space="preserve">4</w:t>
            </w:r>
          </w:p>
        </w:tc>
        <w:tc>
          <w:tcPr/>
          <w:p>
            <w:pPr>
              <w:pStyle w:val="Tabla8"/>
              <w:jc w:val="left"/>
            </w:pPr>
            <w:r>
              <w:t xml:space="preserve">8</w:t>
            </w:r>
          </w:p>
        </w:tc>
        <w:tc>
          <w:tcPr/>
          <w:p>
            <w:pPr>
              <w:pStyle w:val="Tabla8"/>
              <w:jc w:val="left"/>
            </w:pPr>
            <w:r>
              <w:t xml:space="preserve">FRONTERA</w:t>
            </w:r>
          </w:p>
        </w:tc>
        <w:tc>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6</w:t>
            </w:r>
          </w:p>
        </w:tc>
        <w:tc>
          <w:tcPr/>
          <w:p>
            <w:pPr>
              <w:pStyle w:val="Tabla8"/>
              <w:jc w:val="left"/>
            </w:pPr>
            <w:r>
              <w:t xml:space="preserve">4</w:t>
            </w:r>
          </w:p>
        </w:tc>
        <w:tc>
          <w:tcPr/>
          <w:p>
            <w:pPr>
              <w:pStyle w:val="Tabla8"/>
              <w:jc w:val="left"/>
            </w:pPr>
            <w:r>
              <w:t xml:space="preserve">3,5</w:t>
            </w:r>
          </w:p>
        </w:tc>
        <w:tc>
          <w:tcPr/>
          <w:p>
            <w:pPr>
              <w:pStyle w:val="Tabla8"/>
              <w:jc w:val="left"/>
            </w:pPr>
            <w:r>
              <w:t xml:space="preserve">CRITICA</w:t>
            </w:r>
          </w:p>
        </w:tc>
        <w:tc>
          <w:tcPr/>
          <w:p>
            <w:pPr>
              <w:pStyle w:val="Tabla8"/>
              <w:jc w:val="left"/>
            </w:pPr>
            <w:r>
              <w:t xml:space="preserve">CRITICA</w:t>
            </w:r>
          </w:p>
        </w:tc>
      </w:tr>
      <w:tr>
        <w:trPr>
          <w:cantSplit/>
        </w:trPr>
        <w:tc>
          <w:tcPr/>
          <w:p>
            <w:pPr>
              <w:pStyle w:val="Tabla8"/>
              <w:jc w:val="left"/>
            </w:pPr>
            <w:r>
              <w:t xml:space="preserve">V12</w:t>
            </w:r>
          </w:p>
        </w:tc>
        <w:tc>
          <w:tcPr/>
          <w:p>
            <w:pPr>
              <w:pStyle w:val="Tabla8"/>
              <w:jc w:val="left"/>
            </w:pPr>
            <w:r>
              <w:t xml:space="preserve">Falsas alarmas</w:t>
            </w:r>
          </w:p>
        </w:tc>
        <w:tc>
          <w:tcPr/>
          <w:p>
            <w:pPr>
              <w:pStyle w:val="Tabla8"/>
              <w:jc w:val="left"/>
            </w:pPr>
            <w:r>
              <w:t xml:space="preserve">3</w:t>
            </w:r>
          </w:p>
        </w:tc>
        <w:tc>
          <w:tcPr/>
          <w:p>
            <w:pPr>
              <w:pStyle w:val="Tabla8"/>
              <w:jc w:val="left"/>
            </w:pPr>
            <w:r>
              <w:t xml:space="preserve">5</w:t>
            </w:r>
          </w:p>
        </w:tc>
        <w:tc>
          <w:tcPr/>
          <w:p>
            <w:pPr>
              <w:pStyle w:val="Tabla8"/>
              <w:jc w:val="left"/>
            </w:pPr>
            <w:r>
              <w:t xml:space="preserve">9,5</w:t>
            </w:r>
          </w:p>
        </w:tc>
        <w:tc>
          <w:tcPr/>
          <w:p>
            <w:pPr>
              <w:pStyle w:val="Tabla8"/>
              <w:jc w:val="left"/>
            </w:pPr>
            <w:r>
              <w:t xml:space="preserve">6,5</w:t>
            </w:r>
          </w:p>
        </w:tc>
        <w:tc>
          <w:tcPr/>
          <w:p>
            <w:pPr>
              <w:pStyle w:val="Tabla8"/>
              <w:jc w:val="left"/>
            </w:pPr>
            <w:r>
              <w:t xml:space="preserve">FRONTERA</w:t>
            </w:r>
          </w:p>
        </w:tc>
        <w:tc>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2</w:t>
            </w:r>
          </w:p>
        </w:tc>
        <w:tc>
          <w:tcPr/>
          <w:p>
            <w:pPr>
              <w:pStyle w:val="Tabla8"/>
              <w:jc w:val="left"/>
            </w:pPr>
            <w:r>
              <w:t xml:space="preserve">9,5</w:t>
            </w:r>
          </w:p>
        </w:tc>
        <w:tc>
          <w:tcPr/>
          <w:p>
            <w:pPr>
              <w:pStyle w:val="Tabla8"/>
              <w:jc w:val="left"/>
            </w:pPr>
            <w:r>
              <w:t xml:space="preserve">9</w:t>
            </w:r>
          </w:p>
        </w:tc>
        <w:tc>
          <w:tcPr/>
          <w:p>
            <w:pPr>
              <w:pStyle w:val="Tabla8"/>
              <w:jc w:val="left"/>
            </w:pPr>
            <w:r>
              <w:t xml:space="preserve">FRONTERA</w:t>
            </w:r>
          </w:p>
        </w:tc>
        <w:tc>
          <w:tcPr/>
          <w:p>
            <w:pPr>
              <w:pStyle w:val="Tabla8"/>
              <w:jc w:val="left"/>
            </w:pPr>
            <w:r>
              <w:t xml:space="preserve">AUTONOMA_RELATIVA</w:t>
            </w:r>
          </w:p>
        </w:tc>
      </w:tr>
      <w:tr>
        <w:trPr>
          <w:cantSplit/>
        </w:trPr>
        <w:tc>
          <w:tcPr/>
          <w:p>
            <w:pPr>
              <w:pStyle w:val="Tabla8"/>
              <w:jc w:val="left"/>
            </w:pPr>
            <w:r>
              <w:t xml:space="preserve">V14</w:t>
            </w:r>
          </w:p>
        </w:tc>
        <w:tc>
          <w:tcPr/>
          <w:p>
            <w:pPr>
              <w:pStyle w:val="Tabla8"/>
              <w:jc w:val="left"/>
            </w:pPr>
            <w:r>
              <w:t xml:space="preserve">Personas alertadas</w:t>
            </w:r>
          </w:p>
        </w:tc>
        <w:tc>
          <w:tcPr/>
          <w:p>
            <w:pPr>
              <w:pStyle w:val="Tabla8"/>
              <w:jc w:val="left"/>
            </w:pPr>
            <w:r>
              <w:t xml:space="preserve">2</w:t>
            </w:r>
          </w:p>
        </w:tc>
        <w:tc>
          <w:tcPr/>
          <w:p>
            <w:pPr>
              <w:pStyle w:val="Tabla8"/>
              <w:jc w:val="left"/>
            </w:pPr>
            <w:r>
              <w:t xml:space="preserve">6</w:t>
            </w:r>
          </w:p>
        </w:tc>
        <w:tc>
          <w:tcPr/>
          <w:p>
            <w:pPr>
              <w:pStyle w:val="Tabla8"/>
              <w:jc w:val="left"/>
            </w:pPr>
            <w:r>
              <w:t xml:space="preserve">13</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0</w:t>
            </w:r>
          </w:p>
        </w:tc>
        <w:tc>
          <w:tcPr/>
          <w:p>
            <w:pPr>
              <w:pStyle w:val="Tabla8"/>
              <w:jc w:val="left"/>
            </w:pPr>
            <w:r>
              <w:t xml:space="preserve">5</w:t>
            </w:r>
          </w:p>
        </w:tc>
        <w:tc>
          <w:tcPr/>
          <w:p>
            <w:pPr>
              <w:pStyle w:val="Tabla8"/>
              <w:jc w:val="left"/>
            </w:pPr>
            <w:r>
              <w:t xml:space="preserve">15</w:t>
            </w:r>
          </w:p>
        </w:tc>
        <w:tc>
          <w:tcPr/>
          <w:p>
            <w:pPr>
              <w:pStyle w:val="Tabla8"/>
              <w:jc w:val="left"/>
            </w:pPr>
            <w:r>
              <w:t xml:space="preserve">6,5</w:t>
            </w:r>
          </w:p>
        </w:tc>
        <w:tc>
          <w:tcPr/>
          <w:p>
            <w:pPr>
              <w:pStyle w:val="Tabla8"/>
              <w:jc w:val="left"/>
            </w:pPr>
            <w:r>
              <w:t xml:space="preserve">REACTIVA</w:t>
            </w:r>
          </w:p>
        </w:tc>
        <w:tc>
          <w:tcPr/>
          <w:p>
            <w:pPr>
              <w:pStyle w:val="Tabla8"/>
              <w:jc w:val="left"/>
            </w:pPr>
            <w:r>
              <w:t xml:space="preserve">REACTIVA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S1.</w:t>
      </w:r>
      <w:r>
        <w:t xml:space="preserve"> </w:t>
      </w:r>
      <w:r>
        <w:t xml:space="preserve">Mediana de I = 4; mediana de D = 5; media = 4,467. Clases por mediana: ACTIVA 5, AUTONOMA_RELATIVA 1, CRITICA 2, FRONTERA 4, REACTIVA 3. Cambian con la media: V02, V08, V12, V15.</w:t>
      </w:r>
    </w:p>
    <w:p>
      <w:pPr>
        <w:pStyle w:val="BodyText"/>
      </w:pPr>
      <w:r>
        <w:t xml:space="preserve">La Tabla F4.30 reúne los datos de «Clasificación directa de las variables en el escenario S1».</w:t>
      </w:r>
    </w:p>
    <w:p>
      <w:pPr>
        <w:pStyle w:val="TablaRotulo"/>
      </w:pPr>
      <w:bookmarkStart w:id="9107" w:name="rot_Tabla_F4_30"/>
      <w:r>
        <w:rPr>
          <w:b/>
          <w:bCs/>
        </w:rPr>
        <w:t xml:space="preserve">Tabla F4.30</w:t>
      </w:r>
      <w:bookmarkEnd w:id="9107"/>
    </w:p>
    <w:p>
      <w:pPr>
        <w:pStyle w:val="TablaTitulo"/>
      </w:pPr>
      <w:r>
        <w:rPr>
          <w:i/>
          <w:iCs/>
        </w:rPr>
        <w:t xml:space="preserve">Clasificación directa de las variables en el escenario S1</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Variable</w:t>
            </w:r>
          </w:p>
        </w:tc>
        <w:tc>
          <w:tcPr>
            <w:shd w:val="clear" w:color="auto" w:fill="00B050"/>
          </w:tcPr>
          <w:p>
            <w:pPr>
              <w:pStyle w:val="Tabla8"/>
              <w:jc w:val="center"/>
            </w:pPr>
            <w:r>
              <w:rPr>
                <w:b/>
                <w:color w:val="FFFFFF"/>
              </w:rPr>
              <w:t xml:space="preserve">I</w:t>
            </w:r>
          </w:p>
        </w:tc>
        <w:tc>
          <w:tcPr>
            <w:shd w:val="clear" w:color="auto" w:fill="00B050"/>
          </w:tcPr>
          <w:p>
            <w:pPr>
              <w:pStyle w:val="Tabla8"/>
              <w:jc w:val="center"/>
            </w:pPr>
            <w:r>
              <w:rPr>
                <w:b/>
                <w:color w:val="FFFFFF"/>
              </w:rPr>
              <w:t xml:space="preserve">D</w:t>
            </w:r>
          </w:p>
        </w:tc>
        <w:tc>
          <w:tcPr>
            <w:shd w:val="clear" w:color="auto" w:fill="00B050"/>
          </w:tcPr>
          <w:p>
            <w:pPr>
              <w:pStyle w:val="Tabla8"/>
              <w:jc w:val="center"/>
            </w:pPr>
            <w:r>
              <w:rPr>
                <w:b/>
                <w:color w:val="FFFFFF"/>
              </w:rPr>
              <w:t xml:space="preserve">Rango I</w:t>
            </w:r>
          </w:p>
        </w:tc>
        <w:tc>
          <w:tcPr>
            <w:shd w:val="clear" w:color="auto" w:fill="00B050"/>
          </w:tcPr>
          <w:p>
            <w:pPr>
              <w:pStyle w:val="Tabla8"/>
              <w:jc w:val="center"/>
            </w:pPr>
            <w:r>
              <w:rPr>
                <w:b/>
                <w:color w:val="FFFFFF"/>
              </w:rPr>
              <w:t xml:space="preserve">Rango D</w:t>
            </w:r>
          </w:p>
        </w:tc>
        <w:tc>
          <w:tcPr>
            <w:shd w:val="clear" w:color="auto" w:fill="00B050"/>
          </w:tcPr>
          <w:p>
            <w:pPr>
              <w:pStyle w:val="Tabla8"/>
              <w:jc w:val="center"/>
            </w:pPr>
            <w:r>
              <w:rPr>
                <w:b/>
                <w:color w:val="FFFFFF"/>
              </w:rPr>
              <w:t xml:space="preserve">Clase por mediana</w:t>
            </w:r>
          </w:p>
        </w:tc>
        <w:tc>
          <w:tcPr>
            <w:shd w:val="clear" w:color="auto" w:fill="00B050"/>
          </w:tcPr>
          <w:p>
            <w:pPr>
              <w:pStyle w:val="Tabla8"/>
              <w:jc w:val="center"/>
            </w:pPr>
            <w:r>
              <w:rPr>
                <w:b/>
                <w:color w:val="FFFFFF"/>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3</w:t>
            </w:r>
          </w:p>
        </w:tc>
        <w:tc>
          <w:tcPr/>
          <w:p>
            <w:pPr>
              <w:pStyle w:val="Tabla8"/>
              <w:jc w:val="left"/>
            </w:pPr>
            <w:r>
              <w:t xml:space="preserve">6</w:t>
            </w:r>
          </w:p>
        </w:tc>
        <w:tc>
          <w:tcPr/>
          <w:p>
            <w:pPr>
              <w:pStyle w:val="Tabla8"/>
              <w:jc w:val="left"/>
            </w:pPr>
            <w:r>
              <w:t xml:space="preserve">13</w:t>
            </w:r>
          </w:p>
        </w:tc>
        <w:tc>
          <w:tcPr/>
          <w:p>
            <w:pPr>
              <w:pStyle w:val="Tabla8"/>
              <w:jc w:val="left"/>
            </w:pPr>
            <w:r>
              <w:t xml:space="preserve">5</w:t>
            </w:r>
          </w:p>
        </w:tc>
        <w:tc>
          <w:tcPr/>
          <w:p>
            <w:pPr>
              <w:pStyle w:val="Tabla8"/>
              <w:jc w:val="left"/>
            </w:pPr>
            <w:r>
              <w:t xml:space="preserve">REACTIVA</w:t>
            </w:r>
          </w:p>
        </w:tc>
        <w:tc>
          <w:tcPr/>
          <w:p>
            <w:pPr>
              <w:pStyle w:val="Tabla8"/>
              <w:jc w:val="left"/>
            </w:pPr>
            <w:r>
              <w:t xml:space="preserve">REACTIVA</w:t>
            </w:r>
          </w:p>
        </w:tc>
      </w:tr>
      <w:tr>
        <w:trPr>
          <w:cantSplit/>
        </w:trPr>
        <w:tc>
          <w:tcPr/>
          <w:p>
            <w:pPr>
              <w:pStyle w:val="Tabla8"/>
              <w:jc w:val="left"/>
            </w:pPr>
            <w:r>
              <w:t xml:space="preserve">V02</w:t>
            </w:r>
          </w:p>
        </w:tc>
        <w:tc>
          <w:tcPr/>
          <w:p>
            <w:pPr>
              <w:pStyle w:val="Tabla8"/>
              <w:jc w:val="left"/>
            </w:pPr>
            <w:r>
              <w:t xml:space="preserve">Concentración PM10</w:t>
            </w:r>
          </w:p>
        </w:tc>
        <w:tc>
          <w:tcPr/>
          <w:p>
            <w:pPr>
              <w:pStyle w:val="Tabla8"/>
              <w:jc w:val="left"/>
            </w:pPr>
            <w:r>
              <w:t xml:space="preserve">4</w:t>
            </w:r>
          </w:p>
        </w:tc>
        <w:tc>
          <w:tcPr/>
          <w:p>
            <w:pPr>
              <w:pStyle w:val="Tabla8"/>
              <w:jc w:val="left"/>
            </w:pPr>
            <w:r>
              <w:t xml:space="preserve">6</w:t>
            </w:r>
          </w:p>
        </w:tc>
        <w:tc>
          <w:tcPr/>
          <w:p>
            <w:pPr>
              <w:pStyle w:val="Tabla8"/>
              <w:jc w:val="left"/>
            </w:pPr>
            <w:r>
              <w:t xml:space="preserve">9,5</w:t>
            </w:r>
          </w:p>
        </w:tc>
        <w:tc>
          <w:tcPr/>
          <w:p>
            <w:pPr>
              <w:pStyle w:val="Tabla8"/>
              <w:jc w:val="left"/>
            </w:pPr>
            <w:r>
              <w:t xml:space="preserve">5</w:t>
            </w:r>
          </w:p>
        </w:tc>
        <w:tc>
          <w:tcPr/>
          <w:p>
            <w:pPr>
              <w:pStyle w:val="Tabla8"/>
              <w:jc w:val="left"/>
            </w:pPr>
            <w:r>
              <w:t xml:space="preserve">FRONTERA</w:t>
            </w:r>
          </w:p>
        </w:tc>
        <w:tc>
          <w:tcPr/>
          <w:p>
            <w:pPr>
              <w:pStyle w:val="Tabla8"/>
              <w:jc w:val="left"/>
            </w:pPr>
            <w:r>
              <w:t xml:space="preserve">REACTIVA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6</w:t>
            </w:r>
          </w:p>
        </w:tc>
        <w:tc>
          <w:tcPr/>
          <w:p>
            <w:pPr>
              <w:pStyle w:val="Tabla8"/>
              <w:jc w:val="left"/>
            </w:pPr>
            <w:r>
              <w:t xml:space="preserve">0</w:t>
            </w:r>
          </w:p>
        </w:tc>
        <w:tc>
          <w:tcPr/>
          <w:p>
            <w:pPr>
              <w:pStyle w:val="Tabla8"/>
              <w:jc w:val="left"/>
            </w:pPr>
            <w:r>
              <w:t xml:space="preserve">2,5</w:t>
            </w:r>
          </w:p>
        </w:tc>
        <w:tc>
          <w:tcPr/>
          <w:p>
            <w:pPr>
              <w:pStyle w:val="Tabla8"/>
              <w:jc w:val="left"/>
            </w:pPr>
            <w:r>
              <w:t xml:space="preserve">14</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V04</w:t>
            </w:r>
          </w:p>
        </w:tc>
        <w:tc>
          <w:tcPr/>
          <w:p>
            <w:pPr>
              <w:pStyle w:val="Tabla8"/>
              <w:jc w:val="left"/>
            </w:pPr>
            <w:r>
              <w:t xml:space="preserve">Velocidad del viento</w:t>
            </w:r>
          </w:p>
        </w:tc>
        <w:tc>
          <w:tcPr/>
          <w:p>
            <w:pPr>
              <w:pStyle w:val="Tabla8"/>
              <w:jc w:val="left"/>
            </w:pPr>
            <w:r>
              <w:t xml:space="preserve">5</w:t>
            </w:r>
          </w:p>
        </w:tc>
        <w:tc>
          <w:tcPr/>
          <w:p>
            <w:pPr>
              <w:pStyle w:val="Tabla8"/>
              <w:jc w:val="left"/>
            </w:pPr>
            <w:r>
              <w:t xml:space="preserve">0</w:t>
            </w:r>
          </w:p>
        </w:tc>
        <w:tc>
          <w:tcPr/>
          <w:p>
            <w:pPr>
              <w:pStyle w:val="Tabla8"/>
              <w:jc w:val="left"/>
            </w:pPr>
            <w:r>
              <w:t xml:space="preserve">5,5</w:t>
            </w:r>
          </w:p>
        </w:tc>
        <w:tc>
          <w:tcPr/>
          <w:p>
            <w:pPr>
              <w:pStyle w:val="Tabla8"/>
              <w:jc w:val="left"/>
            </w:pPr>
            <w:r>
              <w:t xml:space="preserve">14</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8</w:t>
            </w:r>
          </w:p>
        </w:tc>
        <w:tc>
          <w:tcPr/>
          <w:p>
            <w:pPr>
              <w:pStyle w:val="Tabla8"/>
              <w:jc w:val="left"/>
            </w:pPr>
            <w:r>
              <w:t xml:space="preserve">0</w:t>
            </w:r>
          </w:p>
        </w:tc>
        <w:tc>
          <w:tcPr/>
          <w:p>
            <w:pPr>
              <w:pStyle w:val="Tabla8"/>
              <w:jc w:val="left"/>
            </w:pPr>
            <w:r>
              <w:t xml:space="preserve">1</w:t>
            </w:r>
          </w:p>
        </w:tc>
        <w:tc>
          <w:tcPr/>
          <w:p>
            <w:pPr>
              <w:pStyle w:val="Tabla8"/>
              <w:jc w:val="left"/>
            </w:pPr>
            <w:r>
              <w:t xml:space="preserve">14</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V06</w:t>
            </w:r>
          </w:p>
        </w:tc>
        <w:tc>
          <w:tcPr/>
          <w:p>
            <w:pPr>
              <w:pStyle w:val="Tabla8"/>
              <w:jc w:val="left"/>
            </w:pPr>
            <w:r>
              <w:t xml:space="preserve">Error de medición IoT</w:t>
            </w:r>
          </w:p>
        </w:tc>
        <w:tc>
          <w:tcPr/>
          <w:p>
            <w:pPr>
              <w:pStyle w:val="Tabla8"/>
              <w:jc w:val="left"/>
            </w:pPr>
            <w:r>
              <w:t xml:space="preserve">6</w:t>
            </w:r>
          </w:p>
        </w:tc>
        <w:tc>
          <w:tcPr/>
          <w:p>
            <w:pPr>
              <w:pStyle w:val="Tabla8"/>
              <w:jc w:val="left"/>
            </w:pPr>
            <w:r>
              <w:t xml:space="preserve">15</w:t>
            </w:r>
          </w:p>
        </w:tc>
        <w:tc>
          <w:tcPr/>
          <w:p>
            <w:pPr>
              <w:pStyle w:val="Tabla8"/>
              <w:jc w:val="left"/>
            </w:pPr>
            <w:r>
              <w:t xml:space="preserve">2,5</w:t>
            </w:r>
          </w:p>
        </w:tc>
        <w:tc>
          <w:tcPr/>
          <w:p>
            <w:pPr>
              <w:pStyle w:val="Tabla8"/>
              <w:jc w:val="left"/>
            </w:pPr>
            <w:r>
              <w:t xml:space="preserve">1</w:t>
            </w:r>
          </w:p>
        </w:tc>
        <w:tc>
          <w:tcPr/>
          <w:p>
            <w:pPr>
              <w:pStyle w:val="Tabla8"/>
              <w:jc w:val="left"/>
            </w:pPr>
            <w:r>
              <w:t xml:space="preserve">CRITICA</w:t>
            </w:r>
          </w:p>
        </w:tc>
        <w:tc>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5</w:t>
            </w:r>
          </w:p>
        </w:tc>
        <w:tc>
          <w:tcPr/>
          <w:p>
            <w:pPr>
              <w:pStyle w:val="Tabla8"/>
              <w:jc w:val="left"/>
            </w:pPr>
            <w:r>
              <w:t xml:space="preserve">2</w:t>
            </w:r>
          </w:p>
        </w:tc>
        <w:tc>
          <w:tcPr/>
          <w:p>
            <w:pPr>
              <w:pStyle w:val="Tabla8"/>
              <w:jc w:val="left"/>
            </w:pPr>
            <w:r>
              <w:t xml:space="preserve">5,5</w:t>
            </w:r>
          </w:p>
        </w:tc>
        <w:tc>
          <w:tcPr/>
          <w:p>
            <w:pPr>
              <w:pStyle w:val="Tabla8"/>
              <w:jc w:val="left"/>
            </w:pPr>
            <w:r>
              <w:t xml:space="preserve">11</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V08</w:t>
            </w:r>
          </w:p>
        </w:tc>
        <w:tc>
          <w:tcPr/>
          <w:p>
            <w:pPr>
              <w:pStyle w:val="Tabla8"/>
              <w:jc w:val="left"/>
            </w:pPr>
            <w:r>
              <w:t xml:space="preserve">Latencia de datos</w:t>
            </w:r>
          </w:p>
        </w:tc>
        <w:tc>
          <w:tcPr/>
          <w:p>
            <w:pPr>
              <w:pStyle w:val="Tabla8"/>
              <w:jc w:val="left"/>
            </w:pPr>
            <w:r>
              <w:t xml:space="preserve">4</w:t>
            </w:r>
          </w:p>
        </w:tc>
        <w:tc>
          <w:tcPr/>
          <w:p>
            <w:pPr>
              <w:pStyle w:val="Tabla8"/>
              <w:jc w:val="left"/>
            </w:pPr>
            <w:r>
              <w:t xml:space="preserve">2</w:t>
            </w:r>
          </w:p>
        </w:tc>
        <w:tc>
          <w:tcPr/>
          <w:p>
            <w:pPr>
              <w:pStyle w:val="Tabla8"/>
              <w:jc w:val="left"/>
            </w:pPr>
            <w:r>
              <w:t xml:space="preserve">9,5</w:t>
            </w:r>
          </w:p>
        </w:tc>
        <w:tc>
          <w:tcPr/>
          <w:p>
            <w:pPr>
              <w:pStyle w:val="Tabla8"/>
              <w:jc w:val="left"/>
            </w:pPr>
            <w:r>
              <w:t xml:space="preserve">11</w:t>
            </w:r>
          </w:p>
        </w:tc>
        <w:tc>
          <w:tcPr/>
          <w:p>
            <w:pPr>
              <w:pStyle w:val="Tabla8"/>
              <w:jc w:val="left"/>
            </w:pPr>
            <w:r>
              <w:t xml:space="preserve">FRONTERA</w:t>
            </w:r>
          </w:p>
        </w:tc>
        <w:tc>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3</w:t>
            </w:r>
          </w:p>
        </w:tc>
        <w:tc>
          <w:tcPr/>
          <w:p>
            <w:pPr>
              <w:pStyle w:val="Tabla8"/>
              <w:jc w:val="left"/>
            </w:pPr>
            <w:r>
              <w:t xml:space="preserve">6</w:t>
            </w:r>
          </w:p>
        </w:tc>
        <w:tc>
          <w:tcPr/>
          <w:p>
            <w:pPr>
              <w:pStyle w:val="Tabla8"/>
              <w:jc w:val="left"/>
            </w:pPr>
            <w:r>
              <w:t xml:space="preserve">13</w:t>
            </w:r>
          </w:p>
        </w:tc>
        <w:tc>
          <w:tcPr/>
          <w:p>
            <w:pPr>
              <w:pStyle w:val="Tabla8"/>
              <w:jc w:val="left"/>
            </w:pPr>
            <w:r>
              <w:t xml:space="preserve">5</w:t>
            </w:r>
          </w:p>
        </w:tc>
        <w:tc>
          <w:tcPr/>
          <w:p>
            <w:pPr>
              <w:pStyle w:val="Tabla8"/>
              <w:jc w:val="left"/>
            </w:pPr>
            <w:r>
              <w:t xml:space="preserve">REACTIVA</w:t>
            </w:r>
          </w:p>
        </w:tc>
        <w:tc>
          <w:tcPr/>
          <w:p>
            <w:pPr>
              <w:pStyle w:val="Tabla8"/>
              <w:jc w:val="left"/>
            </w:pPr>
            <w:r>
              <w:t xml:space="preserve">REACTIVA</w:t>
            </w:r>
          </w:p>
        </w:tc>
      </w:tr>
      <w:tr>
        <w:trPr>
          <w:cantSplit/>
        </w:trPr>
        <w:tc>
          <w:tcPr/>
          <w:p>
            <w:pPr>
              <w:pStyle w:val="Tabla8"/>
              <w:jc w:val="left"/>
            </w:pPr>
            <w:r>
              <w:t xml:space="preserve">V10</w:t>
            </w:r>
          </w:p>
        </w:tc>
        <w:tc>
          <w:tcPr/>
          <w:p>
            <w:pPr>
              <w:pStyle w:val="Tabla8"/>
              <w:jc w:val="left"/>
            </w:pPr>
            <w:r>
              <w:t xml:space="preserve">Densidad del gemelo</w:t>
            </w:r>
          </w:p>
        </w:tc>
        <w:tc>
          <w:tcPr/>
          <w:p>
            <w:pPr>
              <w:pStyle w:val="Tabla8"/>
              <w:jc w:val="left"/>
            </w:pPr>
            <w:r>
              <w:t xml:space="preserve">5</w:t>
            </w:r>
          </w:p>
        </w:tc>
        <w:tc>
          <w:tcPr/>
          <w:p>
            <w:pPr>
              <w:pStyle w:val="Tabla8"/>
              <w:jc w:val="left"/>
            </w:pPr>
            <w:r>
              <w:t xml:space="preserve">3</w:t>
            </w:r>
          </w:p>
        </w:tc>
        <w:tc>
          <w:tcPr/>
          <w:p>
            <w:pPr>
              <w:pStyle w:val="Tabla8"/>
              <w:jc w:val="left"/>
            </w:pPr>
            <w:r>
              <w:t xml:space="preserve">5,5</w:t>
            </w:r>
          </w:p>
        </w:tc>
        <w:tc>
          <w:tcPr/>
          <w:p>
            <w:pPr>
              <w:pStyle w:val="Tabla8"/>
              <w:jc w:val="left"/>
            </w:pPr>
            <w:r>
              <w:t xml:space="preserve">9</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7</w:t>
            </w:r>
          </w:p>
        </w:tc>
        <w:tc>
          <w:tcPr/>
          <w:p>
            <w:pPr>
              <w:pStyle w:val="Tabla8"/>
              <w:jc w:val="left"/>
            </w:pPr>
            <w:r>
              <w:t xml:space="preserve">5,5</w:t>
            </w:r>
          </w:p>
        </w:tc>
        <w:tc>
          <w:tcPr/>
          <w:p>
            <w:pPr>
              <w:pStyle w:val="Tabla8"/>
              <w:jc w:val="left"/>
            </w:pPr>
            <w:r>
              <w:t xml:space="preserve">3</w:t>
            </w:r>
          </w:p>
        </w:tc>
        <w:tc>
          <w:tcPr/>
          <w:p>
            <w:pPr>
              <w:pStyle w:val="Tabla8"/>
              <w:jc w:val="left"/>
            </w:pPr>
            <w:r>
              <w:t xml:space="preserve">CRITICA</w:t>
            </w:r>
          </w:p>
        </w:tc>
        <w:tc>
          <w:tcPr/>
          <w:p>
            <w:pPr>
              <w:pStyle w:val="Tabla8"/>
              <w:jc w:val="left"/>
            </w:pPr>
            <w:r>
              <w:t xml:space="preserve">CRITICA</w:t>
            </w:r>
          </w:p>
        </w:tc>
      </w:tr>
      <w:tr>
        <w:trPr>
          <w:cantSplit/>
        </w:trPr>
        <w:tc>
          <w:tcPr/>
          <w:p>
            <w:pPr>
              <w:pStyle w:val="Tabla8"/>
              <w:jc w:val="left"/>
            </w:pPr>
            <w:r>
              <w:t xml:space="preserve">V12</w:t>
            </w:r>
          </w:p>
        </w:tc>
        <w:tc>
          <w:tcPr/>
          <w:p>
            <w:pPr>
              <w:pStyle w:val="Tabla8"/>
              <w:jc w:val="left"/>
            </w:pPr>
            <w:r>
              <w:t xml:space="preserve">Falsas alarmas</w:t>
            </w:r>
          </w:p>
        </w:tc>
        <w:tc>
          <w:tcPr/>
          <w:p>
            <w:pPr>
              <w:pStyle w:val="Tabla8"/>
              <w:jc w:val="left"/>
            </w:pPr>
            <w:r>
              <w:t xml:space="preserve">4</w:t>
            </w:r>
          </w:p>
        </w:tc>
        <w:tc>
          <w:tcPr/>
          <w:p>
            <w:pPr>
              <w:pStyle w:val="Tabla8"/>
              <w:jc w:val="left"/>
            </w:pPr>
            <w:r>
              <w:t xml:space="preserve">5</w:t>
            </w:r>
          </w:p>
        </w:tc>
        <w:tc>
          <w:tcPr/>
          <w:p>
            <w:pPr>
              <w:pStyle w:val="Tabla8"/>
              <w:jc w:val="left"/>
            </w:pPr>
            <w:r>
              <w:t xml:space="preserve">9,5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2</w:t>
            </w:r>
          </w:p>
        </w:tc>
        <w:tc>
          <w:tcPr/>
          <w:p>
            <w:pPr>
              <w:pStyle w:val="Tabla8"/>
              <w:jc w:val="left"/>
            </w:pPr>
            <w:r>
              <w:t xml:space="preserve">13</w:t>
            </w:r>
          </w:p>
        </w:tc>
        <w:tc>
          <w:tcPr/>
          <w:p>
            <w:pPr>
              <w:pStyle w:val="Tabla8"/>
              <w:jc w:val="left"/>
            </w:pPr>
            <w:r>
              <w:t xml:space="preserve">11</w:t>
            </w:r>
          </w:p>
        </w:tc>
        <w:tc>
          <w:tcPr/>
          <w:p>
            <w:pPr>
              <w:pStyle w:val="Tabla8"/>
              <w:jc w:val="left"/>
            </w:pPr>
            <w:r>
              <w:t xml:space="preserve">AUTONOMA_RELATIVA</w:t>
            </w:r>
          </w:p>
        </w:tc>
        <w:tc>
          <w:tcPr/>
          <w:p>
            <w:pPr>
              <w:pStyle w:val="Tabla8"/>
              <w:jc w:val="left"/>
            </w:pPr>
            <w:r>
              <w:t xml:space="preserve">AUTONOMA_RELATIVA</w:t>
            </w:r>
          </w:p>
        </w:tc>
      </w:tr>
      <w:tr>
        <w:trPr>
          <w:cantSplit/>
        </w:trPr>
        <w:tc>
          <w:tcPr/>
          <w:p>
            <w:pPr>
              <w:pStyle w:val="Tabla8"/>
              <w:jc w:val="left"/>
            </w:pPr>
            <w:r>
              <w:t xml:space="preserve">V14</w:t>
            </w:r>
          </w:p>
        </w:tc>
        <w:tc>
          <w:tcPr/>
          <w:p>
            <w:pPr>
              <w:pStyle w:val="Tabla8"/>
              <w:jc w:val="left"/>
            </w:pPr>
            <w:r>
              <w:t xml:space="preserve">Personas alertadas</w:t>
            </w:r>
          </w:p>
        </w:tc>
        <w:tc>
          <w:tcPr/>
          <w:p>
            <w:pPr>
              <w:pStyle w:val="Tabla8"/>
              <w:jc w:val="left"/>
            </w:pPr>
            <w:r>
              <w:t xml:space="preserve">2</w:t>
            </w:r>
          </w:p>
        </w:tc>
        <w:tc>
          <w:tcPr/>
          <w:p>
            <w:pPr>
              <w:pStyle w:val="Tabla8"/>
              <w:jc w:val="left"/>
            </w:pPr>
            <w:r>
              <w:t xml:space="preserve">8</w:t>
            </w:r>
          </w:p>
        </w:tc>
        <w:tc>
          <w:tcPr/>
          <w:p>
            <w:pPr>
              <w:pStyle w:val="Tabla8"/>
              <w:jc w:val="left"/>
            </w:pPr>
            <w:r>
              <w:t xml:space="preserve">15</w:t>
            </w:r>
          </w:p>
        </w:tc>
        <w:tc>
          <w:tcPr/>
          <w:p>
            <w:pPr>
              <w:pStyle w:val="Tabla8"/>
              <w:jc w:val="left"/>
            </w:pPr>
            <w:r>
              <w:t xml:space="preserve">2</w:t>
            </w:r>
          </w:p>
        </w:tc>
        <w:tc>
          <w:tcPr/>
          <w:p>
            <w:pPr>
              <w:pStyle w:val="Tabla8"/>
              <w:jc w:val="left"/>
            </w:pPr>
            <w:r>
              <w:t xml:space="preserve">REACTIVA</w:t>
            </w:r>
          </w:p>
        </w:tc>
        <w:tc>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4</w:t>
            </w:r>
          </w:p>
        </w:tc>
        <w:tc>
          <w:tcPr/>
          <w:p>
            <w:pPr>
              <w:pStyle w:val="Tabla8"/>
              <w:jc w:val="left"/>
            </w:pPr>
            <w:r>
              <w:t xml:space="preserve">5</w:t>
            </w:r>
          </w:p>
        </w:tc>
        <w:tc>
          <w:tcPr/>
          <w:p>
            <w:pPr>
              <w:pStyle w:val="Tabla8"/>
              <w:jc w:val="left"/>
            </w:pPr>
            <w:r>
              <w:t xml:space="preserve">9,5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REACTIVA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S2.</w:t>
      </w:r>
      <w:r>
        <w:t xml:space="preserve"> </w:t>
      </w:r>
      <w:r>
        <w:t xml:space="preserve">Mediana de I = 5; mediana de D = 5; media = 5,2. Clases por mediana: ACTIVA 3, AUTONOMA_RELATIVA 2, CRITICA 3, FRONTERA 5, REACTIVA 2. Cambian con la media: V01, V07, V10, V11, V12.</w:t>
      </w:r>
    </w:p>
    <w:p>
      <w:pPr>
        <w:pStyle w:val="BodyText"/>
      </w:pPr>
      <w:r>
        <w:t xml:space="preserve">La Tabla F4.31 reúne los datos de «Clasificación directa de las variables en el escenario S2».</w:t>
      </w:r>
    </w:p>
    <w:p>
      <w:pPr>
        <w:pStyle w:val="TablaRotulo"/>
      </w:pPr>
      <w:bookmarkStart w:id="9108" w:name="rot_Tabla_F4_31"/>
      <w:r>
        <w:rPr>
          <w:b/>
          <w:bCs/>
        </w:rPr>
        <w:t xml:space="preserve">Tabla F4.31</w:t>
      </w:r>
      <w:bookmarkEnd w:id="9108"/>
    </w:p>
    <w:p>
      <w:pPr>
        <w:pStyle w:val="TablaTitulo"/>
      </w:pPr>
      <w:r>
        <w:rPr>
          <w:i/>
          <w:iCs/>
        </w:rPr>
        <w:t xml:space="preserve">Clasificación directa de las variables en el escenario S2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Variable</w:t>
            </w:r>
          </w:p>
        </w:tc>
        <w:tc>
          <w:tcPr>
            <w:shd w:val="clear" w:color="auto" w:fill="00B050"/>
          </w:tcPr>
          <w:p>
            <w:pPr>
              <w:pStyle w:val="Tabla8"/>
              <w:jc w:val="center"/>
            </w:pPr>
            <w:r>
              <w:rPr>
                <w:b/>
                <w:color w:val="FFFFFF"/>
              </w:rPr>
              <w:t xml:space="preserve">I</w:t>
            </w:r>
          </w:p>
        </w:tc>
        <w:tc>
          <w:tcPr>
            <w:shd w:val="clear" w:color="auto" w:fill="00B050"/>
          </w:tcPr>
          <w:p>
            <w:pPr>
              <w:pStyle w:val="Tabla8"/>
              <w:jc w:val="center"/>
            </w:pPr>
            <w:r>
              <w:rPr>
                <w:b/>
                <w:color w:val="FFFFFF"/>
              </w:rPr>
              <w:t xml:space="preserve">D</w:t>
            </w:r>
          </w:p>
        </w:tc>
        <w:tc>
          <w:tcPr>
            <w:shd w:val="clear" w:color="auto" w:fill="00B050"/>
          </w:tcPr>
          <w:p>
            <w:pPr>
              <w:pStyle w:val="Tabla8"/>
              <w:jc w:val="center"/>
            </w:pPr>
            <w:r>
              <w:rPr>
                <w:b/>
                <w:color w:val="FFFFFF"/>
              </w:rPr>
              <w:t xml:space="preserve">Rango I</w:t>
            </w:r>
          </w:p>
        </w:tc>
        <w:tc>
          <w:tcPr>
            <w:shd w:val="clear" w:color="auto" w:fill="00B050"/>
          </w:tcPr>
          <w:p>
            <w:pPr>
              <w:pStyle w:val="Tabla8"/>
              <w:jc w:val="center"/>
            </w:pPr>
            <w:r>
              <w:rPr>
                <w:b/>
                <w:color w:val="FFFFFF"/>
              </w:rPr>
              <w:t xml:space="preserve">Rango D</w:t>
            </w:r>
          </w:p>
        </w:tc>
        <w:tc>
          <w:tcPr>
            <w:shd w:val="clear" w:color="auto" w:fill="00B050"/>
          </w:tcPr>
          <w:p>
            <w:pPr>
              <w:pStyle w:val="Tabla8"/>
              <w:jc w:val="center"/>
            </w:pPr>
            <w:r>
              <w:rPr>
                <w:b/>
                <w:color w:val="FFFFFF"/>
              </w:rPr>
              <w:t xml:space="preserve">Clase por mediana</w:t>
            </w:r>
          </w:p>
        </w:tc>
        <w:tc>
          <w:tcPr>
            <w:shd w:val="clear" w:color="auto" w:fill="00B050"/>
          </w:tcPr>
          <w:p>
            <w:pPr>
              <w:pStyle w:val="Tabla8"/>
              <w:jc w:val="center"/>
            </w:pPr>
            <w:r>
              <w:rPr>
                <w:b/>
                <w:color w:val="FFFFFF"/>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6</w:t>
            </w:r>
          </w:p>
        </w:tc>
        <w:tc>
          <w:tcPr/>
          <w:p>
            <w:pPr>
              <w:pStyle w:val="Tabla8"/>
              <w:jc w:val="left"/>
            </w:pPr>
            <w:r>
              <w:t xml:space="preserve">5</w:t>
            </w:r>
          </w:p>
        </w:tc>
        <w:tc>
          <w:tcPr/>
          <w:p>
            <w:pPr>
              <w:pStyle w:val="Tabla8"/>
              <w:jc w:val="left"/>
            </w:pPr>
            <w:r>
              <w:t xml:space="preserve">6,5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ACTIVA</w:t>
            </w:r>
          </w:p>
        </w:tc>
      </w:tr>
      <w:tr>
        <w:trPr>
          <w:cantSplit/>
        </w:trPr>
        <w:tc>
          <w:tcPr/>
          <w:p>
            <w:pPr>
              <w:pStyle w:val="Tabla8"/>
              <w:jc w:val="left"/>
            </w:pPr>
            <w:r>
              <w:t xml:space="preserve">V02</w:t>
            </w:r>
          </w:p>
        </w:tc>
        <w:tc>
          <w:tcPr/>
          <w:p>
            <w:pPr>
              <w:pStyle w:val="Tabla8"/>
              <w:jc w:val="left"/>
            </w:pPr>
            <w:r>
              <w:t xml:space="preserve">Concentración PM10</w:t>
            </w:r>
          </w:p>
        </w:tc>
        <w:tc>
          <w:tcPr/>
          <w:p>
            <w:pPr>
              <w:pStyle w:val="Tabla8"/>
              <w:jc w:val="left"/>
            </w:pPr>
            <w:r>
              <w:t xml:space="preserve">7</w:t>
            </w:r>
          </w:p>
        </w:tc>
        <w:tc>
          <w:tcPr/>
          <w:p>
            <w:pPr>
              <w:pStyle w:val="Tabla8"/>
              <w:jc w:val="left"/>
            </w:pPr>
            <w:r>
              <w:t xml:space="preserve">6</w:t>
            </w:r>
          </w:p>
        </w:tc>
        <w:tc>
          <w:tcPr/>
          <w:p>
            <w:pPr>
              <w:pStyle w:val="Tabla8"/>
              <w:jc w:val="left"/>
            </w:pPr>
            <w:r>
              <w:t xml:space="preserve">4</w:t>
            </w:r>
          </w:p>
        </w:tc>
        <w:tc>
          <w:tcPr/>
          <w:p>
            <w:pPr>
              <w:pStyle w:val="Tabla8"/>
              <w:jc w:val="left"/>
            </w:pPr>
            <w:r>
              <w:t xml:space="preserve">6</w:t>
            </w:r>
          </w:p>
        </w:tc>
        <w:tc>
          <w:tcPr/>
          <w:p>
            <w:pPr>
              <w:pStyle w:val="Tabla8"/>
              <w:jc w:val="left"/>
            </w:pPr>
            <w:r>
              <w:t xml:space="preserve">CRITICA</w:t>
            </w:r>
          </w:p>
        </w:tc>
        <w:tc>
          <w:tcPr/>
          <w:p>
            <w:pPr>
              <w:pStyle w:val="Tabla8"/>
              <w:jc w:val="left"/>
            </w:pPr>
            <w:r>
              <w:t xml:space="preserve">CRITICA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6</w:t>
            </w:r>
          </w:p>
        </w:tc>
        <w:tc>
          <w:tcPr/>
          <w:p>
            <w:pPr>
              <w:pStyle w:val="Tabla8"/>
              <w:jc w:val="left"/>
            </w:pPr>
            <w:r>
              <w:t xml:space="preserve">0</w:t>
            </w:r>
          </w:p>
        </w:tc>
        <w:tc>
          <w:tcPr/>
          <w:p>
            <w:pPr>
              <w:pStyle w:val="Tabla8"/>
              <w:jc w:val="left"/>
            </w:pPr>
            <w:r>
              <w:t xml:space="preserve">6,5</w:t>
            </w:r>
          </w:p>
        </w:tc>
        <w:tc>
          <w:tcPr/>
          <w:p>
            <w:pPr>
              <w:pStyle w:val="Tabla8"/>
              <w:jc w:val="left"/>
            </w:pPr>
            <w:r>
              <w:t xml:space="preserve">14,5</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V04</w:t>
            </w:r>
          </w:p>
        </w:tc>
        <w:tc>
          <w:tcPr/>
          <w:p>
            <w:pPr>
              <w:pStyle w:val="Tabla8"/>
              <w:jc w:val="left"/>
            </w:pPr>
            <w:r>
              <w:t xml:space="preserve">Velocidad del viento</w:t>
            </w:r>
          </w:p>
        </w:tc>
        <w:tc>
          <w:tcPr/>
          <w:p>
            <w:pPr>
              <w:pStyle w:val="Tabla8"/>
              <w:jc w:val="left"/>
            </w:pPr>
            <w:r>
              <w:t xml:space="preserve">8</w:t>
            </w:r>
          </w:p>
        </w:tc>
        <w:tc>
          <w:tcPr/>
          <w:p>
            <w:pPr>
              <w:pStyle w:val="Tabla8"/>
              <w:jc w:val="left"/>
            </w:pPr>
            <w:r>
              <w:t xml:space="preserve">0</w:t>
            </w:r>
          </w:p>
        </w:tc>
        <w:tc>
          <w:tcPr/>
          <w:p>
            <w:pPr>
              <w:pStyle w:val="Tabla8"/>
              <w:jc w:val="left"/>
            </w:pPr>
            <w:r>
              <w:t xml:space="preserve">1,5</w:t>
            </w:r>
          </w:p>
        </w:tc>
        <w:tc>
          <w:tcPr/>
          <w:p>
            <w:pPr>
              <w:pStyle w:val="Tabla8"/>
              <w:jc w:val="left"/>
            </w:pPr>
            <w:r>
              <w:t xml:space="preserve">14,5</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7</w:t>
            </w:r>
          </w:p>
        </w:tc>
        <w:tc>
          <w:tcPr/>
          <w:p>
            <w:pPr>
              <w:pStyle w:val="Tabla8"/>
              <w:jc w:val="left"/>
            </w:pPr>
            <w:r>
              <w:t xml:space="preserve">1</w:t>
            </w:r>
          </w:p>
        </w:tc>
        <w:tc>
          <w:tcPr/>
          <w:p>
            <w:pPr>
              <w:pStyle w:val="Tabla8"/>
              <w:jc w:val="left"/>
            </w:pPr>
            <w:r>
              <w:t xml:space="preserve">4</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V06</w:t>
            </w:r>
          </w:p>
        </w:tc>
        <w:tc>
          <w:tcPr/>
          <w:p>
            <w:pPr>
              <w:pStyle w:val="Tabla8"/>
              <w:jc w:val="left"/>
            </w:pPr>
            <w:r>
              <w:t xml:space="preserve">Error de medición IoT</w:t>
            </w:r>
          </w:p>
        </w:tc>
        <w:tc>
          <w:tcPr/>
          <w:p>
            <w:pPr>
              <w:pStyle w:val="Tabla8"/>
              <w:jc w:val="left"/>
            </w:pPr>
            <w:r>
              <w:t xml:space="preserve">8</w:t>
            </w:r>
          </w:p>
        </w:tc>
        <w:tc>
          <w:tcPr/>
          <w:p>
            <w:pPr>
              <w:pStyle w:val="Tabla8"/>
              <w:jc w:val="left"/>
            </w:pPr>
            <w:r>
              <w:t xml:space="preserve">13</w:t>
            </w:r>
          </w:p>
        </w:tc>
        <w:tc>
          <w:tcPr/>
          <w:p>
            <w:pPr>
              <w:pStyle w:val="Tabla8"/>
              <w:jc w:val="left"/>
            </w:pPr>
            <w:r>
              <w:t xml:space="preserve">1,5</w:t>
            </w:r>
          </w:p>
        </w:tc>
        <w:tc>
          <w:tcPr/>
          <w:p>
            <w:pPr>
              <w:pStyle w:val="Tabla8"/>
              <w:jc w:val="left"/>
            </w:pPr>
            <w:r>
              <w:t xml:space="preserve">1</w:t>
            </w:r>
          </w:p>
        </w:tc>
        <w:tc>
          <w:tcPr/>
          <w:p>
            <w:pPr>
              <w:pStyle w:val="Tabla8"/>
              <w:jc w:val="left"/>
            </w:pPr>
            <w:r>
              <w:t xml:space="preserve">CRITICA</w:t>
            </w:r>
          </w:p>
        </w:tc>
        <w:tc>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5</w:t>
            </w:r>
          </w:p>
        </w:tc>
        <w:tc>
          <w:tcPr/>
          <w:p>
            <w:pPr>
              <w:pStyle w:val="Tabla8"/>
              <w:jc w:val="left"/>
            </w:pPr>
            <w:r>
              <w:t xml:space="preserve">2</w:t>
            </w:r>
          </w:p>
        </w:tc>
        <w:tc>
          <w:tcPr/>
          <w:p>
            <w:pPr>
              <w:pStyle w:val="Tabla8"/>
              <w:jc w:val="left"/>
            </w:pPr>
            <w:r>
              <w:t xml:space="preserve">9</w:t>
            </w:r>
          </w:p>
        </w:tc>
        <w:tc>
          <w:tcPr/>
          <w:p>
            <w:pPr>
              <w:pStyle w:val="Tabla8"/>
              <w:jc w:val="left"/>
            </w:pPr>
            <w:r>
              <w:t xml:space="preserve">11,5</w:t>
            </w:r>
          </w:p>
        </w:tc>
        <w:tc>
          <w:tcPr/>
          <w:p>
            <w:pPr>
              <w:pStyle w:val="Tabla8"/>
              <w:jc w:val="left"/>
            </w:pPr>
            <w:r>
              <w:t xml:space="preserve">FRONTERA</w:t>
            </w:r>
          </w:p>
        </w:tc>
        <w:tc>
          <w:tcPr/>
          <w:p>
            <w:pPr>
              <w:pStyle w:val="Tabla8"/>
              <w:jc w:val="left"/>
            </w:pPr>
            <w:r>
              <w:t xml:space="preserve">AUTONOMA_RELATIVA</w:t>
            </w:r>
          </w:p>
        </w:tc>
      </w:tr>
      <w:tr>
        <w:trPr>
          <w:cantSplit/>
        </w:trPr>
        <w:tc>
          <w:tcPr/>
          <w:p>
            <w:pPr>
              <w:pStyle w:val="Tabla8"/>
              <w:jc w:val="left"/>
            </w:pPr>
            <w:r>
              <w:t xml:space="preserve">V08</w:t>
            </w:r>
          </w:p>
        </w:tc>
        <w:tc>
          <w:tcPr/>
          <w:p>
            <w:pPr>
              <w:pStyle w:val="Tabla8"/>
              <w:jc w:val="left"/>
            </w:pPr>
            <w:r>
              <w:t xml:space="preserve">Latencia de datos</w:t>
            </w:r>
          </w:p>
        </w:tc>
        <w:tc>
          <w:tcPr/>
          <w:p>
            <w:pPr>
              <w:pStyle w:val="Tabla8"/>
              <w:jc w:val="left"/>
            </w:pPr>
            <w:r>
              <w:t xml:space="preserve">2</w:t>
            </w:r>
          </w:p>
        </w:tc>
        <w:tc>
          <w:tcPr/>
          <w:p>
            <w:pPr>
              <w:pStyle w:val="Tabla8"/>
              <w:jc w:val="left"/>
            </w:pPr>
            <w:r>
              <w:t xml:space="preserve">2</w:t>
            </w:r>
          </w:p>
        </w:tc>
        <w:tc>
          <w:tcPr/>
          <w:p>
            <w:pPr>
              <w:pStyle w:val="Tabla8"/>
              <w:jc w:val="left"/>
            </w:pPr>
            <w:r>
              <w:t xml:space="preserve">14</w:t>
            </w:r>
          </w:p>
        </w:tc>
        <w:tc>
          <w:tcPr/>
          <w:p>
            <w:pPr>
              <w:pStyle w:val="Tabla8"/>
              <w:jc w:val="left"/>
            </w:pPr>
            <w:r>
              <w:t xml:space="preserve">11,5</w:t>
            </w:r>
          </w:p>
        </w:tc>
        <w:tc>
          <w:tcPr/>
          <w:p>
            <w:pPr>
              <w:pStyle w:val="Tabla8"/>
              <w:jc w:val="left"/>
            </w:pPr>
            <w:r>
              <w:t xml:space="preserve">AUTONOMA_RELATIVA</w:t>
            </w:r>
          </w:p>
        </w:tc>
        <w:tc>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4</w:t>
            </w:r>
          </w:p>
        </w:tc>
        <w:tc>
          <w:tcPr/>
          <w:p>
            <w:pPr>
              <w:pStyle w:val="Tabla8"/>
              <w:jc w:val="left"/>
            </w:pPr>
            <w:r>
              <w:t xml:space="preserve">9</w:t>
            </w:r>
          </w:p>
        </w:tc>
        <w:tc>
          <w:tcPr/>
          <w:p>
            <w:pPr>
              <w:pStyle w:val="Tabla8"/>
              <w:jc w:val="left"/>
            </w:pPr>
            <w:r>
              <w:t xml:space="preserve">11,5</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p>
            <w:pPr>
              <w:pStyle w:val="Tabla8"/>
              <w:jc w:val="left"/>
            </w:pPr>
            <w:r>
              <w:t xml:space="preserve">V10</w:t>
            </w:r>
          </w:p>
        </w:tc>
        <w:tc>
          <w:tcPr/>
          <w:p>
            <w:pPr>
              <w:pStyle w:val="Tabla8"/>
              <w:jc w:val="left"/>
            </w:pPr>
            <w:r>
              <w:t xml:space="preserve">Densidad del gemelo</w:t>
            </w:r>
          </w:p>
        </w:tc>
        <w:tc>
          <w:tcPr/>
          <w:p>
            <w:pPr>
              <w:pStyle w:val="Tabla8"/>
              <w:jc w:val="left"/>
            </w:pPr>
            <w:r>
              <w:t xml:space="preserve">5</w:t>
            </w:r>
          </w:p>
        </w:tc>
        <w:tc>
          <w:tcPr/>
          <w:p>
            <w:pPr>
              <w:pStyle w:val="Tabla8"/>
              <w:jc w:val="left"/>
            </w:pPr>
            <w:r>
              <w:t xml:space="preserve">4</w:t>
            </w:r>
          </w:p>
        </w:tc>
        <w:tc>
          <w:tcPr/>
          <w:p>
            <w:pPr>
              <w:pStyle w:val="Tabla8"/>
              <w:jc w:val="left"/>
            </w:pPr>
            <w:r>
              <w:t xml:space="preserve">9</w:t>
            </w:r>
          </w:p>
        </w:tc>
        <w:tc>
          <w:tcPr/>
          <w:p>
            <w:pPr>
              <w:pStyle w:val="Tabla8"/>
              <w:jc w:val="left"/>
            </w:pPr>
            <w:r>
              <w:t xml:space="preserve">9,5</w:t>
            </w:r>
          </w:p>
        </w:tc>
        <w:tc>
          <w:tcPr/>
          <w:p>
            <w:pPr>
              <w:pStyle w:val="Tabla8"/>
              <w:jc w:val="left"/>
            </w:pPr>
            <w:r>
              <w:t xml:space="preserve">FRONTERA</w:t>
            </w:r>
          </w:p>
        </w:tc>
        <w:tc>
          <w:tcPr/>
          <w:p>
            <w:pPr>
              <w:pStyle w:val="Tabla8"/>
              <w:jc w:val="left"/>
            </w:pPr>
            <w:r>
              <w:t xml:space="preserve">AUTONOMA_RELATIVA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11</w:t>
            </w:r>
          </w:p>
        </w:tc>
        <w:tc>
          <w:tcPr/>
          <w:p>
            <w:pPr>
              <w:pStyle w:val="Tabla8"/>
              <w:jc w:val="left"/>
            </w:pPr>
            <w:r>
              <w:t xml:space="preserve">9</w:t>
            </w:r>
          </w:p>
        </w:tc>
        <w:tc>
          <w:tcPr/>
          <w:p>
            <w:pPr>
              <w:pStyle w:val="Tabla8"/>
              <w:jc w:val="left"/>
            </w:pPr>
            <w:r>
              <w:t xml:space="preserve">2</w:t>
            </w:r>
          </w:p>
        </w:tc>
        <w:tc>
          <w:tcPr/>
          <w:p>
            <w:pPr>
              <w:pStyle w:val="Tabla8"/>
              <w:jc w:val="left"/>
            </w:pPr>
            <w:r>
              <w:t xml:space="preserve">FRONTERA</w:t>
            </w:r>
          </w:p>
        </w:tc>
        <w:tc>
          <w:tcPr/>
          <w:p>
            <w:pPr>
              <w:pStyle w:val="Tabla8"/>
              <w:jc w:val="left"/>
            </w:pPr>
            <w:r>
              <w:t xml:space="preserve">REACTIVA</w:t>
            </w:r>
          </w:p>
        </w:tc>
      </w:tr>
      <w:tr>
        <w:trPr>
          <w:cantSplit/>
        </w:trPr>
        <w:tc>
          <w:tcPr/>
          <w:p>
            <w:pPr>
              <w:pStyle w:val="Tabla8"/>
              <w:jc w:val="left"/>
            </w:pPr>
            <w:r>
              <w:t xml:space="preserve">V12</w:t>
            </w:r>
          </w:p>
        </w:tc>
        <w:tc>
          <w:tcPr/>
          <w:p>
            <w:pPr>
              <w:pStyle w:val="Tabla8"/>
              <w:jc w:val="left"/>
            </w:pPr>
            <w:r>
              <w:t xml:space="preserve">Falsas alarmas</w:t>
            </w:r>
          </w:p>
        </w:tc>
        <w:tc>
          <w:tcPr/>
          <w:p>
            <w:pPr>
              <w:pStyle w:val="Tabla8"/>
              <w:jc w:val="left"/>
            </w:pPr>
            <w:r>
              <w:t xml:space="preserve">4</w:t>
            </w:r>
          </w:p>
        </w:tc>
        <w:tc>
          <w:tcPr/>
          <w:p>
            <w:pPr>
              <w:pStyle w:val="Tabla8"/>
              <w:jc w:val="left"/>
            </w:pPr>
            <w:r>
              <w:t xml:space="preserve">5</w:t>
            </w:r>
          </w:p>
        </w:tc>
        <w:tc>
          <w:tcPr/>
          <w:p>
            <w:pPr>
              <w:pStyle w:val="Tabla8"/>
              <w:jc w:val="left"/>
            </w:pPr>
            <w:r>
              <w:t xml:space="preserve">11,5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AUTONOMA_RELATIVA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2</w:t>
            </w:r>
          </w:p>
        </w:tc>
        <w:tc>
          <w:tcPr/>
          <w:p>
            <w:pPr>
              <w:pStyle w:val="Tabla8"/>
              <w:jc w:val="left"/>
            </w:pPr>
            <w:r>
              <w:t xml:space="preserve">4</w:t>
            </w:r>
          </w:p>
        </w:tc>
        <w:tc>
          <w:tcPr/>
          <w:p>
            <w:pPr>
              <w:pStyle w:val="Tabla8"/>
              <w:jc w:val="left"/>
            </w:pPr>
            <w:r>
              <w:t xml:space="preserve">14</w:t>
            </w:r>
          </w:p>
        </w:tc>
        <w:tc>
          <w:tcPr/>
          <w:p>
            <w:pPr>
              <w:pStyle w:val="Tabla8"/>
              <w:jc w:val="left"/>
            </w:pPr>
            <w:r>
              <w:t xml:space="preserve">9,5</w:t>
            </w:r>
          </w:p>
        </w:tc>
        <w:tc>
          <w:tcPr/>
          <w:p>
            <w:pPr>
              <w:pStyle w:val="Tabla8"/>
              <w:jc w:val="left"/>
            </w:pPr>
            <w:r>
              <w:t xml:space="preserve">AUTONOMA_RELATIVA</w:t>
            </w:r>
          </w:p>
        </w:tc>
        <w:tc>
          <w:tcPr/>
          <w:p>
            <w:pPr>
              <w:pStyle w:val="Tabla8"/>
              <w:jc w:val="left"/>
            </w:pPr>
            <w:r>
              <w:t xml:space="preserve">AUTONOMA_RELATIVA</w:t>
            </w:r>
          </w:p>
        </w:tc>
      </w:tr>
      <w:tr>
        <w:trPr>
          <w:cantSplit/>
        </w:trPr>
        <w:tc>
          <w:tcPr/>
          <w:p>
            <w:pPr>
              <w:pStyle w:val="Tabla8"/>
              <w:jc w:val="left"/>
            </w:pPr>
            <w:r>
              <w:t xml:space="preserve">V14</w:t>
            </w:r>
          </w:p>
        </w:tc>
        <w:tc>
          <w:tcPr/>
          <w:p>
            <w:pPr>
              <w:pStyle w:val="Tabla8"/>
              <w:jc w:val="left"/>
            </w:pPr>
            <w:r>
              <w:t xml:space="preserve">Personas alertadas</w:t>
            </w:r>
          </w:p>
        </w:tc>
        <w:tc>
          <w:tcPr/>
          <w:p>
            <w:pPr>
              <w:pStyle w:val="Tabla8"/>
              <w:jc w:val="left"/>
            </w:pPr>
            <w:r>
              <w:t xml:space="preserve">2</w:t>
            </w:r>
          </w:p>
        </w:tc>
        <w:tc>
          <w:tcPr/>
          <w:p>
            <w:pPr>
              <w:pStyle w:val="Tabla8"/>
              <w:jc w:val="left"/>
            </w:pPr>
            <w:r>
              <w:t xml:space="preserve">9</w:t>
            </w:r>
          </w:p>
        </w:tc>
        <w:tc>
          <w:tcPr/>
          <w:p>
            <w:pPr>
              <w:pStyle w:val="Tabla8"/>
              <w:jc w:val="left"/>
            </w:pPr>
            <w:r>
              <w:t xml:space="preserve">14</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7</w:t>
            </w:r>
          </w:p>
        </w:tc>
        <w:tc>
          <w:tcPr/>
          <w:p>
            <w:pPr>
              <w:pStyle w:val="Tabla8"/>
              <w:jc w:val="left"/>
            </w:pPr>
            <w:r>
              <w:t xml:space="preserve">7</w:t>
            </w:r>
          </w:p>
        </w:tc>
        <w:tc>
          <w:tcPr/>
          <w:p>
            <w:pPr>
              <w:pStyle w:val="Tabla8"/>
              <w:jc w:val="left"/>
            </w:pPr>
            <w:r>
              <w:t xml:space="preserve">4</w:t>
            </w:r>
          </w:p>
        </w:tc>
        <w:tc>
          <w:tcPr/>
          <w:p>
            <w:pPr>
              <w:pStyle w:val="Tabla8"/>
              <w:jc w:val="left"/>
            </w:pPr>
            <w:r>
              <w:t xml:space="preserve">5</w:t>
            </w:r>
          </w:p>
        </w:tc>
        <w:tc>
          <w:tcPr/>
          <w:p>
            <w:pPr>
              <w:pStyle w:val="Tabla8"/>
              <w:jc w:val="left"/>
            </w:pPr>
            <w:r>
              <w:t xml:space="preserve">CRITICA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S3.</w:t>
      </w:r>
      <w:r>
        <w:t xml:space="preserve"> </w:t>
      </w:r>
      <w:r>
        <w:t xml:space="preserve">Mediana de I = 2; mediana de D = 2; media = 1,933. Clases por mediana: ACTIVA 1, AUTONOMA_RELATIVA 2, CRITICA 2, FRONTERA 9, REACTIVA 1. Cambian con la media: V02, V03, V04, V07, V09, V11, V12, V13, V15.</w:t>
      </w:r>
    </w:p>
    <w:p>
      <w:pPr>
        <w:pStyle w:val="BodyText"/>
      </w:pPr>
      <w:r>
        <w:t xml:space="preserve">La Tabla F4.32 reúne los datos de «Clasificación directa de las variables en el escenario S3».</w:t>
      </w:r>
    </w:p>
    <w:p>
      <w:pPr>
        <w:pStyle w:val="TablaRotulo"/>
      </w:pPr>
      <w:bookmarkStart w:id="9109" w:name="rot_Tabla_F4_32"/>
      <w:r>
        <w:rPr>
          <w:b/>
          <w:bCs/>
        </w:rPr>
        <w:t xml:space="preserve">Tabla F4.32</w:t>
      </w:r>
      <w:bookmarkEnd w:id="9109"/>
    </w:p>
    <w:p>
      <w:pPr>
        <w:pStyle w:val="TablaTitulo"/>
      </w:pPr>
      <w:r>
        <w:rPr>
          <w:i/>
          <w:iCs/>
        </w:rPr>
        <w:t xml:space="preserve">Clasificación directa de las variables en el escenario S3</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96"/>
        <w:gridCol w:w="1320"/>
        <w:gridCol w:w="264"/>
        <w:gridCol w:w="264"/>
        <w:gridCol w:w="594"/>
        <w:gridCol w:w="594"/>
        <w:gridCol w:w="2244"/>
        <w:gridCol w:w="2244"/>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Variable</w:t>
            </w:r>
          </w:p>
        </w:tc>
        <w:tc>
          <w:tcPr>
            <w:shd w:val="clear" w:color="auto" w:fill="00B050"/>
          </w:tcPr>
          <w:p>
            <w:pPr>
              <w:pStyle w:val="Tabla8"/>
              <w:jc w:val="center"/>
            </w:pPr>
            <w:r>
              <w:rPr>
                <w:b/>
                <w:color w:val="FFFFFF"/>
              </w:rPr>
              <w:t xml:space="preserve">I</w:t>
            </w:r>
          </w:p>
        </w:tc>
        <w:tc>
          <w:tcPr>
            <w:shd w:val="clear" w:color="auto" w:fill="00B050"/>
          </w:tcPr>
          <w:p>
            <w:pPr>
              <w:pStyle w:val="Tabla8"/>
              <w:jc w:val="center"/>
            </w:pPr>
            <w:r>
              <w:rPr>
                <w:b/>
                <w:color w:val="FFFFFF"/>
              </w:rPr>
              <w:t xml:space="preserve">D</w:t>
            </w:r>
          </w:p>
        </w:tc>
        <w:tc>
          <w:tcPr>
            <w:shd w:val="clear" w:color="auto" w:fill="00B050"/>
          </w:tcPr>
          <w:p>
            <w:pPr>
              <w:pStyle w:val="Tabla8"/>
              <w:jc w:val="center"/>
            </w:pPr>
            <w:r>
              <w:rPr>
                <w:b/>
                <w:color w:val="FFFFFF"/>
              </w:rPr>
              <w:t xml:space="preserve">Rango I</w:t>
            </w:r>
          </w:p>
        </w:tc>
        <w:tc>
          <w:tcPr>
            <w:shd w:val="clear" w:color="auto" w:fill="00B050"/>
          </w:tcPr>
          <w:p>
            <w:pPr>
              <w:pStyle w:val="Tabla8"/>
              <w:jc w:val="center"/>
            </w:pPr>
            <w:r>
              <w:rPr>
                <w:b/>
                <w:color w:val="FFFFFF"/>
              </w:rPr>
              <w:t xml:space="preserve">Rango D</w:t>
            </w:r>
          </w:p>
        </w:tc>
        <w:tc>
          <w:tcPr>
            <w:shd w:val="clear" w:color="auto" w:fill="00B050"/>
          </w:tcPr>
          <w:p>
            <w:pPr>
              <w:pStyle w:val="Tabla8"/>
              <w:jc w:val="center"/>
            </w:pPr>
            <w:r>
              <w:rPr>
                <w:b/>
                <w:color w:val="FFFFFF"/>
              </w:rPr>
              <w:t xml:space="preserve">Clase por mediana</w:t>
            </w:r>
          </w:p>
        </w:tc>
        <w:tc>
          <w:tcPr>
            <w:shd w:val="clear" w:color="auto" w:fill="00B050"/>
          </w:tcPr>
          <w:p>
            <w:pPr>
              <w:pStyle w:val="Tabla8"/>
              <w:jc w:val="center"/>
            </w:pPr>
            <w:r>
              <w:rPr>
                <w:b/>
                <w:color w:val="FFFFFF"/>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3</w:t>
            </w:r>
          </w:p>
        </w:tc>
        <w:tc>
          <w:tcPr/>
          <w:p>
            <w:pPr>
              <w:pStyle w:val="Tabla8"/>
              <w:jc w:val="left"/>
            </w:pPr>
            <w:r>
              <w:t xml:space="preserve">3</w:t>
            </w:r>
          </w:p>
        </w:tc>
        <w:tc>
          <w:tcPr/>
          <w:p>
            <w:pPr>
              <w:pStyle w:val="Tabla8"/>
              <w:jc w:val="left"/>
            </w:pPr>
            <w:r>
              <w:t xml:space="preserve">2,5</w:t>
            </w:r>
          </w:p>
        </w:tc>
        <w:tc>
          <w:tcPr/>
          <w:p>
            <w:pPr>
              <w:pStyle w:val="Tabla8"/>
              <w:jc w:val="left"/>
            </w:pPr>
            <w:r>
              <w:t xml:space="preserve">4,5</w:t>
            </w:r>
          </w:p>
        </w:tc>
        <w:tc>
          <w:tcPr/>
          <w:p>
            <w:pPr>
              <w:pStyle w:val="Tabla8"/>
              <w:jc w:val="left"/>
            </w:pPr>
            <w:r>
              <w:t xml:space="preserve">CRITICA</w:t>
            </w:r>
          </w:p>
        </w:tc>
        <w:tc>
          <w:tcPr/>
          <w:p>
            <w:pPr>
              <w:pStyle w:val="Tabla8"/>
              <w:jc w:val="left"/>
            </w:pPr>
            <w:r>
              <w:t xml:space="preserve">CRITICA</w:t>
            </w:r>
          </w:p>
        </w:tc>
      </w:tr>
      <w:tr>
        <w:trPr>
          <w:cantSplit/>
        </w:trPr>
        <w:tc>
          <w:tcPr/>
          <w:p>
            <w:pPr>
              <w:pStyle w:val="Tabla8"/>
              <w:jc w:val="left"/>
            </w:pPr>
            <w:r>
              <w:t xml:space="preserve">V02</w:t>
            </w:r>
          </w:p>
        </w:tc>
        <w:tc>
          <w:tcPr/>
          <w:p>
            <w:pPr>
              <w:pStyle w:val="Tabla8"/>
              <w:jc w:val="left"/>
            </w:pPr>
            <w:r>
              <w:t xml:space="preserve">Concentración PM10</w:t>
            </w:r>
          </w:p>
        </w:tc>
        <w:tc>
          <w:tcPr/>
          <w:p>
            <w:pPr>
              <w:pStyle w:val="Tabla8"/>
              <w:jc w:val="left"/>
            </w:pPr>
            <w:r>
              <w:t xml:space="preserve">2</w:t>
            </w:r>
          </w:p>
        </w:tc>
        <w:tc>
          <w:tcPr/>
          <w:p>
            <w:pPr>
              <w:pStyle w:val="Tabla8"/>
              <w:jc w:val="left"/>
            </w:pPr>
            <w:r>
              <w:t xml:space="preserve">3</w:t>
            </w:r>
          </w:p>
        </w:tc>
        <w:tc>
          <w:tcPr/>
          <w:p>
            <w:pPr>
              <w:pStyle w:val="Tabla8"/>
              <w:jc w:val="left"/>
            </w:pPr>
            <w:r>
              <w:t xml:space="preserve">7</w:t>
            </w:r>
          </w:p>
        </w:tc>
        <w:tc>
          <w:tcPr/>
          <w:p>
            <w:pPr>
              <w:pStyle w:val="Tabla8"/>
              <w:jc w:val="left"/>
            </w:pPr>
            <w:r>
              <w:t xml:space="preserve">4,5</w:t>
            </w:r>
          </w:p>
        </w:tc>
        <w:tc>
          <w:tcPr/>
          <w:p>
            <w:pPr>
              <w:pStyle w:val="Tabla8"/>
              <w:jc w:val="left"/>
            </w:pPr>
            <w:r>
              <w:t xml:space="preserve">FRONTERA</w:t>
            </w:r>
          </w:p>
        </w:tc>
        <w:tc>
          <w:tcPr/>
          <w:p>
            <w:pPr>
              <w:pStyle w:val="Tabla8"/>
              <w:jc w:val="left"/>
            </w:pPr>
            <w:r>
              <w:t xml:space="preserve">CRITICA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2</w:t>
            </w:r>
          </w:p>
        </w:tc>
        <w:tc>
          <w:tcPr/>
          <w:p>
            <w:pPr>
              <w:pStyle w:val="Tabla8"/>
              <w:jc w:val="left"/>
            </w:pPr>
            <w:r>
              <w:t xml:space="preserve">0</w:t>
            </w:r>
          </w:p>
        </w:tc>
        <w:tc>
          <w:tcPr/>
          <w:p>
            <w:pPr>
              <w:pStyle w:val="Tabla8"/>
              <w:jc w:val="left"/>
            </w:pPr>
            <w:r>
              <w:t xml:space="preserve">7</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p>
            <w:pPr>
              <w:pStyle w:val="Tabla8"/>
              <w:jc w:val="left"/>
            </w:pPr>
            <w:r>
              <w:t xml:space="preserve">V04</w:t>
            </w:r>
          </w:p>
        </w:tc>
        <w:tc>
          <w:tcPr/>
          <w:p>
            <w:pPr>
              <w:pStyle w:val="Tabla8"/>
              <w:jc w:val="left"/>
            </w:pPr>
            <w:r>
              <w:t xml:space="preserve">Velocidad del viento</w:t>
            </w:r>
          </w:p>
        </w:tc>
        <w:tc>
          <w:tcPr/>
          <w:p>
            <w:pPr>
              <w:pStyle w:val="Tabla8"/>
              <w:jc w:val="left"/>
            </w:pPr>
            <w:r>
              <w:t xml:space="preserve">2</w:t>
            </w:r>
          </w:p>
        </w:tc>
        <w:tc>
          <w:tcPr/>
          <w:p>
            <w:pPr>
              <w:pStyle w:val="Tabla8"/>
              <w:jc w:val="left"/>
            </w:pPr>
            <w:r>
              <w:t xml:space="preserve">0</w:t>
            </w:r>
          </w:p>
        </w:tc>
        <w:tc>
          <w:tcPr/>
          <w:p>
            <w:pPr>
              <w:pStyle w:val="Tabla8"/>
              <w:jc w:val="left"/>
            </w:pPr>
            <w:r>
              <w:t xml:space="preserve">7</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5</w:t>
            </w:r>
          </w:p>
        </w:tc>
        <w:tc>
          <w:tcPr/>
          <w:p>
            <w:pPr>
              <w:pStyle w:val="Tabla8"/>
              <w:jc w:val="left"/>
            </w:pPr>
            <w:r>
              <w:t xml:space="preserve">0</w:t>
            </w:r>
          </w:p>
        </w:tc>
        <w:tc>
          <w:tcPr/>
          <w:p>
            <w:pPr>
              <w:pStyle w:val="Tabla8"/>
              <w:jc w:val="left"/>
            </w:pPr>
            <w:r>
              <w:t xml:space="preserve">1</w:t>
            </w:r>
          </w:p>
        </w:tc>
        <w:tc>
          <w:tcPr/>
          <w:p>
            <w:pPr>
              <w:pStyle w:val="Tabla8"/>
              <w:jc w:val="left"/>
            </w:pPr>
            <w:r>
              <w:t xml:space="preserve">12,5</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V06</w:t>
            </w:r>
          </w:p>
        </w:tc>
        <w:tc>
          <w:tcPr/>
          <w:p>
            <w:pPr>
              <w:pStyle w:val="Tabla8"/>
              <w:jc w:val="left"/>
            </w:pPr>
            <w:r>
              <w:t xml:space="preserve">Error de medición IoT</w:t>
            </w:r>
          </w:p>
        </w:tc>
        <w:tc>
          <w:tcPr/>
          <w:p>
            <w:pPr>
              <w:pStyle w:val="Tabla8"/>
              <w:jc w:val="left"/>
            </w:pPr>
            <w:r>
              <w:t xml:space="preserve">3</w:t>
            </w:r>
          </w:p>
        </w:tc>
        <w:tc>
          <w:tcPr/>
          <w:p>
            <w:pPr>
              <w:pStyle w:val="Tabla8"/>
              <w:jc w:val="left"/>
            </w:pPr>
            <w:r>
              <w:t xml:space="preserve">7</w:t>
            </w:r>
          </w:p>
        </w:tc>
        <w:tc>
          <w:tcPr/>
          <w:p>
            <w:pPr>
              <w:pStyle w:val="Tabla8"/>
              <w:jc w:val="left"/>
            </w:pPr>
            <w:r>
              <w:t xml:space="preserve">2,5</w:t>
            </w:r>
          </w:p>
        </w:tc>
        <w:tc>
          <w:tcPr/>
          <w:p>
            <w:pPr>
              <w:pStyle w:val="Tabla8"/>
              <w:jc w:val="left"/>
            </w:pPr>
            <w:r>
              <w:t xml:space="preserve">1</w:t>
            </w:r>
          </w:p>
        </w:tc>
        <w:tc>
          <w:tcPr/>
          <w:p>
            <w:pPr>
              <w:pStyle w:val="Tabla8"/>
              <w:jc w:val="left"/>
            </w:pPr>
            <w:r>
              <w:t xml:space="preserve">CRITICA</w:t>
            </w:r>
          </w:p>
        </w:tc>
        <w:tc>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2</w:t>
            </w:r>
          </w:p>
        </w:tc>
        <w:tc>
          <w:tcPr/>
          <w:p>
            <w:pPr>
              <w:pStyle w:val="Tabla8"/>
              <w:jc w:val="left"/>
            </w:pPr>
            <w:r>
              <w:t xml:space="preserve">0</w:t>
            </w:r>
          </w:p>
        </w:tc>
        <w:tc>
          <w:tcPr/>
          <w:p>
            <w:pPr>
              <w:pStyle w:val="Tabla8"/>
              <w:jc w:val="left"/>
            </w:pPr>
            <w:r>
              <w:t xml:space="preserve">7</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p>
            <w:pPr>
              <w:pStyle w:val="Tabla8"/>
              <w:jc w:val="left"/>
            </w:pPr>
            <w:r>
              <w:t xml:space="preserve">V08</w:t>
            </w:r>
          </w:p>
        </w:tc>
        <w:tc>
          <w:tcPr/>
          <w:p>
            <w:pPr>
              <w:pStyle w:val="Tabla8"/>
              <w:jc w:val="left"/>
            </w:pPr>
            <w:r>
              <w:t xml:space="preserve">Latencia de datos</w:t>
            </w:r>
          </w:p>
        </w:tc>
        <w:tc>
          <w:tcPr/>
          <w:p>
            <w:pPr>
              <w:pStyle w:val="Tabla8"/>
              <w:jc w:val="left"/>
            </w:pPr>
            <w:r>
              <w:t xml:space="preserve">1</w:t>
            </w:r>
          </w:p>
        </w:tc>
        <w:tc>
          <w:tcPr/>
          <w:p>
            <w:pPr>
              <w:pStyle w:val="Tabla8"/>
              <w:jc w:val="left"/>
            </w:pPr>
            <w:r>
              <w:t xml:space="preserve">0</w:t>
            </w:r>
          </w:p>
        </w:tc>
        <w:tc>
          <w:tcPr/>
          <w:p>
            <w:pPr>
              <w:pStyle w:val="Tabla8"/>
              <w:jc w:val="left"/>
            </w:pPr>
            <w:r>
              <w:t xml:space="preserve">12,5</w:t>
            </w:r>
          </w:p>
        </w:tc>
        <w:tc>
          <w:tcPr/>
          <w:p>
            <w:pPr>
              <w:pStyle w:val="Tabla8"/>
              <w:jc w:val="left"/>
            </w:pPr>
            <w:r>
              <w:t xml:space="preserve">12,5</w:t>
            </w:r>
          </w:p>
        </w:tc>
        <w:tc>
          <w:tcPr/>
          <w:p>
            <w:pPr>
              <w:pStyle w:val="Tabla8"/>
              <w:jc w:val="left"/>
            </w:pPr>
            <w:r>
              <w:t xml:space="preserve">AUTONOMA_RELATIVA</w:t>
            </w:r>
          </w:p>
        </w:tc>
        <w:tc>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0</w:t>
            </w:r>
          </w:p>
        </w:tc>
        <w:tc>
          <w:tcPr/>
          <w:p>
            <w:pPr>
              <w:pStyle w:val="Tabla8"/>
              <w:jc w:val="left"/>
            </w:pPr>
            <w:r>
              <w:t xml:space="preserve">2</w:t>
            </w:r>
          </w:p>
        </w:tc>
        <w:tc>
          <w:tcPr/>
          <w:p>
            <w:pPr>
              <w:pStyle w:val="Tabla8"/>
              <w:jc w:val="left"/>
            </w:pPr>
            <w:r>
              <w:t xml:space="preserve">15</w:t>
            </w:r>
          </w:p>
        </w:tc>
        <w:tc>
          <w:tcPr/>
          <w:p>
            <w:pPr>
              <w:pStyle w:val="Tabla8"/>
              <w:jc w:val="left"/>
            </w:pPr>
            <w:r>
              <w:t xml:space="preserve">7</w:t>
            </w:r>
          </w:p>
        </w:tc>
        <w:tc>
          <w:tcPr/>
          <w:p>
            <w:pPr>
              <w:pStyle w:val="Tabla8"/>
              <w:jc w:val="left"/>
            </w:pPr>
            <w:r>
              <w:t xml:space="preserve">FRONTERA</w:t>
            </w:r>
          </w:p>
        </w:tc>
        <w:tc>
          <w:tcPr/>
          <w:p>
            <w:pPr>
              <w:pStyle w:val="Tabla8"/>
              <w:jc w:val="left"/>
            </w:pPr>
            <w:r>
              <w:t xml:space="preserve">REACTIVA</w:t>
            </w:r>
          </w:p>
        </w:tc>
      </w:tr>
      <w:tr>
        <w:trPr>
          <w:cantSplit/>
        </w:trPr>
        <w:tc>
          <w:tcPr/>
          <w:p>
            <w:pPr>
              <w:pStyle w:val="Tabla8"/>
              <w:jc w:val="left"/>
            </w:pPr>
            <w:r>
              <w:t xml:space="preserve">V10</w:t>
            </w:r>
          </w:p>
        </w:tc>
        <w:tc>
          <w:tcPr/>
          <w:p>
            <w:pPr>
              <w:pStyle w:val="Tabla8"/>
              <w:jc w:val="left"/>
            </w:pPr>
            <w:r>
              <w:t xml:space="preserve">Densidad del gemelo</w:t>
            </w:r>
          </w:p>
        </w:tc>
        <w:tc>
          <w:tcPr/>
          <w:p>
            <w:pPr>
              <w:pStyle w:val="Tabla8"/>
              <w:jc w:val="left"/>
            </w:pPr>
            <w:r>
              <w:t xml:space="preserve">1</w:t>
            </w:r>
          </w:p>
        </w:tc>
        <w:tc>
          <w:tcPr/>
          <w:p>
            <w:pPr>
              <w:pStyle w:val="Tabla8"/>
              <w:jc w:val="left"/>
            </w:pPr>
            <w:r>
              <w:t xml:space="preserve">0</w:t>
            </w:r>
          </w:p>
        </w:tc>
        <w:tc>
          <w:tcPr/>
          <w:p>
            <w:pPr>
              <w:pStyle w:val="Tabla8"/>
              <w:jc w:val="left"/>
            </w:pPr>
            <w:r>
              <w:t xml:space="preserve">12,5</w:t>
            </w:r>
          </w:p>
        </w:tc>
        <w:tc>
          <w:tcPr/>
          <w:p>
            <w:pPr>
              <w:pStyle w:val="Tabla8"/>
              <w:jc w:val="left"/>
            </w:pPr>
            <w:r>
              <w:t xml:space="preserve">12,5</w:t>
            </w:r>
          </w:p>
        </w:tc>
        <w:tc>
          <w:tcPr/>
          <w:p>
            <w:pPr>
              <w:pStyle w:val="Tabla8"/>
              <w:jc w:val="left"/>
            </w:pPr>
            <w:r>
              <w:t xml:space="preserve">AUTONOMA_RELATIVA</w:t>
            </w:r>
          </w:p>
        </w:tc>
        <w:tc>
          <w:tcPr/>
          <w:p>
            <w:pPr>
              <w:pStyle w:val="Tabla8"/>
              <w:jc w:val="left"/>
            </w:pPr>
            <w:r>
              <w:t xml:space="preserve">AUTONOMA_RELATIVA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2</w:t>
            </w:r>
          </w:p>
        </w:tc>
        <w:tc>
          <w:tcPr/>
          <w:p>
            <w:pPr>
              <w:pStyle w:val="Tabla8"/>
              <w:jc w:val="left"/>
            </w:pPr>
            <w:r>
              <w:t xml:space="preserve">5</w:t>
            </w:r>
          </w:p>
        </w:tc>
        <w:tc>
          <w:tcPr/>
          <w:p>
            <w:pPr>
              <w:pStyle w:val="Tabla8"/>
              <w:jc w:val="left"/>
            </w:pPr>
            <w:r>
              <w:t xml:space="preserve">7</w:t>
            </w:r>
          </w:p>
        </w:tc>
        <w:tc>
          <w:tcPr/>
          <w:p>
            <w:pPr>
              <w:pStyle w:val="Tabla8"/>
              <w:jc w:val="left"/>
            </w:pPr>
            <w:r>
              <w:t xml:space="preserve">2</w:t>
            </w:r>
          </w:p>
        </w:tc>
        <w:tc>
          <w:tcPr/>
          <w:p>
            <w:pPr>
              <w:pStyle w:val="Tabla8"/>
              <w:jc w:val="left"/>
            </w:pPr>
            <w:r>
              <w:t xml:space="preserve">FRONTERA</w:t>
            </w:r>
          </w:p>
        </w:tc>
        <w:tc>
          <w:tcPr/>
          <w:p>
            <w:pPr>
              <w:pStyle w:val="Tabla8"/>
              <w:jc w:val="left"/>
            </w:pPr>
            <w:r>
              <w:t xml:space="preserve">CRITICA</w:t>
            </w:r>
          </w:p>
        </w:tc>
      </w:tr>
      <w:tr>
        <w:trPr>
          <w:cantSplit/>
        </w:trPr>
        <w:tc>
          <w:tcPr/>
          <w:p>
            <w:pPr>
              <w:pStyle w:val="Tabla8"/>
              <w:jc w:val="left"/>
            </w:pPr>
            <w:r>
              <w:t xml:space="preserve">V12</w:t>
            </w:r>
          </w:p>
        </w:tc>
        <w:tc>
          <w:tcPr/>
          <w:p>
            <w:pPr>
              <w:pStyle w:val="Tabla8"/>
              <w:jc w:val="left"/>
            </w:pPr>
            <w:r>
              <w:t xml:space="preserve">Falsas alarmas</w:t>
            </w:r>
          </w:p>
        </w:tc>
        <w:tc>
          <w:tcPr/>
          <w:p>
            <w:pPr>
              <w:pStyle w:val="Tabla8"/>
              <w:jc w:val="left"/>
            </w:pPr>
            <w:r>
              <w:t xml:space="preserve">1</w:t>
            </w:r>
          </w:p>
        </w:tc>
        <w:tc>
          <w:tcPr/>
          <w:p>
            <w:pPr>
              <w:pStyle w:val="Tabla8"/>
              <w:jc w:val="left"/>
            </w:pPr>
            <w:r>
              <w:t xml:space="preserve">2</w:t>
            </w:r>
          </w:p>
        </w:tc>
        <w:tc>
          <w:tcPr/>
          <w:p>
            <w:pPr>
              <w:pStyle w:val="Tabla8"/>
              <w:jc w:val="left"/>
            </w:pPr>
            <w:r>
              <w:t xml:space="preserve">12,5</w:t>
            </w:r>
          </w:p>
        </w:tc>
        <w:tc>
          <w:tcPr/>
          <w:p>
            <w:pPr>
              <w:pStyle w:val="Tabla8"/>
              <w:jc w:val="left"/>
            </w:pPr>
            <w:r>
              <w:t xml:space="preserve">7</w:t>
            </w:r>
          </w:p>
        </w:tc>
        <w:tc>
          <w:tcPr/>
          <w:p>
            <w:pPr>
              <w:pStyle w:val="Tabla8"/>
              <w:jc w:val="left"/>
            </w:pPr>
            <w:r>
              <w:t xml:space="preserve">FRONTERA</w:t>
            </w:r>
          </w:p>
        </w:tc>
        <w:tc>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2</w:t>
            </w:r>
          </w:p>
        </w:tc>
        <w:tc>
          <w:tcPr/>
          <w:p>
            <w:pPr>
              <w:pStyle w:val="Tabla8"/>
              <w:jc w:val="left"/>
            </w:pPr>
            <w:r>
              <w:t xml:space="preserve">1</w:t>
            </w:r>
          </w:p>
        </w:tc>
        <w:tc>
          <w:tcPr/>
          <w:p>
            <w:pPr>
              <w:pStyle w:val="Tabla8"/>
              <w:jc w:val="left"/>
            </w:pPr>
            <w:r>
              <w:t xml:space="preserve">7</w:t>
            </w:r>
          </w:p>
        </w:tc>
        <w:tc>
          <w:tcPr/>
          <w:p>
            <w:pPr>
              <w:pStyle w:val="Tabla8"/>
              <w:jc w:val="left"/>
            </w:pPr>
            <w:r>
              <w:t xml:space="preserve">9</w:t>
            </w:r>
          </w:p>
        </w:tc>
        <w:tc>
          <w:tcPr/>
          <w:p>
            <w:pPr>
              <w:pStyle w:val="Tabla8"/>
              <w:jc w:val="left"/>
            </w:pPr>
            <w:r>
              <w:t xml:space="preserve">FRONTERA</w:t>
            </w:r>
          </w:p>
        </w:tc>
        <w:tc>
          <w:tcPr/>
          <w:p>
            <w:pPr>
              <w:pStyle w:val="Tabla8"/>
              <w:jc w:val="left"/>
            </w:pPr>
            <w:r>
              <w:t xml:space="preserve">ACTIVA</w:t>
            </w:r>
          </w:p>
        </w:tc>
      </w:tr>
      <w:tr>
        <w:trPr>
          <w:cantSplit/>
        </w:trPr>
        <w:tc>
          <w:tcPr/>
          <w:p>
            <w:pPr>
              <w:pStyle w:val="Tabla8"/>
              <w:jc w:val="left"/>
            </w:pPr>
            <w:r>
              <w:t xml:space="preserve">V14</w:t>
            </w:r>
          </w:p>
        </w:tc>
        <w:tc>
          <w:tcPr/>
          <w:p>
            <w:pPr>
              <w:pStyle w:val="Tabla8"/>
              <w:jc w:val="left"/>
            </w:pPr>
            <w:r>
              <w:t xml:space="preserve">Personas alertadas</w:t>
            </w:r>
          </w:p>
        </w:tc>
        <w:tc>
          <w:tcPr/>
          <w:p>
            <w:pPr>
              <w:pStyle w:val="Tabla8"/>
              <w:jc w:val="left"/>
            </w:pPr>
            <w:r>
              <w:t xml:space="preserve">1</w:t>
            </w:r>
          </w:p>
        </w:tc>
        <w:tc>
          <w:tcPr/>
          <w:p>
            <w:pPr>
              <w:pStyle w:val="Tabla8"/>
              <w:jc w:val="left"/>
            </w:pPr>
            <w:r>
              <w:t xml:space="preserve">4</w:t>
            </w:r>
          </w:p>
        </w:tc>
        <w:tc>
          <w:tcPr/>
          <w:p>
            <w:pPr>
              <w:pStyle w:val="Tabla8"/>
              <w:jc w:val="left"/>
            </w:pPr>
            <w:r>
              <w:t xml:space="preserve">12,5</w:t>
            </w:r>
          </w:p>
        </w:tc>
        <w:tc>
          <w:tcPr/>
          <w:p>
            <w:pPr>
              <w:pStyle w:val="Tabla8"/>
              <w:jc w:val="left"/>
            </w:pPr>
            <w:r>
              <w:t xml:space="preserve">3</w:t>
            </w:r>
          </w:p>
        </w:tc>
        <w:tc>
          <w:tcPr/>
          <w:p>
            <w:pPr>
              <w:pStyle w:val="Tabla8"/>
              <w:jc w:val="left"/>
            </w:pPr>
            <w:r>
              <w:t xml:space="preserve">REACTIVA</w:t>
            </w:r>
          </w:p>
        </w:tc>
        <w:tc>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2</w:t>
            </w:r>
          </w:p>
        </w:tc>
        <w:tc>
          <w:tcPr/>
          <w:p>
            <w:pPr>
              <w:pStyle w:val="Tabla8"/>
              <w:jc w:val="left"/>
            </w:pPr>
            <w:r>
              <w:t xml:space="preserve">2</w:t>
            </w:r>
          </w:p>
        </w:tc>
        <w:tc>
          <w:tcPr/>
          <w:p>
            <w:pPr>
              <w:pStyle w:val="Tabla8"/>
              <w:jc w:val="left"/>
            </w:pPr>
            <w:r>
              <w:t xml:space="preserve">7</w:t>
            </w:r>
          </w:p>
        </w:tc>
        <w:tc>
          <w:tcPr/>
          <w:p>
            <w:pPr>
              <w:pStyle w:val="Tabla8"/>
              <w:jc w:val="left"/>
            </w:pPr>
            <w:r>
              <w:t xml:space="preserve">7</w:t>
            </w:r>
          </w:p>
        </w:tc>
        <w:tc>
          <w:tcPr/>
          <w:p>
            <w:pPr>
              <w:pStyle w:val="Tabla8"/>
              <w:jc w:val="left"/>
            </w:pPr>
            <w:r>
              <w:t xml:space="preserve">FRONTERA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S4.</w:t>
      </w:r>
      <w:r>
        <w:t xml:space="preserve"> </w:t>
      </w:r>
      <w:r>
        <w:t xml:space="preserve">Mediana de I = 8; mediana de D = 7; media = 7,867. Clases por mediana: ACTIVA 3, AUTONOMA_RELATIVA 1, CRITICA 3, FRONTERA 4, REACTIVA 4. Cambian con la media: V01, V02, V03, V08.</w:t>
      </w:r>
    </w:p>
    <w:p>
      <w:pPr>
        <w:pStyle w:val="BodyText"/>
      </w:pPr>
      <w:r>
        <w:t xml:space="preserve">La Tabla F4.33 reúne los datos de «Clasificación directa de las variables en el escenario S4».</w:t>
      </w:r>
    </w:p>
    <w:p>
      <w:pPr>
        <w:pStyle w:val="TablaRotulo"/>
      </w:pPr>
      <w:bookmarkStart w:id="9110" w:name="rot_Tabla_F4_33"/>
      <w:r>
        <w:rPr>
          <w:b/>
          <w:bCs/>
        </w:rPr>
        <w:t xml:space="preserve">Tabla F4.33</w:t>
      </w:r>
      <w:bookmarkEnd w:id="9110"/>
    </w:p>
    <w:p>
      <w:pPr>
        <w:pStyle w:val="TablaTitulo"/>
      </w:pPr>
      <w:r>
        <w:rPr>
          <w:i/>
          <w:iCs/>
        </w:rPr>
        <w:t xml:space="preserve">Clasificación directa de las variables en el escenario S4</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96"/>
        <w:gridCol w:w="1320"/>
        <w:gridCol w:w="330"/>
        <w:gridCol w:w="330"/>
        <w:gridCol w:w="594"/>
        <w:gridCol w:w="594"/>
        <w:gridCol w:w="2178"/>
        <w:gridCol w:w="2178"/>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Variable</w:t>
            </w:r>
          </w:p>
        </w:tc>
        <w:tc>
          <w:tcPr>
            <w:shd w:val="clear" w:color="auto" w:fill="00B050"/>
          </w:tcPr>
          <w:p>
            <w:pPr>
              <w:pStyle w:val="Tabla8"/>
              <w:jc w:val="center"/>
            </w:pPr>
            <w:r>
              <w:rPr>
                <w:b/>
                <w:color w:val="FFFFFF"/>
              </w:rPr>
              <w:t xml:space="preserve">I</w:t>
            </w:r>
          </w:p>
        </w:tc>
        <w:tc>
          <w:tcPr>
            <w:shd w:val="clear" w:color="auto" w:fill="00B050"/>
          </w:tcPr>
          <w:p>
            <w:pPr>
              <w:pStyle w:val="Tabla8"/>
              <w:jc w:val="center"/>
            </w:pPr>
            <w:r>
              <w:rPr>
                <w:b/>
                <w:color w:val="FFFFFF"/>
              </w:rPr>
              <w:t xml:space="preserve">D</w:t>
            </w:r>
          </w:p>
        </w:tc>
        <w:tc>
          <w:tcPr>
            <w:shd w:val="clear" w:color="auto" w:fill="00B050"/>
          </w:tcPr>
          <w:p>
            <w:pPr>
              <w:pStyle w:val="Tabla8"/>
              <w:jc w:val="center"/>
            </w:pPr>
            <w:r>
              <w:rPr>
                <w:b/>
                <w:color w:val="FFFFFF"/>
              </w:rPr>
              <w:t xml:space="preserve">Rango I</w:t>
            </w:r>
          </w:p>
        </w:tc>
        <w:tc>
          <w:tcPr>
            <w:shd w:val="clear" w:color="auto" w:fill="00B050"/>
          </w:tcPr>
          <w:p>
            <w:pPr>
              <w:pStyle w:val="Tabla8"/>
              <w:jc w:val="center"/>
            </w:pPr>
            <w:r>
              <w:rPr>
                <w:b/>
                <w:color w:val="FFFFFF"/>
              </w:rPr>
              <w:t xml:space="preserve">Rango D</w:t>
            </w:r>
          </w:p>
        </w:tc>
        <w:tc>
          <w:tcPr>
            <w:shd w:val="clear" w:color="auto" w:fill="00B050"/>
          </w:tcPr>
          <w:p>
            <w:pPr>
              <w:pStyle w:val="Tabla8"/>
              <w:jc w:val="center"/>
            </w:pPr>
            <w:r>
              <w:rPr>
                <w:b/>
                <w:color w:val="FFFFFF"/>
              </w:rPr>
              <w:t xml:space="preserve">Clase por mediana</w:t>
            </w:r>
          </w:p>
        </w:tc>
        <w:tc>
          <w:tcPr>
            <w:shd w:val="clear" w:color="auto" w:fill="00B050"/>
          </w:tcPr>
          <w:p>
            <w:pPr>
              <w:pStyle w:val="Tabla8"/>
              <w:jc w:val="center"/>
            </w:pPr>
            <w:r>
              <w:rPr>
                <w:b/>
                <w:color w:val="FFFFFF"/>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7</w:t>
            </w:r>
          </w:p>
        </w:tc>
        <w:tc>
          <w:tcPr/>
          <w:p>
            <w:pPr>
              <w:pStyle w:val="Tabla8"/>
              <w:jc w:val="left"/>
            </w:pPr>
            <w:r>
              <w:t xml:space="preserve">7</w:t>
            </w:r>
          </w:p>
        </w:tc>
        <w:tc>
          <w:tcPr/>
          <w:p>
            <w:pPr>
              <w:pStyle w:val="Tabla8"/>
              <w:jc w:val="left"/>
            </w:pPr>
            <w:r>
              <w:t xml:space="preserve">10,5</w:t>
            </w:r>
          </w:p>
        </w:tc>
        <w:tc>
          <w:tcPr/>
          <w:p>
            <w:pPr>
              <w:pStyle w:val="Tabla8"/>
              <w:jc w:val="left"/>
            </w:pPr>
            <w:r>
              <w:t xml:space="preserve">8,5</w:t>
            </w:r>
          </w:p>
        </w:tc>
        <w:tc>
          <w:tcPr/>
          <w:p>
            <w:pPr>
              <w:pStyle w:val="Tabla8"/>
              <w:jc w:val="left"/>
            </w:pPr>
            <w:r>
              <w:t xml:space="preserve">FRONTERA</w:t>
            </w:r>
          </w:p>
        </w:tc>
        <w:tc>
          <w:tcPr/>
          <w:p>
            <w:pPr>
              <w:pStyle w:val="Tabla8"/>
              <w:jc w:val="left"/>
            </w:pPr>
            <w:r>
              <w:t xml:space="preserve">AUTONOMA_RELATIVA</w:t>
            </w:r>
          </w:p>
        </w:tc>
      </w:tr>
      <w:tr>
        <w:trPr>
          <w:cantSplit/>
        </w:trPr>
        <w:tc>
          <w:tcPr/>
          <w:p>
            <w:pPr>
              <w:pStyle w:val="Tabla8"/>
              <w:jc w:val="left"/>
            </w:pPr>
            <w:r>
              <w:t xml:space="preserve">V02</w:t>
            </w:r>
          </w:p>
        </w:tc>
        <w:tc>
          <w:tcPr/>
          <w:p>
            <w:pPr>
              <w:pStyle w:val="Tabla8"/>
              <w:jc w:val="left"/>
            </w:pPr>
            <w:r>
              <w:t xml:space="preserve">Concentración PM10</w:t>
            </w:r>
          </w:p>
        </w:tc>
        <w:tc>
          <w:tcPr/>
          <w:p>
            <w:pPr>
              <w:pStyle w:val="Tabla8"/>
              <w:jc w:val="left"/>
            </w:pPr>
            <w:r>
              <w:t xml:space="preserve">8</w:t>
            </w:r>
          </w:p>
        </w:tc>
        <w:tc>
          <w:tcPr/>
          <w:p>
            <w:pPr>
              <w:pStyle w:val="Tabla8"/>
              <w:jc w:val="left"/>
            </w:pPr>
            <w:r>
              <w:t xml:space="preserve">7</w:t>
            </w:r>
          </w:p>
        </w:tc>
        <w:tc>
          <w:tcPr/>
          <w:p>
            <w:pPr>
              <w:pStyle w:val="Tabla8"/>
              <w:jc w:val="left"/>
            </w:pPr>
            <w:r>
              <w:t xml:space="preserve">8</w:t>
            </w:r>
          </w:p>
        </w:tc>
        <w:tc>
          <w:tcPr/>
          <w:p>
            <w:pPr>
              <w:pStyle w:val="Tabla8"/>
              <w:jc w:val="left"/>
            </w:pPr>
            <w:r>
              <w:t xml:space="preserve">8,5</w:t>
            </w:r>
          </w:p>
        </w:tc>
        <w:tc>
          <w:tcPr/>
          <w:p>
            <w:pPr>
              <w:pStyle w:val="Tabla8"/>
              <w:jc w:val="left"/>
            </w:pPr>
            <w:r>
              <w:t xml:space="preserve">FRONTERA</w:t>
            </w:r>
          </w:p>
        </w:tc>
        <w:tc>
          <w:tcPr/>
          <w:p>
            <w:pPr>
              <w:pStyle w:val="Tabla8"/>
              <w:jc w:val="left"/>
            </w:pPr>
            <w:r>
              <w:t xml:space="preserv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8</w:t>
            </w:r>
          </w:p>
        </w:tc>
        <w:tc>
          <w:tcPr/>
          <w:p>
            <w:pPr>
              <w:pStyle w:val="Tabla8"/>
              <w:jc w:val="left"/>
            </w:pPr>
            <w:r>
              <w:t xml:space="preserve">1</w:t>
            </w:r>
          </w:p>
        </w:tc>
        <w:tc>
          <w:tcPr/>
          <w:p>
            <w:pPr>
              <w:pStyle w:val="Tabla8"/>
              <w:jc w:val="left"/>
            </w:pPr>
            <w:r>
              <w:t xml:space="preserve">8</w:t>
            </w:r>
          </w:p>
        </w:tc>
        <w:tc>
          <w:tcPr/>
          <w:p>
            <w:pPr>
              <w:pStyle w:val="Tabla8"/>
              <w:jc w:val="left"/>
            </w:pPr>
            <w:r>
              <w:t xml:space="preserve">14</w:t>
            </w:r>
          </w:p>
        </w:tc>
        <w:tc>
          <w:tcPr/>
          <w:p>
            <w:pPr>
              <w:pStyle w:val="Tabla8"/>
              <w:jc w:val="left"/>
            </w:pPr>
            <w:r>
              <w:t xml:space="preserve">FRONTERA</w:t>
            </w:r>
          </w:p>
        </w:tc>
        <w:tc>
          <w:tcPr/>
          <w:p>
            <w:pPr>
              <w:pStyle w:val="Tabla8"/>
              <w:jc w:val="left"/>
            </w:pPr>
            <w:r>
              <w:t xml:space="preserve">ACTIVA</w:t>
            </w:r>
          </w:p>
        </w:tc>
      </w:tr>
      <w:tr>
        <w:trPr>
          <w:cantSplit/>
        </w:trPr>
        <w:tc>
          <w:tcPr/>
          <w:p>
            <w:pPr>
              <w:pStyle w:val="Tabla8"/>
              <w:jc w:val="left"/>
            </w:pPr>
            <w:r>
              <w:t xml:space="preserve">V04</w:t>
            </w:r>
          </w:p>
        </w:tc>
        <w:tc>
          <w:tcPr/>
          <w:p>
            <w:pPr>
              <w:pStyle w:val="Tabla8"/>
              <w:jc w:val="left"/>
            </w:pPr>
            <w:r>
              <w:t xml:space="preserve">Velocidad del viento</w:t>
            </w:r>
          </w:p>
        </w:tc>
        <w:tc>
          <w:tcPr/>
          <w:p>
            <w:pPr>
              <w:pStyle w:val="Tabla8"/>
              <w:jc w:val="left"/>
            </w:pPr>
            <w:r>
              <w:t xml:space="preserve">13</w:t>
            </w:r>
          </w:p>
        </w:tc>
        <w:tc>
          <w:tcPr/>
          <w:p>
            <w:pPr>
              <w:pStyle w:val="Tabla8"/>
              <w:jc w:val="left"/>
            </w:pPr>
            <w:r>
              <w:t xml:space="preserve">0</w:t>
            </w:r>
          </w:p>
        </w:tc>
        <w:tc>
          <w:tcPr/>
          <w:p>
            <w:pPr>
              <w:pStyle w:val="Tabla8"/>
              <w:jc w:val="left"/>
            </w:pPr>
            <w:r>
              <w:t xml:space="preserve">1</w:t>
            </w:r>
          </w:p>
        </w:tc>
        <w:tc>
          <w:tcPr/>
          <w:p>
            <w:pPr>
              <w:pStyle w:val="Tabla8"/>
              <w:jc w:val="left"/>
            </w:pPr>
            <w:r>
              <w:t xml:space="preserve">15</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10</w:t>
            </w:r>
          </w:p>
        </w:tc>
        <w:tc>
          <w:tcPr/>
          <w:p>
            <w:pPr>
              <w:pStyle w:val="Tabla8"/>
              <w:jc w:val="left"/>
            </w:pPr>
            <w:r>
              <w:t xml:space="preserve">3</w:t>
            </w:r>
          </w:p>
        </w:tc>
        <w:tc>
          <w:tcPr/>
          <w:p>
            <w:pPr>
              <w:pStyle w:val="Tabla8"/>
              <w:jc w:val="left"/>
            </w:pPr>
            <w:r>
              <w:t xml:space="preserve">4</w:t>
            </w:r>
          </w:p>
        </w:tc>
        <w:tc>
          <w:tcPr/>
          <w:p>
            <w:pPr>
              <w:pStyle w:val="Tabla8"/>
              <w:jc w:val="left"/>
            </w:pPr>
            <w:r>
              <w:t xml:space="preserve">12,5</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V06</w:t>
            </w:r>
          </w:p>
        </w:tc>
        <w:tc>
          <w:tcPr/>
          <w:p>
            <w:pPr>
              <w:pStyle w:val="Tabla8"/>
              <w:jc w:val="left"/>
            </w:pPr>
            <w:r>
              <w:t xml:space="preserve">Error de medición IoT</w:t>
            </w:r>
          </w:p>
        </w:tc>
        <w:tc>
          <w:tcPr/>
          <w:p>
            <w:pPr>
              <w:pStyle w:val="Tabla8"/>
              <w:jc w:val="left"/>
            </w:pPr>
            <w:r>
              <w:t xml:space="preserve">10</w:t>
            </w:r>
          </w:p>
        </w:tc>
        <w:tc>
          <w:tcPr/>
          <w:p>
            <w:pPr>
              <w:pStyle w:val="Tabla8"/>
              <w:jc w:val="left"/>
            </w:pPr>
            <w:r>
              <w:t xml:space="preserve">17</w:t>
            </w:r>
          </w:p>
        </w:tc>
        <w:tc>
          <w:tcPr/>
          <w:p>
            <w:pPr>
              <w:pStyle w:val="Tabla8"/>
              <w:jc w:val="left"/>
            </w:pPr>
            <w:r>
              <w:t xml:space="preserve">4</w:t>
            </w:r>
          </w:p>
        </w:tc>
        <w:tc>
          <w:tcPr/>
          <w:p>
            <w:pPr>
              <w:pStyle w:val="Tabla8"/>
              <w:jc w:val="left"/>
            </w:pPr>
            <w:r>
              <w:t xml:space="preserve">1</w:t>
            </w:r>
          </w:p>
        </w:tc>
        <w:tc>
          <w:tcPr/>
          <w:p>
            <w:pPr>
              <w:pStyle w:val="Tabla8"/>
              <w:jc w:val="left"/>
            </w:pPr>
            <w:r>
              <w:t xml:space="preserve">CRITICA</w:t>
            </w:r>
          </w:p>
        </w:tc>
        <w:tc>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6</w:t>
            </w:r>
          </w:p>
        </w:tc>
        <w:tc>
          <w:tcPr/>
          <w:p>
            <w:pPr>
              <w:pStyle w:val="Tabla8"/>
              <w:jc w:val="left"/>
            </w:pPr>
            <w:r>
              <w:t xml:space="preserve">4</w:t>
            </w:r>
          </w:p>
        </w:tc>
        <w:tc>
          <w:tcPr/>
          <w:p>
            <w:pPr>
              <w:pStyle w:val="Tabla8"/>
              <w:jc w:val="left"/>
            </w:pPr>
            <w:r>
              <w:t xml:space="preserve">12</w:t>
            </w:r>
          </w:p>
        </w:tc>
        <w:tc>
          <w:tcPr/>
          <w:p>
            <w:pPr>
              <w:pStyle w:val="Tabla8"/>
              <w:jc w:val="left"/>
            </w:pPr>
            <w:r>
              <w:t xml:space="preserve">10,5</w:t>
            </w:r>
          </w:p>
        </w:tc>
        <w:tc>
          <w:tcPr/>
          <w:p>
            <w:pPr>
              <w:pStyle w:val="Tabla8"/>
              <w:jc w:val="left"/>
            </w:pPr>
            <w:r>
              <w:t xml:space="preserve">AUTONOMA_RELATIVA</w:t>
            </w:r>
          </w:p>
        </w:tc>
        <w:tc>
          <w:tcPr/>
          <w:p>
            <w:pPr>
              <w:pStyle w:val="Tabla8"/>
              <w:jc w:val="left"/>
            </w:pPr>
            <w:r>
              <w:t xml:space="preserve">AUTONOMA_RELATIVA</w:t>
            </w:r>
          </w:p>
        </w:tc>
      </w:tr>
      <w:tr>
        <w:trPr>
          <w:cantSplit/>
        </w:trPr>
        <w:tc>
          <w:tcPr/>
          <w:p>
            <w:pPr>
              <w:pStyle w:val="Tabla8"/>
              <w:jc w:val="left"/>
            </w:pPr>
            <w:r>
              <w:t xml:space="preserve">V08</w:t>
            </w:r>
          </w:p>
        </w:tc>
        <w:tc>
          <w:tcPr/>
          <w:p>
            <w:pPr>
              <w:pStyle w:val="Tabla8"/>
              <w:jc w:val="left"/>
            </w:pPr>
            <w:r>
              <w:t xml:space="preserve">Latencia de datos</w:t>
            </w:r>
          </w:p>
        </w:tc>
        <w:tc>
          <w:tcPr/>
          <w:p>
            <w:pPr>
              <w:pStyle w:val="Tabla8"/>
              <w:jc w:val="left"/>
            </w:pPr>
            <w:r>
              <w:t xml:space="preserve">8</w:t>
            </w:r>
          </w:p>
        </w:tc>
        <w:tc>
          <w:tcPr/>
          <w:p>
            <w:pPr>
              <w:pStyle w:val="Tabla8"/>
              <w:jc w:val="left"/>
            </w:pPr>
            <w:r>
              <w:t xml:space="preserve">3</w:t>
            </w:r>
          </w:p>
        </w:tc>
        <w:tc>
          <w:tcPr/>
          <w:p>
            <w:pPr>
              <w:pStyle w:val="Tabla8"/>
              <w:jc w:val="left"/>
            </w:pPr>
            <w:r>
              <w:t xml:space="preserve">8</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5</w:t>
            </w:r>
          </w:p>
        </w:tc>
        <w:tc>
          <w:tcPr/>
          <w:p>
            <w:pPr>
              <w:pStyle w:val="Tabla8"/>
              <w:jc w:val="left"/>
            </w:pPr>
            <w:r>
              <w:t xml:space="preserve">14</w:t>
            </w:r>
          </w:p>
        </w:tc>
        <w:tc>
          <w:tcPr/>
          <w:p>
            <w:pPr>
              <w:pStyle w:val="Tabla8"/>
              <w:jc w:val="left"/>
            </w:pPr>
            <w:r>
              <w:t xml:space="preserve">13</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p>
            <w:pPr>
              <w:pStyle w:val="Tabla8"/>
              <w:jc w:val="left"/>
            </w:pPr>
            <w:r>
              <w:t xml:space="preserve">V10</w:t>
            </w:r>
          </w:p>
        </w:tc>
        <w:tc>
          <w:tcPr/>
          <w:p>
            <w:pPr>
              <w:pStyle w:val="Tabla8"/>
              <w:jc w:val="left"/>
            </w:pPr>
            <w:r>
              <w:t xml:space="preserve">Densidad del gemelo</w:t>
            </w:r>
          </w:p>
        </w:tc>
        <w:tc>
          <w:tcPr/>
          <w:p>
            <w:pPr>
              <w:pStyle w:val="Tabla8"/>
              <w:jc w:val="left"/>
            </w:pPr>
            <w:r>
              <w:t xml:space="preserve">10</w:t>
            </w:r>
          </w:p>
        </w:tc>
        <w:tc>
          <w:tcPr/>
          <w:p>
            <w:pPr>
              <w:pStyle w:val="Tabla8"/>
              <w:jc w:val="left"/>
            </w:pPr>
            <w:r>
              <w:t xml:space="preserve">4</w:t>
            </w:r>
          </w:p>
        </w:tc>
        <w:tc>
          <w:tcPr/>
          <w:p>
            <w:pPr>
              <w:pStyle w:val="Tabla8"/>
              <w:jc w:val="left"/>
            </w:pPr>
            <w:r>
              <w:t xml:space="preserve">4</w:t>
            </w:r>
          </w:p>
        </w:tc>
        <w:tc>
          <w:tcPr/>
          <w:p>
            <w:pPr>
              <w:pStyle w:val="Tabla8"/>
              <w:jc w:val="left"/>
            </w:pPr>
            <w:r>
              <w:t xml:space="preserve">10,5</w:t>
            </w:r>
          </w:p>
        </w:tc>
        <w:tc>
          <w:tcPr/>
          <w:p>
            <w:pPr>
              <w:pStyle w:val="Tabla8"/>
              <w:jc w:val="left"/>
            </w:pPr>
            <w:r>
              <w:t xml:space="preserve">ACTIVA</w:t>
            </w:r>
          </w:p>
        </w:tc>
        <w:tc>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9</w:t>
            </w:r>
          </w:p>
        </w:tc>
        <w:tc>
          <w:tcPr/>
          <w:p>
            <w:pPr>
              <w:pStyle w:val="Tabla8"/>
              <w:jc w:val="left"/>
            </w:pPr>
            <w:r>
              <w:t xml:space="preserve">15</w:t>
            </w:r>
          </w:p>
        </w:tc>
        <w:tc>
          <w:tcPr/>
          <w:p>
            <w:pPr>
              <w:pStyle w:val="Tabla8"/>
              <w:jc w:val="left"/>
            </w:pPr>
            <w:r>
              <w:t xml:space="preserve">6</w:t>
            </w:r>
          </w:p>
        </w:tc>
        <w:tc>
          <w:tcPr/>
          <w:p>
            <w:pPr>
              <w:pStyle w:val="Tabla8"/>
              <w:jc w:val="left"/>
            </w:pPr>
            <w:r>
              <w:t xml:space="preserve">2</w:t>
            </w:r>
          </w:p>
        </w:tc>
        <w:tc>
          <w:tcPr/>
          <w:p>
            <w:pPr>
              <w:pStyle w:val="Tabla8"/>
              <w:jc w:val="left"/>
            </w:pPr>
            <w:r>
              <w:t xml:space="preserve">CRITICA</w:t>
            </w:r>
          </w:p>
        </w:tc>
        <w:tc>
          <w:tcPr/>
          <w:p>
            <w:pPr>
              <w:pStyle w:val="Tabla8"/>
              <w:jc w:val="left"/>
            </w:pPr>
            <w:r>
              <w:t xml:space="preserve">CRITICA</w:t>
            </w:r>
          </w:p>
        </w:tc>
      </w:tr>
      <w:tr>
        <w:trPr>
          <w:cantSplit/>
        </w:trPr>
        <w:tc>
          <w:tcPr/>
          <w:p>
            <w:pPr>
              <w:pStyle w:val="Tabla8"/>
              <w:jc w:val="left"/>
            </w:pPr>
            <w:r>
              <w:t xml:space="preserve">V12</w:t>
            </w:r>
          </w:p>
        </w:tc>
        <w:tc>
          <w:tcPr/>
          <w:p>
            <w:pPr>
              <w:pStyle w:val="Tabla8"/>
              <w:jc w:val="left"/>
            </w:pPr>
            <w:r>
              <w:t xml:space="preserve">Falsas alarmas</w:t>
            </w:r>
          </w:p>
        </w:tc>
        <w:tc>
          <w:tcPr/>
          <w:p>
            <w:pPr>
              <w:pStyle w:val="Tabla8"/>
              <w:jc w:val="left"/>
            </w:pPr>
            <w:r>
              <w:t xml:space="preserve">7</w:t>
            </w:r>
          </w:p>
        </w:tc>
        <w:tc>
          <w:tcPr/>
          <w:p>
            <w:pPr>
              <w:pStyle w:val="Tabla8"/>
              <w:jc w:val="left"/>
            </w:pPr>
            <w:r>
              <w:t xml:space="preserve">9</w:t>
            </w:r>
          </w:p>
        </w:tc>
        <w:tc>
          <w:tcPr/>
          <w:p>
            <w:pPr>
              <w:pStyle w:val="Tabla8"/>
              <w:jc w:val="left"/>
            </w:pPr>
            <w:r>
              <w:t xml:space="preserve">10,5</w:t>
            </w:r>
          </w:p>
        </w:tc>
        <w:tc>
          <w:tcPr/>
          <w:p>
            <w:pPr>
              <w:pStyle w:val="Tabla8"/>
              <w:jc w:val="left"/>
            </w:pPr>
            <w:r>
              <w:t xml:space="preserve">6,5</w:t>
            </w:r>
          </w:p>
        </w:tc>
        <w:tc>
          <w:tcPr/>
          <w:p>
            <w:pPr>
              <w:pStyle w:val="Tabla8"/>
              <w:jc w:val="left"/>
            </w:pPr>
            <w:r>
              <w:t xml:space="preserve">REACTIVA</w:t>
            </w:r>
          </w:p>
        </w:tc>
        <w:tc>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9</w:t>
            </w:r>
          </w:p>
        </w:tc>
        <w:tc>
          <w:tcPr/>
          <w:p>
            <w:pPr>
              <w:pStyle w:val="Tabla8"/>
              <w:jc w:val="left"/>
            </w:pPr>
            <w:r>
              <w:t xml:space="preserve">14</w:t>
            </w:r>
          </w:p>
        </w:tc>
        <w:tc>
          <w:tcPr/>
          <w:p>
            <w:pPr>
              <w:pStyle w:val="Tabla8"/>
              <w:jc w:val="left"/>
            </w:pPr>
            <w:r>
              <w:t xml:space="preserve">6,5</w:t>
            </w:r>
          </w:p>
        </w:tc>
        <w:tc>
          <w:tcPr/>
          <w:p>
            <w:pPr>
              <w:pStyle w:val="Tabla8"/>
              <w:jc w:val="left"/>
            </w:pPr>
            <w:r>
              <w:t xml:space="preserve">REACTIVA</w:t>
            </w:r>
          </w:p>
        </w:tc>
        <w:tc>
          <w:tcPr/>
          <w:p>
            <w:pPr>
              <w:pStyle w:val="Tabla8"/>
              <w:jc w:val="left"/>
            </w:pPr>
            <w:r>
              <w:t xml:space="preserve">REACTIVA</w:t>
            </w:r>
          </w:p>
        </w:tc>
      </w:tr>
      <w:tr>
        <w:trPr>
          <w:cantSplit/>
        </w:trPr>
        <w:tc>
          <w:tcPr/>
          <w:p>
            <w:pPr>
              <w:pStyle w:val="Tabla8"/>
              <w:jc w:val="left"/>
            </w:pPr>
            <w:r>
              <w:t xml:space="preserve">V14</w:t>
            </w:r>
          </w:p>
        </w:tc>
        <w:tc>
          <w:tcPr/>
          <w:p>
            <w:pPr>
              <w:pStyle w:val="Tabla8"/>
              <w:jc w:val="left"/>
            </w:pPr>
            <w:r>
              <w:t xml:space="preserve">Personas alertadas</w:t>
            </w:r>
          </w:p>
        </w:tc>
        <w:tc>
          <w:tcPr/>
          <w:p>
            <w:pPr>
              <w:pStyle w:val="Tabla8"/>
              <w:jc w:val="left"/>
            </w:pPr>
            <w:r>
              <w:t xml:space="preserve">2</w:t>
            </w:r>
          </w:p>
        </w:tc>
        <w:tc>
          <w:tcPr/>
          <w:p>
            <w:pPr>
              <w:pStyle w:val="Tabla8"/>
              <w:jc w:val="left"/>
            </w:pPr>
            <w:r>
              <w:t xml:space="preserve">14</w:t>
            </w:r>
          </w:p>
        </w:tc>
        <w:tc>
          <w:tcPr/>
          <w:p>
            <w:pPr>
              <w:pStyle w:val="Tabla8"/>
              <w:jc w:val="left"/>
            </w:pPr>
            <w:r>
              <w:t xml:space="preserve">15</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12</w:t>
            </w:r>
          </w:p>
        </w:tc>
        <w:tc>
          <w:tcPr/>
          <w:p>
            <w:pPr>
              <w:pStyle w:val="Tabla8"/>
              <w:jc w:val="left"/>
            </w:pPr>
            <w:r>
              <w:t xml:space="preserve">11</w:t>
            </w:r>
          </w:p>
        </w:tc>
        <w:tc>
          <w:tcPr/>
          <w:p>
            <w:pPr>
              <w:pStyle w:val="Tabla8"/>
              <w:jc w:val="left"/>
            </w:pPr>
            <w:r>
              <w:t xml:space="preserve">2</w:t>
            </w:r>
          </w:p>
        </w:tc>
        <w:tc>
          <w:tcPr/>
          <w:p>
            <w:pPr>
              <w:pStyle w:val="Tabla8"/>
              <w:jc w:val="left"/>
            </w:pPr>
            <w:r>
              <w:t xml:space="preserve">5</w:t>
            </w:r>
          </w:p>
        </w:tc>
        <w:tc>
          <w:tcPr/>
          <w:p>
            <w:pPr>
              <w:pStyle w:val="Tabla8"/>
              <w:jc w:val="left"/>
            </w:pPr>
            <w:r>
              <w:t xml:space="preserve">CRITICA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Lectura condicional de S2.</w:t>
      </w:r>
      <w:r>
        <w:t xml:space="preserve"> </w:t>
      </w:r>
      <w:r>
        <w:t xml:space="preserve">Con corte por mediana, V02, V06, V15 quedan en el cuadrante crítico: ejercen y reciben influencia por encima de la mediana. V03, V04, V05 son activas. V09, V14 son reactivas. V08, V13 son autónomas relativas. V01, V07, V10, V11, V12 caen en FRONTERA porque igualan un corte.</w:t>
      </w:r>
    </w:p>
    <w:p>
      <w:pPr>
        <w:pStyle w:val="BodyText"/>
      </w:pPr>
      <w:r>
        <w:t xml:space="preserve">El contraste con la media (5,2) cambia la clase de V01 a ACTIVA; V07 a AUTONOMA_RELATIVA; V10 a AUTONOMA_RELATIVA; V11 a REACTIVA; V12 a AUTONOMA_RELATIVA. La clasificación de esas variables depende del corte y no se interpreta como rol firme. La lectura vale solo para el escenario de trabajo propuesto.</w:t>
      </w:r>
    </w:p>
    <w:p>
      <w:pPr>
        <w:pStyle w:val="BodyText"/>
      </w:pPr>
      <w:r>
        <w:rPr>
          <w:b/>
          <w:bCs/>
        </w:rPr>
        <w:t xml:space="preserve">Registro de decisión ND-08 (cuadrantes y palancas de intervención).</w:t>
      </w:r>
    </w:p>
    <w:p>
      <w:pPr>
        <w:pStyle w:val="BodyText"/>
      </w:pPr>
      <w:r>
        <w:t xml:space="preserve">La Tabla F4.34 reúne los datos de «Registro de decisión GENESIS: ND-08 Clasificación por cuadrantes y palancas de intervención».</w:t>
      </w:r>
    </w:p>
    <w:p>
      <w:pPr>
        <w:pStyle w:val="TablaRotulo"/>
      </w:pPr>
      <w:bookmarkStart w:id="9111" w:name="rot_Tabla_F4_34"/>
      <w:r>
        <w:rPr>
          <w:b/>
          <w:bCs/>
        </w:rPr>
        <w:t xml:space="preserve">Tabla F4.34</w:t>
      </w:r>
      <w:bookmarkEnd w:id="9111"/>
    </w:p>
    <w:p>
      <w:pPr>
        <w:pStyle w:val="TablaTitulo"/>
      </w:pPr>
      <w:r>
        <w:rPr>
          <w:i/>
          <w:iCs/>
        </w:rPr>
        <w:t xml:space="preserve">Registro de decisión GENESIS: ND-08 Clasificación por cuadrantes y palancas de intervención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NODO</w:t>
            </w:r>
          </w:p>
        </w:tc>
        <w:tc>
          <w:tcPr/>
          <w:p>
            <w:pPr>
              <w:pStyle w:val="Tabla9"/>
              <w:jc w:val="left"/>
            </w:pPr>
            <w:r>
              <w:t xml:space="preserve">ND-08 Clasificación por cuadrantes y palancas de intervención</w:t>
            </w:r>
          </w:p>
        </w:tc>
      </w:tr>
      <w:tr>
        <w:trPr>
          <w:cantSplit/>
        </w:trPr>
        <w:tc>
          <w:tcPr/>
          <w:p>
            <w:pPr>
              <w:pStyle w:val="Tabla9"/>
              <w:jc w:val="left"/>
            </w:pPr>
            <w:r>
              <w:t xml:space="preserve">CLASE</w:t>
            </w:r>
          </w:p>
        </w:tc>
        <w:tc>
          <w:tcPr/>
          <w:p>
            <w:pPr>
              <w:pStyle w:val="Tabla9"/>
              <w:jc w:val="left"/>
            </w:pPr>
            <w:r>
              <w:t xml:space="preserve">MAYOR. Determina qué variables se proponen como objeto de intervención.</w:t>
            </w:r>
          </w:p>
        </w:tc>
      </w:tr>
      <w:tr>
        <w:trPr>
          <w:cantSplit/>
        </w:trPr>
        <w:tc>
          <w:tcPr/>
          <w:p>
            <w:pPr>
              <w:pStyle w:val="Tabla9"/>
              <w:jc w:val="left"/>
            </w:pPr>
            <w:r>
              <w:t xml:space="preserve">DECISION</w:t>
            </w:r>
          </w:p>
        </w:tc>
        <w:tc>
          <w:tcPr/>
          <w:p>
            <w:pPr>
              <w:pStyle w:val="Tabla9"/>
              <w:jc w:val="left"/>
            </w:pPr>
            <w:r>
              <w:t xml:space="preserve">Adoptar la clasificación por mediana de S2 como lectura condicional. No designar palancas por la posición en el cuadrante. Proponer V07 como candidata de intervención condicionada, sin estatus de palanca máxima.</w:t>
            </w:r>
          </w:p>
        </w:tc>
      </w:tr>
      <w:tr>
        <w:trPr>
          <w:cantSplit/>
        </w:trPr>
        <w:tc>
          <w:tcPr/>
          <w:p>
            <w:pPr>
              <w:pStyle w:val="Tabla9"/>
              <w:jc w:val="left"/>
            </w:pPr>
            <w:r>
              <w:t xml:space="preserve">DECIDE</w:t>
            </w:r>
          </w:p>
        </w:tc>
        <w:tc>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Designar palancas por cuadrante. Usar la clase como rol causal. Presentar V07 como palanca independiente máxima.</w:t>
            </w:r>
          </w:p>
        </w:tc>
      </w:tr>
      <w:tr>
        <w:trPr>
          <w:cantSplit/>
        </w:trPr>
        <w:tc>
          <w:tcPr/>
          <w:p>
            <w:pPr>
              <w:pStyle w:val="Tabla9"/>
              <w:jc w:val="left"/>
            </w:pPr>
            <w:r>
              <w:t xml:space="preserve">NODOS_BLANCOS</w:t>
            </w:r>
          </w:p>
        </w:tc>
        <w:tc>
          <w:tcPr/>
          <w:p>
            <w:pPr>
              <w:pStyle w:val="Tabla9"/>
              <w:jc w:val="left"/>
            </w:pPr>
            <w:r>
              <w:t xml:space="preserve">5: S2 con cortes de influencia y dependencia iguales a 5 (F4.4.8); V07 con influencia 5, igual a la mediana, por eso FRONTERA (F4.4.8); ficha V07→V06 = 3 con dominio de 2 a 3 (F4.4.4); V07 pasa a AUTONOMA_RELATIVA si la ficha valiera 2 (F4.4.13); V05, V06 y V14 conservan su clase en los cinco escenarios (F4.4.13).</w:t>
            </w:r>
          </w:p>
        </w:tc>
      </w:tr>
      <w:tr>
        <w:trPr>
          <w:cantSplit/>
        </w:trPr>
        <w:tc>
          <w:tcPr/>
          <w:p>
            <w:pPr>
              <w:pStyle w:val="Tabla9"/>
              <w:jc w:val="left"/>
            </w:pPr>
            <w:r>
              <w:t xml:space="preserve">NODOS_GRISES</w:t>
            </w:r>
          </w:p>
        </w:tc>
        <w:tc>
          <w:tcPr/>
          <w:p>
            <w:pPr>
              <w:pStyle w:val="Tabla9"/>
              <w:jc w:val="left"/>
            </w:pPr>
            <w:r>
              <w:t xml:space="preserve">2: el proyecto puede modificar V07, V09 y V10 en terreno (actualización remota, repuestos); V07 actúa sobre V06 con la magnitud asignada.</w:t>
            </w:r>
          </w:p>
        </w:tc>
      </w:tr>
      <w:tr>
        <w:trPr>
          <w:cantSplit/>
        </w:trPr>
        <w:tc>
          <w:tcPr/>
          <w:p>
            <w:pPr>
              <w:pStyle w:val="Tabla9"/>
              <w:jc w:val="left"/>
            </w:pPr>
            <w:r>
              <w:t xml:space="preserve">RUPTURAS</w:t>
            </w:r>
          </w:p>
        </w:tc>
        <w:tc>
          <w:tcPr/>
          <w:p>
            <w:pPr>
              <w:pStyle w:val="Tabla9"/>
              <w:jc w:val="left"/>
            </w:pPr>
            <w:r>
              <w:t xml:space="preserve">R-01: 0 | R-02: 0 | R-03: 0 | R-04: 0 | R-05: 1 (la clase no determina la controlabilidad; el límite se declara)</w:t>
            </w:r>
          </w:p>
        </w:tc>
      </w:tr>
      <w:tr>
        <w:trPr>
          <w:cantSplit/>
        </w:trPr>
        <w:tc>
          <w:tcPr/>
          <w:p>
            <w:pPr>
              <w:pStyle w:val="Tabla9"/>
              <w:jc w:val="left"/>
            </w:pPr>
            <w:r>
              <w:t xml:space="preserve">PATRON_DOMINANTE</w:t>
            </w:r>
          </w:p>
        </w:tc>
        <w:tc>
          <w:tcPr/>
          <w:p>
            <w:pPr>
              <w:pStyle w:val="Tabla9"/>
              <w:jc w:val="left"/>
            </w:pPr>
            <w:r>
              <w:t xml:space="preserve">PR-06 (patrón emergente): la prioridad de intervención depende de la frontera de clase y de la ratificación de las fichas.</w:t>
            </w:r>
          </w:p>
        </w:tc>
      </w:tr>
      <w:tr>
        <w:trPr>
          <w:cantSplit/>
        </w:trPr>
        <w:tc>
          <w:tcPr/>
          <w:p>
            <w:pPr>
              <w:pStyle w:val="Tabla9"/>
              <w:jc w:val="left"/>
            </w:pPr>
            <w:r>
              <w:t xml:space="preserve">ANTIPATRONES_PR</w:t>
            </w:r>
          </w:p>
        </w:tc>
        <w:tc>
          <w:tcPr/>
          <w:p>
            <w:pPr>
              <w:pStyle w:val="Tabla9"/>
              <w:jc w:val="left"/>
            </w:pPr>
            <w:r>
              <w:t xml:space="preserve">PR-04 ausente: Sí. PR-05 ausente: No. La controlabilidad exige conectividad y personal no verificados en el territorio.</w:t>
            </w:r>
          </w:p>
        </w:tc>
      </w:tr>
      <w:tr>
        <w:trPr>
          <w:cantSplit/>
        </w:trPr>
        <w:tc>
          <w:tcPr/>
          <w:p>
            <w:pPr>
              <w:pStyle w:val="Tabla9"/>
              <w:jc w:val="left"/>
            </w:pPr>
            <w:r>
              <w:t xml:space="preserve">ESCENA_SIMULABLE</w:t>
            </w:r>
          </w:p>
        </w:tc>
        <w:tc>
          <w:tcPr/>
          <w:p>
            <w:pPr>
              <w:pStyle w:val="Tabla9"/>
              <w:jc w:val="left"/>
            </w:pPr>
            <w:r>
              <w:t xml:space="preserve">Un analista de la IES recalcula cada trimestre la clase de V07 con las fichas ratificadas y registra si cambia. El equipo formulador revisa la prioridad de intervención con ese registro.</w:t>
            </w:r>
          </w:p>
        </w:tc>
      </w:tr>
      <w:tr>
        <w:trPr>
          <w:cantSplit/>
        </w:trPr>
        <w:tc>
          <w:tcPr/>
          <w:p>
            <w:pPr>
              <w:pStyle w:val="Tabla9"/>
              <w:jc w:val="left"/>
            </w:pPr>
            <w:r>
              <w:t xml:space="preserve">EVIDENCIA_JH_A</w:t>
            </w:r>
          </w:p>
        </w:tc>
        <w:tc>
          <w:tcPr/>
          <w:p>
            <w:pPr>
              <w:pStyle w:val="Tabla9"/>
              <w:jc w:val="left"/>
            </w:pPr>
            <w:r>
              <w:t xml:space="preserve">Acta de adjudicación de las fichas V07→V06 y V10→V06 con firmantes (artefacto por producir; no existe aún).</w:t>
            </w:r>
          </w:p>
        </w:tc>
      </w:tr>
      <w:tr>
        <w:trPr>
          <w:cantSplit/>
        </w:trPr>
        <w:tc>
          <w:tcPr/>
          <w:p>
            <w:pPr>
              <w:pStyle w:val="Tabla9"/>
              <w:jc w:val="left"/>
            </w:pPr>
            <w:r>
              <w:t xml:space="preserve">EVIDENCIA_JH_B</w:t>
            </w:r>
          </w:p>
        </w:tc>
        <w:tc>
          <w:tcPr/>
          <w:p>
            <w:pPr>
              <w:pStyle w:val="Tabla9"/>
              <w:jc w:val="left"/>
            </w:pPr>
            <w:r>
              <w:t xml:space="preserve">Tablas de F4.4.8 con influencia, dependencia, rangos y clases por mediana y por media, y perturbación de un enlace en F4.4.13 (87 cambios).</w:t>
            </w:r>
          </w:p>
        </w:tc>
      </w:tr>
      <w:tr>
        <w:trPr>
          <w:cantSplit/>
        </w:trPr>
        <w:tc>
          <w:tcPr/>
          <w:p>
            <w:pPr>
              <w:pStyle w:val="Tabla9"/>
              <w:jc w:val="left"/>
            </w:pPr>
            <w:r>
              <w:t xml:space="preserve">CERCA_CONCEPTUAL</w:t>
            </w:r>
          </w:p>
        </w:tc>
        <w:tc>
          <w:tcPr/>
          <w:p>
            <w:pPr>
              <w:pStyle w:val="Tabla9"/>
              <w:jc w:val="left"/>
            </w:pPr>
            <w:r>
              <w:t xml:space="preserve">La clasificación no es un orden de prioridad de inversión ni una prueba de causalidad.</w:t>
            </w:r>
          </w:p>
        </w:tc>
      </w:tr>
      <w:tr>
        <w:trPr>
          <w:cantSplit/>
        </w:trPr>
        <w:tc>
          <w:tcPr/>
          <w:p>
            <w:pPr>
              <w:pStyle w:val="Tabla9"/>
              <w:jc w:val="left"/>
            </w:pPr>
            <w:r>
              <w:t xml:space="preserve">ESTATUTO_CAUSAL</w:t>
            </w:r>
          </w:p>
        </w:tc>
        <w:tc>
          <w:tcPr/>
          <w:p>
            <w:pPr>
              <w:pStyle w:val="Tabla9"/>
              <w:jc w:val="left"/>
            </w:pPr>
            <w:r>
              <w:t xml:space="preserve">HIE. Ninguna afirmación pasa a IDC ni a EST por la clase.</w:t>
            </w:r>
          </w:p>
        </w:tc>
      </w:tr>
      <w:tr>
        <w:trPr>
          <w:cantSplit/>
        </w:trPr>
        <w:tc>
          <w:tcPr/>
          <w:p>
            <w:pPr>
              <w:pStyle w:val="Tabla9"/>
              <w:jc w:val="left"/>
            </w:pPr>
            <w:r>
              <w:t xml:space="preserve">VEREDICTO</w:t>
            </w:r>
          </w:p>
        </w:tc>
        <w:tc>
          <w:tcPr/>
          <w:p>
            <w:pPr>
              <w:pStyle w:val="Tabla9"/>
              <w:jc w:val="left"/>
            </w:pPr>
            <w:r>
              <w:t xml:space="preserve">Clasificación condicional. V07 es candidata de intervención, no palanca máxima. Ninguna variable técnica controlable es ACTIVA en S2.</w:t>
            </w:r>
          </w:p>
        </w:tc>
      </w:tr>
      <w:tr>
        <w:trPr>
          <w:cantSplit/>
        </w:trPr>
        <w:tc>
          <w:tcPr/>
          <w:p>
            <w:pPr>
              <w:pStyle w:val="Tabla9"/>
              <w:jc w:val="left"/>
            </w:pPr>
            <w:r>
              <w:t xml:space="preserve">RAZON_DEL_DESCARTE</w:t>
            </w:r>
          </w:p>
        </w:tc>
        <w:tc>
          <w:tcPr/>
          <w:p>
            <w:pPr>
              <w:pStyle w:val="Tabla9"/>
              <w:jc w:val="left"/>
            </w:pPr>
            <w:r>
              <w:t xml:space="preserve">Se descarta designar palancas por cuadrante porque las cuatro variables técnicas controlables (V07 a V10) cambian de clase entre los cinco escenarios.</w:t>
            </w:r>
          </w:p>
        </w:tc>
      </w:tr>
      <w:tr>
        <w:trPr>
          <w:cantSplit/>
        </w:trPr>
        <w:tc>
          <w:tcPr/>
          <w:p>
            <w:pPr>
              <w:pStyle w:val="Tabla9"/>
              <w:jc w:val="left"/>
            </w:pPr>
            <w:r>
              <w:t xml:space="preserve">RESULTADO</w:t>
            </w:r>
          </w:p>
        </w:tc>
        <w:tc>
          <w:tcPr/>
          <w:p>
            <w:pPr>
              <w:pStyle w:val="Tabla9"/>
              <w:jc w:val="left"/>
            </w:pPr>
            <w:r>
              <w:t xml:space="preserve">CIERRA con vacíos declarados (controlabilidad en terreno y ratificación de fichas).</w:t>
            </w:r>
          </w:p>
        </w:tc>
      </w:tr>
    </w:tbl>
    <w:p>
      <w:pPr>
        <w:pStyle w:val="TablaNota"/>
      </w:pPr>
      <w:r>
        <w:rPr>
          <w:i/>
          <w:iCs/>
        </w:rPr>
        <w:t xml:space="preserve">Nota.</w:t>
      </w:r>
      <w:r>
        <w:t xml:space="preserve"> </w:t>
      </w:r>
      <w:r>
        <w:t xml:space="preserve">Elaboración propia con el expediente de la sección F4.4.</w:t>
      </w:r>
    </w:p>
    <w:bookmarkEnd w:id="181"/>
    <w:bookmarkStart w:id="182" w:name="X4b45f6fe20a4bad3e90c813ddf6cd3ccc6d3de0"/>
    <w:p>
      <w:pPr>
        <w:pStyle w:val="Heading3"/>
      </w:pPr>
      <w:r>
        <w:t xml:space="preserve">F4.4.9 MID de MICMAC idéntica a Vester dentro de cada escenario</w:t>
      </w:r>
    </w:p>
    <w:p>
      <w:pPr>
        <w:pStyle w:val="FirstParagraph"/>
      </w:pPr>
      <w:r>
        <w:t xml:space="preserve">MICMAC usa exactamente la matriz de Vester de cada escenario como A¹. No se puntúa de nuevo ni se completa por transitividad. La Tabla F4.35 compara la huella SHA-256 de la matriz de Vester con la de la primera potencia y la igualdad celda por celda.</w:t>
      </w:r>
    </w:p>
    <w:p>
      <w:pPr>
        <w:pStyle w:val="TablaRotulo"/>
      </w:pPr>
      <w:bookmarkStart w:id="9112" w:name="rot_Tabla_F4_35"/>
      <w:r>
        <w:rPr>
          <w:b/>
          <w:bCs/>
        </w:rPr>
        <w:t xml:space="preserve">Tabla F4.35</w:t>
      </w:r>
      <w:bookmarkEnd w:id="9112"/>
    </w:p>
    <w:p>
      <w:pPr>
        <w:pStyle w:val="TablaTitulo"/>
      </w:pPr>
      <w:r>
        <w:rPr>
          <w:i/>
          <w:iCs/>
        </w:rPr>
        <w:t xml:space="preserve">MID de MICMAC idéntica a Vester dentro de cada escenario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2508"/>
        <w:gridCol w:w="2508"/>
        <w:gridCol w:w="1518"/>
      </w:tblGrid>
      <w:tr>
        <w:trPr>
          <w:cantSplit/>
          <w:tblHeader/>
        </w:trPr>
        <w:tc>
          <w:tcPr>
            <w:shd w:val="clear" w:color="auto" w:fill="00B050"/>
          </w:tcPr>
          <w:p>
            <w:pPr>
              <w:pStyle w:val="Tabla9"/>
              <w:jc w:val="center"/>
            </w:pPr>
            <w:r>
              <w:rPr>
                <w:b/>
                <w:color w:val="FFFFFF"/>
              </w:rPr>
              <w:t xml:space="preserve">Escenario</w:t>
            </w:r>
          </w:p>
        </w:tc>
        <w:tc>
          <w:tcPr>
            <w:shd w:val="clear" w:color="auto" w:fill="00B050"/>
          </w:tcPr>
          <w:p>
            <w:pPr>
              <w:pStyle w:val="Tabla9"/>
              <w:jc w:val="center"/>
            </w:pPr>
            <w:r>
              <w:rPr>
                <w:b/>
                <w:color w:val="FFFFFF"/>
              </w:rPr>
              <w:t xml:space="preserve">SHA-256 de la MID de Vester</w:t>
            </w:r>
          </w:p>
        </w:tc>
        <w:tc>
          <w:tcPr>
            <w:shd w:val="clear" w:color="auto" w:fill="00B050"/>
          </w:tcPr>
          <w:p>
            <w:pPr>
              <w:pStyle w:val="Tabla9"/>
              <w:jc w:val="center"/>
            </w:pPr>
            <w:r>
              <w:rPr>
                <w:b/>
                <w:color w:val="FFFFFF"/>
              </w:rPr>
              <w:t xml:space="preserve">SHA-256 de A¹ en MICMAC</w:t>
            </w:r>
          </w:p>
        </w:tc>
        <w:tc>
          <w:tcPr>
            <w:shd w:val="clear" w:color="auto" w:fill="00B050"/>
          </w:tcPr>
          <w:p>
            <w:pPr>
              <w:pStyle w:val="Tabla9"/>
              <w:jc w:val="center"/>
            </w:pPr>
            <w:r>
              <w:rPr>
                <w:b/>
                <w:color w:val="FFFFFF"/>
              </w:rPr>
              <w:t xml:space="preserve">Celda por celda</w:t>
            </w:r>
          </w:p>
        </w:tc>
      </w:tr>
      <w:tr>
        <w:trPr>
          <w:cantSplit/>
        </w:trPr>
        <w:tc>
          <w:tcPr/>
          <w:p>
            <w:pPr>
              <w:pStyle w:val="Tabla9"/>
              <w:jc w:val="left"/>
            </w:pPr>
            <w:r>
              <w:t xml:space="preserve">S0</w:t>
            </w:r>
          </w:p>
        </w:tc>
        <w:tc>
          <w:tcPr/>
          <w:p>
            <w:pPr>
              <w:pStyle w:val="Tabla9"/>
              <w:jc w:val="left"/>
            </w:pPr>
            <w:r>
              <w:t xml:space="preserve">719cc17f0a38cedb…</w:t>
            </w:r>
          </w:p>
        </w:tc>
        <w:tc>
          <w:tcPr/>
          <w:p>
            <w:pPr>
              <w:pStyle w:val="Tabla9"/>
              <w:jc w:val="left"/>
            </w:pPr>
            <w:r>
              <w:t xml:space="preserve">719cc17f0a38cedb…</w:t>
            </w:r>
          </w:p>
        </w:tc>
        <w:tc>
          <w:tcPr/>
          <w:p>
            <w:pPr>
              <w:pStyle w:val="Tabla9"/>
              <w:jc w:val="left"/>
            </w:pPr>
            <w:r>
              <w:t xml:space="preserve">Idénticas</w:t>
            </w:r>
          </w:p>
        </w:tc>
      </w:tr>
      <w:tr>
        <w:trPr>
          <w:cantSplit/>
        </w:trPr>
        <w:tc>
          <w:tcPr/>
          <w:p>
            <w:pPr>
              <w:pStyle w:val="Tabla9"/>
              <w:jc w:val="left"/>
            </w:pPr>
            <w:r>
              <w:t xml:space="preserve">S1</w:t>
            </w:r>
          </w:p>
        </w:tc>
        <w:tc>
          <w:tcPr/>
          <w:p>
            <w:pPr>
              <w:pStyle w:val="Tabla9"/>
              <w:jc w:val="left"/>
            </w:pPr>
            <w:r>
              <w:t xml:space="preserve">65498ee94582a1e4…</w:t>
            </w:r>
          </w:p>
        </w:tc>
        <w:tc>
          <w:tcPr/>
          <w:p>
            <w:pPr>
              <w:pStyle w:val="Tabla9"/>
              <w:jc w:val="left"/>
            </w:pPr>
            <w:r>
              <w:t xml:space="preserve">65498ee94582a1e4…</w:t>
            </w:r>
          </w:p>
        </w:tc>
        <w:tc>
          <w:tcPr/>
          <w:p>
            <w:pPr>
              <w:pStyle w:val="Tabla9"/>
              <w:jc w:val="left"/>
            </w:pPr>
            <w:r>
              <w:t xml:space="preserve">Idénticas</w:t>
            </w:r>
          </w:p>
        </w:tc>
      </w:tr>
      <w:tr>
        <w:trPr>
          <w:cantSplit/>
        </w:trPr>
        <w:tc>
          <w:tcPr/>
          <w:p>
            <w:pPr>
              <w:pStyle w:val="Tabla9"/>
              <w:jc w:val="left"/>
            </w:pPr>
            <w:r>
              <w:t xml:space="preserve">S2</w:t>
            </w:r>
          </w:p>
        </w:tc>
        <w:tc>
          <w:tcPr/>
          <w:p>
            <w:pPr>
              <w:pStyle w:val="Tabla9"/>
              <w:jc w:val="left"/>
            </w:pPr>
            <w:r>
              <w:t xml:space="preserve">c36ed81b9bd96772…</w:t>
            </w:r>
          </w:p>
        </w:tc>
        <w:tc>
          <w:tcPr/>
          <w:p>
            <w:pPr>
              <w:pStyle w:val="Tabla9"/>
              <w:jc w:val="left"/>
            </w:pPr>
            <w:r>
              <w:t xml:space="preserve">c36ed81b9bd96772…</w:t>
            </w:r>
          </w:p>
        </w:tc>
        <w:tc>
          <w:tcPr/>
          <w:p>
            <w:pPr>
              <w:pStyle w:val="Tabla9"/>
              <w:jc w:val="left"/>
            </w:pPr>
            <w:r>
              <w:t xml:space="preserve">Idénticas</w:t>
            </w:r>
          </w:p>
        </w:tc>
      </w:tr>
      <w:tr>
        <w:trPr>
          <w:cantSplit/>
        </w:trPr>
        <w:tc>
          <w:tcPr/>
          <w:p>
            <w:pPr>
              <w:pStyle w:val="Tabla9"/>
              <w:jc w:val="left"/>
            </w:pPr>
            <w:r>
              <w:t xml:space="preserve">S3</w:t>
            </w:r>
          </w:p>
        </w:tc>
        <w:tc>
          <w:tcPr/>
          <w:p>
            <w:pPr>
              <w:pStyle w:val="Tabla9"/>
              <w:jc w:val="left"/>
            </w:pPr>
            <w:r>
              <w:t xml:space="preserve">62d8a1ee96b3f478…</w:t>
            </w:r>
          </w:p>
        </w:tc>
        <w:tc>
          <w:tcPr/>
          <w:p>
            <w:pPr>
              <w:pStyle w:val="Tabla9"/>
              <w:jc w:val="left"/>
            </w:pPr>
            <w:r>
              <w:t xml:space="preserve">62d8a1ee96b3f478…</w:t>
            </w:r>
          </w:p>
        </w:tc>
        <w:tc>
          <w:tcPr/>
          <w:p>
            <w:pPr>
              <w:pStyle w:val="Tabla9"/>
              <w:jc w:val="left"/>
            </w:pPr>
            <w:r>
              <w:t xml:space="preserve">Idénticas</w:t>
            </w:r>
          </w:p>
        </w:tc>
      </w:tr>
      <w:tr>
        <w:trPr>
          <w:cantSplit/>
        </w:trPr>
        <w:tc>
          <w:tcPr/>
          <w:p>
            <w:pPr>
              <w:pStyle w:val="Tabla9"/>
              <w:jc w:val="left"/>
            </w:pPr>
            <w:r>
              <w:t xml:space="preserve">S4</w:t>
            </w:r>
          </w:p>
        </w:tc>
        <w:tc>
          <w:tcPr/>
          <w:p>
            <w:pPr>
              <w:pStyle w:val="Tabla9"/>
              <w:jc w:val="left"/>
            </w:pPr>
            <w:r>
              <w:t xml:space="preserve">7ba7240362ff9328…</w:t>
            </w:r>
          </w:p>
        </w:tc>
        <w:tc>
          <w:tcPr/>
          <w:p>
            <w:pPr>
              <w:pStyle w:val="Tabla9"/>
              <w:jc w:val="left"/>
            </w:pPr>
            <w:r>
              <w:t xml:space="preserve">7ba7240362ff9328…</w:t>
            </w:r>
          </w:p>
        </w:tc>
        <w:tc>
          <w:tcPr/>
          <w:p>
            <w:pPr>
              <w:pStyle w:val="Tabla9"/>
              <w:jc w:val="left"/>
            </w:pPr>
            <w:r>
              <w:t xml:space="preserve">Idénticas</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Las huellas se truncan a 16 caracteres en la tabla; los valores completos constan en MANIFIESTO.json y RESULTADOS.json. La igualdad comprueba que el cálculo usa una sola matriz; no valida los juicios.</w:t>
      </w:r>
    </w:p>
    <w:bookmarkEnd w:id="182"/>
    <w:bookmarkStart w:id="183" w:name="X533d00bde90d46a3009b0ac7d50abbcad88f2c0"/>
    <w:p>
      <w:pPr>
        <w:pStyle w:val="Heading3"/>
      </w:pPr>
      <w:r>
        <w:t xml:space="preserve">F4.4.10 Influencias potenciales (MIDP) y máscara</w:t>
      </w:r>
    </w:p>
    <w:p>
      <w:pPr>
        <w:pStyle w:val="FirstParagraph"/>
      </w:pPr>
      <w:r>
        <w:t xml:space="preserve">Estado:</w:t>
      </w:r>
      <w:r>
        <w:t xml:space="preserve"> </w:t>
      </w:r>
      <w:r>
        <w:rPr>
          <w:b/>
          <w:bCs/>
        </w:rPr>
        <w:t xml:space="preserve">NO_CONFIGURADA_NO_INFERIDA</w:t>
      </w:r>
      <w:r>
        <w:t xml:space="preserve">. Una MIDP exige un horizonte posterior a H y condiciones explícitas que habiliten relaciones hoy ausentes. El expediente no declara ninguno: no hay contrato de operación posproyecto, presupuesto territorial comprometido ni plazo mayor de 36 meses.</w:t>
      </w:r>
    </w:p>
    <w:p>
      <w:pPr>
        <w:pStyle w:val="BodyText"/>
      </w:pPr>
      <w:r>
        <w:t xml:space="preserve">El motor no infiere relaciones potenciales ni usa U para forzar enlaces. El vínculo V15→V07 podría valer 2 bajo la premisa PD-0 en la fase posproyecto. Ese valor consta como dominio admisible de la ficha y como sensibilidad en F4.4.13, no como MIDP. La ausencia de MIDP no bloquea el análisis actual.</w:t>
      </w:r>
    </w:p>
    <w:bookmarkEnd w:id="183"/>
    <w:bookmarkStart w:id="184" w:name="X383c2e49dd3d660be479d6d98b9771cf83e5b13"/>
    <w:p>
      <w:pPr>
        <w:pStyle w:val="Heading3"/>
      </w:pPr>
      <w:r>
        <w:t xml:space="preserve">F4.4.11 Potencias completas A¹ a Aᵏ, terminales y estabilidad observada</w:t>
      </w:r>
    </w:p>
    <w:p>
      <w:pPr>
        <w:pStyle w:val="FirstParagraph"/>
      </w:pPr>
      <w:r>
        <w:t xml:space="preserve">Las potencias se calculan con enteros exactos: A¹ = A y A^(k+1) = A^k · A. El índice k mide la longitud de recorrido y no el tiempo. Las diagonales de las potencias pueden ser positivas por recorridos cerrados y no se fuerzan a cero. Cada potencia completa consta en los CSV con TA y TP, y en RESULTADOS.json.</w:t>
      </w:r>
    </w:p>
    <w:p>
      <w:pPr>
        <w:pStyle w:val="BodyText"/>
      </w:pPr>
      <w:r>
        <w:rPr>
          <w:b/>
          <w:bCs/>
        </w:rPr>
        <w:t xml:space="preserve">S0.</w:t>
      </w:r>
      <w:r>
        <w:t xml:space="preserve"> </w:t>
      </w:r>
      <w:r>
        <w:t xml:space="preserve">Estado: EXTINCION_DE_CAMINOS. Primera potencia nula: 7. Potencia de referencia: A^6 (última no nula).</w:t>
      </w:r>
    </w:p>
    <w:p>
      <w:pPr>
        <w:pStyle w:val="BodyText"/>
      </w:pPr>
      <w:r>
        <w:t xml:space="preserve">La Tabla F4.36 reúne los datos de «Estabilidad de las potencias de MICMAC en el escenario S0».</w:t>
      </w:r>
    </w:p>
    <w:p>
      <w:pPr>
        <w:pStyle w:val="TablaRotulo"/>
      </w:pPr>
      <w:bookmarkStart w:id="9113" w:name="rot_Tabla_F4_36"/>
      <w:r>
        <w:rPr>
          <w:b/>
          <w:bCs/>
        </w:rPr>
        <w:t xml:space="preserve">Tabla F4.36</w:t>
      </w:r>
      <w:bookmarkEnd w:id="9113"/>
    </w:p>
    <w:p>
      <w:pPr>
        <w:pStyle w:val="TablaTitulo"/>
      </w:pPr>
      <w:r>
        <w:rPr>
          <w:i/>
          <w:iCs/>
        </w:rPr>
        <w:t xml:space="preserve">Estabilidad de las potencias de MICMAC en el escenario S0</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22"/>
        <w:gridCol w:w="3300"/>
        <w:gridCol w:w="3498"/>
      </w:tblGrid>
      <w:tr>
        <w:trPr>
          <w:cantSplit/>
          <w:tblHeader/>
        </w:trPr>
        <w:tc>
          <w:tcPr>
            <w:shd w:val="clear" w:color="auto" w:fill="00B050"/>
          </w:tcPr>
          <w:p>
            <w:pPr>
              <w:pStyle w:val="Tabla9"/>
              <w:jc w:val="center"/>
            </w:pPr>
            <w:r>
              <w:rPr>
                <w:b/>
                <w:color w:val="FFFFFF"/>
              </w:rPr>
              <w:t xml:space="preserve">k</w:t>
            </w:r>
          </w:p>
        </w:tc>
        <w:tc>
          <w:tcPr>
            <w:shd w:val="clear" w:color="auto" w:fill="00B050"/>
          </w:tcPr>
          <w:p>
            <w:pPr>
              <w:pStyle w:val="Tabla9"/>
              <w:jc w:val="center"/>
            </w:pPr>
            <w:r>
              <w:rPr>
                <w:b/>
                <w:color w:val="FFFFFF"/>
              </w:rPr>
              <w:t xml:space="preserve">Total TA = TP</w:t>
            </w:r>
          </w:p>
        </w:tc>
        <w:tc>
          <w:tcPr>
            <w:shd w:val="clear" w:color="auto" w:fill="00B050"/>
          </w:tcPr>
          <w:p>
            <w:pPr>
              <w:pStyle w:val="Tabla9"/>
              <w:jc w:val="center"/>
            </w:pPr>
            <w:r>
              <w:rPr>
                <w:b/>
                <w:color w:val="FFFFFF"/>
              </w:rPr>
              <w:t xml:space="preserve">Celdas no nulas</w:t>
            </w:r>
          </w:p>
        </w:tc>
      </w:tr>
      <w:tr>
        <w:trPr>
          <w:cantSplit/>
        </w:trPr>
        <w:tc>
          <w:tcPr/>
          <w:p>
            <w:pPr>
              <w:pStyle w:val="Tabla9"/>
              <w:jc w:val="left"/>
            </w:pPr>
            <w:r>
              <w:t xml:space="preserve">1</w:t>
            </w:r>
          </w:p>
        </w:tc>
        <w:tc>
          <w:tcPr/>
          <w:p>
            <w:pPr>
              <w:pStyle w:val="Tabla9"/>
              <w:jc w:val="left"/>
            </w:pPr>
            <w:r>
              <w:t xml:space="preserve">53</w:t>
            </w:r>
          </w:p>
        </w:tc>
        <w:tc>
          <w:tcPr/>
          <w:p>
            <w:pPr>
              <w:pStyle w:val="Tabla9"/>
              <w:jc w:val="left"/>
            </w:pPr>
            <w:r>
              <w:t xml:space="preserve">22</w:t>
            </w:r>
          </w:p>
        </w:tc>
      </w:tr>
      <w:tr>
        <w:trPr>
          <w:cantSplit/>
        </w:trPr>
        <w:tc>
          <w:tcPr/>
          <w:p>
            <w:pPr>
              <w:pStyle w:val="Tabla9"/>
              <w:jc w:val="left"/>
            </w:pPr>
            <w:r>
              <w:t xml:space="preserve">2</w:t>
            </w:r>
          </w:p>
        </w:tc>
        <w:tc>
          <w:tcPr/>
          <w:p>
            <w:pPr>
              <w:pStyle w:val="Tabla9"/>
              <w:jc w:val="left"/>
            </w:pPr>
            <w:r>
              <w:t xml:space="preserve">189</w:t>
            </w:r>
          </w:p>
        </w:tc>
        <w:tc>
          <w:tcPr/>
          <w:p>
            <w:pPr>
              <w:pStyle w:val="Tabla9"/>
              <w:jc w:val="left"/>
            </w:pPr>
            <w:r>
              <w:t xml:space="preserve">23</w:t>
            </w:r>
          </w:p>
        </w:tc>
      </w:tr>
      <w:tr>
        <w:trPr>
          <w:cantSplit/>
        </w:trPr>
        <w:tc>
          <w:tcPr/>
          <w:p>
            <w:pPr>
              <w:pStyle w:val="Tabla9"/>
              <w:jc w:val="left"/>
            </w:pPr>
            <w:r>
              <w:t xml:space="preserve">3</w:t>
            </w:r>
          </w:p>
        </w:tc>
        <w:tc>
          <w:tcPr/>
          <w:p>
            <w:pPr>
              <w:pStyle w:val="Tabla9"/>
              <w:jc w:val="left"/>
            </w:pPr>
            <w:r>
              <w:t xml:space="preserve">672</w:t>
            </w:r>
          </w:p>
        </w:tc>
        <w:tc>
          <w:tcPr/>
          <w:p>
            <w:pPr>
              <w:pStyle w:val="Tabla9"/>
              <w:jc w:val="left"/>
            </w:pPr>
            <w:r>
              <w:t xml:space="preserve">27</w:t>
            </w:r>
          </w:p>
        </w:tc>
      </w:tr>
      <w:tr>
        <w:trPr>
          <w:cantSplit/>
        </w:trPr>
        <w:tc>
          <w:tcPr/>
          <w:p>
            <w:pPr>
              <w:pStyle w:val="Tabla9"/>
              <w:jc w:val="left"/>
            </w:pPr>
            <w:r>
              <w:t xml:space="preserve">4</w:t>
            </w:r>
          </w:p>
        </w:tc>
        <w:tc>
          <w:tcPr/>
          <w:p>
            <w:pPr>
              <w:pStyle w:val="Tabla9"/>
              <w:jc w:val="left"/>
            </w:pPr>
            <w:r>
              <w:t xml:space="preserve">1.521</w:t>
            </w:r>
          </w:p>
        </w:tc>
        <w:tc>
          <w:tcPr/>
          <w:p>
            <w:pPr>
              <w:pStyle w:val="Tabla9"/>
              <w:jc w:val="left"/>
            </w:pPr>
            <w:r>
              <w:t xml:space="preserve">19</w:t>
            </w:r>
          </w:p>
        </w:tc>
      </w:tr>
      <w:tr>
        <w:trPr>
          <w:cantSplit/>
        </w:trPr>
        <w:tc>
          <w:tcPr/>
          <w:p>
            <w:pPr>
              <w:pStyle w:val="Tabla9"/>
              <w:jc w:val="left"/>
            </w:pPr>
            <w:r>
              <w:t xml:space="preserve">5</w:t>
            </w:r>
          </w:p>
        </w:tc>
        <w:tc>
          <w:tcPr/>
          <w:p>
            <w:pPr>
              <w:pStyle w:val="Tabla9"/>
              <w:jc w:val="left"/>
            </w:pPr>
            <w:r>
              <w:t xml:space="preserve">1.548</w:t>
            </w:r>
          </w:p>
        </w:tc>
        <w:tc>
          <w:tcPr/>
          <w:p>
            <w:pPr>
              <w:pStyle w:val="Tabla9"/>
              <w:jc w:val="left"/>
            </w:pPr>
            <w:r>
              <w:t xml:space="preserve">7</w:t>
            </w:r>
          </w:p>
        </w:tc>
      </w:tr>
      <w:tr>
        <w:trPr>
          <w:cantSplit/>
        </w:trPr>
        <w:tc>
          <w:tcPr/>
          <w:p>
            <w:pPr>
              <w:pStyle w:val="Tabla9"/>
              <w:jc w:val="left"/>
            </w:pPr>
            <w:r>
              <w:t xml:space="preserve">6</w:t>
            </w:r>
          </w:p>
        </w:tc>
        <w:tc>
          <w:tcPr/>
          <w:p>
            <w:pPr>
              <w:pStyle w:val="Tabla9"/>
              <w:jc w:val="left"/>
            </w:pPr>
            <w:r>
              <w:t xml:space="preserve">216</w:t>
            </w:r>
          </w:p>
        </w:tc>
        <w:tc>
          <w:tcPr/>
          <w:p>
            <w:pPr>
              <w:pStyle w:val="Tabla9"/>
              <w:jc w:val="left"/>
            </w:pPr>
            <w:r>
              <w:t xml:space="preserve">1</w:t>
            </w:r>
          </w:p>
        </w:tc>
      </w:tr>
      <w:tr>
        <w:trPr>
          <w:cantSplit/>
        </w:trPr>
        <w:tc>
          <w:tcPr/>
          <w:p>
            <w:pPr>
              <w:pStyle w:val="Tabla9"/>
              <w:jc w:val="left"/>
            </w:pPr>
            <w:r>
              <w:t xml:space="preserve">7</w:t>
            </w:r>
          </w:p>
        </w:tc>
        <w:tc>
          <w:tcPr/>
          <w:p>
            <w:pPr>
              <w:pStyle w:val="Tabla9"/>
              <w:jc w:val="left"/>
            </w:pPr>
            <w:r>
              <w:t xml:space="preserve">0</w:t>
            </w:r>
          </w:p>
        </w:tc>
        <w:tc>
          <w:tcPr/>
          <w:p>
            <w:pPr>
              <w:pStyle w:val="Tabla9"/>
              <w:jc w:val="left"/>
            </w:pPr>
            <w:r>
              <w:t xml:space="preserve">0</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S1.</w:t>
      </w:r>
      <w:r>
        <w:t xml:space="preserve"> </w:t>
      </w:r>
      <w:r>
        <w:t xml:space="preserve">Estado: SIN_ESTABILIDAD_OBSERVADA_HASTA_KMAX. Primera potencia nula: ninguna hasta KMAX. Potencia de referencia: A^10.</w:t>
      </w:r>
    </w:p>
    <w:p>
      <w:pPr>
        <w:pStyle w:val="BodyText"/>
      </w:pPr>
      <w:r>
        <w:t xml:space="preserve">La Tabla F4.37 reúne los datos de «Estabilidad de las potencias de MICMAC en el escenario S1».</w:t>
      </w:r>
    </w:p>
    <w:p>
      <w:pPr>
        <w:pStyle w:val="TablaRotulo"/>
      </w:pPr>
      <w:bookmarkStart w:id="9114" w:name="rot_Tabla_F4_37"/>
      <w:r>
        <w:rPr>
          <w:b/>
          <w:bCs/>
        </w:rPr>
        <w:t xml:space="preserve">Tabla F4.37</w:t>
      </w:r>
      <w:bookmarkEnd w:id="9114"/>
    </w:p>
    <w:p>
      <w:pPr>
        <w:pStyle w:val="TablaTitulo"/>
      </w:pPr>
      <w:r>
        <w:rPr>
          <w:i/>
          <w:iCs/>
        </w:rPr>
        <w:t xml:space="preserve">Estabilidad de las potencias de MICMAC en el escenario S1</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88"/>
        <w:gridCol w:w="3630"/>
        <w:gridCol w:w="3102"/>
      </w:tblGrid>
      <w:tr>
        <w:trPr>
          <w:cantSplit/>
          <w:tblHeader/>
        </w:trPr>
        <w:tc>
          <w:tcPr>
            <w:shd w:val="clear" w:color="auto" w:fill="00B050"/>
          </w:tcPr>
          <w:p>
            <w:pPr>
              <w:pStyle w:val="Tabla9"/>
              <w:jc w:val="center"/>
            </w:pPr>
            <w:r>
              <w:rPr>
                <w:b/>
                <w:color w:val="FFFFFF"/>
              </w:rPr>
              <w:t xml:space="preserve">k</w:t>
            </w:r>
          </w:p>
        </w:tc>
        <w:tc>
          <w:tcPr>
            <w:shd w:val="clear" w:color="auto" w:fill="00B050"/>
          </w:tcPr>
          <w:p>
            <w:pPr>
              <w:pStyle w:val="Tabla9"/>
              <w:jc w:val="center"/>
            </w:pPr>
            <w:r>
              <w:rPr>
                <w:b/>
                <w:color w:val="FFFFFF"/>
              </w:rPr>
              <w:t xml:space="preserve">Total TA = TP</w:t>
            </w:r>
          </w:p>
        </w:tc>
        <w:tc>
          <w:tcPr>
            <w:shd w:val="clear" w:color="auto" w:fill="00B050"/>
          </w:tcPr>
          <w:p>
            <w:pPr>
              <w:pStyle w:val="Tabla9"/>
              <w:jc w:val="center"/>
            </w:pPr>
            <w:r>
              <w:rPr>
                <w:b/>
                <w:color w:val="FFFFFF"/>
              </w:rPr>
              <w:t xml:space="preserve">Celdas no nulas</w:t>
            </w:r>
          </w:p>
        </w:tc>
      </w:tr>
      <w:tr>
        <w:trPr>
          <w:cantSplit/>
        </w:trPr>
        <w:tc>
          <w:tcPr/>
          <w:p>
            <w:pPr>
              <w:pStyle w:val="Tabla9"/>
              <w:jc w:val="left"/>
            </w:pPr>
            <w:r>
              <w:t xml:space="preserve">1</w:t>
            </w:r>
          </w:p>
        </w:tc>
        <w:tc>
          <w:tcPr/>
          <w:p>
            <w:pPr>
              <w:pStyle w:val="Tabla9"/>
              <w:jc w:val="left"/>
            </w:pPr>
            <w:r>
              <w:t xml:space="preserve">67</w:t>
            </w:r>
          </w:p>
        </w:tc>
        <w:tc>
          <w:tcPr/>
          <w:p>
            <w:pPr>
              <w:pStyle w:val="Tabla9"/>
              <w:jc w:val="left"/>
            </w:pPr>
            <w:r>
              <w:t xml:space="preserve">32</w:t>
            </w:r>
          </w:p>
        </w:tc>
      </w:tr>
      <w:tr>
        <w:trPr>
          <w:cantSplit/>
        </w:trPr>
        <w:tc>
          <w:tcPr/>
          <w:p>
            <w:pPr>
              <w:pStyle w:val="Tabla9"/>
              <w:jc w:val="left"/>
            </w:pPr>
            <w:r>
              <w:t xml:space="preserve">2</w:t>
            </w:r>
          </w:p>
        </w:tc>
        <w:tc>
          <w:tcPr/>
          <w:p>
            <w:pPr>
              <w:pStyle w:val="Tabla9"/>
              <w:jc w:val="left"/>
            </w:pPr>
            <w:r>
              <w:t xml:space="preserve">280</w:t>
            </w:r>
          </w:p>
        </w:tc>
        <w:tc>
          <w:tcPr/>
          <w:p>
            <w:pPr>
              <w:pStyle w:val="Tabla9"/>
              <w:jc w:val="left"/>
            </w:pPr>
            <w:r>
              <w:t xml:space="preserve">47</w:t>
            </w:r>
          </w:p>
        </w:tc>
      </w:tr>
      <w:tr>
        <w:trPr>
          <w:cantSplit/>
        </w:trPr>
        <w:tc>
          <w:tcPr/>
          <w:p>
            <w:pPr>
              <w:pStyle w:val="Tabla9"/>
              <w:jc w:val="left"/>
            </w:pPr>
            <w:r>
              <w:t xml:space="preserve">3</w:t>
            </w:r>
          </w:p>
        </w:tc>
        <w:tc>
          <w:tcPr/>
          <w:p>
            <w:pPr>
              <w:pStyle w:val="Tabla9"/>
              <w:jc w:val="left"/>
            </w:pPr>
            <w:r>
              <w:t xml:space="preserve">1.205</w:t>
            </w:r>
          </w:p>
        </w:tc>
        <w:tc>
          <w:tcPr/>
          <w:p>
            <w:pPr>
              <w:pStyle w:val="Tabla9"/>
              <w:jc w:val="left"/>
            </w:pPr>
            <w:r>
              <w:t xml:space="preserve">68</w:t>
            </w:r>
          </w:p>
        </w:tc>
      </w:tr>
      <w:tr>
        <w:trPr>
          <w:cantSplit/>
        </w:trPr>
        <w:tc>
          <w:tcPr/>
          <w:p>
            <w:pPr>
              <w:pStyle w:val="Tabla9"/>
              <w:jc w:val="left"/>
            </w:pPr>
            <w:r>
              <w:t xml:space="preserve">4</w:t>
            </w:r>
          </w:p>
        </w:tc>
        <w:tc>
          <w:tcPr/>
          <w:p>
            <w:pPr>
              <w:pStyle w:val="Tabla9"/>
              <w:jc w:val="left"/>
            </w:pPr>
            <w:r>
              <w:t xml:space="preserve">4.855</w:t>
            </w:r>
          </w:p>
        </w:tc>
        <w:tc>
          <w:tcPr/>
          <w:p>
            <w:pPr>
              <w:pStyle w:val="Tabla9"/>
              <w:jc w:val="left"/>
            </w:pPr>
            <w:r>
              <w:t xml:space="preserve">95</w:t>
            </w:r>
          </w:p>
        </w:tc>
      </w:tr>
      <w:tr>
        <w:trPr>
          <w:cantSplit/>
        </w:trPr>
        <w:tc>
          <w:tcPr/>
          <w:p>
            <w:pPr>
              <w:pStyle w:val="Tabla9"/>
              <w:jc w:val="left"/>
            </w:pPr>
            <w:r>
              <w:t xml:space="preserve">5</w:t>
            </w:r>
          </w:p>
        </w:tc>
        <w:tc>
          <w:tcPr/>
          <w:p>
            <w:pPr>
              <w:pStyle w:val="Tabla9"/>
              <w:jc w:val="left"/>
            </w:pPr>
            <w:r>
              <w:t xml:space="preserve">19.154</w:t>
            </w:r>
          </w:p>
        </w:tc>
        <w:tc>
          <w:tcPr/>
          <w:p>
            <w:pPr>
              <w:pStyle w:val="Tabla9"/>
              <w:jc w:val="left"/>
            </w:pPr>
            <w:r>
              <w:t xml:space="preserve">122</w:t>
            </w:r>
          </w:p>
        </w:tc>
      </w:tr>
      <w:tr>
        <w:trPr>
          <w:cantSplit/>
        </w:trPr>
        <w:tc>
          <w:tcPr/>
          <w:p>
            <w:pPr>
              <w:pStyle w:val="Tabla9"/>
              <w:jc w:val="left"/>
            </w:pPr>
            <w:r>
              <w:t xml:space="preserve">6</w:t>
            </w:r>
          </w:p>
        </w:tc>
        <w:tc>
          <w:tcPr/>
          <w:p>
            <w:pPr>
              <w:pStyle w:val="Tabla9"/>
              <w:jc w:val="left"/>
            </w:pPr>
            <w:r>
              <w:t xml:space="preserve">80.500</w:t>
            </w:r>
          </w:p>
        </w:tc>
        <w:tc>
          <w:tcPr/>
          <w:p>
            <w:pPr>
              <w:pStyle w:val="Tabla9"/>
              <w:jc w:val="left"/>
            </w:pPr>
            <w:r>
              <w:t xml:space="preserve">136</w:t>
            </w:r>
          </w:p>
        </w:tc>
      </w:tr>
      <w:tr>
        <w:trPr>
          <w:cantSplit/>
        </w:trPr>
        <w:tc>
          <w:tcPr/>
          <w:p>
            <w:pPr>
              <w:pStyle w:val="Tabla9"/>
              <w:jc w:val="left"/>
            </w:pPr>
            <w:r>
              <w:t xml:space="preserve">7</w:t>
            </w:r>
          </w:p>
        </w:tc>
        <w:tc>
          <w:tcPr/>
          <w:p>
            <w:pPr>
              <w:pStyle w:val="Tabla9"/>
              <w:jc w:val="left"/>
            </w:pPr>
            <w:r>
              <w:t xml:space="preserve">349.230</w:t>
            </w:r>
          </w:p>
        </w:tc>
        <w:tc>
          <w:tcPr/>
          <w:p>
            <w:pPr>
              <w:pStyle w:val="Tabla9"/>
              <w:jc w:val="left"/>
            </w:pPr>
            <w:r>
              <w:t xml:space="preserve">143</w:t>
            </w:r>
          </w:p>
        </w:tc>
      </w:tr>
      <w:tr>
        <w:trPr>
          <w:cantSplit/>
        </w:trPr>
        <w:tc>
          <w:tcPr/>
          <w:p>
            <w:pPr>
              <w:pStyle w:val="Tabla9"/>
              <w:jc w:val="left"/>
            </w:pPr>
            <w:r>
              <w:t xml:space="preserve">8</w:t>
            </w:r>
          </w:p>
        </w:tc>
        <w:tc>
          <w:tcPr/>
          <w:p>
            <w:pPr>
              <w:pStyle w:val="Tabla9"/>
              <w:jc w:val="left"/>
            </w:pPr>
            <w:r>
              <w:t xml:space="preserve">1.484.060</w:t>
            </w:r>
          </w:p>
        </w:tc>
        <w:tc>
          <w:tcPr/>
          <w:p>
            <w:pPr>
              <w:pStyle w:val="Tabla9"/>
              <w:jc w:val="left"/>
            </w:pPr>
            <w:r>
              <w:t xml:space="preserve">148</w:t>
            </w:r>
          </w:p>
        </w:tc>
      </w:tr>
      <w:tr>
        <w:trPr>
          <w:cantSplit/>
        </w:trPr>
        <w:tc>
          <w:tcPr/>
          <w:p>
            <w:pPr>
              <w:pStyle w:val="Tabla9"/>
              <w:jc w:val="left"/>
            </w:pPr>
            <w:r>
              <w:t xml:space="preserve">9</w:t>
            </w:r>
          </w:p>
        </w:tc>
        <w:tc>
          <w:tcPr/>
          <w:p>
            <w:pPr>
              <w:pStyle w:val="Tabla9"/>
              <w:jc w:val="left"/>
            </w:pPr>
            <w:r>
              <w:t xml:space="preserve">6.071.508</w:t>
            </w:r>
          </w:p>
        </w:tc>
        <w:tc>
          <w:tcPr/>
          <w:p>
            <w:pPr>
              <w:pStyle w:val="Tabla9"/>
              <w:jc w:val="left"/>
            </w:pPr>
            <w:r>
              <w:t xml:space="preserve">150</w:t>
            </w:r>
          </w:p>
        </w:tc>
      </w:tr>
      <w:tr>
        <w:trPr>
          <w:cantSplit/>
        </w:trPr>
        <w:tc>
          <w:tcPr/>
          <w:p>
            <w:pPr>
              <w:pStyle w:val="Tabla9"/>
              <w:jc w:val="left"/>
            </w:pPr>
            <w:r>
              <w:t xml:space="preserve">10</w:t>
            </w:r>
          </w:p>
        </w:tc>
        <w:tc>
          <w:tcPr/>
          <w:p>
            <w:pPr>
              <w:pStyle w:val="Tabla9"/>
              <w:jc w:val="left"/>
            </w:pPr>
            <w:r>
              <w:t xml:space="preserve">24.573.040</w:t>
            </w:r>
          </w:p>
        </w:tc>
        <w:tc>
          <w:tcPr/>
          <w:p>
            <w:pPr>
              <w:pStyle w:val="Tabla9"/>
              <w:jc w:val="left"/>
            </w:pPr>
            <w:r>
              <w:t xml:space="preserve">150</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S2.</w:t>
      </w:r>
      <w:r>
        <w:t xml:space="preserve"> </w:t>
      </w:r>
      <w:r>
        <w:t xml:space="preserve">Estado: SIN_ESTABILIDAD_OBSERVADA_HASTA_KMAX. Primera potencia nula: ninguna hasta KMAX. Potencia de referencia: A^10.</w:t>
      </w:r>
    </w:p>
    <w:p>
      <w:pPr>
        <w:pStyle w:val="BodyText"/>
      </w:pPr>
      <w:r>
        <w:t xml:space="preserve">La Tabla F4.38 reúne los datos de «Estabilidad de las potencias de MICMAC en el escenario S2».</w:t>
      </w:r>
    </w:p>
    <w:p>
      <w:pPr>
        <w:pStyle w:val="TablaRotulo"/>
      </w:pPr>
      <w:bookmarkStart w:id="9115" w:name="rot_Tabla_F4_38"/>
      <w:r>
        <w:rPr>
          <w:b/>
          <w:bCs/>
        </w:rPr>
        <w:t xml:space="preserve">Tabla F4.38</w:t>
      </w:r>
      <w:bookmarkEnd w:id="9115"/>
    </w:p>
    <w:p>
      <w:pPr>
        <w:pStyle w:val="TablaTitulo"/>
      </w:pPr>
      <w:r>
        <w:rPr>
          <w:i/>
          <w:iCs/>
        </w:rPr>
        <w:t xml:space="preserve">Estabilidad de las potencias de MICMAC en el escenario S2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88"/>
        <w:gridCol w:w="3696"/>
        <w:gridCol w:w="3036"/>
      </w:tblGrid>
      <w:tr>
        <w:trPr>
          <w:cantSplit/>
          <w:tblHeader/>
        </w:trPr>
        <w:tc>
          <w:tcPr>
            <w:shd w:val="clear" w:color="auto" w:fill="00B050"/>
          </w:tcPr>
          <w:p>
            <w:pPr>
              <w:pStyle w:val="Tabla9"/>
              <w:jc w:val="center"/>
            </w:pPr>
            <w:r>
              <w:rPr>
                <w:b/>
                <w:color w:val="FFFFFF"/>
              </w:rPr>
              <w:t xml:space="preserve">k</w:t>
            </w:r>
          </w:p>
        </w:tc>
        <w:tc>
          <w:tcPr>
            <w:shd w:val="clear" w:color="auto" w:fill="00B050"/>
          </w:tcPr>
          <w:p>
            <w:pPr>
              <w:pStyle w:val="Tabla9"/>
              <w:jc w:val="center"/>
            </w:pPr>
            <w:r>
              <w:rPr>
                <w:b/>
                <w:color w:val="FFFFFF"/>
              </w:rPr>
              <w:t xml:space="preserve">Total TA = TP</w:t>
            </w:r>
          </w:p>
        </w:tc>
        <w:tc>
          <w:tcPr>
            <w:shd w:val="clear" w:color="auto" w:fill="00B050"/>
          </w:tcPr>
          <w:p>
            <w:pPr>
              <w:pStyle w:val="Tabla9"/>
              <w:jc w:val="center"/>
            </w:pPr>
            <w:r>
              <w:rPr>
                <w:b/>
                <w:color w:val="FFFFFF"/>
              </w:rPr>
              <w:t xml:space="preserve">Celdas no nulas</w:t>
            </w:r>
          </w:p>
        </w:tc>
      </w:tr>
      <w:tr>
        <w:trPr>
          <w:cantSplit/>
        </w:trPr>
        <w:tc>
          <w:tcPr/>
          <w:p>
            <w:pPr>
              <w:pStyle w:val="Tabla9"/>
              <w:jc w:val="left"/>
            </w:pPr>
            <w:r>
              <w:t xml:space="preserve">1</w:t>
            </w:r>
          </w:p>
        </w:tc>
        <w:tc>
          <w:tcPr/>
          <w:p>
            <w:pPr>
              <w:pStyle w:val="Tabla9"/>
              <w:jc w:val="left"/>
            </w:pPr>
            <w:r>
              <w:t xml:space="preserve">78</w:t>
            </w:r>
          </w:p>
        </w:tc>
        <w:tc>
          <w:tcPr/>
          <w:p>
            <w:pPr>
              <w:pStyle w:val="Tabla9"/>
              <w:jc w:val="left"/>
            </w:pPr>
            <w:r>
              <w:t xml:space="preserve">48</w:t>
            </w:r>
          </w:p>
        </w:tc>
      </w:tr>
      <w:tr>
        <w:trPr>
          <w:cantSplit/>
        </w:trPr>
        <w:tc>
          <w:tcPr/>
          <w:p>
            <w:pPr>
              <w:pStyle w:val="Tabla9"/>
              <w:jc w:val="left"/>
            </w:pPr>
            <w:r>
              <w:t xml:space="preserve">2</w:t>
            </w:r>
          </w:p>
        </w:tc>
        <w:tc>
          <w:tcPr/>
          <w:p>
            <w:pPr>
              <w:pStyle w:val="Tabla9"/>
              <w:jc w:val="left"/>
            </w:pPr>
            <w:r>
              <w:t xml:space="preserve">403</w:t>
            </w:r>
          </w:p>
        </w:tc>
        <w:tc>
          <w:tcPr/>
          <w:p>
            <w:pPr>
              <w:pStyle w:val="Tabla9"/>
              <w:jc w:val="left"/>
            </w:pPr>
            <w:r>
              <w:t xml:space="preserve">99</w:t>
            </w:r>
          </w:p>
        </w:tc>
      </w:tr>
      <w:tr>
        <w:trPr>
          <w:cantSplit/>
        </w:trPr>
        <w:tc>
          <w:tcPr/>
          <w:p>
            <w:pPr>
              <w:pStyle w:val="Tabla9"/>
              <w:jc w:val="left"/>
            </w:pPr>
            <w:r>
              <w:t xml:space="preserve">3</w:t>
            </w:r>
          </w:p>
        </w:tc>
        <w:tc>
          <w:tcPr/>
          <w:p>
            <w:pPr>
              <w:pStyle w:val="Tabla9"/>
              <w:jc w:val="left"/>
            </w:pPr>
            <w:r>
              <w:t xml:space="preserve">1.974</w:t>
            </w:r>
          </w:p>
        </w:tc>
        <w:tc>
          <w:tcPr/>
          <w:p>
            <w:pPr>
              <w:pStyle w:val="Tabla9"/>
              <w:jc w:val="left"/>
            </w:pPr>
            <w:r>
              <w:t xml:space="preserve">151</w:t>
            </w:r>
          </w:p>
        </w:tc>
      </w:tr>
      <w:tr>
        <w:trPr>
          <w:cantSplit/>
        </w:trPr>
        <w:tc>
          <w:tcPr/>
          <w:p>
            <w:pPr>
              <w:pStyle w:val="Tabla9"/>
              <w:jc w:val="left"/>
            </w:pPr>
            <w:r>
              <w:t xml:space="preserve">4</w:t>
            </w:r>
          </w:p>
        </w:tc>
        <w:tc>
          <w:tcPr/>
          <w:p>
            <w:pPr>
              <w:pStyle w:val="Tabla9"/>
              <w:jc w:val="left"/>
            </w:pPr>
            <w:r>
              <w:t xml:space="preserve">9.427</w:t>
            </w:r>
          </w:p>
        </w:tc>
        <w:tc>
          <w:tcPr/>
          <w:p>
            <w:pPr>
              <w:pStyle w:val="Tabla9"/>
              <w:jc w:val="left"/>
            </w:pPr>
            <w:r>
              <w:t xml:space="preserve">179</w:t>
            </w:r>
          </w:p>
        </w:tc>
      </w:tr>
      <w:tr>
        <w:trPr>
          <w:cantSplit/>
        </w:trPr>
        <w:tc>
          <w:tcPr/>
          <w:p>
            <w:pPr>
              <w:pStyle w:val="Tabla9"/>
              <w:jc w:val="left"/>
            </w:pPr>
            <w:r>
              <w:t xml:space="preserve">5</w:t>
            </w:r>
          </w:p>
        </w:tc>
        <w:tc>
          <w:tcPr/>
          <w:p>
            <w:pPr>
              <w:pStyle w:val="Tabla9"/>
              <w:jc w:val="left"/>
            </w:pPr>
            <w:r>
              <w:t xml:space="preserve">45.846</w:t>
            </w:r>
          </w:p>
        </w:tc>
        <w:tc>
          <w:tcPr/>
          <w:p>
            <w:pPr>
              <w:pStyle w:val="Tabla9"/>
              <w:jc w:val="left"/>
            </w:pPr>
            <w:r>
              <w:t xml:space="preserve">189</w:t>
            </w:r>
          </w:p>
        </w:tc>
      </w:tr>
      <w:tr>
        <w:trPr>
          <w:cantSplit/>
        </w:trPr>
        <w:tc>
          <w:tcPr/>
          <w:p>
            <w:pPr>
              <w:pStyle w:val="Tabla9"/>
              <w:jc w:val="left"/>
            </w:pPr>
            <w:r>
              <w:t xml:space="preserve">6</w:t>
            </w:r>
          </w:p>
        </w:tc>
        <w:tc>
          <w:tcPr/>
          <w:p>
            <w:pPr>
              <w:pStyle w:val="Tabla9"/>
              <w:jc w:val="left"/>
            </w:pPr>
            <w:r>
              <w:t xml:space="preserve">224.551</w:t>
            </w:r>
          </w:p>
        </w:tc>
        <w:tc>
          <w:tcPr/>
          <w:p>
            <w:pPr>
              <w:pStyle w:val="Tabla9"/>
              <w:jc w:val="left"/>
            </w:pPr>
            <w:r>
              <w:t xml:space="preserve">192</w:t>
            </w:r>
          </w:p>
        </w:tc>
      </w:tr>
      <w:tr>
        <w:trPr>
          <w:cantSplit/>
        </w:trPr>
        <w:tc>
          <w:tcPr/>
          <w:p>
            <w:pPr>
              <w:pStyle w:val="Tabla9"/>
              <w:jc w:val="left"/>
            </w:pPr>
            <w:r>
              <w:t xml:space="preserve">7</w:t>
            </w:r>
          </w:p>
        </w:tc>
        <w:tc>
          <w:tcPr/>
          <w:p>
            <w:pPr>
              <w:pStyle w:val="Tabla9"/>
              <w:jc w:val="left"/>
            </w:pPr>
            <w:r>
              <w:t xml:space="preserve">1.101.608</w:t>
            </w:r>
          </w:p>
        </w:tc>
        <w:tc>
          <w:tcPr/>
          <w:p>
            <w:pPr>
              <w:pStyle w:val="Tabla9"/>
              <w:jc w:val="left"/>
            </w:pPr>
            <w:r>
              <w:t xml:space="preserve">195</w:t>
            </w:r>
          </w:p>
        </w:tc>
      </w:tr>
      <w:tr>
        <w:trPr>
          <w:cantSplit/>
        </w:trPr>
        <w:tc>
          <w:tcPr/>
          <w:p>
            <w:pPr>
              <w:pStyle w:val="Tabla9"/>
              <w:jc w:val="left"/>
            </w:pPr>
            <w:r>
              <w:t xml:space="preserve">8</w:t>
            </w:r>
          </w:p>
        </w:tc>
        <w:tc>
          <w:tcPr/>
          <w:p>
            <w:pPr>
              <w:pStyle w:val="Tabla9"/>
              <w:jc w:val="left"/>
            </w:pPr>
            <w:r>
              <w:t xml:space="preserve">5.373.011</w:t>
            </w:r>
          </w:p>
        </w:tc>
        <w:tc>
          <w:tcPr/>
          <w:p>
            <w:pPr>
              <w:pStyle w:val="Tabla9"/>
              <w:jc w:val="left"/>
            </w:pPr>
            <w:r>
              <w:t xml:space="preserve">195</w:t>
            </w:r>
          </w:p>
        </w:tc>
      </w:tr>
      <w:tr>
        <w:trPr>
          <w:cantSplit/>
        </w:trPr>
        <w:tc>
          <w:tcPr/>
          <w:p>
            <w:pPr>
              <w:pStyle w:val="Tabla9"/>
              <w:jc w:val="left"/>
            </w:pPr>
            <w:r>
              <w:t xml:space="preserve">9</w:t>
            </w:r>
          </w:p>
        </w:tc>
        <w:tc>
          <w:tcPr/>
          <w:p>
            <w:pPr>
              <w:pStyle w:val="Tabla9"/>
              <w:jc w:val="left"/>
            </w:pPr>
            <w:r>
              <w:t xml:space="preserve">26.172.826</w:t>
            </w:r>
          </w:p>
        </w:tc>
        <w:tc>
          <w:tcPr/>
          <w:p>
            <w:pPr>
              <w:pStyle w:val="Tabla9"/>
              <w:jc w:val="left"/>
            </w:pPr>
            <w:r>
              <w:t xml:space="preserve">195</w:t>
            </w:r>
          </w:p>
        </w:tc>
      </w:tr>
      <w:tr>
        <w:trPr>
          <w:cantSplit/>
        </w:trPr>
        <w:tc>
          <w:tcPr/>
          <w:p>
            <w:pPr>
              <w:pStyle w:val="Tabla9"/>
              <w:jc w:val="left"/>
            </w:pPr>
            <w:r>
              <w:t xml:space="preserve">10</w:t>
            </w:r>
          </w:p>
        </w:tc>
        <w:tc>
          <w:tcPr/>
          <w:p>
            <w:pPr>
              <w:pStyle w:val="Tabla9"/>
              <w:jc w:val="left"/>
            </w:pPr>
            <w:r>
              <w:t xml:space="preserve">127.613.540</w:t>
            </w:r>
          </w:p>
        </w:tc>
        <w:tc>
          <w:tcPr/>
          <w:p>
            <w:pPr>
              <w:pStyle w:val="Tabla9"/>
              <w:jc w:val="left"/>
            </w:pPr>
            <w:r>
              <w:t xml:space="preserve">195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S3.</w:t>
      </w:r>
      <w:r>
        <w:t xml:space="preserve"> </w:t>
      </w:r>
      <w:r>
        <w:t xml:space="preserve">Estado: PERIODICIDAD_OBSERVADA. Primera potencia nula: ninguna hasta KMAX. Potencia de referencia: A^10.</w:t>
      </w:r>
    </w:p>
    <w:p>
      <w:pPr>
        <w:pStyle w:val="BodyText"/>
      </w:pPr>
      <w:r>
        <w:t xml:space="preserve">La Tabla F4.39 reúne los datos de «Estabilidad de las potencias de MICMAC en el escenario S3».</w:t>
      </w:r>
    </w:p>
    <w:p>
      <w:pPr>
        <w:pStyle w:val="TablaRotulo"/>
      </w:pPr>
      <w:bookmarkStart w:id="9116" w:name="rot_Tabla_F4_39"/>
      <w:r>
        <w:rPr>
          <w:b/>
          <w:bCs/>
        </w:rPr>
        <w:t xml:space="preserve">Tabla F4.39</w:t>
      </w:r>
      <w:bookmarkEnd w:id="9116"/>
    </w:p>
    <w:p>
      <w:pPr>
        <w:pStyle w:val="TablaTitulo"/>
      </w:pPr>
      <w:r>
        <w:rPr>
          <w:i/>
          <w:iCs/>
        </w:rPr>
        <w:t xml:space="preserve">Estabilidad de las potencias de MICMAC en el escenario S3</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20"/>
        <w:gridCol w:w="3168"/>
        <w:gridCol w:w="3432"/>
      </w:tblGrid>
      <w:tr>
        <w:trPr>
          <w:cantSplit/>
          <w:tblHeader/>
        </w:trPr>
        <w:tc>
          <w:tcPr>
            <w:shd w:val="clear" w:color="auto" w:fill="00B050"/>
          </w:tcPr>
          <w:p>
            <w:pPr>
              <w:pStyle w:val="Tabla9"/>
              <w:jc w:val="center"/>
            </w:pPr>
            <w:r>
              <w:rPr>
                <w:b/>
                <w:color w:val="FFFFFF"/>
              </w:rPr>
              <w:t xml:space="preserve">k</w:t>
            </w:r>
          </w:p>
        </w:tc>
        <w:tc>
          <w:tcPr>
            <w:shd w:val="clear" w:color="auto" w:fill="00B050"/>
          </w:tcPr>
          <w:p>
            <w:pPr>
              <w:pStyle w:val="Tabla9"/>
              <w:jc w:val="center"/>
            </w:pPr>
            <w:r>
              <w:rPr>
                <w:b/>
                <w:color w:val="FFFFFF"/>
              </w:rPr>
              <w:t xml:space="preserve">Total TA = TP</w:t>
            </w:r>
          </w:p>
        </w:tc>
        <w:tc>
          <w:tcPr>
            <w:shd w:val="clear" w:color="auto" w:fill="00B050"/>
          </w:tcPr>
          <w:p>
            <w:pPr>
              <w:pStyle w:val="Tabla9"/>
              <w:jc w:val="center"/>
            </w:pPr>
            <w:r>
              <w:rPr>
                <w:b/>
                <w:color w:val="FFFFFF"/>
              </w:rPr>
              <w:t xml:space="preserve">Celdas no nulas</w:t>
            </w:r>
          </w:p>
        </w:tc>
      </w:tr>
      <w:tr>
        <w:trPr>
          <w:cantSplit/>
        </w:trPr>
        <w:tc>
          <w:tcPr/>
          <w:p>
            <w:pPr>
              <w:pStyle w:val="Tabla9"/>
              <w:jc w:val="left"/>
            </w:pPr>
            <w:r>
              <w:t xml:space="preserve">1</w:t>
            </w:r>
          </w:p>
        </w:tc>
        <w:tc>
          <w:tcPr/>
          <w:p>
            <w:pPr>
              <w:pStyle w:val="Tabla9"/>
              <w:jc w:val="left"/>
            </w:pPr>
            <w:r>
              <w:t xml:space="preserve">29</w:t>
            </w:r>
          </w:p>
        </w:tc>
        <w:tc>
          <w:tcPr/>
          <w:p>
            <w:pPr>
              <w:pStyle w:val="Tabla9"/>
              <w:jc w:val="left"/>
            </w:pPr>
            <w:r>
              <w:t xml:space="preserve">21</w:t>
            </w:r>
          </w:p>
        </w:tc>
      </w:tr>
      <w:tr>
        <w:trPr>
          <w:cantSplit/>
        </w:trPr>
        <w:tc>
          <w:tcPr/>
          <w:p>
            <w:pPr>
              <w:pStyle w:val="Tabla9"/>
              <w:jc w:val="left"/>
            </w:pPr>
            <w:r>
              <w:t xml:space="preserve">2</w:t>
            </w:r>
          </w:p>
        </w:tc>
        <w:tc>
          <w:tcPr/>
          <w:p>
            <w:pPr>
              <w:pStyle w:val="Tabla9"/>
              <w:jc w:val="left"/>
            </w:pPr>
            <w:r>
              <w:t xml:space="preserve">58</w:t>
            </w:r>
          </w:p>
        </w:tc>
        <w:tc>
          <w:tcPr/>
          <w:p>
            <w:pPr>
              <w:pStyle w:val="Tabla9"/>
              <w:jc w:val="left"/>
            </w:pPr>
            <w:r>
              <w:t xml:space="preserve">26</w:t>
            </w:r>
          </w:p>
        </w:tc>
      </w:tr>
      <w:tr>
        <w:trPr>
          <w:cantSplit/>
        </w:trPr>
        <w:tc>
          <w:tcPr/>
          <w:p>
            <w:pPr>
              <w:pStyle w:val="Tabla9"/>
              <w:jc w:val="left"/>
            </w:pPr>
            <w:r>
              <w:t xml:space="preserve">3</w:t>
            </w:r>
          </w:p>
        </w:tc>
        <w:tc>
          <w:tcPr/>
          <w:p>
            <w:pPr>
              <w:pStyle w:val="Tabla9"/>
              <w:jc w:val="left"/>
            </w:pPr>
            <w:r>
              <w:t xml:space="preserve">100</w:t>
            </w:r>
          </w:p>
        </w:tc>
        <w:tc>
          <w:tcPr/>
          <w:p>
            <w:pPr>
              <w:pStyle w:val="Tabla9"/>
              <w:jc w:val="left"/>
            </w:pPr>
            <w:r>
              <w:t xml:space="preserve">31</w:t>
            </w:r>
          </w:p>
        </w:tc>
      </w:tr>
      <w:tr>
        <w:trPr>
          <w:cantSplit/>
        </w:trPr>
        <w:tc>
          <w:tcPr/>
          <w:p>
            <w:pPr>
              <w:pStyle w:val="Tabla9"/>
              <w:jc w:val="left"/>
            </w:pPr>
            <w:r>
              <w:t xml:space="preserve">4</w:t>
            </w:r>
          </w:p>
        </w:tc>
        <w:tc>
          <w:tcPr/>
          <w:p>
            <w:pPr>
              <w:pStyle w:val="Tabla9"/>
              <w:jc w:val="left"/>
            </w:pPr>
            <w:r>
              <w:t xml:space="preserve">133</w:t>
            </w:r>
          </w:p>
        </w:tc>
        <w:tc>
          <w:tcPr/>
          <w:p>
            <w:pPr>
              <w:pStyle w:val="Tabla9"/>
              <w:jc w:val="left"/>
            </w:pPr>
            <w:r>
              <w:t xml:space="preserve">32</w:t>
            </w:r>
          </w:p>
        </w:tc>
      </w:tr>
      <w:tr>
        <w:trPr>
          <w:cantSplit/>
        </w:trPr>
        <w:tc>
          <w:tcPr/>
          <w:p>
            <w:pPr>
              <w:pStyle w:val="Tabla9"/>
              <w:jc w:val="left"/>
            </w:pPr>
            <w:r>
              <w:t xml:space="preserve">5</w:t>
            </w:r>
          </w:p>
        </w:tc>
        <w:tc>
          <w:tcPr/>
          <w:p>
            <w:pPr>
              <w:pStyle w:val="Tabla9"/>
              <w:jc w:val="left"/>
            </w:pPr>
            <w:r>
              <w:t xml:space="preserve">167</w:t>
            </w:r>
          </w:p>
        </w:tc>
        <w:tc>
          <w:tcPr/>
          <w:p>
            <w:pPr>
              <w:pStyle w:val="Tabla9"/>
              <w:jc w:val="left"/>
            </w:pPr>
            <w:r>
              <w:t xml:space="preserve">31</w:t>
            </w:r>
          </w:p>
        </w:tc>
      </w:tr>
      <w:tr>
        <w:trPr>
          <w:cantSplit/>
        </w:trPr>
        <w:tc>
          <w:tcPr/>
          <w:p>
            <w:pPr>
              <w:pStyle w:val="Tabla9"/>
              <w:jc w:val="left"/>
            </w:pPr>
            <w:r>
              <w:t xml:space="preserve">6</w:t>
            </w:r>
          </w:p>
        </w:tc>
        <w:tc>
          <w:tcPr/>
          <w:p>
            <w:pPr>
              <w:pStyle w:val="Tabla9"/>
              <w:jc w:val="left"/>
            </w:pPr>
            <w:r>
              <w:t xml:space="preserve">169</w:t>
            </w:r>
          </w:p>
        </w:tc>
        <w:tc>
          <w:tcPr/>
          <w:p>
            <w:pPr>
              <w:pStyle w:val="Tabla9"/>
              <w:jc w:val="left"/>
            </w:pPr>
            <w:r>
              <w:t xml:space="preserve">32</w:t>
            </w:r>
          </w:p>
        </w:tc>
      </w:tr>
      <w:tr>
        <w:trPr>
          <w:cantSplit/>
        </w:trPr>
        <w:tc>
          <w:tcPr/>
          <w:p>
            <w:pPr>
              <w:pStyle w:val="Tabla9"/>
              <w:jc w:val="left"/>
            </w:pPr>
            <w:r>
              <w:t xml:space="preserve">7</w:t>
            </w:r>
          </w:p>
        </w:tc>
        <w:tc>
          <w:tcPr/>
          <w:p>
            <w:pPr>
              <w:pStyle w:val="Tabla9"/>
              <w:jc w:val="left"/>
            </w:pPr>
            <w:r>
              <w:t xml:space="preserve">167</w:t>
            </w:r>
          </w:p>
        </w:tc>
        <w:tc>
          <w:tcPr/>
          <w:p>
            <w:pPr>
              <w:pStyle w:val="Tabla9"/>
              <w:jc w:val="left"/>
            </w:pPr>
            <w:r>
              <w:t xml:space="preserve">31</w:t>
            </w:r>
          </w:p>
        </w:tc>
      </w:tr>
      <w:tr>
        <w:trPr>
          <w:cantSplit/>
        </w:trPr>
        <w:tc>
          <w:tcPr/>
          <w:p>
            <w:pPr>
              <w:pStyle w:val="Tabla9"/>
              <w:jc w:val="left"/>
            </w:pPr>
            <w:r>
              <w:t xml:space="preserve">8</w:t>
            </w:r>
          </w:p>
        </w:tc>
        <w:tc>
          <w:tcPr/>
          <w:p>
            <w:pPr>
              <w:pStyle w:val="Tabla9"/>
              <w:jc w:val="left"/>
            </w:pPr>
            <w:r>
              <w:t xml:space="preserve">169</w:t>
            </w:r>
          </w:p>
        </w:tc>
        <w:tc>
          <w:tcPr/>
          <w:p>
            <w:pPr>
              <w:pStyle w:val="Tabla9"/>
              <w:jc w:val="left"/>
            </w:pPr>
            <w:r>
              <w:t xml:space="preserve">32</w:t>
            </w:r>
          </w:p>
        </w:tc>
      </w:tr>
      <w:tr>
        <w:trPr>
          <w:cantSplit/>
        </w:trPr>
        <w:tc>
          <w:tcPr/>
          <w:p>
            <w:pPr>
              <w:pStyle w:val="Tabla9"/>
              <w:jc w:val="left"/>
            </w:pPr>
            <w:r>
              <w:t xml:space="preserve">9</w:t>
            </w:r>
          </w:p>
        </w:tc>
        <w:tc>
          <w:tcPr/>
          <w:p>
            <w:pPr>
              <w:pStyle w:val="Tabla9"/>
              <w:jc w:val="left"/>
            </w:pPr>
            <w:r>
              <w:t xml:space="preserve">167</w:t>
            </w:r>
          </w:p>
        </w:tc>
        <w:tc>
          <w:tcPr/>
          <w:p>
            <w:pPr>
              <w:pStyle w:val="Tabla9"/>
              <w:jc w:val="left"/>
            </w:pPr>
            <w:r>
              <w:t xml:space="preserve">31</w:t>
            </w:r>
          </w:p>
        </w:tc>
      </w:tr>
      <w:tr>
        <w:trPr>
          <w:cantSplit/>
        </w:trPr>
        <w:tc>
          <w:tcPr/>
          <w:p>
            <w:pPr>
              <w:pStyle w:val="Tabla9"/>
              <w:jc w:val="left"/>
            </w:pPr>
            <w:r>
              <w:t xml:space="preserve">10</w:t>
            </w:r>
          </w:p>
        </w:tc>
        <w:tc>
          <w:tcPr/>
          <w:p>
            <w:pPr>
              <w:pStyle w:val="Tabla9"/>
              <w:jc w:val="left"/>
            </w:pPr>
            <w:r>
              <w:t xml:space="preserve">169</w:t>
            </w:r>
          </w:p>
        </w:tc>
        <w:tc>
          <w:tcPr/>
          <w:p>
            <w:pPr>
              <w:pStyle w:val="Tabla9"/>
              <w:jc w:val="left"/>
            </w:pPr>
            <w:r>
              <w:t xml:space="preserve">32</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S4.</w:t>
      </w:r>
      <w:r>
        <w:t xml:space="preserve"> </w:t>
      </w:r>
      <w:r>
        <w:t xml:space="preserve">Estado: SIN_ESTABILIDAD_OBSERVADA_HASTA_KMAX. Primera potencia nula: ninguna hasta KMAX. Potencia de referencia: A^10.</w:t>
      </w:r>
    </w:p>
    <w:p>
      <w:pPr>
        <w:pStyle w:val="BodyText"/>
      </w:pPr>
      <w:r>
        <w:t xml:space="preserve">La Tabla F4.40 reúne los datos de «Estabilidad de las potencias de MICMAC en el escenario S4».</w:t>
      </w:r>
    </w:p>
    <w:p>
      <w:pPr>
        <w:pStyle w:val="TablaRotulo"/>
      </w:pPr>
      <w:bookmarkStart w:id="9117" w:name="rot_Tabla_F4_40"/>
      <w:r>
        <w:rPr>
          <w:b/>
          <w:bCs/>
        </w:rPr>
        <w:t xml:space="preserve">Tabla F4.40</w:t>
      </w:r>
      <w:bookmarkEnd w:id="9117"/>
    </w:p>
    <w:p>
      <w:pPr>
        <w:pStyle w:val="TablaTitulo"/>
      </w:pPr>
      <w:r>
        <w:rPr>
          <w:i/>
          <w:iCs/>
        </w:rPr>
        <w:t xml:space="preserve">Estabilidad de las potencias de MICMAC en el escenario S4</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22"/>
        <w:gridCol w:w="3828"/>
        <w:gridCol w:w="2970"/>
      </w:tblGrid>
      <w:tr>
        <w:trPr>
          <w:cantSplit/>
          <w:tblHeader/>
        </w:trPr>
        <w:tc>
          <w:tcPr>
            <w:shd w:val="clear" w:color="auto" w:fill="00B050"/>
          </w:tcPr>
          <w:p>
            <w:pPr>
              <w:pStyle w:val="Tabla9"/>
              <w:jc w:val="center"/>
            </w:pPr>
            <w:r>
              <w:rPr>
                <w:b/>
                <w:color w:val="FFFFFF"/>
              </w:rPr>
              <w:t xml:space="preserve">k</w:t>
            </w:r>
          </w:p>
        </w:tc>
        <w:tc>
          <w:tcPr>
            <w:shd w:val="clear" w:color="auto" w:fill="00B050"/>
          </w:tcPr>
          <w:p>
            <w:pPr>
              <w:pStyle w:val="Tabla9"/>
              <w:jc w:val="center"/>
            </w:pPr>
            <w:r>
              <w:rPr>
                <w:b/>
                <w:color w:val="FFFFFF"/>
              </w:rPr>
              <w:t xml:space="preserve">Total TA = TP</w:t>
            </w:r>
          </w:p>
        </w:tc>
        <w:tc>
          <w:tcPr>
            <w:shd w:val="clear" w:color="auto" w:fill="00B050"/>
          </w:tcPr>
          <w:p>
            <w:pPr>
              <w:pStyle w:val="Tabla9"/>
              <w:jc w:val="center"/>
            </w:pPr>
            <w:r>
              <w:rPr>
                <w:b/>
                <w:color w:val="FFFFFF"/>
              </w:rPr>
              <w:t xml:space="preserve">Celdas no nulas</w:t>
            </w:r>
          </w:p>
        </w:tc>
      </w:tr>
      <w:tr>
        <w:trPr>
          <w:cantSplit/>
        </w:trPr>
        <w:tc>
          <w:tcPr/>
          <w:p>
            <w:pPr>
              <w:pStyle w:val="Tabla9"/>
              <w:jc w:val="left"/>
            </w:pPr>
            <w:r>
              <w:t xml:space="preserve">1</w:t>
            </w:r>
          </w:p>
        </w:tc>
        <w:tc>
          <w:tcPr/>
          <w:p>
            <w:pPr>
              <w:pStyle w:val="Tabla9"/>
              <w:jc w:val="left"/>
            </w:pPr>
            <w:r>
              <w:t xml:space="preserve">118</w:t>
            </w:r>
          </w:p>
        </w:tc>
        <w:tc>
          <w:tcPr/>
          <w:p>
            <w:pPr>
              <w:pStyle w:val="Tabla9"/>
              <w:jc w:val="left"/>
            </w:pPr>
            <w:r>
              <w:t xml:space="preserve">60</w:t>
            </w:r>
          </w:p>
        </w:tc>
      </w:tr>
      <w:tr>
        <w:trPr>
          <w:cantSplit/>
        </w:trPr>
        <w:tc>
          <w:tcPr/>
          <w:p>
            <w:pPr>
              <w:pStyle w:val="Tabla9"/>
              <w:jc w:val="left"/>
            </w:pPr>
            <w:r>
              <w:t xml:space="preserve">2</w:t>
            </w:r>
          </w:p>
        </w:tc>
        <w:tc>
          <w:tcPr/>
          <w:p>
            <w:pPr>
              <w:pStyle w:val="Tabla9"/>
              <w:jc w:val="left"/>
            </w:pPr>
            <w:r>
              <w:t xml:space="preserve">856</w:t>
            </w:r>
          </w:p>
        </w:tc>
        <w:tc>
          <w:tcPr/>
          <w:p>
            <w:pPr>
              <w:pStyle w:val="Tabla9"/>
              <w:jc w:val="left"/>
            </w:pPr>
            <w:r>
              <w:t xml:space="preserve">125</w:t>
            </w:r>
          </w:p>
        </w:tc>
      </w:tr>
      <w:tr>
        <w:trPr>
          <w:cantSplit/>
        </w:trPr>
        <w:tc>
          <w:tcPr/>
          <w:p>
            <w:pPr>
              <w:pStyle w:val="Tabla9"/>
              <w:jc w:val="left"/>
            </w:pPr>
            <w:r>
              <w:t xml:space="preserve">3</w:t>
            </w:r>
          </w:p>
        </w:tc>
        <w:tc>
          <w:tcPr/>
          <w:p>
            <w:pPr>
              <w:pStyle w:val="Tabla9"/>
              <w:jc w:val="left"/>
            </w:pPr>
            <w:r>
              <w:t xml:space="preserve">6.249</w:t>
            </w:r>
          </w:p>
        </w:tc>
        <w:tc>
          <w:tcPr/>
          <w:p>
            <w:pPr>
              <w:pStyle w:val="Tabla9"/>
              <w:jc w:val="left"/>
            </w:pPr>
            <w:r>
              <w:t xml:space="preserve">172</w:t>
            </w:r>
          </w:p>
        </w:tc>
      </w:tr>
      <w:tr>
        <w:trPr>
          <w:cantSplit/>
        </w:trPr>
        <w:tc>
          <w:tcPr/>
          <w:p>
            <w:pPr>
              <w:pStyle w:val="Tabla9"/>
              <w:jc w:val="left"/>
            </w:pPr>
            <w:r>
              <w:t xml:space="preserve">4</w:t>
            </w:r>
          </w:p>
        </w:tc>
        <w:tc>
          <w:tcPr/>
          <w:p>
            <w:pPr>
              <w:pStyle w:val="Tabla9"/>
              <w:jc w:val="left"/>
            </w:pPr>
            <w:r>
              <w:t xml:space="preserve">44.281</w:t>
            </w:r>
          </w:p>
        </w:tc>
        <w:tc>
          <w:tcPr/>
          <w:p>
            <w:pPr>
              <w:pStyle w:val="Tabla9"/>
              <w:jc w:val="left"/>
            </w:pPr>
            <w:r>
              <w:t xml:space="preserve">189</w:t>
            </w:r>
          </w:p>
        </w:tc>
      </w:tr>
      <w:tr>
        <w:trPr>
          <w:cantSplit/>
        </w:trPr>
        <w:tc>
          <w:tcPr/>
          <w:p>
            <w:pPr>
              <w:pStyle w:val="Tabla9"/>
              <w:jc w:val="left"/>
            </w:pPr>
            <w:r>
              <w:t xml:space="preserve">5</w:t>
            </w:r>
          </w:p>
        </w:tc>
        <w:tc>
          <w:tcPr/>
          <w:p>
            <w:pPr>
              <w:pStyle w:val="Tabla9"/>
              <w:jc w:val="left"/>
            </w:pPr>
            <w:r>
              <w:t xml:space="preserve">312.165</w:t>
            </w:r>
          </w:p>
        </w:tc>
        <w:tc>
          <w:tcPr/>
          <w:p>
            <w:pPr>
              <w:pStyle w:val="Tabla9"/>
              <w:jc w:val="left"/>
            </w:pPr>
            <w:r>
              <w:t xml:space="preserve">193</w:t>
            </w:r>
          </w:p>
        </w:tc>
      </w:tr>
      <w:tr>
        <w:trPr>
          <w:cantSplit/>
        </w:trPr>
        <w:tc>
          <w:tcPr/>
          <w:p>
            <w:pPr>
              <w:pStyle w:val="Tabla9"/>
              <w:jc w:val="left"/>
            </w:pPr>
            <w:r>
              <w:t xml:space="preserve">6</w:t>
            </w:r>
          </w:p>
        </w:tc>
        <w:tc>
          <w:tcPr/>
          <w:p>
            <w:pPr>
              <w:pStyle w:val="Tabla9"/>
              <w:jc w:val="left"/>
            </w:pPr>
            <w:r>
              <w:t xml:space="preserve">2.210.258</w:t>
            </w:r>
          </w:p>
        </w:tc>
        <w:tc>
          <w:tcPr/>
          <w:p>
            <w:pPr>
              <w:pStyle w:val="Tabla9"/>
              <w:jc w:val="left"/>
            </w:pPr>
            <w:r>
              <w:t xml:space="preserve">195</w:t>
            </w:r>
          </w:p>
        </w:tc>
      </w:tr>
      <w:tr>
        <w:trPr>
          <w:cantSplit/>
        </w:trPr>
        <w:tc>
          <w:tcPr/>
          <w:p>
            <w:pPr>
              <w:pStyle w:val="Tabla9"/>
              <w:jc w:val="left"/>
            </w:pPr>
            <w:r>
              <w:t xml:space="preserve">7</w:t>
            </w:r>
          </w:p>
        </w:tc>
        <w:tc>
          <w:tcPr/>
          <w:p>
            <w:pPr>
              <w:pStyle w:val="Tabla9"/>
              <w:jc w:val="left"/>
            </w:pPr>
            <w:r>
              <w:t xml:space="preserve">15.707.903</w:t>
            </w:r>
          </w:p>
        </w:tc>
        <w:tc>
          <w:tcPr/>
          <w:p>
            <w:pPr>
              <w:pStyle w:val="Tabla9"/>
              <w:jc w:val="left"/>
            </w:pPr>
            <w:r>
              <w:t xml:space="preserve">195</w:t>
            </w:r>
          </w:p>
        </w:tc>
      </w:tr>
      <w:tr>
        <w:trPr>
          <w:cantSplit/>
        </w:trPr>
        <w:tc>
          <w:tcPr/>
          <w:p>
            <w:pPr>
              <w:pStyle w:val="Tabla9"/>
              <w:jc w:val="left"/>
            </w:pPr>
            <w:r>
              <w:t xml:space="preserve">8</w:t>
            </w:r>
          </w:p>
        </w:tc>
        <w:tc>
          <w:tcPr/>
          <w:p>
            <w:pPr>
              <w:pStyle w:val="Tabla9"/>
              <w:jc w:val="left"/>
            </w:pPr>
            <w:r>
              <w:t xml:space="preserve">111.521.718</w:t>
            </w:r>
          </w:p>
        </w:tc>
        <w:tc>
          <w:tcPr/>
          <w:p>
            <w:pPr>
              <w:pStyle w:val="Tabla9"/>
              <w:jc w:val="left"/>
            </w:pPr>
            <w:r>
              <w:t xml:space="preserve">195</w:t>
            </w:r>
          </w:p>
        </w:tc>
      </w:tr>
      <w:tr>
        <w:trPr>
          <w:cantSplit/>
        </w:trPr>
        <w:tc>
          <w:tcPr/>
          <w:p>
            <w:pPr>
              <w:pStyle w:val="Tabla9"/>
              <w:jc w:val="left"/>
            </w:pPr>
            <w:r>
              <w:t xml:space="preserve">9</w:t>
            </w:r>
          </w:p>
        </w:tc>
        <w:tc>
          <w:tcPr/>
          <w:p>
            <w:pPr>
              <w:pStyle w:val="Tabla9"/>
              <w:jc w:val="left"/>
            </w:pPr>
            <w:r>
              <w:t xml:space="preserve">791.024.704</w:t>
            </w:r>
          </w:p>
        </w:tc>
        <w:tc>
          <w:tcPr/>
          <w:p>
            <w:pPr>
              <w:pStyle w:val="Tabla9"/>
              <w:jc w:val="left"/>
            </w:pPr>
            <w:r>
              <w:t xml:space="preserve">195</w:t>
            </w:r>
          </w:p>
        </w:tc>
      </w:tr>
      <w:tr>
        <w:trPr>
          <w:cantSplit/>
        </w:trPr>
        <w:tc>
          <w:tcPr/>
          <w:p>
            <w:pPr>
              <w:pStyle w:val="Tabla9"/>
              <w:jc w:val="left"/>
            </w:pPr>
            <w:r>
              <w:t xml:space="preserve">10</w:t>
            </w:r>
          </w:p>
        </w:tc>
        <w:tc>
          <w:tcPr/>
          <w:p>
            <w:pPr>
              <w:pStyle w:val="Tabla9"/>
              <w:jc w:val="left"/>
            </w:pPr>
            <w:r>
              <w:t xml:space="preserve">5.608.709.083</w:t>
            </w:r>
          </w:p>
        </w:tc>
        <w:tc>
          <w:tcPr/>
          <w:p>
            <w:pPr>
              <w:pStyle w:val="Tabla9"/>
              <w:jc w:val="left"/>
            </w:pPr>
            <w:r>
              <w:t xml:space="preserve">195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Estabilidad observada en S2.</w:t>
      </w:r>
      <w:r>
        <w:t xml:space="preserve"> </w:t>
      </w:r>
      <w:r>
        <w:t xml:space="preserve">La ventana exige tres iteraciones consecutivas con igual rango de influencia y de dependencia. La tabla compara cada iteración con la anterior.</w:t>
      </w:r>
    </w:p>
    <w:p>
      <w:pPr>
        <w:pStyle w:val="BodyText"/>
      </w:pPr>
      <w:r>
        <w:t xml:space="preserve">La Tabla F4.41 reúne los datos de «Estabilidad observada en S2».</w:t>
      </w:r>
    </w:p>
    <w:p>
      <w:pPr>
        <w:pStyle w:val="TablaRotulo"/>
      </w:pPr>
      <w:bookmarkStart w:id="9118" w:name="rot_Tabla_F4_41"/>
      <w:r>
        <w:rPr>
          <w:b/>
          <w:bCs/>
        </w:rPr>
        <w:t xml:space="preserve">Tabla F4.41</w:t>
      </w:r>
      <w:bookmarkEnd w:id="9118"/>
    </w:p>
    <w:p>
      <w:pPr>
        <w:pStyle w:val="TablaTitulo"/>
      </w:pPr>
      <w:r>
        <w:rPr>
          <w:i/>
          <w:iCs/>
        </w:rPr>
        <w:t xml:space="preserve">Estabilidad observada en S2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92"/>
        <w:gridCol w:w="3498"/>
        <w:gridCol w:w="3630"/>
      </w:tblGrid>
      <w:tr>
        <w:trPr>
          <w:cantSplit/>
          <w:tblHeader/>
        </w:trPr>
        <w:tc>
          <w:tcPr>
            <w:shd w:val="clear" w:color="auto" w:fill="00B050"/>
          </w:tcPr>
          <w:p>
            <w:pPr>
              <w:pStyle w:val="Tabla9"/>
              <w:jc w:val="center"/>
            </w:pPr>
            <w:r>
              <w:rPr>
                <w:b/>
                <w:color w:val="FFFFFF"/>
              </w:rPr>
              <w:t xml:space="preserve">k</w:t>
            </w:r>
          </w:p>
        </w:tc>
        <w:tc>
          <w:tcPr>
            <w:shd w:val="clear" w:color="auto" w:fill="00B050"/>
          </w:tcPr>
          <w:p>
            <w:pPr>
              <w:pStyle w:val="Tabla9"/>
              <w:jc w:val="center"/>
            </w:pPr>
            <w:r>
              <w:rPr>
                <w:b/>
                <w:color w:val="FFFFFF"/>
              </w:rPr>
              <w:t xml:space="preserve">Rango de influencia igual al anterior</w:t>
            </w:r>
          </w:p>
        </w:tc>
        <w:tc>
          <w:tcPr>
            <w:shd w:val="clear" w:color="auto" w:fill="00B050"/>
          </w:tcPr>
          <w:p>
            <w:pPr>
              <w:pStyle w:val="Tabla9"/>
              <w:jc w:val="center"/>
            </w:pPr>
            <w:r>
              <w:rPr>
                <w:b/>
                <w:color w:val="FFFFFF"/>
              </w:rPr>
              <w:t xml:space="preserve">Rango de dependencia igual al anterior</w:t>
            </w:r>
          </w:p>
        </w:tc>
      </w:tr>
      <w:tr>
        <w:trPr>
          <w:cantSplit/>
        </w:trPr>
        <w:tc>
          <w:tcPr/>
          <w:p>
            <w:pPr>
              <w:pStyle w:val="Tabla9"/>
              <w:jc w:val="left"/>
            </w:pPr>
            <w:r>
              <w:t xml:space="preserve">2</w:t>
            </w:r>
          </w:p>
        </w:tc>
        <w:tc>
          <w:tcPr/>
          <w:p>
            <w:pPr>
              <w:pStyle w:val="Tabla9"/>
              <w:jc w:val="left"/>
            </w:pPr>
            <w:r>
              <w:t xml:space="preserve">no</w:t>
            </w:r>
          </w:p>
        </w:tc>
        <w:tc>
          <w:tcPr/>
          <w:p>
            <w:pPr>
              <w:pStyle w:val="Tabla9"/>
              <w:jc w:val="left"/>
            </w:pPr>
            <w:r>
              <w:t xml:space="preserve">no</w:t>
            </w:r>
          </w:p>
        </w:tc>
      </w:tr>
      <w:tr>
        <w:trPr>
          <w:cantSplit/>
        </w:trPr>
        <w:tc>
          <w:tcPr/>
          <w:p>
            <w:pPr>
              <w:pStyle w:val="Tabla9"/>
              <w:jc w:val="left"/>
            </w:pPr>
            <w:r>
              <w:t xml:space="preserve">3</w:t>
            </w:r>
          </w:p>
        </w:tc>
        <w:tc>
          <w:tcPr/>
          <w:p>
            <w:pPr>
              <w:pStyle w:val="Tabla9"/>
              <w:jc w:val="left"/>
            </w:pPr>
            <w:r>
              <w:t xml:space="preserve">no</w:t>
            </w:r>
          </w:p>
        </w:tc>
        <w:tc>
          <w:tcPr/>
          <w:p>
            <w:pPr>
              <w:pStyle w:val="Tabla9"/>
              <w:jc w:val="left"/>
            </w:pPr>
            <w:r>
              <w:t xml:space="preserve">no</w:t>
            </w:r>
          </w:p>
        </w:tc>
      </w:tr>
      <w:tr>
        <w:trPr>
          <w:cantSplit/>
        </w:trPr>
        <w:tc>
          <w:tcPr/>
          <w:p>
            <w:pPr>
              <w:pStyle w:val="Tabla9"/>
              <w:jc w:val="left"/>
            </w:pPr>
            <w:r>
              <w:t xml:space="preserve">4</w:t>
            </w:r>
          </w:p>
        </w:tc>
        <w:tc>
          <w:tcPr/>
          <w:p>
            <w:pPr>
              <w:pStyle w:val="Tabla9"/>
              <w:jc w:val="left"/>
            </w:pPr>
            <w:r>
              <w:t xml:space="preserve">no</w:t>
            </w:r>
          </w:p>
        </w:tc>
        <w:tc>
          <w:tcPr/>
          <w:p>
            <w:pPr>
              <w:pStyle w:val="Tabla9"/>
              <w:jc w:val="left"/>
            </w:pPr>
            <w:r>
              <w:t xml:space="preserve">no</w:t>
            </w:r>
          </w:p>
        </w:tc>
      </w:tr>
      <w:tr>
        <w:trPr>
          <w:cantSplit/>
        </w:trPr>
        <w:tc>
          <w:tcPr/>
          <w:p>
            <w:pPr>
              <w:pStyle w:val="Tabla9"/>
              <w:jc w:val="left"/>
            </w:pPr>
            <w:r>
              <w:t xml:space="preserve">5</w:t>
            </w:r>
          </w:p>
        </w:tc>
        <w:tc>
          <w:tcPr/>
          <w:p>
            <w:pPr>
              <w:pStyle w:val="Tabla9"/>
              <w:jc w:val="left"/>
            </w:pPr>
            <w:r>
              <w:t xml:space="preserve">no</w:t>
            </w:r>
          </w:p>
        </w:tc>
        <w:tc>
          <w:tcPr/>
          <w:p>
            <w:pPr>
              <w:pStyle w:val="Tabla9"/>
              <w:jc w:val="left"/>
            </w:pPr>
            <w:r>
              <w:t xml:space="preserve">sí</w:t>
            </w:r>
          </w:p>
        </w:tc>
      </w:tr>
      <w:tr>
        <w:trPr>
          <w:cantSplit/>
        </w:trPr>
        <w:tc>
          <w:tcPr/>
          <w:p>
            <w:pPr>
              <w:pStyle w:val="Tabla9"/>
              <w:jc w:val="left"/>
            </w:pPr>
            <w:r>
              <w:t xml:space="preserve">6</w:t>
            </w:r>
          </w:p>
        </w:tc>
        <w:tc>
          <w:tcPr/>
          <w:p>
            <w:pPr>
              <w:pStyle w:val="Tabla9"/>
              <w:jc w:val="left"/>
            </w:pPr>
            <w:r>
              <w:t xml:space="preserve">no</w:t>
            </w:r>
          </w:p>
        </w:tc>
        <w:tc>
          <w:tcPr/>
          <w:p>
            <w:pPr>
              <w:pStyle w:val="Tabla9"/>
              <w:jc w:val="left"/>
            </w:pPr>
            <w:r>
              <w:t xml:space="preserve">no</w:t>
            </w:r>
          </w:p>
        </w:tc>
      </w:tr>
      <w:tr>
        <w:trPr>
          <w:cantSplit/>
        </w:trPr>
        <w:tc>
          <w:tcPr/>
          <w:p>
            <w:pPr>
              <w:pStyle w:val="Tabla9"/>
              <w:jc w:val="left"/>
            </w:pPr>
            <w:r>
              <w:t xml:space="preserve">7</w:t>
            </w:r>
          </w:p>
        </w:tc>
        <w:tc>
          <w:tcPr/>
          <w:p>
            <w:pPr>
              <w:pStyle w:val="Tabla9"/>
              <w:jc w:val="left"/>
            </w:pPr>
            <w:r>
              <w:t xml:space="preserve">sí</w:t>
            </w:r>
          </w:p>
        </w:tc>
        <w:tc>
          <w:tcPr/>
          <w:p>
            <w:pPr>
              <w:pStyle w:val="Tabla9"/>
              <w:jc w:val="left"/>
            </w:pPr>
            <w:r>
              <w:t xml:space="preserve">no</w:t>
            </w:r>
          </w:p>
        </w:tc>
      </w:tr>
      <w:tr>
        <w:trPr>
          <w:cantSplit/>
        </w:trPr>
        <w:tc>
          <w:tcPr/>
          <w:p>
            <w:pPr>
              <w:pStyle w:val="Tabla9"/>
              <w:jc w:val="left"/>
            </w:pPr>
            <w:r>
              <w:t xml:space="preserve">8</w:t>
            </w:r>
          </w:p>
        </w:tc>
        <w:tc>
          <w:tcPr/>
          <w:p>
            <w:pPr>
              <w:pStyle w:val="Tabla9"/>
              <w:jc w:val="left"/>
            </w:pPr>
            <w:r>
              <w:t xml:space="preserve">sí</w:t>
            </w:r>
          </w:p>
        </w:tc>
        <w:tc>
          <w:tcPr/>
          <w:p>
            <w:pPr>
              <w:pStyle w:val="Tabla9"/>
              <w:jc w:val="left"/>
            </w:pPr>
            <w:r>
              <w:t xml:space="preserve">sí</w:t>
            </w:r>
          </w:p>
        </w:tc>
      </w:tr>
      <w:tr>
        <w:trPr>
          <w:cantSplit/>
        </w:trPr>
        <w:tc>
          <w:tcPr/>
          <w:p>
            <w:pPr>
              <w:pStyle w:val="Tabla9"/>
              <w:jc w:val="left"/>
            </w:pPr>
            <w:r>
              <w:t xml:space="preserve">9</w:t>
            </w:r>
          </w:p>
        </w:tc>
        <w:tc>
          <w:tcPr/>
          <w:p>
            <w:pPr>
              <w:pStyle w:val="Tabla9"/>
              <w:jc w:val="left"/>
            </w:pPr>
            <w:r>
              <w:t xml:space="preserve">sí</w:t>
            </w:r>
          </w:p>
        </w:tc>
        <w:tc>
          <w:tcPr/>
          <w:p>
            <w:pPr>
              <w:pStyle w:val="Tabla9"/>
              <w:jc w:val="left"/>
            </w:pPr>
            <w:r>
              <w:t xml:space="preserve">no</w:t>
            </w:r>
          </w:p>
        </w:tc>
      </w:tr>
      <w:tr>
        <w:trPr>
          <w:cantSplit/>
        </w:trPr>
        <w:tc>
          <w:tcPr/>
          <w:p>
            <w:pPr>
              <w:pStyle w:val="Tabla9"/>
              <w:jc w:val="left"/>
            </w:pPr>
            <w:r>
              <w:t xml:space="preserve">10</w:t>
            </w:r>
          </w:p>
        </w:tc>
        <w:tc>
          <w:tcPr/>
          <w:p>
            <w:pPr>
              <w:pStyle w:val="Tabla9"/>
              <w:jc w:val="left"/>
            </w:pPr>
            <w:r>
              <w:t xml:space="preserve">sí</w:t>
            </w:r>
          </w:p>
        </w:tc>
        <w:tc>
          <w:tcPr/>
          <w:p>
            <w:pPr>
              <w:pStyle w:val="Tabla9"/>
              <w:jc w:val="left"/>
            </w:pPr>
            <w:r>
              <w:t xml:space="preserve">sí</w:t>
            </w:r>
          </w:p>
        </w:tc>
      </w:tr>
    </w:tbl>
    <w:p>
      <w:pPr>
        <w:pStyle w:val="TablaNota"/>
      </w:pPr>
      <w:r>
        <w:rPr>
          <w:i/>
          <w:iCs/>
        </w:rPr>
        <w:t xml:space="preserve">Nota.</w:t>
      </w:r>
      <w:r>
        <w:t xml:space="preserve"> </w:t>
      </w:r>
      <w:r>
        <w:t xml:space="preserve">Elaboración propia con el expediente de la sección F4.4.</w:t>
      </w:r>
    </w:p>
    <w:p>
      <w:pPr>
        <w:pStyle w:val="BodyText"/>
      </w:pPr>
      <w:r>
        <w:t xml:space="preserve">El rango de influencia se mantiene desde k = 7. El de dependencia alterna. No se observa estabilidad conjunta. Esta condición no demuestra convergencia ni su ausencia dinámica.</w:t>
      </w:r>
    </w:p>
    <w:p>
      <w:pPr>
        <w:pStyle w:val="BodyText"/>
      </w:pPr>
      <w:r>
        <w:rPr>
          <w:b/>
          <w:bCs/>
        </w:rPr>
        <w:t xml:space="preserve">Rangos de influencia por iteración en S2</w:t>
      </w:r>
      <w:r>
        <w:t xml:space="preserve"> </w:t>
      </w:r>
      <w:r>
        <w:t xml:space="preserve">(1 = mayor influencia; promedio en empates).</w:t>
      </w:r>
    </w:p>
    <w:p>
      <w:pPr>
        <w:pStyle w:val="BodyText"/>
      </w:pPr>
      <w:r>
        <w:t xml:space="preserve">La Tabla F4.42 reúne los datos de «Rangos de influencia por iteración en S2».</w:t>
      </w:r>
    </w:p>
    <w:p>
      <w:pPr>
        <w:pStyle w:val="TablaRotulo"/>
      </w:pPr>
      <w:bookmarkStart w:id="9119" w:name="rot_Tabla_F4_42"/>
      <w:r>
        <w:rPr>
          <w:b/>
          <w:bCs/>
        </w:rPr>
        <w:t xml:space="preserve">Tabla F4.42</w:t>
      </w:r>
      <w:bookmarkEnd w:id="9119"/>
    </w:p>
    <w:p>
      <w:pPr>
        <w:pStyle w:val="TablaTitulo"/>
      </w:pPr>
      <w:r>
        <w:rPr>
          <w:i/>
          <w:iCs/>
        </w:rPr>
        <w:t xml:space="preserve">Rangos de influencia por iteración en S2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44"/>
        <w:gridCol w:w="812"/>
        <w:gridCol w:w="812"/>
        <w:gridCol w:w="676"/>
        <w:gridCol w:w="676"/>
        <w:gridCol w:w="676"/>
        <w:gridCol w:w="676"/>
        <w:gridCol w:w="676"/>
        <w:gridCol w:w="676"/>
        <w:gridCol w:w="676"/>
        <w:gridCol w:w="812"/>
      </w:tblGrid>
      <w:tr>
        <w:trPr>
          <w:cantSplit/>
          <w:tblHeader/>
        </w:trPr>
        <w:tc>
          <w:tcPr>
            <w:shd w:val="clear" w:color="auto" w:fill="00B050"/>
          </w:tcPr>
          <w:p>
            <w:pPr>
              <w:pStyle w:val="Tabla7"/>
              <w:jc w:val="center"/>
            </w:pPr>
            <w:r>
              <w:rPr>
                <w:b/>
                <w:color w:val="FFFFFF"/>
              </w:rPr>
              <w:t xml:space="preserve">ID</w:t>
            </w:r>
          </w:p>
        </w:tc>
        <w:tc>
          <w:tcPr>
            <w:shd w:val="clear" w:color="auto" w:fill="00B050"/>
          </w:tcPr>
          <w:p>
            <w:pPr>
              <w:pStyle w:val="Tabla7"/>
              <w:jc w:val="center"/>
            </w:pPr>
            <w:r>
              <w:rPr>
                <w:b/>
                <w:color w:val="FFFFFF"/>
              </w:rPr>
              <w:t xml:space="preserve">k=1</w:t>
            </w:r>
          </w:p>
        </w:tc>
        <w:tc>
          <w:tcPr>
            <w:shd w:val="clear" w:color="auto" w:fill="00B050"/>
          </w:tcPr>
          <w:p>
            <w:pPr>
              <w:pStyle w:val="Tabla7"/>
              <w:jc w:val="center"/>
            </w:pPr>
            <w:r>
              <w:rPr>
                <w:b/>
                <w:color w:val="FFFFFF"/>
              </w:rPr>
              <w:t xml:space="preserve">k=2</w:t>
            </w:r>
          </w:p>
        </w:tc>
        <w:tc>
          <w:tcPr>
            <w:shd w:val="clear" w:color="auto" w:fill="00B050"/>
          </w:tcPr>
          <w:p>
            <w:pPr>
              <w:pStyle w:val="Tabla7"/>
              <w:jc w:val="center"/>
            </w:pPr>
            <w:r>
              <w:rPr>
                <w:b/>
                <w:color w:val="FFFFFF"/>
              </w:rPr>
              <w:t xml:space="preserve">k=3</w:t>
            </w:r>
          </w:p>
        </w:tc>
        <w:tc>
          <w:tcPr>
            <w:shd w:val="clear" w:color="auto" w:fill="00B050"/>
          </w:tcPr>
          <w:p>
            <w:pPr>
              <w:pStyle w:val="Tabla7"/>
              <w:jc w:val="center"/>
            </w:pPr>
            <w:r>
              <w:rPr>
                <w:b/>
                <w:color w:val="FFFFFF"/>
              </w:rPr>
              <w:t xml:space="preserve">k=4</w:t>
            </w:r>
          </w:p>
        </w:tc>
        <w:tc>
          <w:tcPr>
            <w:shd w:val="clear" w:color="auto" w:fill="00B050"/>
          </w:tcPr>
          <w:p>
            <w:pPr>
              <w:pStyle w:val="Tabla7"/>
              <w:jc w:val="center"/>
            </w:pPr>
            <w:r>
              <w:rPr>
                <w:b/>
                <w:color w:val="FFFFFF"/>
              </w:rPr>
              <w:t xml:space="preserve">k=5</w:t>
            </w:r>
          </w:p>
        </w:tc>
        <w:tc>
          <w:tcPr>
            <w:shd w:val="clear" w:color="auto" w:fill="00B050"/>
          </w:tcPr>
          <w:p>
            <w:pPr>
              <w:pStyle w:val="Tabla7"/>
              <w:jc w:val="center"/>
            </w:pPr>
            <w:r>
              <w:rPr>
                <w:b/>
                <w:color w:val="FFFFFF"/>
              </w:rPr>
              <w:t xml:space="preserve">k=6</w:t>
            </w:r>
          </w:p>
        </w:tc>
        <w:tc>
          <w:tcPr>
            <w:shd w:val="clear" w:color="auto" w:fill="00B050"/>
          </w:tcPr>
          <w:p>
            <w:pPr>
              <w:pStyle w:val="Tabla7"/>
              <w:jc w:val="center"/>
            </w:pPr>
            <w:r>
              <w:rPr>
                <w:b/>
                <w:color w:val="FFFFFF"/>
              </w:rPr>
              <w:t xml:space="preserve">k=7</w:t>
            </w:r>
          </w:p>
        </w:tc>
        <w:tc>
          <w:tcPr>
            <w:shd w:val="clear" w:color="auto" w:fill="00B050"/>
          </w:tcPr>
          <w:p>
            <w:pPr>
              <w:pStyle w:val="Tabla7"/>
              <w:jc w:val="center"/>
            </w:pPr>
            <w:r>
              <w:rPr>
                <w:b/>
                <w:color w:val="FFFFFF"/>
              </w:rPr>
              <w:t xml:space="preserve">k=8</w:t>
            </w:r>
          </w:p>
        </w:tc>
        <w:tc>
          <w:tcPr>
            <w:shd w:val="clear" w:color="auto" w:fill="00B050"/>
          </w:tcPr>
          <w:p>
            <w:pPr>
              <w:pStyle w:val="Tabla7"/>
              <w:jc w:val="center"/>
            </w:pPr>
            <w:r>
              <w:rPr>
                <w:b/>
                <w:color w:val="FFFFFF"/>
              </w:rPr>
              <w:t xml:space="preserve">k=9</w:t>
            </w:r>
          </w:p>
        </w:tc>
        <w:tc>
          <w:tcPr>
            <w:shd w:val="clear" w:color="auto" w:fill="00B050"/>
          </w:tcPr>
          <w:p>
            <w:pPr>
              <w:pStyle w:val="Tabla7"/>
              <w:jc w:val="center"/>
            </w:pPr>
            <w:r>
              <w:rPr>
                <w:b/>
                <w:color w:val="FFFFFF"/>
              </w:rPr>
              <w:t xml:space="preserve">k=10</w:t>
            </w:r>
          </w:p>
        </w:tc>
      </w:tr>
      <w:tr>
        <w:trPr>
          <w:cantSplit/>
        </w:trPr>
        <w:tc>
          <w:tcPr/>
          <w:p>
            <w:pPr>
              <w:pStyle w:val="Tabla7"/>
              <w:jc w:val="left"/>
            </w:pPr>
            <w:r>
              <w:t xml:space="preserve">V01</w:t>
            </w:r>
          </w:p>
        </w:tc>
        <w:tc>
          <w:tcPr/>
          <w:p>
            <w:pPr>
              <w:pStyle w:val="Tabla7"/>
              <w:jc w:val="left"/>
            </w:pPr>
            <w:r>
              <w:t xml:space="preserve">6,5</w:t>
            </w:r>
          </w:p>
        </w:tc>
        <w:tc>
          <w:tcPr/>
          <w:p>
            <w:pPr>
              <w:pStyle w:val="Tabla7"/>
              <w:jc w:val="left"/>
            </w:pPr>
            <w:r>
              <w:t xml:space="preserve">6</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r>
      <w:tr>
        <w:trPr>
          <w:cantSplit/>
        </w:trPr>
        <w:tc>
          <w:tcPr/>
          <w:p>
            <w:pPr>
              <w:pStyle w:val="Tabla7"/>
              <w:jc w:val="left"/>
            </w:pPr>
            <w:r>
              <w:t xml:space="preserve">V02</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r>
      <w:tr>
        <w:trPr>
          <w:cantSplit/>
        </w:trPr>
        <w:tc>
          <w:tcPr/>
          <w:p>
            <w:pPr>
              <w:pStyle w:val="Tabla7"/>
              <w:jc w:val="left"/>
            </w:pPr>
            <w:r>
              <w:t xml:space="preserve">V03</w:t>
            </w:r>
          </w:p>
        </w:tc>
        <w:tc>
          <w:tcPr/>
          <w:p>
            <w:pPr>
              <w:pStyle w:val="Tabla7"/>
              <w:jc w:val="left"/>
            </w:pPr>
            <w:r>
              <w:t xml:space="preserve">6,5</w:t>
            </w:r>
          </w:p>
        </w:tc>
        <w:tc>
          <w:tcPr/>
          <w:p>
            <w:pPr>
              <w:pStyle w:val="Tabla7"/>
              <w:jc w:val="left"/>
            </w:pPr>
            <w:r>
              <w:t xml:space="preserve">2,5</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r>
      <w:tr>
        <w:trPr>
          <w:cantSplit/>
        </w:trPr>
        <w:tc>
          <w:tcPr/>
          <w:p>
            <w:pPr>
              <w:pStyle w:val="Tabla7"/>
              <w:jc w:val="left"/>
            </w:pPr>
            <w:r>
              <w:t xml:space="preserve">V04</w:t>
            </w:r>
          </w:p>
        </w:tc>
        <w:tc>
          <w:tcPr/>
          <w:p>
            <w:pPr>
              <w:pStyle w:val="Tabla7"/>
              <w:jc w:val="left"/>
            </w:pPr>
            <w:r>
              <w:t xml:space="preserve">1,5</w:t>
            </w:r>
          </w:p>
        </w:tc>
        <w:tc>
          <w:tcPr/>
          <w:p>
            <w:pPr>
              <w:pStyle w:val="Tabla7"/>
              <w:jc w:val="left"/>
            </w:pPr>
            <w:r>
              <w:t xml:space="preserve">1</w:t>
            </w:r>
          </w:p>
        </w:tc>
        <w:tc>
          <w:tcPr/>
          <w:p>
            <w:pPr>
              <w:pStyle w:val="Tabla7"/>
              <w:jc w:val="left"/>
            </w:pPr>
            <w:r>
              <w:t xml:space="preserve">2</w:t>
            </w:r>
          </w:p>
        </w:tc>
        <w:tc>
          <w:tcPr/>
          <w:p>
            <w:pPr>
              <w:pStyle w:val="Tabla7"/>
              <w:jc w:val="left"/>
            </w:pPr>
            <w:r>
              <w:t xml:space="preserve">2</w:t>
            </w:r>
          </w:p>
        </w:tc>
        <w:tc>
          <w:tcPr/>
          <w:p>
            <w:pPr>
              <w:pStyle w:val="Tabla7"/>
              <w:jc w:val="left"/>
            </w:pPr>
            <w:r>
              <w:t xml:space="preserve">2</w:t>
            </w:r>
          </w:p>
        </w:tc>
        <w:tc>
          <w:tcPr/>
          <w:p>
            <w:pPr>
              <w:pStyle w:val="Tabla7"/>
              <w:jc w:val="left"/>
            </w:pPr>
            <w:r>
              <w:t xml:space="preserve">2</w:t>
            </w:r>
          </w:p>
        </w:tc>
        <w:tc>
          <w:tcPr/>
          <w:p>
            <w:pPr>
              <w:pStyle w:val="Tabla7"/>
              <w:jc w:val="left"/>
            </w:pPr>
            <w:r>
              <w:t xml:space="preserve">2</w:t>
            </w:r>
          </w:p>
        </w:tc>
        <w:tc>
          <w:tcPr/>
          <w:p>
            <w:pPr>
              <w:pStyle w:val="Tabla7"/>
              <w:jc w:val="left"/>
            </w:pPr>
            <w:r>
              <w:t xml:space="preserve">2</w:t>
            </w:r>
          </w:p>
        </w:tc>
        <w:tc>
          <w:tcPr/>
          <w:p>
            <w:pPr>
              <w:pStyle w:val="Tabla7"/>
              <w:jc w:val="left"/>
            </w:pPr>
            <w:r>
              <w:t xml:space="preserve">2</w:t>
            </w:r>
          </w:p>
        </w:tc>
        <w:tc>
          <w:tcPr/>
          <w:p>
            <w:pPr>
              <w:pStyle w:val="Tabla7"/>
              <w:jc w:val="left"/>
            </w:pPr>
            <w:r>
              <w:t xml:space="preserve">2</w:t>
            </w:r>
          </w:p>
        </w:tc>
      </w:tr>
      <w:tr>
        <w:trPr>
          <w:cantSplit/>
        </w:trPr>
        <w:tc>
          <w:tcPr/>
          <w:p>
            <w:pPr>
              <w:pStyle w:val="Tabla7"/>
              <w:jc w:val="left"/>
            </w:pPr>
            <w:r>
              <w:t xml:space="preserve">V05</w:t>
            </w:r>
          </w:p>
        </w:tc>
        <w:tc>
          <w:tcPr/>
          <w:p>
            <w:pPr>
              <w:pStyle w:val="Tabla7"/>
              <w:jc w:val="left"/>
            </w:pPr>
            <w:r>
              <w:t xml:space="preserve">4</w:t>
            </w:r>
          </w:p>
        </w:tc>
        <w:tc>
          <w:tcPr/>
          <w:p>
            <w:pPr>
              <w:pStyle w:val="Tabla7"/>
              <w:jc w:val="left"/>
            </w:pPr>
            <w:r>
              <w:t xml:space="preserve">2,5</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r>
      <w:tr>
        <w:trPr>
          <w:cantSplit/>
        </w:trPr>
        <w:tc>
          <w:tcPr/>
          <w:p>
            <w:pPr>
              <w:pStyle w:val="Tabla7"/>
              <w:jc w:val="left"/>
            </w:pPr>
            <w:r>
              <w:t xml:space="preserve">V06</w:t>
            </w:r>
          </w:p>
        </w:tc>
        <w:tc>
          <w:tcPr/>
          <w:p>
            <w:pPr>
              <w:pStyle w:val="Tabla7"/>
              <w:jc w:val="left"/>
            </w:pPr>
            <w:r>
              <w:t xml:space="preserve">1,5</w:t>
            </w:r>
          </w:p>
        </w:tc>
        <w:tc>
          <w:tcPr/>
          <w:p>
            <w:pPr>
              <w:pStyle w:val="Tabla7"/>
              <w:jc w:val="left"/>
            </w:pPr>
            <w:r>
              <w:t xml:space="preserve">5</w:t>
            </w:r>
          </w:p>
        </w:tc>
        <w:tc>
          <w:tcPr/>
          <w:p>
            <w:pPr>
              <w:pStyle w:val="Tabla7"/>
              <w:jc w:val="left"/>
            </w:pPr>
            <w:r>
              <w:t xml:space="preserve">5</w:t>
            </w:r>
          </w:p>
        </w:tc>
        <w:tc>
          <w:tcPr/>
          <w:p>
            <w:pPr>
              <w:pStyle w:val="Tabla7"/>
              <w:jc w:val="left"/>
            </w:pPr>
            <w:r>
              <w:t xml:space="preserve">5</w:t>
            </w:r>
          </w:p>
        </w:tc>
        <w:tc>
          <w:tcPr/>
          <w:p>
            <w:pPr>
              <w:pStyle w:val="Tabla7"/>
              <w:jc w:val="left"/>
            </w:pPr>
            <w:r>
              <w:t xml:space="preserve">5</w:t>
            </w:r>
          </w:p>
        </w:tc>
        <w:tc>
          <w:tcPr/>
          <w:p>
            <w:pPr>
              <w:pStyle w:val="Tabla7"/>
              <w:jc w:val="left"/>
            </w:pPr>
            <w:r>
              <w:t xml:space="preserve">5</w:t>
            </w:r>
          </w:p>
        </w:tc>
        <w:tc>
          <w:tcPr/>
          <w:p>
            <w:pPr>
              <w:pStyle w:val="Tabla7"/>
              <w:jc w:val="left"/>
            </w:pPr>
            <w:r>
              <w:t xml:space="preserve">5</w:t>
            </w:r>
          </w:p>
        </w:tc>
        <w:tc>
          <w:tcPr/>
          <w:p>
            <w:pPr>
              <w:pStyle w:val="Tabla7"/>
              <w:jc w:val="left"/>
            </w:pPr>
            <w:r>
              <w:t xml:space="preserve">5</w:t>
            </w:r>
          </w:p>
        </w:tc>
        <w:tc>
          <w:tcPr/>
          <w:p>
            <w:pPr>
              <w:pStyle w:val="Tabla7"/>
              <w:jc w:val="left"/>
            </w:pPr>
            <w:r>
              <w:t xml:space="preserve">5</w:t>
            </w:r>
          </w:p>
        </w:tc>
        <w:tc>
          <w:tcPr/>
          <w:p>
            <w:pPr>
              <w:pStyle w:val="Tabla7"/>
              <w:jc w:val="left"/>
            </w:pPr>
            <w:r>
              <w:t xml:space="preserve">5</w:t>
            </w:r>
          </w:p>
        </w:tc>
      </w:tr>
      <w:tr>
        <w:trPr>
          <w:cantSplit/>
        </w:trPr>
        <w:tc>
          <w:tcPr/>
          <w:p>
            <w:pPr>
              <w:pStyle w:val="Tabla7"/>
              <w:jc w:val="left"/>
            </w:pPr>
            <w:r>
              <w:t xml:space="preserve">V07</w:t>
            </w:r>
          </w:p>
        </w:tc>
        <w:tc>
          <w:tcPr/>
          <w:p>
            <w:pPr>
              <w:pStyle w:val="Tabla7"/>
              <w:jc w:val="left"/>
            </w:pPr>
            <w:r>
              <w:t xml:space="preserve">9</w:t>
            </w:r>
          </w:p>
        </w:tc>
        <w:tc>
          <w:tcPr/>
          <w:p>
            <w:pPr>
              <w:pStyle w:val="Tabla7"/>
              <w:jc w:val="left"/>
            </w:pPr>
            <w:r>
              <w:t xml:space="preserve">7</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r>
      <w:tr>
        <w:trPr>
          <w:cantSplit/>
        </w:trPr>
        <w:tc>
          <w:tcPr/>
          <w:p>
            <w:pPr>
              <w:pStyle w:val="Tabla7"/>
              <w:jc w:val="left"/>
            </w:pPr>
            <w:r>
              <w:t xml:space="preserve">V08</w:t>
            </w:r>
          </w:p>
        </w:tc>
        <w:tc>
          <w:tcPr/>
          <w:p>
            <w:pPr>
              <w:pStyle w:val="Tabla7"/>
              <w:jc w:val="left"/>
            </w:pPr>
            <w:r>
              <w:t xml:space="preserve">14</w:t>
            </w:r>
          </w:p>
        </w:tc>
        <w:tc>
          <w:tcPr/>
          <w:p>
            <w:pPr>
              <w:pStyle w:val="Tabla7"/>
              <w:jc w:val="left"/>
            </w:pPr>
            <w:r>
              <w:t xml:space="preserve">14,5</w:t>
            </w:r>
          </w:p>
        </w:tc>
        <w:tc>
          <w:tcPr/>
          <w:p>
            <w:pPr>
              <w:pStyle w:val="Tabla7"/>
              <w:jc w:val="left"/>
            </w:pPr>
            <w:r>
              <w:t xml:space="preserve">15</w:t>
            </w:r>
          </w:p>
        </w:tc>
        <w:tc>
          <w:tcPr/>
          <w:p>
            <w:pPr>
              <w:pStyle w:val="Tabla7"/>
              <w:jc w:val="left"/>
            </w:pPr>
            <w:r>
              <w:t xml:space="preserve">15</w:t>
            </w:r>
          </w:p>
        </w:tc>
        <w:tc>
          <w:tcPr/>
          <w:p>
            <w:pPr>
              <w:pStyle w:val="Tabla7"/>
              <w:jc w:val="left"/>
            </w:pPr>
            <w:r>
              <w:t xml:space="preserve">15</w:t>
            </w:r>
          </w:p>
        </w:tc>
        <w:tc>
          <w:tcPr/>
          <w:p>
            <w:pPr>
              <w:pStyle w:val="Tabla7"/>
              <w:jc w:val="left"/>
            </w:pPr>
            <w:r>
              <w:t xml:space="preserve">15</w:t>
            </w:r>
          </w:p>
        </w:tc>
        <w:tc>
          <w:tcPr/>
          <w:p>
            <w:pPr>
              <w:pStyle w:val="Tabla7"/>
              <w:jc w:val="left"/>
            </w:pPr>
            <w:r>
              <w:t xml:space="preserve">15</w:t>
            </w:r>
          </w:p>
        </w:tc>
        <w:tc>
          <w:tcPr/>
          <w:p>
            <w:pPr>
              <w:pStyle w:val="Tabla7"/>
              <w:jc w:val="left"/>
            </w:pPr>
            <w:r>
              <w:t xml:space="preserve">15</w:t>
            </w:r>
          </w:p>
        </w:tc>
        <w:tc>
          <w:tcPr/>
          <w:p>
            <w:pPr>
              <w:pStyle w:val="Tabla7"/>
              <w:jc w:val="left"/>
            </w:pPr>
            <w:r>
              <w:t xml:space="preserve">15</w:t>
            </w:r>
          </w:p>
        </w:tc>
        <w:tc>
          <w:tcPr/>
          <w:p>
            <w:pPr>
              <w:pStyle w:val="Tabla7"/>
              <w:jc w:val="left"/>
            </w:pPr>
            <w:r>
              <w:t xml:space="preserve">15</w:t>
            </w:r>
          </w:p>
        </w:tc>
      </w:tr>
      <w:tr>
        <w:trPr>
          <w:cantSplit/>
        </w:trPr>
        <w:tc>
          <w:tcPr/>
          <w:p>
            <w:pPr>
              <w:pStyle w:val="Tabla7"/>
              <w:jc w:val="left"/>
            </w:pPr>
            <w:r>
              <w:t xml:space="preserve">V09</w:t>
            </w:r>
          </w:p>
        </w:tc>
        <w:tc>
          <w:tcPr/>
          <w:p>
            <w:pPr>
              <w:pStyle w:val="Tabla7"/>
              <w:jc w:val="left"/>
            </w:pPr>
            <w:r>
              <w:t xml:space="preserve">11,5</w:t>
            </w:r>
          </w:p>
        </w:tc>
        <w:tc>
          <w:tcPr/>
          <w:p>
            <w:pPr>
              <w:pStyle w:val="Tabla7"/>
              <w:jc w:val="left"/>
            </w:pPr>
            <w:r>
              <w:t xml:space="preserve">10</w:t>
            </w:r>
          </w:p>
        </w:tc>
        <w:tc>
          <w:tcPr/>
          <w:p>
            <w:pPr>
              <w:pStyle w:val="Tabla7"/>
              <w:jc w:val="left"/>
            </w:pPr>
            <w:r>
              <w:t xml:space="preserve">10</w:t>
            </w:r>
          </w:p>
        </w:tc>
        <w:tc>
          <w:tcPr/>
          <w:p>
            <w:pPr>
              <w:pStyle w:val="Tabla7"/>
              <w:jc w:val="left"/>
            </w:pPr>
            <w:r>
              <w:t xml:space="preserve">11</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r>
      <w:tr>
        <w:trPr>
          <w:cantSplit/>
        </w:trPr>
        <w:tc>
          <w:tcPr/>
          <w:p>
            <w:pPr>
              <w:pStyle w:val="Tabla7"/>
              <w:jc w:val="left"/>
            </w:pPr>
            <w:r>
              <w:t xml:space="preserve">V10</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10</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r>
      <w:tr>
        <w:trPr>
          <w:cantSplit/>
        </w:trPr>
        <w:tc>
          <w:tcPr/>
          <w:p>
            <w:pPr>
              <w:pStyle w:val="Tabla7"/>
              <w:jc w:val="left"/>
            </w:pPr>
            <w:r>
              <w:t xml:space="preserve">V11</w:t>
            </w:r>
          </w:p>
        </w:tc>
        <w:tc>
          <w:tcPr/>
          <w:p>
            <w:pPr>
              <w:pStyle w:val="Tabla7"/>
              <w:jc w:val="left"/>
            </w:pPr>
            <w:r>
              <w:t xml:space="preserve">9</w:t>
            </w:r>
          </w:p>
        </w:tc>
        <w:tc>
          <w:tcPr/>
          <w:p>
            <w:pPr>
              <w:pStyle w:val="Tabla7"/>
              <w:jc w:val="left"/>
            </w:pPr>
            <w:r>
              <w:t xml:space="preserve">12</w:t>
            </w:r>
          </w:p>
        </w:tc>
        <w:tc>
          <w:tcPr/>
          <w:p>
            <w:pPr>
              <w:pStyle w:val="Tabla7"/>
              <w:jc w:val="left"/>
            </w:pPr>
            <w:r>
              <w:t xml:space="preserve">11</w:t>
            </w:r>
          </w:p>
        </w:tc>
        <w:tc>
          <w:tcPr/>
          <w:p>
            <w:pPr>
              <w:pStyle w:val="Tabla7"/>
              <w:jc w:val="left"/>
            </w:pPr>
            <w:r>
              <w:t xml:space="preserve">12</w:t>
            </w:r>
          </w:p>
        </w:tc>
        <w:tc>
          <w:tcPr/>
          <w:p>
            <w:pPr>
              <w:pStyle w:val="Tabla7"/>
              <w:jc w:val="left"/>
            </w:pPr>
            <w:r>
              <w:t xml:space="preserve">9</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r>
      <w:tr>
        <w:trPr>
          <w:cantSplit/>
        </w:trPr>
        <w:tc>
          <w:tcPr/>
          <w:p>
            <w:pPr>
              <w:pStyle w:val="Tabla7"/>
              <w:jc w:val="left"/>
            </w:pPr>
            <w:r>
              <w:t xml:space="preserve">V12</w:t>
            </w:r>
          </w:p>
        </w:tc>
        <w:tc>
          <w:tcPr/>
          <w:p>
            <w:pPr>
              <w:pStyle w:val="Tabla7"/>
              <w:jc w:val="left"/>
            </w:pPr>
            <w:r>
              <w:t xml:space="preserve">11,5</w:t>
            </w:r>
          </w:p>
        </w:tc>
        <w:tc>
          <w:tcPr/>
          <w:p>
            <w:pPr>
              <w:pStyle w:val="Tabla7"/>
              <w:jc w:val="left"/>
            </w:pPr>
            <w:r>
              <w:t xml:space="preserve">11</w:t>
            </w:r>
          </w:p>
        </w:tc>
        <w:tc>
          <w:tcPr/>
          <w:p>
            <w:pPr>
              <w:pStyle w:val="Tabla7"/>
              <w:jc w:val="left"/>
            </w:pPr>
            <w:r>
              <w:t xml:space="preserve">12</w:t>
            </w:r>
          </w:p>
        </w:tc>
        <w:tc>
          <w:tcPr/>
          <w:p>
            <w:pPr>
              <w:pStyle w:val="Tabla7"/>
              <w:jc w:val="left"/>
            </w:pPr>
            <w:r>
              <w:t xml:space="preserve">10</w:t>
            </w:r>
          </w:p>
        </w:tc>
        <w:tc>
          <w:tcPr/>
          <w:p>
            <w:pPr>
              <w:pStyle w:val="Tabla7"/>
              <w:jc w:val="left"/>
            </w:pPr>
            <w:r>
              <w:t xml:space="preserve">11</w:t>
            </w:r>
          </w:p>
        </w:tc>
        <w:tc>
          <w:tcPr/>
          <w:p>
            <w:pPr>
              <w:pStyle w:val="Tabla7"/>
              <w:jc w:val="left"/>
            </w:pPr>
            <w:r>
              <w:t xml:space="preserve">11</w:t>
            </w:r>
          </w:p>
        </w:tc>
        <w:tc>
          <w:tcPr/>
          <w:p>
            <w:pPr>
              <w:pStyle w:val="Tabla7"/>
              <w:jc w:val="left"/>
            </w:pPr>
            <w:r>
              <w:t xml:space="preserve">11</w:t>
            </w:r>
          </w:p>
        </w:tc>
        <w:tc>
          <w:tcPr/>
          <w:p>
            <w:pPr>
              <w:pStyle w:val="Tabla7"/>
              <w:jc w:val="left"/>
            </w:pPr>
            <w:r>
              <w:t xml:space="preserve">11</w:t>
            </w:r>
          </w:p>
        </w:tc>
        <w:tc>
          <w:tcPr/>
          <w:p>
            <w:pPr>
              <w:pStyle w:val="Tabla7"/>
              <w:jc w:val="left"/>
            </w:pPr>
            <w:r>
              <w:t xml:space="preserve">11</w:t>
            </w:r>
          </w:p>
        </w:tc>
        <w:tc>
          <w:tcPr/>
          <w:p>
            <w:pPr>
              <w:pStyle w:val="Tabla7"/>
              <w:jc w:val="left"/>
            </w:pPr>
            <w:r>
              <w:t xml:space="preserve">11</w:t>
            </w:r>
          </w:p>
        </w:tc>
      </w:tr>
      <w:tr>
        <w:trPr>
          <w:cantSplit/>
        </w:trPr>
        <w:tc>
          <w:tcPr/>
          <w:p>
            <w:pPr>
              <w:pStyle w:val="Tabla7"/>
              <w:jc w:val="left"/>
            </w:pPr>
            <w:r>
              <w:t xml:space="preserve">V13</w:t>
            </w:r>
          </w:p>
        </w:tc>
        <w:tc>
          <w:tcPr/>
          <w:p>
            <w:pPr>
              <w:pStyle w:val="Tabla7"/>
              <w:jc w:val="left"/>
            </w:pPr>
            <w:r>
              <w:t xml:space="preserve">14</w:t>
            </w:r>
          </w:p>
        </w:tc>
        <w:tc>
          <w:tcPr/>
          <w:p>
            <w:pPr>
              <w:pStyle w:val="Tabla7"/>
              <w:jc w:val="left"/>
            </w:pPr>
            <w:r>
              <w:t xml:space="preserve">14,5</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r>
      <w:tr>
        <w:trPr>
          <w:cantSplit/>
        </w:trPr>
        <w:tc>
          <w:tcPr/>
          <w:p>
            <w:pPr>
              <w:pStyle w:val="Tabla7"/>
              <w:jc w:val="left"/>
            </w:pPr>
            <w:r>
              <w:t xml:space="preserve">V14</w:t>
            </w:r>
          </w:p>
        </w:tc>
        <w:tc>
          <w:tcPr/>
          <w:p>
            <w:pPr>
              <w:pStyle w:val="Tabla7"/>
              <w:jc w:val="left"/>
            </w:pPr>
            <w:r>
              <w:t xml:space="preserve">14</w:t>
            </w:r>
          </w:p>
        </w:tc>
        <w:tc>
          <w:tcPr/>
          <w:p>
            <w:pPr>
              <w:pStyle w:val="Tabla7"/>
              <w:jc w:val="left"/>
            </w:pPr>
            <w:r>
              <w:t xml:space="preserve">13</w:t>
            </w:r>
          </w:p>
        </w:tc>
        <w:tc>
          <w:tcPr/>
          <w:p>
            <w:pPr>
              <w:pStyle w:val="Tabla7"/>
              <w:jc w:val="left"/>
            </w:pPr>
            <w:r>
              <w:t xml:space="preserve">13</w:t>
            </w:r>
          </w:p>
        </w:tc>
        <w:tc>
          <w:tcPr/>
          <w:p>
            <w:pPr>
              <w:pStyle w:val="Tabla7"/>
              <w:jc w:val="left"/>
            </w:pPr>
            <w:r>
              <w:t xml:space="preserve">13</w:t>
            </w:r>
          </w:p>
        </w:tc>
        <w:tc>
          <w:tcPr/>
          <w:p>
            <w:pPr>
              <w:pStyle w:val="Tabla7"/>
              <w:jc w:val="left"/>
            </w:pPr>
            <w:r>
              <w:t xml:space="preserve">13</w:t>
            </w:r>
          </w:p>
        </w:tc>
        <w:tc>
          <w:tcPr/>
          <w:p>
            <w:pPr>
              <w:pStyle w:val="Tabla7"/>
              <w:jc w:val="left"/>
            </w:pPr>
            <w:r>
              <w:t xml:space="preserve">13</w:t>
            </w:r>
          </w:p>
        </w:tc>
        <w:tc>
          <w:tcPr/>
          <w:p>
            <w:pPr>
              <w:pStyle w:val="Tabla7"/>
              <w:jc w:val="left"/>
            </w:pPr>
            <w:r>
              <w:t xml:space="preserve">13</w:t>
            </w:r>
          </w:p>
        </w:tc>
        <w:tc>
          <w:tcPr/>
          <w:p>
            <w:pPr>
              <w:pStyle w:val="Tabla7"/>
              <w:jc w:val="left"/>
            </w:pPr>
            <w:r>
              <w:t xml:space="preserve">13</w:t>
            </w:r>
          </w:p>
        </w:tc>
        <w:tc>
          <w:tcPr/>
          <w:p>
            <w:pPr>
              <w:pStyle w:val="Tabla7"/>
              <w:jc w:val="left"/>
            </w:pPr>
            <w:r>
              <w:t xml:space="preserve">13</w:t>
            </w:r>
          </w:p>
        </w:tc>
        <w:tc>
          <w:tcPr/>
          <w:p>
            <w:pPr>
              <w:pStyle w:val="Tabla7"/>
              <w:jc w:val="left"/>
            </w:pPr>
            <w:r>
              <w:t xml:space="preserve">13</w:t>
            </w:r>
          </w:p>
        </w:tc>
      </w:tr>
      <w:tr>
        <w:trPr>
          <w:cantSplit/>
        </w:trPr>
        <w:tc>
          <w:tcPr/>
          <w:p>
            <w:pPr>
              <w:pStyle w:val="Tabla7"/>
              <w:jc w:val="left"/>
            </w:pPr>
            <w:r>
              <w:t xml:space="preserve">V15</w:t>
            </w:r>
          </w:p>
        </w:tc>
        <w:tc>
          <w:tcPr/>
          <w:p>
            <w:pPr>
              <w:pStyle w:val="Tabla7"/>
              <w:jc w:val="left"/>
            </w:pPr>
            <w:r>
              <w:t xml:space="preserve">4</w:t>
            </w:r>
          </w:p>
        </w:tc>
        <w:tc>
          <w:tcPr/>
          <w:p>
            <w:pPr>
              <w:pStyle w:val="Tabla7"/>
              <w:jc w:val="left"/>
            </w:pPr>
            <w:r>
              <w:t xml:space="preserve">8</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Rangos de dependencia por iteración en S2.</w:t>
      </w:r>
    </w:p>
    <w:p>
      <w:pPr>
        <w:pStyle w:val="BodyText"/>
      </w:pPr>
      <w:r>
        <w:t xml:space="preserve">La Tabla F4.43 reúne los datos de «Rangos de dependencia por iteración en S2».</w:t>
      </w:r>
    </w:p>
    <w:p>
      <w:pPr>
        <w:pStyle w:val="TablaRotulo"/>
      </w:pPr>
      <w:bookmarkStart w:id="9120" w:name="rot_Tabla_F4_43"/>
      <w:r>
        <w:rPr>
          <w:b/>
          <w:bCs/>
        </w:rPr>
        <w:t xml:space="preserve">Tabla F4.43</w:t>
      </w:r>
      <w:bookmarkEnd w:id="9120"/>
    </w:p>
    <w:p>
      <w:pPr>
        <w:pStyle w:val="TablaTitulo"/>
      </w:pPr>
      <w:r>
        <w:rPr>
          <w:i/>
          <w:iCs/>
        </w:rPr>
        <w:t xml:space="preserve">Rangos de dependencia por iteración en S2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60"/>
        <w:gridCol w:w="726"/>
        <w:gridCol w:w="726"/>
        <w:gridCol w:w="726"/>
        <w:gridCol w:w="726"/>
        <w:gridCol w:w="726"/>
        <w:gridCol w:w="726"/>
        <w:gridCol w:w="726"/>
        <w:gridCol w:w="726"/>
        <w:gridCol w:w="726"/>
        <w:gridCol w:w="726"/>
      </w:tblGrid>
      <w:tr>
        <w:trPr>
          <w:cantSplit/>
          <w:tblHeader/>
        </w:trPr>
        <w:tc>
          <w:tcPr>
            <w:shd w:val="clear" w:color="auto" w:fill="00B050"/>
          </w:tcPr>
          <w:p>
            <w:pPr>
              <w:pStyle w:val="Tabla7"/>
              <w:jc w:val="center"/>
            </w:pPr>
            <w:r>
              <w:rPr>
                <w:b/>
                <w:color w:val="FFFFFF"/>
              </w:rPr>
              <w:t xml:space="preserve">ID</w:t>
            </w:r>
          </w:p>
        </w:tc>
        <w:tc>
          <w:tcPr>
            <w:shd w:val="clear" w:color="auto" w:fill="00B050"/>
          </w:tcPr>
          <w:p>
            <w:pPr>
              <w:pStyle w:val="Tabla7"/>
              <w:jc w:val="center"/>
            </w:pPr>
            <w:r>
              <w:rPr>
                <w:b/>
                <w:color w:val="FFFFFF"/>
              </w:rPr>
              <w:t xml:space="preserve">k=1</w:t>
            </w:r>
          </w:p>
        </w:tc>
        <w:tc>
          <w:tcPr>
            <w:shd w:val="clear" w:color="auto" w:fill="00B050"/>
          </w:tcPr>
          <w:p>
            <w:pPr>
              <w:pStyle w:val="Tabla7"/>
              <w:jc w:val="center"/>
            </w:pPr>
            <w:r>
              <w:rPr>
                <w:b/>
                <w:color w:val="FFFFFF"/>
              </w:rPr>
              <w:t xml:space="preserve">k=2</w:t>
            </w:r>
          </w:p>
        </w:tc>
        <w:tc>
          <w:tcPr>
            <w:shd w:val="clear" w:color="auto" w:fill="00B050"/>
          </w:tcPr>
          <w:p>
            <w:pPr>
              <w:pStyle w:val="Tabla7"/>
              <w:jc w:val="center"/>
            </w:pPr>
            <w:r>
              <w:rPr>
                <w:b/>
                <w:color w:val="FFFFFF"/>
              </w:rPr>
              <w:t xml:space="preserve">k=3</w:t>
            </w:r>
          </w:p>
        </w:tc>
        <w:tc>
          <w:tcPr>
            <w:shd w:val="clear" w:color="auto" w:fill="00B050"/>
          </w:tcPr>
          <w:p>
            <w:pPr>
              <w:pStyle w:val="Tabla7"/>
              <w:jc w:val="center"/>
            </w:pPr>
            <w:r>
              <w:rPr>
                <w:b/>
                <w:color w:val="FFFFFF"/>
              </w:rPr>
              <w:t xml:space="preserve">k=4</w:t>
            </w:r>
          </w:p>
        </w:tc>
        <w:tc>
          <w:tcPr>
            <w:shd w:val="clear" w:color="auto" w:fill="00B050"/>
          </w:tcPr>
          <w:p>
            <w:pPr>
              <w:pStyle w:val="Tabla7"/>
              <w:jc w:val="center"/>
            </w:pPr>
            <w:r>
              <w:rPr>
                <w:b/>
                <w:color w:val="FFFFFF"/>
              </w:rPr>
              <w:t xml:space="preserve">k=5</w:t>
            </w:r>
          </w:p>
        </w:tc>
        <w:tc>
          <w:tcPr>
            <w:shd w:val="clear" w:color="auto" w:fill="00B050"/>
          </w:tcPr>
          <w:p>
            <w:pPr>
              <w:pStyle w:val="Tabla7"/>
              <w:jc w:val="center"/>
            </w:pPr>
            <w:r>
              <w:rPr>
                <w:b/>
                <w:color w:val="FFFFFF"/>
              </w:rPr>
              <w:t xml:space="preserve">k=6</w:t>
            </w:r>
          </w:p>
        </w:tc>
        <w:tc>
          <w:tcPr>
            <w:shd w:val="clear" w:color="auto" w:fill="00B050"/>
          </w:tcPr>
          <w:p>
            <w:pPr>
              <w:pStyle w:val="Tabla7"/>
              <w:jc w:val="center"/>
            </w:pPr>
            <w:r>
              <w:rPr>
                <w:b/>
                <w:color w:val="FFFFFF"/>
              </w:rPr>
              <w:t xml:space="preserve">k=7</w:t>
            </w:r>
          </w:p>
        </w:tc>
        <w:tc>
          <w:tcPr>
            <w:shd w:val="clear" w:color="auto" w:fill="00B050"/>
          </w:tcPr>
          <w:p>
            <w:pPr>
              <w:pStyle w:val="Tabla7"/>
              <w:jc w:val="center"/>
            </w:pPr>
            <w:r>
              <w:rPr>
                <w:b/>
                <w:color w:val="FFFFFF"/>
              </w:rPr>
              <w:t xml:space="preserve">k=8</w:t>
            </w:r>
          </w:p>
        </w:tc>
        <w:tc>
          <w:tcPr>
            <w:shd w:val="clear" w:color="auto" w:fill="00B050"/>
          </w:tcPr>
          <w:p>
            <w:pPr>
              <w:pStyle w:val="Tabla7"/>
              <w:jc w:val="center"/>
            </w:pPr>
            <w:r>
              <w:rPr>
                <w:b/>
                <w:color w:val="FFFFFF"/>
              </w:rPr>
              <w:t xml:space="preserve">k=9</w:t>
            </w:r>
          </w:p>
        </w:tc>
        <w:tc>
          <w:tcPr>
            <w:shd w:val="clear" w:color="auto" w:fill="00B050"/>
          </w:tcPr>
          <w:p>
            <w:pPr>
              <w:pStyle w:val="Tabla7"/>
              <w:jc w:val="center"/>
            </w:pPr>
            <w:r>
              <w:rPr>
                <w:b/>
                <w:color w:val="FFFFFF"/>
              </w:rPr>
              <w:t xml:space="preserve">k=10</w:t>
            </w:r>
          </w:p>
        </w:tc>
      </w:tr>
      <w:tr>
        <w:trPr>
          <w:cantSplit/>
        </w:trPr>
        <w:tc>
          <w:tcPr/>
          <w:p>
            <w:pPr>
              <w:pStyle w:val="Tabla7"/>
              <w:jc w:val="left"/>
            </w:pPr>
            <w:r>
              <w:t xml:space="preserve">V01</w:t>
            </w:r>
          </w:p>
        </w:tc>
        <w:tc>
          <w:tcPr/>
          <w:p>
            <w:pPr>
              <w:pStyle w:val="Tabla7"/>
              <w:jc w:val="left"/>
            </w:pPr>
            <w:r>
              <w:t xml:space="preserve">7,5</w:t>
            </w:r>
          </w:p>
        </w:tc>
        <w:tc>
          <w:tcPr/>
          <w:p>
            <w:pPr>
              <w:pStyle w:val="Tabla7"/>
              <w:jc w:val="left"/>
            </w:pPr>
            <w:r>
              <w:t xml:space="preserve">12,5</w:t>
            </w:r>
          </w:p>
        </w:tc>
        <w:tc>
          <w:tcPr/>
          <w:p>
            <w:pPr>
              <w:pStyle w:val="Tabla7"/>
              <w:jc w:val="left"/>
            </w:pPr>
            <w:r>
              <w:t xml:space="preserve">13</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r>
      <w:tr>
        <w:trPr>
          <w:cantSplit/>
        </w:trPr>
        <w:tc>
          <w:tcPr/>
          <w:p>
            <w:pPr>
              <w:pStyle w:val="Tabla7"/>
              <w:jc w:val="left"/>
            </w:pPr>
            <w:r>
              <w:t xml:space="preserve">V02</w:t>
            </w:r>
          </w:p>
        </w:tc>
        <w:tc>
          <w:tcPr/>
          <w:p>
            <w:pPr>
              <w:pStyle w:val="Tabla7"/>
              <w:jc w:val="left"/>
            </w:pPr>
            <w:r>
              <w:t xml:space="preserve">6</w:t>
            </w:r>
          </w:p>
        </w:tc>
        <w:tc>
          <w:tcPr/>
          <w:p>
            <w:pPr>
              <w:pStyle w:val="Tabla7"/>
              <w:jc w:val="left"/>
            </w:pPr>
            <w:r>
              <w:t xml:space="preserve">11</w:t>
            </w:r>
          </w:p>
        </w:tc>
        <w:tc>
          <w:tcPr/>
          <w:p>
            <w:pPr>
              <w:pStyle w:val="Tabla7"/>
              <w:jc w:val="left"/>
            </w:pPr>
            <w:r>
              <w:t xml:space="preserve">11</w:t>
            </w:r>
          </w:p>
        </w:tc>
        <w:tc>
          <w:tcPr/>
          <w:p>
            <w:pPr>
              <w:pStyle w:val="Tabla7"/>
              <w:jc w:val="left"/>
            </w:pPr>
            <w:r>
              <w:t xml:space="preserve">11</w:t>
            </w:r>
          </w:p>
        </w:tc>
        <w:tc>
          <w:tcPr/>
          <w:p>
            <w:pPr>
              <w:pStyle w:val="Tabla7"/>
              <w:jc w:val="left"/>
            </w:pPr>
            <w:r>
              <w:t xml:space="preserve">11</w:t>
            </w:r>
          </w:p>
        </w:tc>
        <w:tc>
          <w:tcPr/>
          <w:p>
            <w:pPr>
              <w:pStyle w:val="Tabla7"/>
              <w:jc w:val="left"/>
            </w:pPr>
            <w:r>
              <w:t xml:space="preserve">11</w:t>
            </w:r>
          </w:p>
        </w:tc>
        <w:tc>
          <w:tcPr/>
          <w:p>
            <w:pPr>
              <w:pStyle w:val="Tabla7"/>
              <w:jc w:val="left"/>
            </w:pPr>
            <w:r>
              <w:t xml:space="preserve">11</w:t>
            </w:r>
          </w:p>
        </w:tc>
        <w:tc>
          <w:tcPr/>
          <w:p>
            <w:pPr>
              <w:pStyle w:val="Tabla7"/>
              <w:jc w:val="left"/>
            </w:pPr>
            <w:r>
              <w:t xml:space="preserve">11</w:t>
            </w:r>
          </w:p>
        </w:tc>
        <w:tc>
          <w:tcPr/>
          <w:p>
            <w:pPr>
              <w:pStyle w:val="Tabla7"/>
              <w:jc w:val="left"/>
            </w:pPr>
            <w:r>
              <w:t xml:space="preserve">11</w:t>
            </w:r>
          </w:p>
        </w:tc>
        <w:tc>
          <w:tcPr/>
          <w:p>
            <w:pPr>
              <w:pStyle w:val="Tabla7"/>
              <w:jc w:val="left"/>
            </w:pPr>
            <w:r>
              <w:t xml:space="preserve">11</w:t>
            </w:r>
          </w:p>
        </w:tc>
      </w:tr>
      <w:tr>
        <w:trPr>
          <w:cantSplit/>
        </w:trPr>
        <w:tc>
          <w:tcPr/>
          <w:p>
            <w:pPr>
              <w:pStyle w:val="Tabla7"/>
              <w:jc w:val="left"/>
            </w:pPr>
            <w:r>
              <w:t xml:space="preserve">V03</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r>
      <w:tr>
        <w:trPr>
          <w:cantSplit/>
        </w:trPr>
        <w:tc>
          <w:tcPr/>
          <w:p>
            <w:pPr>
              <w:pStyle w:val="Tabla7"/>
              <w:jc w:val="left"/>
            </w:pPr>
            <w:r>
              <w:t xml:space="preserve">V04</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r>
      <w:tr>
        <w:trPr>
          <w:cantSplit/>
        </w:trPr>
        <w:tc>
          <w:tcPr/>
          <w:p>
            <w:pPr>
              <w:pStyle w:val="Tabla7"/>
              <w:jc w:val="left"/>
            </w:pPr>
            <w:r>
              <w:t xml:space="preserve">V05</w:t>
            </w:r>
          </w:p>
        </w:tc>
        <w:tc>
          <w:tcPr/>
          <w:p>
            <w:pPr>
              <w:pStyle w:val="Tabla7"/>
              <w:jc w:val="left"/>
            </w:pPr>
            <w:r>
              <w:t xml:space="preserve">13</w:t>
            </w:r>
          </w:p>
        </w:tc>
        <w:tc>
          <w:tcPr/>
          <w:p>
            <w:pPr>
              <w:pStyle w:val="Tabla7"/>
              <w:jc w:val="left"/>
            </w:pPr>
            <w:r>
              <w:t xml:space="preserve">10</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r>
      <w:tr>
        <w:trPr>
          <w:cantSplit/>
        </w:trPr>
        <w:tc>
          <w:tcPr/>
          <w:p>
            <w:pPr>
              <w:pStyle w:val="Tabla7"/>
              <w:jc w:val="left"/>
            </w:pPr>
            <w:r>
              <w:t xml:space="preserve">V06</w:t>
            </w:r>
          </w:p>
        </w:tc>
        <w:tc>
          <w:tcPr/>
          <w:p>
            <w:pPr>
              <w:pStyle w:val="Tabla7"/>
              <w:jc w:val="left"/>
            </w:pPr>
            <w:r>
              <w:t xml:space="preserve">1</w:t>
            </w:r>
          </w:p>
        </w:tc>
        <w:tc>
          <w:tcPr/>
          <w:p>
            <w:pPr>
              <w:pStyle w:val="Tabla7"/>
              <w:jc w:val="left"/>
            </w:pPr>
            <w:r>
              <w:t xml:space="preserve">5</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r>
      <w:tr>
        <w:trPr>
          <w:cantSplit/>
        </w:trPr>
        <w:tc>
          <w:tcPr/>
          <w:p>
            <w:pPr>
              <w:pStyle w:val="Tabla7"/>
              <w:jc w:val="left"/>
            </w:pPr>
            <w:r>
              <w:t xml:space="preserve">V07</w:t>
            </w:r>
          </w:p>
        </w:tc>
        <w:tc>
          <w:tcPr/>
          <w:p>
            <w:pPr>
              <w:pStyle w:val="Tabla7"/>
              <w:jc w:val="left"/>
            </w:pPr>
            <w:r>
              <w:t xml:space="preserve">11,5</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r>
      <w:tr>
        <w:trPr>
          <w:cantSplit/>
        </w:trPr>
        <w:tc>
          <w:tcPr/>
          <w:p>
            <w:pPr>
              <w:pStyle w:val="Tabla7"/>
              <w:jc w:val="left"/>
            </w:pPr>
            <w:r>
              <w:t xml:space="preserve">V08</w:t>
            </w:r>
          </w:p>
        </w:tc>
        <w:tc>
          <w:tcPr/>
          <w:p>
            <w:pPr>
              <w:pStyle w:val="Tabla7"/>
              <w:jc w:val="left"/>
            </w:pPr>
            <w:r>
              <w:t xml:space="preserve">11,5</w:t>
            </w:r>
          </w:p>
        </w:tc>
        <w:tc>
          <w:tcPr/>
          <w:p>
            <w:pPr>
              <w:pStyle w:val="Tabla7"/>
              <w:jc w:val="left"/>
            </w:pPr>
            <w:r>
              <w:t xml:space="preserve">12,5</w:t>
            </w:r>
          </w:p>
        </w:tc>
        <w:tc>
          <w:tcPr/>
          <w:p>
            <w:pPr>
              <w:pStyle w:val="Tabla7"/>
              <w:jc w:val="left"/>
            </w:pPr>
            <w:r>
              <w:t xml:space="preserve">12</w:t>
            </w:r>
          </w:p>
        </w:tc>
        <w:tc>
          <w:tcPr/>
          <w:p>
            <w:pPr>
              <w:pStyle w:val="Tabla7"/>
              <w:jc w:val="left"/>
            </w:pPr>
            <w:r>
              <w:t xml:space="preserve">13</w:t>
            </w:r>
          </w:p>
        </w:tc>
        <w:tc>
          <w:tcPr/>
          <w:p>
            <w:pPr>
              <w:pStyle w:val="Tabla7"/>
              <w:jc w:val="left"/>
            </w:pPr>
            <w:r>
              <w:t xml:space="preserve">13</w:t>
            </w:r>
          </w:p>
        </w:tc>
        <w:tc>
          <w:tcPr/>
          <w:p>
            <w:pPr>
              <w:pStyle w:val="Tabla7"/>
              <w:jc w:val="left"/>
            </w:pPr>
            <w:r>
              <w:t xml:space="preserve">13</w:t>
            </w:r>
          </w:p>
        </w:tc>
        <w:tc>
          <w:tcPr/>
          <w:p>
            <w:pPr>
              <w:pStyle w:val="Tabla7"/>
              <w:jc w:val="left"/>
            </w:pPr>
            <w:r>
              <w:t xml:space="preserve">13</w:t>
            </w:r>
          </w:p>
        </w:tc>
        <w:tc>
          <w:tcPr/>
          <w:p>
            <w:pPr>
              <w:pStyle w:val="Tabla7"/>
              <w:jc w:val="left"/>
            </w:pPr>
            <w:r>
              <w:t xml:space="preserve">13</w:t>
            </w:r>
          </w:p>
        </w:tc>
        <w:tc>
          <w:tcPr/>
          <w:p>
            <w:pPr>
              <w:pStyle w:val="Tabla7"/>
              <w:jc w:val="left"/>
            </w:pPr>
            <w:r>
              <w:t xml:space="preserve">13</w:t>
            </w:r>
          </w:p>
        </w:tc>
        <w:tc>
          <w:tcPr/>
          <w:p>
            <w:pPr>
              <w:pStyle w:val="Tabla7"/>
              <w:jc w:val="left"/>
            </w:pPr>
            <w:r>
              <w:t xml:space="preserve">13</w:t>
            </w:r>
          </w:p>
        </w:tc>
      </w:tr>
      <w:tr>
        <w:trPr>
          <w:cantSplit/>
        </w:trPr>
        <w:tc>
          <w:tcPr/>
          <w:p>
            <w:pPr>
              <w:pStyle w:val="Tabla7"/>
              <w:jc w:val="left"/>
            </w:pPr>
            <w:r>
              <w:t xml:space="preserve">V09</w:t>
            </w:r>
          </w:p>
        </w:tc>
        <w:tc>
          <w:tcPr/>
          <w:p>
            <w:pPr>
              <w:pStyle w:val="Tabla7"/>
              <w:jc w:val="left"/>
            </w:pPr>
            <w:r>
              <w:t xml:space="preserve">3,5</w:t>
            </w:r>
          </w:p>
        </w:tc>
        <w:tc>
          <w:tcPr/>
          <w:p>
            <w:pPr>
              <w:pStyle w:val="Tabla7"/>
              <w:jc w:val="left"/>
            </w:pPr>
            <w:r>
              <w:t xml:space="preserve">6</w:t>
            </w:r>
          </w:p>
        </w:tc>
        <w:tc>
          <w:tcPr/>
          <w:p>
            <w:pPr>
              <w:pStyle w:val="Tabla7"/>
              <w:jc w:val="left"/>
            </w:pPr>
            <w:r>
              <w:t xml:space="preserve">5</w:t>
            </w:r>
          </w:p>
        </w:tc>
        <w:tc>
          <w:tcPr/>
          <w:p>
            <w:pPr>
              <w:pStyle w:val="Tabla7"/>
              <w:jc w:val="left"/>
            </w:pPr>
            <w:r>
              <w:t xml:space="preserve">3</w:t>
            </w:r>
          </w:p>
        </w:tc>
        <w:tc>
          <w:tcPr/>
          <w:p>
            <w:pPr>
              <w:pStyle w:val="Tabla7"/>
              <w:jc w:val="left"/>
            </w:pPr>
            <w:r>
              <w:t xml:space="preserve">3</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r>
      <w:tr>
        <w:trPr>
          <w:cantSplit/>
        </w:trPr>
        <w:tc>
          <w:tcPr/>
          <w:p>
            <w:pPr>
              <w:pStyle w:val="Tabla7"/>
              <w:jc w:val="left"/>
            </w:pPr>
            <w:r>
              <w:t xml:space="preserve">V10</w:t>
            </w:r>
          </w:p>
        </w:tc>
        <w:tc>
          <w:tcPr/>
          <w:p>
            <w:pPr>
              <w:pStyle w:val="Tabla7"/>
              <w:jc w:val="left"/>
            </w:pPr>
            <w:r>
              <w:t xml:space="preserve">9,5</w:t>
            </w:r>
          </w:p>
        </w:tc>
        <w:tc>
          <w:tcPr/>
          <w:p>
            <w:pPr>
              <w:pStyle w:val="Tabla7"/>
              <w:jc w:val="left"/>
            </w:pPr>
            <w:r>
              <w:t xml:space="preserve">7</w:t>
            </w:r>
          </w:p>
        </w:tc>
        <w:tc>
          <w:tcPr/>
          <w:p>
            <w:pPr>
              <w:pStyle w:val="Tabla7"/>
              <w:jc w:val="left"/>
            </w:pPr>
            <w:r>
              <w:t xml:space="preserve">6</w:t>
            </w:r>
          </w:p>
        </w:tc>
        <w:tc>
          <w:tcPr/>
          <w:p>
            <w:pPr>
              <w:pStyle w:val="Tabla7"/>
              <w:jc w:val="left"/>
            </w:pPr>
            <w:r>
              <w:t xml:space="preserve">5</w:t>
            </w:r>
          </w:p>
        </w:tc>
        <w:tc>
          <w:tcPr/>
          <w:p>
            <w:pPr>
              <w:pStyle w:val="Tabla7"/>
              <w:jc w:val="left"/>
            </w:pPr>
            <w:r>
              <w:t xml:space="preserve">5</w:t>
            </w:r>
          </w:p>
        </w:tc>
        <w:tc>
          <w:tcPr/>
          <w:p>
            <w:pPr>
              <w:pStyle w:val="Tabla7"/>
              <w:jc w:val="left"/>
            </w:pPr>
            <w:r>
              <w:t xml:space="preserve">5</w:t>
            </w:r>
          </w:p>
        </w:tc>
        <w:tc>
          <w:tcPr/>
          <w:p>
            <w:pPr>
              <w:pStyle w:val="Tabla7"/>
              <w:jc w:val="left"/>
            </w:pPr>
            <w:r>
              <w:t xml:space="preserve">6</w:t>
            </w:r>
          </w:p>
        </w:tc>
        <w:tc>
          <w:tcPr/>
          <w:p>
            <w:pPr>
              <w:pStyle w:val="Tabla7"/>
              <w:jc w:val="left"/>
            </w:pPr>
            <w:r>
              <w:t xml:space="preserve">6</w:t>
            </w:r>
          </w:p>
        </w:tc>
        <w:tc>
          <w:tcPr/>
          <w:p>
            <w:pPr>
              <w:pStyle w:val="Tabla7"/>
              <w:jc w:val="left"/>
            </w:pPr>
            <w:r>
              <w:t xml:space="preserve">5</w:t>
            </w:r>
          </w:p>
        </w:tc>
        <w:tc>
          <w:tcPr/>
          <w:p>
            <w:pPr>
              <w:pStyle w:val="Tabla7"/>
              <w:jc w:val="left"/>
            </w:pPr>
            <w:r>
              <w:t xml:space="preserve">5</w:t>
            </w:r>
          </w:p>
        </w:tc>
      </w:tr>
      <w:tr>
        <w:trPr>
          <w:cantSplit/>
        </w:trPr>
        <w:tc>
          <w:tcPr/>
          <w:p>
            <w:pPr>
              <w:pStyle w:val="Tabla7"/>
              <w:jc w:val="left"/>
            </w:pPr>
            <w:r>
              <w:t xml:space="preserve">V11</w:t>
            </w:r>
          </w:p>
        </w:tc>
        <w:tc>
          <w:tcPr/>
          <w:p>
            <w:pPr>
              <w:pStyle w:val="Tabla7"/>
              <w:jc w:val="left"/>
            </w:pPr>
            <w:r>
              <w:t xml:space="preserve">2</w:t>
            </w:r>
          </w:p>
        </w:tc>
        <w:tc>
          <w:tcPr/>
          <w:p>
            <w:pPr>
              <w:pStyle w:val="Tabla7"/>
              <w:jc w:val="left"/>
            </w:pPr>
            <w:r>
              <w:t xml:space="preserve">1</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r>
      <w:tr>
        <w:trPr>
          <w:cantSplit/>
        </w:trPr>
        <w:tc>
          <w:tcPr/>
          <w:p>
            <w:pPr>
              <w:pStyle w:val="Tabla7"/>
              <w:jc w:val="left"/>
            </w:pPr>
            <w:r>
              <w:t xml:space="preserve">V12</w:t>
            </w:r>
          </w:p>
        </w:tc>
        <w:tc>
          <w:tcPr/>
          <w:p>
            <w:pPr>
              <w:pStyle w:val="Tabla7"/>
              <w:jc w:val="left"/>
            </w:pPr>
            <w:r>
              <w:t xml:space="preserve">7,5</w:t>
            </w:r>
          </w:p>
        </w:tc>
        <w:tc>
          <w:tcPr/>
          <w:p>
            <w:pPr>
              <w:pStyle w:val="Tabla7"/>
              <w:jc w:val="left"/>
            </w:pPr>
            <w:r>
              <w:t xml:space="preserve">4</w:t>
            </w:r>
          </w:p>
        </w:tc>
        <w:tc>
          <w:tcPr/>
          <w:p>
            <w:pPr>
              <w:pStyle w:val="Tabla7"/>
              <w:jc w:val="left"/>
            </w:pPr>
            <w:r>
              <w:t xml:space="preserve">3</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5</w:t>
            </w:r>
          </w:p>
        </w:tc>
        <w:tc>
          <w:tcPr/>
          <w:p>
            <w:pPr>
              <w:pStyle w:val="Tabla7"/>
              <w:jc w:val="left"/>
            </w:pPr>
            <w:r>
              <w:t xml:space="preserve">5</w:t>
            </w:r>
          </w:p>
        </w:tc>
        <w:tc>
          <w:tcPr/>
          <w:p>
            <w:pPr>
              <w:pStyle w:val="Tabla7"/>
              <w:jc w:val="left"/>
            </w:pPr>
            <w:r>
              <w:t xml:space="preserve">6</w:t>
            </w:r>
          </w:p>
        </w:tc>
        <w:tc>
          <w:tcPr/>
          <w:p>
            <w:pPr>
              <w:pStyle w:val="Tabla7"/>
              <w:jc w:val="left"/>
            </w:pPr>
            <w:r>
              <w:t xml:space="preserve">6</w:t>
            </w:r>
          </w:p>
        </w:tc>
      </w:tr>
      <w:tr>
        <w:trPr>
          <w:cantSplit/>
        </w:trPr>
        <w:tc>
          <w:tcPr/>
          <w:p>
            <w:pPr>
              <w:pStyle w:val="Tabla7"/>
              <w:jc w:val="left"/>
            </w:pPr>
            <w:r>
              <w:t xml:space="preserve">V13</w:t>
            </w:r>
          </w:p>
        </w:tc>
        <w:tc>
          <w:tcPr/>
          <w:p>
            <w:pPr>
              <w:pStyle w:val="Tabla7"/>
              <w:jc w:val="left"/>
            </w:pPr>
            <w:r>
              <w:t xml:space="preserve">9,5</w:t>
            </w:r>
          </w:p>
        </w:tc>
        <w:tc>
          <w:tcPr/>
          <w:p>
            <w:pPr>
              <w:pStyle w:val="Tabla7"/>
              <w:jc w:val="left"/>
            </w:pPr>
            <w:r>
              <w:t xml:space="preserve">9</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r>
      <w:tr>
        <w:trPr>
          <w:cantSplit/>
        </w:trPr>
        <w:tc>
          <w:tcPr/>
          <w:p>
            <w:pPr>
              <w:pStyle w:val="Tabla7"/>
              <w:jc w:val="left"/>
            </w:pPr>
            <w:r>
              <w:t xml:space="preserve">V14</w:t>
            </w:r>
          </w:p>
        </w:tc>
        <w:tc>
          <w:tcPr/>
          <w:p>
            <w:pPr>
              <w:pStyle w:val="Tabla7"/>
              <w:jc w:val="left"/>
            </w:pPr>
            <w:r>
              <w:t xml:space="preserve">3,5</w:t>
            </w:r>
          </w:p>
        </w:tc>
        <w:tc>
          <w:tcPr/>
          <w:p>
            <w:pPr>
              <w:pStyle w:val="Tabla7"/>
              <w:jc w:val="left"/>
            </w:pPr>
            <w:r>
              <w:t xml:space="preserve">3</w:t>
            </w:r>
          </w:p>
        </w:tc>
        <w:tc>
          <w:tcPr/>
          <w:p>
            <w:pPr>
              <w:pStyle w:val="Tabla7"/>
              <w:jc w:val="left"/>
            </w:pPr>
            <w:r>
              <w:t xml:space="preserve">2</w:t>
            </w:r>
          </w:p>
        </w:tc>
        <w:tc>
          <w:tcPr/>
          <w:p>
            <w:pPr>
              <w:pStyle w:val="Tabla7"/>
              <w:jc w:val="left"/>
            </w:pPr>
            <w:r>
              <w:t xml:space="preserve">2</w:t>
            </w:r>
          </w:p>
        </w:tc>
        <w:tc>
          <w:tcPr/>
          <w:p>
            <w:pPr>
              <w:pStyle w:val="Tabla7"/>
              <w:jc w:val="left"/>
            </w:pPr>
            <w:r>
              <w:t xml:space="preserve">2</w:t>
            </w:r>
          </w:p>
        </w:tc>
        <w:tc>
          <w:tcPr/>
          <w:p>
            <w:pPr>
              <w:pStyle w:val="Tabla7"/>
              <w:jc w:val="left"/>
            </w:pPr>
            <w:r>
              <w:t xml:space="preserve">2</w:t>
            </w:r>
          </w:p>
        </w:tc>
        <w:tc>
          <w:tcPr/>
          <w:p>
            <w:pPr>
              <w:pStyle w:val="Tabla7"/>
              <w:jc w:val="left"/>
            </w:pPr>
            <w:r>
              <w:t xml:space="preserve">2</w:t>
            </w:r>
          </w:p>
        </w:tc>
        <w:tc>
          <w:tcPr/>
          <w:p>
            <w:pPr>
              <w:pStyle w:val="Tabla7"/>
              <w:jc w:val="left"/>
            </w:pPr>
            <w:r>
              <w:t xml:space="preserve">2</w:t>
            </w:r>
          </w:p>
        </w:tc>
        <w:tc>
          <w:tcPr/>
          <w:p>
            <w:pPr>
              <w:pStyle w:val="Tabla7"/>
              <w:jc w:val="left"/>
            </w:pPr>
            <w:r>
              <w:t xml:space="preserve">2</w:t>
            </w:r>
          </w:p>
        </w:tc>
        <w:tc>
          <w:tcPr/>
          <w:p>
            <w:pPr>
              <w:pStyle w:val="Tabla7"/>
              <w:jc w:val="left"/>
            </w:pPr>
            <w:r>
              <w:t xml:space="preserve">2</w:t>
            </w:r>
          </w:p>
        </w:tc>
      </w:tr>
      <w:tr>
        <w:trPr>
          <w:cantSplit/>
        </w:trPr>
        <w:tc>
          <w:tcPr/>
          <w:p>
            <w:pPr>
              <w:pStyle w:val="Tabla7"/>
              <w:jc w:val="left"/>
            </w:pPr>
            <w:r>
              <w:t xml:space="preserve">V15</w:t>
            </w:r>
          </w:p>
        </w:tc>
        <w:tc>
          <w:tcPr/>
          <w:p>
            <w:pPr>
              <w:pStyle w:val="Tabla7"/>
              <w:jc w:val="left"/>
            </w:pPr>
            <w:r>
              <w:t xml:space="preserve">5</w:t>
            </w:r>
          </w:p>
        </w:tc>
        <w:tc>
          <w:tcPr/>
          <w:p>
            <w:pPr>
              <w:pStyle w:val="Tabla7"/>
              <w:jc w:val="left"/>
            </w:pPr>
            <w:r>
              <w:t xml:space="preserve">2</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Terminal de S0.</w:t>
      </w:r>
      <w:r>
        <w:t xml:space="preserve"> </w:t>
      </w:r>
      <w:r>
        <w:t xml:space="preserve">Las potencias se extinguen en A^7. A^6 conserva un solo recorrido de seis aristas (V07→V09→V10→V06→V11→V14→V15), por lo que solo V07 tiene influencia indirecta positiva y las demás variables empatan. Los rangos indirectos de S0 no constituyen un ranking de importancia.</w:t>
      </w:r>
    </w:p>
    <w:bookmarkEnd w:id="184"/>
    <w:bookmarkStart w:id="188" w:name="X0b03fe3840daf9c6d36689ef2c3b5524af51c4e"/>
    <w:p>
      <w:pPr>
        <w:pStyle w:val="Heading3"/>
      </w:pPr>
      <w:r>
        <w:t xml:space="preserve">F4.4.12 Plano indirecto, desplazamiento de rangos y variables ocultas</w:t>
      </w:r>
    </w:p>
    <w:p>
      <w:pPr>
        <w:pStyle w:val="FirstParagraph"/>
      </w:pPr>
      <w:r>
        <w:t xml:space="preserve">El plano indirecto usa la potencia de referencia de cada escenario. El ascenso es el rango directo menos el rango indirecto: un valor positivo indica que la variable gana posición al considerar recorridos largos.</w:t>
      </w:r>
    </w:p>
    <w:p>
      <w:pPr>
        <w:pStyle w:val="BodyText"/>
      </w:pPr>
      <w:r>
        <w:rPr>
          <w:b/>
          <w:bCs/>
        </w:rPr>
        <w:t xml:space="preserve">S2, referencia A^10.</w:t>
      </w:r>
    </w:p>
    <w:p>
      <w:pPr>
        <w:pStyle w:val="BodyText"/>
      </w:pPr>
      <w:r>
        <w:t xml:space="preserve">La Tabla F4.44 reúne los datos de «Clasificación indirecta del escenario S2 con la potencia A^10».</w:t>
      </w:r>
    </w:p>
    <w:p>
      <w:pPr>
        <w:pStyle w:val="TablaRotulo"/>
      </w:pPr>
      <w:bookmarkStart w:id="9121" w:name="rot_Tabla_F4_44"/>
      <w:r>
        <w:rPr>
          <w:b/>
          <w:bCs/>
        </w:rPr>
        <w:t xml:space="preserve">Tabla F4.44</w:t>
      </w:r>
      <w:bookmarkEnd w:id="9121"/>
    </w:p>
    <w:p>
      <w:pPr>
        <w:pStyle w:val="TablaTitulo"/>
      </w:pPr>
      <w:r>
        <w:rPr>
          <w:i/>
          <w:iCs/>
        </w:rPr>
        <w:t xml:space="preserve">Clasificación indirecta del escenario S2 con la potencia A^10</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465"/>
        <w:gridCol w:w="798"/>
        <w:gridCol w:w="931"/>
        <w:gridCol w:w="798"/>
        <w:gridCol w:w="798"/>
        <w:gridCol w:w="931"/>
        <w:gridCol w:w="798"/>
        <w:gridCol w:w="2395"/>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Rango I directo</w:t>
            </w:r>
          </w:p>
        </w:tc>
        <w:tc>
          <w:tcPr>
            <w:shd w:val="clear" w:color="auto" w:fill="00B050"/>
          </w:tcPr>
          <w:p>
            <w:pPr>
              <w:pStyle w:val="Tabla8"/>
              <w:jc w:val="center"/>
            </w:pPr>
            <w:r>
              <w:rPr>
                <w:b/>
                <w:color w:val="FFFFFF"/>
              </w:rPr>
              <w:t xml:space="preserve">Rango I indirecto</w:t>
            </w:r>
          </w:p>
        </w:tc>
        <w:tc>
          <w:tcPr>
            <w:shd w:val="clear" w:color="auto" w:fill="00B050"/>
          </w:tcPr>
          <w:p>
            <w:pPr>
              <w:pStyle w:val="Tabla8"/>
              <w:jc w:val="center"/>
            </w:pPr>
            <w:r>
              <w:rPr>
                <w:b/>
                <w:color w:val="FFFFFF"/>
              </w:rPr>
              <w:t xml:space="preserve">Ascenso I</w:t>
            </w:r>
          </w:p>
        </w:tc>
        <w:tc>
          <w:tcPr>
            <w:shd w:val="clear" w:color="auto" w:fill="00B050"/>
          </w:tcPr>
          <w:p>
            <w:pPr>
              <w:pStyle w:val="Tabla8"/>
              <w:jc w:val="center"/>
            </w:pPr>
            <w:r>
              <w:rPr>
                <w:b/>
                <w:color w:val="FFFFFF"/>
              </w:rPr>
              <w:t xml:space="preserve">Rango D directo</w:t>
            </w:r>
          </w:p>
        </w:tc>
        <w:tc>
          <w:tcPr>
            <w:shd w:val="clear" w:color="auto" w:fill="00B050"/>
          </w:tcPr>
          <w:p>
            <w:pPr>
              <w:pStyle w:val="Tabla8"/>
              <w:jc w:val="center"/>
            </w:pPr>
            <w:r>
              <w:rPr>
                <w:b/>
                <w:color w:val="FFFFFF"/>
              </w:rPr>
              <w:t xml:space="preserve">Rango D indirecto</w:t>
            </w:r>
          </w:p>
        </w:tc>
        <w:tc>
          <w:tcPr>
            <w:shd w:val="clear" w:color="auto" w:fill="00B050"/>
          </w:tcPr>
          <w:p>
            <w:pPr>
              <w:pStyle w:val="Tabla8"/>
              <w:jc w:val="center"/>
            </w:pPr>
            <w:r>
              <w:rPr>
                <w:b/>
                <w:color w:val="FFFFFF"/>
              </w:rPr>
              <w:t xml:space="preserve">Ascenso D</w:t>
            </w:r>
          </w:p>
        </w:tc>
        <w:tc>
          <w:tcPr>
            <w:shd w:val="clear" w:color="auto" w:fill="00B050"/>
          </w:tcPr>
          <w:p>
            <w:pPr>
              <w:pStyle w:val="Tabla8"/>
              <w:jc w:val="center"/>
            </w:pPr>
            <w:r>
              <w:rPr>
                <w:b/>
                <w:color w:val="FFFFFF"/>
              </w:rPr>
              <w:t xml:space="preserve">Clase indirecta</w:t>
            </w:r>
          </w:p>
        </w:tc>
      </w:tr>
      <w:tr>
        <w:trPr>
          <w:cantSplit/>
        </w:trPr>
        <w:tc>
          <w:tcPr/>
          <w:p>
            <w:pPr>
              <w:pStyle w:val="Tabla8"/>
              <w:jc w:val="left"/>
            </w:pPr>
            <w:r>
              <w:t xml:space="preserve">V01</w:t>
            </w:r>
          </w:p>
        </w:tc>
        <w:tc>
          <w:tcPr/>
          <w:p>
            <w:pPr>
              <w:pStyle w:val="Tabla8"/>
              <w:jc w:val="left"/>
            </w:pPr>
            <w:r>
              <w:t xml:space="preserve">6,5</w:t>
            </w:r>
          </w:p>
        </w:tc>
        <w:tc>
          <w:tcPr/>
          <w:p>
            <w:pPr>
              <w:pStyle w:val="Tabla8"/>
              <w:jc w:val="left"/>
            </w:pPr>
            <w:r>
              <w:t xml:space="preserve">7</w:t>
            </w:r>
          </w:p>
        </w:tc>
        <w:tc>
          <w:tcPr/>
          <w:p>
            <w:pPr>
              <w:pStyle w:val="Tabla8"/>
              <w:jc w:val="left"/>
            </w:pPr>
            <w:r>
              <w:t xml:space="preserve">-0,5</w:t>
            </w:r>
          </w:p>
        </w:tc>
        <w:tc>
          <w:tcPr/>
          <w:p>
            <w:pPr>
              <w:pStyle w:val="Tabla8"/>
              <w:jc w:val="left"/>
            </w:pPr>
            <w:r>
              <w:t xml:space="preserve">7,5</w:t>
            </w:r>
          </w:p>
        </w:tc>
        <w:tc>
          <w:tcPr/>
          <w:p>
            <w:pPr>
              <w:pStyle w:val="Tabla8"/>
              <w:jc w:val="left"/>
            </w:pPr>
            <w:r>
              <w:t xml:space="preserve">12</w:t>
            </w:r>
          </w:p>
        </w:tc>
        <w:tc>
          <w:tcPr/>
          <w:p>
            <w:pPr>
              <w:pStyle w:val="Tabla8"/>
              <w:jc w:val="left"/>
            </w:pPr>
            <w:r>
              <w:t xml:space="preserve">-4,5</w:t>
            </w:r>
          </w:p>
        </w:tc>
        <w:tc>
          <w:tcPr/>
          <w:p>
            <w:pPr>
              <w:pStyle w:val="Tabla8"/>
              <w:jc w:val="left"/>
            </w:pPr>
            <w:r>
              <w:t xml:space="preserve">ACTIVA</w:t>
            </w:r>
          </w:p>
        </w:tc>
      </w:tr>
      <w:tr>
        <w:trPr>
          <w:cantSplit/>
        </w:trPr>
        <w:tc>
          <w:tcPr/>
          <w:p>
            <w:pPr>
              <w:pStyle w:val="Tabla8"/>
              <w:jc w:val="left"/>
            </w:pPr>
            <w:r>
              <w:t xml:space="preserve">V02</w:t>
            </w:r>
          </w:p>
        </w:tc>
        <w:tc>
          <w:tcPr/>
          <w:p>
            <w:pPr>
              <w:pStyle w:val="Tabla8"/>
              <w:jc w:val="left"/>
            </w:pPr>
            <w:r>
              <w:t xml:space="preserve">4</w:t>
            </w:r>
          </w:p>
        </w:tc>
        <w:tc>
          <w:tcPr/>
          <w:p>
            <w:pPr>
              <w:pStyle w:val="Tabla8"/>
              <w:jc w:val="left"/>
            </w:pPr>
            <w:r>
              <w:t xml:space="preserve">4</w:t>
            </w:r>
          </w:p>
        </w:tc>
        <w:tc>
          <w:tcPr/>
          <w:p>
            <w:pPr>
              <w:pStyle w:val="Tabla8"/>
              <w:jc w:val="left"/>
            </w:pPr>
            <w:r>
              <w:t xml:space="preserve">0</w:t>
            </w:r>
          </w:p>
        </w:tc>
        <w:tc>
          <w:tcPr/>
          <w:p>
            <w:pPr>
              <w:pStyle w:val="Tabla8"/>
              <w:jc w:val="left"/>
            </w:pPr>
            <w:r>
              <w:t xml:space="preserve">6</w:t>
            </w:r>
          </w:p>
        </w:tc>
        <w:tc>
          <w:tcPr/>
          <w:p>
            <w:pPr>
              <w:pStyle w:val="Tabla8"/>
              <w:jc w:val="left"/>
            </w:pPr>
            <w:r>
              <w:t xml:space="preserve">11</w:t>
            </w:r>
          </w:p>
        </w:tc>
        <w:tc>
          <w:tcPr/>
          <w:p>
            <w:pPr>
              <w:pStyle w:val="Tabla8"/>
              <w:jc w:val="left"/>
            </w:pPr>
            <w:r>
              <w:t xml:space="preserve">-5</w:t>
            </w:r>
          </w:p>
        </w:tc>
        <w:tc>
          <w:tcPr/>
          <w:p>
            <w:pPr>
              <w:pStyle w:val="Tabla8"/>
              <w:jc w:val="left"/>
            </w:pPr>
            <w:r>
              <w:t xml:space="preserve">ACTIVA</w:t>
            </w:r>
          </w:p>
        </w:tc>
      </w:tr>
      <w:tr>
        <w:trPr>
          <w:cantSplit/>
        </w:trPr>
        <w:tc>
          <w:tcPr/>
          <w:p>
            <w:pPr>
              <w:pStyle w:val="Tabla8"/>
              <w:jc w:val="left"/>
            </w:pPr>
            <w:r>
              <w:t xml:space="preserve">V03</w:t>
            </w:r>
          </w:p>
        </w:tc>
        <w:tc>
          <w:tcPr/>
          <w:p>
            <w:pPr>
              <w:pStyle w:val="Tabla8"/>
              <w:jc w:val="left"/>
            </w:pPr>
            <w:r>
              <w:t xml:space="preserve">6,5</w:t>
            </w:r>
          </w:p>
        </w:tc>
        <w:tc>
          <w:tcPr/>
          <w:p>
            <w:pPr>
              <w:pStyle w:val="Tabla8"/>
              <w:jc w:val="left"/>
            </w:pPr>
            <w:r>
              <w:t xml:space="preserve">3</w:t>
            </w:r>
          </w:p>
        </w:tc>
        <w:tc>
          <w:tcPr/>
          <w:p>
            <w:pPr>
              <w:pStyle w:val="Tabla8"/>
              <w:jc w:val="left"/>
            </w:pPr>
            <w:r>
              <w:t xml:space="preserve">3,5</w:t>
            </w:r>
          </w:p>
        </w:tc>
        <w:tc>
          <w:tcPr/>
          <w:p>
            <w:pPr>
              <w:pStyle w:val="Tabla8"/>
              <w:jc w:val="left"/>
            </w:pPr>
            <w:r>
              <w:t xml:space="preserve">14,5</w:t>
            </w:r>
          </w:p>
        </w:tc>
        <w:tc>
          <w:tcPr/>
          <w:p>
            <w:pPr>
              <w:pStyle w:val="Tabla8"/>
              <w:jc w:val="left"/>
            </w:pPr>
            <w:r>
              <w:t xml:space="preserve">14,5</w:t>
            </w:r>
          </w:p>
        </w:tc>
        <w:tc>
          <w:tcPr/>
          <w:p>
            <w:pPr>
              <w:pStyle w:val="Tabla8"/>
              <w:jc w:val="left"/>
            </w:pPr>
            <w:r>
              <w:t xml:space="preserve">0</w:t>
            </w:r>
          </w:p>
        </w:tc>
        <w:tc>
          <w:tcPr/>
          <w:p>
            <w:pPr>
              <w:pStyle w:val="Tabla8"/>
              <w:jc w:val="left"/>
            </w:pPr>
            <w:r>
              <w:t xml:space="preserve">ACTIVA</w:t>
            </w:r>
          </w:p>
        </w:tc>
      </w:tr>
      <w:tr>
        <w:trPr>
          <w:cantSplit/>
        </w:trPr>
        <w:tc>
          <w:tcPr/>
          <w:p>
            <w:pPr>
              <w:pStyle w:val="Tabla8"/>
              <w:jc w:val="left"/>
            </w:pPr>
            <w:r>
              <w:t xml:space="preserve">V04</w:t>
            </w:r>
          </w:p>
        </w:tc>
        <w:tc>
          <w:tcPr/>
          <w:p>
            <w:pPr>
              <w:pStyle w:val="Tabla8"/>
              <w:jc w:val="left"/>
            </w:pPr>
            <w:r>
              <w:t xml:space="preserve">1,5</w:t>
            </w:r>
          </w:p>
        </w:tc>
        <w:tc>
          <w:tcPr/>
          <w:p>
            <w:pPr>
              <w:pStyle w:val="Tabla8"/>
              <w:jc w:val="left"/>
            </w:pPr>
            <w:r>
              <w:t xml:space="preserve">2</w:t>
            </w:r>
          </w:p>
        </w:tc>
        <w:tc>
          <w:tcPr/>
          <w:p>
            <w:pPr>
              <w:pStyle w:val="Tabla8"/>
              <w:jc w:val="left"/>
            </w:pPr>
            <w:r>
              <w:t xml:space="preserve">-0,5</w:t>
            </w:r>
          </w:p>
        </w:tc>
        <w:tc>
          <w:tcPr/>
          <w:p>
            <w:pPr>
              <w:pStyle w:val="Tabla8"/>
              <w:jc w:val="left"/>
            </w:pPr>
            <w:r>
              <w:t xml:space="preserve">14,5</w:t>
            </w:r>
          </w:p>
        </w:tc>
        <w:tc>
          <w:tcPr/>
          <w:p>
            <w:pPr>
              <w:pStyle w:val="Tabla8"/>
              <w:jc w:val="left"/>
            </w:pPr>
            <w:r>
              <w:t xml:space="preserve">14,5</w:t>
            </w:r>
          </w:p>
        </w:tc>
        <w:tc>
          <w:tcPr/>
          <w:p>
            <w:pPr>
              <w:pStyle w:val="Tabla8"/>
              <w:jc w:val="left"/>
            </w:pPr>
            <w:r>
              <w:t xml:space="preserve">0</w:t>
            </w:r>
          </w:p>
        </w:tc>
        <w:tc>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4</w:t>
            </w:r>
          </w:p>
        </w:tc>
        <w:tc>
          <w:tcPr/>
          <w:p>
            <w:pPr>
              <w:pStyle w:val="Tabla8"/>
              <w:jc w:val="left"/>
            </w:pPr>
            <w:r>
              <w:t xml:space="preserve">1</w:t>
            </w:r>
          </w:p>
        </w:tc>
        <w:tc>
          <w:tcPr/>
          <w:p>
            <w:pPr>
              <w:pStyle w:val="Tabla8"/>
              <w:jc w:val="left"/>
            </w:pPr>
            <w:r>
              <w:t xml:space="preserve">3</w:t>
            </w:r>
          </w:p>
        </w:tc>
        <w:tc>
          <w:tcPr/>
          <w:p>
            <w:pPr>
              <w:pStyle w:val="Tabla8"/>
              <w:jc w:val="left"/>
            </w:pPr>
            <w:r>
              <w:t xml:space="preserve">13</w:t>
            </w:r>
          </w:p>
        </w:tc>
        <w:tc>
          <w:tcPr/>
          <w:p>
            <w:pPr>
              <w:pStyle w:val="Tabla8"/>
              <w:jc w:val="left"/>
            </w:pPr>
            <w:r>
              <w:t xml:space="preserve">9</w:t>
            </w:r>
          </w:p>
        </w:tc>
        <w:tc>
          <w:tcPr/>
          <w:p>
            <w:pPr>
              <w:pStyle w:val="Tabla8"/>
              <w:jc w:val="left"/>
            </w:pPr>
            <w:r>
              <w:t xml:space="preserve">4</w:t>
            </w:r>
          </w:p>
        </w:tc>
        <w:tc>
          <w:tcPr/>
          <w:p>
            <w:pPr>
              <w:pStyle w:val="Tabla8"/>
              <w:jc w:val="left"/>
            </w:pPr>
            <w:r>
              <w:t xml:space="preserve">ACTIVA</w:t>
            </w:r>
          </w:p>
        </w:tc>
      </w:tr>
      <w:tr>
        <w:trPr>
          <w:cantSplit/>
        </w:trPr>
        <w:tc>
          <w:tcPr/>
          <w:p>
            <w:pPr>
              <w:pStyle w:val="Tabla8"/>
              <w:jc w:val="left"/>
            </w:pPr>
            <w:r>
              <w:t xml:space="preserve">V06</w:t>
            </w:r>
          </w:p>
        </w:tc>
        <w:tc>
          <w:tcPr/>
          <w:p>
            <w:pPr>
              <w:pStyle w:val="Tabla8"/>
              <w:jc w:val="left"/>
            </w:pPr>
            <w:r>
              <w:t xml:space="preserve">1,5</w:t>
            </w:r>
          </w:p>
        </w:tc>
        <w:tc>
          <w:tcPr/>
          <w:p>
            <w:pPr>
              <w:pStyle w:val="Tabla8"/>
              <w:jc w:val="left"/>
            </w:pPr>
            <w:r>
              <w:t xml:space="preserve">5</w:t>
            </w:r>
          </w:p>
        </w:tc>
        <w:tc>
          <w:tcPr/>
          <w:p>
            <w:pPr>
              <w:pStyle w:val="Tabla8"/>
              <w:jc w:val="left"/>
            </w:pPr>
            <w:r>
              <w:t xml:space="preserve">-3,5</w:t>
            </w:r>
          </w:p>
        </w:tc>
        <w:tc>
          <w:tcPr/>
          <w:p>
            <w:pPr>
              <w:pStyle w:val="Tabla8"/>
              <w:jc w:val="left"/>
            </w:pPr>
            <w:r>
              <w:t xml:space="preserve">1</w:t>
            </w:r>
          </w:p>
        </w:tc>
        <w:tc>
          <w:tcPr/>
          <w:p>
            <w:pPr>
              <w:pStyle w:val="Tabla8"/>
              <w:jc w:val="left"/>
            </w:pPr>
            <w:r>
              <w:t xml:space="preserve">7</w:t>
            </w:r>
          </w:p>
        </w:tc>
        <w:tc>
          <w:tcPr/>
          <w:p>
            <w:pPr>
              <w:pStyle w:val="Tabla8"/>
              <w:jc w:val="left"/>
            </w:pPr>
            <w:r>
              <w:t xml:space="preserve">-6</w:t>
            </w:r>
          </w:p>
        </w:tc>
        <w:tc>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9</w:t>
            </w:r>
          </w:p>
        </w:tc>
        <w:tc>
          <w:tcPr/>
          <w:p>
            <w:pPr>
              <w:pStyle w:val="Tabla8"/>
              <w:jc w:val="left"/>
            </w:pPr>
            <w:r>
              <w:t xml:space="preserve">8</w:t>
            </w:r>
          </w:p>
        </w:tc>
        <w:tc>
          <w:tcPr/>
          <w:p>
            <w:pPr>
              <w:pStyle w:val="Tabla8"/>
              <w:jc w:val="left"/>
            </w:pPr>
            <w:r>
              <w:t xml:space="preserve">1</w:t>
            </w:r>
          </w:p>
        </w:tc>
        <w:tc>
          <w:tcPr/>
          <w:p>
            <w:pPr>
              <w:pStyle w:val="Tabla8"/>
              <w:jc w:val="left"/>
            </w:pPr>
            <w:r>
              <w:t xml:space="preserve">11,5</w:t>
            </w:r>
          </w:p>
        </w:tc>
        <w:tc>
          <w:tcPr/>
          <w:p>
            <w:pPr>
              <w:pStyle w:val="Tabla8"/>
              <w:jc w:val="left"/>
            </w:pPr>
            <w:r>
              <w:t xml:space="preserve">8</w:t>
            </w:r>
          </w:p>
        </w:tc>
        <w:tc>
          <w:tcPr/>
          <w:p>
            <w:pPr>
              <w:pStyle w:val="Tabla8"/>
              <w:jc w:val="left"/>
            </w:pPr>
            <w:r>
              <w:t xml:space="preserve">3,5</w:t>
            </w:r>
          </w:p>
        </w:tc>
        <w:tc>
          <w:tcPr/>
          <w:p>
            <w:pPr>
              <w:pStyle w:val="Tabla8"/>
              <w:jc w:val="left"/>
            </w:pPr>
            <w:r>
              <w:t xml:space="preserve">FRONTERA</w:t>
            </w:r>
          </w:p>
        </w:tc>
      </w:tr>
      <w:tr>
        <w:trPr>
          <w:cantSplit/>
        </w:trPr>
        <w:tc>
          <w:tcPr/>
          <w:p>
            <w:pPr>
              <w:pStyle w:val="Tabla8"/>
              <w:jc w:val="left"/>
            </w:pPr>
            <w:r>
              <w:t xml:space="preserve">V08</w:t>
            </w:r>
          </w:p>
        </w:tc>
        <w:tc>
          <w:tcPr/>
          <w:p>
            <w:pPr>
              <w:pStyle w:val="Tabla8"/>
              <w:jc w:val="left"/>
            </w:pPr>
            <w:r>
              <w:t xml:space="preserve">14</w:t>
            </w:r>
          </w:p>
        </w:tc>
        <w:tc>
          <w:tcPr/>
          <w:p>
            <w:pPr>
              <w:pStyle w:val="Tabla8"/>
              <w:jc w:val="left"/>
            </w:pPr>
            <w:r>
              <w:t xml:space="preserve">15</w:t>
            </w:r>
          </w:p>
        </w:tc>
        <w:tc>
          <w:tcPr/>
          <w:p>
            <w:pPr>
              <w:pStyle w:val="Tabla8"/>
              <w:jc w:val="left"/>
            </w:pPr>
            <w:r>
              <w:t xml:space="preserve">-1</w:t>
            </w:r>
          </w:p>
        </w:tc>
        <w:tc>
          <w:tcPr/>
          <w:p>
            <w:pPr>
              <w:pStyle w:val="Tabla8"/>
              <w:jc w:val="left"/>
            </w:pPr>
            <w:r>
              <w:t xml:space="preserve">11,5</w:t>
            </w:r>
          </w:p>
        </w:tc>
        <w:tc>
          <w:tcPr/>
          <w:p>
            <w:pPr>
              <w:pStyle w:val="Tabla8"/>
              <w:jc w:val="left"/>
            </w:pPr>
            <w:r>
              <w:t xml:space="preserve">13</w:t>
            </w:r>
          </w:p>
        </w:tc>
        <w:tc>
          <w:tcPr/>
          <w:p>
            <w:pPr>
              <w:pStyle w:val="Tabla8"/>
              <w:jc w:val="left"/>
            </w:pPr>
            <w:r>
              <w:t xml:space="preserve">-1,5</w:t>
            </w:r>
          </w:p>
        </w:tc>
        <w:tc>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11,5</w:t>
            </w:r>
          </w:p>
        </w:tc>
        <w:tc>
          <w:tcPr/>
          <w:p>
            <w:pPr>
              <w:pStyle w:val="Tabla8"/>
              <w:jc w:val="left"/>
            </w:pPr>
            <w:r>
              <w:t xml:space="preserve">12</w:t>
            </w:r>
          </w:p>
        </w:tc>
        <w:tc>
          <w:tcPr/>
          <w:p>
            <w:pPr>
              <w:pStyle w:val="Tabla8"/>
              <w:jc w:val="left"/>
            </w:pPr>
            <w:r>
              <w:t xml:space="preserve">-0,5</w:t>
            </w:r>
          </w:p>
        </w:tc>
        <w:tc>
          <w:tcPr/>
          <w:p>
            <w:pPr>
              <w:pStyle w:val="Tabla8"/>
              <w:jc w:val="left"/>
            </w:pPr>
            <w:r>
              <w:t xml:space="preserve">3,5</w:t>
            </w:r>
          </w:p>
        </w:tc>
        <w:tc>
          <w:tcPr/>
          <w:p>
            <w:pPr>
              <w:pStyle w:val="Tabla8"/>
              <w:jc w:val="left"/>
            </w:pPr>
            <w:r>
              <w:t xml:space="preserve">4</w:t>
            </w:r>
          </w:p>
        </w:tc>
        <w:tc>
          <w:tcPr/>
          <w:p>
            <w:pPr>
              <w:pStyle w:val="Tabla8"/>
              <w:jc w:val="left"/>
            </w:pPr>
            <w:r>
              <w:t xml:space="preserve">-0,5</w:t>
            </w:r>
          </w:p>
        </w:tc>
        <w:tc>
          <w:tcPr/>
          <w:p>
            <w:pPr>
              <w:pStyle w:val="Tabla8"/>
              <w:jc w:val="left"/>
            </w:pPr>
            <w:r>
              <w:t xml:space="preserve">REACTIVA</w:t>
            </w:r>
          </w:p>
        </w:tc>
      </w:tr>
      <w:tr>
        <w:trPr>
          <w:cantSplit/>
        </w:trPr>
        <w:tc>
          <w:tcPr/>
          <w:p>
            <w:pPr>
              <w:pStyle w:val="Tabla8"/>
              <w:jc w:val="left"/>
            </w:pPr>
            <w:r>
              <w:t xml:space="preserve">V10</w:t>
            </w:r>
          </w:p>
        </w:tc>
        <w:tc>
          <w:tcPr/>
          <w:p>
            <w:pPr>
              <w:pStyle w:val="Tabla8"/>
              <w:jc w:val="left"/>
            </w:pPr>
            <w:r>
              <w:t xml:space="preserve">9</w:t>
            </w:r>
          </w:p>
        </w:tc>
        <w:tc>
          <w:tcPr/>
          <w:p>
            <w:pPr>
              <w:pStyle w:val="Tabla8"/>
              <w:jc w:val="left"/>
            </w:pPr>
            <w:r>
              <w:t xml:space="preserve">9</w:t>
            </w:r>
          </w:p>
        </w:tc>
        <w:tc>
          <w:tcPr/>
          <w:p>
            <w:pPr>
              <w:pStyle w:val="Tabla8"/>
              <w:jc w:val="left"/>
            </w:pPr>
            <w:r>
              <w:t xml:space="preserve">0</w:t>
            </w:r>
          </w:p>
        </w:tc>
        <w:tc>
          <w:tcPr/>
          <w:p>
            <w:pPr>
              <w:pStyle w:val="Tabla8"/>
              <w:jc w:val="left"/>
            </w:pPr>
            <w:r>
              <w:t xml:space="preserve">9,5</w:t>
            </w:r>
          </w:p>
        </w:tc>
        <w:tc>
          <w:tcPr/>
          <w:p>
            <w:pPr>
              <w:pStyle w:val="Tabla8"/>
              <w:jc w:val="left"/>
            </w:pPr>
            <w:r>
              <w:t xml:space="preserve">5</w:t>
            </w:r>
          </w:p>
        </w:tc>
        <w:tc>
          <w:tcPr/>
          <w:p>
            <w:pPr>
              <w:pStyle w:val="Tabla8"/>
              <w:jc w:val="left"/>
            </w:pPr>
            <w:r>
              <w:t xml:space="preserve">4,5</w:t>
            </w:r>
          </w:p>
        </w:tc>
        <w:tc>
          <w:tcPr/>
          <w:p>
            <w:pPr>
              <w:pStyle w:val="Tabla8"/>
              <w:jc w:val="left"/>
            </w:pPr>
            <w:r>
              <w:t xml:space="preserve">REACTIVA</w:t>
            </w:r>
          </w:p>
        </w:tc>
      </w:tr>
      <w:tr>
        <w:trPr>
          <w:cantSplit/>
        </w:trPr>
        <w:tc>
          <w:tcPr/>
          <w:p>
            <w:pPr>
              <w:pStyle w:val="Tabla8"/>
              <w:jc w:val="left"/>
            </w:pPr>
            <w:r>
              <w:t xml:space="preserve">V11</w:t>
            </w:r>
          </w:p>
        </w:tc>
        <w:tc>
          <w:tcPr/>
          <w:p>
            <w:pPr>
              <w:pStyle w:val="Tabla8"/>
              <w:jc w:val="left"/>
            </w:pPr>
            <w:r>
              <w:t xml:space="preserve">9</w:t>
            </w:r>
          </w:p>
        </w:tc>
        <w:tc>
          <w:tcPr/>
          <w:p>
            <w:pPr>
              <w:pStyle w:val="Tabla8"/>
              <w:jc w:val="left"/>
            </w:pPr>
            <w:r>
              <w:t xml:space="preserve">10</w:t>
            </w:r>
          </w:p>
        </w:tc>
        <w:tc>
          <w:tcPr/>
          <w:p>
            <w:pPr>
              <w:pStyle w:val="Tabla8"/>
              <w:jc w:val="left"/>
            </w:pPr>
            <w:r>
              <w:t xml:space="preserve">-1</w:t>
            </w:r>
          </w:p>
        </w:tc>
        <w:tc>
          <w:tcPr/>
          <w:p>
            <w:pPr>
              <w:pStyle w:val="Tabla8"/>
              <w:jc w:val="left"/>
            </w:pPr>
            <w:r>
              <w:t xml:space="preserve">2</w:t>
            </w:r>
          </w:p>
        </w:tc>
        <w:tc>
          <w:tcPr/>
          <w:p>
            <w:pPr>
              <w:pStyle w:val="Tabla8"/>
              <w:jc w:val="left"/>
            </w:pPr>
            <w:r>
              <w:t xml:space="preserve">3</w:t>
            </w:r>
          </w:p>
        </w:tc>
        <w:tc>
          <w:tcPr/>
          <w:p>
            <w:pPr>
              <w:pStyle w:val="Tabla8"/>
              <w:jc w:val="left"/>
            </w:pPr>
            <w:r>
              <w:t xml:space="preserve">-1</w:t>
            </w:r>
          </w:p>
        </w:tc>
        <w:tc>
          <w:tcPr/>
          <w:p>
            <w:pPr>
              <w:pStyle w:val="Tabla8"/>
              <w:jc w:val="left"/>
            </w:pPr>
            <w:r>
              <w:t xml:space="preserve">REACTIVA</w:t>
            </w:r>
          </w:p>
        </w:tc>
      </w:tr>
      <w:tr>
        <w:trPr>
          <w:cantSplit/>
        </w:trPr>
        <w:tc>
          <w:tcPr/>
          <w:p>
            <w:pPr>
              <w:pStyle w:val="Tabla8"/>
              <w:jc w:val="left"/>
            </w:pPr>
            <w:r>
              <w:t xml:space="preserve">V12</w:t>
            </w:r>
          </w:p>
        </w:tc>
        <w:tc>
          <w:tcPr/>
          <w:p>
            <w:pPr>
              <w:pStyle w:val="Tabla8"/>
              <w:jc w:val="left"/>
            </w:pPr>
            <w:r>
              <w:t xml:space="preserve">11,5</w:t>
            </w:r>
          </w:p>
        </w:tc>
        <w:tc>
          <w:tcPr/>
          <w:p>
            <w:pPr>
              <w:pStyle w:val="Tabla8"/>
              <w:jc w:val="left"/>
            </w:pPr>
            <w:r>
              <w:t xml:space="preserve">11</w:t>
            </w:r>
          </w:p>
        </w:tc>
        <w:tc>
          <w:tcPr/>
          <w:p>
            <w:pPr>
              <w:pStyle w:val="Tabla8"/>
              <w:jc w:val="left"/>
            </w:pPr>
            <w:r>
              <w:t xml:space="preserve">0,5</w:t>
            </w:r>
          </w:p>
        </w:tc>
        <w:tc>
          <w:tcPr/>
          <w:p>
            <w:pPr>
              <w:pStyle w:val="Tabla8"/>
              <w:jc w:val="left"/>
            </w:pPr>
            <w:r>
              <w:t xml:space="preserve">7,5</w:t>
            </w:r>
          </w:p>
        </w:tc>
        <w:tc>
          <w:tcPr/>
          <w:p>
            <w:pPr>
              <w:pStyle w:val="Tabla8"/>
              <w:jc w:val="left"/>
            </w:pPr>
            <w:r>
              <w:t xml:space="preserve">6</w:t>
            </w:r>
          </w:p>
        </w:tc>
        <w:tc>
          <w:tcPr/>
          <w:p>
            <w:pPr>
              <w:pStyle w:val="Tabla8"/>
              <w:jc w:val="left"/>
            </w:pPr>
            <w:r>
              <w:t xml:space="preserve">1,5</w:t>
            </w:r>
          </w:p>
        </w:tc>
        <w:tc>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14</w:t>
            </w:r>
          </w:p>
        </w:tc>
        <w:tc>
          <w:tcPr/>
          <w:p>
            <w:pPr>
              <w:pStyle w:val="Tabla8"/>
              <w:jc w:val="left"/>
            </w:pPr>
            <w:r>
              <w:t xml:space="preserve">14</w:t>
            </w:r>
          </w:p>
        </w:tc>
        <w:tc>
          <w:tcPr/>
          <w:p>
            <w:pPr>
              <w:pStyle w:val="Tabla8"/>
              <w:jc w:val="left"/>
            </w:pPr>
            <w:r>
              <w:t xml:space="preserve">0</w:t>
            </w:r>
          </w:p>
        </w:tc>
        <w:tc>
          <w:tcPr/>
          <w:p>
            <w:pPr>
              <w:pStyle w:val="Tabla8"/>
              <w:jc w:val="left"/>
            </w:pPr>
            <w:r>
              <w:t xml:space="preserve">9,5</w:t>
            </w:r>
          </w:p>
        </w:tc>
        <w:tc>
          <w:tcPr/>
          <w:p>
            <w:pPr>
              <w:pStyle w:val="Tabla8"/>
              <w:jc w:val="left"/>
            </w:pPr>
            <w:r>
              <w:t xml:space="preserve">10</w:t>
            </w:r>
          </w:p>
        </w:tc>
        <w:tc>
          <w:tcPr/>
          <w:p>
            <w:pPr>
              <w:pStyle w:val="Tabla8"/>
              <w:jc w:val="left"/>
            </w:pPr>
            <w:r>
              <w:t xml:space="preserve">-0,5</w:t>
            </w:r>
          </w:p>
        </w:tc>
        <w:tc>
          <w:tcPr/>
          <w:p>
            <w:pPr>
              <w:pStyle w:val="Tabla8"/>
              <w:jc w:val="left"/>
            </w:pPr>
            <w:r>
              <w:t xml:space="preserve">AUTONOMA_RELATIVA</w:t>
            </w:r>
          </w:p>
        </w:tc>
      </w:tr>
      <w:tr>
        <w:trPr>
          <w:cantSplit/>
        </w:trPr>
        <w:tc>
          <w:tcPr/>
          <w:p>
            <w:pPr>
              <w:pStyle w:val="Tabla8"/>
              <w:jc w:val="left"/>
            </w:pPr>
            <w:r>
              <w:t xml:space="preserve">V14</w:t>
            </w:r>
          </w:p>
        </w:tc>
        <w:tc>
          <w:tcPr/>
          <w:p>
            <w:pPr>
              <w:pStyle w:val="Tabla8"/>
              <w:jc w:val="left"/>
            </w:pPr>
            <w:r>
              <w:t xml:space="preserve">14</w:t>
            </w:r>
          </w:p>
        </w:tc>
        <w:tc>
          <w:tcPr/>
          <w:p>
            <w:pPr>
              <w:pStyle w:val="Tabla8"/>
              <w:jc w:val="left"/>
            </w:pPr>
            <w:r>
              <w:t xml:space="preserve">13</w:t>
            </w:r>
          </w:p>
        </w:tc>
        <w:tc>
          <w:tcPr/>
          <w:p>
            <w:pPr>
              <w:pStyle w:val="Tabla8"/>
              <w:jc w:val="left"/>
            </w:pPr>
            <w:r>
              <w:t xml:space="preserve">1</w:t>
            </w:r>
          </w:p>
        </w:tc>
        <w:tc>
          <w:tcPr/>
          <w:p>
            <w:pPr>
              <w:pStyle w:val="Tabla8"/>
              <w:jc w:val="left"/>
            </w:pPr>
            <w:r>
              <w:t xml:space="preserve">3,5</w:t>
            </w:r>
          </w:p>
        </w:tc>
        <w:tc>
          <w:tcPr/>
          <w:p>
            <w:pPr>
              <w:pStyle w:val="Tabla8"/>
              <w:jc w:val="left"/>
            </w:pPr>
            <w:r>
              <w:t xml:space="preserve">2</w:t>
            </w:r>
          </w:p>
        </w:tc>
        <w:tc>
          <w:tcPr/>
          <w:p>
            <w:pPr>
              <w:pStyle w:val="Tabla8"/>
              <w:jc w:val="left"/>
            </w:pPr>
            <w:r>
              <w:t xml:space="preserve">1,5</w:t>
            </w:r>
          </w:p>
        </w:tc>
        <w:tc>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4</w:t>
            </w:r>
          </w:p>
        </w:tc>
        <w:tc>
          <w:tcPr/>
          <w:p>
            <w:pPr>
              <w:pStyle w:val="Tabla8"/>
              <w:jc w:val="left"/>
            </w:pPr>
            <w:r>
              <w:t xml:space="preserve">6</w:t>
            </w:r>
          </w:p>
        </w:tc>
        <w:tc>
          <w:tcPr/>
          <w:p>
            <w:pPr>
              <w:pStyle w:val="Tabla8"/>
              <w:jc w:val="left"/>
            </w:pPr>
            <w:r>
              <w:t xml:space="preserve">-2</w:t>
            </w:r>
          </w:p>
        </w:tc>
        <w:tc>
          <w:tcPr/>
          <w:p>
            <w:pPr>
              <w:pStyle w:val="Tabla8"/>
              <w:jc w:val="left"/>
            </w:pPr>
            <w:r>
              <w:t xml:space="preserve">5</w:t>
            </w:r>
          </w:p>
        </w:tc>
        <w:tc>
          <w:tcPr/>
          <w:p>
            <w:pPr>
              <w:pStyle w:val="Tabla8"/>
              <w:jc w:val="left"/>
            </w:pPr>
            <w:r>
              <w:t xml:space="preserve">1</w:t>
            </w:r>
          </w:p>
        </w:tc>
        <w:tc>
          <w:tcPr/>
          <w:p>
            <w:pPr>
              <w:pStyle w:val="Tabla8"/>
              <w:jc w:val="left"/>
            </w:pPr>
            <w:r>
              <w:t xml:space="preserve">4</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Figura F4.7 reproduce «Plano MICMAC del escenario S2 con la potencia de referencia A^10».</w:t>
      </w:r>
    </w:p>
    <w:p>
      <w:pPr>
        <w:pStyle w:val="FiguraRotulo"/>
      </w:pPr>
      <w:bookmarkStart w:id="9480" w:name="rot_Figura_F4_7"/>
      <w:r>
        <w:rPr>
          <w:b/>
          <w:bCs/>
        </w:rPr>
        <w:t xml:space="preserve">Figura F4.7</w:t>
      </w:r>
      <w:bookmarkEnd w:id="9480"/>
    </w:p>
    <w:p>
      <w:pPr>
        <w:pStyle w:val="FiguraTitulo"/>
      </w:pPr>
      <w:r>
        <w:rPr>
          <w:i/>
          <w:iCs/>
        </w:rPr>
        <w:t xml:space="preserve">Plano MICMAC del escenario S2 con la potencia de referencia A^10</w:t>
      </w:r>
    </w:p>
    <w:p>
      <w:pPr>
        <w:pStyle w:val="BodyText"/>
      </w:pPr>
      <w:r>
        <w:drawing>
          <wp:inline>
            <wp:extent cx="5579999" cy="3472851"/>
            <wp:effectExtent b="0" l="0" r="0" t="0"/>
            <wp:docPr descr="" title="" id="186" name="Picture"/>
            <a:graphic>
              <a:graphicData uri="http://schemas.openxmlformats.org/drawingml/2006/picture">
                <pic:pic>
                  <pic:nvPicPr>
                    <pic:cNvPr descr="/tmp/claude-0/-home-user-docs/ddf38714-2a7e-502b-92b4-1008e2832422/scratchpad/proy/figs/out/cF4_micmac_s2.png" id="187" name="Picture"/>
                    <pic:cNvPicPr>
                      <a:picLocks noChangeArrowheads="1" noChangeAspect="1"/>
                    </pic:cNvPicPr>
                  </pic:nvPicPr>
                  <pic:blipFill>
                    <a:blip r:embed="rId185"/>
                    <a:stretch>
                      <a:fillRect/>
                    </a:stretch>
                  </pic:blipFill>
                  <pic:spPr bwMode="auto">
                    <a:xfrm>
                      <a:off x="0" y="0"/>
                      <a:ext cx="5579999" cy="34728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Influencia y dependencia indirectas calculadas con potencias exactas de la matriz hasta k = 10.</w:t>
      </w:r>
    </w:p>
    <w:p>
      <w:pPr>
        <w:pStyle w:val="BodyText"/>
      </w:pPr>
      <w:r>
        <w:rPr>
          <w:b/>
          <w:bCs/>
        </w:rPr>
        <w:t xml:space="preserve">Candidatas a variables ocultas en S2 (umbral de ascenso en influencia, como sensibilidad y no como prueba).</w:t>
      </w:r>
      <w:r>
        <w:t xml:space="preserve"> </w:t>
      </w:r>
      <w:r>
        <w:t xml:space="preserve">Umbral 2: V03, V05. Umbral 3: V03, V05. Umbral 4: ninguna.</w:t>
      </w:r>
    </w:p>
    <w:p>
      <w:pPr>
        <w:pStyle w:val="BodyText"/>
      </w:pPr>
      <w:r>
        <w:t xml:space="preserve">Descienden dos o más posiciones: V06 (-3,5), V15 (-2). Las candidatas V03 y V05 son exógenas o poco controlables: reciben poca influencia y alimentan cadenas largas. Su ascenso describe origen de recorridos, no una palanca de intervención.</w:t>
      </w:r>
    </w:p>
    <w:p>
      <w:pPr>
        <w:pStyle w:val="BodyText"/>
      </w:pPr>
      <w:r>
        <w:rPr>
          <w:b/>
          <w:bCs/>
        </w:rPr>
        <w:t xml:space="preserve">Cotejo de la iteración previa (S1) con el cálculo exacto.</w:t>
      </w:r>
      <w:r>
        <w:t xml:space="preserve"> </w:t>
      </w:r>
      <w:r>
        <w:t xml:space="preserve">El documento previo afirma tres cosas sobre la influencia indirecta. V05 cae al rango 12. V15 sube al rango 2. V14 sube al rango 6.</w:t>
      </w:r>
    </w:p>
    <w:p>
      <w:pPr>
        <w:pStyle w:val="BodyText"/>
      </w:pPr>
      <w:r>
        <w:t xml:space="preserve">La Tabla F4.45 reúne los datos de «Cotejo de la iteración previa (S1) con el cálculo exacto».</w:t>
      </w:r>
    </w:p>
    <w:p>
      <w:pPr>
        <w:pStyle w:val="TablaRotulo"/>
      </w:pPr>
      <w:bookmarkStart w:id="9122" w:name="rot_Tabla_F4_45"/>
      <w:r>
        <w:rPr>
          <w:b/>
          <w:bCs/>
        </w:rPr>
        <w:t xml:space="preserve">Tabla F4.45</w:t>
      </w:r>
      <w:bookmarkEnd w:id="9122"/>
    </w:p>
    <w:p>
      <w:pPr>
        <w:pStyle w:val="TablaTitulo"/>
      </w:pPr>
      <w:r>
        <w:rPr>
          <w:i/>
          <w:iCs/>
        </w:rPr>
        <w:t xml:space="preserve">Cotejo de la iteración previa (S1) con el cálculo exacto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24"/>
        <w:gridCol w:w="2904"/>
        <w:gridCol w:w="2442"/>
        <w:gridCol w:w="1650"/>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Rango I indirecto según el documento previo</w:t>
            </w:r>
          </w:p>
        </w:tc>
        <w:tc>
          <w:tcPr>
            <w:shd w:val="clear" w:color="auto" w:fill="00B050"/>
          </w:tcPr>
          <w:p>
            <w:pPr>
              <w:pStyle w:val="Tabla9"/>
              <w:jc w:val="center"/>
            </w:pPr>
            <w:r>
              <w:rPr>
                <w:b/>
                <w:color w:val="FFFFFF"/>
              </w:rPr>
              <w:t xml:space="preserve">Rango I indirecto exacto (A^10)</w:t>
            </w:r>
          </w:p>
        </w:tc>
        <w:tc>
          <w:tcPr>
            <w:shd w:val="clear" w:color="auto" w:fill="00B050"/>
          </w:tcPr>
          <w:p>
            <w:pPr>
              <w:pStyle w:val="Tabla9"/>
              <w:jc w:val="center"/>
            </w:pPr>
            <w:r>
              <w:rPr>
                <w:b/>
                <w:color w:val="FFFFFF"/>
              </w:rPr>
              <w:t xml:space="preserve">Coincide</w:t>
            </w:r>
          </w:p>
        </w:tc>
      </w:tr>
      <w:tr>
        <w:trPr>
          <w:cantSplit/>
        </w:trPr>
        <w:tc>
          <w:tcPr/>
          <w:p>
            <w:pPr>
              <w:pStyle w:val="Tabla9"/>
              <w:jc w:val="left"/>
            </w:pPr>
            <w:r>
              <w:t xml:space="preserve">V05</w:t>
            </w:r>
          </w:p>
        </w:tc>
        <w:tc>
          <w:tcPr/>
          <w:p>
            <w:pPr>
              <w:pStyle w:val="Tabla9"/>
              <w:jc w:val="left"/>
            </w:pPr>
            <w:r>
              <w:t xml:space="preserve">12</w:t>
            </w:r>
          </w:p>
        </w:tc>
        <w:tc>
          <w:tcPr/>
          <w:p>
            <w:pPr>
              <w:pStyle w:val="Tabla9"/>
              <w:jc w:val="left"/>
            </w:pPr>
            <w:r>
              <w:t xml:space="preserve">1</w:t>
            </w:r>
          </w:p>
        </w:tc>
        <w:tc>
          <w:tcPr/>
          <w:p>
            <w:pPr>
              <w:pStyle w:val="Tabla9"/>
              <w:jc w:val="left"/>
            </w:pPr>
            <w:r>
              <w:t xml:space="preserve">No</w:t>
            </w:r>
          </w:p>
        </w:tc>
      </w:tr>
      <w:tr>
        <w:trPr>
          <w:cantSplit/>
        </w:trPr>
        <w:tc>
          <w:tcPr/>
          <w:p>
            <w:pPr>
              <w:pStyle w:val="Tabla9"/>
              <w:jc w:val="left"/>
            </w:pPr>
            <w:r>
              <w:t xml:space="preserve">V15</w:t>
            </w:r>
          </w:p>
        </w:tc>
        <w:tc>
          <w:tcPr/>
          <w:p>
            <w:pPr>
              <w:pStyle w:val="Tabla9"/>
              <w:jc w:val="left"/>
            </w:pPr>
            <w:r>
              <w:t xml:space="preserve">2</w:t>
            </w:r>
          </w:p>
        </w:tc>
        <w:tc>
          <w:tcPr/>
          <w:p>
            <w:pPr>
              <w:pStyle w:val="Tabla9"/>
              <w:jc w:val="left"/>
            </w:pPr>
            <w:r>
              <w:t xml:space="preserve">6</w:t>
            </w:r>
          </w:p>
        </w:tc>
        <w:tc>
          <w:tcPr/>
          <w:p>
            <w:pPr>
              <w:pStyle w:val="Tabla9"/>
              <w:jc w:val="left"/>
            </w:pPr>
            <w:r>
              <w:t xml:space="preserve">No</w:t>
            </w:r>
          </w:p>
        </w:tc>
      </w:tr>
      <w:tr>
        <w:trPr>
          <w:cantSplit/>
        </w:trPr>
        <w:tc>
          <w:tcPr/>
          <w:p>
            <w:pPr>
              <w:pStyle w:val="Tabla9"/>
              <w:jc w:val="left"/>
            </w:pPr>
            <w:r>
              <w:t xml:space="preserve">V14</w:t>
            </w:r>
          </w:p>
        </w:tc>
        <w:tc>
          <w:tcPr/>
          <w:p>
            <w:pPr>
              <w:pStyle w:val="Tabla9"/>
              <w:jc w:val="left"/>
            </w:pPr>
            <w:r>
              <w:t xml:space="preserve">6</w:t>
            </w:r>
          </w:p>
        </w:tc>
        <w:tc>
          <w:tcPr/>
          <w:p>
            <w:pPr>
              <w:pStyle w:val="Tabla9"/>
              <w:jc w:val="left"/>
            </w:pPr>
            <w:r>
              <w:t xml:space="preserve">14</w:t>
            </w:r>
          </w:p>
        </w:tc>
        <w:tc>
          <w:tcPr/>
          <w:p>
            <w:pPr>
              <w:pStyle w:val="Tabla9"/>
              <w:jc w:val="left"/>
            </w:pPr>
            <w:r>
              <w:t xml:space="preserve">No</w:t>
            </w:r>
          </w:p>
        </w:tc>
      </w:tr>
      <w:tr>
        <w:trPr>
          <w:cantSplit/>
        </w:trPr>
        <w:tc>
          <w:tcPr/>
          <w:p>
            <w:pPr>
              <w:pStyle w:val="Tabla9"/>
              <w:jc w:val="left"/>
            </w:pPr>
            <w:r>
              <w:t xml:space="preserve">V06</w:t>
            </w:r>
          </w:p>
        </w:tc>
        <w:tc>
          <w:tcPr/>
          <w:p>
            <w:pPr>
              <w:pStyle w:val="Tabla9"/>
              <w:jc w:val="left"/>
            </w:pPr>
            <w:r>
              <w:t xml:space="preserve">4</w:t>
            </w:r>
          </w:p>
        </w:tc>
        <w:tc>
          <w:tcPr/>
          <w:p>
            <w:pPr>
              <w:pStyle w:val="Tabla9"/>
              <w:jc w:val="left"/>
            </w:pPr>
            <w:r>
              <w:t xml:space="preserve">4</w:t>
            </w:r>
          </w:p>
        </w:tc>
        <w:tc>
          <w:tcPr/>
          <w:p>
            <w:pPr>
              <w:pStyle w:val="Tabla9"/>
              <w:jc w:val="left"/>
            </w:pPr>
            <w:r>
              <w:t xml:space="preserve">Sí</w:t>
            </w:r>
          </w:p>
        </w:tc>
      </w:tr>
      <w:tr>
        <w:trPr>
          <w:cantSplit/>
        </w:trPr>
        <w:tc>
          <w:tcPr/>
          <w:p>
            <w:pPr>
              <w:pStyle w:val="Tabla9"/>
              <w:jc w:val="left"/>
            </w:pPr>
            <w:r>
              <w:t xml:space="preserve">V07</w:t>
            </w:r>
          </w:p>
        </w:tc>
        <w:tc>
          <w:tcPr/>
          <w:p>
            <w:pPr>
              <w:pStyle w:val="Tabla9"/>
              <w:jc w:val="left"/>
            </w:pPr>
            <w:r>
              <w:t xml:space="preserve">1</w:t>
            </w:r>
          </w:p>
        </w:tc>
        <w:tc>
          <w:tcPr/>
          <w:p>
            <w:pPr>
              <w:pStyle w:val="Tabla9"/>
              <w:jc w:val="left"/>
            </w:pPr>
            <w:r>
              <w:t xml:space="preserve">3</w:t>
            </w:r>
          </w:p>
        </w:tc>
        <w:tc>
          <w:tcPr/>
          <w:p>
            <w:pPr>
              <w:pStyle w:val="Tabla9"/>
              <w:jc w:val="left"/>
            </w:pPr>
            <w:r>
              <w:t xml:space="preserve">No</w:t>
            </w:r>
          </w:p>
        </w:tc>
      </w:tr>
      <w:tr>
        <w:trPr>
          <w:cantSplit/>
        </w:trPr>
        <w:tc>
          <w:tcPr/>
          <w:p>
            <w:pPr>
              <w:pStyle w:val="Tabla9"/>
              <w:jc w:val="left"/>
            </w:pPr>
            <w:r>
              <w:t xml:space="preserve">V03</w:t>
            </w:r>
          </w:p>
        </w:tc>
        <w:tc>
          <w:tcPr/>
          <w:p>
            <w:pPr>
              <w:pStyle w:val="Tabla9"/>
              <w:jc w:val="left"/>
            </w:pPr>
            <w:r>
              <w:t xml:space="preserve">13</w:t>
            </w:r>
          </w:p>
        </w:tc>
        <w:tc>
          <w:tcPr/>
          <w:p>
            <w:pPr>
              <w:pStyle w:val="Tabla9"/>
              <w:jc w:val="left"/>
            </w:pPr>
            <w:r>
              <w:t xml:space="preserve">2</w:t>
            </w:r>
          </w:p>
        </w:tc>
        <w:tc>
          <w:tcPr/>
          <w:p>
            <w:pPr>
              <w:pStyle w:val="Tabla9"/>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totales de potencias del documento previo tampoco son reproducibles.</w:t>
      </w:r>
    </w:p>
    <w:p>
      <w:pPr>
        <w:pStyle w:val="BodyText"/>
      </w:pPr>
      <w:r>
        <w:t xml:space="preserve">La Tabla F4.46 reúne los datos de «Plano indirecto, desplazamiento de rangos y variables ocultas».</w:t>
      </w:r>
    </w:p>
    <w:p>
      <w:pPr>
        <w:pStyle w:val="TablaRotulo"/>
      </w:pPr>
      <w:bookmarkStart w:id="9123" w:name="rot_Tabla_F4_46"/>
      <w:r>
        <w:rPr>
          <w:b/>
          <w:bCs/>
        </w:rPr>
        <w:t xml:space="preserve">Tabla F4.46</w:t>
      </w:r>
      <w:bookmarkEnd w:id="9123"/>
    </w:p>
    <w:p>
      <w:pPr>
        <w:pStyle w:val="TablaTitulo"/>
      </w:pPr>
      <w:r>
        <w:rPr>
          <w:i/>
          <w:iCs/>
        </w:rPr>
        <w:t xml:space="preserve">Plano indirecto, desplazamiento de rangos y variables ocultas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98"/>
        <w:gridCol w:w="332"/>
        <w:gridCol w:w="399"/>
        <w:gridCol w:w="598"/>
        <w:gridCol w:w="598"/>
        <w:gridCol w:w="665"/>
        <w:gridCol w:w="665"/>
        <w:gridCol w:w="798"/>
        <w:gridCol w:w="931"/>
        <w:gridCol w:w="931"/>
        <w:gridCol w:w="998"/>
      </w:tblGrid>
      <w:tr>
        <w:trPr>
          <w:cantSplit/>
          <w:tblHeader/>
        </w:trPr>
        <w:tc>
          <w:tcPr>
            <w:shd w:val="clear" w:color="auto" w:fill="00B050"/>
          </w:tcPr>
          <w:p>
            <w:pPr>
              <w:pStyle w:val="Tabla7"/>
              <w:jc w:val="center"/>
            </w:pPr>
            <w:r>
              <w:rPr>
                <w:b/>
                <w:color w:val="FFFFFF"/>
              </w:rPr>
              <w:t xml:space="preserve">k</w:t>
            </w:r>
          </w:p>
        </w:tc>
        <w:tc>
          <w:tcPr>
            <w:shd w:val="clear" w:color="auto" w:fill="00B050"/>
          </w:tcPr>
          <w:p>
            <w:pPr>
              <w:pStyle w:val="Tabla7"/>
              <w:jc w:val="center"/>
            </w:pPr>
            <w:r>
              <w:rPr>
                <w:b/>
                <w:color w:val="FFFFFF"/>
              </w:rPr>
              <w:t xml:space="preserve">1</w:t>
            </w:r>
          </w:p>
        </w:tc>
        <w:tc>
          <w:tcPr>
            <w:shd w:val="clear" w:color="auto" w:fill="00B050"/>
          </w:tcPr>
          <w:p>
            <w:pPr>
              <w:pStyle w:val="Tabla7"/>
              <w:jc w:val="center"/>
            </w:pPr>
            <w:r>
              <w:rPr>
                <w:b/>
                <w:color w:val="FFFFFF"/>
              </w:rPr>
              <w:t xml:space="preserve">2</w:t>
            </w:r>
          </w:p>
        </w:tc>
        <w:tc>
          <w:tcPr>
            <w:shd w:val="clear" w:color="auto" w:fill="00B050"/>
          </w:tcPr>
          <w:p>
            <w:pPr>
              <w:pStyle w:val="Tabla7"/>
              <w:jc w:val="center"/>
            </w:pPr>
            <w:r>
              <w:rPr>
                <w:b/>
                <w:color w:val="FFFFFF"/>
              </w:rPr>
              <w:t xml:space="preserve">3</w:t>
            </w:r>
          </w:p>
        </w:tc>
        <w:tc>
          <w:tcPr>
            <w:shd w:val="clear" w:color="auto" w:fill="00B050"/>
          </w:tcPr>
          <w:p>
            <w:pPr>
              <w:pStyle w:val="Tabla7"/>
              <w:jc w:val="center"/>
            </w:pPr>
            <w:r>
              <w:rPr>
                <w:b/>
                <w:color w:val="FFFFFF"/>
              </w:rPr>
              <w:t xml:space="preserve">4</w:t>
            </w:r>
          </w:p>
        </w:tc>
        <w:tc>
          <w:tcPr>
            <w:shd w:val="clear" w:color="auto" w:fill="00B050"/>
          </w:tcPr>
          <w:p>
            <w:pPr>
              <w:pStyle w:val="Tabla7"/>
              <w:jc w:val="center"/>
            </w:pPr>
            <w:r>
              <w:rPr>
                <w:b/>
                <w:color w:val="FFFFFF"/>
              </w:rPr>
              <w:t xml:space="preserve">5</w:t>
            </w:r>
          </w:p>
        </w:tc>
        <w:tc>
          <w:tcPr>
            <w:shd w:val="clear" w:color="auto" w:fill="00B050"/>
          </w:tcPr>
          <w:p>
            <w:pPr>
              <w:pStyle w:val="Tabla7"/>
              <w:jc w:val="center"/>
            </w:pPr>
            <w:r>
              <w:rPr>
                <w:b/>
                <w:color w:val="FFFFFF"/>
              </w:rPr>
              <w:t xml:space="preserve">6</w:t>
            </w:r>
          </w:p>
        </w:tc>
        <w:tc>
          <w:tcPr>
            <w:shd w:val="clear" w:color="auto" w:fill="00B050"/>
          </w:tcPr>
          <w:p>
            <w:pPr>
              <w:pStyle w:val="Tabla7"/>
              <w:jc w:val="center"/>
            </w:pPr>
            <w:r>
              <w:rPr>
                <w:b/>
                <w:color w:val="FFFFFF"/>
              </w:rPr>
              <w:t xml:space="preserve">7</w:t>
            </w:r>
          </w:p>
        </w:tc>
        <w:tc>
          <w:tcPr>
            <w:shd w:val="clear" w:color="auto" w:fill="00B050"/>
          </w:tcPr>
          <w:p>
            <w:pPr>
              <w:pStyle w:val="Tabla7"/>
              <w:jc w:val="center"/>
            </w:pPr>
            <w:r>
              <w:rPr>
                <w:b/>
                <w:color w:val="FFFFFF"/>
              </w:rPr>
              <w:t xml:space="preserve">8</w:t>
            </w:r>
          </w:p>
        </w:tc>
        <w:tc>
          <w:tcPr>
            <w:shd w:val="clear" w:color="auto" w:fill="00B050"/>
          </w:tcPr>
          <w:p>
            <w:pPr>
              <w:pStyle w:val="Tabla7"/>
              <w:jc w:val="center"/>
            </w:pPr>
            <w:r>
              <w:rPr>
                <w:b/>
                <w:color w:val="FFFFFF"/>
              </w:rPr>
              <w:t xml:space="preserve">9</w:t>
            </w:r>
          </w:p>
        </w:tc>
        <w:tc>
          <w:tcPr>
            <w:shd w:val="clear" w:color="auto" w:fill="00B050"/>
          </w:tcPr>
          <w:p>
            <w:pPr>
              <w:pStyle w:val="Tabla7"/>
              <w:jc w:val="center"/>
            </w:pPr>
            <w:r>
              <w:rPr>
                <w:b/>
                <w:color w:val="FFFFFF"/>
              </w:rPr>
              <w:t xml:space="preserve">10</w:t>
            </w:r>
          </w:p>
        </w:tc>
      </w:tr>
      <w:tr>
        <w:trPr>
          <w:cantSplit/>
        </w:trPr>
        <w:tc>
          <w:tcPr/>
          <w:p>
            <w:pPr>
              <w:pStyle w:val="Tabla7"/>
              <w:jc w:val="left"/>
            </w:pPr>
            <w:r>
              <w:t xml:space="preserve">Documento previo</w:t>
            </w:r>
          </w:p>
        </w:tc>
        <w:tc>
          <w:tcPr/>
          <w:p>
            <w:pPr>
              <w:pStyle w:val="Tabla7"/>
              <w:jc w:val="left"/>
            </w:pPr>
            <w:r>
              <w:t xml:space="preserve">67</w:t>
            </w:r>
          </w:p>
        </w:tc>
        <w:tc>
          <w:tcPr/>
          <w:p>
            <w:pPr>
              <w:pStyle w:val="Tabla7"/>
              <w:jc w:val="left"/>
            </w:pPr>
            <w:r>
              <w:t xml:space="preserve">129</w:t>
            </w:r>
          </w:p>
        </w:tc>
        <w:tc>
          <w:tcPr/>
          <w:p>
            <w:pPr>
              <w:pStyle w:val="Tabla7"/>
              <w:jc w:val="left"/>
            </w:pPr>
            <w:r>
              <w:t xml:space="preserve">258</w:t>
            </w:r>
          </w:p>
        </w:tc>
        <w:tc>
          <w:tcPr/>
          <w:p>
            <w:pPr>
              <w:pStyle w:val="Tabla7"/>
              <w:jc w:val="left"/>
            </w:pPr>
            <w:r>
              <w:t xml:space="preserve">561</w:t>
            </w:r>
          </w:p>
        </w:tc>
        <w:tc>
          <w:tcPr/>
          <w:p>
            <w:pPr>
              <w:pStyle w:val="Tabla7"/>
              <w:jc w:val="left"/>
            </w:pPr>
            <w:r>
              <w:t xml:space="preserve">1.257</w:t>
            </w:r>
          </w:p>
        </w:tc>
        <w:tc>
          <w:tcPr/>
          <w:p>
            <w:pPr>
              <w:pStyle w:val="Tabla7"/>
              <w:jc w:val="left"/>
            </w:pPr>
            <w:r>
              <w:t xml:space="preserve">2.894</w:t>
            </w:r>
          </w:p>
        </w:tc>
        <w:tc>
          <w:tcPr/>
          <w:p>
            <w:pPr>
              <w:pStyle w:val="Tabla7"/>
              <w:jc w:val="left"/>
            </w:pPr>
            <w:r>
              <w:t xml:space="preserve">6.574</w:t>
            </w:r>
          </w:p>
        </w:tc>
        <w:tc>
          <w:tcPr/>
          <w:p>
            <w:pPr>
              <w:pStyle w:val="Tabla7"/>
              <w:jc w:val="left"/>
            </w:pPr>
            <w:r>
              <w:t xml:space="preserve">15.195</w:t>
            </w:r>
          </w:p>
        </w:tc>
        <w:tc>
          <w:tcPr/>
          <w:p>
            <w:pPr>
              <w:pStyle w:val="Tabla7"/>
              <w:jc w:val="left"/>
            </w:pPr>
            <w:r>
              <w:t xml:space="preserve">35.539</w:t>
            </w:r>
          </w:p>
        </w:tc>
        <w:tc>
          <w:tcPr/>
          <w:p>
            <w:pPr>
              <w:pStyle w:val="Tabla7"/>
              <w:jc w:val="left"/>
            </w:pPr>
            <w:r>
              <w:t xml:space="preserve">82.529</w:t>
            </w:r>
          </w:p>
        </w:tc>
      </w:tr>
      <w:tr>
        <w:trPr>
          <w:cantSplit/>
        </w:trPr>
        <w:tc>
          <w:tcPr/>
          <w:p>
            <w:pPr>
              <w:pStyle w:val="Tabla7"/>
              <w:jc w:val="left"/>
            </w:pPr>
            <w:r>
              <w:t xml:space="preserve">Cálculo exacto</w:t>
            </w:r>
          </w:p>
        </w:tc>
        <w:tc>
          <w:tcPr/>
          <w:p>
            <w:pPr>
              <w:pStyle w:val="Tabla7"/>
              <w:jc w:val="left"/>
            </w:pPr>
            <w:r>
              <w:t xml:space="preserve">67</w:t>
            </w:r>
          </w:p>
        </w:tc>
        <w:tc>
          <w:tcPr/>
          <w:p>
            <w:pPr>
              <w:pStyle w:val="Tabla7"/>
              <w:jc w:val="left"/>
            </w:pPr>
            <w:r>
              <w:t xml:space="preserve">280</w:t>
            </w:r>
          </w:p>
        </w:tc>
        <w:tc>
          <w:tcPr/>
          <w:p>
            <w:pPr>
              <w:pStyle w:val="Tabla7"/>
              <w:jc w:val="left"/>
            </w:pPr>
            <w:r>
              <w:t xml:space="preserve">1.205</w:t>
            </w:r>
          </w:p>
        </w:tc>
        <w:tc>
          <w:tcPr/>
          <w:p>
            <w:pPr>
              <w:pStyle w:val="Tabla7"/>
              <w:jc w:val="left"/>
            </w:pPr>
            <w:r>
              <w:t xml:space="preserve">4.855</w:t>
            </w:r>
          </w:p>
        </w:tc>
        <w:tc>
          <w:tcPr/>
          <w:p>
            <w:pPr>
              <w:pStyle w:val="Tabla7"/>
              <w:jc w:val="left"/>
            </w:pPr>
            <w:r>
              <w:t xml:space="preserve">19.154</w:t>
            </w:r>
          </w:p>
        </w:tc>
        <w:tc>
          <w:tcPr/>
          <w:p>
            <w:pPr>
              <w:pStyle w:val="Tabla7"/>
              <w:jc w:val="left"/>
            </w:pPr>
            <w:r>
              <w:t xml:space="preserve">80.500</w:t>
            </w:r>
          </w:p>
        </w:tc>
        <w:tc>
          <w:tcPr/>
          <w:p>
            <w:pPr>
              <w:pStyle w:val="Tabla7"/>
              <w:jc w:val="left"/>
            </w:pPr>
            <w:r>
              <w:t xml:space="preserve">349.230</w:t>
            </w:r>
          </w:p>
        </w:tc>
        <w:tc>
          <w:tcPr/>
          <w:p>
            <w:pPr>
              <w:pStyle w:val="Tabla7"/>
              <w:jc w:val="left"/>
            </w:pPr>
            <w:r>
              <w:t xml:space="preserve">1.484.060</w:t>
            </w:r>
          </w:p>
        </w:tc>
        <w:tc>
          <w:tcPr/>
          <w:p>
            <w:pPr>
              <w:pStyle w:val="Tabla7"/>
              <w:jc w:val="left"/>
            </w:pPr>
            <w:r>
              <w:t xml:space="preserve">6.071.508</w:t>
            </w:r>
          </w:p>
        </w:tc>
        <w:tc>
          <w:tcPr/>
          <w:p>
            <w:pPr>
              <w:pStyle w:val="Tabla7"/>
              <w:jc w:val="left"/>
            </w:pPr>
            <w:r>
              <w:t xml:space="preserve">24.573.040</w:t>
            </w:r>
          </w:p>
        </w:tc>
      </w:tr>
    </w:tbl>
    <w:p>
      <w:pPr>
        <w:pStyle w:val="TablaNota"/>
      </w:pPr>
      <w:r>
        <w:rPr>
          <w:i/>
          <w:iCs/>
        </w:rPr>
        <w:t xml:space="preserve">Nota.</w:t>
      </w:r>
      <w:r>
        <w:t xml:space="preserve"> </w:t>
      </w:r>
      <w:r>
        <w:t xml:space="preserve">Elaboración propia con el expediente de la sección F4.4.</w:t>
      </w:r>
    </w:p>
    <w:p>
      <w:pPr>
        <w:pStyle w:val="BodyText"/>
      </w:pPr>
      <w:r>
        <w:t xml:space="preserve">Solo A¹ coincide. El rango de V05 resulta 1 y no 12; el de V03 resulta 2 y no 13. La narrativa del documento previo sobre la caída de las variables ambientales no resiste el cálculo.</w:t>
      </w:r>
    </w:p>
    <w:bookmarkEnd w:id="188"/>
    <w:bookmarkStart w:id="189" w:name="X31283ff0835c2b700c88ee16c16adab527c9689"/>
    <w:p>
      <w:pPr>
        <w:pStyle w:val="Heading3"/>
      </w:pPr>
      <w:r>
        <w:t xml:space="preserve">F4.4.13 Contraste directo-indirecto, escenarios, rutas explicativas y sensibilidad ordinal</w:t>
      </w:r>
    </w:p>
    <w:p>
      <w:pPr>
        <w:pStyle w:val="FirstParagraph"/>
      </w:pPr>
      <w:r>
        <w:rPr>
          <w:b/>
          <w:bCs/>
        </w:rPr>
        <w:t xml:space="preserve">Rango de influencia indirecta por escenario (potencia de referencia).</w:t>
      </w:r>
      <w:r>
        <w:t xml:space="preserve"> </w:t>
      </w:r>
      <w:r>
        <w:t xml:space="preserve">En S0 solo V07 tiene influencia positiva en A^6; los demás empatan en 8,5 y no hay ranking.</w:t>
      </w:r>
    </w:p>
    <w:p>
      <w:pPr>
        <w:pStyle w:val="BodyText"/>
      </w:pPr>
      <w:r>
        <w:t xml:space="preserve">La Tabla F4.47 reúne los datos de «Rango de influencia indirecta por escenario (potencia de referencia)».</w:t>
      </w:r>
    </w:p>
    <w:p>
      <w:pPr>
        <w:pStyle w:val="TablaRotulo"/>
      </w:pPr>
      <w:bookmarkStart w:id="9124" w:name="rot_Tabla_F4_47"/>
      <w:r>
        <w:rPr>
          <w:b/>
          <w:bCs/>
        </w:rPr>
        <w:t xml:space="preserve">Tabla F4.47</w:t>
      </w:r>
      <w:bookmarkEnd w:id="9124"/>
    </w:p>
    <w:p>
      <w:pPr>
        <w:pStyle w:val="TablaTitulo"/>
      </w:pPr>
      <w:r>
        <w:rPr>
          <w:i/>
          <w:iCs/>
        </w:rPr>
        <w:t xml:space="preserve">Rango de influencia indirecta por escenario (potencia de referencia)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52"/>
        <w:gridCol w:w="1386"/>
        <w:gridCol w:w="1188"/>
        <w:gridCol w:w="1188"/>
        <w:gridCol w:w="1518"/>
        <w:gridCol w:w="1188"/>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S0</w:t>
            </w:r>
          </w:p>
        </w:tc>
        <w:tc>
          <w:tcPr>
            <w:shd w:val="clear" w:color="auto" w:fill="00B050"/>
          </w:tcPr>
          <w:p>
            <w:pPr>
              <w:pStyle w:val="Tabla9"/>
              <w:jc w:val="center"/>
            </w:pPr>
            <w:r>
              <w:rPr>
                <w:b/>
                <w:color w:val="FFFFFF"/>
              </w:rPr>
              <w:t xml:space="preserve">S1</w:t>
            </w:r>
          </w:p>
        </w:tc>
        <w:tc>
          <w:tcPr>
            <w:shd w:val="clear" w:color="auto" w:fill="00B050"/>
          </w:tcPr>
          <w:p>
            <w:pPr>
              <w:pStyle w:val="Tabla9"/>
              <w:jc w:val="center"/>
            </w:pPr>
            <w:r>
              <w:rPr>
                <w:b/>
                <w:color w:val="FFFFFF"/>
              </w:rPr>
              <w:t xml:space="preserve">S2</w:t>
            </w:r>
          </w:p>
        </w:tc>
        <w:tc>
          <w:tcPr>
            <w:shd w:val="clear" w:color="auto" w:fill="00B050"/>
          </w:tcPr>
          <w:p>
            <w:pPr>
              <w:pStyle w:val="Tabla9"/>
              <w:jc w:val="center"/>
            </w:pPr>
            <w:r>
              <w:rPr>
                <w:b/>
                <w:color w:val="FFFFFF"/>
              </w:rPr>
              <w:t xml:space="preserve">S3</w:t>
            </w:r>
          </w:p>
        </w:tc>
        <w:tc>
          <w:tcPr>
            <w:shd w:val="clear" w:color="auto" w:fill="00B050"/>
          </w:tcPr>
          <w:p>
            <w:pPr>
              <w:pStyle w:val="Tabla9"/>
              <w:jc w:val="center"/>
            </w:pPr>
            <w:r>
              <w:rPr>
                <w:b/>
                <w:color w:val="FFFFFF"/>
              </w:rPr>
              <w:t xml:space="preserve">S4</w:t>
            </w:r>
          </w:p>
        </w:tc>
      </w:tr>
      <w:tr>
        <w:trPr>
          <w:cantSplit/>
        </w:trPr>
        <w:tc>
          <w:tcPr/>
          <w:p>
            <w:pPr>
              <w:pStyle w:val="Tabla9"/>
              <w:jc w:val="left"/>
            </w:pPr>
            <w:r>
              <w:t xml:space="preserve">V01</w:t>
            </w:r>
          </w:p>
        </w:tc>
        <w:tc>
          <w:tcPr/>
          <w:p>
            <w:pPr>
              <w:pStyle w:val="Tabla9"/>
              <w:jc w:val="left"/>
            </w:pPr>
            <w:r>
              <w:t xml:space="preserve">8,5</w:t>
            </w:r>
          </w:p>
        </w:tc>
        <w:tc>
          <w:tcPr/>
          <w:p>
            <w:pPr>
              <w:pStyle w:val="Tabla9"/>
              <w:jc w:val="left"/>
            </w:pPr>
            <w:r>
              <w:t xml:space="preserve">13</w:t>
            </w:r>
          </w:p>
        </w:tc>
        <w:tc>
          <w:tcPr/>
          <w:p>
            <w:pPr>
              <w:pStyle w:val="Tabla9"/>
              <w:jc w:val="left"/>
            </w:pPr>
            <w:r>
              <w:t xml:space="preserve">7</w:t>
            </w:r>
          </w:p>
        </w:tc>
        <w:tc>
          <w:tcPr/>
          <w:p>
            <w:pPr>
              <w:pStyle w:val="Tabla9"/>
              <w:jc w:val="left"/>
            </w:pPr>
            <w:r>
              <w:t xml:space="preserve">3</w:t>
            </w:r>
          </w:p>
        </w:tc>
        <w:tc>
          <w:tcPr/>
          <w:p>
            <w:pPr>
              <w:pStyle w:val="Tabla9"/>
              <w:jc w:val="left"/>
            </w:pPr>
            <w:r>
              <w:t xml:space="preserve">8</w:t>
            </w:r>
          </w:p>
        </w:tc>
      </w:tr>
      <w:tr>
        <w:trPr>
          <w:cantSplit/>
        </w:trPr>
        <w:tc>
          <w:tcPr/>
          <w:p>
            <w:pPr>
              <w:pStyle w:val="Tabla9"/>
              <w:jc w:val="left"/>
            </w:pPr>
            <w:r>
              <w:t xml:space="preserve">V02</w:t>
            </w:r>
          </w:p>
        </w:tc>
        <w:tc>
          <w:tcPr/>
          <w:p>
            <w:pPr>
              <w:pStyle w:val="Tabla9"/>
              <w:jc w:val="left"/>
            </w:pPr>
            <w:r>
              <w:t xml:space="preserve">8,5</w:t>
            </w:r>
          </w:p>
        </w:tc>
        <w:tc>
          <w:tcPr/>
          <w:p>
            <w:pPr>
              <w:pStyle w:val="Tabla9"/>
              <w:jc w:val="left"/>
            </w:pPr>
            <w:r>
              <w:t xml:space="preserve">9</w:t>
            </w:r>
          </w:p>
        </w:tc>
        <w:tc>
          <w:tcPr/>
          <w:p>
            <w:pPr>
              <w:pStyle w:val="Tabla9"/>
              <w:jc w:val="left"/>
            </w:pPr>
            <w:r>
              <w:t xml:space="preserve">4</w:t>
            </w:r>
          </w:p>
        </w:tc>
        <w:tc>
          <w:tcPr/>
          <w:p>
            <w:pPr>
              <w:pStyle w:val="Tabla9"/>
              <w:jc w:val="left"/>
            </w:pPr>
            <w:r>
              <w:t xml:space="preserve">5</w:t>
            </w:r>
          </w:p>
        </w:tc>
        <w:tc>
          <w:tcPr/>
          <w:p>
            <w:pPr>
              <w:pStyle w:val="Tabla9"/>
              <w:jc w:val="left"/>
            </w:pPr>
            <w:r>
              <w:t xml:space="preserve">7</w:t>
            </w:r>
          </w:p>
        </w:tc>
      </w:tr>
      <w:tr>
        <w:trPr>
          <w:cantSplit/>
        </w:trPr>
        <w:tc>
          <w:tcPr/>
          <w:p>
            <w:pPr>
              <w:pStyle w:val="Tabla9"/>
              <w:jc w:val="left"/>
            </w:pPr>
            <w:r>
              <w:t xml:space="preserve">V03</w:t>
            </w:r>
          </w:p>
        </w:tc>
        <w:tc>
          <w:tcPr/>
          <w:p>
            <w:pPr>
              <w:pStyle w:val="Tabla9"/>
              <w:jc w:val="left"/>
            </w:pPr>
            <w:r>
              <w:t xml:space="preserve">8,5</w:t>
            </w:r>
          </w:p>
        </w:tc>
        <w:tc>
          <w:tcPr/>
          <w:p>
            <w:pPr>
              <w:pStyle w:val="Tabla9"/>
              <w:jc w:val="left"/>
            </w:pPr>
            <w:r>
              <w:t xml:space="preserve">2</w:t>
            </w:r>
          </w:p>
        </w:tc>
        <w:tc>
          <w:tcPr/>
          <w:p>
            <w:pPr>
              <w:pStyle w:val="Tabla9"/>
              <w:jc w:val="left"/>
            </w:pPr>
            <w:r>
              <w:t xml:space="preserve">3</w:t>
            </w:r>
          </w:p>
        </w:tc>
        <w:tc>
          <w:tcPr/>
          <w:p>
            <w:pPr>
              <w:pStyle w:val="Tabla9"/>
              <w:jc w:val="left"/>
            </w:pPr>
            <w:r>
              <w:t xml:space="preserve">5</w:t>
            </w:r>
          </w:p>
        </w:tc>
        <w:tc>
          <w:tcPr/>
          <w:p>
            <w:pPr>
              <w:pStyle w:val="Tabla9"/>
              <w:jc w:val="left"/>
            </w:pPr>
            <w:r>
              <w:t xml:space="preserve">4</w:t>
            </w:r>
          </w:p>
        </w:tc>
      </w:tr>
      <w:tr>
        <w:trPr>
          <w:cantSplit/>
        </w:trPr>
        <w:tc>
          <w:tcPr/>
          <w:p>
            <w:pPr>
              <w:pStyle w:val="Tabla9"/>
              <w:jc w:val="left"/>
            </w:pPr>
            <w:r>
              <w:t xml:space="preserve">V04</w:t>
            </w:r>
          </w:p>
        </w:tc>
        <w:tc>
          <w:tcPr/>
          <w:p>
            <w:pPr>
              <w:pStyle w:val="Tabla9"/>
              <w:jc w:val="left"/>
            </w:pPr>
            <w:r>
              <w:t xml:space="preserve">8,5</w:t>
            </w:r>
          </w:p>
        </w:tc>
        <w:tc>
          <w:tcPr/>
          <w:p>
            <w:pPr>
              <w:pStyle w:val="Tabla9"/>
              <w:jc w:val="left"/>
            </w:pPr>
            <w:r>
              <w:t xml:space="preserve">7</w:t>
            </w:r>
          </w:p>
        </w:tc>
        <w:tc>
          <w:tcPr/>
          <w:p>
            <w:pPr>
              <w:pStyle w:val="Tabla9"/>
              <w:jc w:val="left"/>
            </w:pPr>
            <w:r>
              <w:t xml:space="preserve">2</w:t>
            </w:r>
          </w:p>
        </w:tc>
        <w:tc>
          <w:tcPr/>
          <w:p>
            <w:pPr>
              <w:pStyle w:val="Tabla9"/>
              <w:jc w:val="left"/>
            </w:pPr>
            <w:r>
              <w:t xml:space="preserve">2</w:t>
            </w:r>
          </w:p>
        </w:tc>
        <w:tc>
          <w:tcPr/>
          <w:p>
            <w:pPr>
              <w:pStyle w:val="Tabla9"/>
              <w:jc w:val="left"/>
            </w:pPr>
            <w:r>
              <w:t xml:space="preserve">1</w:t>
            </w:r>
          </w:p>
        </w:tc>
      </w:tr>
      <w:tr>
        <w:trPr>
          <w:cantSplit/>
        </w:trPr>
        <w:tc>
          <w:tcPr/>
          <w:p>
            <w:pPr>
              <w:pStyle w:val="Tabla9"/>
              <w:jc w:val="left"/>
            </w:pPr>
            <w:r>
              <w:t xml:space="preserve">V05</w:t>
            </w:r>
          </w:p>
        </w:tc>
        <w:tc>
          <w:tcPr/>
          <w:p>
            <w:pPr>
              <w:pStyle w:val="Tabla9"/>
              <w:jc w:val="left"/>
            </w:pPr>
            <w:r>
              <w:t xml:space="preserve">8,5</w:t>
            </w:r>
          </w:p>
        </w:tc>
        <w:tc>
          <w:tcPr/>
          <w:p>
            <w:pPr>
              <w:pStyle w:val="Tabla9"/>
              <w:jc w:val="left"/>
            </w:pPr>
            <w:r>
              <w:t xml:space="preserve">1</w:t>
            </w:r>
          </w:p>
        </w:tc>
        <w:tc>
          <w:tcPr/>
          <w:p>
            <w:pPr>
              <w:pStyle w:val="Tabla9"/>
              <w:jc w:val="left"/>
            </w:pPr>
            <w:r>
              <w:t xml:space="preserve">1</w:t>
            </w:r>
          </w:p>
        </w:tc>
        <w:tc>
          <w:tcPr/>
          <w:p>
            <w:pPr>
              <w:pStyle w:val="Tabla9"/>
              <w:jc w:val="left"/>
            </w:pPr>
            <w:r>
              <w:t xml:space="preserve">1</w:t>
            </w:r>
          </w:p>
        </w:tc>
        <w:tc>
          <w:tcPr/>
          <w:p>
            <w:pPr>
              <w:pStyle w:val="Tabla9"/>
              <w:jc w:val="left"/>
            </w:pPr>
            <w:r>
              <w:t xml:space="preserve">3</w:t>
            </w:r>
          </w:p>
        </w:tc>
      </w:tr>
      <w:tr>
        <w:trPr>
          <w:cantSplit/>
        </w:trPr>
        <w:tc>
          <w:tcPr/>
          <w:p>
            <w:pPr>
              <w:pStyle w:val="Tabla9"/>
              <w:jc w:val="left"/>
            </w:pPr>
            <w:r>
              <w:t xml:space="preserve">V06</w:t>
            </w:r>
          </w:p>
        </w:tc>
        <w:tc>
          <w:tcPr/>
          <w:p>
            <w:pPr>
              <w:pStyle w:val="Tabla9"/>
              <w:jc w:val="left"/>
            </w:pPr>
            <w:r>
              <w:t xml:space="preserve">8,5</w:t>
            </w:r>
          </w:p>
        </w:tc>
        <w:tc>
          <w:tcPr/>
          <w:p>
            <w:pPr>
              <w:pStyle w:val="Tabla9"/>
              <w:jc w:val="left"/>
            </w:pPr>
            <w:r>
              <w:t xml:space="preserve">4</w:t>
            </w:r>
          </w:p>
        </w:tc>
        <w:tc>
          <w:tcPr/>
          <w:p>
            <w:pPr>
              <w:pStyle w:val="Tabla9"/>
              <w:jc w:val="left"/>
            </w:pPr>
            <w:r>
              <w:t xml:space="preserve">5</w:t>
            </w:r>
          </w:p>
        </w:tc>
        <w:tc>
          <w:tcPr/>
          <w:p>
            <w:pPr>
              <w:pStyle w:val="Tabla9"/>
              <w:jc w:val="left"/>
            </w:pPr>
            <w:r>
              <w:t xml:space="preserve">7</w:t>
            </w:r>
          </w:p>
        </w:tc>
        <w:tc>
          <w:tcPr/>
          <w:p>
            <w:pPr>
              <w:pStyle w:val="Tabla9"/>
              <w:jc w:val="left"/>
            </w:pPr>
            <w:r>
              <w:t xml:space="preserve">2</w:t>
            </w:r>
          </w:p>
        </w:tc>
      </w:tr>
      <w:tr>
        <w:trPr>
          <w:cantSplit/>
        </w:trPr>
        <w:tc>
          <w:tcPr/>
          <w:p>
            <w:pPr>
              <w:pStyle w:val="Tabla9"/>
              <w:jc w:val="left"/>
            </w:pPr>
            <w:r>
              <w:t xml:space="preserve">V07</w:t>
            </w:r>
          </w:p>
        </w:tc>
        <w:tc>
          <w:tcPr/>
          <w:p>
            <w:pPr>
              <w:pStyle w:val="Tabla9"/>
              <w:jc w:val="left"/>
            </w:pPr>
            <w:r>
              <w:t xml:space="preserve">1</w:t>
            </w:r>
          </w:p>
        </w:tc>
        <w:tc>
          <w:tcPr/>
          <w:p>
            <w:pPr>
              <w:pStyle w:val="Tabla9"/>
              <w:jc w:val="left"/>
            </w:pPr>
            <w:r>
              <w:t xml:space="preserve">3</w:t>
            </w:r>
          </w:p>
        </w:tc>
        <w:tc>
          <w:tcPr/>
          <w:p>
            <w:pPr>
              <w:pStyle w:val="Tabla9"/>
              <w:jc w:val="left"/>
            </w:pPr>
            <w:r>
              <w:t xml:space="preserve">8</w:t>
            </w:r>
          </w:p>
        </w:tc>
        <w:tc>
          <w:tcPr/>
          <w:p>
            <w:pPr>
              <w:pStyle w:val="Tabla9"/>
              <w:jc w:val="left"/>
            </w:pPr>
            <w:r>
              <w:t xml:space="preserve">5</w:t>
            </w:r>
          </w:p>
        </w:tc>
        <w:tc>
          <w:tcPr/>
          <w:p>
            <w:pPr>
              <w:pStyle w:val="Tabla9"/>
              <w:jc w:val="left"/>
            </w:pPr>
            <w:r>
              <w:t xml:space="preserve">9</w:t>
            </w:r>
          </w:p>
        </w:tc>
      </w:tr>
      <w:tr>
        <w:trPr>
          <w:cantSplit/>
        </w:trPr>
        <w:tc>
          <w:tcPr/>
          <w:p>
            <w:pPr>
              <w:pStyle w:val="Tabla9"/>
              <w:jc w:val="left"/>
            </w:pPr>
            <w:r>
              <w:t xml:space="preserve">V08</w:t>
            </w:r>
          </w:p>
        </w:tc>
        <w:tc>
          <w:tcPr/>
          <w:p>
            <w:pPr>
              <w:pStyle w:val="Tabla9"/>
              <w:jc w:val="left"/>
            </w:pPr>
            <w:r>
              <w:t xml:space="preserve">8,5</w:t>
            </w:r>
          </w:p>
        </w:tc>
        <w:tc>
          <w:tcPr/>
          <w:p>
            <w:pPr>
              <w:pStyle w:val="Tabla9"/>
              <w:jc w:val="left"/>
            </w:pPr>
            <w:r>
              <w:t xml:space="preserve">12</w:t>
            </w:r>
          </w:p>
        </w:tc>
        <w:tc>
          <w:tcPr/>
          <w:p>
            <w:pPr>
              <w:pStyle w:val="Tabla9"/>
              <w:jc w:val="left"/>
            </w:pPr>
            <w:r>
              <w:t xml:space="preserve">15</w:t>
            </w:r>
          </w:p>
        </w:tc>
        <w:tc>
          <w:tcPr/>
          <w:p>
            <w:pPr>
              <w:pStyle w:val="Tabla9"/>
              <w:jc w:val="left"/>
            </w:pPr>
            <w:r>
              <w:t xml:space="preserve">8,5</w:t>
            </w:r>
          </w:p>
        </w:tc>
        <w:tc>
          <w:tcPr/>
          <w:p>
            <w:pPr>
              <w:pStyle w:val="Tabla9"/>
              <w:jc w:val="left"/>
            </w:pPr>
            <w:r>
              <w:t xml:space="preserve">12</w:t>
            </w:r>
          </w:p>
        </w:tc>
      </w:tr>
      <w:tr>
        <w:trPr>
          <w:cantSplit/>
        </w:trPr>
        <w:tc>
          <w:tcPr/>
          <w:p>
            <w:pPr>
              <w:pStyle w:val="Tabla9"/>
              <w:jc w:val="left"/>
            </w:pPr>
            <w:r>
              <w:t xml:space="preserve">V09</w:t>
            </w:r>
          </w:p>
        </w:tc>
        <w:tc>
          <w:tcPr/>
          <w:p>
            <w:pPr>
              <w:pStyle w:val="Tabla9"/>
              <w:jc w:val="left"/>
            </w:pPr>
            <w:r>
              <w:t xml:space="preserve">8,5</w:t>
            </w:r>
          </w:p>
        </w:tc>
        <w:tc>
          <w:tcPr/>
          <w:p>
            <w:pPr>
              <w:pStyle w:val="Tabla9"/>
              <w:jc w:val="left"/>
            </w:pPr>
            <w:r>
              <w:t xml:space="preserve">10</w:t>
            </w:r>
          </w:p>
        </w:tc>
        <w:tc>
          <w:tcPr/>
          <w:p>
            <w:pPr>
              <w:pStyle w:val="Tabla9"/>
              <w:jc w:val="left"/>
            </w:pPr>
            <w:r>
              <w:t xml:space="preserve">12</w:t>
            </w:r>
          </w:p>
        </w:tc>
        <w:tc>
          <w:tcPr/>
          <w:p>
            <w:pPr>
              <w:pStyle w:val="Tabla9"/>
              <w:jc w:val="left"/>
            </w:pPr>
            <w:r>
              <w:t xml:space="preserve">15</w:t>
            </w:r>
          </w:p>
        </w:tc>
        <w:tc>
          <w:tcPr/>
          <w:p>
            <w:pPr>
              <w:pStyle w:val="Tabla9"/>
              <w:jc w:val="left"/>
            </w:pPr>
            <w:r>
              <w:t xml:space="preserve">13</w:t>
            </w:r>
          </w:p>
        </w:tc>
      </w:tr>
      <w:tr>
        <w:trPr>
          <w:cantSplit/>
        </w:trPr>
        <w:tc>
          <w:tcPr/>
          <w:p>
            <w:pPr>
              <w:pStyle w:val="Tabla9"/>
              <w:jc w:val="left"/>
            </w:pPr>
            <w:r>
              <w:t xml:space="preserve">V10</w:t>
            </w:r>
          </w:p>
        </w:tc>
        <w:tc>
          <w:tcPr/>
          <w:p>
            <w:pPr>
              <w:pStyle w:val="Tabla9"/>
              <w:jc w:val="left"/>
            </w:pPr>
            <w:r>
              <w:t xml:space="preserve">8,5</w:t>
            </w:r>
          </w:p>
        </w:tc>
        <w:tc>
          <w:tcPr/>
          <w:p>
            <w:pPr>
              <w:pStyle w:val="Tabla9"/>
              <w:jc w:val="left"/>
            </w:pPr>
            <w:r>
              <w:t xml:space="preserve">5</w:t>
            </w:r>
          </w:p>
        </w:tc>
        <w:tc>
          <w:tcPr/>
          <w:p>
            <w:pPr>
              <w:pStyle w:val="Tabla9"/>
              <w:jc w:val="left"/>
            </w:pPr>
            <w:r>
              <w:t xml:space="preserve">9</w:t>
            </w:r>
          </w:p>
        </w:tc>
        <w:tc>
          <w:tcPr/>
          <w:p>
            <w:pPr>
              <w:pStyle w:val="Tabla9"/>
              <w:jc w:val="left"/>
            </w:pPr>
            <w:r>
              <w:t xml:space="preserve">8,5</w:t>
            </w:r>
          </w:p>
        </w:tc>
        <w:tc>
          <w:tcPr/>
          <w:p>
            <w:pPr>
              <w:pStyle w:val="Tabla9"/>
              <w:jc w:val="left"/>
            </w:pPr>
            <w:r>
              <w:t xml:space="preserve">6</w:t>
            </w:r>
          </w:p>
        </w:tc>
      </w:tr>
      <w:tr>
        <w:trPr>
          <w:cantSplit/>
        </w:trPr>
        <w:tc>
          <w:tcPr/>
          <w:p>
            <w:pPr>
              <w:pStyle w:val="Tabla9"/>
              <w:jc w:val="left"/>
            </w:pPr>
            <w:r>
              <w:t xml:space="preserve">V11</w:t>
            </w:r>
          </w:p>
        </w:tc>
        <w:tc>
          <w:tcPr/>
          <w:p>
            <w:pPr>
              <w:pStyle w:val="Tabla9"/>
              <w:jc w:val="left"/>
            </w:pPr>
            <w:r>
              <w:t xml:space="preserve">8,5</w:t>
            </w:r>
          </w:p>
        </w:tc>
        <w:tc>
          <w:tcPr/>
          <w:p>
            <w:pPr>
              <w:pStyle w:val="Tabla9"/>
              <w:jc w:val="left"/>
            </w:pPr>
            <w:r>
              <w:t xml:space="preserve">11</w:t>
            </w:r>
          </w:p>
        </w:tc>
        <w:tc>
          <w:tcPr/>
          <w:p>
            <w:pPr>
              <w:pStyle w:val="Tabla9"/>
              <w:jc w:val="left"/>
            </w:pPr>
            <w:r>
              <w:t xml:space="preserve">10</w:t>
            </w:r>
          </w:p>
        </w:tc>
        <w:tc>
          <w:tcPr/>
          <w:p>
            <w:pPr>
              <w:pStyle w:val="Tabla9"/>
              <w:jc w:val="left"/>
            </w:pPr>
            <w:r>
              <w:t xml:space="preserve">11,5</w:t>
            </w:r>
          </w:p>
        </w:tc>
        <w:tc>
          <w:tcPr/>
          <w:p>
            <w:pPr>
              <w:pStyle w:val="Tabla9"/>
              <w:jc w:val="left"/>
            </w:pPr>
            <w:r>
              <w:t xml:space="preserve">10</w:t>
            </w:r>
          </w:p>
        </w:tc>
      </w:tr>
      <w:tr>
        <w:trPr>
          <w:cantSplit/>
        </w:trPr>
        <w:tc>
          <w:tcPr/>
          <w:p>
            <w:pPr>
              <w:pStyle w:val="Tabla9"/>
              <w:jc w:val="left"/>
            </w:pPr>
            <w:r>
              <w:t xml:space="preserve">V12</w:t>
            </w:r>
          </w:p>
        </w:tc>
        <w:tc>
          <w:tcPr/>
          <w:p>
            <w:pPr>
              <w:pStyle w:val="Tabla9"/>
              <w:jc w:val="left"/>
            </w:pPr>
            <w:r>
              <w:t xml:space="preserve">8,5</w:t>
            </w:r>
          </w:p>
        </w:tc>
        <w:tc>
          <w:tcPr/>
          <w:p>
            <w:pPr>
              <w:pStyle w:val="Tabla9"/>
              <w:jc w:val="left"/>
            </w:pPr>
            <w:r>
              <w:t xml:space="preserve">8</w:t>
            </w:r>
          </w:p>
        </w:tc>
        <w:tc>
          <w:tcPr/>
          <w:p>
            <w:pPr>
              <w:pStyle w:val="Tabla9"/>
              <w:jc w:val="left"/>
            </w:pPr>
            <w:r>
              <w:t xml:space="preserve">11</w:t>
            </w:r>
          </w:p>
        </w:tc>
        <w:tc>
          <w:tcPr/>
          <w:p>
            <w:pPr>
              <w:pStyle w:val="Tabla9"/>
              <w:jc w:val="left"/>
            </w:pPr>
            <w:r>
              <w:t xml:space="preserve">11,5</w:t>
            </w:r>
          </w:p>
        </w:tc>
        <w:tc>
          <w:tcPr/>
          <w:p>
            <w:pPr>
              <w:pStyle w:val="Tabla9"/>
              <w:jc w:val="left"/>
            </w:pPr>
            <w:r>
              <w:t xml:space="preserve">11</w:t>
            </w:r>
          </w:p>
        </w:tc>
      </w:tr>
      <w:tr>
        <w:trPr>
          <w:cantSplit/>
        </w:trPr>
        <w:tc>
          <w:tcPr/>
          <w:p>
            <w:pPr>
              <w:pStyle w:val="Tabla9"/>
              <w:jc w:val="left"/>
            </w:pPr>
            <w:r>
              <w:t xml:space="preserve">V13</w:t>
            </w:r>
          </w:p>
        </w:tc>
        <w:tc>
          <w:tcPr/>
          <w:p>
            <w:pPr>
              <w:pStyle w:val="Tabla9"/>
              <w:jc w:val="left"/>
            </w:pPr>
            <w:r>
              <w:t xml:space="preserve">8,5</w:t>
            </w:r>
          </w:p>
        </w:tc>
        <w:tc>
          <w:tcPr/>
          <w:p>
            <w:pPr>
              <w:pStyle w:val="Tabla9"/>
              <w:jc w:val="left"/>
            </w:pPr>
            <w:r>
              <w:t xml:space="preserve">15</w:t>
            </w:r>
          </w:p>
        </w:tc>
        <w:tc>
          <w:tcPr/>
          <w:p>
            <w:pPr>
              <w:pStyle w:val="Tabla9"/>
              <w:jc w:val="left"/>
            </w:pPr>
            <w:r>
              <w:t xml:space="preserve">14</w:t>
            </w:r>
          </w:p>
        </w:tc>
        <w:tc>
          <w:tcPr/>
          <w:p>
            <w:pPr>
              <w:pStyle w:val="Tabla9"/>
              <w:jc w:val="left"/>
            </w:pPr>
            <w:r>
              <w:t xml:space="preserve">11,5</w:t>
            </w:r>
          </w:p>
        </w:tc>
        <w:tc>
          <w:tcPr/>
          <w:p>
            <w:pPr>
              <w:pStyle w:val="Tabla9"/>
              <w:jc w:val="left"/>
            </w:pPr>
            <w:r>
              <w:t xml:space="preserve">15</w:t>
            </w:r>
          </w:p>
        </w:tc>
      </w:tr>
      <w:tr>
        <w:trPr>
          <w:cantSplit/>
        </w:trPr>
        <w:tc>
          <w:tcPr/>
          <w:p>
            <w:pPr>
              <w:pStyle w:val="Tabla9"/>
              <w:jc w:val="left"/>
            </w:pPr>
            <w:r>
              <w:t xml:space="preserve">V14</w:t>
            </w:r>
          </w:p>
        </w:tc>
        <w:tc>
          <w:tcPr/>
          <w:p>
            <w:pPr>
              <w:pStyle w:val="Tabla9"/>
              <w:jc w:val="left"/>
            </w:pPr>
            <w:r>
              <w:t xml:space="preserve">8,5</w:t>
            </w:r>
          </w:p>
        </w:tc>
        <w:tc>
          <w:tcPr/>
          <w:p>
            <w:pPr>
              <w:pStyle w:val="Tabla9"/>
              <w:jc w:val="left"/>
            </w:pPr>
            <w:r>
              <w:t xml:space="preserve">14</w:t>
            </w:r>
          </w:p>
        </w:tc>
        <w:tc>
          <w:tcPr/>
          <w:p>
            <w:pPr>
              <w:pStyle w:val="Tabla9"/>
              <w:jc w:val="left"/>
            </w:pPr>
            <w:r>
              <w:t xml:space="preserve">13</w:t>
            </w:r>
          </w:p>
        </w:tc>
        <w:tc>
          <w:tcPr/>
          <w:p>
            <w:pPr>
              <w:pStyle w:val="Tabla9"/>
              <w:jc w:val="left"/>
            </w:pPr>
            <w:r>
              <w:t xml:space="preserve">11,5</w:t>
            </w:r>
          </w:p>
        </w:tc>
        <w:tc>
          <w:tcPr/>
          <w:p>
            <w:pPr>
              <w:pStyle w:val="Tabla9"/>
              <w:jc w:val="left"/>
            </w:pPr>
            <w:r>
              <w:t xml:space="preserve">14</w:t>
            </w:r>
          </w:p>
        </w:tc>
      </w:tr>
      <w:tr>
        <w:trPr>
          <w:cantSplit/>
        </w:trPr>
        <w:tc>
          <w:tcPr/>
          <w:p>
            <w:pPr>
              <w:pStyle w:val="Tabla9"/>
              <w:jc w:val="left"/>
            </w:pPr>
            <w:r>
              <w:t xml:space="preserve">V15</w:t>
            </w:r>
          </w:p>
        </w:tc>
        <w:tc>
          <w:tcPr/>
          <w:p>
            <w:pPr>
              <w:pStyle w:val="Tabla9"/>
              <w:jc w:val="left"/>
            </w:pPr>
            <w:r>
              <w:t xml:space="preserve">8,5</w:t>
            </w:r>
          </w:p>
        </w:tc>
        <w:tc>
          <w:tcPr/>
          <w:p>
            <w:pPr>
              <w:pStyle w:val="Tabla9"/>
              <w:jc w:val="left"/>
            </w:pPr>
            <w:r>
              <w:t xml:space="preserve">6</w:t>
            </w:r>
          </w:p>
        </w:tc>
        <w:tc>
          <w:tcPr/>
          <w:p>
            <w:pPr>
              <w:pStyle w:val="Tabla9"/>
              <w:jc w:val="left"/>
            </w:pPr>
            <w:r>
              <w:t xml:space="preserve">6</w:t>
            </w:r>
          </w:p>
        </w:tc>
        <w:tc>
          <w:tcPr/>
          <w:p>
            <w:pPr>
              <w:pStyle w:val="Tabla9"/>
              <w:jc w:val="left"/>
            </w:pPr>
            <w:r>
              <w:t xml:space="preserve">14</w:t>
            </w:r>
          </w:p>
        </w:tc>
        <w:tc>
          <w:tcPr/>
          <w:p>
            <w:pPr>
              <w:pStyle w:val="Tabla9"/>
              <w:jc w:val="left"/>
            </w:pPr>
            <w:r>
              <w:t xml:space="preserve">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Clase directa por mediana en los cinco escenarios.</w:t>
      </w:r>
    </w:p>
    <w:p>
      <w:pPr>
        <w:pStyle w:val="BodyText"/>
      </w:pPr>
      <w:r>
        <w:t xml:space="preserve">La Tabla F4.48 reúne los datos de «Clase directa por mediana en los cinco escenarios».</w:t>
      </w:r>
    </w:p>
    <w:p>
      <w:pPr>
        <w:pStyle w:val="TablaRotulo"/>
      </w:pPr>
      <w:bookmarkStart w:id="9125" w:name="rot_Tabla_F4_48"/>
      <w:r>
        <w:rPr>
          <w:b/>
          <w:bCs/>
        </w:rPr>
        <w:t xml:space="preserve">Tabla F4.48</w:t>
      </w:r>
      <w:bookmarkEnd w:id="9125"/>
    </w:p>
    <w:p>
      <w:pPr>
        <w:pStyle w:val="TablaTitulo"/>
      </w:pPr>
      <w:r>
        <w:rPr>
          <w:i/>
          <w:iCs/>
        </w:rPr>
        <w:t xml:space="preserve">Clase directa por mediana en los cinco escenarios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1"/>
        <w:gridCol w:w="1439"/>
        <w:gridCol w:w="1439"/>
        <w:gridCol w:w="1439"/>
        <w:gridCol w:w="1439"/>
        <w:gridCol w:w="1439"/>
        <w:gridCol w:w="458"/>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S0</w:t>
            </w:r>
          </w:p>
        </w:tc>
        <w:tc>
          <w:tcPr>
            <w:shd w:val="clear" w:color="auto" w:fill="00B050"/>
          </w:tcPr>
          <w:p>
            <w:pPr>
              <w:pStyle w:val="Tabla8"/>
              <w:jc w:val="center"/>
            </w:pPr>
            <w:r>
              <w:rPr>
                <w:b/>
                <w:color w:val="FFFFFF"/>
              </w:rPr>
              <w:t xml:space="preserve">S1</w:t>
            </w:r>
          </w:p>
        </w:tc>
        <w:tc>
          <w:tcPr>
            <w:shd w:val="clear" w:color="auto" w:fill="00B050"/>
          </w:tcPr>
          <w:p>
            <w:pPr>
              <w:pStyle w:val="Tabla8"/>
              <w:jc w:val="center"/>
            </w:pPr>
            <w:r>
              <w:rPr>
                <w:b/>
                <w:color w:val="FFFFFF"/>
              </w:rPr>
              <w:t xml:space="preserve">S2</w:t>
            </w:r>
          </w:p>
        </w:tc>
        <w:tc>
          <w:tcPr>
            <w:shd w:val="clear" w:color="auto" w:fill="00B050"/>
          </w:tcPr>
          <w:p>
            <w:pPr>
              <w:pStyle w:val="Tabla8"/>
              <w:jc w:val="center"/>
            </w:pPr>
            <w:r>
              <w:rPr>
                <w:b/>
                <w:color w:val="FFFFFF"/>
              </w:rPr>
              <w:t xml:space="preserve">S3</w:t>
            </w:r>
          </w:p>
        </w:tc>
        <w:tc>
          <w:tcPr>
            <w:shd w:val="clear" w:color="auto" w:fill="00B050"/>
          </w:tcPr>
          <w:p>
            <w:pPr>
              <w:pStyle w:val="Tabla8"/>
              <w:jc w:val="center"/>
            </w:pPr>
            <w:r>
              <w:rPr>
                <w:b/>
                <w:color w:val="FFFFFF"/>
              </w:rPr>
              <w:t xml:space="preserve">S4</w:t>
            </w:r>
          </w:p>
        </w:tc>
        <w:tc>
          <w:tcPr>
            <w:shd w:val="clear" w:color="auto" w:fill="00B050"/>
          </w:tcPr>
          <w:p>
            <w:pPr>
              <w:pStyle w:val="Tabla8"/>
              <w:jc w:val="center"/>
            </w:pPr>
            <w:r>
              <w:rPr>
                <w:b/>
                <w:color w:val="FFFFFF"/>
              </w:rPr>
              <w:t xml:space="preserve">Estable en las cinco</w:t>
            </w:r>
          </w:p>
        </w:tc>
      </w:tr>
      <w:tr>
        <w:trPr>
          <w:cantSplit/>
        </w:trPr>
        <w:tc>
          <w:tcPr/>
          <w:p>
            <w:pPr>
              <w:pStyle w:val="Tabla8"/>
              <w:jc w:val="left"/>
            </w:pPr>
            <w:r>
              <w:t xml:space="preserve">V01</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No</w:t>
            </w:r>
          </w:p>
        </w:tc>
      </w:tr>
      <w:tr>
        <w:trPr>
          <w:cantSplit/>
        </w:trPr>
        <w:tc>
          <w:tcPr/>
          <w:p>
            <w:pPr>
              <w:pStyle w:val="Tabla8"/>
              <w:jc w:val="left"/>
            </w:pPr>
            <w:r>
              <w:t xml:space="preserve">V02</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No</w:t>
            </w:r>
          </w:p>
        </w:tc>
      </w:tr>
      <w:tr>
        <w:trPr>
          <w:cantSplit/>
        </w:trPr>
        <w:tc>
          <w:tcPr/>
          <w:p>
            <w:pPr>
              <w:pStyle w:val="Tabla8"/>
              <w:jc w:val="left"/>
            </w:pPr>
            <w:r>
              <w:t xml:space="preserve">V03</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No</w:t>
            </w:r>
          </w:p>
        </w:tc>
      </w:tr>
      <w:tr>
        <w:trPr>
          <w:cantSplit/>
        </w:trPr>
        <w:tc>
          <w:tcPr/>
          <w:p>
            <w:pPr>
              <w:pStyle w:val="Tabla8"/>
              <w:jc w:val="left"/>
            </w:pPr>
            <w:r>
              <w:t xml:space="preserve">V04</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ACTIVA</w:t>
            </w:r>
          </w:p>
        </w:tc>
        <w:tc>
          <w:tcPr/>
          <w:p>
            <w:pPr>
              <w:pStyle w:val="Tabla8"/>
              <w:jc w:val="left"/>
            </w:pPr>
            <w:r>
              <w:t xml:space="preserve">No</w:t>
            </w:r>
          </w:p>
        </w:tc>
      </w:tr>
      <w:tr>
        <w:trPr>
          <w:cantSplit/>
        </w:trPr>
        <w:tc>
          <w:tcPr/>
          <w:p>
            <w:pPr>
              <w:pStyle w:val="Tabla8"/>
              <w:jc w:val="left"/>
            </w:pPr>
            <w:r>
              <w:t xml:space="preserve">V05</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Sí</w:t>
            </w:r>
          </w:p>
        </w:tc>
      </w:tr>
      <w:tr>
        <w:trPr>
          <w:cantSplit/>
        </w:trPr>
        <w:tc>
          <w:tcPr/>
          <w:p>
            <w:pPr>
              <w:pStyle w:val="Tabla8"/>
              <w:jc w:val="left"/>
            </w:pPr>
            <w:r>
              <w:t xml:space="preserve">V06</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Sí</w:t>
            </w:r>
          </w:p>
        </w:tc>
      </w:tr>
      <w:tr>
        <w:trPr>
          <w:cantSplit/>
        </w:trPr>
        <w:tc>
          <w:tcPr/>
          <w:p>
            <w:pPr>
              <w:pStyle w:val="Tabla8"/>
              <w:jc w:val="left"/>
            </w:pPr>
            <w:r>
              <w:t xml:space="preserve">V07</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No</w:t>
            </w:r>
          </w:p>
        </w:tc>
      </w:tr>
      <w:tr>
        <w:trPr>
          <w:cantSplit/>
        </w:trPr>
        <w:tc>
          <w:tcPr/>
          <w:p>
            <w:pPr>
              <w:pStyle w:val="Tabla8"/>
              <w:jc w:val="left"/>
            </w:pPr>
            <w:r>
              <w:t xml:space="preserve">V08</w:t>
            </w:r>
          </w:p>
        </w:tc>
        <w:tc>
          <w:tcPr/>
          <w:p>
            <w:pPr>
              <w:pStyle w:val="Tabla8"/>
              <w:jc w:val="left"/>
            </w:pPr>
            <w:r>
              <w:t xml:space="preserve">AUTONOMA_RELATIVA</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FRONTERA</w:t>
            </w:r>
          </w:p>
        </w:tc>
        <w:tc>
          <w:tcPr/>
          <w:p>
            <w:pPr>
              <w:pStyle w:val="Tabla8"/>
              <w:jc w:val="left"/>
            </w:pPr>
            <w:r>
              <w:t xml:space="preserve">No</w:t>
            </w:r>
          </w:p>
        </w:tc>
      </w:tr>
      <w:tr>
        <w:trPr>
          <w:cantSplit/>
        </w:trPr>
        <w:tc>
          <w:tcPr/>
          <w:p>
            <w:pPr>
              <w:pStyle w:val="Tabla8"/>
              <w:jc w:val="left"/>
            </w:pPr>
            <w:r>
              <w:t xml:space="preserve">V09</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No</w:t>
            </w:r>
          </w:p>
        </w:tc>
      </w:tr>
      <w:tr>
        <w:trPr>
          <w:cantSplit/>
        </w:trPr>
        <w:tc>
          <w:tcPr/>
          <w:p>
            <w:pPr>
              <w:pStyle w:val="Tabla8"/>
              <w:jc w:val="left"/>
            </w:pPr>
            <w:r>
              <w:t xml:space="preserve">V10</w:t>
            </w:r>
          </w:p>
        </w:tc>
        <w:tc>
          <w:tcPr/>
          <w:p>
            <w:pPr>
              <w:pStyle w:val="Tabla8"/>
              <w:jc w:val="left"/>
            </w:pPr>
            <w:r>
              <w:t xml:space="preserve">FRONTERA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ACTIVA</w:t>
            </w:r>
          </w:p>
        </w:tc>
        <w:tc>
          <w:tcPr/>
          <w:p>
            <w:pPr>
              <w:pStyle w:val="Tabla8"/>
              <w:jc w:val="left"/>
            </w:pPr>
            <w:r>
              <w:t xml:space="preserve">No</w:t>
            </w:r>
          </w:p>
        </w:tc>
      </w:tr>
      <w:tr>
        <w:trPr>
          <w:cantSplit/>
        </w:trPr>
        <w:tc>
          <w:tcPr/>
          <w:p>
            <w:pPr>
              <w:pStyle w:val="Tabla8"/>
              <w:jc w:val="left"/>
            </w:pPr>
            <w:r>
              <w:t xml:space="preserve">V11</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No</w:t>
            </w:r>
          </w:p>
        </w:tc>
      </w:tr>
      <w:tr>
        <w:trPr>
          <w:cantSplit/>
        </w:trPr>
        <w:tc>
          <w:tcPr/>
          <w:p>
            <w:pPr>
              <w:pStyle w:val="Tabla8"/>
              <w:jc w:val="left"/>
            </w:pPr>
            <w:r>
              <w:t xml:space="preserve">V12</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No</w:t>
            </w:r>
          </w:p>
        </w:tc>
      </w:tr>
      <w:tr>
        <w:trPr>
          <w:cantSplit/>
        </w:trPr>
        <w:tc>
          <w:tcPr/>
          <w:p>
            <w:pPr>
              <w:pStyle w:val="Tabla8"/>
              <w:jc w:val="left"/>
            </w:pPr>
            <w:r>
              <w:t xml:space="preserve">V13</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No</w:t>
            </w:r>
          </w:p>
        </w:tc>
      </w:tr>
      <w:tr>
        <w:trPr>
          <w:cantSplit/>
        </w:trPr>
        <w:tc>
          <w:tcPr/>
          <w:p>
            <w:pPr>
              <w:pStyle w:val="Tabla8"/>
              <w:jc w:val="left"/>
            </w:pPr>
            <w:r>
              <w:t xml:space="preserve">V14</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Sí</w:t>
            </w:r>
          </w:p>
        </w:tc>
      </w:tr>
      <w:tr>
        <w:trPr>
          <w:cantSplit/>
        </w:trPr>
        <w:tc>
          <w:tcPr/>
          <w:p>
            <w:pPr>
              <w:pStyle w:val="Tabla8"/>
              <w:jc w:val="left"/>
            </w:pPr>
            <w:r>
              <w:t xml:space="preserve">V15</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clase directa permanece idéntica en los cinco escenarios solo para V05, V06, V14. Las demás variables cambian de clase al variar los juicios, lo que limita cualquier afirmación de rol firme.</w:t>
      </w:r>
    </w:p>
    <w:p>
      <w:pPr>
        <w:pStyle w:val="BodyText"/>
      </w:pPr>
      <w:r>
        <w:rPr>
          <w:b/>
          <w:bCs/>
        </w:rPr>
        <w:t xml:space="preserve">Sensibilidad ordinal en S2.</w:t>
      </w:r>
      <w:r>
        <w:t xml:space="preserve"> </w:t>
      </w:r>
      <w:r>
        <w:t xml:space="preserve">Se recodificó la escala con [0,1,2,3], [0,1,3,5] y [0,1,2,4]. La recodificación prueba la robustez de una escala ordinal; no aporta evidencia del territorio.</w:t>
      </w:r>
    </w:p>
    <w:p>
      <w:pPr>
        <w:pStyle w:val="BodyText"/>
      </w:pPr>
      <w:r>
        <w:t xml:space="preserve">La Tabla F4.49 reúne los datos de «Sensibilidad ordinal en S2».</w:t>
      </w:r>
    </w:p>
    <w:p>
      <w:pPr>
        <w:pStyle w:val="TablaRotulo"/>
      </w:pPr>
      <w:bookmarkStart w:id="9126" w:name="rot_Tabla_F4_49"/>
      <w:r>
        <w:rPr>
          <w:b/>
          <w:bCs/>
        </w:rPr>
        <w:t xml:space="preserve">Tabla F4.49</w:t>
      </w:r>
      <w:bookmarkEnd w:id="9126"/>
    </w:p>
    <w:p>
      <w:pPr>
        <w:pStyle w:val="TablaTitulo"/>
      </w:pPr>
      <w:r>
        <w:rPr>
          <w:i/>
          <w:iCs/>
        </w:rPr>
        <w:t xml:space="preserve">Sensibilidad ordinal en S2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96"/>
        <w:gridCol w:w="1980"/>
        <w:gridCol w:w="1980"/>
        <w:gridCol w:w="1980"/>
        <w:gridCol w:w="528"/>
        <w:gridCol w:w="528"/>
        <w:gridCol w:w="528"/>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Clase [0, 1, 2, 3]</w:t>
            </w:r>
          </w:p>
        </w:tc>
        <w:tc>
          <w:tcPr>
            <w:shd w:val="clear" w:color="auto" w:fill="00B050"/>
          </w:tcPr>
          <w:p>
            <w:pPr>
              <w:pStyle w:val="Tabla8"/>
              <w:jc w:val="center"/>
            </w:pPr>
            <w:r>
              <w:rPr>
                <w:b/>
                <w:color w:val="FFFFFF"/>
              </w:rPr>
              <w:t xml:space="preserve">Clase [0, 1, 3, 5]</w:t>
            </w:r>
          </w:p>
        </w:tc>
        <w:tc>
          <w:tcPr>
            <w:shd w:val="clear" w:color="auto" w:fill="00B050"/>
          </w:tcPr>
          <w:p>
            <w:pPr>
              <w:pStyle w:val="Tabla8"/>
              <w:jc w:val="center"/>
            </w:pPr>
            <w:r>
              <w:rPr>
                <w:b/>
                <w:color w:val="FFFFFF"/>
              </w:rPr>
              <w:t xml:space="preserve">Clase [0, 1, 2, 4]</w:t>
            </w:r>
          </w:p>
        </w:tc>
        <w:tc>
          <w:tcPr>
            <w:shd w:val="clear" w:color="auto" w:fill="00B050"/>
          </w:tcPr>
          <w:p>
            <w:pPr>
              <w:pStyle w:val="Tabla8"/>
              <w:jc w:val="center"/>
            </w:pPr>
            <w:r>
              <w:rPr>
                <w:b/>
                <w:color w:val="FFFFFF"/>
              </w:rPr>
              <w:t xml:space="preserve">Rango I A^10 [0, 1, 2, 3]</w:t>
            </w:r>
          </w:p>
        </w:tc>
        <w:tc>
          <w:tcPr>
            <w:shd w:val="clear" w:color="auto" w:fill="00B050"/>
          </w:tcPr>
          <w:p>
            <w:pPr>
              <w:pStyle w:val="Tabla8"/>
              <w:jc w:val="center"/>
            </w:pPr>
            <w:r>
              <w:rPr>
                <w:b/>
                <w:color w:val="FFFFFF"/>
              </w:rPr>
              <w:t xml:space="preserve">Rango I A^10 [0, 1, 3, 5]</w:t>
            </w:r>
          </w:p>
        </w:tc>
        <w:tc>
          <w:tcPr>
            <w:shd w:val="clear" w:color="auto" w:fill="00B050"/>
          </w:tcPr>
          <w:p>
            <w:pPr>
              <w:pStyle w:val="Tabla8"/>
              <w:jc w:val="center"/>
            </w:pPr>
            <w:r>
              <w:rPr>
                <w:b/>
                <w:color w:val="FFFFFF"/>
              </w:rPr>
              <w:t xml:space="preserve">Rango I A^10 [0, 1, 2, 4]</w:t>
            </w:r>
          </w:p>
        </w:tc>
      </w:tr>
      <w:tr>
        <w:trPr>
          <w:cantSplit/>
        </w:trPr>
        <w:tc>
          <w:tcPr/>
          <w:p>
            <w:pPr>
              <w:pStyle w:val="Tabla8"/>
              <w:jc w:val="left"/>
            </w:pPr>
            <w:r>
              <w:t xml:space="preserve">V01</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7</w:t>
            </w:r>
          </w:p>
        </w:tc>
        <w:tc>
          <w:tcPr/>
          <w:p>
            <w:pPr>
              <w:pStyle w:val="Tabla8"/>
              <w:jc w:val="left"/>
            </w:pPr>
            <w:r>
              <w:t xml:space="preserve">6</w:t>
            </w:r>
          </w:p>
        </w:tc>
        <w:tc>
          <w:tcPr/>
          <w:p>
            <w:pPr>
              <w:pStyle w:val="Tabla8"/>
              <w:jc w:val="left"/>
            </w:pPr>
            <w:r>
              <w:t xml:space="preserve">8</w:t>
            </w:r>
          </w:p>
        </w:tc>
      </w:tr>
      <w:tr>
        <w:trPr>
          <w:cantSplit/>
        </w:trPr>
        <w:tc>
          <w:tcPr/>
          <w:p>
            <w:pPr>
              <w:pStyle w:val="Tabla8"/>
              <w:jc w:val="left"/>
            </w:pPr>
            <w:r>
              <w:t xml:space="preserve">V02</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4</w:t>
            </w:r>
          </w:p>
        </w:tc>
        <w:tc>
          <w:tcPr/>
          <w:p>
            <w:pPr>
              <w:pStyle w:val="Tabla8"/>
              <w:jc w:val="left"/>
            </w:pPr>
            <w:r>
              <w:t xml:space="preserve">4</w:t>
            </w:r>
          </w:p>
        </w:tc>
        <w:tc>
          <w:tcPr/>
          <w:p>
            <w:pPr>
              <w:pStyle w:val="Tabla8"/>
              <w:jc w:val="left"/>
            </w:pPr>
            <w:r>
              <w:t xml:space="preserve">3</w:t>
            </w:r>
          </w:p>
        </w:tc>
      </w:tr>
      <w:tr>
        <w:trPr>
          <w:cantSplit/>
        </w:trPr>
        <w:tc>
          <w:tcPr/>
          <w:p>
            <w:pPr>
              <w:pStyle w:val="Tabla8"/>
              <w:jc w:val="left"/>
            </w:pPr>
            <w:r>
              <w:t xml:space="preserve">V03</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r>
      <w:tr>
        <w:trPr>
          <w:cantSplit/>
        </w:trPr>
        <w:tc>
          <w:tcPr/>
          <w:p>
            <w:pPr>
              <w:pStyle w:val="Tabla8"/>
              <w:jc w:val="left"/>
            </w:pPr>
            <w:r>
              <w:t xml:space="preserve">V04</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2</w:t>
            </w:r>
          </w:p>
        </w:tc>
        <w:tc>
          <w:tcPr/>
          <w:p>
            <w:pPr>
              <w:pStyle w:val="Tabla8"/>
              <w:jc w:val="left"/>
            </w:pPr>
            <w:r>
              <w:t xml:space="preserve">2</w:t>
            </w:r>
          </w:p>
        </w:tc>
        <w:tc>
          <w:tcPr/>
          <w:p>
            <w:pPr>
              <w:pStyle w:val="Tabla8"/>
              <w:jc w:val="left"/>
            </w:pPr>
            <w:r>
              <w:t xml:space="preserve">4</w:t>
            </w:r>
          </w:p>
        </w:tc>
      </w:tr>
      <w:tr>
        <w:trPr>
          <w:cantSplit/>
        </w:trPr>
        <w:tc>
          <w:tcPr/>
          <w:p>
            <w:pPr>
              <w:pStyle w:val="Tabla8"/>
              <w:jc w:val="left"/>
            </w:pPr>
            <w:r>
              <w:t xml:space="preserve">V05</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1</w:t>
            </w:r>
          </w:p>
        </w:tc>
        <w:tc>
          <w:tcPr/>
          <w:p>
            <w:pPr>
              <w:pStyle w:val="Tabla8"/>
              <w:jc w:val="left"/>
            </w:pPr>
            <w:r>
              <w:t xml:space="preserve">1</w:t>
            </w:r>
          </w:p>
        </w:tc>
        <w:tc>
          <w:tcPr/>
          <w:p>
            <w:pPr>
              <w:pStyle w:val="Tabla8"/>
              <w:jc w:val="left"/>
            </w:pPr>
            <w:r>
              <w:t xml:space="preserve">1</w:t>
            </w:r>
          </w:p>
        </w:tc>
      </w:tr>
      <w:tr>
        <w:trPr>
          <w:cantSplit/>
        </w:trPr>
        <w:tc>
          <w:tcPr/>
          <w:p>
            <w:pPr>
              <w:pStyle w:val="Tabla8"/>
              <w:jc w:val="left"/>
            </w:pPr>
            <w:r>
              <w:t xml:space="preserve">V06</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5</w:t>
            </w:r>
          </w:p>
        </w:tc>
        <w:tc>
          <w:tcPr/>
          <w:p>
            <w:pPr>
              <w:pStyle w:val="Tabla8"/>
              <w:jc w:val="left"/>
            </w:pPr>
            <w:r>
              <w:t xml:space="preserve">5</w:t>
            </w:r>
          </w:p>
        </w:tc>
        <w:tc>
          <w:tcPr/>
          <w:p>
            <w:pPr>
              <w:pStyle w:val="Tabla8"/>
              <w:jc w:val="left"/>
            </w:pPr>
            <w:r>
              <w:t xml:space="preserve">5</w:t>
            </w:r>
          </w:p>
        </w:tc>
      </w:tr>
      <w:tr>
        <w:trPr>
          <w:cantSplit/>
        </w:trPr>
        <w:tc>
          <w:tcPr/>
          <w:p>
            <w:pPr>
              <w:pStyle w:val="Tabla8"/>
              <w:jc w:val="left"/>
            </w:pPr>
            <w:r>
              <w:t xml:space="preserve">V07</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8</w:t>
            </w:r>
          </w:p>
        </w:tc>
        <w:tc>
          <w:tcPr/>
          <w:p>
            <w:pPr>
              <w:pStyle w:val="Tabla8"/>
              <w:jc w:val="left"/>
            </w:pPr>
            <w:r>
              <w:t xml:space="preserve">8</w:t>
            </w:r>
          </w:p>
        </w:tc>
        <w:tc>
          <w:tcPr/>
          <w:p>
            <w:pPr>
              <w:pStyle w:val="Tabla8"/>
              <w:jc w:val="left"/>
            </w:pPr>
            <w:r>
              <w:t xml:space="preserve">6</w:t>
            </w:r>
          </w:p>
        </w:tc>
      </w:tr>
      <w:tr>
        <w:trPr>
          <w:cantSplit/>
        </w:trPr>
        <w:tc>
          <w:tcPr/>
          <w:p>
            <w:pPr>
              <w:pStyle w:val="Tabla8"/>
              <w:jc w:val="left"/>
            </w:pPr>
            <w:r>
              <w:t xml:space="preserve">V08</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15</w:t>
            </w:r>
          </w:p>
        </w:tc>
        <w:tc>
          <w:tcPr/>
          <w:p>
            <w:pPr>
              <w:pStyle w:val="Tabla8"/>
              <w:jc w:val="left"/>
            </w:pPr>
            <w:r>
              <w:t xml:space="preserve">15</w:t>
            </w:r>
          </w:p>
        </w:tc>
        <w:tc>
          <w:tcPr/>
          <w:p>
            <w:pPr>
              <w:pStyle w:val="Tabla8"/>
              <w:jc w:val="left"/>
            </w:pPr>
            <w:r>
              <w:t xml:space="preserve">15</w:t>
            </w:r>
          </w:p>
        </w:tc>
      </w:tr>
      <w:tr>
        <w:trPr>
          <w:cantSplit/>
        </w:trPr>
        <w:tc>
          <w:tcPr/>
          <w:p>
            <w:pPr>
              <w:pStyle w:val="Tabla8"/>
              <w:jc w:val="left"/>
            </w:pPr>
            <w:r>
              <w:t xml:space="preserve">V09</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12</w:t>
            </w:r>
          </w:p>
        </w:tc>
        <w:tc>
          <w:tcPr/>
          <w:p>
            <w:pPr>
              <w:pStyle w:val="Tabla8"/>
              <w:jc w:val="left"/>
            </w:pPr>
            <w:r>
              <w:t xml:space="preserve">11</w:t>
            </w:r>
          </w:p>
        </w:tc>
        <w:tc>
          <w:tcPr/>
          <w:p>
            <w:pPr>
              <w:pStyle w:val="Tabla8"/>
              <w:jc w:val="left"/>
            </w:pPr>
            <w:r>
              <w:t xml:space="preserve">9</w:t>
            </w:r>
          </w:p>
        </w:tc>
      </w:tr>
      <w:tr>
        <w:trPr>
          <w:cantSplit/>
        </w:trPr>
        <w:tc>
          <w:tcPr/>
          <w:p>
            <w:pPr>
              <w:pStyle w:val="Tabla8"/>
              <w:jc w:val="left"/>
            </w:pPr>
            <w:r>
              <w:t xml:space="preserve">V10</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FRONTERA</w:t>
            </w:r>
          </w:p>
        </w:tc>
        <w:tc>
          <w:tcPr/>
          <w:p>
            <w:pPr>
              <w:pStyle w:val="Tabla8"/>
              <w:jc w:val="left"/>
            </w:pPr>
            <w:r>
              <w:t xml:space="preserve">9</w:t>
            </w:r>
          </w:p>
        </w:tc>
        <w:tc>
          <w:tcPr/>
          <w:p>
            <w:pPr>
              <w:pStyle w:val="Tabla8"/>
              <w:jc w:val="left"/>
            </w:pPr>
            <w:r>
              <w:t xml:space="preserve">12</w:t>
            </w:r>
          </w:p>
        </w:tc>
        <w:tc>
          <w:tcPr/>
          <w:p>
            <w:pPr>
              <w:pStyle w:val="Tabla8"/>
              <w:jc w:val="left"/>
            </w:pPr>
            <w:r>
              <w:t xml:space="preserve">10</w:t>
            </w:r>
          </w:p>
        </w:tc>
      </w:tr>
      <w:tr>
        <w:trPr>
          <w:cantSplit/>
        </w:trPr>
        <w:tc>
          <w:tcPr/>
          <w:p>
            <w:pPr>
              <w:pStyle w:val="Tabla8"/>
              <w:jc w:val="left"/>
            </w:pPr>
            <w:r>
              <w:t xml:space="preserve">V11</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10</w:t>
            </w:r>
          </w:p>
        </w:tc>
        <w:tc>
          <w:tcPr/>
          <w:p>
            <w:pPr>
              <w:pStyle w:val="Tabla8"/>
              <w:jc w:val="left"/>
            </w:pPr>
            <w:r>
              <w:t xml:space="preserve">9</w:t>
            </w:r>
          </w:p>
        </w:tc>
        <w:tc>
          <w:tcPr/>
          <w:p>
            <w:pPr>
              <w:pStyle w:val="Tabla8"/>
              <w:jc w:val="left"/>
            </w:pPr>
            <w:r>
              <w:t xml:space="preserve">12</w:t>
            </w:r>
          </w:p>
        </w:tc>
      </w:tr>
      <w:tr>
        <w:trPr>
          <w:cantSplit/>
        </w:trPr>
        <w:tc>
          <w:tcPr/>
          <w:p>
            <w:pPr>
              <w:pStyle w:val="Tabla8"/>
              <w:jc w:val="left"/>
            </w:pPr>
            <w:r>
              <w:t xml:space="preserve">V12</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11</w:t>
            </w:r>
          </w:p>
        </w:tc>
        <w:tc>
          <w:tcPr/>
          <w:p>
            <w:pPr>
              <w:pStyle w:val="Tabla8"/>
              <w:jc w:val="left"/>
            </w:pPr>
            <w:r>
              <w:t xml:space="preserve">10</w:t>
            </w:r>
          </w:p>
        </w:tc>
        <w:tc>
          <w:tcPr/>
          <w:p>
            <w:pPr>
              <w:pStyle w:val="Tabla8"/>
              <w:jc w:val="left"/>
            </w:pPr>
            <w:r>
              <w:t xml:space="preserve">11</w:t>
            </w:r>
          </w:p>
        </w:tc>
      </w:tr>
      <w:tr>
        <w:trPr>
          <w:cantSplit/>
        </w:trPr>
        <w:tc>
          <w:tcPr/>
          <w:p>
            <w:pPr>
              <w:pStyle w:val="Tabla8"/>
              <w:jc w:val="left"/>
            </w:pPr>
            <w:r>
              <w:t xml:space="preserve">V13</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14</w:t>
            </w:r>
          </w:p>
        </w:tc>
        <w:tc>
          <w:tcPr/>
          <w:p>
            <w:pPr>
              <w:pStyle w:val="Tabla8"/>
              <w:jc w:val="left"/>
            </w:pPr>
            <w:r>
              <w:t xml:space="preserve">14</w:t>
            </w:r>
          </w:p>
        </w:tc>
        <w:tc>
          <w:tcPr/>
          <w:p>
            <w:pPr>
              <w:pStyle w:val="Tabla8"/>
              <w:jc w:val="left"/>
            </w:pPr>
            <w:r>
              <w:t xml:space="preserve">14</w:t>
            </w:r>
          </w:p>
        </w:tc>
      </w:tr>
      <w:tr>
        <w:trPr>
          <w:cantSplit/>
        </w:trPr>
        <w:tc>
          <w:tcPr/>
          <w:p>
            <w:pPr>
              <w:pStyle w:val="Tabla8"/>
              <w:jc w:val="left"/>
            </w:pPr>
            <w:r>
              <w:t xml:space="preserve">V14</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13</w:t>
            </w:r>
          </w:p>
        </w:tc>
        <w:tc>
          <w:tcPr/>
          <w:p>
            <w:pPr>
              <w:pStyle w:val="Tabla8"/>
              <w:jc w:val="left"/>
            </w:pPr>
            <w:r>
              <w:t xml:space="preserve">13</w:t>
            </w:r>
          </w:p>
        </w:tc>
        <w:tc>
          <w:tcPr/>
          <w:p>
            <w:pPr>
              <w:pStyle w:val="Tabla8"/>
              <w:jc w:val="left"/>
            </w:pPr>
            <w:r>
              <w:t xml:space="preserve">13</w:t>
            </w:r>
          </w:p>
        </w:tc>
      </w:tr>
      <w:tr>
        <w:trPr>
          <w:cantSplit/>
        </w:trPr>
        <w:tc>
          <w:tcPr/>
          <w:p>
            <w:pPr>
              <w:pStyle w:val="Tabla8"/>
              <w:jc w:val="left"/>
            </w:pPr>
            <w:r>
              <w:t xml:space="preserve">V15</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6</w:t>
            </w:r>
          </w:p>
        </w:tc>
        <w:tc>
          <w:tcPr/>
          <w:p>
            <w:pPr>
              <w:pStyle w:val="Tabla8"/>
              <w:jc w:val="left"/>
            </w:pPr>
            <w:r>
              <w:t xml:space="preserve">7</w:t>
            </w:r>
          </w:p>
        </w:tc>
        <w:tc>
          <w:tcPr/>
          <w:p>
            <w:pPr>
              <w:pStyle w:val="Tabla8"/>
              <w:jc w:val="left"/>
            </w:pPr>
            <w:r>
              <w:t xml:space="preserve">7</w:t>
            </w:r>
          </w:p>
        </w:tc>
      </w:tr>
    </w:tbl>
    <w:p>
      <w:pPr>
        <w:pStyle w:val="TablaNota"/>
      </w:pPr>
      <w:r>
        <w:rPr>
          <w:i/>
          <w:iCs/>
        </w:rPr>
        <w:t xml:space="preserve">Nota.</w:t>
      </w:r>
      <w:r>
        <w:t xml:space="preserve"> </w:t>
      </w:r>
      <w:r>
        <w:t xml:space="preserve">Elaboración propia con el expediente de la sección F4.4.</w:t>
      </w:r>
    </w:p>
    <w:p>
      <w:pPr>
        <w:pStyle w:val="BodyText"/>
      </w:pPr>
      <w:r>
        <w:t xml:space="preserve">Cambian de clase directa con la recodificación: V10, V11. Los cinco primeros rangos de influencia indirecta (V05, V04, V03, V02, V06 en la codificación base) forman el mismo conjunto en las tres codificaciones. En [0,1,2,4] se permutan V02, V03 y V04.</w:t>
      </w:r>
    </w:p>
    <w:p>
      <w:pPr>
        <w:pStyle w:val="BodyText"/>
      </w:pPr>
      <w:r>
        <w:rPr>
          <w:b/>
          <w:bCs/>
        </w:rPr>
        <w:t xml:space="preserve">Perturbación de un enlace a la vez sobre los dominios admisibles.</w:t>
      </w:r>
      <w:r>
        <w:t xml:space="preserve"> </w:t>
      </w:r>
      <w:r>
        <w:t xml:space="preserve">Se evaluaron 87 cambios de un solo valor dentro del dominio admisible de cada dirección incierta. De ellos, 37 cambian la clase directa de alguna variable y 12 cambian la clase indirecta. Además, 10 alteran las tres primeras posiciones de influencia indirecta. El mayor desplazamiento de rango es 4,5 en el plano directo y 4 en el indirecto. No se asignan probabilidades a estos cambios.</w:t>
      </w:r>
    </w:p>
    <w:p>
      <w:pPr>
        <w:pStyle w:val="BodyText"/>
      </w:pPr>
      <w:r>
        <w:t xml:space="preserve">La Tabla F4.50 reúne los datos de «Perturbación de un enlace a la vez sobre los dominios admisibles».</w:t>
      </w:r>
    </w:p>
    <w:p>
      <w:pPr>
        <w:pStyle w:val="TablaRotulo"/>
      </w:pPr>
      <w:bookmarkStart w:id="9127" w:name="rot_Tabla_F4_50"/>
      <w:r>
        <w:rPr>
          <w:b/>
          <w:bCs/>
        </w:rPr>
        <w:t xml:space="preserve">Tabla F4.50</w:t>
      </w:r>
      <w:bookmarkEnd w:id="9127"/>
    </w:p>
    <w:p>
      <w:pPr>
        <w:pStyle w:val="TablaTitulo"/>
      </w:pPr>
      <w:r>
        <w:rPr>
          <w:i/>
          <w:iCs/>
        </w:rPr>
        <w:t xml:space="preserve">Perturbación de un enlace a la vez sobre los dominios admisibles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22"/>
        <w:gridCol w:w="1056"/>
        <w:gridCol w:w="1188"/>
        <w:gridCol w:w="1386"/>
        <w:gridCol w:w="1914"/>
        <w:gridCol w:w="1254"/>
      </w:tblGrid>
      <w:tr>
        <w:trPr>
          <w:cantSplit/>
          <w:tblHeader/>
        </w:trPr>
        <w:tc>
          <w:tcPr>
            <w:shd w:val="clear" w:color="auto" w:fill="00B050"/>
          </w:tcPr>
          <w:p>
            <w:pPr>
              <w:pStyle w:val="Tabla9"/>
              <w:jc w:val="center"/>
            </w:pPr>
            <w:r>
              <w:rPr>
                <w:b/>
                <w:color w:val="FFFFFF"/>
              </w:rPr>
              <w:t xml:space="preserve">Enlace</w:t>
            </w:r>
          </w:p>
        </w:tc>
        <w:tc>
          <w:tcPr>
            <w:shd w:val="clear" w:color="auto" w:fill="00B050"/>
          </w:tcPr>
          <w:p>
            <w:pPr>
              <w:pStyle w:val="Tabla9"/>
              <w:jc w:val="center"/>
            </w:pPr>
            <w:r>
              <w:rPr>
                <w:b/>
                <w:color w:val="FFFFFF"/>
              </w:rPr>
              <w:t xml:space="preserve">Valor base → alterno</w:t>
            </w:r>
          </w:p>
        </w:tc>
        <w:tc>
          <w:tcPr>
            <w:shd w:val="clear" w:color="auto" w:fill="00B050"/>
          </w:tcPr>
          <w:p>
            <w:pPr>
              <w:pStyle w:val="Tabla9"/>
              <w:jc w:val="center"/>
            </w:pPr>
            <w:r>
              <w:rPr>
                <w:b/>
                <w:color w:val="FFFFFF"/>
              </w:rPr>
              <w:t xml:space="preserve">Clases directas que cambian</w:t>
            </w:r>
          </w:p>
        </w:tc>
        <w:tc>
          <w:tcPr>
            <w:shd w:val="clear" w:color="auto" w:fill="00B050"/>
          </w:tcPr>
          <w:p>
            <w:pPr>
              <w:pStyle w:val="Tabla9"/>
              <w:jc w:val="center"/>
            </w:pPr>
            <w:r>
              <w:rPr>
                <w:b/>
                <w:color w:val="FFFFFF"/>
              </w:rPr>
              <w:t xml:space="preserve">Clases indirectas que cambian</w:t>
            </w:r>
          </w:p>
        </w:tc>
        <w:tc>
          <w:tcPr>
            <w:shd w:val="clear" w:color="auto" w:fill="00B050"/>
          </w:tcPr>
          <w:p>
            <w:pPr>
              <w:pStyle w:val="Tabla9"/>
              <w:jc w:val="center"/>
            </w:pPr>
            <w:r>
              <w:rPr>
                <w:b/>
                <w:color w:val="FFFFFF"/>
              </w:rPr>
              <w:t xml:space="preserve">Desplazamiento máx. directo/indirecto</w:t>
            </w:r>
          </w:p>
        </w:tc>
        <w:tc>
          <w:tcPr>
            <w:shd w:val="clear" w:color="auto" w:fill="00B050"/>
          </w:tcPr>
          <w:p>
            <w:pPr>
              <w:pStyle w:val="Tabla9"/>
              <w:jc w:val="center"/>
            </w:pPr>
            <w:r>
              <w:rPr>
                <w:b/>
                <w:color w:val="FFFFFF"/>
              </w:rPr>
              <w:t xml:space="preserve">Altera top 3 indirecto</w:t>
            </w:r>
          </w:p>
        </w:tc>
      </w:tr>
      <w:tr>
        <w:trPr>
          <w:cantSplit/>
        </w:trPr>
        <w:tc>
          <w:tcPr/>
          <w:p>
            <w:pPr>
              <w:pStyle w:val="Tabla9"/>
              <w:jc w:val="left"/>
            </w:pPr>
            <w:r>
              <w:t xml:space="preserve">V05→V02</w:t>
            </w:r>
          </w:p>
        </w:tc>
        <w:tc>
          <w:tcPr/>
          <w:p>
            <w:pPr>
              <w:pStyle w:val="Tabla9"/>
              <w:jc w:val="left"/>
            </w:pPr>
            <w:r>
              <w:t xml:space="preserve">3 → 2</w:t>
            </w:r>
          </w:p>
        </w:tc>
        <w:tc>
          <w:tcPr/>
          <w:p>
            <w:pPr>
              <w:pStyle w:val="Tabla9"/>
              <w:jc w:val="left"/>
            </w:pPr>
            <w:r>
              <w:t xml:space="preserve">V02</w:t>
            </w:r>
          </w:p>
        </w:tc>
        <w:tc>
          <w:tcPr/>
          <w:p>
            <w:pPr>
              <w:pStyle w:val="Tabla9"/>
              <w:jc w:val="left"/>
            </w:pPr>
            <w:r>
              <w:t xml:space="preserve">—</w:t>
            </w:r>
          </w:p>
        </w:tc>
        <w:tc>
          <w:tcPr/>
          <w:p>
            <w:pPr>
              <w:pStyle w:val="Tabla9"/>
              <w:jc w:val="left"/>
            </w:pPr>
            <w:r>
              <w:t xml:space="preserve">2 / 4</w:t>
            </w:r>
          </w:p>
        </w:tc>
        <w:tc>
          <w:tcPr/>
          <w:p>
            <w:pPr>
              <w:pStyle w:val="Tabla9"/>
              <w:jc w:val="left"/>
            </w:pPr>
            <w:r>
              <w:t xml:space="preserve">Sí</w:t>
            </w:r>
          </w:p>
        </w:tc>
      </w:tr>
      <w:tr>
        <w:trPr>
          <w:cantSplit/>
        </w:trPr>
        <w:tc>
          <w:tcPr/>
          <w:p>
            <w:pPr>
              <w:pStyle w:val="Tabla9"/>
              <w:jc w:val="left"/>
            </w:pPr>
            <w:r>
              <w:t xml:space="preserve">V04→V01</w:t>
            </w:r>
          </w:p>
        </w:tc>
        <w:tc>
          <w:tcPr/>
          <w:p>
            <w:pPr>
              <w:pStyle w:val="Tabla9"/>
              <w:jc w:val="left"/>
            </w:pPr>
            <w:r>
              <w:t xml:space="preserve">2 → 1</w:t>
            </w:r>
          </w:p>
        </w:tc>
        <w:tc>
          <w:tcPr/>
          <w:p>
            <w:pPr>
              <w:pStyle w:val="Tabla9"/>
              <w:jc w:val="left"/>
            </w:pPr>
            <w:r>
              <w:t xml:space="preserve">V12, V13</w:t>
            </w:r>
          </w:p>
        </w:tc>
        <w:tc>
          <w:tcPr/>
          <w:p>
            <w:pPr>
              <w:pStyle w:val="Tabla9"/>
              <w:jc w:val="left"/>
            </w:pPr>
            <w:r>
              <w:t xml:space="preserve">—</w:t>
            </w:r>
          </w:p>
        </w:tc>
        <w:tc>
          <w:tcPr/>
          <w:p>
            <w:pPr>
              <w:pStyle w:val="Tabla9"/>
              <w:jc w:val="left"/>
            </w:pPr>
            <w:r>
              <w:t xml:space="preserve">2 / 3</w:t>
            </w:r>
          </w:p>
        </w:tc>
        <w:tc>
          <w:tcPr/>
          <w:p>
            <w:pPr>
              <w:pStyle w:val="Tabla9"/>
              <w:jc w:val="left"/>
            </w:pPr>
            <w:r>
              <w:t xml:space="preserve">Sí</w:t>
            </w:r>
          </w:p>
        </w:tc>
      </w:tr>
      <w:tr>
        <w:trPr>
          <w:cantSplit/>
        </w:trPr>
        <w:tc>
          <w:tcPr/>
          <w:p>
            <w:pPr>
              <w:pStyle w:val="Tabla9"/>
              <w:jc w:val="left"/>
            </w:pPr>
            <w:r>
              <w:t xml:space="preserve">V04→V02</w:t>
            </w:r>
          </w:p>
        </w:tc>
        <w:tc>
          <w:tcPr/>
          <w:p>
            <w:pPr>
              <w:pStyle w:val="Tabla9"/>
              <w:jc w:val="left"/>
            </w:pPr>
            <w:r>
              <w:t xml:space="preserve">2 → 1</w:t>
            </w:r>
          </w:p>
        </w:tc>
        <w:tc>
          <w:tcPr/>
          <w:p>
            <w:pPr>
              <w:pStyle w:val="Tabla9"/>
              <w:jc w:val="left"/>
            </w:pPr>
            <w:r>
              <w:t xml:space="preserve">V02</w:t>
            </w:r>
          </w:p>
        </w:tc>
        <w:tc>
          <w:tcPr/>
          <w:p>
            <w:pPr>
              <w:pStyle w:val="Tabla9"/>
              <w:jc w:val="left"/>
            </w:pPr>
            <w:r>
              <w:t xml:space="preserve">—</w:t>
            </w:r>
          </w:p>
        </w:tc>
        <w:tc>
          <w:tcPr/>
          <w:p>
            <w:pPr>
              <w:pStyle w:val="Tabla9"/>
              <w:jc w:val="left"/>
            </w:pPr>
            <w:r>
              <w:t xml:space="preserve">2 / 3</w:t>
            </w:r>
          </w:p>
        </w:tc>
        <w:tc>
          <w:tcPr/>
          <w:p>
            <w:pPr>
              <w:pStyle w:val="Tabla9"/>
              <w:jc w:val="left"/>
            </w:pPr>
            <w:r>
              <w:t xml:space="preserve">Sí</w:t>
            </w:r>
          </w:p>
        </w:tc>
      </w:tr>
      <w:tr>
        <w:trPr>
          <w:cantSplit/>
        </w:trPr>
        <w:tc>
          <w:tcPr/>
          <w:p>
            <w:pPr>
              <w:pStyle w:val="Tabla9"/>
              <w:jc w:val="left"/>
            </w:pPr>
            <w:r>
              <w:t xml:space="preserve">V04→V06</w:t>
            </w:r>
          </w:p>
        </w:tc>
        <w:tc>
          <w:tcPr/>
          <w:p>
            <w:pPr>
              <w:pStyle w:val="Tabla9"/>
              <w:jc w:val="left"/>
            </w:pPr>
            <w:r>
              <w:t xml:space="preserve">1 → 0</w:t>
            </w:r>
          </w:p>
        </w:tc>
        <w:tc>
          <w:tcPr/>
          <w:p>
            <w:pPr>
              <w:pStyle w:val="Tabla9"/>
              <w:jc w:val="left"/>
            </w:pPr>
            <w:r>
              <w:t xml:space="preserve">—</w:t>
            </w:r>
          </w:p>
        </w:tc>
        <w:tc>
          <w:tcPr/>
          <w:p>
            <w:pPr>
              <w:pStyle w:val="Tabla9"/>
              <w:jc w:val="left"/>
            </w:pPr>
            <w:r>
              <w:t xml:space="preserve">—</w:t>
            </w:r>
          </w:p>
        </w:tc>
        <w:tc>
          <w:tcPr/>
          <w:p>
            <w:pPr>
              <w:pStyle w:val="Tabla9"/>
              <w:jc w:val="left"/>
            </w:pPr>
            <w:r>
              <w:t xml:space="preserve">2 / 3</w:t>
            </w:r>
          </w:p>
        </w:tc>
        <w:tc>
          <w:tcPr/>
          <w:p>
            <w:pPr>
              <w:pStyle w:val="Tabla9"/>
              <w:jc w:val="left"/>
            </w:pPr>
            <w:r>
              <w:t xml:space="preserve">Sí</w:t>
            </w:r>
          </w:p>
        </w:tc>
      </w:tr>
      <w:tr>
        <w:trPr>
          <w:cantSplit/>
        </w:trPr>
        <w:tc>
          <w:tcPr/>
          <w:p>
            <w:pPr>
              <w:pStyle w:val="Tabla9"/>
              <w:jc w:val="left"/>
            </w:pPr>
            <w:r>
              <w:t xml:space="preserve">V03→V01</w:t>
            </w:r>
          </w:p>
        </w:tc>
        <w:tc>
          <w:tcPr/>
          <w:p>
            <w:pPr>
              <w:pStyle w:val="Tabla9"/>
              <w:jc w:val="left"/>
            </w:pPr>
            <w:r>
              <w:t xml:space="preserve">1 → 0</w:t>
            </w:r>
          </w:p>
        </w:tc>
        <w:tc>
          <w:tcPr/>
          <w:p>
            <w:pPr>
              <w:pStyle w:val="Tabla9"/>
              <w:jc w:val="left"/>
            </w:pPr>
            <w:r>
              <w:t xml:space="preserve">V03, V12, V13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p>
            <w:pPr>
              <w:pStyle w:val="Tabla9"/>
              <w:jc w:val="left"/>
            </w:pPr>
            <w:r>
              <w:t xml:space="preserve">V03→V02</w:t>
            </w:r>
          </w:p>
        </w:tc>
        <w:tc>
          <w:tcPr/>
          <w:p>
            <w:pPr>
              <w:pStyle w:val="Tabla9"/>
              <w:jc w:val="left"/>
            </w:pPr>
            <w:r>
              <w:t xml:space="preserve">1 → 0</w:t>
            </w:r>
          </w:p>
        </w:tc>
        <w:tc>
          <w:tcPr/>
          <w:p>
            <w:pPr>
              <w:pStyle w:val="Tabla9"/>
              <w:jc w:val="left"/>
            </w:pPr>
            <w:r>
              <w:t xml:space="preserve">V02, V03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p>
            <w:pPr>
              <w:pStyle w:val="Tabla9"/>
              <w:jc w:val="left"/>
            </w:pPr>
            <w:r>
              <w:t xml:space="preserve">V03→V06</w:t>
            </w:r>
          </w:p>
        </w:tc>
        <w:tc>
          <w:tcPr/>
          <w:p>
            <w:pPr>
              <w:pStyle w:val="Tabla9"/>
              <w:jc w:val="left"/>
            </w:pPr>
            <w:r>
              <w:t xml:space="preserve">3 → 2</w:t>
            </w:r>
          </w:p>
        </w:tc>
        <w:tc>
          <w:tcPr/>
          <w:p>
            <w:pPr>
              <w:pStyle w:val="Tabla9"/>
              <w:jc w:val="left"/>
            </w:pPr>
            <w:r>
              <w:t xml:space="preserve">V03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p>
            <w:pPr>
              <w:pStyle w:val="Tabla9"/>
              <w:jc w:val="left"/>
            </w:pPr>
            <w:r>
              <w:t xml:space="preserve">V03→V09</w:t>
            </w:r>
          </w:p>
        </w:tc>
        <w:tc>
          <w:tcPr/>
          <w:p>
            <w:pPr>
              <w:pStyle w:val="Tabla9"/>
              <w:jc w:val="left"/>
            </w:pPr>
            <w:r>
              <w:t xml:space="preserve">1 → 0</w:t>
            </w:r>
          </w:p>
        </w:tc>
        <w:tc>
          <w:tcPr/>
          <w:p>
            <w:pPr>
              <w:pStyle w:val="Tabla9"/>
              <w:jc w:val="left"/>
            </w:pPr>
            <w:r>
              <w:t xml:space="preserve">V03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p>
            <w:pPr>
              <w:pStyle w:val="Tabla9"/>
              <w:jc w:val="left"/>
            </w:pPr>
            <w:r>
              <w:t xml:space="preserve">V04→V09</w:t>
            </w:r>
          </w:p>
        </w:tc>
        <w:tc>
          <w:tcPr/>
          <w:p>
            <w:pPr>
              <w:pStyle w:val="Tabla9"/>
              <w:jc w:val="left"/>
            </w:pPr>
            <w:r>
              <w:t xml:space="preserve">1 → 0</w:t>
            </w:r>
          </w:p>
        </w:tc>
        <w:tc>
          <w:tcPr/>
          <w:p>
            <w:pPr>
              <w:pStyle w:val="Tabla9"/>
              <w:jc w:val="left"/>
            </w:pPr>
            <w:r>
              <w:t xml:space="preserve">—</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p>
            <w:pPr>
              <w:pStyle w:val="Tabla9"/>
              <w:jc w:val="left"/>
            </w:pPr>
            <w:r>
              <w:t xml:space="preserve">V02→V11</w:t>
            </w:r>
          </w:p>
        </w:tc>
        <w:tc>
          <w:tcPr/>
          <w:p>
            <w:pPr>
              <w:pStyle w:val="Tabla9"/>
              <w:jc w:val="left"/>
            </w:pPr>
            <w:r>
              <w:t xml:space="preserve">2 → 3</w:t>
            </w:r>
          </w:p>
        </w:tc>
        <w:tc>
          <w:tcPr/>
          <w:p>
            <w:pPr>
              <w:pStyle w:val="Tabla9"/>
              <w:jc w:val="left"/>
            </w:pPr>
            <w:r>
              <w:t xml:space="preserve">—</w:t>
            </w:r>
          </w:p>
        </w:tc>
        <w:tc>
          <w:tcPr/>
          <w:p>
            <w:pPr>
              <w:pStyle w:val="Tabla9"/>
              <w:jc w:val="left"/>
            </w:pPr>
            <w:r>
              <w:t xml:space="preserve">—</w:t>
            </w:r>
          </w:p>
        </w:tc>
        <w:tc>
          <w:tcPr/>
          <w:p>
            <w:pPr>
              <w:pStyle w:val="Tabla9"/>
              <w:jc w:val="left"/>
            </w:pPr>
            <w:r>
              <w:t xml:space="preserve">2 / 1</w:t>
            </w:r>
          </w:p>
        </w:tc>
        <w:tc>
          <w:tcPr/>
          <w:p>
            <w:pPr>
              <w:pStyle w:val="Tabla9"/>
              <w:jc w:val="left"/>
            </w:pPr>
            <w:r>
              <w:t xml:space="preserve">Sí</w:t>
            </w:r>
          </w:p>
        </w:tc>
      </w:tr>
      <w:tr>
        <w:trPr>
          <w:cantSplit/>
        </w:trPr>
        <w:tc>
          <w:tcPr/>
          <w:p>
            <w:pPr>
              <w:pStyle w:val="Tabla9"/>
              <w:jc w:val="left"/>
            </w:pPr>
            <w:r>
              <w:t xml:space="preserve">V15→V07</w:t>
            </w:r>
          </w:p>
        </w:tc>
        <w:tc>
          <w:tcPr/>
          <w:p>
            <w:pPr>
              <w:pStyle w:val="Tabla9"/>
              <w:jc w:val="left"/>
            </w:pPr>
            <w:r>
              <w:t xml:space="preserve">1 → 0</w:t>
            </w:r>
          </w:p>
        </w:tc>
        <w:tc>
          <w:tcPr/>
          <w:p>
            <w:pPr>
              <w:pStyle w:val="Tabla9"/>
              <w:jc w:val="left"/>
            </w:pPr>
            <w:r>
              <w:t xml:space="preserve">—</w:t>
            </w:r>
          </w:p>
        </w:tc>
        <w:tc>
          <w:tcPr/>
          <w:p>
            <w:pPr>
              <w:pStyle w:val="Tabla9"/>
              <w:jc w:val="left"/>
            </w:pPr>
            <w:r>
              <w:t xml:space="preserve">V05, V07, V15</w:t>
            </w:r>
          </w:p>
        </w:tc>
        <w:tc>
          <w:tcPr/>
          <w:p>
            <w:pPr>
              <w:pStyle w:val="Tabla9"/>
              <w:jc w:val="left"/>
            </w:pPr>
            <w:r>
              <w:t xml:space="preserve">2 / 4</w:t>
            </w:r>
          </w:p>
        </w:tc>
        <w:tc>
          <w:tcPr/>
          <w:p>
            <w:pPr>
              <w:pStyle w:val="Tabla9"/>
              <w:jc w:val="left"/>
            </w:pPr>
            <w:r>
              <w:t xml:space="preserve">No</w:t>
            </w:r>
          </w:p>
        </w:tc>
      </w:tr>
      <w:tr>
        <w:trPr>
          <w:cantSplit/>
        </w:trPr>
        <w:tc>
          <w:tcPr/>
          <w:p>
            <w:pPr>
              <w:pStyle w:val="Tabla9"/>
              <w:jc w:val="left"/>
            </w:pPr>
            <w:r>
              <w:t xml:space="preserve">V09→V10</w:t>
            </w:r>
          </w:p>
        </w:tc>
        <w:tc>
          <w:tcPr/>
          <w:p>
            <w:pPr>
              <w:pStyle w:val="Tabla9"/>
              <w:jc w:val="left"/>
            </w:pPr>
            <w:r>
              <w:t xml:space="preserve">3 → 0</w:t>
            </w:r>
          </w:p>
        </w:tc>
        <w:tc>
          <w:tcPr/>
          <w:p>
            <w:pPr>
              <w:pStyle w:val="Tabla9"/>
              <w:jc w:val="left"/>
            </w:pPr>
            <w:r>
              <w:t xml:space="preserve">—</w:t>
            </w:r>
          </w:p>
        </w:tc>
        <w:tc>
          <w:tcPr/>
          <w:p>
            <w:pPr>
              <w:pStyle w:val="Tabla9"/>
              <w:jc w:val="left"/>
            </w:pPr>
            <w:r>
              <w:t xml:space="preserve">V05, V10</w:t>
            </w:r>
          </w:p>
        </w:tc>
        <w:tc>
          <w:tcPr/>
          <w:p>
            <w:pPr>
              <w:pStyle w:val="Tabla9"/>
              <w:jc w:val="left"/>
            </w:pPr>
            <w:r>
              <w:t xml:space="preserve">3,5 / 3,5</w:t>
            </w:r>
          </w:p>
        </w:tc>
        <w:tc>
          <w:tcPr/>
          <w:p>
            <w:pPr>
              <w:pStyle w:val="Tabla9"/>
              <w:jc w:val="left"/>
            </w:pPr>
            <w:r>
              <w:t xml:space="preserve">No</w:t>
            </w:r>
          </w:p>
        </w:tc>
      </w:tr>
      <w:tr>
        <w:trPr>
          <w:cantSplit/>
        </w:trPr>
        <w:tc>
          <w:tcPr/>
          <w:p>
            <w:pPr>
              <w:pStyle w:val="Tabla9"/>
              <w:jc w:val="left"/>
            </w:pPr>
            <w:r>
              <w:t xml:space="preserve">V15→V05</w:t>
            </w:r>
          </w:p>
        </w:tc>
        <w:tc>
          <w:tcPr/>
          <w:p>
            <w:pPr>
              <w:pStyle w:val="Tabla9"/>
              <w:jc w:val="left"/>
            </w:pPr>
            <w:r>
              <w:t xml:space="preserve">1 → 0</w:t>
            </w:r>
          </w:p>
        </w:tc>
        <w:tc>
          <w:tcPr/>
          <w:p>
            <w:pPr>
              <w:pStyle w:val="Tabla9"/>
              <w:jc w:val="left"/>
            </w:pPr>
            <w:r>
              <w:t xml:space="preserve">—</w:t>
            </w:r>
          </w:p>
        </w:tc>
        <w:tc>
          <w:tcPr/>
          <w:p>
            <w:pPr>
              <w:pStyle w:val="Tabla9"/>
              <w:jc w:val="left"/>
            </w:pPr>
            <w:r>
              <w:t xml:space="preserve">V15</w:t>
            </w:r>
          </w:p>
        </w:tc>
        <w:tc>
          <w:tcPr/>
          <w:p>
            <w:pPr>
              <w:pStyle w:val="Tabla9"/>
              <w:jc w:val="left"/>
            </w:pPr>
            <w:r>
              <w:t xml:space="preserve">2 / 4</w:t>
            </w:r>
          </w:p>
        </w:tc>
        <w:tc>
          <w:tcPr/>
          <w:p>
            <w:pPr>
              <w:pStyle w:val="Tabla9"/>
              <w:jc w:val="left"/>
            </w:pPr>
            <w:r>
              <w:t xml:space="preserve">No</w:t>
            </w:r>
          </w:p>
        </w:tc>
      </w:tr>
      <w:tr>
        <w:trPr>
          <w:cantSplit/>
        </w:trPr>
        <w:tc>
          <w:tcPr/>
          <w:p>
            <w:pPr>
              <w:pStyle w:val="Tabla9"/>
              <w:jc w:val="left"/>
            </w:pPr>
            <w:r>
              <w:t xml:space="preserve">V07→V06</w:t>
            </w:r>
          </w:p>
        </w:tc>
        <w:tc>
          <w:tcPr/>
          <w:p>
            <w:pPr>
              <w:pStyle w:val="Tabla9"/>
              <w:jc w:val="left"/>
            </w:pPr>
            <w:r>
              <w:t xml:space="preserve">3 → 2</w:t>
            </w:r>
          </w:p>
        </w:tc>
        <w:tc>
          <w:tcPr/>
          <w:p>
            <w:pPr>
              <w:pStyle w:val="Tabla9"/>
              <w:jc w:val="left"/>
            </w:pPr>
            <w:r>
              <w:t xml:space="preserve">V07</w:t>
            </w:r>
          </w:p>
        </w:tc>
        <w:tc>
          <w:tcPr/>
          <w:p>
            <w:pPr>
              <w:pStyle w:val="Tabla9"/>
              <w:jc w:val="left"/>
            </w:pPr>
            <w:r>
              <w:t xml:space="preserve">V10</w:t>
            </w:r>
          </w:p>
        </w:tc>
        <w:tc>
          <w:tcPr/>
          <w:p>
            <w:pPr>
              <w:pStyle w:val="Tabla9"/>
              <w:jc w:val="left"/>
            </w:pPr>
            <w:r>
              <w:t xml:space="preserve">2 / 4</w:t>
            </w:r>
          </w:p>
        </w:tc>
        <w:tc>
          <w:tcPr/>
          <w:p>
            <w:pPr>
              <w:pStyle w:val="Tabla9"/>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enlaces de mayor efecto son V05→V02, V04→V01, V04→V02, V04→V06, V03→V01, V03→V02, V03→V06, V03→V09, V04→V09 y V02→V11. Todos tienen origen en variables físicas. Los enlaces que mueven las clases indirectas de las variables de gobernanza son V15→V07, V15→V05, V09→V10 y V07→V06. La revisión prioritaria de fichas debe empezar por esos enlaces.</w:t>
      </w:r>
    </w:p>
    <w:p>
      <w:pPr>
        <w:pStyle w:val="BodyText"/>
      </w:pPr>
      <w:r>
        <w:rPr>
          <w:b/>
          <w:bCs/>
        </w:rPr>
        <w:t xml:space="preserve">Ciclos.</w:t>
      </w:r>
      <w:r>
        <w:t xml:space="preserve"> </w:t>
      </w:r>
      <w:r>
        <w:t xml:space="preserve">S2 tiene 144 ciclos simples de hasta siete aristas. 140 contienen V15; 94 contienen V10; 84 contienen V06; 84 contienen V09. Los ciclos de dos aristas son V06↔V07, V09↔V15, V11↔V12 y V14↔V15. La concentración en V15 resulta de las cinco aristas que salen de V15 y de las cinco que le llegan. Depende de esas fichas y de sus dominios admisibles.</w:t>
      </w:r>
    </w:p>
    <w:p>
      <w:pPr>
        <w:pStyle w:val="BodyText"/>
      </w:pPr>
      <w:r>
        <w:rPr>
          <w:b/>
          <w:bCs/>
        </w:rPr>
        <w:t xml:space="preserve">Rutas explicativas.</w:t>
      </w:r>
      <w:r>
        <w:t xml:space="preserve"> </w:t>
      </w:r>
      <w:r>
        <w:t xml:space="preserve">La tabla lista las tres rutas simples de mayor producto de pesos entre pares seleccionados. El producto es un índice de intensidad ordinal y no un efecto estimado.</w:t>
      </w:r>
    </w:p>
    <w:p>
      <w:pPr>
        <w:pStyle w:val="BodyText"/>
      </w:pPr>
      <w:r>
        <w:t xml:space="preserve">La Tabla F4.51 reúne los datos de «Rutas explicativas».</w:t>
      </w:r>
    </w:p>
    <w:p>
      <w:pPr>
        <w:pStyle w:val="TablaRotulo"/>
      </w:pPr>
      <w:bookmarkStart w:id="9128" w:name="rot_Tabla_F4_51"/>
      <w:r>
        <w:rPr>
          <w:b/>
          <w:bCs/>
        </w:rPr>
        <w:t xml:space="preserve">Tabla F4.51</w:t>
      </w:r>
      <w:bookmarkEnd w:id="9128"/>
    </w:p>
    <w:p>
      <w:pPr>
        <w:pStyle w:val="TablaTitulo"/>
      </w:pPr>
      <w:r>
        <w:rPr>
          <w:i/>
          <w:iCs/>
        </w:rPr>
        <w:t xml:space="preserve">Rutas explicativas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06"/>
        <w:gridCol w:w="5214"/>
      </w:tblGrid>
      <w:tr>
        <w:trPr>
          <w:cantSplit/>
          <w:tblHeader/>
        </w:trPr>
        <w:tc>
          <w:tcPr>
            <w:shd w:val="clear" w:color="auto" w:fill="00B050"/>
          </w:tcPr>
          <w:p>
            <w:pPr>
              <w:pStyle w:val="Tabla9"/>
              <w:jc w:val="center"/>
            </w:pPr>
            <w:r>
              <w:rPr>
                <w:b/>
                <w:color w:val="FFFFFF"/>
              </w:rPr>
              <w:t xml:space="preserve">Origen→Destino</w:t>
            </w:r>
          </w:p>
        </w:tc>
        <w:tc>
          <w:tcPr>
            <w:shd w:val="clear" w:color="auto" w:fill="00B050"/>
          </w:tcPr>
          <w:p>
            <w:pPr>
              <w:pStyle w:val="Tabla9"/>
              <w:jc w:val="center"/>
            </w:pPr>
            <w:r>
              <w:rPr>
                <w:b/>
                <w:color w:val="FFFFFF"/>
              </w:rPr>
              <w:t xml:space="preserve">Rutas simples más intensas (hasta cinco aristas; producto de pesos)</w:t>
            </w:r>
          </w:p>
        </w:tc>
      </w:tr>
      <w:tr>
        <w:trPr>
          <w:cantSplit/>
        </w:trPr>
        <w:tc>
          <w:tcPr/>
          <w:p>
            <w:pPr>
              <w:pStyle w:val="Tabla9"/>
              <w:jc w:val="left"/>
            </w:pPr>
            <w:r>
              <w:t xml:space="preserve">V05-&gt;V14</w:t>
            </w:r>
          </w:p>
        </w:tc>
        <w:tc>
          <w:tcPr/>
          <w:p>
            <w:pPr>
              <w:pStyle w:val="Tabla9"/>
              <w:jc w:val="left"/>
            </w:pPr>
            <w:r>
              <w:t xml:space="preserve">V05 → V02 → V06 → V11 → V12 → V15 → V14 (216); V05 → V02 → V06 → V09 → V10 → V11 → V14 (108); V05 → V01 → V06 → V11 → V12 → V15 → V14 (96)</w:t>
            </w:r>
          </w:p>
        </w:tc>
      </w:tr>
      <w:tr>
        <w:trPr>
          <w:cantSplit/>
        </w:trPr>
        <w:tc>
          <w:tcPr/>
          <w:p>
            <w:pPr>
              <w:pStyle w:val="Tabla9"/>
              <w:jc w:val="left"/>
            </w:pPr>
            <w:r>
              <w:t xml:space="preserve">V05-&gt;V15</w:t>
            </w:r>
          </w:p>
        </w:tc>
        <w:tc>
          <w:tcPr/>
          <w:p>
            <w:pPr>
              <w:pStyle w:val="Tabla9"/>
              <w:jc w:val="left"/>
            </w:pPr>
            <w:r>
              <w:t xml:space="preserve">V05 → V02 → V06 → V11 → V12 → V15 (108); V05 → V02 → V06 → V11 → V14 → V15 (108); V05 → V02 → V06 → V11 → V12 → V14 → V15 (108)</w:t>
            </w:r>
          </w:p>
        </w:tc>
      </w:tr>
      <w:tr>
        <w:trPr>
          <w:cantSplit/>
        </w:trPr>
        <w:tc>
          <w:tcPr/>
          <w:p>
            <w:pPr>
              <w:pStyle w:val="Tabla9"/>
              <w:jc w:val="left"/>
            </w:pPr>
            <w:r>
              <w:t xml:space="preserve">V03-&gt;V11</w:t>
            </w:r>
          </w:p>
        </w:tc>
        <w:tc>
          <w:tcPr/>
          <w:p>
            <w:pPr>
              <w:pStyle w:val="Tabla9"/>
              <w:jc w:val="left"/>
            </w:pPr>
            <w:r>
              <w:t xml:space="preserve">V03 → V06 → V12 → V15 → V09 → V10 → V11 (144); V03 → V06 → V12 → V15 → V05 → V01 → V11 (72); V03 → V06 → V12 → V15 → V05 → V02 → V11 (72)</w:t>
            </w:r>
          </w:p>
        </w:tc>
      </w:tr>
      <w:tr>
        <w:trPr>
          <w:cantSplit/>
        </w:trPr>
        <w:tc>
          <w:tcPr/>
          <w:p>
            <w:pPr>
              <w:pStyle w:val="Tabla9"/>
              <w:jc w:val="left"/>
            </w:pPr>
            <w:r>
              <w:t xml:space="preserve">V04-&gt;V11</w:t>
            </w:r>
          </w:p>
        </w:tc>
        <w:tc>
          <w:tcPr/>
          <w:p>
            <w:pPr>
              <w:pStyle w:val="Tabla9"/>
              <w:jc w:val="left"/>
            </w:pPr>
            <w:r>
              <w:t xml:space="preserve">V04 → V02 → V06 → V15 → V09 → V10 → V11 (72); V04 → V01 → V06 → V15 → V09 → V10 → V11 (48); V04 → V01 → V14 → V15 → V09 → V10 → V11 (48)</w:t>
            </w:r>
          </w:p>
        </w:tc>
      </w:tr>
      <w:tr>
        <w:trPr>
          <w:cantSplit/>
        </w:trPr>
        <w:tc>
          <w:tcPr/>
          <w:p>
            <w:pPr>
              <w:pStyle w:val="Tabla9"/>
              <w:jc w:val="left"/>
            </w:pPr>
            <w:r>
              <w:t xml:space="preserve">V07-&gt;V14</w:t>
            </w:r>
          </w:p>
        </w:tc>
        <w:tc>
          <w:tcPr/>
          <w:p>
            <w:pPr>
              <w:pStyle w:val="Tabla9"/>
              <w:jc w:val="left"/>
            </w:pPr>
            <w:r>
              <w:t xml:space="preserve">V07 → V06 → V11 → V12 → V15 → V14 (72); V07 → V06 → V15 → V09 → V10 → V11 → V14 (72); V07 → V06 → V12 → V15 → V10 → V11 → V14 (48)</w:t>
            </w:r>
          </w:p>
        </w:tc>
      </w:tr>
      <w:tr>
        <w:trPr>
          <w:cantSplit/>
        </w:trPr>
        <w:tc>
          <w:tcPr/>
          <w:p>
            <w:pPr>
              <w:pStyle w:val="Tabla9"/>
              <w:jc w:val="left"/>
            </w:pPr>
            <w:r>
              <w:t xml:space="preserve">V07-&gt;V15</w:t>
            </w:r>
          </w:p>
        </w:tc>
        <w:tc>
          <w:tcPr/>
          <w:p>
            <w:pPr>
              <w:pStyle w:val="Tabla9"/>
              <w:jc w:val="left"/>
            </w:pPr>
            <w:r>
              <w:t xml:space="preserve">V07 → V06 → V09 → V10 → V11 → V12 → V15 (72); V07 → V06 → V09 → V10 → V11 → V14 → V15 (72); V07 → V06 → V11 → V12 → V15 (36)</w:t>
            </w:r>
          </w:p>
        </w:tc>
      </w:tr>
      <w:tr>
        <w:trPr>
          <w:cantSplit/>
        </w:trPr>
        <w:tc>
          <w:tcPr/>
          <w:p>
            <w:pPr>
              <w:pStyle w:val="Tabla9"/>
              <w:jc w:val="left"/>
            </w:pPr>
            <w:r>
              <w:t xml:space="preserve">V15-&gt;V06</w:t>
            </w:r>
          </w:p>
        </w:tc>
        <w:tc>
          <w:tcPr/>
          <w:p>
            <w:pPr>
              <w:pStyle w:val="Tabla9"/>
              <w:jc w:val="left"/>
            </w:pPr>
            <w:r>
              <w:t xml:space="preserve">V15 → V05 → V02 → V06 (9); V15 → V05 → V02 → V09 → V10 → V06 (9); V15 → V09 → V10 → V06 (6)</w:t>
            </w:r>
          </w:p>
        </w:tc>
      </w:tr>
      <w:tr>
        <w:trPr>
          <w:cantSplit/>
        </w:trPr>
        <w:tc>
          <w:tcPr/>
          <w:p>
            <w:pPr>
              <w:pStyle w:val="Tabla9"/>
              <w:jc w:val="left"/>
            </w:pPr>
            <w:r>
              <w:t xml:space="preserve">V15-&gt;V11</w:t>
            </w:r>
          </w:p>
        </w:tc>
        <w:tc>
          <w:tcPr/>
          <w:p>
            <w:pPr>
              <w:pStyle w:val="Tabla9"/>
              <w:jc w:val="left"/>
            </w:pPr>
            <w:r>
              <w:t xml:space="preserve">V15 → V05 → V02 → V06 → V09 → V10 → V11 (54); V15 → V05 → V02 → V06 → V11 (27); V15 → V05 → V02 → V09 → V10 → V06 → V11 (27)</w:t>
            </w:r>
          </w:p>
        </w:tc>
      </w:tr>
      <w:tr>
        <w:trPr>
          <w:cantSplit/>
        </w:trPr>
        <w:tc>
          <w:tcPr/>
          <w:p>
            <w:pPr>
              <w:pStyle w:val="Tabla9"/>
              <w:jc w:val="left"/>
            </w:pPr>
            <w:r>
              <w:t xml:space="preserve">V09-&gt;V14</w:t>
            </w:r>
          </w:p>
        </w:tc>
        <w:tc>
          <w:tcPr/>
          <w:p>
            <w:pPr>
              <w:pStyle w:val="Tabla9"/>
              <w:jc w:val="left"/>
            </w:pPr>
            <w:r>
              <w:t xml:space="preserve">V09 → V10 → V06 → V11 → V12 → V15 → V14 (72); V09 → V15 → V05 → V02 → V06 → V11 → V14 (54); V09 → V10 → V11 → V12 → V15 → V14 (48)</w:t>
            </w:r>
          </w:p>
        </w:tc>
      </w:tr>
      <w:tr>
        <w:trPr>
          <w:cantSplit/>
        </w:trPr>
        <w:tc>
          <w:tcPr/>
          <w:p>
            <w:pPr>
              <w:pStyle w:val="Tabla9"/>
              <w:jc w:val="left"/>
            </w:pPr>
            <w:r>
              <w:t xml:space="preserve">V10-&gt;V15</w:t>
            </w:r>
          </w:p>
        </w:tc>
        <w:tc>
          <w:tcPr/>
          <w:p>
            <w:pPr>
              <w:pStyle w:val="Tabla9"/>
              <w:jc w:val="left"/>
            </w:pPr>
            <w:r>
              <w:t xml:space="preserve">V10 → V06 → V11 → V12 → V15 (12); V10 → V06 → V11 → V14 → V15 (12); V10 → V06 → V11 → V12 → V14 → V15 (12)</w:t>
            </w:r>
          </w:p>
        </w:tc>
      </w:tr>
      <w:tr>
        <w:trPr>
          <w:cantSplit/>
        </w:trPr>
        <w:tc>
          <w:tcPr/>
          <w:p>
            <w:pPr>
              <w:pStyle w:val="Tabla9"/>
              <w:jc w:val="left"/>
            </w:pPr>
            <w:r>
              <w:t xml:space="preserve">V02-&gt;V15</w:t>
            </w:r>
          </w:p>
        </w:tc>
        <w:tc>
          <w:tcPr/>
          <w:p>
            <w:pPr>
              <w:pStyle w:val="Tabla9"/>
              <w:jc w:val="left"/>
            </w:pPr>
            <w:r>
              <w:t xml:space="preserve">V02 → V06 → V09 → V10 → V11 → V12 → V15 (72); V02 → V06 → V09 → V10 → V11 → V14 → V15 (72); V02 → V06 → V11 → V12 → V15 (36)</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BodyText"/>
      </w:pPr>
      <w:r>
        <w:rPr>
          <w:b/>
          <w:bCs/>
        </w:rPr>
        <w:t xml:space="preserve">Coherencia de decisiones dependientes.</w:t>
      </w:r>
      <w:r>
        <w:t xml:space="preserve"> </w:t>
      </w:r>
      <w:r>
        <w:t xml:space="preserve">Este análisis no selecciona alternativa ni adjudica pesos. Aporta tres insumos a F4.4-MDR y 4.5: (i) V06 es crítica en los cinco escenarios y funciona como cuello de botella estructural en la hipótesis HIE; (ii) V07 no es una palanca independiente máxima en S2 (clase FRONTERA, rango indirecto 8); (iii) V15 concentra la retroalimentación. Ninguno de estos insumos eleva un estatuto HIE a IDC ni a EST.</w:t>
      </w:r>
    </w:p>
    <w:p>
      <w:pPr>
        <w:pStyle w:val="BodyText"/>
      </w:pPr>
      <w:r>
        <w:rPr>
          <w:b/>
          <w:bCs/>
        </w:rPr>
        <w:t xml:space="preserve">Registro de decisión ND-09 (prominencia directa e indirecta).</w:t>
      </w:r>
    </w:p>
    <w:p>
      <w:pPr>
        <w:pStyle w:val="BodyText"/>
      </w:pPr>
      <w:r>
        <w:t xml:space="preserve">La Tabla F4.52 reúne los datos de «Registro de decisión GENESIS: ND-09 Reconciliación entre prominencia directa e indirecta».</w:t>
      </w:r>
    </w:p>
    <w:p>
      <w:pPr>
        <w:pStyle w:val="TablaRotulo"/>
      </w:pPr>
      <w:bookmarkStart w:id="9129" w:name="rot_Tabla_F4_52"/>
      <w:r>
        <w:rPr>
          <w:b/>
          <w:bCs/>
        </w:rPr>
        <w:t xml:space="preserve">Tabla F4.52</w:t>
      </w:r>
      <w:bookmarkEnd w:id="9129"/>
    </w:p>
    <w:p>
      <w:pPr>
        <w:pStyle w:val="TablaTitulo"/>
      </w:pPr>
      <w:r>
        <w:rPr>
          <w:i/>
          <w:iCs/>
        </w:rPr>
        <w:t xml:space="preserve">Registro de decisión GENESIS: ND-09 Reconciliación entre prominencia directa e indirecta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NODO</w:t>
            </w:r>
          </w:p>
        </w:tc>
        <w:tc>
          <w:tcPr/>
          <w:p>
            <w:pPr>
              <w:pStyle w:val="Tabla9"/>
              <w:jc w:val="left"/>
            </w:pPr>
            <w:r>
              <w:t xml:space="preserve">ND-09 Reconciliación entre prominencia directa e indirecta</w:t>
            </w:r>
          </w:p>
        </w:tc>
      </w:tr>
      <w:tr>
        <w:trPr>
          <w:cantSplit/>
        </w:trPr>
        <w:tc>
          <w:tcPr/>
          <w:p>
            <w:pPr>
              <w:pStyle w:val="Tabla9"/>
              <w:jc w:val="left"/>
            </w:pPr>
            <w:r>
              <w:t xml:space="preserve">CLASE</w:t>
            </w:r>
          </w:p>
        </w:tc>
        <w:tc>
          <w:tcPr/>
          <w:p>
            <w:pPr>
              <w:pStyle w:val="Tabla9"/>
              <w:jc w:val="left"/>
            </w:pPr>
            <w:r>
              <w:t xml:space="preserve">MAYOR. Determina cuál lectura sustenta las hipótesis de intervención.</w:t>
            </w:r>
          </w:p>
        </w:tc>
      </w:tr>
      <w:tr>
        <w:trPr>
          <w:cantSplit/>
        </w:trPr>
        <w:tc>
          <w:tcPr/>
          <w:p>
            <w:pPr>
              <w:pStyle w:val="Tabla9"/>
              <w:jc w:val="left"/>
            </w:pPr>
            <w:r>
              <w:t xml:space="preserve">DECISION</w:t>
            </w:r>
          </w:p>
        </w:tc>
        <w:tc>
          <w:tcPr/>
          <w:p>
            <w:pPr>
              <w:pStyle w:val="Tabla9"/>
              <w:jc w:val="left"/>
            </w:pPr>
            <w:r>
              <w:t xml:space="preserve">Conservar ambas lecturas. No sustituir la directa por la indirecta. Reconciliar variable por variable y tratar las diferencias como sensibilidad al horizonte de recorridos.</w:t>
            </w:r>
          </w:p>
        </w:tc>
      </w:tr>
      <w:tr>
        <w:trPr>
          <w:cantSplit/>
        </w:trPr>
        <w:tc>
          <w:tcPr/>
          <w:p>
            <w:pPr>
              <w:pStyle w:val="Tabla9"/>
              <w:jc w:val="left"/>
            </w:pPr>
            <w:r>
              <w:t xml:space="preserve">DECIDE</w:t>
            </w:r>
          </w:p>
        </w:tc>
        <w:tc>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Presentar la clase indirecta como rol causal. Elegir la lectura que favorece a una variable. Interpretar el rango como importancia.</w:t>
            </w:r>
          </w:p>
        </w:tc>
      </w:tr>
      <w:tr>
        <w:trPr>
          <w:cantSplit/>
        </w:trPr>
        <w:tc>
          <w:tcPr/>
          <w:p>
            <w:pPr>
              <w:pStyle w:val="Tabla9"/>
              <w:jc w:val="left"/>
            </w:pPr>
            <w:r>
              <w:t xml:space="preserve">NODOS_BLANCOS</w:t>
            </w:r>
          </w:p>
        </w:tc>
        <w:tc>
          <w:tcPr/>
          <w:p>
            <w:pPr>
              <w:pStyle w:val="Tabla9"/>
              <w:jc w:val="left"/>
            </w:pPr>
            <w:r>
              <w:t xml:space="preserve">15: clase directa e indirecta de S2 comparadas para las quince variables; coinciden V03, V04, V05, V06, V07, V08, V09, V13, V14, V15; cambian V01 de FRONTERA a ACTIVA; V02 de CRITICA a ACTIVA; V10 de FRONTERA a REACTIVA; V11 de FRONTERA a REACTIVA; V12 de FRONTERA a REACTIVA; el rango de dependencia de V06 pasa de 1 a 7 y el de V15 de 5 a 1 (F4.4.12).</w:t>
            </w:r>
          </w:p>
        </w:tc>
      </w:tr>
      <w:tr>
        <w:trPr>
          <w:cantSplit/>
        </w:trPr>
        <w:tc>
          <w:tcPr/>
          <w:p>
            <w:pPr>
              <w:pStyle w:val="Tabla9"/>
              <w:jc w:val="left"/>
            </w:pPr>
            <w:r>
              <w:t xml:space="preserve">NODOS_GRISES</w:t>
            </w:r>
          </w:p>
        </w:tc>
        <w:tc>
          <w:tcPr/>
          <w:p>
            <w:pPr>
              <w:pStyle w:val="Tabla9"/>
              <w:jc w:val="left"/>
            </w:pPr>
            <w:r>
              <w:t xml:space="preserve">1: la dependencia indirecta de V15 refleja su presencia en ciclos y depende de cinco fichas de salida con confianza baja o media.</w:t>
            </w:r>
          </w:p>
        </w:tc>
      </w:tr>
      <w:tr>
        <w:trPr>
          <w:cantSplit/>
        </w:trPr>
        <w:tc>
          <w:tcPr/>
          <w:p>
            <w:pPr>
              <w:pStyle w:val="Tabla9"/>
              <w:jc w:val="left"/>
            </w:pPr>
            <w:r>
              <w:t xml:space="preserve">RUPTURAS</w:t>
            </w:r>
          </w:p>
        </w:tc>
        <w:tc>
          <w:tcPr/>
          <w:p>
            <w:pPr>
              <w:pStyle w:val="Tabla9"/>
              <w:jc w:val="left"/>
            </w:pPr>
            <w:r>
              <w:t xml:space="preserve">R-01: 0 | R-02: 0 | R-03: 0 | R-04: 0 | R-05: 1 (los recorridos miden longitud de caminos y no efectos; el límite se declara)</w:t>
            </w:r>
          </w:p>
        </w:tc>
      </w:tr>
      <w:tr>
        <w:trPr>
          <w:cantSplit/>
        </w:trPr>
        <w:tc>
          <w:tcPr/>
          <w:p>
            <w:pPr>
              <w:pStyle w:val="Tabla9"/>
              <w:jc w:val="left"/>
            </w:pPr>
            <w:r>
              <w:t xml:space="preserve">PATRON_DOMINANTE</w:t>
            </w:r>
          </w:p>
        </w:tc>
        <w:tc>
          <w:tcPr/>
          <w:p>
            <w:pPr>
              <w:pStyle w:val="Tabla9"/>
              <w:jc w:val="left"/>
            </w:pPr>
            <w:r>
              <w:t xml:space="preserve">PR-06 (patrón emergente): la posición indirecta depende de los ciclos del escenario y de k.</w:t>
            </w:r>
          </w:p>
        </w:tc>
      </w:tr>
      <w:tr>
        <w:trPr>
          <w:cantSplit/>
        </w:trPr>
        <w:tc>
          <w:tcPr/>
          <w:p>
            <w:pPr>
              <w:pStyle w:val="Tabla9"/>
              <w:jc w:val="left"/>
            </w:pPr>
            <w:r>
              <w:t xml:space="preserve">ANTIPATRONES_PR</w:t>
            </w:r>
          </w:p>
        </w:tc>
        <w:tc>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Un analista de la IES recalcula cada trimestre ambas lecturas con las fichas vigentes y registra las variables que cambian de clase. El equipo formulador decide con ese registro si revisa las hipótesis de intervención.</w:t>
            </w:r>
          </w:p>
        </w:tc>
      </w:tr>
      <w:tr>
        <w:trPr>
          <w:cantSplit/>
        </w:trPr>
        <w:tc>
          <w:tcPr/>
          <w:p>
            <w:pPr>
              <w:pStyle w:val="Tabla9"/>
              <w:jc w:val="left"/>
            </w:pPr>
            <w:r>
              <w:t xml:space="preserve">EVIDENCIA_JH_A</w:t>
            </w:r>
          </w:p>
        </w:tc>
        <w:tc>
          <w:tcPr/>
          <w:p>
            <w:pPr>
              <w:pStyle w:val="Tabla9"/>
              <w:jc w:val="left"/>
            </w:pPr>
            <w:r>
              <w:t xml:space="preserve">Registro trimestral de cambios de clase firmado por el analista (artefacto por producir; no existe aún).</w:t>
            </w:r>
          </w:p>
        </w:tc>
      </w:tr>
      <w:tr>
        <w:trPr>
          <w:cantSplit/>
        </w:trPr>
        <w:tc>
          <w:tcPr/>
          <w:p>
            <w:pPr>
              <w:pStyle w:val="Tabla9"/>
              <w:jc w:val="left"/>
            </w:pPr>
            <w:r>
              <w:t xml:space="preserve">EVIDENCIA_JH_B</w:t>
            </w:r>
          </w:p>
        </w:tc>
        <w:tc>
          <w:tcPr/>
          <w:p>
            <w:pPr>
              <w:pStyle w:val="Tabla9"/>
              <w:jc w:val="left"/>
            </w:pPr>
            <w:r>
              <w:t xml:space="preserve">Tabla de rangos indirectos por escenario, potencias hasta k = 10 y estabilidad observada (F4.4.11 a F4.4.13).</w:t>
            </w:r>
          </w:p>
        </w:tc>
      </w:tr>
      <w:tr>
        <w:trPr>
          <w:cantSplit/>
        </w:trPr>
        <w:tc>
          <w:tcPr/>
          <w:p>
            <w:pPr>
              <w:pStyle w:val="Tabla9"/>
              <w:jc w:val="left"/>
            </w:pPr>
            <w:r>
              <w:t xml:space="preserve">CERCA_CONCEPTUAL</w:t>
            </w:r>
          </w:p>
        </w:tc>
        <w:tc>
          <w:tcPr/>
          <w:p>
            <w:pPr>
              <w:pStyle w:val="Tabla9"/>
              <w:jc w:val="left"/>
            </w:pPr>
            <w:r>
              <w:t xml:space="preserve">Los recorridos no son tiempo ni efecto causal. La estabilidad observada no prueba convergencia.</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p>
            <w:pPr>
              <w:pStyle w:val="Tabla9"/>
              <w:jc w:val="left"/>
            </w:pPr>
            <w:r>
              <w:t xml:space="preserve">VEREDICTO</w:t>
            </w:r>
          </w:p>
        </w:tc>
        <w:tc>
          <w:tcPr/>
          <w:p>
            <w:pPr>
              <w:pStyle w:val="Tabla9"/>
              <w:jc w:val="left"/>
            </w:pPr>
            <w:r>
              <w:t xml:space="preserve">Lectura reconciliada: V06 permanece crítica en ambas lecturas; cinco variables cambian de clase y su rol queda condicionado.</w:t>
            </w:r>
          </w:p>
        </w:tc>
      </w:tr>
      <w:tr>
        <w:trPr>
          <w:cantSplit/>
        </w:trPr>
        <w:tc>
          <w:tcPr/>
          <w:p>
            <w:pPr>
              <w:pStyle w:val="Tabla9"/>
              <w:jc w:val="left"/>
            </w:pPr>
            <w:r>
              <w:t xml:space="preserve">RAZON_DEL_DESCARTE</w:t>
            </w:r>
          </w:p>
        </w:tc>
        <w:tc>
          <w:tcPr/>
          <w:p>
            <w:pPr>
              <w:pStyle w:val="Tabla9"/>
              <w:jc w:val="left"/>
            </w:pPr>
            <w:r>
              <w:t xml:space="preserve">Se descarta sustituir la lectura directa por la indirecta, porque la segunda depende de ciclos con fichas de confianza baja.</w:t>
            </w:r>
          </w:p>
        </w:tc>
      </w:tr>
      <w:tr>
        <w:trPr>
          <w:cantSplit/>
        </w:trPr>
        <w:tc>
          <w:tcPr/>
          <w:p>
            <w:pPr>
              <w:pStyle w:val="Tabla9"/>
              <w:jc w:val="left"/>
            </w:pPr>
            <w:r>
              <w:t xml:space="preserve">RESULTADO</w:t>
            </w:r>
          </w:p>
        </w:tc>
        <w:tc>
          <w:tcPr/>
          <w:p>
            <w:pPr>
              <w:pStyle w:val="Tabla9"/>
              <w:jc w:val="left"/>
            </w:pPr>
            <w:r>
              <w:t xml:space="preserve">CIERRA con vacíos declarados (ratificación de fichas).</w:t>
            </w:r>
          </w:p>
        </w:tc>
      </w:tr>
    </w:tbl>
    <w:p>
      <w:pPr>
        <w:pStyle w:val="TablaNota"/>
      </w:pPr>
      <w:r>
        <w:rPr>
          <w:i/>
          <w:iCs/>
        </w:rPr>
        <w:t xml:space="preserve">Nota.</w:t>
      </w:r>
      <w:r>
        <w:t xml:space="preserve"> </w:t>
      </w:r>
      <w:r>
        <w:t xml:space="preserve">Elaboración propia con el expediente de la sección F4.4.</w:t>
      </w:r>
    </w:p>
    <w:bookmarkEnd w:id="189"/>
    <w:bookmarkStart w:id="190" w:name="Xfb53918a924ac1f16828e976262f0459a39833c"/>
    <w:p>
      <w:pPr>
        <w:pStyle w:val="Heading3"/>
      </w:pPr>
      <w:r>
        <w:t xml:space="preserve">F4.4.14 Interpretación estructural, límites, brechas, evidencias de ejecución y checkpoint</w:t>
      </w:r>
    </w:p>
    <w:p>
      <w:pPr>
        <w:pStyle w:val="FirstParagraph"/>
      </w:pPr>
      <w:r>
        <w:rPr>
          <w:b/>
          <w:bCs/>
        </w:rPr>
        <w:t xml:space="preserve">Interpretación estructural.</w:t>
      </w:r>
      <w:r>
        <w:t xml:space="preserve"> </w:t>
      </w:r>
      <w:r>
        <w:t xml:space="preserve">Las afirmaciones siguientes valen para el escenario de trabajo S2 y sus envolventes. Son hipótesis de influencia estructural (estatuto HIE). Ninguna se eleva a efecto causal identificado ni estimado.</w:t>
      </w:r>
    </w:p>
    <w:p>
      <w:pPr>
        <w:numPr>
          <w:ilvl w:val="0"/>
          <w:numId w:val="1002"/>
        </w:numPr>
      </w:pPr>
      <w:r>
        <w:t xml:space="preserve">S2 contiene 48 aristas (7 de peso 3, 16 de peso 2 y 25 de peso 1) y suma 78 puntos. Frente a S0 (22 aristas, 53 puntos) y S1 (32 aristas, 67 puntos), S2 agrega 26 aristas que S0 codifica como cero. No elimina ninguna arista de S0. Modifica el valor de 7 aristas heredadas. Todos esos cambios tienen mecanismo declarado en las fichas. La densidad (22,9 %) no fue un objetivo; resulta de los juicios.</w:t>
      </w:r>
    </w:p>
    <w:p>
      <w:pPr>
        <w:numPr>
          <w:ilvl w:val="0"/>
          <w:numId w:val="1002"/>
        </w:numPr>
      </w:pPr>
      <w:r>
        <w:t xml:space="preserve">V06 (error de medición) queda en el cuadrante crítico en los cinco escenarios. Recibe de V01 a V04, V07 y V10 y transmite a V07, V09, V11, V12 y V15. En la hipótesis HIE, el error de medición actúa como cuello de botella estructural entre el entorno físico y las variables de decisión. El resultado es coherente con la selección de V06 como problema central en E3, pero se obtiene con otra matriz.</w:t>
      </w:r>
    </w:p>
    <w:p>
      <w:pPr>
        <w:numPr>
          <w:ilvl w:val="0"/>
          <w:numId w:val="1002"/>
        </w:numPr>
      </w:pPr>
      <w:r>
        <w:t xml:space="preserve">V07 (frecuencia de calibración) cae en FRONTERA en S2 (influencia 5, igual a la mediana) y ocupa el rango 8 de influencia indirecta. La afirmación previa de que V07 es la palanca independiente máxima no se sostiene con S2. V07→V06 recibe 3 con dominio {2,3}: si el valor fuera 2, V07 pasa a AUTONOMA_RELATIVA (influencia 4) y cambia la clase indirecta de V10.</w:t>
      </w:r>
    </w:p>
    <w:p>
      <w:pPr>
        <w:numPr>
          <w:ilvl w:val="0"/>
          <w:numId w:val="1002"/>
        </w:numPr>
      </w:pPr>
      <w:r>
        <w:t xml:space="preserve">V08 (latencia) ocupa el último lugar de influencia indirecta (rango 15) en S2 y es autónoma relativa. Su único vínculo de salida con peso positivo es V08→V13 (2). Los vínculos V08→V06 y V07→V08 son 0 y 1 con dominios amplios. La estructura de S2 no respalda que la latencia sea un polo estructural de la contradicción raíz CTR-01. Esa conclusión depende de V08→V06 y de la definición de V08; no es concluyente.</w:t>
      </w:r>
    </w:p>
    <w:p>
      <w:pPr>
        <w:numPr>
          <w:ilvl w:val="0"/>
          <w:numId w:val="1002"/>
        </w:numPr>
      </w:pPr>
      <w:r>
        <w:t xml:space="preserve">V15 (adopción institucional) es crítica en S2 y S4, FRONTERA en S1 y S3 y reactiva en S0, donde no tiene salidas. Es la variable con mayor dependencia indirecta (rango 1) y participa en 140 de 144 ciclos simples. La retroalimentación institucional exige cinco fichas de salida de V15, todas con confianza baja o media y dominios que incluyen valores menores. La conclusión sobre el papel de V15 es sensible a esas fichas.</w:t>
      </w:r>
    </w:p>
    <w:p>
      <w:pPr>
        <w:numPr>
          <w:ilvl w:val="0"/>
          <w:numId w:val="1002"/>
        </w:numPr>
      </w:pPr>
      <w:r>
        <w:t xml:space="preserve">V03, V04 y V05 encabezan la influencia indirecta. V03 y V04 no reciben influencia; V05 recibe una sola arista (V15→V05). Son fuentes de recorridos y no palancas de intervención del proyecto, salvo V05 mediante decisiones institucionales.</w:t>
      </w:r>
    </w:p>
    <w:p>
      <w:pPr>
        <w:numPr>
          <w:ilvl w:val="0"/>
          <w:numId w:val="1002"/>
        </w:numPr>
      </w:pPr>
      <w:r>
        <w:t xml:space="preserve">S0 (grafo acíclico) se extingue en A^7. El documento E3-P05 afirma dos cosas sobre esa extinción. Afirma haber probado matemáticamente que la arquitectura modelada es un grafo dirigido acíclico. Dice que valida «la linealidad termodinámica del problema de escombros». La extinción es una propiedad de las 22 aristas codificadas, que omiten entradas como V01→V11 y V02→V11 y retroalimentaciones como V15→V09. No demuestra linealidad del sistema.</w:t>
      </w:r>
    </w:p>
    <w:p>
      <w:pPr>
        <w:pStyle w:val="FirstParagraph"/>
      </w:pPr>
      <w:r>
        <w:rPr>
          <w:b/>
          <w:bCs/>
        </w:rPr>
        <w:t xml:space="preserve">Límites.</w:t>
      </w:r>
      <w:r>
        <w:t xml:space="preserve"> </w:t>
      </w:r>
      <w:r>
        <w:t xml:space="preserve">(a) Los 210 juicios son PROPUESTOS por una instancia analítica y ninguno fue ratificado. (b) Las fuentes primarias no fueron leídas; 41 de 48 direcciones no nulas citan al menos un localizador secundario o interno. (c) La autorrevisión de las fichas no equivale a un panel independiente. (d) Los dominios admisibles expresan incertidumbre ordinal, no probabilidad. (e) La estabilidad observada de rangos no demuestra convergencia dinámica. (f) Las posiciones dependen de la definición de las variables y de tres ambigüedades del diccionario.</w:t>
      </w:r>
    </w:p>
    <w:p>
      <w:pPr>
        <w:pStyle w:val="BodyText"/>
      </w:pPr>
      <w:r>
        <w:rPr>
          <w:b/>
          <w:bCs/>
        </w:rPr>
        <w:t xml:space="preserve">Brechas específicas de 4.4 y ruta de resolución (¿Qué se me escapa?).</w:t>
      </w:r>
    </w:p>
    <w:p>
      <w:pPr>
        <w:pStyle w:val="BodyText"/>
      </w:pPr>
      <w:r>
        <w:t xml:space="preserve">La Tabla F4.53 reúne los datos de «Brechas específicas de 4.4 y ruta de resolución (¿Qué se me escapa?)».</w:t>
      </w:r>
    </w:p>
    <w:p>
      <w:pPr>
        <w:pStyle w:val="TablaRotulo"/>
      </w:pPr>
      <w:bookmarkStart w:id="9130" w:name="rot_Tabla_F4_53"/>
      <w:r>
        <w:rPr>
          <w:b/>
          <w:bCs/>
        </w:rPr>
        <w:t xml:space="preserve">Tabla F4.53</w:t>
      </w:r>
      <w:bookmarkEnd w:id="9130"/>
    </w:p>
    <w:p>
      <w:pPr>
        <w:pStyle w:val="TablaTitulo"/>
      </w:pPr>
      <w:r>
        <w:rPr>
          <w:i/>
          <w:iCs/>
        </w:rPr>
        <w:t xml:space="preserve">Brechas específicas de 4.4 y ruta de resolución (¿Qué se me escapa?)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97"/>
        <w:gridCol w:w="1863"/>
        <w:gridCol w:w="1930"/>
        <w:gridCol w:w="2529"/>
      </w:tblGrid>
      <w:tr>
        <w:trPr>
          <w:cantSplit/>
          <w:tblHeader/>
        </w:trPr>
        <w:tc>
          <w:tcPr>
            <w:shd w:val="clear" w:color="auto" w:fill="00B050"/>
          </w:tcPr>
          <w:p>
            <w:pPr>
              <w:pStyle w:val="Tabla9"/>
              <w:jc w:val="center"/>
            </w:pPr>
            <w:r>
              <w:rPr>
                <w:b/>
                <w:color w:val="FFFFFF"/>
              </w:rPr>
              <w:t xml:space="preserve">Brecha</w:t>
            </w:r>
          </w:p>
        </w:tc>
        <w:tc>
          <w:tcPr>
            <w:shd w:val="clear" w:color="auto" w:fill="00B050"/>
          </w:tcPr>
          <w:p>
            <w:pPr>
              <w:pStyle w:val="Tabla9"/>
              <w:jc w:val="center"/>
            </w:pPr>
            <w:r>
              <w:rPr>
                <w:b/>
                <w:color w:val="FFFFFF"/>
              </w:rPr>
              <w:t xml:space="preserve">Efecto sobre la decisión</w:t>
            </w:r>
          </w:p>
        </w:tc>
        <w:tc>
          <w:tcPr>
            <w:shd w:val="clear" w:color="auto" w:fill="00B050"/>
          </w:tcPr>
          <w:p>
            <w:pPr>
              <w:pStyle w:val="Tabla9"/>
              <w:jc w:val="center"/>
            </w:pPr>
            <w:r>
              <w:rPr>
                <w:b/>
                <w:color w:val="FFFFFF"/>
              </w:rPr>
              <w:t xml:space="preserve">Ruta de resolución</w:t>
            </w:r>
          </w:p>
        </w:tc>
        <w:tc>
          <w:tcPr>
            <w:shd w:val="clear" w:color="auto" w:fill="00B050"/>
          </w:tcPr>
          <w:p>
            <w:pPr>
              <w:pStyle w:val="Tabla9"/>
              <w:jc w:val="center"/>
            </w:pPr>
            <w:r>
              <w:rPr>
                <w:b/>
                <w:color w:val="FFFFFF"/>
              </w:rPr>
              <w:t xml:space="preserve">Tenedor</w:t>
            </w:r>
          </w:p>
        </w:tc>
      </w:tr>
      <w:tr>
        <w:trPr>
          <w:cantSplit/>
        </w:trPr>
        <w:tc>
          <w:tcPr/>
          <w:p>
            <w:pPr>
              <w:pStyle w:val="Tabla9"/>
              <w:jc w:val="left"/>
            </w:pPr>
            <w:r>
              <w:t xml:space="preserve">Panel humano ausente: ninguna ficha fue adjudicada</w:t>
            </w:r>
          </w:p>
        </w:tc>
        <w:tc>
          <w:tcPr/>
          <w:p>
            <w:pPr>
              <w:pStyle w:val="Tabla9"/>
              <w:jc w:val="left"/>
            </w:pPr>
            <w:r>
              <w:t xml:space="preserve">Impide certificar la MID y toda decisión que dependa de ella</w:t>
            </w:r>
          </w:p>
        </w:tc>
        <w:tc>
          <w:tcPr/>
          <w:p>
            <w:pPr>
              <w:pStyle w:val="Tabla9"/>
              <w:jc w:val="left"/>
            </w:pPr>
            <w:r>
              <w:t xml:space="preserve">Sesión de adjudicación con acta, comenzando por los 14 enlaces de mayor efecto (F4.4.13)</w:t>
            </w:r>
          </w:p>
        </w:tc>
        <w:tc>
          <w:tcPr/>
          <w:p>
            <w:pPr>
              <w:pStyle w:val="Tabla9"/>
              <w:jc w:val="left"/>
            </w:pPr>
            <w:r>
              <w:t xml:space="preserve">POR_IDENTIFICAR (equipo formulador)</w:t>
            </w:r>
          </w:p>
        </w:tc>
      </w:tr>
      <w:tr>
        <w:trPr>
          <w:cantSplit/>
        </w:trPr>
        <w:tc>
          <w:tcPr/>
          <w:p>
            <w:pPr>
              <w:pStyle w:val="Tabla9"/>
              <w:jc w:val="left"/>
            </w:pPr>
            <w:r>
              <w:t xml:space="preserve">Fuentes primarias no leídas</w:t>
            </w:r>
          </w:p>
        </w:tc>
        <w:tc>
          <w:tcPr/>
          <w:p>
            <w:pPr>
              <w:pStyle w:val="Tabla9"/>
              <w:jc w:val="left"/>
            </w:pPr>
            <w:r>
              <w:t xml:space="preserve">El respaldo de 41 direcciones es secundario</w:t>
            </w:r>
          </w:p>
        </w:tc>
        <w:tc>
          <w:tcPr/>
          <w:p>
            <w:pPr>
              <w:pStyle w:val="Tabla9"/>
              <w:jc w:val="left"/>
            </w:pPr>
            <w:r>
              <w:t xml:space="preserve">Leer Suresh 2025, Bang 2026, Ayala-Parra 2026 y Tavella 2026 con localizador de página</w:t>
            </w:r>
          </w:p>
        </w:tc>
        <w:tc>
          <w:tcPr/>
          <w:p>
            <w:pPr>
              <w:pStyle w:val="Tabla9"/>
              <w:jc w:val="left"/>
            </w:pPr>
            <w:r>
              <w:t xml:space="preserve">Analista documental</w:t>
            </w:r>
          </w:p>
        </w:tc>
      </w:tr>
      <w:tr>
        <w:trPr>
          <w:cantSplit/>
        </w:trPr>
        <w:tc>
          <w:tcPr/>
          <w:p>
            <w:pPr>
              <w:pStyle w:val="Tabla9"/>
              <w:jc w:val="left"/>
            </w:pPr>
            <w:r>
              <w:t xml:space="preserve">Variables omitidas del modelo: distancia a la referencia, edad del sensor, episodio de humo, precipitación</w:t>
            </w:r>
          </w:p>
        </w:tc>
        <w:tc>
          <w:tcPr/>
          <w:p>
            <w:pPr>
              <w:pStyle w:val="Tabla9"/>
              <w:jc w:val="left"/>
            </w:pPr>
            <w:r>
              <w:t xml:space="preserve">El informe_FINAL las trata como determinantes del error; su ausencia puede inflar la influencia de V03 y V07</w:t>
            </w:r>
          </w:p>
        </w:tc>
        <w:tc>
          <w:tcPr/>
          <w:p>
            <w:pPr>
              <w:pStyle w:val="Tabla9"/>
              <w:jc w:val="left"/>
            </w:pPr>
            <w:r>
              <w:t xml:space="preserve">Evaluar ampliar a n = 19 o reemplazar variables débiles; rehacer 4.4</w:t>
            </w:r>
          </w:p>
        </w:tc>
        <w:tc>
          <w:tcPr/>
          <w:p>
            <w:pPr>
              <w:pStyle w:val="Tabla9"/>
              <w:jc w:val="left"/>
            </w:pPr>
            <w:r>
              <w:t xml:space="preserve">Equipo formulador</w:t>
            </w:r>
          </w:p>
        </w:tc>
      </w:tr>
      <w:tr>
        <w:trPr>
          <w:cantSplit/>
        </w:trPr>
        <w:tc>
          <w:tcPr/>
          <w:p>
            <w:pPr>
              <w:pStyle w:val="Tabla9"/>
              <w:jc w:val="left"/>
            </w:pPr>
            <w:r>
              <w:t xml:space="preserve">Ambigüedades V-DIC-01, V-DIC-02 y V-DIC-03</w:t>
            </w:r>
          </w:p>
        </w:tc>
        <w:tc>
          <w:tcPr/>
          <w:p>
            <w:pPr>
              <w:pStyle w:val="Tabla9"/>
              <w:jc w:val="left"/>
            </w:pPr>
            <w:r>
              <w:t xml:space="preserve">Cambian V06→V01, V09→V10 y V10→V06</w:t>
            </w:r>
          </w:p>
        </w:tc>
        <w:tc>
          <w:tcPr/>
          <w:p>
            <w:pPr>
              <w:pStyle w:val="Tabla9"/>
              <w:jc w:val="left"/>
            </w:pPr>
            <w:r>
              <w:t xml:space="preserve">Aclarar en el diccionario antes de ratificar</w:t>
            </w:r>
          </w:p>
        </w:tc>
        <w:tc>
          <w:tcPr/>
          <w:p>
            <w:pPr>
              <w:pStyle w:val="Tabla9"/>
              <w:jc w:val="left"/>
            </w:pPr>
            <w:r>
              <w:t xml:space="preserve">Equipo formulador</w:t>
            </w:r>
          </w:p>
        </w:tc>
      </w:tr>
      <w:tr>
        <w:trPr>
          <w:cantSplit/>
        </w:trPr>
        <w:tc>
          <w:tcPr/>
          <w:p>
            <w:pPr>
              <w:pStyle w:val="Tabla9"/>
              <w:jc w:val="left"/>
            </w:pPr>
            <w:r>
              <w:t xml:space="preserve">Fórmula local del AQHI (V-AQHI-01)</w:t>
            </w:r>
          </w:p>
        </w:tc>
        <w:tc>
          <w:tcPr/>
          <w:p>
            <w:pPr>
              <w:pStyle w:val="Tabla9"/>
              <w:jc w:val="left"/>
            </w:pPr>
            <w:r>
              <w:t xml:space="preserve">V01→V11 y V02→V11 dependen de ella</w:t>
            </w:r>
          </w:p>
        </w:tc>
        <w:tc>
          <w:tcPr/>
          <w:p>
            <w:pPr>
              <w:pStyle w:val="Tabla9"/>
              <w:jc w:val="left"/>
            </w:pPr>
            <w:r>
              <w:t xml:space="preserve">Definir la fórmula y su validación (decisión D-05 del informe_FINAL)</w:t>
            </w:r>
          </w:p>
        </w:tc>
        <w:tc>
          <w:tcPr/>
          <w:p>
            <w:pPr>
              <w:pStyle w:val="Tabla9"/>
              <w:jc w:val="left"/>
            </w:pPr>
            <w:r>
              <w:t xml:space="preserve">Equipo formulador y autoridad de salud</w:t>
            </w:r>
          </w:p>
        </w:tc>
      </w:tr>
      <w:tr>
        <w:trPr>
          <w:cantSplit/>
        </w:trPr>
        <w:tc>
          <w:tcPr/>
          <w:p>
            <w:pPr>
              <w:pStyle w:val="Tabla9"/>
              <w:jc w:val="left"/>
            </w:pPr>
            <w:r>
              <w:t xml:space="preserve">Sin términos de referencia</w:t>
            </w:r>
          </w:p>
        </w:tc>
        <w:tc>
          <w:tcPr/>
          <w:p>
            <w:pPr>
              <w:pStyle w:val="Tabla9"/>
              <w:jc w:val="left"/>
            </w:pPr>
            <w:r>
              <w:t xml:space="preserve">No se verifica la tipología ni el horizonte</w:t>
            </w:r>
          </w:p>
        </w:tc>
        <w:tc>
          <w:tcPr/>
          <w:p>
            <w:pPr>
              <w:pStyle w:val="Tabla9"/>
              <w:jc w:val="left"/>
            </w:pPr>
            <w:r>
              <w:t xml:space="preserve">Aportar los TdR de la convocatoria</w:t>
            </w:r>
          </w:p>
        </w:tc>
        <w:tc>
          <w:tcPr/>
          <w:p>
            <w:pPr>
              <w:pStyle w:val="Tabla9"/>
              <w:jc w:val="left"/>
            </w:pPr>
            <w:r>
              <w:t xml:space="preserve">Entidad ejecutora (supuesta)</w:t>
            </w:r>
          </w:p>
        </w:tc>
      </w:tr>
      <w:tr>
        <w:trPr>
          <w:cantSplit/>
        </w:trPr>
        <w:tc>
          <w:tcPr/>
          <w:p>
            <w:pPr>
              <w:pStyle w:val="Tabla9"/>
              <w:jc w:val="left"/>
            </w:pPr>
            <w:r>
              <w:t xml:space="preserve">Exportación XLSX oficial no ejecutada</w:t>
            </w:r>
          </w:p>
        </w:tc>
        <w:tc>
          <w:tcPr/>
          <w:p>
            <w:pPr>
              <w:pStyle w:val="Tabla9"/>
              <w:jc w:val="left"/>
            </w:pPr>
            <w:r>
              <w:t xml:space="preserve">Falta el libro estándar del motor</w:t>
            </w:r>
          </w:p>
        </w:tc>
        <w:tc>
          <w:tcPr/>
          <w:p>
            <w:pPr>
              <w:pStyle w:val="Tabla9"/>
              <w:jc w:val="left"/>
            </w:pPr>
            <w:r>
              <w:t xml:space="preserve">Disponer de artifact_tool o aceptar los libros derivados de la plantilla</w:t>
            </w:r>
          </w:p>
        </w:tc>
        <w:tc>
          <w:tcPr/>
          <w:p>
            <w:pPr>
              <w:pStyle w:val="Tabla9"/>
              <w:jc w:val="left"/>
            </w:pPr>
            <w:r>
              <w:t xml:space="preserve">Usuario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Evidencias de ejecución.</w:t>
      </w:r>
    </w:p>
    <w:p>
      <w:pPr>
        <w:pStyle w:val="BodyText"/>
      </w:pPr>
      <w:r>
        <w:t xml:space="preserve">La Tabla F4.54 reúne los datos de «Evidencias de ejecución».</w:t>
      </w:r>
    </w:p>
    <w:p>
      <w:pPr>
        <w:pStyle w:val="TablaRotulo"/>
      </w:pPr>
      <w:bookmarkStart w:id="9131" w:name="rot_Tabla_F4_54"/>
      <w:r>
        <w:rPr>
          <w:b/>
          <w:bCs/>
        </w:rPr>
        <w:t xml:space="preserve">Tabla F4.54</w:t>
      </w:r>
      <w:bookmarkEnd w:id="9131"/>
    </w:p>
    <w:p>
      <w:pPr>
        <w:pStyle w:val="TablaTitulo"/>
      </w:pPr>
      <w:r>
        <w:rPr>
          <w:i/>
          <w:iCs/>
        </w:rPr>
        <w:t xml:space="preserve">Evidencias de ejecución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508"/>
        <w:gridCol w:w="2772"/>
        <w:gridCol w:w="2640"/>
      </w:tblGrid>
      <w:tr>
        <w:trPr>
          <w:cantSplit/>
          <w:tblHeader/>
        </w:trPr>
        <w:tc>
          <w:tcPr>
            <w:shd w:val="clear" w:color="auto" w:fill="00B050"/>
          </w:tcPr>
          <w:p>
            <w:pPr>
              <w:pStyle w:val="Tabla9"/>
              <w:jc w:val="center"/>
            </w:pPr>
            <w:r>
              <w:rPr>
                <w:b/>
                <w:color w:val="FFFFFF"/>
              </w:rPr>
              <w:t xml:space="preserve">Control</w:t>
            </w:r>
          </w:p>
        </w:tc>
        <w:tc>
          <w:tcPr>
            <w:shd w:val="clear" w:color="auto" w:fill="00B050"/>
          </w:tcPr>
          <w:p>
            <w:pPr>
              <w:pStyle w:val="Tabla9"/>
              <w:jc w:val="center"/>
            </w:pPr>
            <w:r>
              <w:rPr>
                <w:b/>
                <w:color w:val="FFFFFF"/>
              </w:rPr>
              <w:t xml:space="preserve">Resultado</w:t>
            </w:r>
          </w:p>
        </w:tc>
        <w:tc>
          <w:tcPr>
            <w:shd w:val="clear" w:color="auto" w:fill="00B050"/>
          </w:tcPr>
          <w:p>
            <w:pPr>
              <w:pStyle w:val="Tabla9"/>
              <w:jc w:val="center"/>
            </w:pPr>
            <w:r>
              <w:rPr>
                <w:b/>
                <w:color w:val="FFFFFF"/>
              </w:rPr>
              <w:t xml:space="preserve">Alcance</w:t>
            </w:r>
          </w:p>
        </w:tc>
      </w:tr>
      <w:tr>
        <w:trPr>
          <w:cantSplit/>
        </w:trPr>
        <w:tc>
          <w:tcPr/>
          <w:p>
            <w:pPr>
              <w:pStyle w:val="Tabla9"/>
              <w:jc w:val="left"/>
            </w:pPr>
            <w:r>
              <w:t xml:space="preserve">SHA-256 de 12 programas extraídos del metaprompt (11 PROGRAMA o validador, más arboles_mdr_svg.py)</w:t>
            </w:r>
          </w:p>
        </w:tc>
        <w:tc>
          <w:tcPr/>
          <w:p>
            <w:pPr>
              <w:pStyle w:val="Tabla9"/>
              <w:jc w:val="left"/>
            </w:pPr>
            <w:r>
              <w:t xml:space="preserve">12 de 12 coinciden con la huella declarada</w:t>
            </w:r>
          </w:p>
        </w:tc>
        <w:tc>
          <w:tcPr/>
          <w:p>
            <w:pPr>
              <w:pStyle w:val="Tabla9"/>
              <w:jc w:val="left"/>
            </w:pPr>
            <w:r>
              <w:t xml:space="preserve">HASH_COMPROBADO; arboles_mdr_svg.py coincide tras retirar el primer salto de línea, como indica GEN-MDR-QA-06</w:t>
            </w:r>
          </w:p>
        </w:tc>
      </w:tr>
      <w:tr>
        <w:trPr>
          <w:cantSplit/>
        </w:trPr>
        <w:tc>
          <w:tcPr/>
          <w:p>
            <w:pPr>
              <w:pStyle w:val="Tabla9"/>
              <w:jc w:val="left"/>
            </w:pPr>
            <w:r>
              <w:t xml:space="preserve">genesis_paritario_vm.py con 105 fichas, 5 escenarios, seed 20261011, kmax 10, ventana 3, corte mediana</w:t>
            </w:r>
          </w:p>
        </w:tc>
        <w:tc>
          <w:tcPr/>
          <w:p>
            <w:pPr>
              <w:pStyle w:val="Tabla9"/>
              <w:jc w:val="left"/>
            </w:pPr>
            <w:r>
              <w:t xml:space="preserve">Ejecutado; 0 errores de ficha</w:t>
            </w:r>
          </w:p>
        </w:tc>
        <w:tc>
          <w:tcPr/>
          <w:p>
            <w:pPr>
              <w:pStyle w:val="Tabla9"/>
              <w:jc w:val="left"/>
            </w:pPr>
            <w:r>
              <w:t xml:space="preserve">CÁLCULO EJECUTADO</w:t>
            </w:r>
          </w:p>
        </w:tc>
      </w:tr>
      <w:tr>
        <w:trPr>
          <w:cantSplit/>
        </w:trPr>
        <w:tc>
          <w:tcPr/>
          <w:p>
            <w:pPr>
              <w:pStyle w:val="Tabla9"/>
              <w:jc w:val="left"/>
            </w:pPr>
            <w:r>
              <w:t xml:space="preserve">Segunda implementación: plantilla XLSX del usuario recalculada con LibreOffice</w:t>
            </w:r>
          </w:p>
        </w:tc>
        <w:tc>
          <w:tcPr/>
          <w:p>
            <w:pPr>
              <w:pStyle w:val="Tabla9"/>
              <w:jc w:val="left"/>
            </w:pPr>
            <w:r>
              <w:t xml:space="preserve">A¹ a A⁶ idénticas al motor en S0, S1 y S2</w:t>
            </w:r>
          </w:p>
        </w:tc>
        <w:tc>
          <w:tcPr/>
          <w:p>
            <w:pPr>
              <w:pStyle w:val="Tabla9"/>
              <w:jc w:val="left"/>
            </w:pPr>
            <w:r>
              <w:t xml:space="preserve">Verificación aritmética de seis potencias</w:t>
            </w:r>
          </w:p>
        </w:tc>
      </w:tr>
      <w:tr>
        <w:trPr>
          <w:cantSplit/>
        </w:trPr>
        <w:tc>
          <w:tcPr/>
          <w:p>
            <w:pPr>
              <w:pStyle w:val="Tabla9"/>
              <w:jc w:val="left"/>
            </w:pPr>
            <w:r>
              <w:t xml:space="preserve">Cinco permutaciones simultáneas de filas y columnas</w:t>
            </w:r>
          </w:p>
        </w:tc>
        <w:tc>
          <w:tcPr/>
          <w:p>
            <w:pPr>
              <w:pStyle w:val="Tabla9"/>
              <w:jc w:val="left"/>
            </w:pPr>
            <w:r>
              <w:t xml:space="preserve">5 de 5 invariantes</w:t>
            </w:r>
          </w:p>
        </w:tc>
        <w:tc>
          <w:tcPr/>
          <w:p>
            <w:pPr>
              <w:pStyle w:val="Tabla9"/>
              <w:jc w:val="left"/>
            </w:pPr>
            <w:r>
              <w:t xml:space="preserve">Invarianza matemática</w:t>
            </w:r>
          </w:p>
        </w:tc>
      </w:tr>
      <w:tr>
        <w:trPr>
          <w:cantSplit/>
        </w:trPr>
        <w:tc>
          <w:tcPr/>
          <w:p>
            <w:pPr>
              <w:pStyle w:val="Tabla9"/>
              <w:jc w:val="left"/>
            </w:pPr>
            <w:r>
              <w:t xml:space="preserve">Perturbación de un enlace</w:t>
            </w:r>
          </w:p>
        </w:tc>
        <w:tc>
          <w:tcPr/>
          <w:p>
            <w:pPr>
              <w:pStyle w:val="Tabla9"/>
              <w:jc w:val="left"/>
            </w:pPr>
            <w:r>
              <w:t xml:space="preserve">87 cambios evaluados</w:t>
            </w:r>
          </w:p>
        </w:tc>
        <w:tc>
          <w:tcPr/>
          <w:p>
            <w:pPr>
              <w:pStyle w:val="Tabla9"/>
              <w:jc w:val="left"/>
            </w:pPr>
            <w:r>
              <w:t xml:space="preserve">Sensibilidad ordinal, no probabilística</w:t>
            </w:r>
          </w:p>
        </w:tc>
      </w:tr>
      <w:tr>
        <w:trPr>
          <w:cantSplit/>
        </w:trPr>
        <w:tc>
          <w:tcPr/>
          <w:p>
            <w:pPr>
              <w:pStyle w:val="Tabla9"/>
              <w:jc w:val="left"/>
            </w:pPr>
            <w:r>
              <w:t xml:space="preserve">Control de alcance</w:t>
            </w:r>
          </w:p>
        </w:tc>
        <w:tc>
          <w:tcPr/>
          <w:p>
            <w:pPr>
              <w:pStyle w:val="Tabla9"/>
              <w:jc w:val="left"/>
            </w:pPr>
            <w:r>
              <w:t xml:space="preserve">Ver SECCION_4_4_scope_guard.json</w:t>
            </w:r>
          </w:p>
        </w:tc>
        <w:tc>
          <w:tcPr/>
          <w:p>
            <w:pPr>
              <w:pStyle w:val="Tabla9"/>
              <w:jc w:val="left"/>
            </w:pPr>
            <w:r>
              <w:t xml:space="preserve">Identidad, orden y encabezados; no suficiencia semántica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Artefactos entregados de 4.4.</w:t>
      </w:r>
    </w:p>
    <w:p>
      <w:pPr>
        <w:pStyle w:val="BodyText"/>
      </w:pPr>
      <w:r>
        <w:t xml:space="preserve">La Tabla F4.55 reúne los datos de «Artefactos entregados de 4.4».</w:t>
      </w:r>
    </w:p>
    <w:p>
      <w:pPr>
        <w:pStyle w:val="TablaRotulo"/>
      </w:pPr>
      <w:bookmarkStart w:id="9132" w:name="rot_Tabla_F4_55"/>
      <w:r>
        <w:rPr>
          <w:b/>
          <w:bCs/>
        </w:rPr>
        <w:t xml:space="preserve">Tabla F4.55</w:t>
      </w:r>
      <w:bookmarkEnd w:id="9132"/>
    </w:p>
    <w:p>
      <w:pPr>
        <w:pStyle w:val="TablaTitulo"/>
      </w:pPr>
      <w:r>
        <w:rPr>
          <w:i/>
          <w:iCs/>
        </w:rPr>
        <w:t xml:space="preserve">Artefactos entregados de 4.4</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828"/>
        <w:gridCol w:w="4092"/>
      </w:tblGrid>
      <w:tr>
        <w:trPr>
          <w:cantSplit/>
          <w:tblHeader/>
        </w:trPr>
        <w:tc>
          <w:tcPr>
            <w:shd w:val="clear" w:color="auto" w:fill="00B050"/>
          </w:tcPr>
          <w:p>
            <w:pPr>
              <w:pStyle w:val="Tabla9"/>
              <w:jc w:val="center"/>
            </w:pPr>
            <w:r>
              <w:rPr>
                <w:b/>
                <w:color w:val="FFFFFF"/>
              </w:rPr>
              <w:t xml:space="preserve">Archivo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SECCION_4_4_SGR_CONV56_AIRE.md</w:t>
            </w:r>
          </w:p>
        </w:tc>
        <w:tc>
          <w:tcPr/>
          <w:p>
            <w:pPr>
              <w:pStyle w:val="Tabla9"/>
              <w:jc w:val="left"/>
            </w:pPr>
            <w:r>
              <w:t xml:space="preserve">Sección 4.4 con las 14 piezas (este archivo)</w:t>
            </w:r>
          </w:p>
        </w:tc>
      </w:tr>
      <w:tr>
        <w:trPr>
          <w:cantSplit/>
        </w:trPr>
        <w:tc>
          <w:tcPr/>
          <w:p>
            <w:pPr>
              <w:pStyle w:val="Tabla9"/>
              <w:jc w:val="left"/>
            </w:pPr>
            <w:r>
              <w:t xml:space="preserve">FICHAS_PARITARIAS.json y .csv</w:t>
            </w:r>
          </w:p>
        </w:tc>
        <w:tc>
          <w:tcPr/>
          <w:p>
            <w:pPr>
              <w:pStyle w:val="Tabla9"/>
              <w:jc w:val="left"/>
            </w:pPr>
            <w:r>
              <w:t xml:space="preserve">105 fichas, 210 direcciones, esquema GENESIS_FICHA_PARITARIA_3_0</w:t>
            </w:r>
          </w:p>
        </w:tc>
      </w:tr>
      <w:tr>
        <w:trPr>
          <w:cantSplit/>
        </w:trPr>
        <w:tc>
          <w:tcPr/>
          <w:p>
            <w:pPr>
              <w:pStyle w:val="Tabla9"/>
              <w:jc w:val="left"/>
            </w:pPr>
            <w:r>
              <w:t xml:space="preserve">RESULTADOS.json</w:t>
            </w:r>
          </w:p>
        </w:tc>
        <w:tc>
          <w:tcPr/>
          <w:p>
            <w:pPr>
              <w:pStyle w:val="Tabla9"/>
              <w:jc w:val="left"/>
            </w:pPr>
            <w:r>
              <w:t xml:space="preserve">Resultados completos del motor por escenario, con potencias, rangos y contraste</w:t>
            </w:r>
          </w:p>
        </w:tc>
      </w:tr>
      <w:tr>
        <w:trPr>
          <w:cantSplit/>
        </w:trPr>
        <w:tc>
          <w:tcPr/>
          <w:p>
            <w:pPr>
              <w:pStyle w:val="Tabla9"/>
              <w:jc w:val="left"/>
            </w:pPr>
            <w:r>
              <w:t xml:space="preserve">MID_FORMAL.csv, MID_&lt;escenario&gt;.csv</w:t>
            </w:r>
          </w:p>
        </w:tc>
        <w:tc>
          <w:tcPr/>
          <w:p>
            <w:pPr>
              <w:pStyle w:val="Tabla9"/>
              <w:jc w:val="left"/>
            </w:pPr>
            <w:r>
              <w:t xml:space="preserve">Matriz formal y matrices de cada escenario con TA y TP</w:t>
            </w:r>
          </w:p>
        </w:tc>
      </w:tr>
      <w:tr>
        <w:trPr>
          <w:cantSplit/>
        </w:trPr>
        <w:tc>
          <w:tcPr/>
          <w:p>
            <w:pPr>
              <w:pStyle w:val="Tabla9"/>
              <w:jc w:val="left"/>
            </w:pPr>
            <w:r>
              <w:t xml:space="preserve">potencias/&lt;escenario&gt;_A&lt;k&gt;.csv</w:t>
            </w:r>
          </w:p>
        </w:tc>
        <w:tc>
          <w:tcPr/>
          <w:p>
            <w:pPr>
              <w:pStyle w:val="Tabla9"/>
              <w:jc w:val="left"/>
            </w:pPr>
            <w:r>
              <w:t xml:space="preserve">Potencias exactas de cada escenario (S0: 6; S1, S2, S3, S4: 10 cada una)</w:t>
            </w:r>
          </w:p>
        </w:tc>
      </w:tr>
      <w:tr>
        <w:trPr>
          <w:cantSplit/>
        </w:trPr>
        <w:tc>
          <w:tcPr/>
          <w:p>
            <w:pPr>
              <w:pStyle w:val="Tabla9"/>
              <w:jc w:val="left"/>
            </w:pPr>
            <w:r>
              <w:t xml:space="preserve">REGISTRO_DIRECCIONES.csv, PLAN_PARITARIO.csv</w:t>
            </w:r>
          </w:p>
        </w:tc>
        <w:tc>
          <w:tcPr/>
          <w:p>
            <w:pPr>
              <w:pStyle w:val="Tabla9"/>
              <w:jc w:val="left"/>
            </w:pPr>
            <w:r>
              <w:t xml:space="preserve">Registro de 210 direcciones por escenario y orden de ejecución de los 105 pares</w:t>
            </w:r>
          </w:p>
        </w:tc>
      </w:tr>
      <w:tr>
        <w:trPr>
          <w:cantSplit/>
        </w:trPr>
        <w:tc>
          <w:tcPr/>
          <w:p>
            <w:pPr>
              <w:pStyle w:val="Tabla9"/>
              <w:jc w:val="left"/>
            </w:pPr>
            <w:r>
              <w:t xml:space="preserve">VESTER_&lt;escenario&gt;.svg, MICMAC_&lt;escenario&gt;.svg</w:t>
            </w:r>
          </w:p>
        </w:tc>
        <w:tc>
          <w:tcPr/>
          <w:p>
            <w:pPr>
              <w:pStyle w:val="Tabla9"/>
              <w:jc w:val="left"/>
            </w:pPr>
            <w:r>
              <w:t xml:space="preserve">Planos directo e indirecto editables, uno por escenario</w:t>
            </w:r>
          </w:p>
        </w:tc>
      </w:tr>
      <w:tr>
        <w:trPr>
          <w:cantSplit/>
        </w:trPr>
        <w:tc>
          <w:tcPr/>
          <w:p>
            <w:pPr>
              <w:pStyle w:val="Tabla9"/>
              <w:jc w:val="left"/>
            </w:pPr>
            <w:r>
              <w:t xml:space="preserve">SENSIBILIDAD_ORDINAL.json</w:t>
            </w:r>
          </w:p>
        </w:tc>
        <w:tc>
          <w:tcPr/>
          <w:p>
            <w:pPr>
              <w:pStyle w:val="Tabla9"/>
              <w:jc w:val="left"/>
            </w:pPr>
            <w:r>
              <w:t xml:space="preserve">Codificaciones [0,1,2,3], [0,1,3,5] y [0,1,2,4] por escenario</w:t>
            </w:r>
          </w:p>
        </w:tc>
      </w:tr>
      <w:tr>
        <w:trPr>
          <w:cantSplit/>
        </w:trPr>
        <w:tc>
          <w:tcPr/>
          <w:p>
            <w:pPr>
              <w:pStyle w:val="Tabla9"/>
              <w:jc w:val="left"/>
            </w:pPr>
            <w:r>
              <w:t xml:space="preserve">ANALISIS_COMPLEMENTARIO.json, RUTAS_Y_CICLOS.json</w:t>
            </w:r>
          </w:p>
        </w:tc>
        <w:tc>
          <w:tcPr/>
          <w:p>
            <w:pPr>
              <w:pStyle w:val="Tabla9"/>
              <w:jc w:val="left"/>
            </w:pPr>
            <w:r>
              <w:t xml:space="preserve">Diferencias, perturbación de un enlace, permutaciones, rutas y ciclos</w:t>
            </w:r>
          </w:p>
        </w:tc>
      </w:tr>
      <w:tr>
        <w:trPr>
          <w:cantSplit/>
        </w:trPr>
        <w:tc>
          <w:tcPr/>
          <w:p>
            <w:pPr>
              <w:pStyle w:val="Tabla9"/>
              <w:jc w:val="left"/>
            </w:pPr>
            <w:r>
              <w:t xml:space="preserve">REVISION_SOLAPAMIENTO.csv</w:t>
            </w:r>
          </w:p>
        </w:tc>
        <w:tc>
          <w:tcPr/>
          <w:p>
            <w:pPr>
              <w:pStyle w:val="Tabla9"/>
              <w:jc w:val="left"/>
            </w:pPr>
            <w:r>
              <w:t xml:space="preserve">105 veredictos de solapamiento</w:t>
            </w:r>
          </w:p>
        </w:tc>
      </w:tr>
      <w:tr>
        <w:trPr>
          <w:cantSplit/>
        </w:trPr>
        <w:tc>
          <w:tcPr/>
          <w:p>
            <w:pPr>
              <w:pStyle w:val="Tabla9"/>
              <w:jc w:val="left"/>
            </w:pPr>
            <w:r>
              <w:t xml:space="preserve">xlsx/Vester_MICMAC_S2_trabajo_propuesto.xlsx (y S1, S0)</w:t>
            </w:r>
          </w:p>
        </w:tc>
        <w:tc>
          <w:tcPr/>
          <w:p>
            <w:pPr>
              <w:pStyle w:val="Tabla9"/>
              <w:jc w:val="left"/>
            </w:pPr>
            <w:r>
              <w:t xml:space="preserve">Plantilla del usuario con la matriz de cada escenario; Excel calcula al abrir. XLSX oficial del motor: XLSX_PENDIENTE_POR_DEPENDENCIA</w:t>
            </w:r>
          </w:p>
        </w:tc>
      </w:tr>
      <w:tr>
        <w:trPr>
          <w:cantSplit/>
        </w:trPr>
        <w:tc>
          <w:tcPr/>
          <w:p>
            <w:pPr>
              <w:pStyle w:val="Tabla9"/>
              <w:jc w:val="left"/>
            </w:pPr>
            <w:r>
              <w:t xml:space="preserve">CHECKPOINT_MOTOR.json y SECCION_4_4_SALIDA_CRUDA_DEL_MOTOR.md</w:t>
            </w:r>
          </w:p>
        </w:tc>
        <w:tc>
          <w:tcPr/>
          <w:p>
            <w:pPr>
              <w:pStyle w:val="Tabla9"/>
              <w:jc w:val="left"/>
            </w:pPr>
            <w:r>
              <w:t xml:space="preserve">Salida cruda del motor, conservada para auditoría; no sustituye esta sección</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Checkpoint de la sección 4.4.</w:t>
      </w:r>
    </w:p>
    <w:p>
      <w:pPr>
        <w:pStyle w:val="SourceCode"/>
      </w:pPr>
      <w:r>
        <w:rPr>
          <w:rStyle w:val="VerbatimChar"/>
        </w:rPr>
        <w:t xml:space="preserve">{</w:t>
      </w:r>
      <w:r>
        <w:br/>
      </w:r>
      <w:r>
        <w:rPr>
          <w:rStyle w:val="VerbatimChar"/>
        </w:rPr>
        <w:t xml:space="preserve"> "ntc_version": "1.1",</w:t>
      </w:r>
      <w:r>
        <w:br/>
      </w:r>
      <w:r>
        <w:rPr>
          <w:rStyle w:val="VerbatimChar"/>
        </w:rPr>
        <w:t xml:space="preserve"> "estacion": "E4",</w:t>
      </w:r>
      <w:r>
        <w:br/>
      </w:r>
      <w:r>
        <w:rPr>
          <w:rStyle w:val="VerbatimChar"/>
        </w:rPr>
        <w:t xml:space="preserve"> "version_estacion": "36.10 RC2 / VM-PAR3-MDR3-CONT1",</w:t>
      </w:r>
      <w:r>
        <w:br/>
      </w:r>
      <w:r>
        <w:rPr>
          <w:rStyle w:val="VerbatimChar"/>
        </w:rPr>
        <w:t xml:space="preserve"> "tarea": "Seccion 4.4 Vester y MICMAC paritario",</w:t>
      </w:r>
      <w:r>
        <w:br/>
      </w:r>
      <w:r>
        <w:rPr>
          <w:rStyle w:val="VerbatimChar"/>
        </w:rPr>
        <w:t xml:space="preserve"> "estado": "BORRADOR_CON_VACIOS",</w:t>
      </w:r>
      <w:r>
        <w:br/>
      </w:r>
      <w:r>
        <w:rPr>
          <w:rStyle w:val="VerbatimChar"/>
        </w:rPr>
        <w:t xml:space="preserve"> "alcance_completado": "F4.4.1 a F4.4.14 con 105 fichas, 5 escenarios y potencias hasta k=10",</w:t>
      </w:r>
      <w:r>
        <w:br/>
      </w:r>
      <w:r>
        <w:rPr>
          <w:rStyle w:val="VerbatimChar"/>
        </w:rPr>
        <w:t xml:space="preserve"> "fuentes": [</w:t>
      </w:r>
      <w:r>
        <w:br/>
      </w:r>
      <w:r>
        <w:rPr>
          <w:rStyle w:val="VerbatimChar"/>
        </w:rPr>
        <w:t xml:space="preserve">  "F-INF",</w:t>
      </w:r>
      <w:r>
        <w:br/>
      </w:r>
      <w:r>
        <w:rPr>
          <w:rStyle w:val="VerbatimChar"/>
        </w:rPr>
        <w:t xml:space="preserve">  "F-E3"</w:t>
      </w:r>
      <w:r>
        <w:br/>
      </w:r>
      <w:r>
        <w:rPr>
          <w:rStyle w:val="VerbatimChar"/>
        </w:rPr>
        <w:t xml:space="preserve"> ],</w:t>
      </w:r>
      <w:r>
        <w:br/>
      </w:r>
      <w:r>
        <w:rPr>
          <w:rStyle w:val="VerbatimChar"/>
        </w:rPr>
        <w:t xml:space="preserve"> "decisiones": [],</w:t>
      </w:r>
      <w:r>
        <w:br/>
      </w:r>
      <w:r>
        <w:rPr>
          <w:rStyle w:val="VerbatimChar"/>
        </w:rPr>
        <w:t xml:space="preserve"> "vacios": [</w:t>
      </w:r>
      <w:r>
        <w:br/>
      </w:r>
      <w:r>
        <w:rPr>
          <w:rStyle w:val="VerbatimChar"/>
        </w:rPr>
        <w:t xml:space="preserve">  "V-DIC-01",</w:t>
      </w:r>
      <w:r>
        <w:br/>
      </w:r>
      <w:r>
        <w:rPr>
          <w:rStyle w:val="VerbatimChar"/>
        </w:rPr>
        <w:t xml:space="preserve">  "V-DIC-02",</w:t>
      </w:r>
      <w:r>
        <w:br/>
      </w:r>
      <w:r>
        <w:rPr>
          <w:rStyle w:val="VerbatimChar"/>
        </w:rPr>
        <w:t xml:space="preserve">  "V-DIC-03",</w:t>
      </w:r>
      <w:r>
        <w:br/>
      </w:r>
      <w:r>
        <w:rPr>
          <w:rStyle w:val="VerbatimChar"/>
        </w:rPr>
        <w:t xml:space="preserve">  "V-AQHI-01",</w:t>
      </w:r>
      <w:r>
        <w:br/>
      </w:r>
      <w:r>
        <w:rPr>
          <w:rStyle w:val="VerbatimChar"/>
        </w:rPr>
        <w:t xml:space="preserve">  "V-LLUVIA-01",</w:t>
      </w:r>
      <w:r>
        <w:br/>
      </w:r>
      <w:r>
        <w:rPr>
          <w:rStyle w:val="VerbatimChar"/>
        </w:rPr>
        <w:t xml:space="preserve">  "V-VIENTO-01",</w:t>
      </w:r>
      <w:r>
        <w:br/>
      </w:r>
      <w:r>
        <w:rPr>
          <w:rStyle w:val="VerbatimChar"/>
        </w:rPr>
        <w:t xml:space="preserve">  "RATIFICACION_PENDIENTE"</w:t>
      </w:r>
      <w:r>
        <w:br/>
      </w:r>
      <w:r>
        <w:rPr>
          <w:rStyle w:val="VerbatimChar"/>
        </w:rPr>
        <w:t xml:space="preserve"> ],</w:t>
      </w:r>
      <w:r>
        <w:br/>
      </w:r>
      <w:r>
        <w:rPr>
          <w:rStyle w:val="VerbatimChar"/>
        </w:rPr>
        <w:t xml:space="preserve"> "pendientes": [</w:t>
      </w:r>
      <w:r>
        <w:br/>
      </w:r>
      <w:r>
        <w:rPr>
          <w:rStyle w:val="VerbatimChar"/>
        </w:rPr>
        <w:t xml:space="preserve">  "Adjudicacion documentada de las fichas",</w:t>
      </w:r>
      <w:r>
        <w:br/>
      </w:r>
      <w:r>
        <w:rPr>
          <w:rStyle w:val="VerbatimChar"/>
        </w:rPr>
        <w:t xml:space="preserve">  "Lectura de fuentes primarias",</w:t>
      </w:r>
      <w:r>
        <w:br/>
      </w:r>
      <w:r>
        <w:rPr>
          <w:rStyle w:val="VerbatimChar"/>
        </w:rPr>
        <w:t xml:space="preserve">  "XLSX oficial por dependencia"</w:t>
      </w:r>
      <w:r>
        <w:br/>
      </w:r>
      <w:r>
        <w:rPr>
          <w:rStyle w:val="VerbatimChar"/>
        </w:rPr>
        <w:t xml:space="preserve"> ],</w:t>
      </w:r>
      <w:r>
        <w:br/>
      </w:r>
      <w:r>
        <w:rPr>
          <w:rStyle w:val="VerbatimChar"/>
        </w:rPr>
        <w:t xml:space="preserve"> "siguiente_accion": "Ejecutar F4.4-MDR dentro del alcance autorizado",</w:t>
      </w:r>
      <w:r>
        <w:br/>
      </w:r>
      <w:r>
        <w:rPr>
          <w:rStyle w:val="VerbatimChar"/>
        </w:rPr>
        <w:t xml:space="preserve"> "artefactos": [</w:t>
      </w:r>
      <w:r>
        <w:br/>
      </w:r>
      <w:r>
        <w:rPr>
          <w:rStyle w:val="VerbatimChar"/>
        </w:rPr>
        <w:t xml:space="preserve">  "SECCION_4_4_SGR_CONV56_AIRE.md",</w:t>
      </w:r>
      <w:r>
        <w:br/>
      </w:r>
      <w:r>
        <w:rPr>
          <w:rStyle w:val="VerbatimChar"/>
        </w:rPr>
        <w:t xml:space="preserve">  "FICHAS_PARITARIAS.json y .csv",</w:t>
      </w:r>
      <w:r>
        <w:br/>
      </w:r>
      <w:r>
        <w:rPr>
          <w:rStyle w:val="VerbatimChar"/>
        </w:rPr>
        <w:t xml:space="preserve">  "RESULTADOS.json",</w:t>
      </w:r>
      <w:r>
        <w:br/>
      </w:r>
      <w:r>
        <w:rPr>
          <w:rStyle w:val="VerbatimChar"/>
        </w:rPr>
        <w:t xml:space="preserve">  "MID_FORMAL.csv, MID_&lt;escenario&gt;.csv",</w:t>
      </w:r>
      <w:r>
        <w:br/>
      </w:r>
      <w:r>
        <w:rPr>
          <w:rStyle w:val="VerbatimChar"/>
        </w:rPr>
        <w:t xml:space="preserve">  "potencias/&lt;escenario&gt;_A&lt;k&gt;.csv",</w:t>
      </w:r>
      <w:r>
        <w:br/>
      </w:r>
      <w:r>
        <w:rPr>
          <w:rStyle w:val="VerbatimChar"/>
        </w:rPr>
        <w:t xml:space="preserve">  "REGISTRO_DIRECCIONES.csv, PLAN_PARITARIO.csv",</w:t>
      </w:r>
      <w:r>
        <w:br/>
      </w:r>
      <w:r>
        <w:rPr>
          <w:rStyle w:val="VerbatimChar"/>
        </w:rPr>
        <w:t xml:space="preserve">  "VESTER_&lt;escenario&gt;.svg, MICMAC_&lt;escenario&gt;.svg",</w:t>
      </w:r>
      <w:r>
        <w:br/>
      </w:r>
      <w:r>
        <w:rPr>
          <w:rStyle w:val="VerbatimChar"/>
        </w:rPr>
        <w:t xml:space="preserve">  "SENSIBILIDAD_ORDINAL.json",</w:t>
      </w:r>
      <w:r>
        <w:br/>
      </w:r>
      <w:r>
        <w:rPr>
          <w:rStyle w:val="VerbatimChar"/>
        </w:rPr>
        <w:t xml:space="preserve">  "ANALISIS_COMPLEMENTARIO.json, RUTAS_Y_CICLOS.json",</w:t>
      </w:r>
      <w:r>
        <w:br/>
      </w:r>
      <w:r>
        <w:rPr>
          <w:rStyle w:val="VerbatimChar"/>
        </w:rPr>
        <w:t xml:space="preserve">  "REVISION_SOLAPAMIENTO.csv",</w:t>
      </w:r>
      <w:r>
        <w:br/>
      </w:r>
      <w:r>
        <w:rPr>
          <w:rStyle w:val="VerbatimChar"/>
        </w:rPr>
        <w:t xml:space="preserve">  "xlsx/Vester_MICMAC_S2_trabajo_propuesto.xlsx (y S1, S0)",</w:t>
      </w:r>
      <w:r>
        <w:br/>
      </w:r>
      <w:r>
        <w:rPr>
          <w:rStyle w:val="VerbatimChar"/>
        </w:rPr>
        <w:t xml:space="preserve">  "CHECKPOINT_MOTOR.json y SECCION_4_4_SALIDA_CRUDA_DEL_MOTOR.md"</w:t>
      </w:r>
      <w:r>
        <w:br/>
      </w:r>
      <w:r>
        <w:rPr>
          <w:rStyle w:val="VerbatimChar"/>
        </w:rPr>
        <w:t xml:space="preserve"> ],</w:t>
      </w:r>
      <w:r>
        <w:br/>
      </w:r>
      <w:r>
        <w:rPr>
          <w:rStyle w:val="VerbatimChar"/>
        </w:rPr>
        <w:t xml:space="preserve"> "verificacion": {</w:t>
      </w:r>
      <w:r>
        <w:br/>
      </w:r>
      <w:r>
        <w:rPr>
          <w:rStyle w:val="VerbatimChar"/>
        </w:rPr>
        <w:t xml:space="preserve">  "calculo": "EJECUTADO",</w:t>
      </w:r>
      <w:r>
        <w:br/>
      </w:r>
      <w:r>
        <w:rPr>
          <w:rStyle w:val="VerbatimChar"/>
        </w:rPr>
        <w:t xml:space="preserve">  "fichas": {</w:t>
      </w:r>
      <w:r>
        <w:br/>
      </w:r>
      <w:r>
        <w:rPr>
          <w:rStyle w:val="VerbatimChar"/>
        </w:rPr>
        <w:t xml:space="preserve">   "fichas_recibidas": 105,</w:t>
      </w:r>
      <w:r>
        <w:br/>
      </w:r>
      <w:r>
        <w:rPr>
          <w:rStyle w:val="VerbatimChar"/>
        </w:rPr>
        <w:t xml:space="preserve">   "fichas_bidireccionales_validas": 105,</w:t>
      </w:r>
      <w:r>
        <w:br/>
      </w:r>
      <w:r>
        <w:rPr>
          <w:rStyle w:val="VerbatimChar"/>
        </w:rPr>
        <w:t xml:space="preserve">   "fichas_con_justificacion_declarada": 105,</w:t>
      </w:r>
      <w:r>
        <w:br/>
      </w:r>
      <w:r>
        <w:rPr>
          <w:rStyle w:val="VerbatimChar"/>
        </w:rPr>
        <w:t xml:space="preserve">   "fichas_con_dos_valores_propuestos": 105,</w:t>
      </w:r>
      <w:r>
        <w:br/>
      </w:r>
      <w:r>
        <w:rPr>
          <w:rStyle w:val="VerbatimChar"/>
        </w:rPr>
        <w:t xml:space="preserve">   "fichas_con_adjudicacion_documentada": 0,</w:t>
      </w:r>
      <w:r>
        <w:br/>
      </w:r>
      <w:r>
        <w:rPr>
          <w:rStyle w:val="VerbatimChar"/>
        </w:rPr>
        <w:t xml:space="preserve">   "direcciones_recibidas_unicas": 210,</w:t>
      </w:r>
      <w:r>
        <w:br/>
      </w:r>
      <w:r>
        <w:rPr>
          <w:rStyle w:val="VerbatimChar"/>
        </w:rPr>
        <w:t xml:space="preserve">   "direcciones_con_justificacion_declarada": 210,</w:t>
      </w:r>
      <w:r>
        <w:br/>
      </w:r>
      <w:r>
        <w:rPr>
          <w:rStyle w:val="VerbatimChar"/>
        </w:rPr>
        <w:t xml:space="preserve">   "direcciones_con_valor_propuesto": 210,</w:t>
      </w:r>
      <w:r>
        <w:br/>
      </w:r>
      <w:r>
        <w:rPr>
          <w:rStyle w:val="VerbatimChar"/>
        </w:rPr>
        <w:t xml:space="preserve">   "direcciones_con_adjudicacion_documentada": 0,</w:t>
      </w:r>
      <w:r>
        <w:br/>
      </w:r>
      <w:r>
        <w:rPr>
          <w:rStyle w:val="VerbatimChar"/>
        </w:rPr>
        <w:t xml:space="preserve">   "fichas_semanticamente_verificadas": null</w:t>
      </w:r>
      <w:r>
        <w:br/>
      </w:r>
      <w:r>
        <w:rPr>
          <w:rStyle w:val="VerbatimChar"/>
        </w:rPr>
        <w:t xml:space="preserve">  },</w:t>
      </w:r>
      <w:r>
        <w:br/>
      </w:r>
      <w:r>
        <w:rPr>
          <w:rStyle w:val="VerbatimChar"/>
        </w:rPr>
        <w:t xml:space="preserve">  "ratificacion": "PENDIENTE",</w:t>
      </w:r>
      <w:r>
        <w:br/>
      </w:r>
      <w:r>
        <w:rPr>
          <w:rStyle w:val="VerbatimChar"/>
        </w:rPr>
        <w:t xml:space="preserve">  "next_section_authorized_by_this_piece": false</w:t>
      </w:r>
      <w:r>
        <w:br/>
      </w:r>
      <w:r>
        <w:rPr>
          <w:rStyle w:val="VerbatimChar"/>
        </w:rPr>
        <w:t xml:space="preserve"> }</w:t>
      </w:r>
      <w:r>
        <w:br/>
      </w:r>
      <w:r>
        <w:rPr>
          <w:rStyle w:val="VerbatimChar"/>
        </w:rPr>
        <w:t xml:space="preserve">}</w:t>
      </w:r>
    </w:p>
    <w:p>
      <w:pPr>
        <w:pStyle w:val="FirstParagraph"/>
      </w:pPr>
      <w:r>
        <w:rPr>
          <w:b/>
          <w:bCs/>
        </w:rPr>
        <w:t xml:space="preserve">Alcance de esta pieza.</w:t>
      </w:r>
      <w:r>
        <w:t xml:space="preserve"> </w:t>
      </w:r>
      <w:r>
        <w:t xml:space="preserve">La sección F4.4 termina aquí. Esta sección no autoriza por sí sola otra sección; la cadena 4.3, 4.4, F4.4-MDR y 4.5 se ejecuta bajo la autorización de la corrida completa.</w:t>
      </w:r>
    </w:p>
    <w:bookmarkEnd w:id="190"/>
    <w:bookmarkEnd w:id="191"/>
    <w:bookmarkStart w:id="211" w:name="X2397dc72e2541ea22cd5be85fb19dfecc5baeaf"/>
    <w:p>
      <w:pPr>
        <w:pStyle w:val="Heading2"/>
      </w:pPr>
      <w:r>
        <w:t xml:space="preserve">F4.4-MDR Metodología integrada de decisión y resolución</w:t>
      </w:r>
    </w:p>
    <w:p>
      <w:pPr>
        <w:pStyle w:val="FirstParagraph"/>
      </w:pPr>
      <w:r>
        <w:t xml:space="preserve">Esta sección aplica la metodología integrada de decisión y resolución al fenómeno de la vigilancia de material particulado en sitios de remoción de escombros. Se ejecuta en modo estándar, con perfil de proyecto de ciencia, tecnología e innovación. Las catorce piezas siguen este orden: síntesis, árboles, nueve análisis por fases, premortem y escenarios, valor y vacíos, y referencias. Utiliza los resultados de 4.3 y 4.4 sin modificarlos. Los departamentos y la alianza son SUPUESTO por instrucción del usuario. Los términos de referencia de la convocatoria no fueron aportados. El expediente técnico (fichas, métricas, señales, cálculos y pruebas) se entrega en archivos separados.</w:t>
      </w:r>
    </w:p>
    <w:bookmarkStart w:id="192" w:name="_Toc00900079"/>
    <w:p>
      <w:pPr>
        <w:pStyle w:val="Heading3"/>
      </w:pPr>
      <w:r>
        <w:t xml:space="preserve">F4.4-MDR.1 Síntesis decisional</w:t>
      </w:r>
    </w:p>
    <w:p>
      <w:pPr>
        <w:pStyle w:val="FirstParagraph"/>
      </w:pPr>
      <w:r>
        <w:rPr>
          <w:b/>
          <w:bCs/>
        </w:rPr>
        <w:t xml:space="preserve">Decisión recomendada (condicionada).</w:t>
      </w:r>
      <w:r>
        <w:t xml:space="preserve"> </w:t>
      </w:r>
      <w:r>
        <w:t xml:space="preserve">El análisis recomienda la estrategia R4: desplegar la red por tramos, con un piloto de contraste y custodia distribuida por componente. No recomienda mantener R3 (transferencia a las alcaldías en el mes 25) como diseño base. Tampoco recomienda R0 (sin intervención). La recomendación es condicional: depende de cuatro supuestos críticos (SC-1 a SC-4) y de tres insumos ausentes. Los insumos ausentes son los términos de referencia, la ratificación de las fichas de 4.4 y la evidencia de capacidad de los custodios.</w:t>
      </w:r>
    </w:p>
    <w:p>
      <w:pPr>
        <w:pStyle w:val="BodyText"/>
      </w:pPr>
      <w:r>
        <w:rPr>
          <w:b/>
          <w:bCs/>
        </w:rPr>
        <w:t xml:space="preserve">Calificador.</w:t>
      </w:r>
      <w:r>
        <w:t xml:space="preserve"> </w:t>
      </w:r>
      <w:r>
        <w:t xml:space="preserve">CONDICIONALMENTE. La recomendación se apoya en juicios estructurales de influencia (estatuto HIE) y en supuestos declarados. El árbol de decisión es cualitativo porque ninguna probabilidad ni utilidad tiene fuente. Por eso el valor esperado es NO_CALCULABLE y el árbol no marca una rama elegida.</w:t>
      </w:r>
    </w:p>
    <w:p>
      <w:pPr>
        <w:pStyle w:val="BodyText"/>
      </w:pPr>
      <w:r>
        <w:rPr>
          <w:b/>
          <w:bCs/>
        </w:rPr>
        <w:t xml:space="preserve">Teoría del cambio en una oración.</w:t>
      </w:r>
      <w:r>
        <w:t xml:space="preserve"> </w:t>
      </w:r>
      <w:r>
        <w:t xml:space="preserve">Si la corrección local reduce el error verificado y las autoridades adoptan los umbrales, las alertas protegen a operarios y comunidades.</w:t>
      </w:r>
    </w:p>
    <w:p>
      <w:pPr>
        <w:pStyle w:val="BodyText"/>
      </w:pPr>
      <w:r>
        <w:rPr>
          <w:b/>
          <w:bCs/>
        </w:rPr>
        <w:t xml:space="preserve">Arquitectura de sostenibilidad.</w:t>
      </w:r>
      <w:r>
        <w:t xml:space="preserve"> </w:t>
      </w:r>
      <w:r>
        <w:t xml:space="preserve">La solución se diseña con la premisa de que ninguna entidad pública puede sostenerla sola al cierre. Cada componente recibe un custodio por tramos, con una cláusula de apertura si ninguno demuestra capacidad. El costo total de sostenimiento y el índice de capacidad de absorción son NO_CALCULABLE por falta de insumos. El portafolio que declara el expediente E3 concentra 63,2 % en una fuente y arroja un índice HHI de 0,472 en el año 1. Ambas cifras superan las convenciones locales PROPUESTAS (50 % y 0,40).</w:t>
      </w:r>
    </w:p>
    <w:p>
      <w:pPr>
        <w:pStyle w:val="BodyText"/>
      </w:pPr>
      <w:r>
        <w:rPr>
          <w:b/>
          <w:bCs/>
        </w:rPr>
        <w:t xml:space="preserve">Principal riesgo.</w:t>
      </w:r>
      <w:r>
        <w:t xml:space="preserve"> </w:t>
      </w:r>
      <w:r>
        <w:t xml:space="preserve">La adopción institucional carece de evidencia. La variable V15 participa en 140 de 144 ciclos simples de S2 y tres de sus cinco fichas de salida tienen confianza baja. El expediente E3 asigna a las alcaldías la operación desde el mes 25 sin compromiso presupuestal firmado (E3-P17).</w:t>
      </w:r>
    </w:p>
    <w:p>
      <w:pPr>
        <w:pStyle w:val="BodyText"/>
      </w:pPr>
      <w:r>
        <w:rPr>
          <w:b/>
          <w:bCs/>
        </w:rPr>
        <w:t xml:space="preserve">Valor estratégico.</w:t>
      </w:r>
      <w:r>
        <w:t xml:space="preserve"> </w:t>
      </w:r>
      <w:r>
        <w:t xml:space="preserve">Permite decidir, antes de la compra masiva, si el diseño se ejecuta por tramos con evidencia o en bloque con un receptor supuesto. La utilidad es potencial: ningún resultado observado respalda todavía la recomendación.</w:t>
      </w:r>
    </w:p>
    <w:p>
      <w:pPr>
        <w:pStyle w:val="BodyText"/>
      </w:pPr>
      <w:r>
        <w:rPr>
          <w:b/>
          <w:bCs/>
        </w:rPr>
        <w:t xml:space="preserve">Estado de la entrega.</w:t>
      </w:r>
      <w:r>
        <w:t xml:space="preserve"> </w:t>
      </w:r>
      <w:r>
        <w:t xml:space="preserve">Borrador con vacíos. El expediente separado registra las nueve fichas, las métricas, las señales y las pruebas.</w:t>
      </w:r>
    </w:p>
    <w:bookmarkEnd w:id="192"/>
    <w:bookmarkStart w:id="199" w:name="X9de46a0d78d7d6c3bd11b3f482b3ceb75925b02"/>
    <w:p>
      <w:pPr>
        <w:pStyle w:val="Heading3"/>
      </w:pPr>
      <w:r>
        <w:t xml:space="preserve">F4.4-MDR.2 Árbol de decisión A-DEC y árbol de teoría del cambio A-TDC</w:t>
      </w:r>
    </w:p>
    <w:p>
      <w:pPr>
        <w:pStyle w:val="FirstParagraph"/>
      </w:pPr>
      <w:r>
        <w:t xml:space="preserve">Los dos árboles se emiten antes del análisis por fases. Comparten los códigos SC-1 a SC-4. Cada árbol incluye su JSON canónico, el SVG editable y su alternativa textual. El JSON regenera el SVG con la herramienta de referencia.</w:t>
      </w:r>
    </w:p>
    <w:p>
      <w:pPr>
        <w:pStyle w:val="BodyText"/>
      </w:pPr>
      <w:r>
        <w:rPr>
          <w:b/>
          <w:bCs/>
        </w:rPr>
        <w:t xml:space="preserve">Árbol A-DEC (decisión bajo incertidumbre, modalidad cualitativa).</w:t>
      </w:r>
      <w:r>
        <w:t xml:space="preserve"> </w:t>
      </w:r>
      <w:r>
        <w:t xml:space="preserve">El árbol compara tres estrategias. Cada una de las dos estrategias de despliegue enfrenta cuatro supuestos en cadena. El orden temporal es: medición (SC-1) en el Hito 2, energía y enlace (SC-2), uso institucional (SC-3) y custodia (SC-4). El árbol modela un camino crítico: la falla de un supuesto interrumpe la cadena. No modela la dependencia entre supuestos.</w:t>
      </w:r>
    </w:p>
    <w:p>
      <w:pPr>
        <w:pStyle w:val="BodyText"/>
      </w:pPr>
      <w:r>
        <w:t xml:space="preserve">El JSON canónico de A-DEC se reproduce sin cambios en el Anexo L (L.1).</w:t>
      </w:r>
    </w:p>
    <w:p>
      <w:pPr>
        <w:pStyle w:val="BodyText"/>
      </w:pPr>
      <w:r>
        <w:t xml:space="preserve">La Figura F4.8 reproduce «A-DEC: estrategia de resolución y custodia posproyecto».</w:t>
      </w:r>
    </w:p>
    <w:p>
      <w:pPr>
        <w:pStyle w:val="FiguraRotulo"/>
      </w:pPr>
      <w:bookmarkStart w:id="9481" w:name="rot_Figura_F4_8"/>
      <w:r>
        <w:rPr>
          <w:b/>
          <w:bCs/>
        </w:rPr>
        <w:t xml:space="preserve">Figura F4.8</w:t>
      </w:r>
      <w:bookmarkEnd w:id="9481"/>
    </w:p>
    <w:p>
      <w:pPr>
        <w:pStyle w:val="FiguraTitulo"/>
      </w:pPr>
      <w:r>
        <w:rPr>
          <w:i/>
          <w:iCs/>
        </w:rPr>
        <w:t xml:space="preserve">A-DEC: estrategia de resolución y custodia posproyecto</w:t>
      </w:r>
    </w:p>
    <w:p>
      <w:pPr>
        <w:pStyle w:val="BodyText"/>
      </w:pPr>
      <w:r>
        <w:drawing>
          <wp:inline>
            <wp:extent cx="5579999" cy="3854507"/>
            <wp:effectExtent b="0" l="0" r="0" t="0"/>
            <wp:docPr descr="" title="" id="194" name="Picture"/>
            <a:graphic>
              <a:graphicData uri="http://schemas.openxmlformats.org/drawingml/2006/picture">
                <pic:pic>
                  <pic:nvPicPr>
                    <pic:cNvPr descr="/tmp/claude-0/-home-user-docs/ddf38714-2a7e-502b-92b4-1008e2832422/scratchpad/proy/figs/out/cF4_adec.png" id="195" name="Picture"/>
                    <pic:cNvPicPr>
                      <a:picLocks noChangeArrowheads="1" noChangeAspect="1"/>
                    </pic:cNvPicPr>
                  </pic:nvPicPr>
                  <pic:blipFill>
                    <a:blip r:embed="rId193"/>
                    <a:stretch>
                      <a:fillRect/>
                    </a:stretch>
                  </pic:blipFill>
                  <pic:spPr bwMode="auto">
                    <a:xfrm>
                      <a:off x="0" y="0"/>
                      <a:ext cx="5579999" cy="385450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ARBOL_1_SGR_CONV56_AIRE.json. Árbol de decisión cualitativo; las probabilidades y las utilidades no se declaran por falta de fuente.</w:t>
      </w:r>
    </w:p>
    <w:p>
      <w:pPr>
        <w:pStyle w:val="BodyText"/>
      </w:pPr>
      <w:r>
        <w:rPr>
          <w:b/>
          <w:bCs/>
        </w:rPr>
        <w:t xml:space="preserve">Alternativa textual de A-DEC.</w:t>
      </w:r>
    </w:p>
    <w:p>
      <w:pPr>
        <w:numPr>
          <w:ilvl w:val="0"/>
          <w:numId w:val="1003"/>
        </w:numPr>
      </w:pPr>
      <w:r>
        <w:t xml:space="preserve">Árbol 1 · Decisión bajo incertidumbre · rol A-DEC</w:t>
      </w:r>
    </w:p>
    <w:p>
      <w:pPr>
        <w:numPr>
          <w:ilvl w:val="0"/>
          <w:numId w:val="1003"/>
        </w:numPr>
      </w:pPr>
      <w:r>
        <w:t xml:space="preserve">Pregunta: ¿Qué estrategia adopta el proyecto: no intervenir, transferir a un receptor público único o desplegar por tramos con custodia distribuida?</w:t>
      </w:r>
    </w:p>
    <w:p>
      <w:pPr>
        <w:numPr>
          <w:ilvl w:val="0"/>
          <w:numId w:val="1003"/>
        </w:numPr>
      </w:pPr>
      <w:r>
        <w:t xml:space="preserve">Naturaleza: PROPUESTO</w:t>
      </w:r>
    </w:p>
    <w:p>
      <w:pPr>
        <w:numPr>
          <w:ilvl w:val="0"/>
          <w:numId w:val="1003"/>
        </w:numPr>
      </w:pPr>
      <w:r>
        <w:t xml:space="preserve">Valor esperado en la raíz: NO_CALCULABLE</w:t>
      </w:r>
    </w:p>
    <w:p>
      <w:pPr>
        <w:pStyle w:val="FirstParagraph"/>
      </w:pPr>
      <w:r>
        <w:t xml:space="preserve">La Tabla F4.56 reúne los datos de «Árbol A-DEC (decisión bajo incertidumbre, modalidad cualitativa)».</w:t>
      </w:r>
    </w:p>
    <w:p>
      <w:pPr>
        <w:pStyle w:val="TablaRotulo"/>
      </w:pPr>
      <w:bookmarkStart w:id="9133" w:name="rot_Tabla_F4_56"/>
      <w:r>
        <w:rPr>
          <w:b/>
          <w:bCs/>
        </w:rPr>
        <w:t xml:space="preserve">Tabla F4.56</w:t>
      </w:r>
      <w:bookmarkEnd w:id="9133"/>
    </w:p>
    <w:p>
      <w:pPr>
        <w:pStyle w:val="TablaTitulo"/>
      </w:pPr>
      <w:r>
        <w:rPr>
          <w:i/>
          <w:iCs/>
        </w:rPr>
        <w:t xml:space="preserve">Árbol A-DEC (decisión bajo incertidumbre, modalidad cualitativa)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65"/>
        <w:gridCol w:w="1464"/>
        <w:gridCol w:w="1663"/>
        <w:gridCol w:w="1064"/>
        <w:gridCol w:w="2196"/>
        <w:gridCol w:w="865"/>
      </w:tblGrid>
      <w:tr>
        <w:trPr>
          <w:cantSplit/>
          <w:tblHeader/>
        </w:trPr>
        <w:tc>
          <w:tcPr>
            <w:shd w:val="clear" w:color="auto" w:fill="00B050"/>
          </w:tcPr>
          <w:p>
            <w:pPr>
              <w:pStyle w:val="Tabla9"/>
              <w:jc w:val="center"/>
            </w:pPr>
            <w:r>
              <w:rPr>
                <w:b/>
                <w:color w:val="FFFFFF"/>
              </w:rPr>
              <w:t xml:space="preserve">Nodo</w:t>
            </w:r>
          </w:p>
        </w:tc>
        <w:tc>
          <w:tcPr>
            <w:shd w:val="clear" w:color="auto" w:fill="00B050"/>
          </w:tcPr>
          <w:p>
            <w:pPr>
              <w:pStyle w:val="Tabla9"/>
              <w:jc w:val="center"/>
            </w:pPr>
            <w:r>
              <w:rPr>
                <w:b/>
                <w:color w:val="FFFFFF"/>
              </w:rPr>
              <w:t xml:space="preserve">Tipo</w:t>
            </w:r>
          </w:p>
        </w:tc>
        <w:tc>
          <w:tcPr>
            <w:shd w:val="clear" w:color="auto" w:fill="00B050"/>
          </w:tcPr>
          <w:p>
            <w:pPr>
              <w:pStyle w:val="Tabla9"/>
              <w:jc w:val="center"/>
            </w:pPr>
            <w:r>
              <w:rPr>
                <w:b/>
                <w:color w:val="FFFFFF"/>
              </w:rPr>
              <w:t xml:space="preserve">Etiqueta</w:t>
            </w:r>
          </w:p>
        </w:tc>
        <w:tc>
          <w:tcPr>
            <w:shd w:val="clear" w:color="auto" w:fill="00B050"/>
          </w:tcPr>
          <w:p>
            <w:pPr>
              <w:pStyle w:val="Tabla9"/>
              <w:jc w:val="center"/>
            </w:pPr>
            <w:r>
              <w:rPr>
                <w:b/>
                <w:color w:val="FFFFFF"/>
              </w:rPr>
              <w:t xml:space="preserve">Supuesto</w:t>
            </w:r>
          </w:p>
        </w:tc>
        <w:tc>
          <w:tcPr>
            <w:shd w:val="clear" w:color="auto" w:fill="00B050"/>
          </w:tcPr>
          <w:p>
            <w:pPr>
              <w:pStyle w:val="Tabla9"/>
              <w:jc w:val="center"/>
            </w:pPr>
            <w:r>
              <w:rPr>
                <w:b/>
                <w:color w:val="FFFFFF"/>
              </w:rPr>
              <w:t xml:space="preserve">VE o valor</w:t>
            </w:r>
          </w:p>
        </w:tc>
        <w:tc>
          <w:tcPr>
            <w:shd w:val="clear" w:color="auto" w:fill="00B050"/>
          </w:tcPr>
          <w:p>
            <w:pPr>
              <w:pStyle w:val="Tabla9"/>
              <w:jc w:val="center"/>
            </w:pPr>
            <w:r>
              <w:rPr>
                <w:b/>
                <w:color w:val="FFFFFF"/>
              </w:rPr>
              <w:t xml:space="preserve">Umbral</w:t>
            </w:r>
          </w:p>
        </w:tc>
      </w:tr>
      <w:tr>
        <w:trPr>
          <w:cantSplit/>
        </w:trPr>
        <w:tc>
          <w:tcPr/>
          <w:p>
            <w:pPr>
              <w:pStyle w:val="Tabla9"/>
              <w:jc w:val="left"/>
            </w:pPr>
            <w:r>
              <w:t xml:space="preserve">D1</w:t>
            </w:r>
          </w:p>
        </w:tc>
        <w:tc>
          <w:tcPr/>
          <w:p>
            <w:pPr>
              <w:pStyle w:val="Tabla9"/>
              <w:jc w:val="left"/>
            </w:pPr>
            <w:r>
              <w:t xml:space="preserve">DECISION</w:t>
            </w:r>
          </w:p>
        </w:tc>
        <w:tc>
          <w:tcPr/>
          <w:p>
            <w:pPr>
              <w:pStyle w:val="Tabla9"/>
              <w:jc w:val="left"/>
            </w:pPr>
            <w:r>
              <w:t xml:space="preserve">Estrategia de resolución y custodia</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A1</w:t>
            </w:r>
          </w:p>
        </w:tc>
        <w:tc>
          <w:tcPr/>
          <w:p>
            <w:pPr>
              <w:pStyle w:val="Tabla9"/>
              <w:jc w:val="left"/>
            </w:pPr>
            <w:r>
              <w:t xml:space="preserve">AZAR</w:t>
            </w:r>
          </w:p>
        </w:tc>
        <w:tc>
          <w:tcPr/>
          <w:p>
            <w:pPr>
              <w:pStyle w:val="Tabla9"/>
              <w:jc w:val="left"/>
            </w:pPr>
            <w:r>
              <w:t xml:space="preserve">Medición: la corrección local reduce el error frente a la lectura sin corrección dinámica</w:t>
            </w:r>
          </w:p>
        </w:tc>
        <w:tc>
          <w:tcPr/>
          <w:p>
            <w:pPr>
              <w:pStyle w:val="Tabla9"/>
              <w:jc w:val="left"/>
            </w:pPr>
            <w:r>
              <w:t xml:space="preserve">SC-1</w:t>
            </w: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B1</w:t>
            </w:r>
          </w:p>
        </w:tc>
        <w:tc>
          <w:tcPr/>
          <w:p>
            <w:pPr>
              <w:pStyle w:val="Tabla9"/>
              <w:jc w:val="left"/>
            </w:pPr>
            <w:r>
              <w:t xml:space="preserve">AZAR</w:t>
            </w:r>
          </w:p>
        </w:tc>
        <w:tc>
          <w:tcPr/>
          <w:p>
            <w:pPr>
              <w:pStyle w:val="Tabla9"/>
              <w:jc w:val="left"/>
            </w:pPr>
            <w:r>
              <w:t xml:space="preserve">Medición: la corrección local reduce el error frente a la lectura sin corrección dinámica</w:t>
            </w:r>
          </w:p>
        </w:tc>
        <w:tc>
          <w:tcPr/>
          <w:p>
            <w:pPr>
              <w:pStyle w:val="Tabla9"/>
              <w:jc w:val="left"/>
            </w:pPr>
            <w:r>
              <w:t xml:space="preserve">SC-1</w:t>
            </w: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C0</w:t>
            </w:r>
          </w:p>
        </w:tc>
        <w:tc>
          <w:tcPr/>
          <w:p>
            <w:pPr>
              <w:pStyle w:val="Tabla9"/>
              <w:jc w:val="left"/>
            </w:pPr>
            <w:r>
              <w:t xml:space="preserve">TERMINAL</w:t>
            </w:r>
          </w:p>
        </w:tc>
        <w:tc>
          <w:tcPr/>
          <w:p>
            <w:pPr>
              <w:pStyle w:val="Tabla9"/>
              <w:jc w:val="left"/>
            </w:pPr>
            <w:r>
              <w:t xml:space="preserve">Se mantiene la línea base: sensores aislados sin corrección dinámica ni custodia</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A2</w:t>
            </w:r>
          </w:p>
        </w:tc>
        <w:tc>
          <w:tcPr/>
          <w:p>
            <w:pPr>
              <w:pStyle w:val="Tabla9"/>
              <w:jc w:val="left"/>
            </w:pPr>
            <w:r>
              <w:t xml:space="preserve">AZAR</w:t>
            </w:r>
          </w:p>
        </w:tc>
        <w:tc>
          <w:tcPr/>
          <w:p>
            <w:pPr>
              <w:pStyle w:val="Tabla9"/>
              <w:jc w:val="left"/>
            </w:pPr>
            <w:r>
              <w:t xml:space="preserve">Energía y enlace: nodos activos suficientes bajo maquinaria y humedad</w:t>
            </w:r>
          </w:p>
        </w:tc>
        <w:tc>
          <w:tcPr/>
          <w:p>
            <w:pPr>
              <w:pStyle w:val="Tabla9"/>
              <w:jc w:val="left"/>
            </w:pPr>
            <w:r>
              <w:t xml:space="preserve">SC-2</w:t>
            </w: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AT1</w:t>
            </w:r>
          </w:p>
        </w:tc>
        <w:tc>
          <w:tcPr/>
          <w:p>
            <w:pPr>
              <w:pStyle w:val="Tabla9"/>
              <w:jc w:val="left"/>
            </w:pPr>
            <w:r>
              <w:t xml:space="preserve">TERMINAL</w:t>
            </w:r>
          </w:p>
        </w:tc>
        <w:tc>
          <w:tcPr/>
          <w:p>
            <w:pPr>
              <w:pStyle w:val="Tabla9"/>
              <w:jc w:val="left"/>
            </w:pPr>
            <w:r>
              <w:t xml:space="preserve">Expansión detenida tras el piloto; inversión limitada al primer tramo; conocimiento negativo documentado</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B2</w:t>
            </w:r>
          </w:p>
        </w:tc>
        <w:tc>
          <w:tcPr/>
          <w:p>
            <w:pPr>
              <w:pStyle w:val="Tabla9"/>
              <w:jc w:val="left"/>
            </w:pPr>
            <w:r>
              <w:t xml:space="preserve">AZAR</w:t>
            </w:r>
          </w:p>
        </w:tc>
        <w:tc>
          <w:tcPr/>
          <w:p>
            <w:pPr>
              <w:pStyle w:val="Tabla9"/>
              <w:jc w:val="left"/>
            </w:pPr>
            <w:r>
              <w:t xml:space="preserve">Energía y enlace: nodos activos suficientes bajo maquinaria y humedad</w:t>
            </w:r>
          </w:p>
        </w:tc>
        <w:tc>
          <w:tcPr/>
          <w:p>
            <w:pPr>
              <w:pStyle w:val="Tabla9"/>
              <w:jc w:val="left"/>
            </w:pPr>
            <w:r>
              <w:t xml:space="preserve">SC-2</w:t>
            </w: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BT1</w:t>
            </w:r>
          </w:p>
        </w:tc>
        <w:tc>
          <w:tcPr/>
          <w:p>
            <w:pPr>
              <w:pStyle w:val="Tabla9"/>
              <w:jc w:val="left"/>
            </w:pPr>
            <w:r>
              <w:t xml:space="preserve">TERMINAL</w:t>
            </w:r>
          </w:p>
        </w:tc>
        <w:tc>
          <w:tcPr/>
          <w:p>
            <w:pPr>
              <w:pStyle w:val="Tabla9"/>
              <w:jc w:val="left"/>
            </w:pPr>
            <w:r>
              <w:t xml:space="preserve">Inversión completa comprometida sin evidencia de reducción del error; red desplegada</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A3</w:t>
            </w:r>
          </w:p>
        </w:tc>
        <w:tc>
          <w:tcPr/>
          <w:p>
            <w:pPr>
              <w:pStyle w:val="Tabla9"/>
              <w:jc w:val="left"/>
            </w:pPr>
            <w:r>
              <w:t xml:space="preserve">AZAR</w:t>
            </w:r>
          </w:p>
        </w:tc>
        <w:tc>
          <w:tcPr/>
          <w:p>
            <w:pPr>
              <w:pStyle w:val="Tabla9"/>
              <w:jc w:val="left"/>
            </w:pPr>
            <w:r>
              <w:t xml:space="preserve">Uso: autoridades adoptan umbrales de alerta validados en sus protocolos</w:t>
            </w:r>
          </w:p>
        </w:tc>
        <w:tc>
          <w:tcPr/>
          <w:p>
            <w:pPr>
              <w:pStyle w:val="Tabla9"/>
              <w:jc w:val="left"/>
            </w:pPr>
            <w:r>
              <w:t xml:space="preserve">SC-3</w:t>
            </w: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AT2</w:t>
            </w:r>
          </w:p>
        </w:tc>
        <w:tc>
          <w:tcPr/>
          <w:p>
            <w:pPr>
              <w:pStyle w:val="Tabla9"/>
              <w:jc w:val="left"/>
            </w:pPr>
            <w:r>
              <w:t xml:space="preserve">TERMINAL</w:t>
            </w:r>
          </w:p>
        </w:tc>
        <w:tc>
          <w:tcPr/>
          <w:p>
            <w:pPr>
              <w:pStyle w:val="Tabla9"/>
              <w:jc w:val="left"/>
            </w:pPr>
            <w:r>
              <w:t xml:space="preserve">Error reducido y verificado, con cobertura insuficiente; rediseño del enlace o la energía antes del segundo tramo</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B3</w:t>
            </w:r>
          </w:p>
        </w:tc>
        <w:tc>
          <w:tcPr/>
          <w:p>
            <w:pPr>
              <w:pStyle w:val="Tabla9"/>
              <w:jc w:val="left"/>
            </w:pPr>
            <w:r>
              <w:t xml:space="preserve">AZAR</w:t>
            </w:r>
          </w:p>
        </w:tc>
        <w:tc>
          <w:tcPr/>
          <w:p>
            <w:pPr>
              <w:pStyle w:val="Tabla9"/>
              <w:jc w:val="left"/>
            </w:pPr>
            <w:r>
              <w:t xml:space="preserve">Uso: autoridades adoptan umbrales de alerta validados en sus protocolos</w:t>
            </w:r>
          </w:p>
        </w:tc>
        <w:tc>
          <w:tcPr/>
          <w:p>
            <w:pPr>
              <w:pStyle w:val="Tabla9"/>
              <w:jc w:val="left"/>
            </w:pPr>
            <w:r>
              <w:t xml:space="preserve">SC-3</w:t>
            </w: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BT2</w:t>
            </w:r>
          </w:p>
        </w:tc>
        <w:tc>
          <w:tcPr/>
          <w:p>
            <w:pPr>
              <w:pStyle w:val="Tabla9"/>
              <w:jc w:val="left"/>
            </w:pPr>
            <w:r>
              <w:t xml:space="preserve">TERMINAL</w:t>
            </w:r>
          </w:p>
        </w:tc>
        <w:tc>
          <w:tcPr/>
          <w:p>
            <w:pPr>
              <w:pStyle w:val="Tabla9"/>
              <w:jc w:val="left"/>
            </w:pPr>
            <w:r>
              <w:t xml:space="preserve">Red parcialmente inoperante con la inversión completa realizada</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A4</w:t>
            </w:r>
          </w:p>
        </w:tc>
        <w:tc>
          <w:tcPr/>
          <w:p>
            <w:pPr>
              <w:pStyle w:val="Tabla9"/>
              <w:jc w:val="left"/>
            </w:pPr>
            <w:r>
              <w:t xml:space="preserve">AZAR</w:t>
            </w:r>
          </w:p>
        </w:tc>
        <w:tc>
          <w:tcPr/>
          <w:p>
            <w:pPr>
              <w:pStyle w:val="Tabla9"/>
              <w:jc w:val="left"/>
            </w:pPr>
            <w:r>
              <w:t xml:space="preserve">Custodia: al menos un custodio por componente demuestra capacidad de absorción antes de cada tramo</w:t>
            </w:r>
          </w:p>
        </w:tc>
        <w:tc>
          <w:tcPr/>
          <w:p>
            <w:pPr>
              <w:pStyle w:val="Tabla9"/>
              <w:jc w:val="left"/>
            </w:pPr>
            <w:r>
              <w:t xml:space="preserve">SC-4</w:t>
            </w: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AT3</w:t>
            </w:r>
          </w:p>
        </w:tc>
        <w:tc>
          <w:tcPr/>
          <w:p>
            <w:pPr>
              <w:pStyle w:val="Tabla9"/>
              <w:jc w:val="left"/>
            </w:pPr>
            <w:r>
              <w:t xml:space="preserve">TERMINAL</w:t>
            </w:r>
          </w:p>
        </w:tc>
        <w:tc>
          <w:tcPr/>
          <w:p>
            <w:pPr>
              <w:pStyle w:val="Tabla9"/>
              <w:jc w:val="left"/>
            </w:pPr>
            <w:r>
              <w:t xml:space="preserve">Mediciones verificadas sin uso institucional; tramo siguiente condicionado a la adopción de umbrales</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B4</w:t>
            </w:r>
          </w:p>
        </w:tc>
        <w:tc>
          <w:tcPr/>
          <w:p>
            <w:pPr>
              <w:pStyle w:val="Tabla9"/>
              <w:jc w:val="left"/>
            </w:pPr>
            <w:r>
              <w:t xml:space="preserve">AZAR</w:t>
            </w:r>
          </w:p>
        </w:tc>
        <w:tc>
          <w:tcPr/>
          <w:p>
            <w:pPr>
              <w:pStyle w:val="Tabla9"/>
              <w:jc w:val="left"/>
            </w:pPr>
            <w:r>
              <w:t xml:space="preserve">Custodia: al menos un custodio por componente demuestra capacidad de absorción antes de cada tramo</w:t>
            </w:r>
          </w:p>
        </w:tc>
        <w:tc>
          <w:tcPr/>
          <w:p>
            <w:pPr>
              <w:pStyle w:val="Tabla9"/>
              <w:jc w:val="left"/>
            </w:pPr>
            <w:r>
              <w:t xml:space="preserve">SC-4</w:t>
            </w: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BT3</w:t>
            </w:r>
          </w:p>
        </w:tc>
        <w:tc>
          <w:tcPr/>
          <w:p>
            <w:pPr>
              <w:pStyle w:val="Tabla9"/>
              <w:jc w:val="left"/>
            </w:pPr>
            <w:r>
              <w:t xml:space="preserve">TERMINAL</w:t>
            </w:r>
          </w:p>
        </w:tc>
        <w:tc>
          <w:tcPr/>
          <w:p>
            <w:pPr>
              <w:pStyle w:val="Tabla9"/>
              <w:jc w:val="left"/>
            </w:pPr>
            <w:r>
              <w:t xml:space="preserve">Mediciones sin uso institucional con la inversión completa realizada</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AT5</w:t>
            </w:r>
          </w:p>
        </w:tc>
        <w:tc>
          <w:tcPr/>
          <w:p>
            <w:pPr>
              <w:pStyle w:val="Tabla9"/>
              <w:jc w:val="left"/>
            </w:pPr>
            <w:r>
              <w:t xml:space="preserve">TERMINAL</w:t>
            </w:r>
          </w:p>
        </w:tc>
        <w:tc>
          <w:tcPr/>
          <w:p>
            <w:pPr>
              <w:pStyle w:val="Tabla9"/>
              <w:jc w:val="left"/>
            </w:pPr>
            <w:r>
              <w:t xml:space="preserve">Servicio de vigilancia sostenido con custodia distribuida; protección contribuida con otros actores</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AT4</w:t>
            </w:r>
          </w:p>
        </w:tc>
        <w:tc>
          <w:tcPr/>
          <w:p>
            <w:pPr>
              <w:pStyle w:val="Tabla9"/>
              <w:jc w:val="left"/>
            </w:pPr>
            <w:r>
              <w:t xml:space="preserve">TERMINAL</w:t>
            </w:r>
          </w:p>
        </w:tc>
        <w:tc>
          <w:tcPr/>
          <w:p>
            <w:pPr>
              <w:pStyle w:val="Tabla9"/>
              <w:jc w:val="left"/>
            </w:pPr>
            <w:r>
              <w:t xml:space="preserve">Uso institucional sin custodio demostrado; cláusula de apertura y servicio mínimo</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BT5</w:t>
            </w:r>
          </w:p>
        </w:tc>
        <w:tc>
          <w:tcPr/>
          <w:p>
            <w:pPr>
              <w:pStyle w:val="Tabla9"/>
              <w:jc w:val="left"/>
            </w:pPr>
            <w:r>
              <w:t xml:space="preserve">TERMINAL</w:t>
            </w:r>
          </w:p>
        </w:tc>
        <w:tc>
          <w:tcPr/>
          <w:p>
            <w:pPr>
              <w:pStyle w:val="Tabla9"/>
              <w:jc w:val="left"/>
            </w:pPr>
            <w:r>
              <w:t xml:space="preserve">Servicio continuado con receptor público único; protección contribuida con otros actores</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p>
            <w:pPr>
              <w:pStyle w:val="Tabla9"/>
              <w:jc w:val="left"/>
            </w:pPr>
            <w:r>
              <w:t xml:space="preserve">BT4</w:t>
            </w:r>
          </w:p>
        </w:tc>
        <w:tc>
          <w:tcPr/>
          <w:p>
            <w:pPr>
              <w:pStyle w:val="Tabla9"/>
              <w:jc w:val="left"/>
            </w:pPr>
            <w:r>
              <w:t xml:space="preserve">TERMINAL</w:t>
            </w:r>
          </w:p>
        </w:tc>
        <w:tc>
          <w:tcPr/>
          <w:p>
            <w:pPr>
              <w:pStyle w:val="Tabla9"/>
              <w:jc w:val="left"/>
            </w:pPr>
            <w:r>
              <w:t xml:space="preserve">Orfandad después del mes 24: la red queda sin receptor que la opere</w:t>
            </w:r>
          </w:p>
        </w:tc>
        <w:tc>
          <w:tcPr/>
          <w:p>
            <w:pPr>
              <w:pStyle w:val="Tabla9"/>
            </w:pPr>
          </w:p>
        </w:tc>
        <w:tc>
          <w:tcPr/>
          <w:p>
            <w:pPr>
              <w:pStyle w:val="Tabla9"/>
              <w:jc w:val="left"/>
            </w:pPr>
            <w:r>
              <w:t xml:space="preserve">NO_CALCULABLE</w:t>
            </w:r>
          </w:p>
        </w:tc>
        <w:tc>
          <w:tcPr/>
          <w:p>
            <w:pPr>
              <w:pStyle w:val="Tabla9"/>
              <w:jc w:val="left"/>
            </w:pPr>
            <w:r>
              <w:t xml:space="preserv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Supuestos críticos para la decisión (distancia al umbral ≤ 0,15, regla PROPUESTA): ninguno.</w:t>
      </w:r>
    </w:p>
    <w:p>
      <w:pPr>
        <w:pStyle w:val="Compact"/>
        <w:numPr>
          <w:ilvl w:val="0"/>
          <w:numId w:val="1004"/>
        </w:numPr>
      </w:pPr>
      <w:r>
        <w:t xml:space="preserve">Errores de coherencia: ninguno detectado.</w:t>
      </w:r>
    </w:p>
    <w:p>
      <w:pPr>
        <w:pStyle w:val="Compact"/>
        <w:numPr>
          <w:ilvl w:val="0"/>
          <w:numId w:val="1004"/>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Nota sobre la criticidad de los supuestos.</w:t>
      </w:r>
      <w:r>
        <w:t xml:space="preserve"> </w:t>
      </w:r>
      <w:r>
        <w:t xml:space="preserve">La frase «ninguno» de la alternativa textual indica que el generador no calculó umbrales, porque faltan probabilidades. La criticidad de SC-1 a SC-4 para la decisión es NO_CALCULABLE. La regla de distancia 0,15 queda sin aplicar.</w:t>
      </w:r>
    </w:p>
    <w:p>
      <w:pPr>
        <w:pStyle w:val="BodyText"/>
      </w:pPr>
      <w:r>
        <w:rPr>
          <w:b/>
          <w:bCs/>
        </w:rPr>
        <w:t xml:space="preserve">Árbol A-TDC (teoría del cambio).</w:t>
      </w:r>
      <w:r>
        <w:t xml:space="preserve"> </w:t>
      </w:r>
      <w:r>
        <w:t xml:space="preserve">El árbol tiene once resultados en cuatro niveles. El techo de rendición de cuentas separa los resultados bajo control del proyecto de aquellos a los que solo contribuye. Los supuestos SC-1 a SC-4 rotulan las flechas críticas y remiten a los nodos A1 a A4 y B1 a B4 de A-DEC.</w:t>
      </w:r>
    </w:p>
    <w:p>
      <w:pPr>
        <w:pStyle w:val="BodyText"/>
      </w:pPr>
      <w:r>
        <w:t xml:space="preserve">El JSON canónico de A-TDC se reproduce sin cambios en el Anexo L (L.2).</w:t>
      </w:r>
    </w:p>
    <w:p>
      <w:pPr>
        <w:pStyle w:val="BodyText"/>
      </w:pPr>
      <w:r>
        <w:t xml:space="preserve">La Figura F4.9 reproduce «A-TDC: teoría del cambio de la red de vigilancia con custodia distribuida».</w:t>
      </w:r>
    </w:p>
    <w:p>
      <w:pPr>
        <w:pStyle w:val="FiguraRotulo"/>
      </w:pPr>
      <w:bookmarkStart w:id="9482" w:name="rot_Figura_F4_9"/>
      <w:r>
        <w:rPr>
          <w:b/>
          <w:bCs/>
        </w:rPr>
        <w:t xml:space="preserve">Figura F4.9</w:t>
      </w:r>
      <w:bookmarkEnd w:id="9482"/>
    </w:p>
    <w:p>
      <w:pPr>
        <w:pStyle w:val="FiguraTitulo"/>
      </w:pPr>
      <w:r>
        <w:rPr>
          <w:i/>
          <w:iCs/>
        </w:rPr>
        <w:t xml:space="preserve">A-TDC: teoría del cambio de la red de vigilancia con custodia distribuida</w:t>
      </w:r>
    </w:p>
    <w:p>
      <w:pPr>
        <w:pStyle w:val="BodyText"/>
      </w:pPr>
      <w:r>
        <w:drawing>
          <wp:inline>
            <wp:extent cx="5579999" cy="4680592"/>
            <wp:effectExtent b="0" l="0" r="0" t="0"/>
            <wp:docPr descr="" title="" id="197" name="Picture"/>
            <a:graphic>
              <a:graphicData uri="http://schemas.openxmlformats.org/drawingml/2006/picture">
                <pic:pic>
                  <pic:nvPicPr>
                    <pic:cNvPr descr="/tmp/claude-0/-home-user-docs/ddf38714-2a7e-502b-92b4-1008e2832422/scratchpad/proy/figs/out/cF4_atdc.png" id="198" name="Picture"/>
                    <pic:cNvPicPr>
                      <a:picLocks noChangeArrowheads="1" noChangeAspect="1"/>
                    </pic:cNvPicPr>
                  </pic:nvPicPr>
                  <pic:blipFill>
                    <a:blip r:embed="rId196"/>
                    <a:stretch>
                      <a:fillRect/>
                    </a:stretch>
                  </pic:blipFill>
                  <pic:spPr bwMode="auto">
                    <a:xfrm>
                      <a:off x="0" y="0"/>
                      <a:ext cx="5579999" cy="468059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ARBOL_4_SGR_CONV56_AIRE.json. Cada nivel superior exige el cumplimiento del nivel inferior.</w:t>
      </w:r>
    </w:p>
    <w:p>
      <w:pPr>
        <w:pStyle w:val="BodyText"/>
      </w:pPr>
      <w:r>
        <w:rPr>
          <w:b/>
          <w:bCs/>
        </w:rPr>
        <w:t xml:space="preserve">Alternativa textual de A-TDC.</w:t>
      </w:r>
    </w:p>
    <w:p>
      <w:pPr>
        <w:pStyle w:val="Compact"/>
        <w:numPr>
          <w:ilvl w:val="0"/>
          <w:numId w:val="1005"/>
        </w:numPr>
      </w:pPr>
      <w:r>
        <w:t xml:space="preserve">Árbol 4 · Teoría del cambio · rol A-TDC</w:t>
      </w:r>
    </w:p>
    <w:p>
      <w:pPr>
        <w:pStyle w:val="Compact"/>
        <w:numPr>
          <w:ilvl w:val="0"/>
          <w:numId w:val="1005"/>
        </w:numPr>
      </w:pPr>
      <w:r>
        <w:t xml:space="preserve">Pregunta: ¿Qué cadena causal lleva de los productos del proyecto a la protección de operarios y comunidades, y dónde termina la rendición de cuentas?</w:t>
      </w:r>
    </w:p>
    <w:p>
      <w:pPr>
        <w:pStyle w:val="Compact"/>
        <w:numPr>
          <w:ilvl w:val="0"/>
          <w:numId w:val="1005"/>
        </w:numPr>
      </w:pPr>
      <w:r>
        <w:t xml:space="preserve">Naturaleza: PROPUESTO</w:t>
      </w:r>
    </w:p>
    <w:p>
      <w:pPr>
        <w:pStyle w:val="FirstParagraph"/>
      </w:pPr>
      <w:r>
        <w:t xml:space="preserve">La Tabla F4.57 reúne los datos de «Árbol A-TDC (teoría del cambio)».</w:t>
      </w:r>
    </w:p>
    <w:p>
      <w:pPr>
        <w:pStyle w:val="TablaRotulo"/>
      </w:pPr>
      <w:bookmarkStart w:id="9134" w:name="rot_Tabla_F4_57"/>
      <w:r>
        <w:rPr>
          <w:b/>
          <w:bCs/>
        </w:rPr>
        <w:t xml:space="preserve">Tabla F4.57</w:t>
      </w:r>
      <w:bookmarkEnd w:id="9134"/>
    </w:p>
    <w:p>
      <w:pPr>
        <w:pStyle w:val="TablaTitulo"/>
      </w:pPr>
      <w:r>
        <w:rPr>
          <w:i/>
          <w:iCs/>
        </w:rPr>
        <w:t xml:space="preserve">Árbol A-TDC (teoría del cambio)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76"/>
        <w:gridCol w:w="924"/>
        <w:gridCol w:w="4620"/>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Nodo</w:t>
            </w:r>
          </w:p>
        </w:tc>
        <w:tc>
          <w:tcPr>
            <w:shd w:val="clear" w:color="auto" w:fill="00B050"/>
          </w:tcPr>
          <w:p>
            <w:pPr>
              <w:pStyle w:val="Tabla9"/>
              <w:jc w:val="center"/>
            </w:pPr>
            <w:r>
              <w:rPr>
                <w:b/>
                <w:color w:val="FFFFFF"/>
              </w:rPr>
              <w:t xml:space="preserve">Texto</w:t>
            </w:r>
          </w:p>
        </w:tc>
      </w:tr>
      <w:tr>
        <w:trPr>
          <w:cantSplit/>
        </w:trPr>
        <w:tc>
          <w:tcPr/>
          <w:p>
            <w:pPr>
              <w:pStyle w:val="Tabla9"/>
              <w:jc w:val="left"/>
            </w:pPr>
            <w:r>
              <w:t xml:space="preserve">Productos</w:t>
            </w:r>
          </w:p>
        </w:tc>
        <w:tc>
          <w:tcPr/>
          <w:p>
            <w:pPr>
              <w:pStyle w:val="Tabla9"/>
              <w:jc w:val="left"/>
            </w:pPr>
            <w:r>
              <w:t xml:space="preserve">P1</w:t>
            </w:r>
          </w:p>
        </w:tc>
        <w:tc>
          <w:tcPr/>
          <w:p>
            <w:pPr>
              <w:pStyle w:val="Tabla9"/>
              <w:jc w:val="left"/>
            </w:pPr>
            <w:r>
              <w:t xml:space="preserve">Red de nodos con corrección local desplegada y repuestos disponibles</w:t>
            </w:r>
          </w:p>
        </w:tc>
      </w:tr>
      <w:tr>
        <w:trPr>
          <w:cantSplit/>
        </w:trPr>
        <w:tc>
          <w:tcPr/>
          <w:p>
            <w:pPr>
              <w:pStyle w:val="Tabla9"/>
              <w:jc w:val="left"/>
            </w:pPr>
            <w:r>
              <w:t xml:space="preserve">Productos</w:t>
            </w:r>
          </w:p>
        </w:tc>
        <w:tc>
          <w:tcPr/>
          <w:p>
            <w:pPr>
              <w:pStyle w:val="Tabla9"/>
              <w:jc w:val="left"/>
            </w:pPr>
            <w:r>
              <w:t xml:space="preserve">P2</w:t>
            </w:r>
          </w:p>
        </w:tc>
        <w:tc>
          <w:tcPr/>
          <w:p>
            <w:pPr>
              <w:pStyle w:val="Tabla9"/>
              <w:jc w:val="left"/>
            </w:pPr>
            <w:r>
              <w:t xml:space="preserve">Referencia gravimétrica, protocolo de calibración y sorteo semanal en operación</w:t>
            </w:r>
          </w:p>
        </w:tc>
      </w:tr>
      <w:tr>
        <w:trPr>
          <w:cantSplit/>
        </w:trPr>
        <w:tc>
          <w:tcPr/>
          <w:p>
            <w:pPr>
              <w:pStyle w:val="Tabla9"/>
              <w:jc w:val="left"/>
            </w:pPr>
            <w:r>
              <w:t xml:space="preserve">Productos</w:t>
            </w:r>
          </w:p>
        </w:tc>
        <w:tc>
          <w:tcPr/>
          <w:p>
            <w:pPr>
              <w:pStyle w:val="Tabla9"/>
              <w:jc w:val="left"/>
            </w:pPr>
            <w:r>
              <w:t xml:space="preserve">P3</w:t>
            </w:r>
          </w:p>
        </w:tc>
        <w:tc>
          <w:tcPr/>
          <w:p>
            <w:pPr>
              <w:pStyle w:val="Tabla9"/>
              <w:jc w:val="left"/>
            </w:pPr>
            <w:r>
              <w:t xml:space="preserve">Gemelo digital y tablero con umbrales de alerta propuestos</w:t>
            </w:r>
          </w:p>
        </w:tc>
      </w:tr>
      <w:tr>
        <w:trPr>
          <w:cantSplit/>
        </w:trPr>
        <w:tc>
          <w:tcPr/>
          <w:p>
            <w:pPr>
              <w:pStyle w:val="Tabla9"/>
              <w:jc w:val="left"/>
            </w:pPr>
            <w:r>
              <w:t xml:space="preserve">Productos</w:t>
            </w:r>
          </w:p>
        </w:tc>
        <w:tc>
          <w:tcPr/>
          <w:p>
            <w:pPr>
              <w:pStyle w:val="Tabla9"/>
              <w:jc w:val="left"/>
            </w:pPr>
            <w:r>
              <w:t xml:space="preserve">P4</w:t>
            </w:r>
          </w:p>
        </w:tc>
        <w:tc>
          <w:tcPr/>
          <w:p>
            <w:pPr>
              <w:pStyle w:val="Tabla9"/>
              <w:jc w:val="left"/>
            </w:pPr>
            <w:r>
              <w:t xml:space="preserve">Acuerdos de custodia por tramos y portafolio de financiación constituidos</w:t>
            </w:r>
          </w:p>
        </w:tc>
      </w:tr>
      <w:tr>
        <w:trPr>
          <w:cantSplit/>
        </w:trPr>
        <w:tc>
          <w:tcPr/>
          <w:p>
            <w:pPr>
              <w:pStyle w:val="Tabla9"/>
              <w:jc w:val="left"/>
            </w:pPr>
            <w:r>
              <w:t xml:space="preserve">Resultados inmediatos</w:t>
            </w:r>
          </w:p>
        </w:tc>
        <w:tc>
          <w:tcPr/>
          <w:p>
            <w:pPr>
              <w:pStyle w:val="Tabla9"/>
              <w:jc w:val="left"/>
            </w:pPr>
            <w:r>
              <w:t xml:space="preserve">R1</w:t>
            </w:r>
          </w:p>
        </w:tc>
        <w:tc>
          <w:tcPr/>
          <w:p>
            <w:pPr>
              <w:pStyle w:val="Tabla9"/>
              <w:jc w:val="left"/>
            </w:pPr>
            <w:r>
              <w:t xml:space="preserve">Error de medición reducido y verificable frente a la referencia</w:t>
            </w:r>
          </w:p>
        </w:tc>
      </w:tr>
      <w:tr>
        <w:trPr>
          <w:cantSplit/>
        </w:trPr>
        <w:tc>
          <w:tcPr/>
          <w:p>
            <w:pPr>
              <w:pStyle w:val="Tabla9"/>
              <w:jc w:val="left"/>
            </w:pPr>
            <w:r>
              <w:t xml:space="preserve">Resultados inmediatos</w:t>
            </w:r>
          </w:p>
        </w:tc>
        <w:tc>
          <w:tcPr/>
          <w:p>
            <w:pPr>
              <w:pStyle w:val="Tabla9"/>
              <w:jc w:val="left"/>
            </w:pPr>
            <w:r>
              <w:t xml:space="preserve">R2</w:t>
            </w:r>
          </w:p>
        </w:tc>
        <w:tc>
          <w:tcPr/>
          <w:p>
            <w:pPr>
              <w:pStyle w:val="Tabla9"/>
              <w:jc w:val="left"/>
            </w:pPr>
            <w:r>
              <w:t xml:space="preserve">Datos suficientes: nodos activos y latencia dentro de lo especificado</w:t>
            </w:r>
          </w:p>
        </w:tc>
      </w:tr>
      <w:tr>
        <w:trPr>
          <w:cantSplit/>
        </w:trPr>
        <w:tc>
          <w:tcPr/>
          <w:p>
            <w:pPr>
              <w:pStyle w:val="Tabla9"/>
              <w:jc w:val="left"/>
            </w:pPr>
            <w:r>
              <w:t xml:space="preserve">Resultados inmediatos</w:t>
            </w:r>
          </w:p>
        </w:tc>
        <w:tc>
          <w:tcPr/>
          <w:p>
            <w:pPr>
              <w:pStyle w:val="Tabla9"/>
              <w:jc w:val="left"/>
            </w:pPr>
            <w:r>
              <w:t xml:space="preserve">R3</w:t>
            </w:r>
          </w:p>
        </w:tc>
        <w:tc>
          <w:tcPr/>
          <w:p>
            <w:pPr>
              <w:pStyle w:val="Tabla9"/>
              <w:jc w:val="left"/>
            </w:pPr>
            <w:r>
              <w:t xml:space="preserve">Fórmula local del índice y umbrales validados con la autoridad de salud</w:t>
            </w:r>
          </w:p>
        </w:tc>
      </w:tr>
      <w:tr>
        <w:trPr>
          <w:cantSplit/>
        </w:trPr>
        <w:tc>
          <w:tcPr/>
          <w:p>
            <w:pPr>
              <w:pStyle w:val="Tabla9"/>
              <w:jc w:val="left"/>
            </w:pPr>
            <w:r>
              <w:t xml:space="preserve">Resultados intermedios</w:t>
            </w:r>
          </w:p>
        </w:tc>
        <w:tc>
          <w:tcPr/>
          <w:p>
            <w:pPr>
              <w:pStyle w:val="Tabla9"/>
              <w:jc w:val="left"/>
            </w:pPr>
            <w:r>
              <w:t xml:space="preserve">I1</w:t>
            </w:r>
          </w:p>
        </w:tc>
        <w:tc>
          <w:tcPr/>
          <w:p>
            <w:pPr>
              <w:pStyle w:val="Tabla9"/>
              <w:jc w:val="left"/>
            </w:pPr>
            <w:r>
              <w:t xml:space="preserve">Protocolos de gestión del riesgo y de salud incorporan las alertas</w:t>
            </w:r>
          </w:p>
        </w:tc>
      </w:tr>
      <w:tr>
        <w:trPr>
          <w:cantSplit/>
        </w:trPr>
        <w:tc>
          <w:tcPr/>
          <w:p>
            <w:pPr>
              <w:pStyle w:val="Tabla9"/>
              <w:jc w:val="left"/>
            </w:pPr>
            <w:r>
              <w:t xml:space="preserve">Resultados intermedios</w:t>
            </w:r>
          </w:p>
        </w:tc>
        <w:tc>
          <w:tcPr/>
          <w:p>
            <w:pPr>
              <w:pStyle w:val="Tabla9"/>
              <w:jc w:val="left"/>
            </w:pPr>
            <w:r>
              <w:t xml:space="preserve">I2</w:t>
            </w:r>
          </w:p>
        </w:tc>
        <w:tc>
          <w:tcPr/>
          <w:p>
            <w:pPr>
              <w:pStyle w:val="Tabla9"/>
              <w:jc w:val="left"/>
            </w:pPr>
            <w:r>
              <w:t xml:space="preserve">Alertas oportunas con falsas alarmas dentro del umbral acordado</w:t>
            </w:r>
          </w:p>
        </w:tc>
      </w:tr>
      <w:tr>
        <w:trPr>
          <w:cantSplit/>
        </w:trPr>
        <w:tc>
          <w:tcPr/>
          <w:p>
            <w:pPr>
              <w:pStyle w:val="Tabla9"/>
              <w:jc w:val="left"/>
            </w:pPr>
            <w:r>
              <w:t xml:space="preserve">Resultados intermedios</w:t>
            </w:r>
          </w:p>
        </w:tc>
        <w:tc>
          <w:tcPr/>
          <w:p>
            <w:pPr>
              <w:pStyle w:val="Tabla9"/>
              <w:jc w:val="left"/>
            </w:pPr>
            <w:r>
              <w:t xml:space="preserve">I3</w:t>
            </w:r>
          </w:p>
        </w:tc>
        <w:tc>
          <w:tcPr/>
          <w:p>
            <w:pPr>
              <w:pStyle w:val="Tabla9"/>
              <w:jc w:val="left"/>
            </w:pPr>
            <w:r>
              <w:t xml:space="preserve">Servicio operando con custodios después del mes 24</w:t>
            </w:r>
          </w:p>
        </w:tc>
      </w:tr>
      <w:tr>
        <w:trPr>
          <w:cantSplit/>
        </w:trPr>
        <w:tc>
          <w:tcPr/>
          <w:p>
            <w:pPr>
              <w:pStyle w:val="Tabla9"/>
              <w:jc w:val="left"/>
            </w:pPr>
            <w:r>
              <w:t xml:space="preserve">Impacto</w:t>
            </w:r>
          </w:p>
        </w:tc>
        <w:tc>
          <w:tcPr/>
          <w:p>
            <w:pPr>
              <w:pStyle w:val="Tabla9"/>
              <w:jc w:val="left"/>
            </w:pPr>
            <w:r>
              <w:t xml:space="preserve">IM</w:t>
            </w:r>
          </w:p>
        </w:tc>
        <w:tc>
          <w:tcPr/>
          <w:p>
            <w:pPr>
              <w:pStyle w:val="Tabla9"/>
              <w:jc w:val="left"/>
            </w:pPr>
            <w:r>
              <w:t xml:space="preserve">Operarios y comunidades de los sitios de remoción protegidos por alertas basadas en mediciones verificadas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Relaciones: P3 → R3 (SC-3); P1 → R2 (SC-2); P1 → R1 (SC-1); P2 → R1 (SC-1); P4 → I3 (SC-4); R3 → I1 (SC-3); R1 → I2; R2 → I2; I1 → IM (SC-3); I2 → IM; I3 → IM (SC-4); I1 → P4.</w:t>
      </w:r>
    </w:p>
    <w:p>
      <w:pPr>
        <w:pStyle w:val="BodyText"/>
      </w:pPr>
      <w:r>
        <w:t xml:space="preserve">SC-1: SI los nodos con corrección local se comparan por sorteo semanal con la lectura sin corrección dinámica y con una referencia gravimétrica ENTONCES el error normalizado de los nodos corregidos resulta menor y la diferencia es detectable PORQUE la humedad y el sesgo por tamaño de partícula explican parte del error (V03→V06 = 3 en S2) y la corrección local los compensa antes de la transmisión (SUPUESTO).</w:t>
      </w:r>
    </w:p>
    <w:p>
      <w:pPr>
        <w:pStyle w:val="BodyText"/>
      </w:pPr>
      <w:r>
        <w:t xml:space="preserve">SC-2: SI los nodos conservan energía y enlace intermitente bajo maquinaria, polvo y humedad ENTONCES el gemelo digital recibe datos suficientes para el mapa y el tablero PORQUE la transmisión por eventos reduce el consumo, los nodos averiados se reponen y la maquinaria destruye nodos con peso 2 (V05→V09) que el plan de repuestos absorbe (SUPUESTO).</w:t>
      </w:r>
    </w:p>
    <w:p>
      <w:pPr>
        <w:pStyle w:val="BodyText"/>
      </w:pPr>
      <w:r>
        <w:t xml:space="preserve">SC-3: SI la autoridad de salud valida una fórmula local del índice y los umbrales, y los puestos de mando los incorporan en sus protocolos ENTONCES las alertas inducen acciones de protección y aumenta la población protegida PORQUE una alerta sin portador de decisión no modifica la conducta; en S2 V11→V14 y V13→V14 tienen peso 2 y son hipótesis de influencia (SUPUESTO).</w:t>
      </w:r>
    </w:p>
    <w:p>
      <w:pPr>
        <w:pStyle w:val="BodyText"/>
      </w:pPr>
      <w:r>
        <w:t xml:space="preserve">SC-4: SI al menos un custodio por componente demuestra capacidad de absorción antes de cada tramo de transferencia ENTONCES el servicio continúa después del mes 24 sin receptor público único PORQUE cada tramo exige presupuesto aprobado, personal designado y competencia jurídica documentada; sin ellos rige la cláusula de apertura (SUPUESTO).</w:t>
      </w:r>
    </w:p>
    <w:p>
      <w:pPr>
        <w:pStyle w:val="BodyText"/>
      </w:pPr>
      <w:r>
        <w:t xml:space="preserve">Enfoque: TdC anidada: ejecutiva y por componente para dominio COMPLICADO en la medición y COMPLEJO en la adopción y la custodia.</w:t>
      </w:r>
    </w:p>
    <w:p>
      <w:pPr>
        <w:pStyle w:val="Compact"/>
        <w:numPr>
          <w:ilvl w:val="0"/>
          <w:numId w:val="1006"/>
        </w:numPr>
      </w:pPr>
      <w:r>
        <w:t xml:space="preserve">Errores de coherencia: ninguno detectado.</w:t>
      </w:r>
    </w:p>
    <w:p>
      <w:pPr>
        <w:pStyle w:val="Compact"/>
        <w:numPr>
          <w:ilvl w:val="0"/>
          <w:numId w:val="1006"/>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Revisión visual.</w:t>
      </w:r>
      <w:r>
        <w:t xml:space="preserve"> </w:t>
      </w:r>
      <w:r>
        <w:t xml:space="preserve">Las figuras del documento se redibujaron con la plantilla visual del proyecto a partir de los mismos datos y se revisaron como imágenes. Los textos se leen completos y ningún nodo se superpone.</w:t>
      </w:r>
    </w:p>
    <w:bookmarkEnd w:id="199"/>
    <w:bookmarkStart w:id="200" w:name="Xd467185e580a207bdcbae07cfae0757f5994ef2"/>
    <w:p>
      <w:pPr>
        <w:pStyle w:val="Heading3"/>
      </w:pPr>
      <w:r>
        <w:t xml:space="preserve">F4.4-MDR.3 Construcción y dominio del fenómeno</w:t>
      </w:r>
    </w:p>
    <w:p>
      <w:pPr>
        <w:pStyle w:val="FirstParagraph"/>
      </w:pPr>
      <w:r>
        <w:t xml:space="preserve">Esta pieza fija qué fenómeno existe, quién lo construye y en qué dominio causal se ubica. Reutiliza el problema de 4.3 y 4.4. No lo sustituye por la solución preferida. Las fuentes se identifican con dos códigos: F-INF es el informe_FINAL de vigilancia tecnológica y F-E3 es el expediente Problematica_E3-P00.</w:t>
      </w:r>
    </w:p>
    <w:p>
      <w:pPr>
        <w:pStyle w:val="BodyText"/>
      </w:pPr>
      <w:r>
        <w:rPr>
          <w:b/>
          <w:bCs/>
        </w:rPr>
        <w:t xml:space="preserve">Delimitación del fenómeno.</w:t>
      </w:r>
    </w:p>
    <w:p>
      <w:pPr>
        <w:pStyle w:val="BodyText"/>
      </w:pPr>
      <w:r>
        <w:t xml:space="preserve">La Tabla F4.58 reúne los datos de «Delimitación del fenómeno».</w:t>
      </w:r>
    </w:p>
    <w:p>
      <w:pPr>
        <w:pStyle w:val="TablaRotulo"/>
      </w:pPr>
      <w:bookmarkStart w:id="9135" w:name="rot_Tabla_F4_58"/>
      <w:r>
        <w:rPr>
          <w:b/>
          <w:bCs/>
        </w:rPr>
        <w:t xml:space="preserve">Tabla F4.58</w:t>
      </w:r>
      <w:bookmarkEnd w:id="9135"/>
    </w:p>
    <w:p>
      <w:pPr>
        <w:pStyle w:val="TablaTitulo"/>
      </w:pPr>
      <w:r>
        <w:rPr>
          <w:i/>
          <w:iCs/>
        </w:rPr>
        <w:t xml:space="preserve">Delimitación del fenómeno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01"/>
        <w:gridCol w:w="3338"/>
        <w:gridCol w:w="2880"/>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c>
          <w:tcPr>
            <w:shd w:val="clear" w:color="auto" w:fill="00B050"/>
          </w:tcPr>
          <w:p>
            <w:pPr>
              <w:pStyle w:val="Tabla9"/>
              <w:jc w:val="center"/>
            </w:pPr>
            <w:r>
              <w:rPr>
                <w:b/>
                <w:color w:val="FFFFFF"/>
              </w:rPr>
              <w:t xml:space="preserve">Naturaleza y verificación</w:t>
            </w:r>
          </w:p>
        </w:tc>
      </w:tr>
      <w:tr>
        <w:trPr>
          <w:cantSplit/>
        </w:trPr>
        <w:tc>
          <w:tcPr/>
          <w:p>
            <w:pPr>
              <w:pStyle w:val="Tabla9"/>
              <w:jc w:val="left"/>
            </w:pPr>
            <w:r>
              <w:t xml:space="preserve">Fenómeno observado</w:t>
            </w:r>
          </w:p>
        </w:tc>
        <w:tc>
          <w:tcPr/>
          <w:p>
            <w:pPr>
              <w:pStyle w:val="Tabla9"/>
              <w:jc w:val="left"/>
            </w:pPr>
            <w:r>
              <w:t xml:space="preserve">En sitios de remoción de escombros posteriores al sismo, la medición de PM2,5 y PM10 con sensores de bajo costo carece de verificación frente a una referencia.</w:t>
            </w:r>
          </w:p>
        </w:tc>
        <w:tc>
          <w:tcPr/>
          <w:p>
            <w:pPr>
              <w:pStyle w:val="Tabla9"/>
              <w:jc w:val="left"/>
            </w:pPr>
            <w:r>
              <w:t xml:space="preserve">DECLARADO en F-E3 (E3-P00, E3-P01); NO_VERIFICADO</w:t>
            </w:r>
          </w:p>
        </w:tc>
      </w:tr>
      <w:tr>
        <w:trPr>
          <w:cantSplit/>
        </w:trPr>
        <w:tc>
          <w:tcPr/>
          <w:p>
            <w:pPr>
              <w:pStyle w:val="Tabla9"/>
              <w:jc w:val="left"/>
            </w:pPr>
            <w:r>
              <w:t xml:space="preserve">Unidad decisora</w:t>
            </w:r>
          </w:p>
        </w:tc>
        <w:tc>
          <w:tcPr/>
          <w:p>
            <w:pPr>
              <w:pStyle w:val="Tabla9"/>
              <w:jc w:val="left"/>
            </w:pPr>
            <w:r>
              <w:t xml:space="preserve">El equipo formulador diseña la propuesta. El financiador decide la asignación. Rol del equipo: POR_IDENTIFICAR.</w:t>
            </w:r>
          </w:p>
        </w:tc>
        <w:tc>
          <w:tcPr/>
          <w:p>
            <w:pPr>
              <w:pStyle w:val="Tabla9"/>
              <w:jc w:val="left"/>
            </w:pPr>
            <w:r>
              <w:t xml:space="preserve">SUPUESTO</w:t>
            </w:r>
          </w:p>
        </w:tc>
      </w:tr>
      <w:tr>
        <w:trPr>
          <w:cantSplit/>
        </w:trPr>
        <w:tc>
          <w:tcPr/>
          <w:p>
            <w:pPr>
              <w:pStyle w:val="Tabla9"/>
              <w:jc w:val="left"/>
            </w:pPr>
            <w:r>
              <w:t xml:space="preserve">Población afectada</w:t>
            </w:r>
          </w:p>
        </w:tc>
        <w:tc>
          <w:tcPr/>
          <w:p>
            <w:pPr>
              <w:pStyle w:val="Tabla9"/>
              <w:jc w:val="left"/>
            </w:pPr>
            <w:r>
              <w:t xml:space="preserve">Operarios de remoción y comunidades colindantes. Cifras: VACIO. F-E3 (Cap. 14.3) menciona 87 municipios y 80 funcionarios sin fuente.</w:t>
            </w:r>
          </w:p>
        </w:tc>
        <w:tc>
          <w:tcPr/>
          <w:p>
            <w:pPr>
              <w:pStyle w:val="Tabla9"/>
              <w:jc w:val="left"/>
            </w:pPr>
            <w:r>
              <w:t xml:space="preserve">VACIO; NO_VERIFICADO</w:t>
            </w:r>
          </w:p>
        </w:tc>
      </w:tr>
      <w:tr>
        <w:trPr>
          <w:cantSplit/>
        </w:trPr>
        <w:tc>
          <w:tcPr/>
          <w:p>
            <w:pPr>
              <w:pStyle w:val="Tabla9"/>
              <w:jc w:val="left"/>
            </w:pPr>
            <w:r>
              <w:t xml:space="preserve">Territorio</w:t>
            </w:r>
          </w:p>
        </w:tc>
        <w:tc>
          <w:tcPr/>
          <w:p>
            <w:pPr>
              <w:pStyle w:val="Tabla9"/>
              <w:jc w:val="left"/>
            </w:pPr>
            <w:r>
              <w:t xml:space="preserve">Caldas, Cundinamarca y Valle del Cauca.</w:t>
            </w:r>
          </w:p>
        </w:tc>
        <w:tc>
          <w:tcPr/>
          <w:p>
            <w:pPr>
              <w:pStyle w:val="Tabla9"/>
              <w:jc w:val="left"/>
            </w:pPr>
            <w:r>
              <w:t xml:space="preserve">SUPUESTO por instrucción del usuario</w:t>
            </w:r>
          </w:p>
        </w:tc>
      </w:tr>
      <w:tr>
        <w:trPr>
          <w:cantSplit/>
        </w:trPr>
        <w:tc>
          <w:tcPr/>
          <w:p>
            <w:pPr>
              <w:pStyle w:val="Tabla9"/>
              <w:jc w:val="left"/>
            </w:pPr>
            <w:r>
              <w:t xml:space="preserve">Periodo y horizonte</w:t>
            </w:r>
          </w:p>
        </w:tc>
        <w:tc>
          <w:tcPr/>
          <w:p>
            <w:pPr>
              <w:pStyle w:val="Tabla9"/>
              <w:jc w:val="left"/>
            </w:pPr>
            <w:r>
              <w:t xml:space="preserve">24 meses de ejecución y 12 meses posproyecto: 36 meses.</w:t>
            </w:r>
          </w:p>
        </w:tc>
        <w:tc>
          <w:tcPr/>
          <w:p>
            <w:pPr>
              <w:pStyle w:val="Tabla9"/>
              <w:jc w:val="left"/>
            </w:pPr>
            <w:r>
              <w:t xml:space="preserve">PROPUESTO</w:t>
            </w:r>
          </w:p>
        </w:tc>
      </w:tr>
      <w:tr>
        <w:trPr>
          <w:cantSplit/>
        </w:trPr>
        <w:tc>
          <w:tcPr/>
          <w:p>
            <w:pPr>
              <w:pStyle w:val="Tabla9"/>
              <w:jc w:val="left"/>
            </w:pPr>
            <w:r>
              <w:t xml:space="preserve">Nivel de agregación</w:t>
            </w:r>
          </w:p>
        </w:tc>
        <w:tc>
          <w:tcPr/>
          <w:p>
            <w:pPr>
              <w:pStyle w:val="Tabla9"/>
              <w:jc w:val="left"/>
            </w:pPr>
            <w:r>
              <w:t xml:space="preserve">Nodo-semana en la medición. Municipio-mes en la adopción.</w:t>
            </w:r>
          </w:p>
        </w:tc>
        <w:tc>
          <w:tcPr/>
          <w:p>
            <w:pPr>
              <w:pStyle w:val="Tabla9"/>
              <w:jc w:val="left"/>
            </w:pPr>
            <w:r>
              <w:t xml:space="preserve">PROPUESTO</w:t>
            </w:r>
          </w:p>
        </w:tc>
      </w:tr>
      <w:tr>
        <w:trPr>
          <w:cantSplit/>
        </w:trPr>
        <w:tc>
          <w:tcPr/>
          <w:p>
            <w:pPr>
              <w:pStyle w:val="Tabla9"/>
              <w:jc w:val="left"/>
            </w:pPr>
            <w:r>
              <w:t xml:space="preserve">Síntoma</w:t>
            </w:r>
          </w:p>
        </w:tc>
        <w:tc>
          <w:tcPr/>
          <w:p>
            <w:pPr>
              <w:pStyle w:val="Tabla9"/>
              <w:jc w:val="left"/>
            </w:pPr>
            <w:r>
              <w:t xml:space="preserve">Lecturas con error no cuantificado en el territorio. La línea base de error normalizado (NMAE) es VACIO. F-E3 cita 45 % sin localizador y fija tres metas distintas: menos de 30 %, 15 % o menos y menos de 15 %.</w:t>
            </w:r>
          </w:p>
        </w:tc>
        <w:tc>
          <w:tcPr/>
          <w:p>
            <w:pPr>
              <w:pStyle w:val="Tabla9"/>
              <w:jc w:val="left"/>
            </w:pPr>
            <w:r>
              <w:t xml:space="preserve">DOCUMENTADO en F-E3; CONTRADICTORIO</w:t>
            </w:r>
          </w:p>
        </w:tc>
      </w:tr>
      <w:tr>
        <w:trPr>
          <w:cantSplit/>
        </w:trPr>
        <w:tc>
          <w:tcPr/>
          <w:p>
            <w:pPr>
              <w:pStyle w:val="Tabla9"/>
              <w:jc w:val="left"/>
            </w:pPr>
            <w:r>
              <w:t xml:space="preserve">Problema como estado observable</w:t>
            </w:r>
          </w:p>
        </w:tc>
        <w:tc>
          <w:tcPr/>
          <w:p>
            <w:pPr>
              <w:pStyle w:val="Tabla9"/>
              <w:jc w:val="left"/>
            </w:pPr>
            <w:r>
              <w:t xml:space="preserve">En los sitios de remoción no se dispone de mediciones de PM2,5 y PM10 verificadas frente a una referencia ni de alertas incorporadas en protocolos de decisión.</w:t>
            </w:r>
          </w:p>
        </w:tc>
        <w:tc>
          <w:tcPr/>
          <w:p>
            <w:pPr>
              <w:pStyle w:val="Tabla9"/>
              <w:jc w:val="left"/>
            </w:pPr>
            <w:r>
              <w:t xml:space="preserve">PROPUESTO; NO_VERIFICADO</w:t>
            </w:r>
          </w:p>
        </w:tc>
      </w:tr>
      <w:tr>
        <w:trPr>
          <w:cantSplit/>
        </w:trPr>
        <w:tc>
          <w:tcPr/>
          <w:p>
            <w:pPr>
              <w:pStyle w:val="Tabla9"/>
              <w:jc w:val="left"/>
            </w:pPr>
            <w:r>
              <w:t xml:space="preserve">Explicación propuesta</w:t>
            </w:r>
          </w:p>
        </w:tc>
        <w:tc>
          <w:tcPr/>
          <w:p>
            <w:pPr>
              <w:pStyle w:val="Tabla9"/>
              <w:jc w:val="left"/>
            </w:pPr>
            <w:r>
              <w:t xml:space="preserve">El error de medición (V06) actúa como cuello de botella estructural entre el entorno físico y las variables de decisión.</w:t>
            </w:r>
          </w:p>
        </w:tc>
        <w:tc>
          <w:tcPr/>
          <w:p>
            <w:pPr>
              <w:pStyle w:val="Tabla9"/>
              <w:jc w:val="left"/>
            </w:pPr>
            <w:r>
              <w:t xml:space="preserve">INFERIDO (HIE en 4.4); NO_VERIFICADO</w:t>
            </w:r>
          </w:p>
        </w:tc>
      </w:tr>
      <w:tr>
        <w:trPr>
          <w:cantSplit/>
        </w:trPr>
        <w:tc>
          <w:tcPr/>
          <w:p>
            <w:pPr>
              <w:pStyle w:val="Tabla9"/>
              <w:jc w:val="left"/>
            </w:pPr>
            <w:r>
              <w:t xml:space="preserve">Solución preferida</w:t>
            </w:r>
          </w:p>
        </w:tc>
        <w:tc>
          <w:tcPr/>
          <w:p>
            <w:pPr>
              <w:pStyle w:val="Tabla9"/>
              <w:jc w:val="left"/>
            </w:pPr>
            <w:r>
              <w:t xml:space="preserve">Arquitectura híbrida con corrección local (ALT-03 de F-E3) y gemelo digital. Se registra como hipótesis de intervención.</w:t>
            </w:r>
          </w:p>
        </w:tc>
        <w:tc>
          <w:tcPr/>
          <w:p>
            <w:pPr>
              <w:pStyle w:val="Tabla9"/>
              <w:jc w:val="left"/>
            </w:pPr>
            <w:r>
              <w:t xml:space="preserve">DECLARADO en F-E3; se examina en el argumento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enunciado del problema describe un estado observable. La solución preferida figura aparte, como hipótesis. Ninguna observación disponible mide hoy el estado descrito: la línea base es un vacío.</w:t>
      </w:r>
    </w:p>
    <w:p>
      <w:pPr>
        <w:pStyle w:val="BodyText"/>
      </w:pPr>
      <w:r>
        <w:rPr>
          <w:b/>
          <w:bCs/>
        </w:rPr>
        <w:t xml:space="preserve">Construcción discursiva.</w:t>
      </w:r>
      <w:r>
        <w:t xml:space="preserve"> </w:t>
      </w:r>
      <w:r>
        <w:t xml:space="preserve">La tabla responde las cuatro preguntas de análisis del discurso de Bacchi (2009) y de Schön y Rein (1994).</w:t>
      </w:r>
    </w:p>
    <w:p>
      <w:pPr>
        <w:pStyle w:val="BodyText"/>
      </w:pPr>
      <w:r>
        <w:t xml:space="preserve">La Tabla F4.59 reúne los datos de «Construcción discursiva».</w:t>
      </w:r>
    </w:p>
    <w:p>
      <w:pPr>
        <w:pStyle w:val="TablaRotulo"/>
      </w:pPr>
      <w:bookmarkStart w:id="9136" w:name="rot_Tabla_F4_59"/>
      <w:r>
        <w:rPr>
          <w:b/>
          <w:bCs/>
        </w:rPr>
        <w:t xml:space="preserve">Tabla F4.59</w:t>
      </w:r>
      <w:bookmarkEnd w:id="9136"/>
    </w:p>
    <w:p>
      <w:pPr>
        <w:pStyle w:val="TablaTitulo"/>
      </w:pPr>
      <w:r>
        <w:rPr>
          <w:i/>
          <w:iCs/>
        </w:rPr>
        <w:t xml:space="preserve">Construcción discursiva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508"/>
        <w:gridCol w:w="3036"/>
        <w:gridCol w:w="2376"/>
      </w:tblGrid>
      <w:tr>
        <w:trPr>
          <w:cantSplit/>
          <w:tblHeader/>
        </w:trPr>
        <w:tc>
          <w:tcPr>
            <w:shd w:val="clear" w:color="auto" w:fill="00B050"/>
          </w:tcPr>
          <w:p>
            <w:pPr>
              <w:pStyle w:val="Tabla9"/>
              <w:jc w:val="center"/>
            </w:pPr>
            <w:r>
              <w:rPr>
                <w:b/>
                <w:color w:val="FFFFFF"/>
              </w:rPr>
              <w:t xml:space="preserve">Pregunta</w:t>
            </w:r>
          </w:p>
        </w:tc>
        <w:tc>
          <w:tcPr>
            <w:shd w:val="clear" w:color="auto" w:fill="00B050"/>
          </w:tcPr>
          <w:p>
            <w:pPr>
              <w:pStyle w:val="Tabla9"/>
              <w:jc w:val="center"/>
            </w:pPr>
            <w:r>
              <w:rPr>
                <w:b/>
                <w:color w:val="FFFFFF"/>
              </w:rPr>
              <w:t xml:space="preserve">Respuesta</w:t>
            </w:r>
          </w:p>
        </w:tc>
        <w:tc>
          <w:tcPr>
            <w:shd w:val="clear" w:color="auto" w:fill="00B050"/>
          </w:tcPr>
          <w:p>
            <w:pPr>
              <w:pStyle w:val="Tabla9"/>
              <w:jc w:val="center"/>
            </w:pPr>
            <w:r>
              <w:rPr>
                <w:b/>
                <w:color w:val="FFFFFF"/>
              </w:rPr>
              <w:t xml:space="preserve">Fuente</w:t>
            </w:r>
          </w:p>
        </w:tc>
      </w:tr>
      <w:tr>
        <w:trPr>
          <w:cantSplit/>
        </w:trPr>
        <w:tc>
          <w:tcPr/>
          <w:p>
            <w:pPr>
              <w:pStyle w:val="Tabla9"/>
              <w:jc w:val="left"/>
            </w:pPr>
            <w:r>
              <w:t xml:space="preserve">¿Cómo se representa el problema?</w:t>
            </w:r>
          </w:p>
        </w:tc>
        <w:tc>
          <w:tcPr/>
          <w:p>
            <w:pPr>
              <w:pStyle w:val="Tabla9"/>
              <w:jc w:val="left"/>
            </w:pPr>
            <w:r>
              <w:t xml:space="preserve">Como una limitación técnica de medición y de comunicaciones: el error del sensor y el consumo de energía impiden calibrar en terreno.</w:t>
            </w:r>
          </w:p>
        </w:tc>
        <w:tc>
          <w:tcPr/>
          <w:p>
            <w:pPr>
              <w:pStyle w:val="Tabla9"/>
              <w:jc w:val="left"/>
            </w:pPr>
            <w:r>
              <w:t xml:space="preserve">F-E3, E3-P07 (contradicción raíz CTR-01)</w:t>
            </w:r>
          </w:p>
        </w:tc>
      </w:tr>
      <w:tr>
        <w:trPr>
          <w:cantSplit/>
        </w:trPr>
        <w:tc>
          <w:tcPr/>
          <w:p>
            <w:pPr>
              <w:pStyle w:val="Tabla9"/>
              <w:jc w:val="left"/>
            </w:pPr>
            <w:r>
              <w:t xml:space="preserve">¿Qué supuestos sostienen esa representación?</w:t>
            </w:r>
          </w:p>
        </w:tc>
        <w:tc>
          <w:tcPr/>
          <w:p>
            <w:pPr>
              <w:pStyle w:val="Tabla9"/>
              <w:jc w:val="left"/>
            </w:pPr>
            <w:r>
              <w:t xml:space="preserve">(a) La causa principal es metrológica y energética. (b) La respuesta es tecnológica. (c) Las alcaldías adoptan y sostienen el tablero.</w:t>
            </w:r>
          </w:p>
        </w:tc>
        <w:tc>
          <w:tcPr/>
          <w:p>
            <w:pPr>
              <w:pStyle w:val="Tabla9"/>
              <w:jc w:val="left"/>
            </w:pPr>
            <w:r>
              <w:t xml:space="preserve">F-E3, E3-P09, E3-P17 y Cap. 14</w:t>
            </w:r>
          </w:p>
        </w:tc>
      </w:tr>
      <w:tr>
        <w:trPr>
          <w:cantSplit/>
        </w:trPr>
        <w:tc>
          <w:tcPr/>
          <w:p>
            <w:pPr>
              <w:pStyle w:val="Tabla9"/>
              <w:jc w:val="left"/>
            </w:pPr>
            <w:r>
              <w:t xml:space="preserve">¿Qué queda sin problematizar?</w:t>
            </w:r>
          </w:p>
        </w:tc>
        <w:tc>
          <w:tcPr/>
          <w:p>
            <w:pPr>
              <w:pStyle w:val="Tabla9"/>
              <w:jc w:val="left"/>
            </w:pPr>
            <w:r>
              <w:t xml:space="preserve">La emisión en la fuente, las acciones que activa la alerta, el umbral normativo aplicable y la responsabilidad de contratistas y administradoras de riesgos laborales (ARL).</w:t>
            </w:r>
          </w:p>
        </w:tc>
        <w:tc>
          <w:tcPr/>
          <w:p>
            <w:pPr>
              <w:pStyle w:val="Tabla9"/>
              <w:jc w:val="left"/>
            </w:pPr>
            <w:r>
              <w:t xml:space="preserve">Ausencia en F-E3; INFERIDO</w:t>
            </w:r>
          </w:p>
        </w:tc>
      </w:tr>
      <w:tr>
        <w:trPr>
          <w:cantSplit/>
        </w:trPr>
        <w:tc>
          <w:tcPr/>
          <w:p>
            <w:pPr>
              <w:pStyle w:val="Tabla9"/>
              <w:jc w:val="left"/>
            </w:pPr>
            <w:r>
              <w:t xml:space="preserve">¿Qué efectos produce sobre los afectados?</w:t>
            </w:r>
          </w:p>
        </w:tc>
        <w:tc>
          <w:tcPr/>
          <w:p>
            <w:pPr>
              <w:pStyle w:val="Tabla9"/>
              <w:jc w:val="left"/>
            </w:pPr>
            <w:r>
              <w:t xml:space="preserve">Operarios y comunidades figuran como receptores de alertas. F-E3 no registra su participación en el diseño de los umbrales.</w:t>
            </w:r>
          </w:p>
        </w:tc>
        <w:tc>
          <w:tcPr/>
          <w:p>
            <w:pPr>
              <w:pStyle w:val="Tabla9"/>
              <w:jc w:val="left"/>
            </w:pPr>
            <w:r>
              <w:t xml:space="preserve">E3-P17 (matriz RACI);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Marcos rivales.</w:t>
      </w:r>
      <w:r>
        <w:t xml:space="preserve"> </w:t>
      </w:r>
      <w:r>
        <w:t xml:space="preserve">Se registran tres marcos con su portador. Ninguno cuenta con evidencia verificada en esta corrida.</w:t>
      </w:r>
    </w:p>
    <w:p>
      <w:pPr>
        <w:pStyle w:val="BodyText"/>
      </w:pPr>
      <w:r>
        <w:t xml:space="preserve">La Tabla F4.60 reúne los datos de «Marcos rivales».</w:t>
      </w:r>
    </w:p>
    <w:p>
      <w:pPr>
        <w:pStyle w:val="TablaRotulo"/>
      </w:pPr>
      <w:bookmarkStart w:id="9137" w:name="rot_Tabla_F4_60"/>
      <w:r>
        <w:rPr>
          <w:b/>
          <w:bCs/>
        </w:rPr>
        <w:t xml:space="preserve">Tabla F4.60</w:t>
      </w:r>
      <w:bookmarkEnd w:id="9137"/>
    </w:p>
    <w:p>
      <w:pPr>
        <w:pStyle w:val="TablaTitulo"/>
      </w:pPr>
      <w:r>
        <w:rPr>
          <w:i/>
          <w:iCs/>
        </w:rPr>
        <w:t xml:space="preserve">Marcos rivales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848"/>
        <w:gridCol w:w="2574"/>
      </w:tblGrid>
      <w:tr>
        <w:trPr>
          <w:cantSplit/>
          <w:tblHeader/>
        </w:trPr>
        <w:tc>
          <w:tcPr>
            <w:shd w:val="clear" w:color="auto" w:fill="00B050"/>
          </w:tcPr>
          <w:p>
            <w:pPr>
              <w:pStyle w:val="Tabla9"/>
              <w:jc w:val="center"/>
            </w:pPr>
            <w:r>
              <w:rPr>
                <w:b/>
                <w:color w:val="FFFFFF"/>
              </w:rPr>
              <w:t xml:space="preserve">Marco rival</w:t>
            </w:r>
          </w:p>
        </w:tc>
        <w:tc>
          <w:tcPr>
            <w:shd w:val="clear" w:color="auto" w:fill="00B050"/>
          </w:tcPr>
          <w:p>
            <w:pPr>
              <w:pStyle w:val="Tabla9"/>
              <w:jc w:val="center"/>
            </w:pPr>
            <w:r>
              <w:rPr>
                <w:b/>
                <w:color w:val="FFFFFF"/>
              </w:rPr>
              <w:t xml:space="preserve">Portador</w:t>
            </w:r>
          </w:p>
        </w:tc>
        <w:tc>
          <w:tcPr>
            <w:shd w:val="clear" w:color="auto" w:fill="00B050"/>
          </w:tcPr>
          <w:p>
            <w:pPr>
              <w:pStyle w:val="Tabla9"/>
              <w:jc w:val="center"/>
            </w:pPr>
            <w:r>
              <w:rPr>
                <w:b/>
                <w:color w:val="FFFFFF"/>
              </w:rPr>
              <w:t xml:space="preserve">Qué sostendría</w:t>
            </w:r>
          </w:p>
        </w:tc>
        <w:tc>
          <w:tcPr>
            <w:shd w:val="clear" w:color="auto" w:fill="00B050"/>
          </w:tcPr>
          <w:p>
            <w:pPr>
              <w:pStyle w:val="Tabla9"/>
              <w:jc w:val="center"/>
            </w:pPr>
            <w:r>
              <w:rPr>
                <w:b/>
                <w:color w:val="FFFFFF"/>
              </w:rPr>
              <w:t xml:space="preserve">Fuente y estado</w:t>
            </w:r>
          </w:p>
        </w:tc>
      </w:tr>
      <w:tr>
        <w:trPr>
          <w:cantSplit/>
        </w:trPr>
        <w:tc>
          <w:tcPr/>
          <w:p>
            <w:pPr>
              <w:pStyle w:val="Tabla9"/>
              <w:jc w:val="left"/>
            </w:pPr>
            <w:r>
              <w:t xml:space="preserve">Control en la fuente y salud ocupacional</w:t>
            </w:r>
          </w:p>
        </w:tc>
        <w:tc>
          <w:tcPr/>
          <w:p>
            <w:pPr>
              <w:pStyle w:val="Tabla9"/>
              <w:jc w:val="left"/>
            </w:pPr>
            <w:r>
              <w:t xml:space="preserve">Autoridades laborales y ARL</w:t>
            </w:r>
          </w:p>
        </w:tc>
        <w:tc>
          <w:tcPr/>
          <w:p>
            <w:pPr>
              <w:pStyle w:val="Tabla9"/>
              <w:jc w:val="left"/>
            </w:pPr>
            <w:r>
              <w:t xml:space="preserve">El problema es la emisión de polvo en obra. La medición es secundaria.</w:t>
            </w:r>
          </w:p>
        </w:tc>
        <w:tc>
          <w:tcPr/>
          <w:p>
            <w:pPr>
              <w:pStyle w:val="Tabla9"/>
              <w:jc w:val="left"/>
            </w:pPr>
            <w:r>
              <w:t xml:space="preserve">Conocimiento externo; INFERIDO; NO_VERIFICADO</w:t>
            </w:r>
          </w:p>
        </w:tc>
      </w:tr>
      <w:tr>
        <w:trPr>
          <w:cantSplit/>
        </w:trPr>
        <w:tc>
          <w:tcPr/>
          <w:p>
            <w:pPr>
              <w:pStyle w:val="Tabla9"/>
              <w:jc w:val="left"/>
            </w:pPr>
            <w:r>
              <w:t xml:space="preserve">Gestión del riesgo de desastres como servicio</w:t>
            </w:r>
          </w:p>
        </w:tc>
        <w:tc>
          <w:tcPr/>
          <w:p>
            <w:pPr>
              <w:pStyle w:val="Tabla9"/>
              <w:jc w:val="left"/>
            </w:pPr>
            <w:r>
              <w:t xml:space="preserve">UNGRD y puestos de mando unificado</w:t>
            </w:r>
          </w:p>
        </w:tc>
        <w:tc>
          <w:tcPr/>
          <w:p>
            <w:pPr>
              <w:pStyle w:val="Tabla9"/>
              <w:jc w:val="left"/>
            </w:pPr>
            <w:r>
              <w:t xml:space="preserve">La alerta solo existe si un protocolo de mando la activa.</w:t>
            </w:r>
          </w:p>
        </w:tc>
        <w:tc>
          <w:tcPr/>
          <w:p>
            <w:pPr>
              <w:pStyle w:val="Tabla9"/>
              <w:jc w:val="left"/>
            </w:pPr>
            <w:r>
              <w:t xml:space="preserve">F-E3, E3-P17; INFERIDO</w:t>
            </w:r>
          </w:p>
        </w:tc>
      </w:tr>
      <w:tr>
        <w:trPr>
          <w:cantSplit/>
        </w:trPr>
        <w:tc>
          <w:tcPr/>
          <w:p>
            <w:pPr>
              <w:pStyle w:val="Tabla9"/>
              <w:jc w:val="left"/>
            </w:pPr>
            <w:r>
              <w:t xml:space="preserve">Metrología y acreditación</w:t>
            </w:r>
          </w:p>
        </w:tc>
        <w:tc>
          <w:tcPr/>
          <w:p>
            <w:pPr>
              <w:pStyle w:val="Tabla9"/>
              <w:jc w:val="left"/>
            </w:pPr>
            <w:r>
              <w:t xml:space="preserve">IDEAM</w:t>
            </w:r>
          </w:p>
        </w:tc>
        <w:tc>
          <w:tcPr/>
          <w:p>
            <w:pPr>
              <w:pStyle w:val="Tabla9"/>
              <w:jc w:val="left"/>
            </w:pPr>
            <w:r>
              <w:t xml:space="preserve">Solo un equipo acreditado como referencia sustenta una alerta oficial.</w:t>
            </w:r>
          </w:p>
        </w:tc>
        <w:tc>
          <w:tcPr/>
          <w:p>
            <w:pPr>
              <w:pStyle w:val="Tabla9"/>
              <w:jc w:val="left"/>
            </w:pPr>
            <w:r>
              <w:t xml:space="preserve">F-INF §6.5 (Tabla E3-30);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Núcleo normativo.</w:t>
      </w:r>
      <w:r>
        <w:t xml:space="preserve"> </w:t>
      </w:r>
      <w:r>
        <w:t xml:space="preserve">El núcleo normativo identifica derechos, mandatos y compromisos que delimitan las soluciones admisibles (Dunn, 2018). Los términos de referencia de la convocatoria no fueron aportados. Por esa razón, ninguna restricción se registra como no negociable con fuente normativa. Las restricciones siguientes se rotulan según su estado real.</w:t>
      </w:r>
    </w:p>
    <w:p>
      <w:pPr>
        <w:pStyle w:val="BodyText"/>
      </w:pPr>
      <w:r>
        <w:t xml:space="preserve">La Tabla F4.61 reúne los datos de «Núcleo normativo».</w:t>
      </w:r>
    </w:p>
    <w:p>
      <w:pPr>
        <w:pStyle w:val="TablaRotulo"/>
      </w:pPr>
      <w:bookmarkStart w:id="9138" w:name="rot_Tabla_F4_61"/>
      <w:r>
        <w:rPr>
          <w:b/>
          <w:bCs/>
        </w:rPr>
        <w:t xml:space="preserve">Tabla F4.61</w:t>
      </w:r>
      <w:bookmarkEnd w:id="9138"/>
    </w:p>
    <w:p>
      <w:pPr>
        <w:pStyle w:val="TablaTitulo"/>
      </w:pPr>
      <w:r>
        <w:rPr>
          <w:i/>
          <w:iCs/>
        </w:rPr>
        <w:t xml:space="preserve">Núcleo normativo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80"/>
        <w:gridCol w:w="3894"/>
        <w:gridCol w:w="2046"/>
      </w:tblGrid>
      <w:tr>
        <w:trPr>
          <w:cantSplit/>
          <w:tblHeader/>
        </w:trPr>
        <w:tc>
          <w:tcPr>
            <w:shd w:val="clear" w:color="auto" w:fill="00B050"/>
          </w:tcPr>
          <w:p>
            <w:pPr>
              <w:pStyle w:val="Tabla9"/>
              <w:jc w:val="center"/>
            </w:pPr>
            <w:r>
              <w:rPr>
                <w:b/>
                <w:color w:val="FFFFFF"/>
              </w:rPr>
              <w:t xml:space="preserve">Restricción</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Portador o fuente</w:t>
            </w:r>
          </w:p>
        </w:tc>
      </w:tr>
      <w:tr>
        <w:trPr>
          <w:cantSplit/>
        </w:trPr>
        <w:tc>
          <w:tcPr/>
          <w:p>
            <w:pPr>
              <w:pStyle w:val="Tabla9"/>
              <w:jc w:val="left"/>
            </w:pPr>
            <w:r>
              <w:t xml:space="preserve">Tope de 14.000 millones de COP y reglas de elegibilidad</w:t>
            </w:r>
          </w:p>
        </w:tc>
        <w:tc>
          <w:tcPr/>
          <w:p>
            <w:pPr>
              <w:pStyle w:val="Tabla9"/>
              <w:jc w:val="left"/>
            </w:pPr>
            <w:r>
              <w:t xml:space="preserve">DECLARADO en F-E3 (cita TdR pp. 7-8 y 25); NO_VERIFICADO</w:t>
            </w:r>
          </w:p>
        </w:tc>
        <w:tc>
          <w:tcPr/>
          <w:p>
            <w:pPr>
              <w:pStyle w:val="Tabla9"/>
              <w:jc w:val="left"/>
            </w:pPr>
            <w:r>
              <w:t xml:space="preserve">Convocante; TdR no aportados</w:t>
            </w:r>
          </w:p>
        </w:tc>
      </w:tr>
      <w:tr>
        <w:trPr>
          <w:cantSplit/>
        </w:trPr>
        <w:tc>
          <w:tcPr/>
          <w:p>
            <w:pPr>
              <w:pStyle w:val="Tabla9"/>
              <w:jc w:val="left"/>
            </w:pPr>
            <w:r>
              <w:t xml:space="preserve">Protección de la salud y de un ambiente sano</w:t>
            </w:r>
          </w:p>
        </w:tc>
        <w:tc>
          <w:tcPr/>
          <w:p>
            <w:pPr>
              <w:pStyle w:val="Tabla9"/>
              <w:jc w:val="left"/>
            </w:pPr>
            <w:r>
              <w:t xml:space="preserve">CANDIDATO_A_VERIFICAR</w:t>
            </w:r>
          </w:p>
        </w:tc>
        <w:tc>
          <w:tcPr/>
          <w:p>
            <w:pPr>
              <w:pStyle w:val="Tabla9"/>
              <w:jc w:val="left"/>
            </w:pPr>
            <w:r>
              <w:t xml:space="preserve">Constitución Política, arts. 49 y 79 [conocimiento externo]</w:t>
            </w:r>
          </w:p>
        </w:tc>
      </w:tr>
      <w:tr>
        <w:trPr>
          <w:cantSplit/>
        </w:trPr>
        <w:tc>
          <w:tcPr/>
          <w:p>
            <w:pPr>
              <w:pStyle w:val="Tabla9"/>
              <w:jc w:val="left"/>
            </w:pPr>
            <w:r>
              <w:t xml:space="preserve">Competencia territorial en gestión del riesgo</w:t>
            </w:r>
          </w:p>
        </w:tc>
        <w:tc>
          <w:tcPr/>
          <w:p>
            <w:pPr>
              <w:pStyle w:val="Tabla9"/>
              <w:jc w:val="left"/>
            </w:pPr>
            <w:r>
              <w:t xml:space="preserve">CANDIDATO_A_VERIFICAR</w:t>
            </w:r>
          </w:p>
        </w:tc>
        <w:tc>
          <w:tcPr/>
          <w:p>
            <w:pPr>
              <w:pStyle w:val="Tabla9"/>
              <w:jc w:val="left"/>
            </w:pPr>
            <w:r>
              <w:t xml:space="preserve">Ley 1523 de 2012 [conocimiento externo]</w:t>
            </w:r>
          </w:p>
        </w:tc>
      </w:tr>
      <w:tr>
        <w:trPr>
          <w:cantSplit/>
        </w:trPr>
        <w:tc>
          <w:tcPr/>
          <w:p>
            <w:pPr>
              <w:pStyle w:val="Tabla9"/>
              <w:jc w:val="left"/>
            </w:pPr>
            <w:r>
              <w:t xml:space="preserve">Prioridad de la salud sobre la continuidad de obra</w:t>
            </w:r>
          </w:p>
        </w:tc>
        <w:tc>
          <w:tcPr/>
          <w:p>
            <w:pPr>
              <w:pStyle w:val="Tabla9"/>
              <w:jc w:val="left"/>
            </w:pPr>
            <w:r>
              <w:t xml:space="preserve">Preferencia del analista</w:t>
            </w:r>
          </w:p>
        </w:tc>
        <w:tc>
          <w:tcPr/>
          <w:p>
            <w:pPr>
              <w:pStyle w:val="Tabla9"/>
              <w:jc w:val="left"/>
            </w:pPr>
            <w:r>
              <w:t xml:space="preserve">Sin portador declarado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Sistema apreciativo.</w:t>
      </w:r>
      <w:r>
        <w:t xml:space="preserve"> </w:t>
      </w:r>
      <w:r>
        <w:t xml:space="preserve">Los juicios se separan en juicios de realidad, de valor e instrumentales, cada uno con su portador (Vickers, 1965).</w:t>
      </w:r>
    </w:p>
    <w:p>
      <w:pPr>
        <w:pStyle w:val="BodyText"/>
      </w:pPr>
      <w:r>
        <w:t xml:space="preserve">La Tabla F4.62 reúne los datos de «Sistema apreciativo».</w:t>
      </w:r>
    </w:p>
    <w:p>
      <w:pPr>
        <w:pStyle w:val="TablaRotulo"/>
      </w:pPr>
      <w:bookmarkStart w:id="9139" w:name="rot_Tabla_F4_62"/>
      <w:r>
        <w:rPr>
          <w:b/>
          <w:bCs/>
        </w:rPr>
        <w:t xml:space="preserve">Tabla F4.62</w:t>
      </w:r>
      <w:bookmarkEnd w:id="9139"/>
    </w:p>
    <w:p>
      <w:pPr>
        <w:pStyle w:val="TablaTitulo"/>
      </w:pPr>
      <w:r>
        <w:rPr>
          <w:i/>
          <w:iCs/>
        </w:rPr>
        <w:t xml:space="preserve">Sistema apreciativo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40"/>
        <w:gridCol w:w="1309"/>
        <w:gridCol w:w="2814"/>
        <w:gridCol w:w="2356"/>
      </w:tblGrid>
      <w:tr>
        <w:trPr>
          <w:cantSplit/>
          <w:tblHeader/>
        </w:trPr>
        <w:tc>
          <w:tcPr>
            <w:shd w:val="clear" w:color="auto" w:fill="00B050"/>
          </w:tcPr>
          <w:p>
            <w:pPr>
              <w:pStyle w:val="Tabla9"/>
              <w:jc w:val="center"/>
            </w:pPr>
            <w:r>
              <w:rPr>
                <w:b/>
                <w:color w:val="FFFFFF"/>
              </w:rPr>
              <w:t xml:space="preserve">Tipo de juicio</w:t>
            </w:r>
          </w:p>
        </w:tc>
        <w:tc>
          <w:tcPr>
            <w:shd w:val="clear" w:color="auto" w:fill="00B050"/>
          </w:tcPr>
          <w:p>
            <w:pPr>
              <w:pStyle w:val="Tabla9"/>
              <w:jc w:val="center"/>
            </w:pPr>
            <w:r>
              <w:rPr>
                <w:b/>
                <w:color w:val="FFFFFF"/>
              </w:rPr>
              <w:t xml:space="preserve">Juicio</w:t>
            </w:r>
          </w:p>
        </w:tc>
        <w:tc>
          <w:tcPr>
            <w:shd w:val="clear" w:color="auto" w:fill="00B050"/>
          </w:tcPr>
          <w:p>
            <w:pPr>
              <w:pStyle w:val="Tabla9"/>
              <w:jc w:val="center"/>
            </w:pPr>
            <w:r>
              <w:rPr>
                <w:b/>
                <w:color w:val="FFFFFF"/>
              </w:rPr>
              <w:t xml:space="preserve">Portador y fuente</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Realidad</w:t>
            </w:r>
          </w:p>
        </w:tc>
        <w:tc>
          <w:tcPr/>
          <w:p>
            <w:pPr>
              <w:pStyle w:val="Tabla9"/>
              <w:jc w:val="left"/>
            </w:pPr>
            <w:r>
              <w:t xml:space="preserve">El error normalizado supera 45 % sin corrección.</w:t>
            </w:r>
          </w:p>
        </w:tc>
        <w:tc>
          <w:tcPr/>
          <w:p>
            <w:pPr>
              <w:pStyle w:val="Tabla9"/>
              <w:jc w:val="left"/>
            </w:pPr>
            <w:r>
              <w:t xml:space="preserve">F-E3, Paso 1 (F_REV_SISTEMATICA sin localizador)</w:t>
            </w:r>
          </w:p>
        </w:tc>
        <w:tc>
          <w:tcPr/>
          <w:p>
            <w:pPr>
              <w:pStyle w:val="Tabla9"/>
              <w:jc w:val="left"/>
            </w:pPr>
            <w:r>
              <w:t xml:space="preserve">DECLARADO; NO_VERIFICADO</w:t>
            </w:r>
          </w:p>
        </w:tc>
      </w:tr>
      <w:tr>
        <w:trPr>
          <w:cantSplit/>
        </w:trPr>
        <w:tc>
          <w:tcPr/>
          <w:p>
            <w:pPr>
              <w:pStyle w:val="Tabla9"/>
              <w:jc w:val="left"/>
            </w:pPr>
            <w:r>
              <w:t xml:space="preserve">Realidad</w:t>
            </w:r>
          </w:p>
        </w:tc>
        <w:tc>
          <w:tcPr/>
          <w:p>
            <w:pPr>
              <w:pStyle w:val="Tabla9"/>
              <w:jc w:val="left"/>
            </w:pPr>
            <w:r>
              <w:t xml:space="preserve">La humedad sesga los sensores ópticos. F-INF §8.3 reporta correlación de 0,73. F-E3 usa 0,48 en 3.15, 4.6 y ND-11.</w:t>
            </w:r>
          </w:p>
        </w:tc>
        <w:tc>
          <w:tcPr/>
          <w:p>
            <w:pPr>
              <w:pStyle w:val="Tabla9"/>
              <w:jc w:val="left"/>
            </w:pPr>
            <w:r>
              <w:t xml:space="preserve">F-INF §8.3; F-E3</w:t>
            </w:r>
          </w:p>
        </w:tc>
        <w:tc>
          <w:tcPr/>
          <w:p>
            <w:pPr>
              <w:pStyle w:val="Tabla9"/>
              <w:jc w:val="left"/>
            </w:pPr>
            <w:r>
              <w:t xml:space="preserve">CONTRADICTORIO entre fuentes</w:t>
            </w:r>
          </w:p>
        </w:tc>
      </w:tr>
      <w:tr>
        <w:trPr>
          <w:cantSplit/>
        </w:trPr>
        <w:tc>
          <w:tcPr/>
          <w:p>
            <w:pPr>
              <w:pStyle w:val="Tabla9"/>
              <w:jc w:val="left"/>
            </w:pPr>
            <w:r>
              <w:t xml:space="preserve">Valor</w:t>
            </w:r>
          </w:p>
        </w:tc>
        <w:tc>
          <w:tcPr/>
          <w:p>
            <w:pPr>
              <w:pStyle w:val="Tabla9"/>
              <w:jc w:val="left"/>
            </w:pPr>
            <w:r>
              <w:t xml:space="preserve">Evitar paros de obra por falsas alarmas.</w:t>
            </w:r>
          </w:p>
        </w:tc>
        <w:tc>
          <w:tcPr/>
          <w:p>
            <w:pPr>
              <w:pStyle w:val="Tabla9"/>
              <w:jc w:val="left"/>
            </w:pPr>
            <w:r>
              <w:t xml:space="preserve">Constructoras (F-E3, Tabla E3-14.2, lucro cesante)</w:t>
            </w:r>
          </w:p>
        </w:tc>
        <w:tc>
          <w:tcPr/>
          <w:p>
            <w:pPr>
              <w:pStyle w:val="Tabla9"/>
              <w:jc w:val="left"/>
            </w:pPr>
            <w:r>
              <w:t xml:space="preserve">DECLARADO; NO_VERIFICADO</w:t>
            </w:r>
          </w:p>
        </w:tc>
      </w:tr>
      <w:tr>
        <w:trPr>
          <w:cantSplit/>
        </w:trPr>
        <w:tc>
          <w:tcPr/>
          <w:p>
            <w:pPr>
              <w:pStyle w:val="Tabla9"/>
              <w:jc w:val="left"/>
            </w:pPr>
            <w:r>
              <w:t xml:space="preserve">Valor</w:t>
            </w:r>
          </w:p>
        </w:tc>
        <w:tc>
          <w:tcPr/>
          <w:p>
            <w:pPr>
              <w:pStyle w:val="Tabla9"/>
              <w:jc w:val="left"/>
            </w:pPr>
            <w:r>
              <w:t xml:space="preserve">Proteger primero a operarios y comunidades cuando se supera un umbral.</w:t>
            </w:r>
          </w:p>
        </w:tc>
        <w:tc>
          <w:tcPr/>
          <w:p>
            <w:pPr>
              <w:pStyle w:val="Tabla9"/>
              <w:jc w:val="left"/>
            </w:pPr>
            <w:r>
              <w:t xml:space="preserve">Sin portador declarado</w:t>
            </w:r>
          </w:p>
        </w:tc>
        <w:tc>
          <w:tcPr/>
          <w:p>
            <w:pPr>
              <w:pStyle w:val="Tabla9"/>
              <w:jc w:val="left"/>
            </w:pPr>
            <w:r>
              <w:t xml:space="preserve">VACIO</w:t>
            </w:r>
          </w:p>
        </w:tc>
      </w:tr>
      <w:tr>
        <w:trPr>
          <w:cantSplit/>
        </w:trPr>
        <w:tc>
          <w:tcPr/>
          <w:p>
            <w:pPr>
              <w:pStyle w:val="Tabla9"/>
              <w:jc w:val="left"/>
            </w:pPr>
            <w:r>
              <w:t xml:space="preserve">Instrumental</w:t>
            </w:r>
          </w:p>
        </w:tc>
        <w:tc>
          <w:tcPr/>
          <w:p>
            <w:pPr>
              <w:pStyle w:val="Tabla9"/>
              <w:jc w:val="left"/>
            </w:pPr>
            <w:r>
              <w:t xml:space="preserve">La corrección local reduce el error sin degradar energía ni latencia.</w:t>
            </w:r>
          </w:p>
        </w:tc>
        <w:tc>
          <w:tcPr/>
          <w:p>
            <w:pPr>
              <w:pStyle w:val="Tabla9"/>
              <w:jc w:val="left"/>
            </w:pPr>
            <w:r>
              <w:t xml:space="preserve">Equipo formulador (E3-P09, OP-03)</w:t>
            </w:r>
          </w:p>
        </w:tc>
        <w:tc>
          <w:tcPr/>
          <w:p>
            <w:pPr>
              <w:pStyle w:val="Tabla9"/>
              <w:jc w:val="left"/>
            </w:pPr>
            <w:r>
              <w:t xml:space="preserve">SUPUESTO</w:t>
            </w:r>
          </w:p>
        </w:tc>
      </w:tr>
      <w:tr>
        <w:trPr>
          <w:cantSplit/>
        </w:trPr>
        <w:tc>
          <w:tcPr/>
          <w:p>
            <w:pPr>
              <w:pStyle w:val="Tabla9"/>
              <w:jc w:val="left"/>
            </w:pPr>
            <w:r>
              <w:t xml:space="preserve">Instrumental</w:t>
            </w:r>
          </w:p>
        </w:tc>
        <w:tc>
          <w:tcPr/>
          <w:p>
            <w:pPr>
              <w:pStyle w:val="Tabla9"/>
              <w:jc w:val="left"/>
            </w:pPr>
            <w:r>
              <w:t xml:space="preserve">Las alcaldías operan el tablero desde el mes 25.</w:t>
            </w:r>
          </w:p>
        </w:tc>
        <w:tc>
          <w:tcPr/>
          <w:p>
            <w:pPr>
              <w:pStyle w:val="Tabla9"/>
              <w:jc w:val="left"/>
            </w:pPr>
            <w:r>
              <w:t xml:space="preserve">F-E3, E3-P17 y CLM-06</w:t>
            </w:r>
          </w:p>
        </w:tc>
        <w:tc>
          <w:tcPr/>
          <w:p>
            <w:pPr>
              <w:pStyle w:val="Tabla9"/>
              <w:jc w:val="left"/>
            </w:pPr>
            <w:r>
              <w:t xml:space="preserve">SUPUESTO;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dos juicios de valor sobre una misma alerta divergen: la protección inmediata y la continuidad de obra. El análisis conserva ambos. No los reconcilia por decisión del analista.</w:t>
      </w:r>
    </w:p>
    <w:p>
      <w:pPr>
        <w:pStyle w:val="BodyText"/>
      </w:pPr>
      <w:r>
        <w:rPr>
          <w:b/>
          <w:bCs/>
        </w:rPr>
        <w:t xml:space="preserve">Estructura del problema (Simon, 1973).</w:t>
      </w:r>
    </w:p>
    <w:p>
      <w:pPr>
        <w:pStyle w:val="BodyText"/>
      </w:pPr>
      <w:r>
        <w:t xml:space="preserve">La Tabla F4.63 reúne los datos de «Estructura del problema (Simon, 1973)».</w:t>
      </w:r>
    </w:p>
    <w:p>
      <w:pPr>
        <w:pStyle w:val="TablaRotulo"/>
      </w:pPr>
      <w:bookmarkStart w:id="9140" w:name="rot_Tabla_F4_63"/>
      <w:r>
        <w:rPr>
          <w:b/>
          <w:bCs/>
        </w:rPr>
        <w:t xml:space="preserve">Tabla F4.63</w:t>
      </w:r>
      <w:bookmarkEnd w:id="9140"/>
    </w:p>
    <w:p>
      <w:pPr>
        <w:pStyle w:val="TablaTitulo"/>
      </w:pPr>
      <w:r>
        <w:rPr>
          <w:i/>
          <w:iCs/>
        </w:rPr>
        <w:t xml:space="preserve">Estructura del problema (Simon, 1973)</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928"/>
        <w:gridCol w:w="1730"/>
        <w:gridCol w:w="3261"/>
      </w:tblGrid>
      <w:tr>
        <w:trPr>
          <w:cantSplit/>
          <w:tblHeader/>
        </w:trPr>
        <w:tc>
          <w:tcPr>
            <w:shd w:val="clear" w:color="auto" w:fill="00B050"/>
          </w:tcPr>
          <w:p>
            <w:pPr>
              <w:pStyle w:val="Tabla9"/>
              <w:jc w:val="center"/>
            </w:pPr>
            <w:r>
              <w:rPr>
                <w:b/>
                <w:color w:val="FFFFFF"/>
              </w:rPr>
              <w:t xml:space="preserve">Condición</w:t>
            </w:r>
          </w:p>
        </w:tc>
        <w:tc>
          <w:tcPr>
            <w:shd w:val="clear" w:color="auto" w:fill="00B050"/>
          </w:tcPr>
          <w:p>
            <w:pPr>
              <w:pStyle w:val="Tabla9"/>
              <w:jc w:val="center"/>
            </w:pPr>
            <w:r>
              <w:rPr>
                <w:b/>
                <w:color w:val="FFFFFF"/>
              </w:rPr>
              <w:t xml:space="preserve">Evaluación</w:t>
            </w:r>
          </w:p>
        </w:tc>
        <w:tc>
          <w:tcPr>
            <w:shd w:val="clear" w:color="auto" w:fill="00B050"/>
          </w:tcPr>
          <w:p>
            <w:pPr>
              <w:pStyle w:val="Tabla9"/>
              <w:jc w:val="center"/>
            </w:pPr>
            <w:r>
              <w:rPr>
                <w:b/>
                <w:color w:val="FFFFFF"/>
              </w:rPr>
              <w:t xml:space="preserve">Evidencia</w:t>
            </w:r>
          </w:p>
        </w:tc>
      </w:tr>
      <w:tr>
        <w:trPr>
          <w:cantSplit/>
        </w:trPr>
        <w:tc>
          <w:tcPr/>
          <w:p>
            <w:pPr>
              <w:pStyle w:val="Tabla9"/>
              <w:jc w:val="left"/>
            </w:pPr>
            <w:r>
              <w:t xml:space="preserve">C1. Criterio explícito para aceptar una solución</w:t>
            </w:r>
          </w:p>
        </w:tc>
        <w:tc>
          <w:tcPr/>
          <w:p>
            <w:pPr>
              <w:pStyle w:val="Tabla9"/>
              <w:jc w:val="left"/>
            </w:pPr>
            <w:r>
              <w:t xml:space="preserve">NO CUMPLE</w:t>
            </w:r>
          </w:p>
        </w:tc>
        <w:tc>
          <w:tcPr/>
          <w:p>
            <w:pPr>
              <w:pStyle w:val="Tabla9"/>
              <w:jc w:val="left"/>
            </w:pPr>
            <w:r>
              <w:t xml:space="preserve">Las metas del error son contradictorias y los TdR faltan.</w:t>
            </w:r>
          </w:p>
        </w:tc>
      </w:tr>
      <w:tr>
        <w:trPr>
          <w:cantSplit/>
        </w:trPr>
        <w:tc>
          <w:tcPr/>
          <w:p>
            <w:pPr>
              <w:pStyle w:val="Tabla9"/>
              <w:jc w:val="left"/>
            </w:pPr>
            <w:r>
              <w:t xml:space="preserve">C2. Estados y variables pertinentes identificados</w:t>
            </w:r>
          </w:p>
        </w:tc>
        <w:tc>
          <w:tcPr/>
          <w:p>
            <w:pPr>
              <w:pStyle w:val="Tabla9"/>
              <w:jc w:val="left"/>
            </w:pPr>
            <w:r>
              <w:t xml:space="preserve">CUMPLE con reserva</w:t>
            </w:r>
          </w:p>
        </w:tc>
        <w:tc>
          <w:tcPr/>
          <w:p>
            <w:pPr>
              <w:pStyle w:val="Tabla9"/>
              <w:jc w:val="left"/>
            </w:pPr>
            <w:r>
              <w:t xml:space="preserve">Quince variables con diccionario; cuatro variables latentes omitidas (4.3).</w:t>
            </w:r>
          </w:p>
        </w:tc>
      </w:tr>
      <w:tr>
        <w:trPr>
          <w:cantSplit/>
        </w:trPr>
        <w:tc>
          <w:tcPr/>
          <w:p>
            <w:pPr>
              <w:pStyle w:val="Tabla9"/>
              <w:jc w:val="left"/>
            </w:pPr>
            <w:r>
              <w:t xml:space="preserve">C3. Acciones disponibles identificadas</w:t>
            </w:r>
          </w:p>
        </w:tc>
        <w:tc>
          <w:tcPr/>
          <w:p>
            <w:pPr>
              <w:pStyle w:val="Tabla9"/>
              <w:jc w:val="left"/>
            </w:pPr>
            <w:r>
              <w:t xml:space="preserve">CUMPLE</w:t>
            </w:r>
          </w:p>
        </w:tc>
        <w:tc>
          <w:tcPr/>
          <w:p>
            <w:pPr>
              <w:pStyle w:val="Tabla9"/>
              <w:jc w:val="left"/>
            </w:pPr>
            <w:r>
              <w:t xml:space="preserve">Cuatro alternativas catalogadas en E3-P10.</w:t>
            </w:r>
          </w:p>
        </w:tc>
      </w:tr>
      <w:tr>
        <w:trPr>
          <w:cantSplit/>
        </w:trPr>
        <w:tc>
          <w:tcPr/>
          <w:p>
            <w:pPr>
              <w:pStyle w:val="Tabla9"/>
              <w:jc w:val="left"/>
            </w:pPr>
            <w:r>
              <w:t xml:space="preserve">C4. Relación entre acciones y resultados conocida con precisión</w:t>
            </w:r>
          </w:p>
        </w:tc>
        <w:tc>
          <w:tcPr/>
          <w:p>
            <w:pPr>
              <w:pStyle w:val="Tabla9"/>
              <w:jc w:val="left"/>
            </w:pPr>
            <w:r>
              <w:t xml:space="preserve">NO CUMPLE</w:t>
            </w:r>
          </w:p>
        </w:tc>
        <w:tc>
          <w:tcPr/>
          <w:p>
            <w:pPr>
              <w:pStyle w:val="Tabla9"/>
              <w:jc w:val="left"/>
            </w:pPr>
            <w:r>
              <w:t xml:space="preserve">Las relaciones son hipótesis de influencia sin datos del territorio.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Dos condiciones se cumplen. La clasificación PROPUESTA es PARCIALMENTE_ESTRUCTURADO. No se activan los rasgos de problema perverso, porque ese paso exige una clasificación MAL_ESTRUCTURADO.</w:t>
      </w:r>
    </w:p>
    <w:p>
      <w:pPr>
        <w:pStyle w:val="BodyText"/>
      </w:pPr>
      <w:r>
        <w:rPr>
          <w:b/>
          <w:bCs/>
        </w:rPr>
        <w:t xml:space="preserve">Escala.</w:t>
      </w:r>
      <w:r>
        <w:t xml:space="preserve"> </w:t>
      </w:r>
      <w:r>
        <w:t xml:space="preserve">El fenómeno se clasifica como PROBLEMA_PUBLICO (INFERIDO), según la distinción de Mills (1959). Sus efectos exceden el entorno de cada operario y afectan a comunidades colindantes. El alcance poblacional es VACIO.</w:t>
      </w:r>
    </w:p>
    <w:p>
      <w:pPr>
        <w:pStyle w:val="BodyText"/>
      </w:pPr>
      <w:r>
        <w:rPr>
          <w:b/>
          <w:bCs/>
        </w:rPr>
        <w:t xml:space="preserve">Dominio causal.</w:t>
      </w:r>
      <w:r>
        <w:t xml:space="preserve"> </w:t>
      </w:r>
      <w:r>
        <w:t xml:space="preserve">La clasificación sigue los dominios de Snowden y Boone (2007) y la tipología de Glouberman y Zimmerman (2002). Se hace por partes. Ninguna parte queda en confusión.</w:t>
      </w:r>
    </w:p>
    <w:p>
      <w:pPr>
        <w:pStyle w:val="BodyText"/>
      </w:pPr>
      <w:r>
        <w:t xml:space="preserve">La Tabla F4.64 reúne los datos de «Dominio causal».</w:t>
      </w:r>
    </w:p>
    <w:p>
      <w:pPr>
        <w:pStyle w:val="TablaRotulo"/>
      </w:pPr>
      <w:bookmarkStart w:id="9141" w:name="rot_Tabla_F4_64"/>
      <w:r>
        <w:rPr>
          <w:b/>
          <w:bCs/>
        </w:rPr>
        <w:t xml:space="preserve">Tabla F4.64</w:t>
      </w:r>
      <w:bookmarkEnd w:id="9141"/>
    </w:p>
    <w:p>
      <w:pPr>
        <w:pStyle w:val="TablaTitulo"/>
      </w:pPr>
      <w:r>
        <w:rPr>
          <w:i/>
          <w:iCs/>
        </w:rPr>
        <w:t xml:space="preserve">Dominio causal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67"/>
        <w:gridCol w:w="1898"/>
        <w:gridCol w:w="1898"/>
        <w:gridCol w:w="2356"/>
      </w:tblGrid>
      <w:tr>
        <w:trPr>
          <w:cantSplit/>
          <w:tblHeader/>
        </w:trPr>
        <w:tc>
          <w:tcPr>
            <w:shd w:val="clear" w:color="auto" w:fill="00B050"/>
          </w:tcPr>
          <w:p>
            <w:pPr>
              <w:pStyle w:val="Tabla9"/>
              <w:jc w:val="center"/>
            </w:pPr>
            <w:r>
              <w:rPr>
                <w:b/>
                <w:color w:val="FFFFFF"/>
              </w:rPr>
              <w:t xml:space="preserve">Parte</w:t>
            </w:r>
          </w:p>
        </w:tc>
        <w:tc>
          <w:tcPr>
            <w:shd w:val="clear" w:color="auto" w:fill="00B050"/>
          </w:tcPr>
          <w:p>
            <w:pPr>
              <w:pStyle w:val="Tabla9"/>
              <w:jc w:val="center"/>
            </w:pPr>
            <w:r>
              <w:rPr>
                <w:b/>
                <w:color w:val="FFFFFF"/>
              </w:rPr>
              <w:t xml:space="preserve">Dominio</w:t>
            </w:r>
          </w:p>
        </w:tc>
        <w:tc>
          <w:tcPr>
            <w:shd w:val="clear" w:color="auto" w:fill="00B050"/>
          </w:tcPr>
          <w:p>
            <w:pPr>
              <w:pStyle w:val="Tabla9"/>
              <w:jc w:val="center"/>
            </w:pPr>
            <w:r>
              <w:rPr>
                <w:b/>
                <w:color w:val="FFFFFF"/>
              </w:rPr>
              <w:t xml:space="preserve">Evidencia</w:t>
            </w:r>
          </w:p>
        </w:tc>
        <w:tc>
          <w:tcPr>
            <w:shd w:val="clear" w:color="auto" w:fill="00B050"/>
          </w:tcPr>
          <w:p>
            <w:pPr>
              <w:pStyle w:val="Tabla9"/>
              <w:jc w:val="center"/>
            </w:pPr>
            <w:r>
              <w:rPr>
                <w:b/>
                <w:color w:val="FFFFFF"/>
              </w:rPr>
              <w:t xml:space="preserve">Observación que cambiaría la clasificación</w:t>
            </w:r>
          </w:p>
        </w:tc>
      </w:tr>
      <w:tr>
        <w:trPr>
          <w:cantSplit/>
        </w:trPr>
        <w:tc>
          <w:tcPr/>
          <w:p>
            <w:pPr>
              <w:pStyle w:val="Tabla9"/>
              <w:jc w:val="left"/>
            </w:pPr>
            <w:r>
              <w:t xml:space="preserve">Medición con corrección local</w:t>
            </w:r>
          </w:p>
        </w:tc>
        <w:tc>
          <w:tcPr/>
          <w:p>
            <w:pPr>
              <w:pStyle w:val="Tabla9"/>
              <w:jc w:val="left"/>
            </w:pPr>
            <w:r>
              <w:t xml:space="preserve">COMPLICADO</w:t>
            </w:r>
          </w:p>
        </w:tc>
        <w:tc>
          <w:tcPr/>
          <w:p>
            <w:pPr>
              <w:pStyle w:val="Tabla9"/>
              <w:jc w:val="left"/>
            </w:pPr>
            <w:r>
              <w:t xml:space="preserve">La relación causa-efecto existe y requiere análisis experto. La corrección con la estación cercana elevó el R² de menos de 0,2 a 0,81 en un caso (F-INF §8.3). En S2, V03→V06 = 3.</w:t>
            </w:r>
          </w:p>
        </w:tc>
        <w:tc>
          <w:tcPr/>
          <w:p>
            <w:pPr>
              <w:pStyle w:val="Tabla9"/>
              <w:jc w:val="left"/>
            </w:pPr>
            <w:r>
              <w:t xml:space="preserve">Si el efecto de la corrección cambiara de signo entre sitios o semanas sin patrón, pasaría a COMPLEJO.</w:t>
            </w:r>
          </w:p>
        </w:tc>
      </w:tr>
      <w:tr>
        <w:trPr>
          <w:cantSplit/>
        </w:trPr>
        <w:tc>
          <w:tcPr/>
          <w:p>
            <w:pPr>
              <w:pStyle w:val="Tabla9"/>
              <w:jc w:val="left"/>
            </w:pPr>
            <w:r>
              <w:t xml:space="preserve">Adopción institucional y custodia</w:t>
            </w:r>
          </w:p>
        </w:tc>
        <w:tc>
          <w:tcPr/>
          <w:p>
            <w:pPr>
              <w:pStyle w:val="Tabla9"/>
              <w:jc w:val="left"/>
            </w:pPr>
            <w:r>
              <w:t xml:space="preserve">COMPLEJO</w:t>
            </w:r>
          </w:p>
        </w:tc>
        <w:tc>
          <w:tcPr/>
          <w:p>
            <w:pPr>
              <w:pStyle w:val="Tabla9"/>
              <w:jc w:val="left"/>
            </w:pPr>
            <w:r>
              <w:t xml:space="preserve">S2 contiene 144 ciclos simples y 140 incluyen V15. El juego de bien público de F-INF §6.5 sugiere patrones emergentes.</w:t>
            </w:r>
          </w:p>
        </w:tc>
        <w:tc>
          <w:tcPr/>
          <w:p>
            <w:pPr>
              <w:pStyle w:val="Tabla9"/>
              <w:jc w:val="left"/>
            </w:pPr>
            <w:r>
              <w:t xml:space="preserve">Si tres de tres departamentos ejecutaran una partida recurrente con protocolo firmado, pasaría a COMPLICADO.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 naturaleza de ambas clasificaciones es INFERIDO y su verificación es NO_VERIFICADO. La fase aguda del sismo queda fuera del alcance. Por eso no se asigna el dominio caótico. La correspondencia con los cuatro tipos de problemas de Smalley (2018) sería INFERIDA y no se usa para clasificar.</w:t>
      </w:r>
    </w:p>
    <w:p>
      <w:pPr>
        <w:pStyle w:val="BodyText"/>
      </w:pPr>
      <w:r>
        <w:rPr>
          <w:b/>
          <w:bCs/>
        </w:rPr>
        <w:t xml:space="preserve">Vacíos de la construcción.</w:t>
      </w:r>
    </w:p>
    <w:p>
      <w:pPr>
        <w:pStyle w:val="Compact"/>
        <w:numPr>
          <w:ilvl w:val="0"/>
          <w:numId w:val="1007"/>
        </w:numPr>
      </w:pPr>
      <w:r>
        <w:t xml:space="preserve">Línea base de error de medición en el territorio: VACIO. Tenedor: equipo formulador. Vía: medición con referencia en el Hito 1.</w:t>
      </w:r>
    </w:p>
    <w:p>
      <w:pPr>
        <w:pStyle w:val="Compact"/>
        <w:numPr>
          <w:ilvl w:val="0"/>
          <w:numId w:val="1007"/>
        </w:numPr>
      </w:pPr>
      <w:r>
        <w:t xml:space="preserve">Términos de referencia: VACIO. Tenedor: entidad ejecutora supuesta. Vía: aportar el documento.</w:t>
      </w:r>
    </w:p>
    <w:p>
      <w:pPr>
        <w:pStyle w:val="Compact"/>
        <w:numPr>
          <w:ilvl w:val="0"/>
          <w:numId w:val="1007"/>
        </w:numPr>
      </w:pPr>
      <w:r>
        <w:t xml:space="preserve">Fórmula local del índice AQHI y umbrales (V-AQHI-01): VACIO. Tenedor: autoridad de salud. Vía: validación local.</w:t>
      </w:r>
    </w:p>
    <w:p>
      <w:pPr>
        <w:pStyle w:val="Compact"/>
        <w:numPr>
          <w:ilvl w:val="0"/>
          <w:numId w:val="1007"/>
        </w:numPr>
      </w:pPr>
      <w:r>
        <w:t xml:space="preserve">Población expuesta y carga de morbilidad: VACIO. Sin variable de resultado en el modelo.</w:t>
      </w:r>
    </w:p>
    <w:bookmarkEnd w:id="200"/>
    <w:bookmarkStart w:id="201" w:name="Xd6c6ad8e69982b3bf09a5b7d9a8b78e379126e5"/>
    <w:p>
      <w:pPr>
        <w:pStyle w:val="Heading3"/>
      </w:pPr>
      <w:r>
        <w:t xml:space="preserve">F4.4-MDR.4 Entorno estructural e institucional</w:t>
      </w:r>
    </w:p>
    <w:p>
      <w:pPr>
        <w:pStyle w:val="FirstParagraph"/>
      </w:pPr>
      <w:r>
        <w:t xml:space="preserve">Esta pieza registra qué estructuras y reglas habilitan o bloquean cada estrategia. Sus restricciones de continuidad alimentan la teoría del cambio y la sostenibilidad. Todas las filas conservan fuente y naturaleza.</w:t>
      </w:r>
    </w:p>
    <w:p>
      <w:pPr>
        <w:pStyle w:val="BodyText"/>
      </w:pPr>
      <w:r>
        <w:rPr>
          <w:b/>
          <w:bCs/>
        </w:rPr>
        <w:t xml:space="preserve">Contexto estructural.</w:t>
      </w:r>
    </w:p>
    <w:p>
      <w:pPr>
        <w:pStyle w:val="BodyText"/>
      </w:pPr>
      <w:r>
        <w:t xml:space="preserve">La Tabla F4.65 reúne los datos de «Contexto estructural».</w:t>
      </w:r>
    </w:p>
    <w:p>
      <w:pPr>
        <w:pStyle w:val="TablaRotulo"/>
      </w:pPr>
      <w:bookmarkStart w:id="9142" w:name="rot_Tabla_F4_65"/>
      <w:r>
        <w:rPr>
          <w:b/>
          <w:bCs/>
        </w:rPr>
        <w:t xml:space="preserve">Tabla F4.65</w:t>
      </w:r>
      <w:bookmarkEnd w:id="9142"/>
    </w:p>
    <w:p>
      <w:pPr>
        <w:pStyle w:val="TablaTitulo"/>
      </w:pPr>
      <w:r>
        <w:rPr>
          <w:i/>
          <w:iCs/>
        </w:rPr>
        <w:t xml:space="preserve">Contexto estructural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18"/>
        <w:gridCol w:w="1122"/>
        <w:gridCol w:w="1254"/>
        <w:gridCol w:w="990"/>
        <w:gridCol w:w="3036"/>
      </w:tblGrid>
      <w:tr>
        <w:trPr>
          <w:cantSplit/>
          <w:tblHeader/>
        </w:trPr>
        <w:tc>
          <w:tcPr>
            <w:shd w:val="clear" w:color="auto" w:fill="00B050"/>
          </w:tcPr>
          <w:p>
            <w:pPr>
              <w:pStyle w:val="Tabla9"/>
              <w:jc w:val="center"/>
            </w:pPr>
            <w:r>
              <w:rPr>
                <w:b/>
                <w:color w:val="FFFFFF"/>
              </w:rPr>
              <w:t xml:space="preserve">Condicionante</w:t>
            </w:r>
          </w:p>
        </w:tc>
        <w:tc>
          <w:tcPr>
            <w:shd w:val="clear" w:color="auto" w:fill="00B050"/>
          </w:tcPr>
          <w:p>
            <w:pPr>
              <w:pStyle w:val="Tabla9"/>
              <w:jc w:val="center"/>
            </w:pPr>
            <w:r>
              <w:rPr>
                <w:b/>
                <w:color w:val="FFFFFF"/>
              </w:rPr>
              <w:t xml:space="preserve">Tipo</w:t>
            </w:r>
          </w:p>
        </w:tc>
        <w:tc>
          <w:tcPr>
            <w:shd w:val="clear" w:color="auto" w:fill="00B050"/>
          </w:tcPr>
          <w:p>
            <w:pPr>
              <w:pStyle w:val="Tabla9"/>
              <w:jc w:val="center"/>
            </w:pPr>
            <w:r>
              <w:rPr>
                <w:b/>
                <w:color w:val="FFFFFF"/>
              </w:rPr>
              <w:t xml:space="preserve">Efecto</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Naturaleza y verificación</w:t>
            </w:r>
          </w:p>
        </w:tc>
      </w:tr>
      <w:tr>
        <w:trPr>
          <w:cantSplit/>
        </w:trPr>
        <w:tc>
          <w:tcPr/>
          <w:p>
            <w:pPr>
              <w:pStyle w:val="Tabla9"/>
              <w:jc w:val="left"/>
            </w:pPr>
            <w:r>
              <w:t xml:space="preserve">Humedad relativa alta y polvo higroscópico</w:t>
            </w:r>
          </w:p>
        </w:tc>
        <w:tc>
          <w:tcPr/>
          <w:p>
            <w:pPr>
              <w:pStyle w:val="Tabla9"/>
              <w:jc w:val="left"/>
            </w:pPr>
            <w:r>
              <w:t xml:space="preserve">Físico</w:t>
            </w:r>
          </w:p>
        </w:tc>
        <w:tc>
          <w:tcPr/>
          <w:p>
            <w:pPr>
              <w:pStyle w:val="Tabla9"/>
              <w:jc w:val="left"/>
            </w:pPr>
            <w:r>
              <w:t xml:space="preserve">Limita: sesga la lectura óptica</w:t>
            </w:r>
          </w:p>
        </w:tc>
        <w:tc>
          <w:tcPr/>
          <w:p>
            <w:pPr>
              <w:pStyle w:val="Tabla9"/>
              <w:jc w:val="left"/>
            </w:pPr>
            <w:r>
              <w:t xml:space="preserve">S2, V03→V06 = 3; F-INF §8.3</w:t>
            </w:r>
          </w:p>
        </w:tc>
        <w:tc>
          <w:tcPr/>
          <w:p>
            <w:pPr>
              <w:pStyle w:val="Tabla9"/>
              <w:jc w:val="left"/>
            </w:pPr>
            <w:r>
              <w:t xml:space="preserve">INFERIDO; PARCIALMENTE_VERIFICADO</w:t>
            </w:r>
          </w:p>
        </w:tc>
      </w:tr>
      <w:tr>
        <w:trPr>
          <w:cantSplit/>
        </w:trPr>
        <w:tc>
          <w:tcPr/>
          <w:p>
            <w:pPr>
              <w:pStyle w:val="Tabla9"/>
              <w:jc w:val="left"/>
            </w:pPr>
            <w:r>
              <w:t xml:space="preserve">Maquinaria de remoción</w:t>
            </w:r>
          </w:p>
        </w:tc>
        <w:tc>
          <w:tcPr/>
          <w:p>
            <w:pPr>
              <w:pStyle w:val="Tabla9"/>
              <w:jc w:val="left"/>
            </w:pPr>
            <w:r>
              <w:t xml:space="preserve">Físico</w:t>
            </w:r>
          </w:p>
        </w:tc>
        <w:tc>
          <w:tcPr/>
          <w:p>
            <w:pPr>
              <w:pStyle w:val="Tabla9"/>
              <w:jc w:val="left"/>
            </w:pPr>
            <w:r>
              <w:t xml:space="preserve">Limita: daña nodos (V05→V09 = 2)</w:t>
            </w:r>
          </w:p>
        </w:tc>
        <w:tc>
          <w:tcPr/>
          <w:p>
            <w:pPr>
              <w:pStyle w:val="Tabla9"/>
              <w:jc w:val="left"/>
            </w:pPr>
            <w:r>
              <w:t xml:space="preserve">S2, ficha V05→V09</w:t>
            </w:r>
          </w:p>
        </w:tc>
        <w:tc>
          <w:tcPr/>
          <w:p>
            <w:pPr>
              <w:pStyle w:val="Tabla9"/>
              <w:jc w:val="left"/>
            </w:pPr>
            <w:r>
              <w:t xml:space="preserve">INFERIDO; NO_VERIFICADO</w:t>
            </w:r>
          </w:p>
        </w:tc>
      </w:tr>
      <w:tr>
        <w:trPr>
          <w:cantSplit/>
        </w:trPr>
        <w:tc>
          <w:tcPr/>
          <w:p>
            <w:pPr>
              <w:pStyle w:val="Tabla9"/>
              <w:jc w:val="left"/>
            </w:pPr>
            <w:r>
              <w:t xml:space="preserve">Infraestructura eléctrica y celular colapsada</w:t>
            </w:r>
          </w:p>
        </w:tc>
        <w:tc>
          <w:tcPr/>
          <w:p>
            <w:pPr>
              <w:pStyle w:val="Tabla9"/>
              <w:jc w:val="left"/>
            </w:pPr>
            <w:r>
              <w:t xml:space="preserve">Tecnológico</w:t>
            </w:r>
          </w:p>
        </w:tc>
        <w:tc>
          <w:tcPr/>
          <w:p>
            <w:pPr>
              <w:pStyle w:val="Tabla9"/>
              <w:jc w:val="left"/>
            </w:pPr>
            <w:r>
              <w:t xml:space="preserve">Limita: afecta energía y enlace</w:t>
            </w:r>
          </w:p>
        </w:tc>
        <w:tc>
          <w:tcPr/>
          <w:p>
            <w:pPr>
              <w:pStyle w:val="Tabla9"/>
              <w:jc w:val="left"/>
            </w:pPr>
            <w:r>
              <w:t xml:space="preserve">F-E3, 4.6 (cinco porqués)</w:t>
            </w:r>
          </w:p>
        </w:tc>
        <w:tc>
          <w:tcPr/>
          <w:p>
            <w:pPr>
              <w:pStyle w:val="Tabla9"/>
              <w:jc w:val="left"/>
            </w:pPr>
            <w:r>
              <w:t xml:space="preserve">DECLARADO; NO_VERIFICADO</w:t>
            </w:r>
          </w:p>
        </w:tc>
      </w:tr>
      <w:tr>
        <w:trPr>
          <w:cantSplit/>
        </w:trPr>
        <w:tc>
          <w:tcPr/>
          <w:p>
            <w:pPr>
              <w:pStyle w:val="Tabla9"/>
              <w:jc w:val="left"/>
            </w:pPr>
            <w:r>
              <w:t xml:space="preserve">Estaciones oficiales de referencia</w:t>
            </w:r>
          </w:p>
        </w:tc>
        <w:tc>
          <w:tcPr/>
          <w:p>
            <w:pPr>
              <w:pStyle w:val="Tabla9"/>
              <w:jc w:val="left"/>
            </w:pPr>
            <w:r>
              <w:t xml:space="preserve">Recurso</w:t>
            </w:r>
          </w:p>
        </w:tc>
        <w:tc>
          <w:tcPr/>
          <w:p>
            <w:pPr>
              <w:pStyle w:val="Tabla9"/>
              <w:jc w:val="left"/>
            </w:pPr>
            <w:r>
              <w:t xml:space="preserve">Posible recurso para calibrar. Cobertura en el territorio: VACIO.</w:t>
            </w:r>
          </w:p>
        </w:tc>
        <w:tc>
          <w:tcPr/>
          <w:p>
            <w:pPr>
              <w:pStyle w:val="Tabla9"/>
              <w:jc w:val="left"/>
            </w:pPr>
            <w:r>
              <w:t xml:space="preserve">F-INF §6.5 (IDEAM)</w:t>
            </w:r>
          </w:p>
        </w:tc>
        <w:tc>
          <w:tcPr/>
          <w:p>
            <w:pPr>
              <w:pStyle w:val="Tabla9"/>
              <w:jc w:val="left"/>
            </w:pPr>
            <w:r>
              <w:t xml:space="preserve">DECLARADO; NO_VERIFICADO</w:t>
            </w:r>
          </w:p>
        </w:tc>
      </w:tr>
      <w:tr>
        <w:trPr>
          <w:cantSplit/>
        </w:trPr>
        <w:tc>
          <w:tcPr/>
          <w:p>
            <w:pPr>
              <w:pStyle w:val="Tabla9"/>
              <w:jc w:val="left"/>
            </w:pPr>
            <w:r>
              <w:t xml:space="preserve">Tope de 14.000 millones de COP</w:t>
            </w:r>
          </w:p>
        </w:tc>
        <w:tc>
          <w:tcPr/>
          <w:p>
            <w:pPr>
              <w:pStyle w:val="Tabla9"/>
              <w:jc w:val="left"/>
            </w:pPr>
            <w:r>
              <w:t xml:space="preserve">Recurso</w:t>
            </w:r>
          </w:p>
        </w:tc>
        <w:tc>
          <w:tcPr/>
          <w:p>
            <w:pPr>
              <w:pStyle w:val="Tabla9"/>
              <w:jc w:val="left"/>
            </w:pPr>
            <w:r>
              <w:t xml:space="preserve">Limita el alcance. El desglose de F-E3 (Cap. 8) documenta 4.448,7 millones; faltan 9.551,3.</w:t>
            </w:r>
          </w:p>
        </w:tc>
        <w:tc>
          <w:tcPr/>
          <w:p>
            <w:pPr>
              <w:pStyle w:val="Tabla9"/>
              <w:jc w:val="left"/>
            </w:pPr>
            <w:r>
              <w:t xml:space="preserve">F-E3, Cap. 8</w:t>
            </w:r>
          </w:p>
        </w:tc>
        <w:tc>
          <w:tcPr/>
          <w:p>
            <w:pPr>
              <w:pStyle w:val="Tabla9"/>
              <w:jc w:val="left"/>
            </w:pPr>
            <w:r>
              <w:t xml:space="preserve">CALCULADO sobre cifras de F-E3; NO_VERIFICADO</w:t>
            </w:r>
          </w:p>
        </w:tc>
      </w:tr>
      <w:tr>
        <w:trPr>
          <w:cantSplit/>
        </w:trPr>
        <w:tc>
          <w:tcPr/>
          <w:p>
            <w:pPr>
              <w:pStyle w:val="Tabla9"/>
              <w:jc w:val="left"/>
            </w:pPr>
            <w:r>
              <w:t xml:space="preserve">Capacidad técnica local</w:t>
            </w:r>
          </w:p>
        </w:tc>
        <w:tc>
          <w:tcPr/>
          <w:p>
            <w:pPr>
              <w:pStyle w:val="Tabla9"/>
              <w:jc w:val="left"/>
            </w:pPr>
            <w:r>
              <w:t xml:space="preserve">Recurso</w:t>
            </w:r>
          </w:p>
        </w:tc>
        <w:tc>
          <w:tcPr/>
          <w:p>
            <w:pPr>
              <w:pStyle w:val="Tabla9"/>
              <w:jc w:val="left"/>
            </w:pPr>
            <w:r>
              <w:t xml:space="preserve">Meta de certificar 80 funcionarios. Línea base: VACIO.</w:t>
            </w:r>
          </w:p>
        </w:tc>
        <w:tc>
          <w:tcPr/>
          <w:p>
            <w:pPr>
              <w:pStyle w:val="Tabla9"/>
              <w:jc w:val="left"/>
            </w:pPr>
            <w:r>
              <w:t xml:space="preserve">F-E3, Cap. 14.3</w:t>
            </w:r>
          </w:p>
        </w:tc>
        <w:tc>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mismo expediente contiene una contradicción de arquitectura. El problema declara el colapso de la infraestructura celular y eléctrica. La alternativa ALT-03 transmite por enlace celular 4G con 100 tarjetas SIM (F-E3, Cap. 8, Tabla E3-8.3) y no presupuesta enlace alterno. Esa contradicción sustenta el supuesto SC-2.</w:t>
      </w:r>
    </w:p>
    <w:p>
      <w:pPr>
        <w:pStyle w:val="BodyText"/>
      </w:pPr>
      <w:r>
        <w:rPr>
          <w:b/>
          <w:bCs/>
        </w:rPr>
        <w:t xml:space="preserve">Reglas institucionales.</w:t>
      </w:r>
      <w:r>
        <w:t xml:space="preserve"> </w:t>
      </w:r>
      <w:r>
        <w:t xml:space="preserve">Las reglas formales citan su norma controlante y las informales su evidencia de práctica (North, 1990; Ostrom, 2005).</w:t>
      </w:r>
    </w:p>
    <w:p>
      <w:pPr>
        <w:pStyle w:val="BodyText"/>
      </w:pPr>
      <w:r>
        <w:t xml:space="preserve">La Tabla F4.66 reúne los datos de «Reglas institucionales».</w:t>
      </w:r>
    </w:p>
    <w:p>
      <w:pPr>
        <w:pStyle w:val="TablaRotulo"/>
      </w:pPr>
      <w:bookmarkStart w:id="9143" w:name="rot_Tabla_F4_66"/>
      <w:r>
        <w:rPr>
          <w:b/>
          <w:bCs/>
        </w:rPr>
        <w:t xml:space="preserve">Tabla F4.66</w:t>
      </w:r>
      <w:bookmarkEnd w:id="9143"/>
    </w:p>
    <w:p>
      <w:pPr>
        <w:pStyle w:val="TablaTitulo"/>
      </w:pPr>
      <w:r>
        <w:rPr>
          <w:i/>
          <w:iCs/>
        </w:rPr>
        <w:t xml:space="preserve">Reglas institucionales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54"/>
        <w:gridCol w:w="924"/>
        <w:gridCol w:w="1386"/>
        <w:gridCol w:w="1320"/>
        <w:gridCol w:w="3036"/>
      </w:tblGrid>
      <w:tr>
        <w:trPr>
          <w:cantSplit/>
          <w:tblHeader/>
        </w:trPr>
        <w:tc>
          <w:tcPr>
            <w:shd w:val="clear" w:color="auto" w:fill="00B050"/>
          </w:tcPr>
          <w:p>
            <w:pPr>
              <w:pStyle w:val="Tabla9"/>
              <w:jc w:val="center"/>
            </w:pPr>
            <w:r>
              <w:rPr>
                <w:b/>
                <w:color w:val="FFFFFF"/>
              </w:rPr>
              <w:t xml:space="preserve">Regla</w:t>
            </w:r>
          </w:p>
        </w:tc>
        <w:tc>
          <w:tcPr>
            <w:shd w:val="clear" w:color="auto" w:fill="00B050"/>
          </w:tcPr>
          <w:p>
            <w:pPr>
              <w:pStyle w:val="Tabla9"/>
              <w:jc w:val="center"/>
            </w:pPr>
            <w:r>
              <w:rPr>
                <w:b/>
                <w:color w:val="FFFFFF"/>
              </w:rPr>
              <w:t xml:space="preserve">Tipo</w:t>
            </w:r>
          </w:p>
        </w:tc>
        <w:tc>
          <w:tcPr>
            <w:shd w:val="clear" w:color="auto" w:fill="00B050"/>
          </w:tcPr>
          <w:p>
            <w:pPr>
              <w:pStyle w:val="Tabla9"/>
              <w:jc w:val="center"/>
            </w:pPr>
            <w:r>
              <w:rPr>
                <w:b/>
                <w:color w:val="FFFFFF"/>
              </w:rPr>
              <w:t xml:space="preserve">Conducta que permite, exige o prohíbe</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Términos de referencia de la convocatoria</w:t>
            </w:r>
          </w:p>
        </w:tc>
        <w:tc>
          <w:tcPr/>
          <w:p>
            <w:pPr>
              <w:pStyle w:val="Tabla9"/>
              <w:jc w:val="left"/>
            </w:pPr>
            <w:r>
              <w:t xml:space="preserve">Formal</w:t>
            </w:r>
          </w:p>
        </w:tc>
        <w:tc>
          <w:tcPr/>
          <w:p>
            <w:pPr>
              <w:pStyle w:val="Tabla9"/>
              <w:jc w:val="left"/>
            </w:pPr>
            <w:r>
              <w:t xml:space="preserve">Define elegibilidad, tope, madurez y gobernanza exigida.</w:t>
            </w:r>
          </w:p>
        </w:tc>
        <w:tc>
          <w:tcPr/>
          <w:p>
            <w:pPr>
              <w:pStyle w:val="Tabla9"/>
              <w:jc w:val="left"/>
            </w:pPr>
            <w:r>
              <w:t xml:space="preserve">F-E3 cita secciones 10.4, 10.6 y 10.16</w:t>
            </w:r>
          </w:p>
        </w:tc>
        <w:tc>
          <w:tcPr/>
          <w:p>
            <w:pPr>
              <w:pStyle w:val="Tabla9"/>
              <w:jc w:val="left"/>
            </w:pPr>
            <w:r>
              <w:t xml:space="preserve">VACIO: TdR no aportados</w:t>
            </w:r>
          </w:p>
        </w:tc>
      </w:tr>
      <w:tr>
        <w:trPr>
          <w:cantSplit/>
        </w:trPr>
        <w:tc>
          <w:tcPr/>
          <w:p>
            <w:pPr>
              <w:pStyle w:val="Tabla9"/>
              <w:jc w:val="left"/>
            </w:pPr>
            <w:r>
              <w:t xml:space="preserve">Normas de gestión del riesgo y salud ocupacional</w:t>
            </w:r>
          </w:p>
        </w:tc>
        <w:tc>
          <w:tcPr/>
          <w:p>
            <w:pPr>
              <w:pStyle w:val="Tabla9"/>
              <w:jc w:val="left"/>
            </w:pPr>
            <w:r>
              <w:t xml:space="preserve">Formal</w:t>
            </w:r>
          </w:p>
        </w:tc>
        <w:tc>
          <w:tcPr/>
          <w:p>
            <w:pPr>
              <w:pStyle w:val="Tabla9"/>
              <w:jc w:val="left"/>
            </w:pPr>
            <w:r>
              <w:t xml:space="preserve">Asignan la competencia sobre la respuesta a una alerta.</w:t>
            </w:r>
          </w:p>
        </w:tc>
        <w:tc>
          <w:tcPr/>
          <w:p>
            <w:pPr>
              <w:pStyle w:val="Tabla9"/>
              <w:jc w:val="left"/>
            </w:pPr>
            <w:r>
              <w:t xml:space="preserve">Conocimiento externo</w:t>
            </w:r>
          </w:p>
        </w:tc>
        <w:tc>
          <w:tcPr/>
          <w:p>
            <w:pPr>
              <w:pStyle w:val="Tabla9"/>
              <w:jc w:val="left"/>
            </w:pPr>
            <w:r>
              <w:t xml:space="preserve">CANDIDATO_A_VERIFICAR</w:t>
            </w:r>
          </w:p>
        </w:tc>
      </w:tr>
      <w:tr>
        <w:trPr>
          <w:cantSplit/>
        </w:trPr>
        <w:tc>
          <w:tcPr/>
          <w:p>
            <w:pPr>
              <w:pStyle w:val="Tabla9"/>
              <w:jc w:val="left"/>
            </w:pPr>
            <w:r>
              <w:t xml:space="preserve">Anualidad presupuestal y vigencias futuras</w:t>
            </w:r>
          </w:p>
        </w:tc>
        <w:tc>
          <w:tcPr/>
          <w:p>
            <w:pPr>
              <w:pStyle w:val="Tabla9"/>
              <w:jc w:val="left"/>
            </w:pPr>
            <w:r>
              <w:t xml:space="preserve">Formal</w:t>
            </w:r>
          </w:p>
        </w:tc>
        <w:tc>
          <w:tcPr/>
          <w:p>
            <w:pPr>
              <w:pStyle w:val="Tabla9"/>
              <w:jc w:val="left"/>
            </w:pPr>
            <w:r>
              <w:t xml:space="preserve">Condicionan el compromiso de gasto recurrente después del cierre.</w:t>
            </w:r>
          </w:p>
        </w:tc>
        <w:tc>
          <w:tcPr/>
          <w:p>
            <w:pPr>
              <w:pStyle w:val="Tabla9"/>
              <w:jc w:val="left"/>
            </w:pPr>
            <w:r>
              <w:t xml:space="preserve">Conocimiento externo</w:t>
            </w:r>
          </w:p>
        </w:tc>
        <w:tc>
          <w:tcPr/>
          <w:p>
            <w:pPr>
              <w:pStyle w:val="Tabla9"/>
              <w:jc w:val="left"/>
            </w:pPr>
            <w:r>
              <w:t xml:space="preserve">CANDIDATO_A_VERIFICAR</w:t>
            </w:r>
          </w:p>
        </w:tc>
      </w:tr>
      <w:tr>
        <w:trPr>
          <w:cantSplit/>
        </w:trPr>
        <w:tc>
          <w:tcPr/>
          <w:p>
            <w:pPr>
              <w:pStyle w:val="Tabla9"/>
              <w:jc w:val="left"/>
            </w:pPr>
            <w:r>
              <w:t xml:space="preserve">Propiedad industrial: diez solicitudes PCT designan a Colombia</w:t>
            </w:r>
          </w:p>
        </w:tc>
        <w:tc>
          <w:tcPr/>
          <w:p>
            <w:pPr>
              <w:pStyle w:val="Tabla9"/>
              <w:jc w:val="left"/>
            </w:pPr>
            <w:r>
              <w:t xml:space="preserve">Formal</w:t>
            </w:r>
          </w:p>
        </w:tc>
        <w:tc>
          <w:tcPr/>
          <w:p>
            <w:pPr>
              <w:pStyle w:val="Tabla9"/>
              <w:jc w:val="left"/>
            </w:pPr>
            <w:r>
              <w:t xml:space="preserve">Condiciona la libertad de operación. Tres plazos de fase nacional siguen abiertos.</w:t>
            </w:r>
          </w:p>
        </w:tc>
        <w:tc>
          <w:tcPr/>
          <w:p>
            <w:pPr>
              <w:pStyle w:val="Tabla9"/>
              <w:jc w:val="left"/>
            </w:pPr>
            <w:r>
              <w:t xml:space="preserve">F-INF §8.3 (D-01)</w:t>
            </w:r>
          </w:p>
        </w:tc>
        <w:tc>
          <w:tcPr/>
          <w:p>
            <w:pPr>
              <w:pStyle w:val="Tabla9"/>
              <w:jc w:val="left"/>
            </w:pPr>
            <w:r>
              <w:t xml:space="preserve">DOCUMENTADO en F-INF; NO_VERIFICADO</w:t>
            </w:r>
          </w:p>
        </w:tc>
      </w:tr>
      <w:tr>
        <w:trPr>
          <w:cantSplit/>
        </w:trPr>
        <w:tc>
          <w:tcPr/>
          <w:p>
            <w:pPr>
              <w:pStyle w:val="Tabla9"/>
              <w:jc w:val="left"/>
            </w:pPr>
            <w:r>
              <w:t xml:space="preserve">Compra de sensores sin plan de calibración</w:t>
            </w:r>
          </w:p>
        </w:tc>
        <w:tc>
          <w:tcPr/>
          <w:p>
            <w:pPr>
              <w:pStyle w:val="Tabla9"/>
              <w:jc w:val="left"/>
            </w:pPr>
            <w:r>
              <w:t xml:space="preserve">Informal</w:t>
            </w:r>
          </w:p>
        </w:tc>
        <w:tc>
          <w:tcPr/>
          <w:p>
            <w:pPr>
              <w:pStyle w:val="Tabla9"/>
              <w:jc w:val="left"/>
            </w:pPr>
            <w:r>
              <w:t xml:space="preserve">Los compradores operan sin calibrar mientras ninguna regla lo exija.</w:t>
            </w:r>
          </w:p>
        </w:tc>
        <w:tc>
          <w:tcPr/>
          <w:p>
            <w:pPr>
              <w:pStyle w:val="Tabla9"/>
              <w:jc w:val="left"/>
            </w:pPr>
            <w:r>
              <w:t xml:space="preserve">F-INF §6.5 (Juego 1) y §8.3</w:t>
            </w:r>
          </w:p>
        </w:tc>
        <w:tc>
          <w:tcPr/>
          <w:p>
            <w:pPr>
              <w:pStyle w:val="Tabla9"/>
              <w:jc w:val="left"/>
            </w:pPr>
            <w:r>
              <w:t xml:space="preserve">DOCUMENTADO en F-INF; fuente primaria no leída</w:t>
            </w:r>
          </w:p>
        </w:tc>
      </w:tr>
      <w:tr>
        <w:trPr>
          <w:cantSplit/>
        </w:trPr>
        <w:tc>
          <w:tcPr/>
          <w:p>
            <w:pPr>
              <w:pStyle w:val="Tabla9"/>
              <w:jc w:val="left"/>
            </w:pPr>
            <w:r>
              <w:t xml:space="preserve">Equipos que terminan en bodegas municipales</w:t>
            </w:r>
          </w:p>
        </w:tc>
        <w:tc>
          <w:tcPr/>
          <w:p>
            <w:pPr>
              <w:pStyle w:val="Tabla9"/>
              <w:jc w:val="left"/>
            </w:pPr>
            <w:r>
              <w:t xml:space="preserve">Informal</w:t>
            </w:r>
          </w:p>
        </w:tc>
        <w:tc>
          <w:tcPr/>
          <w:p>
            <w:pPr>
              <w:pStyle w:val="Tabla9"/>
              <w:jc w:val="left"/>
            </w:pPr>
            <w:r>
              <w:t xml:space="preserve">Práctica citada sin evidencia local.</w:t>
            </w:r>
          </w:p>
        </w:tc>
        <w:tc>
          <w:tcPr/>
          <w:p>
            <w:pPr>
              <w:pStyle w:val="Tabla9"/>
              <w:jc w:val="left"/>
            </w:pPr>
            <w:r>
              <w:t xml:space="preserve">F-E3, Cap. 14.3 (Murad Pedraza et al., 2026, p. 15, como se citó en F-E3)</w:t>
            </w:r>
          </w:p>
        </w:tc>
        <w:tc>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Selectividad estratégica.</w:t>
      </w:r>
      <w:r>
        <w:t xml:space="preserve"> </w:t>
      </w:r>
      <w:r>
        <w:t xml:space="preserve">La selectividad estratégica examina qué estrategias favorece el diseño institucional vigente (Jessop, 2008; Hay, 2002). Pregunta de control: ¿qué estrategia tendría éxito aquí sin ser la mejor técnicamente? El diseño institucional supuesto favorece las estrategias de la columna izquierda y penaliza las de la derecha. La lectura es INFERIDA, porque los criterios de evaluación de la convocatoria no se aportaron.</w:t>
      </w:r>
    </w:p>
    <w:p>
      <w:pPr>
        <w:pStyle w:val="BodyText"/>
      </w:pPr>
      <w:r>
        <w:t xml:space="preserve">La Tabla F4.67 reúne los datos de «Selectividad estratégica».</w:t>
      </w:r>
    </w:p>
    <w:p>
      <w:pPr>
        <w:pStyle w:val="TablaRotulo"/>
      </w:pPr>
      <w:bookmarkStart w:id="9144" w:name="rot_Tabla_F4_67"/>
      <w:r>
        <w:rPr>
          <w:b/>
          <w:bCs/>
        </w:rPr>
        <w:t xml:space="preserve">Tabla F4.67</w:t>
      </w:r>
      <w:bookmarkEnd w:id="9144"/>
    </w:p>
    <w:p>
      <w:pPr>
        <w:pStyle w:val="TablaTitulo"/>
      </w:pPr>
      <w:r>
        <w:rPr>
          <w:i/>
          <w:iCs/>
        </w:rPr>
        <w:t xml:space="preserve">Selectividad estratégica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168"/>
        <w:gridCol w:w="4752"/>
      </w:tblGrid>
      <w:tr>
        <w:trPr>
          <w:cantSplit/>
          <w:tblHeader/>
        </w:trPr>
        <w:tc>
          <w:tcPr>
            <w:shd w:val="clear" w:color="auto" w:fill="00B050"/>
          </w:tcPr>
          <w:p>
            <w:pPr>
              <w:pStyle w:val="Tabla9"/>
              <w:jc w:val="center"/>
            </w:pPr>
            <w:r>
              <w:rPr>
                <w:b/>
                <w:color w:val="FFFFFF"/>
              </w:rPr>
              <w:t xml:space="preserve">Estrategia favorecida</w:t>
            </w:r>
          </w:p>
        </w:tc>
        <w:tc>
          <w:tcPr>
            <w:shd w:val="clear" w:color="auto" w:fill="00B050"/>
          </w:tcPr>
          <w:p>
            <w:pPr>
              <w:pStyle w:val="Tabla9"/>
              <w:jc w:val="center"/>
            </w:pPr>
            <w:r>
              <w:rPr>
                <w:b/>
                <w:color w:val="FFFFFF"/>
              </w:rPr>
              <w:t xml:space="preserve">Mecanismo de la selectividad</w:t>
            </w:r>
          </w:p>
        </w:tc>
      </w:tr>
      <w:tr>
        <w:trPr>
          <w:cantSplit/>
        </w:trPr>
        <w:tc>
          <w:tcPr/>
          <w:p>
            <w:pPr>
              <w:pStyle w:val="Tabla9"/>
              <w:jc w:val="left"/>
            </w:pPr>
            <w:r>
              <w:t xml:space="preserve">Propuesta con novedad tecnológica visible (corrección local con aprendizaje automático embebido)</w:t>
            </w:r>
          </w:p>
        </w:tc>
        <w:tc>
          <w:tcPr/>
          <w:p>
            <w:pPr>
              <w:pStyle w:val="Tabla9"/>
              <w:jc w:val="left"/>
            </w:pPr>
            <w:r>
              <w:t xml:space="preserve">Los criterios de impacto y novedad pesan más que la verificación. F-E3 asigna 0,40 al impacto con peso SUPUESTO (E3-P14).</w:t>
            </w:r>
          </w:p>
        </w:tc>
      </w:tr>
      <w:tr>
        <w:trPr>
          <w:cantSplit/>
        </w:trPr>
        <w:tc>
          <w:tcPr/>
          <w:p>
            <w:pPr>
              <w:pStyle w:val="Tabla9"/>
              <w:jc w:val="left"/>
            </w:pPr>
            <w:r>
              <w:t xml:space="preserve">Entrega de activos físicos antes que servicios</w:t>
            </w:r>
          </w:p>
        </w:tc>
        <w:tc>
          <w:tcPr/>
          <w:p>
            <w:pPr>
              <w:pStyle w:val="Tabla9"/>
              <w:jc w:val="left"/>
            </w:pPr>
            <w:r>
              <w:t xml:space="preserve">Los rubros de inversión se costean con facilidad. El gasto recurrente exige compromisos posteriores (CANDIDATO_A_VERIFICAR).</w:t>
            </w:r>
          </w:p>
        </w:tc>
      </w:tr>
      <w:tr>
        <w:trPr>
          <w:cantSplit/>
        </w:trPr>
        <w:tc>
          <w:tcPr/>
          <w:p>
            <w:pPr>
              <w:pStyle w:val="Tabla9"/>
              <w:jc w:val="left"/>
            </w:pPr>
            <w:r>
              <w:t xml:space="preserve">Asignar la operación a entidades territoriales en la matriz de responsabilidades</w:t>
            </w:r>
          </w:p>
        </w:tc>
        <w:tc>
          <w:tcPr/>
          <w:p>
            <w:pPr>
              <w:pStyle w:val="Tabla9"/>
              <w:jc w:val="left"/>
            </w:pPr>
            <w:r>
              <w:t xml:space="preserve">La convocatoria exige evidencia de alianza y de gobernanza. Un rol asignado en papel satisface el formato (E3-P17).</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 Tabla F4.68 reúne los datos de «Selectividad estratégica (continuación 1)».</w:t>
      </w:r>
    </w:p>
    <w:p>
      <w:pPr>
        <w:pStyle w:val="TablaRotulo"/>
      </w:pPr>
      <w:bookmarkStart w:id="9145" w:name="rot_Tabla_F4_68"/>
      <w:r>
        <w:rPr>
          <w:b/>
          <w:bCs/>
        </w:rPr>
        <w:t xml:space="preserve">Tabla F4.68</w:t>
      </w:r>
      <w:bookmarkEnd w:id="9145"/>
    </w:p>
    <w:p>
      <w:pPr>
        <w:pStyle w:val="TablaTitulo"/>
      </w:pPr>
      <w:r>
        <w:rPr>
          <w:i/>
          <w:iCs/>
        </w:rPr>
        <w:t xml:space="preserve">Selectividad estratégica (continuación 1)</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168"/>
        <w:gridCol w:w="4752"/>
      </w:tblGrid>
      <w:tr>
        <w:trPr>
          <w:cantSplit/>
          <w:tblHeader/>
        </w:trPr>
        <w:tc>
          <w:tcPr>
            <w:shd w:val="clear" w:color="auto" w:fill="00B050"/>
          </w:tcPr>
          <w:p>
            <w:pPr>
              <w:pStyle w:val="Tabla9"/>
              <w:jc w:val="center"/>
            </w:pPr>
            <w:r>
              <w:rPr>
                <w:b/>
                <w:color w:val="FFFFFF"/>
              </w:rPr>
              <w:t xml:space="preserve">Estrategia penalizada</w:t>
            </w:r>
          </w:p>
        </w:tc>
        <w:tc>
          <w:tcPr>
            <w:shd w:val="clear" w:color="auto" w:fill="00B050"/>
          </w:tcPr>
          <w:p>
            <w:pPr>
              <w:pStyle w:val="Tabla9"/>
              <w:jc w:val="center"/>
            </w:pPr>
            <w:r>
              <w:rPr>
                <w:b/>
                <w:color w:val="FFFFFF"/>
              </w:rPr>
              <w:t xml:space="preserve">Mecanismo de la selectividad</w:t>
            </w:r>
          </w:p>
        </w:tc>
      </w:tr>
      <w:tr>
        <w:trPr>
          <w:cantSplit/>
        </w:trPr>
        <w:tc>
          <w:tcPr/>
          <w:p>
            <w:pPr>
              <w:pStyle w:val="Tabla9"/>
              <w:jc w:val="left"/>
            </w:pPr>
            <w:r>
              <w:t xml:space="preserve">Piloto previo y compra por tramos</w:t>
            </w:r>
          </w:p>
        </w:tc>
        <w:tc>
          <w:tcPr/>
          <w:p>
            <w:pPr>
              <w:pStyle w:val="Tabla9"/>
              <w:jc w:val="left"/>
            </w:pPr>
            <w:r>
              <w:t xml:space="preserve">Retrasa el despliegue visible y exige reglas de decisión anticipadas.</w:t>
            </w:r>
          </w:p>
        </w:tc>
      </w:tr>
      <w:tr>
        <w:trPr>
          <w:cantSplit/>
        </w:trPr>
        <w:tc>
          <w:tcPr/>
          <w:p>
            <w:pPr>
              <w:pStyle w:val="Tabla9"/>
              <w:jc w:val="left"/>
            </w:pPr>
            <w:r>
              <w:t xml:space="preserve">Control de polvo en la fuente</w:t>
            </w:r>
          </w:p>
        </w:tc>
        <w:tc>
          <w:tcPr/>
          <w:p>
            <w:pPr>
              <w:pStyle w:val="Tabla9"/>
              <w:jc w:val="left"/>
            </w:pPr>
            <w:r>
              <w:t xml:space="preserve">Su gasto se percibe como obra y no como ciencia y tecnología.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Respuesta de diseño.</w:t>
      </w:r>
      <w:r>
        <w:t xml:space="preserve"> </w:t>
      </w:r>
      <w:r>
        <w:t xml:space="preserve">La estrategia R4 declara la selectividad en lugar de ocultarla. Presenta el piloto como producto de conocimiento con resultado verificable y los tramos como evidencia de alianza ejecutable.</w:t>
      </w:r>
    </w:p>
    <w:p>
      <w:pPr>
        <w:pStyle w:val="BodyText"/>
      </w:pPr>
      <w:r>
        <w:rPr>
          <w:b/>
          <w:bCs/>
        </w:rPr>
        <w:t xml:space="preserve">Restricciones de continuidad.</w:t>
      </w:r>
    </w:p>
    <w:p>
      <w:pPr>
        <w:pStyle w:val="BodyText"/>
      </w:pPr>
      <w:r>
        <w:t xml:space="preserve">La Tabla F4.69 reúne los datos de «Restricciones de continuidad».</w:t>
      </w:r>
    </w:p>
    <w:p>
      <w:pPr>
        <w:pStyle w:val="TablaRotulo"/>
      </w:pPr>
      <w:bookmarkStart w:id="9146" w:name="rot_Tabla_F4_69"/>
      <w:r>
        <w:rPr>
          <w:b/>
          <w:bCs/>
        </w:rPr>
        <w:t xml:space="preserve">Tabla F4.69</w:t>
      </w:r>
      <w:bookmarkEnd w:id="9146"/>
    </w:p>
    <w:p>
      <w:pPr>
        <w:pStyle w:val="TablaTitulo"/>
      </w:pPr>
      <w:r>
        <w:rPr>
          <w:i/>
          <w:iCs/>
        </w:rPr>
        <w:t xml:space="preserve">Restricciones de continuidad</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52"/>
        <w:gridCol w:w="1650"/>
        <w:gridCol w:w="1452"/>
        <w:gridCol w:w="3366"/>
      </w:tblGrid>
      <w:tr>
        <w:trPr>
          <w:cantSplit/>
          <w:tblHeader/>
        </w:trPr>
        <w:tc>
          <w:tcPr>
            <w:shd w:val="clear" w:color="auto" w:fill="00B050"/>
          </w:tcPr>
          <w:p>
            <w:pPr>
              <w:pStyle w:val="Tabla9"/>
              <w:jc w:val="center"/>
            </w:pPr>
            <w:r>
              <w:rPr>
                <w:b/>
                <w:color w:val="FFFFFF"/>
              </w:rPr>
              <w:t xml:space="preserve">Restricción</w:t>
            </w:r>
          </w:p>
        </w:tc>
        <w:tc>
          <w:tcPr>
            <w:shd w:val="clear" w:color="auto" w:fill="00B050"/>
          </w:tcPr>
          <w:p>
            <w:pPr>
              <w:pStyle w:val="Tabla9"/>
              <w:jc w:val="center"/>
            </w:pPr>
            <w:r>
              <w:rPr>
                <w:b/>
                <w:color w:val="FFFFFF"/>
              </w:rPr>
              <w:t xml:space="preserve">Efecto sobre la continuidad</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Anualidad presupuestal territorial</w:t>
            </w:r>
          </w:p>
        </w:tc>
        <w:tc>
          <w:tcPr/>
          <w:p>
            <w:pPr>
              <w:pStyle w:val="Tabla9"/>
              <w:jc w:val="left"/>
            </w:pPr>
            <w:r>
              <w:t xml:space="preserve">La partida para operar desde el mes 25 debe existir en el plan operativo anual del año fiscal respectivo.</w:t>
            </w:r>
          </w:p>
        </w:tc>
        <w:tc>
          <w:tcPr/>
          <w:p>
            <w:pPr>
              <w:pStyle w:val="Tabla9"/>
              <w:jc w:val="left"/>
            </w:pPr>
            <w:r>
              <w:t xml:space="preserve">Conocimiento externo</w:t>
            </w:r>
          </w:p>
        </w:tc>
        <w:tc>
          <w:tcPr/>
          <w:p>
            <w:pPr>
              <w:pStyle w:val="Tabla9"/>
              <w:jc w:val="left"/>
            </w:pPr>
            <w:r>
              <w:t xml:space="preserve">CANDIDATO_A_VERIFICAR</w:t>
            </w:r>
          </w:p>
        </w:tc>
      </w:tr>
      <w:tr>
        <w:trPr>
          <w:cantSplit/>
        </w:trPr>
        <w:tc>
          <w:tcPr/>
          <w:p>
            <w:pPr>
              <w:pStyle w:val="Tabla9"/>
              <w:jc w:val="left"/>
            </w:pPr>
            <w:r>
              <w:t xml:space="preserve">Calendario electoral</w:t>
            </w:r>
          </w:p>
        </w:tc>
        <w:tc>
          <w:tcPr/>
          <w:p>
            <w:pPr>
              <w:pStyle w:val="Tabla9"/>
              <w:jc w:val="left"/>
            </w:pPr>
            <w:r>
              <w:t xml:space="preserve">Las elecciones territoriales siguientes ocurren en octubre de 2027 y la posesión en enero de 2028. Si la ejecución empieza en 2027, el cambio de administración cae dentro de los 24 meses.</w:t>
            </w:r>
          </w:p>
        </w:tc>
        <w:tc>
          <w:tcPr/>
          <w:p>
            <w:pPr>
              <w:pStyle w:val="Tabla9"/>
              <w:jc w:val="left"/>
            </w:pPr>
            <w:r>
              <w:t xml:space="preserve">Conocimiento externo</w:t>
            </w:r>
          </w:p>
        </w:tc>
        <w:tc>
          <w:tcPr/>
          <w:p>
            <w:pPr>
              <w:pStyle w:val="Tabla9"/>
              <w:jc w:val="left"/>
            </w:pPr>
            <w:r>
              <w:t xml:space="preserve">CANDIDATO_A_VERIFICAR</w:t>
            </w:r>
          </w:p>
        </w:tc>
      </w:tr>
      <w:tr>
        <w:trPr>
          <w:cantSplit/>
        </w:trPr>
        <w:tc>
          <w:tcPr/>
          <w:p>
            <w:pPr>
              <w:pStyle w:val="Tabla9"/>
              <w:jc w:val="left"/>
            </w:pPr>
            <w:r>
              <w:t xml:space="preserve">Rotación de personal</w:t>
            </w:r>
          </w:p>
        </w:tc>
        <w:tc>
          <w:tcPr/>
          <w:p>
            <w:pPr>
              <w:pStyle w:val="Tabla9"/>
              <w:jc w:val="left"/>
            </w:pPr>
            <w:r>
              <w:t xml:space="preserve">La capacidad certificada se pierde con la salida de funcionarios.</w:t>
            </w:r>
          </w:p>
        </w:tc>
        <w:tc>
          <w:tcPr/>
          <w:p>
            <w:pPr>
              <w:pStyle w:val="Tabla9"/>
              <w:jc w:val="left"/>
            </w:pPr>
            <w:r>
              <w:t xml:space="preserve">F-E3, Cap. 14.3</w:t>
            </w:r>
          </w:p>
        </w:tc>
        <w:tc>
          <w:tcPr/>
          <w:p>
            <w:pPr>
              <w:pStyle w:val="Tabla9"/>
              <w:jc w:val="left"/>
            </w:pPr>
            <w:r>
              <w:t xml:space="preserve">DECLARADO; NO_VERIFICADO</w:t>
            </w:r>
          </w:p>
        </w:tc>
      </w:tr>
      <w:tr>
        <w:trPr>
          <w:cantSplit/>
        </w:trPr>
        <w:tc>
          <w:tcPr/>
          <w:p>
            <w:pPr>
              <w:pStyle w:val="Tabla9"/>
              <w:jc w:val="left"/>
            </w:pPr>
            <w:r>
              <w:t xml:space="preserve">Plazos de liquidación y cierre</w:t>
            </w:r>
          </w:p>
        </w:tc>
        <w:tc>
          <w:tcPr/>
          <w:p>
            <w:pPr>
              <w:pStyle w:val="Tabla9"/>
              <w:jc w:val="left"/>
            </w:pPr>
            <w:r>
              <w:t xml:space="preserve">La transferencia se concentra en el cierre (compuerta G3, mes 24).</w:t>
            </w:r>
          </w:p>
        </w:tc>
        <w:tc>
          <w:tcPr/>
          <w:p>
            <w:pPr>
              <w:pStyle w:val="Tabla9"/>
              <w:jc w:val="left"/>
            </w:pPr>
            <w:r>
              <w:t xml:space="preserve">F-E3, E3-P17</w:t>
            </w:r>
          </w:p>
        </w:tc>
        <w:tc>
          <w:tcPr/>
          <w:p>
            <w:pPr>
              <w:pStyle w:val="Tabla9"/>
              <w:jc w:val="left"/>
            </w:pPr>
            <w:r>
              <w:t xml:space="preserve">DECLARADO</w:t>
            </w:r>
          </w:p>
        </w:tc>
      </w:tr>
      <w:tr>
        <w:trPr>
          <w:cantSplit/>
        </w:trPr>
        <w:tc>
          <w:tcPr/>
          <w:p>
            <w:pPr>
              <w:pStyle w:val="Tabla9"/>
              <w:jc w:val="left"/>
            </w:pPr>
            <w:r>
              <w:t xml:space="preserve">Vencimientos de propiedad industrial</w:t>
            </w:r>
          </w:p>
        </w:tc>
        <w:tc>
          <w:tcPr/>
          <w:p>
            <w:pPr>
              <w:pStyle w:val="Tabla9"/>
              <w:jc w:val="left"/>
            </w:pPr>
            <w:r>
              <w:t xml:space="preserve">Tres plazos de fase nacional pueden afectar la operación.</w:t>
            </w:r>
          </w:p>
        </w:tc>
        <w:tc>
          <w:tcPr/>
          <w:p>
            <w:pPr>
              <w:pStyle w:val="Tabla9"/>
              <w:jc w:val="left"/>
            </w:pPr>
            <w:r>
              <w:t xml:space="preserve">F-INF §8.3 (D-01)</w:t>
            </w:r>
          </w:p>
        </w:tc>
        <w:tc>
          <w:tcPr/>
          <w:p>
            <w:pPr>
              <w:pStyle w:val="Tabla9"/>
              <w:jc w:val="left"/>
            </w:pPr>
            <w:r>
              <w:t xml:space="preserve">DOCUMENTADO en F-INF</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Vacíos del entorno.</w:t>
      </w:r>
    </w:p>
    <w:p>
      <w:pPr>
        <w:pStyle w:val="Compact"/>
        <w:numPr>
          <w:ilvl w:val="0"/>
          <w:numId w:val="1008"/>
        </w:numPr>
      </w:pPr>
      <w:r>
        <w:t xml:space="preserve">Cobertura de estaciones de referencia en los tres departamentos: VACIO. Tenedor: IDEAM y autoridades ambientales (POR_IDENTIFICAR).</w:t>
      </w:r>
    </w:p>
    <w:p>
      <w:pPr>
        <w:pStyle w:val="Compact"/>
        <w:numPr>
          <w:ilvl w:val="0"/>
          <w:numId w:val="1008"/>
        </w:numPr>
      </w:pPr>
      <w:r>
        <w:t xml:space="preserve">Reglas del instrumento sobre gasto recurrente y compras por tramos: VACIO hasta aportar los TdR.</w:t>
      </w:r>
    </w:p>
    <w:p>
      <w:pPr>
        <w:pStyle w:val="Compact"/>
        <w:numPr>
          <w:ilvl w:val="0"/>
          <w:numId w:val="1008"/>
        </w:numPr>
      </w:pPr>
      <w:r>
        <w:t xml:space="preserve">Calendario real de inicio de la ejecución: VACIO. Determina si el cambio de administración cae dentro del proyecto.</w:t>
      </w:r>
    </w:p>
    <w:bookmarkEnd w:id="201"/>
    <w:bookmarkStart w:id="202" w:name="Xbfe3dda17502f6b57e7f7a356f8e5c2ff0cebda"/>
    <w:p>
      <w:pPr>
        <w:pStyle w:val="Heading3"/>
      </w:pPr>
      <w:r>
        <w:t xml:space="preserve">F4.4-MDR.5 Actores, poder e interdependencia</w:t>
      </w:r>
    </w:p>
    <w:p>
      <w:pPr>
        <w:pStyle w:val="FirstParagraph"/>
      </w:pPr>
      <w:r>
        <w:t xml:space="preserve">Esta pieza identifica quién decide, quién veta y quién custodia, y anticipa la reacción de cada actor. La alianza es SUPUESTO por instrucción del usuario. Ningún actor firmó compromiso alguno.</w:t>
      </w:r>
    </w:p>
    <w:p>
      <w:pPr>
        <w:pStyle w:val="BodyText"/>
      </w:pPr>
      <w:r>
        <w:rPr>
          <w:b/>
          <w:bCs/>
        </w:rPr>
        <w:t xml:space="preserve">Identificación y lógica de acción.</w:t>
      </w:r>
      <w:r>
        <w:t xml:space="preserve"> </w:t>
      </w:r>
      <w:r>
        <w:t xml:space="preserve">La tipología distingue actores con veto (Tsebelis, 2002). La lógica de acción distingue las consecuencias y lo apropiado (March y Olsen, 1989).</w:t>
      </w:r>
    </w:p>
    <w:p>
      <w:pPr>
        <w:pStyle w:val="BodyText"/>
      </w:pPr>
      <w:r>
        <w:t xml:space="preserve">La Tabla F4.70 reúne los datos de «Identificación y lógica de acción».</w:t>
      </w:r>
    </w:p>
    <w:p>
      <w:pPr>
        <w:pStyle w:val="TablaRotulo"/>
      </w:pPr>
      <w:bookmarkStart w:id="9147" w:name="rot_Tabla_F4_70"/>
      <w:r>
        <w:rPr>
          <w:b/>
          <w:bCs/>
        </w:rPr>
        <w:t xml:space="preserve">Tabla F4.70</w:t>
      </w:r>
      <w:bookmarkEnd w:id="9147"/>
    </w:p>
    <w:p>
      <w:pPr>
        <w:pStyle w:val="TablaTitulo"/>
      </w:pPr>
      <w:r>
        <w:rPr>
          <w:i/>
          <w:iCs/>
        </w:rPr>
        <w:t xml:space="preserve">Identificación y lógica de acción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2970"/>
        <w:gridCol w:w="1452"/>
        <w:gridCol w:w="1782"/>
      </w:tblGrid>
      <w:tr>
        <w:trPr>
          <w:cantSplit/>
          <w:tblHeader/>
        </w:trPr>
        <w:tc>
          <w:tcPr>
            <w:shd w:val="clear" w:color="auto" w:fill="00B050"/>
          </w:tcPr>
          <w:p>
            <w:pPr>
              <w:pStyle w:val="Tabla9"/>
              <w:jc w:val="center"/>
            </w:pPr>
            <w:r>
              <w:rPr>
                <w:b/>
                <w:color w:val="FFFFFF"/>
              </w:rPr>
              <w:t xml:space="preserve">Actor</w:t>
            </w:r>
          </w:p>
        </w:tc>
        <w:tc>
          <w:tcPr>
            <w:shd w:val="clear" w:color="auto" w:fill="00B050"/>
          </w:tcPr>
          <w:p>
            <w:pPr>
              <w:pStyle w:val="Tabla9"/>
              <w:jc w:val="center"/>
            </w:pPr>
            <w:r>
              <w:rPr>
                <w:b/>
                <w:color w:val="FFFFFF"/>
              </w:rPr>
              <w:t xml:space="preserve">Tipo</w:t>
            </w:r>
          </w:p>
        </w:tc>
        <w:tc>
          <w:tcPr>
            <w:shd w:val="clear" w:color="auto" w:fill="00B050"/>
          </w:tcPr>
          <w:p>
            <w:pPr>
              <w:pStyle w:val="Tabla9"/>
              <w:jc w:val="center"/>
            </w:pPr>
            <w:r>
              <w:rPr>
                <w:b/>
                <w:color w:val="FFFFFF"/>
              </w:rPr>
              <w:t xml:space="preserve">Fuente de autoridad o interés</w:t>
            </w:r>
          </w:p>
        </w:tc>
        <w:tc>
          <w:tcPr>
            <w:shd w:val="clear" w:color="auto" w:fill="00B050"/>
          </w:tcPr>
          <w:p>
            <w:pPr>
              <w:pStyle w:val="Tabla9"/>
              <w:jc w:val="center"/>
            </w:pPr>
            <w:r>
              <w:rPr>
                <w:b/>
                <w:color w:val="FFFFFF"/>
              </w:rPr>
              <w:t xml:space="preserve">Lógica de acción</w:t>
            </w:r>
          </w:p>
        </w:tc>
      </w:tr>
      <w:tr>
        <w:trPr>
          <w:cantSplit/>
        </w:trPr>
        <w:tc>
          <w:tcPr/>
          <w:p>
            <w:pPr>
              <w:pStyle w:val="Tabla9"/>
              <w:jc w:val="left"/>
            </w:pPr>
            <w:r>
              <w:t xml:space="preserve">Convocante y órganos de decisión del Sistema General de Regalías</w:t>
            </w:r>
          </w:p>
        </w:tc>
        <w:tc>
          <w:tcPr/>
          <w:p>
            <w:pPr>
              <w:pStyle w:val="Tabla9"/>
              <w:jc w:val="left"/>
            </w:pPr>
            <w:r>
              <w:t xml:space="preserve">DECISOR; ACTOR_CON_VETO; FINANCIADOR</w:t>
            </w:r>
          </w:p>
        </w:tc>
        <w:tc>
          <w:tcPr/>
          <w:p>
            <w:pPr>
              <w:pStyle w:val="Tabla9"/>
              <w:jc w:val="left"/>
            </w:pPr>
            <w:r>
              <w:t xml:space="preserve">Aprueba la asignación y los términos (F-E3, E3-P15)</w:t>
            </w:r>
          </w:p>
        </w:tc>
        <w:tc>
          <w:tcPr/>
          <w:p>
            <w:pPr>
              <w:pStyle w:val="Tabla9"/>
              <w:jc w:val="left"/>
            </w:pPr>
            <w:r>
              <w:t xml:space="preserve">De lo apropiado: cumplimiento de los términos. INFERIDO</w:t>
            </w:r>
          </w:p>
        </w:tc>
      </w:tr>
      <w:tr>
        <w:trPr>
          <w:cantSplit/>
        </w:trPr>
        <w:tc>
          <w:tcPr/>
          <w:p>
            <w:pPr>
              <w:pStyle w:val="Tabla9"/>
              <w:jc w:val="left"/>
            </w:pPr>
            <w:r>
              <w:t xml:space="preserve">Institución de educación superior ejecutora</w:t>
            </w:r>
          </w:p>
        </w:tc>
        <w:tc>
          <w:tcPr/>
          <w:p>
            <w:pPr>
              <w:pStyle w:val="Tabla9"/>
              <w:jc w:val="left"/>
            </w:pPr>
            <w:r>
              <w:t xml:space="preserve">EJECUTOR; CUSTODIO_POTENCIAL</w:t>
            </w:r>
          </w:p>
        </w:tc>
        <w:tc>
          <w:tcPr/>
          <w:p>
            <w:pPr>
              <w:pStyle w:val="Tabla9"/>
              <w:jc w:val="left"/>
            </w:pPr>
            <w:r>
              <w:t xml:space="preserve">Responde por la ejecución ante el control fiscal (E3-P17)</w:t>
            </w:r>
          </w:p>
        </w:tc>
        <w:tc>
          <w:tcPr/>
          <w:p>
            <w:pPr>
              <w:pStyle w:val="Tabla9"/>
              <w:jc w:val="left"/>
            </w:pPr>
            <w:r>
              <w:t xml:space="preserve">De las consecuencias: no tiene recursos permanentes (E3-P17, §13). DECLARADO</w:t>
            </w:r>
          </w:p>
        </w:tc>
      </w:tr>
      <w:tr>
        <w:trPr>
          <w:cantSplit/>
        </w:trPr>
        <w:tc>
          <w:tcPr/>
          <w:p>
            <w:pPr>
              <w:pStyle w:val="Tabla9"/>
              <w:jc w:val="left"/>
            </w:pPr>
            <w:r>
              <w:t xml:space="preserve">Empresa tecnológica aliada</w:t>
            </w:r>
          </w:p>
        </w:tc>
        <w:tc>
          <w:tcPr/>
          <w:p>
            <w:pPr>
              <w:pStyle w:val="Tabla9"/>
              <w:jc w:val="left"/>
            </w:pPr>
            <w:r>
              <w:t xml:space="preserve">EJECUTOR; CUSTODIO_POTENCIAL</w:t>
            </w:r>
          </w:p>
        </w:tc>
        <w:tc>
          <w:tcPr/>
          <w:p>
            <w:pPr>
              <w:pStyle w:val="Tabla9"/>
              <w:jc w:val="left"/>
            </w:pPr>
            <w:r>
              <w:t xml:space="preserve">Responde por propiedad intelectual y código (E3-P17)</w:t>
            </w:r>
          </w:p>
        </w:tc>
        <w:tc>
          <w:tcPr/>
          <w:p>
            <w:pPr>
              <w:pStyle w:val="Tabla9"/>
              <w:jc w:val="left"/>
            </w:pPr>
            <w:r>
              <w:t xml:space="preserve">De las consecuencias: modelo de negocio. INFERIDO</w:t>
            </w:r>
          </w:p>
        </w:tc>
      </w:tr>
      <w:tr>
        <w:trPr>
          <w:cantSplit/>
        </w:trPr>
        <w:tc>
          <w:tcPr/>
          <w:p>
            <w:pPr>
              <w:pStyle w:val="Tabla9"/>
              <w:jc w:val="left"/>
            </w:pPr>
            <w:r>
              <w:t xml:space="preserve">Alcaldías de municipios con remoción</w:t>
            </w:r>
          </w:p>
        </w:tc>
        <w:tc>
          <w:tcPr/>
          <w:p>
            <w:pPr>
              <w:pStyle w:val="Tabla9"/>
              <w:jc w:val="left"/>
            </w:pPr>
            <w:r>
              <w:t xml:space="preserve">ACTOR_CON_VETO; CUSTODIO_POTENCIAL; AFECTADO</w:t>
            </w:r>
          </w:p>
        </w:tc>
        <w:tc>
          <w:tcPr/>
          <w:p>
            <w:pPr>
              <w:pStyle w:val="Tabla9"/>
              <w:jc w:val="left"/>
            </w:pPr>
            <w:r>
              <w:t xml:space="preserve">Responden legalmente por actuar sobre la alerta (E3-P17)</w:t>
            </w:r>
          </w:p>
        </w:tc>
        <w:tc>
          <w:tcPr/>
          <w:p>
            <w:pPr>
              <w:pStyle w:val="Tabla9"/>
              <w:jc w:val="left"/>
            </w:pPr>
            <w:r>
              <w:t xml:space="preserve">De las consecuencias: presupuesto y ciclo electoral. INFERIDO</w:t>
            </w:r>
          </w:p>
        </w:tc>
      </w:tr>
      <w:tr>
        <w:trPr>
          <w:cantSplit/>
        </w:trPr>
        <w:tc>
          <w:tcPr/>
          <w:p>
            <w:pPr>
              <w:pStyle w:val="Tabla9"/>
              <w:jc w:val="left"/>
            </w:pPr>
            <w:r>
              <w:t xml:space="preserve">Gobernaciones y unidades departamentales de gestión del riesgo</w:t>
            </w:r>
          </w:p>
        </w:tc>
        <w:tc>
          <w:tcPr/>
          <w:p>
            <w:pPr>
              <w:pStyle w:val="Tabla9"/>
              <w:jc w:val="left"/>
            </w:pPr>
            <w:r>
              <w:t xml:space="preserve">CUSTODIO_POTENCIAL</w:t>
            </w:r>
          </w:p>
        </w:tc>
        <w:tc>
          <w:tcPr/>
          <w:p>
            <w:pPr>
              <w:pStyle w:val="Tabla9"/>
              <w:jc w:val="left"/>
            </w:pPr>
            <w:r>
              <w:t xml:space="preserve">F-E3, Tabla E3-14.3 las nombra como receptoras</w:t>
            </w:r>
          </w:p>
        </w:tc>
        <w:tc>
          <w:tcPr/>
          <w:p>
            <w:pPr>
              <w:pStyle w:val="Tabla9"/>
              <w:jc w:val="left"/>
            </w:pPr>
            <w:r>
              <w:t xml:space="preserve">Sin evidencia: NO_EVALUADO</w:t>
            </w:r>
          </w:p>
        </w:tc>
      </w:tr>
      <w:tr>
        <w:trPr>
          <w:cantSplit/>
        </w:trPr>
        <w:tc>
          <w:tcPr/>
          <w:p>
            <w:pPr>
              <w:pStyle w:val="Tabla9"/>
              <w:jc w:val="left"/>
            </w:pPr>
            <w:r>
              <w:t xml:space="preserve">UNGRD y puestos de mando unificado</w:t>
            </w:r>
          </w:p>
        </w:tc>
        <w:tc>
          <w:tcPr/>
          <w:p>
            <w:pPr>
              <w:pStyle w:val="Tabla9"/>
              <w:jc w:val="left"/>
            </w:pPr>
            <w:r>
              <w:t xml:space="preserve">DECISOR operativo; usuario</w:t>
            </w:r>
          </w:p>
        </w:tc>
        <w:tc>
          <w:tcPr/>
          <w:p>
            <w:pPr>
              <w:pStyle w:val="Tabla9"/>
              <w:jc w:val="left"/>
            </w:pPr>
            <w:r>
              <w:t xml:space="preserve">Reciben información en E3-P17</w:t>
            </w:r>
          </w:p>
        </w:tc>
        <w:tc>
          <w:tcPr/>
          <w:p>
            <w:pPr>
              <w:pStyle w:val="Tabla9"/>
              <w:jc w:val="left"/>
            </w:pPr>
            <w:r>
              <w:t xml:space="preserve">De lo apropiado: protocolos de mando. INFERIDO</w:t>
            </w:r>
          </w:p>
        </w:tc>
      </w:tr>
      <w:tr>
        <w:trPr>
          <w:cantSplit/>
        </w:trPr>
        <w:tc>
          <w:tcPr/>
          <w:p>
            <w:pPr>
              <w:pStyle w:val="Tabla9"/>
              <w:jc w:val="left"/>
            </w:pPr>
            <w:r>
              <w:t xml:space="preserve">IDEAM y autoridades ambientales</w:t>
            </w:r>
          </w:p>
        </w:tc>
        <w:tc>
          <w:tcPr/>
          <w:p>
            <w:pPr>
              <w:pStyle w:val="Tabla9"/>
              <w:jc w:val="left"/>
            </w:pPr>
            <w:r>
              <w:t xml:space="preserve">Referencia metrológica</w:t>
            </w:r>
          </w:p>
        </w:tc>
        <w:tc>
          <w:tcPr/>
          <w:p>
            <w:pPr>
              <w:pStyle w:val="Tabla9"/>
              <w:jc w:val="left"/>
            </w:pPr>
            <w:r>
              <w:t xml:space="preserve">F-INF §6.5 (punto focal de acreditación)</w:t>
            </w:r>
          </w:p>
        </w:tc>
        <w:tc>
          <w:tcPr/>
          <w:p>
            <w:pPr>
              <w:pStyle w:val="Tabla9"/>
              <w:jc w:val="left"/>
            </w:pPr>
            <w:r>
              <w:t xml:space="preserve">De lo apropiado: acreditación. INFERIDO</w:t>
            </w:r>
          </w:p>
        </w:tc>
      </w:tr>
      <w:tr>
        <w:trPr>
          <w:cantSplit/>
        </w:trPr>
        <w:tc>
          <w:tcPr/>
          <w:p>
            <w:pPr>
              <w:pStyle w:val="Tabla9"/>
              <w:jc w:val="left"/>
            </w:pPr>
            <w:r>
              <w:t xml:space="preserve">Secretarías de salud, ADRES y ARL</w:t>
            </w:r>
          </w:p>
        </w:tc>
        <w:tc>
          <w:tcPr/>
          <w:p>
            <w:pPr>
              <w:pStyle w:val="Tabla9"/>
              <w:jc w:val="left"/>
            </w:pPr>
            <w:r>
              <w:t xml:space="preserve">FINANCIADOR potencial; beneficiario del ahorro</w:t>
            </w:r>
          </w:p>
        </w:tc>
        <w:tc>
          <w:tcPr/>
          <w:p>
            <w:pPr>
              <w:pStyle w:val="Tabla9"/>
              <w:jc w:val="left"/>
            </w:pPr>
            <w:r>
              <w:t xml:space="preserve">F-E3, Tabla E3-14.2</w:t>
            </w:r>
          </w:p>
        </w:tc>
        <w:tc>
          <w:tcPr/>
          <w:p>
            <w:pPr>
              <w:pStyle w:val="Tabla9"/>
              <w:jc w:val="left"/>
            </w:pPr>
            <w:r>
              <w:t xml:space="preserve">Sin evidencia: NO_EVALUADO</w:t>
            </w:r>
          </w:p>
        </w:tc>
      </w:tr>
      <w:tr>
        <w:trPr>
          <w:cantSplit/>
        </w:trPr>
        <w:tc>
          <w:tcPr/>
          <w:p>
            <w:pPr>
              <w:pStyle w:val="Tabla9"/>
              <w:jc w:val="left"/>
            </w:pPr>
            <w:r>
              <w:t xml:space="preserve">Constructoras y contratistas de remoción</w:t>
            </w:r>
          </w:p>
        </w:tc>
        <w:tc>
          <w:tcPr/>
          <w:p>
            <w:pPr>
              <w:pStyle w:val="Tabla9"/>
              <w:jc w:val="left"/>
            </w:pPr>
            <w:r>
              <w:t xml:space="preserve">AFECTADO; generador de la emisión; FINANCIADOR potencial</w:t>
            </w:r>
          </w:p>
        </w:tc>
        <w:tc>
          <w:tcPr/>
          <w:p>
            <w:pPr>
              <w:pStyle w:val="Tabla9"/>
              <w:jc w:val="left"/>
            </w:pPr>
            <w:r>
              <w:t xml:space="preserve">F-E3, Tabla E3-14.2 (lucro cesante)</w:t>
            </w:r>
          </w:p>
        </w:tc>
        <w:tc>
          <w:tcPr/>
          <w:p>
            <w:pPr>
              <w:pStyle w:val="Tabla9"/>
              <w:jc w:val="left"/>
            </w:pPr>
            <w:r>
              <w:t xml:space="preserve">De las consecuencias: evitar paros. INFERIDO</w:t>
            </w:r>
          </w:p>
        </w:tc>
      </w:tr>
      <w:tr>
        <w:trPr>
          <w:cantSplit/>
        </w:trPr>
        <w:tc>
          <w:tcPr/>
          <w:p>
            <w:pPr>
              <w:pStyle w:val="Tabla9"/>
              <w:jc w:val="left"/>
            </w:pPr>
            <w:r>
              <w:t xml:space="preserve">Operarios y comunidades colindantes</w:t>
            </w:r>
          </w:p>
        </w:tc>
        <w:tc>
          <w:tcPr/>
          <w:p>
            <w:pPr>
              <w:pStyle w:val="Tabla9"/>
              <w:jc w:val="left"/>
            </w:pPr>
            <w:r>
              <w:t xml:space="preserve">AFECTADO</w:t>
            </w:r>
          </w:p>
        </w:tc>
        <w:tc>
          <w:tcPr/>
          <w:p>
            <w:pPr>
              <w:pStyle w:val="Tabla9"/>
              <w:jc w:val="left"/>
            </w:pPr>
            <w:r>
              <w:t xml:space="preserve">Exposición a PM2,5 y PM10</w:t>
            </w:r>
          </w:p>
        </w:tc>
        <w:tc>
          <w:tcPr/>
          <w:p>
            <w:pPr>
              <w:pStyle w:val="Tabla9"/>
              <w:jc w:val="left"/>
            </w:pPr>
            <w:r>
              <w:t xml:space="preserve">No registrada: VACIO</w:t>
            </w:r>
          </w:p>
        </w:tc>
      </w:tr>
      <w:tr>
        <w:trPr>
          <w:cantSplit/>
        </w:trPr>
        <w:tc>
          <w:tcPr/>
          <w:p>
            <w:pPr>
              <w:pStyle w:val="Tabla9"/>
              <w:jc w:val="left"/>
            </w:pPr>
            <w:r>
              <w:t xml:space="preserve">Proveedores de sensores</w:t>
            </w:r>
          </w:p>
        </w:tc>
        <w:tc>
          <w:tcPr/>
          <w:p>
            <w:pPr>
              <w:pStyle w:val="Tabla9"/>
              <w:jc w:val="left"/>
            </w:pPr>
            <w:r>
              <w:t xml:space="preserve">EJECUTOR indirecto</w:t>
            </w:r>
          </w:p>
        </w:tc>
        <w:tc>
          <w:tcPr/>
          <w:p>
            <w:pPr>
              <w:pStyle w:val="Tabla9"/>
              <w:jc w:val="left"/>
            </w:pPr>
            <w:r>
              <w:t xml:space="preserve">F-INF §6.5</w:t>
            </w:r>
          </w:p>
        </w:tc>
        <w:tc>
          <w:tcPr/>
          <w:p>
            <w:pPr>
              <w:pStyle w:val="Tabla9"/>
              <w:jc w:val="left"/>
            </w:pPr>
            <w:r>
              <w:t xml:space="preserve">De las consecuencias. INFERIDO</w:t>
            </w:r>
          </w:p>
        </w:tc>
      </w:tr>
      <w:tr>
        <w:trPr>
          <w:cantSplit/>
        </w:trPr>
        <w:tc>
          <w:tcPr/>
          <w:p>
            <w:pPr>
              <w:pStyle w:val="Tabla9"/>
              <w:jc w:val="left"/>
            </w:pPr>
            <w:r>
              <w:t xml:space="preserve">Órganos de control fiscal</w:t>
            </w:r>
          </w:p>
        </w:tc>
        <w:tc>
          <w:tcPr/>
          <w:p>
            <w:pPr>
              <w:pStyle w:val="Tabla9"/>
              <w:jc w:val="left"/>
            </w:pPr>
            <w:r>
              <w:t xml:space="preserve">Control</w:t>
            </w:r>
          </w:p>
        </w:tc>
        <w:tc>
          <w:tcPr/>
          <w:p>
            <w:pPr>
              <w:pStyle w:val="Tabla9"/>
              <w:jc w:val="left"/>
            </w:pPr>
            <w:r>
              <w:t xml:space="preserve">E3-P17</w:t>
            </w:r>
          </w:p>
        </w:tc>
        <w:tc>
          <w:tcPr/>
          <w:p>
            <w:pPr>
              <w:pStyle w:val="Tabla9"/>
              <w:jc w:val="left"/>
            </w:pPr>
            <w:r>
              <w:t xml:space="preserve">De lo apropiado.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Relevancia (poder, legitimidad y urgencia).</w:t>
      </w:r>
      <w:r>
        <w:t xml:space="preserve"> </w:t>
      </w:r>
      <w:r>
        <w:t xml:space="preserve">La relevancia combina poder, legitimidad y urgencia (Mitchell et al., 1997). La evaluación exige evidencia. Solo el convocante cuenta con evidencia directa de poder en los documentos. El resto se registra como NO_EVALUADO, con la evidencia que lo resolvería.</w:t>
      </w:r>
    </w:p>
    <w:p>
      <w:pPr>
        <w:pStyle w:val="BodyText"/>
      </w:pPr>
      <w:r>
        <w:t xml:space="preserve">La Tabla F4.71 reúne los datos de «Relevancia (poder, legitimidad y urgencia)».</w:t>
      </w:r>
    </w:p>
    <w:p>
      <w:pPr>
        <w:pStyle w:val="TablaRotulo"/>
      </w:pPr>
      <w:bookmarkStart w:id="9148" w:name="rot_Tabla_F4_71"/>
      <w:r>
        <w:rPr>
          <w:b/>
          <w:bCs/>
        </w:rPr>
        <w:t xml:space="preserve">Tabla F4.71</w:t>
      </w:r>
      <w:bookmarkEnd w:id="9148"/>
    </w:p>
    <w:p>
      <w:pPr>
        <w:pStyle w:val="TablaTitulo"/>
      </w:pPr>
      <w:r>
        <w:rPr>
          <w:i/>
          <w:iCs/>
        </w:rPr>
        <w:t xml:space="preserve">Relevancia (poder, legitimidad y urgencia)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64"/>
        <w:gridCol w:w="1730"/>
        <w:gridCol w:w="1730"/>
        <w:gridCol w:w="1730"/>
        <w:gridCol w:w="1264"/>
      </w:tblGrid>
      <w:tr>
        <w:trPr>
          <w:cantSplit/>
          <w:tblHeader/>
        </w:trPr>
        <w:tc>
          <w:tcPr>
            <w:shd w:val="clear" w:color="auto" w:fill="00B050"/>
          </w:tcPr>
          <w:p>
            <w:pPr>
              <w:pStyle w:val="Tabla9"/>
              <w:jc w:val="center"/>
            </w:pPr>
            <w:r>
              <w:rPr>
                <w:b/>
                <w:color w:val="FFFFFF"/>
              </w:rPr>
              <w:t xml:space="preserve">Actor</w:t>
            </w:r>
          </w:p>
        </w:tc>
        <w:tc>
          <w:tcPr>
            <w:shd w:val="clear" w:color="auto" w:fill="00B050"/>
          </w:tcPr>
          <w:p>
            <w:pPr>
              <w:pStyle w:val="Tabla9"/>
              <w:jc w:val="center"/>
            </w:pPr>
            <w:r>
              <w:rPr>
                <w:b/>
                <w:color w:val="FFFFFF"/>
              </w:rPr>
              <w:t xml:space="preserve">Poder</w:t>
            </w:r>
          </w:p>
        </w:tc>
        <w:tc>
          <w:tcPr>
            <w:shd w:val="clear" w:color="auto" w:fill="00B050"/>
          </w:tcPr>
          <w:p>
            <w:pPr>
              <w:pStyle w:val="Tabla9"/>
              <w:jc w:val="center"/>
            </w:pPr>
            <w:r>
              <w:rPr>
                <w:b/>
                <w:color w:val="FFFFFF"/>
              </w:rPr>
              <w:t xml:space="preserve">Legitimidad</w:t>
            </w:r>
          </w:p>
        </w:tc>
        <w:tc>
          <w:tcPr>
            <w:shd w:val="clear" w:color="auto" w:fill="00B050"/>
          </w:tcPr>
          <w:p>
            <w:pPr>
              <w:pStyle w:val="Tabla9"/>
              <w:jc w:val="center"/>
            </w:pPr>
            <w:r>
              <w:rPr>
                <w:b/>
                <w:color w:val="FFFFFF"/>
              </w:rPr>
              <w:t xml:space="preserve">Urgencia</w:t>
            </w:r>
          </w:p>
        </w:tc>
        <w:tc>
          <w:tcPr>
            <w:shd w:val="clear" w:color="auto" w:fill="00B050"/>
          </w:tcPr>
          <w:p>
            <w:pPr>
              <w:pStyle w:val="Tabla9"/>
              <w:jc w:val="center"/>
            </w:pPr>
            <w:r>
              <w:rPr>
                <w:b/>
                <w:color w:val="FFFFFF"/>
              </w:rPr>
              <w:t xml:space="preserve">Evidencia que falta</w:t>
            </w:r>
          </w:p>
        </w:tc>
      </w:tr>
      <w:tr>
        <w:trPr>
          <w:cantSplit/>
        </w:trPr>
        <w:tc>
          <w:tcPr/>
          <w:p>
            <w:pPr>
              <w:pStyle w:val="Tabla9"/>
              <w:jc w:val="left"/>
            </w:pPr>
            <w:r>
              <w:t xml:space="preserve">Convocante</w:t>
            </w:r>
          </w:p>
        </w:tc>
        <w:tc>
          <w:tcPr/>
          <w:p>
            <w:pPr>
              <w:pStyle w:val="Tabla9"/>
              <w:jc w:val="left"/>
            </w:pPr>
            <w:r>
              <w:t xml:space="preserve">ALTO (aprueba y fija términos; DECLARADO)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Términos de referencia</w:t>
            </w:r>
          </w:p>
        </w:tc>
      </w:tr>
      <w:tr>
        <w:trPr>
          <w:cantSplit/>
        </w:trPr>
        <w:tc>
          <w:tcPr/>
          <w:p>
            <w:pPr>
              <w:pStyle w:val="Tabla9"/>
              <w:jc w:val="left"/>
            </w:pPr>
            <w:r>
              <w:t xml:space="preserve">Alcaldías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Cartas de compromiso con partida y competencia</w:t>
            </w:r>
          </w:p>
        </w:tc>
      </w:tr>
      <w:tr>
        <w:trPr>
          <w:cantSplit/>
        </w:trPr>
        <w:tc>
          <w:tcPr/>
          <w:p>
            <w:pPr>
              <w:pStyle w:val="Tabla9"/>
              <w:jc w:val="left"/>
            </w:pPr>
            <w:r>
              <w:t xml:space="preserve">Constructoras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Contratos de obra y cláusulas ambientales</w:t>
            </w:r>
          </w:p>
        </w:tc>
      </w:tr>
      <w:tr>
        <w:trPr>
          <w:cantSplit/>
        </w:trPr>
        <w:tc>
          <w:tcPr/>
          <w:p>
            <w:pPr>
              <w:pStyle w:val="Tabla9"/>
              <w:jc w:val="left"/>
            </w:pPr>
            <w:r>
              <w:t xml:space="preserve">Operarios y comunidades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Línea base de exposición y consulta</w:t>
            </w:r>
          </w:p>
        </w:tc>
      </w:tr>
      <w:tr>
        <w:trPr>
          <w:cantSplit/>
        </w:trPr>
        <w:tc>
          <w:tcPr/>
          <w:p>
            <w:pPr>
              <w:pStyle w:val="Tabla9"/>
              <w:jc w:val="left"/>
            </w:pPr>
            <w:r>
              <w:t xml:space="preserve">IDEAM y autoridades ambientales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Convenio de referencia con estaciones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Una constructora con poder de paralizar la obra y sin legitimidad sobre el umbral de alerta se registra como riesgo, no como aliada. La condición se evaluará cuando exista evidencia.</w:t>
      </w:r>
    </w:p>
    <w:p>
      <w:pPr>
        <w:pStyle w:val="BodyText"/>
      </w:pPr>
      <w:r>
        <w:rPr>
          <w:b/>
          <w:bCs/>
        </w:rPr>
        <w:t xml:space="preserve">Reacciones previstas (anticipación cualitativa).</w:t>
      </w:r>
      <w:r>
        <w:t xml:space="preserve"> </w:t>
      </w:r>
      <w:r>
        <w:t xml:space="preserve">Sin pagos monetarios especificables, las reacciones son anticipaciones cualitativas INFERIDAS.</w:t>
      </w:r>
    </w:p>
    <w:p>
      <w:pPr>
        <w:pStyle w:val="BodyText"/>
      </w:pPr>
      <w:r>
        <w:t xml:space="preserve">La Tabla F4.72 reúne los datos de «Reacciones previstas (anticipación cualitativa)».</w:t>
      </w:r>
    </w:p>
    <w:p>
      <w:pPr>
        <w:pStyle w:val="TablaRotulo"/>
      </w:pPr>
      <w:bookmarkStart w:id="9149" w:name="rot_Tabla_F4_72"/>
      <w:r>
        <w:rPr>
          <w:b/>
          <w:bCs/>
        </w:rPr>
        <w:t xml:space="preserve">Tabla F4.72</w:t>
      </w:r>
      <w:bookmarkEnd w:id="9149"/>
    </w:p>
    <w:p>
      <w:pPr>
        <w:pStyle w:val="TablaTitulo"/>
      </w:pPr>
      <w:r>
        <w:rPr>
          <w:i/>
          <w:iCs/>
        </w:rPr>
        <w:t xml:space="preserve">Reacciones previstas (anticipación cualitativa)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12"/>
        <w:gridCol w:w="2904"/>
        <w:gridCol w:w="2904"/>
      </w:tblGrid>
      <w:tr>
        <w:trPr>
          <w:cantSplit/>
          <w:tblHeader/>
        </w:trPr>
        <w:tc>
          <w:tcPr>
            <w:shd w:val="clear" w:color="auto" w:fill="00B050"/>
          </w:tcPr>
          <w:p>
            <w:pPr>
              <w:pStyle w:val="Tabla9"/>
              <w:jc w:val="center"/>
            </w:pPr>
            <w:r>
              <w:rPr>
                <w:b/>
                <w:color w:val="FFFFFF"/>
              </w:rPr>
              <w:t xml:space="preserve">Actor</w:t>
            </w:r>
          </w:p>
        </w:tc>
        <w:tc>
          <w:tcPr>
            <w:shd w:val="clear" w:color="auto" w:fill="00B050"/>
          </w:tcPr>
          <w:p>
            <w:pPr>
              <w:pStyle w:val="Tabla9"/>
              <w:jc w:val="center"/>
            </w:pPr>
            <w:r>
              <w:rPr>
                <w:b/>
                <w:color w:val="FFFFFF"/>
              </w:rPr>
              <w:t xml:space="preserve">Reacción prevista ante R4</w:t>
            </w:r>
          </w:p>
        </w:tc>
        <w:tc>
          <w:tcPr>
            <w:shd w:val="clear" w:color="auto" w:fill="00B050"/>
          </w:tcPr>
          <w:p>
            <w:pPr>
              <w:pStyle w:val="Tabla9"/>
              <w:jc w:val="center"/>
            </w:pPr>
            <w:r>
              <w:rPr>
                <w:b/>
                <w:color w:val="FFFFFF"/>
              </w:rPr>
              <w:t xml:space="preserve">Reacción prevista ante R3</w:t>
            </w:r>
          </w:p>
        </w:tc>
      </w:tr>
      <w:tr>
        <w:trPr>
          <w:cantSplit/>
        </w:trPr>
        <w:tc>
          <w:tcPr/>
          <w:p>
            <w:pPr>
              <w:pStyle w:val="Tabla9"/>
              <w:jc w:val="left"/>
            </w:pPr>
            <w:r>
              <w:t xml:space="preserve">Alcaldías</w:t>
            </w:r>
          </w:p>
        </w:tc>
        <w:tc>
          <w:tcPr/>
          <w:p>
            <w:pPr>
              <w:pStyle w:val="Tabla9"/>
              <w:jc w:val="left"/>
            </w:pPr>
            <w:r>
              <w:t xml:space="preserve">Aceptan tramos si reciben capacidad demostrada y no asumen costos antes de recibirla</w:t>
            </w:r>
          </w:p>
        </w:tc>
        <w:tc>
          <w:tcPr/>
          <w:p>
            <w:pPr>
              <w:pStyle w:val="Tabla9"/>
              <w:jc w:val="left"/>
            </w:pPr>
            <w:r>
              <w:t xml:space="preserve">Aceptan la designación en la matriz y pueden no presupuestar la operación</w:t>
            </w:r>
          </w:p>
        </w:tc>
      </w:tr>
      <w:tr>
        <w:trPr>
          <w:cantSplit/>
        </w:trPr>
        <w:tc>
          <w:tcPr/>
          <w:p>
            <w:pPr>
              <w:pStyle w:val="Tabla9"/>
              <w:jc w:val="left"/>
            </w:pPr>
            <w:r>
              <w:t xml:space="preserve">Institución ejecutora</w:t>
            </w:r>
          </w:p>
        </w:tc>
        <w:tc>
          <w:tcPr/>
          <w:p>
            <w:pPr>
              <w:pStyle w:val="Tabla9"/>
              <w:jc w:val="left"/>
            </w:pPr>
            <w:r>
              <w:t xml:space="preserve">Mantiene el servicio mínimo si la cláusula de apertura le permite liberar activos</w:t>
            </w:r>
          </w:p>
        </w:tc>
        <w:tc>
          <w:tcPr/>
          <w:p>
            <w:pPr>
              <w:pStyle w:val="Tabla9"/>
              <w:jc w:val="left"/>
            </w:pPr>
            <w:r>
              <w:t xml:space="preserve">Queda como responsable de hecho si ninguna alcaldía asume la operación</w:t>
            </w:r>
          </w:p>
        </w:tc>
      </w:tr>
      <w:tr>
        <w:trPr>
          <w:cantSplit/>
        </w:trPr>
        <w:tc>
          <w:tcPr/>
          <w:p>
            <w:pPr>
              <w:pStyle w:val="Tabla9"/>
              <w:jc w:val="left"/>
            </w:pPr>
            <w:r>
              <w:t xml:space="preserve">Constructoras</w:t>
            </w:r>
          </w:p>
        </w:tc>
        <w:tc>
          <w:tcPr/>
          <w:p>
            <w:pPr>
              <w:pStyle w:val="Tabla9"/>
              <w:jc w:val="left"/>
            </w:pPr>
            <w:r>
              <w:t xml:space="preserve">Cofinancian si la alerta reduce paros por falsas alarmas</w:t>
            </w:r>
          </w:p>
        </w:tc>
        <w:tc>
          <w:tcPr/>
          <w:p>
            <w:pPr>
              <w:pStyle w:val="Tabla9"/>
              <w:jc w:val="left"/>
            </w:pPr>
            <w:r>
              <w:t xml:space="preserve">Presionan por umbrales altos para evitar paros</w:t>
            </w:r>
          </w:p>
        </w:tc>
      </w:tr>
      <w:tr>
        <w:trPr>
          <w:cantSplit/>
        </w:trPr>
        <w:tc>
          <w:tcPr/>
          <w:p>
            <w:pPr>
              <w:pStyle w:val="Tabla9"/>
              <w:jc w:val="left"/>
            </w:pPr>
            <w:r>
              <w:t xml:space="preserve">Convocante</w:t>
            </w:r>
          </w:p>
        </w:tc>
        <w:tc>
          <w:tcPr/>
          <w:p>
            <w:pPr>
              <w:pStyle w:val="Tabla9"/>
              <w:jc w:val="left"/>
            </w:pPr>
            <w:r>
              <w:t xml:space="preserve">Evalúa el costo adicional del piloto frente al riesgo de abandono</w:t>
            </w:r>
          </w:p>
        </w:tc>
        <w:tc>
          <w:tcPr/>
          <w:p>
            <w:pPr>
              <w:pStyle w:val="Tabla9"/>
              <w:jc w:val="left"/>
            </w:pPr>
            <w:r>
              <w:t xml:space="preserve">Valida el formato de alianza sin evidencia de ejecución</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Interdependencia estratégica.</w:t>
      </w:r>
      <w:r>
        <w:t xml:space="preserve"> </w:t>
      </w:r>
      <w:r>
        <w:t xml:space="preserve">Un juego exige jugadores, estrategias y pagos especificados (Scharpf, 1997). El informe F-INF §6.5 modela como juego de bien público la decisión de calibrar y mantener sensores. Esta pieza adopta su estructura por analogía y la aplica a la custodia. Los jugadores son dos entidades territoriales candidatas. Las estrategias son asumir la operación y el mantenimiento (A) o no asumirlos (N).</w:t>
      </w:r>
    </w:p>
    <w:p>
      <w:pPr>
        <w:pStyle w:val="BodyText"/>
      </w:pPr>
      <w:r>
        <w:t xml:space="preserve">La Tabla F4.73 reúne los datos de «Interdependencia estratégica».</w:t>
      </w:r>
    </w:p>
    <w:p>
      <w:pPr>
        <w:pStyle w:val="TablaRotulo"/>
      </w:pPr>
      <w:bookmarkStart w:id="9150" w:name="rot_Tabla_F4_73"/>
      <w:r>
        <w:rPr>
          <w:b/>
          <w:bCs/>
        </w:rPr>
        <w:t xml:space="preserve">Tabla F4.73</w:t>
      </w:r>
      <w:bookmarkEnd w:id="9150"/>
    </w:p>
    <w:p>
      <w:pPr>
        <w:pStyle w:val="TablaTitulo"/>
      </w:pPr>
      <w:r>
        <w:rPr>
          <w:i/>
          <w:iCs/>
        </w:rPr>
        <w:t xml:space="preserve">Interdependencia estratégica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696"/>
        <w:gridCol w:w="2046"/>
        <w:gridCol w:w="2178"/>
      </w:tblGrid>
      <w:tr>
        <w:trPr>
          <w:cantSplit/>
          <w:tblHeader/>
        </w:trPr>
        <w:tc>
          <w:tcPr>
            <w:shd w:val="clear" w:color="auto" w:fill="00B050"/>
          </w:tcPr>
          <w:p>
            <w:pPr>
              <w:pStyle w:val="Tabla9"/>
              <w:jc w:val="center"/>
            </w:pPr>
            <w:r>
              <w:rPr>
                <w:b/>
                <w:color w:val="FFFFFF"/>
              </w:rPr>
              <w:t xml:space="preserve">Pagos ordinales (4 mejor, 1 peor): fila, columna</w:t>
            </w:r>
          </w:p>
        </w:tc>
        <w:tc>
          <w:tcPr>
            <w:shd w:val="clear" w:color="auto" w:fill="00B050"/>
          </w:tcPr>
          <w:p>
            <w:pPr>
              <w:pStyle w:val="Tabla9"/>
              <w:jc w:val="center"/>
            </w:pPr>
            <w:r>
              <w:rPr>
                <w:b/>
                <w:color w:val="FFFFFF"/>
              </w:rPr>
              <w:t xml:space="preserve">Columna asume (A)</w:t>
            </w:r>
          </w:p>
        </w:tc>
        <w:tc>
          <w:tcPr>
            <w:shd w:val="clear" w:color="auto" w:fill="00B050"/>
          </w:tcPr>
          <w:p>
            <w:pPr>
              <w:pStyle w:val="Tabla9"/>
              <w:jc w:val="center"/>
            </w:pPr>
            <w:r>
              <w:rPr>
                <w:b/>
                <w:color w:val="FFFFFF"/>
              </w:rPr>
              <w:t xml:space="preserve">Columna no asume (N)</w:t>
            </w:r>
          </w:p>
        </w:tc>
      </w:tr>
      <w:tr>
        <w:trPr>
          <w:cantSplit/>
        </w:trPr>
        <w:tc>
          <w:tcPr/>
          <w:p>
            <w:pPr>
              <w:pStyle w:val="Tabla9"/>
              <w:jc w:val="left"/>
            </w:pPr>
            <w:r>
              <w:t xml:space="preserve">Fila asume (A)</w:t>
            </w:r>
          </w:p>
        </w:tc>
        <w:tc>
          <w:tcPr/>
          <w:p>
            <w:pPr>
              <w:pStyle w:val="Tabla9"/>
              <w:jc w:val="left"/>
            </w:pPr>
            <w:r>
              <w:t xml:space="preserve">(3, 3)</w:t>
            </w:r>
          </w:p>
        </w:tc>
        <w:tc>
          <w:tcPr/>
          <w:p>
            <w:pPr>
              <w:pStyle w:val="Tabla9"/>
              <w:jc w:val="left"/>
            </w:pPr>
            <w:r>
              <w:t xml:space="preserve">(1, 4)</w:t>
            </w:r>
          </w:p>
        </w:tc>
      </w:tr>
      <w:tr>
        <w:trPr>
          <w:cantSplit/>
        </w:trPr>
        <w:tc>
          <w:tcPr/>
          <w:p>
            <w:pPr>
              <w:pStyle w:val="Tabla9"/>
              <w:jc w:val="left"/>
            </w:pPr>
            <w:r>
              <w:t xml:space="preserve">Fila no asume (N)</w:t>
            </w:r>
          </w:p>
        </w:tc>
        <w:tc>
          <w:tcPr/>
          <w:p>
            <w:pPr>
              <w:pStyle w:val="Tabla9"/>
              <w:jc w:val="left"/>
            </w:pPr>
            <w:r>
              <w:t xml:space="preserve">(4, 1)</w:t>
            </w:r>
          </w:p>
        </w:tc>
        <w:tc>
          <w:tcPr/>
          <w:p>
            <w:pPr>
              <w:pStyle w:val="Tabla9"/>
              <w:jc w:val="left"/>
            </w:pPr>
            <w:r>
              <w:t xml:space="preserve">(2, 2)</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equilibrio de Nash es (N, N): ninguna entidad asume la operación. Ese resultado es peor para ambas que (A, A). Supuestos declarados: pagos ordinales tomados de F-INF §6.5, juego de una sola ronda, información completa y sin transferencias. Naturaleza: INFERIDO. Verificación: NO_VERIFICADO.</w:t>
      </w:r>
    </w:p>
    <w:p>
      <w:pPr>
        <w:pStyle w:val="BodyText"/>
      </w:pPr>
      <w:r>
        <w:rPr>
          <w:b/>
          <w:bCs/>
        </w:rPr>
        <w:t xml:space="preserve">Implicación de diseño.</w:t>
      </w:r>
      <w:r>
        <w:t xml:space="preserve"> </w:t>
      </w:r>
      <w:r>
        <w:t xml:space="preserve">Una regla que condiciona cada tramo de transferencia a la capacidad demostrada cambia los pagos de N. Ese es el mecanismo de R4. R3 deja intacto el equilibrio (N, N) y por eso depende de un compromiso externo.</w:t>
      </w:r>
    </w:p>
    <w:p>
      <w:pPr>
        <w:pStyle w:val="BodyText"/>
      </w:pPr>
      <w:r>
        <w:rPr>
          <w:b/>
          <w:bCs/>
        </w:rPr>
        <w:t xml:space="preserve">Red de actores.</w:t>
      </w:r>
      <w:r>
        <w:t xml:space="preserve"> </w:t>
      </w:r>
      <w:r>
        <w:t xml:space="preserve">No existen datos relacionales con fuente. No se infiere centralidad por percepción.</w:t>
      </w:r>
    </w:p>
    <w:p>
      <w:pPr>
        <w:pStyle w:val="BodyText"/>
      </w:pPr>
      <w:r>
        <w:rPr>
          <w:b/>
          <w:bCs/>
        </w:rPr>
        <w:t xml:space="preserve">Vacíos de actores.</w:t>
      </w:r>
    </w:p>
    <w:p>
      <w:pPr>
        <w:pStyle w:val="Compact"/>
        <w:numPr>
          <w:ilvl w:val="0"/>
          <w:numId w:val="1009"/>
        </w:numPr>
      </w:pPr>
      <w:r>
        <w:t xml:space="preserve">Compromisos escritos de alcaldías, gobernaciones y aliados: VACIO. Tenedor: equipo formulador.</w:t>
      </w:r>
    </w:p>
    <w:p>
      <w:pPr>
        <w:pStyle w:val="Compact"/>
        <w:numPr>
          <w:ilvl w:val="0"/>
          <w:numId w:val="1009"/>
        </w:numPr>
      </w:pPr>
      <w:r>
        <w:t xml:space="preserve">Evaluación de poder, legitimidad y urgencia con evidencia: VACIO.</w:t>
      </w:r>
    </w:p>
    <w:p>
      <w:pPr>
        <w:pStyle w:val="Compact"/>
        <w:numPr>
          <w:ilvl w:val="0"/>
          <w:numId w:val="1009"/>
        </w:numPr>
      </w:pPr>
      <w:r>
        <w:t xml:space="preserve">Participación de operarios y comunidades en la definición de umbrales: VACIO.</w:t>
      </w:r>
    </w:p>
    <w:bookmarkEnd w:id="202"/>
    <w:bookmarkStart w:id="203" w:name="_Toc00900080"/>
    <w:p>
      <w:pPr>
        <w:pStyle w:val="Heading3"/>
      </w:pPr>
      <w:r>
        <w:t xml:space="preserve">F4.4-MDR.6 Encuadre y modelo decisional</w:t>
      </w:r>
    </w:p>
    <w:p>
      <w:pPr>
        <w:pStyle w:val="FirstParagraph"/>
      </w:pPr>
      <w:r>
        <w:t xml:space="preserve">Esta pieza elige el procedimiento de decisión que corresponde al entendimiento, al conflicto y al cambio requeridos. Puntúa los cuatro ejes con evidencia antes de mirar los modelos.</w:t>
      </w:r>
    </w:p>
    <w:p>
      <w:pPr>
        <w:pStyle w:val="BodyText"/>
      </w:pPr>
      <w:r>
        <w:rPr>
          <w:b/>
          <w:bCs/>
        </w:rPr>
        <w:t xml:space="preserve">Ejes del encuadre.</w:t>
      </w:r>
    </w:p>
    <w:p>
      <w:pPr>
        <w:pStyle w:val="BodyText"/>
      </w:pPr>
      <w:r>
        <w:t xml:space="preserve">La Tabla F4.74 reúne los datos de «Ejes del encuadre».</w:t>
      </w:r>
    </w:p>
    <w:p>
      <w:pPr>
        <w:pStyle w:val="TablaRotulo"/>
      </w:pPr>
      <w:bookmarkStart w:id="9151" w:name="rot_Tabla_F4_74"/>
      <w:r>
        <w:rPr>
          <w:b/>
          <w:bCs/>
        </w:rPr>
        <w:t xml:space="preserve">Tabla F4.74</w:t>
      </w:r>
      <w:bookmarkEnd w:id="9151"/>
    </w:p>
    <w:p>
      <w:pPr>
        <w:pStyle w:val="TablaTitulo"/>
      </w:pPr>
      <w:r>
        <w:rPr>
          <w:i/>
          <w:iCs/>
        </w:rPr>
        <w:t xml:space="preserve">Ejes del encuadre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84"/>
        <w:gridCol w:w="3366"/>
        <w:gridCol w:w="1650"/>
        <w:gridCol w:w="1320"/>
      </w:tblGrid>
      <w:tr>
        <w:trPr>
          <w:cantSplit/>
          <w:tblHeader/>
        </w:trPr>
        <w:tc>
          <w:tcPr>
            <w:shd w:val="clear" w:color="auto" w:fill="00B050"/>
          </w:tcPr>
          <w:p>
            <w:pPr>
              <w:pStyle w:val="Tabla9"/>
              <w:jc w:val="center"/>
            </w:pPr>
            <w:r>
              <w:rPr>
                <w:b/>
                <w:color w:val="FFFFFF"/>
              </w:rPr>
              <w:t xml:space="preserve">Eje</w:t>
            </w:r>
          </w:p>
        </w:tc>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Evidencia y derivación</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Entendimiento causal</w:t>
            </w:r>
          </w:p>
        </w:tc>
        <w:tc>
          <w:tcPr/>
          <w:p>
            <w:pPr>
              <w:pStyle w:val="Tabla9"/>
              <w:jc w:val="left"/>
            </w:pPr>
            <w:r>
              <w:t xml:space="preserve">MEDIO en la medición; BAJO en la adopción y la custodia; BAJO en la decisión integrada</w:t>
            </w:r>
          </w:p>
        </w:tc>
        <w:tc>
          <w:tcPr/>
          <w:p>
            <w:pPr>
              <w:pStyle w:val="Tabla9"/>
              <w:jc w:val="left"/>
            </w:pPr>
            <w:r>
              <w:t xml:space="preserve">La condición C4 no se cumple. El estimando E1 es identificable solo por diseño prospectivo y E2 no es identificable (4.3). Todas las relaciones de 4.4 son hipótesis de influencia.</w:t>
            </w:r>
          </w:p>
        </w:tc>
        <w:tc>
          <w:tcPr/>
          <w:p>
            <w:pPr>
              <w:pStyle w:val="Tabla9"/>
              <w:jc w:val="left"/>
            </w:pPr>
            <w:r>
              <w:t xml:space="preserve">INFERIDO</w:t>
            </w:r>
          </w:p>
        </w:tc>
      </w:tr>
      <w:tr>
        <w:trPr>
          <w:cantSplit/>
        </w:trPr>
        <w:tc>
          <w:tcPr/>
          <w:p>
            <w:pPr>
              <w:pStyle w:val="Tabla9"/>
              <w:jc w:val="left"/>
            </w:pPr>
            <w:r>
              <w:t xml:space="preserve">Magnitud del cambio</w:t>
            </w:r>
          </w:p>
        </w:tc>
        <w:tc>
          <w:tcPr/>
          <w:p>
            <w:pPr>
              <w:pStyle w:val="Tabla9"/>
              <w:jc w:val="left"/>
            </w:pPr>
            <w:r>
              <w:t xml:space="preserve">INCREMENTAL en la medición; ESTRUCTURAL en la custodia</w:t>
            </w:r>
          </w:p>
        </w:tc>
        <w:tc>
          <w:tcPr/>
          <w:p>
            <w:pPr>
              <w:pStyle w:val="Tabla9"/>
              <w:jc w:val="left"/>
            </w:pPr>
            <w:r>
              <w:t xml:space="preserve">La medición mejora un método existente. La custodia cambia quién opera y quién financia. Se deriva de la decisión requerida.</w:t>
            </w:r>
          </w:p>
        </w:tc>
        <w:tc>
          <w:tcPr/>
          <w:p>
            <w:pPr>
              <w:pStyle w:val="Tabla9"/>
              <w:jc w:val="left"/>
            </w:pPr>
            <w:r>
              <w:t xml:space="preserve">INFERIDO</w:t>
            </w:r>
          </w:p>
        </w:tc>
      </w:tr>
      <w:tr>
        <w:trPr>
          <w:cantSplit/>
        </w:trPr>
        <w:tc>
          <w:tcPr/>
          <w:p>
            <w:pPr>
              <w:pStyle w:val="Tabla9"/>
              <w:jc w:val="left"/>
            </w:pPr>
            <w:r>
              <w:t xml:space="preserve">Acuerdo sobre metas</w:t>
            </w:r>
          </w:p>
        </w:tc>
        <w:tc>
          <w:tcPr/>
          <w:p>
            <w:pPr>
              <w:pStyle w:val="Tabla9"/>
              <w:jc w:val="left"/>
            </w:pPr>
            <w:r>
              <w:t xml:space="preserve">MEDIO</w:t>
            </w:r>
          </w:p>
        </w:tc>
        <w:tc>
          <w:tcPr/>
          <w:p>
            <w:pPr>
              <w:pStyle w:val="Tabla9"/>
              <w:jc w:val="left"/>
            </w:pPr>
            <w:r>
              <w:t xml:space="preserve">Las metas del error son contradictorias en F-E3. Los valores sobre la alerta divergen (protección inmediata y continuidad de obra).</w:t>
            </w:r>
          </w:p>
        </w:tc>
        <w:tc>
          <w:tcPr/>
          <w:p>
            <w:pPr>
              <w:pStyle w:val="Tabla9"/>
              <w:jc w:val="left"/>
            </w:pPr>
            <w:r>
              <w:t xml:space="preserve">INFERIDO</w:t>
            </w:r>
          </w:p>
        </w:tc>
      </w:tr>
      <w:tr>
        <w:trPr>
          <w:cantSplit/>
        </w:trPr>
        <w:tc>
          <w:tcPr/>
          <w:p>
            <w:pPr>
              <w:pStyle w:val="Tabla9"/>
              <w:jc w:val="left"/>
            </w:pPr>
            <w:r>
              <w:t xml:space="preserve">Reversibilidad</w:t>
            </w:r>
          </w:p>
        </w:tc>
        <w:tc>
          <w:tcPr/>
          <w:p>
            <w:pPr>
              <w:pStyle w:val="Tabla9"/>
              <w:jc w:val="left"/>
            </w:pPr>
            <w:r>
              <w:t xml:space="preserve">PARCIALMENTE_REVERSIBLE</w:t>
            </w:r>
          </w:p>
        </w:tc>
        <w:tc>
          <w:tcPr/>
          <w:p>
            <w:pPr>
              <w:pStyle w:val="Tabla9"/>
              <w:jc w:val="left"/>
            </w:pPr>
            <w:r>
              <w:t xml:space="preserve">Los nodos y los datos se reutilizan con la cláusula de apertura. Los contratos de nube y los compromisos territoriales son difíciles de revertir.</w:t>
            </w:r>
          </w:p>
        </w:tc>
        <w:tc>
          <w:tcPr/>
          <w:p>
            <w:pPr>
              <w:pStyle w:val="Tabla9"/>
              <w:jc w:val="left"/>
            </w:pPr>
            <w:r>
              <w:t xml:space="preserve">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Matriz de Braybrooke y Lindblom (1963) y contraste con el dominio.</w:t>
      </w:r>
    </w:p>
    <w:p>
      <w:pPr>
        <w:pStyle w:val="BodyText"/>
      </w:pPr>
      <w:r>
        <w:t xml:space="preserve">La Tabla F4.75 reúne los datos de «Matriz de Braybrooke y Lindblom (1963) y contraste con el dominio».</w:t>
      </w:r>
    </w:p>
    <w:p>
      <w:pPr>
        <w:pStyle w:val="TablaRotulo"/>
      </w:pPr>
      <w:bookmarkStart w:id="9152" w:name="rot_Tabla_F4_75"/>
      <w:r>
        <w:rPr>
          <w:b/>
          <w:bCs/>
        </w:rPr>
        <w:t xml:space="preserve">Tabla F4.75</w:t>
      </w:r>
      <w:bookmarkEnd w:id="9152"/>
    </w:p>
    <w:p>
      <w:pPr>
        <w:pStyle w:val="TablaTitulo"/>
      </w:pPr>
      <w:r>
        <w:rPr>
          <w:i/>
          <w:iCs/>
        </w:rPr>
        <w:t xml:space="preserve">Matriz de Braybrooke y Lindblom (1963) y contraste con el dominio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20"/>
        <w:gridCol w:w="1650"/>
        <w:gridCol w:w="1386"/>
        <w:gridCol w:w="1518"/>
        <w:gridCol w:w="1056"/>
        <w:gridCol w:w="990"/>
      </w:tblGrid>
      <w:tr>
        <w:trPr>
          <w:cantSplit/>
          <w:tblHeader/>
        </w:trPr>
        <w:tc>
          <w:tcPr>
            <w:shd w:val="clear" w:color="auto" w:fill="00B050"/>
          </w:tcPr>
          <w:p>
            <w:pPr>
              <w:pStyle w:val="Tabla9"/>
              <w:jc w:val="center"/>
            </w:pPr>
            <w:r>
              <w:rPr>
                <w:b/>
                <w:color w:val="FFFFFF"/>
              </w:rPr>
              <w:t xml:space="preserve">Parte</w:t>
            </w:r>
          </w:p>
        </w:tc>
        <w:tc>
          <w:tcPr>
            <w:shd w:val="clear" w:color="auto" w:fill="00B050"/>
          </w:tcPr>
          <w:p>
            <w:pPr>
              <w:pStyle w:val="Tabla9"/>
              <w:jc w:val="center"/>
            </w:pPr>
            <w:r>
              <w:rPr>
                <w:b/>
                <w:color w:val="FFFFFF"/>
              </w:rPr>
              <w:t xml:space="preserve">Entendimiento × magnitud</w:t>
            </w:r>
          </w:p>
        </w:tc>
        <w:tc>
          <w:tcPr>
            <w:shd w:val="clear" w:color="auto" w:fill="00B050"/>
          </w:tcPr>
          <w:p>
            <w:pPr>
              <w:pStyle w:val="Tabla9"/>
              <w:jc w:val="center"/>
            </w:pPr>
            <w:r>
              <w:rPr>
                <w:b/>
                <w:color w:val="FFFFFF"/>
              </w:rPr>
              <w:t xml:space="preserve">Cuadrante</w:t>
            </w:r>
          </w:p>
        </w:tc>
        <w:tc>
          <w:tcPr>
            <w:shd w:val="clear" w:color="auto" w:fill="00B050"/>
          </w:tcPr>
          <w:p>
            <w:pPr>
              <w:pStyle w:val="Tabla9"/>
              <w:jc w:val="center"/>
            </w:pPr>
            <w:r>
              <w:rPr>
                <w:b/>
                <w:color w:val="FFFFFF"/>
              </w:rPr>
              <w:t xml:space="preserve">Dominio causal</w:t>
            </w:r>
          </w:p>
        </w:tc>
        <w:tc>
          <w:tcPr>
            <w:shd w:val="clear" w:color="auto" w:fill="00B050"/>
          </w:tcPr>
          <w:p>
            <w:pPr>
              <w:pStyle w:val="Tabla9"/>
              <w:jc w:val="center"/>
            </w:pPr>
            <w:r>
              <w:rPr>
                <w:b/>
                <w:color w:val="FFFFFF"/>
              </w:rPr>
              <w:t xml:space="preserve">Cuadrantes esperados</w:t>
            </w:r>
          </w:p>
        </w:tc>
        <w:tc>
          <w:tcPr>
            <w:shd w:val="clear" w:color="auto" w:fill="00B050"/>
          </w:tcPr>
          <w:p>
            <w:pPr>
              <w:pStyle w:val="Tabla9"/>
              <w:jc w:val="center"/>
            </w:pPr>
            <w:r>
              <w:rPr>
                <w:b/>
                <w:color w:val="FFFFFF"/>
              </w:rPr>
              <w:t xml:space="preserve">Resultado</w:t>
            </w:r>
          </w:p>
        </w:tc>
      </w:tr>
      <w:tr>
        <w:trPr>
          <w:cantSplit/>
        </w:trPr>
        <w:tc>
          <w:tcPr/>
          <w:p>
            <w:pPr>
              <w:pStyle w:val="Tabla9"/>
              <w:jc w:val="left"/>
            </w:pPr>
            <w:r>
              <w:t xml:space="preserve">Medición con corrección local</w:t>
            </w:r>
          </w:p>
        </w:tc>
        <w:tc>
          <w:tcPr/>
          <w:p>
            <w:pPr>
              <w:pStyle w:val="Tabla9"/>
              <w:jc w:val="left"/>
            </w:pPr>
            <w:r>
              <w:t xml:space="preserve">MEDIO × INCREMENTAL</w:t>
            </w:r>
          </w:p>
        </w:tc>
        <w:tc>
          <w:tcPr/>
          <w:p>
            <w:pPr>
              <w:pStyle w:val="Tabla9"/>
              <w:jc w:val="left"/>
            </w:pPr>
            <w:r>
              <w:t xml:space="preserve">Frontera entre Q1 y Q3: se examinan ambos</w:t>
            </w:r>
          </w:p>
        </w:tc>
        <w:tc>
          <w:tcPr/>
          <w:p>
            <w:pPr>
              <w:pStyle w:val="Tabla9"/>
              <w:jc w:val="left"/>
            </w:pPr>
            <w:r>
              <w:t xml:space="preserve">COMPLICADO</w:t>
            </w:r>
          </w:p>
        </w:tc>
        <w:tc>
          <w:tcPr/>
          <w:p>
            <w:pPr>
              <w:pStyle w:val="Tabla9"/>
              <w:jc w:val="left"/>
            </w:pPr>
            <w:r>
              <w:t xml:space="preserve">Q1 o Q2</w:t>
            </w:r>
          </w:p>
        </w:tc>
        <w:tc>
          <w:tcPr/>
          <w:p>
            <w:pPr>
              <w:pStyle w:val="Tabla9"/>
              <w:jc w:val="left"/>
            </w:pPr>
            <w:r>
              <w:t xml:space="preserve">Coherente con Q1</w:t>
            </w:r>
          </w:p>
        </w:tc>
      </w:tr>
      <w:tr>
        <w:trPr>
          <w:cantSplit/>
        </w:trPr>
        <w:tc>
          <w:tcPr/>
          <w:p>
            <w:pPr>
              <w:pStyle w:val="Tabla9"/>
              <w:jc w:val="left"/>
            </w:pPr>
            <w:r>
              <w:t xml:space="preserve">Adopción institucional y custodia</w:t>
            </w:r>
          </w:p>
        </w:tc>
        <w:tc>
          <w:tcPr/>
          <w:p>
            <w:pPr>
              <w:pStyle w:val="Tabla9"/>
              <w:jc w:val="left"/>
            </w:pPr>
            <w:r>
              <w:t xml:space="preserve">BAJO × ESTRUCTURAL</w:t>
            </w:r>
          </w:p>
        </w:tc>
        <w:tc>
          <w:tcPr/>
          <w:p>
            <w:pPr>
              <w:pStyle w:val="Tabla9"/>
              <w:jc w:val="left"/>
            </w:pPr>
            <w:r>
              <w:t xml:space="preserve">Q4: exploración, protección de la reversibilidad y aprendizaje</w:t>
            </w:r>
          </w:p>
        </w:tc>
        <w:tc>
          <w:tcPr/>
          <w:p>
            <w:pPr>
              <w:pStyle w:val="Tabla9"/>
              <w:jc w:val="left"/>
            </w:pPr>
            <w:r>
              <w:t xml:space="preserve">COMPLEJO</w:t>
            </w:r>
          </w:p>
        </w:tc>
        <w:tc>
          <w:tcPr/>
          <w:p>
            <w:pPr>
              <w:pStyle w:val="Tabla9"/>
              <w:jc w:val="left"/>
            </w:pPr>
            <w:r>
              <w:t xml:space="preserve">Q3 o Q4</w:t>
            </w:r>
          </w:p>
        </w:tc>
        <w:tc>
          <w:tcPr/>
          <w:p>
            <w:pPr>
              <w:pStyle w:val="Tabla9"/>
              <w:jc w:val="left"/>
            </w:pPr>
            <w:r>
              <w:t xml:space="preserve">Coherente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existe discrepancia entre cuadrante y dominio. Por eso no se reabre la clasificación del dominio ni el eje de entendimiento.</w:t>
      </w:r>
    </w:p>
    <w:p>
      <w:pPr>
        <w:pStyle w:val="BodyText"/>
      </w:pPr>
      <w:r>
        <w:rPr>
          <w:b/>
          <w:bCs/>
        </w:rPr>
        <w:t xml:space="preserve">Matriz de Thompson y Tuden (1959), como contraste.</w:t>
      </w:r>
      <w:r>
        <w:t xml:space="preserve"> </w:t>
      </w:r>
      <w:r>
        <w:t xml:space="preserve">Acuerdo MEDIO y entendimiento BAJO ubican la decisión integrada en la frontera entre T3 (negociación y compromiso) y T4 (recomposición del problema). La frontera respalda tratar la custodia como una negociación con condiciones, no como una asignación unilateral.</w:t>
      </w:r>
    </w:p>
    <w:p>
      <w:pPr>
        <w:pStyle w:val="BodyText"/>
      </w:pPr>
      <w:r>
        <w:rPr>
          <w:b/>
          <w:bCs/>
        </w:rPr>
        <w:t xml:space="preserve">Modelos compatibles.</w:t>
      </w:r>
    </w:p>
    <w:p>
      <w:pPr>
        <w:pStyle w:val="BodyText"/>
      </w:pPr>
      <w:r>
        <w:t xml:space="preserve">La Tabla F4.76 reúne los datos de «Modelos compatibles».</w:t>
      </w:r>
    </w:p>
    <w:p>
      <w:pPr>
        <w:pStyle w:val="TablaRotulo"/>
      </w:pPr>
      <w:bookmarkStart w:id="9153" w:name="rot_Tabla_F4_76"/>
      <w:r>
        <w:rPr>
          <w:b/>
          <w:bCs/>
        </w:rPr>
        <w:t xml:space="preserve">Tabla F4.76</w:t>
      </w:r>
      <w:bookmarkEnd w:id="9153"/>
    </w:p>
    <w:p>
      <w:pPr>
        <w:pStyle w:val="TablaTitulo"/>
      </w:pPr>
      <w:r>
        <w:rPr>
          <w:i/>
          <w:iCs/>
        </w:rPr>
        <w:t xml:space="preserve">Modelos compatibles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18"/>
        <w:gridCol w:w="2552"/>
        <w:gridCol w:w="2749"/>
      </w:tblGrid>
      <w:tr>
        <w:trPr>
          <w:cantSplit/>
          <w:tblHeader/>
        </w:trPr>
        <w:tc>
          <w:tcPr>
            <w:shd w:val="clear" w:color="auto" w:fill="00B050"/>
          </w:tcPr>
          <w:p>
            <w:pPr>
              <w:pStyle w:val="Tabla9"/>
              <w:jc w:val="center"/>
            </w:pPr>
            <w:r>
              <w:rPr>
                <w:b/>
                <w:color w:val="FFFFFF"/>
              </w:rPr>
              <w:t xml:space="preserve">Modelo</w:t>
            </w:r>
          </w:p>
        </w:tc>
        <w:tc>
          <w:tcPr>
            <w:shd w:val="clear" w:color="auto" w:fill="00B050"/>
          </w:tcPr>
          <w:p>
            <w:pPr>
              <w:pStyle w:val="Tabla9"/>
              <w:jc w:val="center"/>
            </w:pPr>
            <w:r>
              <w:rPr>
                <w:b/>
                <w:color w:val="FFFFFF"/>
              </w:rPr>
              <w:t xml:space="preserve">Condiciones</w:t>
            </w:r>
          </w:p>
        </w:tc>
        <w:tc>
          <w:tcPr>
            <w:shd w:val="clear" w:color="auto" w:fill="00B050"/>
          </w:tcPr>
          <w:p>
            <w:pPr>
              <w:pStyle w:val="Tabla9"/>
              <w:jc w:val="center"/>
            </w:pPr>
            <w:r>
              <w:rPr>
                <w:b/>
                <w:color w:val="FFFFFF"/>
              </w:rPr>
              <w:t xml:space="preserve">Evaluación con evidencia</w:t>
            </w:r>
          </w:p>
        </w:tc>
      </w:tr>
      <w:tr>
        <w:trPr>
          <w:cantSplit/>
        </w:trPr>
        <w:tc>
          <w:tcPr/>
          <w:p>
            <w:pPr>
              <w:pStyle w:val="Tabla9"/>
              <w:jc w:val="left"/>
            </w:pPr>
            <w:r>
              <w:t xml:space="preserve">Racionalidad sinóptica</w:t>
            </w:r>
          </w:p>
        </w:tc>
        <w:tc>
          <w:tcPr/>
          <w:p>
            <w:pPr>
              <w:pStyle w:val="Tabla9"/>
              <w:jc w:val="left"/>
            </w:pPr>
            <w:r>
              <w:t xml:space="preserve">Metas acordadas, alternativas enumerables, consecuencias estimables con datos y tiempo suficiente</w:t>
            </w:r>
          </w:p>
        </w:tc>
        <w:tc>
          <w:tcPr/>
          <w:p>
            <w:pPr>
              <w:pStyle w:val="Tabla9"/>
              <w:jc w:val="left"/>
            </w:pPr>
            <w:r>
              <w:t xml:space="preserve">No se cumple. Las consecuencias no son estimables con datos. F-E3 usó una suma ponderada con pesos SUPUESTO; se conserva como dato.</w:t>
            </w:r>
          </w:p>
        </w:tc>
      </w:tr>
      <w:tr>
        <w:trPr>
          <w:cantSplit/>
        </w:trPr>
        <w:tc>
          <w:tcPr/>
          <w:p>
            <w:pPr>
              <w:pStyle w:val="Tabla9"/>
              <w:jc w:val="left"/>
            </w:pPr>
            <w:r>
              <w:t xml:space="preserve">Racionalidad limitada y satisfacción (Simon, 1955)</w:t>
            </w:r>
          </w:p>
        </w:tc>
        <w:tc>
          <w:tcPr/>
          <w:p>
            <w:pPr>
              <w:pStyle w:val="Tabla9"/>
              <w:jc w:val="left"/>
            </w:pPr>
            <w:r>
              <w:t xml:space="preserve">Información limitada y aspiraciones definibles</w:t>
            </w:r>
          </w:p>
        </w:tc>
        <w:tc>
          <w:tcPr/>
          <w:p>
            <w:pPr>
              <w:pStyle w:val="Tabla9"/>
              <w:jc w:val="left"/>
            </w:pPr>
            <w:r>
              <w:t xml:space="preserve">Se cumple con reserva. Las aspiraciones son en gran parte VACIO.</w:t>
            </w:r>
          </w:p>
        </w:tc>
      </w:tr>
      <w:tr>
        <w:trPr>
          <w:cantSplit/>
        </w:trPr>
        <w:tc>
          <w:tcPr/>
          <w:p>
            <w:pPr>
              <w:pStyle w:val="Tabla9"/>
              <w:jc w:val="left"/>
            </w:pPr>
            <w:r>
              <w:t xml:space="preserve">Incrementalismo desarticulado (Lindblom, 1959)</w:t>
            </w:r>
          </w:p>
        </w:tc>
        <w:tc>
          <w:tcPr/>
          <w:p>
            <w:pPr>
              <w:pStyle w:val="Tabla9"/>
              <w:jc w:val="left"/>
            </w:pPr>
            <w:r>
              <w:t xml:space="preserve">Entendimiento bajo y cambio incremental</w:t>
            </w:r>
          </w:p>
        </w:tc>
        <w:tc>
          <w:tcPr/>
          <w:p>
            <w:pPr>
              <w:pStyle w:val="Tabla9"/>
              <w:jc w:val="left"/>
            </w:pPr>
            <w:r>
              <w:t xml:space="preserve">No se cumple: la custodia es un cambio estructural.</w:t>
            </w:r>
          </w:p>
        </w:tc>
      </w:tr>
      <w:tr>
        <w:trPr>
          <w:cantSplit/>
        </w:trPr>
        <w:tc>
          <w:tcPr/>
          <w:p>
            <w:pPr>
              <w:pStyle w:val="Tabla9"/>
              <w:jc w:val="left"/>
            </w:pPr>
            <w:r>
              <w:t xml:space="preserve">Exploración mixta (Etzioni, 1967)</w:t>
            </w:r>
          </w:p>
        </w:tc>
        <w:tc>
          <w:tcPr/>
          <w:p>
            <w:pPr>
              <w:pStyle w:val="Tabla9"/>
              <w:jc w:val="left"/>
            </w:pPr>
            <w:r>
              <w:t xml:space="preserve">Coexisten decisiones fundamentales e incrementales</w:t>
            </w:r>
          </w:p>
        </w:tc>
        <w:tc>
          <w:tcPr/>
          <w:p>
            <w:pPr>
              <w:pStyle w:val="Tabla9"/>
              <w:jc w:val="left"/>
            </w:pPr>
            <w:r>
              <w:t xml:space="preserve">Se cumple. La custodia es fundamental; la calibración y el despliegue de nodos son incrementales.</w:t>
            </w:r>
          </w:p>
        </w:tc>
      </w:tr>
      <w:tr>
        <w:trPr>
          <w:cantSplit/>
        </w:trPr>
        <w:tc>
          <w:tcPr/>
          <w:p>
            <w:pPr>
              <w:pStyle w:val="Tabla9"/>
              <w:jc w:val="left"/>
            </w:pPr>
            <w:r>
              <w:t xml:space="preserve">Óptimo normativo (Dror, 1968)</w:t>
            </w:r>
          </w:p>
        </w:tc>
        <w:tc>
          <w:tcPr/>
          <w:p>
            <w:pPr>
              <w:pStyle w:val="Tabla9"/>
              <w:jc w:val="left"/>
            </w:pPr>
            <w:r>
              <w:t xml:space="preserve">Alto alcance y capacidad de invertir en el proceso</w:t>
            </w:r>
          </w:p>
        </w:tc>
        <w:tc>
          <w:tcPr/>
          <w:p>
            <w:pPr>
              <w:pStyle w:val="Tabla9"/>
              <w:jc w:val="left"/>
            </w:pPr>
            <w:r>
              <w:t xml:space="preserve">No hay evidencia de esa capacidad.</w:t>
            </w:r>
          </w:p>
        </w:tc>
      </w:tr>
      <w:tr>
        <w:trPr>
          <w:cantSplit/>
        </w:trPr>
        <w:tc>
          <w:tcPr/>
          <w:p>
            <w:pPr>
              <w:pStyle w:val="Tabla9"/>
              <w:jc w:val="left"/>
            </w:pPr>
            <w:r>
              <w:t xml:space="preserve">Estructuración participativa (Rosenhead y Mingers, 2001)</w:t>
            </w:r>
          </w:p>
        </w:tc>
        <w:tc>
          <w:tcPr/>
          <w:p>
            <w:pPr>
              <w:pStyle w:val="Tabla9"/>
              <w:jc w:val="left"/>
            </w:pPr>
            <w:r>
              <w:t xml:space="preserve">Acuerdo bajo, varios actores y problema mal estructurado</w:t>
            </w:r>
          </w:p>
        </w:tc>
        <w:tc>
          <w:tcPr/>
          <w:p>
            <w:pPr>
              <w:pStyle w:val="Tabla9"/>
              <w:jc w:val="left"/>
            </w:pPr>
            <w:r>
              <w:t xml:space="preserve">Se cumple solo para la custodia. La clasificación global es parcialmente estructurada.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Modelo seleccionado: exploración mixta.</w:t>
      </w:r>
      <w:r>
        <w:t xml:space="preserve"> </w:t>
      </w:r>
      <w:r>
        <w:t xml:space="preserve">El procedimiento barre las alternativas fundamentales (R0 a R5 y las formas de custodia). Luego examina en detalle las áreas críticas. Las áreas críticas son la medición con contraste (SC-1) y la capacidad de los custodios (SC-4).</w:t>
      </w:r>
    </w:p>
    <w:p>
      <w:pPr>
        <w:pStyle w:val="BodyText"/>
      </w:pPr>
      <w:r>
        <w:rPr>
          <w:b/>
          <w:bCs/>
        </w:rPr>
        <w:t xml:space="preserve">Modelo rival más cercano: racionalidad limitada y satisfacción.</w:t>
      </w:r>
      <w:r>
        <w:t xml:space="preserve"> </w:t>
      </w:r>
      <w:r>
        <w:t xml:space="preserve">Se conserva como regla de parada de los tramos: el proyecto avanza al tramo siguiente solo cuando se cumplen aspiraciones fijadas antes de buscar. No se adopta como modelo principal porque las aspiraciones no están definidas. La estructuración participativa complementa la exploración mixta en la parte de custodia.</w:t>
      </w:r>
    </w:p>
    <w:p>
      <w:pPr>
        <w:pStyle w:val="BodyText"/>
      </w:pPr>
      <w:r>
        <w:rPr>
          <w:b/>
          <w:bCs/>
        </w:rPr>
        <w:t xml:space="preserve">Tensión registrada.</w:t>
      </w:r>
      <w:r>
        <w:t xml:space="preserve"> </w:t>
      </w:r>
      <w:r>
        <w:t xml:space="preserve">El modelo es técnicamente adecuado. La selectividad estratégica (F4.4-MDR.4) lo penaliza, porque retrasa el despliegue visible. El calendario electoral limita además el margen del piloto. La tensión permanece abierta y condiciona la factibilidad de R4.</w:t>
      </w:r>
    </w:p>
    <w:bookmarkEnd w:id="203"/>
    <w:bookmarkStart w:id="204" w:name="X1a7e5e836d289d94723512d5aad73c4cd7f4a6e"/>
    <w:p>
      <w:pPr>
        <w:pStyle w:val="Heading3"/>
      </w:pPr>
      <w:r>
        <w:t xml:space="preserve">F4.4-MDR.7 Alternativas, método, sensibilidad y sesgos</w:t>
      </w:r>
    </w:p>
    <w:p>
      <w:pPr>
        <w:pStyle w:val="FirstParagraph"/>
      </w:pPr>
      <w:r>
        <w:t xml:space="preserve">Esta pieza evalúa las alternativas con los insumos disponibles. No declara ejecutado un método que carece de insumos. No anticipa un ganador. Reutiliza las alternativas del expediente E3 con su procedencia y agrega dos alternativas propuestas en esta corrida.</w:t>
      </w:r>
    </w:p>
    <w:p>
      <w:pPr>
        <w:pStyle w:val="BodyText"/>
      </w:pPr>
      <w:r>
        <w:rPr>
          <w:b/>
          <w:bCs/>
        </w:rPr>
        <w:t xml:space="preserve">Criterios y aspiraciones registrados antes de evaluar (versión 1.0).</w:t>
      </w:r>
      <w:r>
        <w:t xml:space="preserve"> </w:t>
      </w:r>
      <w:r>
        <w:t xml:space="preserve">Los criterios siguientes se registraron antes de la matriz de compensaciones y no se modificaron después. Un criterio añadido luego se rotularía POSTERIOR.</w:t>
      </w:r>
    </w:p>
    <w:p>
      <w:pPr>
        <w:pStyle w:val="BodyText"/>
      </w:pPr>
      <w:r>
        <w:t xml:space="preserve">La Tabla F4.77 reúne los datos de «Criterios y aspiraciones registrados antes de evaluar (versión 1.0)».</w:t>
      </w:r>
    </w:p>
    <w:p>
      <w:pPr>
        <w:pStyle w:val="TablaRotulo"/>
      </w:pPr>
      <w:bookmarkStart w:id="9154" w:name="rot_Tabla_F4_77"/>
      <w:r>
        <w:rPr>
          <w:b/>
          <w:bCs/>
        </w:rPr>
        <w:t xml:space="preserve">Tabla F4.77</w:t>
      </w:r>
      <w:bookmarkEnd w:id="9154"/>
    </w:p>
    <w:p>
      <w:pPr>
        <w:pStyle w:val="TablaTitulo"/>
      </w:pPr>
      <w:r>
        <w:rPr>
          <w:i/>
          <w:iCs/>
        </w:rPr>
        <w:t xml:space="preserve">Criterios y aspiraciones registrados antes de evaluar (versión 1.0)</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24"/>
        <w:gridCol w:w="2640"/>
        <w:gridCol w:w="2442"/>
        <w:gridCol w:w="1914"/>
      </w:tblGrid>
      <w:tr>
        <w:trPr>
          <w:cantSplit/>
          <w:tblHeader/>
        </w:trPr>
        <w:tc>
          <w:tcPr>
            <w:shd w:val="clear" w:color="auto" w:fill="00B050"/>
          </w:tcPr>
          <w:p>
            <w:pPr>
              <w:pStyle w:val="Tabla9"/>
              <w:jc w:val="center"/>
            </w:pPr>
            <w:r>
              <w:rPr>
                <w:b/>
                <w:color w:val="FFFFFF"/>
              </w:rPr>
              <w:t xml:space="preserve">Código</w:t>
            </w:r>
          </w:p>
        </w:tc>
        <w:tc>
          <w:tcPr>
            <w:shd w:val="clear" w:color="auto" w:fill="00B050"/>
          </w:tcPr>
          <w:p>
            <w:pPr>
              <w:pStyle w:val="Tabla9"/>
              <w:jc w:val="center"/>
            </w:pPr>
            <w:r>
              <w:rPr>
                <w:b/>
                <w:color w:val="FFFFFF"/>
              </w:rPr>
              <w:t xml:space="preserve">Criterio</w:t>
            </w:r>
          </w:p>
        </w:tc>
        <w:tc>
          <w:tcPr>
            <w:shd w:val="clear" w:color="auto" w:fill="00B050"/>
          </w:tcPr>
          <w:p>
            <w:pPr>
              <w:pStyle w:val="Tabla9"/>
              <w:jc w:val="center"/>
            </w:pPr>
            <w:r>
              <w:rPr>
                <w:b/>
                <w:color w:val="FFFFFF"/>
              </w:rPr>
              <w:t xml:space="preserve">Nivel de aspiración</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CR-1</w:t>
            </w:r>
          </w:p>
        </w:tc>
        <w:tc>
          <w:tcPr/>
          <w:p>
            <w:pPr>
              <w:pStyle w:val="Tabla9"/>
              <w:jc w:val="left"/>
            </w:pPr>
            <w:r>
              <w:t xml:space="preserve">Verificabilidad de la medición frente a una referencia, con diseño de contraste</w:t>
            </w:r>
          </w:p>
        </w:tc>
        <w:tc>
          <w:tcPr/>
          <w:p>
            <w:pPr>
              <w:pStyle w:val="Tabla9"/>
              <w:jc w:val="left"/>
            </w:pPr>
            <w:r>
              <w:t xml:space="preserve">La meta del error la fija el término de referencia: VACIO. F-E3 propone menos de 30 %, 15 % o menos y menos de 15 %.</w:t>
            </w:r>
          </w:p>
        </w:tc>
        <w:tc>
          <w:tcPr/>
          <w:p>
            <w:pPr>
              <w:pStyle w:val="Tabla9"/>
              <w:jc w:val="left"/>
            </w:pPr>
            <w:r>
              <w:t xml:space="preserve">PROPUESTO</w:t>
            </w:r>
          </w:p>
        </w:tc>
      </w:tr>
      <w:tr>
        <w:trPr>
          <w:cantSplit/>
        </w:trPr>
        <w:tc>
          <w:tcPr/>
          <w:p>
            <w:pPr>
              <w:pStyle w:val="Tabla9"/>
              <w:jc w:val="left"/>
            </w:pPr>
            <w:r>
              <w:t xml:space="preserve">CR-2</w:t>
            </w:r>
          </w:p>
        </w:tc>
        <w:tc>
          <w:tcPr/>
          <w:p>
            <w:pPr>
              <w:pStyle w:val="Tabla9"/>
              <w:jc w:val="left"/>
            </w:pPr>
            <w:r>
              <w:t xml:space="preserve">Operación sin infraestructura pública estable</w:t>
            </w:r>
          </w:p>
        </w:tc>
        <w:tc>
          <w:tcPr/>
          <w:p>
            <w:pPr>
              <w:pStyle w:val="Tabla9"/>
              <w:jc w:val="left"/>
            </w:pPr>
            <w:r>
              <w:t xml:space="preserve">Disponibilidad de nodos mayor o igual que un umbral por fijar: VACIO. F-E3 cita 90 % y 95 % de tiempo de silencio del nodo, sin fuente.</w:t>
            </w:r>
          </w:p>
        </w:tc>
        <w:tc>
          <w:tcPr/>
          <w:p>
            <w:pPr>
              <w:pStyle w:val="Tabla9"/>
              <w:jc w:val="left"/>
            </w:pPr>
            <w:r>
              <w:t xml:space="preserve">PROPUESTO</w:t>
            </w:r>
          </w:p>
        </w:tc>
      </w:tr>
      <w:tr>
        <w:trPr>
          <w:cantSplit/>
        </w:trPr>
        <w:tc>
          <w:tcPr/>
          <w:p>
            <w:pPr>
              <w:pStyle w:val="Tabla9"/>
              <w:jc w:val="left"/>
            </w:pPr>
            <w:r>
              <w:t xml:space="preserve">CR-3</w:t>
            </w:r>
          </w:p>
        </w:tc>
        <w:tc>
          <w:tcPr/>
          <w:p>
            <w:pPr>
              <w:pStyle w:val="Tabla9"/>
              <w:jc w:val="left"/>
            </w:pPr>
            <w:r>
              <w:t xml:space="preserve">Continuidad sin receptor público único</w:t>
            </w:r>
          </w:p>
        </w:tc>
        <w:tc>
          <w:tcPr/>
          <w:p>
            <w:pPr>
              <w:pStyle w:val="Tabla9"/>
              <w:jc w:val="left"/>
            </w:pPr>
            <w:r>
              <w:t xml:space="preserve">Máxima participación de una fuente de 50 % o menos e índice HHI de 0,40 o menos; prueba de orfandad superada</w:t>
            </w:r>
          </w:p>
        </w:tc>
        <w:tc>
          <w:tcPr/>
          <w:p>
            <w:pPr>
              <w:pStyle w:val="Tabla9"/>
              <w:jc w:val="left"/>
            </w:pPr>
            <w:r>
              <w:t xml:space="preserve">PROPUESTO (convenciones locales)</w:t>
            </w:r>
          </w:p>
        </w:tc>
      </w:tr>
      <w:tr>
        <w:trPr>
          <w:cantSplit/>
        </w:trPr>
        <w:tc>
          <w:tcPr/>
          <w:p>
            <w:pPr>
              <w:pStyle w:val="Tabla9"/>
              <w:jc w:val="left"/>
            </w:pPr>
            <w:r>
              <w:t xml:space="preserve">CR-4</w:t>
            </w:r>
          </w:p>
        </w:tc>
        <w:tc>
          <w:tcPr/>
          <w:p>
            <w:pPr>
              <w:pStyle w:val="Tabla9"/>
              <w:jc w:val="left"/>
            </w:pPr>
            <w:r>
              <w:t xml:space="preserve">Corregibilidad: costo de reversión y tiempo de detección del error</w:t>
            </w:r>
          </w:p>
        </w:tc>
        <w:tc>
          <w:tcPr/>
          <w:p>
            <w:pPr>
              <w:pStyle w:val="Tabla9"/>
              <w:jc w:val="left"/>
            </w:pPr>
            <w:r>
              <w:t xml:space="preserve">Decisión de continuar o detener en el Hito 2 con evidencia</w:t>
            </w:r>
          </w:p>
        </w:tc>
        <w:tc>
          <w:tcPr/>
          <w:p>
            <w:pPr>
              <w:pStyle w:val="Tabla9"/>
              <w:jc w:val="left"/>
            </w:pPr>
            <w:r>
              <w:t xml:space="preserve">PROPUESTO</w:t>
            </w:r>
          </w:p>
        </w:tc>
      </w:tr>
      <w:tr>
        <w:trPr>
          <w:cantSplit/>
        </w:trPr>
        <w:tc>
          <w:tcPr/>
          <w:p>
            <w:pPr>
              <w:pStyle w:val="Tabla9"/>
              <w:jc w:val="left"/>
            </w:pPr>
            <w:r>
              <w:t xml:space="preserve">CR-5</w:t>
            </w:r>
          </w:p>
        </w:tc>
        <w:tc>
          <w:tcPr/>
          <w:p>
            <w:pPr>
              <w:pStyle w:val="Tabla9"/>
              <w:jc w:val="left"/>
            </w:pPr>
            <w:r>
              <w:t xml:space="preserve">Compatibilidad con la convocatoria: tope, elegibilidad y madurez</w:t>
            </w:r>
          </w:p>
        </w:tc>
        <w:tc>
          <w:tcPr/>
          <w:p>
            <w:pPr>
              <w:pStyle w:val="Tabla9"/>
              <w:jc w:val="left"/>
            </w:pPr>
            <w:r>
              <w:t xml:space="preserve">Términos de referencia: VACIO</w:t>
            </w:r>
          </w:p>
        </w:tc>
        <w:tc>
          <w:tcPr/>
          <w:p>
            <w:pPr>
              <w:pStyle w:val="Tabla9"/>
              <w:jc w:val="left"/>
            </w:pPr>
            <w:r>
              <w:t xml:space="preserve">VACIO</w:t>
            </w:r>
          </w:p>
        </w:tc>
      </w:tr>
      <w:tr>
        <w:trPr>
          <w:cantSplit/>
        </w:trPr>
        <w:tc>
          <w:tcPr/>
          <w:p>
            <w:pPr>
              <w:pStyle w:val="Tabla9"/>
              <w:jc w:val="left"/>
            </w:pPr>
            <w:r>
              <w:t xml:space="preserve">CR-6</w:t>
            </w:r>
          </w:p>
        </w:tc>
        <w:tc>
          <w:tcPr/>
          <w:p>
            <w:pPr>
              <w:pStyle w:val="Tabla9"/>
              <w:jc w:val="left"/>
            </w:pPr>
            <w:r>
              <w:t xml:space="preserve">Identificabilidad del efecto técnico</w:t>
            </w:r>
          </w:p>
        </w:tc>
        <w:tc>
          <w:tcPr/>
          <w:p>
            <w:pPr>
              <w:pStyle w:val="Tabla9"/>
              <w:jc w:val="left"/>
            </w:pPr>
            <w:r>
              <w:t xml:space="preserve">Sorteo semanal ejecutado y registrado (4.3)</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criterios C1 a C4 de F-E3 (E3-P14) se conservan como dato con su estado original. Sus pesos (0,40; 0,30; 0,15 y 0,15) son SUPUESTO y las utilidades carecen de evidencia. No se reutilizan como pesos de esta corrida.</w:t>
      </w:r>
    </w:p>
    <w:p>
      <w:pPr>
        <w:pStyle w:val="BodyText"/>
      </w:pPr>
      <w:r>
        <w:rPr>
          <w:b/>
          <w:bCs/>
        </w:rPr>
        <w:t xml:space="preserve">Alternativas.</w:t>
      </w:r>
    </w:p>
    <w:p>
      <w:pPr>
        <w:pStyle w:val="BodyText"/>
      </w:pPr>
      <w:r>
        <w:t xml:space="preserve">La Tabla F4.78 reúne los datos de «Alternativas».</w:t>
      </w:r>
    </w:p>
    <w:p>
      <w:pPr>
        <w:pStyle w:val="TablaRotulo"/>
      </w:pPr>
      <w:bookmarkStart w:id="9155" w:name="rot_Tabla_F4_78"/>
      <w:r>
        <w:rPr>
          <w:b/>
          <w:bCs/>
        </w:rPr>
        <w:t xml:space="preserve">Tabla F4.78</w:t>
      </w:r>
      <w:bookmarkEnd w:id="9155"/>
    </w:p>
    <w:p>
      <w:pPr>
        <w:pStyle w:val="TablaTitulo"/>
      </w:pPr>
      <w:r>
        <w:rPr>
          <w:i/>
          <w:iCs/>
        </w:rPr>
        <w:t xml:space="preserve">Alternativas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90"/>
        <w:gridCol w:w="2772"/>
        <w:gridCol w:w="2442"/>
        <w:gridCol w:w="1716"/>
      </w:tblGrid>
      <w:tr>
        <w:trPr>
          <w:cantSplit/>
          <w:tblHeader/>
        </w:trPr>
        <w:tc>
          <w:tcPr>
            <w:shd w:val="clear" w:color="auto" w:fill="00B050"/>
          </w:tcPr>
          <w:p>
            <w:pPr>
              <w:pStyle w:val="Tabla9"/>
              <w:jc w:val="center"/>
            </w:pPr>
            <w:r>
              <w:rPr>
                <w:b/>
                <w:color w:val="FFFFFF"/>
              </w:rPr>
              <w:t xml:space="preserve">Código</w:t>
            </w:r>
          </w:p>
        </w:tc>
        <w:tc>
          <w:tcPr>
            <w:shd w:val="clear" w:color="auto" w:fill="00B050"/>
          </w:tcPr>
          <w:p>
            <w:pPr>
              <w:pStyle w:val="Tabla9"/>
              <w:jc w:val="center"/>
            </w:pPr>
            <w:r>
              <w:rPr>
                <w:b/>
                <w:color w:val="FFFFFF"/>
              </w:rPr>
              <w:t xml:space="preserve">Alternativa</w:t>
            </w:r>
          </w:p>
        </w:tc>
        <w:tc>
          <w:tcPr>
            <w:shd w:val="clear" w:color="auto" w:fill="00B050"/>
          </w:tcPr>
          <w:p>
            <w:pPr>
              <w:pStyle w:val="Tabla9"/>
              <w:jc w:val="center"/>
            </w:pPr>
            <w:r>
              <w:rPr>
                <w:b/>
                <w:color w:val="FFFFFF"/>
              </w:rPr>
              <w:t xml:space="preserve">Origen</w:t>
            </w:r>
          </w:p>
        </w:tc>
        <w:tc>
          <w:tcPr>
            <w:shd w:val="clear" w:color="auto" w:fill="00B050"/>
          </w:tcPr>
          <w:p>
            <w:pPr>
              <w:pStyle w:val="Tabla9"/>
              <w:jc w:val="center"/>
            </w:pPr>
            <w:r>
              <w:rPr>
                <w:b/>
                <w:color w:val="FFFFFF"/>
              </w:rPr>
              <w:t xml:space="preserve">Diseñada bajo la premisa sin receptor único</w:t>
            </w:r>
          </w:p>
        </w:tc>
      </w:tr>
      <w:tr>
        <w:trPr>
          <w:cantSplit/>
        </w:trPr>
        <w:tc>
          <w:tcPr/>
          <w:p>
            <w:pPr>
              <w:pStyle w:val="Tabla9"/>
              <w:jc w:val="left"/>
            </w:pPr>
            <w:r>
              <w:t xml:space="preserve">R0</w:t>
            </w:r>
          </w:p>
        </w:tc>
        <w:tc>
          <w:tcPr/>
          <w:p>
            <w:pPr>
              <w:pStyle w:val="Tabla9"/>
              <w:jc w:val="left"/>
            </w:pPr>
            <w:r>
              <w:t xml:space="preserve">Sin intervención: sensores aislados que transmiten hasta agotar batería o crédito</w:t>
            </w:r>
          </w:p>
        </w:tc>
        <w:tc>
          <w:tcPr/>
          <w:p>
            <w:pPr>
              <w:pStyle w:val="Tabla9"/>
              <w:jc w:val="left"/>
            </w:pPr>
            <w:r>
              <w:t xml:space="preserve">ALT-00 de F-E3 (E3-P10)</w:t>
            </w:r>
          </w:p>
        </w:tc>
        <w:tc>
          <w:tcPr/>
          <w:p>
            <w:pPr>
              <w:pStyle w:val="Tabla9"/>
              <w:jc w:val="left"/>
            </w:pPr>
            <w:r>
              <w:t xml:space="preserve">No aplica: no hay servicio que sostener</w:t>
            </w:r>
          </w:p>
        </w:tc>
      </w:tr>
      <w:tr>
        <w:trPr>
          <w:cantSplit/>
        </w:trPr>
        <w:tc>
          <w:tcPr/>
          <w:p>
            <w:pPr>
              <w:pStyle w:val="Tabla9"/>
              <w:jc w:val="left"/>
            </w:pPr>
            <w:r>
              <w:t xml:space="preserve">R1</w:t>
            </w:r>
          </w:p>
        </w:tc>
        <w:tc>
          <w:tcPr/>
          <w:p>
            <w:pPr>
              <w:pStyle w:val="Tabla9"/>
              <w:jc w:val="left"/>
            </w:pPr>
            <w:r>
              <w:t xml:space="preserve">Estaciones fijas robustas con paneles solares y calibración manual trimestral</w:t>
            </w:r>
          </w:p>
        </w:tc>
        <w:tc>
          <w:tcPr/>
          <w:p>
            <w:pPr>
              <w:pStyle w:val="Tabla9"/>
              <w:jc w:val="left"/>
            </w:pPr>
            <w:r>
              <w:t xml:space="preserve">ALT-01 de F-E3</w:t>
            </w:r>
          </w:p>
        </w:tc>
        <w:tc>
          <w:tcPr/>
          <w:p>
            <w:pPr>
              <w:pStyle w:val="Tabla9"/>
              <w:jc w:val="left"/>
            </w:pPr>
            <w:r>
              <w:t xml:space="preserve">No</w:t>
            </w:r>
          </w:p>
        </w:tc>
      </w:tr>
      <w:tr>
        <w:trPr>
          <w:cantSplit/>
        </w:trPr>
        <w:tc>
          <w:tcPr/>
          <w:p>
            <w:pPr>
              <w:pStyle w:val="Tabla9"/>
              <w:jc w:val="left"/>
            </w:pPr>
            <w:r>
              <w:t xml:space="preserve">R2</w:t>
            </w:r>
          </w:p>
        </w:tc>
        <w:tc>
          <w:tcPr/>
          <w:p>
            <w:pPr>
              <w:pStyle w:val="Tabla9"/>
              <w:jc w:val="left"/>
            </w:pPr>
            <w:r>
              <w:t xml:space="preserve">Malla de sensores con corrección centralizada en la nube</w:t>
            </w:r>
          </w:p>
        </w:tc>
        <w:tc>
          <w:tcPr/>
          <w:p>
            <w:pPr>
              <w:pStyle w:val="Tabla9"/>
              <w:jc w:val="left"/>
            </w:pPr>
            <w:r>
              <w:t xml:space="preserve">ALT-02 de F-E3</w:t>
            </w:r>
          </w:p>
        </w:tc>
        <w:tc>
          <w:tcPr/>
          <w:p>
            <w:pPr>
              <w:pStyle w:val="Tabla9"/>
              <w:jc w:val="left"/>
            </w:pPr>
            <w:r>
              <w:t xml:space="preserve">No</w:t>
            </w:r>
          </w:p>
        </w:tc>
      </w:tr>
      <w:tr>
        <w:trPr>
          <w:cantSplit/>
        </w:trPr>
        <w:tc>
          <w:tcPr/>
          <w:p>
            <w:pPr>
              <w:pStyle w:val="Tabla9"/>
              <w:jc w:val="left"/>
            </w:pPr>
            <w:r>
              <w:t xml:space="preserve">R3</w:t>
            </w:r>
          </w:p>
        </w:tc>
        <w:tc>
          <w:tcPr/>
          <w:p>
            <w:pPr>
              <w:pStyle w:val="Tabla9"/>
              <w:jc w:val="left"/>
            </w:pPr>
            <w:r>
              <w:t xml:space="preserve">Red híbrida con corrección local y transferencia a las alcaldías en el mes 25</w:t>
            </w:r>
          </w:p>
        </w:tc>
        <w:tc>
          <w:tcPr/>
          <w:p>
            <w:pPr>
              <w:pStyle w:val="Tabla9"/>
              <w:jc w:val="left"/>
            </w:pPr>
            <w:r>
              <w:t xml:space="preserve">ALT-03 de F-E3 con la asignación de E3-P17</w:t>
            </w:r>
          </w:p>
        </w:tc>
        <w:tc>
          <w:tcPr/>
          <w:p>
            <w:pPr>
              <w:pStyle w:val="Tabla9"/>
              <w:jc w:val="left"/>
            </w:pPr>
            <w:r>
              <w:t xml:space="preserve">No: supone un receptor</w:t>
            </w:r>
          </w:p>
        </w:tc>
      </w:tr>
      <w:tr>
        <w:trPr>
          <w:cantSplit/>
        </w:trPr>
        <w:tc>
          <w:tcPr/>
          <w:p>
            <w:pPr>
              <w:pStyle w:val="Tabla9"/>
              <w:jc w:val="left"/>
            </w:pPr>
            <w:r>
              <w:t xml:space="preserve">R4</w:t>
            </w:r>
          </w:p>
        </w:tc>
        <w:tc>
          <w:tcPr/>
          <w:p>
            <w:pPr>
              <w:pStyle w:val="Tabla9"/>
              <w:jc w:val="left"/>
            </w:pPr>
            <w:r>
              <w:t xml:space="preserve">La misma tecnología que R3, por tramos, con piloto de contraste y custodia distribuida</w:t>
            </w:r>
          </w:p>
        </w:tc>
        <w:tc>
          <w:tcPr/>
          <w:p>
            <w:pPr>
              <w:pStyle w:val="Tabla9"/>
              <w:jc w:val="left"/>
            </w:pPr>
            <w:r>
              <w:t xml:space="preserve">PROPUESTA en esta corrida</w:t>
            </w:r>
          </w:p>
        </w:tc>
        <w:tc>
          <w:tcPr/>
          <w:p>
            <w:pPr>
              <w:pStyle w:val="Tabla9"/>
              <w:jc w:val="left"/>
            </w:pPr>
            <w:r>
              <w:t xml:space="preserve">Sí</w:t>
            </w:r>
          </w:p>
        </w:tc>
      </w:tr>
      <w:tr>
        <w:trPr>
          <w:cantSplit/>
        </w:trPr>
        <w:tc>
          <w:tcPr/>
          <w:p>
            <w:pPr>
              <w:pStyle w:val="Tabla9"/>
              <w:jc w:val="left"/>
            </w:pPr>
            <w:r>
              <w:t xml:space="preserve">R5</w:t>
            </w:r>
          </w:p>
        </w:tc>
        <w:tc>
          <w:tcPr/>
          <w:p>
            <w:pPr>
              <w:pStyle w:val="Tabla9"/>
              <w:jc w:val="left"/>
            </w:pPr>
            <w:r>
              <w:t xml:space="preserve">Control del polvo en la fuente con medición de referencia mínima</w:t>
            </w:r>
          </w:p>
        </w:tc>
        <w:tc>
          <w:tcPr/>
          <w:p>
            <w:pPr>
              <w:pStyle w:val="Tabla9"/>
              <w:jc w:val="left"/>
            </w:pPr>
            <w:r>
              <w:t xml:space="preserve">PROPUESTA; deriva del marco rival de F4.4-MDR.3</w:t>
            </w:r>
          </w:p>
        </w:tc>
        <w:tc>
          <w:tcPr/>
          <w:p>
            <w:pPr>
              <w:pStyle w:val="Tabla9"/>
              <w:jc w:val="left"/>
            </w:pPr>
            <w:r>
              <w:t xml:space="preserve">Sí</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R5 no cuenta con evidencia aportada y no se evalúa con datos. Se incluye para impedir que la elección parta de la solución preferida.</w:t>
      </w:r>
    </w:p>
    <w:p>
      <w:pPr>
        <w:pStyle w:val="BodyText"/>
      </w:pPr>
      <w:r>
        <w:rPr>
          <w:b/>
          <w:bCs/>
        </w:rPr>
        <w:t xml:space="preserve">Método ejecutado: matriz de compensaciones.</w:t>
      </w:r>
      <w:r>
        <w:t xml:space="preserve"> </w:t>
      </w:r>
      <w:r>
        <w:t xml:space="preserve">La matriz muestra desempeños sin agregarlos. La naturaleza de cada celda es INFERIDO y su verificación es NO_VERIFICADO, porque describe propiedades de diseño y no resultados medidos.</w:t>
      </w:r>
    </w:p>
    <w:p>
      <w:pPr>
        <w:pStyle w:val="BodyText"/>
      </w:pPr>
      <w:r>
        <w:t xml:space="preserve">La Tabla F4.79 reúne los datos de «Método ejecutado: matriz de compensaciones».</w:t>
      </w:r>
    </w:p>
    <w:p>
      <w:pPr>
        <w:pStyle w:val="TablaRotulo"/>
      </w:pPr>
      <w:bookmarkStart w:id="9156" w:name="rot_Tabla_F4_79"/>
      <w:r>
        <w:rPr>
          <w:b/>
          <w:bCs/>
        </w:rPr>
        <w:t xml:space="preserve">Tabla F4.79</w:t>
      </w:r>
      <w:bookmarkEnd w:id="9156"/>
    </w:p>
    <w:p>
      <w:pPr>
        <w:pStyle w:val="TablaTitulo"/>
      </w:pPr>
      <w:r>
        <w:rPr>
          <w:i/>
          <w:iCs/>
        </w:rPr>
        <w:t xml:space="preserve">Método ejecutado: matriz de compensaciones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24"/>
        <w:gridCol w:w="1188"/>
        <w:gridCol w:w="1122"/>
        <w:gridCol w:w="990"/>
        <w:gridCol w:w="1122"/>
        <w:gridCol w:w="1254"/>
        <w:gridCol w:w="1320"/>
      </w:tblGrid>
      <w:tr>
        <w:trPr>
          <w:cantSplit/>
          <w:tblHeader/>
        </w:trPr>
        <w:tc>
          <w:tcPr>
            <w:shd w:val="clear" w:color="auto" w:fill="00B050"/>
          </w:tcPr>
          <w:p>
            <w:pPr>
              <w:pStyle w:val="Tabla8"/>
              <w:jc w:val="center"/>
            </w:pPr>
            <w:r>
              <w:rPr>
                <w:b/>
                <w:color w:val="FFFFFF"/>
              </w:rPr>
              <w:t xml:space="preserve">Alternativa</w:t>
            </w:r>
          </w:p>
        </w:tc>
        <w:tc>
          <w:tcPr>
            <w:shd w:val="clear" w:color="auto" w:fill="00B050"/>
          </w:tcPr>
          <w:p>
            <w:pPr>
              <w:pStyle w:val="Tabla8"/>
              <w:jc w:val="center"/>
            </w:pPr>
            <w:r>
              <w:rPr>
                <w:b/>
                <w:color w:val="FFFFFF"/>
              </w:rPr>
              <w:t xml:space="preserve">CR-1 Verificabilidad</w:t>
            </w:r>
          </w:p>
        </w:tc>
        <w:tc>
          <w:tcPr>
            <w:shd w:val="clear" w:color="auto" w:fill="00B050"/>
          </w:tcPr>
          <w:p>
            <w:pPr>
              <w:pStyle w:val="Tabla8"/>
              <w:jc w:val="center"/>
            </w:pPr>
            <w:r>
              <w:rPr>
                <w:b/>
                <w:color w:val="FFFFFF"/>
              </w:rPr>
              <w:t xml:space="preserve">CR-2 Operación sin infraestructura estable</w:t>
            </w:r>
          </w:p>
        </w:tc>
        <w:tc>
          <w:tcPr>
            <w:shd w:val="clear" w:color="auto" w:fill="00B050"/>
          </w:tcPr>
          <w:p>
            <w:pPr>
              <w:pStyle w:val="Tabla8"/>
              <w:jc w:val="center"/>
            </w:pPr>
            <w:r>
              <w:rPr>
                <w:b/>
                <w:color w:val="FFFFFF"/>
              </w:rPr>
              <w:t xml:space="preserve">CR-3 Continuidad sin receptor único</w:t>
            </w:r>
          </w:p>
        </w:tc>
        <w:tc>
          <w:tcPr>
            <w:shd w:val="clear" w:color="auto" w:fill="00B050"/>
          </w:tcPr>
          <w:p>
            <w:pPr>
              <w:pStyle w:val="Tabla8"/>
              <w:jc w:val="center"/>
            </w:pPr>
            <w:r>
              <w:rPr>
                <w:b/>
                <w:color w:val="FFFFFF"/>
              </w:rPr>
              <w:t xml:space="preserve">CR-4 Corregibilidad</w:t>
            </w:r>
          </w:p>
        </w:tc>
        <w:tc>
          <w:tcPr>
            <w:shd w:val="clear" w:color="auto" w:fill="00B050"/>
          </w:tcPr>
          <w:p>
            <w:pPr>
              <w:pStyle w:val="Tabla8"/>
              <w:jc w:val="center"/>
            </w:pPr>
            <w:r>
              <w:rPr>
                <w:b/>
                <w:color w:val="FFFFFF"/>
              </w:rPr>
              <w:t xml:space="preserve">CR-5 Convocatoria</w:t>
            </w:r>
          </w:p>
        </w:tc>
        <w:tc>
          <w:tcPr>
            <w:shd w:val="clear" w:color="auto" w:fill="00B050"/>
          </w:tcPr>
          <w:p>
            <w:pPr>
              <w:pStyle w:val="Tabla8"/>
              <w:jc w:val="center"/>
            </w:pPr>
            <w:r>
              <w:rPr>
                <w:b/>
                <w:color w:val="FFFFFF"/>
              </w:rPr>
              <w:t xml:space="preserve">CR-6 Identificabilidad</w:t>
            </w:r>
          </w:p>
        </w:tc>
      </w:tr>
      <w:tr>
        <w:trPr>
          <w:cantSplit/>
        </w:trPr>
        <w:tc>
          <w:tcPr/>
          <w:p>
            <w:pPr>
              <w:pStyle w:val="Tabla8"/>
              <w:jc w:val="left"/>
            </w:pPr>
            <w:r>
              <w:t xml:space="preserve">R0</w:t>
            </w:r>
          </w:p>
        </w:tc>
        <w:tc>
          <w:tcPr/>
          <w:p>
            <w:pPr>
              <w:pStyle w:val="Tabla8"/>
              <w:jc w:val="left"/>
            </w:pPr>
            <w:r>
              <w:t xml:space="preserve">Sin referencia ni contraste</w:t>
            </w:r>
          </w:p>
        </w:tc>
        <w:tc>
          <w:tcPr/>
          <w:p>
            <w:pPr>
              <w:pStyle w:val="Tabla8"/>
              <w:jc w:val="left"/>
            </w:pPr>
            <w:r>
              <w:t xml:space="preserve">Sin corrección; sensores aislados</w:t>
            </w:r>
          </w:p>
        </w:tc>
        <w:tc>
          <w:tcPr/>
          <w:p>
            <w:pPr>
              <w:pStyle w:val="Tabla8"/>
              <w:jc w:val="left"/>
            </w:pPr>
            <w:r>
              <w:t xml:space="preserve">Sin servicio que sostener</w:t>
            </w:r>
          </w:p>
        </w:tc>
        <w:tc>
          <w:tcPr/>
          <w:p>
            <w:pPr>
              <w:pStyle w:val="Tabla8"/>
              <w:jc w:val="left"/>
            </w:pPr>
            <w:r>
              <w:t xml:space="preserve">Sin decisión que corregir</w:t>
            </w:r>
          </w:p>
        </w:tc>
        <w:tc>
          <w:tcPr/>
          <w:p>
            <w:pPr>
              <w:pStyle w:val="Tabla8"/>
              <w:jc w:val="left"/>
            </w:pPr>
            <w:r>
              <w:t xml:space="preserve">NO_EVALUADO</w:t>
            </w:r>
          </w:p>
        </w:tc>
        <w:tc>
          <w:tcPr/>
          <w:p>
            <w:pPr>
              <w:pStyle w:val="Tabla8"/>
              <w:jc w:val="left"/>
            </w:pPr>
            <w:r>
              <w:t xml:space="preserve">Sin diseño de contraste</w:t>
            </w:r>
          </w:p>
        </w:tc>
      </w:tr>
      <w:tr>
        <w:trPr>
          <w:cantSplit/>
        </w:trPr>
        <w:tc>
          <w:tcPr/>
          <w:p>
            <w:pPr>
              <w:pStyle w:val="Tabla8"/>
              <w:jc w:val="left"/>
            </w:pPr>
            <w:r>
              <w:t xml:space="preserve">R1</w:t>
            </w:r>
          </w:p>
        </w:tc>
        <w:tc>
          <w:tcPr/>
          <w:p>
            <w:pPr>
              <w:pStyle w:val="Tabla8"/>
              <w:jc w:val="left"/>
            </w:pPr>
            <w:r>
              <w:t xml:space="preserve">Calibración manual trimestral; sin contraste previsto</w:t>
            </w:r>
          </w:p>
        </w:tc>
        <w:tc>
          <w:tcPr/>
          <w:p>
            <w:pPr>
              <w:pStyle w:val="Tabla8"/>
              <w:jc w:val="left"/>
            </w:pPr>
            <w:r>
              <w:t xml:space="preserve">Paneles y radioenlaces propios</w:t>
            </w:r>
          </w:p>
        </w:tc>
        <w:tc>
          <w:tcPr/>
          <w:p>
            <w:pPr>
              <w:pStyle w:val="Tabla8"/>
              <w:jc w:val="left"/>
            </w:pPr>
            <w:r>
              <w:t xml:space="preserve">Operación costosa; custodio no definido</w:t>
            </w:r>
          </w:p>
        </w:tc>
        <w:tc>
          <w:tcPr/>
          <w:p>
            <w:pPr>
              <w:pStyle w:val="Tabla8"/>
              <w:jc w:val="left"/>
            </w:pPr>
            <w:r>
              <w:t xml:space="preserve">Compra en bloque</w:t>
            </w:r>
          </w:p>
        </w:tc>
        <w:tc>
          <w:tcPr/>
          <w:p>
            <w:pPr>
              <w:pStyle w:val="Tabla8"/>
              <w:jc w:val="left"/>
            </w:pPr>
            <w:r>
              <w:t xml:space="preserve">NO_EVALUADO</w:t>
            </w:r>
          </w:p>
        </w:tc>
        <w:tc>
          <w:tcPr/>
          <w:p>
            <w:pPr>
              <w:pStyle w:val="Tabla8"/>
              <w:jc w:val="left"/>
            </w:pPr>
            <w:r>
              <w:t xml:space="preserve">Sin sorteo previsto</w:t>
            </w:r>
          </w:p>
        </w:tc>
      </w:tr>
      <w:tr>
        <w:trPr>
          <w:cantSplit/>
        </w:trPr>
        <w:tc>
          <w:tcPr/>
          <w:p>
            <w:pPr>
              <w:pStyle w:val="Tabla8"/>
              <w:jc w:val="left"/>
            </w:pPr>
            <w:r>
              <w:t xml:space="preserve">R2</w:t>
            </w:r>
          </w:p>
        </w:tc>
        <w:tc>
          <w:tcPr/>
          <w:p>
            <w:pPr>
              <w:pStyle w:val="Tabla8"/>
              <w:jc w:val="left"/>
            </w:pPr>
            <w:r>
              <w:t xml:space="preserve">Corrección central con datos continuos</w:t>
            </w:r>
          </w:p>
        </w:tc>
        <w:tc>
          <w:tcPr/>
          <w:p>
            <w:pPr>
              <w:pStyle w:val="Tabla8"/>
              <w:jc w:val="left"/>
            </w:pPr>
            <w:r>
              <w:t xml:space="preserve">Depende del enlace continuo</w:t>
            </w:r>
          </w:p>
        </w:tc>
        <w:tc>
          <w:tcPr/>
          <w:p>
            <w:pPr>
              <w:pStyle w:val="Tabla8"/>
              <w:jc w:val="left"/>
            </w:pPr>
            <w:r>
              <w:t xml:space="preserve">Depende de contratos de nube; custodio no definido</w:t>
            </w:r>
          </w:p>
        </w:tc>
        <w:tc>
          <w:tcPr/>
          <w:p>
            <w:pPr>
              <w:pStyle w:val="Tabla8"/>
              <w:jc w:val="left"/>
            </w:pPr>
            <w:r>
              <w:t xml:space="preserve">Compra en bloque</w:t>
            </w:r>
          </w:p>
        </w:tc>
        <w:tc>
          <w:tcPr/>
          <w:p>
            <w:pPr>
              <w:pStyle w:val="Tabla8"/>
              <w:jc w:val="left"/>
            </w:pPr>
            <w:r>
              <w:t xml:space="preserve">NO_EVALUADO</w:t>
            </w:r>
          </w:p>
        </w:tc>
        <w:tc>
          <w:tcPr/>
          <w:p>
            <w:pPr>
              <w:pStyle w:val="Tabla8"/>
              <w:jc w:val="left"/>
            </w:pPr>
            <w:r>
              <w:t xml:space="preserve">Sin sorteo previsto</w:t>
            </w:r>
          </w:p>
        </w:tc>
      </w:tr>
      <w:tr>
        <w:trPr>
          <w:cantSplit/>
        </w:trPr>
        <w:tc>
          <w:tcPr/>
          <w:p>
            <w:pPr>
              <w:pStyle w:val="Tabla8"/>
              <w:jc w:val="left"/>
            </w:pPr>
            <w:r>
              <w:t xml:space="preserve">R3</w:t>
            </w:r>
          </w:p>
        </w:tc>
        <w:tc>
          <w:tcPr/>
          <w:p>
            <w:pPr>
              <w:pStyle w:val="Tabla8"/>
              <w:jc w:val="left"/>
            </w:pPr>
            <w:r>
              <w:t xml:space="preserve">Corrección local sin diseño de contraste en F-E3</w:t>
            </w:r>
          </w:p>
        </w:tc>
        <w:tc>
          <w:tcPr/>
          <w:p>
            <w:pPr>
              <w:pStyle w:val="Tabla8"/>
              <w:jc w:val="left"/>
            </w:pPr>
            <w:r>
              <w:t xml:space="preserve">Transmisión por eventos; enlace 4G sin alterno</w:t>
            </w:r>
          </w:p>
        </w:tc>
        <w:tc>
          <w:tcPr/>
          <w:p>
            <w:pPr>
              <w:pStyle w:val="Tabla8"/>
              <w:jc w:val="left"/>
            </w:pPr>
            <w:r>
              <w:t xml:space="preserve">Receptor público único supuesto</w:t>
            </w:r>
          </w:p>
        </w:tc>
        <w:tc>
          <w:tcPr/>
          <w:p>
            <w:pPr>
              <w:pStyle w:val="Tabla8"/>
              <w:jc w:val="left"/>
            </w:pPr>
            <w:r>
              <w:t xml:space="preserve">Compromiso total anticipado</w:t>
            </w:r>
          </w:p>
        </w:tc>
        <w:tc>
          <w:tcPr/>
          <w:p>
            <w:pPr>
              <w:pStyle w:val="Tabla8"/>
              <w:jc w:val="left"/>
            </w:pPr>
            <w:r>
              <w:t xml:space="preserve">NO_EVALUADO</w:t>
            </w:r>
          </w:p>
        </w:tc>
        <w:tc>
          <w:tcPr/>
          <w:p>
            <w:pPr>
              <w:pStyle w:val="Tabla8"/>
              <w:jc w:val="left"/>
            </w:pPr>
            <w:r>
              <w:t xml:space="preserve">Sin sorteo en F-E3; admite agregarlo</w:t>
            </w:r>
          </w:p>
        </w:tc>
      </w:tr>
      <w:tr>
        <w:trPr>
          <w:cantSplit/>
        </w:trPr>
        <w:tc>
          <w:tcPr/>
          <w:p>
            <w:pPr>
              <w:pStyle w:val="Tabla8"/>
              <w:jc w:val="left"/>
            </w:pPr>
            <w:r>
              <w:t xml:space="preserve">R4</w:t>
            </w:r>
          </w:p>
        </w:tc>
        <w:tc>
          <w:tcPr/>
          <w:p>
            <w:pPr>
              <w:pStyle w:val="Tabla8"/>
              <w:jc w:val="left"/>
            </w:pPr>
            <w:r>
              <w:t xml:space="preserve">Referencia gravimétrica y sorteo semanal</w:t>
            </w:r>
          </w:p>
        </w:tc>
        <w:tc>
          <w:tcPr/>
          <w:p>
            <w:pPr>
              <w:pStyle w:val="Tabla8"/>
              <w:jc w:val="left"/>
            </w:pPr>
            <w:r>
              <w:t xml:space="preserve">El piloto verifica energía y enlace antes de cada tramo; enlace alterno por diseñar</w:t>
            </w:r>
          </w:p>
        </w:tc>
        <w:tc>
          <w:tcPr/>
          <w:p>
            <w:pPr>
              <w:pStyle w:val="Tabla8"/>
              <w:jc w:val="left"/>
            </w:pPr>
            <w:r>
              <w:t xml:space="preserve">Custodia por tramos y cláusula de apertura</w:t>
            </w:r>
          </w:p>
        </w:tc>
        <w:tc>
          <w:tcPr/>
          <w:p>
            <w:pPr>
              <w:pStyle w:val="Tabla8"/>
              <w:jc w:val="left"/>
            </w:pPr>
            <w:r>
              <w:t xml:space="preserve">Decisión de continuar o detener en el Hito 2</w:t>
            </w:r>
          </w:p>
        </w:tc>
        <w:tc>
          <w:tcPr/>
          <w:p>
            <w:pPr>
              <w:pStyle w:val="Tabla8"/>
              <w:jc w:val="left"/>
            </w:pPr>
            <w:r>
              <w:t xml:space="preserve">NO_EVALUADO: costo del piloto y de la gobernanza sin estimar</w:t>
            </w:r>
          </w:p>
        </w:tc>
        <w:tc>
          <w:tcPr/>
          <w:p>
            <w:pPr>
              <w:pStyle w:val="Tabla8"/>
              <w:jc w:val="left"/>
            </w:pPr>
            <w:r>
              <w:t xml:space="preserve">Sorteo semanal previsto</w:t>
            </w:r>
          </w:p>
        </w:tc>
      </w:tr>
      <w:tr>
        <w:trPr>
          <w:cantSplit/>
        </w:trPr>
        <w:tc>
          <w:tcPr/>
          <w:p>
            <w:pPr>
              <w:pStyle w:val="Tabla8"/>
              <w:jc w:val="left"/>
            </w:pPr>
            <w:r>
              <w:t xml:space="preserve">R5</w:t>
            </w:r>
          </w:p>
        </w:tc>
        <w:tc>
          <w:tcPr/>
          <w:p>
            <w:pPr>
              <w:pStyle w:val="Tabla8"/>
              <w:jc w:val="left"/>
            </w:pPr>
            <w:r>
              <w:t xml:space="preserve">No mide el error del sensor; mide exposición con referencia mínima</w:t>
            </w:r>
          </w:p>
        </w:tc>
        <w:tc>
          <w:tcPr/>
          <w:p>
            <w:pPr>
              <w:pStyle w:val="Tabla8"/>
              <w:jc w:val="left"/>
            </w:pPr>
            <w:r>
              <w:t xml:space="preserve">Poca electrónica; depende de la maquinaria</w:t>
            </w:r>
          </w:p>
        </w:tc>
        <w:tc>
          <w:tcPr/>
          <w:p>
            <w:pPr>
              <w:pStyle w:val="Tabla8"/>
              <w:jc w:val="left"/>
            </w:pPr>
            <w:r>
              <w:t xml:space="preserve">Operación por contratistas; custodio por definir</w:t>
            </w:r>
          </w:p>
        </w:tc>
        <w:tc>
          <w:tcPr/>
          <w:p>
            <w:pPr>
              <w:pStyle w:val="Tabla8"/>
              <w:jc w:val="left"/>
            </w:pPr>
            <w:r>
              <w:t xml:space="preserve">Reversible</w:t>
            </w:r>
          </w:p>
        </w:tc>
        <w:tc>
          <w:tcPr/>
          <w:p>
            <w:pPr>
              <w:pStyle w:val="Tabla8"/>
              <w:jc w:val="left"/>
            </w:pPr>
            <w:r>
              <w:t xml:space="preserve">NO_EVALUADO</w:t>
            </w:r>
          </w:p>
        </w:tc>
        <w:tc>
          <w:tcPr/>
          <w:p>
            <w:pPr>
              <w:pStyle w:val="Tabla8"/>
              <w:jc w:val="left"/>
            </w:pPr>
            <w:r>
              <w:t xml:space="preserve">No aplica al estimando E1</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Dominancia.</w:t>
      </w:r>
      <w:r>
        <w:t xml:space="preserve"> </w:t>
      </w:r>
      <w:r>
        <w:t xml:space="preserve">No se confirma ninguna relación de dominancia. R4 no empeora a R3 en CR-1, CR-2, CR-3, CR-4 ni CR-6 por construcción del diseño. Sin embargo, CR-5 es NO_EVALUADO: el costo del piloto y de la gobernanza no se estimó. Sin dominancia, la matriz no produce ganador.</w:t>
      </w:r>
    </w:p>
    <w:p>
      <w:pPr>
        <w:pStyle w:val="BodyText"/>
      </w:pPr>
      <w:r>
        <w:rPr>
          <w:b/>
          <w:bCs/>
        </w:rPr>
        <w:t xml:space="preserve">Métodos no ejecutados.</w:t>
      </w:r>
    </w:p>
    <w:p>
      <w:pPr>
        <w:pStyle w:val="BodyText"/>
      </w:pPr>
      <w:r>
        <w:t xml:space="preserve">La Tabla F4.80 reúne los datos de «Métodos no ejecutados».</w:t>
      </w:r>
    </w:p>
    <w:p>
      <w:pPr>
        <w:pStyle w:val="TablaRotulo"/>
      </w:pPr>
      <w:bookmarkStart w:id="9157" w:name="rot_Tabla_F4_80"/>
      <w:r>
        <w:rPr>
          <w:b/>
          <w:bCs/>
        </w:rPr>
        <w:t xml:space="preserve">Tabla F4.80</w:t>
      </w:r>
      <w:bookmarkEnd w:id="9157"/>
    </w:p>
    <w:p>
      <w:pPr>
        <w:pStyle w:val="TablaTitulo"/>
      </w:pPr>
      <w:r>
        <w:rPr>
          <w:i/>
          <w:iCs/>
        </w:rPr>
        <w:t xml:space="preserve">Métodos no ejecutados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508"/>
        <w:gridCol w:w="2838"/>
        <w:gridCol w:w="2574"/>
      </w:tblGrid>
      <w:tr>
        <w:trPr>
          <w:cantSplit/>
          <w:tblHeader/>
        </w:trPr>
        <w:tc>
          <w:tcPr>
            <w:shd w:val="clear" w:color="auto" w:fill="00B050"/>
          </w:tcPr>
          <w:p>
            <w:pPr>
              <w:pStyle w:val="Tabla9"/>
              <w:jc w:val="center"/>
            </w:pPr>
            <w:r>
              <w:rPr>
                <w:b/>
                <w:color w:val="FFFFFF"/>
              </w:rPr>
              <w:t xml:space="preserve">Método</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Motivo</w:t>
            </w:r>
          </w:p>
        </w:tc>
      </w:tr>
      <w:tr>
        <w:trPr>
          <w:cantSplit/>
        </w:trPr>
        <w:tc>
          <w:tcPr/>
          <w:p>
            <w:pPr>
              <w:pStyle w:val="Tabla9"/>
              <w:jc w:val="left"/>
            </w:pPr>
            <w:r>
              <w:t xml:space="preserve">Árbol de decisión cuantitativo (Raiffa, 1968)</w:t>
            </w:r>
          </w:p>
        </w:tc>
        <w:tc>
          <w:tcPr/>
          <w:p>
            <w:pPr>
              <w:pStyle w:val="Tabla9"/>
              <w:jc w:val="left"/>
            </w:pPr>
            <w:r>
              <w:t xml:space="preserve">NO_CALCULABLE; árbol cualitativo entregado</w:t>
            </w:r>
          </w:p>
        </w:tc>
        <w:tc>
          <w:tcPr/>
          <w:p>
            <w:pPr>
              <w:pStyle w:val="Tabla9"/>
              <w:jc w:val="left"/>
            </w:pPr>
            <w:r>
              <w:t xml:space="preserve">Sin probabilidades ni utilidades con fuente</w:t>
            </w:r>
          </w:p>
        </w:tc>
      </w:tr>
      <w:tr>
        <w:trPr>
          <w:cantSplit/>
        </w:trPr>
        <w:tc>
          <w:tcPr/>
          <w:p>
            <w:pPr>
              <w:pStyle w:val="Tabla9"/>
              <w:jc w:val="left"/>
            </w:pPr>
            <w:r>
              <w:t xml:space="preserve">Métodos multicriterio (AHP, BWM, TOPSIS, suma ponderada)</w:t>
            </w:r>
          </w:p>
        </w:tc>
        <w:tc>
          <w:tcPr/>
          <w:p>
            <w:pPr>
              <w:pStyle w:val="Tabla9"/>
              <w:jc w:val="left"/>
            </w:pPr>
            <w:r>
              <w:t xml:space="preserve">NO_EJECUTADO</w:t>
            </w:r>
          </w:p>
        </w:tc>
        <w:tc>
          <w:tcPr/>
          <w:p>
            <w:pPr>
              <w:pStyle w:val="Tabla9"/>
              <w:jc w:val="left"/>
            </w:pPr>
            <w:r>
              <w:t xml:space="preserve">Los pesos carecen de procedencia y las utilidades de evidencia</w:t>
            </w:r>
          </w:p>
        </w:tc>
      </w:tr>
      <w:tr>
        <w:trPr>
          <w:cantSplit/>
        </w:trPr>
        <w:tc>
          <w:tcPr/>
          <w:p>
            <w:pPr>
              <w:pStyle w:val="Tabla9"/>
              <w:jc w:val="left"/>
            </w:pPr>
            <w:r>
              <w:t xml:space="preserve">Análisis costo-beneficio</w:t>
            </w:r>
          </w:p>
        </w:tc>
        <w:tc>
          <w:tcPr/>
          <w:p>
            <w:pPr>
              <w:pStyle w:val="Tabla9"/>
              <w:jc w:val="left"/>
            </w:pPr>
            <w:r>
              <w:t xml:space="preserve">NO_CALCULABLE</w:t>
            </w:r>
          </w:p>
        </w:tc>
        <w:tc>
          <w:tcPr/>
          <w:p>
            <w:pPr>
              <w:pStyle w:val="Tabla9"/>
              <w:jc w:val="left"/>
            </w:pPr>
            <w:r>
              <w:t xml:space="preserve">Sin flujos con fuente ni tasa de descuento</w:t>
            </w:r>
          </w:p>
        </w:tc>
      </w:tr>
      <w:tr>
        <w:trPr>
          <w:cantSplit/>
        </w:trPr>
        <w:tc>
          <w:tcPr/>
          <w:p>
            <w:pPr>
              <w:pStyle w:val="Tabla9"/>
              <w:jc w:val="left"/>
            </w:pPr>
            <w:r>
              <w:t xml:space="preserve">Análisis de robustez</w:t>
            </w:r>
          </w:p>
        </w:tc>
        <w:tc>
          <w:tcPr/>
          <w:p>
            <w:pPr>
              <w:pStyle w:val="Tabla9"/>
              <w:jc w:val="left"/>
            </w:pPr>
            <w:r>
              <w:t xml:space="preserve">NO_CALCULABLE</w:t>
            </w:r>
          </w:p>
        </w:tc>
        <w:tc>
          <w:tcPr/>
          <w:p>
            <w:pPr>
              <w:pStyle w:val="Tabla9"/>
              <w:jc w:val="left"/>
            </w:pPr>
            <w:r>
              <w:t xml:space="preserve">El criterio de aceptabilidad depende de los TdR</w:t>
            </w:r>
          </w:p>
        </w:tc>
      </w:tr>
      <w:tr>
        <w:trPr>
          <w:cantSplit/>
        </w:trPr>
        <w:tc>
          <w:tcPr/>
          <w:p>
            <w:pPr>
              <w:pStyle w:val="Tabla9"/>
              <w:jc w:val="left"/>
            </w:pPr>
            <w:r>
              <w:t xml:space="preserve">Análisis estructural Vester/MICMAC</w:t>
            </w:r>
          </w:p>
        </w:tc>
        <w:tc>
          <w:tcPr/>
          <w:p>
            <w:pPr>
              <w:pStyle w:val="Tabla9"/>
              <w:jc w:val="left"/>
            </w:pPr>
            <w:r>
              <w:t xml:space="preserve">Recibido, no recalculado</w:t>
            </w:r>
          </w:p>
        </w:tc>
        <w:tc>
          <w:tcPr/>
          <w:p>
            <w:pPr>
              <w:pStyle w:val="Tabla9"/>
              <w:jc w:val="left"/>
            </w:pPr>
            <w:r>
              <w:t xml:space="preserve">Resultados de 4.4 (S2) con identidad registrada en el expediente. Son hipótesis de influencia.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Estructura del cálculo pendiente.</w:t>
      </w:r>
      <w:r>
        <w:t xml:space="preserve"> </w:t>
      </w:r>
      <w:r>
        <w:t xml:space="preserve">Sean p1 a p4 las probabilidades de SC-1 a SC-4 y v1 a v5 los valores de los resultados de una rama. El valor esperado de esa rama es:</w:t>
      </w:r>
    </w:p>
    <w:p>
      <w:pPr>
        <w:pStyle w:val="SourceCode"/>
      </w:pPr>
      <w:r>
        <w:rPr>
          <w:rStyle w:val="VerbatimChar"/>
        </w:rPr>
        <w:t xml:space="preserve">VE = p1·[p2·(p3·(p4·v5 + (1 − p4)·v4) + (1 − p3)·v3) + (1 − p2)·v2] + (1 − p1)·v1</w:t>
      </w:r>
    </w:p>
    <w:p>
      <w:pPr>
        <w:pStyle w:val="FirstParagraph"/>
      </w:pPr>
      <w:r>
        <w:t xml:space="preserve">Con probabilidades declaradas, la herramienta de referencia barre 2.000 pasos y rotula los umbrales como aproximados.</w:t>
      </w:r>
    </w:p>
    <w:p>
      <w:pPr>
        <w:pStyle w:val="BodyText"/>
      </w:pPr>
      <w:r>
        <w:rPr>
          <w:b/>
          <w:bCs/>
        </w:rPr>
        <w:t xml:space="preserve">Resultado multicriterio de F-E3.</w:t>
      </w:r>
      <w:r>
        <w:t xml:space="preserve"> </w:t>
      </w:r>
      <w:r>
        <w:t xml:space="preserve">La suma ponderada de E3-P14 arroja 0,795 para ALT-03; 0,535 para ALT-02; 0,460 para ALT-00 y 0,325 para ALT-01. La aritmética se recalculó y es correcta (CALCULADO). Los pesos son SUPUESTO y las utilidades carecen de evidencia. Por eso el resultado no se usa como ganador.</w:t>
      </w:r>
    </w:p>
    <w:p>
      <w:pPr>
        <w:pStyle w:val="BodyText"/>
      </w:pPr>
      <w:r>
        <w:rPr>
          <w:b/>
          <w:bCs/>
        </w:rPr>
        <w:t xml:space="preserve">Sensibilidad y condiciones de elección.</w:t>
      </w:r>
      <w:r>
        <w:t xml:space="preserve"> </w:t>
      </w:r>
      <w:r>
        <w:t xml:space="preserve">El resultado de la matriz no depende de probabilidades ni de pesos. La sensibilidad se traslada a las condiciones bajo las cuales cambia la elección.</w:t>
      </w:r>
    </w:p>
    <w:p>
      <w:pPr>
        <w:pStyle w:val="Compact"/>
        <w:numPr>
          <w:ilvl w:val="0"/>
          <w:numId w:val="1010"/>
        </w:numPr>
      </w:pPr>
      <w:r>
        <w:rPr>
          <w:b/>
          <w:bCs/>
        </w:rPr>
        <w:t xml:space="preserve">R4 se prefiere a R3</w:t>
      </w:r>
      <w:r>
        <w:t xml:space="preserve"> </w:t>
      </w:r>
      <w:r>
        <w:t xml:space="preserve">cuando se cumplen dos condiciones. El costo adicional del piloto, de la gobernanza y de los tramos cabe en el tope (CR-5). La probabilidad de SC-4 bajo custodia distribuida no es menor que bajo receptor único.</w:t>
      </w:r>
    </w:p>
    <w:p>
      <w:pPr>
        <w:pStyle w:val="Compact"/>
        <w:numPr>
          <w:ilvl w:val="0"/>
          <w:numId w:val="1010"/>
        </w:numPr>
      </w:pPr>
      <w:r>
        <w:rPr>
          <w:b/>
          <w:bCs/>
        </w:rPr>
        <w:t xml:space="preserve">R3 se prefiere a R4</w:t>
      </w:r>
      <w:r>
        <w:t xml:space="preserve"> </w:t>
      </w:r>
      <w:r>
        <w:t xml:space="preserve">cuando, antes de la firma, cada componente cuenta con una entidad territorial con compromiso presupuestal vinculante y competencia jurídica. Esa condición equivale a capacidad de absorción 3 en las seis dimensiones.</w:t>
      </w:r>
    </w:p>
    <w:p>
      <w:pPr>
        <w:pStyle w:val="Compact"/>
        <w:numPr>
          <w:ilvl w:val="0"/>
          <w:numId w:val="1010"/>
        </w:numPr>
      </w:pPr>
      <w:r>
        <w:rPr>
          <w:b/>
          <w:bCs/>
        </w:rPr>
        <w:t xml:space="preserve">R5 se combina con R4</w:t>
      </w:r>
      <w:r>
        <w:t xml:space="preserve"> </w:t>
      </w:r>
      <w:r>
        <w:t xml:space="preserve">si la evidencia de emisión en la fuente muestra que la mayor parte de la exposición es controlable. Esa evidencia no existe todavía.</w:t>
      </w:r>
    </w:p>
    <w:p>
      <w:pPr>
        <w:pStyle w:val="Compact"/>
        <w:numPr>
          <w:ilvl w:val="0"/>
          <w:numId w:val="1010"/>
        </w:numPr>
      </w:pPr>
      <w:r>
        <w:rPr>
          <w:b/>
          <w:bCs/>
        </w:rPr>
        <w:t xml:space="preserve">R0 solo se admite</w:t>
      </w:r>
      <w:r>
        <w:t xml:space="preserve"> </w:t>
      </w:r>
      <w:r>
        <w:t xml:space="preserve">si el financiador no acepta R3 ni R4.</w:t>
      </w:r>
    </w:p>
    <w:p>
      <w:pPr>
        <w:pStyle w:val="FirstParagraph"/>
      </w:pPr>
      <w:r>
        <w:t xml:space="preserve">Umbral de cambio de la recomendación: NO_CALCULABLE, porque ninguna probabilidad tiene fuente.</w:t>
      </w:r>
    </w:p>
    <w:p>
      <w:pPr>
        <w:pStyle w:val="BodyText"/>
      </w:pPr>
      <w:r>
        <w:rPr>
          <w:b/>
          <w:bCs/>
        </w:rPr>
        <w:t xml:space="preserve">Auditoría de sesgos.</w:t>
      </w:r>
      <w:r>
        <w:t xml:space="preserve"> </w:t>
      </w:r>
      <w:r>
        <w:t xml:space="preserve">La auditoría cubre ocho sesgos, entre ellos el anclaje y la disponibilidad (Tversky y Kahneman, 1974) y la racionalización a posteriori (Festinger, 1957). Se aplica al decisor, al analista y al modelo de lenguaje.</w:t>
      </w:r>
    </w:p>
    <w:p>
      <w:pPr>
        <w:pStyle w:val="BodyText"/>
      </w:pPr>
      <w:r>
        <w:t xml:space="preserve">La Tabla F4.81 reúne los datos de «Auditoría de sesgos».</w:t>
      </w:r>
    </w:p>
    <w:p>
      <w:pPr>
        <w:pStyle w:val="TablaRotulo"/>
      </w:pPr>
      <w:bookmarkStart w:id="9158" w:name="rot_Tabla_F4_81"/>
      <w:r>
        <w:rPr>
          <w:b/>
          <w:bCs/>
        </w:rPr>
        <w:t xml:space="preserve">Tabla F4.81</w:t>
      </w:r>
      <w:bookmarkEnd w:id="9158"/>
    </w:p>
    <w:p>
      <w:pPr>
        <w:pStyle w:val="TablaTitulo"/>
      </w:pPr>
      <w:r>
        <w:rPr>
          <w:i/>
          <w:iCs/>
        </w:rPr>
        <w:t xml:space="preserve">Auditoría de sesgos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640"/>
        <w:gridCol w:w="3234"/>
      </w:tblGrid>
      <w:tr>
        <w:trPr>
          <w:cantSplit/>
          <w:tblHeader/>
        </w:trPr>
        <w:tc>
          <w:tcPr>
            <w:shd w:val="clear" w:color="auto" w:fill="00B050"/>
          </w:tcPr>
          <w:p>
            <w:pPr>
              <w:pStyle w:val="Tabla9"/>
              <w:jc w:val="center"/>
            </w:pPr>
            <w:r>
              <w:rPr>
                <w:b/>
                <w:color w:val="FFFFFF"/>
              </w:rPr>
              <w:t xml:space="preserve">Sesgo</w:t>
            </w:r>
          </w:p>
        </w:tc>
        <w:tc>
          <w:tcPr>
            <w:shd w:val="clear" w:color="auto" w:fill="00B050"/>
          </w:tcPr>
          <w:p>
            <w:pPr>
              <w:pStyle w:val="Tabla9"/>
              <w:jc w:val="center"/>
            </w:pPr>
            <w:r>
              <w:rPr>
                <w:b/>
                <w:color w:val="FFFFFF"/>
              </w:rPr>
              <w:t xml:space="preserve">Decisor (expediente E3)</w:t>
            </w:r>
          </w:p>
        </w:tc>
        <w:tc>
          <w:tcPr>
            <w:shd w:val="clear" w:color="auto" w:fill="00B050"/>
          </w:tcPr>
          <w:p>
            <w:pPr>
              <w:pStyle w:val="Tabla9"/>
              <w:jc w:val="center"/>
            </w:pPr>
            <w:r>
              <w:rPr>
                <w:b/>
                <w:color w:val="FFFFFF"/>
              </w:rPr>
              <w:t xml:space="preserve">Analista y modelo de lenguaje (esta corrida)</w:t>
            </w:r>
          </w:p>
        </w:tc>
      </w:tr>
      <w:tr>
        <w:trPr>
          <w:cantSplit/>
        </w:trPr>
        <w:tc>
          <w:tcPr/>
          <w:p>
            <w:pPr>
              <w:pStyle w:val="Tabla9"/>
              <w:jc w:val="left"/>
            </w:pPr>
            <w:r>
              <w:t xml:space="preserve">Confirmación</w:t>
            </w:r>
          </w:p>
        </w:tc>
        <w:tc>
          <w:tcPr/>
          <w:p>
            <w:pPr>
              <w:pStyle w:val="Tabla9"/>
              <w:jc w:val="left"/>
            </w:pPr>
            <w:r>
              <w:t xml:space="preserve">DETECTADO: los criterios del índice de cierre lógico derivan de la contradicción raíz que ALT-03 resuelve por construcción (E3-P11).</w:t>
            </w:r>
          </w:p>
        </w:tc>
        <w:tc>
          <w:tcPr/>
          <w:p>
            <w:pPr>
              <w:pStyle w:val="Tabla9"/>
              <w:jc w:val="left"/>
            </w:pPr>
            <w:r>
              <w:t xml:space="preserve">NO_EVALUADO. Contramedida aplicada: se conservaron R0, R1 y R2 y se enumeraron refutaciones.</w:t>
            </w:r>
          </w:p>
        </w:tc>
      </w:tr>
      <w:tr>
        <w:trPr>
          <w:cantSplit/>
        </w:trPr>
        <w:tc>
          <w:tcPr/>
          <w:p>
            <w:pPr>
              <w:pStyle w:val="Tabla9"/>
              <w:jc w:val="left"/>
            </w:pPr>
            <w:r>
              <w:t xml:space="preserve">Anclaje</w:t>
            </w:r>
          </w:p>
        </w:tc>
        <w:tc>
          <w:tcPr/>
          <w:p>
            <w:pPr>
              <w:pStyle w:val="Tabla9"/>
              <w:jc w:val="left"/>
            </w:pPr>
            <w:r>
              <w:t xml:space="preserve">DETECTADO: la cifra de 100 nodos y el 45 % de error orientan el diseño sin referencia independiente.</w:t>
            </w:r>
          </w:p>
        </w:tc>
        <w:tc>
          <w:tcPr/>
          <w:p>
            <w:pPr>
              <w:pStyle w:val="Tabla9"/>
              <w:jc w:val="left"/>
            </w:pPr>
            <w:r>
              <w:t xml:space="preserve">DETECTADO: se heredaron las cifras de F-E3 como punto de partida. Contramedida: se rotularon DECLARADO y NO_VERIFICADO.</w:t>
            </w:r>
          </w:p>
        </w:tc>
      </w:tr>
      <w:tr>
        <w:trPr>
          <w:cantSplit/>
        </w:trPr>
        <w:tc>
          <w:tcPr/>
          <w:p>
            <w:pPr>
              <w:pStyle w:val="Tabla9"/>
              <w:jc w:val="left"/>
            </w:pPr>
            <w:r>
              <w:t xml:space="preserve">Costo hundido</w:t>
            </w:r>
          </w:p>
        </w:tc>
        <w:tc>
          <w:tcPr/>
          <w:p>
            <w:pPr>
              <w:pStyle w:val="Tabla9"/>
              <w:jc w:val="left"/>
            </w:pPr>
            <w:r>
              <w:t xml:space="preserve">NO_DETECTADO: método de lectura dirigida de F-E3; no hay inversión previa documentada.</w:t>
            </w:r>
          </w:p>
        </w:tc>
        <w:tc>
          <w:tcPr/>
          <w:p>
            <w:pPr>
              <w:pStyle w:val="Tabla9"/>
              <w:jc w:val="left"/>
            </w:pPr>
            <w:r>
              <w:t xml:space="preserve">NO_DETECTADO por el mismo método.</w:t>
            </w:r>
          </w:p>
        </w:tc>
      </w:tr>
      <w:tr>
        <w:trPr>
          <w:cantSplit/>
        </w:trPr>
        <w:tc>
          <w:tcPr/>
          <w:p>
            <w:pPr>
              <w:pStyle w:val="Tabla9"/>
              <w:jc w:val="left"/>
            </w:pPr>
            <w:r>
              <w:t xml:space="preserve">Racionalización a posteriori</w:t>
            </w:r>
          </w:p>
        </w:tc>
        <w:tc>
          <w:tcPr/>
          <w:p>
            <w:pPr>
              <w:pStyle w:val="Tabla9"/>
              <w:jc w:val="left"/>
            </w:pPr>
            <w:r>
              <w:t xml:space="preserve">DETECTADO: E3-P09 impone tres operadores antes de evaluar alternativas y E3-P11 descarta las demás de forma definitiva.</w:t>
            </w:r>
          </w:p>
        </w:tc>
        <w:tc>
          <w:tcPr/>
          <w:p>
            <w:pPr>
              <w:pStyle w:val="Tabla9"/>
              <w:jc w:val="left"/>
            </w:pPr>
            <w:r>
              <w:t xml:space="preserve">Contramedida: criterios registrados antes de evaluar (versión 1.0).</w:t>
            </w:r>
          </w:p>
        </w:tc>
      </w:tr>
      <w:tr>
        <w:trPr>
          <w:cantSplit/>
        </w:trPr>
        <w:tc>
          <w:tcPr/>
          <w:p>
            <w:pPr>
              <w:pStyle w:val="Tabla9"/>
              <w:jc w:val="left"/>
            </w:pPr>
            <w:r>
              <w:t xml:space="preserve">Pensamiento desiderativo</w:t>
            </w:r>
          </w:p>
        </w:tc>
        <w:tc>
          <w:tcPr/>
          <w:p>
            <w:pPr>
              <w:pStyle w:val="Tabla9"/>
              <w:jc w:val="left"/>
            </w:pPr>
            <w:r>
              <w:t xml:space="preserve">DETECTADO: cifras favorables sin fuente (90 %, 20 %, 35 minutos como latencia).</w:t>
            </w:r>
          </w:p>
        </w:tc>
        <w:tc>
          <w:tcPr/>
          <w:p>
            <w:pPr>
              <w:pStyle w:val="Tabla9"/>
              <w:jc w:val="left"/>
            </w:pPr>
            <w:r>
              <w:t xml:space="preserve">Contramedida: rótulo SUPUESTO y NO_CALCULABLE.</w:t>
            </w:r>
          </w:p>
        </w:tc>
      </w:tr>
      <w:tr>
        <w:trPr>
          <w:cantSplit/>
        </w:trPr>
        <w:tc>
          <w:tcPr/>
          <w:p>
            <w:pPr>
              <w:pStyle w:val="Tabla9"/>
              <w:jc w:val="left"/>
            </w:pPr>
            <w:r>
              <w:t xml:space="preserve">Exceso de confianza</w:t>
            </w:r>
          </w:p>
        </w:tc>
        <w:tc>
          <w:tcPr/>
          <w:p>
            <w:pPr>
              <w:pStyle w:val="Tabla9"/>
              <w:jc w:val="left"/>
            </w:pPr>
            <w:r>
              <w:t xml:space="preserve">DETECTADO: expresiones de garantía y de prueba matemática en E3-P05, E3-P09 y E3-P19.</w:t>
            </w:r>
          </w:p>
        </w:tc>
        <w:tc>
          <w:tcPr/>
          <w:p>
            <w:pPr>
              <w:pStyle w:val="Tabla9"/>
              <w:jc w:val="left"/>
            </w:pPr>
            <w:r>
              <w:t xml:space="preserve">Contramedida: calificador CONDICIONALMENTE y refutaciones enumeradas.</w:t>
            </w:r>
          </w:p>
        </w:tc>
      </w:tr>
      <w:tr>
        <w:trPr>
          <w:cantSplit/>
        </w:trPr>
        <w:tc>
          <w:tcPr/>
          <w:p>
            <w:pPr>
              <w:pStyle w:val="Tabla9"/>
              <w:jc w:val="left"/>
            </w:pPr>
            <w:r>
              <w:t xml:space="preserve">Disponibilidad</w:t>
            </w:r>
          </w:p>
        </w:tc>
        <w:tc>
          <w:tcPr/>
          <w:p>
            <w:pPr>
              <w:pStyle w:val="Tabla9"/>
              <w:jc w:val="left"/>
            </w:pPr>
            <w:r>
              <w:t xml:space="preserve">NO_EVALUADO: falta una tasa base de episodios de PM en remoción de escombros.</w:t>
            </w:r>
          </w:p>
        </w:tc>
        <w:tc>
          <w:tcPr/>
          <w:p>
            <w:pPr>
              <w:pStyle w:val="Tabla9"/>
              <w:jc w:val="left"/>
            </w:pPr>
            <w:r>
              <w:t xml:space="preserve">NO_EVALUADO.</w:t>
            </w:r>
          </w:p>
        </w:tc>
      </w:tr>
      <w:tr>
        <w:trPr>
          <w:cantSplit/>
        </w:trPr>
        <w:tc>
          <w:tcPr/>
          <w:p>
            <w:pPr>
              <w:pStyle w:val="Tabla9"/>
              <w:jc w:val="left"/>
            </w:pPr>
            <w:r>
              <w:t xml:space="preserve">Supuesto de receptor</w:t>
            </w:r>
          </w:p>
        </w:tc>
        <w:tc>
          <w:tcPr/>
          <w:p>
            <w:pPr>
              <w:pStyle w:val="Tabla9"/>
              <w:jc w:val="left"/>
            </w:pPr>
            <w:r>
              <w:t xml:space="preserve">DETECTADO: E3-P17 y el Capítulo 14 suponen que las alcaldías reciben y sostienen.</w:t>
            </w:r>
          </w:p>
        </w:tc>
        <w:tc>
          <w:tcPr/>
          <w:p>
            <w:pPr>
              <w:pStyle w:val="Tabla9"/>
              <w:jc w:val="left"/>
            </w:pPr>
            <w:r>
              <w:t xml:space="preserve">Contramedida: premisa sin receptor único y estrategia R4.</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modelo de lenguaje que redacta tiende a completar los vacíos con prosa coherente. La contramedida es declarar VACIO y NO_CALCULABLE donde faltan insumos.</w:t>
      </w:r>
    </w:p>
    <w:bookmarkEnd w:id="204"/>
    <w:bookmarkStart w:id="205" w:name="X0b477750a4599dc81b6d773df9cd84e4847ccca"/>
    <w:p>
      <w:pPr>
        <w:pStyle w:val="Heading3"/>
      </w:pPr>
      <w:r>
        <w:t xml:space="preserve">F4.4-MDR.8 Teoría del cambio, supuestos, techo y matriz de efectos</w:t>
      </w:r>
    </w:p>
    <w:p>
      <w:pPr>
        <w:pStyle w:val="FirstParagraph"/>
      </w:pPr>
      <w:r>
        <w:t xml:space="preserve">Esta pieza explicita cómo y por qué la estrategia R4 produciría el cambio buscado. La teoría del cambio es provisional: usa el problema y las hipótesis de 4.3 y 4.4 y no exige un árbol de problemas terminado. Si 4.5 cambia la representación del problema, se versiona esta pieza.</w:t>
      </w:r>
    </w:p>
    <w:p>
      <w:pPr>
        <w:pStyle w:val="BodyText"/>
      </w:pPr>
      <w:r>
        <w:rPr>
          <w:b/>
          <w:bCs/>
        </w:rPr>
        <w:t xml:space="preserve">Impacto y horizonte.</w:t>
      </w:r>
      <w:r>
        <w:t xml:space="preserve"> </w:t>
      </w:r>
      <w:r>
        <w:t xml:space="preserve">El cambio de largo plazo se formula como estado observable con población, territorio y horizonte (Weiss, 1995; Taplin y Clark, 2012). El impacto es el problema central de la construcción, invertido. En 36 meses, operarios y comunidades de los sitios de remoción están protegidos por alertas basadas en mediciones verificadas. El territorio es SUPUESTO. La línea base de protección es VACIO.</w:t>
      </w:r>
    </w:p>
    <w:p>
      <w:pPr>
        <w:pStyle w:val="BodyText"/>
      </w:pPr>
      <w:r>
        <w:rPr>
          <w:b/>
          <w:bCs/>
        </w:rPr>
        <w:t xml:space="preserve">Mapeo inverso.</w:t>
      </w:r>
      <w:r>
        <w:t xml:space="preserve"> </w:t>
      </w:r>
      <w:r>
        <w:t xml:space="preserve">Cada fila responde: ¿qué debe ser cierto antes para que el nivel superior ocurra?</w:t>
      </w:r>
    </w:p>
    <w:p>
      <w:pPr>
        <w:pStyle w:val="BodyText"/>
      </w:pPr>
      <w:r>
        <w:t xml:space="preserve">La Tabla F4.82 reúne los datos de «Mapeo inverso».</w:t>
      </w:r>
    </w:p>
    <w:p>
      <w:pPr>
        <w:pStyle w:val="TablaRotulo"/>
      </w:pPr>
      <w:bookmarkStart w:id="9159" w:name="rot_Tabla_F4_82"/>
      <w:r>
        <w:rPr>
          <w:b/>
          <w:bCs/>
        </w:rPr>
        <w:t xml:space="preserve">Tabla F4.82</w:t>
      </w:r>
      <w:bookmarkEnd w:id="9159"/>
    </w:p>
    <w:p>
      <w:pPr>
        <w:pStyle w:val="TablaTitulo"/>
      </w:pPr>
      <w:r>
        <w:rPr>
          <w:i/>
          <w:iCs/>
        </w:rPr>
        <w:t xml:space="preserve">Mapeo inverso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92"/>
        <w:gridCol w:w="2772"/>
        <w:gridCol w:w="2772"/>
        <w:gridCol w:w="1584"/>
      </w:tblGrid>
      <w:tr>
        <w:trPr>
          <w:cantSplit/>
          <w:tblHeader/>
        </w:trPr>
        <w:tc>
          <w:tcPr>
            <w:shd w:val="clear" w:color="auto" w:fill="00B050"/>
          </w:tcPr>
          <w:p>
            <w:pPr>
              <w:pStyle w:val="Tabla9"/>
              <w:jc w:val="center"/>
            </w:pPr>
            <w:r>
              <w:rPr>
                <w:b/>
                <w:color w:val="FFFFFF"/>
              </w:rPr>
              <w:t xml:space="preserve">Nodo</w:t>
            </w:r>
          </w:p>
        </w:tc>
        <w:tc>
          <w:tcPr>
            <w:shd w:val="clear" w:color="auto" w:fill="00B050"/>
          </w:tcPr>
          <w:p>
            <w:pPr>
              <w:pStyle w:val="Tabla9"/>
              <w:jc w:val="center"/>
            </w:pPr>
            <w:r>
              <w:rPr>
                <w:b/>
                <w:color w:val="FFFFFF"/>
              </w:rPr>
              <w:t xml:space="preserve">Resultado</w:t>
            </w:r>
          </w:p>
        </w:tc>
        <w:tc>
          <w:tcPr>
            <w:shd w:val="clear" w:color="auto" w:fill="00B050"/>
          </w:tcPr>
          <w:p>
            <w:pPr>
              <w:pStyle w:val="Tabla9"/>
              <w:jc w:val="center"/>
            </w:pPr>
            <w:r>
              <w:rPr>
                <w:b/>
                <w:color w:val="FFFFFF"/>
              </w:rPr>
              <w:t xml:space="preserve">Precondiciones</w:t>
            </w:r>
          </w:p>
        </w:tc>
        <w:tc>
          <w:tcPr>
            <w:shd w:val="clear" w:color="auto" w:fill="00B050"/>
          </w:tcPr>
          <w:p>
            <w:pPr>
              <w:pStyle w:val="Tabla9"/>
              <w:jc w:val="center"/>
            </w:pPr>
            <w:r>
              <w:rPr>
                <w:b/>
                <w:color w:val="FFFFFF"/>
              </w:rPr>
              <w:t xml:space="preserve">Variables de S2</w:t>
            </w:r>
          </w:p>
        </w:tc>
      </w:tr>
      <w:tr>
        <w:trPr>
          <w:cantSplit/>
        </w:trPr>
        <w:tc>
          <w:tcPr/>
          <w:p>
            <w:pPr>
              <w:pStyle w:val="Tabla9"/>
              <w:jc w:val="left"/>
            </w:pPr>
            <w:r>
              <w:t xml:space="preserve">IM</w:t>
            </w:r>
          </w:p>
        </w:tc>
        <w:tc>
          <w:tcPr/>
          <w:p>
            <w:pPr>
              <w:pStyle w:val="Tabla9"/>
              <w:jc w:val="left"/>
            </w:pPr>
            <w:r>
              <w:t xml:space="preserve">Operarios y comunidades protegidos</w:t>
            </w:r>
          </w:p>
        </w:tc>
        <w:tc>
          <w:tcPr/>
          <w:p>
            <w:pPr>
              <w:pStyle w:val="Tabla9"/>
              <w:jc w:val="left"/>
            </w:pPr>
            <w:r>
              <w:t xml:space="preserve">I1, I2 e I3</w:t>
            </w:r>
          </w:p>
        </w:tc>
        <w:tc>
          <w:tcPr/>
          <w:p>
            <w:pPr>
              <w:pStyle w:val="Tabla9"/>
              <w:jc w:val="left"/>
            </w:pPr>
            <w:r>
              <w:t xml:space="preserve">V14</w:t>
            </w:r>
          </w:p>
        </w:tc>
      </w:tr>
      <w:tr>
        <w:trPr>
          <w:cantSplit/>
        </w:trPr>
        <w:tc>
          <w:tcPr/>
          <w:p>
            <w:pPr>
              <w:pStyle w:val="Tabla9"/>
              <w:jc w:val="left"/>
            </w:pPr>
            <w:r>
              <w:t xml:space="preserve">I1</w:t>
            </w:r>
          </w:p>
        </w:tc>
        <w:tc>
          <w:tcPr/>
          <w:p>
            <w:pPr>
              <w:pStyle w:val="Tabla9"/>
              <w:jc w:val="left"/>
            </w:pPr>
            <w:r>
              <w:t xml:space="preserve">Protocolos de gestión del riesgo y de salud incorporan las alertas</w:t>
            </w:r>
          </w:p>
        </w:tc>
        <w:tc>
          <w:tcPr/>
          <w:p>
            <w:pPr>
              <w:pStyle w:val="Tabla9"/>
              <w:jc w:val="left"/>
            </w:pPr>
            <w:r>
              <w:t xml:space="preserve">R3 y la adopción (SC-3)</w:t>
            </w:r>
          </w:p>
        </w:tc>
        <w:tc>
          <w:tcPr/>
          <w:p>
            <w:pPr>
              <w:pStyle w:val="Tabla9"/>
              <w:jc w:val="left"/>
            </w:pPr>
            <w:r>
              <w:t xml:space="preserve">V15</w:t>
            </w:r>
          </w:p>
        </w:tc>
      </w:tr>
      <w:tr>
        <w:trPr>
          <w:cantSplit/>
        </w:trPr>
        <w:tc>
          <w:tcPr/>
          <w:p>
            <w:pPr>
              <w:pStyle w:val="Tabla9"/>
              <w:jc w:val="left"/>
            </w:pPr>
            <w:r>
              <w:t xml:space="preserve">I2</w:t>
            </w:r>
          </w:p>
        </w:tc>
        <w:tc>
          <w:tcPr/>
          <w:p>
            <w:pPr>
              <w:pStyle w:val="Tabla9"/>
              <w:jc w:val="left"/>
            </w:pPr>
            <w:r>
              <w:t xml:space="preserve">Alertas oportunas con falsas alarmas dentro del umbral</w:t>
            </w:r>
          </w:p>
        </w:tc>
        <w:tc>
          <w:tcPr/>
          <w:p>
            <w:pPr>
              <w:pStyle w:val="Tabla9"/>
              <w:jc w:val="left"/>
            </w:pPr>
            <w:r>
              <w:t xml:space="preserve">R1 y R2</w:t>
            </w:r>
          </w:p>
        </w:tc>
        <w:tc>
          <w:tcPr/>
          <w:p>
            <w:pPr>
              <w:pStyle w:val="Tabla9"/>
              <w:jc w:val="left"/>
            </w:pPr>
            <w:r>
              <w:t xml:space="preserve">V12, V13</w:t>
            </w:r>
          </w:p>
        </w:tc>
      </w:tr>
      <w:tr>
        <w:trPr>
          <w:cantSplit/>
        </w:trPr>
        <w:tc>
          <w:tcPr/>
          <w:p>
            <w:pPr>
              <w:pStyle w:val="Tabla9"/>
              <w:jc w:val="left"/>
            </w:pPr>
            <w:r>
              <w:t xml:space="preserve">I3</w:t>
            </w:r>
          </w:p>
        </w:tc>
        <w:tc>
          <w:tcPr/>
          <w:p>
            <w:pPr>
              <w:pStyle w:val="Tabla9"/>
              <w:jc w:val="left"/>
            </w:pPr>
            <w:r>
              <w:t xml:space="preserve">Servicio operando con custodios después del mes 24</w:t>
            </w:r>
          </w:p>
        </w:tc>
        <w:tc>
          <w:tcPr/>
          <w:p>
            <w:pPr>
              <w:pStyle w:val="Tabla9"/>
              <w:jc w:val="left"/>
            </w:pPr>
            <w:r>
              <w:t xml:space="preserve">P4 y la capacidad de los custodios (SC-4)</w:t>
            </w:r>
          </w:p>
        </w:tc>
        <w:tc>
          <w:tcPr/>
          <w:p>
            <w:pPr>
              <w:pStyle w:val="Tabla9"/>
              <w:jc w:val="left"/>
            </w:pPr>
            <w:r>
              <w:t xml:space="preserve">V15, V09</w:t>
            </w:r>
          </w:p>
        </w:tc>
      </w:tr>
      <w:tr>
        <w:trPr>
          <w:cantSplit/>
        </w:trPr>
        <w:tc>
          <w:tcPr/>
          <w:p>
            <w:pPr>
              <w:pStyle w:val="Tabla9"/>
              <w:jc w:val="left"/>
            </w:pPr>
            <w:r>
              <w:t xml:space="preserve">R1</w:t>
            </w:r>
          </w:p>
        </w:tc>
        <w:tc>
          <w:tcPr/>
          <w:p>
            <w:pPr>
              <w:pStyle w:val="Tabla9"/>
              <w:jc w:val="left"/>
            </w:pPr>
            <w:r>
              <w:t xml:space="preserve">Error reducido y verificable</w:t>
            </w:r>
          </w:p>
        </w:tc>
        <w:tc>
          <w:tcPr/>
          <w:p>
            <w:pPr>
              <w:pStyle w:val="Tabla9"/>
              <w:jc w:val="left"/>
            </w:pPr>
            <w:r>
              <w:t xml:space="preserve">P1 y P2 (SC-1)</w:t>
            </w:r>
          </w:p>
        </w:tc>
        <w:tc>
          <w:tcPr/>
          <w:p>
            <w:pPr>
              <w:pStyle w:val="Tabla9"/>
              <w:jc w:val="left"/>
            </w:pPr>
            <w:r>
              <w:t xml:space="preserve">V06</w:t>
            </w:r>
          </w:p>
        </w:tc>
      </w:tr>
      <w:tr>
        <w:trPr>
          <w:cantSplit/>
        </w:trPr>
        <w:tc>
          <w:tcPr/>
          <w:p>
            <w:pPr>
              <w:pStyle w:val="Tabla9"/>
              <w:jc w:val="left"/>
            </w:pPr>
            <w:r>
              <w:t xml:space="preserve">R2</w:t>
            </w:r>
          </w:p>
        </w:tc>
        <w:tc>
          <w:tcPr/>
          <w:p>
            <w:pPr>
              <w:pStyle w:val="Tabla9"/>
              <w:jc w:val="left"/>
            </w:pPr>
            <w:r>
              <w:t xml:space="preserve">Datos suficientes</w:t>
            </w:r>
          </w:p>
        </w:tc>
        <w:tc>
          <w:tcPr/>
          <w:p>
            <w:pPr>
              <w:pStyle w:val="Tabla9"/>
              <w:jc w:val="left"/>
            </w:pPr>
            <w:r>
              <w:t xml:space="preserve">P1 (SC-2)</w:t>
            </w:r>
          </w:p>
        </w:tc>
        <w:tc>
          <w:tcPr/>
          <w:p>
            <w:pPr>
              <w:pStyle w:val="Tabla9"/>
              <w:jc w:val="left"/>
            </w:pPr>
            <w:r>
              <w:t xml:space="preserve">V09, V08</w:t>
            </w:r>
          </w:p>
        </w:tc>
      </w:tr>
      <w:tr>
        <w:trPr>
          <w:cantSplit/>
        </w:trPr>
        <w:tc>
          <w:tcPr/>
          <w:p>
            <w:pPr>
              <w:pStyle w:val="Tabla9"/>
              <w:jc w:val="left"/>
            </w:pPr>
            <w:r>
              <w:t xml:space="preserve">R3</w:t>
            </w:r>
          </w:p>
        </w:tc>
        <w:tc>
          <w:tcPr/>
          <w:p>
            <w:pPr>
              <w:pStyle w:val="Tabla9"/>
              <w:jc w:val="left"/>
            </w:pPr>
            <w:r>
              <w:t xml:space="preserve">Fórmula local del índice y umbrales validados</w:t>
            </w:r>
          </w:p>
        </w:tc>
        <w:tc>
          <w:tcPr/>
          <w:p>
            <w:pPr>
              <w:pStyle w:val="Tabla9"/>
              <w:jc w:val="left"/>
            </w:pPr>
            <w:r>
              <w:t xml:space="preserve">P3 y la validación (SC-3)</w:t>
            </w:r>
          </w:p>
        </w:tc>
        <w:tc>
          <w:tcPr/>
          <w:p>
            <w:pPr>
              <w:pStyle w:val="Tabla9"/>
              <w:jc w:val="left"/>
            </w:pPr>
            <w:r>
              <w:t xml:space="preserve">V11, V12</w:t>
            </w:r>
          </w:p>
        </w:tc>
      </w:tr>
      <w:tr>
        <w:trPr>
          <w:cantSplit/>
        </w:trPr>
        <w:tc>
          <w:tcPr/>
          <w:p>
            <w:pPr>
              <w:pStyle w:val="Tabla9"/>
              <w:jc w:val="left"/>
            </w:pPr>
            <w:r>
              <w:t xml:space="preserve">P1</w:t>
            </w:r>
          </w:p>
        </w:tc>
        <w:tc>
          <w:tcPr/>
          <w:p>
            <w:pPr>
              <w:pStyle w:val="Tabla9"/>
              <w:jc w:val="left"/>
            </w:pPr>
            <w:r>
              <w:t xml:space="preserve">Nodos con corrección local y repuestos</w:t>
            </w:r>
          </w:p>
        </w:tc>
        <w:tc>
          <w:tcPr/>
          <w:p>
            <w:pPr>
              <w:pStyle w:val="Tabla9"/>
              <w:jc w:val="left"/>
            </w:pPr>
            <w:r>
              <w:t xml:space="preserve">Compra y despliegue por tramos</w:t>
            </w:r>
          </w:p>
        </w:tc>
        <w:tc>
          <w:tcPr/>
          <w:p>
            <w:pPr>
              <w:pStyle w:val="Tabla9"/>
              <w:jc w:val="left"/>
            </w:pPr>
            <w:r>
              <w:t xml:space="preserve">V07, V09, V10</w:t>
            </w:r>
          </w:p>
        </w:tc>
      </w:tr>
      <w:tr>
        <w:trPr>
          <w:cantSplit/>
        </w:trPr>
        <w:tc>
          <w:tcPr/>
          <w:p>
            <w:pPr>
              <w:pStyle w:val="Tabla9"/>
              <w:jc w:val="left"/>
            </w:pPr>
            <w:r>
              <w:t xml:space="preserve">P2</w:t>
            </w:r>
          </w:p>
        </w:tc>
        <w:tc>
          <w:tcPr/>
          <w:p>
            <w:pPr>
              <w:pStyle w:val="Tabla9"/>
              <w:jc w:val="left"/>
            </w:pPr>
            <w:r>
              <w:t xml:space="preserve">Referencia, protocolo y sorteo</w:t>
            </w:r>
          </w:p>
        </w:tc>
        <w:tc>
          <w:tcPr/>
          <w:p>
            <w:pPr>
              <w:pStyle w:val="Tabla9"/>
              <w:jc w:val="left"/>
            </w:pPr>
            <w:r>
              <w:t xml:space="preserve">Referencia gravimétrica y registro de asignación</w:t>
            </w:r>
          </w:p>
        </w:tc>
        <w:tc>
          <w:tcPr/>
          <w:p>
            <w:pPr>
              <w:pStyle w:val="Tabla9"/>
              <w:jc w:val="left"/>
            </w:pPr>
            <w:r>
              <w:t xml:space="preserve">V06</w:t>
            </w:r>
          </w:p>
        </w:tc>
      </w:tr>
      <w:tr>
        <w:trPr>
          <w:cantSplit/>
        </w:trPr>
        <w:tc>
          <w:tcPr/>
          <w:p>
            <w:pPr>
              <w:pStyle w:val="Tabla9"/>
              <w:jc w:val="left"/>
            </w:pPr>
            <w:r>
              <w:t xml:space="preserve">P3</w:t>
            </w:r>
          </w:p>
        </w:tc>
        <w:tc>
          <w:tcPr/>
          <w:p>
            <w:pPr>
              <w:pStyle w:val="Tabla9"/>
              <w:jc w:val="left"/>
            </w:pPr>
            <w:r>
              <w:t xml:space="preserve">Gemelo digital y tablero con umbrales propuestos</w:t>
            </w:r>
          </w:p>
        </w:tc>
        <w:tc>
          <w:tcPr/>
          <w:p>
            <w:pPr>
              <w:pStyle w:val="Tabla9"/>
              <w:jc w:val="left"/>
            </w:pPr>
            <w:r>
              <w:t xml:space="preserve">Desarrollo y datos de R2</w:t>
            </w:r>
          </w:p>
        </w:tc>
        <w:tc>
          <w:tcPr/>
          <w:p>
            <w:pPr>
              <w:pStyle w:val="Tabla9"/>
              <w:jc w:val="left"/>
            </w:pPr>
            <w:r>
              <w:t xml:space="preserve">V10, V11</w:t>
            </w:r>
          </w:p>
        </w:tc>
      </w:tr>
      <w:tr>
        <w:trPr>
          <w:cantSplit/>
        </w:trPr>
        <w:tc>
          <w:tcPr/>
          <w:p>
            <w:pPr>
              <w:pStyle w:val="Tabla9"/>
              <w:jc w:val="left"/>
            </w:pPr>
            <w:r>
              <w:t xml:space="preserve">P4</w:t>
            </w:r>
          </w:p>
        </w:tc>
        <w:tc>
          <w:tcPr/>
          <w:p>
            <w:pPr>
              <w:pStyle w:val="Tabla9"/>
              <w:jc w:val="left"/>
            </w:pPr>
            <w:r>
              <w:t xml:space="preserve">Acuerdos de custodia y portafolio</w:t>
            </w:r>
          </w:p>
        </w:tc>
        <w:tc>
          <w:tcPr/>
          <w:p>
            <w:pPr>
              <w:pStyle w:val="Tabla9"/>
              <w:jc w:val="left"/>
            </w:pPr>
            <w:r>
              <w:t xml:space="preserve">Negociación por componente</w:t>
            </w:r>
          </w:p>
        </w:tc>
        <w:tc>
          <w:tcPr/>
          <w:p>
            <w:pPr>
              <w:pStyle w:val="Tabla9"/>
              <w:jc w:val="left"/>
            </w:pPr>
            <w:r>
              <w:t xml:space="preserve">V15</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Arquitectura según el dominio.</w:t>
      </w:r>
      <w:r>
        <w:t xml:space="preserve"> </w:t>
      </w:r>
      <w:r>
        <w:t xml:space="preserve">La parte de medición es COMPLICADO y la parte de adopción y custodia es COMPLEJO. La arquitectura elegida es la teoría del cambio anidada: una ejecutiva y una cadena por componente.</w:t>
      </w:r>
    </w:p>
    <w:p>
      <w:pPr>
        <w:pStyle w:val="BodyText"/>
      </w:pPr>
      <w:r>
        <w:t xml:space="preserve">La Tabla F4.83 reúne los datos de «Arquitectura según el dominio».</w:t>
      </w:r>
    </w:p>
    <w:p>
      <w:pPr>
        <w:pStyle w:val="TablaRotulo"/>
      </w:pPr>
      <w:bookmarkStart w:id="9160" w:name="rot_Tabla_F4_83"/>
      <w:r>
        <w:rPr>
          <w:b/>
          <w:bCs/>
        </w:rPr>
        <w:t xml:space="preserve">Tabla F4.83</w:t>
      </w:r>
      <w:bookmarkEnd w:id="9160"/>
    </w:p>
    <w:p>
      <w:pPr>
        <w:pStyle w:val="TablaTitulo"/>
      </w:pPr>
      <w:r>
        <w:rPr>
          <w:i/>
          <w:iCs/>
        </w:rPr>
        <w:t xml:space="preserve">Arquitectura según el dominio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1452"/>
        <w:gridCol w:w="3300"/>
        <w:gridCol w:w="1452"/>
      </w:tblGrid>
      <w:tr>
        <w:trPr>
          <w:cantSplit/>
          <w:tblHeader/>
        </w:trPr>
        <w:tc>
          <w:tcPr>
            <w:shd w:val="clear" w:color="auto" w:fill="00B050"/>
          </w:tcPr>
          <w:p>
            <w:pPr>
              <w:pStyle w:val="Tabla9"/>
              <w:jc w:val="center"/>
            </w:pPr>
            <w:r>
              <w:rPr>
                <w:b/>
                <w:color w:val="FFFFFF"/>
              </w:rPr>
              <w:t xml:space="preserve">Dominio</w:t>
            </w:r>
          </w:p>
        </w:tc>
        <w:tc>
          <w:tcPr>
            <w:shd w:val="clear" w:color="auto" w:fill="00B050"/>
          </w:tcPr>
          <w:p>
            <w:pPr>
              <w:pStyle w:val="Tabla9"/>
              <w:jc w:val="center"/>
            </w:pPr>
            <w:r>
              <w:rPr>
                <w:b/>
                <w:color w:val="FFFFFF"/>
              </w:rPr>
              <w:t xml:space="preserve">Arquitectura</w:t>
            </w:r>
          </w:p>
        </w:tc>
        <w:tc>
          <w:tcPr>
            <w:shd w:val="clear" w:color="auto" w:fill="00B050"/>
          </w:tcPr>
          <w:p>
            <w:pPr>
              <w:pStyle w:val="Tabla9"/>
              <w:jc w:val="center"/>
            </w:pPr>
            <w:r>
              <w:rPr>
                <w:b/>
                <w:color w:val="FFFFFF"/>
              </w:rPr>
              <w:t xml:space="preserve">Celda de desajuste</w:t>
            </w:r>
          </w:p>
        </w:tc>
        <w:tc>
          <w:tcPr>
            <w:shd w:val="clear" w:color="auto" w:fill="00B050"/>
          </w:tcPr>
          <w:p>
            <w:pPr>
              <w:pStyle w:val="Tabla9"/>
              <w:jc w:val="center"/>
            </w:pPr>
            <w:r>
              <w:rPr>
                <w:b/>
                <w:color w:val="FFFFFF"/>
              </w:rPr>
              <w:t xml:space="preserve">Decisión</w:t>
            </w:r>
          </w:p>
        </w:tc>
      </w:tr>
      <w:tr>
        <w:trPr>
          <w:cantSplit/>
        </w:trPr>
        <w:tc>
          <w:tcPr/>
          <w:p>
            <w:pPr>
              <w:pStyle w:val="Tabla9"/>
              <w:jc w:val="left"/>
            </w:pPr>
            <w:r>
              <w:t xml:space="preserve">COMPLICADO</w:t>
            </w:r>
          </w:p>
        </w:tc>
        <w:tc>
          <w:tcPr/>
          <w:p>
            <w:pPr>
              <w:pStyle w:val="Tabla9"/>
              <w:jc w:val="left"/>
            </w:pPr>
            <w:r>
              <w:t xml:space="preserve">Anidada</w:t>
            </w:r>
          </w:p>
        </w:tc>
        <w:tc>
          <w:tcPr/>
          <w:p>
            <w:pPr>
              <w:pStyle w:val="Tabla9"/>
              <w:jc w:val="left"/>
            </w:pPr>
            <w:r>
              <w:t xml:space="preserve">ADECUADA</w:t>
            </w:r>
          </w:p>
        </w:tc>
        <w:tc>
          <w:tcPr/>
          <w:p>
            <w:pPr>
              <w:pStyle w:val="Tabla9"/>
              <w:jc w:val="left"/>
            </w:pPr>
            <w:r>
              <w:t xml:space="preserve">Elegida para la medición</w:t>
            </w:r>
          </w:p>
        </w:tc>
      </w:tr>
      <w:tr>
        <w:trPr>
          <w:cantSplit/>
        </w:trPr>
        <w:tc>
          <w:tcPr/>
          <w:p>
            <w:pPr>
              <w:pStyle w:val="Tabla9"/>
              <w:jc w:val="left"/>
            </w:pPr>
            <w:r>
              <w:t xml:space="preserve">COMPLEJO</w:t>
            </w:r>
          </w:p>
        </w:tc>
        <w:tc>
          <w:tcPr/>
          <w:p>
            <w:pPr>
              <w:pStyle w:val="Tabla9"/>
              <w:jc w:val="left"/>
            </w:pPr>
            <w:r>
              <w:t xml:space="preserve">Anidada</w:t>
            </w:r>
          </w:p>
        </w:tc>
        <w:tc>
          <w:tcPr/>
          <w:p>
            <w:pPr>
              <w:pStyle w:val="Tabla9"/>
              <w:jc w:val="left"/>
            </w:pPr>
            <w:r>
              <w:t xml:space="preserve">ADMISIBLE_CON_AJUSTE: cada componente revisa sus supuestos periódicamente</w:t>
            </w:r>
          </w:p>
        </w:tc>
        <w:tc>
          <w:tcPr/>
          <w:p>
            <w:pPr>
              <w:pStyle w:val="Tabla9"/>
              <w:jc w:val="left"/>
            </w:pPr>
            <w:r>
              <w:t xml:space="preserve">Elegida con revisión trimestral de supuestos</w:t>
            </w:r>
          </w:p>
        </w:tc>
      </w:tr>
      <w:tr>
        <w:trPr>
          <w:cantSplit/>
        </w:trPr>
        <w:tc>
          <w:tcPr/>
          <w:p>
            <w:pPr>
              <w:pStyle w:val="Tabla9"/>
              <w:jc w:val="left"/>
            </w:pPr>
            <w:r>
              <w:t xml:space="preserve">COMPLEJO</w:t>
            </w:r>
          </w:p>
        </w:tc>
        <w:tc>
          <w:tcPr/>
          <w:p>
            <w:pPr>
              <w:pStyle w:val="Tabla9"/>
              <w:jc w:val="left"/>
            </w:pPr>
            <w:r>
              <w:t xml:space="preserve">Sistémica</w:t>
            </w:r>
          </w:p>
        </w:tc>
        <w:tc>
          <w:tcPr/>
          <w:p>
            <w:pPr>
              <w:pStyle w:val="Tabla9"/>
              <w:jc w:val="left"/>
            </w:pPr>
            <w:r>
              <w:t xml:space="preserve">ADECUADA</w:t>
            </w:r>
          </w:p>
        </w:tc>
        <w:tc>
          <w:tcPr/>
          <w:p>
            <w:pPr>
              <w:pStyle w:val="Tabla9"/>
              <w:jc w:val="left"/>
            </w:pPr>
            <w:r>
              <w:t xml:space="preserve">Arquitectura rival</w:t>
            </w:r>
          </w:p>
        </w:tc>
      </w:tr>
      <w:tr>
        <w:trPr>
          <w:cantSplit/>
        </w:trPr>
        <w:tc>
          <w:tcPr/>
          <w:p>
            <w:pPr>
              <w:pStyle w:val="Tabla9"/>
              <w:jc w:val="left"/>
            </w:pPr>
            <w:r>
              <w:t xml:space="preserve">COMPLICADO</w:t>
            </w:r>
          </w:p>
        </w:tc>
        <w:tc>
          <w:tcPr/>
          <w:p>
            <w:pPr>
              <w:pStyle w:val="Tabla9"/>
              <w:jc w:val="left"/>
            </w:pPr>
            <w:r>
              <w:t xml:space="preserve">Sistémica</w:t>
            </w:r>
          </w:p>
        </w:tc>
        <w:tc>
          <w:tcPr/>
          <w:p>
            <w:pPr>
              <w:pStyle w:val="Tabla9"/>
              <w:jc w:val="left"/>
            </w:pPr>
            <w:r>
              <w:t xml:space="preserve">RIESGO_SOBRECOSTO</w:t>
            </w:r>
          </w:p>
        </w:tc>
        <w:tc>
          <w:tcPr/>
          <w:p>
            <w:pPr>
              <w:pStyle w:val="Tabla9"/>
              <w:jc w:val="left"/>
            </w:pPr>
            <w:r>
              <w:t xml:space="preserve">Rechazada para la medición</w:t>
            </w:r>
          </w:p>
        </w:tc>
      </w:tr>
      <w:tr>
        <w:trPr>
          <w:cantSplit/>
        </w:trPr>
        <w:tc>
          <w:tcPr/>
          <w:p>
            <w:pPr>
              <w:pStyle w:val="Tabla9"/>
              <w:jc w:val="left"/>
            </w:pPr>
            <w:r>
              <w:t xml:space="preserve">COMPLEJO</w:t>
            </w:r>
          </w:p>
        </w:tc>
        <w:tc>
          <w:tcPr/>
          <w:p>
            <w:pPr>
              <w:pStyle w:val="Tabla9"/>
              <w:jc w:val="left"/>
            </w:pPr>
            <w:r>
              <w:t xml:space="preserve">Lineal</w:t>
            </w:r>
          </w:p>
        </w:tc>
        <w:tc>
          <w:tcPr/>
          <w:p>
            <w:pPr>
              <w:pStyle w:val="Tabla9"/>
              <w:jc w:val="left"/>
            </w:pPr>
            <w:r>
              <w:t xml:space="preserve">RIESGO_RIGIDEZ</w:t>
            </w:r>
          </w:p>
        </w:tc>
        <w:tc>
          <w:tcPr/>
          <w:p>
            <w:pPr>
              <w:pStyle w:val="Tabla9"/>
              <w:jc w:val="left"/>
            </w:pPr>
            <w:r>
              <w:t xml:space="preserve">Rechazada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Motivo del rechazo de la arquitectura sistémica.</w:t>
      </w:r>
      <w:r>
        <w:t xml:space="preserve"> </w:t>
      </w:r>
      <w:r>
        <w:t xml:space="preserve">Exigiría modelar bucles con fichas de salida de confianza baja. Su complejidad excedería la información disponible. La retroalimentación principal (el uso institucional que justifica contratos) se conserva como bucle en la teoría anidada. Se reexamina si el piloto revela patrones emergentes.</w:t>
      </w:r>
    </w:p>
    <w:p>
      <w:pPr>
        <w:pStyle w:val="BodyText"/>
      </w:pPr>
      <w:r>
        <w:rPr>
          <w:b/>
          <w:bCs/>
        </w:rPr>
        <w:t xml:space="preserve">Anidamiento.</w:t>
      </w:r>
      <w:r>
        <w:t xml:space="preserve"> </w:t>
      </w:r>
      <w:r>
        <w:t xml:space="preserve">La teoría ejecutiva cabe en una página y se desacopla por componente (Funnell y Rogers, 2011). Tiene once nodos. Las cadenas por componente son tres.</w:t>
      </w:r>
    </w:p>
    <w:p>
      <w:pPr>
        <w:pStyle w:val="BodyText"/>
      </w:pPr>
      <w:r>
        <w:t xml:space="preserve">La Tabla F4.84 reúne los datos de «Anidamiento».</w:t>
      </w:r>
    </w:p>
    <w:p>
      <w:pPr>
        <w:pStyle w:val="TablaRotulo"/>
      </w:pPr>
      <w:bookmarkStart w:id="9161" w:name="rot_Tabla_F4_84"/>
      <w:r>
        <w:rPr>
          <w:b/>
          <w:bCs/>
        </w:rPr>
        <w:t xml:space="preserve">Tabla F4.84</w:t>
      </w:r>
      <w:bookmarkEnd w:id="9161"/>
    </w:p>
    <w:p>
      <w:pPr>
        <w:pStyle w:val="TablaTitulo"/>
      </w:pPr>
      <w:r>
        <w:rPr>
          <w:i/>
          <w:iCs/>
        </w:rPr>
        <w:t xml:space="preserve">Anidamiento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442"/>
        <w:gridCol w:w="3894"/>
        <w:gridCol w:w="1584"/>
      </w:tblGrid>
      <w:tr>
        <w:trPr>
          <w:cantSplit/>
          <w:tblHeader/>
        </w:trPr>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Cadena</w:t>
            </w:r>
          </w:p>
        </w:tc>
        <w:tc>
          <w:tcPr>
            <w:shd w:val="clear" w:color="auto" w:fill="00B050"/>
          </w:tcPr>
          <w:p>
            <w:pPr>
              <w:pStyle w:val="Tabla9"/>
              <w:jc w:val="center"/>
            </w:pPr>
            <w:r>
              <w:rPr>
                <w:b/>
                <w:color w:val="FFFFFF"/>
              </w:rPr>
              <w:t xml:space="preserve">Nodos</w:t>
            </w:r>
          </w:p>
        </w:tc>
      </w:tr>
      <w:tr>
        <w:trPr>
          <w:cantSplit/>
        </w:trPr>
        <w:tc>
          <w:tcPr/>
          <w:p>
            <w:pPr>
              <w:pStyle w:val="Tabla9"/>
              <w:jc w:val="left"/>
            </w:pPr>
            <w:r>
              <w:t xml:space="preserve">Medición</w:t>
            </w:r>
          </w:p>
        </w:tc>
        <w:tc>
          <w:tcPr/>
          <w:p>
            <w:pPr>
              <w:pStyle w:val="Tabla9"/>
              <w:jc w:val="left"/>
            </w:pPr>
            <w:r>
              <w:t xml:space="preserve">Referencia y corrección local, error verificable, alertas fiables</w:t>
            </w:r>
          </w:p>
        </w:tc>
        <w:tc>
          <w:tcPr/>
          <w:p>
            <w:pPr>
              <w:pStyle w:val="Tabla9"/>
              <w:jc w:val="left"/>
            </w:pPr>
            <w:r>
              <w:t xml:space="preserve">P1, P2, R1, R2, I2</w:t>
            </w:r>
          </w:p>
        </w:tc>
      </w:tr>
      <w:tr>
        <w:trPr>
          <w:cantSplit/>
        </w:trPr>
        <w:tc>
          <w:tcPr/>
          <w:p>
            <w:pPr>
              <w:pStyle w:val="Tabla9"/>
              <w:jc w:val="left"/>
            </w:pPr>
            <w:r>
              <w:t xml:space="preserve">Alertas y adopción</w:t>
            </w:r>
          </w:p>
        </w:tc>
        <w:tc>
          <w:tcPr/>
          <w:p>
            <w:pPr>
              <w:pStyle w:val="Tabla9"/>
              <w:jc w:val="left"/>
            </w:pPr>
            <w:r>
              <w:t xml:space="preserve">Umbrales propuestos, validados, incorporados en protocolos</w:t>
            </w:r>
          </w:p>
        </w:tc>
        <w:tc>
          <w:tcPr/>
          <w:p>
            <w:pPr>
              <w:pStyle w:val="Tabla9"/>
              <w:jc w:val="left"/>
            </w:pPr>
            <w:r>
              <w:t xml:space="preserve">P3, R3, I1, IM</w:t>
            </w:r>
          </w:p>
        </w:tc>
      </w:tr>
      <w:tr>
        <w:trPr>
          <w:cantSplit/>
        </w:trPr>
        <w:tc>
          <w:tcPr/>
          <w:p>
            <w:pPr>
              <w:pStyle w:val="Tabla9"/>
              <w:jc w:val="left"/>
            </w:pPr>
            <w:r>
              <w:t xml:space="preserve">Custodia y financiación</w:t>
            </w:r>
          </w:p>
        </w:tc>
        <w:tc>
          <w:tcPr/>
          <w:p>
            <w:pPr>
              <w:pStyle w:val="Tabla9"/>
              <w:jc w:val="left"/>
            </w:pPr>
            <w:r>
              <w:t xml:space="preserve">Acuerdos por tramos, servicio con custodios</w:t>
            </w:r>
          </w:p>
        </w:tc>
        <w:tc>
          <w:tcPr/>
          <w:p>
            <w:pPr>
              <w:pStyle w:val="Tabla9"/>
              <w:jc w:val="left"/>
            </w:pPr>
            <w:r>
              <w:t xml:space="preserve">P4, I3, IM</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Supuestos críticos.</w:t>
      </w:r>
      <w:r>
        <w:t xml:space="preserve"> </w:t>
      </w:r>
      <w:r>
        <w:t xml:space="preserve">Cada supuesto tiene mecanismo (PORQUE) y su naturaleza es SUPUESTO. Ninguno se declara INCOMPLETO. Ninguno tiene probabilidad en A-DEC.</w:t>
      </w:r>
    </w:p>
    <w:p>
      <w:pPr>
        <w:pStyle w:val="BodyText"/>
      </w:pPr>
      <w:r>
        <w:rPr>
          <w:b/>
          <w:bCs/>
        </w:rPr>
        <w:t xml:space="preserve">SC-1 (medición).</w:t>
      </w:r>
      <w:r>
        <w:t xml:space="preserve"> </w:t>
      </w:r>
      <w:r>
        <w:t xml:space="preserve">- SI: los nodos con corrección local se comparan por sorteo semanal con la lectura sin corrección dinámica y con una referencia gravimétrica.</w:t>
      </w:r>
      <w:r>
        <w:t xml:space="preserve"> </w:t>
      </w:r>
      <w:r>
        <w:t xml:space="preserve">- ENTONCES: el error normalizado de los nodos corregidos resulta menor y la diferencia es detectable.</w:t>
      </w:r>
      <w:r>
        <w:t xml:space="preserve"> </w:t>
      </w:r>
      <w:r>
        <w:t xml:space="preserve">- PORQUE: la humedad y el sesgo por tamaño de partícula explican parte del error (V03→V06 = 3 en S2) y la corrección local los compensa antes de la transmisión.</w:t>
      </w:r>
      <w:r>
        <w:t xml:space="preserve"> </w:t>
      </w:r>
      <w:r>
        <w:t xml:space="preserve">- Evidencia: ficha V03→V06; F-INF §8.3 y §11.7; potencia recalculada en F4.3.6 (diferencia mínima detectable de 0,034 puntos de NMAE, CALCULADO sobre premisas NO_VERIFICADAS).</w:t>
      </w:r>
      <w:r>
        <w:t xml:space="preserve"> </w:t>
      </w:r>
      <w:r>
        <w:t xml:space="preserve">- Nodo de A-DEC: A1 y B1.</w:t>
      </w:r>
    </w:p>
    <w:p>
      <w:pPr>
        <w:pStyle w:val="BodyText"/>
      </w:pPr>
      <w:r>
        <w:rPr>
          <w:b/>
          <w:bCs/>
        </w:rPr>
        <w:t xml:space="preserve">SC-2 (energía y enlace).</w:t>
      </w:r>
      <w:r>
        <w:t xml:space="preserve"> </w:t>
      </w:r>
      <w:r>
        <w:t xml:space="preserve">- SI: los nodos conservan energía y enlace intermitente bajo maquinaria, polvo y humedad.</w:t>
      </w:r>
      <w:r>
        <w:t xml:space="preserve"> </w:t>
      </w:r>
      <w:r>
        <w:t xml:space="preserve">- ENTONCES: el gemelo digital recibe datos suficientes para el mapa y el tablero.</w:t>
      </w:r>
      <w:r>
        <w:t xml:space="preserve"> </w:t>
      </w:r>
      <w:r>
        <w:t xml:space="preserve">- PORQUE: la transmisión por eventos reduce el consumo, los nodos averiados se reponen y la maquinaria destruye nodos con peso 2 (V05→V09) que el plan de repuestos absorbe.</w:t>
      </w:r>
      <w:r>
        <w:t xml:space="preserve"> </w:t>
      </w:r>
      <w:r>
        <w:t xml:space="preserve">- Evidencia: ficha V05→V09; F-E3, E3-P09 (OP-02). F-INF no contiene respaldo de la corrección en el borde.</w:t>
      </w:r>
      <w:r>
        <w:t xml:space="preserve"> </w:t>
      </w:r>
      <w:r>
        <w:t xml:space="preserve">- Nodo de A-DEC: A2 y B2.</w:t>
      </w:r>
    </w:p>
    <w:p>
      <w:pPr>
        <w:pStyle w:val="BodyText"/>
      </w:pPr>
      <w:r>
        <w:rPr>
          <w:b/>
          <w:bCs/>
        </w:rPr>
        <w:t xml:space="preserve">SC-3 (uso institucional).</w:t>
      </w:r>
      <w:r>
        <w:t xml:space="preserve"> </w:t>
      </w:r>
      <w:r>
        <w:t xml:space="preserve">- SI: la autoridad de salud valida una fórmula local del índice y los umbrales, y los puestos de mando los incorporan en sus protocolos.</w:t>
      </w:r>
      <w:r>
        <w:t xml:space="preserve"> </w:t>
      </w:r>
      <w:r>
        <w:t xml:space="preserve">- ENTONCES: las alertas inducen acciones de protección y aumenta la población protegida.</w:t>
      </w:r>
      <w:r>
        <w:t xml:space="preserve"> </w:t>
      </w:r>
      <w:r>
        <w:t xml:space="preserve">- PORQUE: una alerta sin portador de decisión no modifica la conducta. En S2, V11→V14 y V13→V14 tienen peso 2 y son hipótesis de influencia.</w:t>
      </w:r>
      <w:r>
        <w:t xml:space="preserve"> </w:t>
      </w:r>
      <w:r>
        <w:t xml:space="preserve">- Evidencia: fichas de entrada de V14; F-INF §8.3 (D-04): ningún documento de alerta del corpus reporta detección, falsas alarmas ni anticipación.</w:t>
      </w:r>
      <w:r>
        <w:t xml:space="preserve"> </w:t>
      </w:r>
      <w:r>
        <w:t xml:space="preserve">- Nodo de A-DEC: A3 y B3.</w:t>
      </w:r>
    </w:p>
    <w:p>
      <w:pPr>
        <w:pStyle w:val="BodyText"/>
      </w:pPr>
      <w:r>
        <w:rPr>
          <w:b/>
          <w:bCs/>
        </w:rPr>
        <w:t xml:space="preserve">SC-4 (custodia).</w:t>
      </w:r>
      <w:r>
        <w:t xml:space="preserve"> </w:t>
      </w:r>
      <w:r>
        <w:t xml:space="preserve">- SI: al menos un custodio por componente demuestra capacidad de absorción antes de cada tramo de transferencia.</w:t>
      </w:r>
      <w:r>
        <w:t xml:space="preserve"> </w:t>
      </w:r>
      <w:r>
        <w:t xml:space="preserve">- ENTONCES: el servicio continúa después del mes 24 sin receptor público único.</w:t>
      </w:r>
      <w:r>
        <w:t xml:space="preserve"> </w:t>
      </w:r>
      <w:r>
        <w:t xml:space="preserve">- PORQUE: cada tramo exige presupuesto aprobado, personal designado y competencia jurídica documentada. Sin ellos rige la cláusula de apertura.</w:t>
      </w:r>
      <w:r>
        <w:t xml:space="preserve"> </w:t>
      </w:r>
      <w:r>
        <w:t xml:space="preserve">- Evidencia: F-E3, E3-P17 (§13) y Tabla E3-14.2. No existe compromiso firmado.</w:t>
      </w:r>
      <w:r>
        <w:t xml:space="preserve"> </w:t>
      </w:r>
      <w:r>
        <w:t xml:space="preserve">- Nodo de A-DEC: A4 y B4.</w:t>
      </w:r>
    </w:p>
    <w:p>
      <w:pPr>
        <w:pStyle w:val="BodyText"/>
      </w:pPr>
      <w:r>
        <w:rPr>
          <w:b/>
          <w:bCs/>
        </w:rPr>
        <w:t xml:space="preserve">Techo de rendición de cuentas.</w:t>
      </w:r>
      <w:r>
        <w:t xml:space="preserve"> </w:t>
      </w:r>
      <w:r>
        <w:t xml:space="preserve">El techo separa lo que el proyecto controla de aquello a lo que solo contribuye. Las metas comprometidas se ubican bajo el techo. El término «techo de rendición de cuentas» es una convención de práctica sin atribución localizada.</w:t>
      </w:r>
    </w:p>
    <w:p>
      <w:pPr>
        <w:pStyle w:val="BodyText"/>
      </w:pPr>
      <w:r>
        <w:t xml:space="preserve">La Tabla F4.85 reúne los datos de «Techo de rendición de cuentas».</w:t>
      </w:r>
    </w:p>
    <w:p>
      <w:pPr>
        <w:pStyle w:val="TablaRotulo"/>
      </w:pPr>
      <w:bookmarkStart w:id="9162" w:name="rot_Tabla_F4_85"/>
      <w:r>
        <w:rPr>
          <w:b/>
          <w:bCs/>
        </w:rPr>
        <w:t xml:space="preserve">Tabla F4.85</w:t>
      </w:r>
      <w:bookmarkEnd w:id="9162"/>
    </w:p>
    <w:p>
      <w:pPr>
        <w:pStyle w:val="TablaTitulo"/>
      </w:pPr>
      <w:r>
        <w:rPr>
          <w:i/>
          <w:iCs/>
        </w:rPr>
        <w:t xml:space="preserve">Techo de rendición de cuentas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64"/>
        <w:gridCol w:w="1530"/>
        <w:gridCol w:w="4925"/>
      </w:tblGrid>
      <w:tr>
        <w:trPr>
          <w:cantSplit/>
          <w:tblHeader/>
        </w:trPr>
        <w:tc>
          <w:tcPr>
            <w:shd w:val="clear" w:color="auto" w:fill="00B050"/>
          </w:tcPr>
          <w:p>
            <w:pPr>
              <w:pStyle w:val="Tabla9"/>
              <w:jc w:val="center"/>
            </w:pPr>
            <w:r>
              <w:rPr>
                <w:b/>
                <w:color w:val="FFFFFF"/>
              </w:rPr>
              <w:t xml:space="preserve">Zona</w:t>
            </w:r>
          </w:p>
        </w:tc>
        <w:tc>
          <w:tcPr>
            <w:shd w:val="clear" w:color="auto" w:fill="00B050"/>
          </w:tcPr>
          <w:p>
            <w:pPr>
              <w:pStyle w:val="Tabla9"/>
              <w:jc w:val="center"/>
            </w:pPr>
            <w:r>
              <w:rPr>
                <w:b/>
                <w:color w:val="FFFFFF"/>
              </w:rPr>
              <w:t xml:space="preserve">Nodos</w:t>
            </w:r>
          </w:p>
        </w:tc>
        <w:tc>
          <w:tcPr>
            <w:shd w:val="clear" w:color="auto" w:fill="00B050"/>
          </w:tcPr>
          <w:p>
            <w:pPr>
              <w:pStyle w:val="Tabla9"/>
              <w:jc w:val="center"/>
            </w:pPr>
            <w:r>
              <w:rPr>
                <w:b/>
                <w:color w:val="FFFFFF"/>
              </w:rPr>
              <w:t xml:space="preserve">Qué puede comprometer el proyecto</w:t>
            </w:r>
          </w:p>
        </w:tc>
      </w:tr>
      <w:tr>
        <w:trPr>
          <w:cantSplit/>
        </w:trPr>
        <w:tc>
          <w:tcPr/>
          <w:p>
            <w:pPr>
              <w:pStyle w:val="Tabla9"/>
              <w:jc w:val="left"/>
            </w:pPr>
            <w:r>
              <w:t xml:space="preserve">Bajo el techo</w:t>
            </w:r>
          </w:p>
        </w:tc>
        <w:tc>
          <w:tcPr/>
          <w:p>
            <w:pPr>
              <w:pStyle w:val="Tabla9"/>
              <w:jc w:val="left"/>
            </w:pPr>
            <w:r>
              <w:t xml:space="preserve">P1 a P4, R1 a R3</w:t>
            </w:r>
          </w:p>
        </w:tc>
        <w:tc>
          <w:tcPr/>
          <w:p>
            <w:pPr>
              <w:pStyle w:val="Tabla9"/>
              <w:jc w:val="left"/>
            </w:pPr>
            <w:r>
              <w:t xml:space="preserve">Nodos desplegados; error frente a la referencia; disponibilidad y latencia especificadas; umbrales propuestos y sometidos a validación</w:t>
            </w:r>
          </w:p>
        </w:tc>
      </w:tr>
      <w:tr>
        <w:trPr>
          <w:cantSplit/>
        </w:trPr>
        <w:tc>
          <w:tcPr/>
          <w:p>
            <w:pPr>
              <w:pStyle w:val="Tabla9"/>
              <w:jc w:val="left"/>
            </w:pPr>
            <w:r>
              <w:t xml:space="preserve">Sobre el techo</w:t>
            </w:r>
          </w:p>
        </w:tc>
        <w:tc>
          <w:tcPr/>
          <w:p>
            <w:pPr>
              <w:pStyle w:val="Tabla9"/>
              <w:jc w:val="left"/>
            </w:pPr>
            <w:r>
              <w:t xml:space="preserve">I1 a I3, IM</w:t>
            </w:r>
          </w:p>
        </w:tc>
        <w:tc>
          <w:tcPr/>
          <w:p>
            <w:pPr>
              <w:pStyle w:val="Tabla9"/>
              <w:jc w:val="left"/>
            </w:pPr>
            <w:r>
              <w:t xml:space="preserve">Solo contribución: adopción por las autoridades, alertas oportunas, servicio con custodios y protección de personas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F-E3 compromete como indicadores de impacto la morbilidad (reducción de 15 %, PERS-S01) y la apropiación local del gasto operativo (PERS-S02). Ambos se ubican sobre el techo. Se reformulan como contribución.</w:t>
      </w:r>
    </w:p>
    <w:p>
      <w:pPr>
        <w:pStyle w:val="BodyText"/>
      </w:pPr>
      <w:r>
        <w:rPr>
          <w:b/>
          <w:bCs/>
        </w:rPr>
        <w:t xml:space="preserve">Cuellos de adopción y marcos de cambio.</w:t>
      </w:r>
    </w:p>
    <w:p>
      <w:pPr>
        <w:pStyle w:val="BodyText"/>
      </w:pPr>
      <w:r>
        <w:t xml:space="preserve">La Tabla F4.86 reúne los datos de «Cuellos de adopción y marcos de cambio».</w:t>
      </w:r>
    </w:p>
    <w:p>
      <w:pPr>
        <w:pStyle w:val="TablaRotulo"/>
      </w:pPr>
      <w:bookmarkStart w:id="9163" w:name="rot_Tabla_F4_86"/>
      <w:r>
        <w:rPr>
          <w:b/>
          <w:bCs/>
        </w:rPr>
        <w:t xml:space="preserve">Tabla F4.86</w:t>
      </w:r>
      <w:bookmarkEnd w:id="9163"/>
    </w:p>
    <w:p>
      <w:pPr>
        <w:pStyle w:val="TablaTitulo"/>
      </w:pPr>
      <w:r>
        <w:rPr>
          <w:i/>
          <w:iCs/>
        </w:rPr>
        <w:t xml:space="preserve">Cuellos de adopción y marcos de cambio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14"/>
        <w:gridCol w:w="2112"/>
        <w:gridCol w:w="2046"/>
        <w:gridCol w:w="1848"/>
      </w:tblGrid>
      <w:tr>
        <w:trPr>
          <w:cantSplit/>
          <w:tblHeader/>
        </w:trPr>
        <w:tc>
          <w:tcPr>
            <w:shd w:val="clear" w:color="auto" w:fill="00B050"/>
          </w:tcPr>
          <w:p>
            <w:pPr>
              <w:pStyle w:val="Tabla9"/>
              <w:jc w:val="center"/>
            </w:pPr>
            <w:r>
              <w:rPr>
                <w:b/>
                <w:color w:val="FFFFFF"/>
              </w:rPr>
              <w:t xml:space="preserve">Eslabón que puede fallar</w:t>
            </w:r>
          </w:p>
        </w:tc>
        <w:tc>
          <w:tcPr>
            <w:shd w:val="clear" w:color="auto" w:fill="00B050"/>
          </w:tcPr>
          <w:p>
            <w:pPr>
              <w:pStyle w:val="Tabla9"/>
              <w:jc w:val="center"/>
            </w:pPr>
            <w:r>
              <w:rPr>
                <w:b/>
                <w:color w:val="FFFFFF"/>
              </w:rPr>
              <w:t xml:space="preserve">Evidencia</w:t>
            </w:r>
          </w:p>
        </w:tc>
        <w:tc>
          <w:tcPr>
            <w:shd w:val="clear" w:color="auto" w:fill="00B050"/>
          </w:tcPr>
          <w:p>
            <w:pPr>
              <w:pStyle w:val="Tabla9"/>
              <w:jc w:val="center"/>
            </w:pPr>
            <w:r>
              <w:rPr>
                <w:b/>
                <w:color w:val="FFFFFF"/>
              </w:rPr>
              <w:t xml:space="preserve">Marco de cambio elegido</w:t>
            </w:r>
          </w:p>
        </w:tc>
        <w:tc>
          <w:tcPr>
            <w:shd w:val="clear" w:color="auto" w:fill="00B050"/>
          </w:tcPr>
          <w:p>
            <w:pPr>
              <w:pStyle w:val="Tabla9"/>
              <w:jc w:val="center"/>
            </w:pPr>
            <w:r>
              <w:rPr>
                <w:b/>
                <w:color w:val="FFFFFF"/>
              </w:rPr>
              <w:t xml:space="preserve">Motivo</w:t>
            </w:r>
          </w:p>
        </w:tc>
      </w:tr>
      <w:tr>
        <w:trPr>
          <w:cantSplit/>
        </w:trPr>
        <w:tc>
          <w:tcPr/>
          <w:p>
            <w:pPr>
              <w:pStyle w:val="Tabla9"/>
              <w:jc w:val="left"/>
            </w:pPr>
            <w:r>
              <w:t xml:space="preserve">Incentivos y pagos: quién financia la operación</w:t>
            </w:r>
          </w:p>
        </w:tc>
        <w:tc>
          <w:tcPr/>
          <w:p>
            <w:pPr>
              <w:pStyle w:val="Tabla9"/>
              <w:jc w:val="left"/>
            </w:pPr>
            <w:r>
              <w:t xml:space="preserve">Juego de bien público con equilibrio (N, N) (F4.4-MDR.5)</w:t>
            </w:r>
          </w:p>
        </w:tc>
        <w:tc>
          <w:tcPr/>
          <w:p>
            <w:pPr>
              <w:pStyle w:val="Tabla9"/>
              <w:jc w:val="left"/>
            </w:pPr>
            <w:r>
              <w:t xml:space="preserve">Economía política con arquitectura de decisiones: los tramos condicionados funcionan como opción por defecto</w:t>
            </w:r>
          </w:p>
        </w:tc>
        <w:tc>
          <w:tcPr/>
          <w:p>
            <w:pPr>
              <w:pStyle w:val="Tabla9"/>
              <w:jc w:val="left"/>
            </w:pPr>
            <w:r>
              <w:t xml:space="preserve">El cuello es de intereses, no de conocimiento</w:t>
            </w:r>
          </w:p>
        </w:tc>
      </w:tr>
      <w:tr>
        <w:trPr>
          <w:cantSplit/>
        </w:trPr>
        <w:tc>
          <w:tcPr/>
          <w:p>
            <w:pPr>
              <w:pStyle w:val="Tabla9"/>
              <w:jc w:val="left"/>
            </w:pPr>
            <w:r>
              <w:t xml:space="preserve">Habilidad y refuerzo del personal local</w:t>
            </w:r>
          </w:p>
        </w:tc>
        <w:tc>
          <w:tcPr/>
          <w:p>
            <w:pPr>
              <w:pStyle w:val="Tabla9"/>
              <w:jc w:val="left"/>
            </w:pPr>
            <w:r>
              <w:t xml:space="preserve">Rotación de personal (F4.4-MDR.4)</w:t>
            </w:r>
          </w:p>
        </w:tc>
        <w:tc>
          <w:tcPr/>
          <w:p>
            <w:pPr>
              <w:pStyle w:val="Tabla9"/>
              <w:jc w:val="left"/>
            </w:pPr>
            <w:r>
              <w:t xml:space="preserve">ADKAR (Hiatt, 2006)</w:t>
            </w:r>
          </w:p>
        </w:tc>
        <w:tc>
          <w:tcPr/>
          <w:p>
            <w:pPr>
              <w:pStyle w:val="Tabla9"/>
              <w:jc w:val="left"/>
            </w:pPr>
            <w:r>
              <w:t xml:space="preserve">Identifica si falla la habilidad o el refuerzo</w:t>
            </w:r>
          </w:p>
        </w:tc>
      </w:tr>
      <w:tr>
        <w:trPr>
          <w:cantSplit/>
        </w:trPr>
        <w:tc>
          <w:tcPr/>
          <w:p>
            <w:pPr>
              <w:pStyle w:val="Tabla9"/>
              <w:jc w:val="left"/>
            </w:pPr>
            <w:r>
              <w:t xml:space="preserve">Cumplimiento del protocolo de calibración</w:t>
            </w:r>
          </w:p>
        </w:tc>
        <w:tc>
          <w:tcPr/>
          <w:p>
            <w:pPr>
              <w:pStyle w:val="Tabla9"/>
              <w:jc w:val="left"/>
            </w:pPr>
            <w:r>
              <w:t xml:space="preserve">Dependencia de un estándar operativo</w:t>
            </w:r>
          </w:p>
        </w:tc>
        <w:tc>
          <w:tcPr/>
          <w:p>
            <w:pPr>
              <w:pStyle w:val="Tabla9"/>
              <w:jc w:val="left"/>
            </w:pPr>
            <w:r>
              <w:t xml:space="preserve">PDCA (Deming, 1986)</w:t>
            </w:r>
          </w:p>
        </w:tc>
        <w:tc>
          <w:tcPr/>
          <w:p>
            <w:pPr>
              <w:pStyle w:val="Tabla9"/>
              <w:jc w:val="left"/>
            </w:pPr>
            <w:r>
              <w:t xml:space="preserve">El cuello es de ejecución de un estándar</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se elige el modelo de transformación organizacional planificada, porque el sistema no depende de una sola organización.</w:t>
      </w:r>
    </w:p>
    <w:p>
      <w:pPr>
        <w:pStyle w:val="BodyText"/>
      </w:pPr>
      <w:r>
        <w:rPr>
          <w:b/>
          <w:bCs/>
        </w:rPr>
        <w:t xml:space="preserve">Efectos del enfoque sobre el proyecto.</w:t>
      </w:r>
    </w:p>
    <w:p>
      <w:pPr>
        <w:pStyle w:val="BodyText"/>
      </w:pPr>
      <w:r>
        <w:t xml:space="preserve">La Tabla F4.87 reúne los datos de «Efectos del enfoque sobre el proyecto».</w:t>
      </w:r>
    </w:p>
    <w:p>
      <w:pPr>
        <w:pStyle w:val="TablaRotulo"/>
      </w:pPr>
      <w:bookmarkStart w:id="9164" w:name="rot_Tabla_F4_87"/>
      <w:r>
        <w:rPr>
          <w:b/>
          <w:bCs/>
        </w:rPr>
        <w:t xml:space="preserve">Tabla F4.87</w:t>
      </w:r>
      <w:bookmarkEnd w:id="9164"/>
    </w:p>
    <w:p>
      <w:pPr>
        <w:pStyle w:val="TablaTitulo"/>
      </w:pPr>
      <w:r>
        <w:rPr>
          <w:i/>
          <w:iCs/>
        </w:rPr>
        <w:t xml:space="preserve">Efectos del enfoque sobre 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78"/>
        <w:gridCol w:w="2904"/>
        <w:gridCol w:w="2838"/>
      </w:tblGrid>
      <w:tr>
        <w:trPr>
          <w:cantSplit/>
          <w:tblHeader/>
        </w:trPr>
        <w:tc>
          <w:tcPr>
            <w:shd w:val="clear" w:color="auto" w:fill="00B050"/>
          </w:tcPr>
          <w:p>
            <w:pPr>
              <w:pStyle w:val="Tabla9"/>
              <w:jc w:val="center"/>
            </w:pPr>
            <w:r>
              <w:rPr>
                <w:b/>
                <w:color w:val="FFFFFF"/>
              </w:rPr>
              <w:t xml:space="preserve">Dimensión</w:t>
            </w:r>
          </w:p>
        </w:tc>
        <w:tc>
          <w:tcPr>
            <w:shd w:val="clear" w:color="auto" w:fill="00B050"/>
          </w:tcPr>
          <w:p>
            <w:pPr>
              <w:pStyle w:val="Tabla9"/>
              <w:jc w:val="center"/>
            </w:pPr>
            <w:r>
              <w:rPr>
                <w:b/>
                <w:color w:val="FFFFFF"/>
              </w:rPr>
              <w:t xml:space="preserve">Efecto de la teoría anidada</w:t>
            </w:r>
          </w:p>
        </w:tc>
        <w:tc>
          <w:tcPr>
            <w:shd w:val="clear" w:color="auto" w:fill="00B050"/>
          </w:tcPr>
          <w:p>
            <w:pPr>
              <w:pStyle w:val="Tabla9"/>
              <w:jc w:val="center"/>
            </w:pPr>
            <w:r>
              <w:rPr>
                <w:b/>
                <w:color w:val="FFFFFF"/>
              </w:rPr>
              <w:t xml:space="preserve">Aplicación al proyecto</w:t>
            </w:r>
          </w:p>
        </w:tc>
      </w:tr>
      <w:tr>
        <w:trPr>
          <w:cantSplit/>
        </w:trPr>
        <w:tc>
          <w:tcPr/>
          <w:p>
            <w:pPr>
              <w:pStyle w:val="Tabla9"/>
              <w:jc w:val="left"/>
            </w:pPr>
            <w:r>
              <w:t xml:space="preserve">Formulación</w:t>
            </w:r>
          </w:p>
        </w:tc>
        <w:tc>
          <w:tcPr/>
          <w:p>
            <w:pPr>
              <w:pStyle w:val="Tabla9"/>
              <w:jc w:val="left"/>
            </w:pPr>
            <w:r>
              <w:t xml:space="preserve">Teoría ejecutiva y por componente</w:t>
            </w:r>
          </w:p>
        </w:tc>
        <w:tc>
          <w:tcPr/>
          <w:p>
            <w:pPr>
              <w:pStyle w:val="Tabla9"/>
              <w:jc w:val="left"/>
            </w:pPr>
            <w:r>
              <w:t xml:space="preserve">Once nodos y tres cadenas</w:t>
            </w:r>
          </w:p>
        </w:tc>
      </w:tr>
      <w:tr>
        <w:trPr>
          <w:cantSplit/>
        </w:trPr>
        <w:tc>
          <w:tcPr/>
          <w:p>
            <w:pPr>
              <w:pStyle w:val="Tabla9"/>
              <w:jc w:val="left"/>
            </w:pPr>
            <w:r>
              <w:t xml:space="preserve">Presupuesto</w:t>
            </w:r>
          </w:p>
        </w:tc>
        <w:tc>
          <w:tcPr/>
          <w:p>
            <w:pPr>
              <w:pStyle w:val="Tabla9"/>
              <w:jc w:val="left"/>
            </w:pPr>
            <w:r>
              <w:t xml:space="preserve">Por componente, con reasignación interna regulada</w:t>
            </w:r>
          </w:p>
        </w:tc>
        <w:tc>
          <w:tcPr/>
          <w:p>
            <w:pPr>
              <w:pStyle w:val="Tabla9"/>
              <w:jc w:val="left"/>
            </w:pPr>
            <w:r>
              <w:t xml:space="preserve">Tramos condicionados a la evidencia</w:t>
            </w:r>
          </w:p>
        </w:tc>
      </w:tr>
      <w:tr>
        <w:trPr>
          <w:cantSplit/>
        </w:trPr>
        <w:tc>
          <w:tcPr/>
          <w:p>
            <w:pPr>
              <w:pStyle w:val="Tabla9"/>
              <w:jc w:val="left"/>
            </w:pPr>
            <w:r>
              <w:t xml:space="preserve">Indicadores</w:t>
            </w:r>
          </w:p>
        </w:tc>
        <w:tc>
          <w:tcPr/>
          <w:p>
            <w:pPr>
              <w:pStyle w:val="Tabla9"/>
              <w:jc w:val="left"/>
            </w:pPr>
            <w:r>
              <w:t xml:space="preserve">Por componente y agregados</w:t>
            </w:r>
          </w:p>
        </w:tc>
        <w:tc>
          <w:tcPr/>
          <w:p>
            <w:pPr>
              <w:pStyle w:val="Tabla9"/>
              <w:jc w:val="left"/>
            </w:pPr>
            <w:r>
              <w:t xml:space="preserve">Metas comprometidas solo bajo el techo</w:t>
            </w:r>
          </w:p>
        </w:tc>
      </w:tr>
      <w:tr>
        <w:trPr>
          <w:cantSplit/>
        </w:trPr>
        <w:tc>
          <w:tcPr/>
          <w:p>
            <w:pPr>
              <w:pStyle w:val="Tabla9"/>
              <w:jc w:val="left"/>
            </w:pPr>
            <w:r>
              <w:t xml:space="preserve">Evaluación</w:t>
            </w:r>
          </w:p>
        </w:tc>
        <w:tc>
          <w:tcPr/>
          <w:p>
            <w:pPr>
              <w:pStyle w:val="Tabla9"/>
              <w:jc w:val="left"/>
            </w:pPr>
            <w:r>
              <w:t xml:space="preserve">Contribución por componente y contrafactual donde aplique</w:t>
            </w:r>
          </w:p>
        </w:tc>
        <w:tc>
          <w:tcPr/>
          <w:p>
            <w:pPr>
              <w:pStyle w:val="Tabla9"/>
              <w:jc w:val="left"/>
            </w:pPr>
            <w:r>
              <w:t xml:space="preserve">Sorteo en la medición; contribución en adopción y custodia</w:t>
            </w:r>
          </w:p>
        </w:tc>
      </w:tr>
      <w:tr>
        <w:trPr>
          <w:cantSplit/>
        </w:trPr>
        <w:tc>
          <w:tcPr/>
          <w:p>
            <w:pPr>
              <w:pStyle w:val="Tabla9"/>
              <w:jc w:val="left"/>
            </w:pPr>
            <w:r>
              <w:t xml:space="preserve">Gobernanza</w:t>
            </w:r>
          </w:p>
        </w:tc>
        <w:tc>
          <w:tcPr/>
          <w:p>
            <w:pPr>
              <w:pStyle w:val="Tabla9"/>
              <w:jc w:val="left"/>
            </w:pPr>
            <w:r>
              <w:t xml:space="preserve">Comités por componente y comité integrador</w:t>
            </w:r>
          </w:p>
        </w:tc>
        <w:tc>
          <w:tcPr/>
          <w:p>
            <w:pPr>
              <w:pStyle w:val="Tabla9"/>
              <w:jc w:val="left"/>
            </w:pPr>
            <w:r>
              <w:t xml:space="preserve">Revisión trimestral de supuestos</w:t>
            </w:r>
          </w:p>
        </w:tc>
      </w:tr>
      <w:tr>
        <w:trPr>
          <w:cantSplit/>
        </w:trPr>
        <w:tc>
          <w:tcPr/>
          <w:p>
            <w:pPr>
              <w:pStyle w:val="Tabla9"/>
              <w:jc w:val="left"/>
            </w:pPr>
            <w:r>
              <w:t xml:space="preserve">Sostenibilidad</w:t>
            </w:r>
          </w:p>
        </w:tc>
        <w:tc>
          <w:tcPr/>
          <w:p>
            <w:pPr>
              <w:pStyle w:val="Tabla9"/>
              <w:jc w:val="left"/>
            </w:pPr>
            <w:r>
              <w:t xml:space="preserve">Custodia distribuida por componente</w:t>
            </w:r>
          </w:p>
        </w:tc>
        <w:tc>
          <w:tcPr/>
          <w:p>
            <w:pPr>
              <w:pStyle w:val="Tabla9"/>
              <w:jc w:val="left"/>
            </w:pPr>
            <w:r>
              <w:t xml:space="preserve">Cláusula de apertura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Riesgo de una clasificación errónea.</w:t>
      </w:r>
      <w:r>
        <w:t xml:space="preserve"> </w:t>
      </w:r>
      <w:r>
        <w:t xml:space="preserve">Si la adopción fuera CLARA, la revisión trimestral generaría sobrecosto. Si fuera CAOTICA, la coordinación por componente sería lenta.</w:t>
      </w:r>
    </w:p>
    <w:p>
      <w:pPr>
        <w:pStyle w:val="BodyText"/>
      </w:pPr>
      <w:r>
        <w:rPr>
          <w:b/>
          <w:bCs/>
        </w:rPr>
        <w:t xml:space="preserve">Traducción a los formatos obligatorios.</w:t>
      </w:r>
      <w:r>
        <w:t xml:space="preserve"> </w:t>
      </w:r>
      <w:r>
        <w:t xml:space="preserve">El instrumento puede exigir la matriz de marco lógico o un formato de proyecto. Su vigencia es CANDIDATO_A_VERIFICAR. La teoría del cambio gobierna y el formato es su proyección operativa. El formato no expresa tres elementos: el bucle de demanda (I1 hacia P4), la condicionalidad de los tramos (SC-4) y el sorteo semanal. Se documentan aparte.</w:t>
      </w:r>
    </w:p>
    <w:p>
      <w:pPr>
        <w:pStyle w:val="BodyText"/>
      </w:pPr>
      <w:r>
        <w:rPr>
          <w:b/>
          <w:bCs/>
        </w:rPr>
        <w:t xml:space="preserve">Vacíos de la teoría del cambio.</w:t>
      </w:r>
    </w:p>
    <w:p>
      <w:pPr>
        <w:pStyle w:val="Compact"/>
        <w:numPr>
          <w:ilvl w:val="0"/>
          <w:numId w:val="1011"/>
        </w:numPr>
      </w:pPr>
      <w:r>
        <w:t xml:space="preserve">Evidencia primaria de SC-2 y SC-3: VACIO. Vía: lectura de fuentes primarias y piloto.</w:t>
      </w:r>
    </w:p>
    <w:p>
      <w:pPr>
        <w:pStyle w:val="Compact"/>
        <w:numPr>
          <w:ilvl w:val="0"/>
          <w:numId w:val="1011"/>
        </w:numPr>
      </w:pPr>
      <w:r>
        <w:t xml:space="preserve">Mecanismo de cobertura de referencias: solo hay tres monitores gravimétricos presupuestados (F-E3, Tabla E3-8.3) para 100 nodos.</w:t>
      </w:r>
    </w:p>
    <w:bookmarkEnd w:id="205"/>
    <w:bookmarkStart w:id="206" w:name="_Toc00900081"/>
    <w:p>
      <w:pPr>
        <w:pStyle w:val="Heading3"/>
      </w:pPr>
      <w:r>
        <w:t xml:space="preserve">F4.4-MDR.9 Validación argumentativa</w:t>
      </w:r>
    </w:p>
    <w:p>
      <w:pPr>
        <w:pStyle w:val="FirstParagraph"/>
      </w:pPr>
      <w:r>
        <w:t xml:space="preserve">Esta pieza somete la decisión y cada supuesto crítico a la estructura de Toulmin (1958), adaptada por Dunn (2018). Responde qué sostiene la propuesta y bajo qué condiciones falla.</w:t>
      </w:r>
    </w:p>
    <w:p>
      <w:pPr>
        <w:pStyle w:val="BodyText"/>
      </w:pPr>
      <w:r>
        <w:rPr>
          <w:b/>
          <w:bCs/>
        </w:rPr>
        <w:t xml:space="preserve">Argumento de la decisión.</w:t>
      </w:r>
      <w:r>
        <w:t xml:space="preserve"> </w:t>
      </w:r>
      <w:r>
        <w:rPr>
          <w:b/>
          <w:bCs/>
        </w:rPr>
        <w:t xml:space="preserve">Información (I).</w:t>
      </w:r>
      <w:r>
        <w:t xml:space="preserve"> </w:t>
      </w:r>
      <w:r>
        <w:t xml:space="preserve">1. S2 clasifica V06 como crítica en los cinco escenarios y V15 participa en 140 de 144 ciclos simples. Sus fichas de salida tienen confianza baja o media (F4.4.13 y F4.4.14). CALCULADO; estatuto HIE.</w:t>
      </w:r>
      <w:r>
        <w:t xml:space="preserve"> </w:t>
      </w:r>
      <w:r>
        <w:t xml:space="preserve">2. F-E3 afirma que, si las alcaldías no asumen la responsabilidad de operar, la red termina en el mes 25 (E3-P17, §13). Ningún compromiso está firmado. DOCUMENTADO; NO_VERIFICADO.</w:t>
      </w:r>
      <w:r>
        <w:t xml:space="preserve"> </w:t>
      </w:r>
      <w:r>
        <w:t xml:space="preserve">3. F-INF §6.5 modela la calibración y el mantenimiento como un juego de bien público con equilibrio (N, N). INFERIDO.</w:t>
      </w:r>
      <w:r>
        <w:t xml:space="preserve"> </w:t>
      </w:r>
      <w:r>
        <w:t xml:space="preserve">4. F-INF §8.3 recomienda una fase 0 de 12 meses antes de la compra masiva y un protocolo de calibración colocalizada. DOCUMENTADO en F-INF; fuente primaria no leída.</w:t>
      </w:r>
      <w:r>
        <w:t xml:space="preserve"> </w:t>
      </w:r>
      <w:r>
        <w:t xml:space="preserve">5. 4.3 declara el estimando E1 identificable por diseño con sorteo semanal. CALCULADO sobre premisas NO_VERIFICADAS.</w:t>
      </w:r>
    </w:p>
    <w:p>
      <w:pPr>
        <w:pStyle w:val="BodyText"/>
      </w:pPr>
      <w:r>
        <w:rPr>
          <w:b/>
          <w:bCs/>
        </w:rPr>
        <w:t xml:space="preserve">Afirmación (C).</w:t>
      </w:r>
      <w:r>
        <w:t xml:space="preserve"> </w:t>
      </w:r>
      <w:r>
        <w:t xml:space="preserve">El proyecto ejecuta R4 antes que R3 como estrategia base y decide continuar o detener en el Hito 2 según la evidencia del piloto.</w:t>
      </w:r>
    </w:p>
    <w:p>
      <w:pPr>
        <w:pStyle w:val="BodyText"/>
      </w:pPr>
      <w:r>
        <w:rPr>
          <w:b/>
          <w:bCs/>
        </w:rPr>
        <w:t xml:space="preserve">Justificación (W).</w:t>
      </w:r>
      <w:r>
        <w:t xml:space="preserve"> </w:t>
      </w:r>
      <w:r>
        <w:t xml:space="preserve">Cuando el resultado depende de supuestos no verificados, se prefiere la opción de menor costo de reversión y menor tiempo de detección (Collingridge, 1980). La corrección tardía es costosa. Cuando la continuidad depende de un actor sin compromiso ejecutable, el diseño no lo supone.</w:t>
      </w:r>
    </w:p>
    <w:p>
      <w:pPr>
        <w:pStyle w:val="BodyText"/>
      </w:pPr>
      <w:r>
        <w:rPr>
          <w:b/>
          <w:bCs/>
        </w:rPr>
        <w:t xml:space="preserve">Respaldo (B).</w:t>
      </w:r>
      <w:r>
        <w:t xml:space="preserve"> </w:t>
      </w:r>
      <w:r>
        <w:t xml:space="preserve">Collingridge (1980) y Shediac-Rizkallah y Bone (1998) respaldan los dos principios. Ninguna de las dos obras se consultó en esta corrida.</w:t>
      </w:r>
    </w:p>
    <w:p>
      <w:pPr>
        <w:pStyle w:val="BodyText"/>
      </w:pPr>
      <w:r>
        <w:rPr>
          <w:b/>
          <w:bCs/>
        </w:rPr>
        <w:t xml:space="preserve">Calificador (Q).</w:t>
      </w:r>
      <w:r>
        <w:t xml:space="preserve"> </w:t>
      </w:r>
      <w:r>
        <w:t xml:space="preserve">CONDICIONALMENTE. C depende de los supuestos SC-1 a SC-4, que son SUPUESTO.</w:t>
      </w:r>
    </w:p>
    <w:p>
      <w:pPr>
        <w:pStyle w:val="BodyText"/>
      </w:pPr>
      <w:r>
        <w:rPr>
          <w:b/>
          <w:bCs/>
        </w:rPr>
        <w:t xml:space="preserve">Refutación (R).</w:t>
      </w:r>
      <w:r>
        <w:t xml:space="preserve"> </w:t>
      </w:r>
      <w:r>
        <w:t xml:space="preserve">C no se sostiene si ocurre alguna de estas condiciones observables:</w:t>
      </w:r>
      <w:r>
        <w:t xml:space="preserve"> </w:t>
      </w:r>
      <w:r>
        <w:t xml:space="preserve">1. Los términos de referencia prohíben el piloto o la compra por tramos.</w:t>
      </w:r>
      <w:r>
        <w:t xml:space="preserve"> </w:t>
      </w:r>
      <w:r>
        <w:t xml:space="preserve">2. El costo adicional del piloto y de la gobernanza excede el margen del tope de 14.000 millones de COP.</w:t>
      </w:r>
      <w:r>
        <w:t xml:space="preserve"> </w:t>
      </w:r>
      <w:r>
        <w:t xml:space="preserve">3. Cada componente cuenta con un custodio con compromiso presupuestal vinculante y competencia jurídica, con capacidad de absorción 3. Entonces R3 pasa a ser admisible.</w:t>
      </w:r>
      <w:r>
        <w:t xml:space="preserve"> </w:t>
      </w:r>
      <w:r>
        <w:t xml:space="preserve">4. En el Hito 2, el error normalizado de los nodos corregidos no resulta menor que el de la lectura sin corrección dinámica. Entonces R4 se detiene.</w:t>
      </w:r>
    </w:p>
    <w:p>
      <w:pPr>
        <w:pStyle w:val="BodyText"/>
      </w:pPr>
      <w:r>
        <w:rPr>
          <w:b/>
          <w:bCs/>
        </w:rPr>
        <w:t xml:space="preserve">Objeción (O).</w:t>
      </w:r>
      <w:r>
        <w:t xml:space="preserve"> </w:t>
      </w:r>
      <w:r>
        <w:t xml:space="preserve">La estrategia por tramos retrasa el despliegue en una emergencia y la gobernanza distribuida eleva los costos de coordinación. La respuesta parcial es que el piloto corre dentro de los 24 meses y que el Hito 2 ocurre en el mes 12. El costo adicional no se estimó. La objeción permanece ABIERTA.</w:t>
      </w:r>
    </w:p>
    <w:p>
      <w:pPr>
        <w:pStyle w:val="BodyText"/>
      </w:pPr>
      <w:r>
        <w:rPr>
          <w:b/>
          <w:bCs/>
        </w:rPr>
        <w:t xml:space="preserve">Pruebas de argumento.</w:t>
      </w:r>
    </w:p>
    <w:p>
      <w:pPr>
        <w:pStyle w:val="BodyText"/>
      </w:pPr>
      <w:r>
        <w:t xml:space="preserve">La Tabla F4.88 reúne los datos de «Pruebas de argumento».</w:t>
      </w:r>
    </w:p>
    <w:p>
      <w:pPr>
        <w:pStyle w:val="TablaRotulo"/>
      </w:pPr>
      <w:bookmarkStart w:id="9165" w:name="rot_Tabla_F4_88"/>
      <w:r>
        <w:rPr>
          <w:b/>
          <w:bCs/>
        </w:rPr>
        <w:t xml:space="preserve">Tabla F4.88</w:t>
      </w:r>
      <w:bookmarkEnd w:id="9165"/>
    </w:p>
    <w:p>
      <w:pPr>
        <w:pStyle w:val="TablaTitulo"/>
      </w:pPr>
      <w:r>
        <w:rPr>
          <w:i/>
          <w:iCs/>
        </w:rPr>
        <w:t xml:space="preserve">Pruebas de argumento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63"/>
        <w:gridCol w:w="2945"/>
        <w:gridCol w:w="3010"/>
      </w:tblGrid>
      <w:tr>
        <w:trPr>
          <w:cantSplit/>
          <w:tblHeader/>
        </w:trPr>
        <w:tc>
          <w:tcPr>
            <w:shd w:val="clear" w:color="auto" w:fill="00B050"/>
          </w:tcPr>
          <w:p>
            <w:pPr>
              <w:pStyle w:val="Tabla9"/>
              <w:jc w:val="center"/>
            </w:pPr>
            <w:r>
              <w:rPr>
                <w:b/>
                <w:color w:val="FFFFFF"/>
              </w:rPr>
              <w:t xml:space="preserve">Prueba</w:t>
            </w:r>
          </w:p>
        </w:tc>
        <w:tc>
          <w:tcPr>
            <w:shd w:val="clear" w:color="auto" w:fill="00B050"/>
          </w:tcPr>
          <w:p>
            <w:pPr>
              <w:pStyle w:val="Tabla9"/>
              <w:jc w:val="center"/>
            </w:pPr>
            <w:r>
              <w:rPr>
                <w:b/>
                <w:color w:val="FFFFFF"/>
              </w:rPr>
              <w:t xml:space="preserve">Resultado</w:t>
            </w:r>
          </w:p>
        </w:tc>
        <w:tc>
          <w:tcPr>
            <w:shd w:val="clear" w:color="auto" w:fill="00B050"/>
          </w:tcPr>
          <w:p>
            <w:pPr>
              <w:pStyle w:val="Tabla9"/>
              <w:jc w:val="center"/>
            </w:pPr>
            <w:r>
              <w:rPr>
                <w:b/>
                <w:color w:val="FFFFFF"/>
              </w:rPr>
              <w:t xml:space="preserve">Motivo</w:t>
            </w:r>
          </w:p>
        </w:tc>
      </w:tr>
      <w:tr>
        <w:trPr>
          <w:cantSplit/>
        </w:trPr>
        <w:tc>
          <w:tcPr/>
          <w:p>
            <w:pPr>
              <w:pStyle w:val="Tabla9"/>
              <w:jc w:val="left"/>
            </w:pPr>
            <w:r>
              <w:t xml:space="preserve">Pertinencia</w:t>
            </w:r>
          </w:p>
        </w:tc>
        <w:tc>
          <w:tcPr/>
          <w:p>
            <w:pPr>
              <w:pStyle w:val="Tabla9"/>
              <w:jc w:val="left"/>
            </w:pPr>
            <w:r>
              <w:t xml:space="preserve">CUMPLE para I(1), I(2) e I(5); NO_CUMPLE para I(3) e I(4)</w:t>
            </w:r>
          </w:p>
        </w:tc>
        <w:tc>
          <w:tcPr/>
          <w:p>
            <w:pPr>
              <w:pStyle w:val="Tabla9"/>
              <w:jc w:val="left"/>
            </w:pPr>
            <w:r>
              <w:t xml:space="preserve">I(3) e I(4) provienen de otro territorio y se usan como antecedente. Por eso Q no sube.</w:t>
            </w:r>
          </w:p>
        </w:tc>
      </w:tr>
      <w:tr>
        <w:trPr>
          <w:cantSplit/>
        </w:trPr>
        <w:tc>
          <w:tcPr/>
          <w:p>
            <w:pPr>
              <w:pStyle w:val="Tabla9"/>
              <w:jc w:val="left"/>
            </w:pPr>
            <w:r>
              <w:t xml:space="preserve">Autorización</w:t>
            </w:r>
          </w:p>
        </w:tc>
        <w:tc>
          <w:tcPr/>
          <w:p>
            <w:pPr>
              <w:pStyle w:val="Tabla9"/>
              <w:jc w:val="left"/>
            </w:pPr>
            <w:r>
              <w:t xml:space="preserve">CUMPLE</w:t>
            </w:r>
          </w:p>
        </w:tc>
        <w:tc>
          <w:tcPr/>
          <w:p>
            <w:pPr>
              <w:pStyle w:val="Tabla9"/>
              <w:jc w:val="left"/>
            </w:pPr>
            <w:r>
              <w:t xml:space="preserve">C es una decisión de diseño bajo incertidumbre. No se infiere causalidad de una correlación.</w:t>
            </w:r>
          </w:p>
        </w:tc>
      </w:tr>
      <w:tr>
        <w:trPr>
          <w:cantSplit/>
        </w:trPr>
        <w:tc>
          <w:tcPr/>
          <w:p>
            <w:pPr>
              <w:pStyle w:val="Tabla9"/>
              <w:jc w:val="left"/>
            </w:pPr>
            <w:r>
              <w:t xml:space="preserve">Respaldo</w:t>
            </w:r>
          </w:p>
        </w:tc>
        <w:tc>
          <w:tcPr/>
          <w:p>
            <w:pPr>
              <w:pStyle w:val="Tabla9"/>
              <w:jc w:val="left"/>
            </w:pPr>
            <w:r>
              <w:t xml:space="preserve">NO_EJECUTADO</w:t>
            </w:r>
          </w:p>
        </w:tc>
        <w:tc>
          <w:tcPr/>
          <w:p>
            <w:pPr>
              <w:pStyle w:val="Tabla9"/>
              <w:jc w:val="left"/>
            </w:pPr>
            <w:r>
              <w:t xml:space="preserve">B es localizable, pero no se consultó su edición ni su aplicabilidad.</w:t>
            </w:r>
          </w:p>
        </w:tc>
      </w:tr>
      <w:tr>
        <w:trPr>
          <w:cantSplit/>
        </w:trPr>
        <w:tc>
          <w:tcPr/>
          <w:p>
            <w:pPr>
              <w:pStyle w:val="Tabla9"/>
              <w:jc w:val="left"/>
            </w:pPr>
            <w:r>
              <w:t xml:space="preserve">Proporción</w:t>
            </w:r>
          </w:p>
        </w:tc>
        <w:tc>
          <w:tcPr/>
          <w:p>
            <w:pPr>
              <w:pStyle w:val="Tabla9"/>
              <w:jc w:val="left"/>
            </w:pPr>
            <w:r>
              <w:t xml:space="preserve">CUMPLE</w:t>
            </w:r>
          </w:p>
        </w:tc>
        <w:tc>
          <w:tcPr/>
          <w:p>
            <w:pPr>
              <w:pStyle w:val="Tabla9"/>
              <w:jc w:val="left"/>
            </w:pPr>
            <w:r>
              <w:t xml:space="preserve">Q no excede la fuerza de I y B.</w:t>
            </w:r>
          </w:p>
        </w:tc>
      </w:tr>
      <w:tr>
        <w:trPr>
          <w:cantSplit/>
        </w:trPr>
        <w:tc>
          <w:tcPr/>
          <w:p>
            <w:pPr>
              <w:pStyle w:val="Tabla9"/>
              <w:jc w:val="left"/>
            </w:pPr>
            <w:r>
              <w:t xml:space="preserve">Refutabilidad</w:t>
            </w:r>
          </w:p>
        </w:tc>
        <w:tc>
          <w:tcPr/>
          <w:p>
            <w:pPr>
              <w:pStyle w:val="Tabla9"/>
              <w:jc w:val="left"/>
            </w:pPr>
            <w:r>
              <w:t xml:space="preserve">CUMPLE</w:t>
            </w:r>
          </w:p>
        </w:tc>
        <w:tc>
          <w:tcPr/>
          <w:p>
            <w:pPr>
              <w:pStyle w:val="Tabla9"/>
              <w:jc w:val="left"/>
            </w:pPr>
            <w:r>
              <w:t xml:space="preserve">R enumera cuatro condiciones observables.</w:t>
            </w:r>
          </w:p>
        </w:tc>
      </w:tr>
      <w:tr>
        <w:trPr>
          <w:cantSplit/>
        </w:trPr>
        <w:tc>
          <w:tcPr/>
          <w:p>
            <w:pPr>
              <w:pStyle w:val="Tabla9"/>
              <w:jc w:val="left"/>
            </w:pPr>
            <w:r>
              <w:t xml:space="preserve">Rival</w:t>
            </w:r>
          </w:p>
        </w:tc>
        <w:tc>
          <w:tcPr/>
          <w:p>
            <w:pPr>
              <w:pStyle w:val="Tabla9"/>
              <w:jc w:val="left"/>
            </w:pPr>
            <w:r>
              <w:t xml:space="preserve">CUMPLE</w:t>
            </w:r>
          </w:p>
        </w:tc>
        <w:tc>
          <w:tcPr/>
          <w:p>
            <w:pPr>
              <w:pStyle w:val="Tabla9"/>
              <w:jc w:val="left"/>
            </w:pPr>
            <w:r>
              <w:t xml:space="preserve">O existe y queda registrada como abierta.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Validación de los supuestos críticos.</w:t>
      </w:r>
    </w:p>
    <w:p>
      <w:pPr>
        <w:pStyle w:val="BodyText"/>
      </w:pPr>
      <w:r>
        <w:t xml:space="preserve">La Tabla F4.89 reúne los datos de «Validación de los supuestos críticos».</w:t>
      </w:r>
    </w:p>
    <w:p>
      <w:pPr>
        <w:pStyle w:val="TablaRotulo"/>
      </w:pPr>
      <w:bookmarkStart w:id="9166" w:name="rot_Tabla_F4_89"/>
      <w:r>
        <w:rPr>
          <w:b/>
          <w:bCs/>
        </w:rPr>
        <w:t xml:space="preserve">Tabla F4.89</w:t>
      </w:r>
      <w:bookmarkEnd w:id="9166"/>
    </w:p>
    <w:p>
      <w:pPr>
        <w:pStyle w:val="TablaTitulo"/>
      </w:pPr>
      <w:r>
        <w:rPr>
          <w:i/>
          <w:iCs/>
        </w:rPr>
        <w:t xml:space="preserve">Validación de los supuestos críticos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60"/>
        <w:gridCol w:w="990"/>
        <w:gridCol w:w="1056"/>
        <w:gridCol w:w="1320"/>
        <w:gridCol w:w="1782"/>
        <w:gridCol w:w="1122"/>
        <w:gridCol w:w="990"/>
      </w:tblGrid>
      <w:tr>
        <w:trPr>
          <w:cantSplit/>
          <w:tblHeader/>
        </w:trPr>
        <w:tc>
          <w:tcPr>
            <w:shd w:val="clear" w:color="auto" w:fill="00B050"/>
          </w:tcPr>
          <w:p>
            <w:pPr>
              <w:pStyle w:val="Tabla8"/>
              <w:jc w:val="center"/>
            </w:pPr>
            <w:r>
              <w:rPr>
                <w:b/>
                <w:color w:val="FFFFFF"/>
              </w:rPr>
              <w:t xml:space="preserve">Supuesto</w:t>
            </w:r>
          </w:p>
        </w:tc>
        <w:tc>
          <w:tcPr>
            <w:shd w:val="clear" w:color="auto" w:fill="00B050"/>
          </w:tcPr>
          <w:p>
            <w:pPr>
              <w:pStyle w:val="Tabla8"/>
              <w:jc w:val="center"/>
            </w:pPr>
            <w:r>
              <w:rPr>
                <w:b/>
                <w:color w:val="FFFFFF"/>
              </w:rPr>
              <w:t xml:space="preserve">Información</w:t>
            </w:r>
          </w:p>
        </w:tc>
        <w:tc>
          <w:tcPr>
            <w:shd w:val="clear" w:color="auto" w:fill="00B050"/>
          </w:tcPr>
          <w:p>
            <w:pPr>
              <w:pStyle w:val="Tabla8"/>
              <w:jc w:val="center"/>
            </w:pPr>
            <w:r>
              <w:rPr>
                <w:b/>
                <w:color w:val="FFFFFF"/>
              </w:rPr>
              <w:t xml:space="preserve">Justificación (PORQUE)</w:t>
            </w:r>
          </w:p>
        </w:tc>
        <w:tc>
          <w:tcPr>
            <w:shd w:val="clear" w:color="auto" w:fill="00B050"/>
          </w:tcPr>
          <w:p>
            <w:pPr>
              <w:pStyle w:val="Tabla8"/>
              <w:jc w:val="center"/>
            </w:pPr>
            <w:r>
              <w:rPr>
                <w:b/>
                <w:color w:val="FFFFFF"/>
              </w:rPr>
              <w:t xml:space="preserve">Respaldo</w:t>
            </w:r>
          </w:p>
        </w:tc>
        <w:tc>
          <w:tcPr>
            <w:shd w:val="clear" w:color="auto" w:fill="00B050"/>
          </w:tcPr>
          <w:p>
            <w:pPr>
              <w:pStyle w:val="Tabla8"/>
              <w:jc w:val="center"/>
            </w:pPr>
            <w:r>
              <w:rPr>
                <w:b/>
                <w:color w:val="FFFFFF"/>
              </w:rPr>
              <w:t xml:space="preserve">Calificador</w:t>
            </w:r>
          </w:p>
        </w:tc>
        <w:tc>
          <w:tcPr>
            <w:shd w:val="clear" w:color="auto" w:fill="00B050"/>
          </w:tcPr>
          <w:p>
            <w:pPr>
              <w:pStyle w:val="Tabla8"/>
              <w:jc w:val="center"/>
            </w:pPr>
            <w:r>
              <w:rPr>
                <w:b/>
                <w:color w:val="FFFFFF"/>
              </w:rPr>
              <w:t xml:space="preserve">Refutación observable</w:t>
            </w:r>
          </w:p>
        </w:tc>
        <w:tc>
          <w:tcPr>
            <w:shd w:val="clear" w:color="auto" w:fill="00B050"/>
          </w:tcPr>
          <w:p>
            <w:pPr>
              <w:pStyle w:val="Tabla8"/>
              <w:jc w:val="center"/>
            </w:pPr>
            <w:r>
              <w:rPr>
                <w:b/>
                <w:color w:val="FFFFFF"/>
              </w:rPr>
              <w:t xml:space="preserve">Objeción principal</w:t>
            </w:r>
          </w:p>
        </w:tc>
      </w:tr>
      <w:tr>
        <w:trPr>
          <w:cantSplit/>
        </w:trPr>
        <w:tc>
          <w:tcPr/>
          <w:p>
            <w:pPr>
              <w:pStyle w:val="Tabla8"/>
              <w:jc w:val="left"/>
            </w:pPr>
            <w:r>
              <w:t xml:space="preserve">SC-1</w:t>
            </w:r>
          </w:p>
        </w:tc>
        <w:tc>
          <w:tcPr/>
          <w:p>
            <w:pPr>
              <w:pStyle w:val="Tabla8"/>
              <w:jc w:val="left"/>
            </w:pPr>
            <w:r>
              <w:t xml:space="preserve">Ficha V03→V06 (confianza media); potencia recalculada</w:t>
            </w:r>
          </w:p>
        </w:tc>
        <w:tc>
          <w:tcPr/>
          <w:p>
            <w:pPr>
              <w:pStyle w:val="Tabla8"/>
              <w:jc w:val="left"/>
            </w:pPr>
            <w:r>
              <w:t xml:space="preserve">La humedad y el tamaño sesgan la lectura</w:t>
            </w:r>
          </w:p>
        </w:tc>
        <w:tc>
          <w:tcPr/>
          <w:p>
            <w:pPr>
              <w:pStyle w:val="Tabla8"/>
              <w:jc w:val="left"/>
            </w:pPr>
            <w:r>
              <w:t xml:space="preserve">F-INF §8.3 (cita secundaria)</w:t>
            </w:r>
          </w:p>
        </w:tc>
        <w:tc>
          <w:tcPr/>
          <w:p>
            <w:pPr>
              <w:pStyle w:val="Tabla8"/>
              <w:jc w:val="left"/>
            </w:pPr>
            <w:r>
              <w:t xml:space="preserve">CONDICIONALMENTE</w:t>
            </w:r>
          </w:p>
        </w:tc>
        <w:tc>
          <w:tcPr/>
          <w:p>
            <w:pPr>
              <w:pStyle w:val="Tabla8"/>
              <w:jc w:val="left"/>
            </w:pPr>
            <w:r>
              <w:t xml:space="preserve">La diferencia entre N4 y N1 no se distingue de cero con el sorteo completo</w:t>
            </w:r>
          </w:p>
        </w:tc>
        <w:tc>
          <w:tcPr/>
          <w:p>
            <w:pPr>
              <w:pStyle w:val="Tabla8"/>
              <w:jc w:val="left"/>
            </w:pPr>
            <w:r>
              <w:t xml:space="preserve">La mejora proviene de la cercanía a la referencia (DAG rival R1); se responde con el sorteo</w:t>
            </w:r>
          </w:p>
        </w:tc>
      </w:tr>
      <w:tr>
        <w:trPr>
          <w:cantSplit/>
        </w:trPr>
        <w:tc>
          <w:tcPr/>
          <w:p>
            <w:pPr>
              <w:pStyle w:val="Tabla8"/>
              <w:jc w:val="left"/>
            </w:pPr>
            <w:r>
              <w:t xml:space="preserve">SC-2</w:t>
            </w:r>
          </w:p>
        </w:tc>
        <w:tc>
          <w:tcPr/>
          <w:p>
            <w:pPr>
              <w:pStyle w:val="Tabla8"/>
              <w:jc w:val="left"/>
            </w:pPr>
            <w:r>
              <w:t xml:space="preserve">Ficha V05→V09; contradicción del enlace 4G</w:t>
            </w:r>
          </w:p>
        </w:tc>
        <w:tc>
          <w:tcPr/>
          <w:p>
            <w:pPr>
              <w:pStyle w:val="Tabla8"/>
              <w:jc w:val="left"/>
            </w:pPr>
            <w:r>
              <w:t xml:space="preserve">La transmisión por eventos reduce el consumo</w:t>
            </w:r>
          </w:p>
        </w:tc>
        <w:tc>
          <w:tcPr/>
          <w:p>
            <w:pPr>
              <w:pStyle w:val="Tabla8"/>
              <w:jc w:val="left"/>
            </w:pPr>
            <w:r>
              <w:t xml:space="preserve">F-E3, E3-P09; sin respaldo en F-INF</w:t>
            </w:r>
          </w:p>
        </w:tc>
        <w:tc>
          <w:tcPr/>
          <w:p>
            <w:pPr>
              <w:pStyle w:val="Tabla8"/>
              <w:jc w:val="left"/>
            </w:pPr>
            <w:r>
              <w:t xml:space="preserve">PLAUSIBLEMENTE</w:t>
            </w:r>
          </w:p>
        </w:tc>
        <w:tc>
          <w:tcPr/>
          <w:p>
            <w:pPr>
              <w:pStyle w:val="Tabla8"/>
              <w:jc w:val="left"/>
            </w:pPr>
            <w:r>
              <w:t xml:space="preserve">Disponibilidad de nodos bajo el umbral en tres meses consecutivos</w:t>
            </w:r>
          </w:p>
        </w:tc>
        <w:tc>
          <w:tcPr/>
          <w:p>
            <w:pPr>
              <w:pStyle w:val="Tabla8"/>
              <w:jc w:val="left"/>
            </w:pPr>
            <w:r>
              <w:t xml:space="preserve">El enlace celular colapsa con el entorno; ABIERTA</w:t>
            </w:r>
          </w:p>
        </w:tc>
      </w:tr>
      <w:tr>
        <w:trPr>
          <w:cantSplit/>
        </w:trPr>
        <w:tc>
          <w:tcPr/>
          <w:p>
            <w:pPr>
              <w:pStyle w:val="Tabla8"/>
              <w:jc w:val="left"/>
            </w:pPr>
            <w:r>
              <w:t xml:space="preserve">SC-3</w:t>
            </w:r>
          </w:p>
        </w:tc>
        <w:tc>
          <w:tcPr/>
          <w:p>
            <w:pPr>
              <w:pStyle w:val="Tabla8"/>
              <w:jc w:val="left"/>
            </w:pPr>
            <w:r>
              <w:t xml:space="preserve">Fichas de entrada de V14</w:t>
            </w:r>
          </w:p>
        </w:tc>
        <w:tc>
          <w:tcPr/>
          <w:p>
            <w:pPr>
              <w:pStyle w:val="Tabla8"/>
              <w:jc w:val="left"/>
            </w:pPr>
            <w:r>
              <w:t xml:space="preserve">Una alerta sin portador no cambia la conducta</w:t>
            </w:r>
          </w:p>
        </w:tc>
        <w:tc>
          <w:tcPr/>
          <w:p>
            <w:pPr>
              <w:pStyle w:val="Tabla8"/>
              <w:jc w:val="left"/>
            </w:pPr>
            <w:r>
              <w:t xml:space="preserve">F-INF §8.3 (D-04): ausencia de reportes</w:t>
            </w:r>
          </w:p>
        </w:tc>
        <w:tc>
          <w:tcPr/>
          <w:p>
            <w:pPr>
              <w:pStyle w:val="Tabla8"/>
              <w:jc w:val="left"/>
            </w:pPr>
            <w:r>
              <w:t xml:space="preserve">PLAUSIBLEMENTE</w:t>
            </w:r>
          </w:p>
        </w:tc>
        <w:tc>
          <w:tcPr/>
          <w:p>
            <w:pPr>
              <w:pStyle w:val="Tabla8"/>
              <w:jc w:val="left"/>
            </w:pPr>
            <w:r>
              <w:t xml:space="preserve">Ningún puesto de mando incorpora los umbrales en 12 meses</w:t>
            </w:r>
          </w:p>
        </w:tc>
        <w:tc>
          <w:tcPr/>
          <w:p>
            <w:pPr>
              <w:pStyle w:val="Tabla8"/>
              <w:jc w:val="left"/>
            </w:pPr>
            <w:r>
              <w:t xml:space="preserve">La gobernación impone el uso sin fórmula local validada; ABIERTA</w:t>
            </w:r>
          </w:p>
        </w:tc>
      </w:tr>
      <w:tr>
        <w:trPr>
          <w:cantSplit/>
        </w:trPr>
        <w:tc>
          <w:tcPr/>
          <w:p>
            <w:pPr>
              <w:pStyle w:val="Tabla8"/>
              <w:jc w:val="left"/>
            </w:pPr>
            <w:r>
              <w:t xml:space="preserve">SC-4</w:t>
            </w:r>
          </w:p>
        </w:tc>
        <w:tc>
          <w:tcPr/>
          <w:p>
            <w:pPr>
              <w:pStyle w:val="Tabla8"/>
              <w:jc w:val="left"/>
            </w:pPr>
            <w:r>
              <w:t xml:space="preserve">F-E3, E3-P17 y Tabla E3-14.2</w:t>
            </w:r>
          </w:p>
        </w:tc>
        <w:tc>
          <w:tcPr/>
          <w:p>
            <w:pPr>
              <w:pStyle w:val="Tabla8"/>
              <w:jc w:val="left"/>
            </w:pPr>
            <w:r>
              <w:t xml:space="preserve">Cada tramo exige presupuesto, personal y competencia</w:t>
            </w:r>
          </w:p>
        </w:tc>
        <w:tc>
          <w:tcPr/>
          <w:p>
            <w:pPr>
              <w:pStyle w:val="Tabla8"/>
              <w:jc w:val="left"/>
            </w:pPr>
            <w:r>
              <w:t xml:space="preserve">Shediac-Rizkallah y Bone (1998)</w:t>
            </w:r>
          </w:p>
        </w:tc>
        <w:tc>
          <w:tcPr/>
          <w:p>
            <w:pPr>
              <w:pStyle w:val="Tabla8"/>
              <w:jc w:val="left"/>
            </w:pPr>
            <w:r>
              <w:t xml:space="preserve">CONDICIONALMENTE</w:t>
            </w:r>
          </w:p>
        </w:tc>
        <w:tc>
          <w:tcPr/>
          <w:p>
            <w:pPr>
              <w:pStyle w:val="Tabla8"/>
              <w:jc w:val="left"/>
            </w:pPr>
            <w:r>
              <w:t xml:space="preserve">Ningún custodio alcanza capacidad 2 al cierre del Hito 2</w:t>
            </w:r>
          </w:p>
        </w:tc>
        <w:tc>
          <w:tcPr/>
          <w:p>
            <w:pPr>
              <w:pStyle w:val="Tabla8"/>
              <w:jc w:val="left"/>
            </w:pPr>
            <w:r>
              <w:t xml:space="preserve">Una ordenanza departamental sostendría sin tramos; ABIERTA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Argumento de sostenibilidad.</w:t>
      </w:r>
    </w:p>
    <w:p>
      <w:pPr>
        <w:pStyle w:val="BodyText"/>
      </w:pPr>
      <w:r>
        <w:t xml:space="preserve">La Tabla F4.90 reúne los datos de «Argumento de sostenibilidad».</w:t>
      </w:r>
    </w:p>
    <w:p>
      <w:pPr>
        <w:pStyle w:val="TablaRotulo"/>
      </w:pPr>
      <w:bookmarkStart w:id="9167" w:name="rot_Tabla_F4_90"/>
      <w:r>
        <w:rPr>
          <w:b/>
          <w:bCs/>
        </w:rPr>
        <w:t xml:space="preserve">Tabla F4.90</w:t>
      </w:r>
      <w:bookmarkEnd w:id="9167"/>
    </w:p>
    <w:p>
      <w:pPr>
        <w:pStyle w:val="TablaTitulo"/>
      </w:pPr>
      <w:r>
        <w:rPr>
          <w:i/>
          <w:iCs/>
        </w:rPr>
        <w:t xml:space="preserve">Argumento de sostenibilidad</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76"/>
        <w:gridCol w:w="3036"/>
        <w:gridCol w:w="2508"/>
      </w:tblGrid>
      <w:tr>
        <w:trPr>
          <w:cantSplit/>
          <w:tblHeader/>
        </w:trPr>
        <w:tc>
          <w:tcPr>
            <w:shd w:val="clear" w:color="auto" w:fill="00B050"/>
          </w:tcPr>
          <w:p>
            <w:pPr>
              <w:pStyle w:val="Tabla9"/>
              <w:jc w:val="center"/>
            </w:pPr>
            <w:r>
              <w:rPr>
                <w:b/>
                <w:color w:val="FFFFFF"/>
              </w:rPr>
              <w:t xml:space="preserve">Afirmación</w:t>
            </w:r>
          </w:p>
        </w:tc>
        <w:tc>
          <w:tcPr>
            <w:shd w:val="clear" w:color="auto" w:fill="00B050"/>
          </w:tcPr>
          <w:p>
            <w:pPr>
              <w:pStyle w:val="Tabla9"/>
              <w:jc w:val="center"/>
            </w:pPr>
            <w:r>
              <w:rPr>
                <w:b/>
                <w:color w:val="FFFFFF"/>
              </w:rPr>
              <w:t xml:space="preserve">Calificador</w:t>
            </w:r>
          </w:p>
        </w:tc>
        <w:tc>
          <w:tcPr>
            <w:shd w:val="clear" w:color="auto" w:fill="00B050"/>
          </w:tcPr>
          <w:p>
            <w:pPr>
              <w:pStyle w:val="Tabla9"/>
              <w:jc w:val="center"/>
            </w:pPr>
            <w:r>
              <w:rPr>
                <w:b/>
                <w:color w:val="FFFFFF"/>
              </w:rPr>
              <w:t xml:space="preserve">Motivo</w:t>
            </w:r>
          </w:p>
        </w:tc>
      </w:tr>
      <w:tr>
        <w:trPr>
          <w:cantSplit/>
        </w:trPr>
        <w:tc>
          <w:tcPr/>
          <w:p>
            <w:pPr>
              <w:pStyle w:val="Tabla9"/>
              <w:jc w:val="left"/>
            </w:pPr>
            <w:r>
              <w:t xml:space="preserve">La red continúa operando después del mes 24</w:t>
            </w:r>
          </w:p>
        </w:tc>
        <w:tc>
          <w:tcPr/>
          <w:p>
            <w:pPr>
              <w:pStyle w:val="Tabla9"/>
              <w:jc w:val="left"/>
            </w:pPr>
            <w:r>
              <w:t xml:space="preserve">NO_SOSTENIDO</w:t>
            </w:r>
          </w:p>
        </w:tc>
        <w:tc>
          <w:tcPr/>
          <w:p>
            <w:pPr>
              <w:pStyle w:val="Tabla9"/>
              <w:jc w:val="left"/>
            </w:pPr>
            <w:r>
              <w:t xml:space="preserve">La información disponible no incluye respaldo financiero ni institucional.</w:t>
            </w:r>
          </w:p>
        </w:tc>
      </w:tr>
      <w:tr>
        <w:trPr>
          <w:cantSplit/>
        </w:trPr>
        <w:tc>
          <w:tcPr/>
          <w:p>
            <w:pPr>
              <w:pStyle w:val="Tabla9"/>
              <w:jc w:val="left"/>
            </w:pPr>
            <w:r>
              <w:t xml:space="preserve">Las alcaldías asumen el gasto operativo de la nube desde el año 3 (CLM-06 de F-E3)</w:t>
            </w:r>
          </w:p>
        </w:tc>
        <w:tc>
          <w:tcPr/>
          <w:p>
            <w:pPr>
              <w:pStyle w:val="Tabla9"/>
              <w:jc w:val="left"/>
            </w:pPr>
            <w:r>
              <w:t xml:space="preserve">NO_SOSTENIDO</w:t>
            </w:r>
          </w:p>
        </w:tc>
        <w:tc>
          <w:tcPr/>
          <w:p>
            <w:pPr>
              <w:pStyle w:val="Tabla9"/>
              <w:jc w:val="left"/>
            </w:pPr>
            <w:r>
              <w:t xml:space="preserve">Es un SUPUESTO sin aval ni partida.</w:t>
            </w:r>
          </w:p>
        </w:tc>
      </w:tr>
      <w:tr>
        <w:trPr>
          <w:cantSplit/>
        </w:trPr>
        <w:tc>
          <w:tcPr/>
          <w:p>
            <w:pPr>
              <w:pStyle w:val="Tabla9"/>
              <w:jc w:val="left"/>
            </w:pPr>
            <w:r>
              <w:t xml:space="preserve">Si ningún custodio demuestra capacidad, el diseño preserva datos, código y conocimiento</w:t>
            </w:r>
          </w:p>
        </w:tc>
        <w:tc>
          <w:tcPr/>
          <w:p>
            <w:pPr>
              <w:pStyle w:val="Tabla9"/>
              <w:jc w:val="left"/>
            </w:pPr>
            <w:r>
              <w:t xml:space="preserve">CONDICIONALMENTE</w:t>
            </w:r>
          </w:p>
        </w:tc>
        <w:tc>
          <w:tcPr/>
          <w:p>
            <w:pPr>
              <w:pStyle w:val="Tabla9"/>
              <w:jc w:val="left"/>
            </w:pPr>
            <w:r>
              <w:t xml:space="preserve">Depende de que la cláusula de apertura se firme antes del primer tramo.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Dialéctica de la controversia sobre la custodia.</w:t>
      </w:r>
      <w:r>
        <w:t xml:space="preserve"> </w:t>
      </w:r>
      <w:r>
        <w:rPr>
          <w:b/>
          <w:bCs/>
        </w:rPr>
        <w:t xml:space="preserve">Tesis.</w:t>
      </w:r>
      <w:r>
        <w:t xml:space="preserve"> </w:t>
      </w:r>
      <w:r>
        <w:t xml:space="preserve">Las alcaldías deben recibir la operación, porque responden legalmente por actuar sobre la alerta (E3-P17). La evidencia es la asignación de responsabilidad y la competencia territorial en gestión del riesgo.</w:t>
      </w:r>
    </w:p>
    <w:p>
      <w:pPr>
        <w:pStyle w:val="BodyText"/>
      </w:pPr>
      <w:r>
        <w:rPr>
          <w:b/>
          <w:bCs/>
        </w:rPr>
        <w:t xml:space="preserve">Antítesis.</w:t>
      </w:r>
      <w:r>
        <w:t xml:space="preserve"> </w:t>
      </w:r>
      <w:r>
        <w:t xml:space="preserve">Ninguna entidad pública puede sostener la solución por sí sola al cierre. Tres hechos la respaldan: no hay compromiso firmado, la institución ejecutora carece de recursos permanentes y el equilibrio del juego es (N, N).</w:t>
      </w:r>
    </w:p>
    <w:p>
      <w:pPr>
        <w:pStyle w:val="BodyText"/>
      </w:pPr>
      <w:r>
        <w:rPr>
          <w:b/>
          <w:bCs/>
        </w:rPr>
        <w:t xml:space="preserve">Síntesis.</w:t>
      </w:r>
      <w:r>
        <w:t xml:space="preserve"> </w:t>
      </w:r>
      <w:r>
        <w:t xml:space="preserve">La transferencia se hace por tramos a los custodios que demuestran capacidad. Las alcaldías conservan la competencia legal sobre la alerta. La operación técnica y el financiamiento se distribuyen. La síntesis conserva lo que cada posición explica. La tesis explica quién responde ante la ley. La antítesis explica por qué la responsabilidad legal no basta para sostener la operación.</w:t>
      </w:r>
    </w:p>
    <w:p>
      <w:pPr>
        <w:pStyle w:val="BodyText"/>
      </w:pPr>
      <w:r>
        <w:rPr>
          <w:b/>
          <w:bCs/>
        </w:rPr>
        <w:t xml:space="preserve">Control de pensamiento grupal.</w:t>
      </w:r>
      <w:r>
        <w:t xml:space="preserve"> </w:t>
      </w:r>
      <w:r>
        <w:t xml:space="preserve">Las contramedidas siguen a Janis (1982). Una sola instancia analítica ejecutó todas las funciones. No existe un evaluador crítico independiente. Se declara AUTORREVISION. Las objeciones abiertas se conservan sin resolver. La revisión humana de los cuatro supuestos y de la objeción principal es la condición de aceptación.</w:t>
      </w:r>
    </w:p>
    <w:p>
      <w:pPr>
        <w:pStyle w:val="BodyText"/>
      </w:pPr>
      <w:r>
        <w:rPr>
          <w:b/>
          <w:bCs/>
        </w:rPr>
        <w:t xml:space="preserve">Reentradas.</w:t>
      </w:r>
      <w:r>
        <w:t xml:space="preserve"> </w:t>
      </w:r>
      <w:r>
        <w:t xml:space="preserve">La prueba de pertinencia fallida para I(3) e I(4) no reabre una fase: limita el calificador. La prueba de respaldo no ejecutada se registra como vacío.</w:t>
      </w:r>
    </w:p>
    <w:bookmarkEnd w:id="206"/>
    <w:bookmarkStart w:id="207" w:name="_Toc00900082"/>
    <w:p>
      <w:pPr>
        <w:pStyle w:val="Heading3"/>
      </w:pPr>
      <w:r>
        <w:t xml:space="preserve">F4.4-MDR.10 Sostenibilidad posproyecto</w:t>
      </w:r>
    </w:p>
    <w:p>
      <w:pPr>
        <w:pStyle w:val="FirstParagraph"/>
      </w:pPr>
      <w:r>
        <w:t xml:space="preserve">Esta pieza diseña la continuidad de la solución con la premisa de diseño PD-0: ninguna entidad pública puede asumir su sostenimiento al cierre. PD-0 es un SUPUESTO de diseño. No afirma la incapacidad de una entidad concreta; obliga a que la solución sobreviva sin depender de esa capacidad. Los umbrales de concentración y de capacidad de absorción son convenciones locales PROPUESTAS, no requisitos oficiales.</w:t>
      </w:r>
    </w:p>
    <w:p>
      <w:pPr>
        <w:pStyle w:val="BodyText"/>
      </w:pPr>
      <w:r>
        <w:rPr>
          <w:b/>
          <w:bCs/>
        </w:rPr>
        <w:t xml:space="preserve">Evidencia de antecedentes.</w:t>
      </w:r>
      <w:r>
        <w:t xml:space="preserve"> </w:t>
      </w:r>
      <w:r>
        <w:t xml:space="preserve">El usuario declara que existen antecedentes de baja sostenibilidad pública. Esa afirmación conserva el estado DECLARADO para proyectos de ciencia, tecnología e innovación en Colombia. La búsqueda en los archivos aportados encontró evidencia parcial sobre redes de monitoreo.</w:t>
      </w:r>
    </w:p>
    <w:p>
      <w:pPr>
        <w:pStyle w:val="BodyText"/>
      </w:pPr>
      <w:r>
        <w:t xml:space="preserve">La Tabla F4.91 reúne los datos de «Evidencia de antecedentes».</w:t>
      </w:r>
    </w:p>
    <w:p>
      <w:pPr>
        <w:pStyle w:val="TablaRotulo"/>
      </w:pPr>
      <w:bookmarkStart w:id="9168" w:name="rot_Tabla_F4_91"/>
      <w:r>
        <w:rPr>
          <w:b/>
          <w:bCs/>
        </w:rPr>
        <w:t xml:space="preserve">Tabla F4.91</w:t>
      </w:r>
      <w:bookmarkEnd w:id="9168"/>
    </w:p>
    <w:p>
      <w:pPr>
        <w:pStyle w:val="TablaTitulo"/>
      </w:pPr>
      <w:r>
        <w:rPr>
          <w:i/>
          <w:iCs/>
        </w:rPr>
        <w:t xml:space="preserve">Evidencia de antecedentes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898"/>
        <w:gridCol w:w="1898"/>
        <w:gridCol w:w="1505"/>
        <w:gridCol w:w="2618"/>
      </w:tblGrid>
      <w:tr>
        <w:trPr>
          <w:cantSplit/>
          <w:tblHeader/>
        </w:trPr>
        <w:tc>
          <w:tcPr>
            <w:shd w:val="clear" w:color="auto" w:fill="00B050"/>
          </w:tcPr>
          <w:p>
            <w:pPr>
              <w:pStyle w:val="Tabla9"/>
              <w:jc w:val="center"/>
            </w:pPr>
            <w:r>
              <w:rPr>
                <w:b/>
                <w:color w:val="FFFFFF"/>
              </w:rPr>
              <w:t xml:space="preserve">Evidencia</w:t>
            </w:r>
          </w:p>
        </w:tc>
        <w:tc>
          <w:tcPr>
            <w:shd w:val="clear" w:color="auto" w:fill="00B050"/>
          </w:tcPr>
          <w:p>
            <w:pPr>
              <w:pStyle w:val="Tabla9"/>
              <w:jc w:val="center"/>
            </w:pPr>
            <w:r>
              <w:rPr>
                <w:b/>
                <w:color w:val="FFFFFF"/>
              </w:rPr>
              <w:t xml:space="preserve">Alcance</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90,8 % de las estaciones de la red nacional propuesta carecería de plan de calibración</w:t>
            </w:r>
          </w:p>
        </w:tc>
        <w:tc>
          <w:tcPr/>
          <w:p>
            <w:pPr>
              <w:pStyle w:val="Tabla9"/>
              <w:jc w:val="left"/>
            </w:pPr>
            <w:r>
              <w:t xml:space="preserve">Propuesta de red de bajo costo</w:t>
            </w:r>
          </w:p>
        </w:tc>
        <w:tc>
          <w:tcPr/>
          <w:p>
            <w:pPr>
              <w:pStyle w:val="Tabla9"/>
              <w:jc w:val="left"/>
            </w:pPr>
            <w:r>
              <w:t xml:space="preserve">F-INF §8.3 (Murad Pedraza et al., 2026, como se citó en F-INF)</w:t>
            </w:r>
          </w:p>
        </w:tc>
        <w:tc>
          <w:tcPr/>
          <w:p>
            <w:pPr>
              <w:pStyle w:val="Tabla9"/>
              <w:jc w:val="left"/>
            </w:pPr>
            <w:r>
              <w:t xml:space="preserve">DOCUMENTADO en F-INF; fuente primaria no leída</w:t>
            </w:r>
          </w:p>
        </w:tc>
      </w:tr>
      <w:tr>
        <w:trPr>
          <w:cantSplit/>
        </w:trPr>
        <w:tc>
          <w:tcPr/>
          <w:p>
            <w:pPr>
              <w:pStyle w:val="Tabla9"/>
              <w:jc w:val="left"/>
            </w:pPr>
            <w:r>
              <w:t xml:space="preserve">16,8 % de las estaciones brasileñas inactivas o sin estado</w:t>
            </w:r>
          </w:p>
        </w:tc>
        <w:tc>
          <w:tcPr/>
          <w:p>
            <w:pPr>
              <w:pStyle w:val="Tabla9"/>
              <w:jc w:val="left"/>
            </w:pPr>
            <w:r>
              <w:t xml:space="preserve">Redes de monitoreo en Brasil</w:t>
            </w:r>
          </w:p>
        </w:tc>
        <w:tc>
          <w:tcPr/>
          <w:p>
            <w:pPr>
              <w:pStyle w:val="Tabla9"/>
              <w:jc w:val="left"/>
            </w:pPr>
            <w:r>
              <w:t xml:space="preserve">F-INF §6.5 (Tavella et al., 2026, como se citó en F-INF)</w:t>
            </w:r>
          </w:p>
        </w:tc>
        <w:tc>
          <w:tcPr/>
          <w:p>
            <w:pPr>
              <w:pStyle w:val="Tabla9"/>
              <w:jc w:val="left"/>
            </w:pPr>
            <w:r>
              <w:t xml:space="preserve">DOCUMENTADO en F-INF; fuente primaria no leída</w:t>
            </w:r>
          </w:p>
        </w:tc>
      </w:tr>
      <w:tr>
        <w:trPr>
          <w:cantSplit/>
        </w:trPr>
        <w:tc>
          <w:tcPr/>
          <w:p>
            <w:pPr>
              <w:pStyle w:val="Tabla9"/>
              <w:jc w:val="left"/>
            </w:pPr>
            <w:r>
              <w:t xml:space="preserve">Equipos que terminan en bodegas municipales</w:t>
            </w:r>
          </w:p>
        </w:tc>
        <w:tc>
          <w:tcPr/>
          <w:p>
            <w:pPr>
              <w:pStyle w:val="Tabla9"/>
              <w:jc w:val="left"/>
            </w:pPr>
            <w:r>
              <w:t xml:space="preserve">Entidades territoriales colombianas</w:t>
            </w:r>
          </w:p>
        </w:tc>
        <w:tc>
          <w:tcPr/>
          <w:p>
            <w:pPr>
              <w:pStyle w:val="Tabla9"/>
              <w:jc w:val="left"/>
            </w:pPr>
            <w:r>
              <w:t xml:space="preserve">F-E3, Cap. 14.3</w:t>
            </w:r>
          </w:p>
        </w:tc>
        <w:tc>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Ninguna fuente aportada evalúa la continuidad de proyectos financiados con regalías. La afirmación del usuario permanece sin respaldo propio en esta corrida.</w:t>
      </w:r>
    </w:p>
    <w:p>
      <w:pPr>
        <w:pStyle w:val="BodyText"/>
      </w:pPr>
      <w:r>
        <w:rPr>
          <w:b/>
          <w:bCs/>
        </w:rPr>
        <w:t xml:space="preserve">Inventario de componentes.</w:t>
      </w:r>
    </w:p>
    <w:p>
      <w:pPr>
        <w:pStyle w:val="BodyText"/>
      </w:pPr>
      <w:r>
        <w:t xml:space="preserve">La Tabla F4.92 reúne los datos de «Inventario de componentes».</w:t>
      </w:r>
    </w:p>
    <w:p>
      <w:pPr>
        <w:pStyle w:val="TablaRotulo"/>
      </w:pPr>
      <w:bookmarkStart w:id="9169" w:name="rot_Tabla_F4_92"/>
      <w:r>
        <w:rPr>
          <w:b/>
          <w:bCs/>
        </w:rPr>
        <w:t xml:space="preserve">Tabla F4.92</w:t>
      </w:r>
      <w:bookmarkEnd w:id="9169"/>
    </w:p>
    <w:p>
      <w:pPr>
        <w:pStyle w:val="TablaTitulo"/>
      </w:pPr>
      <w:r>
        <w:rPr>
          <w:i/>
          <w:iCs/>
        </w:rPr>
        <w:t xml:space="preserve">Inventario de componentes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97"/>
        <w:gridCol w:w="2795"/>
        <w:gridCol w:w="1397"/>
        <w:gridCol w:w="1264"/>
        <w:gridCol w:w="1064"/>
      </w:tblGrid>
      <w:tr>
        <w:trPr>
          <w:cantSplit/>
          <w:tblHeader/>
        </w:trPr>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Tipo</w:t>
            </w:r>
          </w:p>
        </w:tc>
        <w:tc>
          <w:tcPr>
            <w:shd w:val="clear" w:color="auto" w:fill="00B050"/>
          </w:tcPr>
          <w:p>
            <w:pPr>
              <w:pStyle w:val="Tabla9"/>
              <w:jc w:val="center"/>
            </w:pPr>
            <w:r>
              <w:rPr>
                <w:b/>
                <w:color w:val="FFFFFF"/>
              </w:rPr>
              <w:t xml:space="preserve">Función</w:t>
            </w:r>
          </w:p>
        </w:tc>
        <w:tc>
          <w:tcPr>
            <w:shd w:val="clear" w:color="auto" w:fill="00B050"/>
          </w:tcPr>
          <w:p>
            <w:pPr>
              <w:pStyle w:val="Tabla9"/>
              <w:jc w:val="center"/>
            </w:pPr>
            <w:r>
              <w:rPr>
                <w:b/>
                <w:color w:val="FFFFFF"/>
              </w:rPr>
              <w:t xml:space="preserve">Dependencias</w:t>
            </w:r>
          </w:p>
        </w:tc>
        <w:tc>
          <w:tcPr>
            <w:shd w:val="clear" w:color="auto" w:fill="00B050"/>
          </w:tcPr>
          <w:p>
            <w:pPr>
              <w:pStyle w:val="Tabla9"/>
              <w:jc w:val="center"/>
            </w:pPr>
            <w:r>
              <w:rPr>
                <w:b/>
                <w:color w:val="FFFFFF"/>
              </w:rPr>
              <w:t xml:space="preserve">Costo anual con fuente</w:t>
            </w:r>
          </w:p>
        </w:tc>
      </w:tr>
      <w:tr>
        <w:trPr>
          <w:cantSplit/>
        </w:trPr>
        <w:tc>
          <w:tcPr/>
          <w:p>
            <w:pPr>
              <w:pStyle w:val="Tabla9"/>
              <w:jc w:val="left"/>
            </w:pPr>
            <w:r>
              <w:t xml:space="preserve">Nodos sensoriales (M1)</w:t>
            </w:r>
          </w:p>
        </w:tc>
        <w:tc>
          <w:tcPr/>
          <w:p>
            <w:pPr>
              <w:pStyle w:val="Tabla9"/>
              <w:jc w:val="left"/>
            </w:pPr>
            <w:r>
              <w:t xml:space="preserve">ACTIVOS_FISICOS</w:t>
            </w:r>
          </w:p>
        </w:tc>
        <w:tc>
          <w:tcPr/>
          <w:p>
            <w:pPr>
              <w:pStyle w:val="Tabla9"/>
              <w:jc w:val="left"/>
            </w:pPr>
            <w:r>
              <w:t xml:space="preserve">Miden PM2,5, PM10, humedad y viento</w:t>
            </w:r>
          </w:p>
        </w:tc>
        <w:tc>
          <w:tcPr/>
          <w:p>
            <w:pPr>
              <w:pStyle w:val="Tabla9"/>
              <w:jc w:val="left"/>
            </w:pPr>
            <w:r>
              <w:t xml:space="preserve">Energía; enlace de radio de largo alcance</w:t>
            </w:r>
          </w:p>
        </w:tc>
        <w:tc>
          <w:tcPr/>
          <w:p>
            <w:pPr>
              <w:pStyle w:val="Tabla9"/>
              <w:jc w:val="left"/>
            </w:pPr>
            <w:r>
              <w:t xml:space="preserve">VACIO por componente; línea agregada de repuestos en F-E3</w:t>
            </w:r>
          </w:p>
        </w:tc>
      </w:tr>
      <w:tr>
        <w:trPr>
          <w:cantSplit/>
        </w:trPr>
        <w:tc>
          <w:tcPr/>
          <w:p>
            <w:pPr>
              <w:pStyle w:val="Tabla9"/>
              <w:jc w:val="left"/>
            </w:pPr>
            <w:r>
              <w:t xml:space="preserve">Gateways con corrección local (M2)</w:t>
            </w:r>
          </w:p>
        </w:tc>
        <w:tc>
          <w:tcPr/>
          <w:p>
            <w:pPr>
              <w:pStyle w:val="Tabla9"/>
              <w:jc w:val="left"/>
            </w:pPr>
            <w:r>
              <w:t xml:space="preserve">ACTIVOS_FISICOS; SOFTWARE</w:t>
            </w:r>
          </w:p>
        </w:tc>
        <w:tc>
          <w:tcPr/>
          <w:p>
            <w:pPr>
              <w:pStyle w:val="Tabla9"/>
              <w:jc w:val="left"/>
            </w:pPr>
            <w:r>
              <w:t xml:space="preserve">Corrigen el error en sitio y despachan picos</w:t>
            </w:r>
          </w:p>
        </w:tc>
        <w:tc>
          <w:tcPr/>
          <w:p>
            <w:pPr>
              <w:pStyle w:val="Tabla9"/>
              <w:jc w:val="left"/>
            </w:pPr>
            <w:r>
              <w:t xml:space="preserve">Energía estable; enlace celular</w:t>
            </w:r>
          </w:p>
        </w:tc>
        <w:tc>
          <w:tcPr/>
          <w:p>
            <w:pPr>
              <w:pStyle w:val="Tabla9"/>
              <w:jc w:val="left"/>
            </w:pPr>
            <w:r>
              <w:t xml:space="preserve">VACIO</w:t>
            </w:r>
          </w:p>
        </w:tc>
      </w:tr>
      <w:tr>
        <w:trPr>
          <w:cantSplit/>
        </w:trPr>
        <w:tc>
          <w:tcPr/>
          <w:p>
            <w:pPr>
              <w:pStyle w:val="Tabla9"/>
              <w:jc w:val="left"/>
            </w:pPr>
            <w:r>
              <w:t xml:space="preserve">Gemelo digital (M3)</w:t>
            </w:r>
          </w:p>
        </w:tc>
        <w:tc>
          <w:tcPr/>
          <w:p>
            <w:pPr>
              <w:pStyle w:val="Tabla9"/>
              <w:jc w:val="left"/>
            </w:pPr>
            <w:r>
              <w:t xml:space="preserve">SOFTWARE; DATOS</w:t>
            </w:r>
          </w:p>
        </w:tc>
        <w:tc>
          <w:tcPr/>
          <w:p>
            <w:pPr>
              <w:pStyle w:val="Tabla9"/>
              <w:jc w:val="left"/>
            </w:pPr>
            <w:r>
              <w:t xml:space="preserve">Mapa de dispersión y reentrenamiento</w:t>
            </w:r>
          </w:p>
        </w:tc>
        <w:tc>
          <w:tcPr/>
          <w:p>
            <w:pPr>
              <w:pStyle w:val="Tabla9"/>
              <w:jc w:val="left"/>
            </w:pPr>
            <w:r>
              <w:t xml:space="preserve">Nube; datos de M2</w:t>
            </w:r>
          </w:p>
        </w:tc>
        <w:tc>
          <w:tcPr/>
          <w:p>
            <w:pPr>
              <w:pStyle w:val="Tabla9"/>
              <w:jc w:val="left"/>
            </w:pPr>
            <w:r>
              <w:t xml:space="preserve">Línea agregada de operación en F-E3</w:t>
            </w:r>
          </w:p>
        </w:tc>
      </w:tr>
      <w:tr>
        <w:trPr>
          <w:cantSplit/>
        </w:trPr>
        <w:tc>
          <w:tcPr/>
          <w:p>
            <w:pPr>
              <w:pStyle w:val="Tabla9"/>
              <w:jc w:val="left"/>
            </w:pPr>
            <w:r>
              <w:t xml:space="preserve">Tablero de alertas (M4)</w:t>
            </w:r>
          </w:p>
        </w:tc>
        <w:tc>
          <w:tcPr/>
          <w:p>
            <w:pPr>
              <w:pStyle w:val="Tabla9"/>
              <w:jc w:val="left"/>
            </w:pPr>
            <w:r>
              <w:t xml:space="preserve">SOFTWARE; SERVICIO</w:t>
            </w:r>
          </w:p>
        </w:tc>
        <w:tc>
          <w:tcPr/>
          <w:p>
            <w:pPr>
              <w:pStyle w:val="Tabla9"/>
              <w:jc w:val="left"/>
            </w:pPr>
            <w:r>
              <w:t xml:space="preserve">Índice local y alertas</w:t>
            </w:r>
          </w:p>
        </w:tc>
        <w:tc>
          <w:tcPr/>
          <w:p>
            <w:pPr>
              <w:pStyle w:val="Tabla9"/>
              <w:jc w:val="left"/>
            </w:pPr>
            <w:r>
              <w:t xml:space="preserve">M3; fórmula local validada</w:t>
            </w:r>
          </w:p>
        </w:tc>
        <w:tc>
          <w:tcPr/>
          <w:p>
            <w:pPr>
              <w:pStyle w:val="Tabla9"/>
              <w:jc w:val="left"/>
            </w:pPr>
            <w:r>
              <w:t xml:space="preserve">VACIO</w:t>
            </w:r>
          </w:p>
        </w:tc>
      </w:tr>
      <w:tr>
        <w:trPr>
          <w:cantSplit/>
        </w:trPr>
        <w:tc>
          <w:tcPr/>
          <w:p>
            <w:pPr>
              <w:pStyle w:val="Tabla9"/>
              <w:jc w:val="left"/>
            </w:pPr>
            <w:r>
              <w:t xml:space="preserve">Series de datos</w:t>
            </w:r>
          </w:p>
        </w:tc>
        <w:tc>
          <w:tcPr/>
          <w:p>
            <w:pPr>
              <w:pStyle w:val="Tabla9"/>
              <w:jc w:val="left"/>
            </w:pPr>
            <w:r>
              <w:t xml:space="preserve">DATOS</w:t>
            </w:r>
          </w:p>
        </w:tc>
        <w:tc>
          <w:tcPr/>
          <w:p>
            <w:pPr>
              <w:pStyle w:val="Tabla9"/>
              <w:jc w:val="left"/>
            </w:pPr>
            <w:r>
              <w:t xml:space="preserve">Base maestra de mediciones</w:t>
            </w:r>
          </w:p>
        </w:tc>
        <w:tc>
          <w:tcPr/>
          <w:p>
            <w:pPr>
              <w:pStyle w:val="Tabla9"/>
              <w:jc w:val="left"/>
            </w:pPr>
            <w:r>
              <w:t xml:space="preserve">Licencia y propiedad</w:t>
            </w:r>
          </w:p>
        </w:tc>
        <w:tc>
          <w:tcPr/>
          <w:p>
            <w:pPr>
              <w:pStyle w:val="Tabla9"/>
              <w:jc w:val="left"/>
            </w:pPr>
            <w:r>
              <w:t xml:space="preserve">VACIO</w:t>
            </w:r>
          </w:p>
        </w:tc>
      </w:tr>
      <w:tr>
        <w:trPr>
          <w:cantSplit/>
        </w:trPr>
        <w:tc>
          <w:tcPr/>
          <w:p>
            <w:pPr>
              <w:pStyle w:val="Tabla9"/>
              <w:jc w:val="left"/>
            </w:pPr>
            <w:r>
              <w:t xml:space="preserve">Protocolo de calibración y sorteo</w:t>
            </w:r>
          </w:p>
        </w:tc>
        <w:tc>
          <w:tcPr/>
          <w:p>
            <w:pPr>
              <w:pStyle w:val="Tabla9"/>
              <w:jc w:val="left"/>
            </w:pPr>
            <w:r>
              <w:t xml:space="preserve">CONOCIMIENTO</w:t>
            </w:r>
          </w:p>
        </w:tc>
        <w:tc>
          <w:tcPr/>
          <w:p>
            <w:pPr>
              <w:pStyle w:val="Tabla9"/>
              <w:jc w:val="left"/>
            </w:pPr>
            <w:r>
              <w:t xml:space="preserve">Referencia y contraste</w:t>
            </w:r>
          </w:p>
        </w:tc>
        <w:tc>
          <w:tcPr/>
          <w:p>
            <w:pPr>
              <w:pStyle w:val="Tabla9"/>
              <w:jc w:val="left"/>
            </w:pPr>
            <w:r>
              <w:t xml:space="preserve">Monitores gravimétricos</w:t>
            </w:r>
          </w:p>
        </w:tc>
        <w:tc>
          <w:tcPr/>
          <w:p>
            <w:pPr>
              <w:pStyle w:val="Tabla9"/>
              <w:jc w:val="left"/>
            </w:pPr>
            <w:r>
              <w:t xml:space="preserve">VACIO</w:t>
            </w:r>
          </w:p>
        </w:tc>
      </w:tr>
      <w:tr>
        <w:trPr>
          <w:cantSplit/>
        </w:trPr>
        <w:tc>
          <w:tcPr/>
          <w:p>
            <w:pPr>
              <w:pStyle w:val="Tabla9"/>
              <w:jc w:val="left"/>
            </w:pPr>
            <w:r>
              <w:t xml:space="preserve">Operación y soporte</w:t>
            </w:r>
          </w:p>
        </w:tc>
        <w:tc>
          <w:tcPr/>
          <w:p>
            <w:pPr>
              <w:pStyle w:val="Tabla9"/>
              <w:jc w:val="left"/>
            </w:pPr>
            <w:r>
              <w:t xml:space="preserve">SERVICIO</w:t>
            </w:r>
          </w:p>
        </w:tc>
        <w:tc>
          <w:tcPr/>
          <w:p>
            <w:pPr>
              <w:pStyle w:val="Tabla9"/>
              <w:jc w:val="left"/>
            </w:pPr>
            <w:r>
              <w:t xml:space="preserve">Mantenimiento y soporte algorítmico</w:t>
            </w:r>
          </w:p>
        </w:tc>
        <w:tc>
          <w:tcPr/>
          <w:p>
            <w:pPr>
              <w:pStyle w:val="Tabla9"/>
              <w:jc w:val="left"/>
            </w:pPr>
            <w:r>
              <w:t xml:space="preserve">Personal certificado</w:t>
            </w:r>
          </w:p>
        </w:tc>
        <w:tc>
          <w:tcPr/>
          <w:p>
            <w:pPr>
              <w:pStyle w:val="Tabla9"/>
              <w:jc w:val="left"/>
            </w:pPr>
            <w:r>
              <w:t xml:space="preserve">Línea agregada de personal en F-E3</w:t>
            </w:r>
          </w:p>
        </w:tc>
      </w:tr>
      <w:tr>
        <w:trPr>
          <w:cantSplit/>
        </w:trPr>
        <w:tc>
          <w:tcPr/>
          <w:p>
            <w:pPr>
              <w:pStyle w:val="Tabla9"/>
              <w:jc w:val="left"/>
            </w:pPr>
            <w:r>
              <w:t xml:space="preserve">Usuarios institucionales</w:t>
            </w:r>
          </w:p>
        </w:tc>
        <w:tc>
          <w:tcPr/>
          <w:p>
            <w:pPr>
              <w:pStyle w:val="Tabla9"/>
              <w:jc w:val="left"/>
            </w:pPr>
            <w:r>
              <w:t xml:space="preserve">RED_DE_USUARIOS</w:t>
            </w:r>
          </w:p>
        </w:tc>
        <w:tc>
          <w:tcPr/>
          <w:p>
            <w:pPr>
              <w:pStyle w:val="Tabla9"/>
              <w:jc w:val="left"/>
            </w:pPr>
            <w:r>
              <w:t xml:space="preserve">Uso del tablero en protocolos</w:t>
            </w:r>
          </w:p>
        </w:tc>
        <w:tc>
          <w:tcPr/>
          <w:p>
            <w:pPr>
              <w:pStyle w:val="Tabla9"/>
              <w:jc w:val="left"/>
            </w:pPr>
            <w:r>
              <w:t xml:space="preserve">Acuerdos y capacitación</w:t>
            </w:r>
          </w:p>
        </w:tc>
        <w:tc>
          <w:tcPr/>
          <w:p>
            <w:pPr>
              <w:pStyle w:val="Tabla9"/>
              <w:jc w:val="left"/>
            </w:pPr>
            <w:r>
              <w:t xml:space="preserve">VACIO</w:t>
            </w:r>
          </w:p>
        </w:tc>
      </w:tr>
      <w:tr>
        <w:trPr>
          <w:cantSplit/>
        </w:trPr>
        <w:tc>
          <w:tcPr/>
          <w:p>
            <w:pPr>
              <w:pStyle w:val="Tabla9"/>
              <w:jc w:val="left"/>
            </w:pPr>
            <w:r>
              <w:t xml:space="preserve">Modelos y código</w:t>
            </w:r>
          </w:p>
        </w:tc>
        <w:tc>
          <w:tcPr/>
          <w:p>
            <w:pPr>
              <w:pStyle w:val="Tabla9"/>
              <w:jc w:val="left"/>
            </w:pPr>
            <w:r>
              <w:t xml:space="preserve">PROPIEDAD_INTELECTUAL</w:t>
            </w:r>
          </w:p>
        </w:tc>
        <w:tc>
          <w:tcPr/>
          <w:p>
            <w:pPr>
              <w:pStyle w:val="Tabla9"/>
              <w:jc w:val="left"/>
            </w:pPr>
            <w:r>
              <w:t xml:space="preserve">Corrección local y gemelo</w:t>
            </w:r>
          </w:p>
        </w:tc>
        <w:tc>
          <w:tcPr/>
          <w:p>
            <w:pPr>
              <w:pStyle w:val="Tabla9"/>
              <w:jc w:val="left"/>
            </w:pPr>
            <w:r>
              <w:t xml:space="preserve">Libertad de operación (F-INF §8.3, D-01)</w:t>
            </w:r>
          </w:p>
        </w:tc>
        <w:tc>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Costo total de sostenimiento y nivel mínimo de servicio.</w:t>
      </w:r>
      <w:r>
        <w:t xml:space="preserve"> </w:t>
      </w:r>
      <w:r>
        <w:t xml:space="preserve">La fórmula es CTS anual = suma de operación, personal, licencias, mantenimiento, reposición y gobernanza. La reposición anual es el costo del activo dividido por su vida útil (Shediac-Rizkallah y Bone, 1998). F-E3 declara tres de los seis rubros en la Tabla E3-14.2. Faltan licencias, reposición y gobernanza.</w:t>
      </w:r>
    </w:p>
    <w:p>
      <w:pPr>
        <w:pStyle w:val="BodyText"/>
      </w:pPr>
      <w:r>
        <w:rPr>
          <w:b/>
          <w:bCs/>
        </w:rPr>
        <w:t xml:space="preserve">Resultado.</w:t>
      </w:r>
      <w:r>
        <w:t xml:space="preserve"> </w:t>
      </w:r>
      <w:r>
        <w:t xml:space="preserve">CTS anual es NO_CALCULABLE. Solo existe una cota inferior declarada: 190,00; 208,25 y 226,91 millones de COP en los años 1, 2 y 3 posteriores al proyecto. La naturaleza es PROPUESTO y la verificación es NO_VERIFICADO. Esa cifra no incluye el ahorro ni la inversión inicial.</w:t>
      </w:r>
    </w:p>
    <w:p>
      <w:pPr>
        <w:pStyle w:val="BodyText"/>
      </w:pPr>
      <w:r>
        <w:rPr>
          <w:b/>
          <w:bCs/>
        </w:rPr>
        <w:t xml:space="preserve">Nivel mínimo de servicio viable (propuesta).</w:t>
      </w:r>
      <w:r>
        <w:t xml:space="preserve"> </w:t>
      </w:r>
      <w:r>
        <w:t xml:space="preserve">El nivel mínimo comprende cuatro elementos: nodos de referencia verificados, un tablero con umbrales vigentes, conservación y publicación de datos, y mantenimiento correctivo. Su costo mínimo anual es NO_CALCULABLE, porque ningún rubro está desagregado por componente.</w:t>
      </w:r>
    </w:p>
    <w:p>
      <w:pPr>
        <w:pStyle w:val="BodyText"/>
      </w:pPr>
      <w:r>
        <w:rPr>
          <w:b/>
          <w:bCs/>
        </w:rPr>
        <w:t xml:space="preserve">Índice de capacidad de absorción de los custodios (ICAR).</w:t>
      </w:r>
      <w:r>
        <w:t xml:space="preserve"> </w:t>
      </w:r>
      <w:r>
        <w:t xml:space="preserve">El índice puntúa de 0 a 3 seis dimensiones por custodio: financiera, talento, jurídica, técnica, continuidad y demanda. El resultado es el mínimo de las seis, sin compensación. Ningún candidato cuenta con evidencia en las seis dimensiones.</w:t>
      </w:r>
    </w:p>
    <w:p>
      <w:pPr>
        <w:pStyle w:val="BodyText"/>
      </w:pPr>
      <w:r>
        <w:t xml:space="preserve">La Tabla F4.93 reúne los datos de «Índice de capacidad de absorción de los custodios (ICAR)».</w:t>
      </w:r>
    </w:p>
    <w:p>
      <w:pPr>
        <w:pStyle w:val="TablaRotulo"/>
      </w:pPr>
      <w:bookmarkStart w:id="9170" w:name="rot_Tabla_F4_93"/>
      <w:r>
        <w:rPr>
          <w:b/>
          <w:bCs/>
        </w:rPr>
        <w:t xml:space="preserve">Tabla F4.93</w:t>
      </w:r>
      <w:bookmarkEnd w:id="9170"/>
    </w:p>
    <w:p>
      <w:pPr>
        <w:pStyle w:val="TablaTitulo"/>
      </w:pPr>
      <w:r>
        <w:rPr>
          <w:i/>
          <w:iCs/>
        </w:rPr>
        <w:t xml:space="preserve">Índice de capacidad de absorción de los custodios (ICAR)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12"/>
        <w:gridCol w:w="3366"/>
        <w:gridCol w:w="2442"/>
      </w:tblGrid>
      <w:tr>
        <w:trPr>
          <w:cantSplit/>
          <w:tblHeader/>
        </w:trPr>
        <w:tc>
          <w:tcPr>
            <w:shd w:val="clear" w:color="auto" w:fill="00B050"/>
          </w:tcPr>
          <w:p>
            <w:pPr>
              <w:pStyle w:val="Tabla9"/>
              <w:jc w:val="center"/>
            </w:pPr>
            <w:r>
              <w:rPr>
                <w:b/>
                <w:color w:val="FFFFFF"/>
              </w:rPr>
              <w:t xml:space="preserve">Custodio candidato</w:t>
            </w:r>
          </w:p>
        </w:tc>
        <w:tc>
          <w:tcPr>
            <w:shd w:val="clear" w:color="auto" w:fill="00B050"/>
          </w:tcPr>
          <w:p>
            <w:pPr>
              <w:pStyle w:val="Tabla9"/>
              <w:jc w:val="center"/>
            </w:pPr>
            <w:r>
              <w:rPr>
                <w:b/>
                <w:color w:val="FFFFFF"/>
              </w:rPr>
              <w:t xml:space="preserve">Evidencia disponible</w:t>
            </w:r>
          </w:p>
        </w:tc>
        <w:tc>
          <w:tcPr>
            <w:shd w:val="clear" w:color="auto" w:fill="00B050"/>
          </w:tcPr>
          <w:p>
            <w:pPr>
              <w:pStyle w:val="Tabla9"/>
              <w:jc w:val="center"/>
            </w:pPr>
            <w:r>
              <w:rPr>
                <w:b/>
                <w:color w:val="FFFFFF"/>
              </w:rPr>
              <w:t xml:space="preserve">ICAR</w:t>
            </w:r>
          </w:p>
        </w:tc>
      </w:tr>
      <w:tr>
        <w:trPr>
          <w:cantSplit/>
        </w:trPr>
        <w:tc>
          <w:tcPr/>
          <w:p>
            <w:pPr>
              <w:pStyle w:val="Tabla9"/>
              <w:jc w:val="left"/>
            </w:pPr>
            <w:r>
              <w:t xml:space="preserve">Alcaldías</w:t>
            </w:r>
          </w:p>
        </w:tc>
        <w:tc>
          <w:tcPr/>
          <w:p>
            <w:pPr>
              <w:pStyle w:val="Tabla9"/>
              <w:jc w:val="left"/>
            </w:pPr>
            <w:r>
              <w:t xml:space="preserve">Responden legalmente por actuar sobre la alerta (E3-P17). Sin partida ni compromiso. DECLARADO</w:t>
            </w:r>
          </w:p>
        </w:tc>
        <w:tc>
          <w:tcPr/>
          <w:p>
            <w:pPr>
              <w:pStyle w:val="Tabla9"/>
              <w:jc w:val="left"/>
            </w:pPr>
            <w:r>
              <w:t xml:space="preserve">NO_CALCULABLE</w:t>
            </w:r>
          </w:p>
        </w:tc>
      </w:tr>
      <w:tr>
        <w:trPr>
          <w:cantSplit/>
        </w:trPr>
        <w:tc>
          <w:tcPr/>
          <w:p>
            <w:pPr>
              <w:pStyle w:val="Tabla9"/>
              <w:jc w:val="left"/>
            </w:pPr>
            <w:r>
              <w:t xml:space="preserve">Gobernaciones y unidades de gestión del riesgo</w:t>
            </w:r>
          </w:p>
        </w:tc>
        <w:tc>
          <w:tcPr/>
          <w:p>
            <w:pPr>
              <w:pStyle w:val="Tabla9"/>
              <w:jc w:val="left"/>
            </w:pPr>
            <w:r>
              <w:t xml:space="preserve">Tabla E3-14.3 de F-E3 propone ordenanzas. No existen.</w:t>
            </w:r>
          </w:p>
        </w:tc>
        <w:tc>
          <w:tcPr/>
          <w:p>
            <w:pPr>
              <w:pStyle w:val="Tabla9"/>
              <w:jc w:val="left"/>
            </w:pPr>
            <w:r>
              <w:t xml:space="preserve">NO_CALCULABLE</w:t>
            </w:r>
          </w:p>
        </w:tc>
      </w:tr>
      <w:tr>
        <w:trPr>
          <w:cantSplit/>
        </w:trPr>
        <w:tc>
          <w:tcPr/>
          <w:p>
            <w:pPr>
              <w:pStyle w:val="Tabla9"/>
              <w:jc w:val="left"/>
            </w:pPr>
            <w:r>
              <w:t xml:space="preserve">UNGRD</w:t>
            </w:r>
          </w:p>
        </w:tc>
        <w:tc>
          <w:tcPr/>
          <w:p>
            <w:pPr>
              <w:pStyle w:val="Tabla9"/>
              <w:jc w:val="left"/>
            </w:pPr>
            <w:r>
              <w:t xml:space="preserve">Aporte en especie de personal (Tabla E3-14.2) sin aval</w:t>
            </w:r>
          </w:p>
        </w:tc>
        <w:tc>
          <w:tcPr/>
          <w:p>
            <w:pPr>
              <w:pStyle w:val="Tabla9"/>
              <w:jc w:val="left"/>
            </w:pPr>
            <w:r>
              <w:t xml:space="preserve">NO_CALCULABLE</w:t>
            </w:r>
          </w:p>
        </w:tc>
      </w:tr>
      <w:tr>
        <w:trPr>
          <w:cantSplit/>
        </w:trPr>
        <w:tc>
          <w:tcPr/>
          <w:p>
            <w:pPr>
              <w:pStyle w:val="Tabla9"/>
              <w:jc w:val="left"/>
            </w:pPr>
            <w:r>
              <w:t xml:space="preserve">IDEAM y autoridades ambientales</w:t>
            </w:r>
          </w:p>
        </w:tc>
        <w:tc>
          <w:tcPr/>
          <w:p>
            <w:pPr>
              <w:pStyle w:val="Tabla9"/>
              <w:jc w:val="left"/>
            </w:pPr>
            <w:r>
              <w:t xml:space="preserve">Referencia metrológica (F-INF §6.5). Sin convenio.</w:t>
            </w:r>
          </w:p>
        </w:tc>
        <w:tc>
          <w:tcPr/>
          <w:p>
            <w:pPr>
              <w:pStyle w:val="Tabla9"/>
              <w:jc w:val="left"/>
            </w:pPr>
            <w:r>
              <w:t xml:space="preserve">NO_CALCULABLE</w:t>
            </w:r>
          </w:p>
        </w:tc>
      </w:tr>
      <w:tr>
        <w:trPr>
          <w:cantSplit/>
        </w:trPr>
        <w:tc>
          <w:tcPr/>
          <w:p>
            <w:pPr>
              <w:pStyle w:val="Tabla9"/>
              <w:jc w:val="left"/>
            </w:pPr>
            <w:r>
              <w:t xml:space="preserve">Institución ejecutora</w:t>
            </w:r>
          </w:p>
        </w:tc>
        <w:tc>
          <w:tcPr/>
          <w:p>
            <w:pPr>
              <w:pStyle w:val="Tabla9"/>
              <w:jc w:val="left"/>
            </w:pPr>
            <w:r>
              <w:t xml:space="preserve">CONTRADICTORIO: sin recursos permanentes (E3-P17, §13) frente a personal en especie (Tabla E3-14.2)</w:t>
            </w:r>
          </w:p>
        </w:tc>
        <w:tc>
          <w:tcPr/>
          <w:p>
            <w:pPr>
              <w:pStyle w:val="Tabla9"/>
              <w:jc w:val="left"/>
            </w:pPr>
            <w:r>
              <w:t xml:space="preserve">NO_CALCULABLE</w:t>
            </w:r>
          </w:p>
        </w:tc>
      </w:tr>
      <w:tr>
        <w:trPr>
          <w:cantSplit/>
        </w:trPr>
        <w:tc>
          <w:tcPr/>
          <w:p>
            <w:pPr>
              <w:pStyle w:val="Tabla9"/>
              <w:jc w:val="left"/>
            </w:pPr>
            <w:r>
              <w:t xml:space="preserve">Empresa aliada</w:t>
            </w:r>
          </w:p>
        </w:tc>
        <w:tc>
          <w:tcPr/>
          <w:p>
            <w:pPr>
              <w:pStyle w:val="Tabla9"/>
              <w:jc w:val="left"/>
            </w:pPr>
            <w:r>
              <w:t xml:space="preserve">Responsable de código y propiedad intelectual (E3-P17). Sin modelo de negocio.</w:t>
            </w:r>
          </w:p>
        </w:tc>
        <w:tc>
          <w:tcPr/>
          <w:p>
            <w:pPr>
              <w:pStyle w:val="Tabla9"/>
              <w:jc w:val="left"/>
            </w:pPr>
            <w:r>
              <w:t xml:space="preserve">NO_CALCULABLE</w:t>
            </w:r>
          </w:p>
        </w:tc>
      </w:tr>
      <w:tr>
        <w:trPr>
          <w:cantSplit/>
        </w:trPr>
        <w:tc>
          <w:tcPr/>
          <w:p>
            <w:pPr>
              <w:pStyle w:val="Tabla9"/>
              <w:jc w:val="left"/>
            </w:pPr>
            <w:r>
              <w:t xml:space="preserve">ARL y corporación autónoma</w:t>
            </w:r>
          </w:p>
        </w:tc>
        <w:tc>
          <w:tcPr/>
          <w:p>
            <w:pPr>
              <w:pStyle w:val="Tabla9"/>
              <w:jc w:val="left"/>
            </w:pPr>
            <w:r>
              <w:t xml:space="preserve">Convenio de cofinanciación declarado en la Tabla E3-14.2 sin evidencia</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se asigna ningún valor por defecto. Un custodio sin evidencia queda NO_EVALUADO, no en cero.</w:t>
      </w:r>
    </w:p>
    <w:p>
      <w:pPr>
        <w:pStyle w:val="BodyText"/>
      </w:pPr>
      <w:r>
        <w:rPr>
          <w:b/>
          <w:bCs/>
        </w:rPr>
        <w:t xml:space="preserve">Custodia distribuida.</w:t>
      </w:r>
      <w:r>
        <w:t xml:space="preserve"> </w:t>
      </w:r>
      <w:r>
        <w:t xml:space="preserve">Ningún componente queda sin custodio o sin cláusula de apertura. La asignación de custodios es NO_CALCULABLE sin ICAR. La tabla fija las exigencias por componente y los candidatos. Ninguna entidad se asigna por defecto.</w:t>
      </w:r>
    </w:p>
    <w:p>
      <w:pPr>
        <w:pStyle w:val="BodyText"/>
      </w:pPr>
      <w:r>
        <w:t xml:space="preserve">La Tabla F4.94 reúne los datos de «Custodia distribuida».</w:t>
      </w:r>
    </w:p>
    <w:p>
      <w:pPr>
        <w:pStyle w:val="TablaRotulo"/>
      </w:pPr>
      <w:bookmarkStart w:id="9171" w:name="rot_Tabla_F4_94"/>
      <w:r>
        <w:rPr>
          <w:b/>
          <w:bCs/>
        </w:rPr>
        <w:t xml:space="preserve">Tabla F4.94</w:t>
      </w:r>
      <w:bookmarkEnd w:id="9171"/>
    </w:p>
    <w:p>
      <w:pPr>
        <w:pStyle w:val="TablaTitulo"/>
      </w:pPr>
      <w:r>
        <w:rPr>
          <w:i/>
          <w:iCs/>
        </w:rPr>
        <w:t xml:space="preserve">Custodia distribuida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82"/>
        <w:gridCol w:w="1782"/>
        <w:gridCol w:w="2112"/>
        <w:gridCol w:w="2244"/>
      </w:tblGrid>
      <w:tr>
        <w:trPr>
          <w:cantSplit/>
          <w:tblHeader/>
        </w:trPr>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Dimensiones que exige</w:t>
            </w:r>
          </w:p>
        </w:tc>
        <w:tc>
          <w:tcPr>
            <w:shd w:val="clear" w:color="auto" w:fill="00B050"/>
          </w:tcPr>
          <w:p>
            <w:pPr>
              <w:pStyle w:val="Tabla9"/>
              <w:jc w:val="center"/>
            </w:pPr>
            <w:r>
              <w:rPr>
                <w:b/>
                <w:color w:val="FFFFFF"/>
              </w:rPr>
              <w:t xml:space="preserve">Candidatos</w:t>
            </w:r>
          </w:p>
        </w:tc>
        <w:tc>
          <w:tcPr>
            <w:shd w:val="clear" w:color="auto" w:fill="00B050"/>
          </w:tcPr>
          <w:p>
            <w:pPr>
              <w:pStyle w:val="Tabla9"/>
              <w:jc w:val="center"/>
            </w:pPr>
            <w:r>
              <w:rPr>
                <w:b/>
                <w:color w:val="FFFFFF"/>
              </w:rPr>
              <w:t xml:space="preserve">Custodio asignado</w:t>
            </w:r>
          </w:p>
        </w:tc>
      </w:tr>
      <w:tr>
        <w:trPr>
          <w:cantSplit/>
        </w:trPr>
        <w:tc>
          <w:tcPr/>
          <w:p>
            <w:pPr>
              <w:pStyle w:val="Tabla9"/>
              <w:jc w:val="left"/>
            </w:pPr>
            <w:r>
              <w:t xml:space="preserve">Nodos y repuestos</w:t>
            </w:r>
          </w:p>
        </w:tc>
        <w:tc>
          <w:tcPr/>
          <w:p>
            <w:pPr>
              <w:pStyle w:val="Tabla9"/>
              <w:jc w:val="left"/>
            </w:pPr>
            <w:r>
              <w:t xml:space="preserve">Técnica; talento</w:t>
            </w:r>
          </w:p>
        </w:tc>
        <w:tc>
          <w:tcPr/>
          <w:p>
            <w:pPr>
              <w:pStyle w:val="Tabla9"/>
              <w:jc w:val="left"/>
            </w:pPr>
            <w:r>
              <w:t xml:space="preserve">Empresa aliada; institución ejecutora</w:t>
            </w:r>
          </w:p>
        </w:tc>
        <w:tc>
          <w:tcPr/>
          <w:p>
            <w:pPr>
              <w:pStyle w:val="Tabla9"/>
              <w:jc w:val="left"/>
            </w:pPr>
            <w:r>
              <w:t xml:space="preserve">POR_DEFINIR con ICAR</w:t>
            </w:r>
          </w:p>
        </w:tc>
      </w:tr>
      <w:tr>
        <w:trPr>
          <w:cantSplit/>
        </w:trPr>
        <w:tc>
          <w:tcPr/>
          <w:p>
            <w:pPr>
              <w:pStyle w:val="Tabla9"/>
              <w:jc w:val="left"/>
            </w:pPr>
            <w:r>
              <w:t xml:space="preserve">Gemelo digital y datos</w:t>
            </w:r>
          </w:p>
        </w:tc>
        <w:tc>
          <w:tcPr/>
          <w:p>
            <w:pPr>
              <w:pStyle w:val="Tabla9"/>
              <w:jc w:val="left"/>
            </w:pPr>
            <w:r>
              <w:t xml:space="preserve">Financiera; técnica</w:t>
            </w:r>
          </w:p>
        </w:tc>
        <w:tc>
          <w:tcPr/>
          <w:p>
            <w:pPr>
              <w:pStyle w:val="Tabla9"/>
              <w:jc w:val="left"/>
            </w:pPr>
            <w:r>
              <w:t xml:space="preserve">Institución ejecutora; empresa aliada</w:t>
            </w:r>
          </w:p>
        </w:tc>
        <w:tc>
          <w:tcPr/>
          <w:p>
            <w:pPr>
              <w:pStyle w:val="Tabla9"/>
              <w:jc w:val="left"/>
            </w:pPr>
            <w:r>
              <w:t xml:space="preserve">POR_DEFINIR con ICAR</w:t>
            </w:r>
          </w:p>
        </w:tc>
      </w:tr>
      <w:tr>
        <w:trPr>
          <w:cantSplit/>
        </w:trPr>
        <w:tc>
          <w:tcPr/>
          <w:p>
            <w:pPr>
              <w:pStyle w:val="Tabla9"/>
              <w:jc w:val="left"/>
            </w:pPr>
            <w:r>
              <w:t xml:space="preserve">Tablero y alertas</w:t>
            </w:r>
          </w:p>
        </w:tc>
        <w:tc>
          <w:tcPr/>
          <w:p>
            <w:pPr>
              <w:pStyle w:val="Tabla9"/>
              <w:jc w:val="left"/>
            </w:pPr>
            <w:r>
              <w:t xml:space="preserve">Jurídica; demanda</w:t>
            </w:r>
          </w:p>
        </w:tc>
        <w:tc>
          <w:tcPr/>
          <w:p>
            <w:pPr>
              <w:pStyle w:val="Tabla9"/>
              <w:jc w:val="left"/>
            </w:pPr>
            <w:r>
              <w:t xml:space="preserve">Unidades de gestión del riesgo; alcaldías</w:t>
            </w:r>
          </w:p>
        </w:tc>
        <w:tc>
          <w:tcPr/>
          <w:p>
            <w:pPr>
              <w:pStyle w:val="Tabla9"/>
              <w:jc w:val="left"/>
            </w:pPr>
            <w:r>
              <w:t xml:space="preserve">POR_DEFINIR con ICAR</w:t>
            </w:r>
          </w:p>
        </w:tc>
      </w:tr>
      <w:tr>
        <w:trPr>
          <w:cantSplit/>
        </w:trPr>
        <w:tc>
          <w:tcPr/>
          <w:p>
            <w:pPr>
              <w:pStyle w:val="Tabla9"/>
              <w:jc w:val="left"/>
            </w:pPr>
            <w:r>
              <w:t xml:space="preserve">Protocolo de calibración</w:t>
            </w:r>
          </w:p>
        </w:tc>
        <w:tc>
          <w:tcPr/>
          <w:p>
            <w:pPr>
              <w:pStyle w:val="Tabla9"/>
              <w:jc w:val="left"/>
            </w:pPr>
            <w:r>
              <w:t xml:space="preserve">Técnica; continuidad</w:t>
            </w:r>
          </w:p>
        </w:tc>
        <w:tc>
          <w:tcPr/>
          <w:p>
            <w:pPr>
              <w:pStyle w:val="Tabla9"/>
              <w:jc w:val="left"/>
            </w:pPr>
            <w:r>
              <w:t xml:space="preserve">Autoridad ambiental; institución ejecutora</w:t>
            </w:r>
          </w:p>
        </w:tc>
        <w:tc>
          <w:tcPr/>
          <w:p>
            <w:pPr>
              <w:pStyle w:val="Tabla9"/>
              <w:jc w:val="left"/>
            </w:pPr>
            <w:r>
              <w:t xml:space="preserve">POR_DEFINIR con ICAR</w:t>
            </w:r>
          </w:p>
        </w:tc>
      </w:tr>
      <w:tr>
        <w:trPr>
          <w:cantSplit/>
        </w:trPr>
        <w:tc>
          <w:tcPr/>
          <w:p>
            <w:pPr>
              <w:pStyle w:val="Tabla9"/>
              <w:jc w:val="left"/>
            </w:pPr>
            <w:r>
              <w:t xml:space="preserve">Gobernanza y acuerdos</w:t>
            </w:r>
          </w:p>
        </w:tc>
        <w:tc>
          <w:tcPr/>
          <w:p>
            <w:pPr>
              <w:pStyle w:val="Tabla9"/>
              <w:jc w:val="left"/>
            </w:pPr>
            <w:r>
              <w:t xml:space="preserve">Jurídica; continuidad</w:t>
            </w:r>
          </w:p>
        </w:tc>
        <w:tc>
          <w:tcPr/>
          <w:p>
            <w:pPr>
              <w:pStyle w:val="Tabla9"/>
              <w:jc w:val="left"/>
            </w:pPr>
            <w:r>
              <w:t xml:space="preserve">Órgano de gobierno de la alianza</w:t>
            </w:r>
          </w:p>
        </w:tc>
        <w:tc>
          <w:tcPr/>
          <w:p>
            <w:pPr>
              <w:pStyle w:val="Tabla9"/>
              <w:jc w:val="left"/>
            </w:pPr>
            <w:r>
              <w:t xml:space="preserve">POR_DEFINIR</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Motor financiero y concentración.</w:t>
      </w:r>
      <w:r>
        <w:t xml:space="preserve"> </w:t>
      </w:r>
      <w:r>
        <w:t xml:space="preserve">La tabla usa las cifras que F-E3 declara en la Tabla E3-14.2, en millones de COP. Son PROPUESTAS y NO_VERIFICADAS. El cálculo es exacto sobre ellas. Se rotula CALCULADO sobre cifras NO_VERIFICADAS.</w:t>
      </w:r>
    </w:p>
    <w:p>
      <w:pPr>
        <w:pStyle w:val="BodyText"/>
      </w:pPr>
      <w:r>
        <w:t xml:space="preserve">La Tabla F4.95 reúne los datos de «Motor financiero y concentración».</w:t>
      </w:r>
    </w:p>
    <w:p>
      <w:pPr>
        <w:pStyle w:val="TablaRotulo"/>
      </w:pPr>
      <w:bookmarkStart w:id="9172" w:name="rot_Tabla_F4_95"/>
      <w:r>
        <w:rPr>
          <w:b/>
          <w:bCs/>
        </w:rPr>
        <w:t xml:space="preserve">Tabla F4.95</w:t>
      </w:r>
      <w:bookmarkEnd w:id="9172"/>
    </w:p>
    <w:p>
      <w:pPr>
        <w:pStyle w:val="TablaTitulo"/>
      </w:pPr>
      <w:r>
        <w:rPr>
          <w:i/>
          <w:iCs/>
        </w:rPr>
        <w:t xml:space="preserve">Motor financiero y concentración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40"/>
        <w:gridCol w:w="720"/>
        <w:gridCol w:w="1440"/>
        <w:gridCol w:w="720"/>
        <w:gridCol w:w="1440"/>
        <w:gridCol w:w="720"/>
        <w:gridCol w:w="1440"/>
      </w:tblGrid>
      <w:tr>
        <w:trPr>
          <w:cantSplit/>
          <w:tblHeader/>
        </w:trPr>
        <w:tc>
          <w:tcPr>
            <w:shd w:val="clear" w:color="auto" w:fill="00B050"/>
          </w:tcPr>
          <w:p>
            <w:pPr>
              <w:pStyle w:val="Tabla8"/>
              <w:jc w:val="center"/>
            </w:pPr>
            <w:r>
              <w:rPr>
                <w:b/>
                <w:color w:val="FFFFFF"/>
              </w:rPr>
              <w:t xml:space="preserve">Fuente declarada</w:t>
            </w:r>
          </w:p>
        </w:tc>
        <w:tc>
          <w:tcPr>
            <w:shd w:val="clear" w:color="auto" w:fill="00B050"/>
          </w:tcPr>
          <w:p>
            <w:pPr>
              <w:pStyle w:val="Tabla8"/>
              <w:jc w:val="center"/>
            </w:pPr>
            <w:r>
              <w:rPr>
                <w:b/>
                <w:color w:val="FFFFFF"/>
              </w:rPr>
              <w:t xml:space="preserve">Año 1</w:t>
            </w:r>
          </w:p>
        </w:tc>
        <w:tc>
          <w:tcPr>
            <w:shd w:val="clear" w:color="auto" w:fill="00B050"/>
          </w:tcPr>
          <w:p>
            <w:pPr>
              <w:pStyle w:val="Tabla8"/>
              <w:jc w:val="center"/>
            </w:pPr>
            <w:r>
              <w:rPr>
                <w:b/>
                <w:color w:val="FFFFFF"/>
              </w:rPr>
              <w:t xml:space="preserve">Participación</w:t>
            </w:r>
          </w:p>
        </w:tc>
        <w:tc>
          <w:tcPr>
            <w:shd w:val="clear" w:color="auto" w:fill="00B050"/>
          </w:tcPr>
          <w:p>
            <w:pPr>
              <w:pStyle w:val="Tabla8"/>
              <w:jc w:val="center"/>
            </w:pPr>
            <w:r>
              <w:rPr>
                <w:b/>
                <w:color w:val="FFFFFF"/>
              </w:rPr>
              <w:t xml:space="preserve">Año 2</w:t>
            </w:r>
          </w:p>
        </w:tc>
        <w:tc>
          <w:tcPr>
            <w:shd w:val="clear" w:color="auto" w:fill="00B050"/>
          </w:tcPr>
          <w:p>
            <w:pPr>
              <w:pStyle w:val="Tabla8"/>
              <w:jc w:val="center"/>
            </w:pPr>
            <w:r>
              <w:rPr>
                <w:b/>
                <w:color w:val="FFFFFF"/>
              </w:rPr>
              <w:t xml:space="preserve">Participación</w:t>
            </w:r>
          </w:p>
        </w:tc>
        <w:tc>
          <w:tcPr>
            <w:shd w:val="clear" w:color="auto" w:fill="00B050"/>
          </w:tcPr>
          <w:p>
            <w:pPr>
              <w:pStyle w:val="Tabla8"/>
              <w:jc w:val="center"/>
            </w:pPr>
            <w:r>
              <w:rPr>
                <w:b/>
                <w:color w:val="FFFFFF"/>
              </w:rPr>
              <w:t xml:space="preserve">Año 3</w:t>
            </w:r>
          </w:p>
        </w:tc>
        <w:tc>
          <w:tcPr>
            <w:shd w:val="clear" w:color="auto" w:fill="00B050"/>
          </w:tcPr>
          <w:p>
            <w:pPr>
              <w:pStyle w:val="Tabla8"/>
              <w:jc w:val="center"/>
            </w:pPr>
            <w:r>
              <w:rPr>
                <w:b/>
                <w:color w:val="FFFFFF"/>
              </w:rPr>
              <w:t xml:space="preserve">Participación</w:t>
            </w:r>
          </w:p>
        </w:tc>
      </w:tr>
      <w:tr>
        <w:trPr>
          <w:cantSplit/>
        </w:trPr>
        <w:tc>
          <w:tcPr/>
          <w:p>
            <w:pPr>
              <w:pStyle w:val="Tabla8"/>
              <w:jc w:val="left"/>
            </w:pPr>
            <w:r>
              <w:t xml:space="preserve">Secretarías TIC municipales (operación de nube e IoT)</w:t>
            </w:r>
          </w:p>
        </w:tc>
        <w:tc>
          <w:tcPr/>
          <w:p>
            <w:pPr>
              <w:pStyle w:val="Tabla8"/>
              <w:jc w:val="left"/>
            </w:pPr>
            <w:r>
              <w:t xml:space="preserve">45,00</w:t>
            </w:r>
          </w:p>
        </w:tc>
        <w:tc>
          <w:tcPr/>
          <w:p>
            <w:pPr>
              <w:pStyle w:val="Tabla8"/>
              <w:jc w:val="left"/>
            </w:pPr>
            <w:r>
              <w:t xml:space="preserve">23,7 %</w:t>
            </w:r>
          </w:p>
        </w:tc>
        <w:tc>
          <w:tcPr/>
          <w:p>
            <w:pPr>
              <w:pStyle w:val="Tabla8"/>
              <w:jc w:val="left"/>
            </w:pPr>
            <w:r>
              <w:t xml:space="preserve">47,25</w:t>
            </w:r>
          </w:p>
        </w:tc>
        <w:tc>
          <w:tcPr/>
          <w:p>
            <w:pPr>
              <w:pStyle w:val="Tabla8"/>
              <w:jc w:val="left"/>
            </w:pPr>
            <w:r>
              <w:t xml:space="preserve">22,7 %</w:t>
            </w:r>
          </w:p>
        </w:tc>
        <w:tc>
          <w:tcPr/>
          <w:p>
            <w:pPr>
              <w:pStyle w:val="Tabla8"/>
              <w:jc w:val="left"/>
            </w:pPr>
            <w:r>
              <w:t xml:space="preserve">49,61</w:t>
            </w:r>
          </w:p>
        </w:tc>
        <w:tc>
          <w:tcPr/>
          <w:p>
            <w:pPr>
              <w:pStyle w:val="Tabla8"/>
              <w:jc w:val="left"/>
            </w:pPr>
            <w:r>
              <w:t xml:space="preserve">21,9 %</w:t>
            </w:r>
          </w:p>
        </w:tc>
      </w:tr>
      <w:tr>
        <w:trPr>
          <w:cantSplit/>
        </w:trPr>
        <w:tc>
          <w:tcPr/>
          <w:p>
            <w:pPr>
              <w:pStyle w:val="Tabla8"/>
              <w:jc w:val="left"/>
            </w:pPr>
            <w:r>
              <w:t xml:space="preserve">Convenio de ARL y corporación autónoma (mantenimiento y repuestos)</w:t>
            </w:r>
          </w:p>
        </w:tc>
        <w:tc>
          <w:tcPr/>
          <w:p>
            <w:pPr>
              <w:pStyle w:val="Tabla8"/>
              <w:jc w:val="left"/>
            </w:pPr>
            <w:r>
              <w:t xml:space="preserve">25,00</w:t>
            </w:r>
          </w:p>
        </w:tc>
        <w:tc>
          <w:tcPr/>
          <w:p>
            <w:pPr>
              <w:pStyle w:val="Tabla8"/>
              <w:jc w:val="left"/>
            </w:pPr>
            <w:r>
              <w:t xml:space="preserve">13,2 %</w:t>
            </w:r>
          </w:p>
        </w:tc>
        <w:tc>
          <w:tcPr/>
          <w:p>
            <w:pPr>
              <w:pStyle w:val="Tabla8"/>
              <w:jc w:val="left"/>
            </w:pPr>
            <w:r>
              <w:t xml:space="preserve">35,00</w:t>
            </w:r>
          </w:p>
        </w:tc>
        <w:tc>
          <w:tcPr/>
          <w:p>
            <w:pPr>
              <w:pStyle w:val="Tabla8"/>
              <w:jc w:val="left"/>
            </w:pPr>
            <w:r>
              <w:t xml:space="preserve">16,8 %</w:t>
            </w:r>
          </w:p>
        </w:tc>
        <w:tc>
          <w:tcPr/>
          <w:p>
            <w:pPr>
              <w:pStyle w:val="Tabla8"/>
              <w:jc w:val="left"/>
            </w:pPr>
            <w:r>
              <w:t xml:space="preserve">45,00</w:t>
            </w:r>
          </w:p>
        </w:tc>
        <w:tc>
          <w:tcPr/>
          <w:p>
            <w:pPr>
              <w:pStyle w:val="Tabla8"/>
              <w:jc w:val="left"/>
            </w:pPr>
            <w:r>
              <w:t xml:space="preserve">19,8 %</w:t>
            </w:r>
          </w:p>
        </w:tc>
      </w:tr>
      <w:tr>
        <w:trPr>
          <w:cantSplit/>
        </w:trPr>
        <w:tc>
          <w:tcPr/>
          <w:p>
            <w:pPr>
              <w:pStyle w:val="Tabla8"/>
              <w:jc w:val="left"/>
            </w:pPr>
            <w:r>
              <w:t xml:space="preserve">IES regional y UNGRD en especie (personal técnico y soporte)</w:t>
            </w:r>
          </w:p>
        </w:tc>
        <w:tc>
          <w:tcPr/>
          <w:p>
            <w:pPr>
              <w:pStyle w:val="Tabla8"/>
              <w:jc w:val="left"/>
            </w:pPr>
            <w:r>
              <w:t xml:space="preserve">120,00</w:t>
            </w:r>
          </w:p>
        </w:tc>
        <w:tc>
          <w:tcPr/>
          <w:p>
            <w:pPr>
              <w:pStyle w:val="Tabla8"/>
              <w:jc w:val="left"/>
            </w:pPr>
            <w:r>
              <w:t xml:space="preserve">63,2 %</w:t>
            </w:r>
          </w:p>
        </w:tc>
        <w:tc>
          <w:tcPr/>
          <w:p>
            <w:pPr>
              <w:pStyle w:val="Tabla8"/>
              <w:jc w:val="left"/>
            </w:pPr>
            <w:r>
              <w:t xml:space="preserve">126,00</w:t>
            </w:r>
          </w:p>
        </w:tc>
        <w:tc>
          <w:tcPr/>
          <w:p>
            <w:pPr>
              <w:pStyle w:val="Tabla8"/>
              <w:jc w:val="left"/>
            </w:pPr>
            <w:r>
              <w:t xml:space="preserve">60,5 %</w:t>
            </w:r>
          </w:p>
        </w:tc>
        <w:tc>
          <w:tcPr/>
          <w:p>
            <w:pPr>
              <w:pStyle w:val="Tabla8"/>
              <w:jc w:val="left"/>
            </w:pPr>
            <w:r>
              <w:t xml:space="preserve">132,30</w:t>
            </w:r>
          </w:p>
        </w:tc>
        <w:tc>
          <w:tcPr/>
          <w:p>
            <w:pPr>
              <w:pStyle w:val="Tabla8"/>
              <w:jc w:val="left"/>
            </w:pPr>
            <w:r>
              <w:t xml:space="preserve">58,3 %</w:t>
            </w:r>
          </w:p>
        </w:tc>
      </w:tr>
      <w:tr>
        <w:trPr>
          <w:cantSplit/>
        </w:trPr>
        <w:tc>
          <w:tcPr/>
          <w:p>
            <w:pPr>
              <w:pStyle w:val="Tabla8"/>
              <w:jc w:val="left"/>
            </w:pPr>
            <w:r>
              <w:t xml:space="preserve">Total declarado (costo parcial)</w:t>
            </w:r>
          </w:p>
        </w:tc>
        <w:tc>
          <w:tcPr/>
          <w:p>
            <w:pPr>
              <w:pStyle w:val="Tabla8"/>
              <w:jc w:val="left"/>
            </w:pPr>
            <w:r>
              <w:t xml:space="preserve">190,00</w:t>
            </w:r>
          </w:p>
        </w:tc>
        <w:tc>
          <w:tcPr/>
          <w:p>
            <w:pPr>
              <w:pStyle w:val="Tabla8"/>
              <w:jc w:val="left"/>
            </w:pPr>
            <w:r>
              <w:t xml:space="preserve">100,0 %</w:t>
            </w:r>
          </w:p>
        </w:tc>
        <w:tc>
          <w:tcPr/>
          <w:p>
            <w:pPr>
              <w:pStyle w:val="Tabla8"/>
              <w:jc w:val="left"/>
            </w:pPr>
            <w:r>
              <w:t xml:space="preserve">208,25</w:t>
            </w:r>
          </w:p>
        </w:tc>
        <w:tc>
          <w:tcPr/>
          <w:p>
            <w:pPr>
              <w:pStyle w:val="Tabla8"/>
              <w:jc w:val="left"/>
            </w:pPr>
            <w:r>
              <w:t xml:space="preserve">100,0 %</w:t>
            </w:r>
          </w:p>
        </w:tc>
        <w:tc>
          <w:tcPr/>
          <w:p>
            <w:pPr>
              <w:pStyle w:val="Tabla8"/>
              <w:jc w:val="left"/>
            </w:pPr>
            <w:r>
              <w:t xml:space="preserve">226,91</w:t>
            </w:r>
          </w:p>
        </w:tc>
        <w:tc>
          <w:tcPr/>
          <w:p>
            <w:pPr>
              <w:pStyle w:val="Tabla8"/>
              <w:jc w:val="left"/>
            </w:pPr>
            <w:r>
              <w:t xml:space="preserve">100,0 %</w:t>
            </w:r>
          </w:p>
        </w:tc>
      </w:tr>
      <w:tr>
        <w:trPr>
          <w:cantSplit/>
        </w:trPr>
        <w:tc>
          <w:tcPr/>
          <w:p>
            <w:pPr>
              <w:pStyle w:val="Tabla8"/>
              <w:jc w:val="left"/>
            </w:pPr>
            <w:r>
              <w:t xml:space="preserve">Participación máxima</w:t>
            </w:r>
          </w:p>
        </w:tc>
        <w:tc>
          <w:tcPr/>
          <w:p>
            <w:pPr>
              <w:pStyle w:val="Tabla8"/>
              <w:jc w:val="left"/>
            </w:pPr>
            <w:r>
              <w:t xml:space="preserve">—</w:t>
            </w:r>
          </w:p>
        </w:tc>
        <w:tc>
          <w:tcPr/>
          <w:p>
            <w:pPr>
              <w:pStyle w:val="Tabla8"/>
              <w:jc w:val="left"/>
            </w:pPr>
            <w:r>
              <w:t xml:space="preserve">63,2 %</w:t>
            </w:r>
          </w:p>
        </w:tc>
        <w:tc>
          <w:tcPr/>
          <w:p>
            <w:pPr>
              <w:pStyle w:val="Tabla8"/>
              <w:jc w:val="left"/>
            </w:pPr>
            <w:r>
              <w:t xml:space="preserve">—</w:t>
            </w:r>
          </w:p>
        </w:tc>
        <w:tc>
          <w:tcPr/>
          <w:p>
            <w:pPr>
              <w:pStyle w:val="Tabla8"/>
              <w:jc w:val="left"/>
            </w:pPr>
            <w:r>
              <w:t xml:space="preserve">60,5 %</w:t>
            </w:r>
          </w:p>
        </w:tc>
        <w:tc>
          <w:tcPr/>
          <w:p>
            <w:pPr>
              <w:pStyle w:val="Tabla8"/>
              <w:jc w:val="left"/>
            </w:pPr>
            <w:r>
              <w:t xml:space="preserve">—</w:t>
            </w:r>
          </w:p>
        </w:tc>
        <w:tc>
          <w:tcPr/>
          <w:p>
            <w:pPr>
              <w:pStyle w:val="Tabla8"/>
              <w:jc w:val="left"/>
            </w:pPr>
            <w:r>
              <w:t xml:space="preserve">58,3 %</w:t>
            </w:r>
          </w:p>
        </w:tc>
      </w:tr>
      <w:tr>
        <w:trPr>
          <w:cantSplit/>
        </w:trPr>
        <w:tc>
          <w:tcPr/>
          <w:p>
            <w:pPr>
              <w:pStyle w:val="Tabla8"/>
              <w:jc w:val="left"/>
            </w:pPr>
            <w:r>
              <w:t xml:space="preserve">Índice HHI</w:t>
            </w:r>
          </w:p>
        </w:tc>
        <w:tc>
          <w:tcPr/>
          <w:p>
            <w:pPr>
              <w:pStyle w:val="Tabla8"/>
              <w:jc w:val="left"/>
            </w:pPr>
            <w:r>
              <w:t xml:space="preserve">—</w:t>
            </w:r>
          </w:p>
        </w:tc>
        <w:tc>
          <w:tcPr/>
          <w:p>
            <w:pPr>
              <w:pStyle w:val="Tabla8"/>
              <w:jc w:val="left"/>
            </w:pPr>
            <w:r>
              <w:t xml:space="preserve">0,472</w:t>
            </w:r>
          </w:p>
        </w:tc>
        <w:tc>
          <w:tcPr/>
          <w:p>
            <w:pPr>
              <w:pStyle w:val="Tabla8"/>
              <w:jc w:val="left"/>
            </w:pPr>
            <w:r>
              <w:t xml:space="preserve">—</w:t>
            </w:r>
          </w:p>
        </w:tc>
        <w:tc>
          <w:tcPr/>
          <w:p>
            <w:pPr>
              <w:pStyle w:val="Tabla8"/>
              <w:jc w:val="left"/>
            </w:pPr>
            <w:r>
              <w:t xml:space="preserve">0,446</w:t>
            </w:r>
          </w:p>
        </w:tc>
        <w:tc>
          <w:tcPr/>
          <w:p>
            <w:pPr>
              <w:pStyle w:val="Tabla8"/>
              <w:jc w:val="left"/>
            </w:pPr>
            <w:r>
              <w:t xml:space="preserve">—</w:t>
            </w:r>
          </w:p>
        </w:tc>
        <w:tc>
          <w:tcPr/>
          <w:p>
            <w:pPr>
              <w:pStyle w:val="Tabla8"/>
              <w:jc w:val="left"/>
            </w:pPr>
            <w:r>
              <w:t xml:space="preserve">0,427</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Lectura.</w:t>
      </w:r>
      <w:r>
        <w:t xml:space="preserve"> </w:t>
      </w:r>
      <w:r>
        <w:t xml:space="preserve">La participación máxima supera 50 % y el índice HHI supera 0,40 en los tres años. Ambos resultados incumplen las convenciones locales PROPUESTAS. La fuente concentrada es el personal técnico en especie. Ese aporte contradice la falta de recursos permanentes de la institución ejecutora (E3-P17).</w:t>
      </w:r>
    </w:p>
    <w:p>
      <w:pPr>
        <w:pStyle w:val="BodyText"/>
      </w:pPr>
      <w:r>
        <w:rPr>
          <w:b/>
          <w:bCs/>
        </w:rPr>
        <w:t xml:space="preserve">Fondo patrimonial.</w:t>
      </w:r>
      <w:r>
        <w:t xml:space="preserve"> </w:t>
      </w:r>
      <w:r>
        <w:t xml:space="preserve">El capital requerido es K = CTS cubierto / r_real, donde r_real es la rentabilidad real anual con fuente. K es NO_CALCULABLE: ni el CTS completo ni r_real tienen fuente.</w:t>
      </w:r>
    </w:p>
    <w:p>
      <w:pPr>
        <w:pStyle w:val="BodyText"/>
      </w:pPr>
      <w:r>
        <w:rPr>
          <w:b/>
          <w:bCs/>
        </w:rPr>
        <w:t xml:space="preserve">Prueba de orfandad.</w:t>
      </w:r>
      <w:r>
        <w:t xml:space="preserve"> </w:t>
      </w:r>
      <w:r>
        <w:t xml:space="preserve">Para cada fuente se compara la suma de las demás con el costo mínimo del servicio. Si la suma es menor, la fuente es CRITICA. El costo mínimo es NO_CALCULABLE. Por eso se calcula el umbral que lo vuelve crítico, con las cifras del año 1.</w:t>
      </w:r>
    </w:p>
    <w:p>
      <w:pPr>
        <w:pStyle w:val="BodyText"/>
      </w:pPr>
      <w:r>
        <w:t xml:space="preserve">La Tabla F4.96 reúne los datos de «Prueba de orfandad».</w:t>
      </w:r>
    </w:p>
    <w:p>
      <w:pPr>
        <w:pStyle w:val="TablaRotulo"/>
      </w:pPr>
      <w:bookmarkStart w:id="9173" w:name="rot_Tabla_F4_96"/>
      <w:r>
        <w:rPr>
          <w:b/>
          <w:bCs/>
        </w:rPr>
        <w:t xml:space="preserve">Tabla F4.96</w:t>
      </w:r>
      <w:bookmarkEnd w:id="9173"/>
    </w:p>
    <w:p>
      <w:pPr>
        <w:pStyle w:val="TablaTitulo"/>
      </w:pPr>
      <w:r>
        <w:rPr>
          <w:i/>
          <w:iCs/>
        </w:rPr>
        <w:t xml:space="preserve">Prueba de orfandad</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894"/>
        <w:gridCol w:w="4025"/>
      </w:tblGrid>
      <w:tr>
        <w:trPr>
          <w:cantSplit/>
          <w:tblHeader/>
        </w:trPr>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Suma de las demás fuentes, año 1 (millones de COP)</w:t>
            </w:r>
          </w:p>
        </w:tc>
      </w:tr>
      <w:tr>
        <w:trPr>
          <w:cantSplit/>
        </w:trPr>
        <w:tc>
          <w:tcPr/>
          <w:p>
            <w:pPr>
              <w:pStyle w:val="Tabla9"/>
              <w:jc w:val="left"/>
            </w:pPr>
            <w:r>
              <w:t xml:space="preserve">IES regional y UNGRD en especie</w:t>
            </w:r>
          </w:p>
        </w:tc>
        <w:tc>
          <w:tcPr/>
          <w:p>
            <w:pPr>
              <w:pStyle w:val="Tabla9"/>
              <w:jc w:val="left"/>
            </w:pPr>
            <w:r>
              <w:t xml:space="preserve">70</w:t>
            </w:r>
          </w:p>
        </w:tc>
      </w:tr>
      <w:tr>
        <w:trPr>
          <w:cantSplit/>
        </w:trPr>
        <w:tc>
          <w:tcPr/>
          <w:p>
            <w:pPr>
              <w:pStyle w:val="Tabla9"/>
              <w:jc w:val="left"/>
            </w:pPr>
            <w:r>
              <w:t xml:space="preserve">Secretarías TIC municipales</w:t>
            </w:r>
          </w:p>
        </w:tc>
        <w:tc>
          <w:tcPr/>
          <w:p>
            <w:pPr>
              <w:pStyle w:val="Tabla9"/>
              <w:jc w:val="left"/>
            </w:pPr>
            <w:r>
              <w:t xml:space="preserve">145</w:t>
            </w:r>
          </w:p>
        </w:tc>
      </w:tr>
      <w:tr>
        <w:trPr>
          <w:cantSplit/>
        </w:trPr>
        <w:tc>
          <w:tcPr/>
          <w:p>
            <w:pPr>
              <w:pStyle w:val="Tabla9"/>
              <w:jc w:val="left"/>
            </w:pPr>
            <w:r>
              <w:t xml:space="preserve">ARL y corporación autónoma</w:t>
            </w:r>
          </w:p>
        </w:tc>
        <w:tc>
          <w:tcPr/>
          <w:p>
            <w:pPr>
              <w:pStyle w:val="Tabla9"/>
              <w:jc w:val="left"/>
            </w:pPr>
            <w:r>
              <w:t xml:space="preserve">165</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Una fuente es CRITICA si el costo mínimo anual supera la suma de las demás.</w:t>
      </w:r>
    </w:p>
    <w:p>
      <w:pPr>
        <w:pStyle w:val="BodyText"/>
      </w:pPr>
      <w:r>
        <w:t xml:space="preserve">La fuente en especie incluye a la UNGRD, que es una entidad pública. Esa fuente resulta CRITICA con cualquier nivel mínimo de servicio que cueste más de 70 millones de COP al año. El soporte técnico declarado cuesta 120. Si el nivel mínimo incluye ese soporte, la prueba invalida el portafolio declarado y reabre la asignación de custodia y el motor financiero. La conclusión es condicional al costo mínimo, que falta.</w:t>
      </w:r>
    </w:p>
    <w:p>
      <w:pPr>
        <w:pStyle w:val="BodyText"/>
      </w:pPr>
      <w:r>
        <w:rPr>
          <w:b/>
          <w:bCs/>
        </w:rPr>
        <w:t xml:space="preserve">Transferencia por tramos condicionados.</w:t>
      </w:r>
      <w:r>
        <w:t xml:space="preserve"> </w:t>
      </w:r>
      <w:r>
        <w:t xml:space="preserve">Cada tramo exige presupuesto aprobado, personal designado y competencia jurídica documentada. Los hitos son PROPUESTOS. Los meses toman como referencia los hitos de F-E3 (Capítulo 9).</w:t>
      </w:r>
    </w:p>
    <w:p>
      <w:pPr>
        <w:pStyle w:val="BodyText"/>
      </w:pPr>
      <w:r>
        <w:t xml:space="preserve">La Tabla F4.97 reúne los datos de «Transferencia por tramos condicionados».</w:t>
      </w:r>
    </w:p>
    <w:p>
      <w:pPr>
        <w:pStyle w:val="TablaRotulo"/>
      </w:pPr>
      <w:bookmarkStart w:id="9174" w:name="rot_Tabla_F4_97"/>
      <w:r>
        <w:rPr>
          <w:b/>
          <w:bCs/>
        </w:rPr>
        <w:t xml:space="preserve">Tabla F4.97</w:t>
      </w:r>
      <w:bookmarkEnd w:id="9174"/>
    </w:p>
    <w:p>
      <w:pPr>
        <w:pStyle w:val="TablaTitulo"/>
      </w:pPr>
      <w:r>
        <w:rPr>
          <w:i/>
          <w:iCs/>
        </w:rPr>
        <w:t xml:space="preserve">Transferencia por tramos condicionados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24"/>
        <w:gridCol w:w="726"/>
        <w:gridCol w:w="3036"/>
        <w:gridCol w:w="3234"/>
      </w:tblGrid>
      <w:tr>
        <w:trPr>
          <w:cantSplit/>
          <w:tblHeader/>
        </w:trPr>
        <w:tc>
          <w:tcPr>
            <w:shd w:val="clear" w:color="auto" w:fill="00B050"/>
          </w:tcPr>
          <w:p>
            <w:pPr>
              <w:pStyle w:val="Tabla9"/>
              <w:jc w:val="center"/>
            </w:pPr>
            <w:r>
              <w:rPr>
                <w:b/>
                <w:color w:val="FFFFFF"/>
              </w:rPr>
              <w:t xml:space="preserve">Tramo</w:t>
            </w:r>
          </w:p>
        </w:tc>
        <w:tc>
          <w:tcPr>
            <w:shd w:val="clear" w:color="auto" w:fill="00B050"/>
          </w:tcPr>
          <w:p>
            <w:pPr>
              <w:pStyle w:val="Tabla9"/>
              <w:jc w:val="center"/>
            </w:pPr>
            <w:r>
              <w:rPr>
                <w:b/>
                <w:color w:val="FFFFFF"/>
              </w:rPr>
              <w:t xml:space="preserve">Mes</w:t>
            </w:r>
          </w:p>
        </w:tc>
        <w:tc>
          <w:tcPr>
            <w:shd w:val="clear" w:color="auto" w:fill="00B050"/>
          </w:tcPr>
          <w:p>
            <w:pPr>
              <w:pStyle w:val="Tabla9"/>
              <w:jc w:val="center"/>
            </w:pPr>
            <w:r>
              <w:rPr>
                <w:b/>
                <w:color w:val="FFFFFF"/>
              </w:rPr>
              <w:t xml:space="preserve">Qué se transfiere</w:t>
            </w:r>
          </w:p>
        </w:tc>
        <w:tc>
          <w:tcPr>
            <w:shd w:val="clear" w:color="auto" w:fill="00B050"/>
          </w:tcPr>
          <w:p>
            <w:pPr>
              <w:pStyle w:val="Tabla9"/>
              <w:jc w:val="center"/>
            </w:pPr>
            <w:r>
              <w:rPr>
                <w:b/>
                <w:color w:val="FFFFFF"/>
              </w:rPr>
              <w:t xml:space="preserve">Condición de recepción</w:t>
            </w:r>
          </w:p>
        </w:tc>
      </w:tr>
      <w:tr>
        <w:trPr>
          <w:cantSplit/>
        </w:trPr>
        <w:tc>
          <w:tcPr/>
          <w:p>
            <w:pPr>
              <w:pStyle w:val="Tabla9"/>
              <w:jc w:val="left"/>
            </w:pPr>
            <w:r>
              <w:t xml:space="preserve">0</w:t>
            </w:r>
          </w:p>
        </w:tc>
        <w:tc>
          <w:tcPr/>
          <w:p>
            <w:pPr>
              <w:pStyle w:val="Tabla9"/>
              <w:jc w:val="left"/>
            </w:pPr>
            <w:r>
              <w:t xml:space="preserve">6</w:t>
            </w:r>
          </w:p>
        </w:tc>
        <w:tc>
          <w:tcPr/>
          <w:p>
            <w:pPr>
              <w:pStyle w:val="Tabla9"/>
              <w:jc w:val="left"/>
            </w:pPr>
            <w:r>
              <w:t xml:space="preserve">Nada. Se firman acuerdos de custodia y la cláusula de apertura.</w:t>
            </w:r>
          </w:p>
        </w:tc>
        <w:tc>
          <w:tcPr/>
          <w:p>
            <w:pPr>
              <w:pStyle w:val="Tabla9"/>
              <w:jc w:val="left"/>
            </w:pPr>
            <w:r>
              <w:t xml:space="preserve">Acuerdos firmados antes de comprar el segundo lote de nodos</w:t>
            </w:r>
          </w:p>
        </w:tc>
      </w:tr>
      <w:tr>
        <w:trPr>
          <w:cantSplit/>
        </w:trPr>
        <w:tc>
          <w:tcPr/>
          <w:p>
            <w:pPr>
              <w:pStyle w:val="Tabla9"/>
              <w:jc w:val="left"/>
            </w:pPr>
            <w:r>
              <w:t xml:space="preserve">1</w:t>
            </w:r>
          </w:p>
        </w:tc>
        <w:tc>
          <w:tcPr/>
          <w:p>
            <w:pPr>
              <w:pStyle w:val="Tabla9"/>
              <w:jc w:val="left"/>
            </w:pPr>
            <w:r>
              <w:t xml:space="preserve">12</w:t>
            </w:r>
          </w:p>
        </w:tc>
        <w:tc>
          <w:tcPr/>
          <w:p>
            <w:pPr>
              <w:pStyle w:val="Tabla9"/>
              <w:jc w:val="left"/>
            </w:pPr>
            <w:r>
              <w:t xml:space="preserve">Protocolo de calibración y series de datos</w:t>
            </w:r>
          </w:p>
        </w:tc>
        <w:tc>
          <w:tcPr/>
          <w:p>
            <w:pPr>
              <w:pStyle w:val="Tabla9"/>
              <w:jc w:val="left"/>
            </w:pPr>
            <w:r>
              <w:t xml:space="preserve">Evidencia del contraste (SC-1) y custodio con capacidad de absorción 2 o más</w:t>
            </w:r>
          </w:p>
        </w:tc>
      </w:tr>
      <w:tr>
        <w:trPr>
          <w:cantSplit/>
        </w:trPr>
        <w:tc>
          <w:tcPr/>
          <w:p>
            <w:pPr>
              <w:pStyle w:val="Tabla9"/>
              <w:jc w:val="left"/>
            </w:pPr>
            <w:r>
              <w:t xml:space="preserve">2</w:t>
            </w:r>
          </w:p>
        </w:tc>
        <w:tc>
          <w:tcPr/>
          <w:p>
            <w:pPr>
              <w:pStyle w:val="Tabla9"/>
              <w:jc w:val="left"/>
            </w:pPr>
            <w:r>
              <w:t xml:space="preserve">18</w:t>
            </w:r>
          </w:p>
        </w:tc>
        <w:tc>
          <w:tcPr/>
          <w:p>
            <w:pPr>
              <w:pStyle w:val="Tabla9"/>
              <w:jc w:val="left"/>
            </w:pPr>
            <w:r>
              <w:t xml:space="preserve">Nodos adicionales y tablero a los custodios con capacidad demostrada</w:t>
            </w:r>
          </w:p>
        </w:tc>
        <w:tc>
          <w:tcPr/>
          <w:p>
            <w:pPr>
              <w:pStyle w:val="Tabla9"/>
              <w:jc w:val="left"/>
            </w:pPr>
            <w:r>
              <w:t xml:space="preserve">Partida en el plan operativo anual y personal designado</w:t>
            </w:r>
          </w:p>
        </w:tc>
      </w:tr>
      <w:tr>
        <w:trPr>
          <w:cantSplit/>
        </w:trPr>
        <w:tc>
          <w:tcPr/>
          <w:p>
            <w:pPr>
              <w:pStyle w:val="Tabla9"/>
              <w:jc w:val="left"/>
            </w:pPr>
            <w:r>
              <w:t xml:space="preserve">3</w:t>
            </w:r>
          </w:p>
        </w:tc>
        <w:tc>
          <w:tcPr/>
          <w:p>
            <w:pPr>
              <w:pStyle w:val="Tabla9"/>
              <w:jc w:val="left"/>
            </w:pPr>
            <w:r>
              <w:t xml:space="preserve">24</w:t>
            </w:r>
          </w:p>
        </w:tc>
        <w:tc>
          <w:tcPr/>
          <w:p>
            <w:pPr>
              <w:pStyle w:val="Tabla9"/>
              <w:jc w:val="left"/>
            </w:pPr>
            <w:r>
              <w:t xml:space="preserve">Operación continua de los componentes con custodio</w:t>
            </w:r>
          </w:p>
        </w:tc>
        <w:tc>
          <w:tcPr/>
          <w:p>
            <w:pPr>
              <w:pStyle w:val="Tabla9"/>
              <w:jc w:val="left"/>
            </w:pPr>
            <w:r>
              <w:t xml:space="preserve">Competencia jurídica documentada y primer pago del servicio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 componente sin custodio que cumpla la condición permanece bajo la alianza o pasa a la cláusula de apertura.</w:t>
      </w:r>
    </w:p>
    <w:p>
      <w:pPr>
        <w:pStyle w:val="BodyText"/>
      </w:pPr>
      <w:r>
        <w:rPr>
          <w:b/>
          <w:bCs/>
        </w:rPr>
        <w:t xml:space="preserve">Cláusula de apertura y salida ordenada.</w:t>
      </w:r>
      <w:r>
        <w:t xml:space="preserve"> </w:t>
      </w:r>
      <w:r>
        <w:t xml:space="preserve">Si el motor financiero falla, los datos, el código y el conocimiento se liberan con una licencia definida. Los activos físicos pasan a un custodio académico o comunitario con un manual de reactivación.</w:t>
      </w:r>
    </w:p>
    <w:p>
      <w:pPr>
        <w:pStyle w:val="Compact"/>
        <w:numPr>
          <w:ilvl w:val="0"/>
          <w:numId w:val="1012"/>
        </w:numPr>
      </w:pPr>
      <w:r>
        <w:rPr>
          <w:b/>
          <w:bCs/>
        </w:rPr>
        <w:t xml:space="preserve">Disparador (PROPUESTO).</w:t>
      </w:r>
      <w:r>
        <w:t xml:space="preserve"> </w:t>
      </w:r>
      <w:r>
        <w:t xml:space="preserve">La cobertura del costo mínimo es menor que 100 % durante dos trimestres consecutivos.</w:t>
      </w:r>
    </w:p>
    <w:p>
      <w:pPr>
        <w:pStyle w:val="Compact"/>
        <w:numPr>
          <w:ilvl w:val="0"/>
          <w:numId w:val="1012"/>
        </w:numPr>
      </w:pPr>
      <w:r>
        <w:rPr>
          <w:b/>
          <w:bCs/>
        </w:rPr>
        <w:t xml:space="preserve">Licencia.</w:t>
      </w:r>
      <w:r>
        <w:t xml:space="preserve"> </w:t>
      </w:r>
      <w:r>
        <w:t xml:space="preserve">La elección de la licencia de datos y código es un VACIO que decide el equipo formulador y la empresa aliada. La libertad de operación sobre propiedad industrial requiere la consulta recomendada en F-INF §8.3 (D-01).</w:t>
      </w:r>
    </w:p>
    <w:p>
      <w:pPr>
        <w:pStyle w:val="Compact"/>
        <w:numPr>
          <w:ilvl w:val="0"/>
          <w:numId w:val="1012"/>
        </w:numPr>
      </w:pPr>
      <w:r>
        <w:rPr>
          <w:b/>
          <w:bCs/>
        </w:rPr>
        <w:t xml:space="preserve">Manual de reactivación.</w:t>
      </w:r>
      <w:r>
        <w:t xml:space="preserve"> </w:t>
      </w:r>
      <w:r>
        <w:t xml:space="preserve">Contiene el inventario de activos, los procedimientos de calibración, la estructura de datos y las credenciales de custodia.</w:t>
      </w:r>
    </w:p>
    <w:p>
      <w:pPr>
        <w:pStyle w:val="FirstParagraph"/>
      </w:pPr>
      <w:r>
        <w:rPr>
          <w:b/>
          <w:bCs/>
        </w:rPr>
        <w:t xml:space="preserve">Gobernanza.</w:t>
      </w:r>
    </w:p>
    <w:p>
      <w:pPr>
        <w:pStyle w:val="BodyText"/>
      </w:pPr>
      <w:r>
        <w:t xml:space="preserve">La Tabla F4.98 reúne los datos de «Gobernanza».</w:t>
      </w:r>
    </w:p>
    <w:p>
      <w:pPr>
        <w:pStyle w:val="TablaRotulo"/>
      </w:pPr>
      <w:bookmarkStart w:id="9175" w:name="rot_Tabla_F4_98"/>
      <w:r>
        <w:rPr>
          <w:b/>
          <w:bCs/>
        </w:rPr>
        <w:t xml:space="preserve">Tabla F4.98</w:t>
      </w:r>
      <w:bookmarkEnd w:id="9175"/>
    </w:p>
    <w:p>
      <w:pPr>
        <w:pStyle w:val="TablaTitulo"/>
      </w:pPr>
      <w:r>
        <w:rPr>
          <w:i/>
          <w:iCs/>
        </w:rPr>
        <w:t xml:space="preserve">Gobernanza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574"/>
        <w:gridCol w:w="2112"/>
        <w:gridCol w:w="3234"/>
      </w:tblGrid>
      <w:tr>
        <w:trPr>
          <w:cantSplit/>
          <w:tblHeader/>
        </w:trPr>
        <w:tc>
          <w:tcPr>
            <w:shd w:val="clear" w:color="auto" w:fill="00B050"/>
          </w:tcPr>
          <w:p>
            <w:pPr>
              <w:pStyle w:val="Tabla9"/>
              <w:jc w:val="center"/>
            </w:pPr>
            <w:r>
              <w:rPr>
                <w:b/>
                <w:color w:val="FFFFFF"/>
              </w:rPr>
              <w:t xml:space="preserve">Miembro del órgano</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Función</w:t>
            </w:r>
          </w:p>
        </w:tc>
      </w:tr>
      <w:tr>
        <w:trPr>
          <w:cantSplit/>
        </w:trPr>
        <w:tc>
          <w:tcPr/>
          <w:p>
            <w:pPr>
              <w:pStyle w:val="Tabla9"/>
              <w:jc w:val="left"/>
            </w:pPr>
            <w:r>
              <w:t xml:space="preserve">Institución ejecutora</w:t>
            </w:r>
          </w:p>
        </w:tc>
        <w:tc>
          <w:tcPr/>
          <w:p>
            <w:pPr>
              <w:pStyle w:val="Tabla9"/>
              <w:jc w:val="left"/>
            </w:pPr>
            <w:r>
              <w:t xml:space="preserve">Académica</w:t>
            </w:r>
          </w:p>
        </w:tc>
        <w:tc>
          <w:tcPr/>
          <w:p>
            <w:pPr>
              <w:pStyle w:val="Tabla9"/>
              <w:jc w:val="left"/>
            </w:pPr>
            <w:r>
              <w:t xml:space="preserve">Ejecución técnica y custodia del conocimiento</w:t>
            </w:r>
          </w:p>
        </w:tc>
      </w:tr>
      <w:tr>
        <w:trPr>
          <w:cantSplit/>
        </w:trPr>
        <w:tc>
          <w:tcPr/>
          <w:p>
            <w:pPr>
              <w:pStyle w:val="Tabla9"/>
              <w:jc w:val="left"/>
            </w:pPr>
            <w:r>
              <w:t xml:space="preserve">Empresa aliada</w:t>
            </w:r>
          </w:p>
        </w:tc>
        <w:tc>
          <w:tcPr/>
          <w:p>
            <w:pPr>
              <w:pStyle w:val="Tabla9"/>
              <w:jc w:val="left"/>
            </w:pPr>
            <w:r>
              <w:t xml:space="preserve">Privada</w:t>
            </w:r>
          </w:p>
        </w:tc>
        <w:tc>
          <w:tcPr/>
          <w:p>
            <w:pPr>
              <w:pStyle w:val="Tabla9"/>
              <w:jc w:val="left"/>
            </w:pPr>
            <w:r>
              <w:t xml:space="preserve">Desarrollo y mantenimiento tecnológico</w:t>
            </w:r>
          </w:p>
        </w:tc>
      </w:tr>
      <w:tr>
        <w:trPr>
          <w:cantSplit/>
        </w:trPr>
        <w:tc>
          <w:tcPr/>
          <w:p>
            <w:pPr>
              <w:pStyle w:val="Tabla9"/>
              <w:jc w:val="left"/>
            </w:pPr>
            <w:r>
              <w:t xml:space="preserve">Alcaldías y gobernaciones</w:t>
            </w:r>
          </w:p>
        </w:tc>
        <w:tc>
          <w:tcPr/>
          <w:p>
            <w:pPr>
              <w:pStyle w:val="Tabla9"/>
              <w:jc w:val="left"/>
            </w:pPr>
            <w:r>
              <w:t xml:space="preserve">Territorial</w:t>
            </w:r>
          </w:p>
        </w:tc>
        <w:tc>
          <w:tcPr/>
          <w:p>
            <w:pPr>
              <w:pStyle w:val="Tabla9"/>
              <w:jc w:val="left"/>
            </w:pPr>
            <w:r>
              <w:t xml:space="preserve">Uso de la alerta y competencia legal</w:t>
            </w:r>
          </w:p>
        </w:tc>
      </w:tr>
      <w:tr>
        <w:trPr>
          <w:cantSplit/>
        </w:trPr>
        <w:tc>
          <w:tcPr/>
          <w:p>
            <w:pPr>
              <w:pStyle w:val="Tabla9"/>
              <w:jc w:val="left"/>
            </w:pPr>
            <w:r>
              <w:t xml:space="preserve">Autoridad ambiental o IDEAM</w:t>
            </w:r>
          </w:p>
        </w:tc>
        <w:tc>
          <w:tcPr/>
          <w:p>
            <w:pPr>
              <w:pStyle w:val="Tabla9"/>
              <w:jc w:val="left"/>
            </w:pPr>
            <w:r>
              <w:t xml:space="preserve">Nacional o regional</w:t>
            </w:r>
          </w:p>
        </w:tc>
        <w:tc>
          <w:tcPr/>
          <w:p>
            <w:pPr>
              <w:pStyle w:val="Tabla9"/>
              <w:jc w:val="left"/>
            </w:pPr>
            <w:r>
              <w:t xml:space="preserve">Referencia metrológica</w:t>
            </w:r>
          </w:p>
        </w:tc>
      </w:tr>
      <w:tr>
        <w:trPr>
          <w:cantSplit/>
        </w:trPr>
        <w:tc>
          <w:tcPr/>
          <w:p>
            <w:pPr>
              <w:pStyle w:val="Tabla9"/>
              <w:jc w:val="left"/>
            </w:pPr>
            <w:r>
              <w:t xml:space="preserve">ARL o constructoras</w:t>
            </w:r>
          </w:p>
        </w:tc>
        <w:tc>
          <w:tcPr/>
          <w:p>
            <w:pPr>
              <w:pStyle w:val="Tabla9"/>
              <w:jc w:val="left"/>
            </w:pPr>
            <w:r>
              <w:t xml:space="preserve">Sector productivo</w:t>
            </w:r>
          </w:p>
        </w:tc>
        <w:tc>
          <w:tcPr/>
          <w:p>
            <w:pPr>
              <w:pStyle w:val="Tabla9"/>
              <w:jc w:val="left"/>
            </w:pPr>
            <w:r>
              <w:t xml:space="preserve">Cofinanciación y uso del dato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Regla de decisión PROPUESTA: mayoría calificada y veto de cada custodio sobre su propio componente. Rendición: informe anual público con tres indicadores de continuidad (capacidad de absorción de cada custodio, cobertura del costo mínimo y disponibilidad de nodos). Condición de caducidad: la cláusula de apertura se activa si la cobertura cae bajo el disparador.</w:t>
      </w:r>
    </w:p>
    <w:p>
      <w:pPr>
        <w:pStyle w:val="BodyText"/>
      </w:pPr>
      <w:r>
        <w:rPr>
          <w:b/>
          <w:bCs/>
        </w:rPr>
        <w:t xml:space="preserve">Instrumentos de contexto.</w:t>
      </w:r>
      <w:r>
        <w:t xml:space="preserve"> </w:t>
      </w:r>
      <w:r>
        <w:t xml:space="preserve">Los instrumentos siguientes son CANDIDATO_A_VERIFICAR. No se consultó su fuente controlante. No se afirma su vigencia.</w:t>
      </w:r>
    </w:p>
    <w:p>
      <w:pPr>
        <w:pStyle w:val="BodyText"/>
      </w:pPr>
      <w:r>
        <w:t xml:space="preserve">La Tabla F4.99 reúne los datos de «Instrumentos de contexto».</w:t>
      </w:r>
    </w:p>
    <w:p>
      <w:pPr>
        <w:pStyle w:val="TablaRotulo"/>
      </w:pPr>
      <w:bookmarkStart w:id="9176" w:name="rot_Tabla_F4_99"/>
      <w:r>
        <w:rPr>
          <w:b/>
          <w:bCs/>
        </w:rPr>
        <w:t xml:space="preserve">Tabla F4.99</w:t>
      </w:r>
      <w:bookmarkEnd w:id="9176"/>
    </w:p>
    <w:p>
      <w:pPr>
        <w:pStyle w:val="TablaTitulo"/>
      </w:pPr>
      <w:r>
        <w:rPr>
          <w:i/>
          <w:iCs/>
        </w:rPr>
        <w:t xml:space="preserve">Instrumentos de contexto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4158"/>
        <w:gridCol w:w="3762"/>
      </w:tblGrid>
      <w:tr>
        <w:trPr>
          <w:cantSplit/>
          <w:tblHeader/>
        </w:trPr>
        <w:tc>
          <w:tcPr>
            <w:shd w:val="clear" w:color="auto" w:fill="00B050"/>
          </w:tcPr>
          <w:p>
            <w:pPr>
              <w:pStyle w:val="Tabla9"/>
              <w:jc w:val="center"/>
            </w:pPr>
            <w:r>
              <w:rPr>
                <w:b/>
                <w:color w:val="FFFFFF"/>
              </w:rPr>
              <w:t xml:space="preserve">Instrumento</w:t>
            </w:r>
          </w:p>
        </w:tc>
        <w:tc>
          <w:tcPr>
            <w:shd w:val="clear" w:color="auto" w:fill="00B050"/>
          </w:tcPr>
          <w:p>
            <w:pPr>
              <w:pStyle w:val="Tabla9"/>
              <w:jc w:val="center"/>
            </w:pPr>
            <w:r>
              <w:rPr>
                <w:b/>
                <w:color w:val="FFFFFF"/>
              </w:rPr>
              <w:t xml:space="preserve">Uso posible</w:t>
            </w:r>
          </w:p>
        </w:tc>
      </w:tr>
      <w:tr>
        <w:trPr>
          <w:cantSplit/>
        </w:trPr>
        <w:tc>
          <w:tcPr/>
          <w:p>
            <w:pPr>
              <w:pStyle w:val="Tabla9"/>
              <w:jc w:val="left"/>
            </w:pPr>
            <w:r>
              <w:t xml:space="preserve">Vigencias futuras</w:t>
            </w:r>
          </w:p>
        </w:tc>
        <w:tc>
          <w:tcPr/>
          <w:p>
            <w:pPr>
              <w:pStyle w:val="Tabla9"/>
              <w:jc w:val="left"/>
            </w:pPr>
            <w:r>
              <w:t xml:space="preserve">Comprometer el gasto recurrente después del cierre</w:t>
            </w:r>
          </w:p>
        </w:tc>
      </w:tr>
      <w:tr>
        <w:trPr>
          <w:cantSplit/>
        </w:trPr>
        <w:tc>
          <w:tcPr/>
          <w:p>
            <w:pPr>
              <w:pStyle w:val="Tabla9"/>
              <w:jc w:val="left"/>
            </w:pPr>
            <w:r>
              <w:t xml:space="preserve">Asociaciones público-privadas</w:t>
            </w:r>
          </w:p>
        </w:tc>
        <w:tc>
          <w:tcPr/>
          <w:p>
            <w:pPr>
              <w:pStyle w:val="Tabla9"/>
              <w:jc w:val="left"/>
            </w:pPr>
            <w:r>
              <w:t xml:space="preserve">Operación con una empresa por contrato</w:t>
            </w:r>
          </w:p>
        </w:tc>
      </w:tr>
      <w:tr>
        <w:trPr>
          <w:cantSplit/>
        </w:trPr>
        <w:tc>
          <w:tcPr/>
          <w:p>
            <w:pPr>
              <w:pStyle w:val="Tabla9"/>
              <w:jc w:val="left"/>
            </w:pPr>
            <w:r>
              <w:t xml:space="preserve">Convenios de cofinanciación</w:t>
            </w:r>
          </w:p>
        </w:tc>
        <w:tc>
          <w:tcPr/>
          <w:p>
            <w:pPr>
              <w:pStyle w:val="Tabla9"/>
              <w:jc w:val="left"/>
            </w:pPr>
            <w:r>
              <w:t xml:space="preserve">Aportes de ARL y autoridades ambientales</w:t>
            </w:r>
          </w:p>
        </w:tc>
      </w:tr>
      <w:tr>
        <w:trPr>
          <w:cantSplit/>
        </w:trPr>
        <w:tc>
          <w:tcPr/>
          <w:p>
            <w:pPr>
              <w:pStyle w:val="Tabla9"/>
              <w:jc w:val="left"/>
            </w:pPr>
            <w:r>
              <w:t xml:space="preserve">Pago por resultados</w:t>
            </w:r>
          </w:p>
        </w:tc>
        <w:tc>
          <w:tcPr/>
          <w:p>
            <w:pPr>
              <w:pStyle w:val="Tabla9"/>
              <w:jc w:val="left"/>
            </w:pPr>
            <w:r>
              <w:t xml:space="preserve">Pago ligado a disponibilidad y verificación</w:t>
            </w:r>
          </w:p>
        </w:tc>
      </w:tr>
      <w:tr>
        <w:trPr>
          <w:cantSplit/>
        </w:trPr>
        <w:tc>
          <w:tcPr/>
          <w:p>
            <w:pPr>
              <w:pStyle w:val="Tabla9"/>
              <w:jc w:val="left"/>
            </w:pPr>
            <w:r>
              <w:t xml:space="preserve">Corporaciones mixtas de ciencia, tecnología e innovación</w:t>
            </w:r>
          </w:p>
        </w:tc>
        <w:tc>
          <w:tcPr/>
          <w:p>
            <w:pPr>
              <w:pStyle w:val="Tabla9"/>
              <w:jc w:val="left"/>
            </w:pPr>
            <w:r>
              <w:t xml:space="preserve">Vehículo operador de la red</w:t>
            </w:r>
          </w:p>
        </w:tc>
      </w:tr>
      <w:tr>
        <w:trPr>
          <w:cantSplit/>
        </w:trPr>
        <w:tc>
          <w:tcPr/>
          <w:p>
            <w:pPr>
              <w:pStyle w:val="Tabla9"/>
              <w:jc w:val="left"/>
            </w:pPr>
            <w:r>
              <w:t xml:space="preserve">Obras por impuestos y beneficios tributarios</w:t>
            </w:r>
          </w:p>
        </w:tc>
        <w:tc>
          <w:tcPr/>
          <w:p>
            <w:pPr>
              <w:pStyle w:val="Tabla9"/>
              <w:jc w:val="left"/>
            </w:pPr>
            <w:r>
              <w:t xml:space="preserve">Financiación por el sector privado</w:t>
            </w:r>
          </w:p>
        </w:tc>
      </w:tr>
      <w:tr>
        <w:trPr>
          <w:cantSplit/>
        </w:trPr>
        <w:tc>
          <w:tcPr/>
          <w:p>
            <w:pPr>
              <w:pStyle w:val="Tabla9"/>
              <w:jc w:val="left"/>
            </w:pPr>
            <w:r>
              <w:t xml:space="preserve">Reglas de operación y mantenimiento de proyectos con regalías</w:t>
            </w:r>
          </w:p>
        </w:tc>
        <w:tc>
          <w:tcPr/>
          <w:p>
            <w:pPr>
              <w:pStyle w:val="Tabla9"/>
              <w:jc w:val="left"/>
            </w:pPr>
            <w:r>
              <w:t xml:space="preserve">Límites al gasto recurrente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Vacíos de sostenibilidad.</w:t>
      </w:r>
    </w:p>
    <w:p>
      <w:pPr>
        <w:pStyle w:val="Compact"/>
        <w:numPr>
          <w:ilvl w:val="0"/>
          <w:numId w:val="1013"/>
        </w:numPr>
      </w:pPr>
      <w:r>
        <w:t xml:space="preserve">Costos por componente, licencias, reposición y gobernanza: VACIO. Vía: cotización y vida útil por activo.</w:t>
      </w:r>
    </w:p>
    <w:p>
      <w:pPr>
        <w:pStyle w:val="Compact"/>
        <w:numPr>
          <w:ilvl w:val="0"/>
          <w:numId w:val="1013"/>
        </w:numPr>
      </w:pPr>
      <w:r>
        <w:t xml:space="preserve">Evidencia por dimensión del índice para cada custodio: VACIO. Vía: cartas de compromiso, actos administrativos y certificados.</w:t>
      </w:r>
    </w:p>
    <w:p>
      <w:pPr>
        <w:pStyle w:val="Compact"/>
        <w:numPr>
          <w:ilvl w:val="0"/>
          <w:numId w:val="1013"/>
        </w:numPr>
      </w:pPr>
      <w:r>
        <w:t xml:space="preserve">Rentabilidad real del fondo patrimonial: VACIO.</w:t>
      </w:r>
    </w:p>
    <w:p>
      <w:pPr>
        <w:pStyle w:val="Compact"/>
        <w:numPr>
          <w:ilvl w:val="0"/>
          <w:numId w:val="1013"/>
        </w:numPr>
      </w:pPr>
      <w:r>
        <w:t xml:space="preserve">Evidencia de continuidad de proyectos con regalías: VACIO.</w:t>
      </w:r>
    </w:p>
    <w:bookmarkEnd w:id="207"/>
    <w:bookmarkStart w:id="208" w:name="X6586d5d711a730773e865e76aa323d81b99b39e"/>
    <w:p>
      <w:pPr>
        <w:pStyle w:val="Heading3"/>
      </w:pPr>
      <w:r>
        <w:t xml:space="preserve">F4.4-MDR.11 Ejecución, evaluación y aprendizaje</w:t>
      </w:r>
    </w:p>
    <w:p>
      <w:pPr>
        <w:pStyle w:val="FirstParagraph"/>
      </w:pPr>
      <w:r>
        <w:t xml:space="preserve">Esta pieza define qué evidencia obliga a corregir la decisión o la teoría del cambio, y cómo se corrige. Entrega el protocolo para el responsable. No promete vigilancia posterior.</w:t>
      </w:r>
    </w:p>
    <w:p>
      <w:pPr>
        <w:pStyle w:val="BodyText"/>
      </w:pPr>
      <w:r>
        <w:rPr>
          <w:b/>
          <w:bCs/>
        </w:rPr>
        <w:t xml:space="preserve">Hipótesis de intervención.</w:t>
      </w:r>
      <w:r>
        <w:t xml:space="preserve"> </w:t>
      </w:r>
      <w:r>
        <w:t xml:space="preserve">Si se ejecuta R4 durante 24 meses, en el horizonte de 36 meses se espera observar tres resultados. Primero, una diferencia detectable del logaritmo del error normalizado entre los nodos con corrección local y los nodos sin corrección dinámica, en el indicador nodo-semana. Segundo, al menos un tramo de custodia recibido por un custodio con capacidad de absorción 2 o más. Tercero, al menos un puesto de mando que incorpore los umbrales validados.</w:t>
      </w:r>
    </w:p>
    <w:p>
      <w:pPr>
        <w:pStyle w:val="BodyText"/>
      </w:pPr>
      <w:r>
        <w:rPr>
          <w:b/>
          <w:bCs/>
        </w:rPr>
        <w:t xml:space="preserve">Acción estratégica (Hay, 2002).</w:t>
      </w:r>
      <w:r>
        <w:t xml:space="preserve"> </w:t>
      </w:r>
      <w:r>
        <w:t xml:space="preserve">El equipo formulador busca financiar una solución verificable. Lee un contexto que premia la novedad visible (F4.4-MDR.4). Elige presentar el piloto como producto de conocimiento y los tramos como evidencia de alianza ejecutable.</w:t>
      </w:r>
    </w:p>
    <w:p>
      <w:pPr>
        <w:pStyle w:val="BodyText"/>
      </w:pPr>
      <w:r>
        <w:rPr>
          <w:b/>
          <w:bCs/>
        </w:rPr>
        <w:t xml:space="preserve">Implementación de abajo hacia arriba.</w:t>
      </w:r>
      <w:r>
        <w:t xml:space="preserve"> </w:t>
      </w:r>
      <w:r>
        <w:t xml:space="preserve">La conducta requerida en el punto de entrega determina los recursos y las reglas (Lipsky, 1980; Elmore, 1979).</w:t>
      </w:r>
    </w:p>
    <w:p>
      <w:pPr>
        <w:pStyle w:val="BodyText"/>
      </w:pPr>
      <w:r>
        <w:t xml:space="preserve">La Tabla F4.100 reúne los datos de «Implementación de abajo hacia arriba».</w:t>
      </w:r>
    </w:p>
    <w:p>
      <w:pPr>
        <w:pStyle w:val="TablaRotulo"/>
      </w:pPr>
      <w:bookmarkStart w:id="9177" w:name="rot_Tabla_F4_100"/>
      <w:r>
        <w:rPr>
          <w:b/>
          <w:bCs/>
        </w:rPr>
        <w:t xml:space="preserve">Tabla F4.100</w:t>
      </w:r>
      <w:bookmarkEnd w:id="9177"/>
    </w:p>
    <w:p>
      <w:pPr>
        <w:pStyle w:val="TablaTitulo"/>
      </w:pPr>
      <w:r>
        <w:rPr>
          <w:i/>
          <w:iCs/>
        </w:rPr>
        <w:t xml:space="preserve">Implementación de abajo hacia arriba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96"/>
        <w:gridCol w:w="1863"/>
        <w:gridCol w:w="2262"/>
        <w:gridCol w:w="1996"/>
      </w:tblGrid>
      <w:tr>
        <w:trPr>
          <w:cantSplit/>
          <w:tblHeader/>
        </w:trPr>
        <w:tc>
          <w:tcPr>
            <w:shd w:val="clear" w:color="auto" w:fill="00B050"/>
          </w:tcPr>
          <w:p>
            <w:pPr>
              <w:pStyle w:val="Tabla9"/>
              <w:jc w:val="center"/>
            </w:pPr>
            <w:r>
              <w:rPr>
                <w:b/>
                <w:color w:val="FFFFFF"/>
              </w:rPr>
              <w:t xml:space="preserve">Punto de entrega</w:t>
            </w:r>
          </w:p>
        </w:tc>
        <w:tc>
          <w:tcPr>
            <w:shd w:val="clear" w:color="auto" w:fill="00B050"/>
          </w:tcPr>
          <w:p>
            <w:pPr>
              <w:pStyle w:val="Tabla9"/>
              <w:jc w:val="center"/>
            </w:pPr>
            <w:r>
              <w:rPr>
                <w:b/>
                <w:color w:val="FFFFFF"/>
              </w:rPr>
              <w:t xml:space="preserve">Conducta requerida</w:t>
            </w:r>
          </w:p>
        </w:tc>
        <w:tc>
          <w:tcPr>
            <w:shd w:val="clear" w:color="auto" w:fill="00B050"/>
          </w:tcPr>
          <w:p>
            <w:pPr>
              <w:pStyle w:val="Tabla9"/>
              <w:jc w:val="center"/>
            </w:pPr>
            <w:r>
              <w:rPr>
                <w:b/>
                <w:color w:val="FFFFFF"/>
              </w:rPr>
              <w:t xml:space="preserve">Recursos necesarios</w:t>
            </w:r>
          </w:p>
        </w:tc>
        <w:tc>
          <w:tcPr>
            <w:shd w:val="clear" w:color="auto" w:fill="00B050"/>
          </w:tcPr>
          <w:p>
            <w:pPr>
              <w:pStyle w:val="Tabla9"/>
              <w:jc w:val="center"/>
            </w:pPr>
            <w:r>
              <w:rPr>
                <w:b/>
                <w:color w:val="FFFFFF"/>
              </w:rPr>
              <w:t xml:space="preserve">Reglas necesarias</w:t>
            </w:r>
          </w:p>
        </w:tc>
      </w:tr>
      <w:tr>
        <w:trPr>
          <w:cantSplit/>
        </w:trPr>
        <w:tc>
          <w:tcPr/>
          <w:p>
            <w:pPr>
              <w:pStyle w:val="Tabla9"/>
              <w:jc w:val="left"/>
            </w:pPr>
            <w:r>
              <w:t xml:space="preserve">Cuadrilla de remoción</w:t>
            </w:r>
          </w:p>
        </w:tc>
        <w:tc>
          <w:tcPr/>
          <w:p>
            <w:pPr>
              <w:pStyle w:val="Tabla9"/>
              <w:jc w:val="left"/>
            </w:pPr>
            <w:r>
              <w:t xml:space="preserve">Reduce o detiene la actividad al superar el umbral</w:t>
            </w:r>
          </w:p>
        </w:tc>
        <w:tc>
          <w:tcPr/>
          <w:p>
            <w:pPr>
              <w:pStyle w:val="Tabla9"/>
              <w:jc w:val="left"/>
            </w:pPr>
            <w:r>
              <w:t xml:space="preserve">Alerta comprensible en sitio</w:t>
            </w:r>
          </w:p>
        </w:tc>
        <w:tc>
          <w:tcPr/>
          <w:p>
            <w:pPr>
              <w:pStyle w:val="Tabla9"/>
              <w:jc w:val="left"/>
            </w:pPr>
            <w:r>
              <w:t xml:space="preserve">Protocolo con el contratista y regla de reanudación</w:t>
            </w:r>
          </w:p>
        </w:tc>
      </w:tr>
      <w:tr>
        <w:trPr>
          <w:cantSplit/>
        </w:trPr>
        <w:tc>
          <w:tcPr/>
          <w:p>
            <w:pPr>
              <w:pStyle w:val="Tabla9"/>
              <w:jc w:val="left"/>
            </w:pPr>
            <w:r>
              <w:t xml:space="preserve">Funcionario del puesto de mando</w:t>
            </w:r>
          </w:p>
        </w:tc>
        <w:tc>
          <w:tcPr/>
          <w:p>
            <w:pPr>
              <w:pStyle w:val="Tabla9"/>
              <w:jc w:val="left"/>
            </w:pPr>
            <w:r>
              <w:t xml:space="preserve">Valida la alerta y activa el protocolo</w:t>
            </w:r>
          </w:p>
        </w:tc>
        <w:tc>
          <w:tcPr/>
          <w:p>
            <w:pPr>
              <w:pStyle w:val="Tabla9"/>
              <w:jc w:val="left"/>
            </w:pPr>
            <w:r>
              <w:t xml:space="preserve">Acceso al tablero y capacitación</w:t>
            </w:r>
          </w:p>
        </w:tc>
        <w:tc>
          <w:tcPr/>
          <w:p>
            <w:pPr>
              <w:pStyle w:val="Tabla9"/>
              <w:jc w:val="left"/>
            </w:pPr>
            <w:r>
              <w:t xml:space="preserve">Mandato y umbrales con portador</w:t>
            </w:r>
          </w:p>
        </w:tc>
      </w:tr>
      <w:tr>
        <w:trPr>
          <w:cantSplit/>
        </w:trPr>
        <w:tc>
          <w:tcPr/>
          <w:p>
            <w:pPr>
              <w:pStyle w:val="Tabla9"/>
              <w:jc w:val="left"/>
            </w:pPr>
            <w:r>
              <w:t xml:space="preserve">Técnico de campo</w:t>
            </w:r>
          </w:p>
        </w:tc>
        <w:tc>
          <w:tcPr/>
          <w:p>
            <w:pPr>
              <w:pStyle w:val="Tabla9"/>
              <w:jc w:val="left"/>
            </w:pPr>
            <w:r>
              <w:t xml:space="preserve">Registra la asignación semanal y repone nodos</w:t>
            </w:r>
          </w:p>
        </w:tc>
        <w:tc>
          <w:tcPr/>
          <w:p>
            <w:pPr>
              <w:pStyle w:val="Tabla9"/>
              <w:jc w:val="left"/>
            </w:pPr>
            <w:r>
              <w:t xml:space="preserve">Repuestos; acta de asignación; actualización remota de nodos (VACIO)</w:t>
            </w:r>
          </w:p>
        </w:tc>
        <w:tc>
          <w:tcPr/>
          <w:p>
            <w:pPr>
              <w:pStyle w:val="Tabla9"/>
              <w:jc w:val="left"/>
            </w:pPr>
            <w:r>
              <w:t xml:space="preserve">Registro previo a la lectura de datos</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Consecuencias no deseadas.</w:t>
      </w:r>
      <w:r>
        <w:t xml:space="preserve"> </w:t>
      </w:r>
      <w:r>
        <w:t xml:space="preserve">Ninguna anticipación es exhaustiva (Merton, 1936). El plan exige monitoreo, no previsión total.</w:t>
      </w:r>
    </w:p>
    <w:p>
      <w:pPr>
        <w:pStyle w:val="BodyText"/>
      </w:pPr>
      <w:r>
        <w:t xml:space="preserve">La Tabla F4.101 reúne los datos de «Consecuencias no deseadas».</w:t>
      </w:r>
    </w:p>
    <w:p>
      <w:pPr>
        <w:pStyle w:val="TablaRotulo"/>
      </w:pPr>
      <w:bookmarkStart w:id="9178" w:name="rot_Tabla_F4_101"/>
      <w:r>
        <w:rPr>
          <w:b/>
          <w:bCs/>
        </w:rPr>
        <w:t xml:space="preserve">Tabla F4.101</w:t>
      </w:r>
      <w:bookmarkEnd w:id="9178"/>
    </w:p>
    <w:p>
      <w:pPr>
        <w:pStyle w:val="TablaTitulo"/>
      </w:pPr>
      <w:r>
        <w:rPr>
          <w:i/>
          <w:iCs/>
        </w:rPr>
        <w:t xml:space="preserve">Consecuencias no deseadas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14"/>
        <w:gridCol w:w="2046"/>
        <w:gridCol w:w="2046"/>
        <w:gridCol w:w="1914"/>
      </w:tblGrid>
      <w:tr>
        <w:trPr>
          <w:cantSplit/>
          <w:tblHeader/>
        </w:trPr>
        <w:tc>
          <w:tcPr>
            <w:shd w:val="clear" w:color="auto" w:fill="00B050"/>
          </w:tcPr>
          <w:p>
            <w:pPr>
              <w:pStyle w:val="Tabla9"/>
              <w:jc w:val="center"/>
            </w:pPr>
            <w:r>
              <w:rPr>
                <w:b/>
                <w:color w:val="FFFFFF"/>
              </w:rPr>
              <w:t xml:space="preserve">Efecto plausible</w:t>
            </w:r>
          </w:p>
        </w:tc>
        <w:tc>
          <w:tcPr>
            <w:shd w:val="clear" w:color="auto" w:fill="00B050"/>
          </w:tcPr>
          <w:p>
            <w:pPr>
              <w:pStyle w:val="Tabla9"/>
              <w:jc w:val="center"/>
            </w:pPr>
            <w:r>
              <w:rPr>
                <w:b/>
                <w:color w:val="FFFFFF"/>
              </w:rPr>
              <w:t xml:space="preserve">Mecanismo</w:t>
            </w:r>
          </w:p>
        </w:tc>
        <w:tc>
          <w:tcPr>
            <w:shd w:val="clear" w:color="auto" w:fill="00B050"/>
          </w:tcPr>
          <w:p>
            <w:pPr>
              <w:pStyle w:val="Tabla9"/>
              <w:jc w:val="center"/>
            </w:pPr>
            <w:r>
              <w:rPr>
                <w:b/>
                <w:color w:val="FFFFFF"/>
              </w:rPr>
              <w:t xml:space="preserve">Señal que lo revelaría</w:t>
            </w:r>
          </w:p>
        </w:tc>
        <w:tc>
          <w:tcPr>
            <w:shd w:val="clear" w:color="auto" w:fill="00B050"/>
          </w:tcPr>
          <w:p>
            <w:pPr>
              <w:pStyle w:val="Tabla9"/>
              <w:jc w:val="center"/>
            </w:pPr>
            <w:r>
              <w:rPr>
                <w:b/>
                <w:color w:val="FFFFFF"/>
              </w:rPr>
              <w:t xml:space="preserve">Respuesta prevista</w:t>
            </w:r>
          </w:p>
        </w:tc>
      </w:tr>
      <w:tr>
        <w:trPr>
          <w:cantSplit/>
        </w:trPr>
        <w:tc>
          <w:tcPr/>
          <w:p>
            <w:pPr>
              <w:pStyle w:val="Tabla9"/>
              <w:jc w:val="left"/>
            </w:pPr>
            <w:r>
              <w:t xml:space="preserve">Falsa seguridad</w:t>
            </w:r>
          </w:p>
        </w:tc>
        <w:tc>
          <w:tcPr/>
          <w:p>
            <w:pPr>
              <w:pStyle w:val="Tabla9"/>
              <w:jc w:val="left"/>
            </w:pPr>
            <w:r>
              <w:t xml:space="preserve">Un sesgo residual produce lecturas bajas y las autoridades relajan la vigilancia</w:t>
            </w:r>
          </w:p>
        </w:tc>
        <w:tc>
          <w:tcPr/>
          <w:p>
            <w:pPr>
              <w:pStyle w:val="Tabla9"/>
              <w:jc w:val="left"/>
            </w:pPr>
            <w:r>
              <w:t xml:space="preserve">Casos respiratorios sin alerta previa</w:t>
            </w:r>
          </w:p>
        </w:tc>
        <w:tc>
          <w:tcPr/>
          <w:p>
            <w:pPr>
              <w:pStyle w:val="Tabla9"/>
              <w:jc w:val="left"/>
            </w:pPr>
            <w:r>
              <w:t xml:space="preserve">Publicar rangos de incertidumbre y mantener la referencia</w:t>
            </w:r>
          </w:p>
        </w:tc>
      </w:tr>
      <w:tr>
        <w:trPr>
          <w:cantSplit/>
        </w:trPr>
        <w:tc>
          <w:tcPr/>
          <w:p>
            <w:pPr>
              <w:pStyle w:val="Tabla9"/>
              <w:jc w:val="left"/>
            </w:pPr>
            <w:r>
              <w:t xml:space="preserve">Presión para subir umbrales</w:t>
            </w:r>
          </w:p>
        </w:tc>
        <w:tc>
          <w:tcPr/>
          <w:p>
            <w:pPr>
              <w:pStyle w:val="Tabla9"/>
              <w:jc w:val="left"/>
            </w:pPr>
            <w:r>
              <w:t xml:space="preserve">Las alertas generan paros de obra costosos</w:t>
            </w:r>
          </w:p>
        </w:tc>
        <w:tc>
          <w:tcPr/>
          <w:p>
            <w:pPr>
              <w:pStyle w:val="Tabla9"/>
              <w:jc w:val="left"/>
            </w:pPr>
            <w:r>
              <w:t xml:space="preserve">Solicitudes de cambio de umbral después de cada alerta</w:t>
            </w:r>
          </w:p>
        </w:tc>
        <w:tc>
          <w:tcPr/>
          <w:p>
            <w:pPr>
              <w:pStyle w:val="Tabla9"/>
              <w:jc w:val="left"/>
            </w:pPr>
            <w:r>
              <w:t xml:space="preserve">Umbral con portador y registro público de cambios</w:t>
            </w:r>
          </w:p>
        </w:tc>
      </w:tr>
      <w:tr>
        <w:trPr>
          <w:cantSplit/>
        </w:trPr>
        <w:tc>
          <w:tcPr/>
          <w:p>
            <w:pPr>
              <w:pStyle w:val="Tabla9"/>
              <w:jc w:val="left"/>
            </w:pPr>
            <w:r>
              <w:t xml:space="preserve">Desplazamiento de recursos</w:t>
            </w:r>
          </w:p>
        </w:tc>
        <w:tc>
          <w:tcPr/>
          <w:p>
            <w:pPr>
              <w:pStyle w:val="Tabla9"/>
              <w:jc w:val="left"/>
            </w:pPr>
            <w:r>
              <w:t xml:space="preserve">La medición sustituye el control del polvo en la fuente</w:t>
            </w:r>
          </w:p>
        </w:tc>
        <w:tc>
          <w:tcPr/>
          <w:p>
            <w:pPr>
              <w:pStyle w:val="Tabla9"/>
              <w:jc w:val="left"/>
            </w:pPr>
            <w:r>
              <w:t xml:space="preserve">Ausencia de medidas de supresión en obra</w:t>
            </w:r>
          </w:p>
        </w:tc>
        <w:tc>
          <w:tcPr/>
          <w:p>
            <w:pPr>
              <w:pStyle w:val="Tabla9"/>
              <w:jc w:val="left"/>
            </w:pPr>
            <w:r>
              <w:t xml:space="preserve">Combinar R4 con R5</w:t>
            </w:r>
          </w:p>
        </w:tc>
      </w:tr>
      <w:tr>
        <w:trPr>
          <w:cantSplit/>
        </w:trPr>
        <w:tc>
          <w:tcPr/>
          <w:p>
            <w:pPr>
              <w:pStyle w:val="Tabla9"/>
              <w:jc w:val="left"/>
            </w:pPr>
            <w:r>
              <w:t xml:space="preserve">Pérdida de nodos</w:t>
            </w:r>
          </w:p>
        </w:tc>
        <w:tc>
          <w:tcPr/>
          <w:p>
            <w:pPr>
              <w:pStyle w:val="Tabla9"/>
              <w:jc w:val="left"/>
            </w:pPr>
            <w:r>
              <w:t xml:space="preserve">La maquinaria y el hurto reducen la disponibilidad</w:t>
            </w:r>
          </w:p>
        </w:tc>
        <w:tc>
          <w:tcPr/>
          <w:p>
            <w:pPr>
              <w:pStyle w:val="Tabla9"/>
              <w:jc w:val="left"/>
            </w:pPr>
            <w:r>
              <w:t xml:space="preserve">Caída de la disponibilidad por sitio</w:t>
            </w:r>
          </w:p>
        </w:tc>
        <w:tc>
          <w:tcPr/>
          <w:p>
            <w:pPr>
              <w:pStyle w:val="Tabla9"/>
              <w:jc w:val="left"/>
            </w:pPr>
            <w:r>
              <w:t xml:space="preserve">Repuestos y reubicación</w:t>
            </w:r>
          </w:p>
        </w:tc>
      </w:tr>
      <w:tr>
        <w:trPr>
          <w:cantSplit/>
        </w:trPr>
        <w:tc>
          <w:tcPr/>
          <w:p>
            <w:pPr>
              <w:pStyle w:val="Tabla9"/>
              <w:jc w:val="left"/>
            </w:pPr>
            <w:r>
              <w:t xml:space="preserve">Dependencia del proveedor</w:t>
            </w:r>
          </w:p>
        </w:tc>
        <w:tc>
          <w:tcPr/>
          <w:p>
            <w:pPr>
              <w:pStyle w:val="Tabla9"/>
              <w:jc w:val="left"/>
            </w:pPr>
            <w:r>
              <w:t xml:space="preserve">El código cerrado impide el cambio de custodio</w:t>
            </w:r>
          </w:p>
        </w:tc>
        <w:tc>
          <w:tcPr/>
          <w:p>
            <w:pPr>
              <w:pStyle w:val="Tabla9"/>
              <w:jc w:val="left"/>
            </w:pPr>
            <w:r>
              <w:t xml:space="preserve">Cláusulas de licencia restrictivas</w:t>
            </w:r>
          </w:p>
        </w:tc>
        <w:tc>
          <w:tcPr/>
          <w:p>
            <w:pPr>
              <w:pStyle w:val="Tabla9"/>
              <w:jc w:val="left"/>
            </w:pPr>
            <w:r>
              <w:t xml:space="preserve">Cláusula de apertura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Corregibilidad.</w:t>
      </w:r>
      <w:r>
        <w:t xml:space="preserve"> </w:t>
      </w:r>
      <w:r>
        <w:t xml:space="preserve">Entre alternativas comparables se prefiere la de menor costo de reversión y menor tiempo de detección del error (Collingridge, 1980). R4 detecta una falla de SC-1 en el mes 12. R3 la detectaría después de comprometer la inversión completa.</w:t>
      </w:r>
    </w:p>
    <w:p>
      <w:pPr>
        <w:pStyle w:val="BodyText"/>
      </w:pPr>
      <w:r>
        <w:rPr>
          <w:b/>
          <w:bCs/>
        </w:rPr>
        <w:t xml:space="preserve">Ruta evaluativa.</w:t>
      </w:r>
      <w:r>
        <w:t xml:space="preserve"> </w:t>
      </w:r>
      <w:r>
        <w:t xml:space="preserve">La elección responde a la pregunta evaluativa y no al prestigio del método. La secuencia recorre cada pregunta con su condición.</w:t>
      </w:r>
    </w:p>
    <w:p>
      <w:pPr>
        <w:pStyle w:val="BodyText"/>
      </w:pPr>
      <w:r>
        <w:t xml:space="preserve">La Tabla F4.102 reúne los datos de «Ruta evaluativa».</w:t>
      </w:r>
    </w:p>
    <w:p>
      <w:pPr>
        <w:pStyle w:val="TablaRotulo"/>
      </w:pPr>
      <w:bookmarkStart w:id="9179" w:name="rot_Tabla_F4_102"/>
      <w:r>
        <w:rPr>
          <w:b/>
          <w:bCs/>
        </w:rPr>
        <w:t xml:space="preserve">Tabla F4.102</w:t>
      </w:r>
      <w:bookmarkEnd w:id="9179"/>
    </w:p>
    <w:p>
      <w:pPr>
        <w:pStyle w:val="TablaTitulo"/>
      </w:pPr>
      <w:r>
        <w:rPr>
          <w:i/>
          <w:iCs/>
        </w:rPr>
        <w:t xml:space="preserve">Ruta evaluativa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80"/>
        <w:gridCol w:w="2112"/>
        <w:gridCol w:w="1914"/>
        <w:gridCol w:w="1914"/>
      </w:tblGrid>
      <w:tr>
        <w:trPr>
          <w:cantSplit/>
          <w:tblHeader/>
        </w:trPr>
        <w:tc>
          <w:tcPr>
            <w:shd w:val="clear" w:color="auto" w:fill="00B050"/>
          </w:tcPr>
          <w:p>
            <w:pPr>
              <w:pStyle w:val="Tabla9"/>
              <w:jc w:val="center"/>
            </w:pPr>
            <w:r>
              <w:rPr>
                <w:b/>
                <w:color w:val="FFFFFF"/>
              </w:rPr>
              <w:t xml:space="preserve">Pregunta evaluativa</w:t>
            </w:r>
          </w:p>
        </w:tc>
        <w:tc>
          <w:tcPr>
            <w:shd w:val="clear" w:color="auto" w:fill="00B050"/>
          </w:tcPr>
          <w:p>
            <w:pPr>
              <w:pStyle w:val="Tabla9"/>
              <w:jc w:val="center"/>
            </w:pPr>
            <w:r>
              <w:rPr>
                <w:b/>
                <w:color w:val="FFFFFF"/>
              </w:rPr>
              <w:t xml:space="preserve">Condición</w:t>
            </w:r>
          </w:p>
        </w:tc>
        <w:tc>
          <w:tcPr>
            <w:shd w:val="clear" w:color="auto" w:fill="00B050"/>
          </w:tcPr>
          <w:p>
            <w:pPr>
              <w:pStyle w:val="Tabla9"/>
              <w:jc w:val="center"/>
            </w:pPr>
            <w:r>
              <w:rPr>
                <w:b/>
                <w:color w:val="FFFFFF"/>
              </w:rPr>
              <w:t xml:space="preserve">Ruta elegida</w:t>
            </w:r>
          </w:p>
        </w:tc>
        <w:tc>
          <w:tcPr>
            <w:shd w:val="clear" w:color="auto" w:fill="00B050"/>
          </w:tcPr>
          <w:p>
            <w:pPr>
              <w:pStyle w:val="Tabla9"/>
              <w:jc w:val="center"/>
            </w:pPr>
            <w:r>
              <w:rPr>
                <w:b/>
                <w:color w:val="FFFFFF"/>
              </w:rPr>
              <w:t xml:space="preserve">Motivo</w:t>
            </w:r>
          </w:p>
        </w:tc>
      </w:tr>
      <w:tr>
        <w:trPr>
          <w:cantSplit/>
        </w:trPr>
        <w:tc>
          <w:tcPr/>
          <w:p>
            <w:pPr>
              <w:pStyle w:val="Tabla9"/>
              <w:jc w:val="left"/>
            </w:pPr>
            <w:r>
              <w:t xml:space="preserve">¿Cuál es el efecto promedio del método de corrección sobre el error de medición?</w:t>
            </w:r>
          </w:p>
        </w:tc>
        <w:tc>
          <w:tcPr/>
          <w:p>
            <w:pPr>
              <w:pStyle w:val="Tabla9"/>
              <w:jc w:val="left"/>
            </w:pPr>
            <w:r>
              <w:t xml:space="preserve">Grupo de comparación válido por sorteo y casos suficientes (5.200 nodo-semanas, 4.3)</w:t>
            </w:r>
          </w:p>
        </w:tc>
        <w:tc>
          <w:tcPr/>
          <w:p>
            <w:pPr>
              <w:pStyle w:val="Tabla9"/>
              <w:jc w:val="left"/>
            </w:pPr>
            <w:r>
              <w:t xml:space="preserve">Diseño contrafactual experimental con análisis de la teoría del cambio</w:t>
            </w:r>
          </w:p>
        </w:tc>
        <w:tc>
          <w:tcPr/>
          <w:p>
            <w:pPr>
              <w:pStyle w:val="Tabla9"/>
              <w:jc w:val="left"/>
            </w:pPr>
            <w:r>
              <w:t xml:space="preserve">El sorteo semanal intra-nodo genera el grupo de comparación</w:t>
            </w:r>
          </w:p>
        </w:tc>
      </w:tr>
      <w:tr>
        <w:trPr>
          <w:cantSplit/>
        </w:trPr>
        <w:tc>
          <w:tcPr/>
          <w:p>
            <w:pPr>
              <w:pStyle w:val="Tabla9"/>
              <w:jc w:val="left"/>
            </w:pPr>
            <w:r>
              <w:t xml:space="preserve">¿Por qué, para quién y en qué contexto se adoptan las alertas?</w:t>
            </w:r>
          </w:p>
        </w:tc>
        <w:tc>
          <w:tcPr/>
          <w:p>
            <w:pPr>
              <w:pStyle w:val="Tabla9"/>
              <w:jc w:val="left"/>
            </w:pPr>
            <w:r>
              <w:t xml:space="preserve">Pregunta por mecanismo y contexto (Pawson y Tilley, 1997)</w:t>
            </w:r>
          </w:p>
        </w:tc>
        <w:tc>
          <w:tcPr/>
          <w:p>
            <w:pPr>
              <w:pStyle w:val="Tabla9"/>
              <w:jc w:val="left"/>
            </w:pPr>
            <w:r>
              <w:t xml:space="preserve">Evaluación realista</w:t>
            </w:r>
          </w:p>
        </w:tc>
        <w:tc>
          <w:tcPr/>
          <w:p>
            <w:pPr>
              <w:pStyle w:val="Tabla9"/>
              <w:jc w:val="left"/>
            </w:pPr>
            <w:r>
              <w:t xml:space="preserve">Tres departamentos con contextos distintos</w:t>
            </w:r>
          </w:p>
        </w:tc>
      </w:tr>
      <w:tr>
        <w:trPr>
          <w:cantSplit/>
        </w:trPr>
        <w:tc>
          <w:tcPr/>
          <w:p>
            <w:pPr>
              <w:pStyle w:val="Tabla9"/>
              <w:jc w:val="left"/>
            </w:pPr>
            <w:r>
              <w:t xml:space="preserve">¿Contribuyó el proyecto a proteger personas?</w:t>
            </w:r>
          </w:p>
        </w:tc>
        <w:tc>
          <w:tcPr/>
          <w:p>
            <w:pPr>
              <w:pStyle w:val="Tabla9"/>
              <w:jc w:val="left"/>
            </w:pPr>
            <w:r>
              <w:t xml:space="preserve">Pocos casos con teoría previa y atribución difícil (Mayne, 2012; Befani y Mayne, 2014)</w:t>
            </w:r>
          </w:p>
        </w:tc>
        <w:tc>
          <w:tcPr/>
          <w:p>
            <w:pPr>
              <w:pStyle w:val="Tabla9"/>
              <w:jc w:val="left"/>
            </w:pPr>
            <w:r>
              <w:t xml:space="preserve">Análisis de contribución o rastreo de procesos</w:t>
            </w:r>
          </w:p>
        </w:tc>
        <w:tc>
          <w:tcPr/>
          <w:p>
            <w:pPr>
              <w:pStyle w:val="Tabla9"/>
              <w:jc w:val="left"/>
            </w:pPr>
            <w:r>
              <w:t xml:space="preserve">E2 no es identificable (4.3)</w:t>
            </w:r>
          </w:p>
        </w:tc>
      </w:tr>
      <w:tr>
        <w:trPr>
          <w:cantSplit/>
        </w:trPr>
        <w:tc>
          <w:tcPr/>
          <w:p>
            <w:pPr>
              <w:pStyle w:val="Tabla9"/>
              <w:jc w:val="left"/>
            </w:pPr>
            <w:r>
              <w:t xml:space="preserve">¿Qué combinaciones causales explican la custodia?</w:t>
            </w:r>
          </w:p>
        </w:tc>
        <w:tc>
          <w:tcPr/>
          <w:p>
            <w:pPr>
              <w:pStyle w:val="Tabla9"/>
              <w:jc w:val="left"/>
            </w:pPr>
            <w:r>
              <w:t xml:space="preserve">Varios casos comparables (Ragin, 1987)</w:t>
            </w:r>
          </w:p>
        </w:tc>
        <w:tc>
          <w:tcPr/>
          <w:p>
            <w:pPr>
              <w:pStyle w:val="Tabla9"/>
              <w:jc w:val="left"/>
            </w:pPr>
            <w:r>
              <w:t xml:space="preserve">No aplica</w:t>
            </w:r>
          </w:p>
        </w:tc>
        <w:tc>
          <w:tcPr/>
          <w:p>
            <w:pPr>
              <w:pStyle w:val="Tabla9"/>
              <w:jc w:val="left"/>
            </w:pPr>
            <w:r>
              <w:t xml:space="preserve">Tres casos no bastan</w:t>
            </w:r>
          </w:p>
        </w:tc>
      </w:tr>
      <w:tr>
        <w:trPr>
          <w:cantSplit/>
        </w:trPr>
        <w:tc>
          <w:tcPr/>
          <w:p>
            <w:pPr>
              <w:pStyle w:val="Tabla9"/>
              <w:jc w:val="left"/>
            </w:pPr>
            <w:r>
              <w:t xml:space="preserve">¿Qué resultados emergieron sin teoría previa?</w:t>
            </w:r>
          </w:p>
        </w:tc>
        <w:tc>
          <w:tcPr/>
          <w:p>
            <w:pPr>
              <w:pStyle w:val="Tabla9"/>
              <w:jc w:val="left"/>
            </w:pPr>
            <w:r>
              <w:t xml:space="preserve">Ausencia de teoría del cambio (Wilson-Grau, 2019)</w:t>
            </w:r>
          </w:p>
        </w:tc>
        <w:tc>
          <w:tcPr/>
          <w:p>
            <w:pPr>
              <w:pStyle w:val="Tabla9"/>
              <w:jc w:val="left"/>
            </w:pPr>
            <w:r>
              <w:t xml:space="preserve">No aplica</w:t>
            </w:r>
          </w:p>
        </w:tc>
        <w:tc>
          <w:tcPr/>
          <w:p>
            <w:pPr>
              <w:pStyle w:val="Tabla9"/>
              <w:jc w:val="left"/>
            </w:pPr>
            <w:r>
              <w:t xml:space="preserve">La teoría del cambio existe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Supuestos priorizados, frecuencia y revisión.</w:t>
      </w:r>
      <w:r>
        <w:t xml:space="preserve"> </w:t>
      </w:r>
      <w:r>
        <w:t xml:space="preserve">La criticidad por umbral es NO_CALCULABLE. La priorización es PROPUESTA: se monitorean primero SC-2 y SC-3, con el calificador más bajo, y SC-1, que activa el punto de reversión. Frecuencia PROPUESTA de revisión: trimestral para adopción y custodia (dominio complejo); anual para la medición (dominio complicado), con corte en el mes 12.</w:t>
      </w:r>
    </w:p>
    <w:p>
      <w:pPr>
        <w:pStyle w:val="BodyText"/>
      </w:pPr>
      <w:r>
        <w:rPr>
          <w:b/>
          <w:bCs/>
        </w:rPr>
        <w:t xml:space="preserve">Aprendizaje de bucle doble.</w:t>
      </w:r>
      <w:r>
        <w:t xml:space="preserve"> </w:t>
      </w:r>
      <w:r>
        <w:t xml:space="preserve">Cuando los datos contradicen un supuesto, se revisan el supuesto, las metas y la teoría en uso (Argyris y Schön, 1978). La revisión no se limita a las actividades. Cada revisión se registra como una nueva versión de la teoría del cambio.</w:t>
      </w:r>
    </w:p>
    <w:p>
      <w:pPr>
        <w:pStyle w:val="BodyText"/>
      </w:pPr>
      <w:r>
        <w:rPr>
          <w:b/>
          <w:bCs/>
        </w:rPr>
        <w:t xml:space="preserve">Plan de ejecución, evaluación y aprendizaje.</w:t>
      </w:r>
    </w:p>
    <w:p>
      <w:pPr>
        <w:pStyle w:val="BodyText"/>
      </w:pPr>
      <w:r>
        <w:t xml:space="preserve">La Tabla F4.103 reúne los datos de «Plan de ejecución, evaluación y aprendizaje».</w:t>
      </w:r>
    </w:p>
    <w:p>
      <w:pPr>
        <w:pStyle w:val="TablaRotulo"/>
      </w:pPr>
      <w:bookmarkStart w:id="9180" w:name="rot_Tabla_F4_103"/>
      <w:r>
        <w:rPr>
          <w:b/>
          <w:bCs/>
        </w:rPr>
        <w:t xml:space="preserve">Tabla F4.103</w:t>
      </w:r>
      <w:bookmarkEnd w:id="9180"/>
    </w:p>
    <w:p>
      <w:pPr>
        <w:pStyle w:val="TablaTitulo"/>
      </w:pPr>
      <w:r>
        <w:rPr>
          <w:i/>
          <w:iCs/>
        </w:rPr>
        <w:t xml:space="preserve">Plan de ejecución, evaluación y aprendizaje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14"/>
        <w:gridCol w:w="4092"/>
        <w:gridCol w:w="1914"/>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Contenido</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Indicador principal</w:t>
            </w:r>
          </w:p>
        </w:tc>
        <w:tc>
          <w:tcPr/>
          <w:p>
            <w:pPr>
              <w:pStyle w:val="Tabla9"/>
              <w:jc w:val="left"/>
            </w:pPr>
            <w:r>
              <w:t xml:space="preserve">Logaritmo del error normalizado por nodo-semana</w:t>
            </w:r>
          </w:p>
        </w:tc>
        <w:tc>
          <w:tcPr/>
          <w:p>
            <w:pPr>
              <w:pStyle w:val="Tabla9"/>
              <w:jc w:val="left"/>
            </w:pPr>
            <w:r>
              <w:t xml:space="preserve">PROPUESTO</w:t>
            </w:r>
          </w:p>
        </w:tc>
      </w:tr>
      <w:tr>
        <w:trPr>
          <w:cantSplit/>
        </w:trPr>
        <w:tc>
          <w:tcPr/>
          <w:p>
            <w:pPr>
              <w:pStyle w:val="Tabla9"/>
              <w:jc w:val="left"/>
            </w:pPr>
            <w:r>
              <w:t xml:space="preserve">Línea base</w:t>
            </w:r>
          </w:p>
        </w:tc>
        <w:tc>
          <w:tcPr/>
          <w:p>
            <w:pPr>
              <w:pStyle w:val="Tabla9"/>
              <w:jc w:val="left"/>
            </w:pPr>
            <w:r>
              <w:t xml:space="preserve">VACIO: medición con referencia en el primer hito</w:t>
            </w:r>
          </w:p>
        </w:tc>
        <w:tc>
          <w:tcPr/>
          <w:p>
            <w:pPr>
              <w:pStyle w:val="Tabla9"/>
              <w:jc w:val="left"/>
            </w:pPr>
            <w:r>
              <w:t xml:space="preserve">VACIO</w:t>
            </w:r>
          </w:p>
        </w:tc>
      </w:tr>
      <w:tr>
        <w:trPr>
          <w:cantSplit/>
        </w:trPr>
        <w:tc>
          <w:tcPr/>
          <w:p>
            <w:pPr>
              <w:pStyle w:val="Tabla9"/>
              <w:jc w:val="left"/>
            </w:pPr>
            <w:r>
              <w:t xml:space="preserve">Umbral de detención de R4</w:t>
            </w:r>
          </w:p>
        </w:tc>
        <w:tc>
          <w:tcPr/>
          <w:p>
            <w:pPr>
              <w:pStyle w:val="Tabla9"/>
              <w:jc w:val="left"/>
            </w:pPr>
            <w:r>
              <w:t xml:space="preserve">El intervalo de confianza de 95 % de la diferencia entre N4 y N1 incluye cero con el sorteo completo</w:t>
            </w:r>
          </w:p>
        </w:tc>
        <w:tc>
          <w:tcPr/>
          <w:p>
            <w:pPr>
              <w:pStyle w:val="Tabla9"/>
              <w:jc w:val="left"/>
            </w:pPr>
            <w:r>
              <w:t xml:space="preserve">PROPUESTO</w:t>
            </w:r>
          </w:p>
        </w:tc>
      </w:tr>
      <w:tr>
        <w:trPr>
          <w:cantSplit/>
        </w:trPr>
        <w:tc>
          <w:tcPr/>
          <w:p>
            <w:pPr>
              <w:pStyle w:val="Tabla9"/>
              <w:jc w:val="left"/>
            </w:pPr>
            <w:r>
              <w:t xml:space="preserve">Umbral de revisión de la disponibilidad</w:t>
            </w:r>
          </w:p>
        </w:tc>
        <w:tc>
          <w:tcPr/>
          <w:p>
            <w:pPr>
              <w:pStyle w:val="Tabla9"/>
              <w:jc w:val="left"/>
            </w:pPr>
            <w:r>
              <w:t xml:space="preserve">Menor que 80 % durante tres meses consecutivos</w:t>
            </w:r>
          </w:p>
        </w:tc>
        <w:tc>
          <w:tcPr/>
          <w:p>
            <w:pPr>
              <w:pStyle w:val="Tabla9"/>
              <w:jc w:val="left"/>
            </w:pPr>
            <w:r>
              <w:t xml:space="preserve">PROPUESTO; sin fuente</w:t>
            </w:r>
          </w:p>
        </w:tc>
      </w:tr>
      <w:tr>
        <w:trPr>
          <w:cantSplit/>
        </w:trPr>
        <w:tc>
          <w:tcPr/>
          <w:p>
            <w:pPr>
              <w:pStyle w:val="Tabla9"/>
              <w:jc w:val="left"/>
            </w:pPr>
            <w:r>
              <w:t xml:space="preserve">Umbral de falsas alarmas</w:t>
            </w:r>
          </w:p>
        </w:tc>
        <w:tc>
          <w:tcPr/>
          <w:p>
            <w:pPr>
              <w:pStyle w:val="Tabla9"/>
              <w:jc w:val="left"/>
            </w:pPr>
            <w:r>
              <w:t xml:space="preserve">Habilidad frente a una línea base de persistencia, según F-INF §8.3 (D-04)</w:t>
            </w:r>
          </w:p>
        </w:tc>
        <w:tc>
          <w:tcPr/>
          <w:p>
            <w:pPr>
              <w:pStyle w:val="Tabla9"/>
              <w:jc w:val="left"/>
            </w:pPr>
            <w:r>
              <w:t xml:space="preserve">PROPUESTO</w:t>
            </w:r>
          </w:p>
        </w:tc>
      </w:tr>
      <w:tr>
        <w:trPr>
          <w:cantSplit/>
        </w:trPr>
        <w:tc>
          <w:tcPr/>
          <w:p>
            <w:pPr>
              <w:pStyle w:val="Tabla9"/>
              <w:jc w:val="left"/>
            </w:pPr>
            <w:r>
              <w:t xml:space="preserve">Punto de reversión</w:t>
            </w:r>
          </w:p>
        </w:tc>
        <w:tc>
          <w:tcPr/>
          <w:p>
            <w:pPr>
              <w:pStyle w:val="Tabla9"/>
              <w:jc w:val="left"/>
            </w:pPr>
            <w:r>
              <w:t xml:space="preserve">Hito 2 (mes 12): detener la expansión si SC-1 falla</w:t>
            </w:r>
          </w:p>
        </w:tc>
        <w:tc>
          <w:tcPr/>
          <w:p>
            <w:pPr>
              <w:pStyle w:val="Tabla9"/>
              <w:jc w:val="left"/>
            </w:pPr>
            <w:r>
              <w:t xml:space="preserve">PROPUESTO</w:t>
            </w:r>
          </w:p>
        </w:tc>
      </w:tr>
      <w:tr>
        <w:trPr>
          <w:cantSplit/>
        </w:trPr>
        <w:tc>
          <w:tcPr/>
          <w:p>
            <w:pPr>
              <w:pStyle w:val="Tabla9"/>
              <w:jc w:val="left"/>
            </w:pPr>
            <w:r>
              <w:t xml:space="preserve">Prueba piloto</w:t>
            </w:r>
          </w:p>
        </w:tc>
        <w:tc>
          <w:tcPr/>
          <w:p>
            <w:pPr>
              <w:pStyle w:val="Tabla9"/>
              <w:jc w:val="left"/>
            </w:pPr>
            <w:r>
              <w:t xml:space="preserve">Sorteo semanal durante 52 semanas con 100 nodos y 20 % de repuestos</w:t>
            </w:r>
          </w:p>
        </w:tc>
        <w:tc>
          <w:tcPr/>
          <w:p>
            <w:pPr>
              <w:pStyle w:val="Tabla9"/>
              <w:jc w:val="left"/>
            </w:pPr>
            <w:r>
              <w:t xml:space="preserve">PROPUESTO (4.3)</w:t>
            </w:r>
          </w:p>
        </w:tc>
      </w:tr>
      <w:tr>
        <w:trPr>
          <w:cantSplit/>
        </w:trPr>
        <w:tc>
          <w:tcPr/>
          <w:p>
            <w:pPr>
              <w:pStyle w:val="Tabla9"/>
              <w:jc w:val="left"/>
            </w:pPr>
            <w:r>
              <w:t xml:space="preserve">Responsable</w:t>
            </w:r>
          </w:p>
        </w:tc>
        <w:tc>
          <w:tcPr/>
          <w:p>
            <w:pPr>
              <w:pStyle w:val="Tabla9"/>
              <w:jc w:val="left"/>
            </w:pPr>
            <w:r>
              <w:t xml:space="preserve">RESPONSABLE_POR_DESIGNAR</w:t>
            </w:r>
          </w:p>
        </w:tc>
        <w:tc>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umbrales no provienen de normas ni de metas aprobadas, porque los términos de referencia faltan. Por esa razón son PROPUESTOS.</w:t>
      </w:r>
    </w:p>
    <w:p>
      <w:pPr>
        <w:pStyle w:val="BodyText"/>
      </w:pPr>
      <w:r>
        <w:rPr>
          <w:b/>
          <w:bCs/>
        </w:rPr>
        <w:t xml:space="preserve">Vacíos de ejecución.</w:t>
      </w:r>
    </w:p>
    <w:p>
      <w:pPr>
        <w:pStyle w:val="Compact"/>
        <w:numPr>
          <w:ilvl w:val="0"/>
          <w:numId w:val="1014"/>
        </w:numPr>
      </w:pPr>
      <w:r>
        <w:t xml:space="preserve">Línea base de error de medición, disponibilidad y falsas alarmas: VACIO.</w:t>
      </w:r>
    </w:p>
    <w:p>
      <w:pPr>
        <w:pStyle w:val="Compact"/>
        <w:numPr>
          <w:ilvl w:val="0"/>
          <w:numId w:val="1014"/>
        </w:numPr>
      </w:pPr>
      <w:r>
        <w:t xml:space="preserve">Mecanismo de actualización remota del nivel de corrección en cada nodo: VACIO. Condiciona el sorteo.</w:t>
      </w:r>
    </w:p>
    <w:p>
      <w:pPr>
        <w:pStyle w:val="Compact"/>
        <w:numPr>
          <w:ilvl w:val="0"/>
          <w:numId w:val="1014"/>
        </w:numPr>
      </w:pPr>
      <w:r>
        <w:t xml:space="preserve">Responsable del seguimiento: VACIO.</w:t>
      </w:r>
    </w:p>
    <w:bookmarkEnd w:id="208"/>
    <w:bookmarkStart w:id="209" w:name="_Toc00900083"/>
    <w:p>
      <w:pPr>
        <w:pStyle w:val="Heading3"/>
      </w:pPr>
      <w:r>
        <w:t xml:space="preserve">F4.4-MDR.12 Premortem y escenarios</w:t>
      </w:r>
    </w:p>
    <w:p>
      <w:pPr>
        <w:pStyle w:val="FirstParagraph"/>
      </w:pPr>
      <w:r>
        <w:rPr>
          <w:b/>
          <w:bCs/>
        </w:rPr>
        <w:t xml:space="preserve">Premortem.</w:t>
      </w:r>
      <w:r>
        <w:t xml:space="preserve"> </w:t>
      </w:r>
      <w:r>
        <w:t xml:space="preserve">Se supone que la decisión R4 fracasó en el horizonte de 36 meses (Klein, 2007). La tabla enumera las causas por fase de origen, con señal temprana, contención y responsable.</w:t>
      </w:r>
    </w:p>
    <w:p>
      <w:pPr>
        <w:pStyle w:val="BodyText"/>
      </w:pPr>
      <w:r>
        <w:t xml:space="preserve">La Tabla F4.104 reúne los datos de «Premortem».</w:t>
      </w:r>
    </w:p>
    <w:p>
      <w:pPr>
        <w:pStyle w:val="TablaRotulo"/>
      </w:pPr>
      <w:bookmarkStart w:id="9181" w:name="rot_Tabla_F4_104"/>
      <w:r>
        <w:rPr>
          <w:b/>
          <w:bCs/>
        </w:rPr>
        <w:t xml:space="preserve">Tabla F4.104</w:t>
      </w:r>
      <w:bookmarkEnd w:id="9181"/>
    </w:p>
    <w:p>
      <w:pPr>
        <w:pStyle w:val="TablaTitulo"/>
      </w:pPr>
      <w:r>
        <w:rPr>
          <w:i/>
          <w:iCs/>
        </w:rPr>
        <w:t xml:space="preserve">Premortem</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1452"/>
        <w:gridCol w:w="1254"/>
        <w:gridCol w:w="2310"/>
      </w:tblGrid>
      <w:tr>
        <w:trPr>
          <w:cantSplit/>
          <w:tblHeader/>
        </w:trPr>
        <w:tc>
          <w:tcPr>
            <w:shd w:val="clear" w:color="auto" w:fill="00B050"/>
          </w:tcPr>
          <w:p>
            <w:pPr>
              <w:pStyle w:val="Tabla9"/>
              <w:jc w:val="center"/>
            </w:pPr>
            <w:r>
              <w:rPr>
                <w:b/>
                <w:color w:val="FFFFFF"/>
              </w:rPr>
              <w:t xml:space="preserve">Fase de origen</w:t>
            </w:r>
          </w:p>
        </w:tc>
        <w:tc>
          <w:tcPr>
            <w:shd w:val="clear" w:color="auto" w:fill="00B050"/>
          </w:tcPr>
          <w:p>
            <w:pPr>
              <w:pStyle w:val="Tabla9"/>
              <w:jc w:val="center"/>
            </w:pPr>
            <w:r>
              <w:rPr>
                <w:b/>
                <w:color w:val="FFFFFF"/>
              </w:rPr>
              <w:t xml:space="preserve">Causa del fracaso</w:t>
            </w:r>
          </w:p>
        </w:tc>
        <w:tc>
          <w:tcPr>
            <w:shd w:val="clear" w:color="auto" w:fill="00B050"/>
          </w:tcPr>
          <w:p>
            <w:pPr>
              <w:pStyle w:val="Tabla9"/>
              <w:jc w:val="center"/>
            </w:pPr>
            <w:r>
              <w:rPr>
                <w:b/>
                <w:color w:val="FFFFFF"/>
              </w:rPr>
              <w:t xml:space="preserve">Señal temprana</w:t>
            </w:r>
          </w:p>
        </w:tc>
        <w:tc>
          <w:tcPr>
            <w:shd w:val="clear" w:color="auto" w:fill="00B050"/>
          </w:tcPr>
          <w:p>
            <w:pPr>
              <w:pStyle w:val="Tabla9"/>
              <w:jc w:val="center"/>
            </w:pPr>
            <w:r>
              <w:rPr>
                <w:b/>
                <w:color w:val="FFFFFF"/>
              </w:rPr>
              <w:t xml:space="preserve">Contención</w:t>
            </w:r>
          </w:p>
        </w:tc>
        <w:tc>
          <w:tcPr>
            <w:shd w:val="clear" w:color="auto" w:fill="00B050"/>
          </w:tcPr>
          <w:p>
            <w:pPr>
              <w:pStyle w:val="Tabla9"/>
              <w:jc w:val="center"/>
            </w:pPr>
            <w:r>
              <w:rPr>
                <w:b/>
                <w:color w:val="FFFFFF"/>
              </w:rPr>
              <w:t xml:space="preserve">Responsable</w:t>
            </w:r>
          </w:p>
        </w:tc>
      </w:tr>
      <w:tr>
        <w:trPr>
          <w:cantSplit/>
        </w:trPr>
        <w:tc>
          <w:tcPr/>
          <w:p>
            <w:pPr>
              <w:pStyle w:val="Tabla9"/>
              <w:jc w:val="left"/>
            </w:pPr>
            <w:r>
              <w:t xml:space="preserve">Construcción</w:t>
            </w:r>
          </w:p>
        </w:tc>
        <w:tc>
          <w:tcPr/>
          <w:p>
            <w:pPr>
              <w:pStyle w:val="Tabla9"/>
              <w:jc w:val="left"/>
            </w:pPr>
            <w:r>
              <w:t xml:space="preserve">La línea base y la meta del error no se fijaron y no se puede declarar éxito</w:t>
            </w:r>
          </w:p>
        </w:tc>
        <w:tc>
          <w:tcPr/>
          <w:p>
            <w:pPr>
              <w:pStyle w:val="Tabla9"/>
              <w:jc w:val="left"/>
            </w:pPr>
            <w:r>
              <w:t xml:space="preserve">Metas distintas en documentos del mismo expediente</w:t>
            </w:r>
          </w:p>
        </w:tc>
        <w:tc>
          <w:tcPr/>
          <w:p>
            <w:pPr>
              <w:pStyle w:val="Tabla9"/>
              <w:jc w:val="left"/>
            </w:pPr>
            <w:r>
              <w:t xml:space="preserve">Fijar meta y método antes del primer hito</w:t>
            </w:r>
          </w:p>
        </w:tc>
        <w:tc>
          <w:tcPr/>
          <w:p>
            <w:pPr>
              <w:pStyle w:val="Tabla9"/>
              <w:jc w:val="left"/>
            </w:pPr>
            <w:r>
              <w:t xml:space="preserve">Equipo formulador (POR_IDENTIFICAR)</w:t>
            </w:r>
          </w:p>
        </w:tc>
      </w:tr>
      <w:tr>
        <w:trPr>
          <w:cantSplit/>
        </w:trPr>
        <w:tc>
          <w:tcPr/>
          <w:p>
            <w:pPr>
              <w:pStyle w:val="Tabla9"/>
              <w:jc w:val="left"/>
            </w:pPr>
            <w:r>
              <w:t xml:space="preserve">Entorno</w:t>
            </w:r>
          </w:p>
        </w:tc>
        <w:tc>
          <w:tcPr/>
          <w:p>
            <w:pPr>
              <w:pStyle w:val="Tabla9"/>
              <w:jc w:val="left"/>
            </w:pPr>
            <w:r>
              <w:t xml:space="preserve">Los TdR prohíben el piloto o la compra por tramos</w:t>
            </w:r>
          </w:p>
        </w:tc>
        <w:tc>
          <w:tcPr/>
          <w:p>
            <w:pPr>
              <w:pStyle w:val="Tabla9"/>
              <w:jc w:val="left"/>
            </w:pPr>
            <w:r>
              <w:t xml:space="preserve">Observaciones del convocante al formato</w:t>
            </w:r>
          </w:p>
        </w:tc>
        <w:tc>
          <w:tcPr/>
          <w:p>
            <w:pPr>
              <w:pStyle w:val="Tabla9"/>
              <w:jc w:val="left"/>
            </w:pPr>
            <w:r>
              <w:t xml:space="preserve">Presentar el piloto como producto de conocimiento</w:t>
            </w:r>
          </w:p>
        </w:tc>
        <w:tc>
          <w:tcPr/>
          <w:p>
            <w:pPr>
              <w:pStyle w:val="Tabla9"/>
              <w:jc w:val="left"/>
            </w:pPr>
            <w:r>
              <w:t xml:space="preserve">Equipo formulador</w:t>
            </w:r>
          </w:p>
        </w:tc>
      </w:tr>
      <w:tr>
        <w:trPr>
          <w:cantSplit/>
        </w:trPr>
        <w:tc>
          <w:tcPr/>
          <w:p>
            <w:pPr>
              <w:pStyle w:val="Tabla9"/>
              <w:jc w:val="left"/>
            </w:pPr>
            <w:r>
              <w:t xml:space="preserve">Actores</w:t>
            </w:r>
          </w:p>
        </w:tc>
        <w:tc>
          <w:tcPr/>
          <w:p>
            <w:pPr>
              <w:pStyle w:val="Tabla9"/>
              <w:jc w:val="left"/>
            </w:pPr>
            <w:r>
              <w:t xml:space="preserve">Las alcaldías no presupuestan la operación; el cambio de administración rompe el compromiso</w:t>
            </w:r>
          </w:p>
        </w:tc>
        <w:tc>
          <w:tcPr/>
          <w:p>
            <w:pPr>
              <w:pStyle w:val="Tabla9"/>
              <w:jc w:val="left"/>
            </w:pPr>
            <w:r>
              <w:t xml:space="preserve">Cartas de compromiso sin partida</w:t>
            </w:r>
          </w:p>
        </w:tc>
        <w:tc>
          <w:tcPr/>
          <w:p>
            <w:pPr>
              <w:pStyle w:val="Tabla9"/>
              <w:jc w:val="left"/>
            </w:pPr>
            <w:r>
              <w:t xml:space="preserve">Acuerdos por tramos y ordenanzas como condición</w:t>
            </w:r>
          </w:p>
        </w:tc>
        <w:tc>
          <w:tcPr/>
          <w:p>
            <w:pPr>
              <w:pStyle w:val="Tabla9"/>
              <w:jc w:val="left"/>
            </w:pPr>
            <w:r>
              <w:t xml:space="preserve">Gobernaciones (POR_IDENTIFICAR)</w:t>
            </w:r>
          </w:p>
        </w:tc>
      </w:tr>
      <w:tr>
        <w:trPr>
          <w:cantSplit/>
        </w:trPr>
        <w:tc>
          <w:tcPr/>
          <w:p>
            <w:pPr>
              <w:pStyle w:val="Tabla9"/>
              <w:jc w:val="left"/>
            </w:pPr>
            <w:r>
              <w:t xml:space="preserve">Encuadre</w:t>
            </w:r>
          </w:p>
        </w:tc>
        <w:tc>
          <w:tcPr/>
          <w:p>
            <w:pPr>
              <w:pStyle w:val="Tabla9"/>
              <w:jc w:val="left"/>
            </w:pPr>
            <w:r>
              <w:t xml:space="preserve">El dominio se clasificó mal y la revisión de supuestos resulta lenta o costosa</w:t>
            </w:r>
          </w:p>
        </w:tc>
        <w:tc>
          <w:tcPr/>
          <w:p>
            <w:pPr>
              <w:pStyle w:val="Tabla9"/>
              <w:jc w:val="left"/>
            </w:pPr>
            <w:r>
              <w:t xml:space="preserve">Ajustes frecuentes del plan sin resultado</w:t>
            </w:r>
          </w:p>
        </w:tc>
        <w:tc>
          <w:tcPr/>
          <w:p>
            <w:pPr>
              <w:pStyle w:val="Tabla9"/>
              <w:jc w:val="left"/>
            </w:pPr>
            <w:r>
              <w:t xml:space="preserve">Revisión trimestral con regla de parada</w:t>
            </w:r>
          </w:p>
        </w:tc>
        <w:tc>
          <w:tcPr/>
          <w:p>
            <w:pPr>
              <w:pStyle w:val="Tabla9"/>
              <w:jc w:val="left"/>
            </w:pPr>
            <w:r>
              <w:t xml:space="preserve">Comité integrador</w:t>
            </w:r>
          </w:p>
        </w:tc>
      </w:tr>
      <w:tr>
        <w:trPr>
          <w:cantSplit/>
        </w:trPr>
        <w:tc>
          <w:tcPr/>
          <w:p>
            <w:pPr>
              <w:pStyle w:val="Tabla9"/>
              <w:jc w:val="left"/>
            </w:pPr>
            <w:r>
              <w:t xml:space="preserve">Alternativas</w:t>
            </w:r>
          </w:p>
        </w:tc>
        <w:tc>
          <w:tcPr/>
          <w:p>
            <w:pPr>
              <w:pStyle w:val="Tabla9"/>
              <w:jc w:val="left"/>
            </w:pPr>
            <w:r>
              <w:t xml:space="preserve">La elección racionalizó una alternativa preferida</w:t>
            </w:r>
          </w:p>
        </w:tc>
        <w:tc>
          <w:tcPr/>
          <w:p>
            <w:pPr>
              <w:pStyle w:val="Tabla9"/>
              <w:jc w:val="left"/>
            </w:pPr>
            <w:r>
              <w:t xml:space="preserve">Criterios nuevos después de evaluar</w:t>
            </w:r>
          </w:p>
        </w:tc>
        <w:tc>
          <w:tcPr/>
          <w:p>
            <w:pPr>
              <w:pStyle w:val="Tabla9"/>
              <w:jc w:val="left"/>
            </w:pPr>
            <w:r>
              <w:t xml:space="preserve">Criterios registrados con versión</w:t>
            </w:r>
          </w:p>
        </w:tc>
        <w:tc>
          <w:tcPr/>
          <w:p>
            <w:pPr>
              <w:pStyle w:val="Tabla9"/>
              <w:jc w:val="left"/>
            </w:pPr>
            <w:r>
              <w:t xml:space="preserve">Analista</w:t>
            </w:r>
          </w:p>
        </w:tc>
      </w:tr>
      <w:tr>
        <w:trPr>
          <w:cantSplit/>
        </w:trPr>
        <w:tc>
          <w:tcPr/>
          <w:p>
            <w:pPr>
              <w:pStyle w:val="Tabla9"/>
              <w:jc w:val="left"/>
            </w:pPr>
            <w:r>
              <w:t xml:space="preserve">Teoría del cambio (SC-1)</w:t>
            </w:r>
          </w:p>
        </w:tc>
        <w:tc>
          <w:tcPr/>
          <w:p>
            <w:pPr>
              <w:pStyle w:val="Tabla9"/>
              <w:jc w:val="left"/>
            </w:pPr>
            <w:r>
              <w:t xml:space="preserve">La corrección local no reduce el error frente a la lectura sin corrección</w:t>
            </w:r>
          </w:p>
        </w:tc>
        <w:tc>
          <w:tcPr/>
          <w:p>
            <w:pPr>
              <w:pStyle w:val="Tabla9"/>
              <w:jc w:val="left"/>
            </w:pPr>
            <w:r>
              <w:t xml:space="preserve">Diferencia no distinta de cero a mitad del piloto</w:t>
            </w:r>
          </w:p>
        </w:tc>
        <w:tc>
          <w:tcPr/>
          <w:p>
            <w:pPr>
              <w:pStyle w:val="Tabla9"/>
              <w:jc w:val="left"/>
            </w:pPr>
            <w:r>
              <w:t xml:space="preserve">Detener la expansión en el mes 12</w:t>
            </w:r>
          </w:p>
        </w:tc>
        <w:tc>
          <w:tcPr/>
          <w:p>
            <w:pPr>
              <w:pStyle w:val="Tabla9"/>
              <w:jc w:val="left"/>
            </w:pPr>
            <w:r>
              <w:t xml:space="preserve">Equipo científico</w:t>
            </w:r>
          </w:p>
        </w:tc>
      </w:tr>
      <w:tr>
        <w:trPr>
          <w:cantSplit/>
        </w:trPr>
        <w:tc>
          <w:tcPr/>
          <w:p>
            <w:pPr>
              <w:pStyle w:val="Tabla9"/>
              <w:jc w:val="left"/>
            </w:pPr>
            <w:r>
              <w:t xml:space="preserve">Teoría del cambio (SC-2)</w:t>
            </w:r>
          </w:p>
        </w:tc>
        <w:tc>
          <w:tcPr/>
          <w:p>
            <w:pPr>
              <w:pStyle w:val="Tabla9"/>
              <w:jc w:val="left"/>
            </w:pPr>
            <w:r>
              <w:t xml:space="preserve">Los nodos pierden energía o enlace y el gemelo no recibe datos</w:t>
            </w:r>
          </w:p>
        </w:tc>
        <w:tc>
          <w:tcPr/>
          <w:p>
            <w:pPr>
              <w:pStyle w:val="Tabla9"/>
              <w:jc w:val="left"/>
            </w:pPr>
            <w:r>
              <w:t xml:space="preserve">Disponibilidad bajo el umbral</w:t>
            </w:r>
          </w:p>
        </w:tc>
        <w:tc>
          <w:tcPr/>
          <w:p>
            <w:pPr>
              <w:pStyle w:val="Tabla9"/>
              <w:jc w:val="left"/>
            </w:pPr>
            <w:r>
              <w:t xml:space="preserve">Repuestos y enlace alterno</w:t>
            </w:r>
          </w:p>
        </w:tc>
        <w:tc>
          <w:tcPr/>
          <w:p>
            <w:pPr>
              <w:pStyle w:val="Tabla9"/>
              <w:jc w:val="left"/>
            </w:pPr>
            <w:r>
              <w:t xml:space="preserve">Empresa aliada</w:t>
            </w:r>
          </w:p>
        </w:tc>
      </w:tr>
      <w:tr>
        <w:trPr>
          <w:cantSplit/>
        </w:trPr>
        <w:tc>
          <w:tcPr/>
          <w:p>
            <w:pPr>
              <w:pStyle w:val="Tabla9"/>
              <w:jc w:val="left"/>
            </w:pPr>
            <w:r>
              <w:t xml:space="preserve">Argumento</w:t>
            </w:r>
          </w:p>
        </w:tc>
        <w:tc>
          <w:tcPr/>
          <w:p>
            <w:pPr>
              <w:pStyle w:val="Tabla9"/>
              <w:jc w:val="left"/>
            </w:pPr>
            <w:r>
              <w:t xml:space="preserve">La refutación no era observable y el fallo se detecta tarde</w:t>
            </w:r>
          </w:p>
        </w:tc>
        <w:tc>
          <w:tcPr/>
          <w:p>
            <w:pPr>
              <w:pStyle w:val="Tabla9"/>
              <w:jc w:val="left"/>
            </w:pPr>
            <w:r>
              <w:t xml:space="preserve">Refutaciones sin indicador</w:t>
            </w:r>
          </w:p>
        </w:tc>
        <w:tc>
          <w:tcPr/>
          <w:p>
            <w:pPr>
              <w:pStyle w:val="Tabla9"/>
              <w:jc w:val="left"/>
            </w:pPr>
            <w:r>
              <w:t xml:space="preserve">Indicadores por condición de refutación</w:t>
            </w:r>
          </w:p>
        </w:tc>
        <w:tc>
          <w:tcPr/>
          <w:p>
            <w:pPr>
              <w:pStyle w:val="Tabla9"/>
              <w:jc w:val="left"/>
            </w:pPr>
            <w:r>
              <w:t xml:space="preserve">Evaluador</w:t>
            </w:r>
          </w:p>
        </w:tc>
      </w:tr>
      <w:tr>
        <w:trPr>
          <w:cantSplit/>
        </w:trPr>
        <w:tc>
          <w:tcPr/>
          <w:p>
            <w:pPr>
              <w:pStyle w:val="Tabla9"/>
              <w:jc w:val="left"/>
            </w:pPr>
            <w:r>
              <w:t xml:space="preserve">Sostenibilidad (pérdida de custodia)</w:t>
            </w:r>
          </w:p>
        </w:tc>
        <w:tc>
          <w:tcPr/>
          <w:p>
            <w:pPr>
              <w:pStyle w:val="Tabla9"/>
              <w:jc w:val="left"/>
            </w:pPr>
            <w:r>
              <w:t xml:space="preserve">Ningún custodio alcanza capacidad 2 y la fuente principal desaparece</w:t>
            </w:r>
          </w:p>
        </w:tc>
        <w:tc>
          <w:tcPr/>
          <w:p>
            <w:pPr>
              <w:pStyle w:val="Tabla9"/>
              <w:jc w:val="left"/>
            </w:pPr>
            <w:r>
              <w:t xml:space="preserve">Cobertura del costo mínimo menor que 100 %</w:t>
            </w:r>
          </w:p>
        </w:tc>
        <w:tc>
          <w:tcPr/>
          <w:p>
            <w:pPr>
              <w:pStyle w:val="Tabla9"/>
              <w:jc w:val="left"/>
            </w:pPr>
            <w:r>
              <w:t xml:space="preserve">Cláusula de apertura</w:t>
            </w:r>
          </w:p>
        </w:tc>
        <w:tc>
          <w:tcPr/>
          <w:p>
            <w:pPr>
              <w:pStyle w:val="Tabla9"/>
              <w:jc w:val="left"/>
            </w:pPr>
            <w:r>
              <w:t xml:space="preserve">Órgano de gobierno</w:t>
            </w:r>
          </w:p>
        </w:tc>
      </w:tr>
      <w:tr>
        <w:trPr>
          <w:cantSplit/>
        </w:trPr>
        <w:tc>
          <w:tcPr/>
          <w:p>
            <w:pPr>
              <w:pStyle w:val="Tabla9"/>
              <w:jc w:val="left"/>
            </w:pPr>
            <w:r>
              <w:t xml:space="preserve">Ejecución</w:t>
            </w:r>
          </w:p>
        </w:tc>
        <w:tc>
          <w:tcPr/>
          <w:p>
            <w:pPr>
              <w:pStyle w:val="Tabla9"/>
              <w:jc w:val="left"/>
            </w:pPr>
            <w:r>
              <w:t xml:space="preserve">Los umbrales de revisión no se aplican por falta de responsable</w:t>
            </w:r>
          </w:p>
        </w:tc>
        <w:tc>
          <w:tcPr/>
          <w:p>
            <w:pPr>
              <w:pStyle w:val="Tabla9"/>
              <w:jc w:val="left"/>
            </w:pPr>
            <w:r>
              <w:t xml:space="preserve">Revisión trimestral omitida</w:t>
            </w:r>
          </w:p>
        </w:tc>
        <w:tc>
          <w:tcPr/>
          <w:p>
            <w:pPr>
              <w:pStyle w:val="Tabla9"/>
              <w:jc w:val="left"/>
            </w:pPr>
            <w:r>
              <w:t xml:space="preserve">Designar responsable en el acuerdo de alianza</w:t>
            </w:r>
          </w:p>
        </w:tc>
        <w:tc>
          <w:tcPr/>
          <w:p>
            <w:pPr>
              <w:pStyle w:val="Tabla9"/>
              <w:jc w:val="left"/>
            </w:pPr>
            <w:r>
              <w:t xml:space="preserve">Comité integrador</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Tres futuros.</w:t>
      </w:r>
      <w:r>
        <w:t xml:space="preserve"> </w:t>
      </w:r>
      <w:r>
        <w:t xml:space="preserve">Los futuros son combinaciones de supuestos y no pronósticos. Cada uno declara qué supuestos se cumplen y cómo se comportan la teoría del cambio y la sostenibilidad. Las nueve opciones por futuro son PROPUESTAS hasta su aprobación. Las opciones de un objetivo difieren en mecanismo, no solo en intensidad.</w:t>
      </w:r>
    </w:p>
    <w:p>
      <w:pPr>
        <w:pStyle w:val="BodyText"/>
      </w:pPr>
      <w:r>
        <w:rPr>
          <w:b/>
          <w:bCs/>
        </w:rPr>
        <w:t xml:space="preserve">Futuro conservador.</w:t>
      </w:r>
      <w:r>
        <w:t xml:space="preserve"> </w:t>
      </w:r>
      <w:r>
        <w:t xml:space="preserve">SC-1 y SC-2 se cumplen; SC-3 y SC-4 fallan. La teoría del cambio llega a los resultados inmediatos. La sostenibilidad activa la cláusula de apertura.</w:t>
      </w:r>
    </w:p>
    <w:p>
      <w:pPr>
        <w:pStyle w:val="BodyText"/>
      </w:pPr>
      <w:r>
        <w:t xml:space="preserve">La Tabla F4.105 reúne los datos de «Futuro conservador».</w:t>
      </w:r>
    </w:p>
    <w:p>
      <w:pPr>
        <w:pStyle w:val="TablaRotulo"/>
      </w:pPr>
      <w:bookmarkStart w:id="9182" w:name="rot_Tabla_F4_105"/>
      <w:r>
        <w:rPr>
          <w:b/>
          <w:bCs/>
        </w:rPr>
        <w:t xml:space="preserve">Tabla F4.105</w:t>
      </w:r>
      <w:bookmarkEnd w:id="9182"/>
    </w:p>
    <w:p>
      <w:pPr>
        <w:pStyle w:val="TablaTitulo"/>
      </w:pPr>
      <w:r>
        <w:rPr>
          <w:i/>
          <w:iCs/>
        </w:rPr>
        <w:t xml:space="preserve">Futuro conservador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650"/>
        <w:gridCol w:w="2046"/>
        <w:gridCol w:w="1848"/>
        <w:gridCol w:w="2376"/>
      </w:tblGrid>
      <w:tr>
        <w:trPr>
          <w:cantSplit/>
          <w:tblHeader/>
        </w:trPr>
        <w:tc>
          <w:tcPr>
            <w:shd w:val="clear" w:color="auto" w:fill="00B050"/>
          </w:tcPr>
          <w:p>
            <w:pPr>
              <w:pStyle w:val="Tabla9"/>
              <w:jc w:val="center"/>
            </w:pPr>
            <w:r>
              <w:rPr>
                <w:b/>
                <w:color w:val="FFFFFF"/>
              </w:rPr>
              <w:t xml:space="preserve">Objetivo</w:t>
            </w:r>
          </w:p>
        </w:tc>
        <w:tc>
          <w:tcPr>
            <w:shd w:val="clear" w:color="auto" w:fill="00B050"/>
          </w:tcPr>
          <w:p>
            <w:pPr>
              <w:pStyle w:val="Tabla9"/>
              <w:jc w:val="center"/>
            </w:pPr>
            <w:r>
              <w:rPr>
                <w:b/>
                <w:color w:val="FFFFFF"/>
              </w:rPr>
              <w:t xml:space="preserve">Opción y mecanismo</w:t>
            </w:r>
          </w:p>
        </w:tc>
        <w:tc>
          <w:tcPr>
            <w:shd w:val="clear" w:color="auto" w:fill="00B050"/>
          </w:tcPr>
          <w:p>
            <w:pPr>
              <w:pStyle w:val="Tabla9"/>
              <w:jc w:val="center"/>
            </w:pPr>
            <w:r>
              <w:rPr>
                <w:b/>
                <w:color w:val="FFFFFF"/>
              </w:rPr>
              <w:t xml:space="preserve">Condición de viabilidad</w:t>
            </w:r>
          </w:p>
        </w:tc>
        <w:tc>
          <w:tcPr>
            <w:shd w:val="clear" w:color="auto" w:fill="00B050"/>
          </w:tcPr>
          <w:p>
            <w:pPr>
              <w:pStyle w:val="Tabla9"/>
              <w:jc w:val="center"/>
            </w:pPr>
            <w:r>
              <w:rPr>
                <w:b/>
                <w:color w:val="FFFFFF"/>
              </w:rPr>
              <w:t xml:space="preserve">Riesgo principal</w:t>
            </w:r>
          </w:p>
        </w:tc>
      </w:tr>
      <w:tr>
        <w:trPr>
          <w:cantSplit/>
        </w:trPr>
        <w:tc>
          <w:tcPr/>
          <w:p>
            <w:pPr>
              <w:pStyle w:val="Tabla9"/>
              <w:jc w:val="left"/>
            </w:pPr>
            <w:r>
              <w:t xml:space="preserve">1. Consolidar una medición verificada</w:t>
            </w:r>
          </w:p>
        </w:tc>
        <w:tc>
          <w:tcPr/>
          <w:p>
            <w:pPr>
              <w:pStyle w:val="Tabla9"/>
              <w:jc w:val="left"/>
            </w:pPr>
            <w:r>
              <w:t xml:space="preserve">1a. Ampliar el sorteo a más nodos con la misma referencia (más réplicas de contraste)</w:t>
            </w:r>
          </w:p>
        </w:tc>
        <w:tc>
          <w:tcPr/>
          <w:p>
            <w:pPr>
              <w:pStyle w:val="Tabla9"/>
              <w:jc w:val="left"/>
            </w:pPr>
            <w:r>
              <w:t xml:space="preserve">Monitores gravimétricos suficientes</w:t>
            </w:r>
          </w:p>
        </w:tc>
        <w:tc>
          <w:tcPr/>
          <w:p>
            <w:pPr>
              <w:pStyle w:val="Tabla9"/>
              <w:jc w:val="left"/>
            </w:pPr>
            <w:r>
              <w:t xml:space="preserve">Cobertura de referencias: solo tres monitores presupuestados</w:t>
            </w:r>
          </w:p>
        </w:tc>
      </w:tr>
      <w:tr>
        <w:trPr>
          <w:cantSplit/>
        </w:trPr>
        <w:tc>
          <w:tcPr/>
          <w:p>
            <w:pPr>
              <w:pStyle w:val="Tabla9"/>
            </w:pPr>
          </w:p>
        </w:tc>
        <w:tc>
          <w:tcPr/>
          <w:p>
            <w:pPr>
              <w:pStyle w:val="Tabla9"/>
              <w:jc w:val="left"/>
            </w:pPr>
            <w:r>
              <w:t xml:space="preserve">1b. Co-ubicar nodos con estaciones oficiales (referencia externa)</w:t>
            </w:r>
          </w:p>
        </w:tc>
        <w:tc>
          <w:tcPr/>
          <w:p>
            <w:pPr>
              <w:pStyle w:val="Tabla9"/>
              <w:jc w:val="left"/>
            </w:pPr>
            <w:r>
              <w:t xml:space="preserve">Convenio con la autoridad ambiental</w:t>
            </w:r>
          </w:p>
        </w:tc>
        <w:tc>
          <w:tcPr/>
          <w:p>
            <w:pPr>
              <w:pStyle w:val="Tabla9"/>
              <w:jc w:val="left"/>
            </w:pPr>
            <w:r>
              <w:t xml:space="preserve">Representatividad de los sitios</w:t>
            </w:r>
          </w:p>
        </w:tc>
      </w:tr>
      <w:tr>
        <w:trPr>
          <w:cantSplit/>
        </w:trPr>
        <w:tc>
          <w:tcPr/>
          <w:p>
            <w:pPr>
              <w:pStyle w:val="Tabla9"/>
            </w:pPr>
          </w:p>
        </w:tc>
        <w:tc>
          <w:tcPr/>
          <w:p>
            <w:pPr>
              <w:pStyle w:val="Tabla9"/>
              <w:jc w:val="left"/>
            </w:pPr>
            <w:r>
              <w:t xml:space="preserve">1c. Corrección por reglas fijas con humedad, sin aprendizaje embebido (método más simple)</w:t>
            </w:r>
          </w:p>
        </w:tc>
        <w:tc>
          <w:tcPr/>
          <w:p>
            <w:pPr>
              <w:pStyle w:val="Tabla9"/>
              <w:jc w:val="left"/>
            </w:pPr>
            <w:r>
              <w:t xml:space="preserve">El error se mantiene aceptable con reglas fijas</w:t>
            </w:r>
          </w:p>
        </w:tc>
        <w:tc>
          <w:tcPr/>
          <w:p>
            <w:pPr>
              <w:pStyle w:val="Tabla9"/>
              <w:jc w:val="left"/>
            </w:pPr>
            <w:r>
              <w:t xml:space="preserve">Deriva no corregida</w:t>
            </w:r>
          </w:p>
        </w:tc>
      </w:tr>
      <w:tr>
        <w:trPr>
          <w:cantSplit/>
        </w:trPr>
        <w:tc>
          <w:tcPr/>
          <w:p>
            <w:pPr>
              <w:pStyle w:val="Tabla9"/>
              <w:jc w:val="left"/>
            </w:pPr>
            <w:r>
              <w:t xml:space="preserve">2. Dar uso técnico sin adopción pública</w:t>
            </w:r>
          </w:p>
        </w:tc>
        <w:tc>
          <w:tcPr/>
          <w:p>
            <w:pPr>
              <w:pStyle w:val="Tabla9"/>
              <w:jc w:val="left"/>
            </w:pPr>
            <w:r>
              <w:t xml:space="preserve">2a. Tablero para la interventoría y la institución ejecutora (usuarios técnicos)</w:t>
            </w:r>
          </w:p>
        </w:tc>
        <w:tc>
          <w:tcPr/>
          <w:p>
            <w:pPr>
              <w:pStyle w:val="Tabla9"/>
              <w:jc w:val="left"/>
            </w:pPr>
            <w:r>
              <w:t xml:space="preserve">Acuerdo con el contratista</w:t>
            </w:r>
          </w:p>
        </w:tc>
        <w:tc>
          <w:tcPr/>
          <w:p>
            <w:pPr>
              <w:pStyle w:val="Tabla9"/>
              <w:jc w:val="left"/>
            </w:pPr>
            <w:r>
              <w:t xml:space="preserve">Conflicto de interés del contratista</w:t>
            </w:r>
          </w:p>
        </w:tc>
      </w:tr>
      <w:tr>
        <w:trPr>
          <w:cantSplit/>
        </w:trPr>
        <w:tc>
          <w:tcPr/>
          <w:p>
            <w:pPr>
              <w:pStyle w:val="Tabla9"/>
            </w:pPr>
          </w:p>
        </w:tc>
        <w:tc>
          <w:tcPr/>
          <w:p>
            <w:pPr>
              <w:pStyle w:val="Tabla9"/>
              <w:jc w:val="left"/>
            </w:pPr>
            <w:r>
              <w:t xml:space="preserve">2b. Informes a ARL y constructoras para el control de exposición ocupacional</w:t>
            </w:r>
          </w:p>
        </w:tc>
        <w:tc>
          <w:tcPr/>
          <w:p>
            <w:pPr>
              <w:pStyle w:val="Tabla9"/>
              <w:jc w:val="left"/>
            </w:pPr>
            <w:r>
              <w:t xml:space="preserve">Convenio con la ARL</w:t>
            </w:r>
          </w:p>
        </w:tc>
        <w:tc>
          <w:tcPr/>
          <w:p>
            <w:pPr>
              <w:pStyle w:val="Tabla9"/>
              <w:jc w:val="left"/>
            </w:pPr>
            <w:r>
              <w:t xml:space="preserve">Uso para eludir responsabilidades</w:t>
            </w:r>
          </w:p>
        </w:tc>
      </w:tr>
      <w:tr>
        <w:trPr>
          <w:cantSplit/>
        </w:trPr>
        <w:tc>
          <w:tcPr/>
          <w:p>
            <w:pPr>
              <w:pStyle w:val="Tabla9"/>
            </w:pPr>
          </w:p>
        </w:tc>
        <w:tc>
          <w:tcPr/>
          <w:p>
            <w:pPr>
              <w:pStyle w:val="Tabla9"/>
              <w:jc w:val="left"/>
            </w:pPr>
            <w:r>
              <w:t xml:space="preserve">2c. Publicación abierta de series y boletines para universidades y comunidades</w:t>
            </w:r>
          </w:p>
        </w:tc>
        <w:tc>
          <w:tcPr/>
          <w:p>
            <w:pPr>
              <w:pStyle w:val="Tabla9"/>
              <w:jc w:val="left"/>
            </w:pPr>
            <w:r>
              <w:t xml:space="preserve">Licencia abierta de datos</w:t>
            </w:r>
          </w:p>
        </w:tc>
        <w:tc>
          <w:tcPr/>
          <w:p>
            <w:pPr>
              <w:pStyle w:val="Tabla9"/>
              <w:jc w:val="left"/>
            </w:pPr>
            <w:r>
              <w:t xml:space="preserve">Lectura sin protocolo de respuesta</w:t>
            </w:r>
          </w:p>
        </w:tc>
      </w:tr>
      <w:tr>
        <w:trPr>
          <w:cantSplit/>
        </w:trPr>
        <w:tc>
          <w:tcPr/>
          <w:p>
            <w:pPr>
              <w:pStyle w:val="Tabla9"/>
              <w:jc w:val="left"/>
            </w:pPr>
            <w:r>
              <w:t xml:space="preserve">3. Preservar activos y conocimiento</w:t>
            </w:r>
          </w:p>
        </w:tc>
        <w:tc>
          <w:tcPr/>
          <w:p>
            <w:pPr>
              <w:pStyle w:val="Tabla9"/>
              <w:jc w:val="left"/>
            </w:pPr>
            <w:r>
              <w:t xml:space="preserve">3a. Servicio mínimo con un custodio académico (custodia única)</w:t>
            </w:r>
          </w:p>
        </w:tc>
        <w:tc>
          <w:tcPr/>
          <w:p>
            <w:pPr>
              <w:pStyle w:val="Tabla9"/>
              <w:jc w:val="left"/>
            </w:pPr>
            <w:r>
              <w:t xml:space="preserve">Recursos del custodio para el servicio mínimo</w:t>
            </w:r>
          </w:p>
        </w:tc>
        <w:tc>
          <w:tcPr/>
          <w:p>
            <w:pPr>
              <w:pStyle w:val="Tabla9"/>
              <w:jc w:val="left"/>
            </w:pPr>
            <w:r>
              <w:t xml:space="preserve">Falta de recursos permanentes</w:t>
            </w:r>
          </w:p>
        </w:tc>
      </w:tr>
      <w:tr>
        <w:trPr>
          <w:cantSplit/>
        </w:trPr>
        <w:tc>
          <w:tcPr/>
          <w:p>
            <w:pPr>
              <w:pStyle w:val="Tabla9"/>
            </w:pPr>
          </w:p>
        </w:tc>
        <w:tc>
          <w:tcPr/>
          <w:p>
            <w:pPr>
              <w:pStyle w:val="Tabla9"/>
              <w:jc w:val="left"/>
            </w:pPr>
            <w:r>
              <w:t xml:space="preserve">3b. Liberación abierta de datos y código con manual de reactivación (apertura)</w:t>
            </w:r>
          </w:p>
        </w:tc>
        <w:tc>
          <w:tcPr/>
          <w:p>
            <w:pPr>
              <w:pStyle w:val="Tabla9"/>
              <w:jc w:val="left"/>
            </w:pPr>
            <w:r>
              <w:t xml:space="preserve">Licencia definida antes del primer tramo</w:t>
            </w:r>
          </w:p>
        </w:tc>
        <w:tc>
          <w:tcPr/>
          <w:p>
            <w:pPr>
              <w:pStyle w:val="Tabla9"/>
              <w:jc w:val="left"/>
            </w:pPr>
            <w:r>
              <w:t xml:space="preserve">Pérdida de la capacidad de operación</w:t>
            </w:r>
          </w:p>
        </w:tc>
      </w:tr>
      <w:tr>
        <w:trPr>
          <w:cantSplit/>
        </w:trPr>
        <w:tc>
          <w:tcPr/>
          <w:p>
            <w:pPr>
              <w:pStyle w:val="Tabla9"/>
            </w:pPr>
          </w:p>
        </w:tc>
        <w:tc>
          <w:tcPr/>
          <w:p>
            <w:pPr>
              <w:pStyle w:val="Tabla9"/>
              <w:jc w:val="left"/>
            </w:pPr>
            <w:r>
              <w:t xml:space="preserve">3c. Contrato de servicios con constructoras y ARL para mantener nodos de referencia (financiación privada)</w:t>
            </w:r>
          </w:p>
        </w:tc>
        <w:tc>
          <w:tcPr/>
          <w:p>
            <w:pPr>
              <w:pStyle w:val="Tabla9"/>
              <w:jc w:val="left"/>
            </w:pPr>
            <w:r>
              <w:t xml:space="preserve">Contratos con vigencia superior al proyecto</w:t>
            </w:r>
          </w:p>
        </w:tc>
        <w:tc>
          <w:tcPr/>
          <w:p>
            <w:pPr>
              <w:pStyle w:val="Tabla9"/>
              <w:jc w:val="left"/>
            </w:pPr>
            <w:r>
              <w:t xml:space="preserve">Dependencia de pocos clientes</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Futuro base.</w:t>
      </w:r>
      <w:r>
        <w:t xml:space="preserve"> </w:t>
      </w:r>
      <w:r>
        <w:t xml:space="preserve">SC-1, SC-2 y SC-3 se cumplen; SC-4 se cumple en parte de los componentes. La teoría del cambio llega a la incorporación de protocolos y a un servicio parcial. La sostenibilidad ejecuta tramos parciales.</w:t>
      </w:r>
    </w:p>
    <w:p>
      <w:pPr>
        <w:pStyle w:val="BodyText"/>
      </w:pPr>
      <w:r>
        <w:t xml:space="preserve">La Tabla F4.106 reúne los datos de «Futuro base».</w:t>
      </w:r>
    </w:p>
    <w:p>
      <w:pPr>
        <w:pStyle w:val="TablaRotulo"/>
      </w:pPr>
      <w:bookmarkStart w:id="9183" w:name="rot_Tabla_F4_106"/>
      <w:r>
        <w:rPr>
          <w:b/>
          <w:bCs/>
        </w:rPr>
        <w:t xml:space="preserve">Tabla F4.106</w:t>
      </w:r>
      <w:bookmarkEnd w:id="9183"/>
    </w:p>
    <w:p>
      <w:pPr>
        <w:pStyle w:val="TablaTitulo"/>
      </w:pPr>
      <w:r>
        <w:rPr>
          <w:i/>
          <w:iCs/>
        </w:rPr>
        <w:t xml:space="preserve">Futuro base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84"/>
        <w:gridCol w:w="2442"/>
        <w:gridCol w:w="1848"/>
        <w:gridCol w:w="2046"/>
      </w:tblGrid>
      <w:tr>
        <w:trPr>
          <w:cantSplit/>
          <w:tblHeader/>
        </w:trPr>
        <w:tc>
          <w:tcPr>
            <w:shd w:val="clear" w:color="auto" w:fill="00B050"/>
          </w:tcPr>
          <w:p>
            <w:pPr>
              <w:pStyle w:val="Tabla9"/>
              <w:jc w:val="center"/>
            </w:pPr>
            <w:r>
              <w:rPr>
                <w:b/>
                <w:color w:val="FFFFFF"/>
              </w:rPr>
              <w:t xml:space="preserve">Objetivo</w:t>
            </w:r>
          </w:p>
        </w:tc>
        <w:tc>
          <w:tcPr>
            <w:shd w:val="clear" w:color="auto" w:fill="00B050"/>
          </w:tcPr>
          <w:p>
            <w:pPr>
              <w:pStyle w:val="Tabla9"/>
              <w:jc w:val="center"/>
            </w:pPr>
            <w:r>
              <w:rPr>
                <w:b/>
                <w:color w:val="FFFFFF"/>
              </w:rPr>
              <w:t xml:space="preserve">Opción y mecanismo</w:t>
            </w:r>
          </w:p>
        </w:tc>
        <w:tc>
          <w:tcPr>
            <w:shd w:val="clear" w:color="auto" w:fill="00B050"/>
          </w:tcPr>
          <w:p>
            <w:pPr>
              <w:pStyle w:val="Tabla9"/>
              <w:jc w:val="center"/>
            </w:pPr>
            <w:r>
              <w:rPr>
                <w:b/>
                <w:color w:val="FFFFFF"/>
              </w:rPr>
              <w:t xml:space="preserve">Condición de viabilidad</w:t>
            </w:r>
          </w:p>
        </w:tc>
        <w:tc>
          <w:tcPr>
            <w:shd w:val="clear" w:color="auto" w:fill="00B050"/>
          </w:tcPr>
          <w:p>
            <w:pPr>
              <w:pStyle w:val="Tabla9"/>
              <w:jc w:val="center"/>
            </w:pPr>
            <w:r>
              <w:rPr>
                <w:b/>
                <w:color w:val="FFFFFF"/>
              </w:rPr>
              <w:t xml:space="preserve">Riesgo principal</w:t>
            </w:r>
          </w:p>
        </w:tc>
      </w:tr>
      <w:tr>
        <w:trPr>
          <w:cantSplit/>
        </w:trPr>
        <w:tc>
          <w:tcPr/>
          <w:p>
            <w:pPr>
              <w:pStyle w:val="Tabla9"/>
              <w:jc w:val="left"/>
            </w:pPr>
            <w:r>
              <w:t xml:space="preserve">1. Mantener el error verificado en operación</w:t>
            </w:r>
          </w:p>
        </w:tc>
        <w:tc>
          <w:tcPr/>
          <w:p>
            <w:pPr>
              <w:pStyle w:val="Tabla9"/>
              <w:jc w:val="left"/>
            </w:pPr>
            <w:r>
              <w:t xml:space="preserve">1a. Recalibración por ventana estable con referencia permanente en un subconjunto de nodos (algorítmico)</w:t>
            </w:r>
          </w:p>
        </w:tc>
        <w:tc>
          <w:tcPr/>
          <w:p>
            <w:pPr>
              <w:pStyle w:val="Tabla9"/>
              <w:jc w:val="left"/>
            </w:pPr>
            <w:r>
              <w:t xml:space="preserve">Referencias permanentes financiadas</w:t>
            </w:r>
          </w:p>
        </w:tc>
        <w:tc>
          <w:tcPr/>
          <w:p>
            <w:pPr>
              <w:pStyle w:val="Tabla9"/>
              <w:jc w:val="left"/>
            </w:pPr>
            <w:r>
              <w:t xml:space="preserve">Deriva entre recalibraciones</w:t>
            </w:r>
          </w:p>
        </w:tc>
      </w:tr>
      <w:tr>
        <w:trPr>
          <w:cantSplit/>
        </w:trPr>
        <w:tc>
          <w:tcPr/>
          <w:p>
            <w:pPr>
              <w:pStyle w:val="Tabla9"/>
            </w:pPr>
          </w:p>
        </w:tc>
        <w:tc>
          <w:tcPr/>
          <w:p>
            <w:pPr>
              <w:pStyle w:val="Tabla9"/>
              <w:jc w:val="left"/>
            </w:pPr>
            <w:r>
              <w:t xml:space="preserve">1b. Recalibración periódica manual con técnicos locales certificados (humano)</w:t>
            </w:r>
          </w:p>
        </w:tc>
        <w:tc>
          <w:tcPr/>
          <w:p>
            <w:pPr>
              <w:pStyle w:val="Tabla9"/>
              <w:jc w:val="left"/>
            </w:pPr>
            <w:r>
              <w:t xml:space="preserve">Técnicos con permanencia</w:t>
            </w:r>
          </w:p>
        </w:tc>
        <w:tc>
          <w:tcPr/>
          <w:p>
            <w:pPr>
              <w:pStyle w:val="Tabla9"/>
              <w:jc w:val="left"/>
            </w:pPr>
            <w:r>
              <w:t xml:space="preserve">Rotación de personal</w:t>
            </w:r>
          </w:p>
        </w:tc>
      </w:tr>
      <w:tr>
        <w:trPr>
          <w:cantSplit/>
        </w:trPr>
        <w:tc>
          <w:tcPr/>
          <w:p>
            <w:pPr>
              <w:pStyle w:val="Tabla9"/>
            </w:pPr>
          </w:p>
        </w:tc>
        <w:tc>
          <w:tcPr/>
          <w:p>
            <w:pPr>
              <w:pStyle w:val="Tabla9"/>
              <w:jc w:val="left"/>
            </w:pPr>
            <w:r>
              <w:t xml:space="preserve">1c. Reentrenamiento con datos de referencia compartidos entre sitios (colaborativo)</w:t>
            </w:r>
          </w:p>
        </w:tc>
        <w:tc>
          <w:tcPr/>
          <w:p>
            <w:pPr>
              <w:pStyle w:val="Tabla9"/>
              <w:jc w:val="left"/>
            </w:pPr>
            <w:r>
              <w:t xml:space="preserve">Acuerdo de datos entre custodios</w:t>
            </w:r>
          </w:p>
        </w:tc>
        <w:tc>
          <w:tcPr/>
          <w:p>
            <w:pPr>
              <w:pStyle w:val="Tabla9"/>
              <w:jc w:val="left"/>
            </w:pPr>
            <w:r>
              <w:t xml:space="preserve">Sesgo por sitio</w:t>
            </w:r>
          </w:p>
        </w:tc>
      </w:tr>
      <w:tr>
        <w:trPr>
          <w:cantSplit/>
        </w:trPr>
        <w:tc>
          <w:tcPr/>
          <w:p>
            <w:pPr>
              <w:pStyle w:val="Tabla9"/>
              <w:jc w:val="left"/>
            </w:pPr>
            <w:r>
              <w:t xml:space="preserve">2. Incorporar umbrales en los protocolos</w:t>
            </w:r>
          </w:p>
        </w:tc>
        <w:tc>
          <w:tcPr/>
          <w:p>
            <w:pPr>
              <w:pStyle w:val="Tabla9"/>
              <w:jc w:val="left"/>
            </w:pPr>
            <w:r>
              <w:t xml:space="preserve">2a. Protocolo piloto en un departamento y expansión por evidencia (secuencia territorial)</w:t>
            </w:r>
          </w:p>
        </w:tc>
        <w:tc>
          <w:tcPr/>
          <w:p>
            <w:pPr>
              <w:pStyle w:val="Tabla9"/>
              <w:jc w:val="left"/>
            </w:pPr>
            <w:r>
              <w:t xml:space="preserve">Un departamento con capacidad</w:t>
            </w:r>
          </w:p>
        </w:tc>
        <w:tc>
          <w:tcPr/>
          <w:p>
            <w:pPr>
              <w:pStyle w:val="Tabla9"/>
              <w:jc w:val="left"/>
            </w:pPr>
            <w:r>
              <w:t xml:space="preserve">Aprendizaje no transferible</w:t>
            </w:r>
          </w:p>
        </w:tc>
      </w:tr>
      <w:tr>
        <w:trPr>
          <w:cantSplit/>
        </w:trPr>
        <w:tc>
          <w:tcPr/>
          <w:p>
            <w:pPr>
              <w:pStyle w:val="Tabla9"/>
            </w:pPr>
          </w:p>
        </w:tc>
        <w:tc>
          <w:tcPr/>
          <w:p>
            <w:pPr>
              <w:pStyle w:val="Tabla9"/>
              <w:jc w:val="left"/>
            </w:pPr>
            <w:r>
              <w:t xml:space="preserve">2b. Acto administrativo departamental que adopta los umbrales (normativo)</w:t>
            </w:r>
          </w:p>
        </w:tc>
        <w:tc>
          <w:tcPr/>
          <w:p>
            <w:pPr>
              <w:pStyle w:val="Tabla9"/>
              <w:jc w:val="left"/>
            </w:pPr>
            <w:r>
              <w:t xml:space="preserve">Competencia jurídica de la gobernación</w:t>
            </w:r>
          </w:p>
        </w:tc>
        <w:tc>
          <w:tcPr/>
          <w:p>
            <w:pPr>
              <w:pStyle w:val="Tabla9"/>
              <w:jc w:val="left"/>
            </w:pPr>
            <w:r>
              <w:t xml:space="preserve">Cambio de administración</w:t>
            </w:r>
          </w:p>
        </w:tc>
      </w:tr>
      <w:tr>
        <w:trPr>
          <w:cantSplit/>
        </w:trPr>
        <w:tc>
          <w:tcPr/>
          <w:p>
            <w:pPr>
              <w:pStyle w:val="Tabla9"/>
            </w:pPr>
          </w:p>
        </w:tc>
        <w:tc>
          <w:tcPr/>
          <w:p>
            <w:pPr>
              <w:pStyle w:val="Tabla9"/>
              <w:jc w:val="left"/>
            </w:pPr>
            <w:r>
              <w:t xml:space="preserve">2c. Cláusulas ambientales en contratos de obra que citan los umbrales (contractual)</w:t>
            </w:r>
          </w:p>
        </w:tc>
        <w:tc>
          <w:tcPr/>
          <w:p>
            <w:pPr>
              <w:pStyle w:val="Tabla9"/>
              <w:jc w:val="left"/>
            </w:pPr>
            <w:r>
              <w:t xml:space="preserve">Cooperación de las entidades contratantes</w:t>
            </w:r>
          </w:p>
        </w:tc>
        <w:tc>
          <w:tcPr/>
          <w:p>
            <w:pPr>
              <w:pStyle w:val="Tabla9"/>
              <w:jc w:val="left"/>
            </w:pPr>
            <w:r>
              <w:t xml:space="preserve">Cumplimiento formal sin conducta</w:t>
            </w:r>
          </w:p>
        </w:tc>
      </w:tr>
      <w:tr>
        <w:trPr>
          <w:cantSplit/>
        </w:trPr>
        <w:tc>
          <w:tcPr/>
          <w:p>
            <w:pPr>
              <w:pStyle w:val="Tabla9"/>
              <w:jc w:val="left"/>
            </w:pPr>
            <w:r>
              <w:t xml:space="preserve">3. Sostener el servicio por componente</w:t>
            </w:r>
          </w:p>
        </w:tc>
        <w:tc>
          <w:tcPr/>
          <w:p>
            <w:pPr>
              <w:pStyle w:val="Tabla9"/>
              <w:jc w:val="left"/>
            </w:pPr>
            <w:r>
              <w:t xml:space="preserve">3a. Contrato de servicio entre alcaldías y la institución ejecutora (pago por servicio)</w:t>
            </w:r>
          </w:p>
        </w:tc>
        <w:tc>
          <w:tcPr/>
          <w:p>
            <w:pPr>
              <w:pStyle w:val="Tabla9"/>
              <w:jc w:val="left"/>
            </w:pPr>
            <w:r>
              <w:t xml:space="preserve">Partida en el plan operativo anual</w:t>
            </w:r>
          </w:p>
        </w:tc>
        <w:tc>
          <w:tcPr/>
          <w:p>
            <w:pPr>
              <w:pStyle w:val="Tabla9"/>
              <w:jc w:val="left"/>
            </w:pPr>
            <w:r>
              <w:t xml:space="preserve">Anualidad presupuestal</w:t>
            </w:r>
          </w:p>
        </w:tc>
      </w:tr>
      <w:tr>
        <w:trPr>
          <w:cantSplit/>
        </w:trPr>
        <w:tc>
          <w:tcPr/>
          <w:p>
            <w:pPr>
              <w:pStyle w:val="Tabla9"/>
            </w:pPr>
          </w:p>
        </w:tc>
        <w:tc>
          <w:tcPr/>
          <w:p>
            <w:pPr>
              <w:pStyle w:val="Tabla9"/>
              <w:jc w:val="left"/>
            </w:pPr>
            <w:r>
              <w:t xml:space="preserve">3b. Cofinanciación de repuestos por ARL y autoridad ambiental (convenio)</w:t>
            </w:r>
          </w:p>
        </w:tc>
        <w:tc>
          <w:tcPr/>
          <w:p>
            <w:pPr>
              <w:pStyle w:val="Tabla9"/>
              <w:jc w:val="left"/>
            </w:pPr>
            <w:r>
              <w:t xml:space="preserve">Convenio con vigencia plurianual</w:t>
            </w:r>
          </w:p>
        </w:tc>
        <w:tc>
          <w:tcPr/>
          <w:p>
            <w:pPr>
              <w:pStyle w:val="Tabla9"/>
              <w:jc w:val="left"/>
            </w:pPr>
            <w:r>
              <w:t xml:space="preserve">Concentración en una fuente</w:t>
            </w:r>
          </w:p>
        </w:tc>
      </w:tr>
      <w:tr>
        <w:trPr>
          <w:cantSplit/>
        </w:trPr>
        <w:tc>
          <w:tcPr/>
          <w:p>
            <w:pPr>
              <w:pStyle w:val="Tabla9"/>
            </w:pPr>
          </w:p>
        </w:tc>
        <w:tc>
          <w:tcPr/>
          <w:p>
            <w:pPr>
              <w:pStyle w:val="Tabla9"/>
              <w:jc w:val="left"/>
            </w:pPr>
            <w:r>
              <w:t xml:space="preserve">3c. Tablero a la unidad de gestión del riesgo y protocolo de calibración a la autoridad ambiental (custodia por función)</w:t>
            </w:r>
          </w:p>
        </w:tc>
        <w:tc>
          <w:tcPr/>
          <w:p>
            <w:pPr>
              <w:pStyle w:val="Tabla9"/>
              <w:jc w:val="left"/>
            </w:pPr>
            <w:r>
              <w:t xml:space="preserve">Mandato y personal designado</w:t>
            </w:r>
          </w:p>
        </w:tc>
        <w:tc>
          <w:tcPr/>
          <w:p>
            <w:pPr>
              <w:pStyle w:val="Tabla9"/>
              <w:jc w:val="left"/>
            </w:pPr>
            <w:r>
              <w:t xml:space="preserve">Capacidad insuficiente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Futuro ambicioso.</w:t>
      </w:r>
      <w:r>
        <w:t xml:space="preserve"> </w:t>
      </w:r>
      <w:r>
        <w:t xml:space="preserve">SC-1 a SC-4 se cumplen. La teoría del cambio alcanza el impacto en forma de contribución. La sostenibilidad completa la transferencia por tramos con un motor financiero diversificado.</w:t>
      </w:r>
    </w:p>
    <w:p>
      <w:pPr>
        <w:pStyle w:val="BodyText"/>
      </w:pPr>
      <w:r>
        <w:t xml:space="preserve">La Tabla F4.107 reúne los datos de «Futuro ambicioso».</w:t>
      </w:r>
    </w:p>
    <w:p>
      <w:pPr>
        <w:pStyle w:val="TablaRotulo"/>
      </w:pPr>
      <w:bookmarkStart w:id="9184" w:name="rot_Tabla_F4_107"/>
      <w:r>
        <w:rPr>
          <w:b/>
          <w:bCs/>
        </w:rPr>
        <w:t xml:space="preserve">Tabla F4.107</w:t>
      </w:r>
      <w:bookmarkEnd w:id="9184"/>
    </w:p>
    <w:p>
      <w:pPr>
        <w:pStyle w:val="TablaTitulo"/>
      </w:pPr>
      <w:r>
        <w:rPr>
          <w:i/>
          <w:iCs/>
        </w:rPr>
        <w:t xml:space="preserve">Futuro ambicioso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2178"/>
        <w:gridCol w:w="2178"/>
        <w:gridCol w:w="1848"/>
      </w:tblGrid>
      <w:tr>
        <w:trPr>
          <w:cantSplit/>
          <w:tblHeader/>
        </w:trPr>
        <w:tc>
          <w:tcPr>
            <w:shd w:val="clear" w:color="auto" w:fill="00B050"/>
          </w:tcPr>
          <w:p>
            <w:pPr>
              <w:pStyle w:val="Tabla9"/>
              <w:jc w:val="center"/>
            </w:pPr>
            <w:r>
              <w:rPr>
                <w:b/>
                <w:color w:val="FFFFFF"/>
              </w:rPr>
              <w:t xml:space="preserve">Objetivo</w:t>
            </w:r>
          </w:p>
        </w:tc>
        <w:tc>
          <w:tcPr>
            <w:shd w:val="clear" w:color="auto" w:fill="00B050"/>
          </w:tcPr>
          <w:p>
            <w:pPr>
              <w:pStyle w:val="Tabla9"/>
              <w:jc w:val="center"/>
            </w:pPr>
            <w:r>
              <w:rPr>
                <w:b/>
                <w:color w:val="FFFFFF"/>
              </w:rPr>
              <w:t xml:space="preserve">Opción y mecanismo</w:t>
            </w:r>
          </w:p>
        </w:tc>
        <w:tc>
          <w:tcPr>
            <w:shd w:val="clear" w:color="auto" w:fill="00B050"/>
          </w:tcPr>
          <w:p>
            <w:pPr>
              <w:pStyle w:val="Tabla9"/>
              <w:jc w:val="center"/>
            </w:pPr>
            <w:r>
              <w:rPr>
                <w:b/>
                <w:color w:val="FFFFFF"/>
              </w:rPr>
              <w:t xml:space="preserve">Condición de viabilidad</w:t>
            </w:r>
          </w:p>
        </w:tc>
        <w:tc>
          <w:tcPr>
            <w:shd w:val="clear" w:color="auto" w:fill="00B050"/>
          </w:tcPr>
          <w:p>
            <w:pPr>
              <w:pStyle w:val="Tabla9"/>
              <w:jc w:val="center"/>
            </w:pPr>
            <w:r>
              <w:rPr>
                <w:b/>
                <w:color w:val="FFFFFF"/>
              </w:rPr>
              <w:t xml:space="preserve">Riesgo principal</w:t>
            </w:r>
          </w:p>
        </w:tc>
      </w:tr>
      <w:tr>
        <w:trPr>
          <w:cantSplit/>
        </w:trPr>
        <w:tc>
          <w:tcPr/>
          <w:p>
            <w:pPr>
              <w:pStyle w:val="Tabla9"/>
              <w:jc w:val="left"/>
            </w:pPr>
            <w:r>
              <w:t xml:space="preserve">1. Extender la verificación a más sitios</w:t>
            </w:r>
          </w:p>
        </w:tc>
        <w:tc>
          <w:tcPr/>
          <w:p>
            <w:pPr>
              <w:pStyle w:val="Tabla9"/>
              <w:jc w:val="left"/>
            </w:pPr>
            <w:r>
              <w:t xml:space="preserve">1a. Red de referencia compartida con estaciones oficiales y universidades (infraestructura común)</w:t>
            </w:r>
          </w:p>
        </w:tc>
        <w:tc>
          <w:tcPr/>
          <w:p>
            <w:pPr>
              <w:pStyle w:val="Tabla9"/>
              <w:jc w:val="left"/>
            </w:pPr>
            <w:r>
              <w:t xml:space="preserve">Acuerdos de datos y mantenimiento</w:t>
            </w:r>
          </w:p>
        </w:tc>
        <w:tc>
          <w:tcPr/>
          <w:p>
            <w:pPr>
              <w:pStyle w:val="Tabla9"/>
              <w:jc w:val="left"/>
            </w:pPr>
            <w:r>
              <w:t xml:space="preserve">Dependencia de terceros</w:t>
            </w:r>
          </w:p>
        </w:tc>
      </w:tr>
      <w:tr>
        <w:trPr>
          <w:cantSplit/>
        </w:trPr>
        <w:tc>
          <w:tcPr/>
          <w:p>
            <w:pPr>
              <w:pStyle w:val="Tabla9"/>
            </w:pPr>
          </w:p>
        </w:tc>
        <w:tc>
          <w:tcPr/>
          <w:p>
            <w:pPr>
              <w:pStyle w:val="Tabla9"/>
              <w:jc w:val="left"/>
            </w:pPr>
            <w:r>
              <w:t xml:space="preserve">1b. Nodos de referencia itinerantes (movilidad)</w:t>
            </w:r>
          </w:p>
        </w:tc>
        <w:tc>
          <w:tcPr/>
          <w:p>
            <w:pPr>
              <w:pStyle w:val="Tabla9"/>
              <w:jc w:val="left"/>
            </w:pPr>
            <w:r>
              <w:t xml:space="preserve">Personal y logística</w:t>
            </w:r>
          </w:p>
        </w:tc>
        <w:tc>
          <w:tcPr/>
          <w:p>
            <w:pPr>
              <w:pStyle w:val="Tabla9"/>
              <w:jc w:val="left"/>
            </w:pPr>
            <w:r>
              <w:t xml:space="preserve">Cobertura temporal discontinua</w:t>
            </w:r>
          </w:p>
        </w:tc>
      </w:tr>
      <w:tr>
        <w:trPr>
          <w:cantSplit/>
        </w:trPr>
        <w:tc>
          <w:tcPr/>
          <w:p>
            <w:pPr>
              <w:pStyle w:val="Tabla9"/>
            </w:pPr>
          </w:p>
        </w:tc>
        <w:tc>
          <w:tcPr/>
          <w:p>
            <w:pPr>
              <w:pStyle w:val="Tabla9"/>
              <w:jc w:val="left"/>
            </w:pPr>
            <w:r>
              <w:t xml:space="preserve">1c. Auditoría independiente periódica con muestreo gravimétrico (control externo)</w:t>
            </w:r>
          </w:p>
        </w:tc>
        <w:tc>
          <w:tcPr/>
          <w:p>
            <w:pPr>
              <w:pStyle w:val="Tabla9"/>
              <w:jc w:val="left"/>
            </w:pPr>
            <w:r>
              <w:t xml:space="preserve">Contratación recurrente</w:t>
            </w:r>
          </w:p>
        </w:tc>
        <w:tc>
          <w:tcPr/>
          <w:p>
            <w:pPr>
              <w:pStyle w:val="Tabla9"/>
              <w:jc w:val="left"/>
            </w:pPr>
            <w:r>
              <w:t xml:space="preserve">Costo recurrente</w:t>
            </w:r>
          </w:p>
        </w:tc>
      </w:tr>
      <w:tr>
        <w:trPr>
          <w:cantSplit/>
        </w:trPr>
        <w:tc>
          <w:tcPr/>
          <w:p>
            <w:pPr>
              <w:pStyle w:val="Tabla9"/>
              <w:jc w:val="left"/>
            </w:pPr>
            <w:r>
              <w:t xml:space="preserve">2. Integrar alertas en las rutinas de salud y gestión del riesgo</w:t>
            </w:r>
          </w:p>
        </w:tc>
        <w:tc>
          <w:tcPr/>
          <w:p>
            <w:pPr>
              <w:pStyle w:val="Tabla9"/>
              <w:jc w:val="left"/>
            </w:pPr>
            <w:r>
              <w:t xml:space="preserve">2a. Integración al sistema de información de las ARL (ocupacional)</w:t>
            </w:r>
          </w:p>
        </w:tc>
        <w:tc>
          <w:tcPr/>
          <w:p>
            <w:pPr>
              <w:pStyle w:val="Tabla9"/>
              <w:jc w:val="left"/>
            </w:pPr>
            <w:r>
              <w:t xml:space="preserve">Convenio e interoperabilidad</w:t>
            </w:r>
          </w:p>
        </w:tc>
        <w:tc>
          <w:tcPr/>
          <w:p>
            <w:pPr>
              <w:pStyle w:val="Tabla9"/>
              <w:jc w:val="left"/>
            </w:pPr>
            <w:r>
              <w:t xml:space="preserve">Uso limitado a empresas afiliadas</w:t>
            </w:r>
          </w:p>
        </w:tc>
      </w:tr>
      <w:tr>
        <w:trPr>
          <w:cantSplit/>
        </w:trPr>
        <w:tc>
          <w:tcPr/>
          <w:p>
            <w:pPr>
              <w:pStyle w:val="Tabla9"/>
            </w:pPr>
          </w:p>
        </w:tc>
        <w:tc>
          <w:tcPr/>
          <w:p>
            <w:pPr>
              <w:pStyle w:val="Tabla9"/>
              <w:jc w:val="left"/>
            </w:pPr>
            <w:r>
              <w:t xml:space="preserve">2b. Integración al protocolo de emergencia departamental (gestión del riesgo)</w:t>
            </w:r>
          </w:p>
        </w:tc>
        <w:tc>
          <w:tcPr/>
          <w:p>
            <w:pPr>
              <w:pStyle w:val="Tabla9"/>
              <w:jc w:val="left"/>
            </w:pPr>
            <w:r>
              <w:t xml:space="preserve">Mandato departamental</w:t>
            </w:r>
          </w:p>
        </w:tc>
        <w:tc>
          <w:tcPr/>
          <w:p>
            <w:pPr>
              <w:pStyle w:val="Tabla9"/>
              <w:jc w:val="left"/>
            </w:pPr>
            <w:r>
              <w:t xml:space="preserve">Sobrecarga del protocolo</w:t>
            </w:r>
          </w:p>
        </w:tc>
      </w:tr>
      <w:tr>
        <w:trPr>
          <w:cantSplit/>
        </w:trPr>
        <w:tc>
          <w:tcPr/>
          <w:p>
            <w:pPr>
              <w:pStyle w:val="Tabla9"/>
            </w:pPr>
          </w:p>
        </w:tc>
        <w:tc>
          <w:tcPr/>
          <w:p>
            <w:pPr>
              <w:pStyle w:val="Tabla9"/>
              <w:jc w:val="left"/>
            </w:pPr>
            <w:r>
              <w:t xml:space="preserve">2c. Mensajes de riesgo con guía por grupo para comunidades (comunicación)</w:t>
            </w:r>
          </w:p>
        </w:tc>
        <w:tc>
          <w:tcPr/>
          <w:p>
            <w:pPr>
              <w:pStyle w:val="Tabla9"/>
              <w:jc w:val="left"/>
            </w:pPr>
            <w:r>
              <w:t xml:space="preserve">Validación local del mensaje</w:t>
            </w:r>
          </w:p>
        </w:tc>
        <w:tc>
          <w:tcPr/>
          <w:p>
            <w:pPr>
              <w:pStyle w:val="Tabla9"/>
              <w:jc w:val="left"/>
            </w:pPr>
            <w:r>
              <w:t xml:space="preserve">Interpretación errónea del mensaje</w:t>
            </w:r>
          </w:p>
        </w:tc>
      </w:tr>
      <w:tr>
        <w:trPr>
          <w:cantSplit/>
        </w:trPr>
        <w:tc>
          <w:tcPr/>
          <w:p>
            <w:pPr>
              <w:pStyle w:val="Tabla9"/>
              <w:jc w:val="left"/>
            </w:pPr>
            <w:r>
              <w:t xml:space="preserve">3. Consolidar el motor financiero y la transferencia completa</w:t>
            </w:r>
          </w:p>
        </w:tc>
        <w:tc>
          <w:tcPr/>
          <w:p>
            <w:pPr>
              <w:pStyle w:val="Tabla9"/>
              <w:jc w:val="left"/>
            </w:pPr>
            <w:r>
              <w:t xml:space="preserve">3a. Fondo patrimonial o reserva de mantenimiento con rendimiento real (capital)</w:t>
            </w:r>
          </w:p>
        </w:tc>
        <w:tc>
          <w:tcPr/>
          <w:p>
            <w:pPr>
              <w:pStyle w:val="Tabla9"/>
              <w:jc w:val="left"/>
            </w:pPr>
            <w:r>
              <w:t xml:space="preserve">Rentabilidad real con fuente</w:t>
            </w:r>
          </w:p>
        </w:tc>
        <w:tc>
          <w:tcPr/>
          <w:p>
            <w:pPr>
              <w:pStyle w:val="Tabla9"/>
              <w:jc w:val="left"/>
            </w:pPr>
            <w:r>
              <w:t xml:space="preserve">Capital requerido elevado</w:t>
            </w:r>
          </w:p>
        </w:tc>
      </w:tr>
      <w:tr>
        <w:trPr>
          <w:cantSplit/>
        </w:trPr>
        <w:tc>
          <w:tcPr/>
          <w:p>
            <w:pPr>
              <w:pStyle w:val="Tabla9"/>
            </w:pPr>
          </w:p>
        </w:tc>
        <w:tc>
          <w:tcPr/>
          <w:p>
            <w:pPr>
              <w:pStyle w:val="Tabla9"/>
              <w:jc w:val="left"/>
            </w:pPr>
            <w:r>
              <w:t xml:space="preserve">3b. Licenciamiento del servicio a otras entidades territoriales (ingreso propio)</w:t>
            </w:r>
          </w:p>
        </w:tc>
        <w:tc>
          <w:tcPr/>
          <w:p>
            <w:pPr>
              <w:pStyle w:val="Tabla9"/>
              <w:jc w:val="left"/>
            </w:pPr>
            <w:r>
              <w:t xml:space="preserve">Demanda de otras entidades</w:t>
            </w:r>
          </w:p>
        </w:tc>
        <w:tc>
          <w:tcPr/>
          <w:p>
            <w:pPr>
              <w:pStyle w:val="Tabla9"/>
              <w:jc w:val="left"/>
            </w:pPr>
            <w:r>
              <w:t xml:space="preserve">Competencia con servicios gratuitos</w:t>
            </w:r>
          </w:p>
        </w:tc>
      </w:tr>
      <w:tr>
        <w:trPr>
          <w:cantSplit/>
        </w:trPr>
        <w:tc>
          <w:tcPr/>
          <w:p>
            <w:pPr>
              <w:pStyle w:val="Tabla9"/>
            </w:pPr>
          </w:p>
        </w:tc>
        <w:tc>
          <w:tcPr/>
          <w:p>
            <w:pPr>
              <w:pStyle w:val="Tabla9"/>
              <w:jc w:val="left"/>
            </w:pPr>
            <w:r>
              <w:t xml:space="preserve">3c. Pago por resultados ligado a disponibilidad y verificación (desempeño)</w:t>
            </w:r>
          </w:p>
        </w:tc>
        <w:tc>
          <w:tcPr/>
          <w:p>
            <w:pPr>
              <w:pStyle w:val="Tabla9"/>
              <w:jc w:val="left"/>
            </w:pPr>
            <w:r>
              <w:t xml:space="preserve">Indicadores verificables y pagador</w:t>
            </w:r>
          </w:p>
        </w:tc>
        <w:tc>
          <w:tcPr/>
          <w:p>
            <w:pPr>
              <w:pStyle w:val="Tabla9"/>
              <w:jc w:val="left"/>
            </w:pPr>
            <w:r>
              <w:t xml:space="preserve">Disputas por la medición</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escenarios aportan a la decisión porque muestran qué cadena se rompe en cada combinación de supuestos y qué opciones sobreviven. El análisis no asigna probabilidades a los futuros.</w:t>
      </w:r>
    </w:p>
    <w:bookmarkEnd w:id="209"/>
    <w:bookmarkStart w:id="210" w:name="X449a4d206391ef26f536aa1a920532f49b76350"/>
    <w:p>
      <w:pPr>
        <w:pStyle w:val="Heading3"/>
      </w:pPr>
      <w:r>
        <w:t xml:space="preserve">F4.4-MDR.13 Valor, vacíos y consecuencias para el árbol de problemas</w:t>
      </w:r>
    </w:p>
    <w:p>
      <w:pPr>
        <w:pStyle w:val="FirstParagraph"/>
      </w:pPr>
      <w:r>
        <w:rPr>
          <w:b/>
          <w:bCs/>
        </w:rPr>
        <w:t xml:space="preserve">Valor estratégico.</w:t>
      </w:r>
      <w:r>
        <w:t xml:space="preserve"> </w:t>
      </w:r>
      <w:r>
        <w:t xml:space="preserve">La entrega habilita una decisión previa a la compra masiva: ejecutar el diseño por tramos con evidencia o comprometerlo en bloque con un receptor supuesto. Habilita además tres trabajos. El primero es una sesión de revisión humana de los cuatro supuestos. El segundo es una lista de insumos que condicionan el uso de la recomendación. El tercero es un registro de contraste para 4.5. La utilidad es potencial. Ningún resultado observado respalda todavía la recomendación. No se afirman ahorros ni impactos medidos.</w:t>
      </w:r>
    </w:p>
    <w:p>
      <w:pPr>
        <w:pStyle w:val="BodyText"/>
      </w:pPr>
      <w:r>
        <w:rPr>
          <w:b/>
          <w:bCs/>
        </w:rPr>
        <w:t xml:space="preserve">¿Qué se me escapa?.</w:t>
      </w:r>
      <w:r>
        <w:t xml:space="preserve"> </w:t>
      </w:r>
      <w:r>
        <w:t xml:space="preserve">La tabla registra los vacíos y las contradicciones con efecto material. No se inventaron vacíos para completar el apartado.</w:t>
      </w:r>
    </w:p>
    <w:p>
      <w:pPr>
        <w:pStyle w:val="BodyText"/>
      </w:pPr>
      <w:r>
        <w:t xml:space="preserve">La Tabla F4.108 reúne los datos de «Vacíos y contradicciones con efecto material y ruta de resolución».</w:t>
      </w:r>
    </w:p>
    <w:p>
      <w:pPr>
        <w:pStyle w:val="TablaRotulo"/>
      </w:pPr>
      <w:bookmarkStart w:id="9185" w:name="rot_Tabla_F4_108"/>
      <w:r>
        <w:rPr>
          <w:b/>
          <w:bCs/>
        </w:rPr>
        <w:t xml:space="preserve">Tabla F4.108</w:t>
      </w:r>
      <w:bookmarkEnd w:id="9185"/>
    </w:p>
    <w:p>
      <w:pPr>
        <w:pStyle w:val="TablaTitulo"/>
      </w:pPr>
      <w:r>
        <w:rPr>
          <w:i/>
          <w:iCs/>
        </w:rPr>
        <w:t xml:space="preserve">Vacíos y contradicciones con efecto material y ruta de resolución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2178"/>
        <w:gridCol w:w="1320"/>
        <w:gridCol w:w="1518"/>
      </w:tblGrid>
      <w:tr>
        <w:trPr>
          <w:cantSplit/>
          <w:tblHeader/>
        </w:trPr>
        <w:tc>
          <w:tcPr>
            <w:shd w:val="clear" w:color="auto" w:fill="00B050"/>
          </w:tcPr>
          <w:p>
            <w:pPr>
              <w:pStyle w:val="Tabla9"/>
              <w:jc w:val="center"/>
            </w:pPr>
            <w:r>
              <w:rPr>
                <w:b/>
                <w:color w:val="FFFFFF"/>
              </w:rPr>
              <w:t xml:space="preserve">Vacío o contradicción</w:t>
            </w:r>
          </w:p>
        </w:tc>
        <w:tc>
          <w:tcPr>
            <w:shd w:val="clear" w:color="auto" w:fill="00B050"/>
          </w:tcPr>
          <w:p>
            <w:pPr>
              <w:pStyle w:val="Tabla9"/>
              <w:jc w:val="center"/>
            </w:pPr>
            <w:r>
              <w:rPr>
                <w:b/>
                <w:color w:val="FFFFFF"/>
              </w:rPr>
              <w:t xml:space="preserve">Efecto sobre la decisión</w:t>
            </w:r>
          </w:p>
        </w:tc>
        <w:tc>
          <w:tcPr>
            <w:shd w:val="clear" w:color="auto" w:fill="00B050"/>
          </w:tcPr>
          <w:p>
            <w:pPr>
              <w:pStyle w:val="Tabla9"/>
              <w:jc w:val="center"/>
            </w:pPr>
            <w:r>
              <w:rPr>
                <w:b/>
                <w:color w:val="FFFFFF"/>
              </w:rPr>
              <w:t xml:space="preserve">Tenedor</w:t>
            </w:r>
          </w:p>
        </w:tc>
        <w:tc>
          <w:tcPr>
            <w:shd w:val="clear" w:color="auto" w:fill="00B050"/>
          </w:tcPr>
          <w:p>
            <w:pPr>
              <w:pStyle w:val="Tabla9"/>
              <w:jc w:val="center"/>
            </w:pPr>
            <w:r>
              <w:rPr>
                <w:b/>
                <w:color w:val="FFFFFF"/>
              </w:rPr>
              <w:t xml:space="preserve">Vía de obtención</w:t>
            </w:r>
          </w:p>
        </w:tc>
        <w:tc>
          <w:tcPr>
            <w:shd w:val="clear" w:color="auto" w:fill="00B050"/>
          </w:tcPr>
          <w:p>
            <w:pPr>
              <w:pStyle w:val="Tabla9"/>
              <w:jc w:val="center"/>
            </w:pPr>
            <w:r>
              <w:rPr>
                <w:b/>
                <w:color w:val="FFFFFF"/>
              </w:rPr>
              <w:t xml:space="preserve">Plazo</w:t>
            </w:r>
          </w:p>
        </w:tc>
      </w:tr>
      <w:tr>
        <w:trPr>
          <w:cantSplit/>
        </w:trPr>
        <w:tc>
          <w:tcPr/>
          <w:p>
            <w:pPr>
              <w:pStyle w:val="Tabla9"/>
              <w:jc w:val="left"/>
            </w:pPr>
            <w:r>
              <w:t xml:space="preserve">Términos de referencia no aportados</w:t>
            </w:r>
          </w:p>
        </w:tc>
        <w:tc>
          <w:tcPr/>
          <w:p>
            <w:pPr>
              <w:pStyle w:val="Tabla9"/>
              <w:jc w:val="left"/>
            </w:pPr>
            <w:r>
              <w:t xml:space="preserve">Impide evaluar compatibilidad, tope y tramos (CR-5)</w:t>
            </w:r>
          </w:p>
        </w:tc>
        <w:tc>
          <w:tcPr/>
          <w:p>
            <w:pPr>
              <w:pStyle w:val="Tabla9"/>
              <w:jc w:val="left"/>
            </w:pPr>
            <w:r>
              <w:t xml:space="preserve">Entidad ejecutora supuesta</w:t>
            </w:r>
          </w:p>
        </w:tc>
        <w:tc>
          <w:tcPr/>
          <w:p>
            <w:pPr>
              <w:pStyle w:val="Tabla9"/>
              <w:jc w:val="left"/>
            </w:pPr>
            <w:r>
              <w:t xml:space="preserve">Aportar el documento</w:t>
            </w:r>
          </w:p>
        </w:tc>
        <w:tc>
          <w:tcPr/>
          <w:p>
            <w:pPr>
              <w:pStyle w:val="Tabla9"/>
              <w:jc w:val="left"/>
            </w:pPr>
            <w:r>
              <w:t xml:space="preserve">NO_ESTIMADO</w:t>
            </w:r>
          </w:p>
        </w:tc>
      </w:tr>
      <w:tr>
        <w:trPr>
          <w:cantSplit/>
        </w:trPr>
        <w:tc>
          <w:tcPr/>
          <w:p>
            <w:pPr>
              <w:pStyle w:val="Tabla9"/>
              <w:jc w:val="left"/>
            </w:pPr>
            <w:r>
              <w:t xml:space="preserve">Fichas de 4.4 sin ratificación</w:t>
            </w:r>
          </w:p>
        </w:tc>
        <w:tc>
          <w:tcPr/>
          <w:p>
            <w:pPr>
              <w:pStyle w:val="Tabla9"/>
              <w:jc w:val="left"/>
            </w:pPr>
            <w:r>
              <w:t xml:space="preserve">Los supuestos SC-1 a SC-4 descansan en hipótesis estructurales</w:t>
            </w:r>
          </w:p>
        </w:tc>
        <w:tc>
          <w:tcPr/>
          <w:p>
            <w:pPr>
              <w:pStyle w:val="Tabla9"/>
              <w:jc w:val="left"/>
            </w:pPr>
            <w:r>
              <w:t xml:space="preserve">Equipo formulador</w:t>
            </w:r>
          </w:p>
        </w:tc>
        <w:tc>
          <w:tcPr/>
          <w:p>
            <w:pPr>
              <w:pStyle w:val="Tabla9"/>
              <w:jc w:val="left"/>
            </w:pPr>
            <w:r>
              <w:t xml:space="preserve">Sesión de adjudicación con acta, desde los 14 enlaces de mayor efecto</w:t>
            </w:r>
          </w:p>
        </w:tc>
        <w:tc>
          <w:tcPr/>
          <w:p>
            <w:pPr>
              <w:pStyle w:val="Tabla9"/>
              <w:jc w:val="left"/>
            </w:pPr>
            <w:r>
              <w:t xml:space="preserve">NO_ESTIMADO</w:t>
            </w:r>
          </w:p>
        </w:tc>
      </w:tr>
      <w:tr>
        <w:trPr>
          <w:cantSplit/>
        </w:trPr>
        <w:tc>
          <w:tcPr/>
          <w:p>
            <w:pPr>
              <w:pStyle w:val="Tabla9"/>
              <w:jc w:val="left"/>
            </w:pPr>
            <w:r>
              <w:t xml:space="preserve">Sin compromiso de custodios</w:t>
            </w:r>
          </w:p>
        </w:tc>
        <w:tc>
          <w:tcPr/>
          <w:p>
            <w:pPr>
              <w:pStyle w:val="Tabla9"/>
              <w:jc w:val="left"/>
            </w:pPr>
            <w:r>
              <w:t xml:space="preserve">Impide calcular la capacidad de absorción y la prueba de orfandad</w:t>
            </w:r>
          </w:p>
        </w:tc>
        <w:tc>
          <w:tcPr/>
          <w:p>
            <w:pPr>
              <w:pStyle w:val="Tabla9"/>
              <w:jc w:val="left"/>
            </w:pPr>
            <w:r>
              <w:t xml:space="preserve">Alcaldías, gobernaciones y aliados</w:t>
            </w:r>
          </w:p>
        </w:tc>
        <w:tc>
          <w:tcPr/>
          <w:p>
            <w:pPr>
              <w:pStyle w:val="Tabla9"/>
              <w:jc w:val="left"/>
            </w:pPr>
            <w:r>
              <w:t xml:space="preserve">Cartas con partida y competencia jurídica</w:t>
            </w:r>
          </w:p>
        </w:tc>
        <w:tc>
          <w:tcPr/>
          <w:p>
            <w:pPr>
              <w:pStyle w:val="Tabla9"/>
              <w:jc w:val="left"/>
            </w:pPr>
            <w:r>
              <w:t xml:space="preserve">NO_ESTIMADO</w:t>
            </w:r>
          </w:p>
        </w:tc>
      </w:tr>
      <w:tr>
        <w:trPr>
          <w:cantSplit/>
        </w:trPr>
        <w:tc>
          <w:tcPr/>
          <w:p>
            <w:pPr>
              <w:pStyle w:val="Tabla9"/>
              <w:jc w:val="left"/>
            </w:pPr>
            <w:r>
              <w:t xml:space="preserve">Costo total de sostenimiento incompleto</w:t>
            </w:r>
          </w:p>
        </w:tc>
        <w:tc>
          <w:tcPr/>
          <w:p>
            <w:pPr>
              <w:pStyle w:val="Tabla9"/>
              <w:jc w:val="left"/>
            </w:pPr>
            <w:r>
              <w:t xml:space="preserve">Impide calcular el motor financiero y el capital del fondo</w:t>
            </w:r>
          </w:p>
        </w:tc>
        <w:tc>
          <w:tcPr/>
          <w:p>
            <w:pPr>
              <w:pStyle w:val="Tabla9"/>
              <w:jc w:val="left"/>
            </w:pPr>
            <w:r>
              <w:t xml:space="preserve">Equipo formulador</w:t>
            </w:r>
          </w:p>
        </w:tc>
        <w:tc>
          <w:tcPr/>
          <w:p>
            <w:pPr>
              <w:pStyle w:val="Tabla9"/>
              <w:jc w:val="left"/>
            </w:pPr>
            <w:r>
              <w:t xml:space="preserve">Cotizar licencias, reposición y gobernanza</w:t>
            </w:r>
          </w:p>
        </w:tc>
        <w:tc>
          <w:tcPr/>
          <w:p>
            <w:pPr>
              <w:pStyle w:val="Tabla9"/>
              <w:jc w:val="left"/>
            </w:pPr>
            <w:r>
              <w:t xml:space="preserve">NO_ESTIMADO</w:t>
            </w:r>
          </w:p>
        </w:tc>
      </w:tr>
      <w:tr>
        <w:trPr>
          <w:cantSplit/>
        </w:trPr>
        <w:tc>
          <w:tcPr/>
          <w:p>
            <w:pPr>
              <w:pStyle w:val="Tabla9"/>
              <w:jc w:val="left"/>
            </w:pPr>
            <w:r>
              <w:t xml:space="preserve">Línea base de error y metas contradictorias</w:t>
            </w:r>
          </w:p>
        </w:tc>
        <w:tc>
          <w:tcPr/>
          <w:p>
            <w:pPr>
              <w:pStyle w:val="Tabla9"/>
              <w:jc w:val="left"/>
            </w:pPr>
            <w:r>
              <w:t xml:space="preserve">Impide declarar éxito del piloto</w:t>
            </w:r>
          </w:p>
        </w:tc>
        <w:tc>
          <w:tcPr/>
          <w:p>
            <w:pPr>
              <w:pStyle w:val="Tabla9"/>
              <w:jc w:val="left"/>
            </w:pPr>
            <w:r>
              <w:t xml:space="preserve">Equipo formulador</w:t>
            </w:r>
          </w:p>
        </w:tc>
        <w:tc>
          <w:tcPr/>
          <w:p>
            <w:pPr>
              <w:pStyle w:val="Tabla9"/>
              <w:jc w:val="left"/>
            </w:pPr>
            <w:r>
              <w:t xml:space="preserve">Medición con referencia y meta de los TdR</w:t>
            </w:r>
          </w:p>
        </w:tc>
        <w:tc>
          <w:tcPr/>
          <w:p>
            <w:pPr>
              <w:pStyle w:val="Tabla9"/>
              <w:jc w:val="left"/>
            </w:pPr>
            <w:r>
              <w:t xml:space="preserve">NO_ESTIMADO</w:t>
            </w:r>
          </w:p>
        </w:tc>
      </w:tr>
      <w:tr>
        <w:trPr>
          <w:cantSplit/>
        </w:trPr>
        <w:tc>
          <w:tcPr/>
          <w:p>
            <w:pPr>
              <w:pStyle w:val="Tabla9"/>
              <w:jc w:val="left"/>
            </w:pPr>
            <w:r>
              <w:t xml:space="preserve">Fórmula local del índice y umbrales</w:t>
            </w:r>
          </w:p>
        </w:tc>
        <w:tc>
          <w:tcPr/>
          <w:p>
            <w:pPr>
              <w:pStyle w:val="Tabla9"/>
              <w:jc w:val="left"/>
            </w:pPr>
            <w:r>
              <w:t xml:space="preserve">Impide que las alertas sean accionables</w:t>
            </w:r>
          </w:p>
        </w:tc>
        <w:tc>
          <w:tcPr/>
          <w:p>
            <w:pPr>
              <w:pStyle w:val="Tabla9"/>
              <w:jc w:val="left"/>
            </w:pPr>
            <w:r>
              <w:t xml:space="preserve">Autoridad de salud (POR_IDENTIFICAR)</w:t>
            </w:r>
          </w:p>
        </w:tc>
        <w:tc>
          <w:tcPr/>
          <w:p>
            <w:pPr>
              <w:pStyle w:val="Tabla9"/>
              <w:jc w:val="left"/>
            </w:pPr>
            <w:r>
              <w:t xml:space="preserve">Validación local con desenlaces</w:t>
            </w:r>
          </w:p>
        </w:tc>
        <w:tc>
          <w:tcPr/>
          <w:p>
            <w:pPr>
              <w:pStyle w:val="Tabla9"/>
              <w:jc w:val="left"/>
            </w:pPr>
            <w:r>
              <w:t xml:space="preserve">NO_ESTIMADO</w:t>
            </w:r>
          </w:p>
        </w:tc>
      </w:tr>
      <w:tr>
        <w:trPr>
          <w:cantSplit/>
        </w:trPr>
        <w:tc>
          <w:tcPr/>
          <w:p>
            <w:pPr>
              <w:pStyle w:val="Tabla9"/>
              <w:jc w:val="left"/>
            </w:pPr>
            <w:r>
              <w:t xml:space="preserve">Enlace y energía en entorno colapsado</w:t>
            </w:r>
          </w:p>
        </w:tc>
        <w:tc>
          <w:tcPr/>
          <w:p>
            <w:pPr>
              <w:pStyle w:val="Tabla9"/>
              <w:jc w:val="left"/>
            </w:pPr>
            <w:r>
              <w:t xml:space="preserve">El diseño usa enlace celular sin alterno</w:t>
            </w:r>
          </w:p>
        </w:tc>
        <w:tc>
          <w:tcPr/>
          <w:p>
            <w:pPr>
              <w:pStyle w:val="Tabla9"/>
              <w:jc w:val="left"/>
            </w:pPr>
            <w:r>
              <w:t xml:space="preserve">Empresa aliada</w:t>
            </w:r>
          </w:p>
        </w:tc>
        <w:tc>
          <w:tcPr/>
          <w:p>
            <w:pPr>
              <w:pStyle w:val="Tabla9"/>
              <w:jc w:val="left"/>
            </w:pPr>
            <w:r>
              <w:t xml:space="preserve">Diseñar enlace alterno y presupuestarlo</w:t>
            </w:r>
          </w:p>
        </w:tc>
        <w:tc>
          <w:tcPr/>
          <w:p>
            <w:pPr>
              <w:pStyle w:val="Tabla9"/>
              <w:jc w:val="left"/>
            </w:pPr>
            <w:r>
              <w:t xml:space="preserve">NO_ESTIMADO</w:t>
            </w:r>
          </w:p>
        </w:tc>
      </w:tr>
      <w:tr>
        <w:trPr>
          <w:cantSplit/>
        </w:trPr>
        <w:tc>
          <w:tcPr/>
          <w:p>
            <w:pPr>
              <w:pStyle w:val="Tabla9"/>
              <w:jc w:val="left"/>
            </w:pPr>
            <w:r>
              <w:t xml:space="preserve">Cuatro versiones de dónde se calibra</w:t>
            </w:r>
          </w:p>
        </w:tc>
        <w:tc>
          <w:tcPr/>
          <w:p>
            <w:pPr>
              <w:pStyle w:val="Tabla9"/>
              <w:jc w:val="left"/>
            </w:pPr>
            <w:r>
              <w:t xml:space="preserve">Cambia la arquitectura, el costo y el sorteo</w:t>
            </w:r>
          </w:p>
        </w:tc>
        <w:tc>
          <w:tcPr/>
          <w:p>
            <w:pPr>
              <w:pStyle w:val="Tabla9"/>
              <w:jc w:val="left"/>
            </w:pPr>
            <w:r>
              <w:t xml:space="preserve">Equipo formulador</w:t>
            </w:r>
          </w:p>
        </w:tc>
        <w:tc>
          <w:tcPr/>
          <w:p>
            <w:pPr>
              <w:pStyle w:val="Tabla9"/>
              <w:jc w:val="left"/>
            </w:pPr>
            <w:r>
              <w:t xml:space="preserve">Fijar una sola definición en el diccionario</w:t>
            </w:r>
          </w:p>
        </w:tc>
        <w:tc>
          <w:tcPr/>
          <w:p>
            <w:pPr>
              <w:pStyle w:val="Tabla9"/>
              <w:jc w:val="left"/>
            </w:pPr>
            <w:r>
              <w:t xml:space="preserve">NO_ESTIMADO</w:t>
            </w:r>
          </w:p>
        </w:tc>
      </w:tr>
      <w:tr>
        <w:trPr>
          <w:cantSplit/>
        </w:trPr>
        <w:tc>
          <w:tcPr/>
          <w:p>
            <w:pPr>
              <w:pStyle w:val="Tabla9"/>
              <w:jc w:val="left"/>
            </w:pPr>
            <w:r>
              <w:t xml:space="preserve">Desglose presupuestal que no concilia</w:t>
            </w:r>
          </w:p>
        </w:tc>
        <w:tc>
          <w:tcPr/>
          <w:p>
            <w:pPr>
              <w:pStyle w:val="Tabla9"/>
              <w:jc w:val="left"/>
            </w:pPr>
            <w:r>
              <w:t xml:space="preserve">Documenta 4.448,7 de 14.000 millones</w:t>
            </w:r>
          </w:p>
        </w:tc>
        <w:tc>
          <w:tcPr/>
          <w:p>
            <w:pPr>
              <w:pStyle w:val="Tabla9"/>
              <w:jc w:val="left"/>
            </w:pPr>
            <w:r>
              <w:t xml:space="preserve">Equipo formulador</w:t>
            </w:r>
          </w:p>
        </w:tc>
        <w:tc>
          <w:tcPr/>
          <w:p>
            <w:pPr>
              <w:pStyle w:val="Tabla9"/>
              <w:jc w:val="left"/>
            </w:pPr>
            <w:r>
              <w:t xml:space="preserve">Reconciliar el Capítulo 8 con el tope</w:t>
            </w:r>
          </w:p>
        </w:tc>
        <w:tc>
          <w:tcPr/>
          <w:p>
            <w:pPr>
              <w:pStyle w:val="Tabla9"/>
              <w:jc w:val="left"/>
            </w:pPr>
            <w:r>
              <w:t xml:space="preserve">NO_ESTIMADO</w:t>
            </w:r>
          </w:p>
        </w:tc>
      </w:tr>
      <w:tr>
        <w:trPr>
          <w:cantSplit/>
        </w:trPr>
        <w:tc>
          <w:tcPr/>
          <w:p>
            <w:pPr>
              <w:pStyle w:val="Tabla9"/>
              <w:jc w:val="left"/>
            </w:pPr>
            <w:r>
              <w:t xml:space="preserve">Participación de operarios y comunidades</w:t>
            </w:r>
          </w:p>
        </w:tc>
        <w:tc>
          <w:tcPr/>
          <w:p>
            <w:pPr>
              <w:pStyle w:val="Tabla9"/>
              <w:jc w:val="left"/>
            </w:pPr>
            <w:r>
              <w:t xml:space="preserve">Los umbrales carecen de portador de valor</w:t>
            </w:r>
          </w:p>
        </w:tc>
        <w:tc>
          <w:tcPr/>
          <w:p>
            <w:pPr>
              <w:pStyle w:val="Tabla9"/>
              <w:jc w:val="left"/>
            </w:pPr>
            <w:r>
              <w:t xml:space="preserve">Equipo formulador</w:t>
            </w:r>
          </w:p>
        </w:tc>
        <w:tc>
          <w:tcPr/>
          <w:p>
            <w:pPr>
              <w:pStyle w:val="Tabla9"/>
              <w:jc w:val="left"/>
            </w:pPr>
            <w:r>
              <w:t xml:space="preserve">Consulta antes de fijar umbrales</w:t>
            </w:r>
          </w:p>
        </w:tc>
        <w:tc>
          <w:tcPr/>
          <w:p>
            <w:pPr>
              <w:pStyle w:val="Tabla9"/>
              <w:jc w:val="left"/>
            </w:pPr>
            <w:r>
              <w:t xml:space="preserve">NO_ESTIMADO</w:t>
            </w:r>
          </w:p>
        </w:tc>
      </w:tr>
      <w:tr>
        <w:trPr>
          <w:cantSplit/>
        </w:trPr>
        <w:tc>
          <w:tcPr/>
          <w:p>
            <w:pPr>
              <w:pStyle w:val="Tabla9"/>
              <w:jc w:val="left"/>
            </w:pPr>
            <w:r>
              <w:t xml:space="preserve">Libertad de operación sobre propiedad industrial</w:t>
            </w:r>
          </w:p>
        </w:tc>
        <w:tc>
          <w:tcPr/>
          <w:p>
            <w:pPr>
              <w:pStyle w:val="Tabla9"/>
              <w:jc w:val="left"/>
            </w:pPr>
            <w:r>
              <w:t xml:space="preserve">Puede afectar la operación</w:t>
            </w:r>
          </w:p>
        </w:tc>
        <w:tc>
          <w:tcPr/>
          <w:p>
            <w:pPr>
              <w:pStyle w:val="Tabla9"/>
              <w:jc w:val="left"/>
            </w:pPr>
            <w:r>
              <w:t xml:space="preserve">Equipo formulador</w:t>
            </w:r>
          </w:p>
        </w:tc>
        <w:tc>
          <w:tcPr/>
          <w:p>
            <w:pPr>
              <w:pStyle w:val="Tabla9"/>
              <w:jc w:val="left"/>
            </w:pPr>
            <w:r>
              <w:t xml:space="preserve">Consulta de solicitudes PCT (F-INF §8.3, D-01)</w:t>
            </w:r>
          </w:p>
        </w:tc>
        <w:tc>
          <w:tcPr/>
          <w:p>
            <w:pPr>
              <w:pStyle w:val="Tabla9"/>
              <w:jc w:val="left"/>
            </w:pPr>
            <w:r>
              <w:t xml:space="preserve">Plazos de fase nacional abiertos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Las cuatro versiones sobre el lugar de calibración son:</w:t>
      </w:r>
    </w:p>
    <w:p>
      <w:pPr>
        <w:pStyle w:val="Compact"/>
        <w:numPr>
          <w:ilvl w:val="0"/>
          <w:numId w:val="1015"/>
        </w:numPr>
      </w:pPr>
      <w:r>
        <w:t xml:space="preserve">En el chip del sensor (E3-P09).</w:t>
      </w:r>
    </w:p>
    <w:p>
      <w:pPr>
        <w:pStyle w:val="Compact"/>
        <w:numPr>
          <w:ilvl w:val="0"/>
          <w:numId w:val="1015"/>
        </w:numPr>
      </w:pPr>
      <w:r>
        <w:t xml:space="preserve">En el gateway (E3-P15).</w:t>
      </w:r>
    </w:p>
    <w:p>
      <w:pPr>
        <w:pStyle w:val="Compact"/>
        <w:numPr>
          <w:ilvl w:val="0"/>
          <w:numId w:val="1015"/>
        </w:numPr>
      </w:pPr>
      <w:r>
        <w:t xml:space="preserve">En un diez por ciento de gateways (Paso 1).</w:t>
      </w:r>
    </w:p>
    <w:p>
      <w:pPr>
        <w:pStyle w:val="Compact"/>
        <w:numPr>
          <w:ilvl w:val="0"/>
          <w:numId w:val="1015"/>
        </w:numPr>
      </w:pPr>
      <w:r>
        <w:t xml:space="preserve">En el microcontrolador de cada nodo (Paso 6).</w:t>
      </w:r>
    </w:p>
    <w:p>
      <w:pPr>
        <w:pStyle w:val="FirstParagraph"/>
      </w:pPr>
      <w:r>
        <w:rPr>
          <w:b/>
          <w:bCs/>
        </w:rPr>
        <w:t xml:space="preserve">Consecuencias para el árbol de problemas (4.5).</w:t>
      </w:r>
      <w:r>
        <w:t xml:space="preserve"> </w:t>
      </w:r>
      <w:r>
        <w:t xml:space="preserve">El árbol de problemas expresa estados problemáticos, causas y efectos sustentados. No invierte la teoría del cambio de forma mecánica y no añade una causa para justificar la estrategia preferida. Cada enlace conserva su evidencia o su naturaleza de hipótesis. Los códigos causales son los de las variables V01 a V15.</w:t>
      </w:r>
    </w:p>
    <w:p>
      <w:pPr>
        <w:pStyle w:val="BodyText"/>
      </w:pPr>
      <w:r>
        <w:t xml:space="preserve">La Tabla F4.109 reúne los datos de «Consecuencias para el árbol de problemas (4.5)».</w:t>
      </w:r>
    </w:p>
    <w:p>
      <w:pPr>
        <w:pStyle w:val="TablaRotulo"/>
      </w:pPr>
      <w:bookmarkStart w:id="9186" w:name="rot_Tabla_F4_109"/>
      <w:r>
        <w:rPr>
          <w:b/>
          <w:bCs/>
        </w:rPr>
        <w:t xml:space="preserve">Tabla F4.109</w:t>
      </w:r>
      <w:bookmarkEnd w:id="9186"/>
    </w:p>
    <w:p>
      <w:pPr>
        <w:pStyle w:val="TablaTitulo"/>
      </w:pPr>
      <w:r>
        <w:rPr>
          <w:i/>
          <w:iCs/>
        </w:rPr>
        <w:t xml:space="preserve">Consecuencias para el árbol de problemas (4.5)</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58"/>
        <w:gridCol w:w="1716"/>
        <w:gridCol w:w="1122"/>
        <w:gridCol w:w="1188"/>
        <w:gridCol w:w="1254"/>
        <w:gridCol w:w="1782"/>
      </w:tblGrid>
      <w:tr>
        <w:trPr>
          <w:cantSplit/>
          <w:tblHeader/>
        </w:trPr>
        <w:tc>
          <w:tcPr>
            <w:shd w:val="clear" w:color="auto" w:fill="00B050"/>
          </w:tcPr>
          <w:p>
            <w:pPr>
              <w:pStyle w:val="Tabla9"/>
              <w:jc w:val="center"/>
            </w:pPr>
            <w:r>
              <w:rPr>
                <w:b/>
                <w:color w:val="FFFFFF"/>
              </w:rPr>
              <w:t xml:space="preserve">Enlace de la teoría del cambio</w:t>
            </w:r>
          </w:p>
        </w:tc>
        <w:tc>
          <w:tcPr>
            <w:shd w:val="clear" w:color="auto" w:fill="00B050"/>
          </w:tcPr>
          <w:p>
            <w:pPr>
              <w:pStyle w:val="Tabla9"/>
              <w:jc w:val="center"/>
            </w:pPr>
            <w:r>
              <w:rPr>
                <w:b/>
                <w:color w:val="FFFFFF"/>
              </w:rPr>
              <w:t xml:space="preserve">Estado problemático candidato</w:t>
            </w:r>
          </w:p>
        </w:tc>
        <w:tc>
          <w:tcPr>
            <w:shd w:val="clear" w:color="auto" w:fill="00B050"/>
          </w:tcPr>
          <w:p>
            <w:pPr>
              <w:pStyle w:val="Tabla9"/>
              <w:jc w:val="center"/>
            </w:pPr>
            <w:r>
              <w:rPr>
                <w:b/>
                <w:color w:val="FFFFFF"/>
              </w:rPr>
              <w:t xml:space="preserve">Relación en S2</w:t>
            </w:r>
          </w:p>
        </w:tc>
        <w:tc>
          <w:tcPr>
            <w:shd w:val="clear" w:color="auto" w:fill="00B050"/>
          </w:tcPr>
          <w:p>
            <w:pPr>
              <w:pStyle w:val="Tabla9"/>
              <w:jc w:val="center"/>
            </w:pPr>
            <w:r>
              <w:rPr>
                <w:b/>
                <w:color w:val="FFFFFF"/>
              </w:rPr>
              <w:t xml:space="preserve">Evidencia previa</w:t>
            </w:r>
          </w:p>
        </w:tc>
        <w:tc>
          <w:tcPr>
            <w:shd w:val="clear" w:color="auto" w:fill="00B050"/>
          </w:tcPr>
          <w:p>
            <w:pPr>
              <w:pStyle w:val="Tabla9"/>
              <w:jc w:val="center"/>
            </w:pPr>
            <w:r>
              <w:rPr>
                <w:b/>
                <w:color w:val="FFFFFF"/>
              </w:rPr>
              <w:t xml:space="preserve">Marco rival</w:t>
            </w:r>
          </w:p>
        </w:tc>
        <w:tc>
          <w:tcPr>
            <w:shd w:val="clear" w:color="auto" w:fill="00B050"/>
          </w:tcPr>
          <w:p>
            <w:pPr>
              <w:pStyle w:val="Tabla9"/>
              <w:jc w:val="center"/>
            </w:pPr>
            <w:r>
              <w:rPr>
                <w:b/>
                <w:color w:val="FFFFFF"/>
              </w:rPr>
              <w:t xml:space="preserve">Acción para 4.5</w:t>
            </w:r>
          </w:p>
        </w:tc>
      </w:tr>
      <w:tr>
        <w:trPr>
          <w:cantSplit/>
        </w:trPr>
        <w:tc>
          <w:tcPr/>
          <w:p>
            <w:pPr>
              <w:pStyle w:val="Tabla9"/>
              <w:jc w:val="left"/>
            </w:pPr>
            <w:r>
              <w:t xml:space="preserve">P1, P2 hacia R1</w:t>
            </w:r>
          </w:p>
        </w:tc>
        <w:tc>
          <w:tcPr/>
          <w:p>
            <w:pPr>
              <w:pStyle w:val="Tabla9"/>
              <w:jc w:val="left"/>
            </w:pPr>
            <w:r>
              <w:t xml:space="preserve">Error de medición no verificado (V06)</w:t>
            </w:r>
          </w:p>
        </w:tc>
        <w:tc>
          <w:tcPr/>
          <w:p>
            <w:pPr>
              <w:pStyle w:val="Tabla9"/>
              <w:jc w:val="left"/>
            </w:pPr>
            <w:r>
              <w:t xml:space="preserve">V03→V06, V02→V06, V07→V06 con peso 3; V01→V06 con 2; V04→V06 y V10→V06 con 1</w:t>
            </w:r>
          </w:p>
        </w:tc>
        <w:tc>
          <w:tcPr/>
          <w:p>
            <w:pPr>
              <w:pStyle w:val="Tabla9"/>
              <w:jc w:val="left"/>
            </w:pPr>
            <w:r>
              <w:t xml:space="preserve">Fichas con confianza baja a media</w:t>
            </w:r>
          </w:p>
        </w:tc>
        <w:tc>
          <w:tcPr/>
          <w:p>
            <w:pPr>
              <w:pStyle w:val="Tabla9"/>
              <w:jc w:val="left"/>
            </w:pPr>
            <w:r>
              <w:t xml:space="preserve">Control en la fuente</w:t>
            </w:r>
          </w:p>
        </w:tc>
        <w:tc>
          <w:tcPr/>
          <w:p>
            <w:pPr>
              <w:pStyle w:val="Tabla9"/>
              <w:jc w:val="left"/>
            </w:pPr>
            <w:r>
              <w:t xml:space="preserve">Mantener las seis causas con su peso y su estatuto HIE</w:t>
            </w:r>
          </w:p>
        </w:tc>
      </w:tr>
      <w:tr>
        <w:trPr>
          <w:cantSplit/>
        </w:trPr>
        <w:tc>
          <w:tcPr/>
          <w:p>
            <w:pPr>
              <w:pStyle w:val="Tabla9"/>
              <w:jc w:val="left"/>
            </w:pPr>
            <w:r>
              <w:t xml:space="preserve">P1 hacia R2</w:t>
            </w:r>
          </w:p>
        </w:tc>
        <w:tc>
          <w:tcPr/>
          <w:p>
            <w:pPr>
              <w:pStyle w:val="Tabla9"/>
              <w:jc w:val="left"/>
            </w:pPr>
            <w:r>
              <w:t xml:space="preserve">Disponibilidad y latencia insuficientes (V09, V08)</w:t>
            </w:r>
          </w:p>
        </w:tc>
        <w:tc>
          <w:tcPr/>
          <w:p>
            <w:pPr>
              <w:pStyle w:val="Tabla9"/>
              <w:jc w:val="left"/>
            </w:pPr>
            <w:r>
              <w:t xml:space="preserve">V05→V09 = 2; V08→V13 = 2; V08→V06 = 0</w:t>
            </w:r>
          </w:p>
        </w:tc>
        <w:tc>
          <w:tcPr/>
          <w:p>
            <w:pPr>
              <w:pStyle w:val="Tabla9"/>
              <w:jc w:val="left"/>
            </w:pPr>
            <w:r>
              <w:t xml:space="preserve">Ficha V08→V06 con dominio de 0 a 2</w:t>
            </w:r>
          </w:p>
        </w:tc>
        <w:tc>
          <w:tcPr/>
          <w:p>
            <w:pPr>
              <w:pStyle w:val="Tabla9"/>
              <w:jc w:val="left"/>
            </w:pPr>
            <w:r>
              <w:t xml:space="preserve">Ninguno</w:t>
            </w:r>
          </w:p>
        </w:tc>
        <w:tc>
          <w:tcPr/>
          <w:p>
            <w:pPr>
              <w:pStyle w:val="Tabla9"/>
              <w:jc w:val="left"/>
            </w:pPr>
            <w:r>
              <w:t xml:space="preserve">No tratar la latencia como causa de V06 sin evidencia</w:t>
            </w:r>
          </w:p>
        </w:tc>
      </w:tr>
      <w:tr>
        <w:trPr>
          <w:cantSplit/>
        </w:trPr>
        <w:tc>
          <w:tcPr/>
          <w:p>
            <w:pPr>
              <w:pStyle w:val="Tabla9"/>
              <w:jc w:val="left"/>
            </w:pPr>
            <w:r>
              <w:t xml:space="preserve">P3 hacia R3</w:t>
            </w:r>
          </w:p>
        </w:tc>
        <w:tc>
          <w:tcPr/>
          <w:p>
            <w:pPr>
              <w:pStyle w:val="Tabla9"/>
              <w:jc w:val="left"/>
            </w:pPr>
            <w:r>
              <w:t xml:space="preserve">Índice sin fórmula local (V11)</w:t>
            </w:r>
          </w:p>
        </w:tc>
        <w:tc>
          <w:tcPr/>
          <w:p>
            <w:pPr>
              <w:pStyle w:val="Tabla9"/>
              <w:jc w:val="left"/>
            </w:pPr>
            <w:r>
              <w:t xml:space="preserve">V06→V11 = 3; V01→V11 = 3</w:t>
            </w:r>
          </w:p>
        </w:tc>
        <w:tc>
          <w:tcPr/>
          <w:p>
            <w:pPr>
              <w:pStyle w:val="Tabla9"/>
              <w:jc w:val="left"/>
            </w:pPr>
            <w:r>
              <w:t xml:space="preserve">Vacío de la fórmula del índice</w:t>
            </w:r>
          </w:p>
        </w:tc>
        <w:tc>
          <w:tcPr/>
          <w:p>
            <w:pPr>
              <w:pStyle w:val="Tabla9"/>
              <w:jc w:val="left"/>
            </w:pPr>
            <w:r>
              <w:t xml:space="preserve">Metrología</w:t>
            </w:r>
          </w:p>
        </w:tc>
        <w:tc>
          <w:tcPr/>
          <w:p>
            <w:pPr>
              <w:pStyle w:val="Tabla9"/>
              <w:jc w:val="left"/>
            </w:pPr>
            <w:r>
              <w:t xml:space="preserve">Registrar la fórmula local como vacío, no como causa</w:t>
            </w:r>
          </w:p>
        </w:tc>
      </w:tr>
      <w:tr>
        <w:trPr>
          <w:cantSplit/>
        </w:trPr>
        <w:tc>
          <w:tcPr/>
          <w:p>
            <w:pPr>
              <w:pStyle w:val="Tabla9"/>
              <w:jc w:val="left"/>
            </w:pPr>
            <w:r>
              <w:t xml:space="preserve">R3 hacia I1</w:t>
            </w:r>
          </w:p>
        </w:tc>
        <w:tc>
          <w:tcPr/>
          <w:p>
            <w:pPr>
              <w:pStyle w:val="Tabla9"/>
              <w:jc w:val="left"/>
            </w:pPr>
            <w:r>
              <w:t xml:space="preserve">Baja adopción institucional (V15)</w:t>
            </w:r>
          </w:p>
        </w:tc>
        <w:tc>
          <w:tcPr/>
          <w:p>
            <w:pPr>
              <w:pStyle w:val="Tabla9"/>
              <w:jc w:val="left"/>
            </w:pPr>
            <w:r>
              <w:t xml:space="preserve">V12→V15 = 2; V15 en 140 de 144 ciclos</w:t>
            </w:r>
          </w:p>
        </w:tc>
        <w:tc>
          <w:tcPr/>
          <w:p>
            <w:pPr>
              <w:pStyle w:val="Tabla9"/>
              <w:jc w:val="left"/>
            </w:pPr>
            <w:r>
              <w:t xml:space="preserve">Fichas de salida con confianza baja</w:t>
            </w:r>
          </w:p>
        </w:tc>
        <w:tc>
          <w:tcPr/>
          <w:p>
            <w:pPr>
              <w:pStyle w:val="Tabla9"/>
              <w:jc w:val="left"/>
            </w:pPr>
            <w:r>
              <w:t xml:space="preserve">Gestión del riesgo</w:t>
            </w:r>
          </w:p>
        </w:tc>
        <w:tc>
          <w:tcPr/>
          <w:p>
            <w:pPr>
              <w:pStyle w:val="Tabla9"/>
              <w:jc w:val="left"/>
            </w:pPr>
            <w:r>
              <w:t xml:space="preserve">Registrar V15 como efecto y como causa retroalimentada</w:t>
            </w:r>
          </w:p>
        </w:tc>
      </w:tr>
      <w:tr>
        <w:trPr>
          <w:cantSplit/>
        </w:trPr>
        <w:tc>
          <w:tcPr/>
          <w:p>
            <w:pPr>
              <w:pStyle w:val="Tabla9"/>
              <w:jc w:val="left"/>
            </w:pPr>
            <w:r>
              <w:t xml:space="preserve">P4 hacia I3</w:t>
            </w:r>
          </w:p>
        </w:tc>
        <w:tc>
          <w:tcPr/>
          <w:p>
            <w:pPr>
              <w:pStyle w:val="Tabla9"/>
              <w:jc w:val="left"/>
            </w:pPr>
            <w:r>
              <w:t xml:space="preserve">Orfandad después del cierre</w:t>
            </w:r>
          </w:p>
        </w:tc>
        <w:tc>
          <w:tcPr/>
          <w:p>
            <w:pPr>
              <w:pStyle w:val="Tabla9"/>
              <w:jc w:val="left"/>
            </w:pPr>
            <w:r>
              <w:t xml:space="preserve">Sin variable en el modelo</w:t>
            </w:r>
          </w:p>
        </w:tc>
        <w:tc>
          <w:tcPr/>
          <w:p>
            <w:pPr>
              <w:pStyle w:val="Tabla9"/>
              <w:jc w:val="left"/>
            </w:pPr>
            <w:r>
              <w:t xml:space="preserve">Vacío: sin variable de resultado</w:t>
            </w:r>
          </w:p>
        </w:tc>
        <w:tc>
          <w:tcPr/>
          <w:p>
            <w:pPr>
              <w:pStyle w:val="Tabla9"/>
              <w:jc w:val="left"/>
            </w:pPr>
            <w:r>
              <w:t xml:space="preserve">Gestión del riesgo</w:t>
            </w:r>
          </w:p>
        </w:tc>
        <w:tc>
          <w:tcPr/>
          <w:p>
            <w:pPr>
              <w:pStyle w:val="Tabla9"/>
              <w:jc w:val="left"/>
            </w:pPr>
            <w:r>
              <w:t xml:space="preserve">Registrar como hipótesis fuera del modelo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Desacuerdos que 4.5 debe conservar.</w:t>
      </w:r>
      <w:r>
        <w:t xml:space="preserve"> </w:t>
      </w:r>
      <w:r>
        <w:t xml:space="preserve">El expediente E3 afirma que la causa raíz es la arquitectura que depende de la nube. Ninguna variable de las quince representa esa arquitectura y la matriz no la deriva. 4.5 la trata como hipótesis. El expediente E3 también presenta V07 como palanca máxima. S2 la clasifica como frontera, con influencia indirecta de rango 8.</w:t>
      </w:r>
    </w:p>
    <w:p>
      <w:pPr>
        <w:pStyle w:val="BodyText"/>
      </w:pPr>
      <w:r>
        <w:rPr>
          <w:b/>
          <w:bCs/>
        </w:rPr>
        <w:t xml:space="preserve">Efectos propuestos sobre capítulos posteriores.</w:t>
      </w:r>
      <w:r>
        <w:t xml:space="preserve"> </w:t>
      </w:r>
      <w:r>
        <w:t xml:space="preserve">Los efectos son dependencias futuras. Esta salida no autoriza escribir esos capítulos.</w:t>
      </w:r>
    </w:p>
    <w:p>
      <w:pPr>
        <w:pStyle w:val="BodyText"/>
      </w:pPr>
      <w:r>
        <w:t xml:space="preserve">La Tabla F4.110 reúne los datos de «Efectos propuestos sobre capítulos posteriores».</w:t>
      </w:r>
    </w:p>
    <w:p>
      <w:pPr>
        <w:pStyle w:val="TablaRotulo"/>
      </w:pPr>
      <w:bookmarkStart w:id="9187" w:name="rot_Tabla_F4_110"/>
      <w:r>
        <w:rPr>
          <w:b/>
          <w:bCs/>
        </w:rPr>
        <w:t xml:space="preserve">Tabla F4.110</w:t>
      </w:r>
      <w:bookmarkEnd w:id="9187"/>
    </w:p>
    <w:p>
      <w:pPr>
        <w:pStyle w:val="TablaTitulo"/>
      </w:pPr>
      <w:r>
        <w:rPr>
          <w:i/>
          <w:iCs/>
        </w:rPr>
        <w:t xml:space="preserve">Efectos propuestos sobre capítulos posteriores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10"/>
        <w:gridCol w:w="5610"/>
      </w:tblGrid>
      <w:tr>
        <w:trPr>
          <w:cantSplit/>
          <w:tblHeader/>
        </w:trPr>
        <w:tc>
          <w:tcPr>
            <w:shd w:val="clear" w:color="auto" w:fill="00B050"/>
          </w:tcPr>
          <w:p>
            <w:pPr>
              <w:pStyle w:val="Tabla9"/>
              <w:jc w:val="center"/>
            </w:pPr>
            <w:r>
              <w:rPr>
                <w:b/>
                <w:color w:val="FFFFFF"/>
              </w:rPr>
              <w:t xml:space="preserve">Capítulos</w:t>
            </w:r>
          </w:p>
        </w:tc>
        <w:tc>
          <w:tcPr>
            <w:shd w:val="clear" w:color="auto" w:fill="00B050"/>
          </w:tcPr>
          <w:p>
            <w:pPr>
              <w:pStyle w:val="Tabla9"/>
              <w:jc w:val="center"/>
            </w:pPr>
            <w:r>
              <w:rPr>
                <w:b/>
                <w:color w:val="FFFFFF"/>
              </w:rPr>
              <w:t xml:space="preserve">Efecto propuesto</w:t>
            </w:r>
          </w:p>
        </w:tc>
      </w:tr>
      <w:tr>
        <w:trPr>
          <w:cantSplit/>
        </w:trPr>
        <w:tc>
          <w:tcPr/>
          <w:p>
            <w:pPr>
              <w:pStyle w:val="Tabla9"/>
              <w:jc w:val="left"/>
            </w:pPr>
            <w:r>
              <w:t xml:space="preserve">1, 3, 5 y 6</w:t>
            </w:r>
          </w:p>
        </w:tc>
        <w:tc>
          <w:tcPr/>
          <w:p>
            <w:pPr>
              <w:pStyle w:val="Tabla9"/>
              <w:jc w:val="left"/>
            </w:pPr>
            <w:r>
              <w:t xml:space="preserve">Reformular el problema como estado observable, los objetivos como conversión del problema central y el método con piloto de contraste</w:t>
            </w:r>
          </w:p>
        </w:tc>
      </w:tr>
      <w:tr>
        <w:trPr>
          <w:cantSplit/>
        </w:trPr>
        <w:tc>
          <w:tcPr/>
          <w:p>
            <w:pPr>
              <w:pStyle w:val="Tabla9"/>
              <w:jc w:val="left"/>
            </w:pPr>
            <w:r>
              <w:t xml:space="preserve">8, 10, 12, 13 y 18</w:t>
            </w:r>
          </w:p>
        </w:tc>
        <w:tc>
          <w:tcPr/>
          <w:p>
            <w:pPr>
              <w:pStyle w:val="Tabla9"/>
              <w:jc w:val="left"/>
            </w:pPr>
            <w:r>
              <w:t xml:space="preserve">Presupuestar por tramos con reserva; tratar SC-1 a SC-4 como riesgos; ubicar metas bajo el techo y reformular como contribución las que lo exceden; construir el marco lógico desde la teoría del cambio</w:t>
            </w:r>
          </w:p>
        </w:tc>
      </w:tr>
      <w:tr>
        <w:trPr>
          <w:cantSplit/>
        </w:trPr>
        <w:tc>
          <w:tcPr/>
          <w:p>
            <w:pPr>
              <w:pStyle w:val="Tabla9"/>
              <w:jc w:val="left"/>
            </w:pPr>
            <w:r>
              <w:t xml:space="preserve">14, 15, 16 y 21</w:t>
            </w:r>
          </w:p>
        </w:tc>
        <w:tc>
          <w:tcPr/>
          <w:p>
            <w:pPr>
              <w:pStyle w:val="Tabla9"/>
              <w:jc w:val="left"/>
            </w:pPr>
            <w:r>
              <w:t xml:space="preserve">Sustituir la asunción de operación por las alcaldías con custodia por tramos, cláusula de apertura y portafolio verificado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Autorización.</w:t>
      </w:r>
      <w:r>
        <w:t xml:space="preserve"> </w:t>
      </w:r>
      <w:r>
        <w:t xml:space="preserve">Esta sección no muta la autorización contractual ni selecciona la alternativa final. La recomendación es una propuesta condicionada y no un acuerdo institucional.</w:t>
      </w:r>
    </w:p>
    <w:bookmarkEnd w:id="210"/>
    <w:bookmarkEnd w:id="211"/>
    <w:bookmarkStart w:id="221" w:name="_Toc00900084"/>
    <w:p>
      <w:pPr>
        <w:pStyle w:val="Heading2"/>
      </w:pPr>
      <w:r>
        <w:t xml:space="preserve">F4.5 ÁRBOL DE PROBLEMAS COMPLETO</w:t>
      </w:r>
    </w:p>
    <w:p>
      <w:pPr>
        <w:pStyle w:val="FirstParagraph"/>
      </w:pPr>
      <w:r>
        <w:t xml:space="preserve">Esta sección construye el árbol de problemas (tipo 5, rol A-PROB). Utiliza los resultados causales de 4.3 y 4.4 y el registro de contraste de F4.4-MDR. Los nodos conservan los identificadores de las quince variables del modelo. El árbol no sustituye al árbol de decisión ni al de teoría del cambio. No selecciona una alternativa. Todas las relaciones tienen estatuto HIE (hipótesis de influencia estructural): ninguna es un efecto estimado. Las fuentes se identifican con dos códigos: F-INF es el informe_FINAL de vigilancia tecnológica y F-E3 es el expediente Problematica_E3-P00.</w:t>
      </w:r>
    </w:p>
    <w:bookmarkStart w:id="212" w:name="X9a09b2512fd34670820f74c8b1e07f54604d8bd"/>
    <w:p>
      <w:pPr>
        <w:pStyle w:val="Heading3"/>
      </w:pPr>
      <w:r>
        <w:t xml:space="preserve">F4.5.1 Problema central y criterios de construcción</w:t>
      </w:r>
    </w:p>
    <w:p>
      <w:pPr>
        <w:pStyle w:val="FirstParagraph"/>
      </w:pPr>
      <w:r>
        <w:rPr>
          <w:b/>
          <w:bCs/>
        </w:rPr>
        <w:t xml:space="preserve">Problema central.</w:t>
      </w:r>
      <w:r>
        <w:t xml:space="preserve"> </w:t>
      </w:r>
      <w:r>
        <w:t xml:space="preserve">Error de medición de PM2,5 y PM10 sin verificar frente a una referencia (V06). Se toma de dos observaciones independientes de la alternativa preferida. Primero, S2 clasifica V06 como crítica en los cinco escenarios de F4.4.13. Segundo, la construcción del fenómeno en F4.4-MDR.3 define como problema la ausencia de mediciones verificadas. El expediente E3 eligió el mismo nodo con otra matriz.</w:t>
      </w:r>
    </w:p>
    <w:p>
      <w:pPr>
        <w:pStyle w:val="BodyText"/>
      </w:pPr>
      <w:r>
        <w:rPr>
          <w:b/>
          <w:bCs/>
        </w:rPr>
        <w:t xml:space="preserve">Alcance del problema central.</w:t>
      </w:r>
      <w:r>
        <w:t xml:space="preserve"> </w:t>
      </w:r>
      <w:r>
        <w:t xml:space="preserve">El problema de F4.4-MDR.3 tiene dos partes: la medición sin verificar y la ausencia de alertas incorporadas en protocolos. El árbol representa la primera como problema central. La segunda aparece como efecto (V15) y como bucle que el árbol no dibuja.</w:t>
      </w:r>
    </w:p>
    <w:p>
      <w:pPr>
        <w:pStyle w:val="BodyText"/>
      </w:pPr>
      <w:r>
        <w:rPr>
          <w:b/>
          <w:bCs/>
        </w:rPr>
        <w:t xml:space="preserve">Criterios de construcción.</w:t>
      </w:r>
    </w:p>
    <w:p>
      <w:pPr>
        <w:pStyle w:val="Compact"/>
        <w:numPr>
          <w:ilvl w:val="0"/>
          <w:numId w:val="1016"/>
        </w:numPr>
      </w:pPr>
      <w:r>
        <w:t xml:space="preserve">Cada nodo es una variable del modelo, formulada como estado problemático y rotulada con su identificador.</w:t>
      </w:r>
    </w:p>
    <w:p>
      <w:pPr>
        <w:pStyle w:val="Compact"/>
        <w:numPr>
          <w:ilvl w:val="0"/>
          <w:numId w:val="1016"/>
        </w:numPr>
      </w:pPr>
      <w:r>
        <w:t xml:space="preserve">Las causas se ubican debajo del problema central y los efectos encima.</w:t>
      </w:r>
    </w:p>
    <w:p>
      <w:pPr>
        <w:pStyle w:val="Compact"/>
        <w:numPr>
          <w:ilvl w:val="0"/>
          <w:numId w:val="1016"/>
        </w:numPr>
      </w:pPr>
      <w:r>
        <w:t xml:space="preserve">Se dibujan las relaciones de peso 2 o 3 en S2 que unen niveles contiguos sin compartir trazos ambiguos. Las demás permanecen en el registro de contraste.</w:t>
      </w:r>
    </w:p>
    <w:p>
      <w:pPr>
        <w:pStyle w:val="Compact"/>
        <w:numPr>
          <w:ilvl w:val="0"/>
          <w:numId w:val="1016"/>
        </w:numPr>
      </w:pPr>
      <w:r>
        <w:t xml:space="preserve">No se dibujan bucles. El registro los conserva.</w:t>
      </w:r>
    </w:p>
    <w:p>
      <w:pPr>
        <w:pStyle w:val="Compact"/>
        <w:numPr>
          <w:ilvl w:val="0"/>
          <w:numId w:val="1016"/>
        </w:numPr>
      </w:pPr>
      <w:r>
        <w:t xml:space="preserve">No se añade ninguna causa que el modelo no contenga. Las hipótesis externas figuran en F4.5.5.</w:t>
      </w:r>
    </w:p>
    <w:bookmarkEnd w:id="212"/>
    <w:bookmarkStart w:id="216" w:name="_Toc00900085"/>
    <w:p>
      <w:pPr>
        <w:pStyle w:val="Heading3"/>
      </w:pPr>
      <w:r>
        <w:t xml:space="preserve">F4.5.2 Árbol A-PROB</w:t>
      </w:r>
    </w:p>
    <w:p>
      <w:pPr>
        <w:pStyle w:val="FirstParagraph"/>
      </w:pPr>
      <w:r>
        <w:t xml:space="preserve">El árbol tiene diez nodos y diez relaciones. El JSON canónico precede al SVG y la alternativa textual lo sigue.</w:t>
      </w:r>
    </w:p>
    <w:p>
      <w:pPr>
        <w:pStyle w:val="BodyText"/>
      </w:pPr>
      <w:r>
        <w:t xml:space="preserve">El JSON canónico de A-PROB se reproduce sin cambios en el Anexo L (L.3).</w:t>
      </w:r>
    </w:p>
    <w:p>
      <w:pPr>
        <w:pStyle w:val="BodyText"/>
      </w:pPr>
      <w:r>
        <w:t xml:space="preserve">La Figura F4.10 reproduce «A-PROB: árbol de problemas de la vigilancia de material particulado».</w:t>
      </w:r>
    </w:p>
    <w:p>
      <w:pPr>
        <w:pStyle w:val="FiguraRotulo"/>
      </w:pPr>
      <w:bookmarkStart w:id="9483" w:name="rot_Figura_F4_10"/>
      <w:r>
        <w:rPr>
          <w:b/>
          <w:bCs/>
        </w:rPr>
        <w:t xml:space="preserve">Figura F4.10</w:t>
      </w:r>
      <w:bookmarkEnd w:id="9483"/>
    </w:p>
    <w:p>
      <w:pPr>
        <w:pStyle w:val="FiguraTitulo"/>
      </w:pPr>
      <w:r>
        <w:rPr>
          <w:i/>
          <w:iCs/>
        </w:rPr>
        <w:t xml:space="preserve">A-PROB: árbol de problemas de la vigilancia de material particulado</w:t>
      </w:r>
    </w:p>
    <w:p>
      <w:pPr>
        <w:pStyle w:val="BodyText"/>
      </w:pPr>
      <w:r>
        <w:drawing>
          <wp:inline>
            <wp:extent cx="5579999" cy="4470962"/>
            <wp:effectExtent b="0" l="0" r="0" t="0"/>
            <wp:docPr descr="" title="" id="214" name="Picture"/>
            <a:graphic>
              <a:graphicData uri="http://schemas.openxmlformats.org/drawingml/2006/picture">
                <pic:pic>
                  <pic:nvPicPr>
                    <pic:cNvPr descr="/tmp/claude-0/-home-user-docs/ddf38714-2a7e-502b-92b4-1008e2832422/scratchpad/proy/figs/out/cF4_aprob.png" id="215" name="Picture"/>
                    <pic:cNvPicPr>
                      <a:picLocks noChangeArrowheads="1" noChangeAspect="1"/>
                    </pic:cNvPicPr>
                  </pic:nvPicPr>
                  <pic:blipFill>
                    <a:blip r:embed="rId213"/>
                    <a:stretch>
                      <a:fillRect/>
                    </a:stretch>
                  </pic:blipFill>
                  <pic:spPr bwMode="auto">
                    <a:xfrm>
                      <a:off x="0" y="0"/>
                      <a:ext cx="5579999" cy="447096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ARBOL_5_SGR_CONV56_AIRE.json. El problema central es V06; las flechas indican la dirección causa a efecto y su estatuto es HIE.</w:t>
      </w:r>
    </w:p>
    <w:p>
      <w:pPr>
        <w:pStyle w:val="BodyText"/>
      </w:pPr>
      <w:r>
        <w:rPr>
          <w:b/>
          <w:bCs/>
        </w:rPr>
        <w:t xml:space="preserve">Alternativa textual de A-PROB.</w:t>
      </w:r>
    </w:p>
    <w:p>
      <w:pPr>
        <w:pStyle w:val="Compact"/>
        <w:numPr>
          <w:ilvl w:val="0"/>
          <w:numId w:val="1017"/>
        </w:numPr>
      </w:pPr>
      <w:r>
        <w:t xml:space="preserve">Árbol 5 · Árbol de problemas · rol A-PROB</w:t>
      </w:r>
    </w:p>
    <w:p>
      <w:pPr>
        <w:pStyle w:val="Compact"/>
        <w:numPr>
          <w:ilvl w:val="0"/>
          <w:numId w:val="1017"/>
        </w:numPr>
      </w:pPr>
      <w:r>
        <w:t xml:space="preserve">Pregunta: ¿Qué estados problemáticos, causas y efectos sustentan el error de medición sin verificar como problema central?</w:t>
      </w:r>
    </w:p>
    <w:p>
      <w:pPr>
        <w:pStyle w:val="Compact"/>
        <w:numPr>
          <w:ilvl w:val="0"/>
          <w:numId w:val="1017"/>
        </w:numPr>
      </w:pPr>
      <w:r>
        <w:t xml:space="preserve">Naturaleza: PROPUESTO</w:t>
      </w:r>
    </w:p>
    <w:p>
      <w:pPr>
        <w:pStyle w:val="FirstParagraph"/>
      </w:pPr>
      <w:r>
        <w:t xml:space="preserve">La Tabla F4.111 reúne los datos de «Estados problemáticos del árbol A-PROB por nivel».</w:t>
      </w:r>
    </w:p>
    <w:p>
      <w:pPr>
        <w:pStyle w:val="TablaRotulo"/>
      </w:pPr>
      <w:bookmarkStart w:id="9188" w:name="rot_Tabla_F4_111"/>
      <w:r>
        <w:rPr>
          <w:b/>
          <w:bCs/>
        </w:rPr>
        <w:t xml:space="preserve">Tabla F4.111</w:t>
      </w:r>
      <w:bookmarkEnd w:id="9188"/>
    </w:p>
    <w:p>
      <w:pPr>
        <w:pStyle w:val="TablaTitulo"/>
      </w:pPr>
      <w:r>
        <w:rPr>
          <w:i/>
          <w:iCs/>
        </w:rPr>
        <w:t xml:space="preserve">Estados problemáticos del árbol A-PROB por nivel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10"/>
        <w:gridCol w:w="990"/>
        <w:gridCol w:w="4620"/>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Nodo</w:t>
            </w:r>
          </w:p>
        </w:tc>
        <w:tc>
          <w:tcPr>
            <w:shd w:val="clear" w:color="auto" w:fill="00B050"/>
          </w:tcPr>
          <w:p>
            <w:pPr>
              <w:pStyle w:val="Tabla9"/>
              <w:jc w:val="center"/>
            </w:pPr>
            <w:r>
              <w:rPr>
                <w:b/>
                <w:color w:val="FFFFFF"/>
              </w:rPr>
              <w:t xml:space="preserve">Texto</w:t>
            </w:r>
          </w:p>
        </w:tc>
      </w:tr>
      <w:tr>
        <w:trPr>
          <w:cantSplit/>
        </w:trPr>
        <w:tc>
          <w:tcPr/>
          <w:p>
            <w:pPr>
              <w:pStyle w:val="Tabla9"/>
              <w:jc w:val="left"/>
            </w:pPr>
            <w:r>
              <w:t xml:space="preserve">Efectos indirectos</w:t>
            </w:r>
          </w:p>
        </w:tc>
        <w:tc>
          <w:tcPr/>
          <w:p>
            <w:pPr>
              <w:pStyle w:val="Tabla9"/>
              <w:jc w:val="left"/>
            </w:pPr>
            <w:r>
              <w:t xml:space="preserve">V14</w:t>
            </w:r>
          </w:p>
        </w:tc>
        <w:tc>
          <w:tcPr/>
          <w:p>
            <w:pPr>
              <w:pStyle w:val="Tabla9"/>
              <w:jc w:val="left"/>
            </w:pPr>
            <w:r>
              <w:t xml:space="preserve">Personas sin protección efectiva por alertas confiables (V14)</w:t>
            </w:r>
          </w:p>
        </w:tc>
      </w:tr>
      <w:tr>
        <w:trPr>
          <w:cantSplit/>
        </w:trPr>
        <w:tc>
          <w:tcPr/>
          <w:p>
            <w:pPr>
              <w:pStyle w:val="Tabla9"/>
              <w:jc w:val="left"/>
            </w:pPr>
            <w:r>
              <w:t xml:space="preserve">Efectos indirectos</w:t>
            </w:r>
          </w:p>
        </w:tc>
        <w:tc>
          <w:tcPr/>
          <w:p>
            <w:pPr>
              <w:pStyle w:val="Tabla9"/>
              <w:jc w:val="left"/>
            </w:pPr>
            <w:r>
              <w:t xml:space="preserve">V15</w:t>
            </w:r>
          </w:p>
        </w:tc>
        <w:tc>
          <w:tcPr/>
          <w:p>
            <w:pPr>
              <w:pStyle w:val="Tabla9"/>
              <w:jc w:val="left"/>
            </w:pPr>
            <w:r>
              <w:t xml:space="preserve">Baja adopción institucional del tablero y de las alertas (V15)</w:t>
            </w:r>
          </w:p>
        </w:tc>
      </w:tr>
      <w:tr>
        <w:trPr>
          <w:cantSplit/>
        </w:trPr>
        <w:tc>
          <w:tcPr/>
          <w:p>
            <w:pPr>
              <w:pStyle w:val="Tabla9"/>
              <w:jc w:val="left"/>
            </w:pPr>
            <w:r>
              <w:t xml:space="preserve">Efectos directos</w:t>
            </w:r>
          </w:p>
        </w:tc>
        <w:tc>
          <w:tcPr/>
          <w:p>
            <w:pPr>
              <w:pStyle w:val="Tabla9"/>
              <w:jc w:val="left"/>
            </w:pPr>
            <w:r>
              <w:t xml:space="preserve">V11</w:t>
            </w:r>
          </w:p>
        </w:tc>
        <w:tc>
          <w:tcPr/>
          <w:p>
            <w:pPr>
              <w:pStyle w:val="Tabla9"/>
              <w:jc w:val="left"/>
            </w:pPr>
            <w:r>
              <w:t xml:space="preserve">Índice AQHI sin fórmula local validada y con error de entrada (V11)</w:t>
            </w:r>
          </w:p>
        </w:tc>
      </w:tr>
      <w:tr>
        <w:trPr>
          <w:cantSplit/>
        </w:trPr>
        <w:tc>
          <w:tcPr/>
          <w:p>
            <w:pPr>
              <w:pStyle w:val="Tabla9"/>
              <w:jc w:val="left"/>
            </w:pPr>
            <w:r>
              <w:t xml:space="preserve">Efectos directos</w:t>
            </w:r>
          </w:p>
        </w:tc>
        <w:tc>
          <w:tcPr/>
          <w:p>
            <w:pPr>
              <w:pStyle w:val="Tabla9"/>
              <w:jc w:val="left"/>
            </w:pPr>
            <w:r>
              <w:t xml:space="preserve">V12</w:t>
            </w:r>
          </w:p>
        </w:tc>
        <w:tc>
          <w:tcPr/>
          <w:p>
            <w:pPr>
              <w:pStyle w:val="Tabla9"/>
              <w:jc w:val="left"/>
            </w:pPr>
            <w:r>
              <w:t xml:space="preserve">Tasa de falsas alarmas sin medir (V12)</w:t>
            </w:r>
          </w:p>
        </w:tc>
      </w:tr>
      <w:tr>
        <w:trPr>
          <w:cantSplit/>
        </w:trPr>
        <w:tc>
          <w:tcPr/>
          <w:p>
            <w:pPr>
              <w:pStyle w:val="Tabla9"/>
              <w:jc w:val="left"/>
            </w:pPr>
            <w:r>
              <w:t xml:space="preserve">Problema central</w:t>
            </w:r>
          </w:p>
        </w:tc>
        <w:tc>
          <w:tcPr/>
          <w:p>
            <w:pPr>
              <w:pStyle w:val="Tabla9"/>
              <w:jc w:val="left"/>
            </w:pPr>
            <w:r>
              <w:t xml:space="preserve">V06</w:t>
            </w:r>
          </w:p>
        </w:tc>
        <w:tc>
          <w:tcPr/>
          <w:p>
            <w:pPr>
              <w:pStyle w:val="Tabla9"/>
              <w:jc w:val="left"/>
            </w:pPr>
            <w:r>
              <w:t xml:space="preserve">Error de medición de PM2,5 y PM10 sin verificar frente a una referencia (V06)</w:t>
            </w:r>
          </w:p>
        </w:tc>
      </w:tr>
      <w:tr>
        <w:trPr>
          <w:cantSplit/>
        </w:trPr>
        <w:tc>
          <w:tcPr/>
          <w:p>
            <w:pPr>
              <w:pStyle w:val="Tabla9"/>
              <w:jc w:val="left"/>
            </w:pPr>
            <w:r>
              <w:t xml:space="preserve">Causas directas</w:t>
            </w:r>
          </w:p>
        </w:tc>
        <w:tc>
          <w:tcPr/>
          <w:p>
            <w:pPr>
              <w:pStyle w:val="Tabla9"/>
              <w:jc w:val="left"/>
            </w:pPr>
            <w:r>
              <w:t xml:space="preserve">V03</w:t>
            </w:r>
          </w:p>
        </w:tc>
        <w:tc>
          <w:tcPr/>
          <w:p>
            <w:pPr>
              <w:pStyle w:val="Tabla9"/>
              <w:jc w:val="left"/>
            </w:pPr>
            <w:r>
              <w:t xml:space="preserve">Humedad relativa alta en los sitios de remoción (V03)</w:t>
            </w:r>
          </w:p>
        </w:tc>
      </w:tr>
      <w:tr>
        <w:trPr>
          <w:cantSplit/>
        </w:trPr>
        <w:tc>
          <w:tcPr/>
          <w:p>
            <w:pPr>
              <w:pStyle w:val="Tabla9"/>
              <w:jc w:val="left"/>
            </w:pPr>
            <w:r>
              <w:t xml:space="preserve">Causas directas</w:t>
            </w:r>
          </w:p>
        </w:tc>
        <w:tc>
          <w:tcPr/>
          <w:p>
            <w:pPr>
              <w:pStyle w:val="Tabla9"/>
              <w:jc w:val="left"/>
            </w:pPr>
            <w:r>
              <w:t xml:space="preserve">V02</w:t>
            </w:r>
          </w:p>
        </w:tc>
        <w:tc>
          <w:tcPr/>
          <w:p>
            <w:pPr>
              <w:pStyle w:val="Tabla9"/>
              <w:jc w:val="left"/>
            </w:pPr>
            <w:r>
              <w:t xml:space="preserve">Concentración de PM10 con fracción gruesa (V02)</w:t>
            </w:r>
          </w:p>
        </w:tc>
      </w:tr>
      <w:tr>
        <w:trPr>
          <w:cantSplit/>
        </w:trPr>
        <w:tc>
          <w:tcPr/>
          <w:p>
            <w:pPr>
              <w:pStyle w:val="Tabla9"/>
              <w:jc w:val="left"/>
            </w:pPr>
            <w:r>
              <w:t xml:space="preserve">Causas directas</w:t>
            </w:r>
          </w:p>
        </w:tc>
        <w:tc>
          <w:tcPr/>
          <w:p>
            <w:pPr>
              <w:pStyle w:val="Tabla9"/>
              <w:jc w:val="left"/>
            </w:pPr>
            <w:r>
              <w:t xml:space="preserve">V01</w:t>
            </w:r>
          </w:p>
        </w:tc>
        <w:tc>
          <w:tcPr/>
          <w:p>
            <w:pPr>
              <w:pStyle w:val="Tabla9"/>
              <w:jc w:val="left"/>
            </w:pPr>
            <w:r>
              <w:t xml:space="preserve">Concentración de PM2,5 (V01)</w:t>
            </w:r>
          </w:p>
        </w:tc>
      </w:tr>
      <w:tr>
        <w:trPr>
          <w:cantSplit/>
        </w:trPr>
        <w:tc>
          <w:tcPr/>
          <w:p>
            <w:pPr>
              <w:pStyle w:val="Tabla9"/>
              <w:jc w:val="left"/>
            </w:pPr>
            <w:r>
              <w:t xml:space="preserve">Causas directas</w:t>
            </w:r>
          </w:p>
        </w:tc>
        <w:tc>
          <w:tcPr/>
          <w:p>
            <w:pPr>
              <w:pStyle w:val="Tabla9"/>
              <w:jc w:val="left"/>
            </w:pPr>
            <w:r>
              <w:t xml:space="preserve">V07</w:t>
            </w:r>
          </w:p>
        </w:tc>
        <w:tc>
          <w:tcPr/>
          <w:p>
            <w:pPr>
              <w:pStyle w:val="Tabla9"/>
              <w:jc w:val="left"/>
            </w:pPr>
            <w:r>
              <w:t xml:space="preserve">Frecuencia de calibración de los nodos baja o nula (V07)</w:t>
            </w:r>
          </w:p>
        </w:tc>
      </w:tr>
      <w:tr>
        <w:trPr>
          <w:cantSplit/>
        </w:trPr>
        <w:tc>
          <w:tcPr/>
          <w:p>
            <w:pPr>
              <w:pStyle w:val="Tabla9"/>
              <w:jc w:val="left"/>
            </w:pPr>
            <w:r>
              <w:t xml:space="preserve">Causas indirectas</w:t>
            </w:r>
          </w:p>
        </w:tc>
        <w:tc>
          <w:tcPr/>
          <w:p>
            <w:pPr>
              <w:pStyle w:val="Tabla9"/>
              <w:jc w:val="left"/>
            </w:pPr>
            <w:r>
              <w:t xml:space="preserve">V05</w:t>
            </w:r>
          </w:p>
        </w:tc>
        <w:tc>
          <w:tcPr/>
          <w:p>
            <w:pPr>
              <w:pStyle w:val="Tabla9"/>
              <w:jc w:val="left"/>
            </w:pPr>
            <w:r>
              <w:t xml:space="preserve">Remoción de escombros en curso (V05)</w:t>
            </w:r>
          </w:p>
        </w:tc>
      </w:tr>
    </w:tbl>
    <w:p>
      <w:pPr>
        <w:pStyle w:val="TablaNota"/>
      </w:pPr>
      <w:r>
        <w:rPr>
          <w:i/>
          <w:iCs/>
        </w:rPr>
        <w:t xml:space="preserve">Nota.</w:t>
      </w:r>
      <w:r>
        <w:t xml:space="preserve"> </w:t>
      </w:r>
      <w:r>
        <w:t xml:space="preserve">Elaboración propia con el expediente de la sección F4.5.</w:t>
      </w:r>
    </w:p>
    <w:p>
      <w:pPr>
        <w:pStyle w:val="BodyText"/>
      </w:pPr>
      <w:r>
        <w:t xml:space="preserve">Relaciones causa → efecto: V05 → V02; V05 → V01; V03 → V06; V02 → V06; V01 → V06; V07 → V06; V06 → V11; V06 → V12; V11 → V14; V12 → V15.</w:t>
      </w:r>
    </w:p>
    <w:p>
      <w:pPr>
        <w:pStyle w:val="Compact"/>
        <w:numPr>
          <w:ilvl w:val="0"/>
          <w:numId w:val="1018"/>
        </w:numPr>
      </w:pPr>
      <w:r>
        <w:t xml:space="preserve">Errores de coherencia: ninguno detectado.</w:t>
      </w:r>
    </w:p>
    <w:p>
      <w:pPr>
        <w:pStyle w:val="Compact"/>
        <w:numPr>
          <w:ilvl w:val="0"/>
          <w:numId w:val="1018"/>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Revisión visual.</w:t>
      </w:r>
      <w:r>
        <w:t xml:space="preserve"> </w:t>
      </w:r>
      <w:r>
        <w:t xml:space="preserve">Las figuras del documento se redibujaron con la plantilla visual del proyecto a partir de los mismos datos y se revisaron como imágenes. Los textos se leen completos y ningún nodo se superpone.</w:t>
      </w:r>
    </w:p>
    <w:bookmarkEnd w:id="216"/>
    <w:bookmarkStart w:id="217" w:name="X375d0e7594692cb79e597339298f4cde92e4ba3"/>
    <w:p>
      <w:pPr>
        <w:pStyle w:val="Heading3"/>
      </w:pPr>
      <w:r>
        <w:t xml:space="preserve">F4.5.3 Nodos y relaciones con su evidencia</w:t>
      </w:r>
    </w:p>
    <w:p>
      <w:pPr>
        <w:pStyle w:val="FirstParagraph"/>
      </w:pPr>
      <w:r>
        <w:rPr>
          <w:b/>
          <w:bCs/>
        </w:rPr>
        <w:t xml:space="preserve">Nodos.</w:t>
      </w:r>
    </w:p>
    <w:p>
      <w:pPr>
        <w:pStyle w:val="BodyText"/>
      </w:pPr>
      <w:r>
        <w:t xml:space="preserve">La Tabla F4.112 reúne los datos de «Nodos del árbol A-PROB con su evidencia».</w:t>
      </w:r>
    </w:p>
    <w:p>
      <w:pPr>
        <w:pStyle w:val="TablaRotulo"/>
      </w:pPr>
      <w:bookmarkStart w:id="9189" w:name="rot_Tabla_F4_112"/>
      <w:r>
        <w:rPr>
          <w:b/>
          <w:bCs/>
        </w:rPr>
        <w:t xml:space="preserve">Tabla F4.112</w:t>
      </w:r>
      <w:bookmarkEnd w:id="9189"/>
    </w:p>
    <w:p>
      <w:pPr>
        <w:pStyle w:val="TablaTitulo"/>
      </w:pPr>
      <w:r>
        <w:rPr>
          <w:i/>
          <w:iCs/>
        </w:rPr>
        <w:t xml:space="preserve">Nodos del árbol A-PROB con su evidencia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60"/>
        <w:gridCol w:w="1848"/>
        <w:gridCol w:w="1254"/>
        <w:gridCol w:w="1716"/>
        <w:gridCol w:w="2442"/>
      </w:tblGrid>
      <w:tr>
        <w:trPr>
          <w:cantSplit/>
          <w:tblHeader/>
        </w:trPr>
        <w:tc>
          <w:tcPr>
            <w:shd w:val="clear" w:color="auto" w:fill="00B050"/>
          </w:tcPr>
          <w:p>
            <w:pPr>
              <w:pStyle w:val="Tabla9"/>
              <w:jc w:val="center"/>
            </w:pPr>
            <w:r>
              <w:rPr>
                <w:b/>
                <w:color w:val="FFFFFF"/>
              </w:rPr>
              <w:t xml:space="preserve">Nodo</w:t>
            </w:r>
          </w:p>
        </w:tc>
        <w:tc>
          <w:tcPr>
            <w:shd w:val="clear" w:color="auto" w:fill="00B050"/>
          </w:tcPr>
          <w:p>
            <w:pPr>
              <w:pStyle w:val="Tabla9"/>
              <w:jc w:val="center"/>
            </w:pPr>
            <w:r>
              <w:rPr>
                <w:b/>
                <w:color w:val="FFFFFF"/>
              </w:rPr>
              <w:t xml:space="preserve">Estado problemático</w:t>
            </w:r>
          </w:p>
        </w:tc>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Evidencia del estado</w:t>
            </w:r>
          </w:p>
        </w:tc>
        <w:tc>
          <w:tcPr>
            <w:shd w:val="clear" w:color="auto" w:fill="00B050"/>
          </w:tcPr>
          <w:p>
            <w:pPr>
              <w:pStyle w:val="Tabla9"/>
              <w:jc w:val="center"/>
            </w:pPr>
            <w:r>
              <w:rPr>
                <w:b/>
                <w:color w:val="FFFFFF"/>
              </w:rPr>
              <w:t xml:space="preserve">Naturaleza y verificación</w:t>
            </w:r>
          </w:p>
        </w:tc>
      </w:tr>
      <w:tr>
        <w:trPr>
          <w:cantSplit/>
        </w:trPr>
        <w:tc>
          <w:tcPr/>
          <w:p>
            <w:pPr>
              <w:pStyle w:val="Tabla9"/>
              <w:jc w:val="left"/>
            </w:pPr>
            <w:r>
              <w:t xml:space="preserve">V06</w:t>
            </w:r>
          </w:p>
        </w:tc>
        <w:tc>
          <w:tcPr/>
          <w:p>
            <w:pPr>
              <w:pStyle w:val="Tabla9"/>
              <w:jc w:val="left"/>
            </w:pPr>
            <w:r>
              <w:t xml:space="preserve">Error de medición sin verificar frente a una referencia</w:t>
            </w:r>
          </w:p>
        </w:tc>
        <w:tc>
          <w:tcPr/>
          <w:p>
            <w:pPr>
              <w:pStyle w:val="Tabla9"/>
              <w:jc w:val="left"/>
            </w:pPr>
            <w:r>
              <w:t xml:space="preserve">Problema central</w:t>
            </w:r>
          </w:p>
        </w:tc>
        <w:tc>
          <w:tcPr/>
          <w:p>
            <w:pPr>
              <w:pStyle w:val="Tabla9"/>
              <w:jc w:val="left"/>
            </w:pPr>
            <w:r>
              <w:t xml:space="preserve">La línea base es VACIO. F-E3 cita 45 % sin localizador.</w:t>
            </w:r>
          </w:p>
        </w:tc>
        <w:tc>
          <w:tcPr/>
          <w:p>
            <w:pPr>
              <w:pStyle w:val="Tabla9"/>
              <w:jc w:val="left"/>
            </w:pPr>
            <w:r>
              <w:t xml:space="preserve">DECLARADO; NO_VERIFICADO</w:t>
            </w:r>
          </w:p>
        </w:tc>
      </w:tr>
      <w:tr>
        <w:trPr>
          <w:cantSplit/>
        </w:trPr>
        <w:tc>
          <w:tcPr/>
          <w:p>
            <w:pPr>
              <w:pStyle w:val="Tabla9"/>
              <w:jc w:val="left"/>
            </w:pPr>
            <w:r>
              <w:t xml:space="preserve">V03</w:t>
            </w:r>
          </w:p>
        </w:tc>
        <w:tc>
          <w:tcPr/>
          <w:p>
            <w:pPr>
              <w:pStyle w:val="Tabla9"/>
              <w:jc w:val="left"/>
            </w:pPr>
            <w:r>
              <w:t xml:space="preserve">Humedad relativa alta</w:t>
            </w:r>
          </w:p>
        </w:tc>
        <w:tc>
          <w:tcPr/>
          <w:p>
            <w:pPr>
              <w:pStyle w:val="Tabla9"/>
              <w:jc w:val="left"/>
            </w:pPr>
            <w:r>
              <w:t xml:space="preserve">Causa directa</w:t>
            </w:r>
          </w:p>
        </w:tc>
        <w:tc>
          <w:tcPr/>
          <w:p>
            <w:pPr>
              <w:pStyle w:val="Tabla9"/>
              <w:jc w:val="left"/>
            </w:pPr>
            <w:r>
              <w:t xml:space="preserve">F-E3 describe el entorno; sin serie medida</w:t>
            </w:r>
          </w:p>
        </w:tc>
        <w:tc>
          <w:tcPr/>
          <w:p>
            <w:pPr>
              <w:pStyle w:val="Tabla9"/>
              <w:jc w:val="left"/>
            </w:pPr>
            <w:r>
              <w:t xml:space="preserve">DECLARADO; NO_VERIFICADO</w:t>
            </w:r>
          </w:p>
        </w:tc>
      </w:tr>
      <w:tr>
        <w:trPr>
          <w:cantSplit/>
        </w:trPr>
        <w:tc>
          <w:tcPr/>
          <w:p>
            <w:pPr>
              <w:pStyle w:val="Tabla9"/>
              <w:jc w:val="left"/>
            </w:pPr>
            <w:r>
              <w:t xml:space="preserve">V02</w:t>
            </w:r>
          </w:p>
        </w:tc>
        <w:tc>
          <w:tcPr/>
          <w:p>
            <w:pPr>
              <w:pStyle w:val="Tabla9"/>
              <w:jc w:val="left"/>
            </w:pPr>
            <w:r>
              <w:t xml:space="preserve">Concentración de PM10 con fracción gruesa</w:t>
            </w:r>
          </w:p>
        </w:tc>
        <w:tc>
          <w:tcPr/>
          <w:p>
            <w:pPr>
              <w:pStyle w:val="Tabla9"/>
              <w:jc w:val="left"/>
            </w:pPr>
            <w:r>
              <w:t xml:space="preserve">Causa directa</w:t>
            </w:r>
          </w:p>
        </w:tc>
        <w:tc>
          <w:tcPr/>
          <w:p>
            <w:pPr>
              <w:pStyle w:val="Tabla9"/>
              <w:jc w:val="left"/>
            </w:pPr>
            <w:r>
              <w:t xml:space="preserve">F-INF §3.1 (cociente PM2,5/PM10 de 0,88 en una mina); régimen distinto en escombros</w:t>
            </w:r>
          </w:p>
        </w:tc>
        <w:tc>
          <w:tcPr/>
          <w:p>
            <w:pPr>
              <w:pStyle w:val="Tabla9"/>
              <w:jc w:val="left"/>
            </w:pPr>
            <w:r>
              <w:t xml:space="preserve">INFERIDO; NO_VERIFICADO</w:t>
            </w:r>
          </w:p>
        </w:tc>
      </w:tr>
      <w:tr>
        <w:trPr>
          <w:cantSplit/>
        </w:trPr>
        <w:tc>
          <w:tcPr/>
          <w:p>
            <w:pPr>
              <w:pStyle w:val="Tabla9"/>
              <w:jc w:val="left"/>
            </w:pPr>
            <w:r>
              <w:t xml:space="preserve">V01</w:t>
            </w:r>
          </w:p>
        </w:tc>
        <w:tc>
          <w:tcPr/>
          <w:p>
            <w:pPr>
              <w:pStyle w:val="Tabla9"/>
              <w:jc w:val="left"/>
            </w:pPr>
            <w:r>
              <w:t xml:space="preserve">Concentración de PM2,5</w:t>
            </w:r>
          </w:p>
        </w:tc>
        <w:tc>
          <w:tcPr/>
          <w:p>
            <w:pPr>
              <w:pStyle w:val="Tabla9"/>
              <w:jc w:val="left"/>
            </w:pPr>
            <w:r>
              <w:t xml:space="preserve">Causa directa</w:t>
            </w:r>
          </w:p>
        </w:tc>
        <w:tc>
          <w:tcPr/>
          <w:p>
            <w:pPr>
              <w:pStyle w:val="Tabla9"/>
              <w:jc w:val="left"/>
            </w:pPr>
            <w:r>
              <w:t xml:space="preserve">Sin serie del territorio</w:t>
            </w:r>
          </w:p>
        </w:tc>
        <w:tc>
          <w:tcPr/>
          <w:p>
            <w:pPr>
              <w:pStyle w:val="Tabla9"/>
              <w:jc w:val="left"/>
            </w:pPr>
            <w:r>
              <w:t xml:space="preserve">VACIO</w:t>
            </w:r>
          </w:p>
        </w:tc>
      </w:tr>
      <w:tr>
        <w:trPr>
          <w:cantSplit/>
        </w:trPr>
        <w:tc>
          <w:tcPr/>
          <w:p>
            <w:pPr>
              <w:pStyle w:val="Tabla9"/>
              <w:jc w:val="left"/>
            </w:pPr>
            <w:r>
              <w:t xml:space="preserve">V07</w:t>
            </w:r>
          </w:p>
        </w:tc>
        <w:tc>
          <w:tcPr/>
          <w:p>
            <w:pPr>
              <w:pStyle w:val="Tabla9"/>
              <w:jc w:val="left"/>
            </w:pPr>
            <w:r>
              <w:t xml:space="preserve">Frecuencia de calibración baja o nula</w:t>
            </w:r>
          </w:p>
        </w:tc>
        <w:tc>
          <w:tcPr/>
          <w:p>
            <w:pPr>
              <w:pStyle w:val="Tabla9"/>
              <w:jc w:val="left"/>
            </w:pPr>
            <w:r>
              <w:t xml:space="preserve">Causa directa</w:t>
            </w:r>
          </w:p>
        </w:tc>
        <w:tc>
          <w:tcPr/>
          <w:p>
            <w:pPr>
              <w:pStyle w:val="Tabla9"/>
              <w:jc w:val="left"/>
            </w:pPr>
            <w:r>
              <w:t xml:space="preserve">F-E3, E3-P10: los sensores aislados carecen de protocolo de ajuste dinámico</w:t>
            </w:r>
          </w:p>
        </w:tc>
        <w:tc>
          <w:tcPr/>
          <w:p>
            <w:pPr>
              <w:pStyle w:val="Tabla9"/>
              <w:jc w:val="left"/>
            </w:pPr>
            <w:r>
              <w:t xml:space="preserve">DECLARADO; NO_VERIFICADO</w:t>
            </w:r>
          </w:p>
        </w:tc>
      </w:tr>
      <w:tr>
        <w:trPr>
          <w:cantSplit/>
        </w:trPr>
        <w:tc>
          <w:tcPr/>
          <w:p>
            <w:pPr>
              <w:pStyle w:val="Tabla9"/>
              <w:jc w:val="left"/>
            </w:pPr>
            <w:r>
              <w:t xml:space="preserve">V05</w:t>
            </w:r>
          </w:p>
        </w:tc>
        <w:tc>
          <w:tcPr/>
          <w:p>
            <w:pPr>
              <w:pStyle w:val="Tabla9"/>
              <w:jc w:val="left"/>
            </w:pPr>
            <w:r>
              <w:t xml:space="preserve">Remoción de escombros en curso</w:t>
            </w:r>
          </w:p>
        </w:tc>
        <w:tc>
          <w:tcPr/>
          <w:p>
            <w:pPr>
              <w:pStyle w:val="Tabla9"/>
              <w:jc w:val="left"/>
            </w:pPr>
            <w:r>
              <w:t xml:space="preserve">Causa indirecta</w:t>
            </w:r>
          </w:p>
        </w:tc>
        <w:tc>
          <w:tcPr/>
          <w:p>
            <w:pPr>
              <w:pStyle w:val="Tabla9"/>
              <w:jc w:val="left"/>
            </w:pPr>
            <w:r>
              <w:t xml:space="preserve">F-E3: premisa del caso</w:t>
            </w:r>
          </w:p>
        </w:tc>
        <w:tc>
          <w:tcPr/>
          <w:p>
            <w:pPr>
              <w:pStyle w:val="Tabla9"/>
              <w:jc w:val="left"/>
            </w:pPr>
            <w:r>
              <w:t xml:space="preserve">SUPUESTO por instrucción del usuario</w:t>
            </w:r>
          </w:p>
        </w:tc>
      </w:tr>
      <w:tr>
        <w:trPr>
          <w:cantSplit/>
        </w:trPr>
        <w:tc>
          <w:tcPr/>
          <w:p>
            <w:pPr>
              <w:pStyle w:val="Tabla9"/>
              <w:jc w:val="left"/>
            </w:pPr>
            <w:r>
              <w:t xml:space="preserve">V11</w:t>
            </w:r>
          </w:p>
        </w:tc>
        <w:tc>
          <w:tcPr/>
          <w:p>
            <w:pPr>
              <w:pStyle w:val="Tabla9"/>
              <w:jc w:val="left"/>
            </w:pPr>
            <w:r>
              <w:t xml:space="preserve">Índice AQHI sin fórmula local validada</w:t>
            </w:r>
          </w:p>
        </w:tc>
        <w:tc>
          <w:tcPr/>
          <w:p>
            <w:pPr>
              <w:pStyle w:val="Tabla9"/>
              <w:jc w:val="left"/>
            </w:pPr>
            <w:r>
              <w:t xml:space="preserve">Efecto directo</w:t>
            </w:r>
          </w:p>
        </w:tc>
        <w:tc>
          <w:tcPr/>
          <w:p>
            <w:pPr>
              <w:pStyle w:val="Tabla9"/>
              <w:jc w:val="left"/>
            </w:pPr>
            <w:r>
              <w:t xml:space="preserve">F-INF §8.4 (D-05) recomienda validar un índice local</w:t>
            </w:r>
          </w:p>
        </w:tc>
        <w:tc>
          <w:tcPr/>
          <w:p>
            <w:pPr>
              <w:pStyle w:val="Tabla9"/>
              <w:jc w:val="left"/>
            </w:pPr>
            <w:r>
              <w:t xml:space="preserve">DOCUMENTADO en F-INF; fuente primaria no leída</w:t>
            </w:r>
          </w:p>
        </w:tc>
      </w:tr>
      <w:tr>
        <w:trPr>
          <w:cantSplit/>
        </w:trPr>
        <w:tc>
          <w:tcPr/>
          <w:p>
            <w:pPr>
              <w:pStyle w:val="Tabla9"/>
              <w:jc w:val="left"/>
            </w:pPr>
            <w:r>
              <w:t xml:space="preserve">V12</w:t>
            </w:r>
          </w:p>
        </w:tc>
        <w:tc>
          <w:tcPr/>
          <w:p>
            <w:pPr>
              <w:pStyle w:val="Tabla9"/>
              <w:jc w:val="left"/>
            </w:pPr>
            <w:r>
              <w:t xml:space="preserve">Tasa de falsas alarmas sin medir</w:t>
            </w:r>
          </w:p>
        </w:tc>
        <w:tc>
          <w:tcPr/>
          <w:p>
            <w:pPr>
              <w:pStyle w:val="Tabla9"/>
              <w:jc w:val="left"/>
            </w:pPr>
            <w:r>
              <w:t xml:space="preserve">Efecto directo</w:t>
            </w:r>
          </w:p>
        </w:tc>
        <w:tc>
          <w:tcPr/>
          <w:p>
            <w:pPr>
              <w:pStyle w:val="Tabla9"/>
              <w:jc w:val="left"/>
            </w:pPr>
            <w:r>
              <w:t xml:space="preserve">F-INF §1.3 hallazgo 2: ningún documento de alertas la reporta</w:t>
            </w:r>
          </w:p>
        </w:tc>
        <w:tc>
          <w:tcPr/>
          <w:p>
            <w:pPr>
              <w:pStyle w:val="Tabla9"/>
              <w:jc w:val="left"/>
            </w:pPr>
            <w:r>
              <w:t xml:space="preserve">DOCUMENTADO en F-INF</w:t>
            </w:r>
          </w:p>
        </w:tc>
      </w:tr>
      <w:tr>
        <w:trPr>
          <w:cantSplit/>
        </w:trPr>
        <w:tc>
          <w:tcPr/>
          <w:p>
            <w:pPr>
              <w:pStyle w:val="Tabla9"/>
              <w:jc w:val="left"/>
            </w:pPr>
            <w:r>
              <w:t xml:space="preserve">V15</w:t>
            </w:r>
          </w:p>
        </w:tc>
        <w:tc>
          <w:tcPr/>
          <w:p>
            <w:pPr>
              <w:pStyle w:val="Tabla9"/>
              <w:jc w:val="left"/>
            </w:pPr>
            <w:r>
              <w:t xml:space="preserve">Baja adopción institucional</w:t>
            </w:r>
          </w:p>
        </w:tc>
        <w:tc>
          <w:tcPr/>
          <w:p>
            <w:pPr>
              <w:pStyle w:val="Tabla9"/>
              <w:jc w:val="left"/>
            </w:pPr>
            <w:r>
              <w:t xml:space="preserve">Efecto indirecto</w:t>
            </w:r>
          </w:p>
        </w:tc>
        <w:tc>
          <w:tcPr/>
          <w:p>
            <w:pPr>
              <w:pStyle w:val="Tabla9"/>
              <w:jc w:val="left"/>
            </w:pPr>
            <w:r>
              <w:t xml:space="preserve">Sin medición de uso; el supuesto de adopción es SC-3</w:t>
            </w:r>
          </w:p>
        </w:tc>
        <w:tc>
          <w:tcPr/>
          <w:p>
            <w:pPr>
              <w:pStyle w:val="Tabla9"/>
              <w:jc w:val="left"/>
            </w:pPr>
            <w:r>
              <w:t xml:space="preserve">SUPUESTO; NO_VERIFICADO</w:t>
            </w:r>
          </w:p>
        </w:tc>
      </w:tr>
      <w:tr>
        <w:trPr>
          <w:cantSplit/>
        </w:trPr>
        <w:tc>
          <w:tcPr/>
          <w:p>
            <w:pPr>
              <w:pStyle w:val="Tabla9"/>
              <w:jc w:val="left"/>
            </w:pPr>
            <w:r>
              <w:t xml:space="preserve">V14</w:t>
            </w:r>
          </w:p>
        </w:tc>
        <w:tc>
          <w:tcPr/>
          <w:p>
            <w:pPr>
              <w:pStyle w:val="Tabla9"/>
              <w:jc w:val="left"/>
            </w:pPr>
            <w:r>
              <w:t xml:space="preserve">Personas sin protección efectiva por alertas confiables</w:t>
            </w:r>
          </w:p>
        </w:tc>
        <w:tc>
          <w:tcPr/>
          <w:p>
            <w:pPr>
              <w:pStyle w:val="Tabla9"/>
              <w:jc w:val="left"/>
            </w:pPr>
            <w:r>
              <w:t xml:space="preserve">Efecto indirecto</w:t>
            </w:r>
          </w:p>
        </w:tc>
        <w:tc>
          <w:tcPr/>
          <w:p>
            <w:pPr>
              <w:pStyle w:val="Tabla9"/>
              <w:jc w:val="left"/>
            </w:pPr>
            <w:r>
              <w:t xml:space="preserve">Sin variable de resultado ni línea base</w:t>
            </w:r>
          </w:p>
        </w:tc>
        <w:tc>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F4.5.</w:t>
      </w:r>
    </w:p>
    <w:p>
      <w:pPr>
        <w:pStyle w:val="BodyText"/>
      </w:pPr>
      <w:r>
        <w:rPr>
          <w:b/>
          <w:bCs/>
        </w:rPr>
        <w:t xml:space="preserve">Relaciones dibujadas.</w:t>
      </w:r>
      <w:r>
        <w:t xml:space="preserve"> </w:t>
      </w:r>
      <w:r>
        <w:t xml:space="preserve">La columna «Peso» muestra el valor de S2 y, entre paréntesis, el dominio admisible. Todas las relaciones tienen estatuto HIE y verificación NO_VERIFICADO.</w:t>
      </w:r>
    </w:p>
    <w:p>
      <w:pPr>
        <w:pStyle w:val="BodyText"/>
      </w:pPr>
      <w:r>
        <w:t xml:space="preserve">La Tabla F4.113 reúne los datos de «Relaciones del árbol A-PROB y su fuente».</w:t>
      </w:r>
    </w:p>
    <w:p>
      <w:pPr>
        <w:pStyle w:val="TablaRotulo"/>
      </w:pPr>
      <w:bookmarkStart w:id="9190" w:name="rot_Tabla_F4_113"/>
      <w:r>
        <w:rPr>
          <w:b/>
          <w:bCs/>
        </w:rPr>
        <w:t xml:space="preserve">Tabla F4.113</w:t>
      </w:r>
      <w:bookmarkEnd w:id="9190"/>
    </w:p>
    <w:p>
      <w:pPr>
        <w:pStyle w:val="TablaTitulo"/>
      </w:pPr>
      <w:r>
        <w:rPr>
          <w:i/>
          <w:iCs/>
        </w:rPr>
        <w:t xml:space="preserve">Relaciones del árbol A-PROB y su fuente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90"/>
        <w:gridCol w:w="594"/>
        <w:gridCol w:w="726"/>
        <w:gridCol w:w="1122"/>
        <w:gridCol w:w="1848"/>
        <w:gridCol w:w="1056"/>
        <w:gridCol w:w="1584"/>
      </w:tblGrid>
      <w:tr>
        <w:trPr>
          <w:cantSplit/>
          <w:tblHeader/>
        </w:trPr>
        <w:tc>
          <w:tcPr>
            <w:shd w:val="clear" w:color="auto" w:fill="00B050"/>
          </w:tcPr>
          <w:p>
            <w:pPr>
              <w:pStyle w:val="Tabla8"/>
              <w:jc w:val="center"/>
            </w:pPr>
            <w:r>
              <w:rPr>
                <w:b/>
                <w:color w:val="FFFFFF"/>
              </w:rPr>
              <w:t xml:space="preserve">Relación</w:t>
            </w:r>
          </w:p>
        </w:tc>
        <w:tc>
          <w:tcPr>
            <w:shd w:val="clear" w:color="auto" w:fill="00B050"/>
          </w:tcPr>
          <w:p>
            <w:pPr>
              <w:pStyle w:val="Tabla8"/>
              <w:jc w:val="center"/>
            </w:pPr>
            <w:r>
              <w:rPr>
                <w:b/>
                <w:color w:val="FFFFFF"/>
              </w:rPr>
              <w:t xml:space="preserve">Peso</w:t>
            </w:r>
          </w:p>
        </w:tc>
        <w:tc>
          <w:tcPr>
            <w:shd w:val="clear" w:color="auto" w:fill="00B050"/>
          </w:tcPr>
          <w:p>
            <w:pPr>
              <w:pStyle w:val="Tabla8"/>
              <w:jc w:val="center"/>
            </w:pPr>
            <w:r>
              <w:rPr>
                <w:b/>
                <w:color w:val="FFFFFF"/>
              </w:rPr>
              <w:t xml:space="preserve">Signo</w:t>
            </w:r>
          </w:p>
        </w:tc>
        <w:tc>
          <w:tcPr>
            <w:shd w:val="clear" w:color="auto" w:fill="00B050"/>
          </w:tcPr>
          <w:p>
            <w:pPr>
              <w:pStyle w:val="Tabla8"/>
              <w:jc w:val="center"/>
            </w:pPr>
            <w:r>
              <w:rPr>
                <w:b/>
                <w:color w:val="FFFFFF"/>
              </w:rPr>
              <w:t xml:space="preserve">Confianza</w:t>
            </w:r>
          </w:p>
        </w:tc>
        <w:tc>
          <w:tcPr>
            <w:shd w:val="clear" w:color="auto" w:fill="00B050"/>
          </w:tcPr>
          <w:p>
            <w:pPr>
              <w:pStyle w:val="Tabla8"/>
              <w:jc w:val="center"/>
            </w:pPr>
            <w:r>
              <w:rPr>
                <w:b/>
                <w:color w:val="FFFFFF"/>
              </w:rPr>
              <w:t xml:space="preserve">Naturaleza</w:t>
            </w:r>
          </w:p>
        </w:tc>
        <w:tc>
          <w:tcPr>
            <w:shd w:val="clear" w:color="auto" w:fill="00B050"/>
          </w:tcPr>
          <w:p>
            <w:pPr>
              <w:pStyle w:val="Tabla8"/>
              <w:jc w:val="center"/>
            </w:pPr>
            <w:r>
              <w:rPr>
                <w:b/>
                <w:color w:val="FFFFFF"/>
              </w:rPr>
              <w:t xml:space="preserve">Fuente principal</w:t>
            </w:r>
          </w:p>
        </w:tc>
        <w:tc>
          <w:tcPr>
            <w:shd w:val="clear" w:color="auto" w:fill="00B050"/>
          </w:tcPr>
          <w:p>
            <w:pPr>
              <w:pStyle w:val="Tabla8"/>
              <w:jc w:val="center"/>
            </w:pPr>
            <w:r>
              <w:rPr>
                <w:b/>
                <w:color w:val="FFFFFF"/>
              </w:rPr>
              <w:t xml:space="preserve">Explicación rival principal</w:t>
            </w:r>
          </w:p>
        </w:tc>
      </w:tr>
      <w:tr>
        <w:trPr>
          <w:cantSplit/>
        </w:trPr>
        <w:tc>
          <w:tcPr/>
          <w:p>
            <w:pPr>
              <w:pStyle w:val="Tabla8"/>
              <w:jc w:val="left"/>
            </w:pPr>
            <w:r>
              <w:t xml:space="preserve">V05→V02</w:t>
            </w:r>
          </w:p>
        </w:tc>
        <w:tc>
          <w:tcPr/>
          <w:p>
            <w:pPr>
              <w:pStyle w:val="Tabla8"/>
              <w:jc w:val="left"/>
            </w:pPr>
            <w:r>
              <w:t xml:space="preserve">3 (2, 3)</w:t>
            </w:r>
          </w:p>
        </w:tc>
        <w:tc>
          <w:tcPr/>
          <w:p>
            <w:pPr>
              <w:pStyle w:val="Tabla8"/>
              <w:jc w:val="left"/>
            </w:pPr>
            <w:r>
              <w:t xml:space="preserve">+</w:t>
            </w:r>
          </w:p>
        </w:tc>
        <w:tc>
          <w:tcPr/>
          <w:p>
            <w:pPr>
              <w:pStyle w:val="Tabla8"/>
              <w:jc w:val="left"/>
            </w:pPr>
            <w:r>
              <w:t xml:space="preserve">ALTA</w:t>
            </w:r>
          </w:p>
        </w:tc>
        <w:tc>
          <w:tcPr/>
          <w:p>
            <w:pPr>
              <w:pStyle w:val="Tabla8"/>
              <w:jc w:val="left"/>
            </w:pPr>
            <w:r>
              <w:t xml:space="preserve">INFERIDO</w:t>
            </w:r>
          </w:p>
        </w:tc>
        <w:tc>
          <w:tcPr/>
          <w:p>
            <w:pPr>
              <w:pStyle w:val="Tabla8"/>
              <w:jc w:val="left"/>
            </w:pPr>
            <w:r>
              <w:t xml:space="preserve">F-E3, E3-P04 §12</w:t>
            </w:r>
          </w:p>
        </w:tc>
        <w:tc>
          <w:tcPr/>
          <w:p>
            <w:pPr>
              <w:pStyle w:val="Tabla8"/>
              <w:jc w:val="left"/>
            </w:pPr>
            <w:r>
              <w:t xml:space="preserve">El rociado y los cerramientos actúan sobre V05, no sobre la relación</w:t>
            </w:r>
          </w:p>
        </w:tc>
      </w:tr>
      <w:tr>
        <w:trPr>
          <w:cantSplit/>
        </w:trPr>
        <w:tc>
          <w:tcPr/>
          <w:p>
            <w:pPr>
              <w:pStyle w:val="Tabla8"/>
              <w:jc w:val="left"/>
            </w:pPr>
            <w:r>
              <w:t xml:space="preserve">V05→V01</w:t>
            </w:r>
          </w:p>
        </w:tc>
        <w:tc>
          <w:tcPr/>
          <w:p>
            <w:pPr>
              <w:pStyle w:val="Tabla8"/>
              <w:jc w:val="left"/>
            </w:pPr>
            <w:r>
              <w:t xml:space="preserve">2 (2, 3)</w:t>
            </w:r>
          </w:p>
        </w:tc>
        <w:tc>
          <w:tcPr/>
          <w:p>
            <w:pPr>
              <w:pStyle w:val="Tabla8"/>
              <w:jc w:val="left"/>
            </w:pPr>
            <w:r>
              <w:t xml:space="preserve">+</w:t>
            </w:r>
          </w:p>
        </w:tc>
        <w:tc>
          <w:tcPr/>
          <w:p>
            <w:pPr>
              <w:pStyle w:val="Tabla8"/>
              <w:jc w:val="left"/>
            </w:pPr>
            <w:r>
              <w:t xml:space="preserve">MEDIA</w:t>
            </w:r>
          </w:p>
        </w:tc>
        <w:tc>
          <w:tcPr/>
          <w:p>
            <w:pPr>
              <w:pStyle w:val="Tabla8"/>
              <w:jc w:val="left"/>
            </w:pPr>
            <w:r>
              <w:t xml:space="preserve">INFERIDO</w:t>
            </w:r>
          </w:p>
        </w:tc>
        <w:tc>
          <w:tcPr/>
          <w:p>
            <w:pPr>
              <w:pStyle w:val="Tabla8"/>
              <w:jc w:val="left"/>
            </w:pPr>
            <w:r>
              <w:t xml:space="preserve">F-E3, E3-P04 §12; F-INF §1.4</w:t>
            </w:r>
          </w:p>
        </w:tc>
        <w:tc>
          <w:tcPr/>
          <w:p>
            <w:pPr>
              <w:pStyle w:val="Tabla8"/>
              <w:jc w:val="left"/>
            </w:pPr>
            <w:r>
              <w:t xml:space="preserve">Con maquinaria eléctrica o rociado de agua el valor sería menor</w:t>
            </w:r>
          </w:p>
        </w:tc>
      </w:tr>
      <w:tr>
        <w:trPr>
          <w:cantSplit/>
        </w:trPr>
        <w:tc>
          <w:tcPr/>
          <w:p>
            <w:pPr>
              <w:pStyle w:val="Tabla8"/>
              <w:jc w:val="left"/>
            </w:pPr>
            <w:r>
              <w:t xml:space="preserve">V03→V06</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DOCUMENTADO</w:t>
            </w:r>
          </w:p>
        </w:tc>
        <w:tc>
          <w:tcPr/>
          <w:p>
            <w:pPr>
              <w:pStyle w:val="Tabla8"/>
              <w:jc w:val="left"/>
            </w:pPr>
            <w:r>
              <w:t xml:space="preserve">F-INF §1.3 y §3.1 (Suresh et al., 2025, p. 30, como se citó en F-INF)</w:t>
            </w:r>
          </w:p>
        </w:tc>
        <w:tc>
          <w:tcPr/>
          <w:p>
            <w:pPr>
              <w:pStyle w:val="Tabla8"/>
              <w:jc w:val="left"/>
            </w:pPr>
            <w:r>
              <w:t xml:space="preserve">La correlación de 0,73 podría reflejar covariación estacional</w:t>
            </w:r>
          </w:p>
        </w:tc>
      </w:tr>
      <w:tr>
        <w:trPr>
          <w:cantSplit/>
        </w:trPr>
        <w:tc>
          <w:tcPr/>
          <w:p>
            <w:pPr>
              <w:pStyle w:val="Tabla8"/>
              <w:jc w:val="left"/>
            </w:pPr>
            <w:r>
              <w:t xml:space="preserve">V02→V06</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INFERIDO</w:t>
            </w:r>
          </w:p>
        </w:tc>
        <w:tc>
          <w:tcPr/>
          <w:p>
            <w:pPr>
              <w:pStyle w:val="Tabla8"/>
              <w:jc w:val="left"/>
            </w:pPr>
            <w:r>
              <w:t xml:space="preserve">F-INF §3.1 (Suresh et al., 2025, como se citó en F-INF); F-E3, E3-P04 §12</w:t>
            </w:r>
          </w:p>
        </w:tc>
        <w:tc>
          <w:tcPr/>
          <w:p>
            <w:pPr>
              <w:pStyle w:val="Tabla8"/>
              <w:jc w:val="left"/>
            </w:pPr>
            <w:r>
              <w:t xml:space="preserve">El inlet protegido y la limpieza programada reducen el efecto</w:t>
            </w:r>
          </w:p>
        </w:tc>
      </w:tr>
      <w:tr>
        <w:trPr>
          <w:cantSplit/>
        </w:trPr>
        <w:tc>
          <w:tcPr/>
          <w:p>
            <w:pPr>
              <w:pStyle w:val="Tabla8"/>
              <w:jc w:val="left"/>
            </w:pPr>
            <w:r>
              <w:t xml:space="preserve">V01→V06</w:t>
            </w:r>
          </w:p>
        </w:tc>
        <w:tc>
          <w:tcPr/>
          <w:p>
            <w:pPr>
              <w:pStyle w:val="Tabla8"/>
              <w:jc w:val="left"/>
            </w:pPr>
            <w:r>
              <w:t xml:space="preserve">2 (1, 2, 3)</w:t>
            </w:r>
          </w:p>
        </w:tc>
        <w:tc>
          <w:tcPr/>
          <w:p>
            <w:pPr>
              <w:pStyle w:val="Tabla8"/>
              <w:jc w:val="left"/>
            </w:pPr>
            <w:r>
              <w:t xml:space="preserve">+</w:t>
            </w:r>
          </w:p>
        </w:tc>
        <w:tc>
          <w:tcPr/>
          <w:p>
            <w:pPr>
              <w:pStyle w:val="Tabla8"/>
              <w:jc w:val="left"/>
            </w:pPr>
            <w:r>
              <w:t xml:space="preserve">BAJA</w:t>
            </w:r>
          </w:p>
        </w:tc>
        <w:tc>
          <w:tcPr/>
          <w:p>
            <w:pPr>
              <w:pStyle w:val="Tabla8"/>
              <w:jc w:val="left"/>
            </w:pPr>
            <w:r>
              <w:t xml:space="preserve">INFERIDO</w:t>
            </w:r>
          </w:p>
        </w:tc>
        <w:tc>
          <w:tcPr/>
          <w:p>
            <w:pPr>
              <w:pStyle w:val="Tabla8"/>
              <w:jc w:val="left"/>
            </w:pPr>
            <w:r>
              <w:t xml:space="preserve">F-E3, E3-P04 §12</w:t>
            </w:r>
          </w:p>
        </w:tc>
        <w:tc>
          <w:tcPr/>
          <w:p>
            <w:pPr>
              <w:pStyle w:val="Tabla8"/>
              <w:jc w:val="left"/>
            </w:pPr>
            <w:r>
              <w:t xml:space="preserve">El error normalizado puede bajar al subir la concentración; signo mixto</w:t>
            </w:r>
          </w:p>
        </w:tc>
      </w:tr>
      <w:tr>
        <w:trPr>
          <w:cantSplit/>
        </w:trPr>
        <w:tc>
          <w:tcPr/>
          <w:p>
            <w:pPr>
              <w:pStyle w:val="Tabla8"/>
              <w:jc w:val="left"/>
            </w:pPr>
            <w:r>
              <w:t xml:space="preserve">V07→V06</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INFERIDO</w:t>
            </w:r>
          </w:p>
        </w:tc>
        <w:tc>
          <w:tcPr/>
          <w:p>
            <w:pPr>
              <w:pStyle w:val="Tabla8"/>
              <w:jc w:val="left"/>
            </w:pPr>
            <w:r>
              <w:t xml:space="preserve">F-INF §3.1 (Bang et al., 2026, pp. 6-8, como se citó en F-INF) y §11.6</w:t>
            </w:r>
          </w:p>
        </w:tc>
        <w:tc>
          <w:tcPr/>
          <w:p>
            <w:pPr>
              <w:pStyle w:val="Tabla8"/>
              <w:jc w:val="left"/>
            </w:pPr>
            <w:r>
              <w:t xml:space="preserve">El método y la distancia a la referencia explican más que la frecuencia</w:t>
            </w:r>
          </w:p>
        </w:tc>
      </w:tr>
      <w:tr>
        <w:trPr>
          <w:cantSplit/>
        </w:trPr>
        <w:tc>
          <w:tcPr/>
          <w:p>
            <w:pPr>
              <w:pStyle w:val="Tabla8"/>
              <w:jc w:val="left"/>
            </w:pPr>
            <w:r>
              <w:t xml:space="preserve">V06→V11</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INFERIDO</w:t>
            </w:r>
          </w:p>
        </w:tc>
        <w:tc>
          <w:tcPr/>
          <w:p>
            <w:pPr>
              <w:pStyle w:val="Tabla8"/>
              <w:jc w:val="left"/>
            </w:pPr>
            <w:r>
              <w:t xml:space="preserve">F-E3, E3-P04 §12; F-INF §1.3 hallazgo 5</w:t>
            </w:r>
          </w:p>
        </w:tc>
        <w:tc>
          <w:tcPr/>
          <w:p>
            <w:pPr>
              <w:pStyle w:val="Tabla8"/>
              <w:jc w:val="left"/>
            </w:pPr>
            <w:r>
              <w:t xml:space="preserve">Filtros de calidad de dato amortiguarían la propagación</w:t>
            </w:r>
          </w:p>
        </w:tc>
      </w:tr>
      <w:tr>
        <w:trPr>
          <w:cantSplit/>
        </w:trPr>
        <w:tc>
          <w:tcPr/>
          <w:p>
            <w:pPr>
              <w:pStyle w:val="Tabla8"/>
              <w:jc w:val="left"/>
            </w:pPr>
            <w:r>
              <w:t xml:space="preserve">V06→V12</w:t>
            </w:r>
          </w:p>
        </w:tc>
        <w:tc>
          <w:tcPr/>
          <w:p>
            <w:pPr>
              <w:pStyle w:val="Tabla8"/>
              <w:jc w:val="left"/>
            </w:pPr>
            <w:r>
              <w:t xml:space="preserve">2 (1, 2, 3)</w:t>
            </w:r>
          </w:p>
        </w:tc>
        <w:tc>
          <w:tcPr/>
          <w:p>
            <w:pPr>
              <w:pStyle w:val="Tabla8"/>
              <w:jc w:val="left"/>
            </w:pPr>
            <w:r>
              <w:t xml:space="preserve">+</w:t>
            </w:r>
          </w:p>
        </w:tc>
        <w:tc>
          <w:tcPr/>
          <w:p>
            <w:pPr>
              <w:pStyle w:val="Tabla8"/>
              <w:jc w:val="left"/>
            </w:pPr>
            <w:r>
              <w:t xml:space="preserve">MEDIA</w:t>
            </w:r>
          </w:p>
        </w:tc>
        <w:tc>
          <w:tcPr/>
          <w:p>
            <w:pPr>
              <w:pStyle w:val="Tabla8"/>
              <w:jc w:val="left"/>
            </w:pPr>
            <w:r>
              <w:t xml:space="preserve">INFERIDO</w:t>
            </w:r>
          </w:p>
        </w:tc>
        <w:tc>
          <w:tcPr/>
          <w:p>
            <w:pPr>
              <w:pStyle w:val="Tabla8"/>
              <w:jc w:val="left"/>
            </w:pPr>
            <w:r>
              <w:t xml:space="preserve">F-E3, E3-P04 §12; F-INF §1.3 hallazgo 2</w:t>
            </w:r>
          </w:p>
        </w:tc>
        <w:tc>
          <w:tcPr/>
          <w:p>
            <w:pPr>
              <w:pStyle w:val="Tabla8"/>
              <w:jc w:val="left"/>
            </w:pPr>
            <w:r>
              <w:t xml:space="preserve">Si las alertas parten del índice agregado, el valor directo sería 0 o 1</w:t>
            </w:r>
          </w:p>
        </w:tc>
      </w:tr>
      <w:tr>
        <w:trPr>
          <w:cantSplit/>
        </w:trPr>
        <w:tc>
          <w:tcPr/>
          <w:p>
            <w:pPr>
              <w:pStyle w:val="Tabla8"/>
              <w:jc w:val="left"/>
            </w:pPr>
            <w:r>
              <w:t xml:space="preserve">V11→V14</w:t>
            </w:r>
          </w:p>
        </w:tc>
        <w:tc>
          <w:tcPr/>
          <w:p>
            <w:pPr>
              <w:pStyle w:val="Tabla8"/>
              <w:jc w:val="left"/>
            </w:pPr>
            <w:r>
              <w:t xml:space="preserve">2 (1, 2, 3)</w:t>
            </w:r>
          </w:p>
        </w:tc>
        <w:tc>
          <w:tcPr/>
          <w:p>
            <w:pPr>
              <w:pStyle w:val="Tabla8"/>
              <w:jc w:val="left"/>
            </w:pPr>
            <w:r>
              <w:t xml:space="preserve">+</w:t>
            </w:r>
          </w:p>
        </w:tc>
        <w:tc>
          <w:tcPr/>
          <w:p>
            <w:pPr>
              <w:pStyle w:val="Tabla8"/>
              <w:jc w:val="left"/>
            </w:pPr>
            <w:r>
              <w:t xml:space="preserve">MEDIA</w:t>
            </w:r>
          </w:p>
        </w:tc>
        <w:tc>
          <w:tcPr/>
          <w:p>
            <w:pPr>
              <w:pStyle w:val="Tabla8"/>
              <w:jc w:val="left"/>
            </w:pPr>
            <w:r>
              <w:t xml:space="preserve">PROPUESTO</w:t>
            </w:r>
          </w:p>
        </w:tc>
        <w:tc>
          <w:tcPr/>
          <w:p>
            <w:pPr>
              <w:pStyle w:val="Tabla8"/>
              <w:jc w:val="left"/>
            </w:pPr>
            <w:r>
              <w:t xml:space="preserve">F-E3, E3-P04 §12 y E3-P18</w:t>
            </w:r>
          </w:p>
        </w:tc>
        <w:tc>
          <w:tcPr/>
          <w:p>
            <w:pPr>
              <w:pStyle w:val="Tabla8"/>
              <w:jc w:val="left"/>
            </w:pPr>
            <w:r>
              <w:t xml:space="preserve">Un protocolo obligatorio con medidas automáticas daría 3</w:t>
            </w:r>
          </w:p>
        </w:tc>
      </w:tr>
      <w:tr>
        <w:trPr>
          <w:cantSplit/>
        </w:trPr>
        <w:tc>
          <w:tcPr/>
          <w:p>
            <w:pPr>
              <w:pStyle w:val="Tabla8"/>
              <w:jc w:val="left"/>
            </w:pPr>
            <w:r>
              <w:t xml:space="preserve">V12→V15</w:t>
            </w:r>
          </w:p>
        </w:tc>
        <w:tc>
          <w:tcPr/>
          <w:p>
            <w:pPr>
              <w:pStyle w:val="Tabla8"/>
              <w:jc w:val="left"/>
            </w:pPr>
            <w:r>
              <w:t xml:space="preserve">2 (1, 2, 3)</w:t>
            </w:r>
          </w:p>
        </w:tc>
        <w:tc>
          <w:tcPr/>
          <w:p>
            <w:pPr>
              <w:pStyle w:val="Tabla8"/>
              <w:jc w:val="left"/>
            </w:pPr>
            <w:r>
              <w:t xml:space="preserve">-</w:t>
            </w:r>
          </w:p>
        </w:tc>
        <w:tc>
          <w:tcPr/>
          <w:p>
            <w:pPr>
              <w:pStyle w:val="Tabla8"/>
              <w:jc w:val="left"/>
            </w:pPr>
            <w:r>
              <w:t xml:space="preserve">MEDIA</w:t>
            </w:r>
          </w:p>
        </w:tc>
        <w:tc>
          <w:tcPr/>
          <w:p>
            <w:pPr>
              <w:pStyle w:val="Tabla8"/>
              <w:jc w:val="left"/>
            </w:pPr>
            <w:r>
              <w:t xml:space="preserve">INFERIDO</w:t>
            </w:r>
          </w:p>
        </w:tc>
        <w:tc>
          <w:tcPr/>
          <w:p>
            <w:pPr>
              <w:pStyle w:val="Tabla8"/>
              <w:jc w:val="left"/>
            </w:pPr>
            <w:r>
              <w:t xml:space="preserve">F-E3, E3-P04 §12 y E3-P18</w:t>
            </w:r>
          </w:p>
        </w:tc>
        <w:tc>
          <w:tcPr/>
          <w:p>
            <w:pPr>
              <w:pStyle w:val="Tabla8"/>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el expediente de la sección F4.5.</w:t>
      </w:r>
    </w:p>
    <w:p>
      <w:pPr>
        <w:pStyle w:val="BodyText"/>
      </w:pPr>
      <w:r>
        <w:rPr>
          <w:b/>
          <w:bCs/>
        </w:rPr>
        <w:t xml:space="preserve">Sensibilidad.</w:t>
      </w:r>
      <w:r>
        <w:t xml:space="preserve"> </w:t>
      </w:r>
      <w:r>
        <w:t xml:space="preserve">La perturbación de un enlace a la vez (F4.4.13) identifica a V05→V02 y V03→V06 entre los de mayor efecto sobre las clases. El enlace V07→V06, si bajara de 3 a 2, convertiría a V07 en autónoma relativa y cambiaría la clase indirecta de V10. Ningún valor recibe probabilidad.</w:t>
      </w:r>
    </w:p>
    <w:bookmarkEnd w:id="217"/>
    <w:bookmarkStart w:id="218" w:name="Xba21d1c68bf26d7d5eb35d81d58cc69d05e9af9"/>
    <w:p>
      <w:pPr>
        <w:pStyle w:val="Heading3"/>
      </w:pPr>
      <w:r>
        <w:t xml:space="preserve">F4.5.4 Contraste con el árbol de problemas del expediente E3</w:t>
      </w:r>
    </w:p>
    <w:p>
      <w:pPr>
        <w:pStyle w:val="FirstParagraph"/>
      </w:pPr>
      <w:r>
        <w:t xml:space="preserve">El árbol de E3 (sección F4.5 del expediente, con sus tablas 4.6 a 4.8) se contrasta con los resultados de 4.4. La Tabla F4.114 conserva los desacuerdos. No ajusta el problema a una solución preferida.</w:t>
      </w:r>
    </w:p>
    <w:p>
      <w:pPr>
        <w:pStyle w:val="TablaRotulo"/>
      </w:pPr>
      <w:bookmarkStart w:id="9191" w:name="rot_Tabla_F4_114"/>
      <w:r>
        <w:rPr>
          <w:b/>
          <w:bCs/>
        </w:rPr>
        <w:t xml:space="preserve">Tabla F4.114</w:t>
      </w:r>
      <w:bookmarkEnd w:id="9191"/>
    </w:p>
    <w:p>
      <w:pPr>
        <w:pStyle w:val="TablaTitulo"/>
      </w:pPr>
      <w:r>
        <w:rPr>
          <w:i/>
          <w:iCs/>
        </w:rPr>
        <w:t xml:space="preserve">Contraste con el árbol de problemas del expediente E3</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06"/>
        <w:gridCol w:w="2640"/>
        <w:gridCol w:w="2574"/>
      </w:tblGrid>
      <w:tr>
        <w:trPr>
          <w:cantSplit/>
          <w:tblHeader/>
        </w:trPr>
        <w:tc>
          <w:tcPr>
            <w:shd w:val="clear" w:color="auto" w:fill="00B050"/>
          </w:tcPr>
          <w:p>
            <w:pPr>
              <w:pStyle w:val="Tabla9"/>
              <w:jc w:val="center"/>
            </w:pPr>
            <w:r>
              <w:rPr>
                <w:b/>
                <w:color w:val="FFFFFF"/>
              </w:rPr>
              <w:t xml:space="preserve">Afirmación de F-E3</w:t>
            </w:r>
          </w:p>
        </w:tc>
        <w:tc>
          <w:tcPr>
            <w:shd w:val="clear" w:color="auto" w:fill="00B050"/>
          </w:tcPr>
          <w:p>
            <w:pPr>
              <w:pStyle w:val="Tabla9"/>
              <w:jc w:val="center"/>
            </w:pPr>
            <w:r>
              <w:rPr>
                <w:b/>
                <w:color w:val="FFFFFF"/>
              </w:rPr>
              <w:t xml:space="preserve">Resultado en 4.4 (S0, S1 y S2)</w:t>
            </w:r>
          </w:p>
        </w:tc>
        <w:tc>
          <w:tcPr>
            <w:shd w:val="clear" w:color="auto" w:fill="00B050"/>
          </w:tcPr>
          <w:p>
            <w:pPr>
              <w:pStyle w:val="Tabla9"/>
              <w:jc w:val="center"/>
            </w:pPr>
            <w:r>
              <w:rPr>
                <w:b/>
                <w:color w:val="FFFFFF"/>
              </w:rPr>
              <w:t xml:space="preserve">Tratamiento en esta sección</w:t>
            </w:r>
          </w:p>
        </w:tc>
      </w:tr>
      <w:tr>
        <w:trPr>
          <w:cantSplit/>
        </w:trPr>
        <w:tc>
          <w:tcPr/>
          <w:p>
            <w:pPr>
              <w:pStyle w:val="Tabla9"/>
              <w:jc w:val="left"/>
            </w:pPr>
            <w:r>
              <w:t xml:space="preserve">V06 es el problema central</w:t>
            </w:r>
          </w:p>
        </w:tc>
        <w:tc>
          <w:tcPr/>
          <w:p>
            <w:pPr>
              <w:pStyle w:val="Tabla9"/>
              <w:jc w:val="left"/>
            </w:pPr>
            <w:r>
              <w:t xml:space="preserve">Coincide: V06 es crítica en los cinco escenarios</w:t>
            </w:r>
          </w:p>
        </w:tc>
        <w:tc>
          <w:tcPr/>
          <w:p>
            <w:pPr>
              <w:pStyle w:val="Tabla9"/>
              <w:jc w:val="left"/>
            </w:pPr>
            <w:r>
              <w:t xml:space="preserve">Se conserva con otra matriz</w:t>
            </w:r>
          </w:p>
        </w:tc>
      </w:tr>
      <w:tr>
        <w:trPr>
          <w:cantSplit/>
        </w:trPr>
        <w:tc>
          <w:tcPr/>
          <w:p>
            <w:pPr>
              <w:pStyle w:val="Tabla9"/>
              <w:jc w:val="left"/>
            </w:pPr>
            <w:r>
              <w:t xml:space="preserve">V06 tiene TA 6 y TP 15</w:t>
            </w:r>
          </w:p>
        </w:tc>
        <w:tc>
          <w:tcPr/>
          <w:p>
            <w:pPr>
              <w:pStyle w:val="Tabla9"/>
              <w:jc w:val="left"/>
            </w:pPr>
            <w:r>
              <w:t xml:space="preserve">S0: 6 y 13. S1: 6 y 15. S2: 8 y 13</w:t>
            </w:r>
          </w:p>
        </w:tc>
        <w:tc>
          <w:tcPr/>
          <w:p>
            <w:pPr>
              <w:pStyle w:val="Tabla9"/>
              <w:jc w:val="left"/>
            </w:pPr>
            <w:r>
              <w:t xml:space="preserve">Los valores coinciden con S1 y dependen del escenario</w:t>
            </w:r>
          </w:p>
        </w:tc>
      </w:tr>
      <w:tr>
        <w:trPr>
          <w:cantSplit/>
        </w:trPr>
        <w:tc>
          <w:tcPr/>
          <w:p>
            <w:pPr>
              <w:pStyle w:val="Tabla9"/>
              <w:jc w:val="left"/>
            </w:pPr>
            <w:r>
              <w:t xml:space="preserve">V07 tiene rango indirecto 1,0 («pilar oculto»)</w:t>
            </w:r>
          </w:p>
        </w:tc>
        <w:tc>
          <w:tcPr/>
          <w:p>
            <w:pPr>
              <w:pStyle w:val="Tabla9"/>
              <w:jc w:val="left"/>
            </w:pPr>
            <w:r>
              <w:t xml:space="preserve">S0 en A⁶: único con influencia positiva. S1: rango 3. S2: rango 8</w:t>
            </w:r>
          </w:p>
        </w:tc>
        <w:tc>
          <w:tcPr/>
          <w:p>
            <w:pPr>
              <w:pStyle w:val="Tabla9"/>
              <w:jc w:val="left"/>
            </w:pPr>
            <w:r>
              <w:t xml:space="preserve">El rango 1,0 coincide con S0. La tabla de F-E3 combina dos matrices</w:t>
            </w:r>
          </w:p>
        </w:tc>
      </w:tr>
      <w:tr>
        <w:trPr>
          <w:cantSplit/>
        </w:trPr>
        <w:tc>
          <w:tcPr/>
          <w:p>
            <w:pPr>
              <w:pStyle w:val="Tabla9"/>
              <w:jc w:val="left"/>
            </w:pPr>
            <w:r>
              <w:t xml:space="preserve">V08 (latencia) es polo de la contradicción raíz y tiene rango 3,0</w:t>
            </w:r>
          </w:p>
        </w:tc>
        <w:tc>
          <w:tcPr/>
          <w:p>
            <w:pPr>
              <w:pStyle w:val="Tabla9"/>
              <w:jc w:val="left"/>
            </w:pPr>
            <w:r>
              <w:t xml:space="preserve">S2: rango 15 (último). V08→V06 = 0 con dominio de 0 a 2</w:t>
            </w:r>
          </w:p>
        </w:tc>
        <w:tc>
          <w:tcPr/>
          <w:p>
            <w:pPr>
              <w:pStyle w:val="Tabla9"/>
              <w:jc w:val="left"/>
            </w:pPr>
            <w:r>
              <w:t xml:space="preserve">No se dibuja V08 como causa de V06</w:t>
            </w:r>
          </w:p>
        </w:tc>
      </w:tr>
      <w:tr>
        <w:trPr>
          <w:cantSplit/>
        </w:trPr>
        <w:tc>
          <w:tcPr/>
          <w:p>
            <w:pPr>
              <w:pStyle w:val="Tabla9"/>
              <w:jc w:val="left"/>
            </w:pPr>
            <w:r>
              <w:t xml:space="preserve">La causa raíz es la arquitectura que depende de la nube</w:t>
            </w:r>
          </w:p>
        </w:tc>
        <w:tc>
          <w:tcPr/>
          <w:p>
            <w:pPr>
              <w:pStyle w:val="Tabla9"/>
              <w:jc w:val="left"/>
            </w:pPr>
            <w:r>
              <w:t xml:space="preserve">Ninguna variable de las quince la representa. La matriz no la deriva</w:t>
            </w:r>
          </w:p>
        </w:tc>
        <w:tc>
          <w:tcPr/>
          <w:p>
            <w:pPr>
              <w:pStyle w:val="Tabla9"/>
              <w:jc w:val="left"/>
            </w:pPr>
            <w:r>
              <w:t xml:space="preserve">Se trata como hipótesis fuera del modelo (F4.5.5)</w:t>
            </w:r>
          </w:p>
        </w:tc>
      </w:tr>
      <w:tr>
        <w:trPr>
          <w:cantSplit/>
        </w:trPr>
        <w:tc>
          <w:tcPr/>
          <w:p>
            <w:pPr>
              <w:pStyle w:val="Tabla9"/>
              <w:jc w:val="left"/>
            </w:pPr>
            <w:r>
              <w:t xml:space="preserve">La extinción en A⁷ demuestra un grafo acíclico</w:t>
            </w:r>
          </w:p>
        </w:tc>
        <w:tc>
          <w:tcPr/>
          <w:p>
            <w:pPr>
              <w:pStyle w:val="Tabla9"/>
              <w:jc w:val="left"/>
            </w:pPr>
            <w:r>
              <w:t xml:space="preserve">Solo S0 se extingue. S2 tiene 144 ciclos simples</w:t>
            </w:r>
          </w:p>
        </w:tc>
        <w:tc>
          <w:tcPr/>
          <w:p>
            <w:pPr>
              <w:pStyle w:val="Tabla9"/>
              <w:jc w:val="left"/>
            </w:pPr>
            <w:r>
              <w:t xml:space="preserve">La extinción es propiedad de las 22 aristas de S0</w:t>
            </w:r>
          </w:p>
        </w:tc>
      </w:tr>
      <w:tr>
        <w:trPr>
          <w:cantSplit/>
        </w:trPr>
        <w:tc>
          <w:tcPr/>
          <w:p>
            <w:pPr>
              <w:pStyle w:val="Tabla9"/>
              <w:jc w:val="left"/>
            </w:pPr>
            <w:r>
              <w:t xml:space="preserve">V12 y V15 son reactivas y forman el follaje</w:t>
            </w:r>
          </w:p>
        </w:tc>
        <w:tc>
          <w:tcPr/>
          <w:p>
            <w:pPr>
              <w:pStyle w:val="Tabla9"/>
              <w:jc w:val="left"/>
            </w:pPr>
            <w:r>
              <w:t xml:space="preserve">S2: V12 es frontera y V15 es crítica. Solo V14 es reactiva en los cinco escenarios</w:t>
            </w:r>
          </w:p>
        </w:tc>
        <w:tc>
          <w:tcPr/>
          <w:p>
            <w:pPr>
              <w:pStyle w:val="Tabla9"/>
              <w:jc w:val="left"/>
            </w:pPr>
            <w:r>
              <w:t xml:space="preserve">Se dibujan como efectos con la reserva de clase</w:t>
            </w:r>
          </w:p>
        </w:tc>
      </w:tr>
      <w:tr>
        <w:trPr>
          <w:cantSplit/>
        </w:trPr>
        <w:tc>
          <w:tcPr/>
          <w:p>
            <w:pPr>
              <w:pStyle w:val="Tabla9"/>
              <w:jc w:val="left"/>
            </w:pPr>
            <w:r>
              <w:t xml:space="preserve">V15 es solo un efecto</w:t>
            </w:r>
          </w:p>
        </w:tc>
        <w:tc>
          <w:tcPr/>
          <w:p>
            <w:pPr>
              <w:pStyle w:val="Tabla9"/>
              <w:jc w:val="left"/>
            </w:pPr>
            <w:r>
              <w:t xml:space="preserve">S2: V15 tiene cinco aristas de salida y participa en 140 de 144 ciclos</w:t>
            </w:r>
          </w:p>
        </w:tc>
        <w:tc>
          <w:tcPr/>
          <w:p>
            <w:pPr>
              <w:pStyle w:val="Tabla9"/>
              <w:jc w:val="left"/>
            </w:pPr>
            <w:r>
              <w:t xml:space="preserve">El efecto se dibuja. El bucle queda en el registro</w:t>
            </w:r>
          </w:p>
        </w:tc>
      </w:tr>
    </w:tbl>
    <w:p>
      <w:pPr>
        <w:pStyle w:val="TablaNota"/>
      </w:pPr>
      <w:r>
        <w:rPr>
          <w:i/>
          <w:iCs/>
        </w:rPr>
        <w:t xml:space="preserve">Nota.</w:t>
      </w:r>
      <w:r>
        <w:t xml:space="preserve"> </w:t>
      </w:r>
      <w:r>
        <w:t xml:space="preserve">Elaboración propia con el expediente de la sección F4.5.</w:t>
      </w:r>
    </w:p>
    <w:bookmarkEnd w:id="218"/>
    <w:bookmarkStart w:id="219" w:name="_Toc00900086"/>
    <w:p>
      <w:pPr>
        <w:pStyle w:val="Heading3"/>
      </w:pPr>
      <w:r>
        <w:t xml:space="preserve">F4.5.5 Lo que el árbol no representa</w:t>
      </w:r>
    </w:p>
    <w:p>
      <w:pPr>
        <w:pStyle w:val="Compact"/>
        <w:numPr>
          <w:ilvl w:val="0"/>
          <w:numId w:val="1019"/>
        </w:numPr>
      </w:pPr>
      <w:r>
        <w:rPr>
          <w:b/>
          <w:bCs/>
        </w:rPr>
        <w:t xml:space="preserve">Bucles.</w:t>
      </w:r>
      <w:r>
        <w:t xml:space="preserve"> </w:t>
      </w:r>
      <w:r>
        <w:t xml:space="preserve">S2 contiene cuatro ciclos de dos aristas: V06 y V07, V09 y V15, V11 y V12, V14 y V15. V15 retroalimenta a V05, V07, V09, V10 y V14. El árbol no dibuja bucles.</w:t>
      </w:r>
    </w:p>
    <w:p>
      <w:pPr>
        <w:pStyle w:val="Compact"/>
        <w:numPr>
          <w:ilvl w:val="0"/>
          <w:numId w:val="1019"/>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19"/>
        </w:numPr>
      </w:pPr>
      <w:r>
        <w:rPr>
          <w:b/>
          <w:bCs/>
        </w:rPr>
        <w:t xml:space="preserve">Variables latentes omitidas del modelo.</w:t>
      </w:r>
      <w:r>
        <w:t xml:space="preserve"> </w:t>
      </w:r>
      <w:r>
        <w:t xml:space="preserve">La distancia a la referencia, la edad del sensor, los episodios de humo y la precipitación no tienen identificador (4.3). Pueden alterar las relaciones dibujadas.</w:t>
      </w:r>
    </w:p>
    <w:p>
      <w:pPr>
        <w:pStyle w:val="Compact"/>
        <w:numPr>
          <w:ilvl w:val="0"/>
          <w:numId w:val="1019"/>
        </w:numPr>
      </w:pPr>
      <w:r>
        <w:rPr>
          <w:b/>
          <w:bCs/>
        </w:rPr>
        <w:t xml:space="preserve">Marco rival de control en la fuente.</w:t>
      </w:r>
      <w:r>
        <w:t xml:space="preserve"> </w:t>
      </w:r>
      <w:r>
        <w:t xml:space="preserve">El árbol no representa la emisión de polvo en obra como causa. Su construcción exigiría otro problema central: la exposición, no el error de medición. Ese árbol no se construyó.</w:t>
      </w:r>
    </w:p>
    <w:p>
      <w:pPr>
        <w:pStyle w:val="Compact"/>
        <w:numPr>
          <w:ilvl w:val="0"/>
          <w:numId w:val="1019"/>
        </w:numPr>
      </w:pPr>
      <w:r>
        <w:rPr>
          <w:b/>
          <w:bCs/>
        </w:rPr>
        <w:t xml:space="preserve">Hipótesis de F-E3 sin variable.</w:t>
      </w:r>
      <w:r>
        <w:t xml:space="preserve"> </w:t>
      </w:r>
      <w:r>
        <w:t xml:space="preserve">La dependencia de la nube como causa raíz no figura. Se conserva como hipótesis a contrastar con el piloto.</w:t>
      </w:r>
    </w:p>
    <w:p>
      <w:pPr>
        <w:pStyle w:val="Compact"/>
        <w:numPr>
          <w:ilvl w:val="0"/>
          <w:numId w:val="1019"/>
        </w:numPr>
      </w:pPr>
      <w:r>
        <w:rPr>
          <w:b/>
          <w:bCs/>
        </w:rPr>
        <w:t xml:space="preserve">Continuidad posproyecto y morbilidad.</w:t>
      </w:r>
      <w:r>
        <w:t xml:space="preserve"> </w:t>
      </w:r>
      <w:r>
        <w:t xml:space="preserve">No existen variables en el modelo. Permanecen como hipótesis y vacíos (F4.4-MDR.13).</w:t>
      </w:r>
    </w:p>
    <w:bookmarkEnd w:id="219"/>
    <w:bookmarkStart w:id="220" w:name="_Toc00900087"/>
    <w:p>
      <w:pPr>
        <w:pStyle w:val="Heading3"/>
      </w:pPr>
      <w:r>
        <w:t xml:space="preserve">F4.5.6 Estado y consecuencias</w:t>
      </w:r>
    </w:p>
    <w:p>
      <w:pPr>
        <w:pStyle w:val="FirstParagraph"/>
      </w:pPr>
      <w:r>
        <w:t xml:space="preserve">El árbol queda como borrador con vacíos. Sus relaciones requieren la sesión de adjudicación de las fichas de 4.4, comenzando por los enlaces de mayor efecto. Un cambio de ficha obliga a reconstruir solo los nodos y enlaces afectados. Esta sección no modifica las decisiones de F4.4-MDR ni selecciona la alternativa final. La formalización del problema y la generación de alternativas dependen de este árbol, pero no se ejecutan aquí.</w:t>
      </w:r>
    </w:p>
    <w:bookmarkEnd w:id="220"/>
    <w:bookmarkEnd w:id="221"/>
    <w:bookmarkStart w:id="222" w:name="_Toc00900088"/>
    <w:p>
      <w:pPr>
        <w:pStyle w:val="Heading2"/>
      </w:pPr>
      <w:r>
        <w:t xml:space="preserve">F4.6 Técnica de los cinco porqués</w:t>
      </w:r>
    </w:p>
    <w:p>
      <w:pPr>
        <w:pStyle w:val="FirstParagraph"/>
      </w:pPr>
      <w:r>
        <w:t xml:space="preserve">La técnica de los cinco porqués recorre la cadena de causas desde el problema central hasta una causa estructural. Cada respuesta se apoya en las relaciones del escenario S2 (sección F4.4) y en la evidencia del corpus. Ninguna respuesta afirma un efecto causal estimado. Todas son hipótesis de influencia estructural (HIE). El rol DAG de la última columna proviene de la tabla de clasificación de la sección F4.3.</w:t>
      </w:r>
    </w:p>
    <w:p>
      <w:pPr>
        <w:pStyle w:val="BodyText"/>
      </w:pPr>
      <w:r>
        <w:t xml:space="preserve">La Tabla F4.115 presenta las cinco preguntas. La quinta respuesta es una hipótesis de diseño y compite con la causa raíz que declara E3, la arquitectura dependiente de la nube. Ninguna de las 15 variables representa esa arquitectura, de modo que esta formulación la trata como hipótesis rival y no como causa raíz.</w:t>
      </w:r>
    </w:p>
    <w:p>
      <w:pPr>
        <w:pStyle w:val="TablaRotulo"/>
      </w:pPr>
      <w:bookmarkStart w:id="9192" w:name="rot_Tabla_F4_115"/>
      <w:r>
        <w:rPr>
          <w:b/>
          <w:bCs/>
        </w:rPr>
        <w:t xml:space="preserve">Tabla F4.115</w:t>
      </w:r>
      <w:bookmarkEnd w:id="9192"/>
    </w:p>
    <w:p>
      <w:pPr>
        <w:pStyle w:val="TablaTitulo"/>
      </w:pPr>
      <w:r>
        <w:rPr>
          <w:i/>
          <w:iCs/>
        </w:rPr>
        <w:t xml:space="preserve">Aplicación de los cinco porqués a la causa crítica principal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92"/>
        <w:gridCol w:w="1452"/>
        <w:gridCol w:w="2046"/>
        <w:gridCol w:w="1980"/>
        <w:gridCol w:w="1650"/>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Pregunta</w:t>
            </w:r>
          </w:p>
        </w:tc>
        <w:tc>
          <w:tcPr>
            <w:shd w:val="clear" w:color="auto" w:fill="00B050"/>
          </w:tcPr>
          <w:p>
            <w:pPr>
              <w:pStyle w:val="Tabla9"/>
              <w:jc w:val="center"/>
            </w:pPr>
            <w:r>
              <w:rPr>
                <w:b/>
                <w:color w:val="FFFFFF"/>
              </w:rPr>
              <w:t xml:space="preserve">Respuesta</w:t>
            </w:r>
          </w:p>
        </w:tc>
        <w:tc>
          <w:tcPr>
            <w:shd w:val="clear" w:color="auto" w:fill="00B050"/>
          </w:tcPr>
          <w:p>
            <w:pPr>
              <w:pStyle w:val="Tabla9"/>
              <w:jc w:val="center"/>
            </w:pPr>
            <w:r>
              <w:rPr>
                <w:b/>
                <w:color w:val="FFFFFF"/>
              </w:rPr>
              <w:t xml:space="preserve">Evidencia</w:t>
            </w:r>
          </w:p>
        </w:tc>
        <w:tc>
          <w:tcPr>
            <w:shd w:val="clear" w:color="auto" w:fill="00B050"/>
          </w:tcPr>
          <w:p>
            <w:pPr>
              <w:pStyle w:val="Tabla9"/>
              <w:jc w:val="center"/>
            </w:pPr>
            <w:r>
              <w:rPr>
                <w:b/>
                <w:color w:val="FFFFFF"/>
              </w:rPr>
              <w:t xml:space="preserve">Rol DAG (F4.3)</w:t>
            </w:r>
          </w:p>
        </w:tc>
      </w:tr>
      <w:tr>
        <w:trPr>
          <w:cantSplit/>
        </w:trPr>
        <w:tc>
          <w:tcPr/>
          <w:p>
            <w:pPr>
              <w:pStyle w:val="Tabla9"/>
              <w:jc w:val="left"/>
            </w:pPr>
            <w:r>
              <w:t xml:space="preserve">P1</w:t>
            </w:r>
          </w:p>
        </w:tc>
        <w:tc>
          <w:tcPr/>
          <w:p>
            <w:pPr>
              <w:pStyle w:val="Tabla9"/>
              <w:jc w:val="left"/>
            </w:pPr>
            <w:r>
              <w:t xml:space="preserve">¿Por qué existe el problema central?</w:t>
            </w:r>
          </w:p>
        </w:tc>
        <w:tc>
          <w:tcPr/>
          <w:p>
            <w:pPr>
              <w:pStyle w:val="Tabla9"/>
              <w:jc w:val="left"/>
            </w:pPr>
            <w:r>
              <w:t xml:space="preserve">Las lecturas ópticas de PM2,5 y PM10 no se verifican frente a una referencia en los sitios de remoción (V06).</w:t>
            </w:r>
          </w:p>
        </w:tc>
        <w:tc>
          <w:tcPr/>
          <w:p>
            <w:pPr>
              <w:pStyle w:val="Tabla9"/>
              <w:jc w:val="left"/>
            </w:pPr>
            <w:r>
              <w:t xml:space="preserve">Línea base VACIO; el expediente declara NMAE superior a 45 % sin localizador</w:t>
            </w:r>
          </w:p>
        </w:tc>
        <w:tc>
          <w:tcPr/>
          <w:p>
            <w:pPr>
              <w:pStyle w:val="Tabla9"/>
              <w:jc w:val="left"/>
            </w:pPr>
            <w:r>
              <w:t xml:space="preserve">Resultado Y</w:t>
            </w:r>
          </w:p>
        </w:tc>
      </w:tr>
      <w:tr>
        <w:trPr>
          <w:cantSplit/>
        </w:trPr>
        <w:tc>
          <w:tcPr/>
          <w:p>
            <w:pPr>
              <w:pStyle w:val="Tabla9"/>
              <w:jc w:val="left"/>
            </w:pPr>
            <w:r>
              <w:t xml:space="preserve">P2</w:t>
            </w:r>
          </w:p>
        </w:tc>
        <w:tc>
          <w:tcPr/>
          <w:p>
            <w:pPr>
              <w:pStyle w:val="Tabla9"/>
              <w:jc w:val="left"/>
            </w:pPr>
            <w:r>
              <w:t xml:space="preserve">¿Por qué el error de lectura es alto?</w:t>
            </w:r>
          </w:p>
        </w:tc>
        <w:tc>
          <w:tcPr/>
          <w:p>
            <w:pPr>
              <w:pStyle w:val="Tabla9"/>
              <w:jc w:val="left"/>
            </w:pPr>
            <w:r>
              <w:t xml:space="preserve">La humedad relativa (V03) y la fracción gruesa (V02) alteran la respuesta óptica sin corrección local. En S2, V03→V06 = 3 y V02→V06 = 3.</w:t>
            </w:r>
          </w:p>
        </w:tc>
        <w:tc>
          <w:tcPr/>
          <w:p>
            <w:pPr>
              <w:pStyle w:val="Tabla9"/>
              <w:jc w:val="left"/>
            </w:pPr>
            <w:r>
              <w:t xml:space="preserve">Suresh et al. (2025, p. 30): correlación de 0,73 con la humedad; Bang et al. (2026, pp. 6-8): R² de menos de 0,2 a 0,81 con corrección</w:t>
            </w:r>
          </w:p>
        </w:tc>
        <w:tc>
          <w:tcPr/>
          <w:p>
            <w:pPr>
              <w:pStyle w:val="Tabla9"/>
              <w:jc w:val="left"/>
            </w:pPr>
            <w:r>
              <w:t xml:space="preserve">Predictor de Y y moderador</w:t>
            </w:r>
          </w:p>
        </w:tc>
      </w:tr>
      <w:tr>
        <w:trPr>
          <w:cantSplit/>
        </w:trPr>
        <w:tc>
          <w:tcPr/>
          <w:p>
            <w:pPr>
              <w:pStyle w:val="Tabla9"/>
              <w:jc w:val="left"/>
            </w:pPr>
            <w:r>
              <w:t xml:space="preserve">P3</w:t>
            </w:r>
          </w:p>
        </w:tc>
        <w:tc>
          <w:tcPr/>
          <w:p>
            <w:pPr>
              <w:pStyle w:val="Tabla9"/>
              <w:jc w:val="left"/>
            </w:pPr>
            <w:r>
              <w:t xml:space="preserve">¿Por qué no hay corrección local?</w:t>
            </w:r>
          </w:p>
        </w:tc>
        <w:tc>
          <w:tcPr/>
          <w:p>
            <w:pPr>
              <w:pStyle w:val="Tabla9"/>
              <w:jc w:val="left"/>
            </w:pPr>
            <w:r>
              <w:t xml:space="preserve">La calibración es estática o inexistente (V07→V06 = 3) y no hay referencias colocalizadas.</w:t>
            </w:r>
          </w:p>
        </w:tc>
        <w:tc>
          <w:tcPr/>
          <w:p>
            <w:pPr>
              <w:pStyle w:val="Tabla9"/>
              <w:jc w:val="left"/>
            </w:pPr>
            <w:r>
              <w:t xml:space="preserve">Murad Pedraza et al. (2026, pp. 10-11 y 13): 90,8 % de 5.076 estaciones sin plan de calibración (cálculo del analista)</w:t>
            </w:r>
          </w:p>
        </w:tc>
        <w:tc>
          <w:tcPr/>
          <w:p>
            <w:pPr>
              <w:pStyle w:val="Tabla9"/>
              <w:jc w:val="left"/>
            </w:pPr>
            <w:r>
              <w:t xml:space="preserve">Exposición X</w:t>
            </w:r>
          </w:p>
        </w:tc>
      </w:tr>
      <w:tr>
        <w:trPr>
          <w:cantSplit/>
        </w:trPr>
        <w:tc>
          <w:tcPr/>
          <w:p>
            <w:pPr>
              <w:pStyle w:val="Tabla9"/>
              <w:jc w:val="left"/>
            </w:pPr>
            <w:r>
              <w:t xml:space="preserve">P4</w:t>
            </w:r>
          </w:p>
        </w:tc>
        <w:tc>
          <w:tcPr/>
          <w:p>
            <w:pPr>
              <w:pStyle w:val="Tabla9"/>
              <w:jc w:val="left"/>
            </w:pPr>
            <w:r>
              <w:t xml:space="preserve">¿Por qué no se calibra en el sitio?</w:t>
            </w:r>
          </w:p>
        </w:tc>
        <w:tc>
          <w:tcPr/>
          <w:p>
            <w:pPr>
              <w:pStyle w:val="Tabla9"/>
              <w:jc w:val="left"/>
            </w:pPr>
            <w:r>
              <w:t xml:space="preserve">La calibración depende de referencias costosas, de energía y de enlace estables. La remoción (V05) degrada la disponibilidad de nodos (V05→V09 = 2) y expone los cabezales al polvo.</w:t>
            </w:r>
          </w:p>
        </w:tc>
        <w:tc>
          <w:tcPr/>
          <w:p>
            <w:pPr>
              <w:pStyle w:val="Tabla9"/>
              <w:jc w:val="left"/>
            </w:pPr>
            <w:r>
              <w:t xml:space="preserve">Ficha V05→V09 de la sección F4.4.4; Tavella et al. (2026, p. 6)</w:t>
            </w:r>
          </w:p>
        </w:tc>
        <w:tc>
          <w:tcPr/>
          <w:p>
            <w:pPr>
              <w:pStyle w:val="Tabla9"/>
              <w:jc w:val="left"/>
            </w:pPr>
            <w:r>
              <w:t xml:space="preserve">Predictor indirecto y causa de atrición</w:t>
            </w:r>
          </w:p>
        </w:tc>
      </w:tr>
      <w:tr>
        <w:trPr>
          <w:cantSplit/>
        </w:trPr>
        <w:tc>
          <w:tcPr/>
          <w:p>
            <w:pPr>
              <w:pStyle w:val="Tabla9"/>
              <w:jc w:val="left"/>
            </w:pPr>
            <w:r>
              <w:t xml:space="preserve">P5</w:t>
            </w:r>
          </w:p>
        </w:tc>
        <w:tc>
          <w:tcPr/>
          <w:p>
            <w:pPr>
              <w:pStyle w:val="Tabla9"/>
              <w:jc w:val="left"/>
            </w:pPr>
            <w:r>
              <w:t xml:space="preserve">¿Por qué ocurre lo anterior?</w:t>
            </w:r>
          </w:p>
        </w:tc>
        <w:tc>
          <w:tcPr/>
          <w:p>
            <w:pPr>
              <w:pStyle w:val="Tabla9"/>
              <w:jc w:val="left"/>
            </w:pPr>
            <w:r>
              <w:t xml:space="preserve">Causa raíz (hipótesis de diseño): la red de bajo costo opera sin un protocolo de calibración colocalizada y de corrección en el borde, con custodia institucional, adaptado a sitios de remoción de escombros.</w:t>
            </w:r>
          </w:p>
        </w:tc>
        <w:tc>
          <w:tcPr/>
          <w:p>
            <w:pPr>
              <w:pStyle w:val="Tabla9"/>
              <w:jc w:val="left"/>
            </w:pPr>
            <w:r>
              <w:t xml:space="preserve">INFERIDO; sin estimando identificado</w:t>
            </w:r>
          </w:p>
        </w:tc>
        <w:tc>
          <w:tcPr/>
          <w:p>
            <w:pPr>
              <w:pStyle w:val="Tabla9"/>
              <w:jc w:val="left"/>
            </w:pPr>
            <w:r>
              <w:t xml:space="preserve">No aplica (hipótesis estructural)</w:t>
            </w:r>
          </w:p>
        </w:tc>
      </w:tr>
    </w:tbl>
    <w:p>
      <w:pPr>
        <w:pStyle w:val="TablaNota"/>
      </w:pPr>
      <w:r>
        <w:rPr>
          <w:i/>
          <w:iCs/>
        </w:rPr>
        <w:t xml:space="preserve">Nota.</w:t>
      </w:r>
      <w:r>
        <w:t xml:space="preserve"> </w:t>
      </w:r>
      <w:r>
        <w:t xml:space="preserve">Elaboración propia con la ficha maestra (sección 10b) y el escenario S2 de la sección F4.4. Estatuto: HIE. Los valores V03→V06 y los demás son puntuaciones PROPUESTAS de la escala 0 a 3.</w:t>
      </w:r>
    </w:p>
    <w:bookmarkEnd w:id="222"/>
    <w:bookmarkStart w:id="223" w:name="X510b25ce32dcdeffc12ccbce3f8ec6a227926e6"/>
    <w:p>
      <w:pPr>
        <w:pStyle w:val="Heading2"/>
      </w:pPr>
      <w:r>
        <w:t xml:space="preserve">F4.7 Causas priorizadas para intervención</w:t>
      </w:r>
    </w:p>
    <w:p>
      <w:pPr>
        <w:pStyle w:val="FirstParagraph"/>
      </w:pPr>
      <w:r>
        <w:t xml:space="preserve">La priorización usa el escenario de trabajo S2 con corte por mediana (influencia y dependencia con mediana de 5). La clasificación de Vester ordena variables por su posición estructural y no estima efectos. La Tabla F4.116 reúne las cinco causas que el análisis prioriza. La variable V04 (viento) tiene influencia 8 y dependencia 0, pero es exógena. El proyecto no puede intervenir sobre ella y por eso no integra la lista.</w:t>
      </w:r>
    </w:p>
    <w:p>
      <w:pPr>
        <w:pStyle w:val="TablaRotulo"/>
      </w:pPr>
      <w:bookmarkStart w:id="9193" w:name="rot_Tabla_F4_116"/>
      <w:r>
        <w:rPr>
          <w:b/>
          <w:bCs/>
        </w:rPr>
        <w:t xml:space="preserve">Tabla F4.116</w:t>
      </w:r>
      <w:bookmarkEnd w:id="9193"/>
    </w:p>
    <w:p>
      <w:pPr>
        <w:pStyle w:val="TablaTitulo"/>
      </w:pPr>
      <w:r>
        <w:rPr>
          <w:i/>
          <w:iCs/>
        </w:rPr>
        <w:t xml:space="preserve">Cinco causas críticas o activas priorizadas para intervención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60"/>
        <w:gridCol w:w="1188"/>
        <w:gridCol w:w="924"/>
        <w:gridCol w:w="1056"/>
        <w:gridCol w:w="858"/>
        <w:gridCol w:w="792"/>
        <w:gridCol w:w="1188"/>
        <w:gridCol w:w="1254"/>
      </w:tblGrid>
      <w:tr>
        <w:trPr>
          <w:cantSplit/>
          <w:tblHeader/>
        </w:trPr>
        <w:tc>
          <w:tcPr>
            <w:shd w:val="clear" w:color="auto" w:fill="00B050"/>
          </w:tcPr>
          <w:p>
            <w:pPr>
              <w:pStyle w:val="Tabla8"/>
              <w:jc w:val="center"/>
            </w:pPr>
            <w:r>
              <w:rPr>
                <w:b/>
                <w:color w:val="FFFFFF"/>
              </w:rPr>
              <w:t xml:space="preserve">Código</w:t>
            </w:r>
          </w:p>
        </w:tc>
        <w:tc>
          <w:tcPr>
            <w:shd w:val="clear" w:color="auto" w:fill="00B050"/>
          </w:tcPr>
          <w:p>
            <w:pPr>
              <w:pStyle w:val="Tabla8"/>
              <w:jc w:val="center"/>
            </w:pPr>
            <w:r>
              <w:rPr>
                <w:b/>
                <w:color w:val="FFFFFF"/>
              </w:rPr>
              <w:t xml:space="preserve">Nombre</w:t>
            </w:r>
          </w:p>
        </w:tc>
        <w:tc>
          <w:tcPr>
            <w:shd w:val="clear" w:color="auto" w:fill="00B050"/>
          </w:tcPr>
          <w:p>
            <w:pPr>
              <w:pStyle w:val="Tabla8"/>
              <w:jc w:val="center"/>
            </w:pPr>
            <w:r>
              <w:rPr>
                <w:b/>
                <w:color w:val="FFFFFF"/>
              </w:rPr>
              <w:t xml:space="preserve">Influencia (TA)</w:t>
            </w:r>
          </w:p>
        </w:tc>
        <w:tc>
          <w:tcPr>
            <w:shd w:val="clear" w:color="auto" w:fill="00B050"/>
          </w:tcPr>
          <w:p>
            <w:pPr>
              <w:pStyle w:val="Tabla8"/>
              <w:jc w:val="center"/>
            </w:pPr>
            <w:r>
              <w:rPr>
                <w:b/>
                <w:color w:val="FFFFFF"/>
              </w:rPr>
              <w:t xml:space="preserve">Dependencia (TP)</w:t>
            </w:r>
          </w:p>
        </w:tc>
        <w:tc>
          <w:tcPr>
            <w:shd w:val="clear" w:color="auto" w:fill="00B050"/>
          </w:tcPr>
          <w:p>
            <w:pPr>
              <w:pStyle w:val="Tabla8"/>
              <w:jc w:val="center"/>
            </w:pPr>
            <w:r>
              <w:rPr>
                <w:b/>
                <w:color w:val="FFFFFF"/>
              </w:rPr>
              <w:t xml:space="preserve">Cuadrante (mediana)</w:t>
            </w:r>
          </w:p>
        </w:tc>
        <w:tc>
          <w:tcPr>
            <w:shd w:val="clear" w:color="auto" w:fill="00B050"/>
          </w:tcPr>
          <w:p>
            <w:pPr>
              <w:pStyle w:val="Tabla8"/>
              <w:jc w:val="center"/>
            </w:pPr>
            <w:r>
              <w:rPr>
                <w:b/>
                <w:color w:val="FFFFFF"/>
              </w:rPr>
              <w:t xml:space="preserve">Estatuto</w:t>
            </w:r>
          </w:p>
        </w:tc>
        <w:tc>
          <w:tcPr>
            <w:shd w:val="clear" w:color="auto" w:fill="00B050"/>
          </w:tcPr>
          <w:p>
            <w:pPr>
              <w:pStyle w:val="Tabla8"/>
              <w:jc w:val="center"/>
            </w:pPr>
            <w:r>
              <w:rPr>
                <w:b/>
                <w:color w:val="FFFFFF"/>
              </w:rPr>
              <w:t xml:space="preserve">Justificación</w:t>
            </w:r>
          </w:p>
        </w:tc>
        <w:tc>
          <w:tcPr>
            <w:shd w:val="clear" w:color="auto" w:fill="00B050"/>
          </w:tcPr>
          <w:p>
            <w:pPr>
              <w:pStyle w:val="Tabla8"/>
              <w:jc w:val="center"/>
            </w:pPr>
            <w:r>
              <w:rPr>
                <w:b/>
                <w:color w:val="FFFFFF"/>
              </w:rPr>
              <w:t xml:space="preserve">Intervención</w:t>
            </w:r>
          </w:p>
        </w:tc>
      </w:tr>
      <w:tr>
        <w:trPr>
          <w:cantSplit/>
        </w:trPr>
        <w:tc>
          <w:tcPr/>
          <w:p>
            <w:pPr>
              <w:pStyle w:val="Tabla8"/>
              <w:jc w:val="left"/>
            </w:pPr>
            <w:r>
              <w:t xml:space="preserve">V06</w:t>
            </w:r>
          </w:p>
        </w:tc>
        <w:tc>
          <w:tcPr/>
          <w:p>
            <w:pPr>
              <w:pStyle w:val="Tabla8"/>
              <w:jc w:val="left"/>
            </w:pPr>
            <w:r>
              <w:t xml:space="preserve">Error de medición IoT</w:t>
            </w:r>
          </w:p>
        </w:tc>
        <w:tc>
          <w:tcPr/>
          <w:p>
            <w:pPr>
              <w:pStyle w:val="Tabla8"/>
              <w:jc w:val="left"/>
            </w:pPr>
            <w:r>
              <w:t xml:space="preserve">8</w:t>
            </w:r>
          </w:p>
        </w:tc>
        <w:tc>
          <w:tcPr/>
          <w:p>
            <w:pPr>
              <w:pStyle w:val="Tabla8"/>
              <w:jc w:val="left"/>
            </w:pPr>
            <w:r>
              <w:t xml:space="preserve">13</w:t>
            </w:r>
          </w:p>
        </w:tc>
        <w:tc>
          <w:tcPr/>
          <w:p>
            <w:pPr>
              <w:pStyle w:val="Tabla8"/>
              <w:jc w:val="left"/>
            </w:pPr>
            <w:r>
              <w:t xml:space="preserve">critica</w:t>
            </w:r>
          </w:p>
        </w:tc>
        <w:tc>
          <w:tcPr/>
          <w:p>
            <w:pPr>
              <w:pStyle w:val="Tabla8"/>
              <w:jc w:val="left"/>
            </w:pPr>
            <w:r>
              <w:t xml:space="preserve">HIE</w:t>
            </w:r>
          </w:p>
        </w:tc>
        <w:tc>
          <w:tcPr/>
          <w:p>
            <w:pPr>
              <w:pStyle w:val="Tabla8"/>
              <w:jc w:val="left"/>
            </w:pPr>
            <w:r>
              <w:t xml:space="preserve">Problema central: mayor dependencia del sistema y crítica en los cinco escenarios.</w:t>
            </w:r>
          </w:p>
        </w:tc>
        <w:tc>
          <w:tcPr/>
          <w:p>
            <w:pPr>
              <w:pStyle w:val="Tabla8"/>
              <w:jc w:val="left"/>
            </w:pPr>
            <w:r>
              <w:t xml:space="preserve">Colocalización con referencia gravimétrica y corrección en el gateway (OE1)</w:t>
            </w:r>
          </w:p>
        </w:tc>
      </w:tr>
      <w:tr>
        <w:trPr>
          <w:cantSplit/>
        </w:trPr>
        <w:tc>
          <w:tcPr/>
          <w:p>
            <w:pPr>
              <w:pStyle w:val="Tabla8"/>
              <w:jc w:val="left"/>
            </w:pPr>
            <w:r>
              <w:t xml:space="preserve">V02</w:t>
            </w:r>
          </w:p>
        </w:tc>
        <w:tc>
          <w:tcPr/>
          <w:p>
            <w:pPr>
              <w:pStyle w:val="Tabla8"/>
              <w:jc w:val="left"/>
            </w:pPr>
            <w:r>
              <w:t xml:space="preserve">Concentración de PM10 con fracción gruesa</w:t>
            </w:r>
          </w:p>
        </w:tc>
        <w:tc>
          <w:tcPr/>
          <w:p>
            <w:pPr>
              <w:pStyle w:val="Tabla8"/>
              <w:jc w:val="left"/>
            </w:pPr>
            <w:r>
              <w:t xml:space="preserve">7</w:t>
            </w:r>
          </w:p>
        </w:tc>
        <w:tc>
          <w:tcPr/>
          <w:p>
            <w:pPr>
              <w:pStyle w:val="Tabla8"/>
              <w:jc w:val="left"/>
            </w:pPr>
            <w:r>
              <w:t xml:space="preserve">6</w:t>
            </w:r>
          </w:p>
        </w:tc>
        <w:tc>
          <w:tcPr/>
          <w:p>
            <w:pPr>
              <w:pStyle w:val="Tabla8"/>
              <w:jc w:val="left"/>
            </w:pPr>
            <w:r>
              <w:t xml:space="preserve">critica</w:t>
            </w:r>
          </w:p>
        </w:tc>
        <w:tc>
          <w:tcPr/>
          <w:p>
            <w:pPr>
              <w:pStyle w:val="Tabla8"/>
              <w:jc w:val="left"/>
            </w:pPr>
            <w:r>
              <w:t xml:space="preserve">HIE</w:t>
            </w:r>
          </w:p>
        </w:tc>
        <w:tc>
          <w:tcPr/>
          <w:p>
            <w:pPr>
              <w:pStyle w:val="Tabla8"/>
              <w:jc w:val="left"/>
            </w:pPr>
            <w:r>
              <w:t xml:space="preserve">Influye con peso 3 sobre V06 y depende de la remoción.</w:t>
            </w:r>
          </w:p>
        </w:tc>
        <w:tc>
          <w:tcPr/>
          <w:p>
            <w:pPr>
              <w:pStyle w:val="Tabla8"/>
              <w:jc w:val="left"/>
            </w:pPr>
            <w:r>
              <w:t xml:space="preserve">Modelo con fracción gruesa e inlet protegido (OE1)</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7</w:t>
            </w:r>
          </w:p>
        </w:tc>
        <w:tc>
          <w:tcPr/>
          <w:p>
            <w:pPr>
              <w:pStyle w:val="Tabla8"/>
              <w:jc w:val="left"/>
            </w:pPr>
            <w:r>
              <w:t xml:space="preserve">7</w:t>
            </w:r>
          </w:p>
        </w:tc>
        <w:tc>
          <w:tcPr/>
          <w:p>
            <w:pPr>
              <w:pStyle w:val="Tabla8"/>
              <w:jc w:val="left"/>
            </w:pPr>
            <w:r>
              <w:t xml:space="preserve">critica</w:t>
            </w:r>
          </w:p>
        </w:tc>
        <w:tc>
          <w:tcPr/>
          <w:p>
            <w:pPr>
              <w:pStyle w:val="Tabla8"/>
              <w:jc w:val="left"/>
            </w:pPr>
            <w:r>
              <w:t xml:space="preserve">HIE</w:t>
            </w:r>
          </w:p>
        </w:tc>
        <w:tc>
          <w:tcPr/>
          <w:p>
            <w:pPr>
              <w:pStyle w:val="Tabla8"/>
              <w:jc w:val="left"/>
            </w:pPr>
            <w:r>
              <w:t xml:space="preserve">Aparece en 140 de 144 ciclos simples del escenario; sostiene el supuesto SC-3.</w:t>
            </w:r>
          </w:p>
        </w:tc>
        <w:tc>
          <w:tcPr/>
          <w:p>
            <w:pPr>
              <w:pStyle w:val="Tabla8"/>
              <w:jc w:val="left"/>
            </w:pPr>
            <w:r>
              <w:t xml:space="preserve">Co-diseño con los comités, formación y convenios por tramo (OE3)</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6</w:t>
            </w:r>
          </w:p>
        </w:tc>
        <w:tc>
          <w:tcPr/>
          <w:p>
            <w:pPr>
              <w:pStyle w:val="Tabla8"/>
              <w:jc w:val="left"/>
            </w:pPr>
            <w:r>
              <w:t xml:space="preserve">0</w:t>
            </w:r>
          </w:p>
        </w:tc>
        <w:tc>
          <w:tcPr/>
          <w:p>
            <w:pPr>
              <w:pStyle w:val="Tabla8"/>
              <w:jc w:val="left"/>
            </w:pPr>
            <w:r>
              <w:t xml:space="preserve">activa</w:t>
            </w:r>
          </w:p>
        </w:tc>
        <w:tc>
          <w:tcPr/>
          <w:p>
            <w:pPr>
              <w:pStyle w:val="Tabla8"/>
              <w:jc w:val="left"/>
            </w:pPr>
            <w:r>
              <w:t xml:space="preserve">HIE</w:t>
            </w:r>
          </w:p>
        </w:tc>
        <w:tc>
          <w:tcPr/>
          <w:p>
            <w:pPr>
              <w:pStyle w:val="Tabla8"/>
              <w:jc w:val="left"/>
            </w:pPr>
            <w:r>
              <w:t xml:space="preserve">Moderador de la respuesta óptica; exógena.</w:t>
            </w:r>
          </w:p>
        </w:tc>
        <w:tc>
          <w:tcPr/>
          <w:p>
            <w:pPr>
              <w:pStyle w:val="Tabla8"/>
              <w:jc w:val="left"/>
            </w:pPr>
            <w:r>
              <w:t xml:space="preserve">Modelo de corrección con interacción por humedad (OE1)</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7</w:t>
            </w:r>
          </w:p>
        </w:tc>
        <w:tc>
          <w:tcPr/>
          <w:p>
            <w:pPr>
              <w:pStyle w:val="Tabla8"/>
              <w:jc w:val="left"/>
            </w:pPr>
            <w:r>
              <w:t xml:space="preserve">1</w:t>
            </w:r>
          </w:p>
        </w:tc>
        <w:tc>
          <w:tcPr/>
          <w:p>
            <w:pPr>
              <w:pStyle w:val="Tabla8"/>
              <w:jc w:val="left"/>
            </w:pPr>
            <w:r>
              <w:t xml:space="preserve">activa</w:t>
            </w:r>
          </w:p>
        </w:tc>
        <w:tc>
          <w:tcPr/>
          <w:p>
            <w:pPr>
              <w:pStyle w:val="Tabla8"/>
              <w:jc w:val="left"/>
            </w:pPr>
            <w:r>
              <w:t xml:space="preserve">HIE</w:t>
            </w:r>
          </w:p>
        </w:tc>
        <w:tc>
          <w:tcPr/>
          <w:p>
            <w:pPr>
              <w:pStyle w:val="Tabla8"/>
              <w:jc w:val="left"/>
            </w:pPr>
            <w:r>
              <w:t xml:space="preserve">Fuente de PM10 y causa de atrición de nodos.</w:t>
            </w:r>
          </w:p>
        </w:tc>
        <w:tc>
          <w:tcPr/>
          <w:p>
            <w:pPr>
              <w:pStyle w:val="Tabla8"/>
              <w:jc w:val="left"/>
            </w:pPr>
            <w:r>
              <w:t xml:space="preserve">Energía y enlace redundantes, ubicación de nodos y mantenimiento (OE2)</w:t>
            </w:r>
          </w:p>
        </w:tc>
      </w:tr>
    </w:tbl>
    <w:p>
      <w:pPr>
        <w:pStyle w:val="TablaNota"/>
      </w:pPr>
      <w:r>
        <w:rPr>
          <w:i/>
          <w:iCs/>
        </w:rPr>
        <w:t xml:space="preserve">Nota.</w:t>
      </w:r>
      <w:r>
        <w:t xml:space="preserve"> </w:t>
      </w:r>
      <w:r>
        <w:t xml:space="preserve">Elaboración propia con RESULTADOS.json de la sección F4.4, escenario S2 (semilla 20261011). Los cinco puntajes de influencia y dependencia son totales de fila y de columna de la matriz de 15 por 15. Naturaleza: CALCULADO sobre juicios PROPUESTOS.</w:t>
      </w:r>
    </w:p>
    <w:p>
      <w:pPr>
        <w:pStyle w:val="BodyText"/>
      </w:pPr>
      <w:r>
        <w:t xml:space="preserve">Las tres variables críticas (V02, V06 y V15) y las dos activas (V03 y V05) coinciden con los tres objetivos específicos del proyecto. V06, V02 y V03 conducen a OE1; V05 conduce a OE2 a través de V09; V15 conduce a OE3. Esa correspondencia es un resultado de diseño: los objetivos se formularon después de la priorización y no antes.</w:t>
      </w:r>
    </w:p>
    <w:bookmarkEnd w:id="223"/>
    <w:bookmarkStart w:id="224" w:name="_Toc00900089"/>
    <w:p>
      <w:pPr>
        <w:pStyle w:val="Heading2"/>
      </w:pPr>
      <w:r>
        <w:t xml:space="preserve">F4.8 Causa raíz identificada</w:t>
      </w:r>
    </w:p>
    <w:p>
      <w:pPr>
        <w:pStyle w:val="FirstParagraph"/>
      </w:pPr>
      <w:r>
        <w:rPr>
          <w:b/>
          <w:bCs/>
        </w:rPr>
        <w:t xml:space="preserve">Formulación.</w:t>
      </w:r>
      <w:r>
        <w:t xml:space="preserve"> </w:t>
      </w:r>
      <w:r>
        <w:t xml:space="preserve">La red de bajo costo opera sin un protocolo de calibración colocalizada y de corrección en el borde. Ese protocolo debe tener custodia institucional y estar adaptado a sitios de remoción de escombros. Por ello entrega mediciones de error desconocido y reduce el uso institucional de las alertas.</w:t>
      </w:r>
    </w:p>
    <w:p>
      <w:pPr>
        <w:pStyle w:val="BodyText"/>
      </w:pPr>
      <w:r>
        <w:rPr>
          <w:b/>
          <w:bCs/>
        </w:rPr>
        <w:t xml:space="preserve">Evidencia.</w:t>
      </w:r>
      <w:r>
        <w:t xml:space="preserve"> </w:t>
      </w:r>
      <w:r>
        <w:t xml:space="preserve">Tres fuentes respaldan la formulación. Primera, Bang et al. (2026, pp. 6-8) muestran que una corrección local con estación cercana eleva el R² de menos de 0,2 a 0,81. Segunda, Murad Pedraza et al. (2026, pp. 10-11 y 13) reportan que 90,8 % de las estaciones de la red nacional propuesta serían sensores sin plan de calibración. La cifra es un cálculo del analista sobre las cifras del documento. Tercera, Suresh et al. (2025, p. 30) reportan una correlación de 0,73 entre partículas y humedad en una mina a cielo abierto.</w:t>
      </w:r>
    </w:p>
    <w:p>
      <w:pPr>
        <w:pStyle w:val="BodyText"/>
      </w:pPr>
      <w:r>
        <w:rPr>
          <w:b/>
          <w:bCs/>
        </w:rPr>
        <w:t xml:space="preserve">Clasificación de inferencia causal.</w:t>
      </w:r>
      <w:r>
        <w:t xml:space="preserve"> </w:t>
      </w:r>
      <w:r>
        <w:t xml:space="preserve">La causa raíz es una hipótesis estructural (HIE) y no un efecto estimado. Debe incluirse en el modelo como exposición X (método de corrección) y no como mecanismo, porque el proyecto la manipula por diseño. El estimando E1 es identificable solo si se ejecuta el sorteo semanal descrito en la sección F4.3.</w:t>
      </w:r>
    </w:p>
    <w:p>
      <w:pPr>
        <w:pStyle w:val="BodyText"/>
      </w:pPr>
      <w:r>
        <w:rPr>
          <w:b/>
          <w:bCs/>
        </w:rPr>
        <w:t xml:space="preserve">Validación contra las ortodoxias desmanteladas.</w:t>
      </w:r>
      <w:r>
        <w:t xml:space="preserve"> </w:t>
      </w:r>
      <w:r>
        <w:t xml:space="preserve">La formulación no depende de las creencias eliminadas en la Tabla F4.3. No supone inferencia en el chip del sensor, ni nodos silenciosos al 90 %, ni modelos de cizalladura. Depende de dos supuestos aún no verificados. El primero es que la corrección con colocalización generaliza a sitios de remoción (R-TEC-04). El segundo es que los comités adoptan el tablero (SC-3).</w:t>
      </w:r>
    </w:p>
    <w:p>
      <w:pPr>
        <w:pStyle w:val="BodyText"/>
      </w:pPr>
      <w:r>
        <w:t xml:space="preserve">La Tabla F4.117 registra la decisión sobre la causa raíz (nodo ND-10).</w:t>
      </w:r>
    </w:p>
    <w:p>
      <w:pPr>
        <w:pStyle w:val="TablaRotulo"/>
      </w:pPr>
      <w:bookmarkStart w:id="9194" w:name="rot_Tabla_F4_117"/>
      <w:r>
        <w:rPr>
          <w:b/>
          <w:bCs/>
        </w:rPr>
        <w:t xml:space="preserve">Tabla F4.117</w:t>
      </w:r>
      <w:bookmarkEnd w:id="9194"/>
    </w:p>
    <w:p>
      <w:pPr>
        <w:pStyle w:val="TablaTitulo"/>
      </w:pPr>
      <w:r>
        <w:rPr>
          <w:i/>
          <w:iCs/>
        </w:rPr>
        <w:t xml:space="preserve">Registro de decisión GENESIS: ND-10 Causa raíz adoptada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NODO</w:t>
            </w:r>
          </w:p>
        </w:tc>
        <w:tc>
          <w:tcPr/>
          <w:p>
            <w:pPr>
              <w:pStyle w:val="Tabla9"/>
              <w:jc w:val="left"/>
            </w:pPr>
            <w:r>
              <w:t xml:space="preserve">ND-10 Causa raíz adoptada</w:t>
            </w:r>
          </w:p>
        </w:tc>
      </w:tr>
      <w:tr>
        <w:trPr>
          <w:cantSplit/>
        </w:trPr>
        <w:tc>
          <w:tcPr/>
          <w:p>
            <w:pPr>
              <w:pStyle w:val="Tabla9"/>
              <w:jc w:val="left"/>
            </w:pPr>
            <w:r>
              <w:t xml:space="preserve">CLASE</w:t>
            </w:r>
          </w:p>
        </w:tc>
        <w:tc>
          <w:tcPr/>
          <w:p>
            <w:pPr>
              <w:pStyle w:val="Tabla9"/>
              <w:jc w:val="left"/>
            </w:pPr>
            <w:r>
              <w:t xml:space="preserve">MAYOR. Orienta la selección de alternativas del Paso 6.</w:t>
            </w:r>
          </w:p>
        </w:tc>
      </w:tr>
      <w:tr>
        <w:trPr>
          <w:cantSplit/>
        </w:trPr>
        <w:tc>
          <w:tcPr/>
          <w:p>
            <w:pPr>
              <w:pStyle w:val="Tabla9"/>
              <w:jc w:val="left"/>
            </w:pPr>
            <w:r>
              <w:t xml:space="preserve">DECISION</w:t>
            </w:r>
          </w:p>
        </w:tc>
        <w:tc>
          <w:tcPr/>
          <w:p>
            <w:pPr>
              <w:pStyle w:val="Tabla9"/>
              <w:jc w:val="left"/>
            </w:pPr>
            <w:r>
              <w:t xml:space="preserve">Adoptar como causa raíz la ausencia de un protocolo de calibración colocalizada y corrección en el borde con custodia institucional, y tratar la arquitectura dependiente de la nube como hipótesis rival.</w:t>
            </w:r>
          </w:p>
        </w:tc>
      </w:tr>
      <w:tr>
        <w:trPr>
          <w:cantSplit/>
        </w:trPr>
        <w:tc>
          <w:tcPr/>
          <w:p>
            <w:pPr>
              <w:pStyle w:val="Tabla9"/>
              <w:jc w:val="left"/>
            </w:pPr>
            <w:r>
              <w:t xml:space="preserve">DECIDE</w:t>
            </w:r>
          </w:p>
        </w:tc>
        <w:tc>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Declarar causa raíz una arquitectura que ninguna de las 15 variables representa. Pasar de HIE a IDC por posición en Vester o ascenso en MICMAC.</w:t>
            </w:r>
          </w:p>
        </w:tc>
      </w:tr>
      <w:tr>
        <w:trPr>
          <w:cantSplit/>
        </w:trPr>
        <w:tc>
          <w:tcPr/>
          <w:p>
            <w:pPr>
              <w:pStyle w:val="Tabla9"/>
              <w:jc w:val="left"/>
            </w:pPr>
            <w:r>
              <w:t xml:space="preserve">NODOS_BLANCOS</w:t>
            </w:r>
          </w:p>
        </w:tc>
        <w:tc>
          <w:tcPr/>
          <w:p>
            <w:pPr>
              <w:pStyle w:val="Tabla9"/>
              <w:jc w:val="left"/>
            </w:pPr>
            <w:r>
              <w:t xml:space="preserve">3: Bang et al. (2026, pp. 6-8); Murad Pedraza et al. (2026, pp. 10-11 y 13); Suresh et al. (2025, p. 30).</w:t>
            </w:r>
          </w:p>
        </w:tc>
      </w:tr>
      <w:tr>
        <w:trPr>
          <w:cantSplit/>
        </w:trPr>
        <w:tc>
          <w:tcPr/>
          <w:p>
            <w:pPr>
              <w:pStyle w:val="Tabla9"/>
              <w:jc w:val="left"/>
            </w:pPr>
            <w:r>
              <w:t xml:space="preserve">NODOS_GRISES</w:t>
            </w:r>
          </w:p>
        </w:tc>
        <w:tc>
          <w:tcPr/>
          <w:p>
            <w:pPr>
              <w:pStyle w:val="Tabla9"/>
              <w:jc w:val="left"/>
            </w:pPr>
            <w:r>
              <w:t xml:space="preserve">3: generalización a sitios de remoción; línea base de error propia; adopción institucional.</w:t>
            </w:r>
          </w:p>
        </w:tc>
      </w:tr>
      <w:tr>
        <w:trPr>
          <w:cantSplit/>
        </w:trPr>
        <w:tc>
          <w:tcPr/>
          <w:p>
            <w:pPr>
              <w:pStyle w:val="Tabla9"/>
              <w:jc w:val="left"/>
            </w:pPr>
            <w:r>
              <w:t xml:space="preserve">RUPTURAS</w:t>
            </w:r>
          </w:p>
        </w:tc>
        <w:tc>
          <w:tcPr/>
          <w:p>
            <w:pPr>
              <w:pStyle w:val="Tabla9"/>
              <w:jc w:val="left"/>
            </w:pPr>
            <w:r>
              <w:t xml:space="preserve">R-01: 0 | R-02: 0 | R-03: 0 | R-04: 0 | R-05: 1 (la cadena hasta personas protegidas permanece HIE).</w:t>
            </w:r>
          </w:p>
        </w:tc>
      </w:tr>
      <w:tr>
        <w:trPr>
          <w:cantSplit/>
        </w:trPr>
        <w:tc>
          <w:tcPr/>
          <w:p>
            <w:pPr>
              <w:pStyle w:val="Tabla9"/>
              <w:jc w:val="left"/>
            </w:pPr>
            <w:r>
              <w:t xml:space="preserve">PATRON_DOMINANTE</w:t>
            </w:r>
          </w:p>
        </w:tc>
        <w:tc>
          <w:tcPr/>
          <w:p>
            <w:pPr>
              <w:pStyle w:val="Tabla9"/>
              <w:jc w:val="left"/>
            </w:pPr>
            <w:r>
              <w:t xml:space="preserve">PR-06 (patrón emergente): causa raíz como hipótesis de diseño falsable en el piloto.</w:t>
            </w:r>
          </w:p>
        </w:tc>
      </w:tr>
      <w:tr>
        <w:trPr>
          <w:cantSplit/>
        </w:trPr>
        <w:tc>
          <w:tcPr/>
          <w:p>
            <w:pPr>
              <w:pStyle w:val="Tabla9"/>
              <w:jc w:val="left"/>
            </w:pPr>
            <w:r>
              <w:t xml:space="preserve">ANTIPATRONES_PR</w:t>
            </w:r>
          </w:p>
        </w:tc>
        <w:tc>
          <w:tcPr/>
          <w:p>
            <w:pPr>
              <w:pStyle w:val="Tabla9"/>
              <w:jc w:val="left"/>
            </w:pPr>
            <w:r>
              <w:t xml:space="preserve">PR-04 ausente: Sí. PR-05 ausente: No. La custodia depende de entidades cuya capacidad no se verificó.</w:t>
            </w:r>
          </w:p>
        </w:tc>
      </w:tr>
      <w:tr>
        <w:trPr>
          <w:cantSplit/>
        </w:trPr>
        <w:tc>
          <w:tcPr/>
          <w:p>
            <w:pPr>
              <w:pStyle w:val="Tabla9"/>
              <w:jc w:val="left"/>
            </w:pPr>
            <w:r>
              <w:t xml:space="preserve">ESCENA_SIMULABLE</w:t>
            </w:r>
          </w:p>
        </w:tc>
        <w:tc>
          <w:tcPr/>
          <w:p>
            <w:pPr>
              <w:pStyle w:val="Tabla9"/>
              <w:jc w:val="left"/>
            </w:pPr>
            <w:r>
              <w:t xml:space="preserve">En el mes 12, la compuerta C1 compara el NMAE y el R² del piloto con los umbrales; si no se cumplen, la hipótesis se revisa.</w:t>
            </w:r>
          </w:p>
        </w:tc>
      </w:tr>
      <w:tr>
        <w:trPr>
          <w:cantSplit/>
        </w:trPr>
        <w:tc>
          <w:tcPr/>
          <w:p>
            <w:pPr>
              <w:pStyle w:val="Tabla9"/>
              <w:jc w:val="left"/>
            </w:pPr>
            <w:r>
              <w:t xml:space="preserve">EVIDENCIA_JH_A</w:t>
            </w:r>
          </w:p>
        </w:tc>
        <w:tc>
          <w:tcPr/>
          <w:p>
            <w:pPr>
              <w:pStyle w:val="Tabla9"/>
              <w:jc w:val="left"/>
            </w:pPr>
            <w:r>
              <w:t xml:space="preserve">Tres citas del corpus con página.</w:t>
            </w:r>
          </w:p>
        </w:tc>
      </w:tr>
      <w:tr>
        <w:trPr>
          <w:cantSplit/>
        </w:trPr>
        <w:tc>
          <w:tcPr/>
          <w:p>
            <w:pPr>
              <w:pStyle w:val="Tabla9"/>
              <w:jc w:val="left"/>
            </w:pPr>
            <w:r>
              <w:t xml:space="preserve">EVIDENCIA_JH_B</w:t>
            </w:r>
          </w:p>
        </w:tc>
        <w:tc>
          <w:tcPr/>
          <w:p>
            <w:pPr>
              <w:pStyle w:val="Tabla9"/>
              <w:jc w:val="left"/>
            </w:pPr>
            <w:r>
              <w:t xml:space="preserve">Escenario S2: V06 es crítica en los cinco escenarios (sección F4.4.8).</w:t>
            </w:r>
          </w:p>
        </w:tc>
      </w:tr>
      <w:tr>
        <w:trPr>
          <w:cantSplit/>
        </w:trPr>
        <w:tc>
          <w:tcPr/>
          <w:p>
            <w:pPr>
              <w:pStyle w:val="Tabla9"/>
              <w:jc w:val="left"/>
            </w:pPr>
            <w:r>
              <w:t xml:space="preserve">CERCA_CONCEPTUAL</w:t>
            </w:r>
          </w:p>
        </w:tc>
        <w:tc>
          <w:tcPr/>
          <w:p>
            <w:pPr>
              <w:pStyle w:val="Tabla9"/>
              <w:jc w:val="left"/>
            </w:pPr>
            <w:r>
              <w:t xml:space="preserve">La causa raíz no prueba que la corrección reduzca el error en escombros. El piloto del tramo 1 lo mide.</w:t>
            </w:r>
          </w:p>
        </w:tc>
      </w:tr>
      <w:tr>
        <w:trPr>
          <w:cantSplit/>
        </w:trPr>
        <w:tc>
          <w:tcPr/>
          <w:p>
            <w:pPr>
              <w:pStyle w:val="Tabla9"/>
              <w:jc w:val="left"/>
            </w:pPr>
            <w:r>
              <w:t xml:space="preserve">ESTATUTO_CAUSAL</w:t>
            </w:r>
          </w:p>
        </w:tc>
        <w:tc>
          <w:tcPr/>
          <w:p>
            <w:pPr>
              <w:pStyle w:val="Tabla9"/>
              <w:jc w:val="left"/>
            </w:pPr>
            <w:r>
              <w:t xml:space="preserve">HIE. Ninguna afirmación EST.</w:t>
            </w:r>
          </w:p>
        </w:tc>
      </w:tr>
      <w:tr>
        <w:trPr>
          <w:cantSplit/>
        </w:trPr>
        <w:tc>
          <w:tcPr/>
          <w:p>
            <w:pPr>
              <w:pStyle w:val="Tabla9"/>
              <w:jc w:val="left"/>
            </w:pPr>
            <w:r>
              <w:t xml:space="preserve">VEREDICTO</w:t>
            </w:r>
          </w:p>
        </w:tc>
        <w:tc>
          <w:tcPr/>
          <w:p>
            <w:pPr>
              <w:pStyle w:val="Tabla9"/>
              <w:jc w:val="left"/>
            </w:pPr>
            <w:r>
              <w:t xml:space="preserve">Causa raíz adoptada como hipótesis de diseño, con la hipótesis rival registrada.</w:t>
            </w:r>
          </w:p>
        </w:tc>
      </w:tr>
      <w:tr>
        <w:trPr>
          <w:cantSplit/>
        </w:trPr>
        <w:tc>
          <w:tcPr/>
          <w:p>
            <w:pPr>
              <w:pStyle w:val="Tabla9"/>
              <w:jc w:val="left"/>
            </w:pPr>
            <w:r>
              <w:t xml:space="preserve">RAZON_DEL_DESCARTE</w:t>
            </w:r>
          </w:p>
        </w:tc>
        <w:tc>
          <w:tcPr/>
          <w:p>
            <w:pPr>
              <w:pStyle w:val="Tabla9"/>
              <w:jc w:val="left"/>
            </w:pPr>
            <w:r>
              <w:t xml:space="preserve">Se descarta la «arquitectura dependiente de la nube» como causa raíz: carece de variable que la represente en el modelo de 15 variables.</w:t>
            </w:r>
          </w:p>
        </w:tc>
      </w:tr>
      <w:tr>
        <w:trPr>
          <w:cantSplit/>
        </w:trPr>
        <w:tc>
          <w:tcPr/>
          <w:p>
            <w:pPr>
              <w:pStyle w:val="Tabla9"/>
              <w:jc w:val="left"/>
            </w:pPr>
            <w:r>
              <w:t xml:space="preserve">RESULTADO</w:t>
            </w:r>
          </w:p>
        </w:tc>
        <w:tc>
          <w:tcPr/>
          <w:p>
            <w:pPr>
              <w:pStyle w:val="Tabla9"/>
              <w:jc w:val="left"/>
            </w:pPr>
            <w:r>
              <w:t xml:space="preserve">CIERRA con vacíos declarados (generalización, línea base y adopción).</w:t>
            </w:r>
          </w:p>
        </w:tc>
      </w:tr>
    </w:tbl>
    <w:p>
      <w:pPr>
        <w:pStyle w:val="TablaNota"/>
      </w:pPr>
      <w:r>
        <w:rPr>
          <w:i/>
          <w:iCs/>
        </w:rPr>
        <w:t xml:space="preserve">Nota.</w:t>
      </w:r>
      <w:r>
        <w:t xml:space="preserve"> </w:t>
      </w:r>
      <w:r>
        <w:t xml:space="preserve">Elaboración propia con el protocolo de decisión GENESIS y la ficha maestra (sección 10b).</w:t>
      </w:r>
    </w:p>
    <w:p>
      <w:pPr>
        <w:pStyle w:val="BodyText"/>
      </w:pPr>
      <w:r>
        <w:t xml:space="preserve">Los pasos siguientes parten de esta hipótesis. El Paso 5 la formaliza en tres niveles y el Paso 6 genera las alternativas que la resuelven. Un último control cierra el paso: la Tabla F4.118 verifica la completitud de las secciones.</w:t>
      </w:r>
    </w:p>
    <w:p>
      <w:pPr>
        <w:pStyle w:val="TablaRotulo"/>
      </w:pPr>
      <w:bookmarkStart w:id="9195" w:name="rot_Tabla_F4_118"/>
      <w:r>
        <w:rPr>
          <w:b/>
          <w:bCs/>
        </w:rPr>
        <w:t xml:space="preserve">Tabla F4.118</w:t>
      </w:r>
      <w:bookmarkEnd w:id="9195"/>
    </w:p>
    <w:p>
      <w:pPr>
        <w:pStyle w:val="TablaTitulo"/>
      </w:pPr>
      <w:r>
        <w:rPr>
          <w:i/>
          <w:iCs/>
        </w:rPr>
        <w:t xml:space="preserve">Verificación de completitud del Paso 4</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2442"/>
        <w:gridCol w:w="2640"/>
        <w:gridCol w:w="1452"/>
      </w:tblGrid>
      <w:tr>
        <w:trPr>
          <w:cantSplit/>
          <w:tblHeader/>
        </w:trPr>
        <w:tc>
          <w:tcPr>
            <w:shd w:val="clear" w:color="auto" w:fill="00B050"/>
          </w:tcPr>
          <w:p>
            <w:pPr>
              <w:pStyle w:val="Tabla9"/>
              <w:jc w:val="center"/>
            </w:pPr>
            <w:r>
              <w:rPr>
                <w:b/>
                <w:color w:val="FFFFFF"/>
              </w:rPr>
              <w:t xml:space="preserve">Sección</w:t>
            </w:r>
          </w:p>
        </w:tc>
        <w:tc>
          <w:tcPr>
            <w:shd w:val="clear" w:color="auto" w:fill="00B050"/>
          </w:tcPr>
          <w:p>
            <w:pPr>
              <w:pStyle w:val="Tabla9"/>
              <w:jc w:val="center"/>
            </w:pPr>
            <w:r>
              <w:rPr>
                <w:b/>
                <w:color w:val="FFFFFF"/>
              </w:rPr>
              <w:t xml:space="preserve">Contenido exigido</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Dónde</w:t>
            </w:r>
          </w:p>
        </w:tc>
      </w:tr>
      <w:tr>
        <w:trPr>
          <w:cantSplit/>
        </w:trPr>
        <w:tc>
          <w:tcPr/>
          <w:p>
            <w:pPr>
              <w:pStyle w:val="Tabla9"/>
              <w:jc w:val="left"/>
            </w:pPr>
            <w:r>
              <w:t xml:space="preserve">F4.1</w:t>
            </w:r>
          </w:p>
        </w:tc>
        <w:tc>
          <w:tcPr/>
          <w:p>
            <w:pPr>
              <w:pStyle w:val="Tabla9"/>
              <w:jc w:val="left"/>
            </w:pPr>
            <w:r>
              <w:t xml:space="preserve">15 causas con evidencia y validación territorial</w:t>
            </w:r>
          </w:p>
        </w:tc>
        <w:tc>
          <w:tcPr/>
          <w:p>
            <w:pPr>
              <w:pStyle w:val="Tabla9"/>
              <w:jc w:val="left"/>
            </w:pPr>
            <w:r>
              <w:t xml:space="preserve">Completa; evidencia con vacíos declarados; articulación territorial NO_VERIFICADO</w:t>
            </w:r>
          </w:p>
        </w:tc>
        <w:tc>
          <w:tcPr/>
          <w:p>
            <w:pPr>
              <w:pStyle w:val="Tabla9"/>
              <w:jc w:val="left"/>
            </w:pPr>
            <w:r>
              <w:t xml:space="preserve">Tablas F4.1 y F4.2</w:t>
            </w:r>
          </w:p>
        </w:tc>
      </w:tr>
      <w:tr>
        <w:trPr>
          <w:cantSplit/>
        </w:trPr>
        <w:tc>
          <w:tcPr/>
          <w:p>
            <w:pPr>
              <w:pStyle w:val="Tabla9"/>
              <w:jc w:val="left"/>
            </w:pPr>
            <w:r>
              <w:t xml:space="preserve">F4.2</w:t>
            </w:r>
          </w:p>
        </w:tc>
        <w:tc>
          <w:tcPr/>
          <w:p>
            <w:pPr>
              <w:pStyle w:val="Tabla9"/>
              <w:jc w:val="left"/>
            </w:pPr>
            <w:r>
              <w:t xml:space="preserve">Desmantelamiento de ortodoxias</w:t>
            </w:r>
          </w:p>
        </w:tc>
        <w:tc>
          <w:tcPr/>
          <w:p>
            <w:pPr>
              <w:pStyle w:val="Tabla9"/>
              <w:jc w:val="left"/>
            </w:pPr>
            <w:r>
              <w:t xml:space="preserve">Completa; 15 de 15 supuestos analizados</w:t>
            </w:r>
          </w:p>
        </w:tc>
        <w:tc>
          <w:tcPr/>
          <w:p>
            <w:pPr>
              <w:pStyle w:val="Tabla9"/>
              <w:jc w:val="left"/>
            </w:pPr>
            <w:r>
              <w:t xml:space="preserve">Tabla F4.3</w:t>
            </w:r>
          </w:p>
        </w:tc>
      </w:tr>
      <w:tr>
        <w:trPr>
          <w:cantSplit/>
        </w:trPr>
        <w:tc>
          <w:tcPr/>
          <w:p>
            <w:pPr>
              <w:pStyle w:val="Tabla9"/>
              <w:jc w:val="left"/>
            </w:pPr>
            <w:r>
              <w:t xml:space="preserve">F4.3</w:t>
            </w:r>
          </w:p>
        </w:tc>
        <w:tc>
          <w:tcPr/>
          <w:p>
            <w:pPr>
              <w:pStyle w:val="Tabla9"/>
              <w:jc w:val="left"/>
            </w:pPr>
            <w:r>
              <w:t xml:space="preserve">Estimando, DAG, DAG rivales y estatutos</w:t>
            </w:r>
          </w:p>
        </w:tc>
        <w:tc>
          <w:tcPr/>
          <w:p>
            <w:pPr>
              <w:pStyle w:val="Tabla9"/>
              <w:jc w:val="left"/>
            </w:pPr>
            <w:r>
              <w:t xml:space="preserve">Completa</w:t>
            </w:r>
          </w:p>
        </w:tc>
        <w:tc>
          <w:tcPr/>
          <w:p>
            <w:pPr>
              <w:pStyle w:val="Tabla9"/>
              <w:jc w:val="left"/>
            </w:pPr>
            <w:r>
              <w:t xml:space="preserve">Sección F4.3</w:t>
            </w:r>
          </w:p>
        </w:tc>
      </w:tr>
      <w:tr>
        <w:trPr>
          <w:cantSplit/>
        </w:trPr>
        <w:tc>
          <w:tcPr/>
          <w:p>
            <w:pPr>
              <w:pStyle w:val="Tabla9"/>
              <w:jc w:val="left"/>
            </w:pPr>
            <w:r>
              <w:t xml:space="preserve">F4.4</w:t>
            </w:r>
          </w:p>
        </w:tc>
        <w:tc>
          <w:tcPr/>
          <w:p>
            <w:pPr>
              <w:pStyle w:val="Tabla9"/>
              <w:jc w:val="left"/>
            </w:pPr>
            <w:r>
              <w:t xml:space="preserve">Vester y MICMAC en cinco escenarios con 105 fichas</w:t>
            </w:r>
          </w:p>
        </w:tc>
        <w:tc>
          <w:tcPr/>
          <w:p>
            <w:pPr>
              <w:pStyle w:val="Tabla9"/>
              <w:jc w:val="left"/>
            </w:pPr>
            <w:r>
              <w:t xml:space="preserve">Completa; fichas en el Anexo K</w:t>
            </w:r>
          </w:p>
        </w:tc>
        <w:tc>
          <w:tcPr/>
          <w:p>
            <w:pPr>
              <w:pStyle w:val="Tabla9"/>
              <w:jc w:val="left"/>
            </w:pPr>
            <w:r>
              <w:t xml:space="preserve">Sección F4.4 y Anexo K</w:t>
            </w:r>
          </w:p>
        </w:tc>
      </w:tr>
      <w:tr>
        <w:trPr>
          <w:cantSplit/>
        </w:trPr>
        <w:tc>
          <w:tcPr/>
          <w:p>
            <w:pPr>
              <w:pStyle w:val="Tabla9"/>
              <w:jc w:val="left"/>
            </w:pPr>
            <w:r>
              <w:t xml:space="preserve">F4.4-MDR</w:t>
            </w:r>
          </w:p>
        </w:tc>
        <w:tc>
          <w:tcPr/>
          <w:p>
            <w:pPr>
              <w:pStyle w:val="Tabla9"/>
              <w:jc w:val="left"/>
            </w:pPr>
            <w:r>
              <w:t xml:space="preserve">Metodología de decisión, teoría del cambio, sostenibilidad, premortem y escenarios</w:t>
            </w:r>
          </w:p>
        </w:tc>
        <w:tc>
          <w:tcPr/>
          <w:p>
            <w:pPr>
              <w:pStyle w:val="Tabla9"/>
              <w:jc w:val="left"/>
            </w:pPr>
            <w:r>
              <w:t xml:space="preserve">Completa</w:t>
            </w:r>
          </w:p>
        </w:tc>
        <w:tc>
          <w:tcPr/>
          <w:p>
            <w:pPr>
              <w:pStyle w:val="Tabla9"/>
              <w:jc w:val="left"/>
            </w:pPr>
            <w:r>
              <w:t xml:space="preserve">Sección F4.4-MDR</w:t>
            </w:r>
          </w:p>
        </w:tc>
      </w:tr>
      <w:tr>
        <w:trPr>
          <w:cantSplit/>
        </w:trPr>
        <w:tc>
          <w:tcPr/>
          <w:p>
            <w:pPr>
              <w:pStyle w:val="Tabla9"/>
              <w:jc w:val="left"/>
            </w:pPr>
            <w:r>
              <w:t xml:space="preserve">F4.5</w:t>
            </w:r>
          </w:p>
        </w:tc>
        <w:tc>
          <w:tcPr/>
          <w:p>
            <w:pPr>
              <w:pStyle w:val="Tabla9"/>
              <w:jc w:val="left"/>
            </w:pPr>
            <w:r>
              <w:t xml:space="preserve">Árbol de problemas</w:t>
            </w:r>
          </w:p>
        </w:tc>
        <w:tc>
          <w:tcPr/>
          <w:p>
            <w:pPr>
              <w:pStyle w:val="Tabla9"/>
              <w:jc w:val="left"/>
            </w:pPr>
            <w:r>
              <w:t xml:space="preserve">Completa; JSON en el Anexo L</w:t>
            </w:r>
          </w:p>
        </w:tc>
        <w:tc>
          <w:tcPr/>
          <w:p>
            <w:pPr>
              <w:pStyle w:val="Tabla9"/>
              <w:jc w:val="left"/>
            </w:pPr>
            <w:r>
              <w:t xml:space="preserve">Sección F4.5 y Anexo L</w:t>
            </w:r>
          </w:p>
        </w:tc>
      </w:tr>
      <w:tr>
        <w:trPr>
          <w:cantSplit/>
        </w:trPr>
        <w:tc>
          <w:tcPr/>
          <w:p>
            <w:pPr>
              <w:pStyle w:val="Tabla9"/>
              <w:jc w:val="left"/>
            </w:pPr>
            <w:r>
              <w:t xml:space="preserve">F4.6 a F4.8</w:t>
            </w:r>
          </w:p>
        </w:tc>
        <w:tc>
          <w:tcPr/>
          <w:p>
            <w:pPr>
              <w:pStyle w:val="Tabla9"/>
              <w:jc w:val="left"/>
            </w:pPr>
            <w:r>
              <w:t xml:space="preserve">Cinco porqués, causas priorizadas y causa raíz</w:t>
            </w:r>
          </w:p>
        </w:tc>
        <w:tc>
          <w:tcPr/>
          <w:p>
            <w:pPr>
              <w:pStyle w:val="Tabla9"/>
              <w:jc w:val="left"/>
            </w:pPr>
            <w:r>
              <w:t xml:space="preserve">Completa</w:t>
            </w:r>
          </w:p>
        </w:tc>
        <w:tc>
          <w:tcPr/>
          <w:p>
            <w:pPr>
              <w:pStyle w:val="Tabla9"/>
              <w:jc w:val="left"/>
            </w:pPr>
            <w:r>
              <w:t xml:space="preserve">Tablas F4.5 a F4.7</w:t>
            </w:r>
          </w:p>
        </w:tc>
      </w:tr>
    </w:tbl>
    <w:p>
      <w:pPr>
        <w:pStyle w:val="TablaNota"/>
      </w:pPr>
      <w:r>
        <w:rPr>
          <w:i/>
          <w:iCs/>
        </w:rPr>
        <w:t xml:space="preserve">Nota.</w:t>
      </w:r>
      <w:r>
        <w:t xml:space="preserve"> </w:t>
      </w:r>
      <w:r>
        <w:t xml:space="preserve">Elaboración propia. Las tablas importadas de las secciones F4.3 a F4.5 se numeran con el prefijo F4 en orden de aparición.</w:t>
      </w:r>
    </w:p>
    <w:bookmarkEnd w:id="224"/>
    <w:bookmarkEnd w:id="225"/>
    <w:bookmarkStart w:id="231" w:name="X1d2b4c334fa7ba3f6ea72a2128337e645751b05"/>
    <w:p>
      <w:pPr>
        <w:pStyle w:val="Heading1"/>
      </w:pPr>
      <w:r>
        <w:t xml:space="preserve">Paso 5. Formalización tripartita del problema</w:t>
      </w:r>
    </w:p>
    <w:p>
      <w:pPr>
        <w:pStyle w:val="FirstParagraph"/>
      </w:pPr>
      <w:r>
        <w:t xml:space="preserve">El Paso 5 reformula el problema en tres niveles de abstracción: el metaproblema, el problema sustantivo y el problema formal. Cada nivel responde una pregunta distinta. El metaproblema pregunta por la falla sistémica que trasciende el contexto. El problema sustantivo pregunta cómo se manifiesta esa falla en el territorio. El problema formal pregunta qué variables medibles la capturan. La formalización parte de la causa raíz del Paso 4 (F4.8) y de las prioridades de la sección F4.7.</w:t>
      </w:r>
    </w:p>
    <w:bookmarkStart w:id="226" w:name="X616813ffd0ed19b73ddcd67e1df6a8d60d5bdc7"/>
    <w:p>
      <w:pPr>
        <w:pStyle w:val="Heading2"/>
      </w:pPr>
      <w:r>
        <w:t xml:space="preserve">F5.0 Validación de la articulación territorial del problema</w:t>
      </w:r>
    </w:p>
    <w:p>
      <w:pPr>
        <w:pStyle w:val="FirstParagraph"/>
      </w:pPr>
      <w:r>
        <w:t xml:space="preserve">El metaprompt exige verificar, antes de formalizar, que el problema se ancla al territorio y a las prioridades departamentales y nacionales. Exige también una regla bloqueante. Si menos de 5 de los 8 elementos del checklist se verifican, el proceso regresa a la fase de admisión. El expediente E3-P00 declara los 8 elementos como verificados. Esta formulación no puede confirmarlos. No se aportaron el Plan de Desarrollo Departamental (PDD) ni el Anexo 4 de la convocatoria. Tampoco se aportaron la política de investigación e innovación orientada por misiones (PIIOM) ni los documentos CONPES citados.</w:t>
      </w:r>
    </w:p>
    <w:p>
      <w:pPr>
        <w:pStyle w:val="BodyText"/>
      </w:pPr>
      <w:r>
        <w:t xml:space="preserve">La Tabla F5.1 contrasta lo declarado con lo verificado. Los ocho elementos quedan sin verificar y, por la regla bloqueante, el proceso debería regresar a la admisión. La decisión DEC-F12 continúa por orden expresa del usuario del 13 de octubre de 2026 y registra la reserva R-ART. El cierre del documento convierte esa reserva en una lista de documentos por obtener.</w:t>
      </w:r>
    </w:p>
    <w:p>
      <w:pPr>
        <w:pStyle w:val="TablaRotulo"/>
      </w:pPr>
      <w:bookmarkStart w:id="9196" w:name="rot_Tabla_F5_1"/>
      <w:r>
        <w:rPr>
          <w:b/>
          <w:bCs/>
        </w:rPr>
        <w:t xml:space="preserve">Tabla F5.1</w:t>
      </w:r>
      <w:bookmarkEnd w:id="9196"/>
    </w:p>
    <w:p>
      <w:pPr>
        <w:pStyle w:val="TablaTitulo"/>
      </w:pPr>
      <w:r>
        <w:rPr>
          <w:i/>
          <w:iCs/>
        </w:rPr>
        <w:t xml:space="preserve">Checklist de articulación territorial del problema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64"/>
        <w:gridCol w:w="1464"/>
        <w:gridCol w:w="1530"/>
        <w:gridCol w:w="1464"/>
        <w:gridCol w:w="1996"/>
      </w:tblGrid>
      <w:tr>
        <w:trPr>
          <w:cantSplit/>
          <w:tblHeader/>
        </w:trPr>
        <w:tc>
          <w:tcPr>
            <w:shd w:val="clear" w:color="auto" w:fill="00B050"/>
          </w:tcPr>
          <w:p>
            <w:pPr>
              <w:pStyle w:val="Tabla9"/>
              <w:jc w:val="center"/>
            </w:pPr>
            <w:r>
              <w:rPr>
                <w:b/>
                <w:color w:val="FFFFFF"/>
              </w:rPr>
              <w:t xml:space="preserve">Elemento de articulación</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Referencia declarada por E3-P00</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Demanda territorial seleccionada</w:t>
            </w:r>
          </w:p>
        </w:tc>
        <w:tc>
          <w:tcPr/>
          <w:p>
            <w:pPr>
              <w:pStyle w:val="Tabla9"/>
              <w:jc w:val="left"/>
            </w:pPr>
            <w:r>
              <w:t xml:space="preserve">Anexo 4 de la convocatoria</w:t>
            </w:r>
          </w:p>
        </w:tc>
        <w:tc>
          <w:tcPr/>
          <w:p>
            <w:pPr>
              <w:pStyle w:val="Tabla9"/>
              <w:jc w:val="left"/>
            </w:pPr>
            <w:r>
              <w:t xml:space="preserve">DT-CAL-11 (inteligencia artificial y riesgo); DT-CUN-11 (gobernanza territorial y riesgos)</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Eje estratégico del PDD vigente</w:t>
            </w:r>
          </w:p>
        </w:tc>
        <w:tc>
          <w:tcPr/>
          <w:p>
            <w:pPr>
              <w:pStyle w:val="Tabla9"/>
              <w:jc w:val="left"/>
            </w:pPr>
            <w:r>
              <w:t xml:space="preserve">PDD de Caldas 2024-2027</w:t>
            </w:r>
          </w:p>
        </w:tc>
        <w:tc>
          <w:tcPr/>
          <w:p>
            <w:pPr>
              <w:pStyle w:val="Tabla9"/>
              <w:jc w:val="left"/>
            </w:pPr>
            <w:r>
              <w:t xml:space="preserve">Eje 2, artículo 22: desarrollo sostenible y mitigación del riesgo climático y geológico</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Indicador del PDD asociado al problema</w:t>
            </w:r>
          </w:p>
        </w:tc>
        <w:tc>
          <w:tcPr/>
          <w:p>
            <w:pPr>
              <w:pStyle w:val="Tabla9"/>
              <w:jc w:val="left"/>
            </w:pPr>
            <w:r>
              <w:t xml:space="preserve">PDD de Caldas 2024-2027</w:t>
            </w:r>
          </w:p>
        </w:tc>
        <w:tc>
          <w:tcPr/>
          <w:p>
            <w:pPr>
              <w:pStyle w:val="Tabla9"/>
              <w:jc w:val="left"/>
            </w:pPr>
            <w:r>
              <w:t xml:space="preserve">Estaciones de monitoreo y alerta instaladas; línea base 12; meta 40</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Diagnóstico departamental</w:t>
            </w:r>
          </w:p>
        </w:tc>
        <w:tc>
          <w:tcPr/>
          <w:p>
            <w:pPr>
              <w:pStyle w:val="Tabla9"/>
              <w:jc w:val="left"/>
            </w:pPr>
            <w:r>
              <w:t xml:space="preserve">PDD de Cundinamarca y DANE</w:t>
            </w:r>
          </w:p>
        </w:tc>
        <w:tc>
          <w:tcPr/>
          <w:p>
            <w:pPr>
              <w:pStyle w:val="Tabla9"/>
              <w:jc w:val="left"/>
            </w:pPr>
            <w:r>
              <w:t xml:space="preserve">Déficit de cobertura de alerta temprana en zonas de alta pendiente (68 % sin datos)</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Misión PIIOM aplicable</w:t>
            </w:r>
          </w:p>
        </w:tc>
        <w:tc>
          <w:tcPr/>
          <w:p>
            <w:pPr>
              <w:pStyle w:val="Tabla9"/>
              <w:jc w:val="left"/>
            </w:pPr>
            <w:r>
              <w:t xml:space="preserve">PIIOM de MinCiencias</w:t>
            </w:r>
          </w:p>
        </w:tc>
        <w:tc>
          <w:tcPr/>
          <w:p>
            <w:pPr>
              <w:pStyle w:val="Tabla9"/>
              <w:jc w:val="left"/>
            </w:pPr>
            <w:r>
              <w:t xml:space="preserve">Misión 3: territorios sostenibles frente al cambio climático y los desastres</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CONPES o política nacional articulada</w:t>
            </w:r>
          </w:p>
        </w:tc>
        <w:tc>
          <w:tcPr/>
          <w:p>
            <w:pPr>
              <w:pStyle w:val="Tabla9"/>
              <w:jc w:val="left"/>
            </w:pPr>
            <w:r>
              <w:t xml:space="preserve">CONPES 4069 (Departamento Nacional de Planeación [DNP], 2021)</w:t>
            </w:r>
          </w:p>
        </w:tc>
        <w:tc>
          <w:tcPr/>
          <w:p>
            <w:pPr>
              <w:pStyle w:val="Tabla9"/>
              <w:jc w:val="left"/>
            </w:pPr>
            <w:r>
              <w:t xml:space="preserve">Objetivo 2, línea estratégica 4, según E3-P00</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Recomendación de la Misión de Sabios</w:t>
            </w:r>
          </w:p>
        </w:tc>
        <w:tc>
          <w:tcPr/>
          <w:p>
            <w:pPr>
              <w:pStyle w:val="Tabla9"/>
              <w:jc w:val="left"/>
            </w:pPr>
            <w:r>
              <w:t xml:space="preserve">Misión Internacional de Sabios (2019)</w:t>
            </w:r>
          </w:p>
        </w:tc>
        <w:tc>
          <w:tcPr/>
          <w:p>
            <w:pPr>
              <w:pStyle w:val="Tabla9"/>
              <w:jc w:val="left"/>
            </w:pPr>
            <w:r>
              <w:t xml:space="preserve">Foco 4: tecnologías convergentes, según E3-P00</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Demandas territoriales adicionales</w:t>
            </w:r>
          </w:p>
        </w:tc>
        <w:tc>
          <w:tcPr/>
          <w:p>
            <w:pPr>
              <w:pStyle w:val="Tabla9"/>
              <w:jc w:val="left"/>
            </w:pPr>
            <w:r>
              <w:t xml:space="preserve">Anexo 4 de la convocatoria</w:t>
            </w:r>
          </w:p>
        </w:tc>
        <w:tc>
          <w:tcPr/>
          <w:p>
            <w:pPr>
              <w:pStyle w:val="Tabla9"/>
              <w:jc w:val="left"/>
            </w:pPr>
            <w:r>
              <w:t xml:space="preserve">DT-VAL-7: prevención de enfermedades respiratorias, subdimensión calidad del aire</w:t>
            </w:r>
          </w:p>
        </w:tc>
        <w:tc>
          <w:tcPr/>
          <w:p>
            <w:pPr>
              <w:pStyle w:val="Tabla9"/>
              <w:jc w:val="left"/>
            </w:pPr>
            <w:r>
              <w:t xml:space="preserve">DECLARADO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(Tabla E3-5.0). Los documentos CONPES 4069 y de la Misión de Sabios figuran en la lista de referencias, pero el contenido que E3 les atribuye no se verificó contra el texto. Ver decisión DEC-F12.</w:t>
      </w:r>
    </w:p>
    <w:bookmarkEnd w:id="226"/>
    <w:bookmarkStart w:id="227" w:name="_Toc00900090"/>
    <w:p>
      <w:pPr>
        <w:pStyle w:val="Heading2"/>
      </w:pPr>
      <w:r>
        <w:t xml:space="preserve">F5.1 Metaproblema (nivel abstracto)</w:t>
      </w:r>
    </w:p>
    <w:p>
      <w:pPr>
        <w:pStyle w:val="FirstParagraph"/>
      </w:pPr>
      <w:r>
        <w:t xml:space="preserve">La pregunta del árbol de lógica es qué falla sistémica trasciende este contexto. La falla es estructural: los sistemas de vigilancia ambiental de bajo costo se despliegan sin calibración colocalizada ni corrección local. Por eso entregan mediciones de calidad desconocida. Con datos sin error conocido, las instituciones deciden alertas sin saber si el valor medido se acerca al valor real. La Tabla F5.2 resume los componentes del metaproblema.</w:t>
      </w:r>
    </w:p>
    <w:p>
      <w:pPr>
        <w:pStyle w:val="TablaRotulo"/>
      </w:pPr>
      <w:bookmarkStart w:id="9197" w:name="rot_Tabla_F5_2"/>
      <w:r>
        <w:rPr>
          <w:b/>
          <w:bCs/>
        </w:rPr>
        <w:t xml:space="preserve">Tabla F5.2</w:t>
      </w:r>
      <w:bookmarkEnd w:id="9197"/>
    </w:p>
    <w:p>
      <w:pPr>
        <w:pStyle w:val="TablaTitulo"/>
      </w:pPr>
      <w:r>
        <w:rPr>
          <w:i/>
          <w:iCs/>
        </w:rPr>
        <w:t xml:space="preserve">Componentes del metaproblema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442"/>
        <w:gridCol w:w="5478"/>
      </w:tblGrid>
      <w:tr>
        <w:trPr>
          <w:cantSplit/>
          <w:tblHeader/>
        </w:trPr>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Falla sistémica</w:t>
            </w:r>
          </w:p>
        </w:tc>
        <w:tc>
          <w:tcPr/>
          <w:p>
            <w:pPr>
              <w:pStyle w:val="Tabla9"/>
              <w:jc w:val="left"/>
            </w:pPr>
            <w:r>
              <w:t xml:space="preserve">Despliegue de sensores de bajo costo sin calibración colocalizada ni corrección local, con resultados de calidad desconocida.</w:t>
            </w:r>
          </w:p>
        </w:tc>
      </w:tr>
      <w:tr>
        <w:trPr>
          <w:cantSplit/>
        </w:trPr>
        <w:tc>
          <w:tcPr/>
          <w:p>
            <w:pPr>
              <w:pStyle w:val="Tabla9"/>
              <w:jc w:val="left"/>
            </w:pPr>
            <w:r>
              <w:t xml:space="preserve">Ámbito</w:t>
            </w:r>
          </w:p>
        </w:tc>
        <w:tc>
          <w:tcPr/>
          <w:p>
            <w:pPr>
              <w:pStyle w:val="Tabla9"/>
              <w:jc w:val="left"/>
            </w:pPr>
            <w:r>
              <w:t xml:space="preserve">Vigilancia ambiental de material particulado para la gestión del riesgo de desastres.</w:t>
            </w:r>
          </w:p>
        </w:tc>
      </w:tr>
      <w:tr>
        <w:trPr>
          <w:cantSplit/>
        </w:trPr>
        <w:tc>
          <w:tcPr/>
          <w:p>
            <w:pPr>
              <w:pStyle w:val="Tabla9"/>
              <w:jc w:val="left"/>
            </w:pPr>
            <w:r>
              <w:t xml:space="preserve">Dimensión temporal</w:t>
            </w:r>
          </w:p>
        </w:tc>
        <w:tc>
          <w:tcPr/>
          <w:p>
            <w:pPr>
              <w:pStyle w:val="Tabla9"/>
              <w:jc w:val="left"/>
            </w:pPr>
            <w:r>
              <w:t xml:space="preserve">Persistencia durante la respuesta a un desastre y durante la recuperación posterior. [DATO_USUARIO: fecha del evento y duración de la remoción en cada sitio]</w:t>
            </w:r>
          </w:p>
        </w:tc>
      </w:tr>
      <w:tr>
        <w:trPr>
          <w:cantSplit/>
        </w:trPr>
        <w:tc>
          <w:tcPr/>
          <w:p>
            <w:pPr>
              <w:pStyle w:val="Tabla9"/>
              <w:jc w:val="left"/>
            </w:pPr>
            <w:r>
              <w:t xml:space="preserve">Alcance geográfico</w:t>
            </w:r>
          </w:p>
        </w:tc>
        <w:tc>
          <w:tcPr/>
          <w:p>
            <w:pPr>
              <w:pStyle w:val="Tabla9"/>
              <w:jc w:val="left"/>
            </w:pPr>
            <w:r>
              <w:t xml:space="preserve">Nacional, con evidencia de nivel sistémico: 90,8 % de las 5.076 estaciones de la red nacional propuesta serían sensores sin plan de calibración (Murad Pedraza et al., 2026, pp. 10-11 y 13; cálculo del analista).</w:t>
            </w:r>
          </w:p>
        </w:tc>
      </w:tr>
      <w:tr>
        <w:trPr>
          <w:cantSplit/>
        </w:trPr>
        <w:tc>
          <w:tcPr/>
          <w:p>
            <w:pPr>
              <w:pStyle w:val="Tabla9"/>
              <w:jc w:val="left"/>
            </w:pPr>
            <w:r>
              <w:t xml:space="preserve">Población afectada</w:t>
            </w:r>
          </w:p>
        </w:tc>
        <w:tc>
          <w:tcPr/>
          <w:p>
            <w:pPr>
              <w:pStyle w:val="Tabla9"/>
              <w:jc w:val="left"/>
            </w:pPr>
            <w:r>
              <w:t xml:space="preserve">Operarios de remoción de escombros y población expuesta en los sitios de intervención; comités de gestión del riesgo que deciden con los datos.</w:t>
            </w:r>
          </w:p>
        </w:tc>
      </w:tr>
      <w:tr>
        <w:trPr>
          <w:cantSplit/>
        </w:trPr>
        <w:tc>
          <w:tcPr/>
          <w:p>
            <w:pPr>
              <w:pStyle w:val="Tabla9"/>
              <w:jc w:val="left"/>
            </w:pPr>
            <w:r>
              <w:t xml:space="preserve">Articulación PDD</w:t>
            </w:r>
          </w:p>
        </w:tc>
        <w:tc>
          <w:tcPr/>
          <w:p>
            <w:pPr>
              <w:pStyle w:val="Tabla9"/>
              <w:jc w:val="left"/>
            </w:pPr>
            <w:r>
              <w:t xml:space="preserve">VACIO: el PDD vigente no se aportó (ver Tabla F5.1).</w:t>
            </w:r>
          </w:p>
        </w:tc>
      </w:tr>
      <w:tr>
        <w:trPr>
          <w:cantSplit/>
        </w:trPr>
        <w:tc>
          <w:tcPr/>
          <w:p>
            <w:pPr>
              <w:pStyle w:val="Tabla9"/>
              <w:jc w:val="left"/>
            </w:pPr>
            <w:r>
              <w:t xml:space="preserve">Demanda territorial</w:t>
            </w:r>
          </w:p>
        </w:tc>
        <w:tc>
          <w:tcPr/>
          <w:p>
            <w:pPr>
              <w:pStyle w:val="Tabla9"/>
              <w:jc w:val="left"/>
            </w:pPr>
            <w:r>
              <w:t xml:space="preserve">VACIO: el Anexo 4 no se aportó (ver Tabla F5.1).</w:t>
            </w:r>
          </w:p>
        </w:tc>
      </w:tr>
    </w:tbl>
    <w:p>
      <w:pPr>
        <w:pStyle w:val="TablaNota"/>
      </w:pPr>
      <w:r>
        <w:rPr>
          <w:i/>
          <w:iCs/>
        </w:rPr>
        <w:t xml:space="preserve">Nota.</w:t>
      </w:r>
      <w:r>
        <w:t xml:space="preserve"> </w:t>
      </w:r>
      <w:r>
        <w:t xml:space="preserve">Elaboración propia con la ficha maestra (sección 10c) y el informe de vigilancia tecnológica. Naturaleza: INFERIDO salvo la cifra citada (CALCULADO sobre un dato del documento).</w:t>
      </w:r>
    </w:p>
    <w:p>
      <w:pPr>
        <w:pStyle w:val="BodyText"/>
      </w:pPr>
      <w:r>
        <w:rPr>
          <w:b/>
          <w:bCs/>
        </w:rPr>
        <w:t xml:space="preserve">Enunciado del metaproblema.</w:t>
      </w:r>
    </w:p>
    <w:p>
      <w:pPr>
        <w:pStyle w:val="BlockText"/>
      </w:pPr>
      <w:r>
        <w:t xml:space="preserve">Los sistemas de vigilancia ambiental de bajo costo desplegados en contextos de desastre no entregan mediciones de material particulado con error conocido. La causa sistémica es la ausencia de calibración colocalizada y de corrección local. Esta disfunción lleva a decidir alertas con datos de calidad desconocida. Afecta a los operarios de remoción y a la población expuesta. Además, mantiene un ciclo: la baja confianza reduce el uso institucional de las mediciones.</w:t>
      </w:r>
    </w:p>
    <w:p>
      <w:pPr>
        <w:pStyle w:val="FirstParagraph"/>
      </w:pPr>
      <w:r>
        <w:t xml:space="preserve">El enunciado conserva la estructura que fija el metaprompt: sistema, incapacidad, causa sistémica, consecuencia, población afectada y ciclo de refuerzo. No afirma magnitud de daño en salud, porque el corpus no la mide en el contexto de escombros.</w:t>
      </w:r>
    </w:p>
    <w:bookmarkEnd w:id="227"/>
    <w:bookmarkStart w:id="228" w:name="X37bef8a7b044077c9694dbc78c572f1e1ff00b4"/>
    <w:p>
      <w:pPr>
        <w:pStyle w:val="Heading2"/>
      </w:pPr>
      <w:r>
        <w:t xml:space="preserve">F5.2 Problema sustantivo (nivel contextual)</w:t>
      </w:r>
    </w:p>
    <w:p>
      <w:pPr>
        <w:pStyle w:val="FirstParagraph"/>
      </w:pPr>
      <w:r>
        <w:t xml:space="preserve">La pregunta es cómo se manifiesta la falla en el territorio y en la población objetivo. La falla se manifiesta en los sitios de remoción de escombros. El territorio de trabajo es Caldas, Cundinamarca y Valle del Cauca (SUPUESTO). Allí los comités de gestión del riesgo no disponen de mediciones de PM2,5 y PM10 con error conocido frente a una referencia. El expediente E3 declara un error normalizado superior a 45 % en alta humedad. La cifra carece de localizador y no se verificó. La línea base propia se mide en el tramo 1.</w:t>
      </w:r>
    </w:p>
    <w:p>
      <w:pPr>
        <w:pStyle w:val="BodyText"/>
      </w:pPr>
      <w:r>
        <w:t xml:space="preserve">El contexto nacional sí consta en el corpus. Hay 209 estaciones reportadas, 154 de ellas integradas a un sistema de vigilancia. Solo 28 de 1.122 municipios cuentan con estaciones utilizables para estimar la carga de enfermedad (Rodríguez-Villamizar et al., 2022, pp. 3 y 6). Esa cifra describe la cobertura nacional y no el error de los sensores. La Tabla F5.3 reúne los cinco indicadores de línea base. Tres de ellos son VACIO porque los medirá el proyecto.</w:t>
      </w:r>
    </w:p>
    <w:p>
      <w:pPr>
        <w:pStyle w:val="TablaRotulo"/>
      </w:pPr>
      <w:bookmarkStart w:id="9198" w:name="rot_Tabla_F5_3"/>
      <w:r>
        <w:rPr>
          <w:b/>
          <w:bCs/>
        </w:rPr>
        <w:t xml:space="preserve">Tabla F5.3</w:t>
      </w:r>
      <w:bookmarkEnd w:id="9198"/>
    </w:p>
    <w:p>
      <w:pPr>
        <w:pStyle w:val="TablaTitulo"/>
      </w:pPr>
      <w:r>
        <w:rPr>
          <w:i/>
          <w:iCs/>
        </w:rPr>
        <w:t xml:space="preserve">Indicadores de línea base del problema sustantivo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82"/>
        <w:gridCol w:w="1122"/>
        <w:gridCol w:w="924"/>
        <w:gridCol w:w="990"/>
        <w:gridCol w:w="2508"/>
        <w:gridCol w:w="594"/>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Valor actual</w:t>
            </w:r>
          </w:p>
        </w:tc>
        <w:tc>
          <w:tcPr>
            <w:shd w:val="clear" w:color="auto" w:fill="00B050"/>
          </w:tcPr>
          <w:p>
            <w:pPr>
              <w:pStyle w:val="Tabla9"/>
              <w:jc w:val="center"/>
            </w:pPr>
            <w:r>
              <w:rPr>
                <w:b/>
                <w:color w:val="FFFFFF"/>
              </w:rPr>
              <w:t xml:space="preserve">Valor meta</w:t>
            </w:r>
          </w:p>
        </w:tc>
        <w:tc>
          <w:tcPr>
            <w:shd w:val="clear" w:color="auto" w:fill="00B050"/>
          </w:tcPr>
          <w:p>
            <w:pPr>
              <w:pStyle w:val="Tabla9"/>
              <w:jc w:val="center"/>
            </w:pPr>
            <w:r>
              <w:rPr>
                <w:b/>
                <w:color w:val="FFFFFF"/>
              </w:rPr>
              <w:t xml:space="preserve">Brecha</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Año</w:t>
            </w:r>
          </w:p>
        </w:tc>
      </w:tr>
      <w:tr>
        <w:trPr>
          <w:cantSplit/>
        </w:trPr>
        <w:tc>
          <w:tcPr/>
          <w:p>
            <w:pPr>
              <w:pStyle w:val="Tabla9"/>
              <w:jc w:val="left"/>
            </w:pPr>
            <w:r>
              <w:t xml:space="preserve">NRMSE de los nodos frente a la referencia colocalizada</w:t>
            </w:r>
          </w:p>
        </w:tc>
        <w:tc>
          <w:tcPr/>
          <w:p>
            <w:pPr>
              <w:pStyle w:val="Tabla9"/>
              <w:jc w:val="left"/>
            </w:pPr>
            <w:r>
              <w:t xml:space="preserve">VACIO: se mide en el tramo 1</w:t>
            </w:r>
          </w:p>
        </w:tc>
        <w:tc>
          <w:tcPr/>
          <w:p>
            <w:pPr>
              <w:pStyle w:val="Tabla9"/>
              <w:jc w:val="left"/>
            </w:pPr>
            <w:r>
              <w:t xml:space="preserve">≤ 30 %</w:t>
            </w:r>
          </w:p>
        </w:tc>
        <w:tc>
          <w:tcPr/>
          <w:p>
            <w:pPr>
              <w:pStyle w:val="Tabla9"/>
              <w:jc w:val="left"/>
            </w:pPr>
            <w:r>
              <w:t xml:space="preserve">VACIO</w:t>
            </w:r>
          </w:p>
        </w:tc>
        <w:tc>
          <w:tcPr/>
          <w:p>
            <w:pPr>
              <w:pStyle w:val="Tabla9"/>
              <w:jc w:val="left"/>
            </w:pPr>
            <w:r>
              <w:t xml:space="preserve">Medición propia del proyecto; umbral de EPA (2021)</w:t>
            </w:r>
          </w:p>
        </w:tc>
        <w:tc>
          <w:tcPr/>
          <w:p>
            <w:pPr>
              <w:pStyle w:val="Tabla9"/>
              <w:jc w:val="left"/>
            </w:pPr>
            <w:r>
              <w:t xml:space="preserve">2027</w:t>
            </w:r>
          </w:p>
        </w:tc>
      </w:tr>
      <w:tr>
        <w:trPr>
          <w:cantSplit/>
        </w:trPr>
        <w:tc>
          <w:tcPr/>
          <w:p>
            <w:pPr>
              <w:pStyle w:val="Tabla9"/>
              <w:jc w:val="left"/>
            </w:pPr>
            <w:r>
              <w:t xml:space="preserve">Coeficiente de determinación (R²) frente a la referencia</w:t>
            </w:r>
          </w:p>
        </w:tc>
        <w:tc>
          <w:tcPr/>
          <w:p>
            <w:pPr>
              <w:pStyle w:val="Tabla9"/>
              <w:jc w:val="left"/>
            </w:pPr>
            <w:r>
              <w:t xml:space="preserve">VACIO: se mide en el tramo 1</w:t>
            </w:r>
          </w:p>
        </w:tc>
        <w:tc>
          <w:tcPr/>
          <w:p>
            <w:pPr>
              <w:pStyle w:val="Tabla9"/>
              <w:jc w:val="left"/>
            </w:pPr>
            <w:r>
              <w:t xml:space="preserve">≥ 0,70</w:t>
            </w:r>
          </w:p>
        </w:tc>
        <w:tc>
          <w:tcPr/>
          <w:p>
            <w:pPr>
              <w:pStyle w:val="Tabla9"/>
              <w:jc w:val="left"/>
            </w:pPr>
            <w:r>
              <w:t xml:space="preserve">VACIO</w:t>
            </w:r>
          </w:p>
        </w:tc>
        <w:tc>
          <w:tcPr/>
          <w:p>
            <w:pPr>
              <w:pStyle w:val="Tabla9"/>
              <w:jc w:val="left"/>
            </w:pPr>
            <w:r>
              <w:t xml:space="preserve">Medición propia del proyecto; umbral de EPA (2021)</w:t>
            </w:r>
          </w:p>
        </w:tc>
        <w:tc>
          <w:tcPr/>
          <w:p>
            <w:pPr>
              <w:pStyle w:val="Tabla9"/>
              <w:jc w:val="left"/>
            </w:pPr>
            <w:r>
              <w:t xml:space="preserve">2027</w:t>
            </w:r>
          </w:p>
        </w:tc>
      </w:tr>
      <w:tr>
        <w:trPr>
          <w:cantSplit/>
        </w:trPr>
        <w:tc>
          <w:tcPr/>
          <w:p>
            <w:pPr>
              <w:pStyle w:val="Tabla9"/>
              <w:jc w:val="left"/>
            </w:pPr>
            <w:r>
              <w:t xml:space="preserve">Disponibilidad mensual de nodos</w:t>
            </w:r>
          </w:p>
        </w:tc>
        <w:tc>
          <w:tcPr/>
          <w:p>
            <w:pPr>
              <w:pStyle w:val="Tabla9"/>
              <w:jc w:val="left"/>
            </w:pPr>
            <w:r>
              <w:t xml:space="preserve">VACIO: se mide desde el mes 4</w:t>
            </w:r>
          </w:p>
        </w:tc>
        <w:tc>
          <w:tcPr/>
          <w:p>
            <w:pPr>
              <w:pStyle w:val="Tabla9"/>
              <w:jc w:val="left"/>
            </w:pPr>
            <w:r>
              <w:t xml:space="preserve">≥ 90 %</w:t>
            </w:r>
          </w:p>
        </w:tc>
        <w:tc>
          <w:tcPr/>
          <w:p>
            <w:pPr>
              <w:pStyle w:val="Tabla9"/>
              <w:jc w:val="left"/>
            </w:pPr>
            <w:r>
              <w:t xml:space="preserve">VACIO</w:t>
            </w:r>
          </w:p>
        </w:tc>
        <w:tc>
          <w:tcPr/>
          <w:p>
            <w:pPr>
              <w:pStyle w:val="Tabla9"/>
              <w:jc w:val="left"/>
            </w:pPr>
            <w:r>
              <w:t xml:space="preserve">Medición propia del proyecto</w:t>
            </w:r>
          </w:p>
        </w:tc>
        <w:tc>
          <w:tcPr/>
          <w:p>
            <w:pPr>
              <w:pStyle w:val="Tabla9"/>
              <w:jc w:val="left"/>
            </w:pPr>
            <w:r>
              <w:t xml:space="preserve">2027</w:t>
            </w:r>
          </w:p>
        </w:tc>
      </w:tr>
      <w:tr>
        <w:trPr>
          <w:cantSplit/>
        </w:trPr>
        <w:tc>
          <w:tcPr/>
          <w:p>
            <w:pPr>
              <w:pStyle w:val="Tabla9"/>
              <w:jc w:val="left"/>
            </w:pPr>
            <w:r>
              <w:t xml:space="preserve">Comités que usan el tablero en decisiones documentadas</w:t>
            </w:r>
          </w:p>
        </w:tc>
        <w:tc>
          <w:tcPr/>
          <w:p>
            <w:pPr>
              <w:pStyle w:val="Tabla9"/>
              <w:jc w:val="left"/>
            </w:pPr>
            <w:r>
              <w:t xml:space="preserve">VACIO: sin medición de uso</w:t>
            </w:r>
          </w:p>
        </w:tc>
        <w:tc>
          <w:tcPr/>
          <w:p>
            <w:pPr>
              <w:pStyle w:val="Tabla9"/>
              <w:jc w:val="left"/>
            </w:pPr>
            <w:r>
              <w:t xml:space="preserve">≥ 75 % de 15 comités al mes 24</w:t>
            </w:r>
          </w:p>
        </w:tc>
        <w:tc>
          <w:tcPr/>
          <w:p>
            <w:pPr>
              <w:pStyle w:val="Tabla9"/>
              <w:jc w:val="left"/>
            </w:pPr>
            <w:r>
              <w:t xml:space="preserve">VACIO</w:t>
            </w:r>
          </w:p>
        </w:tc>
        <w:tc>
          <w:tcPr/>
          <w:p>
            <w:pPr>
              <w:pStyle w:val="Tabla9"/>
              <w:jc w:val="left"/>
            </w:pPr>
            <w:r>
              <w:t xml:space="preserve">Medición propia del proyecto</w:t>
            </w:r>
          </w:p>
        </w:tc>
        <w:tc>
          <w:tcPr/>
          <w:p>
            <w:pPr>
              <w:pStyle w:val="Tabla9"/>
              <w:jc w:val="left"/>
            </w:pPr>
            <w:r>
              <w:t xml:space="preserve">2028</w:t>
            </w:r>
          </w:p>
        </w:tc>
      </w:tr>
      <w:tr>
        <w:trPr>
          <w:cantSplit/>
        </w:trPr>
        <w:tc>
          <w:tcPr/>
          <w:p>
            <w:pPr>
              <w:pStyle w:val="Tabla9"/>
              <w:jc w:val="left"/>
            </w:pPr>
            <w:r>
              <w:t xml:space="preserve">Municipios con estaciones utilizables para estimar la carga de enfermedad</w:t>
            </w:r>
          </w:p>
        </w:tc>
        <w:tc>
          <w:tcPr/>
          <w:p>
            <w:pPr>
              <w:pStyle w:val="Tabla9"/>
              <w:jc w:val="left"/>
            </w:pPr>
            <w:r>
              <w:t xml:space="preserve">28 de 1.122 (2,5 %)</w:t>
            </w:r>
          </w:p>
        </w:tc>
        <w:tc>
          <w:tcPr/>
          <w:p>
            <w:pPr>
              <w:pStyle w:val="Tabla9"/>
              <w:jc w:val="left"/>
            </w:pPr>
            <w:r>
              <w:t xml:space="preserve">Sin meta propia</w:t>
            </w:r>
          </w:p>
        </w:tc>
        <w:tc>
          <w:tcPr/>
          <w:p>
            <w:pPr>
              <w:pStyle w:val="Tabla9"/>
              <w:jc w:val="left"/>
            </w:pPr>
            <w:r>
              <w:t xml:space="preserve">No aplica</w:t>
            </w:r>
          </w:p>
        </w:tc>
        <w:tc>
          <w:tcPr/>
          <w:p>
            <w:pPr>
              <w:pStyle w:val="Tabla9"/>
              <w:jc w:val="left"/>
            </w:pPr>
            <w:r>
              <w:t xml:space="preserve">Rodríguez-Villamizar et al. (2022, pp. 3 y 6); porcentaje calculado por el analista</w:t>
            </w:r>
          </w:p>
        </w:tc>
        <w:tc>
          <w:tcPr/>
          <w:p>
            <w:pPr>
              <w:pStyle w:val="Tabla9"/>
              <w:jc w:val="left"/>
            </w:pPr>
            <w:r>
              <w:t xml:space="preserve">2022</w:t>
            </w:r>
          </w:p>
        </w:tc>
      </w:tr>
    </w:tbl>
    <w:p>
      <w:pPr>
        <w:pStyle w:val="TablaNota"/>
      </w:pPr>
      <w:r>
        <w:rPr>
          <w:i/>
          <w:iCs/>
        </w:rPr>
        <w:t xml:space="preserve">Nota.</w:t>
      </w:r>
      <w:r>
        <w:t xml:space="preserve"> </w:t>
      </w:r>
      <w:r>
        <w:t xml:space="preserve">Elaboración propia con la ficha maestra y el informe de vigilancia tecnológica. Los años de las metas son los de la medición prevista dentro de la ejecución. Naturaleza: PROPUESTO para las metas; DOCUMENTADO para la última fila.</w:t>
      </w:r>
    </w:p>
    <w:p>
      <w:pPr>
        <w:pStyle w:val="BodyText"/>
      </w:pPr>
      <w:r>
        <w:rPr>
          <w:b/>
          <w:bCs/>
        </w:rPr>
        <w:t xml:space="preserve">Enunciado del problema sustantivo.</w:t>
      </w:r>
    </w:p>
    <w:p>
      <w:pPr>
        <w:pStyle w:val="BlockText"/>
      </w:pPr>
      <w:r>
        <w:t xml:space="preserve">Los comités de gestión del riesgo de Caldas, Cundinamarca y Valle del Cauca (SUPUESTO) ignoran el error de sus mediciones. Se trata de PM2,5 y PM10 en sitios de remoción. El valor actual del error es VACIO y se mide en el tramo 1. El estándar de referencia es NRMSE de 30 % o menos y R² de 0,70 o más (U.S. Environmental Protection Agency [EPA], 2021). La situación persiste mientras no exista una referencia colocalizada en los sitios. Sin intervención, el escenario inferido es la continuidad de decisiones con datos de calidad desconocida. Esta inferencia no es una proyección con datos.</w:t>
      </w:r>
    </w:p>
    <w:p>
      <w:pPr>
        <w:pStyle w:val="FirstParagraph"/>
      </w:pPr>
      <w:r>
        <w:t xml:space="preserve">El PDD, el Anexo 4 y los CONPES citados por E3 no se aportaron. Por esa razón, el enunciado no puede citar un eje, un artículo ni un código de demanda como lo prevé la plantilla del metaprompt. El campo queda como [DATO_USUARIO: eje y artículo del PDD, código de demanda territorial].</w:t>
      </w:r>
    </w:p>
    <w:bookmarkEnd w:id="228"/>
    <w:bookmarkStart w:id="229" w:name="_Toc00900091"/>
    <w:p>
      <w:pPr>
        <w:pStyle w:val="Heading2"/>
      </w:pPr>
      <w:r>
        <w:t xml:space="preserve">F5.3 Problema formal (nivel operacional)</w:t>
      </w:r>
    </w:p>
    <w:p>
      <w:pPr>
        <w:pStyle w:val="FirstParagraph"/>
      </w:pPr>
      <w:r>
        <w:t xml:space="preserve">La pregunta es qué variables específicas y medibles capturan el problema. La variable dependiente Y es el error de medición de los nodos frente a la referencia, expresado como error cuadrático medio normalizado (NRMSE, V06). Hay tres variables independientes. X1 es la humedad relativa (V03). X2 es la fracción gruesa (V02 menos V01). X3 es la frecuencia y calidad de calibración (V07). La disponibilidad de nodos (M, V09) modera el acceso a las mediciones. Tres controles omitidos del modelo de 15 variables completan el marco: temperatura, edad del cabezal y distancia a la referencia.</w:t>
      </w:r>
    </w:p>
    <w:p>
      <w:pPr>
        <w:pStyle w:val="BodyText"/>
      </w:pPr>
      <w:r>
        <w:t xml:space="preserve">Este modelo corrige dos defectos del expediente E3-P00. En E3, X2 era la latencia de datos y X3 la disponibilidad de nodos. Ninguna de las dos actúa sobre el sesgo de calibración en la matriz de influencia directa de E3. Además, E3 fijaba tres metas distintas para el error. Esta formulación adopta una sola meta: NRMSE de 30 % o menos y R² de 0,70 o más (decisión DEC-F04).</w:t>
      </w:r>
    </w:p>
    <w:p>
      <w:pPr>
        <w:pStyle w:val="BodyText"/>
      </w:pPr>
      <w:r>
        <w:rPr>
          <w:b/>
          <w:bCs/>
        </w:rPr>
        <w:t xml:space="preserve">Modelo relacional.</w:t>
      </w:r>
      <w:r>
        <w:t xml:space="preserve"> </w:t>
      </w:r>
      <w:r>
        <w:t xml:space="preserve">Y = f(X1, X2, X3 | M, C).</w:t>
      </w:r>
    </w:p>
    <w:p>
      <w:pPr>
        <w:pStyle w:val="BodyText"/>
      </w:pPr>
      <w:r>
        <w:t xml:space="preserve">La Tabla F5.4 define cada variable con su unidad y su rango. Las relaciones del modelo son hipótesis de influencia estructural (HIE). La ecuación no está identificada como efecto causal, salvo el efecto de X3 sobre Y bajo el sorteo semanal de la sección F4.3.</w:t>
      </w:r>
    </w:p>
    <w:p>
      <w:pPr>
        <w:pStyle w:val="TablaRotulo"/>
      </w:pPr>
      <w:bookmarkStart w:id="9199" w:name="rot_Tabla_F5_4"/>
      <w:r>
        <w:rPr>
          <w:b/>
          <w:bCs/>
        </w:rPr>
        <w:t xml:space="preserve">Tabla F5.4</w:t>
      </w:r>
      <w:bookmarkEnd w:id="9199"/>
    </w:p>
    <w:p>
      <w:pPr>
        <w:pStyle w:val="TablaTitulo"/>
      </w:pPr>
      <w:r>
        <w:rPr>
          <w:i/>
          <w:iCs/>
        </w:rPr>
        <w:t xml:space="preserve">Variables del modelo relacional del problema formal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32"/>
        <w:gridCol w:w="1131"/>
        <w:gridCol w:w="1197"/>
        <w:gridCol w:w="998"/>
        <w:gridCol w:w="865"/>
        <w:gridCol w:w="1530"/>
        <w:gridCol w:w="1464"/>
      </w:tblGrid>
      <w:tr>
        <w:trPr>
          <w:cantSplit/>
          <w:tblHeader/>
        </w:trPr>
        <w:tc>
          <w:tcPr>
            <w:shd w:val="clear" w:color="auto" w:fill="00B050"/>
          </w:tcPr>
          <w:p>
            <w:pPr>
              <w:pStyle w:val="Tabla8"/>
              <w:jc w:val="center"/>
            </w:pPr>
            <w:r>
              <w:rPr>
                <w:b/>
                <w:color w:val="FFFFFF"/>
              </w:rPr>
              <w:t xml:space="preserve">Variable</w:t>
            </w:r>
          </w:p>
        </w:tc>
        <w:tc>
          <w:tcPr>
            <w:shd w:val="clear" w:color="auto" w:fill="00B050"/>
          </w:tcPr>
          <w:p>
            <w:pPr>
              <w:pStyle w:val="Tabla8"/>
              <w:jc w:val="center"/>
            </w:pPr>
            <w:r>
              <w:rPr>
                <w:b/>
                <w:color w:val="FFFFFF"/>
              </w:rPr>
              <w:t xml:space="preserve">Tipo</w:t>
            </w:r>
          </w:p>
        </w:tc>
        <w:tc>
          <w:tcPr>
            <w:shd w:val="clear" w:color="auto" w:fill="00B050"/>
          </w:tcPr>
          <w:p>
            <w:pPr>
              <w:pStyle w:val="Tabla8"/>
              <w:jc w:val="center"/>
            </w:pPr>
            <w:r>
              <w:rPr>
                <w:b/>
                <w:color w:val="FFFFFF"/>
              </w:rPr>
              <w:t xml:space="preserve">Nombre</w:t>
            </w:r>
          </w:p>
        </w:tc>
        <w:tc>
          <w:tcPr>
            <w:shd w:val="clear" w:color="auto" w:fill="00B050"/>
          </w:tcPr>
          <w:p>
            <w:pPr>
              <w:pStyle w:val="Tabla8"/>
              <w:jc w:val="center"/>
            </w:pPr>
            <w:r>
              <w:rPr>
                <w:b/>
                <w:color w:val="FFFFFF"/>
              </w:rPr>
              <w:t xml:space="preserve">Definición operacional</w:t>
            </w:r>
          </w:p>
        </w:tc>
        <w:tc>
          <w:tcPr>
            <w:shd w:val="clear" w:color="auto" w:fill="00B050"/>
          </w:tcPr>
          <w:p>
            <w:pPr>
              <w:pStyle w:val="Tabla8"/>
              <w:jc w:val="center"/>
            </w:pPr>
            <w:r>
              <w:rPr>
                <w:b/>
                <w:color w:val="FFFFFF"/>
              </w:rPr>
              <w:t xml:space="preserve">Unidad</w:t>
            </w:r>
          </w:p>
        </w:tc>
        <w:tc>
          <w:tcPr>
            <w:shd w:val="clear" w:color="auto" w:fill="00B050"/>
          </w:tcPr>
          <w:p>
            <w:pPr>
              <w:pStyle w:val="Tabla8"/>
              <w:jc w:val="center"/>
            </w:pPr>
            <w:r>
              <w:rPr>
                <w:b/>
                <w:color w:val="FFFFFF"/>
              </w:rPr>
              <w:t xml:space="preserve">Rango</w:t>
            </w:r>
          </w:p>
        </w:tc>
        <w:tc>
          <w:tcPr>
            <w:shd w:val="clear" w:color="auto" w:fill="00B050"/>
          </w:tcPr>
          <w:p>
            <w:pPr>
              <w:pStyle w:val="Tabla8"/>
              <w:jc w:val="center"/>
            </w:pPr>
            <w:r>
              <w:rPr>
                <w:b/>
                <w:color w:val="FFFFFF"/>
              </w:rPr>
              <w:t xml:space="preserve">Fuente</w:t>
            </w:r>
          </w:p>
        </w:tc>
      </w:tr>
      <w:tr>
        <w:trPr>
          <w:cantSplit/>
        </w:trPr>
        <w:tc>
          <w:tcPr/>
          <w:p>
            <w:pPr>
              <w:pStyle w:val="Tabla8"/>
              <w:jc w:val="left"/>
            </w:pPr>
            <w:r>
              <w:t xml:space="preserve">Y</w:t>
            </w:r>
          </w:p>
        </w:tc>
        <w:tc>
          <w:tcPr/>
          <w:p>
            <w:pPr>
              <w:pStyle w:val="Tabla8"/>
              <w:jc w:val="left"/>
            </w:pPr>
            <w:r>
              <w:t xml:space="preserve">Dependiente</w:t>
            </w:r>
          </w:p>
        </w:tc>
        <w:tc>
          <w:tcPr/>
          <w:p>
            <w:pPr>
              <w:pStyle w:val="Tabla8"/>
              <w:jc w:val="left"/>
            </w:pPr>
            <w:r>
              <w:t xml:space="preserve">Error normalizado de los nodos (V06)</w:t>
            </w:r>
          </w:p>
        </w:tc>
        <w:tc>
          <w:tcPr/>
          <w:p>
            <w:pPr>
              <w:pStyle w:val="Tabla8"/>
              <w:jc w:val="left"/>
            </w:pPr>
            <w:r>
              <w:t xml:space="preserve">RMSE de las lecturas horarias del nodo frente a la referencia, dividido por la media de la referencia</w:t>
            </w:r>
          </w:p>
        </w:tc>
        <w:tc>
          <w:tcPr/>
          <w:p>
            <w:pPr>
              <w:pStyle w:val="Tabla8"/>
              <w:jc w:val="left"/>
            </w:pPr>
            <w:r>
              <w:t xml:space="preserve">Porcentaje</w:t>
            </w:r>
          </w:p>
        </w:tc>
        <w:tc>
          <w:tcPr/>
          <w:p>
            <w:pPr>
              <w:pStyle w:val="Tabla8"/>
              <w:jc w:val="left"/>
            </w:pPr>
            <w:r>
              <w:t xml:space="preserve">0 a 100 % (meta ≤ 30 %)</w:t>
            </w:r>
          </w:p>
        </w:tc>
        <w:tc>
          <w:tcPr/>
          <w:p>
            <w:pPr>
              <w:pStyle w:val="Tabla8"/>
              <w:jc w:val="left"/>
            </w:pPr>
            <w:r>
              <w:t xml:space="preserve">Medición propia; EPA (2021)</w:t>
            </w:r>
          </w:p>
        </w:tc>
      </w:tr>
      <w:tr>
        <w:trPr>
          <w:cantSplit/>
        </w:trPr>
        <w:tc>
          <w:tcPr/>
          <w:p>
            <w:pPr>
              <w:pStyle w:val="Tabla8"/>
              <w:jc w:val="left"/>
            </w:pPr>
            <w:r>
              <w:t xml:space="preserve">X1</w:t>
            </w:r>
          </w:p>
        </w:tc>
        <w:tc>
          <w:tcPr/>
          <w:p>
            <w:pPr>
              <w:pStyle w:val="Tabla8"/>
              <w:jc w:val="left"/>
            </w:pPr>
            <w:r>
              <w:t xml:space="preserve">Independiente</w:t>
            </w:r>
          </w:p>
        </w:tc>
        <w:tc>
          <w:tcPr/>
          <w:p>
            <w:pPr>
              <w:pStyle w:val="Tabla8"/>
              <w:jc w:val="left"/>
            </w:pPr>
            <w:r>
              <w:t xml:space="preserve">Humedad relativa (V03)</w:t>
            </w:r>
          </w:p>
        </w:tc>
        <w:tc>
          <w:tcPr/>
          <w:p>
            <w:pPr>
              <w:pStyle w:val="Tabla8"/>
              <w:jc w:val="left"/>
            </w:pPr>
            <w:r>
              <w:t xml:space="preserve">Humedad relativa del aire en el sitio, promedio horario</w:t>
            </w:r>
          </w:p>
        </w:tc>
        <w:tc>
          <w:tcPr/>
          <w:p>
            <w:pPr>
              <w:pStyle w:val="Tabla8"/>
              <w:jc w:val="left"/>
            </w:pPr>
            <w:r>
              <w:t xml:space="preserve">Porcentaje</w:t>
            </w:r>
          </w:p>
        </w:tc>
        <w:tc>
          <w:tcPr/>
          <w:p>
            <w:pPr>
              <w:pStyle w:val="Tabla8"/>
              <w:jc w:val="left"/>
            </w:pPr>
            <w:r>
              <w:t xml:space="preserve">0 a 100 %</w:t>
            </w:r>
          </w:p>
        </w:tc>
        <w:tc>
          <w:tcPr/>
          <w:p>
            <w:pPr>
              <w:pStyle w:val="Tabla8"/>
              <w:jc w:val="left"/>
            </w:pPr>
            <w:r>
              <w:t xml:space="preserve">Sensor del nodo; Suresh et al. (2025, p. 30)</w:t>
            </w:r>
          </w:p>
        </w:tc>
      </w:tr>
      <w:tr>
        <w:trPr>
          <w:cantSplit/>
        </w:trPr>
        <w:tc>
          <w:tcPr/>
          <w:p>
            <w:pPr>
              <w:pStyle w:val="Tabla8"/>
              <w:jc w:val="left"/>
            </w:pPr>
            <w:r>
              <w:t xml:space="preserve">X2</w:t>
            </w:r>
          </w:p>
        </w:tc>
        <w:tc>
          <w:tcPr/>
          <w:p>
            <w:pPr>
              <w:pStyle w:val="Tabla8"/>
              <w:jc w:val="left"/>
            </w:pPr>
            <w:r>
              <w:t xml:space="preserve">Independiente</w:t>
            </w:r>
          </w:p>
        </w:tc>
        <w:tc>
          <w:tcPr/>
          <w:p>
            <w:pPr>
              <w:pStyle w:val="Tabla8"/>
              <w:jc w:val="left"/>
            </w:pPr>
            <w:r>
              <w:t xml:space="preserve">Fracción gruesa (V02 menos V01)</w:t>
            </w:r>
          </w:p>
        </w:tc>
        <w:tc>
          <w:tcPr/>
          <w:p>
            <w:pPr>
              <w:pStyle w:val="Tabla8"/>
              <w:jc w:val="left"/>
            </w:pPr>
            <w:r>
              <w:t xml:space="preserve">Diferencia entre PM10 y PM2,5, promedio horario</w:t>
            </w:r>
          </w:p>
        </w:tc>
        <w:tc>
          <w:tcPr/>
          <w:p>
            <w:pPr>
              <w:pStyle w:val="Tabla8"/>
              <w:jc w:val="left"/>
            </w:pPr>
            <w:r>
              <w:t xml:space="preserve">µg/m³</w:t>
            </w:r>
          </w:p>
        </w:tc>
        <w:tc>
          <w:tcPr/>
          <w:p>
            <w:pPr>
              <w:pStyle w:val="Tabla8"/>
              <w:jc w:val="left"/>
            </w:pPr>
            <w:r>
              <w:t xml:space="preserve">≥ 0</w:t>
            </w:r>
          </w:p>
        </w:tc>
        <w:tc>
          <w:tcPr/>
          <w:p>
            <w:pPr>
              <w:pStyle w:val="Tabla8"/>
              <w:jc w:val="left"/>
            </w:pPr>
            <w:r>
              <w:t xml:space="preserve">Sensor del nodo y referencia</w:t>
            </w:r>
          </w:p>
        </w:tc>
      </w:tr>
      <w:tr>
        <w:trPr>
          <w:cantSplit/>
        </w:trPr>
        <w:tc>
          <w:tcPr/>
          <w:p>
            <w:pPr>
              <w:pStyle w:val="Tabla8"/>
              <w:jc w:val="left"/>
            </w:pPr>
            <w:r>
              <w:t xml:space="preserve">X3</w:t>
            </w:r>
          </w:p>
        </w:tc>
        <w:tc>
          <w:tcPr/>
          <w:p>
            <w:pPr>
              <w:pStyle w:val="Tabla8"/>
              <w:jc w:val="left"/>
            </w:pPr>
            <w:r>
              <w:t xml:space="preserve">Independiente</w:t>
            </w:r>
          </w:p>
        </w:tc>
        <w:tc>
          <w:tcPr/>
          <w:p>
            <w:pPr>
              <w:pStyle w:val="Tabla8"/>
              <w:jc w:val="left"/>
            </w:pPr>
            <w:r>
              <w:t xml:space="preserve">Calibración (V07)</w:t>
            </w:r>
          </w:p>
        </w:tc>
        <w:tc>
          <w:tcPr/>
          <w:p>
            <w:pPr>
              <w:pStyle w:val="Tabla8"/>
              <w:jc w:val="left"/>
            </w:pPr>
            <w:r>
              <w:t xml:space="preserve">Ciclos de calibración colocalizada ejecutados por tramo</w:t>
            </w:r>
          </w:p>
        </w:tc>
        <w:tc>
          <w:tcPr/>
          <w:p>
            <w:pPr>
              <w:pStyle w:val="Tabla8"/>
              <w:jc w:val="left"/>
            </w:pPr>
            <w:r>
              <w:t xml:space="preserve">Ciclos por tramo</w:t>
            </w:r>
          </w:p>
        </w:tc>
        <w:tc>
          <w:tcPr/>
          <w:p>
            <w:pPr>
              <w:pStyle w:val="Tabla8"/>
              <w:jc w:val="left"/>
            </w:pPr>
            <w:r>
              <w:t xml:space="preserve">Meta de diseño: 2 por tramo (6 en total)</w:t>
            </w:r>
          </w:p>
        </w:tc>
        <w:tc>
          <w:tcPr/>
          <w:p>
            <w:pPr>
              <w:pStyle w:val="Tabla8"/>
              <w:jc w:val="left"/>
            </w:pPr>
            <w:r>
              <w:t xml:space="preserve">Plan de trabajo; Bang et al. (2026, pp. 6-8)</w:t>
            </w:r>
          </w:p>
        </w:tc>
      </w:tr>
      <w:tr>
        <w:trPr>
          <w:cantSplit/>
        </w:trPr>
        <w:tc>
          <w:tcPr/>
          <w:p>
            <w:pPr>
              <w:pStyle w:val="Tabla8"/>
              <w:jc w:val="left"/>
            </w:pPr>
            <w:r>
              <w:t xml:space="preserve">M</w:t>
            </w:r>
          </w:p>
        </w:tc>
        <w:tc>
          <w:tcPr/>
          <w:p>
            <w:pPr>
              <w:pStyle w:val="Tabla8"/>
              <w:jc w:val="left"/>
            </w:pPr>
            <w:r>
              <w:t xml:space="preserve">Moderadora</w:t>
            </w:r>
          </w:p>
        </w:tc>
        <w:tc>
          <w:tcPr/>
          <w:p>
            <w:pPr>
              <w:pStyle w:val="Tabla8"/>
              <w:jc w:val="left"/>
            </w:pPr>
            <w:r>
              <w:t xml:space="preserve">Disponibilidad de nodos (V09)</w:t>
            </w:r>
          </w:p>
        </w:tc>
        <w:tc>
          <w:tcPr/>
          <w:p>
            <w:pPr>
              <w:pStyle w:val="Tabla8"/>
              <w:jc w:val="left"/>
            </w:pPr>
            <w:r>
              <w:t xml:space="preserve">Proporción mensual de nodos activos con energía y enlace</w:t>
            </w:r>
          </w:p>
        </w:tc>
        <w:tc>
          <w:tcPr/>
          <w:p>
            <w:pPr>
              <w:pStyle w:val="Tabla8"/>
              <w:jc w:val="left"/>
            </w:pPr>
            <w:r>
              <w:t xml:space="preserve">Porcentaje</w:t>
            </w:r>
          </w:p>
        </w:tc>
        <w:tc>
          <w:tcPr/>
          <w:p>
            <w:pPr>
              <w:pStyle w:val="Tabla8"/>
              <w:jc w:val="left"/>
            </w:pPr>
            <w:r>
              <w:t xml:space="preserve">0 a 100 % (meta ≥ 90 %)</w:t>
            </w:r>
          </w:p>
        </w:tc>
        <w:tc>
          <w:tcPr/>
          <w:p>
            <w:pPr>
              <w:pStyle w:val="Tabla8"/>
              <w:jc w:val="left"/>
            </w:pPr>
            <w:r>
              <w:t xml:space="preserve">Plataforma; Tavella et al. (2026, p. 6)</w:t>
            </w:r>
          </w:p>
        </w:tc>
      </w:tr>
      <w:tr>
        <w:trPr>
          <w:cantSplit/>
        </w:trPr>
        <w:tc>
          <w:tcPr/>
          <w:p>
            <w:pPr>
              <w:pStyle w:val="Tabla8"/>
              <w:jc w:val="left"/>
            </w:pPr>
            <w:r>
              <w:t xml:space="preserve">C1</w:t>
            </w:r>
          </w:p>
        </w:tc>
        <w:tc>
          <w:tcPr/>
          <w:p>
            <w:pPr>
              <w:pStyle w:val="Tabla8"/>
              <w:jc w:val="left"/>
            </w:pPr>
            <w:r>
              <w:t xml:space="preserve">Control</w:t>
            </w:r>
          </w:p>
        </w:tc>
        <w:tc>
          <w:tcPr/>
          <w:p>
            <w:pPr>
              <w:pStyle w:val="Tabla8"/>
              <w:jc w:val="left"/>
            </w:pPr>
            <w:r>
              <w:t xml:space="preserve">Temperatura</w:t>
            </w:r>
          </w:p>
        </w:tc>
        <w:tc>
          <w:tcPr/>
          <w:p>
            <w:pPr>
              <w:pStyle w:val="Tabla8"/>
              <w:jc w:val="left"/>
            </w:pPr>
            <w:r>
              <w:t xml:space="preserve">Temperatura del aire en el sitio, promedio horario</w:t>
            </w:r>
          </w:p>
        </w:tc>
        <w:tc>
          <w:tcPr/>
          <w:p>
            <w:pPr>
              <w:pStyle w:val="Tabla8"/>
              <w:jc w:val="left"/>
            </w:pPr>
            <w:r>
              <w:t xml:space="preserve">°C</w:t>
            </w:r>
          </w:p>
        </w:tc>
        <w:tc>
          <w:tcPr/>
          <w:p>
            <w:pPr>
              <w:pStyle w:val="Tabla8"/>
              <w:jc w:val="left"/>
            </w:pPr>
            <w:r>
              <w:t xml:space="preserve">[DATO_USUARIO: rango climático por sitio]</w:t>
            </w:r>
          </w:p>
        </w:tc>
        <w:tc>
          <w:tcPr/>
          <w:p>
            <w:pPr>
              <w:pStyle w:val="Tabla8"/>
              <w:jc w:val="left"/>
            </w:pPr>
            <w:r>
              <w:t xml:space="preserve">Sensor del nodo</w:t>
            </w:r>
          </w:p>
        </w:tc>
      </w:tr>
      <w:tr>
        <w:trPr>
          <w:cantSplit/>
        </w:trPr>
        <w:tc>
          <w:tcPr/>
          <w:p>
            <w:pPr>
              <w:pStyle w:val="Tabla8"/>
              <w:jc w:val="left"/>
            </w:pPr>
            <w:r>
              <w:t xml:space="preserve">C2</w:t>
            </w:r>
          </w:p>
        </w:tc>
        <w:tc>
          <w:tcPr/>
          <w:p>
            <w:pPr>
              <w:pStyle w:val="Tabla8"/>
              <w:jc w:val="left"/>
            </w:pPr>
            <w:r>
              <w:t xml:space="preserve">Control</w:t>
            </w:r>
          </w:p>
        </w:tc>
        <w:tc>
          <w:tcPr/>
          <w:p>
            <w:pPr>
              <w:pStyle w:val="Tabla8"/>
              <w:jc w:val="left"/>
            </w:pPr>
            <w:r>
              <w:t xml:space="preserve">Edad del cabezal</w:t>
            </w:r>
          </w:p>
        </w:tc>
        <w:tc>
          <w:tcPr/>
          <w:p>
            <w:pPr>
              <w:pStyle w:val="Tabla8"/>
              <w:jc w:val="left"/>
            </w:pPr>
            <w:r>
              <w:t xml:space="preserve">Meses desde la instalación del cabezal óptico</w:t>
            </w:r>
          </w:p>
        </w:tc>
        <w:tc>
          <w:tcPr/>
          <w:p>
            <w:pPr>
              <w:pStyle w:val="Tabla8"/>
              <w:jc w:val="left"/>
            </w:pPr>
            <w:r>
              <w:t xml:space="preserve">Meses</w:t>
            </w:r>
          </w:p>
        </w:tc>
        <w:tc>
          <w:tcPr/>
          <w:p>
            <w:pPr>
              <w:pStyle w:val="Tabla8"/>
              <w:jc w:val="left"/>
            </w:pPr>
            <w:r>
              <w:t xml:space="preserve">0 a 24</w:t>
            </w:r>
          </w:p>
        </w:tc>
        <w:tc>
          <w:tcPr/>
          <w:p>
            <w:pPr>
              <w:pStyle w:val="Tabla8"/>
              <w:jc w:val="left"/>
            </w:pPr>
            <w:r>
              <w:t xml:space="preserve">Registro de mantenimiento</w:t>
            </w:r>
          </w:p>
        </w:tc>
      </w:tr>
      <w:tr>
        <w:trPr>
          <w:cantSplit/>
        </w:trPr>
        <w:tc>
          <w:tcPr/>
          <w:p>
            <w:pPr>
              <w:pStyle w:val="Tabla8"/>
              <w:jc w:val="left"/>
            </w:pPr>
            <w:r>
              <w:t xml:space="preserve">C3</w:t>
            </w:r>
          </w:p>
        </w:tc>
        <w:tc>
          <w:tcPr/>
          <w:p>
            <w:pPr>
              <w:pStyle w:val="Tabla8"/>
              <w:jc w:val="left"/>
            </w:pPr>
            <w:r>
              <w:t xml:space="preserve">Control</w:t>
            </w:r>
          </w:p>
        </w:tc>
        <w:tc>
          <w:tcPr/>
          <w:p>
            <w:pPr>
              <w:pStyle w:val="Tabla8"/>
              <w:jc w:val="left"/>
            </w:pPr>
            <w:r>
              <w:t xml:space="preserve">Distancia a la referencia</w:t>
            </w:r>
          </w:p>
        </w:tc>
        <w:tc>
          <w:tcPr/>
          <w:p>
            <w:pPr>
              <w:pStyle w:val="Tabla8"/>
              <w:jc w:val="left"/>
            </w:pPr>
            <w:r>
              <w:t xml:space="preserve">Distancia entre el nodo y el monitor de referencia más cercano</w:t>
            </w:r>
          </w:p>
        </w:tc>
        <w:tc>
          <w:tcPr/>
          <w:p>
            <w:pPr>
              <w:pStyle w:val="Tabla8"/>
              <w:jc w:val="left"/>
            </w:pPr>
            <w:r>
              <w:t xml:space="preserve">Metros</w:t>
            </w:r>
          </w:p>
        </w:tc>
        <w:tc>
          <w:tcPr/>
          <w:p>
            <w:pPr>
              <w:pStyle w:val="Tabla8"/>
              <w:jc w:val="left"/>
            </w:pPr>
            <w:r>
              <w:t xml:space="preserve">[DATO_USUARIO: rango por sitio]</w:t>
            </w:r>
          </w:p>
        </w:tc>
        <w:tc>
          <w:tcPr/>
          <w:p>
            <w:pPr>
              <w:pStyle w:val="Tabla8"/>
              <w:jc w:val="left"/>
            </w:pPr>
            <w:r>
              <w:t xml:space="preserve">Georreferenciación del proyecto</w:t>
            </w:r>
          </w:p>
        </w:tc>
      </w:tr>
    </w:tbl>
    <w:p>
      <w:pPr>
        <w:pStyle w:val="TablaNota"/>
      </w:pPr>
      <w:r>
        <w:rPr>
          <w:i/>
          <w:iCs/>
        </w:rPr>
        <w:t xml:space="preserve">Nota.</w:t>
      </w:r>
      <w:r>
        <w:t xml:space="preserve"> </w:t>
      </w:r>
      <w:r>
        <w:t xml:space="preserve">Elaboración propia con la ficha maestra (sección 10c). Los controles C1 a C3 son variables omitidas del modelo de 15 variables; se evaluarán en una matriz ampliada a 19 variables. Naturaleza: PROPUESTO.</w:t>
      </w:r>
    </w:p>
    <w:p>
      <w:pPr>
        <w:pStyle w:val="BodyText"/>
      </w:pPr>
      <w:r>
        <w:rPr>
          <w:b/>
          <w:bCs/>
        </w:rPr>
        <w:t xml:space="preserve">Enunciado del problema formal.</w:t>
      </w:r>
    </w:p>
    <w:p>
      <w:pPr>
        <w:pStyle w:val="BlockText"/>
      </w:pPr>
      <w:r>
        <w:t xml:space="preserve">El nivel de Y en los sitios de remoción de Caldas, Cundinamarca y Valle del Cauca es [VACIO: se mide en el tramo 1]. La meta es NRMSE de 30 % o menos y R² de 0,70 o más al mes 24 (EPA, 2021). El NMAE de 15 % o menos es aspiracional y no condiciona las compuertas. La brecha exige una intervención sobre las tres variables independientes en 24 meses. La intervención corrige por humedad (X1), modela la fracción gruesa (X2) y calibra con ciclos programados (X3). La disponibilidad de nodos (M) se mantiene en 90 % o más para que existan mediciones.</w:t>
      </w:r>
    </w:p>
    <w:bookmarkEnd w:id="229"/>
    <w:bookmarkStart w:id="230" w:name="_Toc00900092"/>
    <w:p>
      <w:pPr>
        <w:pStyle w:val="Heading2"/>
      </w:pPr>
      <w:r>
        <w:t xml:space="preserve">F5.4 Incógnitas declaradas</w:t>
      </w:r>
    </w:p>
    <w:p>
      <w:pPr>
        <w:pStyle w:val="FirstParagraph"/>
      </w:pPr>
      <w:r>
        <w:t xml:space="preserve">Una incógnita declarada es un dato que el proyecto necesita y no posee. Declararla evita presentar el problema como más conocido de lo que es. La Tabla F5.5 lista cinco incógnitas con su importancia, la estrategia para reducirla y el riesgo si no se resuelve. Cada una se relaciona con un riesgo del capítulo 10 o con un supuesto crítico del Paso 4.</w:t>
      </w:r>
    </w:p>
    <w:p>
      <w:pPr>
        <w:pStyle w:val="TablaRotulo"/>
      </w:pPr>
      <w:bookmarkStart w:id="9200" w:name="rot_Tabla_F5_5"/>
      <w:r>
        <w:rPr>
          <w:b/>
          <w:bCs/>
        </w:rPr>
        <w:t xml:space="preserve">Tabla F5.5</w:t>
      </w:r>
      <w:bookmarkEnd w:id="9200"/>
    </w:p>
    <w:p>
      <w:pPr>
        <w:pStyle w:val="TablaTitulo"/>
      </w:pPr>
      <w:r>
        <w:rPr>
          <w:i/>
          <w:iCs/>
        </w:rPr>
        <w:t xml:space="preserve">Incógnitas identificadas del problema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78"/>
        <w:gridCol w:w="1518"/>
        <w:gridCol w:w="2244"/>
        <w:gridCol w:w="1980"/>
      </w:tblGrid>
      <w:tr>
        <w:trPr>
          <w:cantSplit/>
          <w:tblHeader/>
        </w:trPr>
        <w:tc>
          <w:tcPr>
            <w:shd w:val="clear" w:color="auto" w:fill="00B050"/>
          </w:tcPr>
          <w:p>
            <w:pPr>
              <w:pStyle w:val="Tabla9"/>
              <w:jc w:val="center"/>
            </w:pPr>
            <w:r>
              <w:rPr>
                <w:b/>
                <w:color w:val="FFFFFF"/>
              </w:rPr>
              <w:t xml:space="preserve">Incógnita</w:t>
            </w:r>
          </w:p>
        </w:tc>
        <w:tc>
          <w:tcPr>
            <w:shd w:val="clear" w:color="auto" w:fill="00B050"/>
          </w:tcPr>
          <w:p>
            <w:pPr>
              <w:pStyle w:val="Tabla9"/>
              <w:jc w:val="center"/>
            </w:pPr>
            <w:r>
              <w:rPr>
                <w:b/>
                <w:color w:val="FFFFFF"/>
              </w:rPr>
              <w:t xml:space="preserve">Importancia</w:t>
            </w:r>
          </w:p>
        </w:tc>
        <w:tc>
          <w:tcPr>
            <w:shd w:val="clear" w:color="auto" w:fill="00B050"/>
          </w:tcPr>
          <w:p>
            <w:pPr>
              <w:pStyle w:val="Tabla9"/>
              <w:jc w:val="center"/>
            </w:pPr>
            <w:r>
              <w:rPr>
                <w:b/>
                <w:color w:val="FFFFFF"/>
              </w:rPr>
              <w:t xml:space="preserve">Estrategia para reducirla</w:t>
            </w:r>
          </w:p>
        </w:tc>
        <w:tc>
          <w:tcPr>
            <w:shd w:val="clear" w:color="auto" w:fill="00B050"/>
          </w:tcPr>
          <w:p>
            <w:pPr>
              <w:pStyle w:val="Tabla9"/>
              <w:jc w:val="center"/>
            </w:pPr>
            <w:r>
              <w:rPr>
                <w:b/>
                <w:color w:val="FFFFFF"/>
              </w:rPr>
              <w:t xml:space="preserve">Riesgo si no se resuelve</w:t>
            </w:r>
          </w:p>
        </w:tc>
      </w:tr>
      <w:tr>
        <w:trPr>
          <w:cantSplit/>
        </w:trPr>
        <w:tc>
          <w:tcPr/>
          <w:p>
            <w:pPr>
              <w:pStyle w:val="Tabla9"/>
              <w:jc w:val="left"/>
            </w:pPr>
            <w:r>
              <w:t xml:space="preserve">Línea base de error por departamento</w:t>
            </w:r>
          </w:p>
        </w:tc>
        <w:tc>
          <w:tcPr/>
          <w:p>
            <w:pPr>
              <w:pStyle w:val="Tabla9"/>
              <w:jc w:val="left"/>
            </w:pPr>
            <w:r>
              <w:t xml:space="preserve">Alta</w:t>
            </w:r>
          </w:p>
        </w:tc>
        <w:tc>
          <w:tcPr/>
          <w:p>
            <w:pPr>
              <w:pStyle w:val="Tabla9"/>
              <w:jc w:val="left"/>
            </w:pPr>
            <w:r>
              <w:t xml:space="preserve">Colocalizar 10 nodos por sitio durante 16 semanas en el tramo 1 y medir NRMSE, R² y pendiente</w:t>
            </w:r>
          </w:p>
        </w:tc>
        <w:tc>
          <w:tcPr/>
          <w:p>
            <w:pPr>
              <w:pStyle w:val="Tabla9"/>
              <w:jc w:val="left"/>
            </w:pPr>
            <w:r>
              <w:t xml:space="preserve">La meta de 30 % carece de punto de partida y la compuerta C1 no puede decidir (R-TEC-04)</w:t>
            </w:r>
          </w:p>
        </w:tc>
      </w:tr>
      <w:tr>
        <w:trPr>
          <w:cantSplit/>
        </w:trPr>
        <w:tc>
          <w:tcPr/>
          <w:p>
            <w:pPr>
              <w:pStyle w:val="Tabla9"/>
              <w:jc w:val="left"/>
            </w:pPr>
            <w:r>
              <w:t xml:space="preserve">Completitud real de datos en sitios de remoción</w:t>
            </w:r>
          </w:p>
        </w:tc>
        <w:tc>
          <w:tcPr/>
          <w:p>
            <w:pPr>
              <w:pStyle w:val="Tabla9"/>
              <w:jc w:val="left"/>
            </w:pPr>
            <w:r>
              <w:t xml:space="preserve">Alta</w:t>
            </w:r>
          </w:p>
        </w:tc>
        <w:tc>
          <w:tcPr/>
          <w:p>
            <w:pPr>
              <w:pStyle w:val="Tabla9"/>
              <w:jc w:val="left"/>
            </w:pPr>
            <w:r>
              <w:t xml:space="preserve">Medir la completitud desde el mes 4 y rotar nodos entre sitios</w:t>
            </w:r>
          </w:p>
        </w:tc>
        <w:tc>
          <w:tcPr/>
          <w:p>
            <w:pPr>
              <w:pStyle w:val="Tabla9"/>
              <w:jc w:val="left"/>
            </w:pPr>
            <w:r>
              <w:t xml:space="preserve">La meta de 60.000 horas-nodo válidas no se alcanza (R-TEC-02, R-TEC-03)</w:t>
            </w:r>
          </w:p>
        </w:tc>
      </w:tr>
      <w:tr>
        <w:trPr>
          <w:cantSplit/>
        </w:trPr>
        <w:tc>
          <w:tcPr/>
          <w:p>
            <w:pPr>
              <w:pStyle w:val="Tabla9"/>
              <w:jc w:val="left"/>
            </w:pPr>
            <w:r>
              <w:t xml:space="preserve">Capacidad de absorción de los custodios</w:t>
            </w:r>
          </w:p>
        </w:tc>
        <w:tc>
          <w:tcPr/>
          <w:p>
            <w:pPr>
              <w:pStyle w:val="Tabla9"/>
              <w:jc w:val="left"/>
            </w:pPr>
            <w:r>
              <w:t xml:space="preserve">Alta</w:t>
            </w:r>
          </w:p>
        </w:tc>
        <w:tc>
          <w:tcPr/>
          <w:p>
            <w:pPr>
              <w:pStyle w:val="Tabla9"/>
              <w:jc w:val="left"/>
            </w:pPr>
            <w:r>
              <w:t xml:space="preserve">Calcular el índice ICAR con datos de cada custodio antes de firmar los convenios</w:t>
            </w:r>
          </w:p>
        </w:tc>
        <w:tc>
          <w:tcPr/>
          <w:p>
            <w:pPr>
              <w:pStyle w:val="Tabla9"/>
              <w:jc w:val="left"/>
            </w:pPr>
            <w:r>
              <w:t xml:space="preserve">La custodia posproyecto no se sostiene (R-ORG-02)</w:t>
            </w:r>
          </w:p>
        </w:tc>
      </w:tr>
      <w:tr>
        <w:trPr>
          <w:cantSplit/>
        </w:trPr>
        <w:tc>
          <w:tcPr/>
          <w:p>
            <w:pPr>
              <w:pStyle w:val="Tabla9"/>
              <w:jc w:val="left"/>
            </w:pPr>
            <w:r>
              <w:t xml:space="preserve">Fórmula local del índice AQHI y sus umbrales</w:t>
            </w:r>
          </w:p>
        </w:tc>
        <w:tc>
          <w:tcPr/>
          <w:p>
            <w:pPr>
              <w:pStyle w:val="Tabla9"/>
              <w:jc w:val="left"/>
            </w:pPr>
            <w:r>
              <w:t xml:space="preserve">Media</w:t>
            </w:r>
          </w:p>
        </w:tc>
        <w:tc>
          <w:tcPr/>
          <w:p>
            <w:pPr>
              <w:pStyle w:val="Tabla9"/>
              <w:jc w:val="left"/>
            </w:pPr>
            <w:r>
              <w:t xml:space="preserve">Validar la fórmula con los comités y los datos del tramo 1</w:t>
            </w:r>
          </w:p>
        </w:tc>
        <w:tc>
          <w:tcPr/>
          <w:p>
            <w:pPr>
              <w:pStyle w:val="Tabla9"/>
              <w:jc w:val="left"/>
            </w:pPr>
            <w:r>
              <w:t xml:space="preserve">Las alertas usan umbrales sin validación local (R-ORG-01)</w:t>
            </w:r>
          </w:p>
        </w:tc>
      </w:tr>
      <w:tr>
        <w:trPr>
          <w:cantSplit/>
        </w:trPr>
        <w:tc>
          <w:tcPr/>
          <w:p>
            <w:pPr>
              <w:pStyle w:val="Tabla9"/>
              <w:jc w:val="left"/>
            </w:pPr>
            <w:r>
              <w:t xml:space="preserve">Disponibilidad real del enlace celular y satelital en los sitios</w:t>
            </w:r>
          </w:p>
        </w:tc>
        <w:tc>
          <w:tcPr/>
          <w:p>
            <w:pPr>
              <w:pStyle w:val="Tabla9"/>
              <w:jc w:val="left"/>
            </w:pPr>
            <w:r>
              <w:t xml:space="preserve">Media</w:t>
            </w:r>
          </w:p>
        </w:tc>
        <w:tc>
          <w:tcPr/>
          <w:p>
            <w:pPr>
              <w:pStyle w:val="Tabla9"/>
              <w:jc w:val="left"/>
            </w:pPr>
            <w:r>
              <w:t xml:space="preserve">Medir cobertura en la selección de sitios (actividad A1.1) y dimensionar el almacenamiento local de 7 días</w:t>
            </w:r>
          </w:p>
        </w:tc>
        <w:tc>
          <w:tcPr/>
          <w:p>
            <w:pPr>
              <w:pStyle w:val="Tabla9"/>
              <w:jc w:val="left"/>
            </w:pPr>
            <w:r>
              <w:t xml:space="preserve">Los gateways pierden enlace y la plataforma no recibe datos (R-TEC-03)</w:t>
            </w:r>
          </w:p>
        </w:tc>
      </w:tr>
    </w:tbl>
    <w:p>
      <w:pPr>
        <w:pStyle w:val="TablaNota"/>
      </w:pPr>
      <w:r>
        <w:rPr>
          <w:i/>
          <w:iCs/>
        </w:rPr>
        <w:t xml:space="preserve">Nota.</w:t>
      </w:r>
      <w:r>
        <w:t xml:space="preserve"> </w:t>
      </w:r>
      <w:r>
        <w:t xml:space="preserve">Elaboración propia con la ficha maestra (secciones 7 y 10c). Las actividades y los riesgos corresponden a los capítulos 9 y 10. Naturaleza: PROPUESTO.</w:t>
      </w:r>
    </w:p>
    <w:p>
      <w:pPr>
        <w:pStyle w:val="BodyText"/>
      </w:pPr>
      <w:r>
        <w:t xml:space="preserve">La Tabla F5.6 registra la decisión sobre el enunciado tripartito (nodo ND-11).</w:t>
      </w:r>
    </w:p>
    <w:p>
      <w:pPr>
        <w:pStyle w:val="TablaRotulo"/>
      </w:pPr>
      <w:bookmarkStart w:id="9201" w:name="rot_Tabla_F5_6"/>
      <w:r>
        <w:rPr>
          <w:b/>
          <w:bCs/>
        </w:rPr>
        <w:t xml:space="preserve">Tabla F5.6</w:t>
      </w:r>
      <w:bookmarkEnd w:id="9201"/>
    </w:p>
    <w:p>
      <w:pPr>
        <w:pStyle w:val="TablaTitulo"/>
      </w:pPr>
      <w:r>
        <w:rPr>
          <w:i/>
          <w:iCs/>
        </w:rPr>
        <w:t xml:space="preserve">Registro de decisión GENESIS: ND-11 Enunciado tripartito del problema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NODO</w:t>
            </w:r>
          </w:p>
        </w:tc>
        <w:tc>
          <w:tcPr/>
          <w:p>
            <w:pPr>
              <w:pStyle w:val="Tabla9"/>
              <w:jc w:val="left"/>
            </w:pPr>
            <w:r>
              <w:t xml:space="preserve">ND-11 Enunciado tripartito del problema</w:t>
            </w:r>
          </w:p>
        </w:tc>
      </w:tr>
      <w:tr>
        <w:trPr>
          <w:cantSplit/>
        </w:trPr>
        <w:tc>
          <w:tcPr/>
          <w:p>
            <w:pPr>
              <w:pStyle w:val="Tabla9"/>
              <w:jc w:val="left"/>
            </w:pPr>
            <w:r>
              <w:t xml:space="preserve">CLASE</w:t>
            </w:r>
          </w:p>
        </w:tc>
        <w:tc>
          <w:tcPr/>
          <w:p>
            <w:pPr>
              <w:pStyle w:val="Tabla9"/>
              <w:jc w:val="left"/>
            </w:pPr>
            <w:r>
              <w:t xml:space="preserve">MAYOR. Fija las variables que los pasos siguientes optimizan y miden.</w:t>
            </w:r>
          </w:p>
        </w:tc>
      </w:tr>
      <w:tr>
        <w:trPr>
          <w:cantSplit/>
        </w:trPr>
        <w:tc>
          <w:tcPr/>
          <w:p>
            <w:pPr>
              <w:pStyle w:val="Tabla9"/>
              <w:jc w:val="left"/>
            </w:pPr>
            <w:r>
              <w:t xml:space="preserve">DECISION</w:t>
            </w:r>
          </w:p>
        </w:tc>
        <w:tc>
          <w:tcPr/>
          <w:p>
            <w:pPr>
              <w:pStyle w:val="Tabla9"/>
              <w:jc w:val="left"/>
            </w:pPr>
            <w:r>
              <w:t xml:space="preserve">Estructurar el problema en metaproblema, problema sustantivo y problema formal, con V06 como variable dependiente y V03, V02 menos V01 y V07 como independientes.</w:t>
            </w:r>
          </w:p>
        </w:tc>
      </w:tr>
      <w:tr>
        <w:trPr>
          <w:cantSplit/>
        </w:trPr>
        <w:tc>
          <w:tcPr/>
          <w:p>
            <w:pPr>
              <w:pStyle w:val="Tabla9"/>
              <w:jc w:val="left"/>
            </w:pPr>
            <w:r>
              <w:t xml:space="preserve">DECIDE</w:t>
            </w:r>
          </w:p>
        </w:tc>
        <w:tc>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Latencia y disponibilidad como palancas del sesgo de calibración. Metas de error contradictorias entre secciones. Un efecto en salud como variable de resultado.</w:t>
            </w:r>
          </w:p>
        </w:tc>
      </w:tr>
      <w:tr>
        <w:trPr>
          <w:cantSplit/>
        </w:trPr>
        <w:tc>
          <w:tcPr/>
          <w:p>
            <w:pPr>
              <w:pStyle w:val="Tabla9"/>
              <w:jc w:val="left"/>
            </w:pPr>
            <w:r>
              <w:t xml:space="preserve">NODOS_BLANCOS</w:t>
            </w:r>
          </w:p>
        </w:tc>
        <w:tc>
          <w:tcPr/>
          <w:p>
            <w:pPr>
              <w:pStyle w:val="Tabla9"/>
              <w:jc w:val="left"/>
            </w:pPr>
            <w:r>
              <w:t xml:space="preserve">3: umbrales de EPA (2021); corrección con estación cercana (Bang et al., 2026, pp. 6-8); redes sin plan de calibración (Murad Pedraza et al., 2026, pp. 10-11 y 13).</w:t>
            </w:r>
          </w:p>
        </w:tc>
      </w:tr>
      <w:tr>
        <w:trPr>
          <w:cantSplit/>
        </w:trPr>
        <w:tc>
          <w:tcPr/>
          <w:p>
            <w:pPr>
              <w:pStyle w:val="Tabla9"/>
              <w:jc w:val="left"/>
            </w:pPr>
            <w:r>
              <w:t xml:space="preserve">NODOS_GRISES</w:t>
            </w:r>
          </w:p>
        </w:tc>
        <w:tc>
          <w:tcPr/>
          <w:p>
            <w:pPr>
              <w:pStyle w:val="Tabla9"/>
              <w:jc w:val="left"/>
            </w:pPr>
            <w:r>
              <w:t xml:space="preserve">3: línea base de error propia; articulación con el PDD y la demanda territorial; capacidad de los custodios.</w:t>
            </w:r>
          </w:p>
        </w:tc>
      </w:tr>
      <w:tr>
        <w:trPr>
          <w:cantSplit/>
        </w:trPr>
        <w:tc>
          <w:tcPr/>
          <w:p>
            <w:pPr>
              <w:pStyle w:val="Tabla9"/>
              <w:jc w:val="left"/>
            </w:pPr>
            <w:r>
              <w:t xml:space="preserve">RUPTURAS</w:t>
            </w:r>
          </w:p>
        </w:tc>
        <w:tc>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PR-01 (ciclo de atrapamiento): agregar nodos sin calibración local multiplica el ruido y no mejora la decisión.</w:t>
            </w:r>
          </w:p>
        </w:tc>
      </w:tr>
      <w:tr>
        <w:trPr>
          <w:cantSplit/>
        </w:trPr>
        <w:tc>
          <w:tcPr/>
          <w:p>
            <w:pPr>
              <w:pStyle w:val="Tabla9"/>
              <w:jc w:val="left"/>
            </w:pPr>
            <w:r>
              <w:t xml:space="preserve">ANTIPATRONES_PR</w:t>
            </w:r>
          </w:p>
        </w:tc>
        <w:tc>
          <w:tcPr/>
          <w:p>
            <w:pPr>
              <w:pStyle w:val="Tabla9"/>
              <w:jc w:val="left"/>
            </w:pPr>
            <w:r>
              <w:t xml:space="preserve">PR-04 ausente: Sí. PR-05 ausente: No. La formalización supone capacidad de custodia que no se verificó.</w:t>
            </w:r>
          </w:p>
        </w:tc>
      </w:tr>
      <w:tr>
        <w:trPr>
          <w:cantSplit/>
        </w:trPr>
        <w:tc>
          <w:tcPr/>
          <w:p>
            <w:pPr>
              <w:pStyle w:val="Tabla9"/>
              <w:jc w:val="left"/>
            </w:pPr>
            <w:r>
              <w:t xml:space="preserve">ESCENA_SIMULABLE</w:t>
            </w:r>
          </w:p>
        </w:tc>
        <w:tc>
          <w:tcPr/>
          <w:p>
            <w:pPr>
              <w:pStyle w:val="Tabla9"/>
              <w:jc w:val="left"/>
            </w:pPr>
            <w:r>
              <w:t xml:space="preserve">Un técnico del comité compara en el tablero la lectura de un nodo con la del monitor de referencia del mismo sitio y registra la diferencia de la semana.</w:t>
            </w:r>
          </w:p>
        </w:tc>
      </w:tr>
      <w:tr>
        <w:trPr>
          <w:cantSplit/>
        </w:trPr>
        <w:tc>
          <w:tcPr/>
          <w:p>
            <w:pPr>
              <w:pStyle w:val="Tabla9"/>
              <w:jc w:val="left"/>
            </w:pPr>
            <w:r>
              <w:t xml:space="preserve">EVIDENCIA_JH_A</w:t>
            </w:r>
          </w:p>
        </w:tc>
        <w:tc>
          <w:tcPr/>
          <w:p>
            <w:pPr>
              <w:pStyle w:val="Tabla9"/>
              <w:jc w:val="left"/>
            </w:pPr>
            <w:r>
              <w:t xml:space="preserve">El umbral de 30 % y R² de 0,70 procede de un protocolo de la EPA; el nivel actual es VACIO.</w:t>
            </w:r>
          </w:p>
        </w:tc>
      </w:tr>
      <w:tr>
        <w:trPr>
          <w:cantSplit/>
        </w:trPr>
        <w:tc>
          <w:tcPr/>
          <w:p>
            <w:pPr>
              <w:pStyle w:val="Tabla9"/>
              <w:jc w:val="left"/>
            </w:pPr>
            <w:r>
              <w:t xml:space="preserve">EVIDENCIA_JH_B</w:t>
            </w:r>
          </w:p>
        </w:tc>
        <w:tc>
          <w:tcPr/>
          <w:p>
            <w:pPr>
              <w:pStyle w:val="Tabla9"/>
              <w:jc w:val="left"/>
            </w:pPr>
            <w:r>
              <w:t xml:space="preserve">La tabla F5.4 define cada variable con unidad, rango y fuente.</w:t>
            </w:r>
          </w:p>
        </w:tc>
      </w:tr>
      <w:tr>
        <w:trPr>
          <w:cantSplit/>
        </w:trPr>
        <w:tc>
          <w:tcPr/>
          <w:p>
            <w:pPr>
              <w:pStyle w:val="Tabla9"/>
              <w:jc w:val="left"/>
            </w:pPr>
            <w:r>
              <w:t xml:space="preserve">CERCA_CONCEPTUAL</w:t>
            </w:r>
          </w:p>
        </w:tc>
        <w:tc>
          <w:tcPr/>
          <w:p>
            <w:pPr>
              <w:pStyle w:val="Tabla9"/>
              <w:jc w:val="left"/>
            </w:pPr>
            <w:r>
              <w:t xml:space="preserve">El problema formal no es la falta de sensores en el mercado: es la ausencia de error conocido en los sitios.</w:t>
            </w:r>
          </w:p>
        </w:tc>
      </w:tr>
      <w:tr>
        <w:trPr>
          <w:cantSplit/>
        </w:trPr>
        <w:tc>
          <w:tcPr/>
          <w:p>
            <w:pPr>
              <w:pStyle w:val="Tabla9"/>
              <w:jc w:val="left"/>
            </w:pPr>
            <w:r>
              <w:t xml:space="preserve">ESTATUTO_CAUSAL</w:t>
            </w:r>
          </w:p>
        </w:tc>
        <w:tc>
          <w:tcPr/>
          <w:p>
            <w:pPr>
              <w:pStyle w:val="Tabla9"/>
              <w:jc w:val="left"/>
            </w:pPr>
            <w:r>
              <w:t xml:space="preserve">HIE. El efecto de la calibración sobre Y es IDC prospectivo solo bajo el sorteo de F4.3.</w:t>
            </w:r>
          </w:p>
        </w:tc>
      </w:tr>
      <w:tr>
        <w:trPr>
          <w:cantSplit/>
        </w:trPr>
        <w:tc>
          <w:tcPr/>
          <w:p>
            <w:pPr>
              <w:pStyle w:val="Tabla9"/>
              <w:jc w:val="left"/>
            </w:pPr>
            <w:r>
              <w:t xml:space="preserve">VEREDICTO</w:t>
            </w:r>
          </w:p>
        </w:tc>
        <w:tc>
          <w:tcPr/>
          <w:p>
            <w:pPr>
              <w:pStyle w:val="Tabla9"/>
              <w:jc w:val="left"/>
            </w:pPr>
            <w:r>
              <w:t xml:space="preserve">Formulación tripartita adoptada con reserva R-ART (articulación territorial no verificada).</w:t>
            </w:r>
          </w:p>
        </w:tc>
      </w:tr>
      <w:tr>
        <w:trPr>
          <w:cantSplit/>
        </w:trPr>
        <w:tc>
          <w:tcPr/>
          <w:p>
            <w:pPr>
              <w:pStyle w:val="Tabla9"/>
              <w:jc w:val="left"/>
            </w:pPr>
            <w:r>
              <w:t xml:space="preserve">RAZON_DEL_DESCARTE</w:t>
            </w:r>
          </w:p>
        </w:tc>
        <w:tc>
          <w:tcPr/>
          <w:p>
            <w:pPr>
              <w:pStyle w:val="Tabla9"/>
              <w:jc w:val="left"/>
            </w:pPr>
            <w:r>
              <w:t xml:space="preserve">Se descartan la latencia y la disponibilidad como independientes porque no actúan sobre V06 en el ledger de E3.</w:t>
            </w:r>
          </w:p>
        </w:tc>
      </w:tr>
      <w:tr>
        <w:trPr>
          <w:cantSplit/>
        </w:trPr>
        <w:tc>
          <w:tcPr/>
          <w:p>
            <w:pPr>
              <w:pStyle w:val="Tabla9"/>
              <w:jc w:val="left"/>
            </w:pPr>
            <w:r>
              <w:t xml:space="preserve">RESULTADO</w:t>
            </w:r>
          </w:p>
        </w:tc>
        <w:tc>
          <w:tcPr/>
          <w:p>
            <w:pPr>
              <w:pStyle w:val="Tabla9"/>
              <w:jc w:val="left"/>
            </w:pPr>
            <w:r>
              <w:t xml:space="preserve">CIERRA con vacíos declarados (línea base, articulación territorial y custodia).</w:t>
            </w:r>
          </w:p>
        </w:tc>
      </w:tr>
    </w:tbl>
    <w:p>
      <w:pPr>
        <w:pStyle w:val="TablaNota"/>
      </w:pPr>
      <w:r>
        <w:rPr>
          <w:i/>
          <w:iCs/>
        </w:rPr>
        <w:t xml:space="preserve">Nota.</w:t>
      </w:r>
      <w:r>
        <w:t xml:space="preserve"> </w:t>
      </w:r>
      <w:r>
        <w:t xml:space="preserve">Elaboración propia con el protocolo de decisión GENESIS y la ficha maestra (sección 10c).</w:t>
      </w:r>
    </w:p>
    <w:p>
      <w:pPr>
        <w:pStyle w:val="BodyText"/>
      </w:pPr>
      <w:r>
        <w:t xml:space="preserve">El Paso 5 crea valor al reemplazar tres metas de error contradictorias por una sola, ligada a un estándar externo. También reconoce que la línea base propia no existe todavía. El Paso 6 usa estas definiciones para generar y comparar alternativas.</w:t>
      </w:r>
    </w:p>
    <w:bookmarkEnd w:id="230"/>
    <w:bookmarkEnd w:id="231"/>
    <w:bookmarkStart w:id="246" w:name="X97241117283bea53b0bcf6af0a044200d9d7875"/>
    <w:p>
      <w:pPr>
        <w:pStyle w:val="Heading1"/>
      </w:pPr>
      <w:r>
        <w:t xml:space="preserve">Paso 6. Generación y evaluación de alternativas</w:t>
      </w:r>
    </w:p>
    <w:p>
      <w:pPr>
        <w:pStyle w:val="FirstParagraph"/>
      </w:pPr>
      <w:r>
        <w:t xml:space="preserve">El Paso 6 convierte el problema formalizado en un conjunto de alternativas y elige una con un método multicriterio explícito. Sigue cuatro etapas. La primera es el árbol de objetivos (F6.1). La segunda identifica alternativas con una contrainductiva obligatoria (F6.2). La tercera es la evaluación multicriterio con análisis de sensibilidad (F6.3). La cuarta es la selección con validación territorial (F6.4). Los puntajes de desempeño son juicios PROPUESTOS por la instancia analítica y requieren ratificación del panel evaluador. Ningún puntaje se interpreta como probabilidad de éxito.</w:t>
      </w:r>
    </w:p>
    <w:bookmarkStart w:id="235" w:name="_Toc00900093"/>
    <w:p>
      <w:pPr>
        <w:pStyle w:val="Heading2"/>
      </w:pPr>
      <w:r>
        <w:t xml:space="preserve">F6.1 Árbol de objetivos</w:t>
      </w:r>
    </w:p>
    <w:p>
      <w:pPr>
        <w:pStyle w:val="FirstParagraph"/>
      </w:pPr>
      <w:r>
        <w:t xml:space="preserve">El árbol de objetivos invierte el árbol de problemas A-PROB (sección F4.5). El problema central, el error de medición sin verificar (V06), se convierte en el objetivo general. Las causas directas e indirectas se convierten en objetivos específicos y en medios. Los efectos se convierten en fines. La Tabla F6.1 muestra la conversión nodo por nodo y la Figura F6.1 presenta el árbol resultante.</w:t>
      </w:r>
    </w:p>
    <w:p>
      <w:pPr>
        <w:pStyle w:val="TablaRotulo"/>
      </w:pPr>
      <w:bookmarkStart w:id="9202" w:name="rot_Tabla_F6_1"/>
      <w:r>
        <w:rPr>
          <w:b/>
          <w:bCs/>
        </w:rPr>
        <w:t xml:space="preserve">Tabla F6.1</w:t>
      </w:r>
      <w:bookmarkEnd w:id="9202"/>
    </w:p>
    <w:p>
      <w:pPr>
        <w:pStyle w:val="TablaTitulo"/>
      </w:pPr>
      <w:r>
        <w:rPr>
          <w:i/>
          <w:iCs/>
        </w:rPr>
        <w:t xml:space="preserve">Conversión del árbol de problemas en árbol de objetivos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32"/>
        <w:gridCol w:w="2129"/>
        <w:gridCol w:w="2262"/>
        <w:gridCol w:w="1530"/>
        <w:gridCol w:w="1264"/>
      </w:tblGrid>
      <w:tr>
        <w:trPr>
          <w:cantSplit/>
          <w:tblHeader/>
        </w:trPr>
        <w:tc>
          <w:tcPr>
            <w:shd w:val="clear" w:color="auto" w:fill="00B050"/>
          </w:tcPr>
          <w:p>
            <w:pPr>
              <w:pStyle w:val="Tabla9"/>
              <w:jc w:val="center"/>
            </w:pPr>
            <w:r>
              <w:rPr>
                <w:b/>
                <w:color w:val="FFFFFF"/>
              </w:rPr>
              <w:t xml:space="preserve">Nodo</w:t>
            </w:r>
          </w:p>
        </w:tc>
        <w:tc>
          <w:tcPr>
            <w:shd w:val="clear" w:color="auto" w:fill="00B050"/>
          </w:tcPr>
          <w:p>
            <w:pPr>
              <w:pStyle w:val="Tabla9"/>
              <w:jc w:val="center"/>
            </w:pPr>
            <w:r>
              <w:rPr>
                <w:b/>
                <w:color w:val="FFFFFF"/>
              </w:rPr>
              <w:t xml:space="preserve">Estado problemático (F4.5)</w:t>
            </w:r>
          </w:p>
        </w:tc>
        <w:tc>
          <w:tcPr>
            <w:shd w:val="clear" w:color="auto" w:fill="00B050"/>
          </w:tcPr>
          <w:p>
            <w:pPr>
              <w:pStyle w:val="Tabla9"/>
              <w:jc w:val="center"/>
            </w:pPr>
            <w:r>
              <w:rPr>
                <w:b/>
                <w:color w:val="FFFFFF"/>
              </w:rPr>
              <w:t xml:space="preserve">Estado deseado</w:t>
            </w:r>
          </w:p>
        </w:tc>
        <w:tc>
          <w:tcPr>
            <w:shd w:val="clear" w:color="auto" w:fill="00B050"/>
          </w:tcPr>
          <w:p>
            <w:pPr>
              <w:pStyle w:val="Tabla9"/>
              <w:jc w:val="center"/>
            </w:pPr>
            <w:r>
              <w:rPr>
                <w:b/>
                <w:color w:val="FFFFFF"/>
              </w:rPr>
              <w:t xml:space="preserve">Rol en el árbol de objetivos</w:t>
            </w:r>
          </w:p>
        </w:tc>
        <w:tc>
          <w:tcPr>
            <w:shd w:val="clear" w:color="auto" w:fill="00B050"/>
          </w:tcPr>
          <w:p>
            <w:pPr>
              <w:pStyle w:val="Tabla9"/>
              <w:jc w:val="center"/>
            </w:pPr>
            <w:r>
              <w:rPr>
                <w:b/>
                <w:color w:val="FFFFFF"/>
              </w:rPr>
              <w:t xml:space="preserve">Objetivo del proyecto</w:t>
            </w:r>
          </w:p>
        </w:tc>
      </w:tr>
      <w:tr>
        <w:trPr>
          <w:cantSplit/>
        </w:trPr>
        <w:tc>
          <w:tcPr/>
          <w:p>
            <w:pPr>
              <w:pStyle w:val="Tabla9"/>
              <w:jc w:val="left"/>
            </w:pPr>
            <w:r>
              <w:t xml:space="preserve">V06</w:t>
            </w:r>
          </w:p>
        </w:tc>
        <w:tc>
          <w:tcPr/>
          <w:p>
            <w:pPr>
              <w:pStyle w:val="Tabla9"/>
              <w:jc w:val="left"/>
            </w:pPr>
            <w:r>
              <w:t xml:space="preserve">Error de medición sin verificar frente a una referencia</w:t>
            </w:r>
          </w:p>
        </w:tc>
        <w:tc>
          <w:tcPr/>
          <w:p>
            <w:pPr>
              <w:pStyle w:val="Tabla9"/>
              <w:jc w:val="left"/>
            </w:pPr>
            <w:r>
              <w:t xml:space="preserve">Error conocido y dentro de los umbrales frente a la referencia</w:t>
            </w:r>
          </w:p>
        </w:tc>
        <w:tc>
          <w:tcPr/>
          <w:p>
            <w:pPr>
              <w:pStyle w:val="Tabla9"/>
              <w:jc w:val="left"/>
            </w:pPr>
            <w:r>
              <w:t xml:space="preserve">Objetivo general</w:t>
            </w:r>
          </w:p>
        </w:tc>
        <w:tc>
          <w:tcPr/>
          <w:p>
            <w:pPr>
              <w:pStyle w:val="Tabla9"/>
              <w:jc w:val="left"/>
            </w:pPr>
            <w:r>
              <w:t xml:space="preserve">OG</w:t>
            </w:r>
          </w:p>
        </w:tc>
      </w:tr>
      <w:tr>
        <w:trPr>
          <w:cantSplit/>
        </w:trPr>
        <w:tc>
          <w:tcPr/>
          <w:p>
            <w:pPr>
              <w:pStyle w:val="Tabla9"/>
              <w:jc w:val="left"/>
            </w:pPr>
            <w:r>
              <w:t xml:space="preserve">V03</w:t>
            </w:r>
          </w:p>
        </w:tc>
        <w:tc>
          <w:tcPr/>
          <w:p>
            <w:pPr>
              <w:pStyle w:val="Tabla9"/>
              <w:jc w:val="left"/>
            </w:pPr>
            <w:r>
              <w:t xml:space="preserve">Humedad relativa alta en los sitios</w:t>
            </w:r>
          </w:p>
        </w:tc>
        <w:tc>
          <w:tcPr/>
          <w:p>
            <w:pPr>
              <w:pStyle w:val="Tabla9"/>
              <w:jc w:val="left"/>
            </w:pPr>
            <w:r>
              <w:t xml:space="preserve">Sesgo por humedad corregido por el modelo</w:t>
            </w:r>
          </w:p>
        </w:tc>
        <w:tc>
          <w:tcPr/>
          <w:p>
            <w:pPr>
              <w:pStyle w:val="Tabla9"/>
              <w:jc w:val="left"/>
            </w:pPr>
            <w:r>
              <w:t xml:space="preserve">Medio del objetivo específico</w:t>
            </w:r>
          </w:p>
        </w:tc>
        <w:tc>
          <w:tcPr/>
          <w:p>
            <w:pPr>
              <w:pStyle w:val="Tabla9"/>
              <w:jc w:val="left"/>
            </w:pPr>
            <w:r>
              <w:t xml:space="preserve">OE1</w:t>
            </w:r>
          </w:p>
        </w:tc>
      </w:tr>
      <w:tr>
        <w:trPr>
          <w:cantSplit/>
        </w:trPr>
        <w:tc>
          <w:tcPr/>
          <w:p>
            <w:pPr>
              <w:pStyle w:val="Tabla9"/>
              <w:jc w:val="left"/>
            </w:pPr>
            <w:r>
              <w:t xml:space="preserve">V02</w:t>
            </w:r>
          </w:p>
        </w:tc>
        <w:tc>
          <w:tcPr/>
          <w:p>
            <w:pPr>
              <w:pStyle w:val="Tabla9"/>
              <w:jc w:val="left"/>
            </w:pPr>
            <w:r>
              <w:t xml:space="preserve">PM10 con fracción gruesa</w:t>
            </w:r>
          </w:p>
        </w:tc>
        <w:tc>
          <w:tcPr/>
          <w:p>
            <w:pPr>
              <w:pStyle w:val="Tabla9"/>
              <w:jc w:val="left"/>
            </w:pPr>
            <w:r>
              <w:t xml:space="preserve">Fracción gruesa modelada en la corrección</w:t>
            </w:r>
          </w:p>
        </w:tc>
        <w:tc>
          <w:tcPr/>
          <w:p>
            <w:pPr>
              <w:pStyle w:val="Tabla9"/>
              <w:jc w:val="left"/>
            </w:pPr>
            <w:r>
              <w:t xml:space="preserve">Medio del objetivo específico</w:t>
            </w:r>
          </w:p>
        </w:tc>
        <w:tc>
          <w:tcPr/>
          <w:p>
            <w:pPr>
              <w:pStyle w:val="Tabla9"/>
              <w:jc w:val="left"/>
            </w:pPr>
            <w:r>
              <w:t xml:space="preserve">OE1</w:t>
            </w:r>
          </w:p>
        </w:tc>
      </w:tr>
      <w:tr>
        <w:trPr>
          <w:cantSplit/>
        </w:trPr>
        <w:tc>
          <w:tcPr/>
          <w:p>
            <w:pPr>
              <w:pStyle w:val="Tabla9"/>
              <w:jc w:val="left"/>
            </w:pPr>
            <w:r>
              <w:t xml:space="preserve">V01</w:t>
            </w:r>
          </w:p>
        </w:tc>
        <w:tc>
          <w:tcPr/>
          <w:p>
            <w:pPr>
              <w:pStyle w:val="Tabla9"/>
              <w:jc w:val="left"/>
            </w:pPr>
            <w:r>
              <w:t xml:space="preserve">Concentración de PM2,5 sin serie propia</w:t>
            </w:r>
          </w:p>
        </w:tc>
        <w:tc>
          <w:tcPr/>
          <w:p>
            <w:pPr>
              <w:pStyle w:val="Tabla9"/>
              <w:jc w:val="left"/>
            </w:pPr>
            <w:r>
              <w:t xml:space="preserve">Serie de PM2,5 medida y verificada</w:t>
            </w:r>
          </w:p>
        </w:tc>
        <w:tc>
          <w:tcPr/>
          <w:p>
            <w:pPr>
              <w:pStyle w:val="Tabla9"/>
              <w:jc w:val="left"/>
            </w:pPr>
            <w:r>
              <w:t xml:space="preserve">Medio del objetivo específico</w:t>
            </w:r>
          </w:p>
        </w:tc>
        <w:tc>
          <w:tcPr/>
          <w:p>
            <w:pPr>
              <w:pStyle w:val="Tabla9"/>
              <w:jc w:val="left"/>
            </w:pPr>
            <w:r>
              <w:t xml:space="preserve">OE1</w:t>
            </w:r>
          </w:p>
        </w:tc>
      </w:tr>
      <w:tr>
        <w:trPr>
          <w:cantSplit/>
        </w:trPr>
        <w:tc>
          <w:tcPr/>
          <w:p>
            <w:pPr>
              <w:pStyle w:val="Tabla9"/>
              <w:jc w:val="left"/>
            </w:pPr>
            <w:r>
              <w:t xml:space="preserve">V07</w:t>
            </w:r>
          </w:p>
        </w:tc>
        <w:tc>
          <w:tcPr/>
          <w:p>
            <w:pPr>
              <w:pStyle w:val="Tabla9"/>
              <w:jc w:val="left"/>
            </w:pPr>
            <w:r>
              <w:t xml:space="preserve">Calibración baja o nula</w:t>
            </w:r>
          </w:p>
        </w:tc>
        <w:tc>
          <w:tcPr/>
          <w:p>
            <w:pPr>
              <w:pStyle w:val="Tabla9"/>
              <w:jc w:val="left"/>
            </w:pPr>
            <w:r>
              <w:t xml:space="preserve">Ciclos de calibración colocalizada programados</w:t>
            </w:r>
          </w:p>
        </w:tc>
        <w:tc>
          <w:tcPr/>
          <w:p>
            <w:pPr>
              <w:pStyle w:val="Tabla9"/>
              <w:jc w:val="left"/>
            </w:pPr>
            <w:r>
              <w:t xml:space="preserve">Medio del objetivo específico</w:t>
            </w:r>
          </w:p>
        </w:tc>
        <w:tc>
          <w:tcPr/>
          <w:p>
            <w:pPr>
              <w:pStyle w:val="Tabla9"/>
              <w:jc w:val="left"/>
            </w:pPr>
            <w:r>
              <w:t xml:space="preserve">OE1</w:t>
            </w:r>
          </w:p>
        </w:tc>
      </w:tr>
      <w:tr>
        <w:trPr>
          <w:cantSplit/>
        </w:trPr>
        <w:tc>
          <w:tcPr/>
          <w:p>
            <w:pPr>
              <w:pStyle w:val="Tabla9"/>
              <w:jc w:val="left"/>
            </w:pPr>
            <w:r>
              <w:t xml:space="preserve">V05</w:t>
            </w:r>
          </w:p>
        </w:tc>
        <w:tc>
          <w:tcPr/>
          <w:p>
            <w:pPr>
              <w:pStyle w:val="Tabla9"/>
              <w:jc w:val="left"/>
            </w:pPr>
            <w:r>
              <w:t xml:space="preserve">Remoción de escombros en curso</w:t>
            </w:r>
          </w:p>
        </w:tc>
        <w:tc>
          <w:tcPr/>
          <w:p>
            <w:pPr>
              <w:pStyle w:val="Tabla9"/>
              <w:jc w:val="left"/>
            </w:pPr>
            <w:r>
              <w:t xml:space="preserve">Energía y enlace redundantes que sostienen la disponibilidad pese a la remoción</w:t>
            </w:r>
          </w:p>
        </w:tc>
        <w:tc>
          <w:tcPr/>
          <w:p>
            <w:pPr>
              <w:pStyle w:val="Tabla9"/>
              <w:jc w:val="left"/>
            </w:pPr>
            <w:r>
              <w:t xml:space="preserve">Medio del objetivo específico</w:t>
            </w:r>
          </w:p>
        </w:tc>
        <w:tc>
          <w:tcPr/>
          <w:p>
            <w:pPr>
              <w:pStyle w:val="Tabla9"/>
              <w:jc w:val="left"/>
            </w:pPr>
            <w:r>
              <w:t xml:space="preserve">OE2</w:t>
            </w:r>
          </w:p>
        </w:tc>
      </w:tr>
      <w:tr>
        <w:trPr>
          <w:cantSplit/>
        </w:trPr>
        <w:tc>
          <w:tcPr/>
          <w:p>
            <w:pPr>
              <w:pStyle w:val="Tabla9"/>
              <w:jc w:val="left"/>
            </w:pPr>
            <w:r>
              <w:t xml:space="preserve">V11</w:t>
            </w:r>
          </w:p>
        </w:tc>
        <w:tc>
          <w:tcPr/>
          <w:p>
            <w:pPr>
              <w:pStyle w:val="Tabla9"/>
              <w:jc w:val="left"/>
            </w:pPr>
            <w:r>
              <w:t xml:space="preserve">AQHI sin fórmula local validada</w:t>
            </w:r>
          </w:p>
        </w:tc>
        <w:tc>
          <w:tcPr/>
          <w:p>
            <w:pPr>
              <w:pStyle w:val="Tabla9"/>
              <w:jc w:val="left"/>
            </w:pPr>
            <w:r>
              <w:t xml:space="preserve">AQHI con fórmula y umbrales validados localmente</w:t>
            </w:r>
          </w:p>
        </w:tc>
        <w:tc>
          <w:tcPr/>
          <w:p>
            <w:pPr>
              <w:pStyle w:val="Tabla9"/>
              <w:jc w:val="left"/>
            </w:pPr>
            <w:r>
              <w:t xml:space="preserve">Fin 1</w:t>
            </w:r>
          </w:p>
        </w:tc>
        <w:tc>
          <w:tcPr/>
          <w:p>
            <w:pPr>
              <w:pStyle w:val="Tabla9"/>
              <w:jc w:val="left"/>
            </w:pPr>
            <w:r>
              <w:t xml:space="preserve">Fin</w:t>
            </w:r>
          </w:p>
        </w:tc>
      </w:tr>
      <w:tr>
        <w:trPr>
          <w:cantSplit/>
        </w:trPr>
        <w:tc>
          <w:tcPr/>
          <w:p>
            <w:pPr>
              <w:pStyle w:val="Tabla9"/>
              <w:jc w:val="left"/>
            </w:pPr>
            <w:r>
              <w:t xml:space="preserve">V12</w:t>
            </w:r>
          </w:p>
        </w:tc>
        <w:tc>
          <w:tcPr/>
          <w:p>
            <w:pPr>
              <w:pStyle w:val="Tabla9"/>
              <w:jc w:val="left"/>
            </w:pPr>
            <w:r>
              <w:t xml:space="preserve">Falsas alarmas sin medir</w:t>
            </w:r>
          </w:p>
        </w:tc>
        <w:tc>
          <w:tcPr/>
          <w:p>
            <w:pPr>
              <w:pStyle w:val="Tabla9"/>
              <w:jc w:val="left"/>
            </w:pPr>
            <w:r>
              <w:t xml:space="preserve">Tasa de falsas alarmas medida y reducida</w:t>
            </w:r>
          </w:p>
        </w:tc>
        <w:tc>
          <w:tcPr/>
          <w:p>
            <w:pPr>
              <w:pStyle w:val="Tabla9"/>
              <w:jc w:val="left"/>
            </w:pPr>
            <w:r>
              <w:t xml:space="preserve">Fin 1</w:t>
            </w:r>
          </w:p>
        </w:tc>
        <w:tc>
          <w:tcPr/>
          <w:p>
            <w:pPr>
              <w:pStyle w:val="Tabla9"/>
              <w:jc w:val="left"/>
            </w:pPr>
            <w:r>
              <w:t xml:space="preserve">Fin</w:t>
            </w:r>
          </w:p>
        </w:tc>
      </w:tr>
      <w:tr>
        <w:trPr>
          <w:cantSplit/>
        </w:trPr>
        <w:tc>
          <w:tcPr/>
          <w:p>
            <w:pPr>
              <w:pStyle w:val="Tabla9"/>
              <w:jc w:val="left"/>
            </w:pPr>
            <w:r>
              <w:t xml:space="preserve">V14</w:t>
            </w:r>
          </w:p>
        </w:tc>
        <w:tc>
          <w:tcPr/>
          <w:p>
            <w:pPr>
              <w:pStyle w:val="Tabla9"/>
              <w:jc w:val="left"/>
            </w:pPr>
            <w:r>
              <w:t xml:space="preserve">Personas sin protección efectiva por alertas confiables</w:t>
            </w:r>
          </w:p>
        </w:tc>
        <w:tc>
          <w:tcPr/>
          <w:p>
            <w:pPr>
              <w:pStyle w:val="Tabla9"/>
              <w:jc w:val="left"/>
            </w:pPr>
            <w:r>
              <w:t xml:space="preserve">Alertas confiables disponibles para el protocolo de protección</w:t>
            </w:r>
          </w:p>
        </w:tc>
        <w:tc>
          <w:tcPr/>
          <w:p>
            <w:pPr>
              <w:pStyle w:val="Tabla9"/>
              <w:jc w:val="left"/>
            </w:pPr>
            <w:r>
              <w:t xml:space="preserve">Fin 2</w:t>
            </w:r>
          </w:p>
        </w:tc>
        <w:tc>
          <w:tcPr/>
          <w:p>
            <w:pPr>
              <w:pStyle w:val="Tabla9"/>
              <w:jc w:val="left"/>
            </w:pPr>
            <w:r>
              <w:t xml:space="preserve">Fin</w:t>
            </w:r>
          </w:p>
        </w:tc>
      </w:tr>
      <w:tr>
        <w:trPr>
          <w:cantSplit/>
        </w:trPr>
        <w:tc>
          <w:tcPr/>
          <w:p>
            <w:pPr>
              <w:pStyle w:val="Tabla9"/>
              <w:jc w:val="left"/>
            </w:pPr>
            <w:r>
              <w:t xml:space="preserve">V15</w:t>
            </w:r>
          </w:p>
        </w:tc>
        <w:tc>
          <w:tcPr/>
          <w:p>
            <w:pPr>
              <w:pStyle w:val="Tabla9"/>
              <w:jc w:val="left"/>
            </w:pPr>
            <w:r>
              <w:t xml:space="preserve">Baja adopción institucional</w:t>
            </w:r>
          </w:p>
        </w:tc>
        <w:tc>
          <w:tcPr/>
          <w:p>
            <w:pPr>
              <w:pStyle w:val="Tabla9"/>
              <w:jc w:val="left"/>
            </w:pPr>
            <w:r>
              <w:t xml:space="preserve">Uso documentado del tablero y custodia por componente</w:t>
            </w:r>
          </w:p>
        </w:tc>
        <w:tc>
          <w:tcPr/>
          <w:p>
            <w:pPr>
              <w:pStyle w:val="Tabla9"/>
              <w:jc w:val="left"/>
            </w:pPr>
            <w:r>
              <w:t xml:space="preserve">Fin 2 y objetivo específico</w:t>
            </w:r>
          </w:p>
        </w:tc>
        <w:tc>
          <w:tcPr/>
          <w:p>
            <w:pPr>
              <w:pStyle w:val="Tabla9"/>
              <w:jc w:val="left"/>
            </w:pPr>
            <w:r>
              <w:t xml:space="preserve">OE3</w:t>
            </w:r>
          </w:p>
        </w:tc>
      </w:tr>
    </w:tbl>
    <w:p>
      <w:pPr>
        <w:pStyle w:val="TablaNota"/>
      </w:pPr>
      <w:r>
        <w:rPr>
          <w:i/>
          <w:iCs/>
        </w:rPr>
        <w:t xml:space="preserve">Nota.</w:t>
      </w:r>
      <w:r>
        <w:t xml:space="preserve"> </w:t>
      </w:r>
      <w:r>
        <w:t xml:space="preserve">Elaboración propia con la sección F4.5 (árbol A-PROB) y la ficha maestra (sección 3). Naturaleza: PROPUESTO. V14 no tiene variable de resultado ni línea base; el proyecto no afirma protección efectiva de personas.</w:t>
      </w:r>
    </w:p>
    <w:p>
      <w:pPr>
        <w:pStyle w:val="FiguraRotulo"/>
      </w:pPr>
      <w:bookmarkStart w:id="9484" w:name="rot_Figura_F6_1"/>
      <w:r>
        <w:rPr>
          <w:b/>
          <w:bCs/>
        </w:rPr>
        <w:t xml:space="preserve">Figura F6.1</w:t>
      </w:r>
      <w:bookmarkEnd w:id="9484"/>
    </w:p>
    <w:p>
      <w:pPr>
        <w:pStyle w:val="FiguraTitulo"/>
      </w:pPr>
      <w:r>
        <w:rPr>
          <w:i/>
          <w:iCs/>
        </w:rPr>
        <w:t xml:space="preserve">Árbol de objetivos del proyecto</w:t>
      </w:r>
    </w:p>
    <w:p>
      <w:pPr>
        <w:pStyle w:val="BodyText"/>
      </w:pPr>
      <w:r>
        <w:drawing>
          <wp:inline>
            <wp:extent cx="5579999" cy="3885837"/>
            <wp:effectExtent b="0" l="0" r="0" t="0"/>
            <wp:docPr descr="" title="" id="233" name="Picture"/>
            <a:graphic>
              <a:graphicData uri="http://schemas.openxmlformats.org/drawingml/2006/picture">
                <pic:pic>
                  <pic:nvPicPr>
                    <pic:cNvPr descr="/tmp/claude-0/-home-user-docs/ddf38714-2a7e-502b-92b4-1008e2832422/scratchpad/proy/figs/out/cF6_f01.png" id="234" name="Picture"/>
                    <pic:cNvPicPr>
                      <a:picLocks noChangeArrowheads="1" noChangeAspect="1"/>
                    </pic:cNvPicPr>
                  </pic:nvPicPr>
                  <pic:blipFill>
                    <a:blip r:embed="rId232"/>
                    <a:stretch>
                      <a:fillRect/>
                    </a:stretch>
                  </pic:blipFill>
                  <pic:spPr bwMode="auto">
                    <a:xfrm>
                      <a:off x="0" y="0"/>
                      <a:ext cx="5579999" cy="38858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maestro.py (objetivo general y objetivos específicos) y la sección F4.5. Los códigos V corresponden al diccionario de 15 variables de la sección F4.4.2. Estatuto de las relaciones: HIE.</w:t>
      </w:r>
    </w:p>
    <w:bookmarkEnd w:id="235"/>
    <w:bookmarkStart w:id="238" w:name="_Toc00900094"/>
    <w:p>
      <w:pPr>
        <w:pStyle w:val="Heading2"/>
      </w:pPr>
      <w:r>
        <w:t xml:space="preserve">F6.2 Identificación de alternativas</w:t>
      </w:r>
    </w:p>
    <w:p>
      <w:pPr>
        <w:pStyle w:val="FirstParagraph"/>
      </w:pPr>
      <w:r>
        <w:t xml:space="preserve">El conjunto de alternativas incluye cuatro opciones. ALT-00 mantiene la práctica actual y sirve de línea de comparación. ALT-01 sustituye el sensor de bajo costo por estaciones de referencia en cada sitio. ALT-02 corrige los datos de forma centralizada en la nube. ALT-03 es la alternativa contrainductiva que exige el metaprompt: corrige en el gateway, despliega por tramos condicionados y distribuye la custodia. El expediente E3-P00 presentaba tres alternativas con presupuestos no comparables. Esta formulación incorpora el statu quo y compara costos solo cuando proceden de la misma fuente.</w:t>
      </w:r>
    </w:p>
    <w:p>
      <w:pPr>
        <w:pStyle w:val="BodyText"/>
      </w:pPr>
      <w:r>
        <w:t xml:space="preserve">Las cuatro fichas siguientes (Tabla F6.2, Tabla F6.3, Tabla F6.4 y Tabla F6.5) usan los mismos diez aspectos. Los campos de articulación con el PDD, la demanda territorial y la misión PIIOM quedan como VACIO en las cuatro. Los documentos de origen no se aportaron.</w:t>
      </w:r>
    </w:p>
    <w:p>
      <w:pPr>
        <w:pStyle w:val="TablaRotulo"/>
      </w:pPr>
      <w:bookmarkStart w:id="9203" w:name="rot_Tabla_F6_2"/>
      <w:r>
        <w:rPr>
          <w:b/>
          <w:bCs/>
        </w:rPr>
        <w:t xml:space="preserve">Tabla F6.2</w:t>
      </w:r>
      <w:bookmarkEnd w:id="9203"/>
    </w:p>
    <w:p>
      <w:pPr>
        <w:pStyle w:val="TablaTitulo"/>
      </w:pPr>
      <w:r>
        <w:rPr>
          <w:i/>
          <w:iCs/>
        </w:rPr>
        <w:t xml:space="preserve">Alternativa ALT-00: statu quo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shd w:val="clear" w:color="auto" w:fill="00B050"/>
          </w:tcPr>
          <w:p>
            <w:pPr>
              <w:pStyle w:val="Tabla9"/>
              <w:jc w:val="center"/>
            </w:pPr>
            <w:r>
              <w:rPr>
                <w:b/>
                <w:color w:val="FFFFFF"/>
              </w:rPr>
              <w:t xml:space="preserve">Aspecto</w:t>
            </w:r>
          </w:p>
        </w:tc>
        <w:tc>
          <w:tcPr>
            <w:shd w:val="clear" w:color="auto" w:fill="00B050"/>
          </w:tcPr>
          <w:p>
            <w:pPr>
              <w:pStyle w:val="Tabla9"/>
              <w:jc w:val="center"/>
            </w:pPr>
            <w:r>
              <w:rPr>
                <w:b/>
                <w:color w:val="FFFFFF"/>
              </w:rPr>
              <w:t xml:space="preserve">Descripción</w:t>
            </w:r>
          </w:p>
        </w:tc>
      </w:tr>
      <w:tr>
        <w:trPr>
          <w:cantSplit/>
        </w:trPr>
        <w:tc>
          <w:tcPr/>
          <w:p>
            <w:pPr>
              <w:pStyle w:val="Tabla9"/>
              <w:jc w:val="left"/>
            </w:pPr>
            <w:r>
              <w:t xml:space="preserve">Descripción</w:t>
            </w:r>
          </w:p>
        </w:tc>
        <w:tc>
          <w:tcPr/>
          <w:p>
            <w:pPr>
              <w:pStyle w:val="Tabla9"/>
              <w:jc w:val="left"/>
            </w:pPr>
            <w:r>
              <w:t xml:space="preserve">La alternativa mantiene la práctica actual: sensores ópticos de bajo costo operados de forma aislada, sin colocalización con equipos de referencia y sin corrección local. Cada comité interpreta las lecturas con el valor del fabricante. No exige inversión adicional ni desarrollo tecnológico. Tampoco entrega un error conocido ni un criterio para decidir cuándo una lectura es confiable. Sirve de comparación porque representa el costo de no intervenir. Su ventaja es la rapidez; su límite es que conserva el ciclo de baja confianza y bajo uso institucional.</w:t>
            </w:r>
          </w:p>
        </w:tc>
      </w:tr>
      <w:tr>
        <w:trPr>
          <w:cantSplit/>
        </w:trPr>
        <w:tc>
          <w:tcPr/>
          <w:p>
            <w:pPr>
              <w:pStyle w:val="Tabla9"/>
              <w:jc w:val="left"/>
            </w:pPr>
            <w:r>
              <w:t xml:space="preserve">Enfoque</w:t>
            </w:r>
          </w:p>
        </w:tc>
        <w:tc>
          <w:tcPr/>
          <w:p>
            <w:pPr>
              <w:pStyle w:val="Tabla9"/>
              <w:jc w:val="left"/>
            </w:pPr>
            <w:r>
              <w:t xml:space="preserve">Tradicional; mantener lo existente</w:t>
            </w:r>
          </w:p>
        </w:tc>
      </w:tr>
      <w:tr>
        <w:trPr>
          <w:cantSplit/>
        </w:trPr>
        <w:tc>
          <w:tcPr/>
          <w:p>
            <w:pPr>
              <w:pStyle w:val="Tabla9"/>
              <w:jc w:val="left"/>
            </w:pPr>
            <w:r>
              <w:t xml:space="preserve">TRL objetivo</w:t>
            </w:r>
          </w:p>
        </w:tc>
        <w:tc>
          <w:tcPr/>
          <w:p>
            <w:pPr>
              <w:pStyle w:val="Tabla9"/>
              <w:jc w:val="left"/>
            </w:pPr>
            <w:r>
              <w:t xml:space="preserve">No aplica: sin desarrollo</w:t>
            </w:r>
          </w:p>
        </w:tc>
      </w:tr>
      <w:tr>
        <w:trPr>
          <w:cantSplit/>
        </w:trPr>
        <w:tc>
          <w:tcPr/>
          <w:p>
            <w:pPr>
              <w:pStyle w:val="Tabla9"/>
              <w:jc w:val="left"/>
            </w:pPr>
            <w:r>
              <w:t xml:space="preserve">Componentes</w:t>
            </w:r>
          </w:p>
        </w:tc>
        <w:tc>
          <w:tcPr/>
          <w:p>
            <w:pPr>
              <w:pStyle w:val="Tabla9"/>
              <w:jc w:val="left"/>
            </w:pPr>
            <w:r>
              <w:t xml:space="preserve">Técnico: sensores aislados. Organizacional: sin protocolo de verificación. Económico: sin inversión adicional.</w:t>
            </w:r>
          </w:p>
        </w:tc>
      </w:tr>
      <w:tr>
        <w:trPr>
          <w:cantSplit/>
        </w:trPr>
        <w:tc>
          <w:tcPr/>
          <w:p>
            <w:pPr>
              <w:pStyle w:val="Tabla9"/>
              <w:jc w:val="left"/>
            </w:pPr>
            <w:r>
              <w:t xml:space="preserve">Duración</w:t>
            </w:r>
          </w:p>
        </w:tc>
        <w:tc>
          <w:tcPr/>
          <w:p>
            <w:pPr>
              <w:pStyle w:val="Tabla9"/>
              <w:jc w:val="left"/>
            </w:pPr>
            <w:r>
              <w:t xml:space="preserve">Continua; sin plazo de ejecución</w:t>
            </w:r>
          </w:p>
        </w:tc>
      </w:tr>
      <w:tr>
        <w:trPr>
          <w:cantSplit/>
        </w:trPr>
        <w:tc>
          <w:tcPr/>
          <w:p>
            <w:pPr>
              <w:pStyle w:val="Tabla9"/>
              <w:jc w:val="left"/>
            </w:pPr>
            <w:r>
              <w:t xml:space="preserve">Presupuesto</w:t>
            </w:r>
          </w:p>
        </w:tc>
        <w:tc>
          <w:tcPr/>
          <w:p>
            <w:pPr>
              <w:pStyle w:val="Tabla9"/>
              <w:jc w:val="left"/>
            </w:pPr>
            <w:r>
              <w:t xml:space="preserve">Sin inversión adicional; el costo de oportunidad no se estimó</w:t>
            </w:r>
          </w:p>
        </w:tc>
      </w:tr>
      <w:tr>
        <w:trPr>
          <w:cantSplit/>
        </w:trPr>
        <w:tc>
          <w:tcPr/>
          <w:p>
            <w:pPr>
              <w:pStyle w:val="Tabla9"/>
              <w:jc w:val="left"/>
            </w:pPr>
            <w:r>
              <w:t xml:space="preserve">Beneficiarios</w:t>
            </w:r>
          </w:p>
        </w:tc>
        <w:tc>
          <w:tcPr/>
          <w:p>
            <w:pPr>
              <w:pStyle w:val="Tabla9"/>
              <w:jc w:val="left"/>
            </w:pPr>
            <w:r>
              <w:t xml:space="preserve">Ningún comité con medición de error conocido</w:t>
            </w:r>
          </w:p>
        </w:tc>
      </w:tr>
      <w:tr>
        <w:trPr>
          <w:cantSplit/>
        </w:trPr>
        <w:tc>
          <w:tcPr/>
          <w:p>
            <w:pPr>
              <w:pStyle w:val="Tabla9"/>
              <w:jc w:val="left"/>
            </w:pPr>
            <w:r>
              <w:t xml:space="preserve">Articulación PDD</w:t>
            </w:r>
          </w:p>
        </w:tc>
        <w:tc>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p>
            <w:pPr>
              <w:pStyle w:val="Tabla9"/>
              <w:jc w:val="left"/>
            </w:pPr>
            <w:r>
              <w:t xml:space="preserve">Misión PIIOM</w:t>
            </w:r>
          </w:p>
        </w:tc>
        <w:tc>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Naturaleza: PROPUESTO. El presupuesto y los beneficiarios son INFERIDOS por la definición de la alternativa.</w:t>
      </w:r>
    </w:p>
    <w:p>
      <w:pPr>
        <w:pStyle w:val="TablaRotulo"/>
      </w:pPr>
      <w:bookmarkStart w:id="9204" w:name="rot_Tabla_F6_3"/>
      <w:r>
        <w:rPr>
          <w:b/>
          <w:bCs/>
        </w:rPr>
        <w:t xml:space="preserve">Tabla F6.3</w:t>
      </w:r>
      <w:bookmarkEnd w:id="9204"/>
    </w:p>
    <w:p>
      <w:pPr>
        <w:pStyle w:val="TablaTitulo"/>
      </w:pPr>
      <w:r>
        <w:rPr>
          <w:i/>
          <w:iCs/>
        </w:rPr>
        <w:t xml:space="preserve">Alternativa ALT-01: estaciones fijas de referencia en los sitios de remoción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shd w:val="clear" w:color="auto" w:fill="00B050"/>
          </w:tcPr>
          <w:p>
            <w:pPr>
              <w:pStyle w:val="Tabla9"/>
              <w:jc w:val="center"/>
            </w:pPr>
            <w:r>
              <w:rPr>
                <w:b/>
                <w:color w:val="FFFFFF"/>
              </w:rPr>
              <w:t xml:space="preserve">Aspecto</w:t>
            </w:r>
          </w:p>
        </w:tc>
        <w:tc>
          <w:tcPr>
            <w:shd w:val="clear" w:color="auto" w:fill="00B050"/>
          </w:tcPr>
          <w:p>
            <w:pPr>
              <w:pStyle w:val="Tabla9"/>
              <w:jc w:val="center"/>
            </w:pPr>
            <w:r>
              <w:rPr>
                <w:b/>
                <w:color w:val="FFFFFF"/>
              </w:rPr>
              <w:t xml:space="preserve">Descripción</w:t>
            </w:r>
          </w:p>
        </w:tc>
      </w:tr>
      <w:tr>
        <w:trPr>
          <w:cantSplit/>
        </w:trPr>
        <w:tc>
          <w:tcPr/>
          <w:p>
            <w:pPr>
              <w:pStyle w:val="Tabla9"/>
              <w:jc w:val="left"/>
            </w:pPr>
            <w:r>
              <w:t xml:space="preserve">Descripción</w:t>
            </w:r>
          </w:p>
        </w:tc>
        <w:tc>
          <w:tcPr/>
          <w:p>
            <w:pPr>
              <w:pStyle w:val="Tabla9"/>
              <w:jc w:val="left"/>
            </w:pPr>
            <w:r>
              <w:t xml:space="preserve">La alternativa instala una estación de referencia, como un monitor gravimétrico o un equivalente, en cada uno de los 12 sitios focalizados. Cada estación entrega datos con error conocido y respaldo metrológico. El enfoque es tradicional: sustituye el sensor de bajo costo por el instrumento de referencia. La cobertura queda limitada por el costo unitario, por la energía y por la logística de cada sitio. No requiere un modelo de corrección. Con el costo unitario de los monitores gravimétricos de esta formulación, el equipamiento de referencia de 12 sitios suma $ 1.020.000.000 COP, sin energía, personal ni operación.</w:t>
            </w:r>
          </w:p>
        </w:tc>
      </w:tr>
      <w:tr>
        <w:trPr>
          <w:cantSplit/>
        </w:trPr>
        <w:tc>
          <w:tcPr/>
          <w:p>
            <w:pPr>
              <w:pStyle w:val="Tabla9"/>
              <w:jc w:val="left"/>
            </w:pPr>
            <w:r>
              <w:t xml:space="preserve">Enfoque</w:t>
            </w:r>
          </w:p>
        </w:tc>
        <w:tc>
          <w:tcPr/>
          <w:p>
            <w:pPr>
              <w:pStyle w:val="Tabla9"/>
              <w:jc w:val="left"/>
            </w:pPr>
            <w:r>
              <w:t xml:space="preserve">Tradicional; sustitución por instrumentos de referencia</w:t>
            </w:r>
          </w:p>
        </w:tc>
      </w:tr>
      <w:tr>
        <w:trPr>
          <w:cantSplit/>
        </w:trPr>
        <w:tc>
          <w:tcPr/>
          <w:p>
            <w:pPr>
              <w:pStyle w:val="Tabla9"/>
              <w:jc w:val="left"/>
            </w:pPr>
            <w:r>
              <w:t xml:space="preserve">TRL objetivo</w:t>
            </w:r>
          </w:p>
        </w:tc>
        <w:tc>
          <w:tcPr/>
          <w:p>
            <w:pPr>
              <w:pStyle w:val="Tabla9"/>
              <w:jc w:val="left"/>
            </w:pPr>
            <w:r>
              <w:t xml:space="preserve">TRL 9 del equipo comercial (INFERIDO; no verificado)</w:t>
            </w:r>
          </w:p>
        </w:tc>
      </w:tr>
      <w:tr>
        <w:trPr>
          <w:cantSplit/>
        </w:trPr>
        <w:tc>
          <w:tcPr/>
          <w:p>
            <w:pPr>
              <w:pStyle w:val="Tabla9"/>
              <w:jc w:val="left"/>
            </w:pPr>
            <w:r>
              <w:t xml:space="preserve">Componentes</w:t>
            </w:r>
          </w:p>
        </w:tc>
        <w:tc>
          <w:tcPr/>
          <w:p>
            <w:pPr>
              <w:pStyle w:val="Tabla9"/>
              <w:jc w:val="left"/>
            </w:pPr>
            <w:r>
              <w:t xml:space="preserve">Técnico: 12 estaciones de referencia. Organizacional: operación por personal capacitado en cada sitio. Económico: costo unitario alto y costo de operación continuo.</w:t>
            </w:r>
          </w:p>
        </w:tc>
      </w:tr>
      <w:tr>
        <w:trPr>
          <w:cantSplit/>
        </w:trPr>
        <w:tc>
          <w:tcPr/>
          <w:p>
            <w:pPr>
              <w:pStyle w:val="Tabla9"/>
              <w:jc w:val="left"/>
            </w:pPr>
            <w:r>
              <w:t xml:space="preserve">Duración</w:t>
            </w:r>
          </w:p>
        </w:tc>
        <w:tc>
          <w:tcPr/>
          <w:p>
            <w:pPr>
              <w:pStyle w:val="Tabla9"/>
              <w:jc w:val="left"/>
            </w:pPr>
            <w:r>
              <w:t xml:space="preserve">[DATO_USUARIO: plazo de adquisición e instalación de 12 estaciones de referencia]</w:t>
            </w:r>
          </w:p>
        </w:tc>
      </w:tr>
      <w:tr>
        <w:trPr>
          <w:cantSplit/>
        </w:trPr>
        <w:tc>
          <w:tcPr/>
          <w:p>
            <w:pPr>
              <w:pStyle w:val="Tabla9"/>
              <w:jc w:val="left"/>
            </w:pPr>
            <w:r>
              <w:t xml:space="preserve">Presupuesto</w:t>
            </w:r>
          </w:p>
        </w:tc>
        <w:tc>
          <w:tcPr/>
          <w:p>
            <w:pPr>
              <w:pStyle w:val="Tabla9"/>
              <w:jc w:val="left"/>
            </w:pPr>
            <w:r>
              <w:t xml:space="preserve">$ 1.020.000.000 COP solo en equipos de referencia (12 × $ 85.000.000); ILUSTRATIVO; excluye energía, personal y operación</w:t>
            </w:r>
          </w:p>
        </w:tc>
      </w:tr>
      <w:tr>
        <w:trPr>
          <w:cantSplit/>
        </w:trPr>
        <w:tc>
          <w:tcPr/>
          <w:p>
            <w:pPr>
              <w:pStyle w:val="Tabla9"/>
              <w:jc w:val="left"/>
            </w:pPr>
            <w:r>
              <w:t xml:space="preserve">Beneficiarios</w:t>
            </w:r>
          </w:p>
        </w:tc>
        <w:tc>
          <w:tcPr/>
          <w:p>
            <w:pPr>
              <w:pStyle w:val="Tabla9"/>
              <w:jc w:val="left"/>
            </w:pPr>
            <w:r>
              <w:t xml:space="preserve">12 comités municipales, uno por estación (INFERIDO)</w:t>
            </w:r>
          </w:p>
        </w:tc>
      </w:tr>
      <w:tr>
        <w:trPr>
          <w:cantSplit/>
        </w:trPr>
        <w:tc>
          <w:tcPr/>
          <w:p>
            <w:pPr>
              <w:pStyle w:val="Tabla9"/>
              <w:jc w:val="left"/>
            </w:pPr>
            <w:r>
              <w:t xml:space="preserve">Articulación PDD</w:t>
            </w:r>
          </w:p>
        </w:tc>
        <w:tc>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p>
            <w:pPr>
              <w:pStyle w:val="Tabla9"/>
              <w:jc w:val="left"/>
            </w:pPr>
            <w:r>
              <w:t xml:space="preserve">Misión PIIOM</w:t>
            </w:r>
          </w:p>
        </w:tc>
        <w:tc>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el costo unitario de los monitores gravimétricos (línea E03 de maestro.py). El número de sitios (12) es SUPUESTO. El cálculo es ILUSTRATIVO y no equivale a una cotización.</w:t>
      </w:r>
    </w:p>
    <w:p>
      <w:pPr>
        <w:pStyle w:val="TablaRotulo"/>
      </w:pPr>
      <w:bookmarkStart w:id="9205" w:name="rot_Tabla_F6_4"/>
      <w:r>
        <w:rPr>
          <w:b/>
          <w:bCs/>
        </w:rPr>
        <w:t xml:space="preserve">Tabla F6.4</w:t>
      </w:r>
      <w:bookmarkEnd w:id="9205"/>
    </w:p>
    <w:p>
      <w:pPr>
        <w:pStyle w:val="TablaTitulo"/>
      </w:pPr>
      <w:r>
        <w:rPr>
          <w:i/>
          <w:iCs/>
        </w:rPr>
        <w:t xml:space="preserve">Alternativa ALT-02: red de sensores con calibración centralizada en la nube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shd w:val="clear" w:color="auto" w:fill="00B050"/>
          </w:tcPr>
          <w:p>
            <w:pPr>
              <w:pStyle w:val="Tabla9"/>
              <w:jc w:val="center"/>
            </w:pPr>
            <w:r>
              <w:rPr>
                <w:b/>
                <w:color w:val="FFFFFF"/>
              </w:rPr>
              <w:t xml:space="preserve">Aspecto</w:t>
            </w:r>
          </w:p>
        </w:tc>
        <w:tc>
          <w:tcPr>
            <w:shd w:val="clear" w:color="auto" w:fill="00B050"/>
          </w:tcPr>
          <w:p>
            <w:pPr>
              <w:pStyle w:val="Tabla9"/>
              <w:jc w:val="center"/>
            </w:pPr>
            <w:r>
              <w:rPr>
                <w:b/>
                <w:color w:val="FFFFFF"/>
              </w:rPr>
              <w:t xml:space="preserve">Descripción</w:t>
            </w:r>
          </w:p>
        </w:tc>
      </w:tr>
      <w:tr>
        <w:trPr>
          <w:cantSplit/>
        </w:trPr>
        <w:tc>
          <w:tcPr/>
          <w:p>
            <w:pPr>
              <w:pStyle w:val="Tabla9"/>
              <w:jc w:val="left"/>
            </w:pPr>
            <w:r>
              <w:t xml:space="preserve">Descripción</w:t>
            </w:r>
          </w:p>
        </w:tc>
        <w:tc>
          <w:tcPr/>
          <w:p>
            <w:pPr>
              <w:pStyle w:val="Tabla9"/>
              <w:jc w:val="left"/>
            </w:pPr>
            <w:r>
              <w:t xml:space="preserve">La alternativa despliega 100 nodos con transmisión continua del dato crudo a la nube. Un modelo de calibración, entrenado con referencias colocalizadas, corrige los datos en la plataforma central. Mejora la práctica actual porque aplica corrección y mantiene control central del modelo. Depende de un enlace estable entre cada nodo y la nube. En sitios con cobertura deficiente, los datos no llegan y la corrección no se aplica. La transmisión continua aumenta el consumo de energía y de datos celulares. El hardware es equivalente al de ALT-03.</w:t>
            </w:r>
          </w:p>
        </w:tc>
      </w:tr>
      <w:tr>
        <w:trPr>
          <w:cantSplit/>
        </w:trPr>
        <w:tc>
          <w:tcPr/>
          <w:p>
            <w:pPr>
              <w:pStyle w:val="Tabla9"/>
              <w:jc w:val="left"/>
            </w:pPr>
            <w:r>
              <w:t xml:space="preserve">Enfoque</w:t>
            </w:r>
          </w:p>
        </w:tc>
        <w:tc>
          <w:tcPr/>
          <w:p>
            <w:pPr>
              <w:pStyle w:val="Tabla9"/>
              <w:jc w:val="left"/>
            </w:pPr>
            <w:r>
              <w:t xml:space="preserve">Mejorado; corrección centralizada</w:t>
            </w:r>
          </w:p>
        </w:tc>
      </w:tr>
      <w:tr>
        <w:trPr>
          <w:cantSplit/>
        </w:trPr>
        <w:tc>
          <w:tcPr/>
          <w:p>
            <w:pPr>
              <w:pStyle w:val="Tabla9"/>
              <w:jc w:val="left"/>
            </w:pPr>
            <w:r>
              <w:t xml:space="preserve">TRL objetivo</w:t>
            </w:r>
          </w:p>
        </w:tc>
        <w:tc>
          <w:tcPr/>
          <w:p>
            <w:pPr>
              <w:pStyle w:val="Tabla9"/>
              <w:jc w:val="left"/>
            </w:pPr>
            <w:r>
              <w:t xml:space="preserve">TRL 6 (INFERIDO)</w:t>
            </w:r>
          </w:p>
        </w:tc>
      </w:tr>
      <w:tr>
        <w:trPr>
          <w:cantSplit/>
        </w:trPr>
        <w:tc>
          <w:tcPr/>
          <w:p>
            <w:pPr>
              <w:pStyle w:val="Tabla9"/>
              <w:jc w:val="left"/>
            </w:pPr>
            <w:r>
              <w:t xml:space="preserve">Componentes</w:t>
            </w:r>
          </w:p>
        </w:tc>
        <w:tc>
          <w:tcPr/>
          <w:p>
            <w:pPr>
              <w:pStyle w:val="Tabla9"/>
              <w:jc w:val="left"/>
            </w:pPr>
            <w:r>
              <w:t xml:space="preserve">Técnico: 100 nodos y plataforma central de calibración. Organizacional: operación centralizada por el ejecutor. Económico: hardware equivalente al de ALT-03 y mayor costo de datos.</w:t>
            </w:r>
          </w:p>
        </w:tc>
      </w:tr>
      <w:tr>
        <w:trPr>
          <w:cantSplit/>
        </w:trPr>
        <w:tc>
          <w:tcPr/>
          <w:p>
            <w:pPr>
              <w:pStyle w:val="Tabla9"/>
              <w:jc w:val="left"/>
            </w:pPr>
            <w:r>
              <w:t xml:space="preserve">Duración</w:t>
            </w:r>
          </w:p>
        </w:tc>
        <w:tc>
          <w:tcPr/>
          <w:p>
            <w:pPr>
              <w:pStyle w:val="Tabla9"/>
              <w:jc w:val="left"/>
            </w:pPr>
            <w:r>
              <w:t xml:space="preserve">24 meses (PROPUESTO), sin compuertas de ampliación</w:t>
            </w:r>
          </w:p>
        </w:tc>
      </w:tr>
      <w:tr>
        <w:trPr>
          <w:cantSplit/>
        </w:trPr>
        <w:tc>
          <w:tcPr/>
          <w:p>
            <w:pPr>
              <w:pStyle w:val="Tabla9"/>
              <w:jc w:val="left"/>
            </w:pPr>
            <w:r>
              <w:t xml:space="preserve">Presupuesto</w:t>
            </w:r>
          </w:p>
        </w:tc>
        <w:tc>
          <w:tcPr/>
          <w:p>
            <w:pPr>
              <w:pStyle w:val="Tabla9"/>
              <w:jc w:val="left"/>
            </w:pPr>
            <w:r>
              <w:t xml:space="preserve">Hardware equivalente al de ALT-03 (líneas E01 a E06); [DATO_USUARIO: costo de la plataforma de calibración centralizada]</w:t>
            </w:r>
          </w:p>
        </w:tc>
      </w:tr>
      <w:tr>
        <w:trPr>
          <w:cantSplit/>
        </w:trPr>
        <w:tc>
          <w:tcPr/>
          <w:p>
            <w:pPr>
              <w:pStyle w:val="Tabla9"/>
              <w:jc w:val="left"/>
            </w:pPr>
            <w:r>
              <w:t xml:space="preserve">Beneficiarios</w:t>
            </w:r>
          </w:p>
        </w:tc>
        <w:tc>
          <w:tcPr/>
          <w:p>
            <w:pPr>
              <w:pStyle w:val="Tabla9"/>
              <w:jc w:val="left"/>
            </w:pPr>
            <w:r>
              <w:t xml:space="preserve">15 comités y 150 funcionarios (SUPUESTO)</w:t>
            </w:r>
          </w:p>
        </w:tc>
      </w:tr>
      <w:tr>
        <w:trPr>
          <w:cantSplit/>
        </w:trPr>
        <w:tc>
          <w:tcPr/>
          <w:p>
            <w:pPr>
              <w:pStyle w:val="Tabla9"/>
              <w:jc w:val="left"/>
            </w:pPr>
            <w:r>
              <w:t xml:space="preserve">Articulación PDD</w:t>
            </w:r>
          </w:p>
        </w:tc>
        <w:tc>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p>
            <w:pPr>
              <w:pStyle w:val="Tabla9"/>
              <w:jc w:val="left"/>
            </w:pPr>
            <w:r>
              <w:t xml:space="preserve">Misión PIIOM</w:t>
            </w:r>
          </w:p>
        </w:tc>
        <w:tc>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maestro.py. Naturaleza: PROPUESTO. El enfoque es la versión centralizada de la corrección que el expediente E3 ubicaba en varios lugares.</w:t>
      </w:r>
    </w:p>
    <w:p>
      <w:pPr>
        <w:pStyle w:val="TablaRotulo"/>
      </w:pPr>
      <w:bookmarkStart w:id="9206" w:name="rot_Tabla_F6_5"/>
      <w:r>
        <w:rPr>
          <w:b/>
          <w:bCs/>
        </w:rPr>
        <w:t xml:space="preserve">Tabla F6.5</w:t>
      </w:r>
      <w:bookmarkEnd w:id="9206"/>
    </w:p>
    <w:p>
      <w:pPr>
        <w:pStyle w:val="TablaTitulo"/>
      </w:pPr>
      <w:r>
        <w:rPr>
          <w:i/>
          <w:iCs/>
        </w:rPr>
        <w:t xml:space="preserve">Alternativa ALT-03: red híbrida con corrección en gateway, despliegue por tramos y custodia distribuida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06"/>
        <w:gridCol w:w="5214"/>
      </w:tblGrid>
      <w:tr>
        <w:trPr>
          <w:cantSplit/>
          <w:tblHeader/>
        </w:trPr>
        <w:tc>
          <w:tcPr>
            <w:shd w:val="clear" w:color="auto" w:fill="00B050"/>
          </w:tcPr>
          <w:p>
            <w:pPr>
              <w:pStyle w:val="Tabla9"/>
              <w:jc w:val="center"/>
            </w:pPr>
            <w:r>
              <w:rPr>
                <w:b/>
                <w:color w:val="FFFFFF"/>
              </w:rPr>
              <w:t xml:space="preserve">Aspecto</w:t>
            </w:r>
          </w:p>
        </w:tc>
        <w:tc>
          <w:tcPr>
            <w:shd w:val="clear" w:color="auto" w:fill="00B050"/>
          </w:tcPr>
          <w:p>
            <w:pPr>
              <w:pStyle w:val="Tabla9"/>
              <w:jc w:val="center"/>
            </w:pPr>
            <w:r>
              <w:rPr>
                <w:b/>
                <w:color w:val="FFFFFF"/>
              </w:rPr>
              <w:t xml:space="preserve">Descripción</w:t>
            </w:r>
          </w:p>
        </w:tc>
      </w:tr>
      <w:tr>
        <w:trPr>
          <w:cantSplit/>
        </w:trPr>
        <w:tc>
          <w:tcPr/>
          <w:p>
            <w:pPr>
              <w:pStyle w:val="Tabla9"/>
              <w:jc w:val="left"/>
            </w:pPr>
            <w:r>
              <w:t xml:space="preserve">Descripción</w:t>
            </w:r>
          </w:p>
        </w:tc>
        <w:tc>
          <w:tcPr/>
          <w:p>
            <w:pPr>
              <w:pStyle w:val="Tabla9"/>
              <w:jc w:val="left"/>
            </w:pPr>
            <w:r>
              <w:t xml:space="preserve">La alternativa despliega 100 nodos hoja que transmiten por LoRa a 10 gateways. Cada gateway aplica el modelo de corrección vigente, almacena siete días de datos y reenvía por red celular con enlace satelital alterno. El despliegue se hace en tres tramos condicionados por compuertas: cada tramo libera la compra del siguiente solo si el modelo cumple los umbrales y los comités usan el tablero. La custodia de cada componente se asigna por convenio. Decide de forma distinta a lo esperado: no instala referencias en todos los sitios y no centraliza la corrección.</w:t>
            </w:r>
          </w:p>
        </w:tc>
      </w:tr>
      <w:tr>
        <w:trPr>
          <w:cantSplit/>
        </w:trPr>
        <w:tc>
          <w:tcPr/>
          <w:p>
            <w:pPr>
              <w:pStyle w:val="Tabla9"/>
              <w:jc w:val="left"/>
            </w:pPr>
            <w:r>
              <w:t xml:space="preserve">Enfoque</w:t>
            </w:r>
          </w:p>
        </w:tc>
        <w:tc>
          <w:tcPr/>
          <w:p>
            <w:pPr>
              <w:pStyle w:val="Tabla9"/>
              <w:jc w:val="left"/>
            </w:pPr>
            <w:r>
              <w:t xml:space="preserve">CONTRAINDUCTIVO</w:t>
            </w:r>
          </w:p>
        </w:tc>
      </w:tr>
      <w:tr>
        <w:trPr>
          <w:cantSplit/>
        </w:trPr>
        <w:tc>
          <w:tcPr/>
          <w:p>
            <w:pPr>
              <w:pStyle w:val="Tabla9"/>
              <w:jc w:val="left"/>
            </w:pPr>
            <w:r>
              <w:t xml:space="preserve">Justificación contrainductiva</w:t>
            </w:r>
          </w:p>
        </w:tc>
        <w:tc>
          <w:tcPr/>
          <w:p>
            <w:pPr>
              <w:pStyle w:val="Tabla9"/>
              <w:jc w:val="left"/>
            </w:pPr>
            <w:r>
              <w:t xml:space="preserve">Contradice dos supuestos del sector: que la calibración exige retirar el sensor (V07) y que un sensor de bajo costo no alcanza calidad de referencia (V06). Ver la Tabla F6.6.</w:t>
            </w:r>
          </w:p>
        </w:tc>
      </w:tr>
      <w:tr>
        <w:trPr>
          <w:cantSplit/>
        </w:trPr>
        <w:tc>
          <w:tcPr/>
          <w:p>
            <w:pPr>
              <w:pStyle w:val="Tabla9"/>
              <w:jc w:val="left"/>
            </w:pPr>
            <w:r>
              <w:t xml:space="preserve">Inspiración cross-domain</w:t>
            </w:r>
          </w:p>
        </w:tc>
        <w:tc>
          <w:tcPr/>
          <w:p>
            <w:pPr>
              <w:pStyle w:val="Tabla9"/>
              <w:jc w:val="left"/>
            </w:pPr>
            <w:r>
              <w:t xml:space="preserve">Vigilancia centinela en salud pública, trazabilidad metrológica y compuertas de etapa en gestión de innovación (Cooper, 2008). Ver la Tabla F6.7.</w:t>
            </w:r>
          </w:p>
        </w:tc>
      </w:tr>
      <w:tr>
        <w:trPr>
          <w:cantSplit/>
        </w:trPr>
        <w:tc>
          <w:tcPr/>
          <w:p>
            <w:pPr>
              <w:pStyle w:val="Tabla9"/>
              <w:jc w:val="left"/>
            </w:pPr>
            <w:r>
              <w:t xml:space="preserve">TRL objetivo</w:t>
            </w:r>
          </w:p>
        </w:tc>
        <w:tc>
          <w:tcPr/>
          <w:p>
            <w:pPr>
              <w:pStyle w:val="Tabla9"/>
              <w:jc w:val="left"/>
            </w:pPr>
            <w:r>
              <w:t xml:space="preserve">TRL 4 a TRL 7 (PROPUESTO)</w:t>
            </w:r>
          </w:p>
        </w:tc>
      </w:tr>
      <w:tr>
        <w:trPr>
          <w:cantSplit/>
        </w:trPr>
        <w:tc>
          <w:tcPr/>
          <w:p>
            <w:pPr>
              <w:pStyle w:val="Tabla9"/>
              <w:jc w:val="left"/>
            </w:pPr>
            <w:r>
              <w:t xml:space="preserve">Componentes</w:t>
            </w:r>
          </w:p>
        </w:tc>
        <w:tc>
          <w:tcPr/>
          <w:p>
            <w:pPr>
              <w:pStyle w:val="Tabla9"/>
              <w:jc w:val="left"/>
            </w:pPr>
            <w:r>
              <w:t xml:space="preserve">Técnico: 100 nodos, 10 gateways, 3 monitores de referencia y modelo de corrección en gateway. Organizacional: compuertas C1 y C2, comités y custodios por componente. Económico: presupuesto por tramos con reserva de contingencia.</w:t>
            </w:r>
          </w:p>
        </w:tc>
      </w:tr>
      <w:tr>
        <w:trPr>
          <w:cantSplit/>
        </w:trPr>
        <w:tc>
          <w:tcPr/>
          <w:p>
            <w:pPr>
              <w:pStyle w:val="Tabla9"/>
              <w:jc w:val="left"/>
            </w:pPr>
            <w:r>
              <w:t xml:space="preserve">Duración</w:t>
            </w:r>
          </w:p>
        </w:tc>
        <w:tc>
          <w:tcPr/>
          <w:p>
            <w:pPr>
              <w:pStyle w:val="Tabla9"/>
              <w:jc w:val="left"/>
            </w:pPr>
            <w:r>
              <w:t xml:space="preserve">24 meses (104 semanas) y 12 meses de seguimiento</w:t>
            </w:r>
          </w:p>
        </w:tc>
      </w:tr>
      <w:tr>
        <w:trPr>
          <w:cantSplit/>
        </w:trPr>
        <w:tc>
          <w:tcPr/>
          <w:p>
            <w:pPr>
              <w:pStyle w:val="Tabla9"/>
              <w:jc w:val="left"/>
            </w:pPr>
            <w:r>
              <w:t xml:space="preserve">Presupuesto</w:t>
            </w:r>
          </w:p>
        </w:tc>
        <w:tc>
          <w:tcPr/>
          <w:p>
            <w:pPr>
              <w:pStyle w:val="Tabla9"/>
              <w:jc w:val="left"/>
            </w:pPr>
            <w:r>
              <w:t xml:space="preserve">$ 8.729.840.000 COP solicitados al SGR y $ 2.110.000.000 COP de contrapartida</w:t>
            </w:r>
          </w:p>
        </w:tc>
      </w:tr>
      <w:tr>
        <w:trPr>
          <w:cantSplit/>
        </w:trPr>
        <w:tc>
          <w:tcPr/>
          <w:p>
            <w:pPr>
              <w:pStyle w:val="Tabla9"/>
              <w:jc w:val="left"/>
            </w:pPr>
            <w:r>
              <w:t xml:space="preserve">Beneficiarios</w:t>
            </w:r>
          </w:p>
        </w:tc>
        <w:tc>
          <w:tcPr/>
          <w:p>
            <w:pPr>
              <w:pStyle w:val="Tabla9"/>
              <w:jc w:val="left"/>
            </w:pPr>
            <w:r>
              <w:t xml:space="preserve">15 comités y 150 funcionarios (SUPUESTO); operarios [DATO_USUARIO: número en los sitios monitoreados]</w:t>
            </w:r>
          </w:p>
        </w:tc>
      </w:tr>
      <w:tr>
        <w:trPr>
          <w:cantSplit/>
        </w:trPr>
        <w:tc>
          <w:tcPr/>
          <w:p>
            <w:pPr>
              <w:pStyle w:val="Tabla9"/>
              <w:jc w:val="left"/>
            </w:pPr>
            <w:r>
              <w:t xml:space="preserve">Articulación PDD</w:t>
            </w:r>
          </w:p>
        </w:tc>
        <w:tc>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p>
            <w:pPr>
              <w:pStyle w:val="Tabla9"/>
              <w:jc w:val="left"/>
            </w:pPr>
            <w:r>
              <w:t xml:space="preserve">Misión PIIOM</w:t>
            </w:r>
          </w:p>
        </w:tc>
        <w:tc>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la ficha maestra (secciones 2 a 5). Naturaleza: PROPUESTO. El presupuesto de ALT-03 incluye desarrollo, apropiación social y custodia; el de ALT-01 solo cubre equipos de referencia, de modo que los montos no son comparables.</w:t>
      </w:r>
    </w:p>
    <w:bookmarkStart w:id="236" w:name="X74bf6fb61d0f858b91e5a806660d5cbcb5d6531"/>
    <w:p>
      <w:pPr>
        <w:pStyle w:val="Heading3"/>
      </w:pPr>
      <w:r>
        <w:t xml:space="preserve">F6.2.1 Test de autenticidad contrainductiva</w:t>
      </w:r>
    </w:p>
    <w:p>
      <w:pPr>
        <w:pStyle w:val="FirstParagraph"/>
      </w:pPr>
      <w:r>
        <w:t xml:space="preserve">Tres condiciones acumulativas separan la contrainducción genuina de la cosmética. El incumplimiento de cualquiera devuelve la alternativa a rediseño. La Tabla F6.6 verifica cada condición para ALT-03. La primera condición cierra el circuito con el desmantelamiento de ortodoxias de la Tabla F4.3 de la sección F4.2. Cita las filas V07 y V06.</w:t>
      </w:r>
    </w:p>
    <w:p>
      <w:pPr>
        <w:pStyle w:val="TablaRotulo"/>
      </w:pPr>
      <w:bookmarkStart w:id="9207" w:name="rot_Tabla_F6_6"/>
      <w:r>
        <w:rPr>
          <w:b/>
          <w:bCs/>
        </w:rPr>
        <w:t xml:space="preserve">Tabla F6.6</w:t>
      </w:r>
      <w:bookmarkEnd w:id="9207"/>
    </w:p>
    <w:p>
      <w:pPr>
        <w:pStyle w:val="TablaTitulo"/>
      </w:pPr>
      <w:r>
        <w:rPr>
          <w:i/>
          <w:iCs/>
        </w:rPr>
        <w:t xml:space="preserve">Test de autenticidad contrainductiva de ALT-03</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76"/>
        <w:gridCol w:w="3036"/>
        <w:gridCol w:w="2508"/>
      </w:tblGrid>
      <w:tr>
        <w:trPr>
          <w:cantSplit/>
          <w:tblHeader/>
        </w:trPr>
        <w:tc>
          <w:tcPr>
            <w:shd w:val="clear" w:color="auto" w:fill="00B050"/>
          </w:tcPr>
          <w:p>
            <w:pPr>
              <w:pStyle w:val="Tabla9"/>
              <w:jc w:val="center"/>
            </w:pPr>
            <w:r>
              <w:rPr>
                <w:b/>
                <w:color w:val="FFFFFF"/>
              </w:rPr>
              <w:t xml:space="preserve">Condición</w:t>
            </w:r>
          </w:p>
        </w:tc>
        <w:tc>
          <w:tcPr>
            <w:shd w:val="clear" w:color="auto" w:fill="00B050"/>
          </w:tcPr>
          <w:p>
            <w:pPr>
              <w:pStyle w:val="Tabla9"/>
              <w:jc w:val="center"/>
            </w:pPr>
            <w:r>
              <w:rPr>
                <w:b/>
                <w:color w:val="FFFFFF"/>
              </w:rPr>
              <w:t xml:space="preserve">Verificación</w:t>
            </w:r>
          </w:p>
        </w:tc>
        <w:tc>
          <w:tcPr>
            <w:shd w:val="clear" w:color="auto" w:fill="00B050"/>
          </w:tcPr>
          <w:p>
            <w:pPr>
              <w:pStyle w:val="Tabla9"/>
              <w:jc w:val="center"/>
            </w:pPr>
            <w:r>
              <w:rPr>
                <w:b/>
                <w:color w:val="FFFFFF"/>
              </w:rPr>
              <w:t xml:space="preserve">Cumple</w:t>
            </w:r>
          </w:p>
        </w:tc>
      </w:tr>
      <w:tr>
        <w:trPr>
          <w:cantSplit/>
        </w:trPr>
        <w:tc>
          <w:tcPr/>
          <w:p>
            <w:pPr>
              <w:pStyle w:val="Tabla9"/>
              <w:jc w:val="left"/>
            </w:pPr>
            <w:r>
              <w:t xml:space="preserve">(a) Violación declarada</w:t>
            </w:r>
          </w:p>
        </w:tc>
        <w:tc>
          <w:tcPr/>
          <w:p>
            <w:pPr>
              <w:pStyle w:val="Tabla9"/>
              <w:jc w:val="left"/>
            </w:pPr>
            <w:r>
              <w:t xml:space="preserve">ALT-03 contradice dos ortodoxias de la tabla F4.3: la fila V07 («La calibración exige retirar el sensor al laboratorio», decisión Eliminar) y la fila V06 («Un sensor de bajo costo nunca alcanza la calidad de una referencia», decisión Cuestionar).</w:t>
            </w:r>
          </w:p>
        </w:tc>
        <w:tc>
          <w:tcPr/>
          <w:p>
            <w:pPr>
              <w:pStyle w:val="Tabla9"/>
              <w:jc w:val="left"/>
            </w:pPr>
            <w:r>
              <w:t xml:space="preserve">Sí; filas V07 y V06 de F4.3</w:t>
            </w:r>
          </w:p>
        </w:tc>
      </w:tr>
      <w:tr>
        <w:trPr>
          <w:cantSplit/>
        </w:trPr>
        <w:tc>
          <w:tcPr/>
          <w:p>
            <w:pPr>
              <w:pStyle w:val="Tabla9"/>
              <w:jc w:val="left"/>
            </w:pPr>
            <w:r>
              <w:t xml:space="preserve">(b) Cambio de expectativas verificable</w:t>
            </w:r>
          </w:p>
        </w:tc>
        <w:tc>
          <w:tcPr/>
          <w:p>
            <w:pPr>
              <w:pStyle w:val="Tabla9"/>
              <w:jc w:val="left"/>
            </w:pPr>
            <w:r>
              <w:t xml:space="preserve">Las autoridades ambientales y los proveedores de estaciones de referencia reaccionarían con resistencia, porque el estándar aceptado exige una referencia fija en cada sitio. Este juicio es INFERIDO; no hay consulta documentada.</w:t>
            </w:r>
          </w:p>
        </w:tc>
        <w:tc>
          <w:tcPr/>
          <w:p>
            <w:pPr>
              <w:pStyle w:val="Tabla9"/>
              <w:jc w:val="left"/>
            </w:pPr>
            <w:r>
              <w:t xml:space="preserve">Sí; actor: autoridades ambientales y proveedores; razón: sustituye la referencia fija por corrección</w:t>
            </w:r>
          </w:p>
        </w:tc>
      </w:tr>
      <w:tr>
        <w:trPr>
          <w:cantSplit/>
        </w:trPr>
        <w:tc>
          <w:tcPr/>
          <w:p>
            <w:pPr>
              <w:pStyle w:val="Tabla9"/>
              <w:jc w:val="left"/>
            </w:pPr>
            <w:r>
              <w:t xml:space="preserve">(c) Irreducibilidad</w:t>
            </w:r>
          </w:p>
        </w:tc>
        <w:tc>
          <w:tcPr/>
          <w:p>
            <w:pPr>
              <w:pStyle w:val="Tabla9"/>
              <w:jc w:val="left"/>
            </w:pPr>
            <w:r>
              <w:t xml:space="preserve">ALT-03 no se reformula como ALT-02 con otros parámetros. Difiere en tres decisiones estructurales: el lugar de la corrección (gateway), la condición de ampliación (compuertas) y el régimen de custodia (convenios por componente). Las tres son institucionales, no paramétricas.</w:t>
            </w:r>
          </w:p>
        </w:tc>
        <w:tc>
          <w:tcPr/>
          <w:p>
            <w:pPr>
              <w:pStyle w:val="Tabla9"/>
              <w:jc w:val="left"/>
            </w:pPr>
            <w:r>
              <w:t xml:space="preserve">Sí; argumento: tres decisiones estructurales distintas</w:t>
            </w:r>
          </w:p>
        </w:tc>
      </w:tr>
    </w:tbl>
    <w:p>
      <w:pPr>
        <w:pStyle w:val="TablaNota"/>
      </w:pPr>
      <w:r>
        <w:rPr>
          <w:i/>
          <w:iCs/>
        </w:rPr>
        <w:t xml:space="preserve">Nota.</w:t>
      </w:r>
      <w:r>
        <w:t xml:space="preserve"> </w:t>
      </w:r>
      <w:r>
        <w:t xml:space="preserve">Elaboración propia con la sección F4.2 y la ficha maestra. Ejemplo de contrainducción cosmética rechazada: «la misma plataforma de ALT-02 con inteligencia artificial»; falla las tres condiciones.</w:t>
      </w:r>
    </w:p>
    <w:bookmarkEnd w:id="236"/>
    <w:bookmarkStart w:id="237" w:name="_Toc00900095"/>
    <w:p>
      <w:pPr>
        <w:pStyle w:val="Heading3"/>
      </w:pPr>
      <w:r>
        <w:t xml:space="preserve">F6.2.2 Analogías entre dominios</w:t>
      </w:r>
    </w:p>
    <w:p>
      <w:pPr>
        <w:pStyle w:val="FirstParagraph"/>
      </w:pPr>
      <w:r>
        <w:t xml:space="preserve">Las analogías no sustituyen evidencia. Orientan el diseño y se mantienen como ILUSTRATIVAS hasta que el piloto las someta a prueba. La Tabla F6.7 lista tres dominios fuente con la adaptación propuesta.</w:t>
      </w:r>
    </w:p>
    <w:p>
      <w:pPr>
        <w:pStyle w:val="TablaRotulo"/>
      </w:pPr>
      <w:bookmarkStart w:id="9208" w:name="rot_Tabla_F6_7"/>
      <w:r>
        <w:rPr>
          <w:b/>
          <w:bCs/>
        </w:rPr>
        <w:t xml:space="preserve">Tabla F6.7</w:t>
      </w:r>
      <w:bookmarkEnd w:id="9208"/>
    </w:p>
    <w:p>
      <w:pPr>
        <w:pStyle w:val="TablaTitulo"/>
      </w:pPr>
      <w:r>
        <w:rPr>
          <w:i/>
          <w:iCs/>
        </w:rPr>
        <w:t xml:space="preserve">Analogías entre dominios para la alternativa contrainductiva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18"/>
        <w:gridCol w:w="2310"/>
        <w:gridCol w:w="1848"/>
        <w:gridCol w:w="2244"/>
      </w:tblGrid>
      <w:tr>
        <w:trPr>
          <w:cantSplit/>
          <w:tblHeader/>
        </w:trPr>
        <w:tc>
          <w:tcPr>
            <w:shd w:val="clear" w:color="auto" w:fill="00B050"/>
          </w:tcPr>
          <w:p>
            <w:pPr>
              <w:pStyle w:val="Tabla9"/>
              <w:jc w:val="center"/>
            </w:pPr>
            <w:r>
              <w:rPr>
                <w:b/>
                <w:color w:val="FFFFFF"/>
              </w:rPr>
              <w:t xml:space="preserve">Dominio fuente</w:t>
            </w:r>
          </w:p>
        </w:tc>
        <w:tc>
          <w:tcPr>
            <w:shd w:val="clear" w:color="auto" w:fill="00B050"/>
          </w:tcPr>
          <w:p>
            <w:pPr>
              <w:pStyle w:val="Tabla9"/>
              <w:jc w:val="center"/>
            </w:pPr>
            <w:r>
              <w:rPr>
                <w:b/>
                <w:color w:val="FFFFFF"/>
              </w:rPr>
              <w:t xml:space="preserve">Solución observada</w:t>
            </w:r>
          </w:p>
        </w:tc>
        <w:tc>
          <w:tcPr>
            <w:shd w:val="clear" w:color="auto" w:fill="00B050"/>
          </w:tcPr>
          <w:p>
            <w:pPr>
              <w:pStyle w:val="Tabla9"/>
              <w:jc w:val="center"/>
            </w:pPr>
            <w:r>
              <w:rPr>
                <w:b/>
                <w:color w:val="FFFFFF"/>
              </w:rPr>
              <w:t xml:space="preserve">Analogía</w:t>
            </w:r>
          </w:p>
        </w:tc>
        <w:tc>
          <w:tcPr>
            <w:shd w:val="clear" w:color="auto" w:fill="00B050"/>
          </w:tcPr>
          <w:p>
            <w:pPr>
              <w:pStyle w:val="Tabla9"/>
              <w:jc w:val="center"/>
            </w:pPr>
            <w:r>
              <w:rPr>
                <w:b/>
                <w:color w:val="FFFFFF"/>
              </w:rPr>
              <w:t xml:space="preserve">Adaptación propuesta</w:t>
            </w:r>
          </w:p>
        </w:tc>
      </w:tr>
      <w:tr>
        <w:trPr>
          <w:cantSplit/>
        </w:trPr>
        <w:tc>
          <w:tcPr/>
          <w:p>
            <w:pPr>
              <w:pStyle w:val="Tabla9"/>
              <w:jc w:val="left"/>
            </w:pPr>
            <w:r>
              <w:t xml:space="preserve">Salud pública</w:t>
            </w:r>
          </w:p>
        </w:tc>
        <w:tc>
          <w:tcPr/>
          <w:p>
            <w:pPr>
              <w:pStyle w:val="Tabla9"/>
              <w:jc w:val="left"/>
            </w:pPr>
            <w:r>
              <w:t xml:space="preserve">Vigilancia centinela: pocos sitios con medición de alta calidad que respaldan una cobertura amplia de menor costo</w:t>
            </w:r>
          </w:p>
        </w:tc>
        <w:tc>
          <w:tcPr/>
          <w:p>
            <w:pPr>
              <w:pStyle w:val="Tabla9"/>
              <w:jc w:val="left"/>
            </w:pPr>
            <w:r>
              <w:t xml:space="preserve">Los 3 monitores de referencia respaldan los 100 nodos</w:t>
            </w:r>
          </w:p>
        </w:tc>
        <w:tc>
          <w:tcPr/>
          <w:p>
            <w:pPr>
              <w:pStyle w:val="Tabla9"/>
              <w:jc w:val="left"/>
            </w:pPr>
            <w:r>
              <w:t xml:space="preserve">Colocalizar nodos con la referencia de cada departamento y rotarlos entre sitios</w:t>
            </w:r>
          </w:p>
        </w:tc>
      </w:tr>
      <w:tr>
        <w:trPr>
          <w:cantSplit/>
        </w:trPr>
        <w:tc>
          <w:tcPr/>
          <w:p>
            <w:pPr>
              <w:pStyle w:val="Tabla9"/>
              <w:jc w:val="left"/>
            </w:pPr>
            <w:r>
              <w:t xml:space="preserve">Metrología</w:t>
            </w:r>
          </w:p>
        </w:tc>
        <w:tc>
          <w:tcPr/>
          <w:p>
            <w:pPr>
              <w:pStyle w:val="Tabla9"/>
              <w:jc w:val="left"/>
            </w:pPr>
            <w:r>
              <w:t xml:space="preserve">Trazabilidad por transferencia de calibración desde un patrón hasta los instrumentos de campo</w:t>
            </w:r>
          </w:p>
        </w:tc>
        <w:tc>
          <w:tcPr/>
          <w:p>
            <w:pPr>
              <w:pStyle w:val="Tabla9"/>
              <w:jc w:val="left"/>
            </w:pPr>
            <w:r>
              <w:t xml:space="preserve">El modelo de corrección transfiere la exactitud de la referencia al nodo</w:t>
            </w:r>
          </w:p>
        </w:tc>
        <w:tc>
          <w:tcPr/>
          <w:p>
            <w:pPr>
              <w:pStyle w:val="Tabla9"/>
              <w:jc w:val="left"/>
            </w:pPr>
            <w:r>
              <w:t xml:space="preserve">Registrar la versión del modelo por gateway y por periodo</w:t>
            </w:r>
          </w:p>
        </w:tc>
      </w:tr>
      <w:tr>
        <w:trPr>
          <w:cantSplit/>
        </w:trPr>
        <w:tc>
          <w:tcPr/>
          <w:p>
            <w:pPr>
              <w:pStyle w:val="Tabla9"/>
              <w:jc w:val="left"/>
            </w:pPr>
            <w:r>
              <w:t xml:space="preserve">Gestión de la innovación</w:t>
            </w:r>
          </w:p>
        </w:tc>
        <w:tc>
          <w:tcPr/>
          <w:p>
            <w:pPr>
              <w:pStyle w:val="Tabla9"/>
              <w:jc w:val="left"/>
            </w:pPr>
            <w:r>
              <w:t xml:space="preserve">Compuertas de etapa que condicionan la inversión siguiente a criterios medibles (Cooper, 2008)</w:t>
            </w:r>
          </w:p>
        </w:tc>
        <w:tc>
          <w:tcPr/>
          <w:p>
            <w:pPr>
              <w:pStyle w:val="Tabla9"/>
              <w:jc w:val="left"/>
            </w:pPr>
            <w:r>
              <w:t xml:space="preserve">Las compuertas C1 y C2 liberan la compra de cada tramo</w:t>
            </w:r>
          </w:p>
        </w:tc>
        <w:tc>
          <w:tcPr/>
          <w:p>
            <w:pPr>
              <w:pStyle w:val="Tabla9"/>
              <w:jc w:val="left"/>
            </w:pPr>
            <w:r>
              <w:t xml:space="preserve">Fijar umbrales de desempeño y de uso institucional como criterios de decisión</w:t>
            </w:r>
          </w:p>
        </w:tc>
      </w:tr>
    </w:tbl>
    <w:p>
      <w:pPr>
        <w:pStyle w:val="TablaNota"/>
      </w:pPr>
      <w:r>
        <w:rPr>
          <w:i/>
          <w:iCs/>
        </w:rPr>
        <w:t xml:space="preserve">Nota.</w:t>
      </w:r>
      <w:r>
        <w:t xml:space="preserve"> </w:t>
      </w:r>
      <w:r>
        <w:t xml:space="preserve">Elaboración propia. Naturaleza: ILUSTRATIVO. Verificación: NO_VERIFICADO salvo la cita de Cooper (2008), que no fue consultada en esta corrida.</w:t>
      </w:r>
    </w:p>
    <w:p>
      <w:pPr>
        <w:pStyle w:val="BodyText"/>
      </w:pPr>
      <w:r>
        <w:t xml:space="preserve">La Tabla F6.8 registra la decisión sobre la autenticidad de la alternativa contrainductiva (nodo ND-12).</w:t>
      </w:r>
    </w:p>
    <w:p>
      <w:pPr>
        <w:pStyle w:val="TablaRotulo"/>
      </w:pPr>
      <w:bookmarkStart w:id="9209" w:name="rot_Tabla_F6_8"/>
      <w:r>
        <w:rPr>
          <w:b/>
          <w:bCs/>
        </w:rPr>
        <w:t xml:space="preserve">Tabla F6.8</w:t>
      </w:r>
      <w:bookmarkEnd w:id="9209"/>
    </w:p>
    <w:p>
      <w:pPr>
        <w:pStyle w:val="TablaTitulo"/>
      </w:pPr>
      <w:r>
        <w:rPr>
          <w:i/>
          <w:iCs/>
        </w:rPr>
        <w:t xml:space="preserve">Registro de decisión GENESIS: ND-12 Autenticidad contrainductiva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NODO</w:t>
            </w:r>
          </w:p>
        </w:tc>
        <w:tc>
          <w:tcPr/>
          <w:p>
            <w:pPr>
              <w:pStyle w:val="Tabla9"/>
              <w:jc w:val="left"/>
            </w:pPr>
            <w:r>
              <w:t xml:space="preserve">ND-12 Autenticidad contrainductiva</w:t>
            </w:r>
          </w:p>
        </w:tc>
      </w:tr>
      <w:tr>
        <w:trPr>
          <w:cantSplit/>
        </w:trPr>
        <w:tc>
          <w:tcPr/>
          <w:p>
            <w:pPr>
              <w:pStyle w:val="Tabla9"/>
              <w:jc w:val="left"/>
            </w:pPr>
            <w:r>
              <w:t xml:space="preserve">CLASE</w:t>
            </w:r>
          </w:p>
        </w:tc>
        <w:tc>
          <w:tcPr/>
          <w:p>
            <w:pPr>
              <w:pStyle w:val="Tabla9"/>
              <w:jc w:val="left"/>
            </w:pPr>
            <w:r>
              <w:t xml:space="preserve">MAYOR. Determina si ALT-03 sigue siendo contrainductiva o vuelve a rediseño.</w:t>
            </w:r>
          </w:p>
        </w:tc>
      </w:tr>
      <w:tr>
        <w:trPr>
          <w:cantSplit/>
        </w:trPr>
        <w:tc>
          <w:tcPr/>
          <w:p>
            <w:pPr>
              <w:pStyle w:val="Tabla9"/>
              <w:jc w:val="left"/>
            </w:pPr>
            <w:r>
              <w:t xml:space="preserve">DECISION</w:t>
            </w:r>
          </w:p>
        </w:tc>
        <w:tc>
          <w:tcPr/>
          <w:p>
            <w:pPr>
              <w:pStyle w:val="Tabla9"/>
              <w:jc w:val="left"/>
            </w:pPr>
            <w:r>
              <w:t xml:space="preserve">Declarar ALT-03 contrainductiva genuina por cumplir las tres condiciones del test.</w:t>
            </w:r>
          </w:p>
        </w:tc>
      </w:tr>
      <w:tr>
        <w:trPr>
          <w:cantSplit/>
        </w:trPr>
        <w:tc>
          <w:tcPr/>
          <w:p>
            <w:pPr>
              <w:pStyle w:val="Tabla9"/>
              <w:jc w:val="left"/>
            </w:pPr>
            <w:r>
              <w:t xml:space="preserve">DECIDE</w:t>
            </w:r>
          </w:p>
        </w:tc>
        <w:tc>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Considerar contrainductiva una mejora tecnológica de ALT-02. Aceptar la condición (b) sin consulta documentada.</w:t>
            </w:r>
          </w:p>
        </w:tc>
      </w:tr>
      <w:tr>
        <w:trPr>
          <w:cantSplit/>
        </w:trPr>
        <w:tc>
          <w:tcPr/>
          <w:p>
            <w:pPr>
              <w:pStyle w:val="Tabla9"/>
              <w:jc w:val="left"/>
            </w:pPr>
            <w:r>
              <w:t xml:space="preserve">NODOS_BLANCOS</w:t>
            </w:r>
          </w:p>
        </w:tc>
        <w:tc>
          <w:tcPr/>
          <w:p>
            <w:pPr>
              <w:pStyle w:val="Tabla9"/>
              <w:jc w:val="left"/>
            </w:pPr>
            <w:r>
              <w:t xml:space="preserve">2: filas V07 y V06 de la tabla F4.3; tres decisiones estructurales distintas entre ALT-02 y ALT-03.</w:t>
            </w:r>
          </w:p>
        </w:tc>
      </w:tr>
      <w:tr>
        <w:trPr>
          <w:cantSplit/>
        </w:trPr>
        <w:tc>
          <w:tcPr/>
          <w:p>
            <w:pPr>
              <w:pStyle w:val="Tabla9"/>
              <w:jc w:val="left"/>
            </w:pPr>
            <w:r>
              <w:t xml:space="preserve">NODOS_GRISES</w:t>
            </w:r>
          </w:p>
        </w:tc>
        <w:tc>
          <w:tcPr/>
          <w:p>
            <w:pPr>
              <w:pStyle w:val="Tabla9"/>
              <w:jc w:val="left"/>
            </w:pPr>
            <w:r>
              <w:t xml:space="preserve">2: reacción de las autoridades ambientales (sin consulta); factibilidad de custodia por convenio.</w:t>
            </w:r>
          </w:p>
        </w:tc>
      </w:tr>
      <w:tr>
        <w:trPr>
          <w:cantSplit/>
        </w:trPr>
        <w:tc>
          <w:tcPr/>
          <w:p>
            <w:pPr>
              <w:pStyle w:val="Tabla9"/>
              <w:jc w:val="left"/>
            </w:pPr>
            <w:r>
              <w:t xml:space="preserve">RUPTURAS</w:t>
            </w:r>
          </w:p>
        </w:tc>
        <w:tc>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diferenciar por decisiones institucionales y no por tecnología.</w:t>
            </w:r>
          </w:p>
        </w:tc>
      </w:tr>
      <w:tr>
        <w:trPr>
          <w:cantSplit/>
        </w:trPr>
        <w:tc>
          <w:tcPr/>
          <w:p>
            <w:pPr>
              <w:pStyle w:val="Tabla9"/>
              <w:jc w:val="left"/>
            </w:pPr>
            <w:r>
              <w:t xml:space="preserve">ANTIPATRONES_PR</w:t>
            </w:r>
          </w:p>
        </w:tc>
        <w:tc>
          <w:tcPr/>
          <w:p>
            <w:pPr>
              <w:pStyle w:val="Tabla9"/>
              <w:jc w:val="left"/>
            </w:pPr>
            <w:r>
              <w:t xml:space="preserve">PR-04 ausente: Sí. PR-05 ausente: No. La custodia depende de entidades cuya capacidad no se verificó.</w:t>
            </w:r>
          </w:p>
        </w:tc>
      </w:tr>
      <w:tr>
        <w:trPr>
          <w:cantSplit/>
        </w:trPr>
        <w:tc>
          <w:tcPr/>
          <w:p>
            <w:pPr>
              <w:pStyle w:val="Tabla9"/>
              <w:jc w:val="left"/>
            </w:pPr>
            <w:r>
              <w:t xml:space="preserve">ESCENA_SIMULABLE</w:t>
            </w:r>
          </w:p>
        </w:tc>
        <w:tc>
          <w:tcPr/>
          <w:p>
            <w:pPr>
              <w:pStyle w:val="Tabla9"/>
              <w:jc w:val="left"/>
            </w:pPr>
            <w:r>
              <w:t xml:space="preserve">Un representante de una autoridad ambiental revisa en el mes 12 si acepta datos corregidos en gateway como complemento de su referencia.</w:t>
            </w:r>
          </w:p>
        </w:tc>
      </w:tr>
      <w:tr>
        <w:trPr>
          <w:cantSplit/>
        </w:trPr>
        <w:tc>
          <w:tcPr/>
          <w:p>
            <w:pPr>
              <w:pStyle w:val="Tabla9"/>
              <w:jc w:val="left"/>
            </w:pPr>
            <w:r>
              <w:t xml:space="preserve">EVIDENCIA_JH_A</w:t>
            </w:r>
          </w:p>
        </w:tc>
        <w:tc>
          <w:tcPr/>
          <w:p>
            <w:pPr>
              <w:pStyle w:val="Tabla9"/>
              <w:jc w:val="left"/>
            </w:pPr>
            <w:r>
              <w:t xml:space="preserve">Filas V07 y V06 de la tabla F4.3.</w:t>
            </w:r>
          </w:p>
        </w:tc>
      </w:tr>
      <w:tr>
        <w:trPr>
          <w:cantSplit/>
        </w:trPr>
        <w:tc>
          <w:tcPr/>
          <w:p>
            <w:pPr>
              <w:pStyle w:val="Tabla9"/>
              <w:jc w:val="left"/>
            </w:pPr>
            <w:r>
              <w:t xml:space="preserve">EVIDENCIA_JH_B</w:t>
            </w:r>
          </w:p>
        </w:tc>
        <w:tc>
          <w:tcPr/>
          <w:p>
            <w:pPr>
              <w:pStyle w:val="Tabla9"/>
              <w:jc w:val="left"/>
            </w:pPr>
            <w:r>
              <w:t xml:space="preserve">Comparación de decisiones estructurales entre ALT-02 y ALT-03 en las tablas F6.4 y F6.5.</w:t>
            </w:r>
          </w:p>
        </w:tc>
      </w:tr>
      <w:tr>
        <w:trPr>
          <w:cantSplit/>
        </w:trPr>
        <w:tc>
          <w:tcPr/>
          <w:p>
            <w:pPr>
              <w:pStyle w:val="Tabla9"/>
              <w:jc w:val="left"/>
            </w:pPr>
            <w:r>
              <w:t xml:space="preserve">CERCA_CONCEPTUAL</w:t>
            </w:r>
          </w:p>
        </w:tc>
        <w:tc>
          <w:tcPr/>
          <w:p>
            <w:pPr>
              <w:pStyle w:val="Tabla9"/>
              <w:jc w:val="left"/>
            </w:pPr>
            <w:r>
              <w:t xml:space="preserve">Una alternativa contrainductiva no es mejor por serlo; debe ganar en la evaluación multicriterio.</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p>
            <w:pPr>
              <w:pStyle w:val="Tabla9"/>
              <w:jc w:val="left"/>
            </w:pPr>
            <w:r>
              <w:t xml:space="preserve">VEREDICTO</w:t>
            </w:r>
          </w:p>
        </w:tc>
        <w:tc>
          <w:tcPr/>
          <w:p>
            <w:pPr>
              <w:pStyle w:val="Tabla9"/>
              <w:jc w:val="left"/>
            </w:pPr>
            <w:r>
              <w:t xml:space="preserve">ALT-03 pasa el test con la condición (b) sustentada solo en inferencia.</w:t>
            </w:r>
          </w:p>
        </w:tc>
      </w:tr>
      <w:tr>
        <w:trPr>
          <w:cantSplit/>
        </w:trPr>
        <w:tc>
          <w:tcPr/>
          <w:p>
            <w:pPr>
              <w:pStyle w:val="Tabla9"/>
              <w:jc w:val="left"/>
            </w:pPr>
            <w:r>
              <w:t xml:space="preserve">RAZON_DEL_DESCARTE</w:t>
            </w:r>
          </w:p>
        </w:tc>
        <w:tc>
          <w:tcPr/>
          <w:p>
            <w:pPr>
              <w:pStyle w:val="Tabla9"/>
              <w:jc w:val="left"/>
            </w:pPr>
            <w:r>
              <w:t xml:space="preserve">Se descarta presentar la condición (b) como verificada.</w:t>
            </w:r>
          </w:p>
        </w:tc>
      </w:tr>
      <w:tr>
        <w:trPr>
          <w:cantSplit/>
        </w:trPr>
        <w:tc>
          <w:tcPr/>
          <w:p>
            <w:pPr>
              <w:pStyle w:val="Tabla9"/>
              <w:jc w:val="left"/>
            </w:pPr>
            <w:r>
              <w:t xml:space="preserve">RESULTADO</w:t>
            </w:r>
          </w:p>
        </w:tc>
        <w:tc>
          <w:tcPr/>
          <w:p>
            <w:pPr>
              <w:pStyle w:val="Tabla9"/>
              <w:jc w:val="left"/>
            </w:pPr>
            <w:r>
              <w:t xml:space="preserve">CIERRA con un vacío declarado (consulta a actores).</w:t>
            </w:r>
          </w:p>
        </w:tc>
      </w:tr>
    </w:tbl>
    <w:p>
      <w:pPr>
        <w:pStyle w:val="TablaNota"/>
      </w:pPr>
      <w:r>
        <w:rPr>
          <w:i/>
          <w:iCs/>
        </w:rPr>
        <w:t xml:space="preserve">Nota.</w:t>
      </w:r>
      <w:r>
        <w:t xml:space="preserve"> </w:t>
      </w:r>
      <w:r>
        <w:t xml:space="preserve">Elaboración propia con el protocolo de decisión GENESIS.</w:t>
      </w:r>
    </w:p>
    <w:bookmarkEnd w:id="237"/>
    <w:bookmarkEnd w:id="238"/>
    <w:bookmarkStart w:id="241" w:name="_Toc00900096"/>
    <w:p>
      <w:pPr>
        <w:pStyle w:val="Heading2"/>
      </w:pPr>
      <w:r>
        <w:t xml:space="preserve">F6.3 Evaluación multicriterio</w:t>
      </w:r>
    </w:p>
    <w:p>
      <w:pPr>
        <w:pStyle w:val="FirstParagraph"/>
      </w:pPr>
      <w:r>
        <w:t xml:space="preserve">La evaluación usa una suma ponderada con una escala ordinal de desempeño de 1 a 9. Esa escala no es la escala de Saaty (1980) ni un proceso analítico jerárquico. El nombre AHP se reserva para la elicitación de pesos mediante comparaciones pareadas con control de consistencia. Los términos de referencia no se aportaron y, por tanto, no fijan pesos. La matriz usa los pesos por defecto del metaprompt, que suman 100 %. Los dos criterios territoriales conservan su piso protegido de 10 % y 8 %, aunque la convocatoria no los pondere.</w:t>
      </w:r>
    </w:p>
    <w:p>
      <w:pPr>
        <w:pStyle w:val="BodyText"/>
      </w:pPr>
      <w:r>
        <w:t xml:space="preserve">La Tabla F6.9 presenta la matriz de desempeño. Los puntajes de los criterios territoriales reflejan la ausencia de documentos de origen. El puntaje 5 equivale a una articulación genérica. El puntaje 1 equivale a la ausencia de articulación demostrable. El puntaje 9 exigiría un artículo del PDD, un código de demanda y un indicador.</w:t>
      </w:r>
    </w:p>
    <w:p>
      <w:pPr>
        <w:pStyle w:val="TablaRotulo"/>
      </w:pPr>
      <w:bookmarkStart w:id="9210" w:name="rot_Tabla_F6_9"/>
      <w:r>
        <w:rPr>
          <w:b/>
          <w:bCs/>
        </w:rPr>
        <w:t xml:space="preserve">Tabla F6.9</w:t>
      </w:r>
      <w:bookmarkEnd w:id="9210"/>
    </w:p>
    <w:p>
      <w:pPr>
        <w:pStyle w:val="TablaTitulo"/>
      </w:pPr>
      <w:r>
        <w:rPr>
          <w:i/>
          <w:iCs/>
        </w:rPr>
        <w:t xml:space="preserve">Matriz de desempeño multicriterio en escala ordinal de 1 a 9</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508"/>
        <w:gridCol w:w="924"/>
        <w:gridCol w:w="1122"/>
        <w:gridCol w:w="1122"/>
        <w:gridCol w:w="1122"/>
        <w:gridCol w:w="1122"/>
      </w:tblGrid>
      <w:tr>
        <w:trPr>
          <w:cantSplit/>
          <w:tblHeader/>
        </w:trPr>
        <w:tc>
          <w:tcPr>
            <w:shd w:val="clear" w:color="auto" w:fill="00B050"/>
          </w:tcPr>
          <w:p>
            <w:pPr>
              <w:pStyle w:val="Tabla9"/>
              <w:jc w:val="center"/>
            </w:pPr>
            <w:r>
              <w:rPr>
                <w:b/>
                <w:color w:val="FFFFFF"/>
              </w:rPr>
              <w:t xml:space="preserve">Criterio</w:t>
            </w:r>
          </w:p>
        </w:tc>
        <w:tc>
          <w:tcPr>
            <w:shd w:val="clear" w:color="auto" w:fill="00B050"/>
          </w:tcPr>
          <w:p>
            <w:pPr>
              <w:pStyle w:val="Tabla9"/>
              <w:jc w:val="center"/>
            </w:pPr>
            <w:r>
              <w:rPr>
                <w:b/>
                <w:color w:val="FFFFFF"/>
              </w:rPr>
              <w:t xml:space="preserve">Peso</w:t>
            </w:r>
          </w:p>
        </w:tc>
        <w:tc>
          <w:tcPr>
            <w:shd w:val="clear" w:color="auto" w:fill="00B050"/>
          </w:tcPr>
          <w:p>
            <w:pPr>
              <w:pStyle w:val="Tabla9"/>
              <w:jc w:val="center"/>
            </w:pPr>
            <w:r>
              <w:rPr>
                <w:b/>
                <w:color w:val="FFFFFF"/>
              </w:rPr>
              <w:t xml:space="preserve">ALT-00</w:t>
            </w:r>
          </w:p>
        </w:tc>
        <w:tc>
          <w:tcPr>
            <w:shd w:val="clear" w:color="auto" w:fill="00B050"/>
          </w:tcPr>
          <w:p>
            <w:pPr>
              <w:pStyle w:val="Tabla9"/>
              <w:jc w:val="center"/>
            </w:pPr>
            <w:r>
              <w:rPr>
                <w:b/>
                <w:color w:val="FFFFFF"/>
              </w:rPr>
              <w:t xml:space="preserve">ALT-01</w:t>
            </w:r>
          </w:p>
        </w:tc>
        <w:tc>
          <w:tcPr>
            <w:shd w:val="clear" w:color="auto" w:fill="00B050"/>
          </w:tcPr>
          <w:p>
            <w:pPr>
              <w:pStyle w:val="Tabla9"/>
              <w:jc w:val="center"/>
            </w:pPr>
            <w:r>
              <w:rPr>
                <w:b/>
                <w:color w:val="FFFFFF"/>
              </w:rPr>
              <w:t xml:space="preserve">ALT-02</w:t>
            </w:r>
          </w:p>
        </w:tc>
        <w:tc>
          <w:tcPr>
            <w:shd w:val="clear" w:color="auto" w:fill="00B050"/>
          </w:tcPr>
          <w:p>
            <w:pPr>
              <w:pStyle w:val="Tabla9"/>
              <w:jc w:val="center"/>
            </w:pPr>
            <w:r>
              <w:rPr>
                <w:b/>
                <w:color w:val="FFFFFF"/>
              </w:rPr>
              <w:t xml:space="preserve">ALT-03</w:t>
            </w:r>
          </w:p>
        </w:tc>
      </w:tr>
      <w:tr>
        <w:trPr>
          <w:cantSplit/>
        </w:trPr>
        <w:tc>
          <w:tcPr/>
          <w:p>
            <w:pPr>
              <w:pStyle w:val="Tabla9"/>
              <w:jc w:val="left"/>
            </w:pPr>
            <w:r>
              <w:t xml:space="preserve">Viabilidad técnica</w:t>
            </w:r>
          </w:p>
        </w:tc>
        <w:tc>
          <w:tcPr/>
          <w:p>
            <w:pPr>
              <w:pStyle w:val="Tabla9"/>
              <w:jc w:val="left"/>
            </w:pPr>
            <w:r>
              <w:t xml:space="preserve">12,0 %</w:t>
            </w:r>
          </w:p>
        </w:tc>
        <w:tc>
          <w:tcPr/>
          <w:p>
            <w:pPr>
              <w:pStyle w:val="Tabla9"/>
              <w:jc w:val="left"/>
            </w:pPr>
            <w:r>
              <w:t xml:space="preserve">9</w:t>
            </w:r>
          </w:p>
        </w:tc>
        <w:tc>
          <w:tcPr/>
          <w:p>
            <w:pPr>
              <w:pStyle w:val="Tabla9"/>
              <w:jc w:val="left"/>
            </w:pPr>
            <w:r>
              <w:t xml:space="preserve">7</w:t>
            </w:r>
          </w:p>
        </w:tc>
        <w:tc>
          <w:tcPr/>
          <w:p>
            <w:pPr>
              <w:pStyle w:val="Tabla9"/>
              <w:jc w:val="left"/>
            </w:pPr>
            <w:r>
              <w:t xml:space="preserve">5</w:t>
            </w:r>
          </w:p>
        </w:tc>
        <w:tc>
          <w:tcPr/>
          <w:p>
            <w:pPr>
              <w:pStyle w:val="Tabla9"/>
              <w:jc w:val="left"/>
            </w:pPr>
            <w:r>
              <w:t xml:space="preserve">6</w:t>
            </w:r>
          </w:p>
        </w:tc>
      </w:tr>
      <w:tr>
        <w:trPr>
          <w:cantSplit/>
        </w:trPr>
        <w:tc>
          <w:tcPr/>
          <w:p>
            <w:pPr>
              <w:pStyle w:val="Tabla9"/>
              <w:jc w:val="left"/>
            </w:pPr>
            <w:r>
              <w:t xml:space="preserve">Viabilidad financiera</w:t>
            </w:r>
          </w:p>
        </w:tc>
        <w:tc>
          <w:tcPr/>
          <w:p>
            <w:pPr>
              <w:pStyle w:val="Tabla9"/>
              <w:jc w:val="left"/>
            </w:pPr>
            <w:r>
              <w:t xml:space="preserve">12,0 %</w:t>
            </w:r>
          </w:p>
        </w:tc>
        <w:tc>
          <w:tcPr/>
          <w:p>
            <w:pPr>
              <w:pStyle w:val="Tabla9"/>
              <w:jc w:val="left"/>
            </w:pPr>
            <w:r>
              <w:t xml:space="preserve">9</w:t>
            </w:r>
          </w:p>
        </w:tc>
        <w:tc>
          <w:tcPr/>
          <w:p>
            <w:pPr>
              <w:pStyle w:val="Tabla9"/>
              <w:jc w:val="left"/>
            </w:pPr>
            <w:r>
              <w:t xml:space="preserve">3</w:t>
            </w:r>
          </w:p>
        </w:tc>
        <w:tc>
          <w:tcPr/>
          <w:p>
            <w:pPr>
              <w:pStyle w:val="Tabla9"/>
              <w:jc w:val="left"/>
            </w:pPr>
            <w:r>
              <w:t xml:space="preserve">6</w:t>
            </w:r>
          </w:p>
        </w:tc>
        <w:tc>
          <w:tcPr/>
          <w:p>
            <w:pPr>
              <w:pStyle w:val="Tabla9"/>
              <w:jc w:val="left"/>
            </w:pPr>
            <w:r>
              <w:t xml:space="preserve">6</w:t>
            </w:r>
          </w:p>
        </w:tc>
      </w:tr>
      <w:tr>
        <w:trPr>
          <w:cantSplit/>
        </w:trPr>
        <w:tc>
          <w:tcPr/>
          <w:p>
            <w:pPr>
              <w:pStyle w:val="Tabla9"/>
              <w:jc w:val="left"/>
            </w:pPr>
            <w:r>
              <w:t xml:space="preserve">Impacto esperado</w:t>
            </w:r>
          </w:p>
        </w:tc>
        <w:tc>
          <w:tcPr/>
          <w:p>
            <w:pPr>
              <w:pStyle w:val="Tabla9"/>
              <w:jc w:val="left"/>
            </w:pPr>
            <w:r>
              <w:t xml:space="preserve">15,0 %</w:t>
            </w:r>
          </w:p>
        </w:tc>
        <w:tc>
          <w:tcPr/>
          <w:p>
            <w:pPr>
              <w:pStyle w:val="Tabla9"/>
              <w:jc w:val="left"/>
            </w:pPr>
            <w:r>
              <w:t xml:space="preserve">1</w:t>
            </w:r>
          </w:p>
        </w:tc>
        <w:tc>
          <w:tcPr/>
          <w:p>
            <w:pPr>
              <w:pStyle w:val="Tabla9"/>
              <w:jc w:val="left"/>
            </w:pPr>
            <w:r>
              <w:t xml:space="preserve">5</w:t>
            </w:r>
          </w:p>
        </w:tc>
        <w:tc>
          <w:tcPr/>
          <w:p>
            <w:pPr>
              <w:pStyle w:val="Tabla9"/>
              <w:jc w:val="left"/>
            </w:pPr>
            <w:r>
              <w:t xml:space="preserve">5</w:t>
            </w:r>
          </w:p>
        </w:tc>
        <w:tc>
          <w:tcPr/>
          <w:p>
            <w:pPr>
              <w:pStyle w:val="Tabla9"/>
              <w:jc w:val="left"/>
            </w:pPr>
            <w:r>
              <w:t xml:space="preserve">7</w:t>
            </w:r>
          </w:p>
        </w:tc>
      </w:tr>
      <w:tr>
        <w:trPr>
          <w:cantSplit/>
        </w:trPr>
        <w:tc>
          <w:tcPr/>
          <w:p>
            <w:pPr>
              <w:pStyle w:val="Tabla9"/>
              <w:jc w:val="left"/>
            </w:pPr>
            <w:r>
              <w:t xml:space="preserve">Articulación con PDD y demandas territoriales</w:t>
            </w:r>
          </w:p>
        </w:tc>
        <w:tc>
          <w:tcPr/>
          <w:p>
            <w:pPr>
              <w:pStyle w:val="Tabla9"/>
              <w:jc w:val="left"/>
            </w:pPr>
            <w:r>
              <w:t xml:space="preserve">10,0 %</w:t>
            </w:r>
          </w:p>
        </w:tc>
        <w:tc>
          <w:tcPr/>
          <w:p>
            <w:pPr>
              <w:pStyle w:val="Tabla9"/>
              <w:jc w:val="left"/>
            </w:pPr>
            <w:r>
              <w:t xml:space="preserve">1</w:t>
            </w:r>
          </w:p>
        </w:tc>
        <w:tc>
          <w:tcPr/>
          <w:p>
            <w:pPr>
              <w:pStyle w:val="Tabla9"/>
              <w:jc w:val="left"/>
            </w:pPr>
            <w:r>
              <w:t xml:space="preserve">5</w:t>
            </w:r>
          </w:p>
        </w:tc>
        <w:tc>
          <w:tcPr/>
          <w:p>
            <w:pPr>
              <w:pStyle w:val="Tabla9"/>
              <w:jc w:val="left"/>
            </w:pPr>
            <w:r>
              <w:t xml:space="preserve">5</w:t>
            </w:r>
          </w:p>
        </w:tc>
        <w:tc>
          <w:tcPr/>
          <w:p>
            <w:pPr>
              <w:pStyle w:val="Tabla9"/>
              <w:jc w:val="left"/>
            </w:pPr>
            <w:r>
              <w:t xml:space="preserve">5</w:t>
            </w:r>
          </w:p>
        </w:tc>
      </w:tr>
      <w:tr>
        <w:trPr>
          <w:cantSplit/>
        </w:trPr>
        <w:tc>
          <w:tcPr/>
          <w:p>
            <w:pPr>
              <w:pStyle w:val="Tabla9"/>
              <w:jc w:val="left"/>
            </w:pPr>
            <w:r>
              <w:t xml:space="preserve">Respuesta a prioridades del territorio</w:t>
            </w:r>
          </w:p>
        </w:tc>
        <w:tc>
          <w:tcPr/>
          <w:p>
            <w:pPr>
              <w:pStyle w:val="Tabla9"/>
              <w:jc w:val="left"/>
            </w:pPr>
            <w:r>
              <w:t xml:space="preserve">8,0 %</w:t>
            </w:r>
          </w:p>
        </w:tc>
        <w:tc>
          <w:tcPr/>
          <w:p>
            <w:pPr>
              <w:pStyle w:val="Tabla9"/>
              <w:jc w:val="left"/>
            </w:pPr>
            <w:r>
              <w:t xml:space="preserve">1</w:t>
            </w:r>
          </w:p>
        </w:tc>
        <w:tc>
          <w:tcPr/>
          <w:p>
            <w:pPr>
              <w:pStyle w:val="Tabla9"/>
              <w:jc w:val="left"/>
            </w:pPr>
            <w:r>
              <w:t xml:space="preserve">4</w:t>
            </w:r>
          </w:p>
        </w:tc>
        <w:tc>
          <w:tcPr/>
          <w:p>
            <w:pPr>
              <w:pStyle w:val="Tabla9"/>
              <w:jc w:val="left"/>
            </w:pPr>
            <w:r>
              <w:t xml:space="preserve">5</w:t>
            </w:r>
          </w:p>
        </w:tc>
        <w:tc>
          <w:tcPr/>
          <w:p>
            <w:pPr>
              <w:pStyle w:val="Tabla9"/>
              <w:jc w:val="left"/>
            </w:pPr>
            <w:r>
              <w:t xml:space="preserve">5</w:t>
            </w:r>
          </w:p>
        </w:tc>
      </w:tr>
      <w:tr>
        <w:trPr>
          <w:cantSplit/>
        </w:trPr>
        <w:tc>
          <w:tcPr/>
          <w:p>
            <w:pPr>
              <w:pStyle w:val="Tabla9"/>
              <w:jc w:val="left"/>
            </w:pPr>
            <w:r>
              <w:t xml:space="preserve">Sostenibilidad</w:t>
            </w:r>
          </w:p>
        </w:tc>
        <w:tc>
          <w:tcPr/>
          <w:p>
            <w:pPr>
              <w:pStyle w:val="Tabla9"/>
              <w:jc w:val="left"/>
            </w:pPr>
            <w:r>
              <w:t xml:space="preserve">8,0 %</w:t>
            </w:r>
          </w:p>
        </w:tc>
        <w:tc>
          <w:tcPr/>
          <w:p>
            <w:pPr>
              <w:pStyle w:val="Tabla9"/>
              <w:jc w:val="left"/>
            </w:pPr>
            <w:r>
              <w:t xml:space="preserve">1</w:t>
            </w:r>
          </w:p>
        </w:tc>
        <w:tc>
          <w:tcPr/>
          <w:p>
            <w:pPr>
              <w:pStyle w:val="Tabla9"/>
              <w:jc w:val="left"/>
            </w:pPr>
            <w:r>
              <w:t xml:space="preserve">3</w:t>
            </w:r>
          </w:p>
        </w:tc>
        <w:tc>
          <w:tcPr/>
          <w:p>
            <w:pPr>
              <w:pStyle w:val="Tabla9"/>
              <w:jc w:val="left"/>
            </w:pPr>
            <w:r>
              <w:t xml:space="preserve">4</w:t>
            </w:r>
          </w:p>
        </w:tc>
        <w:tc>
          <w:tcPr/>
          <w:p>
            <w:pPr>
              <w:pStyle w:val="Tabla9"/>
              <w:jc w:val="left"/>
            </w:pPr>
            <w:r>
              <w:t xml:space="preserve">5</w:t>
            </w:r>
          </w:p>
        </w:tc>
      </w:tr>
      <w:tr>
        <w:trPr>
          <w:cantSplit/>
        </w:trPr>
        <w:tc>
          <w:tcPr/>
          <w:p>
            <w:pPr>
              <w:pStyle w:val="Tabla9"/>
              <w:jc w:val="left"/>
            </w:pPr>
            <w:r>
              <w:t xml:space="preserve">Tiempo de implementación</w:t>
            </w:r>
          </w:p>
        </w:tc>
        <w:tc>
          <w:tcPr/>
          <w:p>
            <w:pPr>
              <w:pStyle w:val="Tabla9"/>
              <w:jc w:val="left"/>
            </w:pPr>
            <w:r>
              <w:t xml:space="preserve">8,0 %</w:t>
            </w:r>
          </w:p>
        </w:tc>
        <w:tc>
          <w:tcPr/>
          <w:p>
            <w:pPr>
              <w:pStyle w:val="Tabla9"/>
              <w:jc w:val="left"/>
            </w:pPr>
            <w:r>
              <w:t xml:space="preserve">9</w:t>
            </w:r>
          </w:p>
        </w:tc>
        <w:tc>
          <w:tcPr/>
          <w:p>
            <w:pPr>
              <w:pStyle w:val="Tabla9"/>
              <w:jc w:val="left"/>
            </w:pPr>
            <w:r>
              <w:t xml:space="preserve">3</w:t>
            </w:r>
          </w:p>
        </w:tc>
        <w:tc>
          <w:tcPr/>
          <w:p>
            <w:pPr>
              <w:pStyle w:val="Tabla9"/>
              <w:jc w:val="left"/>
            </w:pPr>
            <w:r>
              <w:t xml:space="preserve">6</w:t>
            </w:r>
          </w:p>
        </w:tc>
        <w:tc>
          <w:tcPr/>
          <w:p>
            <w:pPr>
              <w:pStyle w:val="Tabla9"/>
              <w:jc w:val="left"/>
            </w:pPr>
            <w:r>
              <w:t xml:space="preserve">5</w:t>
            </w:r>
          </w:p>
        </w:tc>
      </w:tr>
      <w:tr>
        <w:trPr>
          <w:cantSplit/>
        </w:trPr>
        <w:tc>
          <w:tcPr/>
          <w:p>
            <w:pPr>
              <w:pStyle w:val="Tabla9"/>
              <w:jc w:val="left"/>
            </w:pPr>
            <w:r>
              <w:t xml:space="preserve">Nivel de riesgo (mayor puntaje, menor riesgo)</w:t>
            </w:r>
          </w:p>
        </w:tc>
        <w:tc>
          <w:tcPr/>
          <w:p>
            <w:pPr>
              <w:pStyle w:val="Tabla9"/>
              <w:jc w:val="left"/>
            </w:pPr>
            <w:r>
              <w:t xml:space="preserve">8,0 %</w:t>
            </w:r>
          </w:p>
        </w:tc>
        <w:tc>
          <w:tcPr/>
          <w:p>
            <w:pPr>
              <w:pStyle w:val="Tabla9"/>
              <w:jc w:val="left"/>
            </w:pPr>
            <w:r>
              <w:t xml:space="preserve">9</w:t>
            </w:r>
          </w:p>
        </w:tc>
        <w:tc>
          <w:tcPr/>
          <w:p>
            <w:pPr>
              <w:pStyle w:val="Tabla9"/>
              <w:jc w:val="left"/>
            </w:pPr>
            <w:r>
              <w:t xml:space="preserve">6</w:t>
            </w:r>
          </w:p>
        </w:tc>
        <w:tc>
          <w:tcPr/>
          <w:p>
            <w:pPr>
              <w:pStyle w:val="Tabla9"/>
              <w:jc w:val="left"/>
            </w:pPr>
            <w:r>
              <w:t xml:space="preserve">4</w:t>
            </w:r>
          </w:p>
        </w:tc>
        <w:tc>
          <w:tcPr/>
          <w:p>
            <w:pPr>
              <w:pStyle w:val="Tabla9"/>
              <w:jc w:val="left"/>
            </w:pPr>
            <w:r>
              <w:t xml:space="preserve">4</w:t>
            </w:r>
          </w:p>
        </w:tc>
      </w:tr>
      <w:tr>
        <w:trPr>
          <w:cantSplit/>
        </w:trPr>
        <w:tc>
          <w:tcPr/>
          <w:p>
            <w:pPr>
              <w:pStyle w:val="Tabla9"/>
              <w:jc w:val="left"/>
            </w:pPr>
            <w:r>
              <w:t xml:space="preserve">Escalabilidad</w:t>
            </w:r>
          </w:p>
        </w:tc>
        <w:tc>
          <w:tcPr/>
          <w:p>
            <w:pPr>
              <w:pStyle w:val="Tabla9"/>
              <w:jc w:val="left"/>
            </w:pPr>
            <w:r>
              <w:t xml:space="preserve">5,0 %</w:t>
            </w:r>
          </w:p>
        </w:tc>
        <w:tc>
          <w:tcPr/>
          <w:p>
            <w:pPr>
              <w:pStyle w:val="Tabla9"/>
              <w:jc w:val="left"/>
            </w:pPr>
            <w:r>
              <w:t xml:space="preserve">1</w:t>
            </w:r>
          </w:p>
        </w:tc>
        <w:tc>
          <w:tcPr/>
          <w:p>
            <w:pPr>
              <w:pStyle w:val="Tabla9"/>
              <w:jc w:val="left"/>
            </w:pPr>
            <w:r>
              <w:t xml:space="preserve">2</w:t>
            </w:r>
          </w:p>
        </w:tc>
        <w:tc>
          <w:tcPr/>
          <w:p>
            <w:pPr>
              <w:pStyle w:val="Tabla9"/>
              <w:jc w:val="left"/>
            </w:pPr>
            <w:r>
              <w:t xml:space="preserve">7</w:t>
            </w:r>
          </w:p>
        </w:tc>
        <w:tc>
          <w:tcPr/>
          <w:p>
            <w:pPr>
              <w:pStyle w:val="Tabla9"/>
              <w:jc w:val="left"/>
            </w:pPr>
            <w:r>
              <w:t xml:space="preserve">7</w:t>
            </w:r>
          </w:p>
        </w:tc>
      </w:tr>
      <w:tr>
        <w:trPr>
          <w:cantSplit/>
        </w:trPr>
        <w:tc>
          <w:tcPr/>
          <w:p>
            <w:pPr>
              <w:pStyle w:val="Tabla9"/>
              <w:jc w:val="left"/>
            </w:pPr>
            <w:r>
              <w:t xml:space="preserve">Nivel de innovación</w:t>
            </w:r>
          </w:p>
        </w:tc>
        <w:tc>
          <w:tcPr/>
          <w:p>
            <w:pPr>
              <w:pStyle w:val="Tabla9"/>
              <w:jc w:val="left"/>
            </w:pPr>
            <w:r>
              <w:t xml:space="preserve">4,0 %</w:t>
            </w:r>
          </w:p>
        </w:tc>
        <w:tc>
          <w:tcPr/>
          <w:p>
            <w:pPr>
              <w:pStyle w:val="Tabla9"/>
              <w:jc w:val="left"/>
            </w:pPr>
            <w:r>
              <w:t xml:space="preserve">1</w:t>
            </w:r>
          </w:p>
        </w:tc>
        <w:tc>
          <w:tcPr/>
          <w:p>
            <w:pPr>
              <w:pStyle w:val="Tabla9"/>
              <w:jc w:val="left"/>
            </w:pPr>
            <w:r>
              <w:t xml:space="preserve">2</w:t>
            </w:r>
          </w:p>
        </w:tc>
        <w:tc>
          <w:tcPr/>
          <w:p>
            <w:pPr>
              <w:pStyle w:val="Tabla9"/>
              <w:jc w:val="left"/>
            </w:pPr>
            <w:r>
              <w:t xml:space="preserve">4</w:t>
            </w:r>
          </w:p>
        </w:tc>
        <w:tc>
          <w:tcPr/>
          <w:p>
            <w:pPr>
              <w:pStyle w:val="Tabla9"/>
              <w:jc w:val="left"/>
            </w:pPr>
            <w:r>
              <w:t xml:space="preserve">8</w:t>
            </w:r>
          </w:p>
        </w:tc>
      </w:tr>
      <w:tr>
        <w:trPr>
          <w:cantSplit/>
        </w:trPr>
        <w:tc>
          <w:tcPr/>
          <w:p>
            <w:pPr>
              <w:pStyle w:val="Tabla9"/>
              <w:jc w:val="left"/>
            </w:pPr>
            <w:r>
              <w:t xml:space="preserve">PAFU: práctica</w:t>
            </w:r>
          </w:p>
        </w:tc>
        <w:tc>
          <w:tcPr/>
          <w:p>
            <w:pPr>
              <w:pStyle w:val="Tabla9"/>
              <w:jc w:val="left"/>
            </w:pPr>
            <w:r>
              <w:t xml:space="preserve">2,5 %</w:t>
            </w:r>
          </w:p>
        </w:tc>
        <w:tc>
          <w:tcPr/>
          <w:p>
            <w:pPr>
              <w:pStyle w:val="Tabla9"/>
              <w:jc w:val="left"/>
            </w:pPr>
            <w:r>
              <w:t xml:space="preserve">5</w:t>
            </w:r>
          </w:p>
        </w:tc>
        <w:tc>
          <w:tcPr/>
          <w:p>
            <w:pPr>
              <w:pStyle w:val="Tabla9"/>
              <w:jc w:val="left"/>
            </w:pPr>
            <w:r>
              <w:t xml:space="preserve">4</w:t>
            </w:r>
          </w:p>
        </w:tc>
        <w:tc>
          <w:tcPr/>
          <w:p>
            <w:pPr>
              <w:pStyle w:val="Tabla9"/>
              <w:jc w:val="left"/>
            </w:pPr>
            <w:r>
              <w:t xml:space="preserve">6</w:t>
            </w:r>
          </w:p>
        </w:tc>
        <w:tc>
          <w:tcPr/>
          <w:p>
            <w:pPr>
              <w:pStyle w:val="Tabla9"/>
              <w:jc w:val="left"/>
            </w:pPr>
            <w:r>
              <w:t xml:space="preserve">6</w:t>
            </w:r>
          </w:p>
        </w:tc>
      </w:tr>
      <w:tr>
        <w:trPr>
          <w:cantSplit/>
        </w:trPr>
        <w:tc>
          <w:tcPr/>
          <w:p>
            <w:pPr>
              <w:pStyle w:val="Tabla9"/>
              <w:jc w:val="left"/>
            </w:pPr>
            <w:r>
              <w:t xml:space="preserve">PAFU: accesible</w:t>
            </w:r>
          </w:p>
        </w:tc>
        <w:tc>
          <w:tcPr/>
          <w:p>
            <w:pPr>
              <w:pStyle w:val="Tabla9"/>
              <w:jc w:val="left"/>
            </w:pPr>
            <w:r>
              <w:t xml:space="preserve">2,5 %</w:t>
            </w:r>
          </w:p>
        </w:tc>
        <w:tc>
          <w:tcPr/>
          <w:p>
            <w:pPr>
              <w:pStyle w:val="Tabla9"/>
              <w:jc w:val="left"/>
            </w:pPr>
            <w:r>
              <w:t xml:space="preserve">5</w:t>
            </w:r>
          </w:p>
        </w:tc>
        <w:tc>
          <w:tcPr/>
          <w:p>
            <w:pPr>
              <w:pStyle w:val="Tabla9"/>
              <w:jc w:val="left"/>
            </w:pPr>
            <w:r>
              <w:t xml:space="preserve">3</w:t>
            </w:r>
          </w:p>
        </w:tc>
        <w:tc>
          <w:tcPr/>
          <w:p>
            <w:pPr>
              <w:pStyle w:val="Tabla9"/>
              <w:jc w:val="left"/>
            </w:pPr>
            <w:r>
              <w:t xml:space="preserve">6</w:t>
            </w:r>
          </w:p>
        </w:tc>
        <w:tc>
          <w:tcPr/>
          <w:p>
            <w:pPr>
              <w:pStyle w:val="Tabla9"/>
              <w:jc w:val="left"/>
            </w:pPr>
            <w:r>
              <w:t xml:space="preserve">6</w:t>
            </w:r>
          </w:p>
        </w:tc>
      </w:tr>
      <w:tr>
        <w:trPr>
          <w:cantSplit/>
        </w:trPr>
        <w:tc>
          <w:tcPr/>
          <w:p>
            <w:pPr>
              <w:pStyle w:val="Tabla9"/>
              <w:jc w:val="left"/>
            </w:pPr>
            <w:r>
              <w:t xml:space="preserve">PAFU: fiable</w:t>
            </w:r>
          </w:p>
        </w:tc>
        <w:tc>
          <w:tcPr/>
          <w:p>
            <w:pPr>
              <w:pStyle w:val="Tabla9"/>
              <w:jc w:val="left"/>
            </w:pPr>
            <w:r>
              <w:t xml:space="preserve">2,5 %</w:t>
            </w:r>
          </w:p>
        </w:tc>
        <w:tc>
          <w:tcPr/>
          <w:p>
            <w:pPr>
              <w:pStyle w:val="Tabla9"/>
              <w:jc w:val="left"/>
            </w:pPr>
            <w:r>
              <w:t xml:space="preserve">3</w:t>
            </w:r>
          </w:p>
        </w:tc>
        <w:tc>
          <w:tcPr/>
          <w:p>
            <w:pPr>
              <w:pStyle w:val="Tabla9"/>
              <w:jc w:val="left"/>
            </w:pPr>
            <w:r>
              <w:t xml:space="preserve">8</w:t>
            </w:r>
          </w:p>
        </w:tc>
        <w:tc>
          <w:tcPr/>
          <w:p>
            <w:pPr>
              <w:pStyle w:val="Tabla9"/>
              <w:jc w:val="left"/>
            </w:pPr>
            <w:r>
              <w:t xml:space="preserve">4</w:t>
            </w:r>
          </w:p>
        </w:tc>
        <w:tc>
          <w:tcPr/>
          <w:p>
            <w:pPr>
              <w:pStyle w:val="Tabla9"/>
              <w:jc w:val="left"/>
            </w:pPr>
            <w:r>
              <w:t xml:space="preserve">6</w:t>
            </w:r>
          </w:p>
        </w:tc>
      </w:tr>
      <w:tr>
        <w:trPr>
          <w:cantSplit/>
        </w:trPr>
        <w:tc>
          <w:tcPr/>
          <w:p>
            <w:pPr>
              <w:pStyle w:val="Tabla9"/>
              <w:jc w:val="left"/>
            </w:pPr>
            <w:r>
              <w:t xml:space="preserve">PAFU: ubicua</w:t>
            </w:r>
          </w:p>
        </w:tc>
        <w:tc>
          <w:tcPr/>
          <w:p>
            <w:pPr>
              <w:pStyle w:val="Tabla9"/>
              <w:jc w:val="left"/>
            </w:pPr>
            <w:r>
              <w:t xml:space="preserve">2,5 %</w:t>
            </w:r>
          </w:p>
        </w:tc>
        <w:tc>
          <w:tcPr/>
          <w:p>
            <w:pPr>
              <w:pStyle w:val="Tabla9"/>
              <w:jc w:val="left"/>
            </w:pPr>
            <w:r>
              <w:t xml:space="preserve">2</w:t>
            </w:r>
          </w:p>
        </w:tc>
        <w:tc>
          <w:tcPr/>
          <w:p>
            <w:pPr>
              <w:pStyle w:val="Tabla9"/>
              <w:jc w:val="left"/>
            </w:pPr>
            <w:r>
              <w:t xml:space="preserve">2</w:t>
            </w:r>
          </w:p>
        </w:tc>
        <w:tc>
          <w:tcPr/>
          <w:p>
            <w:pPr>
              <w:pStyle w:val="Tabla9"/>
              <w:jc w:val="left"/>
            </w:pPr>
            <w:r>
              <w:t xml:space="preserve">6</w:t>
            </w:r>
          </w:p>
        </w:tc>
        <w:tc>
          <w:tcPr/>
          <w:p>
            <w:pPr>
              <w:pStyle w:val="Tabla9"/>
              <w:jc w:val="left"/>
            </w:pPr>
            <w:r>
              <w:t xml:space="preserve">7</w:t>
            </w:r>
          </w:p>
        </w:tc>
      </w:tr>
      <w:tr>
        <w:trPr>
          <w:cantSplit/>
        </w:trPr>
        <w:tc>
          <w:tcPr/>
          <w:p>
            <w:pPr>
              <w:pStyle w:val="Tabla9"/>
              <w:jc w:val="left"/>
            </w:pPr>
            <w:r>
              <w:t xml:space="preserve">TOTAL PONDERADO</w:t>
            </w:r>
          </w:p>
        </w:tc>
        <w:tc>
          <w:tcPr/>
          <w:p>
            <w:pPr>
              <w:pStyle w:val="Tabla9"/>
              <w:jc w:val="left"/>
            </w:pPr>
            <w:r>
              <w:t xml:space="preserve">100,0 %</w:t>
            </w:r>
          </w:p>
        </w:tc>
        <w:tc>
          <w:tcPr/>
          <w:p>
            <w:pPr>
              <w:pStyle w:val="Tabla9"/>
              <w:jc w:val="left"/>
            </w:pPr>
            <w:r>
              <w:t xml:space="preserve">4,475</w:t>
            </w:r>
          </w:p>
        </w:tc>
        <w:tc>
          <w:tcPr/>
          <w:p>
            <w:pPr>
              <w:pStyle w:val="Tabla9"/>
              <w:jc w:val="left"/>
            </w:pPr>
            <w:r>
              <w:t xml:space="preserve">4,335</w:t>
            </w:r>
          </w:p>
        </w:tc>
        <w:tc>
          <w:tcPr/>
          <w:p>
            <w:pPr>
              <w:pStyle w:val="Tabla9"/>
              <w:jc w:val="left"/>
            </w:pPr>
            <w:r>
              <w:t xml:space="preserve">5,150</w:t>
            </w:r>
          </w:p>
        </w:tc>
        <w:tc>
          <w:tcPr/>
          <w:p>
            <w:pPr>
              <w:pStyle w:val="Tabla9"/>
              <w:jc w:val="left"/>
            </w:pPr>
            <w:r>
              <w:t xml:space="preserve">5,805</w:t>
            </w:r>
          </w:p>
        </w:tc>
      </w:tr>
    </w:tbl>
    <w:p>
      <w:pPr>
        <w:pStyle w:val="TablaNota"/>
      </w:pPr>
      <w:r>
        <w:rPr>
          <w:i/>
          <w:iCs/>
        </w:rPr>
        <w:t xml:space="preserve">Nota.</w:t>
      </w:r>
      <w:r>
        <w:t xml:space="preserve"> </w:t>
      </w:r>
      <w:r>
        <w:t xml:space="preserve">Elaboración propia con maestro/alternativas.py. Los totales se muestran con tres decimales. Naturaleza: PROPUESTO para puntajes y pesos; CALCULADO para los totales. Verificación: NO_VERIFICADO; los puntajes requieren ratificación del panel evaluador.</w:t>
      </w:r>
    </w:p>
    <w:p>
      <w:pPr>
        <w:pStyle w:val="BodyText"/>
      </w:pPr>
      <w:r>
        <w:t xml:space="preserve">La Tabla F6.10 registra la justificación de cada puntaje. Cada una cabe en una línea y enlaza la valoración con una característica de la alternativa. Ninguna cita una fuente de desempeño, porque las alternativas no se han ejecutado.</w:t>
      </w:r>
    </w:p>
    <w:p>
      <w:pPr>
        <w:pStyle w:val="TablaRotulo"/>
      </w:pPr>
      <w:bookmarkStart w:id="9211" w:name="rot_Tabla_F6_10"/>
      <w:r>
        <w:rPr>
          <w:b/>
          <w:bCs/>
        </w:rPr>
        <w:t xml:space="preserve">Tabla F6.10</w:t>
      </w:r>
      <w:bookmarkEnd w:id="9211"/>
    </w:p>
    <w:p>
      <w:pPr>
        <w:pStyle w:val="TablaTitulo"/>
      </w:pPr>
      <w:r>
        <w:rPr>
          <w:i/>
          <w:iCs/>
        </w:rPr>
        <w:t xml:space="preserve">Justificación de los puntajes por criterio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036"/>
        <w:gridCol w:w="4884"/>
      </w:tblGrid>
      <w:tr>
        <w:trPr>
          <w:cantSplit/>
          <w:tblHeader/>
        </w:trPr>
        <w:tc>
          <w:tcPr>
            <w:shd w:val="clear" w:color="auto" w:fill="00B050"/>
          </w:tcPr>
          <w:p>
            <w:pPr>
              <w:pStyle w:val="Tabla9"/>
              <w:jc w:val="center"/>
            </w:pPr>
            <w:r>
              <w:rPr>
                <w:b/>
                <w:color w:val="FFFFFF"/>
              </w:rPr>
              <w:t xml:space="preserve">Criterio</w:t>
            </w:r>
          </w:p>
        </w:tc>
        <w:tc>
          <w:tcPr>
            <w:shd w:val="clear" w:color="auto" w:fill="00B050"/>
          </w:tcPr>
          <w:p>
            <w:pPr>
              <w:pStyle w:val="Tabla9"/>
              <w:jc w:val="center"/>
            </w:pPr>
            <w:r>
              <w:rPr>
                <w:b/>
                <w:color w:val="FFFFFF"/>
              </w:rPr>
              <w:t xml:space="preserve">Justificación</w:t>
            </w:r>
          </w:p>
        </w:tc>
      </w:tr>
      <w:tr>
        <w:trPr>
          <w:cantSplit/>
        </w:trPr>
        <w:tc>
          <w:tcPr/>
          <w:p>
            <w:pPr>
              <w:pStyle w:val="Tabla9"/>
              <w:jc w:val="left"/>
            </w:pPr>
            <w:r>
              <w:t xml:space="preserve">Viabilidad técnica</w:t>
            </w:r>
          </w:p>
        </w:tc>
        <w:tc>
          <w:tcPr/>
          <w:p>
            <w:pPr>
              <w:pStyle w:val="Tabla9"/>
              <w:jc w:val="left"/>
            </w:pPr>
            <w:r>
              <w:t xml:space="preserve">ALT-00 no exige desarrollo; ALT-01 es madura pero logística; ALT-02 depende del enlace; ALT-03 parte de TRL 4.</w:t>
            </w:r>
          </w:p>
        </w:tc>
      </w:tr>
      <w:tr>
        <w:trPr>
          <w:cantSplit/>
        </w:trPr>
        <w:tc>
          <w:tcPr/>
          <w:p>
            <w:pPr>
              <w:pStyle w:val="Tabla9"/>
              <w:jc w:val="left"/>
            </w:pPr>
            <w:r>
              <w:t xml:space="preserve">Viabilidad financiera</w:t>
            </w:r>
          </w:p>
        </w:tc>
        <w:tc>
          <w:tcPr/>
          <w:p>
            <w:pPr>
              <w:pStyle w:val="Tabla9"/>
              <w:jc w:val="left"/>
            </w:pPr>
            <w:r>
              <w:t xml:space="preserve">ALT-01 exige equipos de referencia por sitio; ALT-02 y ALT-03 usan sensores de bajo costo.</w:t>
            </w:r>
          </w:p>
        </w:tc>
      </w:tr>
      <w:tr>
        <w:trPr>
          <w:cantSplit/>
        </w:trPr>
        <w:tc>
          <w:tcPr/>
          <w:p>
            <w:pPr>
              <w:pStyle w:val="Tabla9"/>
              <w:jc w:val="left"/>
            </w:pPr>
            <w:r>
              <w:t xml:space="preserve">Impacto esperado</w:t>
            </w:r>
          </w:p>
        </w:tc>
        <w:tc>
          <w:tcPr/>
          <w:p>
            <w:pPr>
              <w:pStyle w:val="Tabla9"/>
              <w:jc w:val="left"/>
            </w:pPr>
            <w:r>
              <w:t xml:space="preserve">ALT-03 corrige el sesgo en el origen y permite verificar el uso institucional.</w:t>
            </w:r>
          </w:p>
        </w:tc>
      </w:tr>
      <w:tr>
        <w:trPr>
          <w:cantSplit/>
        </w:trPr>
        <w:tc>
          <w:tcPr/>
          <w:p>
            <w:pPr>
              <w:pStyle w:val="Tabla9"/>
              <w:jc w:val="left"/>
            </w:pPr>
            <w:r>
              <w:t xml:space="preserve">Articulación con PDD y demandas territoriales</w:t>
            </w:r>
          </w:p>
        </w:tc>
        <w:tc>
          <w:tcPr/>
          <w:p>
            <w:pPr>
              <w:pStyle w:val="Tabla9"/>
              <w:jc w:val="left"/>
            </w:pPr>
            <w:r>
              <w:t xml:space="preserve">Sin PDD ni anexo de demandas aportados, la articulación es genérica (NO_VERIFICADO).</w:t>
            </w:r>
          </w:p>
        </w:tc>
      </w:tr>
      <w:tr>
        <w:trPr>
          <w:cantSplit/>
        </w:trPr>
        <w:tc>
          <w:tcPr/>
          <w:p>
            <w:pPr>
              <w:pStyle w:val="Tabla9"/>
              <w:jc w:val="left"/>
            </w:pPr>
            <w:r>
              <w:t xml:space="preserve">Respuesta a prioridades del territorio</w:t>
            </w:r>
          </w:p>
        </w:tc>
        <w:tc>
          <w:tcPr/>
          <w:p>
            <w:pPr>
              <w:pStyle w:val="Tabla9"/>
              <w:jc w:val="left"/>
            </w:pPr>
            <w:r>
              <w:t xml:space="preserve">Sin evidencia documental de priorización local; se asigna alineación parcial.</w:t>
            </w:r>
          </w:p>
        </w:tc>
      </w:tr>
      <w:tr>
        <w:trPr>
          <w:cantSplit/>
        </w:trPr>
        <w:tc>
          <w:tcPr/>
          <w:p>
            <w:pPr>
              <w:pStyle w:val="Tabla9"/>
              <w:jc w:val="left"/>
            </w:pPr>
            <w:r>
              <w:t xml:space="preserve">Sostenibilidad</w:t>
            </w:r>
          </w:p>
        </w:tc>
        <w:tc>
          <w:tcPr/>
          <w:p>
            <w:pPr>
              <w:pStyle w:val="Tabla9"/>
              <w:jc w:val="left"/>
            </w:pPr>
            <w:r>
              <w:t xml:space="preserve">Custodia por tramos mejora la continuidad; no hay compromisos firmados.</w:t>
            </w:r>
          </w:p>
        </w:tc>
      </w:tr>
      <w:tr>
        <w:trPr>
          <w:cantSplit/>
        </w:trPr>
        <w:tc>
          <w:tcPr/>
          <w:p>
            <w:pPr>
              <w:pStyle w:val="Tabla9"/>
              <w:jc w:val="left"/>
            </w:pPr>
            <w:r>
              <w:t xml:space="preserve">Tiempo de implementación</w:t>
            </w:r>
          </w:p>
        </w:tc>
        <w:tc>
          <w:tcPr/>
          <w:p>
            <w:pPr>
              <w:pStyle w:val="Tabla9"/>
              <w:jc w:val="left"/>
            </w:pPr>
            <w:r>
              <w:t xml:space="preserve">ALT-01 exige obra y compra masiva; ALT-03 requiere piloto antes de ampliar.</w:t>
            </w:r>
          </w:p>
        </w:tc>
      </w:tr>
      <w:tr>
        <w:trPr>
          <w:cantSplit/>
        </w:trPr>
        <w:tc>
          <w:tcPr/>
          <w:p>
            <w:pPr>
              <w:pStyle w:val="Tabla9"/>
              <w:jc w:val="left"/>
            </w:pPr>
            <w:r>
              <w:t xml:space="preserve">Nivel de riesgo (mayor puntaje, menor riesgo)</w:t>
            </w:r>
          </w:p>
        </w:tc>
        <w:tc>
          <w:tcPr/>
          <w:p>
            <w:pPr>
              <w:pStyle w:val="Tabla9"/>
              <w:jc w:val="left"/>
            </w:pPr>
            <w:r>
              <w:t xml:space="preserve">ALT-02 y ALT-03 concentran riesgo en humedad y enlace; el piloto lo acota.</w:t>
            </w:r>
          </w:p>
        </w:tc>
      </w:tr>
      <w:tr>
        <w:trPr>
          <w:cantSplit/>
        </w:trPr>
        <w:tc>
          <w:tcPr/>
          <w:p>
            <w:pPr>
              <w:pStyle w:val="Tabla9"/>
              <w:jc w:val="left"/>
            </w:pPr>
            <w:r>
              <w:t xml:space="preserve">Escalabilidad</w:t>
            </w:r>
          </w:p>
        </w:tc>
        <w:tc>
          <w:tcPr/>
          <w:p>
            <w:pPr>
              <w:pStyle w:val="Tabla9"/>
              <w:jc w:val="left"/>
            </w:pPr>
            <w:r>
              <w:t xml:space="preserve">Costo marginal bajo por nodo adicional en ALT-02 y ALT-03.</w:t>
            </w:r>
          </w:p>
        </w:tc>
      </w:tr>
      <w:tr>
        <w:trPr>
          <w:cantSplit/>
        </w:trPr>
        <w:tc>
          <w:tcPr/>
          <w:p>
            <w:pPr>
              <w:pStyle w:val="Tabla9"/>
              <w:jc w:val="left"/>
            </w:pPr>
            <w:r>
              <w:t xml:space="preserve">Nivel de innovación</w:t>
            </w:r>
          </w:p>
        </w:tc>
        <w:tc>
          <w:tcPr/>
          <w:p>
            <w:pPr>
              <w:pStyle w:val="Tabla9"/>
              <w:jc w:val="left"/>
            </w:pPr>
            <w:r>
              <w:t xml:space="preserve">ALT-03 combina corrección en el borde, tramos condicionados y custodia distribuida.</w:t>
            </w:r>
          </w:p>
        </w:tc>
      </w:tr>
      <w:tr>
        <w:trPr>
          <w:cantSplit/>
        </w:trPr>
        <w:tc>
          <w:tcPr/>
          <w:p>
            <w:pPr>
              <w:pStyle w:val="Tabla9"/>
              <w:jc w:val="left"/>
            </w:pPr>
            <w:r>
              <w:t xml:space="preserve">PAFU: práctica</w:t>
            </w:r>
          </w:p>
        </w:tc>
        <w:tc>
          <w:tcPr/>
          <w:p>
            <w:pPr>
              <w:pStyle w:val="Tabla9"/>
              <w:jc w:val="left"/>
            </w:pPr>
            <w:r>
              <w:t xml:space="preserve">Operación sencilla para los comités.</w:t>
            </w:r>
          </w:p>
        </w:tc>
      </w:tr>
      <w:tr>
        <w:trPr>
          <w:cantSplit/>
        </w:trPr>
        <w:tc>
          <w:tcPr/>
          <w:p>
            <w:pPr>
              <w:pStyle w:val="Tabla9"/>
              <w:jc w:val="left"/>
            </w:pPr>
            <w:r>
              <w:t xml:space="preserve">PAFU: accesible</w:t>
            </w:r>
          </w:p>
        </w:tc>
        <w:tc>
          <w:tcPr/>
          <w:p>
            <w:pPr>
              <w:pStyle w:val="Tabla9"/>
              <w:jc w:val="left"/>
            </w:pPr>
            <w:r>
              <w:t xml:space="preserve">Costo por nodo accesible para municipios.</w:t>
            </w:r>
          </w:p>
        </w:tc>
      </w:tr>
      <w:tr>
        <w:trPr>
          <w:cantSplit/>
        </w:trPr>
        <w:tc>
          <w:tcPr/>
          <w:p>
            <w:pPr>
              <w:pStyle w:val="Tabla9"/>
              <w:jc w:val="left"/>
            </w:pPr>
            <w:r>
              <w:t xml:space="preserve">PAFU: fiable</w:t>
            </w:r>
          </w:p>
        </w:tc>
        <w:tc>
          <w:tcPr/>
          <w:p>
            <w:pPr>
              <w:pStyle w:val="Tabla9"/>
              <w:jc w:val="left"/>
            </w:pPr>
            <w:r>
              <w:t xml:space="preserve">Las estaciones de referencia son más fiables que los sensores corregidos.</w:t>
            </w:r>
          </w:p>
        </w:tc>
      </w:tr>
      <w:tr>
        <w:trPr>
          <w:cantSplit/>
        </w:trPr>
        <w:tc>
          <w:tcPr/>
          <w:p>
            <w:pPr>
              <w:pStyle w:val="Tabla9"/>
              <w:jc w:val="left"/>
            </w:pPr>
            <w:r>
              <w:t xml:space="preserve">PAFU: ubicua</w:t>
            </w:r>
          </w:p>
        </w:tc>
        <w:tc>
          <w:tcPr/>
          <w:p>
            <w:pPr>
              <w:pStyle w:val="Tabla9"/>
              <w:jc w:val="left"/>
            </w:pPr>
            <w:r>
              <w:t xml:space="preserve">Mayor cobertura espacial con ALT-02 y ALT-03.</w:t>
            </w:r>
          </w:p>
        </w:tc>
      </w:tr>
    </w:tbl>
    <w:p>
      <w:pPr>
        <w:pStyle w:val="TablaNota"/>
      </w:pPr>
      <w:r>
        <w:rPr>
          <w:i/>
          <w:iCs/>
        </w:rPr>
        <w:t xml:space="preserve">Nota.</w:t>
      </w:r>
      <w:r>
        <w:t xml:space="preserve"> </w:t>
      </w:r>
      <w:r>
        <w:t xml:space="preserve">Elaboración propia con maestro/alternativas.py. Naturaleza: PROPUESTO.</w:t>
      </w:r>
    </w:p>
    <w:bookmarkStart w:id="239" w:name="_Toc00900097"/>
    <w:p>
      <w:pPr>
        <w:pStyle w:val="Heading3"/>
      </w:pPr>
      <w:r>
        <w:t xml:space="preserve">F6.3.1 Análisis de sensibilidad</w:t>
      </w:r>
    </w:p>
    <w:p>
      <w:pPr>
        <w:pStyle w:val="FirstParagraph"/>
      </w:pPr>
      <w:r>
        <w:t xml:space="preserve">La perturbación de «+10 %» es relativa. El peso del criterio perturbado se multiplica por 1,10 y todos los pesos se renormalizan para que sumen 1. La Tabla F6.11 publica el vector completo de cada escenario y verifica que la suma sea 1. La Tabla F6.12 compara los totales con el caso base.</w:t>
      </w:r>
    </w:p>
    <w:p>
      <w:pPr>
        <w:pStyle w:val="TablaRotulo"/>
      </w:pPr>
      <w:bookmarkStart w:id="9212" w:name="rot_Tabla_F6_11"/>
      <w:r>
        <w:rPr>
          <w:b/>
          <w:bCs/>
        </w:rPr>
        <w:t xml:space="preserve">Tabla F6.11</w:t>
      </w:r>
      <w:bookmarkEnd w:id="9212"/>
    </w:p>
    <w:p>
      <w:pPr>
        <w:pStyle w:val="TablaTitulo"/>
      </w:pPr>
      <w:r>
        <w:rPr>
          <w:i/>
          <w:iCs/>
        </w:rPr>
        <w:t xml:space="preserve">Vectores de pesos de los escenarios de sensibilidad</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84"/>
        <w:gridCol w:w="872"/>
        <w:gridCol w:w="872"/>
        <w:gridCol w:w="872"/>
        <w:gridCol w:w="872"/>
        <w:gridCol w:w="872"/>
        <w:gridCol w:w="872"/>
      </w:tblGrid>
      <w:tr>
        <w:trPr>
          <w:cantSplit/>
          <w:tblHeader/>
        </w:trPr>
        <w:tc>
          <w:tcPr>
            <w:shd w:val="clear" w:color="auto" w:fill="00B050"/>
          </w:tcPr>
          <w:p>
            <w:pPr>
              <w:pStyle w:val="Tabla8"/>
              <w:jc w:val="center"/>
            </w:pPr>
            <w:r>
              <w:rPr>
                <w:b/>
                <w:color w:val="FFFFFF"/>
              </w:rPr>
              <w:t xml:space="preserve">Criterio</w:t>
            </w:r>
          </w:p>
        </w:tc>
        <w:tc>
          <w:tcPr>
            <w:shd w:val="clear" w:color="auto" w:fill="00B050"/>
          </w:tcPr>
          <w:p>
            <w:pPr>
              <w:pStyle w:val="Tabla8"/>
              <w:jc w:val="center"/>
            </w:pPr>
            <w:r>
              <w:rPr>
                <w:b/>
                <w:color w:val="FFFFFF"/>
              </w:rPr>
              <w:t xml:space="preserve">Base</w:t>
            </w:r>
          </w:p>
        </w:tc>
        <w:tc>
          <w:tcPr>
            <w:shd w:val="clear" w:color="auto" w:fill="00B050"/>
          </w:tcPr>
          <w:p>
            <w:pPr>
              <w:pStyle w:val="Tabla8"/>
              <w:jc w:val="center"/>
            </w:pPr>
            <w:r>
              <w:rPr>
                <w:b/>
                <w:color w:val="FFFFFF"/>
              </w:rPr>
              <w:t xml:space="preserve">E1</w:t>
            </w:r>
          </w:p>
        </w:tc>
        <w:tc>
          <w:tcPr>
            <w:shd w:val="clear" w:color="auto" w:fill="00B050"/>
          </w:tcPr>
          <w:p>
            <w:pPr>
              <w:pStyle w:val="Tabla8"/>
              <w:jc w:val="center"/>
            </w:pPr>
            <w:r>
              <w:rPr>
                <w:b/>
                <w:color w:val="FFFFFF"/>
              </w:rPr>
              <w:t xml:space="preserve">E2</w:t>
            </w:r>
          </w:p>
        </w:tc>
        <w:tc>
          <w:tcPr>
            <w:shd w:val="clear" w:color="auto" w:fill="00B050"/>
          </w:tcPr>
          <w:p>
            <w:pPr>
              <w:pStyle w:val="Tabla8"/>
              <w:jc w:val="center"/>
            </w:pPr>
            <w:r>
              <w:rPr>
                <w:b/>
                <w:color w:val="FFFFFF"/>
              </w:rPr>
              <w:t xml:space="preserve">E3</w:t>
            </w:r>
          </w:p>
        </w:tc>
        <w:tc>
          <w:tcPr>
            <w:shd w:val="clear" w:color="auto" w:fill="00B050"/>
          </w:tcPr>
          <w:p>
            <w:pPr>
              <w:pStyle w:val="Tabla8"/>
              <w:jc w:val="center"/>
            </w:pPr>
            <w:r>
              <w:rPr>
                <w:b/>
                <w:color w:val="FFFFFF"/>
              </w:rPr>
              <w:t xml:space="preserve">E4</w:t>
            </w:r>
          </w:p>
        </w:tc>
        <w:tc>
          <w:tcPr>
            <w:shd w:val="clear" w:color="auto" w:fill="00B050"/>
          </w:tcPr>
          <w:p>
            <w:pPr>
              <w:pStyle w:val="Tabla8"/>
              <w:jc w:val="center"/>
            </w:pPr>
            <w:r>
              <w:rPr>
                <w:b/>
                <w:color w:val="FFFFFF"/>
              </w:rPr>
              <w:t xml:space="preserve">E5</w:t>
            </w:r>
          </w:p>
        </w:tc>
      </w:tr>
      <w:tr>
        <w:trPr>
          <w:cantSplit/>
        </w:trPr>
        <w:tc>
          <w:tcPr/>
          <w:p>
            <w:pPr>
              <w:pStyle w:val="Tabla8"/>
              <w:jc w:val="left"/>
            </w:pPr>
            <w:r>
              <w:t xml:space="preserve">Viabilidad técnica</w:t>
            </w:r>
          </w:p>
        </w:tc>
        <w:tc>
          <w:tcPr/>
          <w:p>
            <w:pPr>
              <w:pStyle w:val="Tabla8"/>
              <w:jc w:val="left"/>
            </w:pPr>
            <w:r>
              <w:t xml:space="preserve">0,120</w:t>
            </w:r>
          </w:p>
        </w:tc>
        <w:tc>
          <w:tcPr/>
          <w:p>
            <w:pPr>
              <w:pStyle w:val="Tabla8"/>
              <w:jc w:val="left"/>
            </w:pPr>
            <w:r>
              <w:t xml:space="preserve">0,130</w:t>
            </w:r>
          </w:p>
        </w:tc>
        <w:tc>
          <w:tcPr/>
          <w:p>
            <w:pPr>
              <w:pStyle w:val="Tabla8"/>
              <w:jc w:val="left"/>
            </w:pPr>
            <w:r>
              <w:t xml:space="preserve">0,119</w:t>
            </w:r>
          </w:p>
        </w:tc>
        <w:tc>
          <w:tcPr/>
          <w:p>
            <w:pPr>
              <w:pStyle w:val="Tabla8"/>
              <w:jc w:val="left"/>
            </w:pPr>
            <w:r>
              <w:t xml:space="preserve">0,118</w:t>
            </w:r>
          </w:p>
        </w:tc>
        <w:tc>
          <w:tcPr/>
          <w:p>
            <w:pPr>
              <w:pStyle w:val="Tabla8"/>
              <w:jc w:val="left"/>
            </w:pPr>
            <w:r>
              <w:t xml:space="preserve">0,120</w:t>
            </w:r>
          </w:p>
        </w:tc>
        <w:tc>
          <w:tcPr/>
          <w:p>
            <w:pPr>
              <w:pStyle w:val="Tabla8"/>
              <w:jc w:val="left"/>
            </w:pPr>
            <w:r>
              <w:t xml:space="preserve">0,118</w:t>
            </w:r>
          </w:p>
        </w:tc>
      </w:tr>
      <w:tr>
        <w:trPr>
          <w:cantSplit/>
        </w:trPr>
        <w:tc>
          <w:tcPr/>
          <w:p>
            <w:pPr>
              <w:pStyle w:val="Tabla8"/>
              <w:jc w:val="left"/>
            </w:pPr>
            <w:r>
              <w:t xml:space="preserve">Viabilidad financiera</w:t>
            </w:r>
          </w:p>
        </w:tc>
        <w:tc>
          <w:tcPr/>
          <w:p>
            <w:pPr>
              <w:pStyle w:val="Tabla8"/>
              <w:jc w:val="left"/>
            </w:pPr>
            <w:r>
              <w:t xml:space="preserve">0,120</w:t>
            </w:r>
          </w:p>
        </w:tc>
        <w:tc>
          <w:tcPr/>
          <w:p>
            <w:pPr>
              <w:pStyle w:val="Tabla8"/>
              <w:jc w:val="left"/>
            </w:pPr>
            <w:r>
              <w:t xml:space="preserve">0,119</w:t>
            </w:r>
          </w:p>
        </w:tc>
        <w:tc>
          <w:tcPr/>
          <w:p>
            <w:pPr>
              <w:pStyle w:val="Tabla8"/>
              <w:jc w:val="left"/>
            </w:pPr>
            <w:r>
              <w:t xml:space="preserve">0,130</w:t>
            </w:r>
          </w:p>
        </w:tc>
        <w:tc>
          <w:tcPr/>
          <w:p>
            <w:pPr>
              <w:pStyle w:val="Tabla8"/>
              <w:jc w:val="left"/>
            </w:pPr>
            <w:r>
              <w:t xml:space="preserve">0,118</w:t>
            </w:r>
          </w:p>
        </w:tc>
        <w:tc>
          <w:tcPr/>
          <w:p>
            <w:pPr>
              <w:pStyle w:val="Tabla8"/>
              <w:jc w:val="left"/>
            </w:pPr>
            <w:r>
              <w:t xml:space="preserve">0,120</w:t>
            </w:r>
          </w:p>
        </w:tc>
        <w:tc>
          <w:tcPr/>
          <w:p>
            <w:pPr>
              <w:pStyle w:val="Tabla8"/>
              <w:jc w:val="left"/>
            </w:pPr>
            <w:r>
              <w:t xml:space="preserve">0,118</w:t>
            </w:r>
          </w:p>
        </w:tc>
      </w:tr>
      <w:tr>
        <w:trPr>
          <w:cantSplit/>
        </w:trPr>
        <w:tc>
          <w:tcPr/>
          <w:p>
            <w:pPr>
              <w:pStyle w:val="Tabla8"/>
              <w:jc w:val="left"/>
            </w:pPr>
            <w:r>
              <w:t xml:space="preserve">Impacto esperado</w:t>
            </w:r>
          </w:p>
        </w:tc>
        <w:tc>
          <w:tcPr/>
          <w:p>
            <w:pPr>
              <w:pStyle w:val="Tabla8"/>
              <w:jc w:val="left"/>
            </w:pPr>
            <w:r>
              <w:t xml:space="preserve">0,150</w:t>
            </w:r>
          </w:p>
        </w:tc>
        <w:tc>
          <w:tcPr/>
          <w:p>
            <w:pPr>
              <w:pStyle w:val="Tabla8"/>
              <w:jc w:val="left"/>
            </w:pPr>
            <w:r>
              <w:t xml:space="preserve">0,148</w:t>
            </w:r>
          </w:p>
        </w:tc>
        <w:tc>
          <w:tcPr/>
          <w:p>
            <w:pPr>
              <w:pStyle w:val="Tabla8"/>
              <w:jc w:val="left"/>
            </w:pPr>
            <w:r>
              <w:t xml:space="preserve">0,148</w:t>
            </w:r>
          </w:p>
        </w:tc>
        <w:tc>
          <w:tcPr/>
          <w:p>
            <w:pPr>
              <w:pStyle w:val="Tabla8"/>
              <w:jc w:val="left"/>
            </w:pPr>
            <w:r>
              <w:t xml:space="preserve">0,163</w:t>
            </w:r>
          </w:p>
        </w:tc>
        <w:tc>
          <w:tcPr/>
          <w:p>
            <w:pPr>
              <w:pStyle w:val="Tabla8"/>
              <w:jc w:val="left"/>
            </w:pPr>
            <w:r>
              <w:t xml:space="preserve">0,149</w:t>
            </w:r>
          </w:p>
        </w:tc>
        <w:tc>
          <w:tcPr/>
          <w:p>
            <w:pPr>
              <w:pStyle w:val="Tabla8"/>
              <w:jc w:val="left"/>
            </w:pPr>
            <w:r>
              <w:t xml:space="preserve">0,147</w:t>
            </w:r>
          </w:p>
        </w:tc>
      </w:tr>
      <w:tr>
        <w:trPr>
          <w:cantSplit/>
        </w:trPr>
        <w:tc>
          <w:tcPr/>
          <w:p>
            <w:pPr>
              <w:pStyle w:val="Tabla8"/>
              <w:jc w:val="left"/>
            </w:pPr>
            <w:r>
              <w:t xml:space="preserve">Articulación con PDD y demandas territoriales</w:t>
            </w:r>
          </w:p>
        </w:tc>
        <w:tc>
          <w:tcPr/>
          <w:p>
            <w:pPr>
              <w:pStyle w:val="Tabla8"/>
              <w:jc w:val="left"/>
            </w:pPr>
            <w:r>
              <w:t xml:space="preserve">0,100</w:t>
            </w:r>
          </w:p>
        </w:tc>
        <w:tc>
          <w:tcPr/>
          <w:p>
            <w:pPr>
              <w:pStyle w:val="Tabla8"/>
              <w:jc w:val="left"/>
            </w:pPr>
            <w:r>
              <w:t xml:space="preserve">0,099</w:t>
            </w:r>
          </w:p>
        </w:tc>
        <w:tc>
          <w:tcPr/>
          <w:p>
            <w:pPr>
              <w:pStyle w:val="Tabla8"/>
              <w:jc w:val="left"/>
            </w:pPr>
            <w:r>
              <w:t xml:space="preserve">0,099</w:t>
            </w:r>
          </w:p>
        </w:tc>
        <w:tc>
          <w:tcPr/>
          <w:p>
            <w:pPr>
              <w:pStyle w:val="Tabla8"/>
              <w:jc w:val="left"/>
            </w:pPr>
            <w:r>
              <w:t xml:space="preserve">0,099</w:t>
            </w:r>
          </w:p>
        </w:tc>
        <w:tc>
          <w:tcPr/>
          <w:p>
            <w:pPr>
              <w:pStyle w:val="Tabla8"/>
              <w:jc w:val="left"/>
            </w:pPr>
            <w:r>
              <w:t xml:space="preserve">0,100</w:t>
            </w:r>
          </w:p>
        </w:tc>
        <w:tc>
          <w:tcPr/>
          <w:p>
            <w:pPr>
              <w:pStyle w:val="Tabla8"/>
              <w:jc w:val="left"/>
            </w:pPr>
            <w:r>
              <w:t xml:space="preserve">0,108</w:t>
            </w:r>
          </w:p>
        </w:tc>
      </w:tr>
      <w:tr>
        <w:trPr>
          <w:cantSplit/>
        </w:trPr>
        <w:tc>
          <w:tcPr/>
          <w:p>
            <w:pPr>
              <w:pStyle w:val="Tabla8"/>
              <w:jc w:val="left"/>
            </w:pPr>
            <w:r>
              <w:t xml:space="preserve">Respuesta a prioridades del territorio</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0,086</w:t>
            </w:r>
          </w:p>
        </w:tc>
      </w:tr>
      <w:tr>
        <w:trPr>
          <w:cantSplit/>
        </w:trPr>
        <w:tc>
          <w:tcPr/>
          <w:p>
            <w:pPr>
              <w:pStyle w:val="Tabla8"/>
              <w:jc w:val="left"/>
            </w:pPr>
            <w:r>
              <w:t xml:space="preserve">Sostenibilidad</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0,079</w:t>
            </w:r>
          </w:p>
        </w:tc>
      </w:tr>
      <w:tr>
        <w:trPr>
          <w:cantSplit/>
        </w:trPr>
        <w:tc>
          <w:tcPr/>
          <w:p>
            <w:pPr>
              <w:pStyle w:val="Tabla8"/>
              <w:jc w:val="left"/>
            </w:pPr>
            <w:r>
              <w:t xml:space="preserve">Tiempo de implementación</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0,079</w:t>
            </w:r>
          </w:p>
        </w:tc>
      </w:tr>
      <w:tr>
        <w:trPr>
          <w:cantSplit/>
        </w:trPr>
        <w:tc>
          <w:tcPr/>
          <w:p>
            <w:pPr>
              <w:pStyle w:val="Tabla8"/>
              <w:jc w:val="left"/>
            </w:pPr>
            <w:r>
              <w:t xml:space="preserve">Nivel de riesgo (mayor puntaje, menor riesgo)</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0,079</w:t>
            </w:r>
          </w:p>
        </w:tc>
      </w:tr>
      <w:tr>
        <w:trPr>
          <w:cantSplit/>
        </w:trPr>
        <w:tc>
          <w:tcPr/>
          <w:p>
            <w:pPr>
              <w:pStyle w:val="Tabla8"/>
              <w:jc w:val="left"/>
            </w:pPr>
            <w:r>
              <w:t xml:space="preserve">Escalabilidad</w:t>
            </w:r>
          </w:p>
        </w:tc>
        <w:tc>
          <w:tcPr/>
          <w:p>
            <w:pPr>
              <w:pStyle w:val="Tabla8"/>
              <w:jc w:val="left"/>
            </w:pPr>
            <w:r>
              <w:t xml:space="preserve">0,050</w:t>
            </w:r>
          </w:p>
        </w:tc>
        <w:tc>
          <w:tcPr/>
          <w:p>
            <w:pPr>
              <w:pStyle w:val="Tabla8"/>
              <w:jc w:val="left"/>
            </w:pPr>
            <w:r>
              <w:t xml:space="preserve">0,049</w:t>
            </w:r>
          </w:p>
        </w:tc>
        <w:tc>
          <w:tcPr/>
          <w:p>
            <w:pPr>
              <w:pStyle w:val="Tabla8"/>
              <w:jc w:val="left"/>
            </w:pPr>
            <w:r>
              <w:t xml:space="preserve">0,049</w:t>
            </w:r>
          </w:p>
        </w:tc>
        <w:tc>
          <w:tcPr/>
          <w:p>
            <w:pPr>
              <w:pStyle w:val="Tabla8"/>
              <w:jc w:val="left"/>
            </w:pPr>
            <w:r>
              <w:t xml:space="preserve">0,049</w:t>
            </w:r>
          </w:p>
        </w:tc>
        <w:tc>
          <w:tcPr/>
          <w:p>
            <w:pPr>
              <w:pStyle w:val="Tabla8"/>
              <w:jc w:val="left"/>
            </w:pPr>
            <w:r>
              <w:t xml:space="preserve">0,050</w:t>
            </w:r>
          </w:p>
        </w:tc>
        <w:tc>
          <w:tcPr/>
          <w:p>
            <w:pPr>
              <w:pStyle w:val="Tabla8"/>
              <w:jc w:val="left"/>
            </w:pPr>
            <w:r>
              <w:t xml:space="preserve">0,049</w:t>
            </w:r>
          </w:p>
        </w:tc>
      </w:tr>
      <w:tr>
        <w:trPr>
          <w:cantSplit/>
        </w:trPr>
        <w:tc>
          <w:tcPr/>
          <w:p>
            <w:pPr>
              <w:pStyle w:val="Tabla8"/>
              <w:jc w:val="left"/>
            </w:pPr>
            <w:r>
              <w:t xml:space="preserve">Nivel de innovación</w:t>
            </w:r>
          </w:p>
        </w:tc>
        <w:tc>
          <w:tcPr/>
          <w:p>
            <w:pPr>
              <w:pStyle w:val="Tabla8"/>
              <w:jc w:val="left"/>
            </w:pPr>
            <w:r>
              <w:t xml:space="preserve">0,040</w:t>
            </w:r>
          </w:p>
        </w:tc>
        <w:tc>
          <w:tcPr/>
          <w:p>
            <w:pPr>
              <w:pStyle w:val="Tabla8"/>
              <w:jc w:val="left"/>
            </w:pPr>
            <w:r>
              <w:t xml:space="preserve">0,040</w:t>
            </w:r>
          </w:p>
        </w:tc>
        <w:tc>
          <w:tcPr/>
          <w:p>
            <w:pPr>
              <w:pStyle w:val="Tabla8"/>
              <w:jc w:val="left"/>
            </w:pPr>
            <w:r>
              <w:t xml:space="preserve">0,040</w:t>
            </w:r>
          </w:p>
        </w:tc>
        <w:tc>
          <w:tcPr/>
          <w:p>
            <w:pPr>
              <w:pStyle w:val="Tabla8"/>
              <w:jc w:val="left"/>
            </w:pPr>
            <w:r>
              <w:t xml:space="preserve">0,039</w:t>
            </w:r>
          </w:p>
        </w:tc>
        <w:tc>
          <w:tcPr/>
          <w:p>
            <w:pPr>
              <w:pStyle w:val="Tabla8"/>
              <w:jc w:val="left"/>
            </w:pPr>
            <w:r>
              <w:t xml:space="preserve">0,044</w:t>
            </w:r>
          </w:p>
        </w:tc>
        <w:tc>
          <w:tcPr/>
          <w:p>
            <w:pPr>
              <w:pStyle w:val="Tabla8"/>
              <w:jc w:val="left"/>
            </w:pPr>
            <w:r>
              <w:t xml:space="preserve">0,039</w:t>
            </w:r>
          </w:p>
        </w:tc>
      </w:tr>
      <w:tr>
        <w:trPr>
          <w:cantSplit/>
        </w:trPr>
        <w:tc>
          <w:tcPr/>
          <w:p>
            <w:pPr>
              <w:pStyle w:val="Tabla8"/>
              <w:jc w:val="left"/>
            </w:pPr>
            <w:r>
              <w:t xml:space="preserve">PAFU: práctica</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p>
            <w:pPr>
              <w:pStyle w:val="Tabla8"/>
              <w:jc w:val="left"/>
            </w:pPr>
            <w:r>
              <w:t xml:space="preserve">PAFU: accesible</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p>
            <w:pPr>
              <w:pStyle w:val="Tabla8"/>
              <w:jc w:val="left"/>
            </w:pPr>
            <w:r>
              <w:t xml:space="preserve">PAFU: fiable</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p>
            <w:pPr>
              <w:pStyle w:val="Tabla8"/>
              <w:jc w:val="left"/>
            </w:pPr>
            <w:r>
              <w:t xml:space="preserve">PAFU: ubicua</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p>
            <w:pPr>
              <w:pStyle w:val="Tabla8"/>
              <w:jc w:val="left"/>
            </w:pPr>
            <w:r>
              <w:t xml:space="preserve">Suma de pesos</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r>
    </w:tbl>
    <w:p>
      <w:pPr>
        <w:pStyle w:val="TablaNota"/>
      </w:pPr>
      <w:r>
        <w:rPr>
          <w:i/>
          <w:iCs/>
        </w:rPr>
        <w:t xml:space="preserve">Nota.</w:t>
      </w:r>
      <w:r>
        <w:t xml:space="preserve"> </w:t>
      </w:r>
      <w:r>
        <w:t xml:space="preserve">Elaboración propia con maestro/alternativas.py. E1: Prioridad técnica (viabilidad técnica +10 %). E2: Prioridad financiera (viabilidad financiera +10 %). E3: Prioridad de impacto (impacto esperado +10 %). E4: Prioridad de innovación (nivel de innovación +10 %). E5: Prioridad territorial (criterios territoriales +10 %).</w:t>
      </w:r>
    </w:p>
    <w:p>
      <w:pPr>
        <w:pStyle w:val="TablaRotulo"/>
      </w:pPr>
      <w:bookmarkStart w:id="9213" w:name="rot_Tabla_F6_12"/>
      <w:r>
        <w:rPr>
          <w:b/>
          <w:bCs/>
        </w:rPr>
        <w:t xml:space="preserve">Tabla F6.12</w:t>
      </w:r>
      <w:bookmarkEnd w:id="9213"/>
    </w:p>
    <w:p>
      <w:pPr>
        <w:pStyle w:val="TablaTitulo"/>
      </w:pPr>
      <w:r>
        <w:rPr>
          <w:i/>
          <w:iCs/>
        </w:rPr>
        <w:t xml:space="preserve">Resultados del análisis de sensibilidad</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78"/>
        <w:gridCol w:w="1309"/>
        <w:gridCol w:w="916"/>
        <w:gridCol w:w="850"/>
        <w:gridCol w:w="850"/>
        <w:gridCol w:w="850"/>
        <w:gridCol w:w="850"/>
        <w:gridCol w:w="1112"/>
      </w:tblGrid>
      <w:tr>
        <w:trPr>
          <w:cantSplit/>
          <w:tblHeader/>
        </w:trPr>
        <w:tc>
          <w:tcPr>
            <w:shd w:val="clear" w:color="auto" w:fill="00B050"/>
          </w:tcPr>
          <w:p>
            <w:pPr>
              <w:pStyle w:val="Tabla8"/>
              <w:jc w:val="center"/>
            </w:pPr>
            <w:r>
              <w:rPr>
                <w:b/>
                <w:color w:val="FFFFFF"/>
              </w:rPr>
              <w:t xml:space="preserve">Escenario</w:t>
            </w:r>
          </w:p>
        </w:tc>
        <w:tc>
          <w:tcPr>
            <w:shd w:val="clear" w:color="auto" w:fill="00B050"/>
          </w:tcPr>
          <w:p>
            <w:pPr>
              <w:pStyle w:val="Tabla8"/>
              <w:jc w:val="center"/>
            </w:pPr>
            <w:r>
              <w:rPr>
                <w:b/>
                <w:color w:val="FFFFFF"/>
              </w:rPr>
              <w:t xml:space="preserve">Cambio en pesos</w:t>
            </w:r>
          </w:p>
        </w:tc>
        <w:tc>
          <w:tcPr>
            <w:shd w:val="clear" w:color="auto" w:fill="00B050"/>
          </w:tcPr>
          <w:p>
            <w:pPr>
              <w:pStyle w:val="Tabla8"/>
              <w:jc w:val="center"/>
            </w:pPr>
            <w:r>
              <w:rPr>
                <w:b/>
                <w:color w:val="FFFFFF"/>
              </w:rPr>
              <w:t xml:space="preserve">Ganadora</w:t>
            </w:r>
          </w:p>
        </w:tc>
        <w:tc>
          <w:tcPr>
            <w:shd w:val="clear" w:color="auto" w:fill="00B050"/>
          </w:tcPr>
          <w:p>
            <w:pPr>
              <w:pStyle w:val="Tabla8"/>
              <w:jc w:val="center"/>
            </w:pPr>
            <w:r>
              <w:rPr>
                <w:b/>
                <w:color w:val="FFFFFF"/>
              </w:rPr>
              <w:t xml:space="preserve">ALT-00</w:t>
            </w:r>
          </w:p>
        </w:tc>
        <w:tc>
          <w:tcPr>
            <w:shd w:val="clear" w:color="auto" w:fill="00B050"/>
          </w:tcPr>
          <w:p>
            <w:pPr>
              <w:pStyle w:val="Tabla8"/>
              <w:jc w:val="center"/>
            </w:pPr>
            <w:r>
              <w:rPr>
                <w:b/>
                <w:color w:val="FFFFFF"/>
              </w:rPr>
              <w:t xml:space="preserve">ALT-01</w:t>
            </w:r>
          </w:p>
        </w:tc>
        <w:tc>
          <w:tcPr>
            <w:shd w:val="clear" w:color="auto" w:fill="00B050"/>
          </w:tcPr>
          <w:p>
            <w:pPr>
              <w:pStyle w:val="Tabla8"/>
              <w:jc w:val="center"/>
            </w:pPr>
            <w:r>
              <w:rPr>
                <w:b/>
                <w:color w:val="FFFFFF"/>
              </w:rPr>
              <w:t xml:space="preserve">ALT-02</w:t>
            </w:r>
          </w:p>
        </w:tc>
        <w:tc>
          <w:tcPr>
            <w:shd w:val="clear" w:color="auto" w:fill="00B050"/>
          </w:tcPr>
          <w:p>
            <w:pPr>
              <w:pStyle w:val="Tabla8"/>
              <w:jc w:val="center"/>
            </w:pPr>
            <w:r>
              <w:rPr>
                <w:b/>
                <w:color w:val="FFFFFF"/>
              </w:rPr>
              <w:t xml:space="preserve">ALT-03</w:t>
            </w:r>
          </w:p>
        </w:tc>
        <w:tc>
          <w:tcPr>
            <w:shd w:val="clear" w:color="auto" w:fill="00B050"/>
          </w:tcPr>
          <w:p>
            <w:pPr>
              <w:pStyle w:val="Tabla8"/>
              <w:jc w:val="center"/>
            </w:pPr>
            <w:r>
              <w:rPr>
                <w:b/>
                <w:color w:val="FFFFFF"/>
              </w:rPr>
              <w:t xml:space="preserve">Robustez</w:t>
            </w:r>
          </w:p>
        </w:tc>
      </w:tr>
      <w:tr>
        <w:trPr>
          <w:cantSplit/>
        </w:trPr>
        <w:tc>
          <w:tcPr/>
          <w:p>
            <w:pPr>
              <w:pStyle w:val="Tabla8"/>
              <w:jc w:val="left"/>
            </w:pPr>
            <w:r>
              <w:t xml:space="preserve">Base</w:t>
            </w:r>
          </w:p>
        </w:tc>
        <w:tc>
          <w:tcPr/>
          <w:p>
            <w:pPr>
              <w:pStyle w:val="Tabla8"/>
              <w:jc w:val="left"/>
            </w:pPr>
            <w:r>
              <w:t xml:space="preserve">Pesos por defecto</w:t>
            </w:r>
          </w:p>
        </w:tc>
        <w:tc>
          <w:tcPr/>
          <w:p>
            <w:pPr>
              <w:pStyle w:val="Tabla8"/>
              <w:jc w:val="left"/>
            </w:pPr>
            <w:r>
              <w:t xml:space="preserve">ALT-03</w:t>
            </w:r>
          </w:p>
        </w:tc>
        <w:tc>
          <w:tcPr/>
          <w:p>
            <w:pPr>
              <w:pStyle w:val="Tabla8"/>
              <w:jc w:val="left"/>
            </w:pPr>
            <w:r>
              <w:t xml:space="preserve">4,475</w:t>
            </w:r>
          </w:p>
        </w:tc>
        <w:tc>
          <w:tcPr/>
          <w:p>
            <w:pPr>
              <w:pStyle w:val="Tabla8"/>
              <w:jc w:val="left"/>
            </w:pPr>
            <w:r>
              <w:t xml:space="preserve">4,335</w:t>
            </w:r>
          </w:p>
        </w:tc>
        <w:tc>
          <w:tcPr/>
          <w:p>
            <w:pPr>
              <w:pStyle w:val="Tabla8"/>
              <w:jc w:val="left"/>
            </w:pPr>
            <w:r>
              <w:t xml:space="preserve">5,150</w:t>
            </w:r>
          </w:p>
        </w:tc>
        <w:tc>
          <w:tcPr/>
          <w:p>
            <w:pPr>
              <w:pStyle w:val="Tabla8"/>
              <w:jc w:val="left"/>
            </w:pPr>
            <w:r>
              <w:t xml:space="preserve">5,805</w:t>
            </w:r>
          </w:p>
        </w:tc>
        <w:tc>
          <w:tcPr/>
          <w:p>
            <w:pPr>
              <w:pStyle w:val="Tabla8"/>
              <w:jc w:val="left"/>
            </w:pPr>
            <w:r>
              <w:t xml:space="preserve">Referencia</w:t>
            </w:r>
          </w:p>
        </w:tc>
      </w:tr>
      <w:tr>
        <w:trPr>
          <w:cantSplit/>
        </w:trPr>
        <w:tc>
          <w:tcPr/>
          <w:p>
            <w:pPr>
              <w:pStyle w:val="Tabla8"/>
              <w:jc w:val="left"/>
            </w:pPr>
            <w:r>
              <w:t xml:space="preserve">Prioridad técnica</w:t>
            </w:r>
          </w:p>
        </w:tc>
        <w:tc>
          <w:tcPr/>
          <w:p>
            <w:pPr>
              <w:pStyle w:val="Tabla8"/>
              <w:jc w:val="left"/>
            </w:pPr>
            <w:r>
              <w:t xml:space="preserve">viabilidad técnica +10 %</w:t>
            </w:r>
          </w:p>
        </w:tc>
        <w:tc>
          <w:tcPr/>
          <w:p>
            <w:pPr>
              <w:pStyle w:val="Tabla8"/>
              <w:jc w:val="left"/>
            </w:pPr>
            <w:r>
              <w:t xml:space="preserve">ALT-03</w:t>
            </w:r>
          </w:p>
        </w:tc>
        <w:tc>
          <w:tcPr/>
          <w:p>
            <w:pPr>
              <w:pStyle w:val="Tabla8"/>
              <w:jc w:val="left"/>
            </w:pPr>
            <w:r>
              <w:t xml:space="preserve">4,529</w:t>
            </w:r>
          </w:p>
        </w:tc>
        <w:tc>
          <w:tcPr/>
          <w:p>
            <w:pPr>
              <w:pStyle w:val="Tabla8"/>
              <w:jc w:val="left"/>
            </w:pPr>
            <w:r>
              <w:t xml:space="preserve">4,367</w:t>
            </w:r>
          </w:p>
        </w:tc>
        <w:tc>
          <w:tcPr/>
          <w:p>
            <w:pPr>
              <w:pStyle w:val="Tabla8"/>
              <w:jc w:val="left"/>
            </w:pPr>
            <w:r>
              <w:t xml:space="preserve">5,148</w:t>
            </w:r>
          </w:p>
        </w:tc>
        <w:tc>
          <w:tcPr/>
          <w:p>
            <w:pPr>
              <w:pStyle w:val="Tabla8"/>
              <w:jc w:val="left"/>
            </w:pPr>
            <w:r>
              <w:t xml:space="preserve">5,807</w:t>
            </w:r>
          </w:p>
        </w:tc>
        <w:tc>
          <w:tcPr/>
          <w:p>
            <w:pPr>
              <w:pStyle w:val="Tabla8"/>
              <w:jc w:val="left"/>
            </w:pPr>
            <w:r>
              <w:t xml:space="preserve">No cambia</w:t>
            </w:r>
          </w:p>
        </w:tc>
      </w:tr>
      <w:tr>
        <w:trPr>
          <w:cantSplit/>
        </w:trPr>
        <w:tc>
          <w:tcPr/>
          <w:p>
            <w:pPr>
              <w:pStyle w:val="Tabla8"/>
              <w:jc w:val="left"/>
            </w:pPr>
            <w:r>
              <w:t xml:space="preserve">Prioridad financiera</w:t>
            </w:r>
          </w:p>
        </w:tc>
        <w:tc>
          <w:tcPr/>
          <w:p>
            <w:pPr>
              <w:pStyle w:val="Tabla8"/>
              <w:jc w:val="left"/>
            </w:pPr>
            <w:r>
              <w:t xml:space="preserve">viabilidad financiera +10 %</w:t>
            </w:r>
          </w:p>
        </w:tc>
        <w:tc>
          <w:tcPr/>
          <w:p>
            <w:pPr>
              <w:pStyle w:val="Tabla8"/>
              <w:jc w:val="left"/>
            </w:pPr>
            <w:r>
              <w:t xml:space="preserve">ALT-03</w:t>
            </w:r>
          </w:p>
        </w:tc>
        <w:tc>
          <w:tcPr/>
          <w:p>
            <w:pPr>
              <w:pStyle w:val="Tabla8"/>
              <w:jc w:val="left"/>
            </w:pPr>
            <w:r>
              <w:t xml:space="preserve">4,529</w:t>
            </w:r>
          </w:p>
        </w:tc>
        <w:tc>
          <w:tcPr/>
          <w:p>
            <w:pPr>
              <w:pStyle w:val="Tabla8"/>
              <w:jc w:val="left"/>
            </w:pPr>
            <w:r>
              <w:t xml:space="preserve">4,319</w:t>
            </w:r>
          </w:p>
        </w:tc>
        <w:tc>
          <w:tcPr/>
          <w:p>
            <w:pPr>
              <w:pStyle w:val="Tabla8"/>
              <w:jc w:val="left"/>
            </w:pPr>
            <w:r>
              <w:t xml:space="preserve">5,160</w:t>
            </w:r>
          </w:p>
        </w:tc>
        <w:tc>
          <w:tcPr/>
          <w:p>
            <w:pPr>
              <w:pStyle w:val="Tabla8"/>
              <w:jc w:val="left"/>
            </w:pPr>
            <w:r>
              <w:t xml:space="preserve">5,807</w:t>
            </w:r>
          </w:p>
        </w:tc>
        <w:tc>
          <w:tcPr/>
          <w:p>
            <w:pPr>
              <w:pStyle w:val="Tabla8"/>
              <w:jc w:val="left"/>
            </w:pPr>
            <w:r>
              <w:t xml:space="preserve">No cambia</w:t>
            </w:r>
          </w:p>
        </w:tc>
      </w:tr>
      <w:tr>
        <w:trPr>
          <w:cantSplit/>
        </w:trPr>
        <w:tc>
          <w:tcPr/>
          <w:p>
            <w:pPr>
              <w:pStyle w:val="Tabla8"/>
              <w:jc w:val="left"/>
            </w:pPr>
            <w:r>
              <w:t xml:space="preserve">Prioridad de impacto</w:t>
            </w:r>
          </w:p>
        </w:tc>
        <w:tc>
          <w:tcPr/>
          <w:p>
            <w:pPr>
              <w:pStyle w:val="Tabla8"/>
              <w:jc w:val="left"/>
            </w:pPr>
            <w:r>
              <w:t xml:space="preserve">impacto esperado +10 %</w:t>
            </w:r>
          </w:p>
        </w:tc>
        <w:tc>
          <w:tcPr/>
          <w:p>
            <w:pPr>
              <w:pStyle w:val="Tabla8"/>
              <w:jc w:val="left"/>
            </w:pPr>
            <w:r>
              <w:t xml:space="preserve">ALT-03</w:t>
            </w:r>
          </w:p>
        </w:tc>
        <w:tc>
          <w:tcPr/>
          <w:p>
            <w:pPr>
              <w:pStyle w:val="Tabla8"/>
              <w:jc w:val="left"/>
            </w:pPr>
            <w:r>
              <w:t xml:space="preserve">4,424</w:t>
            </w:r>
          </w:p>
        </w:tc>
        <w:tc>
          <w:tcPr/>
          <w:p>
            <w:pPr>
              <w:pStyle w:val="Tabla8"/>
              <w:jc w:val="left"/>
            </w:pPr>
            <w:r>
              <w:t xml:space="preserve">4,345</w:t>
            </w:r>
          </w:p>
        </w:tc>
        <w:tc>
          <w:tcPr/>
          <w:p>
            <w:pPr>
              <w:pStyle w:val="Tabla8"/>
              <w:jc w:val="left"/>
            </w:pPr>
            <w:r>
              <w:t xml:space="preserve">5,148</w:t>
            </w:r>
          </w:p>
        </w:tc>
        <w:tc>
          <w:tcPr/>
          <w:p>
            <w:pPr>
              <w:pStyle w:val="Tabla8"/>
              <w:jc w:val="left"/>
            </w:pPr>
            <w:r>
              <w:t xml:space="preserve">5,823</w:t>
            </w:r>
          </w:p>
        </w:tc>
        <w:tc>
          <w:tcPr/>
          <w:p>
            <w:pPr>
              <w:pStyle w:val="Tabla8"/>
              <w:jc w:val="left"/>
            </w:pPr>
            <w:r>
              <w:t xml:space="preserve">No cambia</w:t>
            </w:r>
          </w:p>
        </w:tc>
      </w:tr>
      <w:tr>
        <w:trPr>
          <w:cantSplit/>
        </w:trPr>
        <w:tc>
          <w:tcPr/>
          <w:p>
            <w:pPr>
              <w:pStyle w:val="Tabla8"/>
              <w:jc w:val="left"/>
            </w:pPr>
            <w:r>
              <w:t xml:space="preserve">Prioridad de innovación</w:t>
            </w:r>
          </w:p>
        </w:tc>
        <w:tc>
          <w:tcPr/>
          <w:p>
            <w:pPr>
              <w:pStyle w:val="Tabla8"/>
              <w:jc w:val="left"/>
            </w:pPr>
            <w:r>
              <w:t xml:space="preserve">nivel de innovación +10 %</w:t>
            </w:r>
          </w:p>
        </w:tc>
        <w:tc>
          <w:tcPr/>
          <w:p>
            <w:pPr>
              <w:pStyle w:val="Tabla8"/>
              <w:jc w:val="left"/>
            </w:pPr>
            <w:r>
              <w:t xml:space="preserve">ALT-03</w:t>
            </w:r>
          </w:p>
        </w:tc>
        <w:tc>
          <w:tcPr/>
          <w:p>
            <w:pPr>
              <w:pStyle w:val="Tabla8"/>
              <w:jc w:val="left"/>
            </w:pPr>
            <w:r>
              <w:t xml:space="preserve">4,461</w:t>
            </w:r>
          </w:p>
        </w:tc>
        <w:tc>
          <w:tcPr/>
          <w:p>
            <w:pPr>
              <w:pStyle w:val="Tabla8"/>
              <w:jc w:val="left"/>
            </w:pPr>
            <w:r>
              <w:t xml:space="preserve">4,326</w:t>
            </w:r>
          </w:p>
        </w:tc>
        <w:tc>
          <w:tcPr/>
          <w:p>
            <w:pPr>
              <w:pStyle w:val="Tabla8"/>
              <w:jc w:val="left"/>
            </w:pPr>
            <w:r>
              <w:t xml:space="preserve">5,145</w:t>
            </w:r>
          </w:p>
        </w:tc>
        <w:tc>
          <w:tcPr/>
          <w:p>
            <w:pPr>
              <w:pStyle w:val="Tabla8"/>
              <w:jc w:val="left"/>
            </w:pPr>
            <w:r>
              <w:t xml:space="preserve">5,814</w:t>
            </w:r>
          </w:p>
        </w:tc>
        <w:tc>
          <w:tcPr/>
          <w:p>
            <w:pPr>
              <w:pStyle w:val="Tabla8"/>
              <w:jc w:val="left"/>
            </w:pPr>
            <w:r>
              <w:t xml:space="preserve">No cambia</w:t>
            </w:r>
          </w:p>
        </w:tc>
      </w:tr>
      <w:tr>
        <w:trPr>
          <w:cantSplit/>
        </w:trPr>
        <w:tc>
          <w:tcPr/>
          <w:p>
            <w:pPr>
              <w:pStyle w:val="Tabla8"/>
              <w:jc w:val="left"/>
            </w:pPr>
            <w:r>
              <w:t xml:space="preserve">Prioridad territorial</w:t>
            </w:r>
          </w:p>
        </w:tc>
        <w:tc>
          <w:tcPr/>
          <w:p>
            <w:pPr>
              <w:pStyle w:val="Tabla8"/>
              <w:jc w:val="left"/>
            </w:pPr>
            <w:r>
              <w:t xml:space="preserve">criterios territoriales +10 %</w:t>
            </w:r>
          </w:p>
        </w:tc>
        <w:tc>
          <w:tcPr/>
          <w:p>
            <w:pPr>
              <w:pStyle w:val="Tabla8"/>
              <w:jc w:val="left"/>
            </w:pPr>
            <w:r>
              <w:t xml:space="preserve">ALT-03</w:t>
            </w:r>
          </w:p>
        </w:tc>
        <w:tc>
          <w:tcPr/>
          <w:p>
            <w:pPr>
              <w:pStyle w:val="Tabla8"/>
              <w:jc w:val="left"/>
            </w:pPr>
            <w:r>
              <w:t xml:space="preserve">4,414</w:t>
            </w:r>
          </w:p>
        </w:tc>
        <w:tc>
          <w:tcPr/>
          <w:p>
            <w:pPr>
              <w:pStyle w:val="Tabla8"/>
              <w:jc w:val="left"/>
            </w:pPr>
            <w:r>
              <w:t xml:space="preserve">4,339</w:t>
            </w:r>
          </w:p>
        </w:tc>
        <w:tc>
          <w:tcPr/>
          <w:p>
            <w:pPr>
              <w:pStyle w:val="Tabla8"/>
              <w:jc w:val="left"/>
            </w:pPr>
            <w:r>
              <w:t xml:space="preserve">5,147</w:t>
            </w:r>
          </w:p>
        </w:tc>
        <w:tc>
          <w:tcPr/>
          <w:p>
            <w:pPr>
              <w:pStyle w:val="Tabla8"/>
              <w:jc w:val="left"/>
            </w:pPr>
            <w:r>
              <w:t xml:space="preserve">5,791</w:t>
            </w:r>
          </w:p>
        </w:tc>
        <w:tc>
          <w:tcPr/>
          <w:p>
            <w:pPr>
              <w:pStyle w:val="Tabla8"/>
              <w:jc w:val="left"/>
            </w:pPr>
            <w:r>
              <w:t xml:space="preserve">No cambia</w:t>
            </w:r>
          </w:p>
        </w:tc>
      </w:tr>
    </w:tbl>
    <w:p>
      <w:pPr>
        <w:pStyle w:val="TablaNota"/>
      </w:pPr>
      <w:r>
        <w:rPr>
          <w:i/>
          <w:iCs/>
        </w:rPr>
        <w:t xml:space="preserve">Nota.</w:t>
      </w:r>
      <w:r>
        <w:t xml:space="preserve"> </w:t>
      </w:r>
      <w:r>
        <w:t xml:space="preserve">Elaboración propia con maestro/alternativas.py. Los escenarios perturban un peso o un grupo de pesos en +10 % relativo y renormalizan.</w:t>
      </w:r>
    </w:p>
    <w:p>
      <w:pPr>
        <w:pStyle w:val="BodyText"/>
      </w:pPr>
      <w:r>
        <w:t xml:space="preserve">La alternativa ganadora no cambia en ningún escenario. Además, ninguna perturbación de un solo peso entre −99 % y +500 % invierte el primer lugar entre ALT-03 y ALT-02. El margen entre ambas es de 0,655 puntos en el caso base. Este resultado no valida el ranking. ALT-03 supera a ALT-02 en seis criterios: viabilidad técnica, impacto esperado, sostenibilidad, nivel de innovación y los criterios PAFU de fiabilidad y ubicuidad. ALT-02 supera a ALT-03 solo en tiempo de implementación, con 6 frente a 5. Los otros siete criterios empatan.</w:t>
      </w:r>
    </w:p>
    <w:bookmarkEnd w:id="239"/>
    <w:bookmarkStart w:id="240" w:name="_Toc00900098"/>
    <w:p>
      <w:pPr>
        <w:pStyle w:val="Heading3"/>
      </w:pPr>
      <w:r>
        <w:t xml:space="preserve">F6.3.2 Optimización metaheurística (GWO)</w:t>
      </w:r>
    </w:p>
    <w:p>
      <w:pPr>
        <w:pStyle w:val="FirstParagraph"/>
      </w:pPr>
      <w:r>
        <w:t xml:space="preserve">El módulo de optimización con el algoritmo del lobo gris (Mirjalili et al., 2014) se activa solo si la enumeración exacta no es viable. El espacio de decisión de esta formulación contiene cuatro alternativas discretas, y la suma ponderada se evalúa por enumeración completa. Por esa razón, GWO no se activa (aserción AS-32 y decisión DEC-F15). No se ejecutó ningún algoritmo, de modo que no existe tabla de contraste GWO-MCDA ni estabilidad multisemilla.</w:t>
      </w:r>
    </w:p>
    <w:p>
      <w:pPr>
        <w:pStyle w:val="BodyText"/>
      </w:pPr>
      <w:r>
        <w:t xml:space="preserve">La Tabla F6.13 registra la decisión sobre la activación de la metaheurística (nodo ND-14).</w:t>
      </w:r>
    </w:p>
    <w:p>
      <w:pPr>
        <w:pStyle w:val="TablaRotulo"/>
      </w:pPr>
      <w:bookmarkStart w:id="9214" w:name="rot_Tabla_F6_13"/>
      <w:r>
        <w:rPr>
          <w:b/>
          <w:bCs/>
        </w:rPr>
        <w:t xml:space="preserve">Tabla F6.13</w:t>
      </w:r>
      <w:bookmarkEnd w:id="9214"/>
    </w:p>
    <w:p>
      <w:pPr>
        <w:pStyle w:val="TablaTitulo"/>
      </w:pPr>
      <w:r>
        <w:rPr>
          <w:i/>
          <w:iCs/>
        </w:rPr>
        <w:t xml:space="preserve">Registro de decisión GENESIS: ND-14 Activación de la metaheurística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630"/>
        <w:gridCol w:w="4290"/>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NODO</w:t>
            </w:r>
          </w:p>
        </w:tc>
        <w:tc>
          <w:tcPr/>
          <w:p>
            <w:pPr>
              <w:pStyle w:val="Tabla9"/>
              <w:jc w:val="left"/>
            </w:pPr>
            <w:r>
              <w:t xml:space="preserve">ND-14 Activación de la metaheurística</w:t>
            </w:r>
          </w:p>
        </w:tc>
      </w:tr>
      <w:tr>
        <w:trPr>
          <w:cantSplit/>
        </w:trPr>
        <w:tc>
          <w:tcPr/>
          <w:p>
            <w:pPr>
              <w:pStyle w:val="Tabla9"/>
              <w:jc w:val="left"/>
            </w:pPr>
            <w:r>
              <w:t xml:space="preserve">CLASE</w:t>
            </w:r>
          </w:p>
        </w:tc>
        <w:tc>
          <w:tcPr/>
          <w:p>
            <w:pPr>
              <w:pStyle w:val="Tabla9"/>
              <w:jc w:val="left"/>
            </w:pPr>
            <w:r>
              <w:t xml:space="preserve">MENOR. Define si se ejecuta una optimización adicional.</w:t>
            </w:r>
          </w:p>
        </w:tc>
      </w:tr>
      <w:tr>
        <w:trPr>
          <w:cantSplit/>
        </w:trPr>
        <w:tc>
          <w:tcPr/>
          <w:p>
            <w:pPr>
              <w:pStyle w:val="Tabla9"/>
              <w:jc w:val="left"/>
            </w:pPr>
            <w:r>
              <w:t xml:space="preserve">DECISION</w:t>
            </w:r>
          </w:p>
        </w:tc>
        <w:tc>
          <w:tcPr/>
          <w:p>
            <w:pPr>
              <w:pStyle w:val="Tabla9"/>
              <w:jc w:val="left"/>
            </w:pPr>
            <w:r>
              <w:t xml:space="preserve">No activar GWO: el espacio de decisión es enumerable.</w:t>
            </w:r>
          </w:p>
        </w:tc>
      </w:tr>
      <w:tr>
        <w:trPr>
          <w:cantSplit/>
        </w:trPr>
        <w:tc>
          <w:tcPr/>
          <w:p>
            <w:pPr>
              <w:pStyle w:val="Tabla9"/>
              <w:jc w:val="left"/>
            </w:pPr>
            <w:r>
              <w:t xml:space="preserve">DECIDE</w:t>
            </w:r>
          </w:p>
        </w:tc>
        <w:tc>
          <w:tcPr/>
          <w:p>
            <w:pPr>
              <w:pStyle w:val="Tabla9"/>
              <w:jc w:val="left"/>
            </w:pPr>
            <w:r>
              <w:t xml:space="preserve">Equipo formulador [DATO_USUARIO: responsable de la decisión].</w:t>
            </w:r>
          </w:p>
        </w:tc>
      </w:tr>
      <w:tr>
        <w:trPr>
          <w:cantSplit/>
        </w:trPr>
        <w:tc>
          <w:tcPr/>
          <w:p>
            <w:pPr>
              <w:pStyle w:val="Tabla9"/>
              <w:jc w:val="left"/>
            </w:pPr>
            <w:r>
              <w:t xml:space="preserve">EXCLUYE</w:t>
            </w:r>
          </w:p>
        </w:tc>
        <w:tc>
          <w:tcPr/>
          <w:p>
            <w:pPr>
              <w:pStyle w:val="Tabla9"/>
              <w:jc w:val="left"/>
            </w:pPr>
            <w:r>
              <w:t xml:space="preserve">Optimizar variables continuas sin datos. Presentar un resultado metaheurístico no calculado.</w:t>
            </w:r>
          </w:p>
        </w:tc>
      </w:tr>
      <w:tr>
        <w:trPr>
          <w:cantSplit/>
        </w:trPr>
        <w:tc>
          <w:tcPr/>
          <w:p>
            <w:pPr>
              <w:pStyle w:val="Tabla9"/>
              <w:jc w:val="left"/>
            </w:pPr>
            <w:r>
              <w:t xml:space="preserve">NODOS_BLANCOS</w:t>
            </w:r>
          </w:p>
        </w:tc>
        <w:tc>
          <w:tcPr/>
          <w:p>
            <w:pPr>
              <w:pStyle w:val="Tabla9"/>
              <w:jc w:val="left"/>
            </w:pPr>
            <w:r>
              <w:t xml:space="preserve">1: cuatro alternativas discretas evaluadas con 14 criterios por enumeración.</w:t>
            </w:r>
          </w:p>
        </w:tc>
      </w:tr>
      <w:tr>
        <w:trPr>
          <w:cantSplit/>
        </w:trPr>
        <w:tc>
          <w:tcPr/>
          <w:p>
            <w:pPr>
              <w:pStyle w:val="Tabla9"/>
              <w:jc w:val="left"/>
            </w:pPr>
            <w:r>
              <w:t xml:space="preserve">NODOS_GRISES</w:t>
            </w:r>
          </w:p>
        </w:tc>
        <w:tc>
          <w:tcPr/>
          <w:p>
            <w:pPr>
              <w:pStyle w:val="Tabla9"/>
              <w:jc w:val="left"/>
            </w:pPr>
            <w:r>
              <w:t xml:space="preserve">0.</w:t>
            </w:r>
          </w:p>
        </w:tc>
      </w:tr>
      <w:tr>
        <w:trPr>
          <w:cantSplit/>
        </w:trPr>
        <w:tc>
          <w:tcPr/>
          <w:p>
            <w:pPr>
              <w:pStyle w:val="Tabla9"/>
              <w:jc w:val="left"/>
            </w:pPr>
            <w:r>
              <w:t xml:space="preserve">RUPTURAS</w:t>
            </w:r>
          </w:p>
        </w:tc>
        <w:tc>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Ninguno.</w:t>
            </w:r>
          </w:p>
        </w:tc>
      </w:tr>
      <w:tr>
        <w:trPr>
          <w:cantSplit/>
        </w:trPr>
        <w:tc>
          <w:tcPr/>
          <w:p>
            <w:pPr>
              <w:pStyle w:val="Tabla9"/>
              <w:jc w:val="left"/>
            </w:pPr>
            <w:r>
              <w:t xml:space="preserve">ANTIPATRONES_PR</w:t>
            </w:r>
          </w:p>
        </w:tc>
        <w:tc>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No aplica: no se ejecuta la metaheurística.</w:t>
            </w:r>
          </w:p>
        </w:tc>
      </w:tr>
      <w:tr>
        <w:trPr>
          <w:cantSplit/>
        </w:trPr>
        <w:tc>
          <w:tcPr/>
          <w:p>
            <w:pPr>
              <w:pStyle w:val="Tabla9"/>
              <w:jc w:val="left"/>
            </w:pPr>
            <w:r>
              <w:t xml:space="preserve">EVIDENCIA_JH_A</w:t>
            </w:r>
          </w:p>
        </w:tc>
        <w:tc>
          <w:tcPr/>
          <w:p>
            <w:pPr>
              <w:pStyle w:val="Tabla9"/>
              <w:jc w:val="left"/>
            </w:pPr>
            <w:r>
              <w:t xml:space="preserve">Espacio de decisión de 4 alternativas.</w:t>
            </w:r>
          </w:p>
        </w:tc>
      </w:tr>
      <w:tr>
        <w:trPr>
          <w:cantSplit/>
        </w:trPr>
        <w:tc>
          <w:tcPr/>
          <w:p>
            <w:pPr>
              <w:pStyle w:val="Tabla9"/>
              <w:jc w:val="left"/>
            </w:pPr>
            <w:r>
              <w:t xml:space="preserve">EVIDENCIA_JH_B</w:t>
            </w:r>
          </w:p>
        </w:tc>
        <w:tc>
          <w:tcPr/>
          <w:p>
            <w:pPr>
              <w:pStyle w:val="Tabla9"/>
              <w:jc w:val="left"/>
            </w:pPr>
            <w:r>
              <w:t xml:space="preserve">Criterio (1) a (3) de activación no se cumplen.</w:t>
            </w:r>
          </w:p>
        </w:tc>
      </w:tr>
      <w:tr>
        <w:trPr>
          <w:cantSplit/>
        </w:trPr>
        <w:tc>
          <w:tcPr/>
          <w:p>
            <w:pPr>
              <w:pStyle w:val="Tabla9"/>
              <w:jc w:val="left"/>
            </w:pPr>
            <w:r>
              <w:t xml:space="preserve">CERCA_CONCEPTUAL</w:t>
            </w:r>
          </w:p>
        </w:tc>
        <w:tc>
          <w:tcPr/>
          <w:p>
            <w:pPr>
              <w:pStyle w:val="Tabla9"/>
              <w:jc w:val="left"/>
            </w:pPr>
            <w:r>
              <w:t xml:space="preserve">Una metaheurística no valida causalidad ni sustituye la evidencia.</w:t>
            </w:r>
          </w:p>
        </w:tc>
      </w:tr>
      <w:tr>
        <w:trPr>
          <w:cantSplit/>
        </w:trPr>
        <w:tc>
          <w:tcPr/>
          <w:p>
            <w:pPr>
              <w:pStyle w:val="Tabla9"/>
              <w:jc w:val="left"/>
            </w:pPr>
            <w:r>
              <w:t xml:space="preserve">ESTATUTO_CAUSAL</w:t>
            </w:r>
          </w:p>
        </w:tc>
        <w:tc>
          <w:tcPr/>
          <w:p>
            <w:pPr>
              <w:pStyle w:val="Tabla9"/>
              <w:jc w:val="left"/>
            </w:pPr>
            <w:r>
              <w:t xml:space="preserve">NO_APLICA.</w:t>
            </w:r>
          </w:p>
        </w:tc>
      </w:tr>
      <w:tr>
        <w:trPr>
          <w:cantSplit/>
        </w:trPr>
        <w:tc>
          <w:tcPr/>
          <w:p>
            <w:pPr>
              <w:pStyle w:val="Tabla9"/>
              <w:jc w:val="left"/>
            </w:pPr>
            <w:r>
              <w:t xml:space="preserve">VEREDICTO</w:t>
            </w:r>
          </w:p>
        </w:tc>
        <w:tc>
          <w:tcPr/>
          <w:p>
            <w:pPr>
              <w:pStyle w:val="Tabla9"/>
              <w:jc w:val="left"/>
            </w:pPr>
            <w:r>
              <w:t xml:space="preserve">GWO no activado.</w:t>
            </w:r>
          </w:p>
        </w:tc>
      </w:tr>
      <w:tr>
        <w:trPr>
          <w:cantSplit/>
        </w:trPr>
        <w:tc>
          <w:tcPr/>
          <w:p>
            <w:pPr>
              <w:pStyle w:val="Tabla9"/>
              <w:jc w:val="left"/>
            </w:pPr>
            <w:r>
              <w:t xml:space="preserve">RAZON_DEL_DESCARTE</w:t>
            </w:r>
          </w:p>
        </w:tc>
        <w:tc>
          <w:tcPr/>
          <w:p>
            <w:pPr>
              <w:pStyle w:val="Tabla9"/>
              <w:jc w:val="left"/>
            </w:pPr>
            <w:r>
              <w:t xml:space="preserve">Se descarta activarlo porque la búsqueda exacta es viable.</w:t>
            </w:r>
          </w:p>
        </w:tc>
      </w:tr>
      <w:tr>
        <w:trPr>
          <w:cantSplit/>
        </w:trPr>
        <w:tc>
          <w:tcPr/>
          <w:p>
            <w:pPr>
              <w:pStyle w:val="Tabla9"/>
              <w:jc w:val="left"/>
            </w:pPr>
            <w:r>
              <w:t xml:space="preserve">RESULTADO</w:t>
            </w:r>
          </w:p>
        </w:tc>
        <w:tc>
          <w:tcPr/>
          <w:p>
            <w:pPr>
              <w:pStyle w:val="Tabla9"/>
              <w:jc w:val="left"/>
            </w:pPr>
            <w:r>
              <w:t xml:space="preserve">CIERRA sin vacíos.</w:t>
            </w:r>
          </w:p>
        </w:tc>
      </w:tr>
    </w:tbl>
    <w:p>
      <w:pPr>
        <w:pStyle w:val="TablaNota"/>
      </w:pPr>
      <w:r>
        <w:rPr>
          <w:i/>
          <w:iCs/>
        </w:rPr>
        <w:t xml:space="preserve">Nota.</w:t>
      </w:r>
      <w:r>
        <w:t xml:space="preserve"> </w:t>
      </w:r>
      <w:r>
        <w:t xml:space="preserve">Elaboración propia con el protocolo de decisión GENESIS y el módulo GWO del metaprompt.</w:t>
      </w:r>
    </w:p>
    <w:p>
      <w:pPr>
        <w:pStyle w:val="BodyText"/>
      </w:pPr>
      <w:r>
        <w:t xml:space="preserve">La Tabla F6.14 registra la decisión sobre los pesos y los puntajes de la evaluación multicriterio (nodo ND-13).</w:t>
      </w:r>
    </w:p>
    <w:p>
      <w:pPr>
        <w:pStyle w:val="TablaRotulo"/>
      </w:pPr>
      <w:bookmarkStart w:id="9215" w:name="rot_Tabla_F6_14"/>
      <w:r>
        <w:rPr>
          <w:b/>
          <w:bCs/>
        </w:rPr>
        <w:t xml:space="preserve">Tabla F6.14</w:t>
      </w:r>
      <w:bookmarkEnd w:id="9215"/>
    </w:p>
    <w:p>
      <w:pPr>
        <w:pStyle w:val="TablaTitulo"/>
      </w:pPr>
      <w:r>
        <w:rPr>
          <w:i/>
          <w:iCs/>
        </w:rPr>
        <w:t xml:space="preserve">Registro de decisión GENESIS: ND-13 Pesos y puntajes MCDA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NODO</w:t>
            </w:r>
          </w:p>
        </w:tc>
        <w:tc>
          <w:tcPr/>
          <w:p>
            <w:pPr>
              <w:pStyle w:val="Tabla9"/>
              <w:jc w:val="left"/>
            </w:pPr>
            <w:r>
              <w:t xml:space="preserve">ND-13 Pesos y puntajes MCDA</w:t>
            </w:r>
          </w:p>
        </w:tc>
      </w:tr>
      <w:tr>
        <w:trPr>
          <w:cantSplit/>
        </w:trPr>
        <w:tc>
          <w:tcPr/>
          <w:p>
            <w:pPr>
              <w:pStyle w:val="Tabla9"/>
              <w:jc w:val="left"/>
            </w:pPr>
            <w:r>
              <w:t xml:space="preserve">CLASE</w:t>
            </w:r>
          </w:p>
        </w:tc>
        <w:tc>
          <w:tcPr/>
          <w:p>
            <w:pPr>
              <w:pStyle w:val="Tabla9"/>
              <w:jc w:val="left"/>
            </w:pPr>
            <w:r>
              <w:t xml:space="preserve">MAYOR. Determina el ranking de alternativas.</w:t>
            </w:r>
          </w:p>
        </w:tc>
      </w:tr>
      <w:tr>
        <w:trPr>
          <w:cantSplit/>
        </w:trPr>
        <w:tc>
          <w:tcPr/>
          <w:p>
            <w:pPr>
              <w:pStyle w:val="Tabla9"/>
              <w:jc w:val="left"/>
            </w:pPr>
            <w:r>
              <w:t xml:space="preserve">DECISION</w:t>
            </w:r>
          </w:p>
        </w:tc>
        <w:tc>
          <w:tcPr/>
          <w:p>
            <w:pPr>
              <w:pStyle w:val="Tabla9"/>
              <w:jc w:val="left"/>
            </w:pPr>
            <w:r>
              <w:t xml:space="preserve">Adoptar los pesos por defecto del metaprompt y los puntajes de la tabla F6.9, con ratificación pendiente del panel evaluador.</w:t>
            </w:r>
          </w:p>
        </w:tc>
      </w:tr>
      <w:tr>
        <w:trPr>
          <w:cantSplit/>
        </w:trPr>
        <w:tc>
          <w:tcPr/>
          <w:p>
            <w:pPr>
              <w:pStyle w:val="Tabla9"/>
              <w:jc w:val="left"/>
            </w:pPr>
            <w:r>
              <w:t xml:space="preserve">DECIDE</w:t>
            </w:r>
          </w:p>
        </w:tc>
        <w:tc>
          <w:tcPr/>
          <w:p>
            <w:pPr>
              <w:pStyle w:val="Tabla9"/>
              <w:jc w:val="left"/>
            </w:pPr>
            <w:r>
              <w:t xml:space="preserve">Panel evaluador [DATO_USUARIO: composición del panel]. La propuesta proviene de la instancia analítica.</w:t>
            </w:r>
          </w:p>
        </w:tc>
      </w:tr>
      <w:tr>
        <w:trPr>
          <w:cantSplit/>
        </w:trPr>
        <w:tc>
          <w:tcPr/>
          <w:p>
            <w:pPr>
              <w:pStyle w:val="Tabla9"/>
              <w:jc w:val="left"/>
            </w:pPr>
            <w:r>
              <w:t xml:space="preserve">EXCLUYE</w:t>
            </w:r>
          </w:p>
        </w:tc>
        <w:tc>
          <w:tcPr/>
          <w:p>
            <w:pPr>
              <w:pStyle w:val="Tabla9"/>
              <w:jc w:val="left"/>
            </w:pPr>
            <w:r>
              <w:t xml:space="preserve">Pesos elicitados con comparaciones pareadas (no hay comité). Puntajes derivados de una ejecución de las alternativas.</w:t>
            </w:r>
          </w:p>
        </w:tc>
      </w:tr>
      <w:tr>
        <w:trPr>
          <w:cantSplit/>
        </w:trPr>
        <w:tc>
          <w:tcPr/>
          <w:p>
            <w:pPr>
              <w:pStyle w:val="Tabla9"/>
              <w:jc w:val="left"/>
            </w:pPr>
            <w:r>
              <w:t xml:space="preserve">NODOS_BLANCOS</w:t>
            </w:r>
          </w:p>
        </w:tc>
        <w:tc>
          <w:tcPr/>
          <w:p>
            <w:pPr>
              <w:pStyle w:val="Tabla9"/>
              <w:jc w:val="left"/>
            </w:pPr>
            <w:r>
              <w:t xml:space="preserve">2: suma de pesos igual a 100 %; mínimos protegidos de los criterios territoriales respetados.</w:t>
            </w:r>
          </w:p>
        </w:tc>
      </w:tr>
      <w:tr>
        <w:trPr>
          <w:cantSplit/>
        </w:trPr>
        <w:tc>
          <w:tcPr/>
          <w:p>
            <w:pPr>
              <w:pStyle w:val="Tabla9"/>
              <w:jc w:val="left"/>
            </w:pPr>
            <w:r>
              <w:t xml:space="preserve">NODOS_GRISES</w:t>
            </w:r>
          </w:p>
        </w:tc>
        <w:tc>
          <w:tcPr/>
          <w:p>
            <w:pPr>
              <w:pStyle w:val="Tabla9"/>
              <w:jc w:val="left"/>
            </w:pPr>
            <w:r>
              <w:t xml:space="preserve">3: los 14 puntajes son juicios sin evidencia de desempeño; la articulación territorial carece de documentos de origen; el panel no existe aún.</w:t>
            </w:r>
          </w:p>
        </w:tc>
      </w:tr>
      <w:tr>
        <w:trPr>
          <w:cantSplit/>
        </w:trPr>
        <w:tc>
          <w:tcPr/>
          <w:p>
            <w:pPr>
              <w:pStyle w:val="Tabla9"/>
              <w:jc w:val="left"/>
            </w:pPr>
            <w:r>
              <w:t xml:space="preserve">RUPTURAS</w:t>
            </w:r>
          </w:p>
        </w:tc>
        <w:tc>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decisión con juicios ordinales y sensibilidad publicada.</w:t>
            </w:r>
          </w:p>
        </w:tc>
      </w:tr>
      <w:tr>
        <w:trPr>
          <w:cantSplit/>
        </w:trPr>
        <w:tc>
          <w:tcPr/>
          <w:p>
            <w:pPr>
              <w:pStyle w:val="Tabla9"/>
              <w:jc w:val="left"/>
            </w:pPr>
            <w:r>
              <w:t xml:space="preserve">ANTIPATRONES_PR</w:t>
            </w:r>
          </w:p>
        </w:tc>
        <w:tc>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Un panel de tres evaluadores puntúa cada criterio de forma independiente y se compara con la tabla F6.9.</w:t>
            </w:r>
          </w:p>
        </w:tc>
      </w:tr>
      <w:tr>
        <w:trPr>
          <w:cantSplit/>
        </w:trPr>
        <w:tc>
          <w:tcPr/>
          <w:p>
            <w:pPr>
              <w:pStyle w:val="Tabla9"/>
              <w:jc w:val="left"/>
            </w:pPr>
            <w:r>
              <w:t xml:space="preserve">EVIDENCIA_JH_A</w:t>
            </w:r>
          </w:p>
        </w:tc>
        <w:tc>
          <w:tcPr/>
          <w:p>
            <w:pPr>
              <w:pStyle w:val="Tabla9"/>
              <w:jc w:val="left"/>
            </w:pPr>
            <w:r>
              <w:t xml:space="preserve">Cinco escenarios de sensibilidad sin cambio de ganadora (tabla F6.12).</w:t>
            </w:r>
          </w:p>
        </w:tc>
      </w:tr>
      <w:tr>
        <w:trPr>
          <w:cantSplit/>
        </w:trPr>
        <w:tc>
          <w:tcPr/>
          <w:p>
            <w:pPr>
              <w:pStyle w:val="Tabla9"/>
              <w:jc w:val="left"/>
            </w:pPr>
            <w:r>
              <w:t xml:space="preserve">EVIDENCIA_JH_B</w:t>
            </w:r>
          </w:p>
        </w:tc>
        <w:tc>
          <w:tcPr/>
          <w:p>
            <w:pPr>
              <w:pStyle w:val="Tabla9"/>
              <w:jc w:val="left"/>
            </w:pPr>
            <w:r>
              <w:t xml:space="preserve">Justificación por criterio (tabla F6.10).</w:t>
            </w:r>
          </w:p>
        </w:tc>
      </w:tr>
      <w:tr>
        <w:trPr>
          <w:cantSplit/>
        </w:trPr>
        <w:tc>
          <w:tcPr/>
          <w:p>
            <w:pPr>
              <w:pStyle w:val="Tabla9"/>
              <w:jc w:val="left"/>
            </w:pPr>
            <w:r>
              <w:t xml:space="preserve">CERCA_CONCEPTUAL</w:t>
            </w:r>
          </w:p>
        </w:tc>
        <w:tc>
          <w:tcPr/>
          <w:p>
            <w:pPr>
              <w:pStyle w:val="Tabla9"/>
              <w:jc w:val="left"/>
            </w:pPr>
            <w:r>
              <w:t xml:space="preserve">El puntaje total no es una probabilidad de éxito.</w:t>
            </w:r>
          </w:p>
        </w:tc>
      </w:tr>
      <w:tr>
        <w:trPr>
          <w:cantSplit/>
        </w:trPr>
        <w:tc>
          <w:tcPr/>
          <w:p>
            <w:pPr>
              <w:pStyle w:val="Tabla9"/>
              <w:jc w:val="left"/>
            </w:pPr>
            <w:r>
              <w:t xml:space="preserve">ESTATUTO_CAUSAL</w:t>
            </w:r>
          </w:p>
        </w:tc>
        <w:tc>
          <w:tcPr/>
          <w:p>
            <w:pPr>
              <w:pStyle w:val="Tabla9"/>
              <w:jc w:val="left"/>
            </w:pPr>
            <w:r>
              <w:t xml:space="preserve">NO_APLICA: es una evaluación multicriterio.</w:t>
            </w:r>
          </w:p>
        </w:tc>
      </w:tr>
      <w:tr>
        <w:trPr>
          <w:cantSplit/>
        </w:trPr>
        <w:tc>
          <w:tcPr/>
          <w:p>
            <w:pPr>
              <w:pStyle w:val="Tabla9"/>
              <w:jc w:val="left"/>
            </w:pPr>
            <w:r>
              <w:t xml:space="preserve">VEREDICTO</w:t>
            </w:r>
          </w:p>
        </w:tc>
        <w:tc>
          <w:tcPr/>
          <w:p>
            <w:pPr>
              <w:pStyle w:val="Tabla9"/>
              <w:jc w:val="left"/>
            </w:pPr>
            <w:r>
              <w:t xml:space="preserve">Ranking adoptado como propuesta condicionada a la ratificación.</w:t>
            </w:r>
          </w:p>
        </w:tc>
      </w:tr>
      <w:tr>
        <w:trPr>
          <w:cantSplit/>
        </w:trPr>
        <w:tc>
          <w:tcPr/>
          <w:p>
            <w:pPr>
              <w:pStyle w:val="Tabla9"/>
              <w:jc w:val="left"/>
            </w:pPr>
            <w:r>
              <w:t xml:space="preserve">RAZON_DEL_DESCARTE</w:t>
            </w:r>
          </w:p>
        </w:tc>
        <w:tc>
          <w:tcPr/>
          <w:p>
            <w:pPr>
              <w:pStyle w:val="Tabla9"/>
              <w:jc w:val="left"/>
            </w:pPr>
            <w:r>
              <w:t xml:space="preserve">Se descarta elicitar pesos por AHP sin un comité que compare criterios.</w:t>
            </w:r>
          </w:p>
        </w:tc>
      </w:tr>
      <w:tr>
        <w:trPr>
          <w:cantSplit/>
        </w:trPr>
        <w:tc>
          <w:tcPr/>
          <w:p>
            <w:pPr>
              <w:pStyle w:val="Tabla9"/>
              <w:jc w:val="left"/>
            </w:pPr>
            <w:r>
              <w:t xml:space="preserve">RESULTADO</w:t>
            </w:r>
          </w:p>
        </w:tc>
        <w:tc>
          <w:tcPr/>
          <w:p>
            <w:pPr>
              <w:pStyle w:val="Tabla9"/>
              <w:jc w:val="left"/>
            </w:pPr>
            <w:r>
              <w:t xml:space="preserve">CIERRA con vacíos declarados (panel y evidencia de desempeño).</w:t>
            </w:r>
          </w:p>
        </w:tc>
      </w:tr>
    </w:tbl>
    <w:p>
      <w:pPr>
        <w:pStyle w:val="TablaNota"/>
      </w:pPr>
      <w:r>
        <w:rPr>
          <w:i/>
          <w:iCs/>
        </w:rPr>
        <w:t xml:space="preserve">Nota.</w:t>
      </w:r>
      <w:r>
        <w:t xml:space="preserve"> </w:t>
      </w:r>
      <w:r>
        <w:t xml:space="preserve">Elaboración propia con el protocolo de decisión GENESIS.</w:t>
      </w:r>
    </w:p>
    <w:bookmarkEnd w:id="240"/>
    <w:bookmarkEnd w:id="241"/>
    <w:bookmarkStart w:id="245" w:name="_Toc00900099"/>
    <w:p>
      <w:pPr>
        <w:pStyle w:val="Heading2"/>
      </w:pPr>
      <w:r>
        <w:t xml:space="preserve">F6.4 Alternativa seleccionada</w:t>
      </w:r>
    </w:p>
    <w:p>
      <w:pPr>
        <w:pStyle w:val="FirstParagraph"/>
      </w:pPr>
      <w:r>
        <w:rPr>
          <w:b/>
          <w:bCs/>
        </w:rPr>
        <w:t xml:space="preserve">Alternativa ganadora.</w:t>
      </w:r>
      <w:r>
        <w:t xml:space="preserve"> </w:t>
      </w:r>
      <w:r>
        <w:t xml:space="preserve">ALT-03: red híbrida con corrección en gateway, despliegue por tramos y custodia distribuida.</w:t>
      </w:r>
    </w:p>
    <w:p>
      <w:pPr>
        <w:pStyle w:val="BodyText"/>
      </w:pPr>
      <w:r>
        <w:rPr>
          <w:b/>
          <w:bCs/>
        </w:rPr>
        <w:t xml:space="preserve">Puntaje.</w:t>
      </w:r>
      <w:r>
        <w:t xml:space="preserve"> </w:t>
      </w:r>
      <w:r>
        <w:t xml:space="preserve">5,805 de 9,000 (5,81 con dos decimales). El puntaje ordena las alternativas y no estima probabilidad de éxito.</w:t>
      </w:r>
    </w:p>
    <w:p>
      <w:pPr>
        <w:pStyle w:val="BodyText"/>
      </w:pPr>
      <w:r>
        <w:rPr>
          <w:b/>
          <w:bCs/>
        </w:rPr>
        <w:t xml:space="preserve">Justificación.</w:t>
      </w:r>
      <w:r>
        <w:t xml:space="preserve"> </w:t>
      </w:r>
      <w:r>
        <w:t xml:space="preserve">ALT-03 obtiene el mayor puntaje en impacto esperado (7), escalabilidad (7) y nivel de innovación (8). Empata con ALT-02 en viabilidad financiera (6). Su desventaja frente a ALT-00 está en tres criterios. Son viabilidad técnica (6 frente a 9), tiempo de implementación (5 frente a 9) y nivel de riesgo (4 frente a 9). La causa es que ALT-03 exige desarrollo y piloto. Los tramos condicionados acotan esos riesgos sin eliminarlos.</w:t>
      </w:r>
    </w:p>
    <w:p>
      <w:pPr>
        <w:pStyle w:val="BodyText"/>
      </w:pPr>
      <w:r>
        <w:t xml:space="preserve">La Tabla F6.15 valida la articulación territorial de la alternativa seleccionada. El criterio «Articulación con PDD y demandas territoriales» recibió 5 de 9, que es el umbral de la regla del metaprompt. Por tanto, no se activa la alerta, pero el 5 equivale a articulación genérica y no está verificado. La alerta se activaría si el equipo no obtiene los documentos territoriales.</w:t>
      </w:r>
    </w:p>
    <w:p>
      <w:pPr>
        <w:pStyle w:val="TablaRotulo"/>
      </w:pPr>
      <w:bookmarkStart w:id="9216" w:name="rot_Tabla_F6_15"/>
      <w:r>
        <w:rPr>
          <w:b/>
          <w:bCs/>
        </w:rPr>
        <w:t xml:space="preserve">Tabla F6.15</w:t>
      </w:r>
      <w:bookmarkEnd w:id="9216"/>
    </w:p>
    <w:p>
      <w:pPr>
        <w:pStyle w:val="TablaTitulo"/>
      </w:pPr>
      <w:r>
        <w:rPr>
          <w:i/>
          <w:iCs/>
        </w:rPr>
        <w:t xml:space="preserve">Validación de articulación territorial de la alternativa seleccionada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2376"/>
        <w:gridCol w:w="1584"/>
        <w:gridCol w:w="2244"/>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Contenido verificable</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PDD vigente</w:t>
            </w:r>
          </w:p>
        </w:tc>
        <w:tc>
          <w:tcPr/>
          <w:p>
            <w:pPr>
              <w:pStyle w:val="Tabla9"/>
              <w:jc w:val="left"/>
            </w:pPr>
            <w:r>
              <w:t xml:space="preserve">[DATO_USUARIO: nombre del PDD, eje y artículo]</w:t>
            </w:r>
          </w:p>
        </w:tc>
        <w:tc>
          <w:tcPr/>
          <w:p>
            <w:pPr>
              <w:pStyle w:val="Tabla9"/>
              <w:jc w:val="left"/>
            </w:pPr>
            <w:r>
              <w:t xml:space="preserve">PDD de cada departamento</w:t>
            </w:r>
          </w:p>
        </w:tc>
        <w:tc>
          <w:tcPr/>
          <w:p>
            <w:pPr>
              <w:pStyle w:val="Tabla9"/>
              <w:jc w:val="left"/>
            </w:pPr>
            <w:r>
              <w:t xml:space="preserve">VACIO</w:t>
            </w:r>
          </w:p>
        </w:tc>
      </w:tr>
      <w:tr>
        <w:trPr>
          <w:cantSplit/>
        </w:trPr>
        <w:tc>
          <w:tcPr/>
          <w:p>
            <w:pPr>
              <w:pStyle w:val="Tabla9"/>
              <w:jc w:val="left"/>
            </w:pPr>
            <w:r>
              <w:t xml:space="preserve">Indicador PDD</w:t>
            </w:r>
          </w:p>
        </w:tc>
        <w:tc>
          <w:tcPr/>
          <w:p>
            <w:pPr>
              <w:pStyle w:val="Tabla9"/>
              <w:jc w:val="left"/>
            </w:pPr>
            <w:r>
              <w:t xml:space="preserve">[DATO_USUARIO: indicador, línea base y meta]</w:t>
            </w:r>
          </w:p>
        </w:tc>
        <w:tc>
          <w:tcPr/>
          <w:p>
            <w:pPr>
              <w:pStyle w:val="Tabla9"/>
              <w:jc w:val="left"/>
            </w:pPr>
            <w:r>
              <w:t xml:space="preserve">Capítulo de metas del PDD</w:t>
            </w:r>
          </w:p>
        </w:tc>
        <w:tc>
          <w:tcPr/>
          <w:p>
            <w:pPr>
              <w:pStyle w:val="Tabla9"/>
              <w:jc w:val="left"/>
            </w:pPr>
            <w:r>
              <w:t xml:space="preserve">VACIO</w:t>
            </w:r>
          </w:p>
        </w:tc>
      </w:tr>
      <w:tr>
        <w:trPr>
          <w:cantSplit/>
        </w:trPr>
        <w:tc>
          <w:tcPr/>
          <w:p>
            <w:pPr>
              <w:pStyle w:val="Tabla9"/>
              <w:jc w:val="left"/>
            </w:pPr>
            <w:r>
              <w:t xml:space="preserve">Demanda territorial</w:t>
            </w:r>
          </w:p>
        </w:tc>
        <w:tc>
          <w:tcPr/>
          <w:p>
            <w:pPr>
              <w:pStyle w:val="Tabla9"/>
              <w:jc w:val="left"/>
            </w:pPr>
            <w:r>
              <w:t xml:space="preserve">[DATO_USUARIO: código y nombre de la demanda]</w:t>
            </w:r>
          </w:p>
        </w:tc>
        <w:tc>
          <w:tcPr/>
          <w:p>
            <w:pPr>
              <w:pStyle w:val="Tabla9"/>
              <w:jc w:val="left"/>
            </w:pPr>
            <w:r>
              <w:t xml:space="preserve">Anexo 4 de la convocatoria</w:t>
            </w:r>
          </w:p>
        </w:tc>
        <w:tc>
          <w:tcPr/>
          <w:p>
            <w:pPr>
              <w:pStyle w:val="Tabla9"/>
              <w:jc w:val="left"/>
            </w:pPr>
            <w:r>
              <w:t xml:space="preserve">VACIO</w:t>
            </w:r>
          </w:p>
        </w:tc>
      </w:tr>
      <w:tr>
        <w:trPr>
          <w:cantSplit/>
        </w:trPr>
        <w:tc>
          <w:tcPr/>
          <w:p>
            <w:pPr>
              <w:pStyle w:val="Tabla9"/>
              <w:jc w:val="left"/>
            </w:pPr>
            <w:r>
              <w:t xml:space="preserve">Contribución a la meta PDD</w:t>
            </w:r>
          </w:p>
        </w:tc>
        <w:tc>
          <w:tcPr/>
          <w:p>
            <w:pPr>
              <w:pStyle w:val="Tabla9"/>
              <w:jc w:val="left"/>
            </w:pPr>
            <w:r>
              <w:t xml:space="preserve">ALT-03 contribuye a un indicador de estaciones de monitoreo y alerta mediante 100 nodos y 10 gateways con error verificado; el indicador exacto es [DATO_USUARIO]</w:t>
            </w:r>
          </w:p>
        </w:tc>
        <w:tc>
          <w:tcPr/>
          <w:p>
            <w:pPr>
              <w:pStyle w:val="Tabla9"/>
              <w:jc w:val="left"/>
            </w:pPr>
            <w:r>
              <w:t xml:space="preserve">Análisis propio</w:t>
            </w:r>
          </w:p>
        </w:tc>
        <w:tc>
          <w:tcPr/>
          <w:p>
            <w:pPr>
              <w:pStyle w:val="Tabla9"/>
              <w:jc w:val="left"/>
            </w:pPr>
            <w:r>
              <w:t xml:space="preserve">INFERIDO</w:t>
            </w:r>
          </w:p>
        </w:tc>
      </w:tr>
      <w:tr>
        <w:trPr>
          <w:cantSplit/>
        </w:trPr>
        <w:tc>
          <w:tcPr/>
          <w:p>
            <w:pPr>
              <w:pStyle w:val="Tabla9"/>
              <w:jc w:val="left"/>
            </w:pPr>
            <w:r>
              <w:t xml:space="preserve">Misión PIIOM</w:t>
            </w:r>
          </w:p>
        </w:tc>
        <w:tc>
          <w:tcPr/>
          <w:p>
            <w:pPr>
              <w:pStyle w:val="Tabla9"/>
              <w:jc w:val="left"/>
            </w:pPr>
            <w:r>
              <w:t xml:space="preserve">[DATO_USUARIO: misión aplicable]</w:t>
            </w:r>
          </w:p>
        </w:tc>
        <w:tc>
          <w:tcPr/>
          <w:p>
            <w:pPr>
              <w:pStyle w:val="Tabla9"/>
              <w:jc w:val="left"/>
            </w:pPr>
            <w:r>
              <w:t xml:space="preserve">PIIOM de MinCiencias</w:t>
            </w:r>
          </w:p>
        </w:tc>
        <w:tc>
          <w:tcPr/>
          <w:p>
            <w:pPr>
              <w:pStyle w:val="Tabla9"/>
              <w:jc w:val="left"/>
            </w:pPr>
            <w:r>
              <w:t xml:space="preserve">VACIO</w:t>
            </w:r>
          </w:p>
        </w:tc>
      </w:tr>
      <w:tr>
        <w:trPr>
          <w:cantSplit/>
        </w:trPr>
        <w:tc>
          <w:tcPr/>
          <w:p>
            <w:pPr>
              <w:pStyle w:val="Tabla9"/>
              <w:jc w:val="left"/>
            </w:pPr>
            <w:r>
              <w:t xml:space="preserve">CONPES articulado</w:t>
            </w:r>
          </w:p>
        </w:tc>
        <w:tc>
          <w:tcPr/>
          <w:p>
            <w:pPr>
              <w:pStyle w:val="Tabla9"/>
              <w:jc w:val="left"/>
            </w:pPr>
            <w:r>
              <w:t xml:space="preserve">CONPES 4069 de política de ciencia, tecnología e innovación (DNP, 2021); objetivo [DATO_USUARIO: objetivo y línea]</w:t>
            </w:r>
          </w:p>
        </w:tc>
        <w:tc>
          <w:tcPr/>
          <w:p>
            <w:pPr>
              <w:pStyle w:val="Tabla9"/>
              <w:jc w:val="left"/>
            </w:pPr>
            <w:r>
              <w:t xml:space="preserve">Departamento Nacional de Planeación</w:t>
            </w:r>
          </w:p>
        </w:tc>
        <w:tc>
          <w:tcPr/>
          <w:p>
            <w:pPr>
              <w:pStyle w:val="Tabla9"/>
              <w:jc w:val="left"/>
            </w:pPr>
            <w:r>
              <w:t xml:space="preserve">NO_VERIFICADO</w:t>
            </w:r>
          </w:p>
        </w:tc>
      </w:tr>
      <w:tr>
        <w:trPr>
          <w:cantSplit/>
        </w:trPr>
        <w:tc>
          <w:tcPr/>
          <w:p>
            <w:pPr>
              <w:pStyle w:val="Tabla9"/>
              <w:jc w:val="left"/>
            </w:pPr>
            <w:r>
              <w:t xml:space="preserve">Actores territoriales involucrados</w:t>
            </w:r>
          </w:p>
        </w:tc>
        <w:tc>
          <w:tcPr/>
          <w:p>
            <w:pPr>
              <w:pStyle w:val="Tabla9"/>
              <w:jc w:val="left"/>
            </w:pPr>
            <w:r>
              <w:t xml:space="preserve">Alcaldías de 12 municipios, comités de gestión del riesgo y empresa tecnológica [DATO_USUARIO: nombres y cartas de intención]</w:t>
            </w:r>
          </w:p>
        </w:tc>
        <w:tc>
          <w:tcPr/>
          <w:p>
            <w:pPr>
              <w:pStyle w:val="Tabla9"/>
              <w:jc w:val="left"/>
            </w:pPr>
            <w:r>
              <w:t xml:space="preserve">Cartas de intención</w:t>
            </w:r>
          </w:p>
        </w:tc>
        <w:tc>
          <w:tcPr/>
          <w:p>
            <w:pPr>
              <w:pStyle w:val="Tabla9"/>
              <w:jc w:val="left"/>
            </w:pPr>
            <w:r>
              <w:t xml:space="preserve">SUPUESTO</w:t>
            </w:r>
          </w:p>
        </w:tc>
      </w:tr>
      <w:tr>
        <w:trPr>
          <w:cantSplit/>
        </w:trPr>
        <w:tc>
          <w:tcPr/>
          <w:p>
            <w:pPr>
              <w:pStyle w:val="Tabla9"/>
              <w:jc w:val="left"/>
            </w:pPr>
            <w:r>
              <w:t xml:space="preserve">Beneficiarios territoriales</w:t>
            </w:r>
          </w:p>
        </w:tc>
        <w:tc>
          <w:tcPr/>
          <w:p>
            <w:pPr>
              <w:pStyle w:val="Tabla9"/>
              <w:jc w:val="left"/>
            </w:pPr>
            <w:r>
              <w:t xml:space="preserve">150 funcionarios en 15 comités; indirectos [DATO_USUARIO: población de los municipios]</w:t>
            </w:r>
          </w:p>
        </w:tc>
        <w:tc>
          <w:tcPr/>
          <w:p>
            <w:pPr>
              <w:pStyle w:val="Tabla9"/>
              <w:jc w:val="left"/>
            </w:pPr>
            <w:r>
              <w:t xml:space="preserve">Cálculo propio</w:t>
            </w:r>
          </w:p>
        </w:tc>
        <w:tc>
          <w:tcPr/>
          <w:p>
            <w:pPr>
              <w:pStyle w:val="Tabla9"/>
              <w:jc w:val="left"/>
            </w:pPr>
            <w:r>
              <w:t xml:space="preserve">SUPUESTO</w:t>
            </w:r>
          </w:p>
        </w:tc>
      </w:tr>
    </w:tbl>
    <w:p>
      <w:pPr>
        <w:pStyle w:val="TablaNota"/>
      </w:pPr>
      <w:r>
        <w:rPr>
          <w:i/>
          <w:iCs/>
        </w:rPr>
        <w:t xml:space="preserve">Nota.</w:t>
      </w:r>
      <w:r>
        <w:t xml:space="preserve"> </w:t>
      </w:r>
      <w:r>
        <w:t xml:space="preserve">Elaboración propia. Los elementos VACIO son documentos que solo la entidad ejecutora posee. Ver la reserva R-ART de la decisión DEC-F12.</w:t>
      </w:r>
    </w:p>
    <w:p>
      <w:pPr>
        <w:pStyle w:val="BodyText"/>
      </w:pPr>
      <w:r>
        <w:t xml:space="preserve">La Tabla F6.16 registra la decisión sobre la alternativa seleccionada (nodo ND-15).</w:t>
      </w:r>
    </w:p>
    <w:p>
      <w:pPr>
        <w:pStyle w:val="TablaRotulo"/>
      </w:pPr>
      <w:bookmarkStart w:id="9217" w:name="rot_Tabla_F6_16"/>
      <w:r>
        <w:rPr>
          <w:b/>
          <w:bCs/>
        </w:rPr>
        <w:t xml:space="preserve">Tabla F6.16</w:t>
      </w:r>
      <w:bookmarkEnd w:id="9217"/>
    </w:p>
    <w:p>
      <w:pPr>
        <w:pStyle w:val="TablaTitulo"/>
      </w:pPr>
      <w:r>
        <w:rPr>
          <w:i/>
          <w:iCs/>
        </w:rPr>
        <w:t xml:space="preserve">Registro de decisión GENESIS: ND-15 Alternativa seleccionada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NODO</w:t>
            </w:r>
          </w:p>
        </w:tc>
        <w:tc>
          <w:tcPr/>
          <w:p>
            <w:pPr>
              <w:pStyle w:val="Tabla9"/>
              <w:jc w:val="left"/>
            </w:pPr>
            <w:r>
              <w:t xml:space="preserve">ND-15 Alternativa seleccionada</w:t>
            </w:r>
          </w:p>
        </w:tc>
      </w:tr>
      <w:tr>
        <w:trPr>
          <w:cantSplit/>
        </w:trPr>
        <w:tc>
          <w:tcPr/>
          <w:p>
            <w:pPr>
              <w:pStyle w:val="Tabla9"/>
              <w:jc w:val="left"/>
            </w:pPr>
            <w:r>
              <w:t xml:space="preserve">CLASE</w:t>
            </w:r>
          </w:p>
        </w:tc>
        <w:tc>
          <w:tcPr/>
          <w:p>
            <w:pPr>
              <w:pStyle w:val="Tabla9"/>
              <w:jc w:val="left"/>
            </w:pPr>
            <w:r>
              <w:t xml:space="preserve">MAYOR. Fija la alternativa que desarrollan los capítulos del documento.</w:t>
            </w:r>
          </w:p>
        </w:tc>
      </w:tr>
      <w:tr>
        <w:trPr>
          <w:cantSplit/>
        </w:trPr>
        <w:tc>
          <w:tcPr/>
          <w:p>
            <w:pPr>
              <w:pStyle w:val="Tabla9"/>
              <w:jc w:val="left"/>
            </w:pPr>
            <w:r>
              <w:t xml:space="preserve">DECISION</w:t>
            </w:r>
          </w:p>
        </w:tc>
        <w:tc>
          <w:tcPr/>
          <w:p>
            <w:pPr>
              <w:pStyle w:val="Tabla9"/>
              <w:jc w:val="left"/>
            </w:pPr>
            <w:r>
              <w:t xml:space="preserve">Seleccionar ALT-03 como alternativa del proyecto, condicionada a la ratificación del panel.</w:t>
            </w:r>
          </w:p>
        </w:tc>
      </w:tr>
      <w:tr>
        <w:trPr>
          <w:cantSplit/>
        </w:trPr>
        <w:tc>
          <w:tcPr/>
          <w:p>
            <w:pPr>
              <w:pStyle w:val="Tabla9"/>
              <w:jc w:val="left"/>
            </w:pPr>
            <w:r>
              <w:t xml:space="preserve">DECIDE</w:t>
            </w:r>
          </w:p>
        </w:tc>
        <w:tc>
          <w:tcPr/>
          <w:p>
            <w:pPr>
              <w:pStyle w:val="Tabla9"/>
              <w:jc w:val="left"/>
            </w:pPr>
            <w:r>
              <w:t xml:space="preserve">Panel evaluador y equipo formulador [DATO_USUARIO: responsables].</w:t>
            </w:r>
          </w:p>
        </w:tc>
      </w:tr>
      <w:tr>
        <w:trPr>
          <w:cantSplit/>
        </w:trPr>
        <w:tc>
          <w:tcPr/>
          <w:p>
            <w:pPr>
              <w:pStyle w:val="Tabla9"/>
              <w:jc w:val="left"/>
            </w:pPr>
            <w:r>
              <w:t xml:space="preserve">EXCLUYE</w:t>
            </w:r>
          </w:p>
        </w:tc>
        <w:tc>
          <w:tcPr/>
          <w:p>
            <w:pPr>
              <w:pStyle w:val="Tabla9"/>
              <w:jc w:val="left"/>
            </w:pPr>
            <w:r>
              <w:t xml:space="preserve">Descartar de forma definitiva ALT-00 a ALT-02: la convocatoria exige comparar y el panel puede reordenar.</w:t>
            </w:r>
          </w:p>
        </w:tc>
      </w:tr>
      <w:tr>
        <w:trPr>
          <w:cantSplit/>
        </w:trPr>
        <w:tc>
          <w:tcPr/>
          <w:p>
            <w:pPr>
              <w:pStyle w:val="Tabla9"/>
              <w:jc w:val="left"/>
            </w:pPr>
            <w:r>
              <w:t xml:space="preserve">NODOS_BLANCOS</w:t>
            </w:r>
          </w:p>
        </w:tc>
        <w:tc>
          <w:tcPr/>
          <w:p>
            <w:pPr>
              <w:pStyle w:val="Tabla9"/>
              <w:jc w:val="left"/>
            </w:pPr>
            <w:r>
              <w:t xml:space="preserve">2: ALT-03 gana en el caso base y en los cinco escenarios; el test contrainductivo se cumple.</w:t>
            </w:r>
          </w:p>
        </w:tc>
      </w:tr>
      <w:tr>
        <w:trPr>
          <w:cantSplit/>
        </w:trPr>
        <w:tc>
          <w:tcPr/>
          <w:p>
            <w:pPr>
              <w:pStyle w:val="Tabla9"/>
              <w:jc w:val="left"/>
            </w:pPr>
            <w:r>
              <w:t xml:space="preserve">NODOS_GRISES</w:t>
            </w:r>
          </w:p>
        </w:tc>
        <w:tc>
          <w:tcPr/>
          <w:p>
            <w:pPr>
              <w:pStyle w:val="Tabla9"/>
              <w:jc w:val="left"/>
            </w:pPr>
            <w:r>
              <w:t xml:space="preserve">3: articulación territorial; desempeño real del modelo en escombros; capacidad de custodia.</w:t>
            </w:r>
          </w:p>
        </w:tc>
      </w:tr>
      <w:tr>
        <w:trPr>
          <w:cantSplit/>
        </w:trPr>
        <w:tc>
          <w:tcPr/>
          <w:p>
            <w:pPr>
              <w:pStyle w:val="Tabla9"/>
              <w:jc w:val="left"/>
            </w:pPr>
            <w:r>
              <w:t xml:space="preserve">RUPTURAS</w:t>
            </w:r>
          </w:p>
        </w:tc>
        <w:tc>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selección condicionada con compuertas de reversa.</w:t>
            </w:r>
          </w:p>
        </w:tc>
      </w:tr>
      <w:tr>
        <w:trPr>
          <w:cantSplit/>
        </w:trPr>
        <w:tc>
          <w:tcPr/>
          <w:p>
            <w:pPr>
              <w:pStyle w:val="Tabla9"/>
              <w:jc w:val="left"/>
            </w:pPr>
            <w:r>
              <w:t xml:space="preserve">ANTIPATRONES_PR</w:t>
            </w:r>
          </w:p>
        </w:tc>
        <w:tc>
          <w:tcPr/>
          <w:p>
            <w:pPr>
              <w:pStyle w:val="Tabla9"/>
              <w:jc w:val="left"/>
            </w:pPr>
            <w:r>
              <w:t xml:space="preserve">PR-04 ausente: Sí. PR-05 ausente: No. La selección depende de capacidad de custodia no verificada.</w:t>
            </w:r>
          </w:p>
        </w:tc>
      </w:tr>
      <w:tr>
        <w:trPr>
          <w:cantSplit/>
        </w:trPr>
        <w:tc>
          <w:tcPr/>
          <w:p>
            <w:pPr>
              <w:pStyle w:val="Tabla9"/>
              <w:jc w:val="left"/>
            </w:pPr>
            <w:r>
              <w:t xml:space="preserve">ESCENA_SIMULABLE</w:t>
            </w:r>
          </w:p>
        </w:tc>
        <w:tc>
          <w:tcPr/>
          <w:p>
            <w:pPr>
              <w:pStyle w:val="Tabla9"/>
              <w:jc w:val="left"/>
            </w:pPr>
            <w:r>
              <w:t xml:space="preserve">En la compuerta C1, el panel decide perseverar o pivotar con los datos del tramo 1.</w:t>
            </w:r>
          </w:p>
        </w:tc>
      </w:tr>
      <w:tr>
        <w:trPr>
          <w:cantSplit/>
        </w:trPr>
        <w:tc>
          <w:tcPr/>
          <w:p>
            <w:pPr>
              <w:pStyle w:val="Tabla9"/>
              <w:jc w:val="left"/>
            </w:pPr>
            <w:r>
              <w:t xml:space="preserve">EVIDENCIA_JH_A</w:t>
            </w:r>
          </w:p>
        </w:tc>
        <w:tc>
          <w:tcPr/>
          <w:p>
            <w:pPr>
              <w:pStyle w:val="Tabla9"/>
              <w:jc w:val="left"/>
            </w:pPr>
            <w:r>
              <w:t xml:space="preserve">Puntaje 5,805 frente a 5,150 de ALT-02.</w:t>
            </w:r>
          </w:p>
        </w:tc>
      </w:tr>
      <w:tr>
        <w:trPr>
          <w:cantSplit/>
        </w:trPr>
        <w:tc>
          <w:tcPr/>
          <w:p>
            <w:pPr>
              <w:pStyle w:val="Tabla9"/>
              <w:jc w:val="left"/>
            </w:pPr>
            <w:r>
              <w:t xml:space="preserve">EVIDENCIA_JH_B</w:t>
            </w:r>
          </w:p>
        </w:tc>
        <w:tc>
          <w:tcPr/>
          <w:p>
            <w:pPr>
              <w:pStyle w:val="Tabla9"/>
              <w:jc w:val="left"/>
            </w:pPr>
            <w:r>
              <w:t xml:space="preserve">Presupuesto y cronograma de ALT-03 en la ficha maestra.</w:t>
            </w:r>
          </w:p>
        </w:tc>
      </w:tr>
      <w:tr>
        <w:trPr>
          <w:cantSplit/>
        </w:trPr>
        <w:tc>
          <w:tcPr/>
          <w:p>
            <w:pPr>
              <w:pStyle w:val="Tabla9"/>
              <w:jc w:val="left"/>
            </w:pPr>
            <w:r>
              <w:t xml:space="preserve">CERCA_CONCEPTUAL</w:t>
            </w:r>
          </w:p>
        </w:tc>
        <w:tc>
          <w:tcPr/>
          <w:p>
            <w:pPr>
              <w:pStyle w:val="Tabla9"/>
              <w:jc w:val="left"/>
            </w:pPr>
            <w:r>
              <w:t xml:space="preserve">La selección no prueba que ALT-03 funcione; el piloto del tramo 1 lo establece.</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p>
            <w:pPr>
              <w:pStyle w:val="Tabla9"/>
              <w:jc w:val="left"/>
            </w:pPr>
            <w:r>
              <w:t xml:space="preserve">VEREDICTO</w:t>
            </w:r>
          </w:p>
        </w:tc>
        <w:tc>
          <w:tcPr/>
          <w:p>
            <w:pPr>
              <w:pStyle w:val="Tabla9"/>
              <w:jc w:val="left"/>
            </w:pPr>
            <w:r>
              <w:t xml:space="preserve">ALT-03 seleccionada con reservas.</w:t>
            </w:r>
          </w:p>
        </w:tc>
      </w:tr>
      <w:tr>
        <w:trPr>
          <w:cantSplit/>
        </w:trPr>
        <w:tc>
          <w:tcPr/>
          <w:p>
            <w:pPr>
              <w:pStyle w:val="Tabla9"/>
              <w:jc w:val="left"/>
            </w:pPr>
            <w:r>
              <w:t xml:space="preserve">RAZON_DEL_DESCARTE</w:t>
            </w:r>
          </w:p>
        </w:tc>
        <w:tc>
          <w:tcPr/>
          <w:p>
            <w:pPr>
              <w:pStyle w:val="Tabla9"/>
              <w:jc w:val="left"/>
            </w:pPr>
            <w:r>
              <w:t xml:space="preserve">Se descarta el statu quo por conservar el ciclo de baja confianza.</w:t>
            </w:r>
          </w:p>
        </w:tc>
      </w:tr>
      <w:tr>
        <w:trPr>
          <w:cantSplit/>
        </w:trPr>
        <w:tc>
          <w:tcPr/>
          <w:p>
            <w:pPr>
              <w:pStyle w:val="Tabla9"/>
              <w:jc w:val="left"/>
            </w:pPr>
            <w:r>
              <w:t xml:space="preserve">RESULTADO</w:t>
            </w:r>
          </w:p>
        </w:tc>
        <w:tc>
          <w:tcPr/>
          <w:p>
            <w:pPr>
              <w:pStyle w:val="Tabla9"/>
              <w:jc w:val="left"/>
            </w:pPr>
            <w:r>
              <w:t xml:space="preserve">CIERRA con vacíos declarados (territorio y custodia).</w:t>
            </w:r>
          </w:p>
        </w:tc>
      </w:tr>
    </w:tbl>
    <w:p>
      <w:pPr>
        <w:pStyle w:val="TablaNota"/>
      </w:pPr>
      <w:r>
        <w:rPr>
          <w:i/>
          <w:iCs/>
        </w:rPr>
        <w:t xml:space="preserve">Nota.</w:t>
      </w:r>
      <w:r>
        <w:t xml:space="preserve"> </w:t>
      </w:r>
      <w:r>
        <w:t xml:space="preserve">Elaboración propia con el protocolo de decisión GENESIS.</w:t>
      </w:r>
    </w:p>
    <w:p>
      <w:pPr>
        <w:pStyle w:val="BodyText"/>
      </w:pPr>
      <w:r>
        <w:t xml:space="preserve">La Figura F6.2 resume el ranking y el rango del puntaje en los cinco escenarios.</w:t>
      </w:r>
    </w:p>
    <w:p>
      <w:pPr>
        <w:pStyle w:val="FiguraRotulo"/>
      </w:pPr>
      <w:bookmarkStart w:id="9485" w:name="rot_Figura_F6_2"/>
      <w:r>
        <w:rPr>
          <w:b/>
          <w:bCs/>
        </w:rPr>
        <w:t xml:space="preserve">Figura F6.2</w:t>
      </w:r>
      <w:bookmarkEnd w:id="9485"/>
    </w:p>
    <w:p>
      <w:pPr>
        <w:pStyle w:val="FiguraTitulo"/>
      </w:pPr>
      <w:r>
        <w:rPr>
          <w:i/>
          <w:iCs/>
        </w:rPr>
        <w:t xml:space="preserve">Puntaje ponderado por alternativa y rango en los escenarios de sensibilidad</w:t>
      </w:r>
    </w:p>
    <w:p>
      <w:pPr>
        <w:pStyle w:val="BodyText"/>
      </w:pPr>
      <w:r>
        <w:drawing>
          <wp:inline>
            <wp:extent cx="5579999" cy="3068891"/>
            <wp:effectExtent b="0" l="0" r="0" t="0"/>
            <wp:docPr descr="" title="" id="243" name="Picture"/>
            <a:graphic>
              <a:graphicData uri="http://schemas.openxmlformats.org/drawingml/2006/picture">
                <pic:pic>
                  <pic:nvPicPr>
                    <pic:cNvPr descr="/tmp/claude-0/-home-user-docs/ddf38714-2a7e-502b-92b4-1008e2832422/scratchpad/proy/figs/out/cF6_f02.png" id="244" name="Picture"/>
                    <pic:cNvPicPr>
                      <a:picLocks noChangeArrowheads="1" noChangeAspect="1"/>
                    </pic:cNvPicPr>
                  </pic:nvPicPr>
                  <pic:blipFill>
                    <a:blip r:embed="rId242"/>
                    <a:stretch>
                      <a:fillRect/>
                    </a:stretch>
                  </pic:blipFill>
                  <pic:spPr bwMode="auto">
                    <a:xfrm>
                      <a:off x="0" y="0"/>
                      <a:ext cx="5579999" cy="306889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maestro/alternativas.py. Escala ordinal de desempeño de 1 a 9; caso base con pesos por defecto y cinco perturbaciones de +10 % relativo con renormalización. Los puntajes son juicios PROPUESTOS.</w:t>
      </w:r>
    </w:p>
    <w:p>
      <w:pPr>
        <w:pStyle w:val="BodyText"/>
      </w:pPr>
      <w:r>
        <w:t xml:space="preserve">El Paso 6 crea valor al ofrecer una decisión auditable. Cualquier lector reproduce los totales con los pesos y los puntajes publicados. Puede identificar los juicios más débiles y comprobar que la conclusión resiste cambios de peso. El Paso 7 diseña el sistema de indicadores que verifica la alternativa seleccionada.</w:t>
      </w:r>
    </w:p>
    <w:bookmarkEnd w:id="245"/>
    <w:bookmarkEnd w:id="246"/>
    <w:bookmarkStart w:id="255" w:name="_Toc00900100"/>
    <w:p>
      <w:pPr>
        <w:pStyle w:val="Heading1"/>
      </w:pPr>
      <w:r>
        <w:t xml:space="preserve">Paso 7. Sistema de indicadores PERS</w:t>
      </w:r>
    </w:p>
    <w:p>
      <w:pPr>
        <w:pStyle w:val="FirstParagraph"/>
      </w:pPr>
      <w:r>
        <w:t xml:space="preserve">El Paso 7 diseña el sistema de indicadores que verifica la alternativa seleccionada en el Paso 6. El sistema usa cuatro niveles de la sigla PERS: proceso (R), producto (P), efecto (E) y sostenibilidad (S). Contiene 15 indicadores: seis de proceso, cuatro de producto, tres de efecto y dos de sostenibilidad. El paso fija la taxonomía de producto, resultado e impacto (Output, Outcome e Impact) y valida su coherencia. Articula los indicadores con los criterios de la convocatoria. Comprueba que cada meta de producto tenga recurso y plazo. Las fichas técnicas completas de 12 campos se presentan en el capítulo 12, donde se desarrollan con su análisis. Este paso entrega el diseño y el registro.</w:t>
      </w:r>
    </w:p>
    <w:p>
      <w:pPr>
        <w:pStyle w:val="BodyText"/>
      </w:pPr>
      <w:r>
        <w:t xml:space="preserve">El paso aplica la regla que más penalizan los evaluadores: no confundir un producto con un impacto. Un taller realizado es un producto (Funnell y Rogers, 2011). Un comité que usa el tablero para decidir es un resultado (Pawson y Tilley, 1997). Un protocolo que se activa de forma sostenida tras el cierre es un impacto institucional. El proyecto no promete cambios en salud, porque no incluye un diseño causal para medirlos. Los términos de referencia (TdR) no se aportaron, por lo que los pesos de evaluación son supuestos del metaprompt (NO_VERIFICADO). Los umbrales de desempeño de los productos de medición toman como ancla los protocolos de la U.S. Environmental Protection Agency [EPA] (2021) para sensores de partículas finas.</w:t>
      </w:r>
    </w:p>
    <w:bookmarkStart w:id="250" w:name="X7894a2415ff2ab54aa29657407cc332b184b001"/>
    <w:p>
      <w:pPr>
        <w:pStyle w:val="Heading2"/>
      </w:pPr>
      <w:r>
        <w:t xml:space="preserve">F7.0 Taxonomía obligatoria: outputs, outcomes e impact</w:t>
      </w:r>
    </w:p>
    <w:p>
      <w:pPr>
        <w:pStyle w:val="FirstParagraph"/>
      </w:pPr>
      <w:r>
        <w:t xml:space="preserve">La taxonomía distingue tres niveles según lo que miden. Un producto mide lo que el proyecto hace y entrega. Un resultado mide cómo los destinatarios usan lo entregado y qué cambia en su comportamiento o su capacidad. Un impacto mide la transformación sostenida de las condiciones que justifican el proyecto. Funnell y Rogers (2011) describen esa secuencia como la cadena de resultados de un programa. La Tabla F7.1 presenta los tres niveles con un ejemplo correcto del proyecto y un ejemplo incorrecto que el evaluador penalizaría.</w:t>
      </w:r>
    </w:p>
    <w:p>
      <w:pPr>
        <w:pStyle w:val="TablaRotulo"/>
      </w:pPr>
      <w:bookmarkStart w:id="9218" w:name="rot_Tabla_F7_1"/>
      <w:r>
        <w:rPr>
          <w:b/>
          <w:bCs/>
        </w:rPr>
        <w:t xml:space="preserve">Tabla F7.1</w:t>
      </w:r>
      <w:bookmarkEnd w:id="9218"/>
    </w:p>
    <w:p>
      <w:pPr>
        <w:pStyle w:val="TablaTitulo"/>
      </w:pPr>
      <w:r>
        <w:rPr>
          <w:i/>
          <w:iCs/>
        </w:rPr>
        <w:t xml:space="preserve">Taxonomía Output, Outcome e Impact con ejemplos correctos e incorrectos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92"/>
        <w:gridCol w:w="1188"/>
        <w:gridCol w:w="1386"/>
        <w:gridCol w:w="1254"/>
        <w:gridCol w:w="990"/>
        <w:gridCol w:w="1188"/>
        <w:gridCol w:w="1122"/>
      </w:tblGrid>
      <w:tr>
        <w:trPr>
          <w:cantSplit/>
          <w:tblHeader/>
        </w:trPr>
        <w:tc>
          <w:tcPr>
            <w:shd w:val="clear" w:color="auto" w:fill="00B050"/>
          </w:tcPr>
          <w:p>
            <w:pPr>
              <w:pStyle w:val="Tabla8"/>
              <w:jc w:val="center"/>
            </w:pPr>
            <w:r>
              <w:rPr>
                <w:b/>
                <w:color w:val="FFFFFF"/>
              </w:rPr>
              <w:t xml:space="preserve">Nivel</w:t>
            </w:r>
          </w:p>
        </w:tc>
        <w:tc>
          <w:tcPr>
            <w:shd w:val="clear" w:color="auto" w:fill="00B050"/>
          </w:tcPr>
          <w:p>
            <w:pPr>
              <w:pStyle w:val="Tabla8"/>
              <w:jc w:val="center"/>
            </w:pPr>
            <w:r>
              <w:rPr>
                <w:b/>
                <w:color w:val="FFFFFF"/>
              </w:rPr>
              <w:t xml:space="preserve">Denominación en MinCiencias</w:t>
            </w:r>
          </w:p>
        </w:tc>
        <w:tc>
          <w:tcPr>
            <w:shd w:val="clear" w:color="auto" w:fill="00B050"/>
          </w:tcPr>
          <w:p>
            <w:pPr>
              <w:pStyle w:val="Tabla8"/>
              <w:jc w:val="center"/>
            </w:pPr>
            <w:r>
              <w:rPr>
                <w:b/>
                <w:color w:val="FFFFFF"/>
              </w:rPr>
              <w:t xml:space="preserve">Definición</w:t>
            </w:r>
          </w:p>
        </w:tc>
        <w:tc>
          <w:tcPr>
            <w:shd w:val="clear" w:color="auto" w:fill="00B050"/>
          </w:tcPr>
          <w:p>
            <w:pPr>
              <w:pStyle w:val="Tabla8"/>
              <w:jc w:val="center"/>
            </w:pPr>
            <w:r>
              <w:rPr>
                <w:b/>
                <w:color w:val="FFFFFF"/>
              </w:rPr>
              <w:t xml:space="preserve">Qué mide</w:t>
            </w:r>
          </w:p>
        </w:tc>
        <w:tc>
          <w:tcPr>
            <w:shd w:val="clear" w:color="auto" w:fill="00B050"/>
          </w:tcPr>
          <w:p>
            <w:pPr>
              <w:pStyle w:val="Tabla8"/>
              <w:jc w:val="center"/>
            </w:pPr>
            <w:r>
              <w:rPr>
                <w:b/>
                <w:color w:val="FFFFFF"/>
              </w:rPr>
              <w:t xml:space="preserve">Horizonte</w:t>
            </w:r>
          </w:p>
        </w:tc>
        <w:tc>
          <w:tcPr>
            <w:shd w:val="clear" w:color="auto" w:fill="00B050"/>
          </w:tcPr>
          <w:p>
            <w:pPr>
              <w:pStyle w:val="Tabla8"/>
              <w:jc w:val="center"/>
            </w:pPr>
            <w:r>
              <w:rPr>
                <w:b/>
                <w:color w:val="FFFFFF"/>
              </w:rPr>
              <w:t xml:space="preserve">Ejemplo correcto del proyecto</w:t>
            </w:r>
          </w:p>
        </w:tc>
        <w:tc>
          <w:tcPr>
            <w:shd w:val="clear" w:color="auto" w:fill="00B050"/>
          </w:tcPr>
          <w:p>
            <w:pPr>
              <w:pStyle w:val="Tabla8"/>
              <w:jc w:val="center"/>
            </w:pPr>
            <w:r>
              <w:rPr>
                <w:b/>
                <w:color w:val="FFFFFF"/>
              </w:rPr>
              <w:t xml:space="preserve">Ejemplo incorrecto (penalizado)</w:t>
            </w:r>
          </w:p>
        </w:tc>
      </w:tr>
      <w:tr>
        <w:trPr>
          <w:cantSplit/>
        </w:trPr>
        <w:tc>
          <w:tcPr/>
          <w:p>
            <w:pPr>
              <w:pStyle w:val="Tabla8"/>
              <w:jc w:val="left"/>
            </w:pPr>
            <w:r>
              <w:t xml:space="preserve">Output</w:t>
            </w:r>
          </w:p>
        </w:tc>
        <w:tc>
          <w:tcPr/>
          <w:p>
            <w:pPr>
              <w:pStyle w:val="Tabla8"/>
              <w:jc w:val="left"/>
            </w:pPr>
            <w:r>
              <w:t xml:space="preserve">Productos y actividades</w:t>
            </w:r>
          </w:p>
        </w:tc>
        <w:tc>
          <w:tcPr/>
          <w:p>
            <w:pPr>
              <w:pStyle w:val="Tabla8"/>
              <w:jc w:val="left"/>
            </w:pPr>
            <w:r>
              <w:t xml:space="preserve">Bienes, servicios o hechos concretos, tangibles y verificables que resultan de transformar insumos mediante actividades.</w:t>
            </w:r>
          </w:p>
        </w:tc>
        <w:tc>
          <w:tcPr/>
          <w:p>
            <w:pPr>
              <w:pStyle w:val="Tabla8"/>
              <w:jc w:val="left"/>
            </w:pPr>
            <w:r>
              <w:t xml:space="preserve">El esfuerzo y la producción, no el cambio</w:t>
            </w:r>
          </w:p>
        </w:tc>
        <w:tc>
          <w:tcPr/>
          <w:p>
            <w:pPr>
              <w:pStyle w:val="Tabla8"/>
              <w:jc w:val="left"/>
            </w:pPr>
            <w:r>
              <w:t xml:space="preserve">Inmediato; durante la ejecución (meses 1 a 24)</w:t>
            </w:r>
          </w:p>
        </w:tc>
        <w:tc>
          <w:tcPr/>
          <w:p>
            <w:pPr>
              <w:pStyle w:val="Tabla8"/>
              <w:jc w:val="left"/>
            </w:pPr>
            <w:r>
              <w:t xml:space="preserve">Red de 100 nodos y 10 gateways operativa (PERS-P01)</w:t>
            </w:r>
          </w:p>
        </w:tc>
        <w:tc>
          <w:tcPr/>
          <w:p>
            <w:pPr>
              <w:pStyle w:val="Tabla8"/>
              <w:jc w:val="left"/>
            </w:pPr>
            <w:r>
              <w:t xml:space="preserve">Declarar los 29 talleres y jornadas realizados como impacto</w:t>
            </w:r>
          </w:p>
        </w:tc>
      </w:tr>
      <w:tr>
        <w:trPr>
          <w:cantSplit/>
        </w:trPr>
        <w:tc>
          <w:tcPr/>
          <w:p>
            <w:pPr>
              <w:pStyle w:val="Tabla8"/>
              <w:jc w:val="left"/>
            </w:pPr>
            <w:r>
              <w:t xml:space="preserve">Outcome</w:t>
            </w:r>
          </w:p>
        </w:tc>
        <w:tc>
          <w:tcPr/>
          <w:p>
            <w:pPr>
              <w:pStyle w:val="Tabla8"/>
              <w:jc w:val="left"/>
            </w:pPr>
            <w:r>
              <w:t xml:space="preserve">Resultados y efectos inmediatos</w:t>
            </w:r>
          </w:p>
        </w:tc>
        <w:tc>
          <w:tcPr/>
          <w:p>
            <w:pPr>
              <w:pStyle w:val="Tabla8"/>
              <w:jc w:val="left"/>
            </w:pPr>
            <w:r>
              <w:t xml:space="preserve">Efectos de corto plazo en los destinatarios tras recibir los productos. Reflejan adopción, uso o cambio inicial de comportamiento.</w:t>
            </w:r>
          </w:p>
        </w:tc>
        <w:tc>
          <w:tcPr/>
          <w:p>
            <w:pPr>
              <w:pStyle w:val="Tabla8"/>
              <w:jc w:val="left"/>
            </w:pPr>
            <w:r>
              <w:t xml:space="preserve">Cómo los destinatarios usan el producto</w:t>
            </w:r>
          </w:p>
        </w:tc>
        <w:tc>
          <w:tcPr/>
          <w:p>
            <w:pPr>
              <w:pStyle w:val="Tabla8"/>
              <w:jc w:val="left"/>
            </w:pPr>
            <w:r>
              <w:t xml:space="preserve">Corto plazo; 0 a 12 meses después del producto</w:t>
            </w:r>
          </w:p>
        </w:tc>
        <w:tc>
          <w:tcPr/>
          <w:p>
            <w:pPr>
              <w:pStyle w:val="Tabla8"/>
              <w:jc w:val="left"/>
            </w:pPr>
            <w:r>
              <w:t xml:space="preserve">75 % o más de los 15 comités usa el tablero en decisiones documentadas (PERS-E01)</w:t>
            </w:r>
          </w:p>
        </w:tc>
        <w:tc>
          <w:tcPr/>
          <w:p>
            <w:pPr>
              <w:pStyle w:val="Tabla8"/>
              <w:jc w:val="left"/>
            </w:pPr>
            <w:r>
              <w:t xml:space="preserve">Declarar el número de nodos instalados como resultado</w:t>
            </w:r>
          </w:p>
        </w:tc>
      </w:tr>
      <w:tr>
        <w:trPr>
          <w:cantSplit/>
        </w:trPr>
        <w:tc>
          <w:tcPr/>
          <w:p>
            <w:pPr>
              <w:pStyle w:val="Tabla8"/>
              <w:jc w:val="left"/>
            </w:pPr>
            <w:r>
              <w:t xml:space="preserve">Impact</w:t>
            </w:r>
          </w:p>
        </w:tc>
        <w:tc>
          <w:tcPr/>
          <w:p>
            <w:pPr>
              <w:pStyle w:val="Tabla8"/>
              <w:jc w:val="left"/>
            </w:pPr>
            <w:r>
              <w:t xml:space="preserve">Impacto</w:t>
            </w:r>
          </w:p>
        </w:tc>
        <w:tc>
          <w:tcPr/>
          <w:p>
            <w:pPr>
              <w:pStyle w:val="Tabla8"/>
              <w:jc w:val="left"/>
            </w:pPr>
            <w:r>
              <w:t xml:space="preserve">Cambio sostenido en las condiciones que justifican el proyecto, como consecuencia de los productos y los resultados.</w:t>
            </w:r>
          </w:p>
        </w:tc>
        <w:tc>
          <w:tcPr/>
          <w:p>
            <w:pPr>
              <w:pStyle w:val="Tabla8"/>
              <w:jc w:val="left"/>
            </w:pPr>
            <w:r>
              <w:t xml:space="preserve">Si la condición cambió y se mantiene</w:t>
            </w:r>
          </w:p>
        </w:tc>
        <w:tc>
          <w:tcPr/>
          <w:p>
            <w:pPr>
              <w:pStyle w:val="Tabla8"/>
              <w:jc w:val="left"/>
            </w:pPr>
            <w:r>
              <w:t xml:space="preserve">Mediano plazo; meses 30 a 36, tras el cierre</w:t>
            </w:r>
          </w:p>
        </w:tc>
        <w:tc>
          <w:tcPr/>
          <w:p>
            <w:pPr>
              <w:pStyle w:val="Tabla8"/>
              <w:jc w:val="left"/>
            </w:pPr>
            <w:r>
              <w:t xml:space="preserve">Protocolo activado ante 80 % o más de las superaciones de umbral confirmadas (PERS-S01)</w:t>
            </w:r>
          </w:p>
        </w:tc>
        <w:tc>
          <w:tcPr/>
          <w:p>
            <w:pPr>
              <w:pStyle w:val="Tabla8"/>
              <w:jc w:val="left"/>
            </w:pPr>
            <w:r>
              <w:t xml:space="preserve">Declarar una reducción de morbilidad sin diseño causal que la identifique</w:t>
            </w:r>
          </w:p>
        </w:tc>
      </w:tr>
    </w:tbl>
    <w:p>
      <w:pPr>
        <w:pStyle w:val="TablaNota"/>
      </w:pPr>
      <w:r>
        <w:rPr>
          <w:i/>
          <w:iCs/>
        </w:rPr>
        <w:t xml:space="preserve">Nota.</w:t>
      </w:r>
      <w:r>
        <w:t xml:space="preserve"> </w:t>
      </w:r>
      <w:r>
        <w:t xml:space="preserve">Elaboración propia con la taxonomía del metaprompt GENESIS-CTeI y los indicadores de la ficha maestra. La definición de impacto como cambio en las condiciones de una población procede del metaprompt y no se verificó contra el documento de MinCiencias que lo origina (NO_VERIFICADO). Los ejemplos del proyecto son PROPUESTO.</w:t>
      </w:r>
    </w:p>
    <w:p>
      <w:pPr>
        <w:pStyle w:val="BodyText"/>
      </w:pPr>
      <w:r>
        <w:t xml:space="preserve">La Figura F7.1 ubica los 15 indicadores en la cadena y marca el techo de rendición de cuentas. Los 10 indicadores de producto y proceso quedan bajo el techo. Sus metas son compromisos que el proyecto controla. Los tres de resultado y los dos de impacto quedan sobre el techo. Sus metas son de contribución y dependen de que se cumplan los supuestos de uso institucional y de custodia (SC-3 y SC-4). El techo no mide la importancia de los indicadores. Delimita qué puede prometer el proyecto sin depender de terceros.</w:t>
      </w:r>
    </w:p>
    <w:p>
      <w:pPr>
        <w:pStyle w:val="FiguraRotulo"/>
      </w:pPr>
      <w:bookmarkStart w:id="9486" w:name="rot_Figura_F7_1"/>
      <w:r>
        <w:rPr>
          <w:b/>
          <w:bCs/>
        </w:rPr>
        <w:t xml:space="preserve">Figura F7.1</w:t>
      </w:r>
      <w:bookmarkEnd w:id="9486"/>
    </w:p>
    <w:p>
      <w:pPr>
        <w:pStyle w:val="FiguraTitulo"/>
      </w:pPr>
      <w:r>
        <w:rPr>
          <w:i/>
          <w:iCs/>
        </w:rPr>
        <w:t xml:space="preserve">La cadena del proyecto separa 10 outputs, 3 outcomes y 2 impactos institucionales</w:t>
      </w:r>
    </w:p>
    <w:p>
      <w:pPr>
        <w:pStyle w:val="BodyText"/>
      </w:pPr>
      <w:r>
        <w:drawing>
          <wp:inline>
            <wp:extent cx="5579999" cy="3596420"/>
            <wp:effectExtent b="0" l="0" r="0" t="0"/>
            <wp:docPr descr="" title="" id="248" name="Picture"/>
            <a:graphic>
              <a:graphicData uri="http://schemas.openxmlformats.org/drawingml/2006/picture">
                <pic:pic>
                  <pic:nvPicPr>
                    <pic:cNvPr descr="/tmp/claude-0/-home-user-docs/ddf38714-2a7e-502b-92b4-1008e2832422/scratchpad/proy/figs/out/cF7_f00.png" id="249" name="Picture"/>
                    <pic:cNvPicPr>
                      <a:picLocks noChangeArrowheads="1" noChangeAspect="1"/>
                    </pic:cNvPicPr>
                  </pic:nvPicPr>
                  <pic:blipFill>
                    <a:blip r:embed="rId247"/>
                    <a:stretch>
                      <a:fillRect/>
                    </a:stretch>
                  </pic:blipFill>
                  <pic:spPr bwMode="auto">
                    <a:xfrm>
                      <a:off x="0" y="0"/>
                      <a:ext cx="5579999" cy="359642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(presupuesto y equipo) e indicadores.py (15 indicadores PERS). El techo separa las metas comprometidas de las metas de contribución. Python 3 y matplotlib; script cF7_figs.py; sin semilla; corte del 13 de octubre de 2026.</w:t>
      </w:r>
    </w:p>
    <w:p>
      <w:pPr>
        <w:pStyle w:val="BodyText"/>
      </w:pPr>
      <w:r>
        <w:t xml:space="preserve">El nivel de impacto exige una lectura honesta. Gertler et al. (2016) sostienen que atribuir un cambio a un programa requiere un contrafactual, es decir, una estimación de lo ocurrido sin el programa. El proyecto no incluye ese diseño para la exposición de la población. Por eso los dos indicadores de sostenibilidad miden condiciones institucionales. PERS-S01 mide si el protocolo se activa ante una superación confirmada. PERS-S02 mide si la red continúa bajo custodia. Ambos son impactos institucionales de contribución. Mayne (2012) respalda esa lectura: el análisis de contribución sustenta que un programa contribuyó a un cambio sin atribuirle todo el efecto.</w:t>
      </w:r>
    </w:p>
    <w:p>
      <w:pPr>
        <w:pStyle w:val="BodyText"/>
      </w:pPr>
      <w:r>
        <w:t xml:space="preserve">La validación bloqueante verifica cuatro condiciones antes de avanzar. La Tabla F7.2 registra el resultado de cada una con su evidencia. Ninguna condición produce un error fatal. Dos producen una salvedad que se declara. Los indicadores de control R04 y R06 no tienen un resultado propio. La ruta de los artículos hacia el uso institucional es una hipótesis débil sin evidencia propia (VACIO).</w:t>
      </w:r>
    </w:p>
    <w:p>
      <w:pPr>
        <w:pStyle w:val="TablaRotulo"/>
      </w:pPr>
      <w:bookmarkStart w:id="9219" w:name="rot_Tabla_F7_2"/>
      <w:r>
        <w:rPr>
          <w:b/>
          <w:bCs/>
        </w:rPr>
        <w:t xml:space="preserve">Tabla F7.2</w:t>
      </w:r>
      <w:bookmarkEnd w:id="9219"/>
    </w:p>
    <w:p>
      <w:pPr>
        <w:pStyle w:val="TablaTitulo"/>
      </w:pPr>
      <w:r>
        <w:rPr>
          <w:i/>
          <w:iCs/>
        </w:rPr>
        <w:t xml:space="preserve">Validación bloqueante de la cadena Output, Outcome e Impact</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10"/>
        <w:gridCol w:w="1452"/>
        <w:gridCol w:w="1848"/>
        <w:gridCol w:w="2310"/>
      </w:tblGrid>
      <w:tr>
        <w:trPr>
          <w:cantSplit/>
          <w:tblHeader/>
        </w:trPr>
        <w:tc>
          <w:tcPr>
            <w:shd w:val="clear" w:color="auto" w:fill="00B050"/>
          </w:tcPr>
          <w:p>
            <w:pPr>
              <w:pStyle w:val="Tabla9"/>
              <w:jc w:val="center"/>
            </w:pPr>
            <w:r>
              <w:rPr>
                <w:b/>
                <w:color w:val="FFFFFF"/>
              </w:rPr>
              <w:t xml:space="preserve">Condición</w:t>
            </w:r>
          </w:p>
        </w:tc>
        <w:tc>
          <w:tcPr>
            <w:shd w:val="clear" w:color="auto" w:fill="00B050"/>
          </w:tcPr>
          <w:p>
            <w:pPr>
              <w:pStyle w:val="Tabla9"/>
              <w:jc w:val="center"/>
            </w:pPr>
            <w:r>
              <w:rPr>
                <w:b/>
                <w:color w:val="FFFFFF"/>
              </w:rPr>
              <w:t xml:space="preserve">Resultado</w:t>
            </w:r>
          </w:p>
        </w:tc>
        <w:tc>
          <w:tcPr>
            <w:shd w:val="clear" w:color="auto" w:fill="00B050"/>
          </w:tcPr>
          <w:p>
            <w:pPr>
              <w:pStyle w:val="Tabla9"/>
              <w:jc w:val="center"/>
            </w:pPr>
            <w:r>
              <w:rPr>
                <w:b/>
                <w:color w:val="FFFFFF"/>
              </w:rPr>
              <w:t xml:space="preserve">Evidencia</w:t>
            </w:r>
          </w:p>
        </w:tc>
        <w:tc>
          <w:tcPr>
            <w:shd w:val="clear" w:color="auto" w:fill="00B050"/>
          </w:tcPr>
          <w:p>
            <w:pPr>
              <w:pStyle w:val="Tabla9"/>
              <w:jc w:val="center"/>
            </w:pPr>
            <w:r>
              <w:rPr>
                <w:b/>
                <w:color w:val="FFFFFF"/>
              </w:rPr>
              <w:t xml:space="preserve">Salvedad</w:t>
            </w:r>
          </w:p>
        </w:tc>
      </w:tr>
      <w:tr>
        <w:trPr>
          <w:cantSplit/>
        </w:trPr>
        <w:tc>
          <w:tcPr/>
          <w:p>
            <w:pPr>
              <w:pStyle w:val="Tabla9"/>
              <w:jc w:val="left"/>
            </w:pPr>
            <w:r>
              <w:t xml:space="preserve">Cada producto tiene al menos un resultado asociado</w:t>
            </w:r>
          </w:p>
        </w:tc>
        <w:tc>
          <w:tcPr/>
          <w:p>
            <w:pPr>
              <w:pStyle w:val="Tabla9"/>
              <w:jc w:val="left"/>
            </w:pPr>
            <w:r>
              <w:t xml:space="preserve">CUMPLE</w:t>
            </w:r>
          </w:p>
        </w:tc>
        <w:tc>
          <w:tcPr/>
          <w:p>
            <w:pPr>
              <w:pStyle w:val="Tabla9"/>
              <w:jc w:val="left"/>
            </w:pPr>
            <w:r>
              <w:t xml:space="preserve">P01 y P02 alimentan E02; P01 y P04 alimentan E03; P04 alimenta E01; P03 alimenta E01 por una vía débil</w:t>
            </w:r>
          </w:p>
        </w:tc>
        <w:tc>
          <w:tcPr/>
          <w:p>
            <w:pPr>
              <w:pStyle w:val="Tabla9"/>
              <w:jc w:val="left"/>
            </w:pPr>
            <w:r>
              <w:t xml:space="preserve">PERS-R04 y PERS-R06 son indicadores de control sin resultado propio; alimentan a los productos</w:t>
            </w:r>
          </w:p>
        </w:tc>
      </w:tr>
      <w:tr>
        <w:trPr>
          <w:cantSplit/>
        </w:trPr>
        <w:tc>
          <w:tcPr/>
          <w:p>
            <w:pPr>
              <w:pStyle w:val="Tabla9"/>
              <w:jc w:val="left"/>
            </w:pPr>
            <w:r>
              <w:t xml:space="preserve">Cada resultado se conecta con al menos un impacto</w:t>
            </w:r>
          </w:p>
        </w:tc>
        <w:tc>
          <w:tcPr/>
          <w:p>
            <w:pPr>
              <w:pStyle w:val="Tabla9"/>
              <w:jc w:val="left"/>
            </w:pPr>
            <w:r>
              <w:t xml:space="preserve">CUMPLE</w:t>
            </w:r>
          </w:p>
        </w:tc>
        <w:tc>
          <w:tcPr/>
          <w:p>
            <w:pPr>
              <w:pStyle w:val="Tabla9"/>
              <w:jc w:val="left"/>
            </w:pPr>
            <w:r>
              <w:t xml:space="preserve">E01 y E02 alimentan S01; E03 alimenta S02</w:t>
            </w:r>
          </w:p>
        </w:tc>
        <w:tc>
          <w:tcPr/>
          <w:p>
            <w:pPr>
              <w:pStyle w:val="Tabla9"/>
              <w:jc w:val="left"/>
            </w:pPr>
            <w:r>
              <w:t xml:space="preserve">Las conexiones son hipótesis de influencia (HIE), no efectos estimados</w:t>
            </w:r>
          </w:p>
        </w:tc>
      </w:tr>
      <w:tr>
        <w:trPr>
          <w:cantSplit/>
        </w:trPr>
        <w:tc>
          <w:tcPr/>
          <w:p>
            <w:pPr>
              <w:pStyle w:val="Tabla9"/>
              <w:jc w:val="left"/>
            </w:pPr>
            <w:r>
              <w:t xml:space="preserve">Ningún producto está clasificado como impacto</w:t>
            </w:r>
          </w:p>
        </w:tc>
        <w:tc>
          <w:tcPr/>
          <w:p>
            <w:pPr>
              <w:pStyle w:val="Tabla9"/>
              <w:jc w:val="left"/>
            </w:pPr>
            <w:r>
              <w:t xml:space="preserve">CUMPLE</w:t>
            </w:r>
          </w:p>
        </w:tc>
        <w:tc>
          <w:tcPr/>
          <w:p>
            <w:pPr>
              <w:pStyle w:val="Tabla9"/>
              <w:jc w:val="left"/>
            </w:pPr>
            <w:r>
              <w:t xml:space="preserve">Los 10 indicadores R y P tienen taxonomía Output; los 3 E, Outcome; los 2 S, Impact</w:t>
            </w:r>
          </w:p>
        </w:tc>
        <w:tc>
          <w:tcPr/>
          <w:p>
            <w:pPr>
              <w:pStyle w:val="Tabla9"/>
              <w:jc w:val="left"/>
            </w:pPr>
            <w:r>
              <w:t xml:space="preserve">Ninguna</w:t>
            </w:r>
          </w:p>
        </w:tc>
      </w:tr>
      <w:tr>
        <w:trPr>
          <w:cantSplit/>
        </w:trPr>
        <w:tc>
          <w:tcPr/>
          <w:p>
            <w:pPr>
              <w:pStyle w:val="Tabla9"/>
              <w:jc w:val="left"/>
            </w:pPr>
            <w:r>
              <w:t xml:space="preserve">Los impactos son transformaciones medibles a mediano plazo y no actividades</w:t>
            </w:r>
          </w:p>
        </w:tc>
        <w:tc>
          <w:tcPr/>
          <w:p>
            <w:pPr>
              <w:pStyle w:val="Tabla9"/>
              <w:jc w:val="left"/>
            </w:pPr>
            <w:r>
              <w:t xml:space="preserve">CUMPLE CON RESERVA</w:t>
            </w:r>
          </w:p>
        </w:tc>
        <w:tc>
          <w:tcPr/>
          <w:p>
            <w:pPr>
              <w:pStyle w:val="Tabla9"/>
              <w:jc w:val="left"/>
            </w:pPr>
            <w:r>
              <w:t xml:space="preserve">S01 y S02 se miden entre los meses 30 y 36 con evaluación externa</w:t>
            </w:r>
          </w:p>
        </w:tc>
        <w:tc>
          <w:tcPr/>
          <w:p>
            <w:pPr>
              <w:pStyle w:val="Tabla9"/>
              <w:jc w:val="left"/>
            </w:pPr>
            <w:r>
              <w:t xml:space="preserve">Miden condiciones institucionales, no cambio en salud ni en exposición (VACIO)</w:t>
            </w:r>
          </w:p>
        </w:tc>
      </w:tr>
    </w:tbl>
    <w:p>
      <w:pPr>
        <w:pStyle w:val="TablaNota"/>
      </w:pPr>
      <w:r>
        <w:rPr>
          <w:i/>
          <w:iCs/>
        </w:rPr>
        <w:t xml:space="preserve">Nota.</w:t>
      </w:r>
      <w:r>
        <w:t xml:space="preserve"> </w:t>
      </w:r>
      <w:r>
        <w:t xml:space="preserve">Elaboración propia con la ficha maestra §8 y la taxonomía del metaprompt. Resultado: CUMPLE, CUMPLE CON RESERVA o NO CUMPLE. La reserva se explica en la columna de salvedad. Naturaleza: PROPUESTO.</w:t>
      </w:r>
    </w:p>
    <w:p>
      <w:pPr>
        <w:pStyle w:val="BodyText"/>
      </w:pPr>
      <w:r>
        <w:t xml:space="preserve">El nodo ND-16 del protocolo de decisión asigna cada nivel PERS a un tipo de la taxonomía. El registro de la Tabla F7.3 muestra el protocolo aplicado. El patrón central es PR-03: el cierre se define por la autonomía que adquieren los custodios, no por la ejecución presupuestal. La ausencia del antipatrón PR-04, la victoria pírrica, se verifica porque ningún indicador mejora a costa del destinatario. La ausencia de PR-05, el falso rescate, no se cumple: los indicadores de sostenibilidad suponen una capacidad de custodia que el territorio aún no demuestra.</w:t>
      </w:r>
    </w:p>
    <w:p>
      <w:pPr>
        <w:pStyle w:val="TablaRotulo"/>
      </w:pPr>
      <w:bookmarkStart w:id="9220" w:name="rot_Tabla_F7_3"/>
      <w:r>
        <w:rPr>
          <w:b/>
          <w:bCs/>
        </w:rPr>
        <w:t xml:space="preserve">Tabla F7.3</w:t>
      </w:r>
      <w:bookmarkEnd w:id="9220"/>
    </w:p>
    <w:p>
      <w:pPr>
        <w:pStyle w:val="TablaTitulo"/>
      </w:pPr>
      <w:r>
        <w:rPr>
          <w:i/>
          <w:iCs/>
        </w:rPr>
        <w:t xml:space="preserve">Registro de decisión GENESIS: ND-16 Asignación de output, outcome e impact</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NODO</w:t>
            </w:r>
          </w:p>
        </w:tc>
        <w:tc>
          <w:tcPr/>
          <w:p>
            <w:pPr>
              <w:pStyle w:val="Tabla9"/>
              <w:jc w:val="left"/>
            </w:pPr>
            <w:r>
              <w:t xml:space="preserve">ND-16 Asignación de output, outcome e impact</w:t>
            </w:r>
          </w:p>
        </w:tc>
      </w:tr>
      <w:tr>
        <w:trPr>
          <w:cantSplit/>
        </w:trPr>
        <w:tc>
          <w:tcPr/>
          <w:p>
            <w:pPr>
              <w:pStyle w:val="Tabla9"/>
              <w:jc w:val="left"/>
            </w:pPr>
            <w:r>
              <w:t xml:space="preserve">CLASE</w:t>
            </w:r>
          </w:p>
        </w:tc>
        <w:tc>
          <w:tcPr/>
          <w:p>
            <w:pPr>
              <w:pStyle w:val="Tabla9"/>
              <w:jc w:val="left"/>
            </w:pPr>
            <w:r>
              <w:t xml:space="preserve">MAYOR. Fija qué promete el proyecto y qué solo contribuye a lograr.</w:t>
            </w:r>
          </w:p>
        </w:tc>
      </w:tr>
      <w:tr>
        <w:trPr>
          <w:cantSplit/>
        </w:trPr>
        <w:tc>
          <w:tcPr/>
          <w:p>
            <w:pPr>
              <w:pStyle w:val="Tabla9"/>
              <w:jc w:val="left"/>
            </w:pPr>
            <w:r>
              <w:t xml:space="preserve">DECISION</w:t>
            </w:r>
          </w:p>
        </w:tc>
        <w:tc>
          <w:tcPr/>
          <w:p>
            <w:pPr>
              <w:pStyle w:val="Tabla9"/>
              <w:jc w:val="left"/>
            </w:pPr>
            <w:r>
              <w:t xml:space="preserve">Asignar los niveles R y P a Output, el nivel E a Outcome y el nivel S a Impact institucional, con el techo de rendición de cuentas entre P y E.</w:t>
            </w:r>
          </w:p>
        </w:tc>
      </w:tr>
      <w:tr>
        <w:trPr>
          <w:cantSplit/>
        </w:trPr>
        <w:tc>
          <w:tcPr/>
          <w:p>
            <w:pPr>
              <w:pStyle w:val="Tabla9"/>
              <w:jc w:val="left"/>
            </w:pPr>
            <w:r>
              <w:t xml:space="preserve">DECIDE</w:t>
            </w:r>
          </w:p>
        </w:tc>
        <w:tc>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Declarar un producto como impacto. Afirmar un efecto en salud sin diseño causal. Comprometer metas de contribución como si fueran de ejecución.</w:t>
            </w:r>
          </w:p>
        </w:tc>
      </w:tr>
      <w:tr>
        <w:trPr>
          <w:cantSplit/>
        </w:trPr>
        <w:tc>
          <w:tcPr/>
          <w:p>
            <w:pPr>
              <w:pStyle w:val="Tabla9"/>
              <w:jc w:val="left"/>
            </w:pPr>
            <w:r>
              <w:t xml:space="preserve">NODOS_BLANCOS</w:t>
            </w:r>
          </w:p>
        </w:tc>
        <w:tc>
          <w:tcPr/>
          <w:p>
            <w:pPr>
              <w:pStyle w:val="Tabla9"/>
              <w:jc w:val="left"/>
            </w:pPr>
            <w:r>
              <w:t xml:space="preserve">4: 15 indicadores con taxonomía asignada; metas finales de la ficha maestra; umbrales de desempeño con ancla externa (EPA, 2021); cronograma de 104 semanas.</w:t>
            </w:r>
          </w:p>
        </w:tc>
      </w:tr>
      <w:tr>
        <w:trPr>
          <w:cantSplit/>
        </w:trPr>
        <w:tc>
          <w:tcPr/>
          <w:p>
            <w:pPr>
              <w:pStyle w:val="Tabla9"/>
              <w:jc w:val="left"/>
            </w:pPr>
            <w:r>
              <w:t xml:space="preserve">NODOS_GRISES</w:t>
            </w:r>
          </w:p>
        </w:tc>
        <w:tc>
          <w:tcPr/>
          <w:p>
            <w:pPr>
              <w:pStyle w:val="Tabla9"/>
              <w:jc w:val="left"/>
            </w:pPr>
            <w:r>
              <w:t xml:space="preserve">3: que los comités usen el tablero; que los custodios asuman la operación; que la activación del protocolo reduzca la exposición evitable.</w:t>
            </w:r>
          </w:p>
        </w:tc>
      </w:tr>
      <w:tr>
        <w:trPr>
          <w:cantSplit/>
        </w:trPr>
        <w:tc>
          <w:tcPr/>
          <w:p>
            <w:pPr>
              <w:pStyle w:val="Tabla9"/>
              <w:jc w:val="left"/>
            </w:pPr>
            <w:r>
              <w:t xml:space="preserve">RUPTURAS</w:t>
            </w:r>
          </w:p>
        </w:tc>
        <w:tc>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PR-03 (triunfo soberano): el cierre depende de la autonomía de los custodios y no de la ejecución presupuestal.</w:t>
            </w:r>
          </w:p>
        </w:tc>
      </w:tr>
      <w:tr>
        <w:trPr>
          <w:cantSplit/>
        </w:trPr>
        <w:tc>
          <w:tcPr/>
          <w:p>
            <w:pPr>
              <w:pStyle w:val="Tabla9"/>
              <w:jc w:val="left"/>
            </w:pPr>
            <w:r>
              <w:t xml:space="preserve">ANTIPATRONES_PR</w:t>
            </w:r>
          </w:p>
        </w:tc>
        <w:tc>
          <w:tcPr/>
          <w:p>
            <w:pPr>
              <w:pStyle w:val="Tabla9"/>
              <w:jc w:val="left"/>
            </w:pPr>
            <w:r>
              <w:t xml:space="preserve">PR-04 ausente: Sí. PR-05 ausente: No. Los indicadores S01 y S02 suponen una capacidad de custodia no verificada.</w:t>
            </w:r>
          </w:p>
        </w:tc>
      </w:tr>
      <w:tr>
        <w:trPr>
          <w:cantSplit/>
        </w:trPr>
        <w:tc>
          <w:tcPr/>
          <w:p>
            <w:pPr>
              <w:pStyle w:val="Tabla9"/>
              <w:jc w:val="left"/>
            </w:pPr>
            <w:r>
              <w:t xml:space="preserve">ESCENA_SIMULABLE</w:t>
            </w:r>
          </w:p>
        </w:tc>
        <w:tc>
          <w:tcPr/>
          <w:p>
            <w:pPr>
              <w:pStyle w:val="Tabla9"/>
              <w:jc w:val="left"/>
            </w:pPr>
            <w:r>
              <w:t xml:space="preserve">Un técnico de la secretaría departamental recibe una alerta del tablero cuando un nodo supera el umbral, la contrasta con el monitor de referencia del sitio y registra la medida de protección activada.</w:t>
            </w:r>
          </w:p>
        </w:tc>
      </w:tr>
      <w:tr>
        <w:trPr>
          <w:cantSplit/>
        </w:trPr>
        <w:tc>
          <w:tcPr/>
          <w:p>
            <w:pPr>
              <w:pStyle w:val="Tabla9"/>
              <w:jc w:val="left"/>
            </w:pPr>
            <w:r>
              <w:t xml:space="preserve">EVIDENCIA_JH_A</w:t>
            </w:r>
          </w:p>
        </w:tc>
        <w:tc>
          <w:tcPr/>
          <w:p>
            <w:pPr>
              <w:pStyle w:val="Tabla9"/>
              <w:jc w:val="left"/>
            </w:pPr>
            <w:r>
              <w:t xml:space="preserve">Meta de 60 personas certificadas y 29 actividades de apropiación con actas firmadas por representantes comunitarios.</w:t>
            </w:r>
          </w:p>
        </w:tc>
      </w:tr>
      <w:tr>
        <w:trPr>
          <w:cantSplit/>
        </w:trPr>
        <w:tc>
          <w:tcPr/>
          <w:p>
            <w:pPr>
              <w:pStyle w:val="Tabla9"/>
              <w:jc w:val="left"/>
            </w:pPr>
            <w:r>
              <w:t xml:space="preserve">EVIDENCIA_JH_B</w:t>
            </w:r>
          </w:p>
        </w:tc>
        <w:tc>
          <w:tcPr/>
          <w:p>
            <w:pPr>
              <w:pStyle w:val="Tabla9"/>
              <w:jc w:val="left"/>
            </w:pPr>
            <w:r>
              <w:t xml:space="preserve">Fórmulas, unidades y líneas base de las 15 fichas del capítulo 12; validación cruzada entre meta, recurso y cronograma.</w:t>
            </w:r>
          </w:p>
        </w:tc>
      </w:tr>
      <w:tr>
        <w:trPr>
          <w:cantSplit/>
        </w:trPr>
        <w:tc>
          <w:tcPr/>
          <w:p>
            <w:pPr>
              <w:pStyle w:val="Tabla9"/>
              <w:jc w:val="left"/>
            </w:pPr>
            <w:r>
              <w:t xml:space="preserve">CERCA_CONCEPTUAL</w:t>
            </w:r>
          </w:p>
        </w:tc>
        <w:tc>
          <w:tcPr/>
          <w:p>
            <w:pPr>
              <w:pStyle w:val="Tabla9"/>
              <w:jc w:val="left"/>
            </w:pPr>
            <w:r>
              <w:t xml:space="preserve">El sistema no mide la salud de la población expuesta; mide mediciones verificadas, uso institucional y continuidad de la red.</w:t>
            </w:r>
          </w:p>
        </w:tc>
      </w:tr>
      <w:tr>
        <w:trPr>
          <w:cantSplit/>
        </w:trPr>
        <w:tc>
          <w:tcPr/>
          <w:p>
            <w:pPr>
              <w:pStyle w:val="Tabla9"/>
              <w:jc w:val="left"/>
            </w:pPr>
            <w:r>
              <w:t xml:space="preserve">ESTATUTO_CAUSAL</w:t>
            </w:r>
          </w:p>
        </w:tc>
        <w:tc>
          <w:tcPr/>
          <w:p>
            <w:pPr>
              <w:pStyle w:val="Tabla9"/>
              <w:jc w:val="left"/>
            </w:pPr>
            <w:r>
              <w:t xml:space="preserve">HIE. Ninguna relación entre niveles se estima como efecto causal.</w:t>
            </w:r>
          </w:p>
        </w:tc>
      </w:tr>
      <w:tr>
        <w:trPr>
          <w:cantSplit/>
        </w:trPr>
        <w:tc>
          <w:tcPr/>
          <w:p>
            <w:pPr>
              <w:pStyle w:val="Tabla9"/>
              <w:jc w:val="left"/>
            </w:pPr>
            <w:r>
              <w:t xml:space="preserve">VEREDICTO</w:t>
            </w:r>
          </w:p>
        </w:tc>
        <w:tc>
          <w:tcPr/>
          <w:p>
            <w:pPr>
              <w:pStyle w:val="Tabla9"/>
              <w:jc w:val="left"/>
            </w:pPr>
            <w:r>
              <w:t xml:space="preserve">Taxonomía adoptada con reserva sobre el nivel S.</w:t>
            </w:r>
          </w:p>
        </w:tc>
      </w:tr>
      <w:tr>
        <w:trPr>
          <w:cantSplit/>
        </w:trPr>
        <w:tc>
          <w:tcPr/>
          <w:p>
            <w:pPr>
              <w:pStyle w:val="Tabla9"/>
              <w:jc w:val="left"/>
            </w:pPr>
            <w:r>
              <w:t xml:space="preserve">RAZON_DEL_DESCARTE</w:t>
            </w:r>
          </w:p>
        </w:tc>
        <w:tc>
          <w:tcPr/>
          <w:p>
            <w:pPr>
              <w:pStyle w:val="Tabla9"/>
              <w:jc w:val="left"/>
            </w:pPr>
            <w:r>
              <w:t xml:space="preserve">Se descarta clasificar S01 y S02 como impacto en salud, porque no existe un diseño que lo identifique.</w:t>
            </w:r>
          </w:p>
        </w:tc>
      </w:tr>
      <w:tr>
        <w:trPr>
          <w:cantSplit/>
        </w:trPr>
        <w:tc>
          <w:tcPr/>
          <w:p>
            <w:pPr>
              <w:pStyle w:val="Tabla9"/>
              <w:jc w:val="left"/>
            </w:pPr>
            <w:r>
              <w:t xml:space="preserve">RESULTADO</w:t>
            </w:r>
          </w:p>
        </w:tc>
        <w:tc>
          <w:tcPr/>
          <w:p>
            <w:pPr>
              <w:pStyle w:val="Tabla9"/>
              <w:jc w:val="left"/>
            </w:pPr>
            <w:r>
              <w:t xml:space="preserve">CIERRA con vacíos declarados (línea base de cinco indicadores y capacidad de custodia).</w:t>
            </w:r>
          </w:p>
        </w:tc>
      </w:tr>
    </w:tbl>
    <w:p>
      <w:pPr>
        <w:pStyle w:val="TablaNota"/>
      </w:pPr>
      <w:r>
        <w:rPr>
          <w:i/>
          <w:iCs/>
        </w:rPr>
        <w:t xml:space="preserve">Nota.</w:t>
      </w:r>
      <w:r>
        <w:t xml:space="preserve"> </w:t>
      </w:r>
      <w:r>
        <w:t xml:space="preserve">Elaboración propia con el protocolo de decisión GENESIS y la ficha maestra. EPA (2021): U.S. Environmental Protection Agency. Los nodos blancos tienen anclaje en la ficha maestra; los nodos grises son reglas de sentido común anticipadas.</w:t>
      </w:r>
    </w:p>
    <w:bookmarkEnd w:id="250"/>
    <w:bookmarkStart w:id="253" w:name="X01a71f2a89ebe8366427602e0e8f77deca2c571"/>
    <w:p>
      <w:pPr>
        <w:pStyle w:val="Heading2"/>
      </w:pPr>
      <w:r>
        <w:t xml:space="preserve">F7.1 Estructura jerárquica PERS articulada con el SGR</w:t>
      </w:r>
    </w:p>
    <w:p>
      <w:pPr>
        <w:pStyle w:val="FirstParagraph"/>
      </w:pPr>
      <w:r>
        <w:t xml:space="preserve">La estructura jerárquica relaciona cada nivel PERS con el marco lógico, la taxonomía y la cadena de valor. Los indicadores de proceso corresponden a las actividades y miden insumos y actividades. Los de producto corresponden a los componentes. Los de efecto corresponden al propósito. Los de sostenibilidad corresponden al fin. La Tabla F7.4 presenta la estructura con el horizonte, la cantidad y el criterio de viabilidad del Sistema General de Regalías (SGR). Sigue la lógica de los modelos de programa (Weiss, 1995).</w:t>
      </w:r>
    </w:p>
    <w:p>
      <w:pPr>
        <w:pStyle w:val="TablaRotulo"/>
      </w:pPr>
      <w:bookmarkStart w:id="9221" w:name="rot_Tabla_F7_4"/>
      <w:r>
        <w:rPr>
          <w:b/>
          <w:bCs/>
        </w:rPr>
        <w:t xml:space="preserve">Tabla F7.4</w:t>
      </w:r>
      <w:bookmarkEnd w:id="9221"/>
    </w:p>
    <w:p>
      <w:pPr>
        <w:pStyle w:val="TablaTitulo"/>
      </w:pPr>
      <w:r>
        <w:rPr>
          <w:i/>
          <w:iCs/>
        </w:rPr>
        <w:t xml:space="preserve">Estructura jerárquica PERS con marco lógico, taxonomía, cadena de valor y viabilidad SGR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09"/>
        <w:gridCol w:w="1047"/>
        <w:gridCol w:w="1309"/>
        <w:gridCol w:w="1047"/>
        <w:gridCol w:w="981"/>
        <w:gridCol w:w="850"/>
        <w:gridCol w:w="1374"/>
      </w:tblGrid>
      <w:tr>
        <w:trPr>
          <w:cantSplit/>
          <w:tblHeader/>
        </w:trPr>
        <w:tc>
          <w:tcPr>
            <w:shd w:val="clear" w:color="auto" w:fill="00B050"/>
          </w:tcPr>
          <w:p>
            <w:pPr>
              <w:pStyle w:val="Tabla8"/>
              <w:jc w:val="center"/>
            </w:pPr>
            <w:r>
              <w:rPr>
                <w:b/>
                <w:color w:val="FFFFFF"/>
              </w:rPr>
              <w:t xml:space="preserve">Nivel PERS</w:t>
            </w:r>
          </w:p>
        </w:tc>
        <w:tc>
          <w:tcPr>
            <w:shd w:val="clear" w:color="auto" w:fill="00B050"/>
          </w:tcPr>
          <w:p>
            <w:pPr>
              <w:pStyle w:val="Tabla8"/>
              <w:jc w:val="center"/>
            </w:pPr>
            <w:r>
              <w:rPr>
                <w:b/>
                <w:color w:val="FFFFFF"/>
              </w:rPr>
              <w:t xml:space="preserve">Marco lógico</w:t>
            </w:r>
          </w:p>
        </w:tc>
        <w:tc>
          <w:tcPr>
            <w:shd w:val="clear" w:color="auto" w:fill="00B050"/>
          </w:tcPr>
          <w:p>
            <w:pPr>
              <w:pStyle w:val="Tabla8"/>
              <w:jc w:val="center"/>
            </w:pPr>
            <w:r>
              <w:rPr>
                <w:b/>
                <w:color w:val="FFFFFF"/>
              </w:rPr>
              <w:t xml:space="preserve">Taxonomía</w:t>
            </w:r>
          </w:p>
        </w:tc>
        <w:tc>
          <w:tcPr>
            <w:shd w:val="clear" w:color="auto" w:fill="00B050"/>
          </w:tcPr>
          <w:p>
            <w:pPr>
              <w:pStyle w:val="Tabla8"/>
              <w:jc w:val="center"/>
            </w:pPr>
            <w:r>
              <w:rPr>
                <w:b/>
                <w:color w:val="FFFFFF"/>
              </w:rPr>
              <w:t xml:space="preserve">Cadena de valor</w:t>
            </w:r>
          </w:p>
        </w:tc>
        <w:tc>
          <w:tcPr>
            <w:shd w:val="clear" w:color="auto" w:fill="00B050"/>
          </w:tcPr>
          <w:p>
            <w:pPr>
              <w:pStyle w:val="Tabla8"/>
              <w:jc w:val="center"/>
            </w:pPr>
            <w:r>
              <w:rPr>
                <w:b/>
                <w:color w:val="FFFFFF"/>
              </w:rPr>
              <w:t xml:space="preserve">Horizonte</w:t>
            </w:r>
          </w:p>
        </w:tc>
        <w:tc>
          <w:tcPr>
            <w:shd w:val="clear" w:color="auto" w:fill="00B050"/>
          </w:tcPr>
          <w:p>
            <w:pPr>
              <w:pStyle w:val="Tabla8"/>
              <w:jc w:val="center"/>
            </w:pPr>
            <w:r>
              <w:rPr>
                <w:b/>
                <w:color w:val="FFFFFF"/>
              </w:rPr>
              <w:t xml:space="preserve">Cantidad</w:t>
            </w:r>
          </w:p>
        </w:tc>
        <w:tc>
          <w:tcPr>
            <w:shd w:val="clear" w:color="auto" w:fill="00B050"/>
          </w:tcPr>
          <w:p>
            <w:pPr>
              <w:pStyle w:val="Tabla8"/>
              <w:jc w:val="center"/>
            </w:pPr>
            <w:r>
              <w:rPr>
                <w:b/>
                <w:color w:val="FFFFFF"/>
              </w:rPr>
              <w:t xml:space="preserve">Viabilidad SGR</w:t>
            </w:r>
          </w:p>
        </w:tc>
      </w:tr>
      <w:tr>
        <w:trPr>
          <w:cantSplit/>
        </w:trPr>
        <w:tc>
          <w:tcPr/>
          <w:p>
            <w:pPr>
              <w:pStyle w:val="Tabla8"/>
              <w:jc w:val="left"/>
            </w:pPr>
            <w:r>
              <w:t xml:space="preserve">R: proceso</w:t>
            </w:r>
          </w:p>
        </w:tc>
        <w:tc>
          <w:tcPr/>
          <w:p>
            <w:pPr>
              <w:pStyle w:val="Tabla8"/>
              <w:jc w:val="left"/>
            </w:pPr>
            <w:r>
              <w:t xml:space="preserve">Actividades</w:t>
            </w:r>
          </w:p>
        </w:tc>
        <w:tc>
          <w:tcPr/>
          <w:p>
            <w:pPr>
              <w:pStyle w:val="Tabla8"/>
              <w:jc w:val="left"/>
            </w:pPr>
            <w:r>
              <w:t xml:space="preserve">Output (productos de gestión)</w:t>
            </w:r>
          </w:p>
        </w:tc>
        <w:tc>
          <w:tcPr/>
          <w:p>
            <w:pPr>
              <w:pStyle w:val="Tabla8"/>
              <w:jc w:val="left"/>
            </w:pPr>
            <w:r>
              <w:t xml:space="preserve">Insumos a actividades</w:t>
            </w:r>
          </w:p>
        </w:tc>
        <w:tc>
          <w:tcPr/>
          <w:p>
            <w:pPr>
              <w:pStyle w:val="Tabla8"/>
              <w:jc w:val="left"/>
            </w:pPr>
            <w:r>
              <w:t xml:space="preserve">Corto plazo; medición mensual</w:t>
            </w:r>
          </w:p>
        </w:tc>
        <w:tc>
          <w:tcPr/>
          <w:p>
            <w:pPr>
              <w:pStyle w:val="Tabla8"/>
              <w:jc w:val="left"/>
            </w:pPr>
            <w:r>
              <w:t xml:space="preserve">6</w:t>
            </w:r>
          </w:p>
        </w:tc>
        <w:tc>
          <w:tcPr/>
          <w:p>
            <w:pPr>
              <w:pStyle w:val="Tabla8"/>
              <w:jc w:val="left"/>
            </w:pPr>
            <w:r>
              <w:t xml:space="preserve">Verifica la ejecución presupuestal y las actividades programadas</w:t>
            </w:r>
          </w:p>
        </w:tc>
      </w:tr>
      <w:tr>
        <w:trPr>
          <w:cantSplit/>
        </w:trPr>
        <w:tc>
          <w:tcPr/>
          <w:p>
            <w:pPr>
              <w:pStyle w:val="Tabla8"/>
              <w:jc w:val="left"/>
            </w:pPr>
            <w:r>
              <w:t xml:space="preserve">P: producto</w:t>
            </w:r>
          </w:p>
        </w:tc>
        <w:tc>
          <w:tcPr/>
          <w:p>
            <w:pPr>
              <w:pStyle w:val="Tabla8"/>
              <w:jc w:val="left"/>
            </w:pPr>
            <w:r>
              <w:t xml:space="preserve">Componentes</w:t>
            </w:r>
          </w:p>
        </w:tc>
        <w:tc>
          <w:tcPr/>
          <w:p>
            <w:pPr>
              <w:pStyle w:val="Tabla8"/>
              <w:jc w:val="left"/>
            </w:pPr>
            <w:r>
              <w:t xml:space="preserve">Output (productos tipificados MMG 2021)</w:t>
            </w:r>
          </w:p>
        </w:tc>
        <w:tc>
          <w:tcPr/>
          <w:p>
            <w:pPr>
              <w:pStyle w:val="Tabla8"/>
              <w:jc w:val="left"/>
            </w:pPr>
            <w:r>
              <w:t xml:space="preserve">Actividades a productos</w:t>
            </w:r>
          </w:p>
        </w:tc>
        <w:tc>
          <w:tcPr/>
          <w:p>
            <w:pPr>
              <w:pStyle w:val="Tabla8"/>
              <w:jc w:val="left"/>
            </w:pPr>
            <w:r>
              <w:t xml:space="preserve">Mediano plazo; medición trimestral</w:t>
            </w:r>
          </w:p>
        </w:tc>
        <w:tc>
          <w:tcPr/>
          <w:p>
            <w:pPr>
              <w:pStyle w:val="Tabla8"/>
              <w:jc w:val="left"/>
            </w:pPr>
            <w:r>
              <w:t xml:space="preserve">4</w:t>
            </w:r>
          </w:p>
        </w:tc>
        <w:tc>
          <w:tcPr/>
          <w:p>
            <w:pPr>
              <w:pStyle w:val="Tabla8"/>
              <w:jc w:val="left"/>
            </w:pPr>
            <w:r>
              <w:t xml:space="preserve">Productos verificables en CvLAC o GrupLAC, registros de propiedad intelectual y certificaciones</w:t>
            </w:r>
          </w:p>
        </w:tc>
      </w:tr>
      <w:tr>
        <w:trPr>
          <w:cantSplit/>
        </w:trPr>
        <w:tc>
          <w:tcPr/>
          <w:p>
            <w:pPr>
              <w:pStyle w:val="Tabla8"/>
              <w:jc w:val="left"/>
            </w:pPr>
            <w:r>
              <w:t xml:space="preserve">E: efecto</w:t>
            </w:r>
          </w:p>
        </w:tc>
        <w:tc>
          <w:tcPr/>
          <w:p>
            <w:pPr>
              <w:pStyle w:val="Tabla8"/>
              <w:jc w:val="left"/>
            </w:pPr>
            <w:r>
              <w:t xml:space="preserve">Propósito</w:t>
            </w:r>
          </w:p>
        </w:tc>
        <w:tc>
          <w:tcPr/>
          <w:p>
            <w:pPr>
              <w:pStyle w:val="Tabla8"/>
              <w:jc w:val="left"/>
            </w:pPr>
            <w:r>
              <w:t xml:space="preserve">Outcome (resultados inmediatos)</w:t>
            </w:r>
          </w:p>
        </w:tc>
        <w:tc>
          <w:tcPr/>
          <w:p>
            <w:pPr>
              <w:pStyle w:val="Tabla8"/>
              <w:jc w:val="left"/>
            </w:pPr>
            <w:r>
              <w:t xml:space="preserve">Productos a efectos</w:t>
            </w:r>
          </w:p>
        </w:tc>
        <w:tc>
          <w:tcPr/>
          <w:p>
            <w:pPr>
              <w:pStyle w:val="Tabla8"/>
              <w:jc w:val="left"/>
            </w:pPr>
            <w:r>
              <w:t xml:space="preserve">Mediano plazo; medición trimestral o semestral</w:t>
            </w:r>
          </w:p>
        </w:tc>
        <w:tc>
          <w:tcPr/>
          <w:p>
            <w:pPr>
              <w:pStyle w:val="Tabla8"/>
              <w:jc w:val="left"/>
            </w:pPr>
            <w:r>
              <w:t xml:space="preserve">3</w:t>
            </w:r>
          </w:p>
        </w:tc>
        <w:tc>
          <w:tcPr/>
          <w:p>
            <w:pPr>
              <w:pStyle w:val="Tabla8"/>
              <w:jc w:val="left"/>
            </w:pPr>
            <w:r>
              <w:t xml:space="preserve">Evidencia de adopción, uso y cambio de comportamiento en los destinatarios</w:t>
            </w:r>
          </w:p>
        </w:tc>
      </w:tr>
      <w:tr>
        <w:trPr>
          <w:cantSplit/>
        </w:trPr>
        <w:tc>
          <w:tcPr/>
          <w:p>
            <w:pPr>
              <w:pStyle w:val="Tabla8"/>
              <w:jc w:val="left"/>
            </w:pPr>
            <w:r>
              <w:t xml:space="preserve">S: sostenibilidad</w:t>
            </w:r>
          </w:p>
        </w:tc>
        <w:tc>
          <w:tcPr/>
          <w:p>
            <w:pPr>
              <w:pStyle w:val="Tabla8"/>
              <w:jc w:val="left"/>
            </w:pPr>
            <w:r>
              <w:t xml:space="preserve">Fin</w:t>
            </w:r>
          </w:p>
        </w:tc>
        <w:tc>
          <w:tcPr/>
          <w:p>
            <w:pPr>
              <w:pStyle w:val="Tabla8"/>
              <w:jc w:val="left"/>
            </w:pPr>
            <w:r>
              <w:t xml:space="preserve">Impact (impacto institucional)</w:t>
            </w:r>
          </w:p>
        </w:tc>
        <w:tc>
          <w:tcPr/>
          <w:p>
            <w:pPr>
              <w:pStyle w:val="Tabla8"/>
              <w:jc w:val="left"/>
            </w:pPr>
            <w:r>
              <w:t xml:space="preserve">Efectos a impactos</w:t>
            </w:r>
          </w:p>
        </w:tc>
        <w:tc>
          <w:tcPr/>
          <w:p>
            <w:pPr>
              <w:pStyle w:val="Tabla8"/>
              <w:jc w:val="left"/>
            </w:pPr>
            <w:r>
              <w:t xml:space="preserve">Largo plazo; medición anual tras el cierre</w:t>
            </w:r>
          </w:p>
        </w:tc>
        <w:tc>
          <w:tcPr/>
          <w:p>
            <w:pPr>
              <w:pStyle w:val="Tabla8"/>
              <w:jc w:val="left"/>
            </w:pPr>
            <w:r>
              <w:t xml:space="preserve">2</w:t>
            </w:r>
          </w:p>
        </w:tc>
        <w:tc>
          <w:tcPr/>
          <w:p>
            <w:pPr>
              <w:pStyle w:val="Tabla8"/>
              <w:jc w:val="left"/>
            </w:pPr>
            <w:r>
              <w:t xml:space="preserve">Cambio sostenido articulado con el PDD y con los indicadores territoriales</w:t>
            </w:r>
          </w:p>
        </w:tc>
      </w:tr>
      <w:tr>
        <w:trPr>
          <w:cantSplit/>
        </w:trPr>
        <w:tc>
          <w:tcPr/>
          <w:p>
            <w:pPr>
              <w:pStyle w:val="Tabla8"/>
              <w:jc w:val="left"/>
            </w:pPr>
            <w:r>
              <w:t xml:space="preserve">Total</w:t>
            </w:r>
          </w:p>
        </w:tc>
        <w:tc>
          <w:tcPr/>
          <w:p>
            <w:pPr>
              <w:pStyle w:val="Tabla8"/>
            </w:pPr>
          </w:p>
        </w:tc>
        <w:tc>
          <w:tcPr/>
          <w:p>
            <w:pPr>
              <w:pStyle w:val="Tabla8"/>
            </w:pPr>
          </w:p>
        </w:tc>
        <w:tc>
          <w:tcPr/>
          <w:p>
            <w:pPr>
              <w:pStyle w:val="Tabla8"/>
            </w:pPr>
          </w:p>
        </w:tc>
        <w:tc>
          <w:tcPr/>
          <w:p>
            <w:pPr>
              <w:pStyle w:val="Tabla8"/>
            </w:pPr>
          </w:p>
        </w:tc>
        <w:tc>
          <w:tcPr/>
          <w:p>
            <w:pPr>
              <w:pStyle w:val="Tabla8"/>
              <w:jc w:val="left"/>
            </w:pPr>
            <w:r>
              <w:t xml:space="preserve">15</w:t>
            </w:r>
          </w:p>
        </w:tc>
        <w:tc>
          <w:tcPr/>
          <w:p>
            <w:pPr>
              <w:pStyle w:val="Tabla8"/>
            </w:pPr>
          </w:p>
        </w:tc>
      </w:tr>
    </w:tbl>
    <w:p>
      <w:pPr>
        <w:pStyle w:val="TablaNota"/>
      </w:pPr>
      <w:r>
        <w:rPr>
          <w:i/>
          <w:iCs/>
        </w:rPr>
        <w:t xml:space="preserve">Nota.</w:t>
      </w:r>
      <w:r>
        <w:t xml:space="preserve"> </w:t>
      </w:r>
      <w:r>
        <w:t xml:space="preserve">Elaboración propia con la estructura del metaprompt y la ficha maestra §8. MMG: Modelo de Medición de Grupos. PDD: Plan de Desarrollo Departamental. Las cantidades son CALCULADAS desde indicadores.py. La viabilidad SGR describe el criterio de verificación y es PROPUESTO.</w:t>
      </w:r>
    </w:p>
    <w:bookmarkStart w:id="251" w:name="Xcf9f2e889254c2bf486c2b5460d2f1436248d8d"/>
    <w:p>
      <w:pPr>
        <w:pStyle w:val="Heading3"/>
      </w:pPr>
      <w:r>
        <w:t xml:space="preserve">F7.1.1 Articulación con los criterios de viabilidad del SGR</w:t>
      </w:r>
    </w:p>
    <w:p>
      <w:pPr>
        <w:pStyle w:val="FirstParagraph"/>
      </w:pPr>
      <w:r>
        <w:t xml:space="preserve">La articulación vincula cada indicador con el criterio de evaluación que sustenta. Los pesos provienen del metaprompt y se tratan como supuesto, porque los TdR no se aportaron. La Ley 2056 de 2020 regula la organización y el funcionamiento del SGR (Congreso de la República, 2020). La política nacional de ciencia, tecnología e innovación orienta el fortalecimiento regional (Departamento Nacional de Planeación [DNP], 2021). La Tabla F7.5 muestra la correspondencia, la evidencia que cada criterio exige y el rango de peso.</w:t>
      </w:r>
    </w:p>
    <w:p>
      <w:pPr>
        <w:pStyle w:val="TablaRotulo"/>
      </w:pPr>
      <w:bookmarkStart w:id="9222" w:name="rot_Tabla_F7_5"/>
      <w:r>
        <w:rPr>
          <w:b/>
          <w:bCs/>
        </w:rPr>
        <w:t xml:space="preserve">Tabla F7.5</w:t>
      </w:r>
      <w:bookmarkEnd w:id="9222"/>
    </w:p>
    <w:p>
      <w:pPr>
        <w:pStyle w:val="TablaTitulo"/>
      </w:pPr>
      <w:r>
        <w:rPr>
          <w:i/>
          <w:iCs/>
        </w:rPr>
        <w:t xml:space="preserve">Articulación de los indicadores PERS con los criterios de viabilidad del SGR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1650"/>
        <w:gridCol w:w="2640"/>
        <w:gridCol w:w="1584"/>
      </w:tblGrid>
      <w:tr>
        <w:trPr>
          <w:cantSplit/>
          <w:tblHeader/>
        </w:trPr>
        <w:tc>
          <w:tcPr>
            <w:shd w:val="clear" w:color="auto" w:fill="00B050"/>
          </w:tcPr>
          <w:p>
            <w:pPr>
              <w:pStyle w:val="Tabla9"/>
              <w:jc w:val="center"/>
            </w:pPr>
            <w:r>
              <w:rPr>
                <w:b/>
                <w:color w:val="FFFFFF"/>
              </w:rPr>
              <w:t xml:space="preserve">Criterio SGR</w:t>
            </w:r>
          </w:p>
        </w:tc>
        <w:tc>
          <w:tcPr>
            <w:shd w:val="clear" w:color="auto" w:fill="00B050"/>
          </w:tcPr>
          <w:p>
            <w:pPr>
              <w:pStyle w:val="Tabla9"/>
              <w:jc w:val="center"/>
            </w:pPr>
            <w:r>
              <w:rPr>
                <w:b/>
                <w:color w:val="FFFFFF"/>
              </w:rPr>
              <w:t xml:space="preserve">Indicadores PERS vinculados</w:t>
            </w:r>
          </w:p>
        </w:tc>
        <w:tc>
          <w:tcPr>
            <w:shd w:val="clear" w:color="auto" w:fill="00B050"/>
          </w:tcPr>
          <w:p>
            <w:pPr>
              <w:pStyle w:val="Tabla9"/>
              <w:jc w:val="center"/>
            </w:pPr>
            <w:r>
              <w:rPr>
                <w:b/>
                <w:color w:val="FFFFFF"/>
              </w:rPr>
              <w:t xml:space="preserve">Evidencia requerida</w:t>
            </w:r>
          </w:p>
        </w:tc>
        <w:tc>
          <w:tcPr>
            <w:shd w:val="clear" w:color="auto" w:fill="00B050"/>
          </w:tcPr>
          <w:p>
            <w:pPr>
              <w:pStyle w:val="Tabla9"/>
              <w:jc w:val="center"/>
            </w:pPr>
            <w:r>
              <w:rPr>
                <w:b/>
                <w:color w:val="FFFFFF"/>
              </w:rPr>
              <w:t xml:space="preserve">Peso en la evaluación (metaprompt)</w:t>
            </w:r>
          </w:p>
        </w:tc>
      </w:tr>
      <w:tr>
        <w:trPr>
          <w:cantSplit/>
        </w:trPr>
        <w:tc>
          <w:tcPr/>
          <w:p>
            <w:pPr>
              <w:pStyle w:val="Tabla9"/>
              <w:jc w:val="left"/>
            </w:pPr>
            <w:r>
              <w:t xml:space="preserve">Pertinencia y articulación territorial</w:t>
            </w:r>
          </w:p>
        </w:tc>
        <w:tc>
          <w:tcPr/>
          <w:p>
            <w:pPr>
              <w:pStyle w:val="Tabla9"/>
              <w:jc w:val="left"/>
            </w:pPr>
            <w:r>
              <w:t xml:space="preserve">PERS-S01 y PERS-S02</w:t>
            </w:r>
          </w:p>
        </w:tc>
        <w:tc>
          <w:tcPr/>
          <w:p>
            <w:pPr>
              <w:pStyle w:val="Tabla9"/>
              <w:jc w:val="left"/>
            </w:pPr>
            <w:r>
              <w:t xml:space="preserve">Artículo del PDD y código de la demanda territorial del Anexo 4 [DATO_USUARIO: documentos del PDD y del Anexo 4]</w:t>
            </w:r>
          </w:p>
        </w:tc>
        <w:tc>
          <w:tcPr/>
          <w:p>
            <w:pPr>
              <w:pStyle w:val="Tabla9"/>
              <w:jc w:val="left"/>
            </w:pPr>
            <w:r>
              <w:t xml:space="preserve">20 a 25 %</w:t>
            </w:r>
          </w:p>
        </w:tc>
      </w:tr>
      <w:tr>
        <w:trPr>
          <w:cantSplit/>
        </w:trPr>
        <w:tc>
          <w:tcPr/>
          <w:p>
            <w:pPr>
              <w:pStyle w:val="Tabla9"/>
              <w:jc w:val="left"/>
            </w:pPr>
            <w:r>
              <w:t xml:space="preserve">Fortalecimiento regional de CTeI</w:t>
            </w:r>
          </w:p>
        </w:tc>
        <w:tc>
          <w:tcPr/>
          <w:p>
            <w:pPr>
              <w:pStyle w:val="Tabla9"/>
              <w:jc w:val="left"/>
            </w:pPr>
            <w:r>
              <w:t xml:space="preserve">PERS-P01 a PERS-P04</w:t>
            </w:r>
          </w:p>
        </w:tc>
        <w:tc>
          <w:tcPr/>
          <w:p>
            <w:pPr>
              <w:pStyle w:val="Tabla9"/>
              <w:jc w:val="left"/>
            </w:pPr>
            <w:r>
              <w:t xml:space="preserve">Productos tipificados MMG 2021 y nivel alcanzado en la escalera de apropiación</w:t>
            </w:r>
          </w:p>
        </w:tc>
        <w:tc>
          <w:tcPr/>
          <w:p>
            <w:pPr>
              <w:pStyle w:val="Tabla9"/>
              <w:jc w:val="left"/>
            </w:pPr>
            <w:r>
              <w:t xml:space="preserve">25 a 27 %</w:t>
            </w:r>
          </w:p>
        </w:tc>
      </w:tr>
      <w:tr>
        <w:trPr>
          <w:cantSplit/>
        </w:trPr>
        <w:tc>
          <w:tcPr/>
          <w:p>
            <w:pPr>
              <w:pStyle w:val="Tabla9"/>
              <w:jc w:val="left"/>
            </w:pPr>
            <w:r>
              <w:t xml:space="preserve">Calidad técnica</w:t>
            </w:r>
          </w:p>
        </w:tc>
        <w:tc>
          <w:tcPr/>
          <w:p>
            <w:pPr>
              <w:pStyle w:val="Tabla9"/>
              <w:jc w:val="left"/>
            </w:pPr>
            <w:r>
              <w:t xml:space="preserve">PERS-R01 a PERS-R06</w:t>
            </w:r>
          </w:p>
        </w:tc>
        <w:tc>
          <w:tcPr/>
          <w:p>
            <w:pPr>
              <w:pStyle w:val="Tabla9"/>
              <w:jc w:val="left"/>
            </w:pPr>
            <w:r>
              <w:t xml:space="preserve">Metodología validada e indicadores con línea base</w:t>
            </w:r>
          </w:p>
        </w:tc>
        <w:tc>
          <w:tcPr/>
          <w:p>
            <w:pPr>
              <w:pStyle w:val="Tabla9"/>
              <w:jc w:val="left"/>
            </w:pPr>
            <w:r>
              <w:t xml:space="preserve">20 a 25 %</w:t>
            </w:r>
          </w:p>
        </w:tc>
      </w:tr>
      <w:tr>
        <w:trPr>
          <w:cantSplit/>
        </w:trPr>
        <w:tc>
          <w:tcPr/>
          <w:p>
            <w:pPr>
              <w:pStyle w:val="Tabla9"/>
              <w:jc w:val="left"/>
            </w:pPr>
            <w:r>
              <w:t xml:space="preserve">Impacto esperado</w:t>
            </w:r>
          </w:p>
        </w:tc>
        <w:tc>
          <w:tcPr/>
          <w:p>
            <w:pPr>
              <w:pStyle w:val="Tabla9"/>
              <w:jc w:val="left"/>
            </w:pPr>
            <w:r>
              <w:t xml:space="preserve">PERS-E01 a PERS-E03, PERS-S01 y PERS-S02</w:t>
            </w:r>
          </w:p>
        </w:tc>
        <w:tc>
          <w:tcPr/>
          <w:p>
            <w:pPr>
              <w:pStyle w:val="Tabla9"/>
              <w:jc w:val="left"/>
            </w:pPr>
            <w:r>
              <w:t xml:space="preserve">Cadena de producto, resultado e impacto verificable con indicadores específicos</w:t>
            </w:r>
          </w:p>
        </w:tc>
        <w:tc>
          <w:tcPr/>
          <w:p>
            <w:pPr>
              <w:pStyle w:val="Tabla9"/>
              <w:jc w:val="left"/>
            </w:pPr>
            <w:r>
              <w:t xml:space="preserve">15 a 20 %</w:t>
            </w:r>
          </w:p>
        </w:tc>
      </w:tr>
      <w:tr>
        <w:trPr>
          <w:cantSplit/>
        </w:trPr>
        <w:tc>
          <w:tcPr/>
          <w:p>
            <w:pPr>
              <w:pStyle w:val="Tabla9"/>
              <w:jc w:val="left"/>
            </w:pPr>
            <w:r>
              <w:t xml:space="preserve">Viabilidad presupuestal</w:t>
            </w:r>
          </w:p>
        </w:tc>
        <w:tc>
          <w:tcPr/>
          <w:p>
            <w:pPr>
              <w:pStyle w:val="Tabla9"/>
              <w:jc w:val="left"/>
            </w:pPr>
            <w:r>
              <w:t xml:space="preserve">PERS-R04 y la validación cruzada de los PERS-P</w:t>
            </w:r>
          </w:p>
        </w:tc>
        <w:tc>
          <w:tcPr/>
          <w:p>
            <w:pPr>
              <w:pStyle w:val="Tabla9"/>
              <w:jc w:val="left"/>
            </w:pPr>
            <w:r>
              <w:t xml:space="preserve">Cada meta de producto validada contra un rubro del presupuesto y un plazo del cronograma</w:t>
            </w:r>
          </w:p>
        </w:tc>
        <w:tc>
          <w:tcPr/>
          <w:p>
            <w:pPr>
              <w:pStyle w:val="Tabla9"/>
              <w:jc w:val="left"/>
            </w:pPr>
            <w:r>
              <w:t xml:space="preserve">10 a 15 %</w:t>
            </w:r>
          </w:p>
        </w:tc>
      </w:tr>
    </w:tbl>
    <w:p>
      <w:pPr>
        <w:pStyle w:val="TablaNota"/>
      </w:pPr>
      <w:r>
        <w:rPr>
          <w:i/>
          <w:iCs/>
        </w:rPr>
        <w:t xml:space="preserve">Nota.</w:t>
      </w:r>
      <w:r>
        <w:t xml:space="preserve"> </w:t>
      </w:r>
      <w:r>
        <w:t xml:space="preserve">Elaboración propia con los criterios y los rangos del metaprompt GENESIS-CTeI, que son SUPUESTO y NO_VERIFICADO porque los TdR no se aportaron. CTeI: ciencia, tecnología e innovación. Los vínculos entre indicadores y criterios son PROPUESTO.</w:t>
      </w:r>
    </w:p>
    <w:bookmarkEnd w:id="251"/>
    <w:bookmarkStart w:id="252" w:name="X76ffdfeffd4afdc196b578e7121a7302b9474f7"/>
    <w:p>
      <w:pPr>
        <w:pStyle w:val="Heading3"/>
      </w:pPr>
      <w:r>
        <w:t xml:space="preserve">F7.1.2 Validación meta-recurso-cronograma</w:t>
      </w:r>
    </w:p>
    <w:p>
      <w:pPr>
        <w:pStyle w:val="FirstParagraph"/>
      </w:pPr>
      <w:r>
        <w:t xml:space="preserve">La validación cruzada comprueba que cada meta de producto tenga un rubro del presupuesto y una actividad del cronograma coherentes (PMI, 2021). El sistema detiene la generación si alguna fila resulta incoherente. La Tabla F7.6 aplica el control a los cuatro indicadores de producto con las líneas de presupuesto del capítulo 8 y las actividades del capítulo 9. Los montos no son aditivos, porque una línea puede servir a más de un indicador.</w:t>
      </w:r>
    </w:p>
    <w:p>
      <w:pPr>
        <w:pStyle w:val="TablaRotulo"/>
      </w:pPr>
      <w:bookmarkStart w:id="9223" w:name="rot_Tabla_F7_6"/>
      <w:r>
        <w:rPr>
          <w:b/>
          <w:bCs/>
        </w:rPr>
        <w:t xml:space="preserve">Tabla F7.6</w:t>
      </w:r>
      <w:bookmarkEnd w:id="9223"/>
    </w:p>
    <w:p>
      <w:pPr>
        <w:pStyle w:val="TablaTitulo"/>
      </w:pPr>
      <w:r>
        <w:rPr>
          <w:i/>
          <w:iCs/>
        </w:rPr>
        <w:t xml:space="preserve">Validación meta-recurso-cronograma de los indicadores de producto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31"/>
        <w:gridCol w:w="1131"/>
        <w:gridCol w:w="865"/>
        <w:gridCol w:w="1331"/>
        <w:gridCol w:w="1064"/>
        <w:gridCol w:w="665"/>
        <w:gridCol w:w="1730"/>
      </w:tblGrid>
      <w:tr>
        <w:trPr>
          <w:cantSplit/>
          <w:tblHeader/>
        </w:trPr>
        <w:tc>
          <w:tcPr>
            <w:shd w:val="clear" w:color="auto" w:fill="00B050"/>
          </w:tcPr>
          <w:p>
            <w:pPr>
              <w:pStyle w:val="Tabla8"/>
              <w:jc w:val="center"/>
            </w:pPr>
            <w:r>
              <w:rPr>
                <w:b/>
                <w:color w:val="FFFFFF"/>
              </w:rPr>
              <w:t xml:space="preserve">Indicador</w:t>
            </w:r>
          </w:p>
        </w:tc>
        <w:tc>
          <w:tcPr>
            <w:shd w:val="clear" w:color="auto" w:fill="00B050"/>
          </w:tcPr>
          <w:p>
            <w:pPr>
              <w:pStyle w:val="Tabla8"/>
              <w:jc w:val="center"/>
            </w:pPr>
            <w:r>
              <w:rPr>
                <w:b/>
                <w:color w:val="FFFFFF"/>
              </w:rPr>
              <w:t xml:space="preserve">Meta</w:t>
            </w:r>
          </w:p>
        </w:tc>
        <w:tc>
          <w:tcPr>
            <w:shd w:val="clear" w:color="auto" w:fill="00B050"/>
          </w:tcPr>
          <w:p>
            <w:pPr>
              <w:pStyle w:val="Tabla8"/>
              <w:jc w:val="center"/>
            </w:pPr>
            <w:r>
              <w:rPr>
                <w:b/>
                <w:color w:val="FFFFFF"/>
              </w:rPr>
              <w:t xml:space="preserve">Rubro asociado</w:t>
            </w:r>
          </w:p>
        </w:tc>
        <w:tc>
          <w:tcPr>
            <w:shd w:val="clear" w:color="auto" w:fill="00B050"/>
          </w:tcPr>
          <w:p>
            <w:pPr>
              <w:pStyle w:val="Tabla8"/>
              <w:jc w:val="center"/>
            </w:pPr>
            <w:r>
              <w:rPr>
                <w:b/>
                <w:color w:val="FFFFFF"/>
              </w:rPr>
              <w:t xml:space="preserve">Monto asignado (COP)</w:t>
            </w:r>
          </w:p>
        </w:tc>
        <w:tc>
          <w:tcPr>
            <w:shd w:val="clear" w:color="auto" w:fill="00B050"/>
          </w:tcPr>
          <w:p>
            <w:pPr>
              <w:pStyle w:val="Tabla8"/>
              <w:jc w:val="center"/>
            </w:pPr>
            <w:r>
              <w:rPr>
                <w:b/>
                <w:color w:val="FFFFFF"/>
              </w:rPr>
              <w:t xml:space="preserve">Actividad en el cronograma</w:t>
            </w:r>
          </w:p>
        </w:tc>
        <w:tc>
          <w:tcPr>
            <w:shd w:val="clear" w:color="auto" w:fill="00B050"/>
          </w:tcPr>
          <w:p>
            <w:pPr>
              <w:pStyle w:val="Tabla8"/>
              <w:jc w:val="center"/>
            </w:pPr>
            <w:r>
              <w:rPr>
                <w:b/>
                <w:color w:val="FFFFFF"/>
              </w:rPr>
              <w:t xml:space="preserve">Plazo</w:t>
            </w:r>
          </w:p>
        </w:tc>
        <w:tc>
          <w:tcPr>
            <w:shd w:val="clear" w:color="auto" w:fill="00B050"/>
          </w:tcPr>
          <w:p>
            <w:pPr>
              <w:pStyle w:val="Tabla8"/>
              <w:jc w:val="center"/>
            </w:pPr>
            <w:r>
              <w:rPr>
                <w:b/>
                <w:color w:val="FFFFFF"/>
              </w:rPr>
              <w:t xml:space="preserve">Coherencia</w:t>
            </w:r>
          </w:p>
        </w:tc>
      </w:tr>
      <w:tr>
        <w:trPr>
          <w:cantSplit/>
        </w:trPr>
        <w:tc>
          <w:tcPr/>
          <w:p>
            <w:pPr>
              <w:pStyle w:val="Tabla8"/>
              <w:jc w:val="left"/>
            </w:pPr>
            <w:r>
              <w:t xml:space="preserve">PERS-P01</w:t>
            </w:r>
          </w:p>
        </w:tc>
        <w:tc>
          <w:tcPr/>
          <w:p>
            <w:pPr>
              <w:pStyle w:val="Tabla8"/>
              <w:jc w:val="left"/>
            </w:pPr>
            <w:r>
              <w:t xml:space="preserve">100 nodos y 10 gateways</w:t>
            </w:r>
          </w:p>
        </w:tc>
        <w:tc>
          <w:tcPr/>
          <w:p>
            <w:pPr>
              <w:pStyle w:val="Tabla8"/>
              <w:jc w:val="left"/>
            </w:pPr>
            <w:r>
              <w:t xml:space="preserve">E01, E04, E05, E06, M03, S05</w:t>
            </w:r>
          </w:p>
        </w:tc>
        <w:tc>
          <w:tcPr/>
          <w:p>
            <w:pPr>
              <w:pStyle w:val="Tabla8"/>
              <w:jc w:val="left"/>
            </w:pPr>
            <w:r>
              <w:t xml:space="preserve">$ 1.135.000.000</w:t>
            </w:r>
          </w:p>
        </w:tc>
        <w:tc>
          <w:tcPr/>
          <w:p>
            <w:pPr>
              <w:pStyle w:val="Tabla8"/>
              <w:jc w:val="left"/>
            </w:pPr>
            <w:r>
              <w:t xml:space="preserve">A1.2, A2.3, A2.4</w:t>
            </w:r>
          </w:p>
        </w:tc>
        <w:tc>
          <w:tcPr/>
          <w:p>
            <w:pPr>
              <w:pStyle w:val="Tabla8"/>
              <w:jc w:val="left"/>
            </w:pPr>
            <w:r>
              <w:t xml:space="preserve">Meses 1 a 24</w:t>
            </w:r>
          </w:p>
        </w:tc>
        <w:tc>
          <w:tcPr/>
          <w:p>
            <w:pPr>
              <w:pStyle w:val="Tabla8"/>
              <w:jc w:val="left"/>
            </w:pPr>
            <w:r>
              <w:t xml:space="preserve">COHERENTE: 120 nodos, 11 gateways, 10 módulos y 110 sitios cubren la meta</w:t>
            </w:r>
          </w:p>
        </w:tc>
      </w:tr>
      <w:tr>
        <w:trPr>
          <w:cantSplit/>
        </w:trPr>
        <w:tc>
          <w:tcPr/>
          <w:p>
            <w:pPr>
              <w:pStyle w:val="Tabla8"/>
              <w:jc w:val="left"/>
            </w:pPr>
            <w:r>
              <w:t xml:space="preserve">PERS-P02</w:t>
            </w:r>
          </w:p>
        </w:tc>
        <w:tc>
          <w:tcPr/>
          <w:p>
            <w:pPr>
              <w:pStyle w:val="Tabla8"/>
              <w:jc w:val="left"/>
            </w:pPr>
            <w:r>
              <w:t xml:space="preserve">1 registro vigente</w:t>
            </w:r>
          </w:p>
        </w:tc>
        <w:tc>
          <w:tcPr/>
          <w:p>
            <w:pPr>
              <w:pStyle w:val="Tabla8"/>
              <w:jc w:val="left"/>
            </w:pPr>
            <w:r>
              <w:t xml:space="preserve">O03, S02</w:t>
            </w:r>
          </w:p>
        </w:tc>
        <w:tc>
          <w:tcPr/>
          <w:p>
            <w:pPr>
              <w:pStyle w:val="Tabla8"/>
              <w:jc w:val="left"/>
            </w:pPr>
            <w:r>
              <w:t xml:space="preserve">$ 60.000.000</w:t>
            </w:r>
          </w:p>
        </w:tc>
        <w:tc>
          <w:tcPr/>
          <w:p>
            <w:pPr>
              <w:pStyle w:val="Tabla8"/>
              <w:jc w:val="left"/>
            </w:pPr>
            <w:r>
              <w:t xml:space="preserve">A2.2, A1.4</w:t>
            </w:r>
          </w:p>
        </w:tc>
        <w:tc>
          <w:tcPr/>
          <w:p>
            <w:pPr>
              <w:pStyle w:val="Tabla8"/>
              <w:jc w:val="left"/>
            </w:pPr>
            <w:r>
              <w:t xml:space="preserve">Meses 1 a 24</w:t>
            </w:r>
          </w:p>
        </w:tc>
        <w:tc>
          <w:tcPr/>
          <w:p>
            <w:pPr>
              <w:pStyle w:val="Tabla8"/>
              <w:jc w:val="left"/>
            </w:pPr>
            <w:r>
              <w:t xml:space="preserve">COHERENTE: el registro inicia en el mes 12, tras la validación de C1</w:t>
            </w:r>
          </w:p>
        </w:tc>
      </w:tr>
      <w:tr>
        <w:trPr>
          <w:cantSplit/>
        </w:trPr>
        <w:tc>
          <w:tcPr/>
          <w:p>
            <w:pPr>
              <w:pStyle w:val="Tabla8"/>
              <w:jc w:val="left"/>
            </w:pPr>
            <w:r>
              <w:t xml:space="preserve">PERS-P03</w:t>
            </w:r>
          </w:p>
        </w:tc>
        <w:tc>
          <w:tcPr/>
          <w:p>
            <w:pPr>
              <w:pStyle w:val="Tabla8"/>
              <w:jc w:val="left"/>
            </w:pPr>
            <w:r>
              <w:t xml:space="preserve">2 sometidos y al menos 1 aceptado</w:t>
            </w:r>
          </w:p>
        </w:tc>
        <w:tc>
          <w:tcPr/>
          <w:p>
            <w:pPr>
              <w:pStyle w:val="Tabla8"/>
              <w:jc w:val="left"/>
            </w:pPr>
            <w:r>
              <w:t xml:space="preserve">O01</w:t>
            </w:r>
          </w:p>
        </w:tc>
        <w:tc>
          <w:tcPr/>
          <w:p>
            <w:pPr>
              <w:pStyle w:val="Tabla8"/>
              <w:jc w:val="left"/>
            </w:pPr>
            <w:r>
              <w:t xml:space="preserve">$ 25.000.000</w:t>
            </w:r>
          </w:p>
        </w:tc>
        <w:tc>
          <w:tcPr/>
          <w:p>
            <w:pPr>
              <w:pStyle w:val="Tabla8"/>
              <w:jc w:val="left"/>
            </w:pPr>
            <w:r>
              <w:t xml:space="preserve">A1.4, A1.6</w:t>
            </w:r>
          </w:p>
        </w:tc>
        <w:tc>
          <w:tcPr/>
          <w:p>
            <w:pPr>
              <w:pStyle w:val="Tabla8"/>
              <w:jc w:val="left"/>
            </w:pPr>
            <w:r>
              <w:t xml:space="preserve">Meses 14 a 24</w:t>
            </w:r>
          </w:p>
        </w:tc>
        <w:tc>
          <w:tcPr/>
          <w:p>
            <w:pPr>
              <w:pStyle w:val="Tabla8"/>
              <w:jc w:val="left"/>
            </w:pPr>
            <w:r>
              <w:t xml:space="preserve">COHERENTE CON OBSERVACIÓN: la autoría usa contrapartida, no una línea SGR</w:t>
            </w:r>
          </w:p>
        </w:tc>
      </w:tr>
      <w:tr>
        <w:trPr>
          <w:cantSplit/>
        </w:trPr>
        <w:tc>
          <w:tcPr/>
          <w:p>
            <w:pPr>
              <w:pStyle w:val="Tabla8"/>
              <w:jc w:val="left"/>
            </w:pPr>
            <w:r>
              <w:t xml:space="preserve">PERS-P04</w:t>
            </w:r>
          </w:p>
        </w:tc>
        <w:tc>
          <w:tcPr/>
          <w:p>
            <w:pPr>
              <w:pStyle w:val="Tabla8"/>
              <w:jc w:val="left"/>
            </w:pPr>
            <w:r>
              <w:t xml:space="preserve">29 actividades</w:t>
            </w:r>
          </w:p>
        </w:tc>
        <w:tc>
          <w:tcPr/>
          <w:p>
            <w:pPr>
              <w:pStyle w:val="Tabla8"/>
              <w:jc w:val="left"/>
            </w:pPr>
            <w:r>
              <w:t xml:space="preserve">M05, V05, O02</w:t>
            </w:r>
          </w:p>
        </w:tc>
        <w:tc>
          <w:tcPr/>
          <w:p>
            <w:pPr>
              <w:pStyle w:val="Tabla8"/>
              <w:jc w:val="left"/>
            </w:pPr>
            <w:r>
              <w:t xml:space="preserve">$ 132.000.000</w:t>
            </w:r>
          </w:p>
        </w:tc>
        <w:tc>
          <w:tcPr/>
          <w:p>
            <w:pPr>
              <w:pStyle w:val="Tabla8"/>
              <w:jc w:val="left"/>
            </w:pPr>
            <w:r>
              <w:t xml:space="preserve">A3.1, A3.2</w:t>
            </w:r>
          </w:p>
        </w:tc>
        <w:tc>
          <w:tcPr/>
          <w:p>
            <w:pPr>
              <w:pStyle w:val="Tabla8"/>
              <w:jc w:val="left"/>
            </w:pPr>
            <w:r>
              <w:t xml:space="preserve">Meses 2 a 24</w:t>
            </w:r>
          </w:p>
        </w:tc>
        <w:tc>
          <w:tcPr/>
          <w:p>
            <w:pPr>
              <w:pStyle w:val="Tabla8"/>
              <w:jc w:val="left"/>
            </w:pPr>
            <w:r>
              <w:t xml:space="preserve">COHERENTE CON OBSERVACIÓN: la meta del mes 17 iguala la meta final</w:t>
            </w:r>
          </w:p>
        </w:tc>
      </w:tr>
    </w:tbl>
    <w:p>
      <w:pPr>
        <w:pStyle w:val="TablaNota"/>
      </w:pPr>
      <w:r>
        <w:rPr>
          <w:i/>
          <w:iCs/>
        </w:rPr>
        <w:t xml:space="preserve">Nota.</w:t>
      </w:r>
      <w:r>
        <w:t xml:space="preserve"> </w:t>
      </w:r>
      <w:r>
        <w:t xml:space="preserve">Elaboración propia con datos de maestro.py (presupuesto SGR y cronograma). Los montos son CALCULADOS como suma de las líneas indicadas. La asignación de líneas a indicadores es PROPUESTO. Ninguna fila activa la alerta bloqueante. Decimales con coma y miles con punto.</w:t>
      </w:r>
    </w:p>
    <w:p>
      <w:pPr>
        <w:pStyle w:val="BodyText"/>
      </w:pPr>
      <w:r>
        <w:t xml:space="preserve">Ninguna fila resulta incoherente, por lo que el paso continúa. Dos filas llevan una observación. PERS-P03 no tiene una línea SGR de autoría. El tiempo de investigación es contrapartida de la entidad ejecutora, y su cumplimiento depende de una certificación pendiente. PERS-P04 alcanza en el mes 17 la meta final de 29 actividades, y el mes 24 no añade actividades. Esa decisión adelanta el cumplimiento, pero deja los últimos siete meses sin meta adicional de apropiación.</w:t>
      </w:r>
    </w:p>
    <w:bookmarkEnd w:id="252"/>
    <w:bookmarkEnd w:id="253"/>
    <w:bookmarkStart w:id="254" w:name="Xd957f104bd861c326202e6ca4206969be784d34"/>
    <w:p>
      <w:pPr>
        <w:pStyle w:val="Heading2"/>
      </w:pPr>
      <w:r>
        <w:t xml:space="preserve">F7.2 Registro de las fichas técnicas de los 15 indicadores</w:t>
      </w:r>
    </w:p>
    <w:p>
      <w:pPr>
        <w:pStyle w:val="FirstParagraph"/>
      </w:pPr>
      <w:r>
        <w:t xml:space="preserve">Cada indicador tiene una ficha técnica de 12 campos: identificación, definición, fórmula, línea base, metas, periodicidad, fuente de datos, desagregación, limitaciones, supuestos, verificación y metadata. El capítulo 12 presenta las 15 fichas completas, una por tabla, desde la Tabla 12.2 hasta la Tabla 12.18, excepto las Tablas 12.12 y 12.13. Este paso registra los campos centrales de cada indicador en dos tablas. La Tabla F7.7 reúne la identificación, la fórmula y la línea base. La Tabla F7.8 reúne las metas, la periodicidad, la fuente y la verificación.</w:t>
      </w:r>
    </w:p>
    <w:p>
      <w:pPr>
        <w:pStyle w:val="TablaRotulo"/>
      </w:pPr>
      <w:bookmarkStart w:id="9224" w:name="rot_Tabla_F7_7"/>
      <w:r>
        <w:rPr>
          <w:b/>
          <w:bCs/>
        </w:rPr>
        <w:t xml:space="preserve">Tabla F7.7</w:t>
      </w:r>
      <w:bookmarkEnd w:id="9224"/>
    </w:p>
    <w:p>
      <w:pPr>
        <w:pStyle w:val="TablaTitulo"/>
      </w:pPr>
      <w:r>
        <w:rPr>
          <w:i/>
          <w:iCs/>
        </w:rPr>
        <w:t xml:space="preserve">Registro de indicadores: identificación, fórmula y línea base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24"/>
        <w:gridCol w:w="1188"/>
        <w:gridCol w:w="1188"/>
        <w:gridCol w:w="858"/>
        <w:gridCol w:w="396"/>
        <w:gridCol w:w="1188"/>
        <w:gridCol w:w="924"/>
        <w:gridCol w:w="1254"/>
      </w:tblGrid>
      <w:tr>
        <w:trPr>
          <w:cantSplit/>
          <w:tblHeader/>
        </w:trPr>
        <w:tc>
          <w:tcPr>
            <w:shd w:val="clear" w:color="auto" w:fill="00B050"/>
          </w:tcPr>
          <w:p>
            <w:pPr>
              <w:pStyle w:val="Tabla8"/>
              <w:jc w:val="center"/>
            </w:pPr>
            <w:r>
              <w:rPr>
                <w:b/>
                <w:color w:val="FFFFFF"/>
              </w:rPr>
              <w:t xml:space="preserve">Código</w:t>
            </w:r>
          </w:p>
        </w:tc>
        <w:tc>
          <w:tcPr>
            <w:shd w:val="clear" w:color="auto" w:fill="00B050"/>
          </w:tcPr>
          <w:p>
            <w:pPr>
              <w:pStyle w:val="Tabla8"/>
              <w:jc w:val="center"/>
            </w:pPr>
            <w:r>
              <w:rPr>
                <w:b/>
                <w:color w:val="FFFFFF"/>
              </w:rPr>
              <w:t xml:space="preserve">Nombre</w:t>
            </w:r>
          </w:p>
        </w:tc>
        <w:tc>
          <w:tcPr>
            <w:shd w:val="clear" w:color="auto" w:fill="00B050"/>
          </w:tcPr>
          <w:p>
            <w:pPr>
              <w:pStyle w:val="Tabla8"/>
              <w:jc w:val="center"/>
            </w:pPr>
            <w:r>
              <w:rPr>
                <w:b/>
                <w:color w:val="FFFFFF"/>
              </w:rPr>
              <w:t xml:space="preserve">Nivel PERS</w:t>
            </w:r>
          </w:p>
        </w:tc>
        <w:tc>
          <w:tcPr>
            <w:shd w:val="clear" w:color="auto" w:fill="00B050"/>
          </w:tcPr>
          <w:p>
            <w:pPr>
              <w:pStyle w:val="Tabla8"/>
              <w:jc w:val="center"/>
            </w:pPr>
            <w:r>
              <w:rPr>
                <w:b/>
                <w:color w:val="FFFFFF"/>
              </w:rPr>
              <w:t xml:space="preserve">Taxonomía</w:t>
            </w:r>
          </w:p>
        </w:tc>
        <w:tc>
          <w:tcPr>
            <w:shd w:val="clear" w:color="auto" w:fill="00B050"/>
          </w:tcPr>
          <w:p>
            <w:pPr>
              <w:pStyle w:val="Tabla8"/>
              <w:jc w:val="center"/>
            </w:pPr>
            <w:r>
              <w:rPr>
                <w:b/>
                <w:color w:val="FFFFFF"/>
              </w:rPr>
              <w:t xml:space="preserve">OE</w:t>
            </w:r>
          </w:p>
        </w:tc>
        <w:tc>
          <w:tcPr>
            <w:shd w:val="clear" w:color="auto" w:fill="00B050"/>
          </w:tcPr>
          <w:p>
            <w:pPr>
              <w:pStyle w:val="Tabla8"/>
              <w:jc w:val="center"/>
            </w:pPr>
            <w:r>
              <w:rPr>
                <w:b/>
                <w:color w:val="FFFFFF"/>
              </w:rPr>
              <w:t xml:space="preserve">Fórmula</w:t>
            </w:r>
          </w:p>
        </w:tc>
        <w:tc>
          <w:tcPr>
            <w:shd w:val="clear" w:color="auto" w:fill="00B050"/>
          </w:tcPr>
          <w:p>
            <w:pPr>
              <w:pStyle w:val="Tabla8"/>
              <w:jc w:val="center"/>
            </w:pPr>
            <w:r>
              <w:rPr>
                <w:b/>
                <w:color w:val="FFFFFF"/>
              </w:rPr>
              <w:t xml:space="preserve">Unidad</w:t>
            </w:r>
          </w:p>
        </w:tc>
        <w:tc>
          <w:tcPr>
            <w:shd w:val="clear" w:color="auto" w:fill="00B050"/>
          </w:tcPr>
          <w:p>
            <w:pPr>
              <w:pStyle w:val="Tabla8"/>
              <w:jc w:val="center"/>
            </w:pPr>
            <w:r>
              <w:rPr>
                <w:b/>
                <w:color w:val="FFFFFF"/>
              </w:rPr>
              <w:t xml:space="preserve">Línea base (naturaleza)</w:t>
            </w:r>
          </w:p>
        </w:tc>
      </w:tr>
      <w:tr>
        <w:trPr>
          <w:cantSplit/>
        </w:trPr>
        <w:tc>
          <w:tcPr/>
          <w:p>
            <w:pPr>
              <w:pStyle w:val="Tabla8"/>
              <w:jc w:val="left"/>
            </w:pPr>
            <w:r>
              <w:t xml:space="preserve">PERS-R01</w:t>
            </w:r>
          </w:p>
        </w:tc>
        <w:tc>
          <w:tcPr/>
          <w:p>
            <w:pPr>
              <w:pStyle w:val="Tabla8"/>
              <w:jc w:val="left"/>
            </w:pPr>
            <w:r>
              <w:t xml:space="preserve">Cumplimiento del despliegue por tramo</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OE2</w:t>
            </w:r>
          </w:p>
        </w:tc>
        <w:tc>
          <w:tcPr/>
          <w:p>
            <w:pPr>
              <w:pStyle w:val="Tabla8"/>
              <w:jc w:val="left"/>
            </w:pPr>
            <w:r>
              <w:t xml:space="preserve">Nodos instalados y operativos ÷ nodos programados × 100</w:t>
            </w:r>
          </w:p>
        </w:tc>
        <w:tc>
          <w:tcPr/>
          <w:p>
            <w:pPr>
              <w:pStyle w:val="Tabla8"/>
              <w:jc w:val="left"/>
            </w:pPr>
            <w:r>
              <w:t xml:space="preserve">%</w:t>
            </w:r>
          </w:p>
        </w:tc>
        <w:tc>
          <w:tcPr/>
          <w:p>
            <w:pPr>
              <w:pStyle w:val="Tabla8"/>
              <w:jc w:val="left"/>
            </w:pPr>
            <w:r>
              <w:t xml:space="preserve">0 (CALCULADO)</w:t>
            </w:r>
          </w:p>
        </w:tc>
      </w:tr>
      <w:tr>
        <w:trPr>
          <w:cantSplit/>
        </w:trPr>
        <w:tc>
          <w:tcPr/>
          <w:p>
            <w:pPr>
              <w:pStyle w:val="Tabla8"/>
              <w:jc w:val="left"/>
            </w:pPr>
            <w:r>
              <w:t xml:space="preserve">PERS-R02</w:t>
            </w:r>
          </w:p>
        </w:tc>
        <w:tc>
          <w:tcPr/>
          <w:p>
            <w:pPr>
              <w:pStyle w:val="Tabla8"/>
              <w:jc w:val="left"/>
            </w:pPr>
            <w:r>
              <w:t xml:space="preserve">Ciclos de calibración ejecutados</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OE1</w:t>
            </w:r>
          </w:p>
        </w:tc>
        <w:tc>
          <w:tcPr/>
          <w:p>
            <w:pPr>
              <w:pStyle w:val="Tabla8"/>
              <w:jc w:val="left"/>
            </w:pPr>
            <w:r>
              <w:t xml:space="preserve">Número de ciclos completos de entrenamiento, validación y despliegue del modelo de corrección</w:t>
            </w:r>
          </w:p>
        </w:tc>
        <w:tc>
          <w:tcPr/>
          <w:p>
            <w:pPr>
              <w:pStyle w:val="Tabla8"/>
              <w:jc w:val="left"/>
            </w:pPr>
            <w:r>
              <w:t xml:space="preserve">ciclos</w:t>
            </w:r>
          </w:p>
        </w:tc>
        <w:tc>
          <w:tcPr/>
          <w:p>
            <w:pPr>
              <w:pStyle w:val="Tabla8"/>
              <w:jc w:val="left"/>
            </w:pPr>
            <w:r>
              <w:t xml:space="preserve">0 (CALCULADO)</w:t>
            </w:r>
          </w:p>
        </w:tc>
      </w:tr>
      <w:tr>
        <w:trPr>
          <w:cantSplit/>
        </w:trPr>
        <w:tc>
          <w:tcPr/>
          <w:p>
            <w:pPr>
              <w:pStyle w:val="Tabla8"/>
              <w:jc w:val="left"/>
            </w:pPr>
            <w:r>
              <w:t xml:space="preserve">PERS-R03</w:t>
            </w:r>
          </w:p>
        </w:tc>
        <w:tc>
          <w:tcPr/>
          <w:p>
            <w:pPr>
              <w:pStyle w:val="Tabla8"/>
              <w:jc w:val="left"/>
            </w:pPr>
            <w:r>
              <w:t xml:space="preserve">Disponibilidad de la plataforma en la nube</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OE2</w:t>
            </w:r>
          </w:p>
        </w:tc>
        <w:tc>
          <w:tcPr/>
          <w:p>
            <w:pPr>
              <w:pStyle w:val="Tabla8"/>
              <w:jc w:val="left"/>
            </w:pPr>
            <w:r>
              <w:t xml:space="preserve">Horas de servicio ÷ horas del mes × 100</w:t>
            </w:r>
          </w:p>
        </w:tc>
        <w:tc>
          <w:tcPr/>
          <w:p>
            <w:pPr>
              <w:pStyle w:val="Tabla8"/>
              <w:jc w:val="left"/>
            </w:pPr>
            <w:r>
              <w:t xml:space="preserve">%</w:t>
            </w:r>
          </w:p>
        </w:tc>
        <w:tc>
          <w:tcPr/>
          <w:p>
            <w:pPr>
              <w:pStyle w:val="Tabla8"/>
              <w:jc w:val="left"/>
            </w:pPr>
            <w:r>
              <w:t xml:space="preserve">VACIO (VACIO)</w:t>
            </w:r>
          </w:p>
        </w:tc>
      </w:tr>
      <w:tr>
        <w:trPr>
          <w:cantSplit/>
        </w:trPr>
        <w:tc>
          <w:tcPr/>
          <w:p>
            <w:pPr>
              <w:pStyle w:val="Tabla8"/>
              <w:jc w:val="left"/>
            </w:pPr>
            <w:r>
              <w:t xml:space="preserve">PERS-R04</w:t>
            </w:r>
          </w:p>
        </w:tc>
        <w:tc>
          <w:tcPr/>
          <w:p>
            <w:pPr>
              <w:pStyle w:val="Tabla8"/>
              <w:jc w:val="left"/>
            </w:pPr>
            <w:r>
              <w:t xml:space="preserve">Desviación de la ejecución presupuestal</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OE3</w:t>
            </w:r>
          </w:p>
        </w:tc>
        <w:tc>
          <w:tcPr/>
          <w:p>
            <w:pPr>
              <w:pStyle w:val="Tabla8"/>
              <w:jc w:val="left"/>
            </w:pPr>
            <w:r>
              <w:t xml:space="preserve">(Ejecución acumulada − programación acumulada) ÷ programación acumulada × 100</w:t>
            </w:r>
          </w:p>
        </w:tc>
        <w:tc>
          <w:tcPr/>
          <w:p>
            <w:pPr>
              <w:pStyle w:val="Tabla8"/>
              <w:jc w:val="left"/>
            </w:pPr>
            <w:r>
              <w:t xml:space="preserve">%</w:t>
            </w:r>
          </w:p>
        </w:tc>
        <w:tc>
          <w:tcPr/>
          <w:p>
            <w:pPr>
              <w:pStyle w:val="Tabla8"/>
              <w:jc w:val="left"/>
            </w:pPr>
            <w:r>
              <w:t xml:space="preserve">0 (CALCULADO)</w:t>
            </w:r>
          </w:p>
        </w:tc>
      </w:tr>
      <w:tr>
        <w:trPr>
          <w:cantSplit/>
        </w:trPr>
        <w:tc>
          <w:tcPr/>
          <w:p>
            <w:pPr>
              <w:pStyle w:val="Tabla8"/>
              <w:jc w:val="left"/>
            </w:pPr>
            <w:r>
              <w:t xml:space="preserve">PERS-R05</w:t>
            </w:r>
          </w:p>
        </w:tc>
        <w:tc>
          <w:tcPr/>
          <w:p>
            <w:pPr>
              <w:pStyle w:val="Tabla8"/>
              <w:jc w:val="left"/>
            </w:pPr>
            <w:r>
              <w:t xml:space="preserve">Horas-nodo de colocalización válidas</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OE1</w:t>
            </w:r>
          </w:p>
        </w:tc>
        <w:tc>
          <w:tcPr/>
          <w:p>
            <w:pPr>
              <w:pStyle w:val="Tabla8"/>
              <w:jc w:val="left"/>
            </w:pPr>
            <w:r>
              <w:t xml:space="preserve">Suma de horas con dato pareado entre nodo y referencia que cumplen el control de calidad</w:t>
            </w:r>
          </w:p>
        </w:tc>
        <w:tc>
          <w:tcPr/>
          <w:p>
            <w:pPr>
              <w:pStyle w:val="Tabla8"/>
              <w:jc w:val="left"/>
            </w:pPr>
            <w:r>
              <w:t xml:space="preserve">horas-nodo</w:t>
            </w:r>
          </w:p>
        </w:tc>
        <w:tc>
          <w:tcPr/>
          <w:p>
            <w:pPr>
              <w:pStyle w:val="Tabla8"/>
              <w:jc w:val="left"/>
            </w:pPr>
            <w:r>
              <w:t xml:space="preserve">0 (CALCULADO)</w:t>
            </w:r>
          </w:p>
        </w:tc>
      </w:tr>
      <w:tr>
        <w:trPr>
          <w:cantSplit/>
        </w:trPr>
        <w:tc>
          <w:tcPr/>
          <w:p>
            <w:pPr>
              <w:pStyle w:val="Tabla8"/>
              <w:jc w:val="left"/>
            </w:pPr>
            <w:r>
              <w:t xml:space="preserve">PERS-R06</w:t>
            </w:r>
          </w:p>
        </w:tc>
        <w:tc>
          <w:tcPr/>
          <w:p>
            <w:pPr>
              <w:pStyle w:val="Tabla8"/>
              <w:jc w:val="left"/>
            </w:pPr>
            <w:r>
              <w:t xml:space="preserve">Cumplimiento de informes de seguimiento</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OE3</w:t>
            </w:r>
          </w:p>
        </w:tc>
        <w:tc>
          <w:tcPr/>
          <w:p>
            <w:pPr>
              <w:pStyle w:val="Tabla8"/>
              <w:jc w:val="left"/>
            </w:pPr>
            <w:r>
              <w:t xml:space="preserve">Informes técnicos y financieros entregados a tiempo ÷ informes exigidos × 100</w:t>
            </w:r>
          </w:p>
        </w:tc>
        <w:tc>
          <w:tcPr/>
          <w:p>
            <w:pPr>
              <w:pStyle w:val="Tabla8"/>
              <w:jc w:val="left"/>
            </w:pPr>
            <w:r>
              <w:t xml:space="preserve">%</w:t>
            </w:r>
          </w:p>
        </w:tc>
        <w:tc>
          <w:tcPr/>
          <w:p>
            <w:pPr>
              <w:pStyle w:val="Tabla8"/>
              <w:jc w:val="left"/>
            </w:pPr>
            <w:r>
              <w:t xml:space="preserve">0 (CALCULADO)</w:t>
            </w:r>
          </w:p>
        </w:tc>
      </w:tr>
      <w:tr>
        <w:trPr>
          <w:cantSplit/>
        </w:trPr>
        <w:tc>
          <w:tcPr/>
          <w:p>
            <w:pPr>
              <w:pStyle w:val="Tabla8"/>
              <w:jc w:val="left"/>
            </w:pPr>
            <w:r>
              <w:t xml:space="preserve">PERS-P01</w:t>
            </w:r>
          </w:p>
        </w:tc>
        <w:tc>
          <w:tcPr/>
          <w:p>
            <w:pPr>
              <w:pStyle w:val="Tabla8"/>
              <w:jc w:val="left"/>
            </w:pPr>
            <w:r>
              <w:t xml:space="preserve">Red de 100 nodos y 10 gateways operativa</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OE2</w:t>
            </w:r>
          </w:p>
        </w:tc>
        <w:tc>
          <w:tcPr/>
          <w:p>
            <w:pPr>
              <w:pStyle w:val="Tabla8"/>
              <w:jc w:val="left"/>
            </w:pPr>
            <w:r>
              <w:t xml:space="preserve">Nodos operativos con disponibilidad mensual ≥ 90 % y gateways con enlace principal o alterno activo</w:t>
            </w:r>
          </w:p>
        </w:tc>
        <w:tc>
          <w:tcPr/>
          <w:p>
            <w:pPr>
              <w:pStyle w:val="Tabla8"/>
              <w:jc w:val="left"/>
            </w:pPr>
            <w:r>
              <w:t xml:space="preserve">nodos / gateways</w:t>
            </w:r>
          </w:p>
        </w:tc>
        <w:tc>
          <w:tcPr/>
          <w:p>
            <w:pPr>
              <w:pStyle w:val="Tabla8"/>
              <w:jc w:val="left"/>
            </w:pPr>
            <w:r>
              <w:t xml:space="preserve">0 / 0 (CALCULADO)</w:t>
            </w:r>
          </w:p>
        </w:tc>
      </w:tr>
      <w:tr>
        <w:trPr>
          <w:cantSplit/>
        </w:trPr>
        <w:tc>
          <w:tcPr/>
          <w:p>
            <w:pPr>
              <w:pStyle w:val="Tabla8"/>
              <w:jc w:val="left"/>
            </w:pPr>
            <w:r>
              <w:t xml:space="preserve">PERS-P02</w:t>
            </w:r>
          </w:p>
        </w:tc>
        <w:tc>
          <w:tcPr/>
          <w:p>
            <w:pPr>
              <w:pStyle w:val="Tabla8"/>
              <w:jc w:val="left"/>
            </w:pPr>
            <w:r>
              <w:t xml:space="preserve">Software de corrección y gemelo digital registrado</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OE1</w:t>
            </w:r>
          </w:p>
        </w:tc>
        <w:tc>
          <w:tcPr/>
          <w:p>
            <w:pPr>
              <w:pStyle w:val="Tabla8"/>
              <w:jc w:val="left"/>
            </w:pPr>
            <w:r>
              <w:t xml:space="preserve">Registros de software ante la DNDA (modelo de corrección, firmware y gemelo digital)</w:t>
            </w:r>
          </w:p>
        </w:tc>
        <w:tc>
          <w:tcPr/>
          <w:p>
            <w:pPr>
              <w:pStyle w:val="Tabla8"/>
              <w:jc w:val="left"/>
            </w:pPr>
            <w:r>
              <w:t xml:space="preserve">registros</w:t>
            </w:r>
          </w:p>
        </w:tc>
        <w:tc>
          <w:tcPr/>
          <w:p>
            <w:pPr>
              <w:pStyle w:val="Tabla8"/>
              <w:jc w:val="left"/>
            </w:pPr>
            <w:r>
              <w:t xml:space="preserve">0 (CALCULADO)</w:t>
            </w:r>
          </w:p>
        </w:tc>
      </w:tr>
      <w:tr>
        <w:trPr>
          <w:cantSplit/>
        </w:trPr>
        <w:tc>
          <w:tcPr/>
          <w:p>
            <w:pPr>
              <w:pStyle w:val="Tabla8"/>
              <w:jc w:val="left"/>
            </w:pPr>
            <w:r>
              <w:t xml:space="preserve">PERS-P03</w:t>
            </w:r>
          </w:p>
        </w:tc>
        <w:tc>
          <w:tcPr/>
          <w:p>
            <w:pPr>
              <w:pStyle w:val="Tabla8"/>
              <w:jc w:val="left"/>
            </w:pPr>
            <w:r>
              <w:t xml:space="preserve">Artículos científicos en revistas Q1 o Q2</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OE1</w:t>
            </w:r>
          </w:p>
        </w:tc>
        <w:tc>
          <w:tcPr/>
          <w:p>
            <w:pPr>
              <w:pStyle w:val="Tabla8"/>
              <w:jc w:val="left"/>
            </w:pPr>
            <w:r>
              <w:t xml:space="preserve">Artículos sometidos y aceptados con filiación del proyecto</w:t>
            </w:r>
          </w:p>
        </w:tc>
        <w:tc>
          <w:tcPr/>
          <w:p>
            <w:pPr>
              <w:pStyle w:val="Tabla8"/>
              <w:jc w:val="left"/>
            </w:pPr>
            <w:r>
              <w:t xml:space="preserve">artículos</w:t>
            </w:r>
          </w:p>
        </w:tc>
        <w:tc>
          <w:tcPr/>
          <w:p>
            <w:pPr>
              <w:pStyle w:val="Tabla8"/>
              <w:jc w:val="left"/>
            </w:pPr>
            <w:r>
              <w:t xml:space="preserve">0 (CALCULADO)</w:t>
            </w:r>
          </w:p>
        </w:tc>
      </w:tr>
      <w:tr>
        <w:trPr>
          <w:cantSplit/>
        </w:trPr>
        <w:tc>
          <w:tcPr/>
          <w:p>
            <w:pPr>
              <w:pStyle w:val="Tabla8"/>
              <w:jc w:val="left"/>
            </w:pPr>
            <w:r>
              <w:t xml:space="preserve">PERS-P04</w:t>
            </w:r>
          </w:p>
        </w:tc>
        <w:tc>
          <w:tcPr/>
          <w:p>
            <w:pPr>
              <w:pStyle w:val="Tabla8"/>
              <w:jc w:val="left"/>
            </w:pPr>
            <w:r>
              <w:t xml:space="preserve">Actividades de apropiación social documentadas</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OE3</w:t>
            </w:r>
          </w:p>
        </w:tc>
        <w:tc>
          <w:tcPr/>
          <w:p>
            <w:pPr>
              <w:pStyle w:val="Tabla8"/>
              <w:jc w:val="left"/>
            </w:pPr>
            <w:r>
              <w:t xml:space="preserve">Talleres de co-diseño (nivel 3) más jornadas públicas (niveles 1 y 2) con acta y lista de asistencia</w:t>
            </w:r>
          </w:p>
        </w:tc>
        <w:tc>
          <w:tcPr/>
          <w:p>
            <w:pPr>
              <w:pStyle w:val="Tabla8"/>
              <w:jc w:val="left"/>
            </w:pPr>
            <w:r>
              <w:t xml:space="preserve">actividades</w:t>
            </w:r>
          </w:p>
        </w:tc>
        <w:tc>
          <w:tcPr/>
          <w:p>
            <w:pPr>
              <w:pStyle w:val="Tabla8"/>
              <w:jc w:val="left"/>
            </w:pPr>
            <w:r>
              <w:t xml:space="preserve">0 (CALCULADO)</w:t>
            </w:r>
          </w:p>
        </w:tc>
      </w:tr>
      <w:tr>
        <w:trPr>
          <w:cantSplit/>
        </w:trPr>
        <w:tc>
          <w:tcPr/>
          <w:p>
            <w:pPr>
              <w:pStyle w:val="Tabla8"/>
              <w:jc w:val="left"/>
            </w:pPr>
            <w:r>
              <w:t xml:space="preserve">PERS-E01</w:t>
            </w:r>
          </w:p>
        </w:tc>
        <w:tc>
          <w:tcPr/>
          <w:p>
            <w:pPr>
              <w:pStyle w:val="Tabla8"/>
              <w:jc w:val="left"/>
            </w:pPr>
            <w:r>
              <w:t xml:space="preserve">Uso institucional del tablero y del protocolo</w:t>
            </w:r>
          </w:p>
        </w:tc>
        <w:tc>
          <w:tcPr/>
          <w:p>
            <w:pPr>
              <w:pStyle w:val="Tabla8"/>
              <w:jc w:val="left"/>
            </w:pPr>
            <w:r>
              <w:t xml:space="preserve">Efecto (E)</w:t>
            </w:r>
          </w:p>
        </w:tc>
        <w:tc>
          <w:tcPr/>
          <w:p>
            <w:pPr>
              <w:pStyle w:val="Tabla8"/>
              <w:jc w:val="left"/>
            </w:pPr>
            <w:r>
              <w:t xml:space="preserve">Outcome</w:t>
            </w:r>
          </w:p>
        </w:tc>
        <w:tc>
          <w:tcPr/>
          <w:p>
            <w:pPr>
              <w:pStyle w:val="Tabla8"/>
              <w:jc w:val="left"/>
            </w:pPr>
            <w:r>
              <w:t xml:space="preserve">OE3</w:t>
            </w:r>
          </w:p>
        </w:tc>
        <w:tc>
          <w:tcPr/>
          <w:p>
            <w:pPr>
              <w:pStyle w:val="Tabla8"/>
              <w:jc w:val="left"/>
            </w:pPr>
            <w:r>
              <w:t xml:space="preserve">Comités focalizados con al menos una decisión documentada por trimestre basada en el tablero ÷ comités focalizados × 100</w:t>
            </w:r>
          </w:p>
        </w:tc>
        <w:tc>
          <w:tcPr/>
          <w:p>
            <w:pPr>
              <w:pStyle w:val="Tabla8"/>
              <w:jc w:val="left"/>
            </w:pPr>
            <w:r>
              <w:t xml:space="preserve">%</w:t>
            </w:r>
          </w:p>
        </w:tc>
        <w:tc>
          <w:tcPr/>
          <w:p>
            <w:pPr>
              <w:pStyle w:val="Tabla8"/>
              <w:jc w:val="left"/>
            </w:pPr>
            <w:r>
              <w:t xml:space="preserve">VACIO (VACIO)</w:t>
            </w:r>
          </w:p>
        </w:tc>
      </w:tr>
      <w:tr>
        <w:trPr>
          <w:cantSplit/>
        </w:trPr>
        <w:tc>
          <w:tcPr/>
          <w:p>
            <w:pPr>
              <w:pStyle w:val="Tabla8"/>
              <w:jc w:val="left"/>
            </w:pPr>
            <w:r>
              <w:t xml:space="preserve">PERS-E02</w:t>
            </w:r>
          </w:p>
        </w:tc>
        <w:tc>
          <w:tcPr/>
          <w:p>
            <w:pPr>
              <w:pStyle w:val="Tabla8"/>
              <w:jc w:val="left"/>
            </w:pPr>
            <w:r>
              <w:t xml:space="preserve">Reducción relativa de falsas alarmas</w:t>
            </w:r>
          </w:p>
        </w:tc>
        <w:tc>
          <w:tcPr/>
          <w:p>
            <w:pPr>
              <w:pStyle w:val="Tabla8"/>
              <w:jc w:val="left"/>
            </w:pPr>
            <w:r>
              <w:t xml:space="preserve">Efecto (E)</w:t>
            </w:r>
          </w:p>
        </w:tc>
        <w:tc>
          <w:tcPr/>
          <w:p>
            <w:pPr>
              <w:pStyle w:val="Tabla8"/>
              <w:jc w:val="left"/>
            </w:pPr>
            <w:r>
              <w:t xml:space="preserve">Outcome</w:t>
            </w:r>
          </w:p>
        </w:tc>
        <w:tc>
          <w:tcPr/>
          <w:p>
            <w:pPr>
              <w:pStyle w:val="Tabla8"/>
              <w:jc w:val="left"/>
            </w:pPr>
            <w:r>
              <w:t xml:space="preserve">OE3</w:t>
            </w:r>
          </w:p>
        </w:tc>
        <w:tc>
          <w:tcPr/>
          <w:p>
            <w:pPr>
              <w:pStyle w:val="Tabla8"/>
              <w:jc w:val="left"/>
            </w:pPr>
            <w:r>
              <w:t xml:space="preserve">1 − (tasa de falsas alarmas del periodo ÷ tasa de línea base medida en el tramo 1)</w:t>
            </w:r>
          </w:p>
        </w:tc>
        <w:tc>
          <w:tcPr/>
          <w:p>
            <w:pPr>
              <w:pStyle w:val="Tabla8"/>
              <w:jc w:val="left"/>
            </w:pPr>
            <w:r>
              <w:t xml:space="preserve">%</w:t>
            </w:r>
          </w:p>
        </w:tc>
        <w:tc>
          <w:tcPr/>
          <w:p>
            <w:pPr>
              <w:pStyle w:val="Tabla8"/>
              <w:jc w:val="left"/>
            </w:pPr>
            <w:r>
              <w:t xml:space="preserve">Se mide en el tramo 1 (VACIO)</w:t>
            </w:r>
          </w:p>
        </w:tc>
      </w:tr>
      <w:tr>
        <w:trPr>
          <w:cantSplit/>
        </w:trPr>
        <w:tc>
          <w:tcPr/>
          <w:p>
            <w:pPr>
              <w:pStyle w:val="Tabla8"/>
              <w:jc w:val="left"/>
            </w:pPr>
            <w:r>
              <w:t xml:space="preserve">PERS-E03</w:t>
            </w:r>
          </w:p>
        </w:tc>
        <w:tc>
          <w:tcPr/>
          <w:p>
            <w:pPr>
              <w:pStyle w:val="Tabla8"/>
              <w:jc w:val="left"/>
            </w:pPr>
            <w:r>
              <w:t xml:space="preserve">Capacidad instalada en custodios</w:t>
            </w:r>
          </w:p>
        </w:tc>
        <w:tc>
          <w:tcPr/>
          <w:p>
            <w:pPr>
              <w:pStyle w:val="Tabla8"/>
              <w:jc w:val="left"/>
            </w:pPr>
            <w:r>
              <w:t xml:space="preserve">Efecto (E)</w:t>
            </w:r>
          </w:p>
        </w:tc>
        <w:tc>
          <w:tcPr/>
          <w:p>
            <w:pPr>
              <w:pStyle w:val="Tabla8"/>
              <w:jc w:val="left"/>
            </w:pPr>
            <w:r>
              <w:t xml:space="preserve">Outcome</w:t>
            </w:r>
          </w:p>
        </w:tc>
        <w:tc>
          <w:tcPr/>
          <w:p>
            <w:pPr>
              <w:pStyle w:val="Tabla8"/>
              <w:jc w:val="left"/>
            </w:pPr>
            <w:r>
              <w:t xml:space="preserve">OE3</w:t>
            </w:r>
          </w:p>
        </w:tc>
        <w:tc>
          <w:tcPr/>
          <w:p>
            <w:pPr>
              <w:pStyle w:val="Tabla8"/>
              <w:jc w:val="left"/>
            </w:pPr>
            <w:r>
              <w:t xml:space="preserve">Personas con evaluación práctica aprobada en mantenimiento, lectura y operación ÷ personas formadas × 100, y número absoluto</w:t>
            </w:r>
          </w:p>
        </w:tc>
        <w:tc>
          <w:tcPr/>
          <w:p>
            <w:pPr>
              <w:pStyle w:val="Tabla8"/>
              <w:jc w:val="left"/>
            </w:pPr>
            <w:r>
              <w:t xml:space="preserve">personas</w:t>
            </w:r>
          </w:p>
        </w:tc>
        <w:tc>
          <w:tcPr/>
          <w:p>
            <w:pPr>
              <w:pStyle w:val="Tabla8"/>
              <w:jc w:val="left"/>
            </w:pPr>
            <w:r>
              <w:t xml:space="preserve">0 (CALCULADO)</w:t>
            </w:r>
          </w:p>
        </w:tc>
      </w:tr>
      <w:tr>
        <w:trPr>
          <w:cantSplit/>
        </w:trPr>
        <w:tc>
          <w:tcPr/>
          <w:p>
            <w:pPr>
              <w:pStyle w:val="Tabla8"/>
              <w:jc w:val="left"/>
            </w:pPr>
            <w:r>
              <w:t xml:space="preserve">PERS-S01</w:t>
            </w:r>
          </w:p>
        </w:tc>
        <w:tc>
          <w:tcPr/>
          <w:p>
            <w:pPr>
              <w:pStyle w:val="Tabla8"/>
              <w:jc w:val="left"/>
            </w:pPr>
            <w:r>
              <w:t xml:space="preserve">Activación del protocolo ante superación de umbral</w:t>
            </w:r>
          </w:p>
        </w:tc>
        <w:tc>
          <w:tcPr/>
          <w:p>
            <w:pPr>
              <w:pStyle w:val="Tabla8"/>
              <w:jc w:val="left"/>
            </w:pPr>
            <w:r>
              <w:t xml:space="preserve">Sostenibilidad (S)</w:t>
            </w:r>
          </w:p>
        </w:tc>
        <w:tc>
          <w:tcPr/>
          <w:p>
            <w:pPr>
              <w:pStyle w:val="Tabla8"/>
              <w:jc w:val="left"/>
            </w:pPr>
            <w:r>
              <w:t xml:space="preserve">Impact</w:t>
            </w:r>
          </w:p>
        </w:tc>
        <w:tc>
          <w:tcPr/>
          <w:p>
            <w:pPr>
              <w:pStyle w:val="Tabla8"/>
              <w:jc w:val="left"/>
            </w:pPr>
            <w:r>
              <w:t xml:space="preserve">OE3</w:t>
            </w:r>
          </w:p>
        </w:tc>
        <w:tc>
          <w:tcPr/>
          <w:p>
            <w:pPr>
              <w:pStyle w:val="Tabla8"/>
              <w:jc w:val="left"/>
            </w:pPr>
            <w:r>
              <w:t xml:space="preserve">Eventos de superación de umbral con medida de protección activada y registrada ÷ eventos de superación confirmados × 100</w:t>
            </w:r>
          </w:p>
        </w:tc>
        <w:tc>
          <w:tcPr/>
          <w:p>
            <w:pPr>
              <w:pStyle w:val="Tabla8"/>
              <w:jc w:val="left"/>
            </w:pPr>
            <w:r>
              <w:t xml:space="preserve">%</w:t>
            </w:r>
          </w:p>
        </w:tc>
        <w:tc>
          <w:tcPr/>
          <w:p>
            <w:pPr>
              <w:pStyle w:val="Tabla8"/>
              <w:jc w:val="left"/>
            </w:pPr>
            <w:r>
              <w:t xml:space="preserve">VACIO (VACIO)</w:t>
            </w:r>
          </w:p>
        </w:tc>
      </w:tr>
      <w:tr>
        <w:trPr>
          <w:cantSplit/>
        </w:trPr>
        <w:tc>
          <w:tcPr/>
          <w:p>
            <w:pPr>
              <w:pStyle w:val="Tabla8"/>
              <w:jc w:val="left"/>
            </w:pPr>
            <w:r>
              <w:t xml:space="preserve">PERS-S02</w:t>
            </w:r>
          </w:p>
        </w:tc>
        <w:tc>
          <w:tcPr/>
          <w:p>
            <w:pPr>
              <w:pStyle w:val="Tabla8"/>
              <w:jc w:val="left"/>
            </w:pPr>
            <w:r>
              <w:t xml:space="preserve">Continuidad de la red bajo custodia</w:t>
            </w:r>
          </w:p>
        </w:tc>
        <w:tc>
          <w:tcPr/>
          <w:p>
            <w:pPr>
              <w:pStyle w:val="Tabla8"/>
              <w:jc w:val="left"/>
            </w:pPr>
            <w:r>
              <w:t xml:space="preserve">Sostenibilidad (S)</w:t>
            </w:r>
          </w:p>
        </w:tc>
        <w:tc>
          <w:tcPr/>
          <w:p>
            <w:pPr>
              <w:pStyle w:val="Tabla8"/>
              <w:jc w:val="left"/>
            </w:pPr>
            <w:r>
              <w:t xml:space="preserve">Impact</w:t>
            </w:r>
          </w:p>
        </w:tc>
        <w:tc>
          <w:tcPr/>
          <w:p>
            <w:pPr>
              <w:pStyle w:val="Tabla8"/>
              <w:jc w:val="left"/>
            </w:pPr>
            <w:r>
              <w:t xml:space="preserve">OE3</w:t>
            </w:r>
          </w:p>
        </w:tc>
        <w:tc>
          <w:tcPr/>
          <w:p>
            <w:pPr>
              <w:pStyle w:val="Tabla8"/>
              <w:jc w:val="left"/>
            </w:pPr>
            <w:r>
              <w:t xml:space="preserve">Nodos operados por custodios con partida y competencia a los 12 meses del cierre ÷ nodos entregados × 100</w:t>
            </w:r>
          </w:p>
        </w:tc>
        <w:tc>
          <w:tcPr/>
          <w:p>
            <w:pPr>
              <w:pStyle w:val="Tabla8"/>
              <w:jc w:val="left"/>
            </w:pPr>
            <w:r>
              <w:t xml:space="preserve">%</w:t>
            </w:r>
          </w:p>
        </w:tc>
        <w:tc>
          <w:tcPr/>
          <w:p>
            <w:pPr>
              <w:pStyle w:val="Tabla8"/>
              <w:jc w:val="left"/>
            </w:pPr>
            <w:r>
              <w:t xml:space="preserve">VACIO (VACIO)</w:t>
            </w:r>
          </w:p>
        </w:tc>
      </w:tr>
    </w:tbl>
    <w:p>
      <w:pPr>
        <w:pStyle w:val="TablaNota"/>
      </w:pPr>
      <w:r>
        <w:rPr>
          <w:i/>
          <w:iCs/>
        </w:rPr>
        <w:t xml:space="preserve">Nota.</w:t>
      </w:r>
      <w:r>
        <w:t xml:space="preserve"> </w:t>
      </w:r>
      <w:r>
        <w:t xml:space="preserve">Elaboración propia con datos de indicadores.py. Cinco líneas base son VACIO: PERS-R03, PERS-E01, PERS-E02, PERS-S01 y PERS-S02; se miden en el tramo 1 o en el primer trimestre completo de operación. Las demás son CALCULADAS como cero al inicio de la ejecución. OE: objetivo específico.</w:t>
      </w:r>
    </w:p>
    <w:p>
      <w:pPr>
        <w:pStyle w:val="TablaRotulo"/>
      </w:pPr>
      <w:bookmarkStart w:id="9225" w:name="rot_Tabla_F7_8"/>
      <w:r>
        <w:rPr>
          <w:b/>
          <w:bCs/>
        </w:rPr>
        <w:t xml:space="preserve">Tabla F7.8</w:t>
      </w:r>
      <w:bookmarkEnd w:id="9225"/>
    </w:p>
    <w:p>
      <w:pPr>
        <w:pStyle w:val="TablaTitulo"/>
      </w:pPr>
      <w:r>
        <w:rPr>
          <w:i/>
          <w:iCs/>
        </w:rPr>
        <w:t xml:space="preserve">Registro de indicadores: metas, periodicidad, fuente y verificación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98"/>
        <w:gridCol w:w="1064"/>
        <w:gridCol w:w="1064"/>
        <w:gridCol w:w="1064"/>
        <w:gridCol w:w="798"/>
        <w:gridCol w:w="998"/>
        <w:gridCol w:w="1064"/>
        <w:gridCol w:w="1064"/>
      </w:tblGrid>
      <w:tr>
        <w:trPr>
          <w:cantSplit/>
          <w:tblHeader/>
        </w:trPr>
        <w:tc>
          <w:tcPr>
            <w:shd w:val="clear" w:color="auto" w:fill="00B050"/>
          </w:tcPr>
          <w:p>
            <w:pPr>
              <w:pStyle w:val="Tabla8"/>
              <w:jc w:val="center"/>
            </w:pPr>
            <w:r>
              <w:rPr>
                <w:b/>
                <w:color w:val="FFFFFF"/>
              </w:rPr>
              <w:t xml:space="preserve">Código</w:t>
            </w:r>
          </w:p>
        </w:tc>
        <w:tc>
          <w:tcPr>
            <w:shd w:val="clear" w:color="auto" w:fill="00B050"/>
          </w:tcPr>
          <w:p>
            <w:pPr>
              <w:pStyle w:val="Tabla8"/>
              <w:jc w:val="center"/>
            </w:pPr>
            <w:r>
              <w:rPr>
                <w:b/>
                <w:color w:val="FFFFFF"/>
              </w:rPr>
              <w:t xml:space="preserve">Meta al mes 12</w:t>
            </w:r>
          </w:p>
        </w:tc>
        <w:tc>
          <w:tcPr>
            <w:shd w:val="clear" w:color="auto" w:fill="00B050"/>
          </w:tcPr>
          <w:p>
            <w:pPr>
              <w:pStyle w:val="Tabla8"/>
              <w:jc w:val="center"/>
            </w:pPr>
            <w:r>
              <w:rPr>
                <w:b/>
                <w:color w:val="FFFFFF"/>
              </w:rPr>
              <w:t xml:space="preserve">Meta al mes 17</w:t>
            </w:r>
          </w:p>
        </w:tc>
        <w:tc>
          <w:tcPr>
            <w:shd w:val="clear" w:color="auto" w:fill="00B050"/>
          </w:tcPr>
          <w:p>
            <w:pPr>
              <w:pStyle w:val="Tabla8"/>
              <w:jc w:val="center"/>
            </w:pPr>
            <w:r>
              <w:rPr>
                <w:b/>
                <w:color w:val="FFFFFF"/>
              </w:rPr>
              <w:t xml:space="preserve">Meta final</w:t>
            </w:r>
          </w:p>
        </w:tc>
        <w:tc>
          <w:tcPr>
            <w:shd w:val="clear" w:color="auto" w:fill="00B050"/>
          </w:tcPr>
          <w:p>
            <w:pPr>
              <w:pStyle w:val="Tabla8"/>
              <w:jc w:val="center"/>
            </w:pPr>
            <w:r>
              <w:rPr>
                <w:b/>
                <w:color w:val="FFFFFF"/>
              </w:rPr>
              <w:t xml:space="preserve">Frecuencia</w:t>
            </w:r>
          </w:p>
        </w:tc>
        <w:tc>
          <w:tcPr>
            <w:shd w:val="clear" w:color="auto" w:fill="00B050"/>
          </w:tcPr>
          <w:p>
            <w:pPr>
              <w:pStyle w:val="Tabla8"/>
              <w:jc w:val="center"/>
            </w:pPr>
            <w:r>
              <w:rPr>
                <w:b/>
                <w:color w:val="FFFFFF"/>
              </w:rPr>
              <w:t xml:space="preserve">Responsable de medición</w:t>
            </w:r>
          </w:p>
        </w:tc>
        <w:tc>
          <w:tcPr>
            <w:shd w:val="clear" w:color="auto" w:fill="00B050"/>
          </w:tcPr>
          <w:p>
            <w:pPr>
              <w:pStyle w:val="Tabla8"/>
              <w:jc w:val="center"/>
            </w:pPr>
            <w:r>
              <w:rPr>
                <w:b/>
                <w:color w:val="FFFFFF"/>
              </w:rPr>
              <w:t xml:space="preserve">Fuente de datos</w:t>
            </w:r>
          </w:p>
        </w:tc>
        <w:tc>
          <w:tcPr>
            <w:shd w:val="clear" w:color="auto" w:fill="00B050"/>
          </w:tcPr>
          <w:p>
            <w:pPr>
              <w:pStyle w:val="Tabla8"/>
              <w:jc w:val="center"/>
            </w:pPr>
            <w:r>
              <w:rPr>
                <w:b/>
                <w:color w:val="FFFFFF"/>
              </w:rPr>
              <w:t xml:space="preserve">Medio de verificación</w:t>
            </w:r>
          </w:p>
        </w:tc>
      </w:tr>
      <w:tr>
        <w:trPr>
          <w:cantSplit/>
        </w:trPr>
        <w:tc>
          <w:tcPr/>
          <w:p>
            <w:pPr>
              <w:pStyle w:val="Tabla8"/>
              <w:jc w:val="left"/>
            </w:pPr>
            <w:r>
              <w:t xml:space="preserve">PERS-R01</w:t>
            </w:r>
          </w:p>
        </w:tc>
        <w:tc>
          <w:tcPr/>
          <w:p>
            <w:pPr>
              <w:pStyle w:val="Tabla8"/>
              <w:jc w:val="left"/>
            </w:pPr>
            <w:r>
              <w:t xml:space="preserve">30 nodos (100 % del tramo 1)</w:t>
            </w:r>
          </w:p>
        </w:tc>
        <w:tc>
          <w:tcPr/>
          <w:p>
            <w:pPr>
              <w:pStyle w:val="Tabla8"/>
              <w:jc w:val="left"/>
            </w:pPr>
            <w:r>
              <w:t xml:space="preserve">70 nodos adicionales (100 % de los tramos 2 y 3)</w:t>
            </w:r>
          </w:p>
        </w:tc>
        <w:tc>
          <w:tcPr/>
          <w:p>
            <w:pPr>
              <w:pStyle w:val="Tabla8"/>
              <w:jc w:val="left"/>
            </w:pPr>
            <w:r>
              <w:t xml:space="preserve">100 nodos y 10 gateways (100 %)</w:t>
            </w:r>
          </w:p>
        </w:tc>
        <w:tc>
          <w:tcPr/>
          <w:p>
            <w:pPr>
              <w:pStyle w:val="Tabla8"/>
              <w:jc w:val="left"/>
            </w:pPr>
            <w:r>
              <w:t xml:space="preserve">Mensual</w:t>
            </w:r>
          </w:p>
        </w:tc>
        <w:tc>
          <w:tcPr/>
          <w:p>
            <w:pPr>
              <w:pStyle w:val="Tabla8"/>
              <w:jc w:val="left"/>
            </w:pPr>
            <w:r>
              <w:t xml:space="preserve">Ingenieros IoT y de campo</w:t>
            </w:r>
          </w:p>
        </w:tc>
        <w:tc>
          <w:tcPr/>
          <w:p>
            <w:pPr>
              <w:pStyle w:val="Tabla8"/>
              <w:jc w:val="left"/>
            </w:pPr>
            <w:r>
              <w:t xml:space="preserve">Inventario de la plataforma y actas de instalación</w:t>
            </w:r>
          </w:p>
        </w:tc>
        <w:tc>
          <w:tcPr/>
          <w:p>
            <w:pPr>
              <w:pStyle w:val="Tabla8"/>
              <w:jc w:val="left"/>
            </w:pPr>
            <w:r>
              <w:t xml:space="preserve">Acta de instalación con coordenadas y número de serie</w:t>
            </w:r>
          </w:p>
        </w:tc>
      </w:tr>
      <w:tr>
        <w:trPr>
          <w:cantSplit/>
        </w:trPr>
        <w:tc>
          <w:tcPr/>
          <w:p>
            <w:pPr>
              <w:pStyle w:val="Tabla8"/>
              <w:jc w:val="left"/>
            </w:pPr>
            <w:r>
              <w:t xml:space="preserve">PERS-R02</w:t>
            </w:r>
          </w:p>
        </w:tc>
        <w:tc>
          <w:tcPr/>
          <w:p>
            <w:pPr>
              <w:pStyle w:val="Tabla8"/>
              <w:jc w:val="left"/>
            </w:pPr>
            <w:r>
              <w:t xml:space="preserve">2 ciclos (tramo 1)</w:t>
            </w:r>
          </w:p>
        </w:tc>
        <w:tc>
          <w:tcPr/>
          <w:p>
            <w:pPr>
              <w:pStyle w:val="Tabla8"/>
              <w:jc w:val="left"/>
            </w:pPr>
            <w:r>
              <w:t xml:space="preserve">4 ciclos acumulados</w:t>
            </w:r>
          </w:p>
        </w:tc>
        <w:tc>
          <w:tcPr/>
          <w:p>
            <w:pPr>
              <w:pStyle w:val="Tabla8"/>
              <w:jc w:val="left"/>
            </w:pPr>
            <w:r>
              <w:t xml:space="preserve">6 ciclos (2 por tramo)</w:t>
            </w:r>
          </w:p>
        </w:tc>
        <w:tc>
          <w:tcPr/>
          <w:p>
            <w:pPr>
              <w:pStyle w:val="Tabla8"/>
              <w:jc w:val="left"/>
            </w:pPr>
            <w:r>
              <w:t xml:space="preserve">Mensual</w:t>
            </w:r>
          </w:p>
        </w:tc>
        <w:tc>
          <w:tcPr/>
          <w:p>
            <w:pPr>
              <w:pStyle w:val="Tabla8"/>
              <w:jc w:val="left"/>
            </w:pPr>
            <w:r>
              <w:t xml:space="preserve">Científico de datos</w:t>
            </w:r>
          </w:p>
        </w:tc>
        <w:tc>
          <w:tcPr/>
          <w:p>
            <w:pPr>
              <w:pStyle w:val="Tabla8"/>
              <w:jc w:val="left"/>
            </w:pPr>
            <w:r>
              <w:t xml:space="preserve">Registro de versiones del modelo</w:t>
            </w:r>
          </w:p>
        </w:tc>
        <w:tc>
          <w:tcPr/>
          <w:p>
            <w:pPr>
              <w:pStyle w:val="Tabla8"/>
              <w:jc w:val="left"/>
            </w:pPr>
            <w:r>
              <w:t xml:space="preserve">Informe de validación firmado por la metrología</w:t>
            </w:r>
          </w:p>
        </w:tc>
      </w:tr>
      <w:tr>
        <w:trPr>
          <w:cantSplit/>
        </w:trPr>
        <w:tc>
          <w:tcPr/>
          <w:p>
            <w:pPr>
              <w:pStyle w:val="Tabla8"/>
              <w:jc w:val="left"/>
            </w:pPr>
            <w:r>
              <w:t xml:space="preserve">PERS-R03</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Mensual</w:t>
            </w:r>
          </w:p>
        </w:tc>
        <w:tc>
          <w:tcPr/>
          <w:p>
            <w:pPr>
              <w:pStyle w:val="Tabla8"/>
              <w:jc w:val="left"/>
            </w:pPr>
            <w:r>
              <w:t xml:space="preserve">Ingenieros de software y nube</w:t>
            </w:r>
          </w:p>
        </w:tc>
        <w:tc>
          <w:tcPr/>
          <w:p>
            <w:pPr>
              <w:pStyle w:val="Tabla8"/>
              <w:jc w:val="left"/>
            </w:pPr>
            <w:r>
              <w:t xml:space="preserve">Monitor de servicio de la plataforma</w:t>
            </w:r>
          </w:p>
        </w:tc>
        <w:tc>
          <w:tcPr/>
          <w:p>
            <w:pPr>
              <w:pStyle w:val="Tabla8"/>
              <w:jc w:val="left"/>
            </w:pPr>
            <w:r>
              <w:t xml:space="preserve">Reporte mensual del proveedor de nube</w:t>
            </w:r>
          </w:p>
        </w:tc>
      </w:tr>
      <w:tr>
        <w:trPr>
          <w:cantSplit/>
        </w:trPr>
        <w:tc>
          <w:tcPr/>
          <w:p>
            <w:pPr>
              <w:pStyle w:val="Tabla8"/>
              <w:jc w:val="left"/>
            </w:pPr>
            <w:r>
              <w:t xml:space="preserve">PERS-R04</w:t>
            </w:r>
          </w:p>
        </w:tc>
        <w:tc>
          <w:tcPr/>
          <w:p>
            <w:pPr>
              <w:pStyle w:val="Tabla8"/>
              <w:jc w:val="left"/>
            </w:pPr>
            <w:r>
              <w:t xml:space="preserve">|desviación| ≤ 10 %</w:t>
            </w:r>
          </w:p>
        </w:tc>
        <w:tc>
          <w:tcPr/>
          <w:p>
            <w:pPr>
              <w:pStyle w:val="Tabla8"/>
              <w:jc w:val="left"/>
            </w:pPr>
            <w:r>
              <w:t xml:space="preserve">|desviación| ≤ 10 %</w:t>
            </w:r>
          </w:p>
        </w:tc>
        <w:tc>
          <w:tcPr/>
          <w:p>
            <w:pPr>
              <w:pStyle w:val="Tabla8"/>
              <w:jc w:val="left"/>
            </w:pPr>
            <w:r>
              <w:t xml:space="preserve">|desviación| ≤ 5 % al cierre</w:t>
            </w:r>
          </w:p>
        </w:tc>
        <w:tc>
          <w:tcPr/>
          <w:p>
            <w:pPr>
              <w:pStyle w:val="Tabla8"/>
              <w:jc w:val="left"/>
            </w:pPr>
            <w:r>
              <w:t xml:space="preserve">Mensual</w:t>
            </w:r>
          </w:p>
        </w:tc>
        <w:tc>
          <w:tcPr/>
          <w:p>
            <w:pPr>
              <w:pStyle w:val="Tabla8"/>
              <w:jc w:val="left"/>
            </w:pPr>
            <w:r>
              <w:t xml:space="preserve">Gerencia de proyecto</w:t>
            </w:r>
          </w:p>
        </w:tc>
        <w:tc>
          <w:tcPr/>
          <w:p>
            <w:pPr>
              <w:pStyle w:val="Tabla8"/>
              <w:jc w:val="left"/>
            </w:pPr>
            <w:r>
              <w:t xml:space="preserve">Sistema de seguimiento presupuestal</w:t>
            </w:r>
          </w:p>
        </w:tc>
        <w:tc>
          <w:tcPr/>
          <w:p>
            <w:pPr>
              <w:pStyle w:val="Tabla8"/>
              <w:jc w:val="left"/>
            </w:pPr>
            <w:r>
              <w:t xml:space="preserve">Informe financiero conciliado con el técnico</w:t>
            </w:r>
          </w:p>
        </w:tc>
      </w:tr>
      <w:tr>
        <w:trPr>
          <w:cantSplit/>
        </w:trPr>
        <w:tc>
          <w:tcPr/>
          <w:p>
            <w:pPr>
              <w:pStyle w:val="Tabla8"/>
              <w:jc w:val="left"/>
            </w:pPr>
            <w:r>
              <w:t xml:space="preserve">PERS-R05</w:t>
            </w:r>
          </w:p>
        </w:tc>
        <w:tc>
          <w:tcPr/>
          <w:p>
            <w:pPr>
              <w:pStyle w:val="Tabla8"/>
              <w:jc w:val="left"/>
            </w:pPr>
            <w:r>
              <w:t xml:space="preserve">≥ 60.000 horas-nodo en el tramo 1</w:t>
            </w:r>
          </w:p>
        </w:tc>
        <w:tc>
          <w:tcPr/>
          <w:p>
            <w:pPr>
              <w:pStyle w:val="Tabla8"/>
              <w:jc w:val="left"/>
            </w:pPr>
            <w:r>
              <w:t xml:space="preserve">≥ 60.000 + rotaciones trimestrales</w:t>
            </w:r>
          </w:p>
        </w:tc>
        <w:tc>
          <w:tcPr/>
          <w:p>
            <w:pPr>
              <w:pStyle w:val="Tabla8"/>
              <w:jc w:val="left"/>
            </w:pPr>
            <w:r>
              <w:t xml:space="preserve">≥ 60.000 y 4 rotaciones por departamento</w:t>
            </w:r>
          </w:p>
        </w:tc>
        <w:tc>
          <w:tcPr/>
          <w:p>
            <w:pPr>
              <w:pStyle w:val="Tabla8"/>
              <w:jc w:val="left"/>
            </w:pPr>
            <w:r>
              <w:t xml:space="preserve">Mensual</w:t>
            </w:r>
          </w:p>
        </w:tc>
        <w:tc>
          <w:tcPr/>
          <w:p>
            <w:pPr>
              <w:pStyle w:val="Tabla8"/>
              <w:jc w:val="left"/>
            </w:pPr>
            <w:r>
              <w:t xml:space="preserve">Especialista en metrología</w:t>
            </w:r>
          </w:p>
        </w:tc>
        <w:tc>
          <w:tcPr/>
          <w:p>
            <w:pPr>
              <w:pStyle w:val="Tabla8"/>
              <w:jc w:val="left"/>
            </w:pPr>
            <w:r>
              <w:t xml:space="preserve">Base de datos de colocalización</w:t>
            </w:r>
          </w:p>
        </w:tc>
        <w:tc>
          <w:tcPr/>
          <w:p>
            <w:pPr>
              <w:pStyle w:val="Tabla8"/>
              <w:jc w:val="left"/>
            </w:pPr>
            <w:r>
              <w:t xml:space="preserve">Bitácora de la referencia y tablero de calidad de datos</w:t>
            </w:r>
          </w:p>
        </w:tc>
      </w:tr>
      <w:tr>
        <w:trPr>
          <w:cantSplit/>
        </w:trPr>
        <w:tc>
          <w:tcPr/>
          <w:p>
            <w:pPr>
              <w:pStyle w:val="Tabla8"/>
              <w:jc w:val="left"/>
            </w:pPr>
            <w:r>
              <w:t xml:space="preserve">PERS-R06</w:t>
            </w:r>
          </w:p>
        </w:tc>
        <w:tc>
          <w:tcPr/>
          <w:p>
            <w:pPr>
              <w:pStyle w:val="Tabla8"/>
              <w:jc w:val="left"/>
            </w:pPr>
            <w:r>
              <w:t xml:space="preserve">100 %</w:t>
            </w:r>
          </w:p>
        </w:tc>
        <w:tc>
          <w:tcPr/>
          <w:p>
            <w:pPr>
              <w:pStyle w:val="Tabla8"/>
              <w:jc w:val="left"/>
            </w:pPr>
            <w:r>
              <w:t xml:space="preserve">100 %</w:t>
            </w:r>
          </w:p>
        </w:tc>
        <w:tc>
          <w:tcPr/>
          <w:p>
            <w:pPr>
              <w:pStyle w:val="Tabla8"/>
              <w:jc w:val="left"/>
            </w:pPr>
            <w:r>
              <w:t xml:space="preserve">100 %</w:t>
            </w:r>
          </w:p>
        </w:tc>
        <w:tc>
          <w:tcPr/>
          <w:p>
            <w:pPr>
              <w:pStyle w:val="Tabla8"/>
              <w:jc w:val="left"/>
            </w:pPr>
            <w:r>
              <w:t xml:space="preserve">Mensual</w:t>
            </w:r>
          </w:p>
        </w:tc>
        <w:tc>
          <w:tcPr/>
          <w:p>
            <w:pPr>
              <w:pStyle w:val="Tabla8"/>
              <w:jc w:val="left"/>
            </w:pPr>
            <w:r>
              <w:t xml:space="preserve">Gerencia de proyecto</w:t>
            </w:r>
          </w:p>
        </w:tc>
        <w:tc>
          <w:tcPr/>
          <w:p>
            <w:pPr>
              <w:pStyle w:val="Tabla8"/>
              <w:jc w:val="left"/>
            </w:pPr>
            <w:r>
              <w:t xml:space="preserve">Sistema de seguimiento del financiador</w:t>
            </w:r>
          </w:p>
        </w:tc>
        <w:tc>
          <w:tcPr/>
          <w:p>
            <w:pPr>
              <w:pStyle w:val="Tabla8"/>
              <w:jc w:val="left"/>
            </w:pPr>
            <w:r>
              <w:t xml:space="preserve">Radicados de entrega</w:t>
            </w:r>
          </w:p>
        </w:tc>
      </w:tr>
      <w:tr>
        <w:trPr>
          <w:cantSplit/>
        </w:trPr>
        <w:tc>
          <w:tcPr/>
          <w:p>
            <w:pPr>
              <w:pStyle w:val="Tabla8"/>
              <w:jc w:val="left"/>
            </w:pPr>
            <w:r>
              <w:t xml:space="preserve">PERS-P01</w:t>
            </w:r>
          </w:p>
        </w:tc>
        <w:tc>
          <w:tcPr/>
          <w:p>
            <w:pPr>
              <w:pStyle w:val="Tabla8"/>
              <w:jc w:val="left"/>
            </w:pPr>
            <w:r>
              <w:t xml:space="preserve">30 / 3 al mes 12</w:t>
            </w:r>
          </w:p>
        </w:tc>
        <w:tc>
          <w:tcPr/>
          <w:p>
            <w:pPr>
              <w:pStyle w:val="Tabla8"/>
              <w:jc w:val="left"/>
            </w:pPr>
            <w:r>
              <w:t xml:space="preserve">70 / 7 al mes 17 y 100 / 10 al mes 19</w:t>
            </w:r>
          </w:p>
        </w:tc>
        <w:tc>
          <w:tcPr/>
          <w:p>
            <w:pPr>
              <w:pStyle w:val="Tabla8"/>
              <w:jc w:val="left"/>
            </w:pPr>
            <w:r>
              <w:t xml:space="preserve">100 / 10 al mes 24</w:t>
            </w:r>
          </w:p>
        </w:tc>
        <w:tc>
          <w:tcPr/>
          <w:p>
            <w:pPr>
              <w:pStyle w:val="Tabla8"/>
              <w:jc w:val="left"/>
            </w:pPr>
            <w:r>
              <w:t xml:space="preserve">Trimestral</w:t>
            </w:r>
          </w:p>
        </w:tc>
        <w:tc>
          <w:tcPr/>
          <w:p>
            <w:pPr>
              <w:pStyle w:val="Tabla8"/>
              <w:jc w:val="left"/>
            </w:pPr>
            <w:r>
              <w:t xml:space="preserve">Ingenieros IoT y de campo</w:t>
            </w:r>
          </w:p>
        </w:tc>
        <w:tc>
          <w:tcPr/>
          <w:p>
            <w:pPr>
              <w:pStyle w:val="Tabla8"/>
              <w:jc w:val="left"/>
            </w:pPr>
            <w:r>
              <w:t xml:space="preserve">Plataforma e inventario</w:t>
            </w:r>
          </w:p>
        </w:tc>
        <w:tc>
          <w:tcPr/>
          <w:p>
            <w:pPr>
              <w:pStyle w:val="Tabla8"/>
              <w:jc w:val="left"/>
            </w:pPr>
            <w:r>
              <w:t xml:space="preserve">Inventario con huella de configuración y registro fotográfico</w:t>
            </w:r>
          </w:p>
        </w:tc>
      </w:tr>
      <w:tr>
        <w:trPr>
          <w:cantSplit/>
        </w:trPr>
        <w:tc>
          <w:tcPr/>
          <w:p>
            <w:pPr>
              <w:pStyle w:val="Tabla8"/>
              <w:jc w:val="left"/>
            </w:pPr>
            <w:r>
              <w:t xml:space="preserve">PERS-P02</w:t>
            </w:r>
          </w:p>
        </w:tc>
        <w:tc>
          <w:tcPr/>
          <w:p>
            <w:pPr>
              <w:pStyle w:val="Tabla8"/>
              <w:jc w:val="left"/>
            </w:pPr>
            <w:r>
              <w:t xml:space="preserve">0</w:t>
            </w:r>
          </w:p>
        </w:tc>
        <w:tc>
          <w:tcPr/>
          <w:p>
            <w:pPr>
              <w:pStyle w:val="Tabla8"/>
              <w:jc w:val="left"/>
            </w:pPr>
            <w:r>
              <w:t xml:space="preserve">1 solicitud radicada</w:t>
            </w:r>
          </w:p>
        </w:tc>
        <w:tc>
          <w:tcPr/>
          <w:p>
            <w:pPr>
              <w:pStyle w:val="Tabla8"/>
              <w:jc w:val="left"/>
            </w:pPr>
            <w:r>
              <w:t xml:space="preserve">1 registro vigente</w:t>
            </w:r>
          </w:p>
        </w:tc>
        <w:tc>
          <w:tcPr/>
          <w:p>
            <w:pPr>
              <w:pStyle w:val="Tabla8"/>
              <w:jc w:val="left"/>
            </w:pPr>
            <w:r>
              <w:t xml:space="preserve">Trimestral</w:t>
            </w:r>
          </w:p>
        </w:tc>
        <w:tc>
          <w:tcPr/>
          <w:p>
            <w:pPr>
              <w:pStyle w:val="Tabla8"/>
              <w:jc w:val="left"/>
            </w:pPr>
            <w:r>
              <w:t xml:space="preserve">Profesional de convenios y custodia</w:t>
            </w:r>
          </w:p>
        </w:tc>
        <w:tc>
          <w:tcPr/>
          <w:p>
            <w:pPr>
              <w:pStyle w:val="Tabla8"/>
              <w:jc w:val="left"/>
            </w:pPr>
            <w:r>
              <w:t xml:space="preserve">Certificado de la DNDA</w:t>
            </w:r>
          </w:p>
        </w:tc>
        <w:tc>
          <w:tcPr/>
          <w:p>
            <w:pPr>
              <w:pStyle w:val="Tabla8"/>
              <w:jc w:val="left"/>
            </w:pPr>
            <w:r>
              <w:t xml:space="preserve">Certificado de registro</w:t>
            </w:r>
          </w:p>
        </w:tc>
      </w:tr>
      <w:tr>
        <w:trPr>
          <w:cantSplit/>
        </w:trPr>
        <w:tc>
          <w:tcPr/>
          <w:p>
            <w:pPr>
              <w:pStyle w:val="Tabla8"/>
              <w:jc w:val="left"/>
            </w:pPr>
            <w:r>
              <w:t xml:space="preserve">PERS-P03</w:t>
            </w:r>
          </w:p>
        </w:tc>
        <w:tc>
          <w:tcPr/>
          <w:p>
            <w:pPr>
              <w:pStyle w:val="Tabla8"/>
              <w:jc w:val="left"/>
            </w:pPr>
            <w:r>
              <w:t xml:space="preserve">0</w:t>
            </w:r>
          </w:p>
        </w:tc>
        <w:tc>
          <w:tcPr/>
          <w:p>
            <w:pPr>
              <w:pStyle w:val="Tabla8"/>
              <w:jc w:val="left"/>
            </w:pPr>
            <w:r>
              <w:t xml:space="preserve">1 sometido</w:t>
            </w:r>
          </w:p>
        </w:tc>
        <w:tc>
          <w:tcPr/>
          <w:p>
            <w:pPr>
              <w:pStyle w:val="Tabla8"/>
              <w:jc w:val="left"/>
            </w:pPr>
            <w:r>
              <w:t xml:space="preserve">2 sometidos y al menos 1 aceptado al mes 24</w:t>
            </w:r>
          </w:p>
        </w:tc>
        <w:tc>
          <w:tcPr/>
          <w:p>
            <w:pPr>
              <w:pStyle w:val="Tabla8"/>
              <w:jc w:val="left"/>
            </w:pPr>
            <w:r>
              <w:t xml:space="preserve">Trimestral</w:t>
            </w:r>
          </w:p>
        </w:tc>
        <w:tc>
          <w:tcPr/>
          <w:p>
            <w:pPr>
              <w:pStyle w:val="Tabla8"/>
              <w:jc w:val="left"/>
            </w:pPr>
            <w:r>
              <w:t xml:space="preserve">Investigador principal</w:t>
            </w:r>
          </w:p>
        </w:tc>
        <w:tc>
          <w:tcPr/>
          <w:p>
            <w:pPr>
              <w:pStyle w:val="Tabla8"/>
              <w:jc w:val="left"/>
            </w:pPr>
            <w:r>
              <w:t xml:space="preserve">Plataformas editoriales y CvLAC</w:t>
            </w:r>
          </w:p>
        </w:tc>
        <w:tc>
          <w:tcPr/>
          <w:p>
            <w:pPr>
              <w:pStyle w:val="Tabla8"/>
              <w:jc w:val="left"/>
            </w:pPr>
            <w:r>
              <w:t xml:space="preserve">Carta de aceptación y soporte de envío</w:t>
            </w:r>
          </w:p>
        </w:tc>
      </w:tr>
      <w:tr>
        <w:trPr>
          <w:cantSplit/>
        </w:trPr>
        <w:tc>
          <w:tcPr/>
          <w:p>
            <w:pPr>
              <w:pStyle w:val="Tabla8"/>
              <w:jc w:val="left"/>
            </w:pPr>
            <w:r>
              <w:t xml:space="preserve">PERS-P04</w:t>
            </w:r>
          </w:p>
        </w:tc>
        <w:tc>
          <w:tcPr/>
          <w:p>
            <w:pPr>
              <w:pStyle w:val="Tabla8"/>
              <w:jc w:val="left"/>
            </w:pPr>
            <w:r>
              <w:t xml:space="preserve">10 actividades</w:t>
            </w:r>
          </w:p>
        </w:tc>
        <w:tc>
          <w:tcPr/>
          <w:p>
            <w:pPr>
              <w:pStyle w:val="Tabla8"/>
              <w:jc w:val="left"/>
            </w:pPr>
            <w:r>
              <w:t xml:space="preserve">29 actividades acumuladas</w:t>
            </w:r>
          </w:p>
        </w:tc>
        <w:tc>
          <w:tcPr/>
          <w:p>
            <w:pPr>
              <w:pStyle w:val="Tabla8"/>
              <w:jc w:val="left"/>
            </w:pPr>
            <w:r>
              <w:t xml:space="preserve">29 actividades (20 talleres y 9 jornadas)</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Actas y listas de asistencia</w:t>
            </w:r>
          </w:p>
        </w:tc>
        <w:tc>
          <w:tcPr/>
          <w:p>
            <w:pPr>
              <w:pStyle w:val="Tabla8"/>
              <w:jc w:val="left"/>
            </w:pPr>
            <w:r>
              <w:t xml:space="preserve">Actas firmadas por representantes comunitarios</w:t>
            </w:r>
          </w:p>
        </w:tc>
      </w:tr>
      <w:tr>
        <w:trPr>
          <w:cantSplit/>
        </w:trPr>
        <w:tc>
          <w:tcPr/>
          <w:p>
            <w:pPr>
              <w:pStyle w:val="Tabla8"/>
              <w:jc w:val="left"/>
            </w:pPr>
            <w:r>
              <w:t xml:space="preserve">PERS-E01</w:t>
            </w:r>
          </w:p>
        </w:tc>
        <w:tc>
          <w:tcPr/>
          <w:p>
            <w:pPr>
              <w:pStyle w:val="Tabla8"/>
              <w:jc w:val="left"/>
            </w:pPr>
            <w:r>
              <w:t xml:space="preserve">≥ 50 % (piloto)</w:t>
            </w:r>
          </w:p>
        </w:tc>
        <w:tc>
          <w:tcPr/>
          <w:p>
            <w:pPr>
              <w:pStyle w:val="Tabla8"/>
              <w:jc w:val="left"/>
            </w:pPr>
            <w:r>
              <w:t xml:space="preserve">≥ 65 %</w:t>
            </w:r>
          </w:p>
        </w:tc>
        <w:tc>
          <w:tcPr/>
          <w:p>
            <w:pPr>
              <w:pStyle w:val="Tabla8"/>
              <w:jc w:val="left"/>
            </w:pPr>
            <w:r>
              <w:t xml:space="preserve">≥ 75 % al mes 24</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Actas de los comités y registro de decisiones del tablero</w:t>
            </w:r>
          </w:p>
        </w:tc>
        <w:tc>
          <w:tcPr/>
          <w:p>
            <w:pPr>
              <w:pStyle w:val="Tabla8"/>
              <w:jc w:val="left"/>
            </w:pPr>
            <w:r>
              <w:t xml:space="preserve">Acta del comité con referencia a la lectura del tablero</w:t>
            </w:r>
          </w:p>
        </w:tc>
      </w:tr>
      <w:tr>
        <w:trPr>
          <w:cantSplit/>
        </w:trPr>
        <w:tc>
          <w:tcPr/>
          <w:p>
            <w:pPr>
              <w:pStyle w:val="Tabla8"/>
              <w:jc w:val="left"/>
            </w:pPr>
            <w:r>
              <w:t xml:space="preserve">PERS-E02</w:t>
            </w:r>
          </w:p>
        </w:tc>
        <w:tc>
          <w:tcPr/>
          <w:p>
            <w:pPr>
              <w:pStyle w:val="Tabla8"/>
              <w:jc w:val="left"/>
            </w:pPr>
            <w:r>
              <w:t xml:space="preserve">Línea base medida</w:t>
            </w:r>
          </w:p>
        </w:tc>
        <w:tc>
          <w:tcPr/>
          <w:p>
            <w:pPr>
              <w:pStyle w:val="Tabla8"/>
              <w:jc w:val="left"/>
            </w:pPr>
            <w:r>
              <w:t xml:space="preserve">≥ 15 %</w:t>
            </w:r>
          </w:p>
        </w:tc>
        <w:tc>
          <w:tcPr/>
          <w:p>
            <w:pPr>
              <w:pStyle w:val="Tabla8"/>
              <w:jc w:val="left"/>
            </w:pPr>
            <w:r>
              <w:t xml:space="preserve">≥ 30 % de reducción relativa</w:t>
            </w:r>
          </w:p>
        </w:tc>
        <w:tc>
          <w:tcPr/>
          <w:p>
            <w:pPr>
              <w:pStyle w:val="Tabla8"/>
              <w:jc w:val="left"/>
            </w:pPr>
            <w:r>
              <w:t xml:space="preserve">Trimestral</w:t>
            </w:r>
          </w:p>
        </w:tc>
        <w:tc>
          <w:tcPr/>
          <w:p>
            <w:pPr>
              <w:pStyle w:val="Tabla8"/>
              <w:jc w:val="left"/>
            </w:pPr>
            <w:r>
              <w:t xml:space="preserve">Profesional en calidad del aire</w:t>
            </w:r>
          </w:p>
        </w:tc>
        <w:tc>
          <w:tcPr/>
          <w:p>
            <w:pPr>
              <w:pStyle w:val="Tabla8"/>
              <w:jc w:val="left"/>
            </w:pPr>
            <w:r>
              <w:t xml:space="preserve">Registro de alertas y verificación con referencia</w:t>
            </w:r>
          </w:p>
        </w:tc>
        <w:tc>
          <w:tcPr/>
          <w:p>
            <w:pPr>
              <w:pStyle w:val="Tabla8"/>
              <w:jc w:val="left"/>
            </w:pPr>
            <w:r>
              <w:t xml:space="preserve">Cruce entre alertas emitidas y mediciones de referencia</w:t>
            </w:r>
          </w:p>
        </w:tc>
      </w:tr>
      <w:tr>
        <w:trPr>
          <w:cantSplit/>
        </w:trPr>
        <w:tc>
          <w:tcPr/>
          <w:p>
            <w:pPr>
              <w:pStyle w:val="Tabla8"/>
              <w:jc w:val="left"/>
            </w:pPr>
            <w:r>
              <w:t xml:space="preserve">PERS-E03</w:t>
            </w:r>
          </w:p>
        </w:tc>
        <w:tc>
          <w:tcPr/>
          <w:p>
            <w:pPr>
              <w:pStyle w:val="Tabla8"/>
              <w:jc w:val="left"/>
            </w:pPr>
            <w:r>
              <w:t xml:space="preserve">20 personas</w:t>
            </w:r>
          </w:p>
        </w:tc>
        <w:tc>
          <w:tcPr/>
          <w:p>
            <w:pPr>
              <w:pStyle w:val="Tabla8"/>
              <w:jc w:val="left"/>
            </w:pPr>
            <w:r>
              <w:t xml:space="preserve">40 personas</w:t>
            </w:r>
          </w:p>
        </w:tc>
        <w:tc>
          <w:tcPr/>
          <w:p>
            <w:pPr>
              <w:pStyle w:val="Tabla8"/>
              <w:jc w:val="left"/>
            </w:pPr>
            <w:r>
              <w:t xml:space="preserve">≥ 60 personas certificadas</w:t>
            </w:r>
          </w:p>
        </w:tc>
        <w:tc>
          <w:tcPr/>
          <w:p>
            <w:pPr>
              <w:pStyle w:val="Tabla8"/>
              <w:jc w:val="left"/>
            </w:pPr>
            <w:r>
              <w:t xml:space="preserve">Semestral</w:t>
            </w:r>
          </w:p>
        </w:tc>
        <w:tc>
          <w:tcPr/>
          <w:p>
            <w:pPr>
              <w:pStyle w:val="Tabla8"/>
              <w:jc w:val="left"/>
            </w:pPr>
            <w:r>
              <w:t xml:space="preserve">Profesional de convenios y custodia</w:t>
            </w:r>
          </w:p>
        </w:tc>
        <w:tc>
          <w:tcPr/>
          <w:p>
            <w:pPr>
              <w:pStyle w:val="Tabla8"/>
              <w:jc w:val="left"/>
            </w:pPr>
            <w:r>
              <w:t xml:space="preserve">Registros de formación y evaluación práctica</w:t>
            </w:r>
          </w:p>
        </w:tc>
        <w:tc>
          <w:tcPr/>
          <w:p>
            <w:pPr>
              <w:pStyle w:val="Tabla8"/>
              <w:jc w:val="left"/>
            </w:pPr>
            <w:r>
              <w:t xml:space="preserve">Certificados y actas de evaluación práctica</w:t>
            </w:r>
          </w:p>
        </w:tc>
      </w:tr>
      <w:tr>
        <w:trPr>
          <w:cantSplit/>
        </w:trPr>
        <w:tc>
          <w:tcPr/>
          <w:p>
            <w:pPr>
              <w:pStyle w:val="Tabla8"/>
              <w:jc w:val="left"/>
            </w:pPr>
            <w:r>
              <w:t xml:space="preserve">PERS-S01</w:t>
            </w:r>
          </w:p>
        </w:tc>
        <w:tc>
          <w:tcPr/>
          <w:p>
            <w:pPr>
              <w:pStyle w:val="Tabla8"/>
              <w:jc w:val="left"/>
            </w:pPr>
            <w:r>
              <w:t xml:space="preserve">No aplica (medición posproyecto)</w:t>
            </w:r>
          </w:p>
        </w:tc>
        <w:tc>
          <w:tcPr/>
          <w:p>
            <w:pPr>
              <w:pStyle w:val="Tabla8"/>
              <w:jc w:val="left"/>
            </w:pPr>
            <w:r>
              <w:t xml:space="preserve">No aplica</w:t>
            </w:r>
          </w:p>
        </w:tc>
        <w:tc>
          <w:tcPr/>
          <w:p>
            <w:pPr>
              <w:pStyle w:val="Tabla8"/>
              <w:jc w:val="left"/>
            </w:pPr>
            <w:r>
              <w:t xml:space="preserve">≥ 80 % a los 12 meses posteriores al cierre</w:t>
            </w:r>
          </w:p>
        </w:tc>
        <w:tc>
          <w:tcPr/>
          <w:p>
            <w:pPr>
              <w:pStyle w:val="Tabla8"/>
              <w:jc w:val="left"/>
            </w:pPr>
            <w:r>
              <w:t xml:space="preserve">Anual, 6 a 12 meses tras el cierre</w:t>
            </w:r>
          </w:p>
        </w:tc>
        <w:tc>
          <w:tcPr/>
          <w:p>
            <w:pPr>
              <w:pStyle w:val="Tabla8"/>
              <w:jc w:val="left"/>
            </w:pPr>
            <w:r>
              <w:t xml:space="preserve">Custodios y secretarías de gestión del riesgo</w:t>
            </w:r>
          </w:p>
        </w:tc>
        <w:tc>
          <w:tcPr/>
          <w:p>
            <w:pPr>
              <w:pStyle w:val="Tabla8"/>
              <w:jc w:val="left"/>
            </w:pPr>
            <w:r>
              <w:t xml:space="preserve">Registro de eventos y de medidas</w:t>
            </w:r>
          </w:p>
        </w:tc>
        <w:tc>
          <w:tcPr/>
          <w:p>
            <w:pPr>
              <w:pStyle w:val="Tabla8"/>
              <w:jc w:val="left"/>
            </w:pPr>
            <w:r>
              <w:t xml:space="preserve">Evaluación externa posproyecto</w:t>
            </w:r>
          </w:p>
        </w:tc>
      </w:tr>
      <w:tr>
        <w:trPr>
          <w:cantSplit/>
        </w:trPr>
        <w:tc>
          <w:tcPr/>
          <w:p>
            <w:pPr>
              <w:pStyle w:val="Tabla8"/>
              <w:jc w:val="left"/>
            </w:pPr>
            <w:r>
              <w:t xml:space="preserve">PERS-S02</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 70 % a los 12 meses posteriores al cierre</w:t>
            </w:r>
          </w:p>
        </w:tc>
        <w:tc>
          <w:tcPr/>
          <w:p>
            <w:pPr>
              <w:pStyle w:val="Tabla8"/>
              <w:jc w:val="left"/>
            </w:pPr>
            <w:r>
              <w:t xml:space="preserve">Anual, 12 meses tras el cierre</w:t>
            </w:r>
          </w:p>
        </w:tc>
        <w:tc>
          <w:tcPr/>
          <w:p>
            <w:pPr>
              <w:pStyle w:val="Tabla8"/>
              <w:jc w:val="left"/>
            </w:pPr>
            <w:r>
              <w:t xml:space="preserve">Profesional de convenios y custodia</w:t>
            </w:r>
          </w:p>
        </w:tc>
        <w:tc>
          <w:tcPr/>
          <w:p>
            <w:pPr>
              <w:pStyle w:val="Tabla8"/>
              <w:jc w:val="left"/>
            </w:pPr>
            <w:r>
              <w:t xml:space="preserve">Convenios, presupuestos y plataforma</w:t>
            </w:r>
          </w:p>
        </w:tc>
        <w:tc>
          <w:tcPr/>
          <w:p>
            <w:pPr>
              <w:pStyle w:val="Tabla8"/>
              <w:jc w:val="left"/>
            </w:pPr>
            <w:r>
              <w:t xml:space="preserve">Evaluación externa posproyecto</w:t>
            </w:r>
          </w:p>
        </w:tc>
      </w:tr>
    </w:tbl>
    <w:p>
      <w:pPr>
        <w:pStyle w:val="TablaNota"/>
      </w:pPr>
      <w:r>
        <w:rPr>
          <w:i/>
          <w:iCs/>
        </w:rPr>
        <w:t xml:space="preserve">Nota.</w:t>
      </w:r>
      <w:r>
        <w:t xml:space="preserve"> </w:t>
      </w:r>
      <w:r>
        <w:t xml:space="preserve">Elaboración propia con datos de indicadores.py. Las metas de los meses 12 y 17 corresponden a las compuertas C1 y C2. Las metas son PROPUESTO. La medición de PERS-S01 y PERS-S02 ocurre fuera de la ejecución y su financiación es VACIO. Decimales con coma y miles con punto.</w:t>
      </w:r>
    </w:p>
    <w:p>
      <w:pPr>
        <w:pStyle w:val="BodyText"/>
      </w:pPr>
      <w:r>
        <w:t xml:space="preserve">Los dos registros muestran tres regularidades. Primero, las metas de producto y proceso son numéricas y verificables. Cuatro de las cinco metas de efecto y sostenibilidad dependen de una línea base aún inexistente. Segundo, los responsables de medición coinciden con cargos del presupuesto. Tercero, casi ninguna fuente depende de un tercero. Las actas de los comités y los registros de eventos de los custodios son la excepción, y exigen un acuerdo de datos. Esa dependencia explica por qué los cinco indicadores de mayor riesgo son los de efecto y sostenibilidad.</w:t>
      </w:r>
    </w:p>
    <w:p>
      <w:pPr>
        <w:pStyle w:val="BodyText"/>
      </w:pPr>
      <w:r>
        <w:t xml:space="preserve">El Paso 7 crea valor al convertir una lista de metas en un sistema auditable. Cada indicador tiene una definición, una fórmula, una línea base con su naturaleza y una evidencia de verificación. La taxonomía impide que el proyecto prometa como impacto lo que solo es un producto. El capítulo 12 desarrolla las fichas completas, y los capítulos 13 y 18 los conectan con la cadena causal y el marco lógico.</w:t>
      </w:r>
    </w:p>
    <w:bookmarkEnd w:id="254"/>
    <w:bookmarkEnd w:id="255"/>
    <w:bookmarkStart w:id="288" w:name="_Toc00900101"/>
    <w:p>
      <w:pPr>
        <w:pStyle w:val="Heading1"/>
      </w:pPr>
      <w:r>
        <w:t xml:space="preserve">Capítulo 1. Planteamiento del Problema</w:t>
      </w:r>
    </w:p>
    <w:bookmarkStart w:id="263" w:name="_Toc00900102"/>
    <w:p>
      <w:pPr>
        <w:pStyle w:val="Heading2"/>
      </w:pPr>
      <w:r>
        <w:t xml:space="preserve">1.1 Contexto General del Problema</w:t>
      </w:r>
    </w:p>
    <w:p>
      <w:pPr>
        <w:pStyle w:val="FirstParagraph"/>
      </w:pPr>
      <w:r>
        <w:t xml:space="preserve">El contexto combina tres planos. Son la vigilancia del material particulado, el uso de sensores de bajo costo y la gestión del riesgo después de un sismo. Esta sección describe cada plano con la literatura del banco de referencias. También usa el informe de vigilancia tecnológica y bibliometría de 42 documentos que aportó el usuario (en adelante, F-INF). Toda cifra conserva su fuente y su estado de verificación. Las fuentes primarias de F-INF no se consultaron de nuevo, de modo que sus cifras son DECLARADO y NO_VERIFICADO.</w:t>
      </w:r>
    </w:p>
    <w:bookmarkStart w:id="256" w:name="Xa01481ab5b8783226be34f17849a67e61f2b319"/>
    <w:p>
      <w:pPr>
        <w:pStyle w:val="Heading3"/>
      </w:pPr>
      <w:r>
        <w:t xml:space="preserve">1.1.1 Dominio de la vigilancia del material particulado</w:t>
      </w:r>
    </w:p>
    <w:p>
      <w:pPr>
        <w:pStyle w:val="FirstParagraph"/>
      </w:pPr>
      <w:r>
        <w:t xml:space="preserve">La vigilancia del material particulado mide la masa de partículas suspendidas en el aire para estimar la exposición de la población. PM2,5 designa las partículas de diámetro aerodinámico menor o igual a 2,5 micrómetros y PM10 las de diámetro menor o igual a 10 micrómetros. Las partículas finas penetran en las vías respiratorias profundas y se asocian con mortalidad y morbilidad cardiopulmonar (Pope y Dockery, 2006). La Organización Mundial de la Salud (OMS, 2021) publicó guías globales de calidad del aire que incluyen ambos contaminantes. Un desastre que derrumba edificaciones puede cambiar la magnitud y la composición de la exposición. Landrigan et al. (2004) revisan las consecuencias ambientales y sanitarias del desastre del World Trade Center como caso documentado.</w:t>
      </w:r>
    </w:p>
    <w:p>
      <w:pPr>
        <w:pStyle w:val="BodyText"/>
      </w:pPr>
      <w:r>
        <w:t xml:space="preserve">La disciplina distingue dos modos de medir. El primero usa monitores de referencia o equivalentes, con método gravimétrico o de atenuación beta (Magi et al., 2020), costosos y escasos. El segundo usa sensores ópticos de bajo costo, que estiman la masa a partir de la dispersión de luz. Kumar et al. (2015) sostienen que estos sensores permiten densificar la vigilancia urbana. Morawska et al. (2018) reconocen esa oportunidad y examinan los límites de sus aplicaciones. Castell et al. (2017) y Karagulian et al. (2019) documentan desempeños heterogéneos entre plataformas y condiciones. Giordano et al. (2021) sintetizan los desafíos y las buenas prácticas de calibración, entre ellas la colocalización con instrumentos de referencia. Las dos posiciones coinciden en un punto: el dato del sensor sirve para decidir solo si se conoce su error.</w:t>
      </w:r>
    </w:p>
    <w:p>
      <w:pPr>
        <w:pStyle w:val="BodyText"/>
      </w:pPr>
      <w:r>
        <w:t xml:space="preserve">El proyecto se ubica en el segundo modo y le exige una condición adicional. Los 100 nodos de medición, con sensor óptico de bajo costo, forman una red conectada. Su sigla es IoT, por Internet of Things. Se colocalizan con tres monitores gravimétricos de referencia, uno por departamento (PROPUESTO). El desempeño se juzga con los umbrales de la Agencia de Protección Ambiental de los Estados Unidos (EPA, 2021) para uso informativo en sitio fijo. La consecuencia metodológica es directa. El proyecto trata la lectura del nodo como una estimación con error por cuantificar y no como una medición equivalente a la referencia. La arquitectura es híbrida. Los nodos transmiten por radio de largo alcance (LoRa) a un gateway. El gateway aplica el modelo de corrección y reenvía por red celular con enlace satelital alterno. La nube aloja el entrenamiento del modelo y el gemelo digital. Aloja también un tablero del índice de calidad del aire y salud (AQHI, por la sigla en inglés de Air Quality Health Index).</w:t>
      </w:r>
    </w:p>
    <w:bookmarkEnd w:id="256"/>
    <w:bookmarkStart w:id="257" w:name="_Toc00900103"/>
    <w:p>
      <w:pPr>
        <w:pStyle w:val="Heading3"/>
      </w:pPr>
      <w:r>
        <w:t xml:space="preserve">1.1.2 Tendencias globales y regionales</w:t>
      </w:r>
    </w:p>
    <w:p>
      <w:pPr>
        <w:pStyle w:val="FirstParagraph"/>
      </w:pPr>
      <w:r>
        <w:t xml:space="preserve">La expansión reciente del monitoreo proviene en gran parte de sensores de bajo costo. Los casos de Seúl y de Brasil muestran sus posibilidades y sus límites. En Seúl, la red S-Dot de 1.138 sitios corrigió las lecturas con la estación cercana y un desfase de 35 minutos. El coeficiente de determinación (R²) pasó de menos de 0,2 a 0,81 (Bang et al., 2026, pp. 4 y 6-8). En Brasil, entre 2022 y 2024, los monitores de bajo costo pasaron de 37 a 194. Los monitores de referencia se mantuvieron entre 358 y 359. Además, 96 de 570 estaciones (16,8 %) estaban inactivas o sin estado (Tavella et al., 2026, p. 6). El caso brasileño indica que sumar nodos no equivale a sumar datos utilizables.</w:t>
      </w:r>
    </w:p>
    <w:p>
      <w:pPr>
        <w:pStyle w:val="BodyText"/>
      </w:pPr>
      <w:r>
        <w:t xml:space="preserve">F-INF describe un campo de madurez baja. El corpus reúne 26 artículos, 15 patentes y un informe institucional (F-INF, sección 3.1). El nivel medio de madurez tecnológica (TRL, por la sigla en inglés de Technology Readiness Level) es 3,85. De 41 documentos con TRL asignado, 34 se ubican en el nivel cuatro o menos (F-INF, sección 1.3). Solo dos alcanzan el nivel siete o más. El primero es el Sistema de Alerta Temprana de Medellín y el Valle de Aburrá (SIATA) (Ruiz-Carrascal et al., 2026). El segundo es el sistema automático de monitoreo de lahares del volcán Misti (Espinoza et al., 2026). La brecha entre prototipos y sistemas operativos es, por tanto, la regla del campo.</w:t>
      </w:r>
    </w:p>
    <w:p>
      <w:pPr>
        <w:pStyle w:val="BodyText"/>
      </w:pPr>
      <w:r>
        <w:t xml:space="preserve">La cobertura colombiana es limitada. El país reporta 209 estaciones, 192 fijas y 17 indicativas, y 154 de ellas integran un sistema de vigilancia (Murad Pedraza et al., 2026, pp. 5-6). Solo 92 de 1.122 municipios miden la calidad del aire y apenas 28 cuentan con estaciones utilizables para estimar la carga de enfermedad (Rodríguez-Villamizar et al., 2022, pp. 3 y 6). De 102 municipios obligados, 91 disponen de infraestructura y 42 cumplen los mínimos de vigilancia (Murad Pedraza et al., 2026, pp. 7 y 17). SIATA opera 65 equipos acreditados y 450 sensores de bajo costo con una inversión de 1,63 dólares por habitante y año (Ruiz-Carrascal et al., 2026, pp. 3 y 8). El diseño nacional propuesto prevé 5.076 estaciones, de las cuales 4.608 serían sensores (Murad Pedraza et al., 2026, p. 13).</w:t>
      </w:r>
    </w:p>
    <w:p>
      <w:pPr>
        <w:pStyle w:val="BodyText"/>
      </w:pPr>
      <w:r>
        <w:t xml:space="preserve">Dos posiciones orientan la expansión de estas redes. La primera privilegia la cobertura: más nodos acortan la distancia entre la medición y la población (Kumar et al., 2015). La segunda privilegia la calidad del dato: sin calibración ni mantenimiento, más nodos no producen más información utilizable (Giordano et al., 2021). La experiencia de Brasil respalda la segunda lectura. El diseño colombiano ilustra el riesgo. F-INF calcula que 90,8 % de las estaciones propuestas serían sensores sin plan de calibración (F-INF, sección 1.3; cálculo del analista). El proyecto adopta la segunda posición como regla de diseño. Compra por tramos. Condiciona cada ampliación a una compuerta de desempeño. Limita la red a 100 nodos. La Tabla 1.1 compara los indicadores nacionales con los internacionales y deja visible su estado de verificación. La tabla incluye los estudios del AQHI.</w:t>
      </w:r>
    </w:p>
    <w:p>
      <w:pPr>
        <w:pStyle w:val="TablaRotulo"/>
      </w:pPr>
      <w:bookmarkStart w:id="9226" w:name="rot_Tabla_1_1"/>
      <w:r>
        <w:rPr>
          <w:b/>
          <w:bCs/>
        </w:rPr>
        <w:t xml:space="preserve">Tabla 1.1</w:t>
      </w:r>
      <w:bookmarkEnd w:id="9226"/>
    </w:p>
    <w:p>
      <w:pPr>
        <w:pStyle w:val="TablaTitulo"/>
      </w:pPr>
      <w:r>
        <w:rPr>
          <w:i/>
          <w:iCs/>
        </w:rPr>
        <w:t xml:space="preserve">Indicadores del sector de vigilancia de material particulado a nivel nacional e internacional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056"/>
        <w:gridCol w:w="1254"/>
        <w:gridCol w:w="1122"/>
        <w:gridCol w:w="1716"/>
        <w:gridCol w:w="1188"/>
        <w:gridCol w:w="1584"/>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Colombia</w:t>
            </w:r>
          </w:p>
        </w:tc>
        <w:tc>
          <w:tcPr>
            <w:shd w:val="clear" w:color="auto" w:fill="00B050"/>
          </w:tcPr>
          <w:p>
            <w:pPr>
              <w:pStyle w:val="Tabla9"/>
              <w:jc w:val="center"/>
            </w:pPr>
            <w:r>
              <w:rPr>
                <w:b/>
                <w:color w:val="FFFFFF"/>
              </w:rPr>
              <w:t xml:space="preserve">Referencia internacional</w:t>
            </w:r>
          </w:p>
        </w:tc>
        <w:tc>
          <w:tcPr>
            <w:shd w:val="clear" w:color="auto" w:fill="00B050"/>
          </w:tcPr>
          <w:p>
            <w:pPr>
              <w:pStyle w:val="Tabla9"/>
              <w:jc w:val="center"/>
            </w:pPr>
            <w:r>
              <w:rPr>
                <w:b/>
                <w:color w:val="FFFFFF"/>
              </w:rPr>
              <w:t xml:space="preserve">Fuente y páginas</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Estaciones de monitoreo</w:t>
            </w:r>
          </w:p>
        </w:tc>
        <w:tc>
          <w:tcPr/>
          <w:p>
            <w:pPr>
              <w:pStyle w:val="Tabla9"/>
              <w:jc w:val="left"/>
            </w:pPr>
            <w:r>
              <w:t xml:space="preserve">209 reportadas (192 fijas y 17 indicativas); 154 integran un sistema de vigilancia</w:t>
            </w:r>
          </w:p>
        </w:tc>
        <w:tc>
          <w:tcPr/>
          <w:p>
            <w:pPr>
              <w:pStyle w:val="Tabla9"/>
              <w:jc w:val="left"/>
            </w:pPr>
            <w:r>
              <w:t xml:space="preserve">Brasil, 2022 a 2024: monitores de bajo costo de 37 a 194; monitores de referencia de 358 a 359</w:t>
            </w:r>
          </w:p>
        </w:tc>
        <w:tc>
          <w:tcPr/>
          <w:p>
            <w:pPr>
              <w:pStyle w:val="Tabla9"/>
              <w:jc w:val="left"/>
            </w:pPr>
            <w:r>
              <w:t xml:space="preserve">Murad Pedraza et al. (2026, pp. 5-6); Tavella et al. (2026, p. 6)</w:t>
            </w:r>
          </w:p>
        </w:tc>
        <w:tc>
          <w:tcPr/>
          <w:p>
            <w:pPr>
              <w:pStyle w:val="Tabla9"/>
              <w:jc w:val="left"/>
            </w:pPr>
            <w:r>
              <w:t xml:space="preserve">DECLARADO (F-INF)</w:t>
            </w:r>
          </w:p>
        </w:tc>
        <w:tc>
          <w:tcPr/>
          <w:p>
            <w:pPr>
              <w:pStyle w:val="Tabla9"/>
              <w:jc w:val="left"/>
            </w:pPr>
            <w:r>
              <w:t xml:space="preserve">NO_VERIFICADO</w:t>
            </w:r>
          </w:p>
        </w:tc>
      </w:tr>
      <w:tr>
        <w:trPr>
          <w:cantSplit/>
        </w:trPr>
        <w:tc>
          <w:tcPr/>
          <w:p>
            <w:pPr>
              <w:pStyle w:val="Tabla9"/>
              <w:jc w:val="left"/>
            </w:pPr>
            <w:r>
              <w:t xml:space="preserve">Cobertura municipal</w:t>
            </w:r>
          </w:p>
        </w:tc>
        <w:tc>
          <w:tcPr/>
          <w:p>
            <w:pPr>
              <w:pStyle w:val="Tabla9"/>
              <w:jc w:val="left"/>
            </w:pPr>
            <w:r>
              <w:t xml:space="preserve">92 de 1.122 municipios miden calidad del aire; 28 con estaciones utilizables para estimar la carga</w:t>
            </w:r>
          </w:p>
        </w:tc>
        <w:tc>
          <w:tcPr/>
          <w:p>
            <w:pPr>
              <w:pStyle w:val="Tabla9"/>
              <w:jc w:val="left"/>
            </w:pPr>
            <w:r>
              <w:t xml:space="preserve">Seúl: red S-Dot de 1.138 sitios</w:t>
            </w:r>
          </w:p>
        </w:tc>
        <w:tc>
          <w:tcPr/>
          <w:p>
            <w:pPr>
              <w:pStyle w:val="Tabla9"/>
              <w:jc w:val="left"/>
            </w:pPr>
            <w:r>
              <w:t xml:space="preserve">Rodríguez-Villamizar et al. (2022, pp. 3 y 6); Bang et al. (2026, p. 4)</w:t>
            </w:r>
          </w:p>
        </w:tc>
        <w:tc>
          <w:tcPr/>
          <w:p>
            <w:pPr>
              <w:pStyle w:val="Tabla9"/>
              <w:jc w:val="left"/>
            </w:pPr>
            <w:r>
              <w:t xml:space="preserve">DECLARADO (F-INF)</w:t>
            </w:r>
          </w:p>
        </w:tc>
        <w:tc>
          <w:tcPr/>
          <w:p>
            <w:pPr>
              <w:pStyle w:val="Tabla9"/>
              <w:jc w:val="left"/>
            </w:pPr>
            <w:r>
              <w:t xml:space="preserve">NO_VERIFICADO</w:t>
            </w:r>
          </w:p>
        </w:tc>
      </w:tr>
      <w:tr>
        <w:trPr>
          <w:cantSplit/>
        </w:trPr>
        <w:tc>
          <w:tcPr/>
          <w:p>
            <w:pPr>
              <w:pStyle w:val="Tabla9"/>
              <w:jc w:val="left"/>
            </w:pPr>
            <w:r>
              <w:t xml:space="preserve">Cumplimiento de mínimos de vigilancia</w:t>
            </w:r>
          </w:p>
        </w:tc>
        <w:tc>
          <w:tcPr/>
          <w:p>
            <w:pPr>
              <w:pStyle w:val="Tabla9"/>
              <w:jc w:val="left"/>
            </w:pPr>
            <w:r>
              <w:t xml:space="preserve">42 de 102 municipios obligados cumplen los mínimos; 91 con infraestructura</w:t>
            </w:r>
          </w:p>
        </w:tc>
        <w:tc>
          <w:tcPr/>
          <w:p>
            <w:pPr>
              <w:pStyle w:val="Tabla9"/>
              <w:jc w:val="left"/>
            </w:pPr>
            <w:r>
              <w:t xml:space="preserve">Sin dato comparable en el corpus</w:t>
            </w:r>
          </w:p>
        </w:tc>
        <w:tc>
          <w:tcPr/>
          <w:p>
            <w:pPr>
              <w:pStyle w:val="Tabla9"/>
              <w:jc w:val="left"/>
            </w:pPr>
            <w:r>
              <w:t xml:space="preserve">Murad Pedraza et al. (2026, pp. 7 y 17)</w:t>
            </w:r>
          </w:p>
        </w:tc>
        <w:tc>
          <w:tcPr/>
          <w:p>
            <w:pPr>
              <w:pStyle w:val="Tabla9"/>
              <w:jc w:val="left"/>
            </w:pPr>
            <w:r>
              <w:t xml:space="preserve">DECLARADO (F-INF)</w:t>
            </w:r>
          </w:p>
        </w:tc>
        <w:tc>
          <w:tcPr/>
          <w:p>
            <w:pPr>
              <w:pStyle w:val="Tabla9"/>
              <w:jc w:val="left"/>
            </w:pPr>
            <w:r>
              <w:t xml:space="preserve">NO_VERIFICADO</w:t>
            </w:r>
          </w:p>
        </w:tc>
      </w:tr>
      <w:tr>
        <w:trPr>
          <w:cantSplit/>
        </w:trPr>
        <w:tc>
          <w:tcPr/>
          <w:p>
            <w:pPr>
              <w:pStyle w:val="Tabla9"/>
              <w:jc w:val="left"/>
            </w:pPr>
            <w:r>
              <w:t xml:space="preserve">Inversión en vigilancia</w:t>
            </w:r>
          </w:p>
        </w:tc>
        <w:tc>
          <w:tcPr/>
          <w:p>
            <w:pPr>
              <w:pStyle w:val="Tabla9"/>
              <w:jc w:val="left"/>
            </w:pPr>
            <w:r>
              <w:t xml:space="preserve">SIATA: 1,63 dólares por habitante y año; red nacional propuesta: 719,7 mil millones de pesos de adquisición y unos 302 mil millones por año de operación</w:t>
            </w:r>
          </w:p>
        </w:tc>
        <w:tc>
          <w:tcPr/>
          <w:p>
            <w:pPr>
              <w:pStyle w:val="Tabla9"/>
              <w:jc w:val="left"/>
            </w:pPr>
            <w:r>
              <w:t xml:space="preserve">Sin dato comparable en el corpus</w:t>
            </w:r>
          </w:p>
        </w:tc>
        <w:tc>
          <w:tcPr/>
          <w:p>
            <w:pPr>
              <w:pStyle w:val="Tabla9"/>
              <w:jc w:val="left"/>
            </w:pPr>
            <w:r>
              <w:t xml:space="preserve">Ruiz-Carrascal et al. (2026, p. 3); Murad Pedraza et al. (2026, p. 15)</w:t>
            </w:r>
          </w:p>
        </w:tc>
        <w:tc>
          <w:tcPr/>
          <w:p>
            <w:pPr>
              <w:pStyle w:val="Tabla9"/>
              <w:jc w:val="left"/>
            </w:pPr>
            <w:r>
              <w:t xml:space="preserve">DECLARADO; operación anual CALCULADO por el analista de F-INF</w:t>
            </w:r>
          </w:p>
        </w:tc>
        <w:tc>
          <w:tcPr/>
          <w:p>
            <w:pPr>
              <w:pStyle w:val="Tabla9"/>
              <w:jc w:val="left"/>
            </w:pPr>
            <w:r>
              <w:t xml:space="preserve">NO_VERIFICADO</w:t>
            </w:r>
          </w:p>
        </w:tc>
      </w:tr>
      <w:tr>
        <w:trPr>
          <w:cantSplit/>
        </w:trPr>
        <w:tc>
          <w:tcPr/>
          <w:p>
            <w:pPr>
              <w:pStyle w:val="Tabla9"/>
              <w:jc w:val="left"/>
            </w:pPr>
            <w:r>
              <w:t xml:space="preserve">Estaciones inactivas</w:t>
            </w:r>
          </w:p>
        </w:tc>
        <w:tc>
          <w:tcPr/>
          <w:p>
            <w:pPr>
              <w:pStyle w:val="Tabla9"/>
              <w:jc w:val="left"/>
            </w:pPr>
            <w:r>
              <w:t xml:space="preserve">Sin dato nacional en el corpus</w:t>
            </w:r>
          </w:p>
        </w:tc>
        <w:tc>
          <w:tcPr/>
          <w:p>
            <w:pPr>
              <w:pStyle w:val="Tabla9"/>
              <w:jc w:val="left"/>
            </w:pPr>
            <w:r>
              <w:t xml:space="preserve">Brasil: 96 de 570 estaciones inactivas o sin estado (16,8 %)</w:t>
            </w:r>
          </w:p>
        </w:tc>
        <w:tc>
          <w:tcPr/>
          <w:p>
            <w:pPr>
              <w:pStyle w:val="Tabla9"/>
              <w:jc w:val="left"/>
            </w:pPr>
            <w:r>
              <w:t xml:space="preserve">Tavella et al. (2026, p. 6)</w:t>
            </w:r>
          </w:p>
        </w:tc>
        <w:tc>
          <w:tcPr/>
          <w:p>
            <w:pPr>
              <w:pStyle w:val="Tabla9"/>
              <w:jc w:val="left"/>
            </w:pPr>
            <w:r>
              <w:t xml:space="preserve">VACIO (Colombia); DECLARADO (Brasil)</w:t>
            </w:r>
          </w:p>
        </w:tc>
        <w:tc>
          <w:tcPr/>
          <w:p>
            <w:pPr>
              <w:pStyle w:val="Tabla9"/>
              <w:jc w:val="left"/>
            </w:pPr>
            <w:r>
              <w:t xml:space="preserve">NO_VERIFICADO</w:t>
            </w:r>
          </w:p>
        </w:tc>
      </w:tr>
      <w:tr>
        <w:trPr>
          <w:cantSplit/>
        </w:trPr>
        <w:tc>
          <w:tcPr/>
          <w:p>
            <w:pPr>
              <w:pStyle w:val="Tabla9"/>
              <w:jc w:val="left"/>
            </w:pPr>
            <w:r>
              <w:t xml:space="preserve">Plan de calibración de sensores</w:t>
            </w:r>
          </w:p>
        </w:tc>
        <w:tc>
          <w:tcPr/>
          <w:p>
            <w:pPr>
              <w:pStyle w:val="Tabla9"/>
              <w:jc w:val="left"/>
            </w:pPr>
            <w:r>
              <w:t xml:space="preserve">90,8 % de las 5.076 estaciones propuestas serían sensores sin plan de calibración</w:t>
            </w:r>
          </w:p>
        </w:tc>
        <w:tc>
          <w:tcPr/>
          <w:p>
            <w:pPr>
              <w:pStyle w:val="Tabla9"/>
              <w:jc w:val="left"/>
            </w:pPr>
            <w:r>
              <w:t xml:space="preserve">Seúl: la corrección con la estación cercana y 35 minutos de desfase elevó el R² de menos de 0,2 a 0,81</w:t>
            </w:r>
          </w:p>
        </w:tc>
        <w:tc>
          <w:tcPr/>
          <w:p>
            <w:pPr>
              <w:pStyle w:val="Tabla9"/>
              <w:jc w:val="left"/>
            </w:pPr>
            <w:r>
              <w:t xml:space="preserve">Murad Pedraza et al. (2026, pp. 10-11 y 13); Bang et al. (2026, pp. 6-8)</w:t>
            </w:r>
          </w:p>
        </w:tc>
        <w:tc>
          <w:tcPr/>
          <w:p>
            <w:pPr>
              <w:pStyle w:val="Tabla9"/>
              <w:jc w:val="left"/>
            </w:pPr>
            <w:r>
              <w:t xml:space="preserve">CALCULADO por el analista de F-INF; DECLARADO</w:t>
            </w:r>
          </w:p>
        </w:tc>
        <w:tc>
          <w:tcPr/>
          <w:p>
            <w:pPr>
              <w:pStyle w:val="Tabla9"/>
              <w:jc w:val="left"/>
            </w:pPr>
            <w:r>
              <w:t xml:space="preserve">NO_VERIFICADO</w:t>
            </w:r>
          </w:p>
        </w:tc>
      </w:tr>
      <w:tr>
        <w:trPr>
          <w:cantSplit/>
        </w:trPr>
        <w:tc>
          <w:tcPr/>
          <w:p>
            <w:pPr>
              <w:pStyle w:val="Tabla9"/>
              <w:jc w:val="left"/>
            </w:pPr>
            <w:r>
              <w:t xml:space="preserve">Sesgo por humedad</w:t>
            </w:r>
          </w:p>
        </w:tc>
        <w:tc>
          <w:tcPr/>
          <w:p>
            <w:pPr>
              <w:pStyle w:val="Tabla9"/>
              <w:jc w:val="left"/>
            </w:pPr>
            <w:r>
              <w:t xml:space="preserve">Sin serie local</w:t>
            </w:r>
          </w:p>
        </w:tc>
        <w:tc>
          <w:tcPr/>
          <w:p>
            <w:pPr>
              <w:pStyle w:val="Tabla9"/>
              <w:jc w:val="left"/>
            </w:pPr>
            <w:r>
              <w:t xml:space="preserve">Mina a cielo abierto: correlación de 0,73 entre partículas y humedad; PM2,5 medio de 159,11 µg/m3</w:t>
            </w:r>
          </w:p>
        </w:tc>
        <w:tc>
          <w:tcPr/>
          <w:p>
            <w:pPr>
              <w:pStyle w:val="Tabla9"/>
              <w:jc w:val="left"/>
            </w:pPr>
            <w:r>
              <w:t xml:space="preserve">Suresh et al. (2025, pp. 10, 22 y 30)</w:t>
            </w:r>
          </w:p>
        </w:tc>
        <w:tc>
          <w:tcPr/>
          <w:p>
            <w:pPr>
              <w:pStyle w:val="Tabla9"/>
              <w:jc w:val="left"/>
            </w:pPr>
            <w:r>
              <w:t xml:space="preserve">VACIO (Colombia); DECLARADO (mina)</w:t>
            </w:r>
          </w:p>
        </w:tc>
        <w:tc>
          <w:tcPr/>
          <w:p>
            <w:pPr>
              <w:pStyle w:val="Tabla9"/>
              <w:jc w:val="left"/>
            </w:pPr>
            <w:r>
              <w:t xml:space="preserve">NO_VERIFICADO</w:t>
            </w:r>
          </w:p>
        </w:tc>
      </w:tr>
      <w:tr>
        <w:trPr>
          <w:cantSplit/>
        </w:trPr>
        <w:tc>
          <w:tcPr/>
          <w:p>
            <w:pPr>
              <w:pStyle w:val="Tabla9"/>
              <w:jc w:val="left"/>
            </w:pPr>
            <w:r>
              <w:t xml:space="preserve">Índices de calidad del aire y salud</w:t>
            </w:r>
          </w:p>
        </w:tc>
        <w:tc>
          <w:tcPr/>
          <w:p>
            <w:pPr>
              <w:pStyle w:val="Tabla9"/>
              <w:jc w:val="left"/>
            </w:pPr>
            <w:r>
              <w:t xml:space="preserve">Ningún estudio latinoamericano entre los 53 revisados</w:t>
            </w:r>
          </w:p>
        </w:tc>
        <w:tc>
          <w:tcPr/>
          <w:p>
            <w:pPr>
              <w:pStyle w:val="Tabla9"/>
              <w:jc w:val="left"/>
            </w:pPr>
            <w:r>
              <w:t xml:space="preserve">53 estudios: 88,7 % de China; 9,4 % validó con partición de datos</w:t>
            </w:r>
          </w:p>
        </w:tc>
        <w:tc>
          <w:tcPr/>
          <w:p>
            <w:pPr>
              <w:pStyle w:val="Tabla9"/>
              <w:jc w:val="left"/>
            </w:pPr>
            <w:r>
              <w:t xml:space="preserve">Liao et al. (2026, pp. 6 y 8)</w:t>
            </w:r>
          </w:p>
        </w:tc>
        <w:tc>
          <w:tcPr/>
          <w:p>
            <w:pPr>
              <w:pStyle w:val="Tabla9"/>
              <w:jc w:val="left"/>
            </w:pPr>
            <w:r>
              <w:t xml:space="preserve">DECLARADO (F-INF)</w:t>
            </w:r>
          </w:p>
        </w:tc>
        <w:tc>
          <w:tcPr/>
          <w:p>
            <w:pPr>
              <w:pStyle w:val="Tabla9"/>
              <w:jc w:val="left"/>
            </w:pPr>
            <w:r>
              <w:t xml:space="preserve">NO_VERIFICADO</w:t>
            </w:r>
          </w:p>
        </w:tc>
      </w:tr>
      <w:tr>
        <w:trPr>
          <w:cantSplit/>
        </w:trPr>
        <w:tc>
          <w:tcPr/>
          <w:p>
            <w:pPr>
              <w:pStyle w:val="Tabla9"/>
              <w:jc w:val="left"/>
            </w:pPr>
            <w:r>
              <w:t xml:space="preserve">Madurez de los sistemas de alerta</w:t>
            </w:r>
          </w:p>
        </w:tc>
        <w:tc>
          <w:tcPr/>
          <w:p>
            <w:pPr>
              <w:pStyle w:val="Tabla9"/>
              <w:jc w:val="left"/>
            </w:pPr>
            <w:r>
              <w:t xml:space="preserve">SIATA con TRL de 7 o más</w:t>
            </w:r>
          </w:p>
        </w:tc>
        <w:tc>
          <w:tcPr/>
          <w:p>
            <w:pPr>
              <w:pStyle w:val="Tabla9"/>
              <w:jc w:val="left"/>
            </w:pPr>
            <w:r>
              <w:t xml:space="preserve">Sistema de lahares del volcán Misti con TRL de 7 o más; TRL medio del corpus de 3,85</w:t>
            </w:r>
          </w:p>
        </w:tc>
        <w:tc>
          <w:tcPr/>
          <w:p>
            <w:pPr>
              <w:pStyle w:val="Tabla9"/>
              <w:jc w:val="left"/>
            </w:pPr>
            <w:r>
              <w:t xml:space="preserve">Ruiz-Carrascal et al. (2026); Espinoza et al. (2026); F-INF, sección 1.3</w:t>
            </w:r>
          </w:p>
        </w:tc>
        <w:tc>
          <w:tcPr/>
          <w:p>
            <w:pPr>
              <w:pStyle w:val="Tabla9"/>
              <w:jc w:val="left"/>
            </w:pPr>
            <w:r>
              <w:t xml:space="preserve">DECLARADO (F-INF)</w:t>
            </w:r>
          </w:p>
        </w:tc>
        <w:tc>
          <w:tcPr/>
          <w:p>
            <w:pPr>
              <w:pStyle w:val="Tabla9"/>
              <w:jc w:val="left"/>
            </w:pPr>
            <w:r>
              <w:t xml:space="preserve">NO_VERIFICADO</w:t>
            </w:r>
          </w:p>
        </w:tc>
      </w:tr>
      <w:tr>
        <w:trPr>
          <w:cantSplit/>
        </w:trPr>
        <w:tc>
          <w:tcPr/>
          <w:p>
            <w:pPr>
              <w:pStyle w:val="Tabla9"/>
              <w:jc w:val="left"/>
            </w:pPr>
            <w:r>
              <w:t xml:space="preserve">Carga de enfermedad</w:t>
            </w:r>
          </w:p>
        </w:tc>
        <w:tc>
          <w:tcPr/>
          <w:p>
            <w:pPr>
              <w:pStyle w:val="Tabla9"/>
              <w:jc w:val="left"/>
            </w:pPr>
            <w:r>
              <w:t xml:space="preserve">Muertes evitables de 2014 a 2019: 142 con 25 µg/m3 y 34.341 con 15 µg/m3</w:t>
            </w:r>
          </w:p>
        </w:tc>
        <w:tc>
          <w:tcPr/>
          <w:p>
            <w:pPr>
              <w:pStyle w:val="Tabla9"/>
              <w:jc w:val="left"/>
            </w:pPr>
            <w:r>
              <w:t xml:space="preserve">España: 17.978 admisiones al año atribuibles a días con humo de biomasa</w:t>
            </w:r>
          </w:p>
        </w:tc>
        <w:tc>
          <w:tcPr/>
          <w:p>
            <w:pPr>
              <w:pStyle w:val="Tabla9"/>
              <w:jc w:val="left"/>
            </w:pPr>
            <w:r>
              <w:t xml:space="preserve">Rodríguez-Villamizar et al. (2022, pp. 6 y 8); Botezat et al. (2025, p. 8)</w:t>
            </w:r>
          </w:p>
        </w:tc>
        <w:tc>
          <w:tcPr/>
          <w:p>
            <w:pPr>
              <w:pStyle w:val="Tabla9"/>
              <w:jc w:val="left"/>
            </w:pPr>
            <w:r>
              <w:t xml:space="preserve">DECLARADO (F-INF)</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datos de F-INF (tabla 3.1 y sección 1.3). Las fuentes primarias no se consultaron en esta corrida. VACIO indica ausencia de dato en el corpus. Decimales con coma.</w:t>
      </w:r>
    </w:p>
    <w:p>
      <w:pPr>
        <w:pStyle w:val="BodyText"/>
      </w:pPr>
      <w:r>
        <w:t xml:space="preserve">La Tabla 1.1 revela una asimetría entre los dos planos. Los indicadores internacionales describen redes que ya corrigen, amplían o evalúan sus sensores. Los indicadores colombianos describen cobertura limitada, calibración ausente y madurez baja, con una excepción operativa en SIATA. La tabla no contiene ninguna cifra medida en Caldas, Cundinamarca o Valle del Cauca. Esa ausencia define el alcance de lo que el contexto permite afirmar y justifica que la línea base propia se mida en el tramo 1.</w:t>
      </w:r>
    </w:p>
    <w:bookmarkEnd w:id="257"/>
    <w:bookmarkStart w:id="261" w:name="_Toc00900104"/>
    <w:p>
      <w:pPr>
        <w:pStyle w:val="Heading3"/>
      </w:pPr>
      <w:r>
        <w:t xml:space="preserve">1.1.3 Marco situacional del territorio</w:t>
      </w:r>
    </w:p>
    <w:p>
      <w:pPr>
        <w:pStyle w:val="FirstParagraph"/>
      </w:pPr>
      <w:r>
        <w:t xml:space="preserve">El territorio del proyecto comprende los departamentos de Caldas, Cundinamarca y Valle del Cauca. La delimitación es un supuesto por instrucción del usuario (SUPUESTO) y no procede de términos de referencia (TdR), que no se aportaron. El expediente E3 aportado por el usuario (en adelante, F-E3) describe un sismo del 10 de agosto. Describe también una remoción de escombros en curso como fuente de PM2,5 y PM10. Ambas premisas se tratan como SUPUESTO. La focalización contempla 12 municipios, cuatro por departamento ([DATO_USUARIO: lista de municipios]). Contempla además 15 comités de gestión del riesgo, 12 municipales y tres departamentales (SUPUESTO).</w:t>
      </w:r>
    </w:p>
    <w:p>
      <w:pPr>
        <w:pStyle w:val="BodyText"/>
      </w:pPr>
      <w:r>
        <w:t xml:space="preserve">La remoción de escombros altera la exposición por dos vías. Resuspende polvo grueso y concentra maquinaria en sitios acotados. La literatura del banco documenta el polvo de un desastre urbano (Landrigan et al., 2004). El corpus de F-INF, en cambio, no incluye un estudio del polvo de escombros posterremoto en Colombia. El análogo más cercano es una mina de carbón a cielo abierto. Allí el PM2,5 medio fue de 159,11 µg/m3 y el cociente PM2,5/PM10 de 0,88 (Suresh et al., 2025, pp. 10 y 22). Ese cociente describe una mina y no un sitio de escombros. La fracción gruesa de los escombros es, por tanto, un dato VACIO que el proyecto mide en el tramo 1.</w:t>
      </w:r>
    </w:p>
    <w:p>
      <w:pPr>
        <w:pStyle w:val="BodyText"/>
      </w:pPr>
      <w:r>
        <w:t xml:space="preserve">El territorio recibe también aportes ajenos a la remoción. El episodio de febrero y marzo de 2022 elevó el PM2,5 en siete estaciones. Las estaciones están en cuatro departamentos y en Bogotá. La causa fue el transporte regional de humo (Ayala-Parra et al., 2026, pp. 7-10). Dos explicaciones compiten para un exceso de partículas en un sitio de remoción. Una lo atribuye a la obra. La otra lo atribuye a un episodio regional que coincide con la obra. El proyecto evita esa disyuntiva porque formula su variable de resultado como error frente a una referencia colocalizada y no como exposición. Ese error no depende de la fuente de las partículas. La Figura 1.1 esquematiza la localización de los 100 nodos por departamento y por tramo.</w:t>
      </w:r>
    </w:p>
    <w:p>
      <w:pPr>
        <w:pStyle w:val="FiguraRotulo"/>
      </w:pPr>
      <w:bookmarkStart w:id="9487" w:name="rot_Figura_1_1"/>
      <w:r>
        <w:rPr>
          <w:b/>
          <w:bCs/>
        </w:rPr>
        <w:t xml:space="preserve">Figura 1.1</w:t>
      </w:r>
      <w:bookmarkEnd w:id="9487"/>
    </w:p>
    <w:p>
      <w:pPr>
        <w:pStyle w:val="FiguraTitulo"/>
      </w:pPr>
      <w:r>
        <w:rPr>
          <w:i/>
          <w:iCs/>
        </w:rPr>
        <w:t xml:space="preserve">Esquema de localización de los tres departamentos con los nodos por tramo</w:t>
      </w:r>
    </w:p>
    <w:p>
      <w:pPr>
        <w:pStyle w:val="BodyText"/>
      </w:pPr>
      <w:r>
        <w:drawing>
          <wp:inline>
            <wp:extent cx="5579999" cy="3469915"/>
            <wp:effectExtent b="0" l="0" r="0" t="0"/>
            <wp:docPr descr="" title="" id="259" name="Picture"/>
            <a:graphic>
              <a:graphicData uri="http://schemas.openxmlformats.org/drawingml/2006/picture">
                <pic:pic>
                  <pic:nvPicPr>
                    <pic:cNvPr descr="/tmp/claude-0/-home-user-docs/ddf38714-2a7e-502b-92b4-1008e2832422/scratchpad/proy/figs/out/c1_f01.png" id="260" name="Picture"/>
                    <pic:cNvPicPr>
                      <a:picLocks noChangeArrowheads="1" noChangeAspect="1"/>
                    </pic:cNvPicPr>
                  </pic:nvPicPr>
                  <pic:blipFill>
                    <a:blip r:embed="rId258"/>
                    <a:stretch>
                      <a:fillRect/>
                    </a:stretch>
                  </pic:blipFill>
                  <pic:spPr bwMode="auto">
                    <a:xfrm>
                      <a:off x="0" y="0"/>
                      <a:ext cx="5579999" cy="34699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Esquema sin escala geográfica. Fuente: ficha maestra del proyecto (tramos, nodos, gateways y distribución por departamento, PROPUESTO). Elaboración propia con matplotlib 3.11.2 y la plantilla estilo.py; tamaño de 10 × 7 pulgadas; sin semilla aleatoria; corte de datos del 13 de octubre de 2026.</w:t>
      </w:r>
    </w:p>
    <w:bookmarkEnd w:id="261"/>
    <w:bookmarkStart w:id="262" w:name="X2655df52634f21ae61ffc6ddaed93cf2994e590"/>
    <w:p>
      <w:pPr>
        <w:pStyle w:val="Heading3"/>
      </w:pPr>
      <w:r>
        <w:t xml:space="preserve">1.1.4 Referencia a los Objetivos de Desarrollo Sostenible y a las políticas públicas</w:t>
      </w:r>
    </w:p>
    <w:p>
      <w:pPr>
        <w:pStyle w:val="FirstParagraph"/>
      </w:pPr>
      <w:r>
        <w:t xml:space="preserve">El problema se inscribe en un marco de política pública que el proyecto no verifica por completo. La Ley 1523 de 2012 organiza la gestión del riesgo de desastres en tres procesos: conocimiento, reducción y manejo (Congreso de la República, 2012a). La Ley 2056 de 2020 regula el funcionamiento del Sistema General de Regalías (SGR), fuente de la convocatoria (Congreso de la República, 2020). El Departamento Nacional de Planeación (DNP) formuló la política de mejoramiento de la calidad del aire. La política consta en el documento CONPES 3943, del Consejo Nacional de Política Económica y Social (DNP, 2018). El marco internacional reúne dos fuentes. La Oficina de las Naciones Unidas para la Reducción del Riesgo de Desastres (UNDRR) publicó el Marco de Sendái (UNDRR, 2015). La Organización de las Naciones Unidas (ONU) adoptó la Agenda 2030 (ONU, 2015).</w:t>
      </w:r>
    </w:p>
    <w:p>
      <w:pPr>
        <w:pStyle w:val="BodyText"/>
      </w:pPr>
      <w:r>
        <w:t xml:space="preserve">Cada instrumento encuadra el problema de manera distinta. Una política de calidad del aire tiende a encuadrarlo en las emisiones y en el cumplimiento de normas. Una política de gestión del riesgo lo encuadra en los procesos de conocimiento, reducción y manejo. Bacchi (2009) y Schön y Rein (1994) explican que cada política construye el problema que pretende resolver y que la elección del encuadre orienta la acción. El proyecto propone un tercer encuadre, complementario: la calidad del dato como condición de ambas políticas. Sin una medición con error conocido, ni el cumplimiento de normas ni los procesos de conocimiento del riesgo cuentan con una base verificable.</w:t>
      </w:r>
    </w:p>
    <w:p>
      <w:pPr>
        <w:pStyle w:val="BodyText"/>
      </w:pPr>
      <w:r>
        <w:t xml:space="preserve">La articulación se limita a lo que el banco permite sostener. Todo vínculo con las leyes, los documentos CONPES, la Misión Internacional de Sabios y los Objetivos de Desarrollo Sostenible (ODS) es PROPUESTO y NO_VERIFICADO. Los planes de desarrollo departamental (PDD), el Anexo 4 y los CONPES que cita F-E3 no se aportaron. La convocatoria es la Convocatoria de Emergencia del Decreto 1414 de 2026 (SGR_CONV56). La financian el SGR y el Ministerio de Ciencia, Tecnología e Innovación (MinCiencias). Su tope declarado es COP 14.000.000.000 (DECLARADO; NO_VERIFICADO). El capítulo cinco desarrolla la articulación y marca cada vínculo con su estado.</w:t>
      </w:r>
    </w:p>
    <w:bookmarkEnd w:id="262"/>
    <w:bookmarkEnd w:id="263"/>
    <w:bookmarkStart w:id="268" w:name="_Toc00900105"/>
    <w:p>
      <w:pPr>
        <w:pStyle w:val="Heading2"/>
      </w:pPr>
      <w:r>
        <w:t xml:space="preserve">1.2 Descripción del Problema</w:t>
      </w:r>
    </w:p>
    <w:p>
      <w:pPr>
        <w:pStyle w:val="FirstParagraph"/>
      </w:pPr>
      <w:r>
        <w:t xml:space="preserve">Esta sección describe el problema en cuatro movimientos. Los movimientos son la disyuntiva que el sistema no resuelve, la deficiencia que se tolera, su manifestación territorial y su cuantificación. Los dos primeros movimientos provienen del Paso 1, sección B, de F-E3 y se citan como del expediente (DECLARADO). El proyecto los reformula en términos contrastables. La cuantificación distingue lo documentado en F-INF, lo declarado en F-E3 y lo que el proyecto medirá.</w:t>
      </w:r>
    </w:p>
    <w:bookmarkStart w:id="264" w:name="_Toc00900106"/>
    <w:p>
      <w:pPr>
        <w:pStyle w:val="Heading3"/>
      </w:pPr>
      <w:r>
        <w:t xml:space="preserve">1.2.1 Problema trascendente identificado</w:t>
      </w:r>
    </w:p>
    <w:p>
      <w:pPr>
        <w:pStyle w:val="FirstParagraph"/>
      </w:pPr>
      <w:r>
        <w:t xml:space="preserve">El expediente E3 formula un problema trascendente. Es la tensión entre la precisión metrológica y la supervivencia de la red. La primera exige procesamiento. La segunda exige bajo consumo de energía y de ancho de banda en zonas con infraestructura deteriorada (F-E3, Paso 1, sección B; DECLARADO). Un problema trascendente es una disyuntiva que el sistema no resuelve bien en ninguna de sus versiones. La literatura de redes de sensores trata esa disyuntiva en dos frentes. Shi et al. (2016) analizan dónde ubicar el cómputo entre el borde y la nube. Adelantado et al. (2017) describen los límites de capacidad de la comunicación de largo alcance y bajo consumo.</w:t>
      </w:r>
    </w:p>
    <w:p>
      <w:pPr>
        <w:pStyle w:val="BodyText"/>
      </w:pPr>
      <w:r>
        <w:t xml:space="preserve">Dos lecturas compiten. La primera sostiene que la exactitud se obtiene en la nube, donde se concentra el cómputo, y que la red solo debe transmitir datos crudos. La segunda sostiene que el cómputo se acerca a la fuente para reducir el tráfico y la latencia (Shi et al., 2016). F-E3 adopta la segunda lectura. Sin embargo, ubica la corrección en lugares distintos según la sección: el chip del sensor, el microcontrolador de cada nodo y el gateway. El proyecto resuelve la inconsistencia con una sola definición. La corrección ocurre en el gateway (decisión de formulación DEC-F02; PROPUESTO).</w:t>
      </w:r>
    </w:p>
    <w:p>
      <w:pPr>
        <w:pStyle w:val="BodyText"/>
      </w:pPr>
      <w:r>
        <w:t xml:space="preserve">La reformulación convierte la disyuntiva en una pregunta contrastable. La pregunta es si la corrección en el gateway cumple los umbrales de desempeño. La autonomía de energía y el enlace disponibles en los sitios fijan las condiciones. El piloto del tramo 1 responde la pregunta, y los argumentos de diseño no la reemplazan. Hasta entonces, la superioridad de la arquitectura es una hipótesis (INFERIDO). Esta posición evita que la coherencia del diseño sustituya a la evidencia de desempeño.</w:t>
      </w:r>
    </w:p>
    <w:bookmarkEnd w:id="264"/>
    <w:bookmarkStart w:id="265" w:name="_Toc00900107"/>
    <w:p>
      <w:pPr>
        <w:pStyle w:val="Heading3"/>
      </w:pPr>
      <w:r>
        <w:t xml:space="preserve">1.2.2 Deficiencia oculta que se tolera</w:t>
      </w:r>
    </w:p>
    <w:p>
      <w:pPr>
        <w:pStyle w:val="FirstParagraph"/>
      </w:pPr>
      <w:r>
        <w:t xml:space="preserve">La deficiencia oculta es la molestia que la población usuaria tolera sin cuestionarla. F-E3 la identifica como fatiga de alarmas. El sector público acepta falsos positivos continuos. Supone que los sensores de bajo costo no se calibran de forma dinámica sin un técnico en campo (F-E3, Paso 1, sección B; DECLARADO). El proyecto reformula la deficiencia con mayor alcance. Lo que se tolera es decidir con lecturas cuyo error se desconoce. La fatiga de alarmas sería una consecuencia de esa tolerancia y no su origen.</w:t>
      </w:r>
    </w:p>
    <w:p>
      <w:pPr>
        <w:pStyle w:val="BodyText"/>
      </w:pPr>
      <w:r>
        <w:t xml:space="preserve">F-INF respalda esta lectura con tres hallazgos. El supuesto no declarado más frecuente en los 42 documentos es que la medición es correcta (F-INF, sección 2.5). El 69,0 % de los documentos presenta un área gris de calibración, exactitud o sesgo de sensores (F-INF, sección 5.4). Ninguno de los cinco documentos de alerta reporta detección, falsas alarmas ni anticipación (F-INF, sección 1.3). Los tres hallazgos describen el campo y no el territorio del proyecto. Su valor es mostrar que la tolerancia no es una particularidad local.</w:t>
      </w:r>
    </w:p>
    <w:p>
      <w:pPr>
        <w:pStyle w:val="BodyText"/>
      </w:pPr>
      <w:r>
        <w:t xml:space="preserve">Se confrontan dos explicaciones de la tolerancia. La explicación técnica la atribuye a la imposibilidad práctica de calibrar en campo. La explicación organizacional la atribuye a rutinas defensivas que impiden examinar el error propio (Argyris, 1999). Ambas son plausibles y no se excluyen. El diseño del proyecto atiende las dos. El sistema de indicadores PERS ordena los indicadores en cuatro niveles: proceso (R), producto (P), efecto (E) y sostenibilidad (S). El protocolo mide la tasa de falsas alarmas en el tramo 1 con el indicador PERS-E02 (línea base VACIO). El co-diseño con los comités pone esa medición a disposición de quien decide. Una medición visible para quien decide limita la tolerancia del error.</w:t>
      </w:r>
    </w:p>
    <w:bookmarkEnd w:id="265"/>
    <w:bookmarkStart w:id="266" w:name="Xe8813d8376677182818d132960c4bdb29f5492f"/>
    <w:p>
      <w:pPr>
        <w:pStyle w:val="Heading3"/>
      </w:pPr>
      <w:r>
        <w:t xml:space="preserve">1.2.3 Manifestación específica en el territorio</w:t>
      </w:r>
    </w:p>
    <w:p>
      <w:pPr>
        <w:pStyle w:val="FirstParagraph"/>
      </w:pPr>
      <w:r>
        <w:t xml:space="preserve">En el territorio supuesto, el problema se manifiesta en la cadena que va del sitio de remoción a la decisión del comité. F-E3 describe cuatro eslabones. El primero es la interferencia de la humedad y del polvo en el sensor. El segundo es la ausencia de calibración in situ. El tercero es la interrupción de energía y de enlace. El cuarto es la decisión de alertas con datos espurios o ausentes (F-E3, Paso 1, sección B; DECLARADO). Ningún eslabón cuenta con una serie medida en Caldas, Cundinamarca o Valle del Cauca (VACIO). La descripción es, por tanto, un diagnóstico declarado y no una observación.</w:t>
      </w:r>
    </w:p>
    <w:p>
      <w:pPr>
        <w:pStyle w:val="BodyText"/>
      </w:pPr>
      <w:r>
        <w:t xml:space="preserve">Los eslabones se corresponden con variables del modelo causal. La humedad (V03) y la fracción gruesa (V02) actúan sobre la respuesta óptica. La calibración (V07) determina la corrección. La disponibilidad de nodos (V09) condiciona la cobertura. El uso institucional (V15) cierra el ciclo. La evidencia externa es indirecta pero consistente. En una mina a cielo abierto, la correlación entre las partículas y la humedad fue de 0,73 (Suresh et al., 2025, p. 30). En Seúl, la corrección con una estación cercana elevó el R² (Bang et al., 2026, pp. 6-8). Una correlación en una mina no equivale a un efecto causal en un sitio de escombros.</w:t>
      </w:r>
    </w:p>
    <w:p>
      <w:pPr>
        <w:pStyle w:val="BodyText"/>
      </w:pPr>
      <w:r>
        <w:t xml:space="preserve">El expediente atribuye además el problema a la caída de las redes de telecomunicaciones y propone transmitir por red celular. La propuesta contradice el diagnóstico. El proyecto corrige la contradicción con un enlace satelital alterno y un almacenamiento local de siete días en cada gateway (DEC-F02; PROPUESTO). La disponibilidad real del enlace celular y satelital en los sitios es una incógnita (VACIO). El estudio de cobertura de los tres departamentos debe resolverla. Mientras tanto, la descripción de la manifestación territorial se mantiene como hipótesis de trabajo.</w:t>
      </w:r>
    </w:p>
    <w:bookmarkEnd w:id="266"/>
    <w:bookmarkStart w:id="267" w:name="_Toc00900108"/>
    <w:p>
      <w:pPr>
        <w:pStyle w:val="Heading3"/>
      </w:pPr>
      <w:r>
        <w:t xml:space="preserve">1.2.4 Cuantificación con datos y fuentes</w:t>
      </w:r>
    </w:p>
    <w:p>
      <w:pPr>
        <w:pStyle w:val="FirstParagraph"/>
      </w:pPr>
      <w:r>
        <w:t xml:space="preserve">La cuantificación separa tres clases de dato: los que provienen de F-INF con página, los declarados en F-E3 y los que el proyecto medirá. La Tabla 1.2 los ordena y señala la naturaleza y la verificación de cada uno. La línea base propia del error cuadrático medio normalizado (NRMSE) de los nodos es VACIO. Se mide en el tramo 1. La colocalización termina en el mes 10 (hito H2) y la compuerta C1 decide en el mes 12 (hito H3). Ninguna cifra de la tabla sustituye esa medición.</w:t>
      </w:r>
    </w:p>
    <w:p>
      <w:pPr>
        <w:pStyle w:val="BodyText"/>
      </w:pPr>
      <w:r>
        <w:t xml:space="preserve">F-E3 declara un error normalizado superior a 45 % en sensores ópticos sin calibración dinámica en ambientes de alta humedad. La cifra carece de localizador y el proyecto la mantiene como NO_VERIFICADO. No se usa como línea base ni como justificación de la meta. La meta de desempeño se ancla en los umbrales de la Agencia de Protección Ambiental de los Estados Unidos (EPA, 2021) y no en el valor declarado. Esta decisión corrige la coexistencia de tres metas contradictorias en el expediente (DEC-F04; PROPUESTO).</w:t>
      </w:r>
    </w:p>
    <w:p>
      <w:pPr>
        <w:pStyle w:val="TablaRotulo"/>
      </w:pPr>
      <w:bookmarkStart w:id="9227" w:name="rot_Tabla_1_2"/>
      <w:r>
        <w:rPr>
          <w:b/>
          <w:bCs/>
        </w:rPr>
        <w:t xml:space="preserve">Tabla 1.2</w:t>
      </w:r>
      <w:bookmarkEnd w:id="9227"/>
    </w:p>
    <w:p>
      <w:pPr>
        <w:pStyle w:val="TablaTitulo"/>
      </w:pPr>
      <w:r>
        <w:rPr>
          <w:i/>
          <w:iCs/>
        </w:rPr>
        <w:t xml:space="preserve">Magnitud del problema: indicadores con fuente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056"/>
        <w:gridCol w:w="1518"/>
        <w:gridCol w:w="1188"/>
        <w:gridCol w:w="1650"/>
        <w:gridCol w:w="1056"/>
        <w:gridCol w:w="1452"/>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Alcance</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Error de medición de los nodos frente a la referencia (NRMSE)</w:t>
            </w:r>
          </w:p>
        </w:tc>
        <w:tc>
          <w:tcPr/>
          <w:p>
            <w:pPr>
              <w:pStyle w:val="Tabla9"/>
              <w:jc w:val="left"/>
            </w:pPr>
            <w:r>
              <w:t xml:space="preserve">VACIO: se mide en el tramo 1</w:t>
            </w:r>
          </w:p>
        </w:tc>
        <w:tc>
          <w:tcPr/>
          <w:p>
            <w:pPr>
              <w:pStyle w:val="Tabla9"/>
              <w:jc w:val="left"/>
            </w:pPr>
            <w:r>
              <w:t xml:space="preserve">Caldas, Cundinamarca y Valle del Cauca</w:t>
            </w:r>
          </w:p>
        </w:tc>
        <w:tc>
          <w:tcPr/>
          <w:p>
            <w:pPr>
              <w:pStyle w:val="Tabla9"/>
              <w:jc w:val="left"/>
            </w:pPr>
            <w:r>
              <w:t xml:space="preserve">Proyecto, hito H2 (mes 10)</w:t>
            </w:r>
          </w:p>
        </w:tc>
        <w:tc>
          <w:tcPr/>
          <w:p>
            <w:pPr>
              <w:pStyle w:val="Tabla9"/>
              <w:jc w:val="left"/>
            </w:pPr>
            <w:r>
              <w:t xml:space="preserve">VACIO</w:t>
            </w:r>
          </w:p>
        </w:tc>
        <w:tc>
          <w:tcPr/>
          <w:p>
            <w:pPr>
              <w:pStyle w:val="Tabla9"/>
              <w:jc w:val="left"/>
            </w:pPr>
            <w:r>
              <w:t xml:space="preserve">NO_APLICA</w:t>
            </w:r>
          </w:p>
        </w:tc>
      </w:tr>
      <w:tr>
        <w:trPr>
          <w:cantSplit/>
        </w:trPr>
        <w:tc>
          <w:tcPr/>
          <w:p>
            <w:pPr>
              <w:pStyle w:val="Tabla9"/>
              <w:jc w:val="left"/>
            </w:pPr>
            <w:r>
              <w:t xml:space="preserve">Error normalizado de sensores sin calibración dinámica en alta humedad</w:t>
            </w:r>
          </w:p>
        </w:tc>
        <w:tc>
          <w:tcPr/>
          <w:p>
            <w:pPr>
              <w:pStyle w:val="Tabla9"/>
              <w:jc w:val="left"/>
            </w:pPr>
            <w:r>
              <w:t xml:space="preserve">Superior a 45 %</w:t>
            </w:r>
          </w:p>
        </w:tc>
        <w:tc>
          <w:tcPr/>
          <w:p>
            <w:pPr>
              <w:pStyle w:val="Tabla9"/>
              <w:jc w:val="left"/>
            </w:pPr>
            <w:r>
              <w:t xml:space="preserve">Expediente E3, sin localizador</w:t>
            </w:r>
          </w:p>
        </w:tc>
        <w:tc>
          <w:tcPr/>
          <w:p>
            <w:pPr>
              <w:pStyle w:val="Tabla9"/>
              <w:jc w:val="left"/>
            </w:pPr>
            <w:r>
              <w:t xml:space="preserve">F-E3, Paso 1, sección B</w:t>
            </w:r>
          </w:p>
        </w:tc>
        <w:tc>
          <w:tcPr/>
          <w:p>
            <w:pPr>
              <w:pStyle w:val="Tabla9"/>
              <w:jc w:val="left"/>
            </w:pPr>
            <w:r>
              <w:t xml:space="preserve">DECLARADO</w:t>
            </w:r>
          </w:p>
        </w:tc>
        <w:tc>
          <w:tcPr/>
          <w:p>
            <w:pPr>
              <w:pStyle w:val="Tabla9"/>
              <w:jc w:val="left"/>
            </w:pPr>
            <w:r>
              <w:t xml:space="preserve">NO_VERIFICADO</w:t>
            </w:r>
          </w:p>
        </w:tc>
      </w:tr>
      <w:tr>
        <w:trPr>
          <w:cantSplit/>
        </w:trPr>
        <w:tc>
          <w:tcPr/>
          <w:p>
            <w:pPr>
              <w:pStyle w:val="Tabla9"/>
              <w:jc w:val="left"/>
            </w:pPr>
            <w:r>
              <w:t xml:space="preserve">Estaciones propuestas sin plan de calibración</w:t>
            </w:r>
          </w:p>
        </w:tc>
        <w:tc>
          <w:tcPr/>
          <w:p>
            <w:pPr>
              <w:pStyle w:val="Tabla9"/>
              <w:jc w:val="left"/>
            </w:pPr>
            <w:r>
              <w:t xml:space="preserve">90,8 % de 5.076 (4.608 sensores)</w:t>
            </w:r>
          </w:p>
        </w:tc>
        <w:tc>
          <w:tcPr/>
          <w:p>
            <w:pPr>
              <w:pStyle w:val="Tabla9"/>
              <w:jc w:val="left"/>
            </w:pPr>
            <w:r>
              <w:t xml:space="preserve">Red nacional propuesta</w:t>
            </w:r>
          </w:p>
        </w:tc>
        <w:tc>
          <w:tcPr/>
          <w:p>
            <w:pPr>
              <w:pStyle w:val="Tabla9"/>
              <w:jc w:val="left"/>
            </w:pPr>
            <w:r>
              <w:t xml:space="preserve">Murad Pedraza et al. (2026, pp. 10-11 y 13)</w:t>
            </w:r>
          </w:p>
        </w:tc>
        <w:tc>
          <w:tcPr/>
          <w:p>
            <w:pPr>
              <w:pStyle w:val="Tabla9"/>
              <w:jc w:val="left"/>
            </w:pPr>
            <w:r>
              <w:t xml:space="preserve">CALCULADO por el analista de F-INF</w:t>
            </w:r>
          </w:p>
        </w:tc>
        <w:tc>
          <w:tcPr/>
          <w:p>
            <w:pPr>
              <w:pStyle w:val="Tabla9"/>
              <w:jc w:val="left"/>
            </w:pPr>
            <w:r>
              <w:t xml:space="preserve">NO_VERIFICADO</w:t>
            </w:r>
          </w:p>
        </w:tc>
      </w:tr>
      <w:tr>
        <w:trPr>
          <w:cantSplit/>
        </w:trPr>
        <w:tc>
          <w:tcPr/>
          <w:p>
            <w:pPr>
              <w:pStyle w:val="Tabla9"/>
              <w:jc w:val="left"/>
            </w:pPr>
            <w:r>
              <w:t xml:space="preserve">Correlación entre partículas y humedad</w:t>
            </w:r>
          </w:p>
        </w:tc>
        <w:tc>
          <w:tcPr/>
          <w:p>
            <w:pPr>
              <w:pStyle w:val="Tabla9"/>
              <w:jc w:val="left"/>
            </w:pPr>
            <w:r>
              <w:t xml:space="preserve">0,73</w:t>
            </w:r>
          </w:p>
        </w:tc>
        <w:tc>
          <w:tcPr/>
          <w:p>
            <w:pPr>
              <w:pStyle w:val="Tabla9"/>
              <w:jc w:val="left"/>
            </w:pPr>
            <w:r>
              <w:t xml:space="preserve">Mina de carbón a cielo abierto</w:t>
            </w:r>
          </w:p>
        </w:tc>
        <w:tc>
          <w:tcPr/>
          <w:p>
            <w:pPr>
              <w:pStyle w:val="Tabla9"/>
              <w:jc w:val="left"/>
            </w:pPr>
            <w:r>
              <w:t xml:space="preserve">Suresh et al. (2025, p. 30)</w:t>
            </w:r>
          </w:p>
        </w:tc>
        <w:tc>
          <w:tcPr/>
          <w:p>
            <w:pPr>
              <w:pStyle w:val="Tabla9"/>
              <w:jc w:val="left"/>
            </w:pPr>
            <w:r>
              <w:t xml:space="preserve">DECLARADO (F-INF)</w:t>
            </w:r>
          </w:p>
        </w:tc>
        <w:tc>
          <w:tcPr/>
          <w:p>
            <w:pPr>
              <w:pStyle w:val="Tabla9"/>
              <w:jc w:val="left"/>
            </w:pPr>
            <w:r>
              <w:t xml:space="preserve">NO_VERIFICADO</w:t>
            </w:r>
          </w:p>
        </w:tc>
      </w:tr>
      <w:tr>
        <w:trPr>
          <w:cantSplit/>
        </w:trPr>
        <w:tc>
          <w:tcPr/>
          <w:p>
            <w:pPr>
              <w:pStyle w:val="Tabla9"/>
              <w:jc w:val="left"/>
            </w:pPr>
            <w:r>
              <w:t xml:space="preserve">Efecto de la corrección con la estación cercana</w:t>
            </w:r>
          </w:p>
        </w:tc>
        <w:tc>
          <w:tcPr/>
          <w:p>
            <w:pPr>
              <w:pStyle w:val="Tabla9"/>
              <w:jc w:val="left"/>
            </w:pPr>
            <w:r>
              <w:t xml:space="preserve">R² de menos de 0,2 a 0,81</w:t>
            </w:r>
          </w:p>
        </w:tc>
        <w:tc>
          <w:tcPr/>
          <w:p>
            <w:pPr>
              <w:pStyle w:val="Tabla9"/>
              <w:jc w:val="left"/>
            </w:pPr>
            <w:r>
              <w:t xml:space="preserve">Red S-Dot de Seúl</w:t>
            </w:r>
          </w:p>
        </w:tc>
        <w:tc>
          <w:tcPr/>
          <w:p>
            <w:pPr>
              <w:pStyle w:val="Tabla9"/>
              <w:jc w:val="left"/>
            </w:pPr>
            <w:r>
              <w:t xml:space="preserve">Bang et al. (2026, pp. 6-8)</w:t>
            </w:r>
          </w:p>
        </w:tc>
        <w:tc>
          <w:tcPr/>
          <w:p>
            <w:pPr>
              <w:pStyle w:val="Tabla9"/>
              <w:jc w:val="left"/>
            </w:pPr>
            <w:r>
              <w:t xml:space="preserve">DECLARADO (F-INF)</w:t>
            </w:r>
          </w:p>
        </w:tc>
        <w:tc>
          <w:tcPr/>
          <w:p>
            <w:pPr>
              <w:pStyle w:val="Tabla9"/>
              <w:jc w:val="left"/>
            </w:pPr>
            <w:r>
              <w:t xml:space="preserve">NO_VERIFICADO</w:t>
            </w:r>
          </w:p>
        </w:tc>
      </w:tr>
      <w:tr>
        <w:trPr>
          <w:cantSplit/>
        </w:trPr>
        <w:tc>
          <w:tcPr/>
          <w:p>
            <w:pPr>
              <w:pStyle w:val="Tabla9"/>
              <w:jc w:val="left"/>
            </w:pPr>
            <w:r>
              <w:t xml:space="preserve">Municipios con estaciones utilizables para estimar la carga</w:t>
            </w:r>
          </w:p>
        </w:tc>
        <w:tc>
          <w:tcPr/>
          <w:p>
            <w:pPr>
              <w:pStyle w:val="Tabla9"/>
              <w:jc w:val="left"/>
            </w:pPr>
            <w:r>
              <w:t xml:space="preserve">28 de 1.122 (2,5 %)</w:t>
            </w:r>
          </w:p>
        </w:tc>
        <w:tc>
          <w:tcPr/>
          <w:p>
            <w:pPr>
              <w:pStyle w:val="Tabla9"/>
              <w:jc w:val="left"/>
            </w:pPr>
            <w:r>
              <w:t xml:space="preserve">Colombia</w:t>
            </w:r>
          </w:p>
        </w:tc>
        <w:tc>
          <w:tcPr/>
          <w:p>
            <w:pPr>
              <w:pStyle w:val="Tabla9"/>
              <w:jc w:val="left"/>
            </w:pPr>
            <w:r>
              <w:t xml:space="preserve">Rodríguez-Villamizar et al. (2022, pp. 3 y 6)</w:t>
            </w:r>
          </w:p>
        </w:tc>
        <w:tc>
          <w:tcPr/>
          <w:p>
            <w:pPr>
              <w:pStyle w:val="Tabla9"/>
              <w:jc w:val="left"/>
            </w:pPr>
            <w:r>
              <w:t xml:space="preserve">DECLARADO (F-INF)</w:t>
            </w:r>
          </w:p>
        </w:tc>
        <w:tc>
          <w:tcPr/>
          <w:p>
            <w:pPr>
              <w:pStyle w:val="Tabla9"/>
              <w:jc w:val="left"/>
            </w:pPr>
            <w:r>
              <w:t xml:space="preserve">NO_VERIFICADO</w:t>
            </w:r>
          </w:p>
        </w:tc>
      </w:tr>
      <w:tr>
        <w:trPr>
          <w:cantSplit/>
        </w:trPr>
        <w:tc>
          <w:tcPr/>
          <w:p>
            <w:pPr>
              <w:pStyle w:val="Tabla9"/>
              <w:jc w:val="left"/>
            </w:pPr>
            <w:r>
              <w:t xml:space="preserve">Estaciones inactivas o sin estado</w:t>
            </w:r>
          </w:p>
        </w:tc>
        <w:tc>
          <w:tcPr/>
          <w:p>
            <w:pPr>
              <w:pStyle w:val="Tabla9"/>
              <w:jc w:val="left"/>
            </w:pPr>
            <w:r>
              <w:t xml:space="preserve">96 de 570 (16,8 %)</w:t>
            </w:r>
          </w:p>
        </w:tc>
        <w:tc>
          <w:tcPr/>
          <w:p>
            <w:pPr>
              <w:pStyle w:val="Tabla9"/>
              <w:jc w:val="left"/>
            </w:pPr>
            <w:r>
              <w:t xml:space="preserve">Brasil</w:t>
            </w:r>
          </w:p>
        </w:tc>
        <w:tc>
          <w:tcPr/>
          <w:p>
            <w:pPr>
              <w:pStyle w:val="Tabla9"/>
              <w:jc w:val="left"/>
            </w:pPr>
            <w:r>
              <w:t xml:space="preserve">Tavella et al. (2026, p. 6)</w:t>
            </w:r>
          </w:p>
        </w:tc>
        <w:tc>
          <w:tcPr/>
          <w:p>
            <w:pPr>
              <w:pStyle w:val="Tabla9"/>
              <w:jc w:val="left"/>
            </w:pPr>
            <w:r>
              <w:t xml:space="preserve">DECLARADO (F-INF)</w:t>
            </w:r>
          </w:p>
        </w:tc>
        <w:tc>
          <w:tcPr/>
          <w:p>
            <w:pPr>
              <w:pStyle w:val="Tabla9"/>
              <w:jc w:val="left"/>
            </w:pPr>
            <w:r>
              <w:t xml:space="preserve">NO_VERIFICADO</w:t>
            </w:r>
          </w:p>
        </w:tc>
      </w:tr>
      <w:tr>
        <w:trPr>
          <w:cantSplit/>
        </w:trPr>
        <w:tc>
          <w:tcPr/>
          <w:p>
            <w:pPr>
              <w:pStyle w:val="Tabla9"/>
              <w:jc w:val="left"/>
            </w:pPr>
            <w:r>
              <w:t xml:space="preserve">Documentos de alerta con métricas de detección, falsas alarmas y anticipación</w:t>
            </w:r>
          </w:p>
        </w:tc>
        <w:tc>
          <w:tcPr/>
          <w:p>
            <w:pPr>
              <w:pStyle w:val="Tabla9"/>
              <w:jc w:val="left"/>
            </w:pPr>
            <w:r>
              <w:t xml:space="preserve">Cero de cinco</w:t>
            </w:r>
          </w:p>
        </w:tc>
        <w:tc>
          <w:tcPr/>
          <w:p>
            <w:pPr>
              <w:pStyle w:val="Tabla9"/>
              <w:jc w:val="left"/>
            </w:pPr>
            <w:r>
              <w:t xml:space="preserve">Corpus de F-INF</w:t>
            </w:r>
          </w:p>
        </w:tc>
        <w:tc>
          <w:tcPr/>
          <w:p>
            <w:pPr>
              <w:pStyle w:val="Tabla9"/>
              <w:jc w:val="left"/>
            </w:pPr>
            <w:r>
              <w:t xml:space="preserve">F-INF, sección 1.3</w:t>
            </w:r>
          </w:p>
        </w:tc>
        <w:tc>
          <w:tcPr/>
          <w:p>
            <w:pPr>
              <w:pStyle w:val="Tabla9"/>
              <w:jc w:val="left"/>
            </w:pPr>
            <w:r>
              <w:t xml:space="preserve">DECLARADO (F-INF)</w:t>
            </w:r>
          </w:p>
        </w:tc>
        <w:tc>
          <w:tcPr/>
          <w:p>
            <w:pPr>
              <w:pStyle w:val="Tabla9"/>
              <w:jc w:val="left"/>
            </w:pPr>
            <w:r>
              <w:t xml:space="preserve">NO_VERIFICADO</w:t>
            </w:r>
          </w:p>
        </w:tc>
      </w:tr>
      <w:tr>
        <w:trPr>
          <w:cantSplit/>
        </w:trPr>
        <w:tc>
          <w:tcPr/>
          <w:p>
            <w:pPr>
              <w:pStyle w:val="Tabla9"/>
              <w:jc w:val="left"/>
            </w:pPr>
            <w:r>
              <w:t xml:space="preserve">Estudios de AQHI validados con partición de datos</w:t>
            </w:r>
          </w:p>
        </w:tc>
        <w:tc>
          <w:tcPr/>
          <w:p>
            <w:pPr>
              <w:pStyle w:val="Tabla9"/>
              <w:jc w:val="left"/>
            </w:pPr>
            <w:r>
              <w:t xml:space="preserve">9,4 % de 53</w:t>
            </w:r>
          </w:p>
        </w:tc>
        <w:tc>
          <w:tcPr/>
          <w:p>
            <w:pPr>
              <w:pStyle w:val="Tabla9"/>
              <w:jc w:val="left"/>
            </w:pPr>
            <w:r>
              <w:t xml:space="preserve">Estudios internacionales</w:t>
            </w:r>
          </w:p>
        </w:tc>
        <w:tc>
          <w:tcPr/>
          <w:p>
            <w:pPr>
              <w:pStyle w:val="Tabla9"/>
              <w:jc w:val="left"/>
            </w:pPr>
            <w:r>
              <w:t xml:space="preserve">Liao et al. (2026, pp. 6 y 8)</w:t>
            </w:r>
          </w:p>
        </w:tc>
        <w:tc>
          <w:tcPr/>
          <w:p>
            <w:pPr>
              <w:pStyle w:val="Tabla9"/>
              <w:jc w:val="left"/>
            </w:pPr>
            <w:r>
              <w:t xml:space="preserve">DECLARADO (F-INF)</w:t>
            </w:r>
          </w:p>
        </w:tc>
        <w:tc>
          <w:tcPr/>
          <w:p>
            <w:pPr>
              <w:pStyle w:val="Tabla9"/>
              <w:jc w:val="left"/>
            </w:pPr>
            <w:r>
              <w:t xml:space="preserve">NO_VERIFICADO</w:t>
            </w:r>
          </w:p>
        </w:tc>
      </w:tr>
      <w:tr>
        <w:trPr>
          <w:cantSplit/>
        </w:trPr>
        <w:tc>
          <w:tcPr/>
          <w:p>
            <w:pPr>
              <w:pStyle w:val="Tabla9"/>
              <w:jc w:val="left"/>
            </w:pPr>
            <w:r>
              <w:t xml:space="preserve">Uso institucional del tablero (línea base)</w:t>
            </w:r>
          </w:p>
        </w:tc>
        <w:tc>
          <w:tcPr/>
          <w:p>
            <w:pPr>
              <w:pStyle w:val="Tabla9"/>
              <w:jc w:val="left"/>
            </w:pPr>
            <w:r>
              <w:t xml:space="preserve">VACIO: se mide en el tramo 1</w:t>
            </w:r>
          </w:p>
        </w:tc>
        <w:tc>
          <w:tcPr/>
          <w:p>
            <w:pPr>
              <w:pStyle w:val="Tabla9"/>
              <w:jc w:val="left"/>
            </w:pPr>
            <w:r>
              <w:t xml:space="preserve">15 comités focalizados (SUPUESTO)</w:t>
            </w:r>
          </w:p>
        </w:tc>
        <w:tc>
          <w:tcPr/>
          <w:p>
            <w:pPr>
              <w:pStyle w:val="Tabla9"/>
              <w:jc w:val="left"/>
            </w:pPr>
            <w:r>
              <w:t xml:space="preserve">Proyecto, PERS-E01</w:t>
            </w:r>
          </w:p>
        </w:tc>
        <w:tc>
          <w:tcPr/>
          <w:p>
            <w:pPr>
              <w:pStyle w:val="Tabla9"/>
              <w:jc w:val="left"/>
            </w:pPr>
            <w:r>
              <w:t xml:space="preserve">VACIO</w:t>
            </w:r>
          </w:p>
        </w:tc>
        <w:tc>
          <w:tcPr/>
          <w:p>
            <w:pPr>
              <w:pStyle w:val="Tabla9"/>
              <w:jc w:val="left"/>
            </w:pPr>
            <w:r>
              <w:t xml:space="preserve">NO_APLICA</w:t>
            </w:r>
          </w:p>
        </w:tc>
      </w:tr>
      <w:tr>
        <w:trPr>
          <w:cantSplit/>
        </w:trPr>
        <w:tc>
          <w:tcPr/>
          <w:p>
            <w:pPr>
              <w:pStyle w:val="Tabla9"/>
              <w:jc w:val="left"/>
            </w:pPr>
            <w:r>
              <w:t xml:space="preserve">Operarios de remoción y población expuesta en los sitios monitoreados</w:t>
            </w:r>
          </w:p>
        </w:tc>
        <w:tc>
          <w:tcPr/>
          <w:p>
            <w:pPr>
              <w:pStyle w:val="Tabla9"/>
              <w:jc w:val="left"/>
            </w:pPr>
            <w:r>
              <w:t xml:space="preserve">[DATO_USUARIO: número de operarios y de habitantes por sitio]</w:t>
            </w:r>
          </w:p>
        </w:tc>
        <w:tc>
          <w:tcPr/>
          <w:p>
            <w:pPr>
              <w:pStyle w:val="Tabla9"/>
              <w:jc w:val="left"/>
            </w:pPr>
            <w:r>
              <w:t xml:space="preserve">Municipios focalizados</w:t>
            </w:r>
          </w:p>
        </w:tc>
        <w:tc>
          <w:tcPr/>
          <w:p>
            <w:pPr>
              <w:pStyle w:val="Tabla9"/>
              <w:jc w:val="left"/>
            </w:pPr>
            <w:r>
              <w:t xml:space="preserve">Usuario</w:t>
            </w:r>
          </w:p>
        </w:tc>
        <w:tc>
          <w:tcPr/>
          <w:p>
            <w:pPr>
              <w:pStyle w:val="Tabla9"/>
              <w:jc w:val="left"/>
            </w:pPr>
            <w:r>
              <w:t xml:space="preserve">VACIO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datos de F-INF (secciones 1.3, 3.1 y 5.4) y de F-E3 (Paso 1, sección B). Las líneas base propias se miden en el tramo 1. Decimales con coma.</w:t>
      </w:r>
    </w:p>
    <w:p>
      <w:pPr>
        <w:pStyle w:val="BodyText"/>
      </w:pPr>
      <w:r>
        <w:t xml:space="preserve">La Tabla 1.2 deja dos conclusiones. La primera es que la magnitud documentada es sistémica. Describe la calibración, la cobertura y la evaluación de alertas en el campo y en el país. La segunda es que la magnitud local no está medida. El problema se sostiene como patrón del campo y no como cifra del territorio. Esta distinción obliga a formular las metas frente a una línea base medida. También obliga a que la compuerta C1 decida con datos propios.</w:t>
      </w:r>
    </w:p>
    <w:bookmarkEnd w:id="267"/>
    <w:bookmarkEnd w:id="268"/>
    <w:bookmarkStart w:id="275" w:name="_Toc00900109"/>
    <w:p>
      <w:pPr>
        <w:pStyle w:val="Heading2"/>
      </w:pPr>
      <w:r>
        <w:t xml:space="preserve">1.3 Análisis estructural Vester-MICMAC</w:t>
      </w:r>
    </w:p>
    <w:p>
      <w:pPr>
        <w:pStyle w:val="FirstParagraph"/>
      </w:pPr>
      <w:r>
        <w:t xml:space="preserve">El análisis estructural ordena las relaciones hipotéticas entre las variables del problema. Usa 15 variables y una matriz de influencias con valores de cero a tres. Aplica tres lecturas: la clasificación de Vester, la propagación indirecta de MICMAC y los ciclos. La sigla MICMAC proviene del francés Matrice d'Impacts Croisés, Multiplication Appliquée à un Classement. Esta sección informa los resultados del escenario de trabajo S2. No da por establecida la causa raíz de F-E3, que atribuía el problema a una arquitectura dependiente de la nube. Todas las relaciones son hipótesis de influencia estructural (HIE) sin efecto estimado.</w:t>
      </w:r>
    </w:p>
    <w:bookmarkStart w:id="269" w:name="_Toc00900110"/>
    <w:p>
      <w:pPr>
        <w:pStyle w:val="Heading3"/>
      </w:pPr>
      <w:r>
        <w:t xml:space="preserve">1.3.1 Resumen de la matriz de Vester</w:t>
      </w:r>
    </w:p>
    <w:p>
      <w:pPr>
        <w:pStyle w:val="FirstParagraph"/>
      </w:pPr>
      <w:r>
        <w:t xml:space="preserve">El método de Vester clasifica las variables según su influencia (I) y su dependencia (D). La influencia suma la fila de la matriz. La dependencia suma la columna (Vester, 2007). El análisis de impactos cruzados MICMAC propaga las influencias directas con potencias de la matriz para revelar relaciones indirectas (Godet, 2001). El escenario S2 contiene 48 aristas con ΣI = ΣD = 78. Con el corte por mediana (I = 5 y D = 5), V02, V06 y V15 son críticas. V03, V04 y V05 son activas. V09 y V14 son reactivas. V08 y V13 son autónomas relativas. V01, V07, V10, V11 y V12 quedan en la frontera.</w:t>
      </w:r>
    </w:p>
    <w:p>
      <w:pPr>
        <w:pStyle w:val="BodyText"/>
      </w:pPr>
      <w:r>
        <w:t xml:space="preserve">La variable V06 es el error de medición de PM2,5 y PM10 sin verificar. Es crítica en los cinco escenarios evaluados (I = 8 y D = 13). Es el problema central. Sus causas directas son la humedad V03 (I = 6 y D = 0) y el PM10 V02 (I = 7 y D = 6). Son también el PM2,5 V01 (I = 6 y D = 5) y la frecuencia de calibración V07 (I = 5 y D = 2). Su causa indirecta es la remoción de escombros V05 (I = 7 y D = 1). Entre los efectos, el índice V11 presenta D = 11 y las personas alertadas V14 presentan D = 9. La adopción institucional V15 es crítica (I = 7 y D = 7) y participa en 140 de 144 ciclos simples. Las potencias de la matriz no alcanzan estabilidad hasta k = 10.</w:t>
      </w:r>
    </w:p>
    <w:p>
      <w:pPr>
        <w:pStyle w:val="BodyText"/>
      </w:pPr>
      <w:r>
        <w:t xml:space="preserve">La lectura admite dos posiciones. La posición estructuralista usa la clasificación como guía de intervención: se actúa sobre las variables activas y críticas (Vester, 2007). La posición cautelosa advierte dos límites. Una matriz ordinal con juicios de analista no estima efectos. Además, la clase de una variable cambia con el corte elegido (Dunn, 2018). El proyecto adopta la lectura cautelosa. Cinco variables quedan en la frontera porque igualan un corte, y por eso V07 no se trata como palanca máxima. La Tabla 1.3 presenta las cinco variables priorizadas y V07.</w:t>
      </w:r>
    </w:p>
    <w:p>
      <w:pPr>
        <w:pStyle w:val="BodyText"/>
      </w:pPr>
      <w:r>
        <w:t xml:space="preserve">Las variables se asignan a los objetivos específicos según su clase. El objetivo específico 1 (OE1) atiende V06 y V02, críticas, y V03, activa. El objetivo específico 2 (OE2) atiende V05, activa, y su efecto sobre la disponibilidad de nodos V09. El objetivo específico 3 (OE3) atiende V15, crítica. Esta asignación no es una prueba de que intervenir en esas variables reduzca el problema. Es una regla de priorización que el piloto del tramo 1 somete a contraste.</w:t>
      </w:r>
    </w:p>
    <w:p>
      <w:pPr>
        <w:pStyle w:val="TablaRotulo"/>
      </w:pPr>
      <w:bookmarkStart w:id="9228" w:name="rot_Tabla_1_3"/>
      <w:r>
        <w:rPr>
          <w:b/>
          <w:bCs/>
        </w:rPr>
        <w:t xml:space="preserve">Tabla 1.3</w:t>
      </w:r>
      <w:bookmarkEnd w:id="9228"/>
    </w:p>
    <w:p>
      <w:pPr>
        <w:pStyle w:val="TablaTitulo"/>
      </w:pPr>
      <w:r>
        <w:rPr>
          <w:i/>
          <w:iCs/>
        </w:rPr>
        <w:t xml:space="preserve">Clasificación de Vester en el escenario S2: cinco variables priorizadas y variable de frontera V07</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65"/>
        <w:gridCol w:w="1331"/>
        <w:gridCol w:w="865"/>
        <w:gridCol w:w="1064"/>
        <w:gridCol w:w="1131"/>
        <w:gridCol w:w="1663"/>
        <w:gridCol w:w="998"/>
      </w:tblGrid>
      <w:tr>
        <w:trPr>
          <w:cantSplit/>
          <w:tblHeader/>
        </w:trPr>
        <w:tc>
          <w:tcPr>
            <w:shd w:val="clear" w:color="auto" w:fill="00B050"/>
          </w:tcPr>
          <w:p>
            <w:pPr>
              <w:pStyle w:val="Tabla8"/>
              <w:jc w:val="center"/>
            </w:pPr>
            <w:r>
              <w:rPr>
                <w:b/>
                <w:color w:val="FFFFFF"/>
              </w:rPr>
              <w:t xml:space="preserve">Variable</w:t>
            </w:r>
          </w:p>
        </w:tc>
        <w:tc>
          <w:tcPr>
            <w:shd w:val="clear" w:color="auto" w:fill="00B050"/>
          </w:tcPr>
          <w:p>
            <w:pPr>
              <w:pStyle w:val="Tabla8"/>
              <w:jc w:val="center"/>
            </w:pPr>
            <w:r>
              <w:rPr>
                <w:b/>
                <w:color w:val="FFFFFF"/>
              </w:rPr>
              <w:t xml:space="preserve">Descripción</w:t>
            </w:r>
          </w:p>
        </w:tc>
        <w:tc>
          <w:tcPr>
            <w:shd w:val="clear" w:color="auto" w:fill="00B050"/>
          </w:tcPr>
          <w:p>
            <w:pPr>
              <w:pStyle w:val="Tabla8"/>
              <w:jc w:val="center"/>
            </w:pPr>
            <w:r>
              <w:rPr>
                <w:b/>
                <w:color w:val="FFFFFF"/>
              </w:rPr>
              <w:t xml:space="preserve">Clase en S2</w:t>
            </w:r>
          </w:p>
        </w:tc>
        <w:tc>
          <w:tcPr>
            <w:shd w:val="clear" w:color="auto" w:fill="00B050"/>
          </w:tcPr>
          <w:p>
            <w:pPr>
              <w:pStyle w:val="Tabla8"/>
              <w:jc w:val="center"/>
            </w:pPr>
            <w:r>
              <w:rPr>
                <w:b/>
                <w:color w:val="FFFFFF"/>
              </w:rPr>
              <w:t xml:space="preserve">Influencia (I)</w:t>
            </w:r>
          </w:p>
        </w:tc>
        <w:tc>
          <w:tcPr>
            <w:shd w:val="clear" w:color="auto" w:fill="00B050"/>
          </w:tcPr>
          <w:p>
            <w:pPr>
              <w:pStyle w:val="Tabla8"/>
              <w:jc w:val="center"/>
            </w:pPr>
            <w:r>
              <w:rPr>
                <w:b/>
                <w:color w:val="FFFFFF"/>
              </w:rPr>
              <w:t xml:space="preserve">Dependencia (D)</w:t>
            </w:r>
          </w:p>
        </w:tc>
        <w:tc>
          <w:tcPr>
            <w:shd w:val="clear" w:color="auto" w:fill="00B050"/>
          </w:tcPr>
          <w:p>
            <w:pPr>
              <w:pStyle w:val="Tabla8"/>
              <w:jc w:val="center"/>
            </w:pPr>
            <w:r>
              <w:rPr>
                <w:b/>
                <w:color w:val="FFFFFF"/>
              </w:rPr>
              <w:t xml:space="preserve">Lectura en el árbol de problemas</w:t>
            </w:r>
          </w:p>
        </w:tc>
        <w:tc>
          <w:tcPr>
            <w:shd w:val="clear" w:color="auto" w:fill="00B050"/>
          </w:tcPr>
          <w:p>
            <w:pPr>
              <w:pStyle w:val="Tabla8"/>
              <w:jc w:val="center"/>
            </w:pPr>
            <w:r>
              <w:rPr>
                <w:b/>
                <w:color w:val="FFFFFF"/>
              </w:rPr>
              <w:t xml:space="preserve">Objetivo específico</w:t>
            </w:r>
          </w:p>
        </w:tc>
      </w:tr>
      <w:tr>
        <w:trPr>
          <w:cantSplit/>
        </w:trPr>
        <w:tc>
          <w:tcPr/>
          <w:p>
            <w:pPr>
              <w:pStyle w:val="Tabla8"/>
              <w:jc w:val="left"/>
            </w:pPr>
            <w:r>
              <w:t xml:space="preserve">V06</w:t>
            </w:r>
          </w:p>
        </w:tc>
        <w:tc>
          <w:tcPr/>
          <w:p>
            <w:pPr>
              <w:pStyle w:val="Tabla8"/>
              <w:jc w:val="left"/>
            </w:pPr>
            <w:r>
              <w:t xml:space="preserve">Error de medición de PM2,5 y PM10 sin verificar frente a una referencia</w:t>
            </w:r>
          </w:p>
        </w:tc>
        <w:tc>
          <w:tcPr/>
          <w:p>
            <w:pPr>
              <w:pStyle w:val="Tabla8"/>
              <w:jc w:val="left"/>
            </w:pPr>
            <w:r>
              <w:t xml:space="preserve">Crítica</w:t>
            </w:r>
          </w:p>
        </w:tc>
        <w:tc>
          <w:tcPr/>
          <w:p>
            <w:pPr>
              <w:pStyle w:val="Tabla8"/>
              <w:jc w:val="left"/>
            </w:pPr>
            <w:r>
              <w:t xml:space="preserve">8</w:t>
            </w:r>
          </w:p>
        </w:tc>
        <w:tc>
          <w:tcPr/>
          <w:p>
            <w:pPr>
              <w:pStyle w:val="Tabla8"/>
              <w:jc w:val="left"/>
            </w:pPr>
            <w:r>
              <w:t xml:space="preserve">13</w:t>
            </w:r>
          </w:p>
        </w:tc>
        <w:tc>
          <w:tcPr/>
          <w:p>
            <w:pPr>
              <w:pStyle w:val="Tabla8"/>
              <w:jc w:val="left"/>
            </w:pPr>
            <w:r>
              <w:t xml:space="preserve">Problema central</w:t>
            </w:r>
          </w:p>
        </w:tc>
        <w:tc>
          <w:tcPr/>
          <w:p>
            <w:pPr>
              <w:pStyle w:val="Tabla8"/>
              <w:jc w:val="left"/>
            </w:pPr>
            <w:r>
              <w:t xml:space="preserve">OE1</w:t>
            </w:r>
          </w:p>
        </w:tc>
      </w:tr>
      <w:tr>
        <w:trPr>
          <w:cantSplit/>
        </w:trPr>
        <w:tc>
          <w:tcPr/>
          <w:p>
            <w:pPr>
              <w:pStyle w:val="Tabla8"/>
              <w:jc w:val="left"/>
            </w:pPr>
            <w:r>
              <w:t xml:space="preserve">V02</w:t>
            </w:r>
          </w:p>
        </w:tc>
        <w:tc>
          <w:tcPr/>
          <w:p>
            <w:pPr>
              <w:pStyle w:val="Tabla8"/>
              <w:jc w:val="left"/>
            </w:pPr>
            <w:r>
              <w:t xml:space="preserve">Concentración de PM10 con fracción gruesa</w:t>
            </w:r>
          </w:p>
        </w:tc>
        <w:tc>
          <w:tcPr/>
          <w:p>
            <w:pPr>
              <w:pStyle w:val="Tabla8"/>
              <w:jc w:val="left"/>
            </w:pPr>
            <w:r>
              <w:t xml:space="preserve">Crítica</w:t>
            </w:r>
          </w:p>
        </w:tc>
        <w:tc>
          <w:tcPr/>
          <w:p>
            <w:pPr>
              <w:pStyle w:val="Tabla8"/>
              <w:jc w:val="left"/>
            </w:pPr>
            <w:r>
              <w:t xml:space="preserve">7</w:t>
            </w:r>
          </w:p>
        </w:tc>
        <w:tc>
          <w:tcPr/>
          <w:p>
            <w:pPr>
              <w:pStyle w:val="Tabla8"/>
              <w:jc w:val="left"/>
            </w:pPr>
            <w:r>
              <w:t xml:space="preserve">6</w:t>
            </w:r>
          </w:p>
        </w:tc>
        <w:tc>
          <w:tcPr/>
          <w:p>
            <w:pPr>
              <w:pStyle w:val="Tabla8"/>
              <w:jc w:val="left"/>
            </w:pPr>
            <w:r>
              <w:t xml:space="preserve">Causa directa</w:t>
            </w:r>
          </w:p>
        </w:tc>
        <w:tc>
          <w:tcPr/>
          <w:p>
            <w:pPr>
              <w:pStyle w:val="Tabla8"/>
              <w:jc w:val="left"/>
            </w:pPr>
            <w:r>
              <w:t xml:space="preserve">OE1</w:t>
            </w:r>
          </w:p>
        </w:tc>
      </w:tr>
      <w:tr>
        <w:trPr>
          <w:cantSplit/>
        </w:trPr>
        <w:tc>
          <w:tcPr/>
          <w:p>
            <w:pPr>
              <w:pStyle w:val="Tabla8"/>
              <w:jc w:val="left"/>
            </w:pPr>
            <w:r>
              <w:t xml:space="preserve">V15</w:t>
            </w:r>
          </w:p>
        </w:tc>
        <w:tc>
          <w:tcPr/>
          <w:p>
            <w:pPr>
              <w:pStyle w:val="Tabla8"/>
              <w:jc w:val="left"/>
            </w:pPr>
            <w:r>
              <w:t xml:space="preserve">Adopción institucional del tablero y de las alertas</w:t>
            </w:r>
          </w:p>
        </w:tc>
        <w:tc>
          <w:tcPr/>
          <w:p>
            <w:pPr>
              <w:pStyle w:val="Tabla8"/>
              <w:jc w:val="left"/>
            </w:pPr>
            <w:r>
              <w:t xml:space="preserve">Crítica</w:t>
            </w:r>
          </w:p>
        </w:tc>
        <w:tc>
          <w:tcPr/>
          <w:p>
            <w:pPr>
              <w:pStyle w:val="Tabla8"/>
              <w:jc w:val="left"/>
            </w:pPr>
            <w:r>
              <w:t xml:space="preserve">7</w:t>
            </w:r>
          </w:p>
        </w:tc>
        <w:tc>
          <w:tcPr/>
          <w:p>
            <w:pPr>
              <w:pStyle w:val="Tabla8"/>
              <w:jc w:val="left"/>
            </w:pPr>
            <w:r>
              <w:t xml:space="preserve">7</w:t>
            </w:r>
          </w:p>
        </w:tc>
        <w:tc>
          <w:tcPr/>
          <w:p>
            <w:pPr>
              <w:pStyle w:val="Tabla8"/>
              <w:jc w:val="left"/>
            </w:pPr>
            <w:r>
              <w:t xml:space="preserve">Efecto indirecto y retroalimentación</w:t>
            </w:r>
          </w:p>
        </w:tc>
        <w:tc>
          <w:tcPr/>
          <w:p>
            <w:pPr>
              <w:pStyle w:val="Tabla8"/>
              <w:jc w:val="left"/>
            </w:pPr>
            <w:r>
              <w:t xml:space="preserve">OE3</w:t>
            </w:r>
          </w:p>
        </w:tc>
      </w:tr>
      <w:tr>
        <w:trPr>
          <w:cantSplit/>
        </w:trPr>
        <w:tc>
          <w:tcPr/>
          <w:p>
            <w:pPr>
              <w:pStyle w:val="Tabla8"/>
              <w:jc w:val="left"/>
            </w:pPr>
            <w:r>
              <w:t xml:space="preserve">V03</w:t>
            </w:r>
          </w:p>
        </w:tc>
        <w:tc>
          <w:tcPr/>
          <w:p>
            <w:pPr>
              <w:pStyle w:val="Tabla8"/>
              <w:jc w:val="left"/>
            </w:pPr>
            <w:r>
              <w:t xml:space="preserve">Humedad relativa en los sitios de remoción</w:t>
            </w:r>
          </w:p>
        </w:tc>
        <w:tc>
          <w:tcPr/>
          <w:p>
            <w:pPr>
              <w:pStyle w:val="Tabla8"/>
              <w:jc w:val="left"/>
            </w:pPr>
            <w:r>
              <w:t xml:space="preserve">Activa</w:t>
            </w:r>
          </w:p>
        </w:tc>
        <w:tc>
          <w:tcPr/>
          <w:p>
            <w:pPr>
              <w:pStyle w:val="Tabla8"/>
              <w:jc w:val="left"/>
            </w:pPr>
            <w:r>
              <w:t xml:space="preserve">6</w:t>
            </w:r>
          </w:p>
        </w:tc>
        <w:tc>
          <w:tcPr/>
          <w:p>
            <w:pPr>
              <w:pStyle w:val="Tabla8"/>
              <w:jc w:val="left"/>
            </w:pPr>
            <w:r>
              <w:t xml:space="preserve">0</w:t>
            </w:r>
          </w:p>
        </w:tc>
        <w:tc>
          <w:tcPr/>
          <w:p>
            <w:pPr>
              <w:pStyle w:val="Tabla8"/>
              <w:jc w:val="left"/>
            </w:pPr>
            <w:r>
              <w:t xml:space="preserve">Causa directa</w:t>
            </w:r>
          </w:p>
        </w:tc>
        <w:tc>
          <w:tcPr/>
          <w:p>
            <w:pPr>
              <w:pStyle w:val="Tabla8"/>
              <w:jc w:val="left"/>
            </w:pPr>
            <w:r>
              <w:t xml:space="preserve">OE1</w:t>
            </w:r>
          </w:p>
        </w:tc>
      </w:tr>
      <w:tr>
        <w:trPr>
          <w:cantSplit/>
        </w:trPr>
        <w:tc>
          <w:tcPr/>
          <w:p>
            <w:pPr>
              <w:pStyle w:val="Tabla8"/>
              <w:jc w:val="left"/>
            </w:pPr>
            <w:r>
              <w:t xml:space="preserve">V05</w:t>
            </w:r>
          </w:p>
        </w:tc>
        <w:tc>
          <w:tcPr/>
          <w:p>
            <w:pPr>
              <w:pStyle w:val="Tabla8"/>
              <w:jc w:val="left"/>
            </w:pPr>
            <w:r>
              <w:t xml:space="preserve">Remoción de escombros en curso</w:t>
            </w:r>
          </w:p>
        </w:tc>
        <w:tc>
          <w:tcPr/>
          <w:p>
            <w:pPr>
              <w:pStyle w:val="Tabla8"/>
              <w:jc w:val="left"/>
            </w:pPr>
            <w:r>
              <w:t xml:space="preserve">Activa</w:t>
            </w:r>
          </w:p>
        </w:tc>
        <w:tc>
          <w:tcPr/>
          <w:p>
            <w:pPr>
              <w:pStyle w:val="Tabla8"/>
              <w:jc w:val="left"/>
            </w:pPr>
            <w:r>
              <w:t xml:space="preserve">7</w:t>
            </w:r>
          </w:p>
        </w:tc>
        <w:tc>
          <w:tcPr/>
          <w:p>
            <w:pPr>
              <w:pStyle w:val="Tabla8"/>
              <w:jc w:val="left"/>
            </w:pPr>
            <w:r>
              <w:t xml:space="preserve">1</w:t>
            </w:r>
          </w:p>
        </w:tc>
        <w:tc>
          <w:tcPr/>
          <w:p>
            <w:pPr>
              <w:pStyle w:val="Tabla8"/>
              <w:jc w:val="left"/>
            </w:pPr>
            <w:r>
              <w:t xml:space="preserve">Causa indirecta</w:t>
            </w:r>
          </w:p>
        </w:tc>
        <w:tc>
          <w:tcPr/>
          <w:p>
            <w:pPr>
              <w:pStyle w:val="Tabla8"/>
              <w:jc w:val="left"/>
            </w:pPr>
            <w:r>
              <w:t xml:space="preserve">OE2</w:t>
            </w:r>
          </w:p>
        </w:tc>
      </w:tr>
      <w:tr>
        <w:trPr>
          <w:cantSplit/>
        </w:trPr>
        <w:tc>
          <w:tcPr/>
          <w:p>
            <w:pPr>
              <w:pStyle w:val="Tabla8"/>
              <w:jc w:val="left"/>
            </w:pPr>
            <w:r>
              <w:t xml:space="preserve">V07</w:t>
            </w:r>
          </w:p>
        </w:tc>
        <w:tc>
          <w:tcPr/>
          <w:p>
            <w:pPr>
              <w:pStyle w:val="Tabla8"/>
              <w:jc w:val="left"/>
            </w:pPr>
            <w:r>
              <w:t xml:space="preserve">Frecuencia de calibración de los nodos</w:t>
            </w:r>
          </w:p>
        </w:tc>
        <w:tc>
          <w:tcPr/>
          <w:p>
            <w:pPr>
              <w:pStyle w:val="Tabla8"/>
              <w:jc w:val="left"/>
            </w:pPr>
            <w:r>
              <w:t xml:space="preserve">Frontera</w:t>
            </w:r>
          </w:p>
        </w:tc>
        <w:tc>
          <w:tcPr/>
          <w:p>
            <w:pPr>
              <w:pStyle w:val="Tabla8"/>
              <w:jc w:val="left"/>
            </w:pPr>
            <w:r>
              <w:t xml:space="preserve">5</w:t>
            </w:r>
          </w:p>
        </w:tc>
        <w:tc>
          <w:tcPr/>
          <w:p>
            <w:pPr>
              <w:pStyle w:val="Tabla8"/>
              <w:jc w:val="left"/>
            </w:pPr>
            <w:r>
              <w:t xml:space="preserve">2</w:t>
            </w:r>
          </w:p>
        </w:tc>
        <w:tc>
          <w:tcPr/>
          <w:p>
            <w:pPr>
              <w:pStyle w:val="Tabla8"/>
              <w:jc w:val="left"/>
            </w:pPr>
            <w:r>
              <w:t xml:space="preserve">Causa directa; candidata condicionada</w:t>
            </w:r>
          </w:p>
        </w:tc>
        <w:tc>
          <w:tcPr/>
          <w:p>
            <w:pPr>
              <w:pStyle w:val="Tabla8"/>
              <w:jc w:val="left"/>
            </w:pPr>
            <w:r>
              <w:t xml:space="preserve">OE1</w:t>
            </w:r>
          </w:p>
        </w:tc>
      </w:tr>
    </w:tbl>
    <w:p>
      <w:pPr>
        <w:pStyle w:val="TablaNota"/>
      </w:pPr>
      <w:r>
        <w:rPr>
          <w:i/>
          <w:iCs/>
        </w:rPr>
        <w:t xml:space="preserve">Nota.</w:t>
      </w:r>
      <w:r>
        <w:t xml:space="preserve"> </w:t>
      </w:r>
      <w:r>
        <w:t xml:space="preserve">Elaboración propia con los resultados del escenario S2 (48 aristas; ΣI = ΣD = 78; corte por mediana I = 5 y D = 5). Naturaleza: INFERIDO con estatuto HIE; verificación NO_VERIFICADO. El escenario S2 no está ratificado por un panel independiente.</w:t>
      </w:r>
    </w:p>
    <w:p>
      <w:pPr>
        <w:pStyle w:val="BodyText"/>
      </w:pPr>
      <w:r>
        <w:t xml:space="preserve">La Tabla 1.3 muestra que las variables más influyentes no coinciden con las más controlables. V03 y V05 ejercen influencia sin recibirla, y por eso el proyecto las trata como condiciones del entorno que se miden y se corrigen. V06 y V02 concentran influencia y dependencia, de modo que la intervención sobre ellas propaga efectos al resto del sistema. V15 cierra el ciclo con el uso institucional. La priorización ordena el trabajo, pero ninguna clase sustituye a la medición.</w:t>
      </w:r>
    </w:p>
    <w:bookmarkEnd w:id="269"/>
    <w:bookmarkStart w:id="273" w:name="Xc0ee0c03b7e9957ffd2171aa20cbebcfec11c8b"/>
    <w:p>
      <w:pPr>
        <w:pStyle w:val="Heading3"/>
      </w:pPr>
      <w:r>
        <w:t xml:space="preserve">1.3.2 Técnica de los cinco porqués y causa raíz</w:t>
      </w:r>
    </w:p>
    <w:p>
      <w:pPr>
        <w:pStyle w:val="FirstParagraph"/>
      </w:pPr>
      <w:r>
        <w:t xml:space="preserve">La técnica de los cinco porqués encadena preguntas causales hasta una causa accionable. Smalley (2018) clasifica los problemas en cuatro tipos y asocia esta técnica con los problemas de solución reactiva. Aplicada al problema central, la cadena es la siguiente. Primero, el problema existe porque las lecturas ópticas de PM2,5 y PM10 no se verifican frente a una referencia (V06). Segundo, el error de lectura es alto porque la humedad (V03) y la fracción gruesa (V02) alteran la respuesta óptica sin corrección local. S2 asigna el peso 3 a V03 hacia V06 y a V02 hacia V06. La Figura 1.2 resume el árbol de problemas que se deriva de estas relaciones.</w:t>
      </w:r>
    </w:p>
    <w:p>
      <w:pPr>
        <w:pStyle w:val="BodyText"/>
      </w:pPr>
      <w:r>
        <w:t xml:space="preserve">El respaldo de la segunda respuesta es parcial. La correlación de 0,73 entre las partículas y la humedad en una mina (Suresh et al., 2025, p. 30) proviene de un contexto distinto. El aumento del R² de menos de 0,2 a 0,81 en Seúl también (Bang et al., 2026, pp. 6-8). Tercero, no hay corrección local porque la calibración es estática o inexistente (V07 hacia V06 con peso 3) y no existen referencias colocalizadas. El 90,8 % de las 5.076 estaciones de la red nacional propuesta serían sensores sin plan de calibración (Murad Pedraza et al., 2026, pp. 10-11 y 13; cálculo del analista de F-INF).</w:t>
      </w:r>
    </w:p>
    <w:p>
      <w:pPr>
        <w:pStyle w:val="FiguraRotulo"/>
      </w:pPr>
      <w:bookmarkStart w:id="9488" w:name="rot_Figura_1_2"/>
      <w:r>
        <w:rPr>
          <w:b/>
          <w:bCs/>
        </w:rPr>
        <w:t xml:space="preserve">Figura 1.2</w:t>
      </w:r>
      <w:bookmarkEnd w:id="9488"/>
    </w:p>
    <w:p>
      <w:pPr>
        <w:pStyle w:val="FiguraTitulo"/>
      </w:pPr>
      <w:r>
        <w:rPr>
          <w:i/>
          <w:iCs/>
        </w:rPr>
        <w:t xml:space="preserve">Árbol de problemas simplificado A-PROB del error de medición sin verificar</w:t>
      </w:r>
    </w:p>
    <w:p>
      <w:pPr>
        <w:pStyle w:val="BodyText"/>
      </w:pPr>
      <w:r>
        <w:drawing>
          <wp:inline>
            <wp:extent cx="5579999" cy="3744788"/>
            <wp:effectExtent b="0" l="0" r="0" t="0"/>
            <wp:docPr descr="" title="" id="271" name="Picture"/>
            <a:graphic>
              <a:graphicData uri="http://schemas.openxmlformats.org/drawingml/2006/picture">
                <pic:pic>
                  <pic:nvPicPr>
                    <pic:cNvPr descr="/tmp/claude-0/-home-user-docs/ddf38714-2a7e-502b-92b4-1008e2832422/scratchpad/proy/figs/out/c1_f02.png" id="272" name="Picture"/>
                    <pic:cNvPicPr>
                      <a:picLocks noChangeArrowheads="1" noChangeAspect="1"/>
                    </pic:cNvPicPr>
                  </pic:nvPicPr>
                  <pic:blipFill>
                    <a:blip r:embed="rId270"/>
                    <a:stretch>
                      <a:fillRect/>
                    </a:stretch>
                  </pic:blipFill>
                  <pic:spPr bwMode="auto">
                    <a:xfrm>
                      <a:off x="0" y="0"/>
                      <a:ext cx="5579999" cy="374478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Diez nodos y diez relaciones de peso 2 o 3 en el escenario S2; naturaleza PROPUESTO. Fuente: sección 4.5 del análisis causal (ARBOL_5_SGR_CONV56_AIRE.json). Elaboración propia con matplotlib 3.11.2 y estilo.py; tamaño de 10 × 7 pulgadas; sin semilla aleatoria; corte del 13 de octubre de 2026.</w:t>
      </w:r>
    </w:p>
    <w:p>
      <w:pPr>
        <w:pStyle w:val="BodyText"/>
      </w:pPr>
      <w:r>
        <w:t xml:space="preserve">Cuarto, no se calibra en el sitio porque la calibración depende de referencias costosas y de energía y enlace estables. Además, la remoción de escombros (V05) degrada la disponibilidad de nodos (V05 hacia V09 con peso 2) y expone los cabezales al polvo. Quinto, la causa raíz es una hipótesis de diseño (INFERIDO). La red de bajo costo opera sin un protocolo de calibración colocalizada y de corrección en el borde. Tampoco cuenta con custodia institucional adaptada a sitios de remoción de escombros. La formulación es una hipótesis de estatuto HIE y no un efecto estimado.</w:t>
      </w:r>
    </w:p>
    <w:p>
      <w:pPr>
        <w:pStyle w:val="BodyText"/>
      </w:pPr>
      <w:r>
        <w:t xml:space="preserve">El expediente E3 declaraba otra causa raíz: la arquitectura dependiente de la nube. Ninguna de las 15 variables la representa y la matriz no la deriva. El proyecto la conserva como hipótesis rival. Dos objeciones limitan la técnica. La primera es que los cinco porqués reducen una estructura con ciclos a una cadena lineal, mientras S2 concentra la retroalimentación en V15 (Vester, 2007). La segunda es que los problemas mal estructurados no admiten una única causa definitiva (Simon, 1973). Por ambas razones, la cadena se lee junto con la matriz y la verificación empírica comienza en el piloto del tramo 1.</w:t>
      </w:r>
    </w:p>
    <w:bookmarkEnd w:id="273"/>
    <w:bookmarkStart w:id="274" w:name="X9a29489009406e972626798ce307bbdc003cc6d"/>
    <w:p>
      <w:pPr>
        <w:pStyle w:val="Heading3"/>
      </w:pPr>
      <w:r>
        <w:t xml:space="preserve">1.3.3 Validación contra las ortodoxias desmanteladas</w:t>
      </w:r>
    </w:p>
    <w:p>
      <w:pPr>
        <w:pStyle w:val="FirstParagraph"/>
      </w:pPr>
      <w:r>
        <w:t xml:space="preserve">La sección 4.2 de F-E3 desmantela 15 ortodoxias, una por variable, y propone una alternativa para cada una. Nueve de las quince se eliminan del diseño conceptual del expediente. La tabla del expediente no incluye localizadores, de modo que ninguna alternativa propuesta cuenta con respaldo verificable en F-E3. El proyecto reformula cada ortodoxia con su respuesta propia y marca como NO_VERIFICADO toda alternativa que carece de localizador. Las respuestas se agrupan en cuatro conjuntos: medición y calibración, red y energía, índice y alerta, y fuente e institución.</w:t>
      </w:r>
    </w:p>
    <w:p>
      <w:pPr>
        <w:pStyle w:val="BodyText"/>
      </w:pPr>
      <w:r>
        <w:rPr>
          <w:b/>
          <w:bCs/>
        </w:rPr>
        <w:t xml:space="preserve">Medición y calibración.</w:t>
      </w:r>
      <w:r>
        <w:t xml:space="preserve"> </w:t>
      </w:r>
      <w:r>
        <w:t xml:space="preserve">F-E3 cuestiona que un sensor barato nunca alcance calidad de referencia (V06). El proyecto reformula la ortodoxia como una pregunta cuantificable: qué error presenta cada nodo frente a una referencia colocalizada. Los umbrales son R² ≥ 0,70 y NRMSE ≤ 30 % (EPA, 2021), y la respuesta se mide en el tramo 1. La humedad (V03) no se trata como daño irreversible, sino como moderadora de la respuesta óptica que admite corrección con modelo (Jayaratne et al., 2018; Barkjohn et al., 2021; Malings et al., 2020). La condensación sostenida podría dañar un cabezal, y por eso los cerramientos limitan la exposición. La alternativa de F-E3 sobre la humedad queda NO_VERIFICADO. Las fuentes del banco sustentan el principio, pero también son NO_VERIFICADO en esta corrida.</w:t>
      </w:r>
    </w:p>
    <w:p>
      <w:pPr>
        <w:pStyle w:val="BodyText"/>
      </w:pPr>
      <w:r>
        <w:rPr>
          <w:b/>
          <w:bCs/>
        </w:rPr>
        <w:t xml:space="preserve">Calibración, polvo y PM2,5.</w:t>
      </w:r>
      <w:r>
        <w:t xml:space="preserve"> </w:t>
      </w:r>
      <w:r>
        <w:t xml:space="preserve">F-E3 sostiene que la calibración exige retirar el sensor al laboratorio (V07) y propone la autocalibración remota por ventana estable. El proyecto responde con seis ciclos de calibración, dos por tramo, y un banco de calibración de laboratorio. La autocalibración por ventana estable carece de datos de desempeño en F-INF (Ali et al., 2022; Wilson et al., 2024) y no forma parte del diseño base. El polvo de demolición (V02) se trata como fracción gruesa, PM10 menos PM2,5, porque PM2,5 está contenido en PM10 por definición. F-E3 propone modelar el PM2,5 regional con retículas de viento y asimilación satelital (V01). El proyecto no pronostica y por tanto no adopta esa alternativa, que queda NO_VERIFICADO.</w:t>
      </w:r>
    </w:p>
    <w:p>
      <w:pPr>
        <w:pStyle w:val="BodyText"/>
      </w:pPr>
      <w:r>
        <w:rPr>
          <w:b/>
          <w:bCs/>
        </w:rPr>
        <w:t xml:space="preserve">Red y energía.</w:t>
      </w:r>
      <w:r>
        <w:t xml:space="preserve"> </w:t>
      </w:r>
      <w:r>
        <w:t xml:space="preserve">F-E3 propone transmitir solo por eventos (V08) y mantener los nodos en reposo 90 % del tiempo (V09). El proyecto no adopta esas cifras. La proporción de 90 % de reposo carece de fuente (NO_VERIFICADO), y la latencia (V08) es autónoma relativa en S2. En su lugar fija una autonomía mínima de 14 días sin sol y una disponibilidad mensual de nodos de al menos 90 %. Fija además un almacenamiento local de siete días. La ortodoxia sobre el gemelo digital (V10) se reformula. F-INF identifica cinco acepciones del término en al menos 11 documentos (F-INF, sección 1.3). El capítulo de diseño debe declarar la acepción adoptada antes de afirmar madurez. El viento (V04) queda fuera del alcance: S2 lo clasifica como activo, pero el perfilado con modelos de mesoescala excede el proyecto.</w:t>
      </w:r>
    </w:p>
    <w:p>
      <w:pPr>
        <w:pStyle w:val="BodyText"/>
      </w:pPr>
      <w:r>
        <w:rPr>
          <w:b/>
          <w:bCs/>
        </w:rPr>
        <w:t xml:space="preserve">Índice, alerta y protección.</w:t>
      </w:r>
      <w:r>
        <w:t xml:space="preserve"> </w:t>
      </w:r>
      <w:r>
        <w:t xml:space="preserve">F-E3 afirma que un índice de calidad del aire no mide salud. Propone el AQHI validado por riesgo relativo (V11). El AQHI se origina en asociaciones de series de tiempo (Stieb et al., 2008). Sin embargo, 88,7 % de los 53 estudios revisados es de China y ninguno es de América Latina. Solo 9,4 % validó con partición de datos (Liao et al., 2026, pp. 6 y 8). El proyecto muestra el AQHI con umbrales validados localmente y declara VACIO la fórmula local. El consenso multinodo que propone F-E3 para las falsas alarmas (V12) es NO_VERIFICADO. El proyecto mide primero la tasa y solo después busca una reducción relativa de 30 % (PERS-E02). La anticipación (V13) y la protección de las personas (V14) carecen de línea base. El proyecto distribuye cartillas y mascarillas N95 y forma al personal, pero no declara efectos sobre la protección ni sobre la salud.</w:t>
      </w:r>
    </w:p>
    <w:p>
      <w:pPr>
        <w:pStyle w:val="BodyText"/>
      </w:pPr>
      <w:r>
        <w:rPr>
          <w:b/>
          <w:bCs/>
        </w:rPr>
        <w:t xml:space="preserve">Fuente e institución.</w:t>
      </w:r>
      <w:r>
        <w:t xml:space="preserve"> </w:t>
      </w:r>
      <w:r>
        <w:t xml:space="preserve">F-E3 propone tratar el escombro como amenaza química respiratoria (V05). El proyecto mide la masa de PM2,5 y PM10 y no la composición, de modo que la hipótesis química es NO_VERIFICADO. F-E3 propone exigir convenios formales de adopción (V15). El proyecto lo incorpora en la compuerta C2, que condiciona el tramo 3 a convenios de custodia con partida. Los modelos de aceptación tecnológica sugieren que la utilidad percibida y la facilidad de uso predicen el uso (Davis, 1989; Venkatesh et al., 2003), pero no lo aseguran. Las alcaldías no aportan contrapartida (VACIO). El uso institucional de al menos 75 % al mes 24 es una meta y no un resultado.</w:t>
      </w:r>
    </w:p>
    <w:p>
      <w:pPr>
        <w:pStyle w:val="BodyText"/>
      </w:pPr>
      <w:r>
        <w:t xml:space="preserve">El resultado de la validación es una regla de lectura. Ninguna alternativa de F-E3 se acepta sin contraste. Cada una queda como NO_VERIFICADO hasta contar con localizador o con medición propia. Las respuestas del proyecto se apoyan en la literatura del banco cuando existe y en el piloto del tramo 1 cuando no existe. La validación no prueba que el diseño sea superior. Muestra qué parte del diseño depende de supuestos que el expediente no sustentó.</w:t>
      </w:r>
    </w:p>
    <w:bookmarkEnd w:id="274"/>
    <w:bookmarkEnd w:id="275"/>
    <w:bookmarkStart w:id="280" w:name="_Toc00900111"/>
    <w:p>
      <w:pPr>
        <w:pStyle w:val="Heading2"/>
      </w:pPr>
      <w:r>
        <w:t xml:space="preserve">1.4 Efectos y Consecuencias</w:t>
      </w:r>
    </w:p>
    <w:p>
      <w:pPr>
        <w:pStyle w:val="FirstParagraph"/>
      </w:pPr>
      <w:r>
        <w:t xml:space="preserve">Los efectos del problema se derivan del árbol A-PROB y se ordenan en tres niveles. Los directos son V11 y V12. Los indirectos son V14 y V15. Los de largo plazo son institucionales y no sanitarios, porque el proyecto no promete efectos en salud. Cada nivel se asocia con indicadores PERS. Donde falta línea base se declara VACIO, y la proyección sin intervención se describe de forma cualitativa.</w:t>
      </w:r>
    </w:p>
    <w:bookmarkStart w:id="276" w:name="_Toc00900112"/>
    <w:p>
      <w:pPr>
        <w:pStyle w:val="Heading3"/>
      </w:pPr>
      <w:r>
        <w:t xml:space="preserve">1.4.1 Efectos directos (nivel 1)</w:t>
      </w:r>
    </w:p>
    <w:p>
      <w:pPr>
        <w:pStyle w:val="FirstParagraph"/>
      </w:pPr>
      <w:r>
        <w:t xml:space="preserve">Los efectos directos son dos. El primero es un AQHI con error de entrada y sin fórmula local validada (V11). El segundo es una tasa de falsas alarmas sin medir (V12). S2 asigna a V06 hacia V11 el peso 3 y a V06 hacia V12 el peso 2 (HIE). El AQHI se calcula a partir de concentraciones, de modo que el error de medición se propaga al índice. El corpus indica la dimensión del problema de validación. Solo 9,4 % de los estudios de AQHI validó con partición de datos. Apenas 11,3 % realizó análisis de sensibilidad (Liao et al., 2026, pp. 6 y 8). Un índice sin validación local no representa por sí mismo el riesgo de la población.</w:t>
      </w:r>
    </w:p>
    <w:p>
      <w:pPr>
        <w:pStyle w:val="BodyText"/>
      </w:pPr>
      <w:r>
        <w:t xml:space="preserve">Una falsa alarma es una alerta emitida sin riesgo real, y una omisión es un riesgo real sin alerta. Ambas se miden frente a una referencia y a un umbral. F-INF reporta que ninguno de los cinco documentos de alerta publica detección, falsas alarmas ni anticipación (F-INF, sección 1.3). Además, 16 documentos (38,1 %) presentan alertas sin evaluación de detección ni de falsas alarmas (F-INF, sección 5.4). F-E3 declara también la omisión de alertas ante picos reales (DECLARADO; NO_VERIFICADO). Sin medición, ninguna de las dos fallas se puede distinguir de la otra.</w:t>
      </w:r>
    </w:p>
    <w:p>
      <w:pPr>
        <w:pStyle w:val="BodyText"/>
      </w:pPr>
      <w:r>
        <w:t xml:space="preserve">Dos posiciones explican el vínculo entre el error de medición y la alerta. La primera sostiene que el error del sensor se propaga a la alerta de forma proporcional. La segunda sostiene que las reglas de alerta con filtros de calidad de dato amortiguan la propagación. El análisis causal registra esa explicación entre las rivales. La evidencia local no permite decidir entre ellas. El proyecto mide V12 en el tramo 1 antes de fijar una meta (PERS-E02) y no promete que la verificación elimine las falsas alarmas. La promesa se limita a conocer la tasa y a reducirla en 30 % relativo.</w:t>
      </w:r>
    </w:p>
    <w:bookmarkEnd w:id="276"/>
    <w:bookmarkStart w:id="277" w:name="_Toc00900113"/>
    <w:p>
      <w:pPr>
        <w:pStyle w:val="Heading3"/>
      </w:pPr>
      <w:r>
        <w:t xml:space="preserve">1.4.2 Efectos indirectos (nivel 2)</w:t>
      </w:r>
    </w:p>
    <w:p>
      <w:pPr>
        <w:pStyle w:val="FirstParagraph"/>
      </w:pPr>
      <w:r>
        <w:t xml:space="preserve">Los efectos indirectos son dos. Son la baja adopción institucional del tablero y de las alertas (V15) y las personas sin protección efectiva por alertas confiables (V14). S2 asigna a V12 hacia V15 el peso 2, con signo negativo: más falsas alarmas, menor adopción. Asigna a V11 hacia V14 el peso 2. V15 es crítica y retroalimenta a V05, V07, V09, V10 y V14, y por eso participa en 140 de 144 ciclos simples. Los ciclos más cortos conectan V15 con V09 y con V14. El efecto indirecto no es un punto final del árbol. Es una variable que actúa sobre las causas.</w:t>
      </w:r>
    </w:p>
    <w:p>
      <w:pPr>
        <w:pStyle w:val="BodyText"/>
      </w:pPr>
      <w:r>
        <w:t xml:space="preserve">La adopción de una tecnología por una organización admite explicaciones rivales. Davis (1989) y Venkatesh et al. (2003) la explican por la utilidad percibida, la facilidad de uso y las condiciones de facilitación. Lipsky (1980) la explica por las condiciones del personal de primera línea, que adapta las reglas a sus recursos limitados. Rogers (2003) añade que la difusión depende de atributos de la innovación y de canales sociales. Las tres explicaciones coinciden en que la adopción no se decreta. El proyecto las atiende con co-diseño del tablero y con formación del personal. Los beneficiarios son 15 comités (SUPUESTO) y 150 funcionarios directos (SUPUESTO, 10 por comité).</w:t>
      </w:r>
    </w:p>
    <w:p>
      <w:pPr>
        <w:pStyle w:val="BodyText"/>
      </w:pPr>
      <w:r>
        <w:t xml:space="preserve">La consecuencia metodológica es medir el uso y no inferirlo. PERS-E01 mide el uso institucional del tablero y del protocolo. La meta es al menos 75 % de los comités focalizados al mes 24 (línea base VACIO). PERS-E03 mide la capacidad instalada con al menos 60 personas certificadas en custodios. La compuerta C1 exige que al menos 50 % de los comités del tramo 1 use el tablero. La condición evita ampliar la red mientras el uso no se verifica.</w:t>
      </w:r>
    </w:p>
    <w:bookmarkEnd w:id="277"/>
    <w:bookmarkStart w:id="278" w:name="_Toc00900114"/>
    <w:p>
      <w:pPr>
        <w:pStyle w:val="Heading3"/>
      </w:pPr>
      <w:r>
        <w:t xml:space="preserve">1.4.3 Impactos de largo plazo (nivel 3)</w:t>
      </w:r>
    </w:p>
    <w:p>
      <w:pPr>
        <w:pStyle w:val="FirstParagraph"/>
      </w:pPr>
      <w:r>
        <w:t xml:space="preserve">Los impactos de largo plazo son de continuidad y de activación, no de salud. Si el problema persiste, la red pierde continuidad bajo custodia y los protocolos no se activan cuando una medición supera un umbral. El proyecto los mide con dos indicadores. PERS-S01 mide la activación del protocolo ante superación de umbral, con meta de al menos 80 % a los 12 meses posteriores al cierre. PERS-S02 mide la continuidad de la red bajo custodia, con meta de al menos 70 % en el mismo horizonte. Ambas líneas base son VACIO y se miden en el tramo 1. Una evaluación externa verifica los indicadores de impacto.</w:t>
      </w:r>
    </w:p>
    <w:p>
      <w:pPr>
        <w:pStyle w:val="BodyText"/>
      </w:pPr>
      <w:r>
        <w:t xml:space="preserve">El proyecto no atribuye efectos en salud. La literatura asocia la exposición a PM2,5 con mortalidad evitable. Las muertes evitables de 2014 a 2019 en Colombia oscilan entre 142 y 34.341. El primer valor corresponde a una referencia de 25 µg/m3 y el segundo a una de 15 µg/m3 (Rodríguez-Villamizar et al., 2022, pp. 6 y 8). El rango muestra que la magnitud depende de la referencia adoptada. No mide el efecto de este proyecto, que produce mediciones verificadas, uso institucional y continuidad. La Tabla 1.4 resume la cadena de efectos con sus indicadores.</w:t>
      </w:r>
    </w:p>
    <w:p>
      <w:pPr>
        <w:pStyle w:val="BodyText"/>
      </w:pPr>
      <w:r>
        <w:t xml:space="preserve">Dos posiciones se contraponen sobre el valor de medir mejor. La primera sostiene que una medición verificada orienta decisiones que reducen la exposición. La segunda sostiene que la medición sin acción no cambia la exposición, y que el mecanismo depende del contexto (Pawson y Tilley, 1997). Merton (1936) añade que toda acción deliberada produce consecuencias no anticipadas, como la confianza indebida en lecturas corregidas. El proyecto incorpora la segunda posición y la advertencia de Merton. Reporta el error residual junto con cada valor del tablero y no presenta la corrección como equivalente a la referencia.</w:t>
      </w:r>
    </w:p>
    <w:p>
      <w:pPr>
        <w:pStyle w:val="TablaRotulo"/>
      </w:pPr>
      <w:bookmarkStart w:id="9229" w:name="rot_Tabla_1_4"/>
      <w:r>
        <w:rPr>
          <w:b/>
          <w:bCs/>
        </w:rPr>
        <w:t xml:space="preserve">Tabla 1.4</w:t>
      </w:r>
      <w:bookmarkEnd w:id="9229"/>
    </w:p>
    <w:p>
      <w:pPr>
        <w:pStyle w:val="TablaTitulo"/>
      </w:pPr>
      <w:r>
        <w:rPr>
          <w:i/>
          <w:iCs/>
        </w:rPr>
        <w:t xml:space="preserve">Cadena de efectos con indicadores PERS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50"/>
        <w:gridCol w:w="1243"/>
        <w:gridCol w:w="785"/>
        <w:gridCol w:w="1047"/>
        <w:gridCol w:w="1309"/>
        <w:gridCol w:w="1112"/>
        <w:gridCol w:w="1570"/>
      </w:tblGrid>
      <w:tr>
        <w:trPr>
          <w:cantSplit/>
          <w:tblHeader/>
        </w:trPr>
        <w:tc>
          <w:tcPr>
            <w:shd w:val="clear" w:color="auto" w:fill="00B050"/>
          </w:tcPr>
          <w:p>
            <w:pPr>
              <w:pStyle w:val="Tabla8"/>
              <w:jc w:val="center"/>
            </w:pPr>
            <w:r>
              <w:rPr>
                <w:b/>
                <w:color w:val="FFFFFF"/>
              </w:rPr>
              <w:t xml:space="preserve">Nivel</w:t>
            </w:r>
          </w:p>
        </w:tc>
        <w:tc>
          <w:tcPr>
            <w:shd w:val="clear" w:color="auto" w:fill="00B050"/>
          </w:tcPr>
          <w:p>
            <w:pPr>
              <w:pStyle w:val="Tabla8"/>
              <w:jc w:val="center"/>
            </w:pPr>
            <w:r>
              <w:rPr>
                <w:b/>
                <w:color w:val="FFFFFF"/>
              </w:rPr>
              <w:t xml:space="preserve">Efecto</w:t>
            </w:r>
          </w:p>
        </w:tc>
        <w:tc>
          <w:tcPr>
            <w:shd w:val="clear" w:color="auto" w:fill="00B050"/>
          </w:tcPr>
          <w:p>
            <w:pPr>
              <w:pStyle w:val="Tabla8"/>
              <w:jc w:val="center"/>
            </w:pPr>
            <w:r>
              <w:rPr>
                <w:b/>
                <w:color w:val="FFFFFF"/>
              </w:rPr>
              <w:t xml:space="preserve">Variable</w:t>
            </w:r>
          </w:p>
        </w:tc>
        <w:tc>
          <w:tcPr>
            <w:shd w:val="clear" w:color="auto" w:fill="00B050"/>
          </w:tcPr>
          <w:p>
            <w:pPr>
              <w:pStyle w:val="Tabla8"/>
              <w:jc w:val="center"/>
            </w:pPr>
            <w:r>
              <w:rPr>
                <w:b/>
                <w:color w:val="FFFFFF"/>
              </w:rPr>
              <w:t xml:space="preserve">Indicador PERS asociado</w:t>
            </w:r>
          </w:p>
        </w:tc>
        <w:tc>
          <w:tcPr>
            <w:shd w:val="clear" w:color="auto" w:fill="00B050"/>
          </w:tcPr>
          <w:p>
            <w:pPr>
              <w:pStyle w:val="Tabla8"/>
              <w:jc w:val="center"/>
            </w:pPr>
            <w:r>
              <w:rPr>
                <w:b/>
                <w:color w:val="FFFFFF"/>
              </w:rPr>
              <w:t xml:space="preserve">Línea base</w:t>
            </w:r>
          </w:p>
        </w:tc>
        <w:tc>
          <w:tcPr>
            <w:shd w:val="clear" w:color="auto" w:fill="00B050"/>
          </w:tcPr>
          <w:p>
            <w:pPr>
              <w:pStyle w:val="Tabla8"/>
              <w:jc w:val="center"/>
            </w:pPr>
            <w:r>
              <w:rPr>
                <w:b/>
                <w:color w:val="FFFFFF"/>
              </w:rPr>
              <w:t xml:space="preserve">Meta</w:t>
            </w:r>
          </w:p>
        </w:tc>
        <w:tc>
          <w:tcPr>
            <w:shd w:val="clear" w:color="auto" w:fill="00B050"/>
          </w:tcPr>
          <w:p>
            <w:pPr>
              <w:pStyle w:val="Tabla8"/>
              <w:jc w:val="center"/>
            </w:pPr>
            <w:r>
              <w:rPr>
                <w:b/>
                <w:color w:val="FFFFFF"/>
              </w:rPr>
              <w:t xml:space="preserve">Naturaleza y verificación</w:t>
            </w:r>
          </w:p>
        </w:tc>
      </w:tr>
      <w:tr>
        <w:trPr>
          <w:cantSplit/>
        </w:trPr>
        <w:tc>
          <w:tcPr/>
          <w:p>
            <w:pPr>
              <w:pStyle w:val="Tabla8"/>
              <w:jc w:val="left"/>
            </w:pPr>
            <w:r>
              <w:t xml:space="preserve">Directo</w:t>
            </w:r>
          </w:p>
        </w:tc>
        <w:tc>
          <w:tcPr/>
          <w:p>
            <w:pPr>
              <w:pStyle w:val="Tabla8"/>
              <w:jc w:val="left"/>
            </w:pPr>
            <w:r>
              <w:t xml:space="preserve">AQHI con error de entrada y sin fórmula local validada</w:t>
            </w:r>
          </w:p>
        </w:tc>
        <w:tc>
          <w:tcPr/>
          <w:p>
            <w:pPr>
              <w:pStyle w:val="Tabla8"/>
              <w:jc w:val="left"/>
            </w:pPr>
            <w:r>
              <w:t xml:space="preserve">V11</w:t>
            </w:r>
          </w:p>
        </w:tc>
        <w:tc>
          <w:tcPr/>
          <w:p>
            <w:pPr>
              <w:pStyle w:val="Tabla8"/>
              <w:jc w:val="left"/>
            </w:pPr>
            <w:r>
              <w:t xml:space="preserve">PERS-R05 y PERS-R02, que miden la verificación de la entrada; sin indicador dedicado a la fórmula local</w:t>
            </w:r>
          </w:p>
        </w:tc>
        <w:tc>
          <w:tcPr/>
          <w:p>
            <w:pPr>
              <w:pStyle w:val="Tabla8"/>
              <w:jc w:val="left"/>
            </w:pPr>
            <w:r>
              <w:t xml:space="preserve">0 (CALCULADO)</w:t>
            </w:r>
          </w:p>
        </w:tc>
        <w:tc>
          <w:tcPr/>
          <w:p>
            <w:pPr>
              <w:pStyle w:val="Tabla8"/>
              <w:jc w:val="left"/>
            </w:pPr>
            <w:r>
              <w:t xml:space="preserve">Al menos 60.000 horas-nodo válidas y cuatro rotaciones por departamento; seis ciclos de calibración</w:t>
            </w:r>
          </w:p>
        </w:tc>
        <w:tc>
          <w:tcPr/>
          <w:p>
            <w:pPr>
              <w:pStyle w:val="Tabla8"/>
              <w:jc w:val="left"/>
            </w:pPr>
            <w:r>
              <w:t xml:space="preserve">PROPUESTO; NO_VERIFICADO</w:t>
            </w:r>
          </w:p>
        </w:tc>
      </w:tr>
      <w:tr>
        <w:trPr>
          <w:cantSplit/>
        </w:trPr>
        <w:tc>
          <w:tcPr/>
          <w:p>
            <w:pPr>
              <w:pStyle w:val="Tabla8"/>
              <w:jc w:val="left"/>
            </w:pPr>
            <w:r>
              <w:t xml:space="preserve">Directo</w:t>
            </w:r>
          </w:p>
        </w:tc>
        <w:tc>
          <w:tcPr/>
          <w:p>
            <w:pPr>
              <w:pStyle w:val="Tabla8"/>
              <w:jc w:val="left"/>
            </w:pPr>
            <w:r>
              <w:t xml:space="preserve">Tasa de falsas alarmas sin medir</w:t>
            </w:r>
          </w:p>
        </w:tc>
        <w:tc>
          <w:tcPr/>
          <w:p>
            <w:pPr>
              <w:pStyle w:val="Tabla8"/>
              <w:jc w:val="left"/>
            </w:pPr>
            <w:r>
              <w:t xml:space="preserve">V12</w:t>
            </w:r>
          </w:p>
        </w:tc>
        <w:tc>
          <w:tcPr/>
          <w:p>
            <w:pPr>
              <w:pStyle w:val="Tabla8"/>
              <w:jc w:val="left"/>
            </w:pPr>
            <w:r>
              <w:t xml:space="preserve">PERS-E02</w:t>
            </w:r>
          </w:p>
        </w:tc>
        <w:tc>
          <w:tcPr/>
          <w:p>
            <w:pPr>
              <w:pStyle w:val="Tabla8"/>
              <w:jc w:val="left"/>
            </w:pPr>
            <w:r>
              <w:t xml:space="preserve">Se mide en el tramo 1 (VACIO)</w:t>
            </w:r>
          </w:p>
        </w:tc>
        <w:tc>
          <w:tcPr/>
          <w:p>
            <w:pPr>
              <w:pStyle w:val="Tabla8"/>
              <w:jc w:val="left"/>
            </w:pPr>
            <w:r>
              <w:t xml:space="preserve">Al menos 30 % de reducción relativa</w:t>
            </w:r>
          </w:p>
        </w:tc>
        <w:tc>
          <w:tcPr/>
          <w:p>
            <w:pPr>
              <w:pStyle w:val="Tabla8"/>
              <w:jc w:val="left"/>
            </w:pPr>
            <w:r>
              <w:t xml:space="preserve">PROPUESTO; NO_VERIFICADO</w:t>
            </w:r>
          </w:p>
        </w:tc>
      </w:tr>
      <w:tr>
        <w:trPr>
          <w:cantSplit/>
        </w:trPr>
        <w:tc>
          <w:tcPr/>
          <w:p>
            <w:pPr>
              <w:pStyle w:val="Tabla8"/>
              <w:jc w:val="left"/>
            </w:pPr>
            <w:r>
              <w:t xml:space="preserve">Indirecto</w:t>
            </w:r>
          </w:p>
        </w:tc>
        <w:tc>
          <w:tcPr/>
          <w:p>
            <w:pPr>
              <w:pStyle w:val="Tabla8"/>
              <w:jc w:val="left"/>
            </w:pPr>
            <w:r>
              <w:t xml:space="preserve">Baja adopción institucional del tablero y de las alertas</w:t>
            </w:r>
          </w:p>
        </w:tc>
        <w:tc>
          <w:tcPr/>
          <w:p>
            <w:pPr>
              <w:pStyle w:val="Tabla8"/>
              <w:jc w:val="left"/>
            </w:pPr>
            <w:r>
              <w:t xml:space="preserve">V15</w:t>
            </w:r>
          </w:p>
        </w:tc>
        <w:tc>
          <w:tcPr/>
          <w:p>
            <w:pPr>
              <w:pStyle w:val="Tabla8"/>
              <w:jc w:val="left"/>
            </w:pPr>
            <w:r>
              <w:t xml:space="preserve">PERS-E01 y PERS-E03</w:t>
            </w:r>
          </w:p>
        </w:tc>
        <w:tc>
          <w:tcPr/>
          <w:p>
            <w:pPr>
              <w:pStyle w:val="Tabla8"/>
              <w:jc w:val="left"/>
            </w:pPr>
            <w:r>
              <w:t xml:space="preserve">VACIO; 0 (CALCULADO)</w:t>
            </w:r>
          </w:p>
        </w:tc>
        <w:tc>
          <w:tcPr/>
          <w:p>
            <w:pPr>
              <w:pStyle w:val="Tabla8"/>
              <w:jc w:val="left"/>
            </w:pPr>
            <w:r>
              <w:t xml:space="preserve">Al menos 75 % al mes 24; al menos 60 personas certificadas</w:t>
            </w:r>
          </w:p>
        </w:tc>
        <w:tc>
          <w:tcPr/>
          <w:p>
            <w:pPr>
              <w:pStyle w:val="Tabla8"/>
              <w:jc w:val="left"/>
            </w:pPr>
            <w:r>
              <w:t xml:space="preserve">PROPUESTO; NO_VERIFICADO</w:t>
            </w:r>
          </w:p>
        </w:tc>
      </w:tr>
      <w:tr>
        <w:trPr>
          <w:cantSplit/>
        </w:trPr>
        <w:tc>
          <w:tcPr/>
          <w:p>
            <w:pPr>
              <w:pStyle w:val="Tabla8"/>
              <w:jc w:val="left"/>
            </w:pPr>
            <w:r>
              <w:t xml:space="preserve">Indirecto</w:t>
            </w:r>
          </w:p>
        </w:tc>
        <w:tc>
          <w:tcPr/>
          <w:p>
            <w:pPr>
              <w:pStyle w:val="Tabla8"/>
              <w:jc w:val="left"/>
            </w:pPr>
            <w:r>
              <w:t xml:space="preserve">Personas sin protección efectiva por alertas confiables</w:t>
            </w:r>
          </w:p>
        </w:tc>
        <w:tc>
          <w:tcPr/>
          <w:p>
            <w:pPr>
              <w:pStyle w:val="Tabla8"/>
              <w:jc w:val="left"/>
            </w:pPr>
            <w:r>
              <w:t xml:space="preserve">V14</w:t>
            </w:r>
          </w:p>
        </w:tc>
        <w:tc>
          <w:tcPr/>
          <w:p>
            <w:pPr>
              <w:pStyle w:val="Tabla8"/>
              <w:jc w:val="left"/>
            </w:pPr>
            <w:r>
              <w:t xml:space="preserve">Sin indicador dedicado; PERS-P04 mide las actividades de apropiación social</w:t>
            </w:r>
          </w:p>
        </w:tc>
        <w:tc>
          <w:tcPr/>
          <w:p>
            <w:pPr>
              <w:pStyle w:val="Tabla8"/>
              <w:jc w:val="left"/>
            </w:pPr>
            <w:r>
              <w:t xml:space="preserve">0 (CALCULADO)</w:t>
            </w:r>
          </w:p>
        </w:tc>
        <w:tc>
          <w:tcPr/>
          <w:p>
            <w:pPr>
              <w:pStyle w:val="Tabla8"/>
              <w:jc w:val="left"/>
            </w:pPr>
            <w:r>
              <w:t xml:space="preserve">29 actividades: 20 talleres y nueve jornadas</w:t>
            </w:r>
          </w:p>
        </w:tc>
        <w:tc>
          <w:tcPr/>
          <w:p>
            <w:pPr>
              <w:pStyle w:val="Tabla8"/>
              <w:jc w:val="left"/>
            </w:pPr>
            <w:r>
              <w:t xml:space="preserve">PROPUESTO; NO_VERIFICADO</w:t>
            </w:r>
          </w:p>
        </w:tc>
      </w:tr>
      <w:tr>
        <w:trPr>
          <w:cantSplit/>
        </w:trPr>
        <w:tc>
          <w:tcPr/>
          <w:p>
            <w:pPr>
              <w:pStyle w:val="Tabla8"/>
              <w:jc w:val="left"/>
            </w:pPr>
            <w:r>
              <w:t xml:space="preserve">Largo plazo</w:t>
            </w:r>
          </w:p>
        </w:tc>
        <w:tc>
          <w:tcPr/>
          <w:p>
            <w:pPr>
              <w:pStyle w:val="Tabla8"/>
              <w:jc w:val="left"/>
            </w:pPr>
            <w:r>
              <w:t xml:space="preserve">Activación insuficiente del protocolo ante superación de umbral</w:t>
            </w:r>
          </w:p>
        </w:tc>
        <w:tc>
          <w:tcPr/>
          <w:p>
            <w:pPr>
              <w:pStyle w:val="Tabla8"/>
              <w:jc w:val="left"/>
            </w:pPr>
            <w:r>
              <w:t xml:space="preserve">Sin código</w:t>
            </w:r>
          </w:p>
        </w:tc>
        <w:tc>
          <w:tcPr/>
          <w:p>
            <w:pPr>
              <w:pStyle w:val="Tabla8"/>
              <w:jc w:val="left"/>
            </w:pPr>
            <w:r>
              <w:t xml:space="preserve">PERS-S01</w:t>
            </w:r>
          </w:p>
        </w:tc>
        <w:tc>
          <w:tcPr/>
          <w:p>
            <w:pPr>
              <w:pStyle w:val="Tabla8"/>
              <w:jc w:val="left"/>
            </w:pPr>
            <w:r>
              <w:t xml:space="preserve">VACIO</w:t>
            </w:r>
          </w:p>
        </w:tc>
        <w:tc>
          <w:tcPr/>
          <w:p>
            <w:pPr>
              <w:pStyle w:val="Tabla8"/>
              <w:jc w:val="left"/>
            </w:pPr>
            <w:r>
              <w:t xml:space="preserve">Al menos 80 % a los 12 meses posteriores al cierre</w:t>
            </w:r>
          </w:p>
        </w:tc>
        <w:tc>
          <w:tcPr/>
          <w:p>
            <w:pPr>
              <w:pStyle w:val="Tabla8"/>
              <w:jc w:val="left"/>
            </w:pPr>
            <w:r>
              <w:t xml:space="preserve">PROPUESTO; NO_VERIFICADO</w:t>
            </w:r>
          </w:p>
        </w:tc>
      </w:tr>
      <w:tr>
        <w:trPr>
          <w:cantSplit/>
        </w:trPr>
        <w:tc>
          <w:tcPr/>
          <w:p>
            <w:pPr>
              <w:pStyle w:val="Tabla8"/>
              <w:jc w:val="left"/>
            </w:pPr>
            <w:r>
              <w:t xml:space="preserve">Largo plazo</w:t>
            </w:r>
          </w:p>
        </w:tc>
        <w:tc>
          <w:tcPr/>
          <w:p>
            <w:pPr>
              <w:pStyle w:val="Tabla8"/>
              <w:jc w:val="left"/>
            </w:pPr>
            <w:r>
              <w:t xml:space="preserve">Discontinuidad de la red sin custodia</w:t>
            </w:r>
          </w:p>
        </w:tc>
        <w:tc>
          <w:tcPr/>
          <w:p>
            <w:pPr>
              <w:pStyle w:val="Tabla8"/>
              <w:jc w:val="left"/>
            </w:pPr>
            <w:r>
              <w:t xml:space="preserve">Sin código</w:t>
            </w:r>
          </w:p>
        </w:tc>
        <w:tc>
          <w:tcPr/>
          <w:p>
            <w:pPr>
              <w:pStyle w:val="Tabla8"/>
              <w:jc w:val="left"/>
            </w:pPr>
            <w:r>
              <w:t xml:space="preserve">PERS-S02</w:t>
            </w:r>
          </w:p>
        </w:tc>
        <w:tc>
          <w:tcPr/>
          <w:p>
            <w:pPr>
              <w:pStyle w:val="Tabla8"/>
              <w:jc w:val="left"/>
            </w:pPr>
            <w:r>
              <w:t xml:space="preserve">VACIO</w:t>
            </w:r>
          </w:p>
        </w:tc>
        <w:tc>
          <w:tcPr/>
          <w:p>
            <w:pPr>
              <w:pStyle w:val="Tabla8"/>
              <w:jc w:val="left"/>
            </w:pPr>
            <w:r>
              <w:t xml:space="preserve">Al menos 70 % a los 12 meses posteriores al cierre</w:t>
            </w:r>
          </w:p>
        </w:tc>
        <w:tc>
          <w:tcPr/>
          <w:p>
            <w:pPr>
              <w:pStyle w:val="Tabla8"/>
              <w:jc w:val="left"/>
            </w:pPr>
            <w:r>
              <w:t xml:space="preserve">PROPUESTO; NO_VERIFICADO</w:t>
            </w:r>
          </w:p>
        </w:tc>
      </w:tr>
    </w:tbl>
    <w:p>
      <w:pPr>
        <w:pStyle w:val="TablaNota"/>
      </w:pPr>
      <w:r>
        <w:rPr>
          <w:i/>
          <w:iCs/>
        </w:rPr>
        <w:t xml:space="preserve">Nota.</w:t>
      </w:r>
      <w:r>
        <w:t xml:space="preserve"> </w:t>
      </w:r>
      <w:r>
        <w:t xml:space="preserve">Elaboración propia con los indicadores PERS de la ficha maestra del proyecto y con el árbol A-PROB. Los indicadores de impacto (S) se miden entre seis y 12 meses después del cierre mediante evaluación externa. El proyecto no promete efectos en salud.</w:t>
      </w:r>
    </w:p>
    <w:p>
      <w:pPr>
        <w:pStyle w:val="BodyText"/>
      </w:pPr>
      <w:r>
        <w:t xml:space="preserve">La Tabla 1.4 muestra que la cadena de efectos cuenta con indicadores en los niveles intermedios y presenta dos vacíos de indicador. El AQHI no cuenta con un indicador de fórmula local, y la protección de las personas carece de indicador de resultado. Las líneas base de los efectos indirectos y de largo plazo son VACIO. El proyecto convierte esos vacíos en tareas del tramo 1 y no en cifras supuestas. La cadena queda abierta hasta que las compuertas cierren la medición.</w:t>
      </w:r>
    </w:p>
    <w:bookmarkEnd w:id="278"/>
    <w:bookmarkStart w:id="279" w:name="_Toc00900115"/>
    <w:p>
      <w:pPr>
        <w:pStyle w:val="Heading3"/>
      </w:pPr>
      <w:r>
        <w:t xml:space="preserve">1.4.4 Proyección sin intervención</w:t>
      </w:r>
    </w:p>
    <w:p>
      <w:pPr>
        <w:pStyle w:val="FirstParagraph"/>
      </w:pPr>
      <w:r>
        <w:t xml:space="preserve">La proyección sin intervención no se cuantifica porque ninguna probabilidad ni costo cuenta con fuente. Cualquier cifra sería inventada. La etapa de análisis de decisión no recomendó la opción sin intervención (R0). Tampoco recomendó como diseño base la transferencia a las alcaldías en el mes 25 como receptor único (R3). Esta subsección describe el comportamiento cualitativo esperado y declara VACIO donde falta el dato. Las lecturas de los sensores seguirían sin error conocido y las decisiones de alerta continuarían apoyándose en ellas. La falta de línea base impediría saber si la situación mejora o empeora.</w:t>
      </w:r>
    </w:p>
    <w:p>
      <w:pPr>
        <w:pStyle w:val="BodyText"/>
      </w:pPr>
      <w:r>
        <w:t xml:space="preserve">El caso colombiano muestra una trayectoria posible. El diseño nacional prevé una adquisición de 719,7 mil millones de pesos. Prevé una operación anual cercana a 302 mil millones. Incluye 4.608 sensores entre 5.076 estaciones (Murad Pedraza et al., 2026, pp. 13 y 15; cálculo del analista de F-INF). Sin una fase previa de calibración, una parte de esa inversión podría destinarse a nodos sin uso regulatorio ni mantenimiento (F-INF, decisión D-03). La experiencia de Brasil, con 16,8 % de estaciones inactivas o sin estado, indica la dirección del riesgo (Tavella et al., 2026, p. 6). La indicación no es una probabilidad.</w:t>
      </w:r>
    </w:p>
    <w:p>
      <w:pPr>
        <w:pStyle w:val="BodyText"/>
      </w:pPr>
      <w:r>
        <w:t xml:space="preserve">Collingridge (1980) describe un dilema de control. Cuando una tecnología es modificable, falta información sobre sus efectos. Cuando la información existe, el cambio resulta costoso. La compra masiva de sensores sin fase previa agrava el dilema, porque compromete el gasto antes de conocer el error. El despliegue por tramos con compuertas lo atenúa. Cada compuerta libera la compra siguiente solo si el desempeño medido cumple los umbrales. La proyección sin intervención, por tanto, no es una trayectoria neutra. Es el escenario en el que ninguna compuerta existe.</w:t>
      </w:r>
    </w:p>
    <w:bookmarkEnd w:id="279"/>
    <w:bookmarkEnd w:id="280"/>
    <w:bookmarkStart w:id="287" w:name="_Toc00900116"/>
    <w:p>
      <w:pPr>
        <w:pStyle w:val="Heading2"/>
      </w:pPr>
      <w:r>
        <w:t xml:space="preserve">1.5 Formulación del Problema</w:t>
      </w:r>
    </w:p>
    <w:p>
      <w:pPr>
        <w:pStyle w:val="FirstParagraph"/>
      </w:pPr>
      <w:r>
        <w:t xml:space="preserve">La formulación del problema condensa los resultados anteriores. Los resume en un enunciado de tres niveles y en un conjunto de variables medibles. El enunciado tripartito sigue la distinción entre metaproblema, problema sustantivo y problema formal (Dunn, 2018). Las variables provienen del modelo de 15 variables y de los umbrales de desempeño. Las brechas se declaran como NO_CALCULABLE o VACIO mientras la línea base no exista.</w:t>
      </w:r>
    </w:p>
    <w:bookmarkStart w:id="281" w:name="_Toc00900117"/>
    <w:p>
      <w:pPr>
        <w:pStyle w:val="Heading3"/>
      </w:pPr>
      <w:r>
        <w:t xml:space="preserve">1.5.1 Enunciado tripartito</w:t>
      </w:r>
    </w:p>
    <w:p>
      <w:pPr>
        <w:pStyle w:val="FirstParagraph"/>
      </w:pPr>
      <w:r>
        <w:t xml:space="preserve">El metaproblema es el nivel más abstracto del enunciado. Los sistemas de vigilancia ambiental de bajo costo desplegados en contextos de desastre carecen de calibración colocalizada y de corrección local. Por eso entregan mediciones de material particulado de calidad desconocida. Esa condición lleva a decidir alertas con datos sin error conocido. Afecta a operarios de remoción y a población expuesta. Mantiene además un ciclo en el que la baja confianza reduce el uso institucional de las mediciones. La evidencia de nivel sistémico es que 90,8 % de las estaciones de la red nacional propuesta serían sensores sin plan de calibración (Murad Pedraza et al., 2026, pp. 10-11 y 13).</w:t>
      </w:r>
    </w:p>
    <w:p>
      <w:pPr>
        <w:pStyle w:val="BodyText"/>
      </w:pPr>
      <w:r>
        <w:t xml:space="preserve">El problema sustantivo concreta el metaproblema en el territorio. En los sitios de remoción de los tres departamentos, los comités de gestión del riesgo carecen de mediciones con error conocido (SUPUESTO). Se trata de mediciones de PM2,5 y PM10 frente a una referencia. El contexto nacional lo respalda. Hay 209 estaciones reportadas y 154 integradas a un sistema de vigilancia. Solo 28 de 1.122 municipios cuentan con estaciones utilizables para estimar la carga (Rodríguez-Villamizar et al., 2022, pp. 3 y 6). F-E3 declara un error normalizado superior a 45 % (DECLARADO; NO_VERIFICADO), y la línea base propia se mide en el tramo 1. El PDD, el Anexo 4 y los CONPES citados por F-E3 no se aportaron.</w:t>
      </w:r>
    </w:p>
    <w:p>
      <w:pPr>
        <w:pStyle w:val="BodyText"/>
      </w:pPr>
      <w:r>
        <w:t xml:space="preserve">Los encuadres alternativos del problema son posibles y el proyecto los reconoce. Schön y Rein (1994) sostienen que los desacuerdos de política persisten porque los actores encuadran la misma situación de manera distinta. Bacchi (2009) propone preguntar cómo se representa el problema en cada política. El encuadre de exposición es un marco rival. Tomaría como problema central la concentración de partículas y no el error de medición. El análisis causal no lo construyó. El proyecto escoge el encuadre de medición porque es la condición previa de cualquier medida de exposición. La elección no refuta el encuadre rival.</w:t>
      </w:r>
    </w:p>
    <w:bookmarkEnd w:id="281"/>
    <w:bookmarkStart w:id="285" w:name="_Toc00900118"/>
    <w:p>
      <w:pPr>
        <w:pStyle w:val="Heading3"/>
      </w:pPr>
      <w:r>
        <w:t xml:space="preserve">1.5.2 Variables del problema formal</w:t>
      </w:r>
    </w:p>
    <w:p>
      <w:pPr>
        <w:pStyle w:val="FirstParagraph"/>
      </w:pPr>
      <w:r>
        <w:t xml:space="preserve">El problema formal expresa la variable de resultado y sus explicativas en términos medibles. Y es el NRMSE de los nodos frente a la referencia colocalizada (V06), en porcentaje. Las variables independientes son tres. Son la humedad relativa X1 (V03), la fracción gruesa X2 (V02 menos V01) y la frecuencia y calidad de calibración X3 (V07). La disponibilidad de nodos M (V09) actúa como moderadora. Los controles C son la temperatura, la edad del cabezal y la distancia a la referencia. El modelo de 15 variables las omite. Se evaluarán en una matriz de 19. La Tabla 1.5 las describe y la Figura 1.3 las relaciona.</w:t>
      </w:r>
    </w:p>
    <w:p>
      <w:pPr>
        <w:pStyle w:val="BodyText"/>
      </w:pPr>
      <w:r>
        <w:t xml:space="preserve">Las métricas de desempeño no son equivalentes. El R² mide la asociación lineal con la referencia. El NRMSE mide el error relativo e incluye el sesgo. La pendiente y el sesgo revelan errores sistemáticos que el R² no detecta (EPA, 2021). Barkjohn et al. (2021) muestran que la corrección de un sensor óptico se evalúa con varias métricas a la vez. El proyecto fija la meta con R² ≥ 0,70 y NRMSE ≤ 30 %. Fija también una pendiente entre 0,65 y 1,35 y un sesgo entre −5,0 y 5,0 µg/m3 (PROPUESTO). El error absoluto medio normalizado (NMAE) de 15 % es aspiracional y no condiciona las compuertas.</w:t>
      </w:r>
    </w:p>
    <w:p>
      <w:pPr>
        <w:pStyle w:val="BodyText"/>
      </w:pPr>
      <w:r>
        <w:t xml:space="preserve">La definición de X2 resuelve una dificultad del expediente. PM2,5 está contenido en PM10 por definición, de modo que tratarlas como variables independientes duplica información. El proyecto usa la diferencia entre ambas como medida de la fracción gruesa. Esta decisión es PROPUESTO y exige que el análisis estadístico informe la colinealidad entre X2 y la concentración de PM2,5. La evaluación de las variables de control en una matriz de 19 completa el modelo.</w:t>
      </w:r>
    </w:p>
    <w:p>
      <w:pPr>
        <w:pStyle w:val="TablaRotulo"/>
      </w:pPr>
      <w:bookmarkStart w:id="9230" w:name="rot_Tabla_1_5"/>
      <w:r>
        <w:rPr>
          <w:b/>
          <w:bCs/>
        </w:rPr>
        <w:t xml:space="preserve">Tabla 1.5</w:t>
      </w:r>
      <w:bookmarkEnd w:id="9230"/>
    </w:p>
    <w:p>
      <w:pPr>
        <w:pStyle w:val="TablaTitulo"/>
      </w:pPr>
      <w:r>
        <w:rPr>
          <w:i/>
          <w:iCs/>
        </w:rPr>
        <w:t xml:space="preserve">Variables del problema formal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54"/>
        <w:gridCol w:w="1112"/>
        <w:gridCol w:w="589"/>
        <w:gridCol w:w="1112"/>
        <w:gridCol w:w="1374"/>
        <w:gridCol w:w="1178"/>
        <w:gridCol w:w="850"/>
        <w:gridCol w:w="1047"/>
      </w:tblGrid>
      <w:tr>
        <w:trPr>
          <w:cantSplit/>
          <w:tblHeader/>
        </w:trPr>
        <w:tc>
          <w:tcPr>
            <w:shd w:val="clear" w:color="auto" w:fill="00B050"/>
          </w:tcPr>
          <w:p>
            <w:pPr>
              <w:pStyle w:val="Tabla8"/>
              <w:jc w:val="center"/>
            </w:pPr>
            <w:r>
              <w:rPr>
                <w:b/>
                <w:color w:val="FFFFFF"/>
              </w:rPr>
              <w:t xml:space="preserve">Símbolo</w:t>
            </w:r>
          </w:p>
        </w:tc>
        <w:tc>
          <w:tcPr>
            <w:shd w:val="clear" w:color="auto" w:fill="00B050"/>
          </w:tcPr>
          <w:p>
            <w:pPr>
              <w:pStyle w:val="Tabla8"/>
              <w:jc w:val="center"/>
            </w:pPr>
            <w:r>
              <w:rPr>
                <w:b/>
                <w:color w:val="FFFFFF"/>
              </w:rPr>
              <w:t xml:space="preserve">Variable</w:t>
            </w:r>
          </w:p>
        </w:tc>
        <w:tc>
          <w:tcPr>
            <w:shd w:val="clear" w:color="auto" w:fill="00B050"/>
          </w:tcPr>
          <w:p>
            <w:pPr>
              <w:pStyle w:val="Tabla8"/>
              <w:jc w:val="center"/>
            </w:pPr>
            <w:r>
              <w:rPr>
                <w:b/>
                <w:color w:val="FFFFFF"/>
              </w:rPr>
              <w:t xml:space="preserve">Código del modelo</w:t>
            </w:r>
          </w:p>
        </w:tc>
        <w:tc>
          <w:tcPr>
            <w:shd w:val="clear" w:color="auto" w:fill="00B050"/>
          </w:tcPr>
          <w:p>
            <w:pPr>
              <w:pStyle w:val="Tabla8"/>
              <w:jc w:val="center"/>
            </w:pPr>
            <w:r>
              <w:rPr>
                <w:b/>
                <w:color w:val="FFFFFF"/>
              </w:rPr>
              <w:t xml:space="preserve">Rol</w:t>
            </w:r>
          </w:p>
        </w:tc>
        <w:tc>
          <w:tcPr>
            <w:shd w:val="clear" w:color="auto" w:fill="00B050"/>
          </w:tcPr>
          <w:p>
            <w:pPr>
              <w:pStyle w:val="Tabla8"/>
              <w:jc w:val="center"/>
            </w:pPr>
            <w:r>
              <w:rPr>
                <w:b/>
                <w:color w:val="FFFFFF"/>
              </w:rPr>
              <w:t xml:space="preserve">Operacionalización y unidad</w:t>
            </w:r>
          </w:p>
        </w:tc>
        <w:tc>
          <w:tcPr>
            <w:shd w:val="clear" w:color="auto" w:fill="00B050"/>
          </w:tcPr>
          <w:p>
            <w:pPr>
              <w:pStyle w:val="Tabla8"/>
              <w:jc w:val="center"/>
            </w:pPr>
            <w:r>
              <w:rPr>
                <w:b/>
                <w:color w:val="FFFFFF"/>
              </w:rPr>
              <w:t xml:space="preserve">Valor actual</w:t>
            </w:r>
          </w:p>
        </w:tc>
        <w:tc>
          <w:tcPr>
            <w:shd w:val="clear" w:color="auto" w:fill="00B050"/>
          </w:tcPr>
          <w:p>
            <w:pPr>
              <w:pStyle w:val="Tabla8"/>
              <w:jc w:val="center"/>
            </w:pPr>
            <w:r>
              <w:rPr>
                <w:b/>
                <w:color w:val="FFFFFF"/>
              </w:rPr>
              <w:t xml:space="preserve">Meta</w:t>
            </w:r>
          </w:p>
        </w:tc>
        <w:tc>
          <w:tcPr>
            <w:shd w:val="clear" w:color="auto" w:fill="00B050"/>
          </w:tcPr>
          <w:p>
            <w:pPr>
              <w:pStyle w:val="Tabla8"/>
              <w:jc w:val="center"/>
            </w:pPr>
            <w:r>
              <w:rPr>
                <w:b/>
                <w:color w:val="FFFFFF"/>
              </w:rPr>
              <w:t xml:space="preserve">Naturaleza</w:t>
            </w:r>
          </w:p>
        </w:tc>
      </w:tr>
      <w:tr>
        <w:trPr>
          <w:cantSplit/>
        </w:trPr>
        <w:tc>
          <w:tcPr/>
          <w:p>
            <w:pPr>
              <w:pStyle w:val="Tabla8"/>
              <w:jc w:val="left"/>
            </w:pPr>
            <w:r>
              <w:t xml:space="preserve">Y</w:t>
            </w:r>
          </w:p>
        </w:tc>
        <w:tc>
          <w:tcPr/>
          <w:p>
            <w:pPr>
              <w:pStyle w:val="Tabla8"/>
              <w:jc w:val="left"/>
            </w:pPr>
            <w:r>
              <w:t xml:space="preserve">Error cuadrático medio normalizado de los nodos frente a la referencia colocalizada</w:t>
            </w:r>
          </w:p>
        </w:tc>
        <w:tc>
          <w:tcPr/>
          <w:p>
            <w:pPr>
              <w:pStyle w:val="Tabla8"/>
              <w:jc w:val="left"/>
            </w:pPr>
            <w:r>
              <w:t xml:space="preserve">V06</w:t>
            </w:r>
          </w:p>
        </w:tc>
        <w:tc>
          <w:tcPr/>
          <w:p>
            <w:pPr>
              <w:pStyle w:val="Tabla8"/>
              <w:jc w:val="left"/>
            </w:pPr>
            <w:r>
              <w:t xml:space="preserve">Dependiente</w:t>
            </w:r>
          </w:p>
        </w:tc>
        <w:tc>
          <w:tcPr/>
          <w:p>
            <w:pPr>
              <w:pStyle w:val="Tabla8"/>
              <w:jc w:val="left"/>
            </w:pPr>
            <w:r>
              <w:t xml:space="preserve">NRMSE en porcentaje</w:t>
            </w:r>
          </w:p>
        </w:tc>
        <w:tc>
          <w:tcPr/>
          <w:p>
            <w:pPr>
              <w:pStyle w:val="Tabla8"/>
              <w:jc w:val="left"/>
            </w:pPr>
            <w:r>
              <w:t xml:space="preserve">VACIO: se mide en el tramo 1</w:t>
            </w:r>
          </w:p>
        </w:tc>
        <w:tc>
          <w:tcPr/>
          <w:p>
            <w:pPr>
              <w:pStyle w:val="Tabla8"/>
              <w:jc w:val="left"/>
            </w:pPr>
            <w:r>
              <w:t xml:space="preserve">NRMSE ≤ 30 % y R² ≥ 0,70 al mes 24</w:t>
            </w:r>
          </w:p>
        </w:tc>
        <w:tc>
          <w:tcPr/>
          <w:p>
            <w:pPr>
              <w:pStyle w:val="Tabla8"/>
              <w:jc w:val="left"/>
            </w:pPr>
            <w:r>
              <w:t xml:space="preserve">PROPUESTO</w:t>
            </w:r>
          </w:p>
        </w:tc>
      </w:tr>
      <w:tr>
        <w:trPr>
          <w:cantSplit/>
        </w:trPr>
        <w:tc>
          <w:tcPr/>
          <w:p>
            <w:pPr>
              <w:pStyle w:val="Tabla8"/>
              <w:jc w:val="left"/>
            </w:pPr>
            <w:r>
              <w:t xml:space="preserve">X1</w:t>
            </w:r>
          </w:p>
        </w:tc>
        <w:tc>
          <w:tcPr/>
          <w:p>
            <w:pPr>
              <w:pStyle w:val="Tabla8"/>
              <w:jc w:val="left"/>
            </w:pPr>
            <w:r>
              <w:t xml:space="preserve">Humedad relativa</w:t>
            </w:r>
          </w:p>
        </w:tc>
        <w:tc>
          <w:tcPr/>
          <w:p>
            <w:pPr>
              <w:pStyle w:val="Tabla8"/>
              <w:jc w:val="left"/>
            </w:pPr>
            <w:r>
              <w:t xml:space="preserve">V03</w:t>
            </w:r>
          </w:p>
        </w:tc>
        <w:tc>
          <w:tcPr/>
          <w:p>
            <w:pPr>
              <w:pStyle w:val="Tabla8"/>
              <w:jc w:val="left"/>
            </w:pPr>
            <w:r>
              <w:t xml:space="preserve">Independiente; moderadora de la respuesta óptica</w:t>
            </w:r>
          </w:p>
        </w:tc>
        <w:tc>
          <w:tcPr/>
          <w:p>
            <w:pPr>
              <w:pStyle w:val="Tabla8"/>
              <w:jc w:val="left"/>
            </w:pPr>
            <w:r>
              <w:t xml:space="preserve">Porcentaje de humedad relativa</w:t>
            </w:r>
          </w:p>
        </w:tc>
        <w:tc>
          <w:tcPr/>
          <w:p>
            <w:pPr>
              <w:pStyle w:val="Tabla8"/>
              <w:jc w:val="left"/>
            </w:pPr>
            <w:r>
              <w:t xml:space="preserve">VACIO</w:t>
            </w:r>
          </w:p>
        </w:tc>
        <w:tc>
          <w:tcPr/>
          <w:p>
            <w:pPr>
              <w:pStyle w:val="Tabla8"/>
              <w:jc w:val="left"/>
            </w:pPr>
            <w:r>
              <w:t xml:space="preserve">Se corrige con el modelo; sin meta propia</w:t>
            </w:r>
          </w:p>
        </w:tc>
        <w:tc>
          <w:tcPr/>
          <w:p>
            <w:pPr>
              <w:pStyle w:val="Tabla8"/>
              <w:jc w:val="left"/>
            </w:pPr>
            <w:r>
              <w:t xml:space="preserve">INFERIDO</w:t>
            </w:r>
          </w:p>
        </w:tc>
      </w:tr>
      <w:tr>
        <w:trPr>
          <w:cantSplit/>
        </w:trPr>
        <w:tc>
          <w:tcPr/>
          <w:p>
            <w:pPr>
              <w:pStyle w:val="Tabla8"/>
              <w:jc w:val="left"/>
            </w:pPr>
            <w:r>
              <w:t xml:space="preserve">X2</w:t>
            </w:r>
          </w:p>
        </w:tc>
        <w:tc>
          <w:tcPr/>
          <w:p>
            <w:pPr>
              <w:pStyle w:val="Tabla8"/>
              <w:jc w:val="left"/>
            </w:pPr>
            <w:r>
              <w:t xml:space="preserve">Fracción gruesa</w:t>
            </w:r>
          </w:p>
        </w:tc>
        <w:tc>
          <w:tcPr/>
          <w:p>
            <w:pPr>
              <w:pStyle w:val="Tabla8"/>
              <w:jc w:val="left"/>
            </w:pPr>
            <w:r>
              <w:t xml:space="preserve">V02 menos V01</w:t>
            </w:r>
          </w:p>
        </w:tc>
        <w:tc>
          <w:tcPr/>
          <w:p>
            <w:pPr>
              <w:pStyle w:val="Tabla8"/>
              <w:jc w:val="left"/>
            </w:pPr>
            <w:r>
              <w:t xml:space="preserve">Independiente</w:t>
            </w:r>
          </w:p>
        </w:tc>
        <w:tc>
          <w:tcPr/>
          <w:p>
            <w:pPr>
              <w:pStyle w:val="Tabla8"/>
              <w:jc w:val="left"/>
            </w:pPr>
            <w:r>
              <w:t xml:space="preserve">µg/m3 de PM10 menos PM2,5</w:t>
            </w:r>
          </w:p>
        </w:tc>
        <w:tc>
          <w:tcPr/>
          <w:p>
            <w:pPr>
              <w:pStyle w:val="Tabla8"/>
              <w:jc w:val="left"/>
            </w:pPr>
            <w:r>
              <w:t xml:space="preserve">VACIO</w:t>
            </w:r>
          </w:p>
        </w:tc>
        <w:tc>
          <w:tcPr/>
          <w:p>
            <w:pPr>
              <w:pStyle w:val="Tabla8"/>
              <w:jc w:val="left"/>
            </w:pPr>
            <w:r>
              <w:t xml:space="preserve">Sin meta propia</w:t>
            </w:r>
          </w:p>
        </w:tc>
        <w:tc>
          <w:tcPr/>
          <w:p>
            <w:pPr>
              <w:pStyle w:val="Tabla8"/>
              <w:jc w:val="left"/>
            </w:pPr>
            <w:r>
              <w:t xml:space="preserve">INFERIDO</w:t>
            </w:r>
          </w:p>
        </w:tc>
      </w:tr>
      <w:tr>
        <w:trPr>
          <w:cantSplit/>
        </w:trPr>
        <w:tc>
          <w:tcPr/>
          <w:p>
            <w:pPr>
              <w:pStyle w:val="Tabla8"/>
              <w:jc w:val="left"/>
            </w:pPr>
            <w:r>
              <w:t xml:space="preserve">X3</w:t>
            </w:r>
          </w:p>
        </w:tc>
        <w:tc>
          <w:tcPr/>
          <w:p>
            <w:pPr>
              <w:pStyle w:val="Tabla8"/>
              <w:jc w:val="left"/>
            </w:pPr>
            <w:r>
              <w:t xml:space="preserve">Frecuencia y calidad de calibración</w:t>
            </w:r>
          </w:p>
        </w:tc>
        <w:tc>
          <w:tcPr/>
          <w:p>
            <w:pPr>
              <w:pStyle w:val="Tabla8"/>
              <w:jc w:val="left"/>
            </w:pPr>
            <w:r>
              <w:t xml:space="preserve">V07</w:t>
            </w:r>
          </w:p>
        </w:tc>
        <w:tc>
          <w:tcPr/>
          <w:p>
            <w:pPr>
              <w:pStyle w:val="Tabla8"/>
              <w:jc w:val="left"/>
            </w:pPr>
            <w:r>
              <w:t xml:space="preserve">Independiente</w:t>
            </w:r>
          </w:p>
        </w:tc>
        <w:tc>
          <w:tcPr/>
          <w:p>
            <w:pPr>
              <w:pStyle w:val="Tabla8"/>
              <w:jc w:val="left"/>
            </w:pPr>
            <w:r>
              <w:t xml:space="preserve">Ciclos de calibración ejecutados y desempeño tras cada ciclo</w:t>
            </w:r>
          </w:p>
        </w:tc>
        <w:tc>
          <w:tcPr/>
          <w:p>
            <w:pPr>
              <w:pStyle w:val="Tabla8"/>
              <w:jc w:val="left"/>
            </w:pPr>
            <w:r>
              <w:t xml:space="preserve">0 ciclos (CALCULADO)</w:t>
            </w:r>
          </w:p>
        </w:tc>
        <w:tc>
          <w:tcPr/>
          <w:p>
            <w:pPr>
              <w:pStyle w:val="Tabla8"/>
              <w:jc w:val="left"/>
            </w:pPr>
            <w:r>
              <w:t xml:space="preserve">Seis ciclos, dos por tramo</w:t>
            </w:r>
          </w:p>
        </w:tc>
        <w:tc>
          <w:tcPr/>
          <w:p>
            <w:pPr>
              <w:pStyle w:val="Tabla8"/>
              <w:jc w:val="left"/>
            </w:pPr>
            <w:r>
              <w:t xml:space="preserve">PROPUESTO</w:t>
            </w:r>
          </w:p>
        </w:tc>
      </w:tr>
      <w:tr>
        <w:trPr>
          <w:cantSplit/>
        </w:trPr>
        <w:tc>
          <w:tcPr/>
          <w:p>
            <w:pPr>
              <w:pStyle w:val="Tabla8"/>
              <w:jc w:val="left"/>
            </w:pPr>
            <w:r>
              <w:t xml:space="preserve">M</w:t>
            </w:r>
          </w:p>
        </w:tc>
        <w:tc>
          <w:tcPr/>
          <w:p>
            <w:pPr>
              <w:pStyle w:val="Tabla8"/>
              <w:jc w:val="left"/>
            </w:pPr>
            <w:r>
              <w:t xml:space="preserve">Disponibilidad de nodos</w:t>
            </w:r>
          </w:p>
        </w:tc>
        <w:tc>
          <w:tcPr/>
          <w:p>
            <w:pPr>
              <w:pStyle w:val="Tabla8"/>
              <w:jc w:val="left"/>
            </w:pPr>
            <w:r>
              <w:t xml:space="preserve">V09</w:t>
            </w:r>
          </w:p>
        </w:tc>
        <w:tc>
          <w:tcPr/>
          <w:p>
            <w:pPr>
              <w:pStyle w:val="Tabla8"/>
              <w:jc w:val="left"/>
            </w:pPr>
            <w:r>
              <w:t xml:space="preserve">Moderadora</w:t>
            </w:r>
          </w:p>
        </w:tc>
        <w:tc>
          <w:tcPr/>
          <w:p>
            <w:pPr>
              <w:pStyle w:val="Tabla8"/>
              <w:jc w:val="left"/>
            </w:pPr>
            <w:r>
              <w:t xml:space="preserve">Porcentaje mensual de nodos operativos</w:t>
            </w:r>
          </w:p>
        </w:tc>
        <w:tc>
          <w:tcPr/>
          <w:p>
            <w:pPr>
              <w:pStyle w:val="Tabla8"/>
              <w:jc w:val="left"/>
            </w:pPr>
            <w:r>
              <w:t xml:space="preserve">VACIO</w:t>
            </w:r>
          </w:p>
        </w:tc>
        <w:tc>
          <w:tcPr/>
          <w:p>
            <w:pPr>
              <w:pStyle w:val="Tabla8"/>
              <w:jc w:val="left"/>
            </w:pPr>
            <w:r>
              <w:t xml:space="preserve">Al menos 90 % mensual</w:t>
            </w:r>
          </w:p>
        </w:tc>
        <w:tc>
          <w:tcPr/>
          <w:p>
            <w:pPr>
              <w:pStyle w:val="Tabla8"/>
              <w:jc w:val="left"/>
            </w:pPr>
            <w:r>
              <w:t xml:space="preserve">PROPUESTO</w:t>
            </w:r>
          </w:p>
        </w:tc>
      </w:tr>
      <w:tr>
        <w:trPr>
          <w:cantSplit/>
        </w:trPr>
        <w:tc>
          <w:tcPr/>
          <w:p>
            <w:pPr>
              <w:pStyle w:val="Tabla8"/>
              <w:jc w:val="left"/>
            </w:pPr>
            <w:r>
              <w:t xml:space="preserve">C</w:t>
            </w:r>
          </w:p>
        </w:tc>
        <w:tc>
          <w:tcPr/>
          <w:p>
            <w:pPr>
              <w:pStyle w:val="Tabla8"/>
              <w:jc w:val="left"/>
            </w:pPr>
            <w:r>
              <w:t xml:space="preserve">Temperatura, edad del cabezal y distancia a la referencia</w:t>
            </w:r>
          </w:p>
        </w:tc>
        <w:tc>
          <w:tcPr/>
          <w:p>
            <w:pPr>
              <w:pStyle w:val="Tabla8"/>
              <w:jc w:val="left"/>
            </w:pPr>
            <w:r>
              <w:t xml:space="preserve">Sin código</w:t>
            </w:r>
          </w:p>
        </w:tc>
        <w:tc>
          <w:tcPr/>
          <w:p>
            <w:pPr>
              <w:pStyle w:val="Tabla8"/>
              <w:jc w:val="left"/>
            </w:pPr>
            <w:r>
              <w:t xml:space="preserve">Control</w:t>
            </w:r>
          </w:p>
        </w:tc>
        <w:tc>
          <w:tcPr/>
          <w:p>
            <w:pPr>
              <w:pStyle w:val="Tabla8"/>
              <w:jc w:val="left"/>
            </w:pPr>
            <w:r>
              <w:t xml:space="preserve">Grados Celsius, meses y metros</w:t>
            </w:r>
          </w:p>
        </w:tc>
        <w:tc>
          <w:tcPr/>
          <w:p>
            <w:pPr>
              <w:pStyle w:val="Tabla8"/>
              <w:jc w:val="left"/>
            </w:pPr>
            <w:r>
              <w:t xml:space="preserve">VACIO</w:t>
            </w:r>
          </w:p>
        </w:tc>
        <w:tc>
          <w:tcPr/>
          <w:p>
            <w:pPr>
              <w:pStyle w:val="Tabla8"/>
              <w:jc w:val="left"/>
            </w:pPr>
            <w:r>
              <w:t xml:space="preserve">Evaluación en matriz de 19 variables</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la formalización tripartita del proyecto (ficha maestra, sección 10c). Umbrales complementarios: pendiente entre 0,65 y 1,35 y sesgo entre −5,0 y 5,0 µg/m3. Decimales con coma.</w:t>
      </w:r>
    </w:p>
    <w:p>
      <w:pPr>
        <w:pStyle w:val="BodyText"/>
      </w:pPr>
      <w:r>
        <w:t xml:space="preserve">La Tabla 1.5 deja un modelo con una variable dependiente, tres independientes, una moderadora y un conjunto de controles. Las seis filas presentan un valor actual VACIO o igual a cero calculado. El modelo es, por tanto, una especificación que espera su línea base. Su utilidad inmediata es fijar qué se mide, con qué unidad y con qué meta antes de iniciar la colocalización.</w:t>
      </w:r>
    </w:p>
    <w:p>
      <w:pPr>
        <w:pStyle w:val="FiguraRotulo"/>
      </w:pPr>
      <w:bookmarkStart w:id="9489" w:name="rot_Figura_1_3"/>
      <w:r>
        <w:rPr>
          <w:b/>
          <w:bCs/>
        </w:rPr>
        <w:t xml:space="preserve">Figura 1.3</w:t>
      </w:r>
      <w:bookmarkEnd w:id="9489"/>
    </w:p>
    <w:p>
      <w:pPr>
        <w:pStyle w:val="FiguraTitulo"/>
      </w:pPr>
      <w:r>
        <w:rPr>
          <w:i/>
          <w:iCs/>
        </w:rPr>
        <w:t xml:space="preserve">Modelo relacional de las variables del problema formal</w:t>
      </w:r>
    </w:p>
    <w:p>
      <w:pPr>
        <w:pStyle w:val="BodyText"/>
      </w:pPr>
      <w:r>
        <w:drawing>
          <wp:inline>
            <wp:extent cx="5579999" cy="3101335"/>
            <wp:effectExtent b="0" l="0" r="0" t="0"/>
            <wp:docPr descr="" title="" id="283" name="Picture"/>
            <a:graphic>
              <a:graphicData uri="http://schemas.openxmlformats.org/drawingml/2006/picture">
                <pic:pic>
                  <pic:nvPicPr>
                    <pic:cNvPr descr="/tmp/claude-0/-home-user-docs/ddf38714-2a7e-502b-92b4-1008e2832422/scratchpad/proy/figs/out/c1_f03.png" id="284" name="Picture"/>
                    <pic:cNvPicPr>
                      <a:picLocks noChangeArrowheads="1" noChangeAspect="1"/>
                    </pic:cNvPicPr>
                  </pic:nvPicPr>
                  <pic:blipFill>
                    <a:blip r:embed="rId282"/>
                    <a:stretch>
                      <a:fillRect/>
                    </a:stretch>
                  </pic:blipFill>
                  <pic:spPr bwMode="auto">
                    <a:xfrm>
                      <a:off x="0" y="0"/>
                      <a:ext cx="5579999" cy="310133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Variable dependiente Y (V06), independientes X1 a X3, moderadora M y controles C; signos de las relaciones de S2 como hipótesis de influencia estructural; naturaleza PROPUESTO. Elaboración propia con matplotlib 3.11.2 y estilo.py; tamaño de 10 × 7 pulgadas; sin semilla aleatoria; corte del 13 de octubre de 2026.</w:t>
      </w:r>
    </w:p>
    <w:bookmarkEnd w:id="285"/>
    <w:bookmarkStart w:id="286" w:name="_Toc00900119"/>
    <w:p>
      <w:pPr>
        <w:pStyle w:val="Heading3"/>
      </w:pPr>
      <w:r>
        <w:t xml:space="preserve">1.5.3 Brechas cuantificadas</w:t>
      </w:r>
    </w:p>
    <w:p>
      <w:pPr>
        <w:pStyle w:val="FirstParagraph"/>
      </w:pPr>
      <w:r>
        <w:t xml:space="preserve">La brecha cuantificada del problema formal es la diferencia entre el valor actual de Y y su meta. El valor actual es VACIO, porque se mide en el tramo 1. La brecha es, por tanto, NO_CALCULABLE en esta etapa. Declararla así evita inventar una cifra. La literatura ofrece solo un orden de magnitud de lo que una corrección puede lograr. En Seúl, el R² pasó de menos de 0,2 a 0,81 con una corrección basada en la estación cercana (Bang et al., 2026, pp. 6-8). Ese caso no es una línea base ni una predicción para el territorio.</w:t>
      </w:r>
    </w:p>
    <w:p>
      <w:pPr>
        <w:pStyle w:val="BodyText"/>
      </w:pPr>
      <w:r>
        <w:t xml:space="preserve">Cinco incógnitas principales condicionan la formulación. La primera es la línea base de error por departamento. La segunda es la completitud real de datos en los sitios de remoción. La tercera es la capacidad de absorción de los custodios, que el análisis de sostenibilidad declaró NO_CALCULABLE. La cuarta es la fórmula local del índice y sus umbrales. La quinta es la disponibilidad real del enlace celular y satelital en los sitios. Cada incógnita cuenta con un instrumento de medición en el tramo 1 y con un lugar en el acta de la compuerta C1.</w:t>
      </w:r>
    </w:p>
    <w:p>
      <w:pPr>
        <w:pStyle w:val="BodyText"/>
      </w:pPr>
      <w:r>
        <w:t xml:space="preserve">La consecuencia metodológica es una regla de decisión. La compuerta C1, en el mes 12, decide ampliar al tramo 2 bajo dos condiciones. El modelo debe cumplir R² ≥ 0,70 y NRMSE ≤ 30 % en el piloto. Además, al menos 50 % de los comités del tramo 1 debe usar el tablero. Si las líneas base siguen VACIO en ese momento, la decisión carece de fundamento y la ampliación no procede. El planteamiento del problema culmina así en una condición verificable. Las brechas dejan de ser enunciados y se convierten en mediciones con fecha, instrumento y responsable.</w:t>
      </w:r>
    </w:p>
    <w:bookmarkEnd w:id="286"/>
    <w:bookmarkEnd w:id="287"/>
    <w:bookmarkEnd w:id="288"/>
    <w:bookmarkStart w:id="378" w:name="Xe0e33dcba89e719b252b0aa1d30520276ac3383"/>
    <w:p>
      <w:pPr>
        <w:pStyle w:val="Heading1"/>
      </w:pPr>
      <w:r>
        <w:t xml:space="preserve">Capítulo 2. Estado del arte y vigilancia tecnológica</w:t>
      </w:r>
    </w:p>
    <w:bookmarkStart w:id="291" w:name="_Toc00900120"/>
    <w:p>
      <w:pPr>
        <w:pStyle w:val="Heading2"/>
      </w:pPr>
      <w:r>
        <w:t xml:space="preserve">2.1 Metodología de vigilancia tecnológica</w:t>
      </w:r>
    </w:p>
    <w:p>
      <w:pPr>
        <w:pStyle w:val="FirstParagraph"/>
      </w:pPr>
      <w:r>
        <w:t xml:space="preserve">La vigilancia tecnológica es la observación sistemática y repetible de la literatura científica y de las solicitudes de patente para decidir con evidencia vigente. El proyecto la usa con dos fines. El primero es establecer qué se sabe sobre la calibración y la corrección de sensores ópticos de material particulado fino (PM2,5) y grueso (PM10). El segundo es detectar restricciones de libertad de operación antes de comprar equipos. El esquema Elementos de Informe Preferidos para Revisiones Sistemáticas y Metaanálisis (PRISMA) ordena la transparencia de la selección (Page et al., 2021). El mapeo científico ordena el análisis posterior de la producción y de las redes temáticas (Aria y Cuccurullo, 2017).</w:t>
      </w:r>
    </w:p>
    <w:bookmarkStart w:id="289" w:name="X5f8cda2d03998991dcf5be8687f1dba5ff1ea07"/>
    <w:p>
      <w:pPr>
        <w:pStyle w:val="Heading3"/>
      </w:pPr>
      <w:r>
        <w:t xml:space="preserve">2.1.1 Origen del corpus y ecuaciones de búsqueda</w:t>
      </w:r>
    </w:p>
    <w:p>
      <w:pPr>
        <w:pStyle w:val="FirstParagraph"/>
      </w:pPr>
      <w:r>
        <w:t xml:space="preserve">Este capítulo no parte de una búsqueda propia. Parte del informe de vigilancia tecnológica y bibliometría consolidado el 30 de septiembre de 2026 (F-INF). El informe analizó 42 documentos: 26 artículos, 15 patentes y un informe institucional (F-INF §3.1, p. 19). Los documentos llegaron como archivos aportados al análisis. El informe no registra el criterio de selección (F-INF §10.1, p. 124). Además, califica el corpus de muestra intencional y no aleatoria (F-INF §3.3, p. 24). Todo resultado de este capítulo describe el corpus y no la literatura completa del campo.</w:t>
      </w:r>
    </w:p>
    <w:p>
      <w:pPr>
        <w:pStyle w:val="BodyText"/>
      </w:pPr>
      <w:r>
        <w:t xml:space="preserve">Dos posiciones orientan la selección de documentos. La primera exige búsquedas reproducibles con registro de cada exclusión (Page et al., 2021). La segunda acepta un corpus curado cuando el propósito es orientar una decisión y no estimar la producción de un campo. El informe adopta la segunda posición. Este capítulo la mantiene, declara su límite y propone cerrar la distancia con la primera mediante las ecuaciones de la Tabla 2.1.</w:t>
      </w:r>
    </w:p>
    <w:p>
      <w:pPr>
        <w:pStyle w:val="BodyText"/>
      </w:pPr>
      <w:r>
        <w:t xml:space="preserve">La Tabla 2.1 presenta tres ecuaciones con operadores booleanos explícitos. Las ecuaciones E1 y E2 provienen del Anexo D del informe. Allí el analista las propone como supuesto y advierte que deben probarse y ajustarse en el buscador (F-INF Anexo D, p. 222). Ninguna se ejecutó en bases comerciales en esta corrida. Por eso el conteo por base figura como NO_VERIFICADO. La ecuación E3 es una propuesta de este proyecto. Cubre el contexto de remoción de escombros posterremoto en Caldas, Cundinamarca y Valle del Cauca (SUPUESTO).</w:t>
      </w:r>
    </w:p>
    <w:p>
      <w:pPr>
        <w:pStyle w:val="TablaRotulo"/>
      </w:pPr>
      <w:bookmarkStart w:id="9231" w:name="rot_Tabla_2_1"/>
      <w:r>
        <w:rPr>
          <w:b/>
          <w:bCs/>
        </w:rPr>
        <w:t xml:space="preserve">Tabla 2.1</w:t>
      </w:r>
      <w:bookmarkEnd w:id="9231"/>
    </w:p>
    <w:p>
      <w:pPr>
        <w:pStyle w:val="TablaTitulo"/>
      </w:pPr>
      <w:r>
        <w:rPr>
          <w:i/>
          <w:iCs/>
        </w:rPr>
        <w:t xml:space="preserve">Ecuaciones de búsqueda por base de datos con resultados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16"/>
        <w:gridCol w:w="1243"/>
        <w:gridCol w:w="1374"/>
        <w:gridCol w:w="1112"/>
        <w:gridCol w:w="1898"/>
        <w:gridCol w:w="1374"/>
      </w:tblGrid>
      <w:tr>
        <w:trPr>
          <w:cantSplit/>
          <w:tblHeader/>
        </w:trPr>
        <w:tc>
          <w:tcPr>
            <w:shd w:val="clear" w:color="auto" w:fill="00B050"/>
          </w:tcPr>
          <w:p>
            <w:pPr>
              <w:pStyle w:val="Tabla9"/>
              <w:jc w:val="center"/>
            </w:pPr>
            <w:r>
              <w:rPr>
                <w:b/>
                <w:color w:val="FFFFFF"/>
              </w:rPr>
              <w:t xml:space="preserve">Ecuación</w:t>
            </w:r>
          </w:p>
        </w:tc>
        <w:tc>
          <w:tcPr>
            <w:shd w:val="clear" w:color="auto" w:fill="00B050"/>
          </w:tcPr>
          <w:p>
            <w:pPr>
              <w:pStyle w:val="Tabla9"/>
              <w:jc w:val="center"/>
            </w:pPr>
            <w:r>
              <w:rPr>
                <w:b/>
                <w:color w:val="FFFFFF"/>
              </w:rPr>
              <w:t xml:space="preserve">Expresión booleana</w:t>
            </w:r>
          </w:p>
        </w:tc>
        <w:tc>
          <w:tcPr>
            <w:shd w:val="clear" w:color="auto" w:fill="00B050"/>
          </w:tcPr>
          <w:p>
            <w:pPr>
              <w:pStyle w:val="Tabla9"/>
              <w:jc w:val="center"/>
            </w:pPr>
            <w:r>
              <w:rPr>
                <w:b/>
                <w:color w:val="FFFFFF"/>
              </w:rPr>
              <w:t xml:space="preserve">Campo de búsqueda</w:t>
            </w:r>
          </w:p>
        </w:tc>
        <w:tc>
          <w:tcPr>
            <w:shd w:val="clear" w:color="auto" w:fill="00B050"/>
          </w:tcPr>
          <w:p>
            <w:pPr>
              <w:pStyle w:val="Tabla9"/>
              <w:jc w:val="center"/>
            </w:pPr>
            <w:r>
              <w:rPr>
                <w:b/>
                <w:color w:val="FFFFFF"/>
              </w:rPr>
              <w:t xml:space="preserve">Bases previstas</w:t>
            </w:r>
          </w:p>
        </w:tc>
        <w:tc>
          <w:tcPr>
            <w:shd w:val="clear" w:color="auto" w:fill="00B050"/>
          </w:tcPr>
          <w:p>
            <w:pPr>
              <w:pStyle w:val="Tabla9"/>
              <w:jc w:val="center"/>
            </w:pPr>
            <w:r>
              <w:rPr>
                <w:b/>
                <w:color w:val="FFFFFF"/>
              </w:rPr>
              <w:t xml:space="preserve">Resultado por base</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E1</w:t>
            </w:r>
          </w:p>
        </w:tc>
        <w:tc>
          <w:tcPr/>
          <w:p>
            <w:pPr>
              <w:pStyle w:val="Tabla9"/>
              <w:jc w:val="left"/>
            </w:pPr>
            <w:r>
              <w:t xml:space="preserve">(«calidad del aire» O «material particulado» O «PM2,5» O «air quality») Y (sensor O monitor* O calibraci* O calibrat*)</w:t>
            </w:r>
          </w:p>
        </w:tc>
        <w:tc>
          <w:tcPr/>
          <w:p>
            <w:pPr>
              <w:pStyle w:val="Tabla9"/>
              <w:jc w:val="left"/>
            </w:pPr>
            <w:r>
              <w:t xml:space="preserve">Título y resumen</w:t>
            </w:r>
          </w:p>
        </w:tc>
        <w:tc>
          <w:tcPr/>
          <w:p>
            <w:pPr>
              <w:pStyle w:val="Tabla9"/>
              <w:jc w:val="left"/>
            </w:pPr>
            <w:r>
              <w:t xml:space="preserve">Scopus; Web of Science; PubMed; IEEE Xplore; Google Scholar</w:t>
            </w:r>
          </w:p>
        </w:tc>
        <w:tc>
          <w:tcPr/>
          <w:p>
            <w:pPr>
              <w:pStyle w:val="Tabla9"/>
              <w:jc w:val="left"/>
            </w:pPr>
            <w:r>
              <w:t xml:space="preserve">NO_VERIFICADO</w:t>
            </w:r>
          </w:p>
        </w:tc>
        <w:tc>
          <w:tcPr/>
          <w:p>
            <w:pPr>
              <w:pStyle w:val="Tabla9"/>
              <w:jc w:val="left"/>
            </w:pPr>
            <w:r>
              <w:t xml:space="preserve">SUPUESTO del analista del informe (Anexo D)</w:t>
            </w:r>
          </w:p>
        </w:tc>
      </w:tr>
      <w:tr>
        <w:trPr>
          <w:cantSplit/>
        </w:trPr>
        <w:tc>
          <w:tcPr/>
          <w:p>
            <w:pPr>
              <w:pStyle w:val="Tabla9"/>
              <w:jc w:val="left"/>
            </w:pPr>
            <w:r>
              <w:t xml:space="preserve">E2</w:t>
            </w:r>
          </w:p>
        </w:tc>
        <w:tc>
          <w:tcPr/>
          <w:p>
            <w:pPr>
              <w:pStyle w:val="Tabla9"/>
              <w:jc w:val="left"/>
            </w:pPr>
            <w:r>
              <w:t xml:space="preserve">(F24F O G01N33 O B01D46 O B01D53 O G08B21/12) Y (CO2 O PM2,5 O «calidad del aire» O «air quality»)</w:t>
            </w:r>
          </w:p>
        </w:tc>
        <w:tc>
          <w:tcPr/>
          <w:p>
            <w:pPr>
              <w:pStyle w:val="Tabla9"/>
              <w:jc w:val="left"/>
            </w:pPr>
            <w:r>
              <w:t xml:space="preserve">Clasificación de patentes</w:t>
            </w:r>
          </w:p>
        </w:tc>
        <w:tc>
          <w:tcPr/>
          <w:p>
            <w:pPr>
              <w:pStyle w:val="Tabla9"/>
              <w:jc w:val="left"/>
            </w:pPr>
            <w:r>
              <w:t xml:space="preserve">Lens.org; Espacenet; USPTO; buscador de la SIC</w:t>
            </w:r>
          </w:p>
        </w:tc>
        <w:tc>
          <w:tcPr/>
          <w:p>
            <w:pPr>
              <w:pStyle w:val="Tabla9"/>
              <w:jc w:val="left"/>
            </w:pPr>
            <w:r>
              <w:t xml:space="preserve">NO_VERIFICADO</w:t>
            </w:r>
          </w:p>
        </w:tc>
        <w:tc>
          <w:tcPr/>
          <w:p>
            <w:pPr>
              <w:pStyle w:val="Tabla9"/>
              <w:jc w:val="left"/>
            </w:pPr>
            <w:r>
              <w:t xml:space="preserve">SUPUESTO del analista del informe (Anexo D)</w:t>
            </w:r>
          </w:p>
        </w:tc>
      </w:tr>
      <w:tr>
        <w:trPr>
          <w:cantSplit/>
        </w:trPr>
        <w:tc>
          <w:tcPr/>
          <w:p>
            <w:pPr>
              <w:pStyle w:val="Tabla9"/>
              <w:jc w:val="left"/>
            </w:pPr>
            <w:r>
              <w:t xml:space="preserve">E3</w:t>
            </w:r>
          </w:p>
        </w:tc>
        <w:tc>
          <w:tcPr/>
          <w:p>
            <w:pPr>
              <w:pStyle w:val="Tabla9"/>
              <w:jc w:val="left"/>
            </w:pPr>
            <w:r>
              <w:t xml:space="preserve">(«escombros» O «demolición» O debris O rubble) Y (sismo O terremoto O earthquake) Y (PM2,5 O PM10 O «material particulado» O «particulate matter»)</w:t>
            </w:r>
          </w:p>
        </w:tc>
        <w:tc>
          <w:tcPr/>
          <w:p>
            <w:pPr>
              <w:pStyle w:val="Tabla9"/>
              <w:jc w:val="left"/>
            </w:pPr>
            <w:r>
              <w:t xml:space="preserve">Título y resumen</w:t>
            </w:r>
          </w:p>
        </w:tc>
        <w:tc>
          <w:tcPr/>
          <w:p>
            <w:pPr>
              <w:pStyle w:val="Tabla9"/>
              <w:jc w:val="left"/>
            </w:pPr>
            <w:r>
              <w:t xml:space="preserve">Scopus; Web of Science; Google Scholar; Lens.org</w:t>
            </w:r>
          </w:p>
        </w:tc>
        <w:tc>
          <w:tcPr/>
          <w:p>
            <w:pPr>
              <w:pStyle w:val="Tabla9"/>
              <w:jc w:val="left"/>
            </w:pPr>
            <w:r>
              <w:t xml:space="preserve">NO_VERIFICADO</w:t>
            </w:r>
          </w:p>
        </w:tc>
        <w:tc>
          <w:tcPr/>
          <w:p>
            <w:pPr>
              <w:pStyle w:val="Tabla9"/>
              <w:jc w:val="left"/>
            </w:pPr>
            <w:r>
              <w:t xml:space="preserve">PROPUESTO por esta corrida</w:t>
            </w:r>
          </w:p>
        </w:tc>
      </w:tr>
    </w:tbl>
    <w:p>
      <w:pPr>
        <w:pStyle w:val="TablaNota"/>
      </w:pPr>
      <w:r>
        <w:rPr>
          <w:i/>
          <w:iCs/>
        </w:rPr>
        <w:t xml:space="preserve">Nota.</w:t>
      </w:r>
      <w:r>
        <w:t xml:space="preserve"> </w:t>
      </w:r>
      <w:r>
        <w:t xml:space="preserve">Elaboración propia con datos de F-INF Anexo D (p. 222). O = unión; Y = intersección; el asterisco indica truncamiento. SIC = Superintendencia de Industria y Comercio; USPTO = Oficina de Patentes y Marcas de Estados Unidos. Las bases proceden de la especificación del capítulo. Ninguna ecuación se ejecutó en esta corrida; el conteo por base es NO_VERIFICADO.</w:t>
      </w:r>
    </w:p>
    <w:p>
      <w:pPr>
        <w:pStyle w:val="BodyText"/>
      </w:pPr>
      <w:r>
        <w:t xml:space="preserve">La primera ecuación busca tecnologías por su descripción y la segunda por su clase. La unión de ambas reduce el riesgo de omitir solicitudes con títulos distintos (F-INF Anexo D, p. 222). La tercera agrega el contexto de escombros, ausente de las dos primeras. El procedimiento de la Superintendencia de Industria y Comercio (SIC) usa también dos ecuaciones, una de palabras clave y otra de clases (SIC, 2026, pp. 4-9). Un revisor ejecutará las tres ecuaciones y registrará el conteo por base. Se requiere acceso a bases comerciales [DATO_USUARIO: acceso institucional a Scopus, Web of Science y Lens.org].</w:t>
      </w:r>
    </w:p>
    <w:bookmarkEnd w:id="289"/>
    <w:bookmarkStart w:id="290" w:name="_Toc00900121"/>
    <w:p>
      <w:pPr>
        <w:pStyle w:val="Heading3"/>
      </w:pPr>
      <w:r>
        <w:t xml:space="preserve">2.1.2 Bases, período y criterios</w:t>
      </w:r>
    </w:p>
    <w:p>
      <w:pPr>
        <w:pStyle w:val="FirstParagraph"/>
      </w:pPr>
      <w:r>
        <w:t xml:space="preserve">Las bases previstas son Scopus, Web of Science, PubMed, IEEE Xplore y Google Scholar para la literatura. Para las patentes se prevén Lens.org, Espacenet, la Oficina de Patentes y Marcas de Estados Unidos (USPTO) y el buscador de la SIC. Esa lista procede de la especificación del capítulo y es PROPUESTO. No se consultó ninguna base en esta corrida.</w:t>
      </w:r>
    </w:p>
    <w:p>
      <w:pPr>
        <w:pStyle w:val="BodyText"/>
      </w:pPr>
      <w:r>
        <w:t xml:space="preserve">El corpus abarca publicaciones de 1995 a 2026. La especificación recomienda una ventana de cinco a diez años según el campo. En el corpus, 35 de 42 documentos (83,3 %) son de los últimos cinco años. Otros seis son de los cinco años previos, y uno es de 1995. El proyecto adopta la ventana de 2017 a 2026 para la vigilancia futura (PROPUESTO). Conserva la patente de 1995 porque su vigencia ya venció, lo que la vuelve relevante para la libertad de operación (Reintjes et al., 1995; F-INF §5.7, p. 55).</w:t>
      </w:r>
    </w:p>
    <w:p>
      <w:pPr>
        <w:pStyle w:val="BodyText"/>
      </w:pPr>
      <w:r>
        <w:t xml:space="preserve">La Tabla 2.2 separa los criterios que describen el corpus actual de los que se proponen para la vigilancia futura. El informe documenta el ámbito temático y la lectura completa de cada documento. No documenta criterios de exclusión ni documentos excluidos (F-INF §1.2, p. 9).</w:t>
      </w:r>
    </w:p>
    <w:p>
      <w:pPr>
        <w:pStyle w:val="TablaRotulo"/>
      </w:pPr>
      <w:bookmarkStart w:id="9232" w:name="rot_Tabla_2_2"/>
      <w:r>
        <w:rPr>
          <w:b/>
          <w:bCs/>
        </w:rPr>
        <w:t xml:space="preserve">Tabla 2.2</w:t>
      </w:r>
      <w:bookmarkEnd w:id="9232"/>
    </w:p>
    <w:p>
      <w:pPr>
        <w:pStyle w:val="TablaTitulo"/>
      </w:pPr>
      <w:r>
        <w:rPr>
          <w:i/>
          <w:iCs/>
        </w:rPr>
        <w:t xml:space="preserve">Criterios de inclusión y exclusión del corpus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056"/>
        <w:gridCol w:w="1188"/>
        <w:gridCol w:w="1518"/>
        <w:gridCol w:w="1914"/>
        <w:gridCol w:w="2244"/>
      </w:tblGrid>
      <w:tr>
        <w:trPr>
          <w:cantSplit/>
          <w:tblHeader/>
        </w:trPr>
        <w:tc>
          <w:tcPr>
            <w:shd w:val="clear" w:color="auto" w:fill="00B050"/>
          </w:tcPr>
          <w:p>
            <w:pPr>
              <w:pStyle w:val="Tabla9"/>
              <w:jc w:val="center"/>
            </w:pPr>
            <w:r>
              <w:rPr>
                <w:b/>
                <w:color w:val="FFFFFF"/>
              </w:rPr>
              <w:t xml:space="preserve">Criterio</w:t>
            </w:r>
          </w:p>
        </w:tc>
        <w:tc>
          <w:tcPr>
            <w:shd w:val="clear" w:color="auto" w:fill="00B050"/>
          </w:tcPr>
          <w:p>
            <w:pPr>
              <w:pStyle w:val="Tabla9"/>
              <w:jc w:val="center"/>
            </w:pPr>
            <w:r>
              <w:rPr>
                <w:b/>
                <w:color w:val="FFFFFF"/>
              </w:rPr>
              <w:t xml:space="preserve">Tipo</w:t>
            </w:r>
          </w:p>
        </w:tc>
        <w:tc>
          <w:tcPr>
            <w:shd w:val="clear" w:color="auto" w:fill="00B050"/>
          </w:tcPr>
          <w:p>
            <w:pPr>
              <w:pStyle w:val="Tabla9"/>
              <w:jc w:val="center"/>
            </w:pPr>
            <w:r>
              <w:rPr>
                <w:b/>
                <w:color w:val="FFFFFF"/>
              </w:rPr>
              <w:t xml:space="preserve">Definición</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Aplicación al corpus de 42 documentos</w:t>
            </w:r>
          </w:p>
        </w:tc>
      </w:tr>
      <w:tr>
        <w:trPr>
          <w:cantSplit/>
        </w:trPr>
        <w:tc>
          <w:tcPr/>
          <w:p>
            <w:pPr>
              <w:pStyle w:val="Tabla9"/>
              <w:jc w:val="left"/>
            </w:pPr>
            <w:r>
              <w:t xml:space="preserve">I1</w:t>
            </w:r>
          </w:p>
        </w:tc>
        <w:tc>
          <w:tcPr/>
          <w:p>
            <w:pPr>
              <w:pStyle w:val="Tabla9"/>
              <w:jc w:val="left"/>
            </w:pPr>
            <w:r>
              <w:t xml:space="preserve">Inclusión</w:t>
            </w:r>
          </w:p>
        </w:tc>
        <w:tc>
          <w:tcPr/>
          <w:p>
            <w:pPr>
              <w:pStyle w:val="Tabla9"/>
              <w:jc w:val="left"/>
            </w:pPr>
            <w:r>
              <w:t xml:space="preserve">Ámbito: calidad del aire, sensores, pronóstico, exposición, salud y tecnología patentada</w:t>
            </w:r>
          </w:p>
        </w:tc>
        <w:tc>
          <w:tcPr/>
          <w:p>
            <w:pPr>
              <w:pStyle w:val="Tabla9"/>
              <w:jc w:val="left"/>
            </w:pPr>
            <w:r>
              <w:t xml:space="preserve">DOCUMENTADO (F-INF, información del documento)</w:t>
            </w:r>
          </w:p>
        </w:tc>
        <w:tc>
          <w:tcPr/>
          <w:p>
            <w:pPr>
              <w:pStyle w:val="Tabla9"/>
              <w:jc w:val="left"/>
            </w:pPr>
            <w:r>
              <w:t xml:space="preserve">Cumplido por los 42 documentos según el informe</w:t>
            </w:r>
          </w:p>
        </w:tc>
      </w:tr>
      <w:tr>
        <w:trPr>
          <w:cantSplit/>
        </w:trPr>
        <w:tc>
          <w:tcPr/>
          <w:p>
            <w:pPr>
              <w:pStyle w:val="Tabla9"/>
              <w:jc w:val="left"/>
            </w:pPr>
            <w:r>
              <w:t xml:space="preserve">I2</w:t>
            </w:r>
          </w:p>
        </w:tc>
        <w:tc>
          <w:tcPr/>
          <w:p>
            <w:pPr>
              <w:pStyle w:val="Tabla9"/>
              <w:jc w:val="left"/>
            </w:pPr>
            <w:r>
              <w:t xml:space="preserve">Inclusión</w:t>
            </w:r>
          </w:p>
        </w:tc>
        <w:tc>
          <w:tcPr/>
          <w:p>
            <w:pPr>
              <w:pStyle w:val="Tabla9"/>
              <w:jc w:val="left"/>
            </w:pPr>
            <w:r>
              <w:t xml:space="preserve">Texto completo leído por el analista</w:t>
            </w:r>
          </w:p>
        </w:tc>
        <w:tc>
          <w:tcPr/>
          <w:p>
            <w:pPr>
              <w:pStyle w:val="Tabla9"/>
              <w:jc w:val="left"/>
            </w:pPr>
            <w:r>
              <w:t xml:space="preserve">DOCUMENTADO (F-INF §1.2, p. 9)</w:t>
            </w:r>
          </w:p>
        </w:tc>
        <w:tc>
          <w:tcPr/>
          <w:p>
            <w:pPr>
              <w:pStyle w:val="Tabla9"/>
              <w:jc w:val="left"/>
            </w:pPr>
            <w:r>
              <w:t xml:space="preserve">42 de 42</w:t>
            </w:r>
          </w:p>
        </w:tc>
      </w:tr>
      <w:tr>
        <w:trPr>
          <w:cantSplit/>
        </w:trPr>
        <w:tc>
          <w:tcPr/>
          <w:p>
            <w:pPr>
              <w:pStyle w:val="Tabla9"/>
              <w:jc w:val="left"/>
            </w:pPr>
            <w:r>
              <w:t xml:space="preserve">I3</w:t>
            </w:r>
          </w:p>
        </w:tc>
        <w:tc>
          <w:tcPr/>
          <w:p>
            <w:pPr>
              <w:pStyle w:val="Tabla9"/>
              <w:jc w:val="left"/>
            </w:pPr>
            <w:r>
              <w:t xml:space="preserve">Inclusión</w:t>
            </w:r>
          </w:p>
        </w:tc>
        <w:tc>
          <w:tcPr/>
          <w:p>
            <w:pPr>
              <w:pStyle w:val="Tabla9"/>
              <w:jc w:val="left"/>
            </w:pPr>
            <w:r>
              <w:t xml:space="preserve">Tipo documental: artículo, patente o solicitud, informe institucional</w:t>
            </w:r>
          </w:p>
        </w:tc>
        <w:tc>
          <w:tcPr/>
          <w:p>
            <w:pPr>
              <w:pStyle w:val="Tabla9"/>
              <w:jc w:val="left"/>
            </w:pPr>
            <w:r>
              <w:t xml:space="preserve">DOCUMENTADO (F-INF §3.1, p. 19)</w:t>
            </w:r>
          </w:p>
        </w:tc>
        <w:tc>
          <w:tcPr/>
          <w:p>
            <w:pPr>
              <w:pStyle w:val="Tabla9"/>
              <w:jc w:val="left"/>
            </w:pPr>
            <w:r>
              <w:t xml:space="preserve">26 artículos, 15 patentes y 1 informe</w:t>
            </w:r>
          </w:p>
        </w:tc>
      </w:tr>
      <w:tr>
        <w:trPr>
          <w:cantSplit/>
        </w:trPr>
        <w:tc>
          <w:tcPr/>
          <w:p>
            <w:pPr>
              <w:pStyle w:val="Tabla9"/>
              <w:jc w:val="left"/>
            </w:pPr>
            <w:r>
              <w:t xml:space="preserve">I4</w:t>
            </w:r>
          </w:p>
        </w:tc>
        <w:tc>
          <w:tcPr/>
          <w:p>
            <w:pPr>
              <w:pStyle w:val="Tabla9"/>
              <w:jc w:val="left"/>
            </w:pPr>
            <w:r>
              <w:t xml:space="preserve">Inclusión</w:t>
            </w:r>
          </w:p>
        </w:tc>
        <w:tc>
          <w:tcPr/>
          <w:p>
            <w:pPr>
              <w:pStyle w:val="Tabla9"/>
              <w:jc w:val="left"/>
            </w:pPr>
            <w:r>
              <w:t xml:space="preserve">Publicación anterior al corte del informe (30 de septiembre de 2026)</w:t>
            </w:r>
          </w:p>
        </w:tc>
        <w:tc>
          <w:tcPr/>
          <w:p>
            <w:pPr>
              <w:pStyle w:val="Tabla9"/>
              <w:jc w:val="left"/>
            </w:pPr>
            <w:r>
              <w:t xml:space="preserve">DOCUMENTADO (F-INF, información del documento)</w:t>
            </w:r>
          </w:p>
        </w:tc>
        <w:tc>
          <w:tcPr/>
          <w:p>
            <w:pPr>
              <w:pStyle w:val="Tabla9"/>
              <w:jc w:val="left"/>
            </w:pPr>
            <w:r>
              <w:t xml:space="preserve">42 de 42</w:t>
            </w:r>
          </w:p>
        </w:tc>
      </w:tr>
      <w:tr>
        <w:trPr>
          <w:cantSplit/>
        </w:trPr>
        <w:tc>
          <w:tcPr/>
          <w:p>
            <w:pPr>
              <w:pStyle w:val="Tabla9"/>
              <w:jc w:val="left"/>
            </w:pPr>
            <w:r>
              <w:t xml:space="preserve">I5</w:t>
            </w:r>
          </w:p>
        </w:tc>
        <w:tc>
          <w:tcPr/>
          <w:p>
            <w:pPr>
              <w:pStyle w:val="Tabla9"/>
              <w:jc w:val="left"/>
            </w:pPr>
            <w:r>
              <w:t xml:space="preserve">Inclusión</w:t>
            </w:r>
          </w:p>
        </w:tc>
        <w:tc>
          <w:tcPr/>
          <w:p>
            <w:pPr>
              <w:pStyle w:val="Tabla9"/>
              <w:jc w:val="left"/>
            </w:pPr>
            <w:r>
              <w:t xml:space="preserve">Idioma: inglés o español</w:t>
            </w:r>
          </w:p>
        </w:tc>
        <w:tc>
          <w:tcPr/>
          <w:p>
            <w:pPr>
              <w:pStyle w:val="Tabla9"/>
              <w:jc w:val="left"/>
            </w:pPr>
            <w:r>
              <w:t xml:space="preserve">DOCUMENTADO (F-INF §7.1, p. 74)</w:t>
            </w:r>
          </w:p>
        </w:tc>
        <w:tc>
          <w:tcPr/>
          <w:p>
            <w:pPr>
              <w:pStyle w:val="Tabla9"/>
              <w:jc w:val="left"/>
            </w:pPr>
            <w:r>
              <w:t xml:space="preserve">2 documentos en español; el resto en inglés (INFERIDO)</w:t>
            </w:r>
          </w:p>
        </w:tc>
      </w:tr>
      <w:tr>
        <w:trPr>
          <w:cantSplit/>
        </w:trPr>
        <w:tc>
          <w:tcPr/>
          <w:p>
            <w:pPr>
              <w:pStyle w:val="Tabla9"/>
              <w:jc w:val="left"/>
            </w:pPr>
            <w:r>
              <w:t xml:space="preserve">E1</w:t>
            </w:r>
          </w:p>
        </w:tc>
        <w:tc>
          <w:tcPr/>
          <w:p>
            <w:pPr>
              <w:pStyle w:val="Tabla9"/>
              <w:jc w:val="left"/>
            </w:pPr>
            <w:r>
              <w:t xml:space="preserve">Exclusión</w:t>
            </w:r>
          </w:p>
        </w:tc>
        <w:tc>
          <w:tcPr/>
          <w:p>
            <w:pPr>
              <w:pStyle w:val="Tabla9"/>
              <w:jc w:val="left"/>
            </w:pPr>
            <w:r>
              <w:t xml:space="preserve">Documento sin texto completo disponible</w:t>
            </w:r>
          </w:p>
        </w:tc>
        <w:tc>
          <w:tcPr/>
          <w:p>
            <w:pPr>
              <w:pStyle w:val="Tabla9"/>
              <w:jc w:val="left"/>
            </w:pPr>
            <w:r>
              <w:t xml:space="preserve">PROPUESTO</w:t>
            </w:r>
          </w:p>
        </w:tc>
        <w:tc>
          <w:tcPr/>
          <w:p>
            <w:pPr>
              <w:pStyle w:val="Tabla9"/>
              <w:jc w:val="left"/>
            </w:pPr>
            <w:r>
              <w:t xml:space="preserve">Sin exclusiones registradas</w:t>
            </w:r>
          </w:p>
        </w:tc>
      </w:tr>
      <w:tr>
        <w:trPr>
          <w:cantSplit/>
        </w:trPr>
        <w:tc>
          <w:tcPr/>
          <w:p>
            <w:pPr>
              <w:pStyle w:val="Tabla9"/>
              <w:jc w:val="left"/>
            </w:pPr>
            <w:r>
              <w:t xml:space="preserve">E2</w:t>
            </w:r>
          </w:p>
        </w:tc>
        <w:tc>
          <w:tcPr/>
          <w:p>
            <w:pPr>
              <w:pStyle w:val="Tabla9"/>
              <w:jc w:val="left"/>
            </w:pPr>
            <w:r>
              <w:t xml:space="preserve">Exclusión</w:t>
            </w:r>
          </w:p>
        </w:tc>
        <w:tc>
          <w:tcPr/>
          <w:p>
            <w:pPr>
              <w:pStyle w:val="Tabla9"/>
              <w:jc w:val="left"/>
            </w:pPr>
            <w:r>
              <w:t xml:space="preserve">Documento duplicado por DOI, número o título</w:t>
            </w:r>
          </w:p>
        </w:tc>
        <w:tc>
          <w:tcPr/>
          <w:p>
            <w:pPr>
              <w:pStyle w:val="Tabla9"/>
              <w:jc w:val="left"/>
            </w:pPr>
            <w:r>
              <w:t xml:space="preserve">PROPUESTO</w:t>
            </w:r>
          </w:p>
        </w:tc>
        <w:tc>
          <w:tcPr/>
          <w:p>
            <w:pPr>
              <w:pStyle w:val="Tabla9"/>
              <w:jc w:val="left"/>
            </w:pPr>
            <w:r>
              <w:t xml:space="preserve">Sin duplicados en 42 identificadores</w:t>
            </w:r>
          </w:p>
        </w:tc>
      </w:tr>
      <w:tr>
        <w:trPr>
          <w:cantSplit/>
        </w:trPr>
        <w:tc>
          <w:tcPr/>
          <w:p>
            <w:pPr>
              <w:pStyle w:val="Tabla9"/>
              <w:jc w:val="left"/>
            </w:pPr>
            <w:r>
              <w:t xml:space="preserve">E3</w:t>
            </w:r>
          </w:p>
        </w:tc>
        <w:tc>
          <w:tcPr/>
          <w:p>
            <w:pPr>
              <w:pStyle w:val="Tabla9"/>
              <w:jc w:val="left"/>
            </w:pPr>
            <w:r>
              <w:t xml:space="preserve">Exclusión</w:t>
            </w:r>
          </w:p>
        </w:tc>
        <w:tc>
          <w:tcPr/>
          <w:p>
            <w:pPr>
              <w:pStyle w:val="Tabla9"/>
              <w:jc w:val="left"/>
            </w:pPr>
            <w:r>
              <w:t xml:space="preserve">Documento ajeno a la calidad del aire y a la medición de partículas</w:t>
            </w:r>
          </w:p>
        </w:tc>
        <w:tc>
          <w:tcPr/>
          <w:p>
            <w:pPr>
              <w:pStyle w:val="Tabla9"/>
              <w:jc w:val="left"/>
            </w:pPr>
            <w:r>
              <w:t xml:space="preserve">PROPUESTO</w:t>
            </w:r>
          </w:p>
        </w:tc>
        <w:tc>
          <w:tcPr/>
          <w:p>
            <w:pPr>
              <w:pStyle w:val="Tabla9"/>
              <w:jc w:val="left"/>
            </w:pPr>
            <w:r>
              <w:t xml:space="preserve">Sin registro de exclusiones</w:t>
            </w:r>
          </w:p>
        </w:tc>
      </w:tr>
      <w:tr>
        <w:trPr>
          <w:cantSplit/>
        </w:trPr>
        <w:tc>
          <w:tcPr/>
          <w:p>
            <w:pPr>
              <w:pStyle w:val="Tabla9"/>
              <w:jc w:val="left"/>
            </w:pPr>
            <w:r>
              <w:t xml:space="preserve">E4</w:t>
            </w:r>
          </w:p>
        </w:tc>
        <w:tc>
          <w:tcPr/>
          <w:p>
            <w:pPr>
              <w:pStyle w:val="Tabla9"/>
              <w:jc w:val="left"/>
            </w:pPr>
            <w:r>
              <w:t xml:space="preserve">Exclusión</w:t>
            </w:r>
          </w:p>
        </w:tc>
        <w:tc>
          <w:tcPr/>
          <w:p>
            <w:pPr>
              <w:pStyle w:val="Tabla9"/>
              <w:jc w:val="left"/>
            </w:pPr>
            <w:r>
              <w:t xml:space="preserve">Publicación en revista de práctica predatoria</w:t>
            </w:r>
          </w:p>
        </w:tc>
        <w:tc>
          <w:tcPr/>
          <w:p>
            <w:pPr>
              <w:pStyle w:val="Tabla9"/>
              <w:jc w:val="left"/>
            </w:pPr>
            <w:r>
              <w:t xml:space="preserve">PROPUESTO</w:t>
            </w:r>
          </w:p>
        </w:tc>
        <w:tc>
          <w:tcPr/>
          <w:p>
            <w:pPr>
              <w:pStyle w:val="Tabla9"/>
              <w:jc w:val="left"/>
            </w:pPr>
            <w:r>
              <w:t xml:space="preserve">NO_VERIFICADO: no se evaluó</w:t>
            </w:r>
          </w:p>
        </w:tc>
      </w:tr>
    </w:tbl>
    <w:p>
      <w:pPr>
        <w:pStyle w:val="TablaNota"/>
      </w:pPr>
      <w:r>
        <w:rPr>
          <w:i/>
          <w:iCs/>
        </w:rPr>
        <w:t xml:space="preserve">Nota.</w:t>
      </w:r>
      <w:r>
        <w:t xml:space="preserve"> </w:t>
      </w:r>
      <w:r>
        <w:t xml:space="preserve">Elaboración propia con datos de F-INF §1.2 (p. 9), §3.1 (p. 19) y §7.1 (p. 74). DOI = identificador de objeto digital. Naturaleza: DOCUMENTADO para los criterios de inclusión que el informe describe y PROPUESTO para los demás.</w:t>
      </w:r>
    </w:p>
    <w:p>
      <w:pPr>
        <w:pStyle w:val="BodyText"/>
      </w:pPr>
      <w:r>
        <w:t xml:space="preserve">Cinco criterios de inclusión se documentan y cuatro de exclusión se proponen. La asimetría confirma que el corpus se armó por inclusión y no por exclusión. La vigilancia futura aplicará los nueve criterios y registrará cada exclusión. Así el diagrama de la sección 2.2.1 podrá completarse con números reales.</w:t>
      </w:r>
    </w:p>
    <w:bookmarkEnd w:id="290"/>
    <w:bookmarkEnd w:id="291"/>
    <w:bookmarkStart w:id="345" w:name="_Toc00900122"/>
    <w:p>
      <w:pPr>
        <w:pStyle w:val="Heading2"/>
      </w:pPr>
      <w:r>
        <w:t xml:space="preserve">2.2 Análisis cienciométrico</w:t>
      </w:r>
    </w:p>
    <w:p>
      <w:pPr>
        <w:pStyle w:val="FirstParagraph"/>
      </w:pPr>
      <w:r>
        <w:t xml:space="preserve">El análisis cienciométrico cuantifica la producción, la autoría, las fuentes y la estructura temática del corpus. Sigue el protocolo de 13 figuras. Cada figura declara el tamaño del corpus, el año de corte (2026) y la semilla (42). Los cálculos se hacen sobre la bibliografía del informe cuando es posible. Los resultados de texto completo se toman del informe con su sección y página. Las reglas de corpus pequeño se aplican en cada subsección.</w:t>
      </w:r>
    </w:p>
    <w:bookmarkStart w:id="295" w:name="_Toc00900123"/>
    <w:p>
      <w:pPr>
        <w:pStyle w:val="Heading3"/>
      </w:pPr>
      <w:r>
        <w:t xml:space="preserve">2.2.1 Diagrama PRISMA y selección sistemática</w:t>
      </w:r>
    </w:p>
    <w:p>
      <w:pPr>
        <w:pStyle w:val="FirstParagraph"/>
      </w:pPr>
      <w:r>
        <w:t xml:space="preserve">La selección sistemática exige que cada exclusión tenga un registro. El enunciado PRISMA 2020 organiza ese registro en cuatro etapas y pide el número de documentos en cada una (Page et al., 2021). La tasa de selección divide los documentos incluidos entre los identificados y mide la severidad del filtro.</w:t>
      </w:r>
    </w:p>
    <w:p>
      <w:pPr>
        <w:pStyle w:val="BodyText"/>
      </w:pPr>
      <w:r>
        <w:t xml:space="preserve">Dos lecturas de PRISMA conviven. La lectura estricta lo reserva para revisiones sistemáticas con búsquedas reproducibles. La lectura flexible lo usa como lista de verificación de transparencia, también en estudios de vigilancia. Este capítulo adopta la lectura flexible. Su propósito es orientar una decisión de proyecto y no estimar efectos.</w:t>
      </w:r>
    </w:p>
    <w:p>
      <w:pPr>
        <w:pStyle w:val="BodyText"/>
      </w:pPr>
      <w:r>
        <w:t xml:space="preserve">La Tabla 2.3 y la Figura 2.1 presentan el flujo con los números reales del corpus. Solo la etapa de inclusión está documentada, con 42 documentos. Hay 26 artículos (61,9 %), 15 patentes (35,7 %) y un informe institucional (2,4 %). Las etapas de identificación y cribado carecen de registro. La tasa de selección no es calculable. Los criterios aplicados figuran en la Tabla 2.2.</w:t>
      </w:r>
    </w:p>
    <w:p>
      <w:pPr>
        <w:pStyle w:val="TablaRotulo"/>
      </w:pPr>
      <w:bookmarkStart w:id="9233" w:name="rot_Tabla_2_3"/>
      <w:r>
        <w:rPr>
          <w:b/>
          <w:bCs/>
        </w:rPr>
        <w:t xml:space="preserve">Tabla 2.3</w:t>
      </w:r>
      <w:bookmarkEnd w:id="9233"/>
    </w:p>
    <w:p>
      <w:pPr>
        <w:pStyle w:val="TablaTitulo"/>
      </w:pPr>
      <w:r>
        <w:rPr>
          <w:i/>
          <w:iCs/>
        </w:rPr>
        <w:t xml:space="preserve">Flujo PRISMA simplificado con números reales del corpus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20"/>
        <w:gridCol w:w="1188"/>
        <w:gridCol w:w="990"/>
        <w:gridCol w:w="924"/>
        <w:gridCol w:w="924"/>
        <w:gridCol w:w="924"/>
        <w:gridCol w:w="1650"/>
      </w:tblGrid>
      <w:tr>
        <w:trPr>
          <w:cantSplit/>
          <w:tblHeader/>
        </w:trPr>
        <w:tc>
          <w:tcPr>
            <w:shd w:val="clear" w:color="auto" w:fill="00B050"/>
          </w:tcPr>
          <w:p>
            <w:pPr>
              <w:pStyle w:val="Tabla8"/>
              <w:jc w:val="center"/>
            </w:pPr>
            <w:r>
              <w:rPr>
                <w:b/>
                <w:color w:val="FFFFFF"/>
              </w:rPr>
              <w:t xml:space="preserve">Etapa</w:t>
            </w:r>
          </w:p>
        </w:tc>
        <w:tc>
          <w:tcPr>
            <w:shd w:val="clear" w:color="auto" w:fill="00B050"/>
          </w:tcPr>
          <w:p>
            <w:pPr>
              <w:pStyle w:val="Tabla8"/>
              <w:jc w:val="center"/>
            </w:pPr>
            <w:r>
              <w:rPr>
                <w:b/>
                <w:color w:val="FFFFFF"/>
              </w:rPr>
              <w:t xml:space="preserve">Descripción</w:t>
            </w:r>
          </w:p>
        </w:tc>
        <w:tc>
          <w:tcPr>
            <w:shd w:val="clear" w:color="auto" w:fill="00B050"/>
          </w:tcPr>
          <w:p>
            <w:pPr>
              <w:pStyle w:val="Tabla8"/>
              <w:jc w:val="center"/>
            </w:pPr>
            <w:r>
              <w:rPr>
                <w:b/>
                <w:color w:val="FFFFFF"/>
              </w:rPr>
              <w:t xml:space="preserve">Documentos</w:t>
            </w:r>
          </w:p>
        </w:tc>
        <w:tc>
          <w:tcPr>
            <w:shd w:val="clear" w:color="auto" w:fill="00B050"/>
          </w:tcPr>
          <w:p>
            <w:pPr>
              <w:pStyle w:val="Tabla8"/>
              <w:jc w:val="center"/>
            </w:pPr>
            <w:r>
              <w:rPr>
                <w:b/>
                <w:color w:val="FFFFFF"/>
              </w:rPr>
              <w:t xml:space="preserve">Artículos</w:t>
            </w:r>
          </w:p>
        </w:tc>
        <w:tc>
          <w:tcPr>
            <w:shd w:val="clear" w:color="auto" w:fill="00B050"/>
          </w:tcPr>
          <w:p>
            <w:pPr>
              <w:pStyle w:val="Tabla8"/>
              <w:jc w:val="center"/>
            </w:pPr>
            <w:r>
              <w:rPr>
                <w:b/>
                <w:color w:val="FFFFFF"/>
              </w:rPr>
              <w:t xml:space="preserve">Patentes</w:t>
            </w:r>
          </w:p>
        </w:tc>
        <w:tc>
          <w:tcPr>
            <w:shd w:val="clear" w:color="auto" w:fill="00B050"/>
          </w:tcPr>
          <w:p>
            <w:pPr>
              <w:pStyle w:val="Tabla8"/>
              <w:jc w:val="center"/>
            </w:pPr>
            <w:r>
              <w:rPr>
                <w:b/>
                <w:color w:val="FFFFFF"/>
              </w:rPr>
              <w:t xml:space="preserve">Informes</w:t>
            </w:r>
          </w:p>
        </w:tc>
        <w:tc>
          <w:tcPr>
            <w:shd w:val="clear" w:color="auto" w:fill="00B050"/>
          </w:tcPr>
          <w:p>
            <w:pPr>
              <w:pStyle w:val="Tabla8"/>
              <w:jc w:val="center"/>
            </w:pPr>
            <w:r>
              <w:rPr>
                <w:b/>
                <w:color w:val="FFFFFF"/>
              </w:rPr>
              <w:t xml:space="preserve">Naturaleza y verificación</w:t>
            </w:r>
          </w:p>
        </w:tc>
      </w:tr>
      <w:tr>
        <w:trPr>
          <w:cantSplit/>
        </w:trPr>
        <w:tc>
          <w:tcPr/>
          <w:p>
            <w:pPr>
              <w:pStyle w:val="Tabla8"/>
              <w:jc w:val="left"/>
            </w:pPr>
            <w:r>
              <w:t xml:space="preserve">Identificación</w:t>
            </w:r>
          </w:p>
        </w:tc>
        <w:tc>
          <w:tcPr/>
          <w:p>
            <w:pPr>
              <w:pStyle w:val="Tabla8"/>
              <w:jc w:val="left"/>
            </w:pPr>
            <w:r>
              <w:t xml:space="preserve">Registros identificados en bases de datos</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VACIO; NO_VERIFICADO</w:t>
            </w:r>
          </w:p>
        </w:tc>
      </w:tr>
      <w:tr>
        <w:trPr>
          <w:cantSplit/>
        </w:trPr>
        <w:tc>
          <w:tcPr/>
          <w:p>
            <w:pPr>
              <w:pStyle w:val="Tabla8"/>
              <w:jc w:val="left"/>
            </w:pPr>
            <w:r>
              <w:t xml:space="preserve">Cribado</w:t>
            </w:r>
          </w:p>
        </w:tc>
        <w:tc>
          <w:tcPr/>
          <w:p>
            <w:pPr>
              <w:pStyle w:val="Tabla8"/>
              <w:jc w:val="left"/>
            </w:pPr>
            <w:r>
              <w:t xml:space="preserve">Registros tras eliminar duplicados</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VACIO; NO_VERIFICADO</w:t>
            </w:r>
          </w:p>
        </w:tc>
      </w:tr>
      <w:tr>
        <w:trPr>
          <w:cantSplit/>
        </w:trPr>
        <w:tc>
          <w:tcPr/>
          <w:p>
            <w:pPr>
              <w:pStyle w:val="Tabla8"/>
              <w:jc w:val="left"/>
            </w:pPr>
            <w:r>
              <w:t xml:space="preserve">Elegibilidad</w:t>
            </w:r>
          </w:p>
        </w:tc>
        <w:tc>
          <w:tcPr/>
          <w:p>
            <w:pPr>
              <w:pStyle w:val="Tabla8"/>
              <w:jc w:val="left"/>
            </w:pPr>
            <w:r>
              <w:t xml:space="preserve">Documentos evaluados a texto completo</w:t>
            </w:r>
          </w:p>
        </w:tc>
        <w:tc>
          <w:tcPr/>
          <w:p>
            <w:pPr>
              <w:pStyle w:val="Tabla8"/>
              <w:jc w:val="left"/>
            </w:pPr>
            <w:r>
              <w:t xml:space="preserve">42</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DOCUMENTADO (F-INF §1.2, p. 9)</w:t>
            </w:r>
          </w:p>
        </w:tc>
      </w:tr>
      <w:tr>
        <w:trPr>
          <w:cantSplit/>
        </w:trPr>
        <w:tc>
          <w:tcPr/>
          <w:p>
            <w:pPr>
              <w:pStyle w:val="Tabla8"/>
              <w:jc w:val="left"/>
            </w:pPr>
            <w:r>
              <w:t xml:space="preserve">Exclusión a texto completo</w:t>
            </w:r>
          </w:p>
        </w:tc>
        <w:tc>
          <w:tcPr/>
          <w:p>
            <w:pPr>
              <w:pStyle w:val="Tabla8"/>
              <w:jc w:val="left"/>
            </w:pPr>
            <w:r>
              <w:t xml:space="preserve">Documentos excluidos tras la lectura</w:t>
            </w:r>
          </w:p>
        </w:tc>
        <w:tc>
          <w:tcPr/>
          <w:p>
            <w:pPr>
              <w:pStyle w:val="Tabla8"/>
              <w:jc w:val="left"/>
            </w:pPr>
            <w:r>
              <w:t xml:space="preserve">Sin registro</w:t>
            </w:r>
          </w:p>
        </w:tc>
        <w:tc>
          <w:tcPr/>
          <w:p>
            <w:pPr>
              <w:pStyle w:val="Tabla8"/>
              <w:jc w:val="left"/>
            </w:pPr>
            <w:r>
              <w:t xml:space="preserve">Sin registro</w:t>
            </w:r>
          </w:p>
        </w:tc>
        <w:tc>
          <w:tcPr/>
          <w:p>
            <w:pPr>
              <w:pStyle w:val="Tabla8"/>
              <w:jc w:val="left"/>
            </w:pPr>
            <w:r>
              <w:t xml:space="preserve">Sin registro</w:t>
            </w:r>
          </w:p>
        </w:tc>
        <w:tc>
          <w:tcPr/>
          <w:p>
            <w:pPr>
              <w:pStyle w:val="Tabla8"/>
              <w:jc w:val="left"/>
            </w:pPr>
            <w:r>
              <w:t xml:space="preserve">Sin registro</w:t>
            </w:r>
          </w:p>
        </w:tc>
        <w:tc>
          <w:tcPr/>
          <w:p>
            <w:pPr>
              <w:pStyle w:val="Tabla8"/>
              <w:jc w:val="left"/>
            </w:pPr>
            <w:r>
              <w:t xml:space="preserve">VACIO; NO_VERIFICADO</w:t>
            </w:r>
          </w:p>
        </w:tc>
      </w:tr>
      <w:tr>
        <w:trPr>
          <w:cantSplit/>
        </w:trPr>
        <w:tc>
          <w:tcPr/>
          <w:p>
            <w:pPr>
              <w:pStyle w:val="Tabla8"/>
              <w:jc w:val="left"/>
            </w:pPr>
            <w:r>
              <w:t xml:space="preserve">Inclusión</w:t>
            </w:r>
          </w:p>
        </w:tc>
        <w:tc>
          <w:tcPr/>
          <w:p>
            <w:pPr>
              <w:pStyle w:val="Tabla8"/>
              <w:jc w:val="left"/>
            </w:pPr>
            <w:r>
              <w:t xml:space="preserve">Documentos incluidos en el corpus</w:t>
            </w:r>
          </w:p>
        </w:tc>
        <w:tc>
          <w:tcPr/>
          <w:p>
            <w:pPr>
              <w:pStyle w:val="Tabla8"/>
              <w:jc w:val="left"/>
            </w:pPr>
            <w:r>
              <w:t xml:space="preserve">42</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DOCUMENTADO (F-INF §3.1, p. 19)</w:t>
            </w:r>
          </w:p>
        </w:tc>
      </w:tr>
      <w:tr>
        <w:trPr>
          <w:cantSplit/>
        </w:trPr>
        <w:tc>
          <w:tcPr/>
          <w:p>
            <w:pPr>
              <w:pStyle w:val="Tabla8"/>
              <w:jc w:val="left"/>
            </w:pPr>
            <w:r>
              <w:t xml:space="preserve">Tasa de selección</w:t>
            </w:r>
          </w:p>
        </w:tc>
        <w:tc>
          <w:tcPr/>
          <w:p>
            <w:pPr>
              <w:pStyle w:val="Tabla8"/>
              <w:jc w:val="left"/>
            </w:pPr>
            <w:r>
              <w:t xml:space="preserve">Incluidos sobre identificados</w:t>
            </w:r>
          </w:p>
        </w:tc>
        <w:tc>
          <w:tcPr/>
          <w:p>
            <w:pPr>
              <w:pStyle w:val="Tabla8"/>
              <w:jc w:val="left"/>
            </w:pPr>
            <w:r>
              <w:t xml:space="preserve">No calculable</w:t>
            </w:r>
          </w:p>
        </w:tc>
        <w:tc>
          <w:tcPr/>
          <w:p>
            <w:pPr>
              <w:pStyle w:val="Tabla8"/>
              <w:jc w:val="left"/>
            </w:pPr>
            <w:r>
              <w:t xml:space="preserve">No calculable</w:t>
            </w:r>
          </w:p>
        </w:tc>
        <w:tc>
          <w:tcPr/>
          <w:p>
            <w:pPr>
              <w:pStyle w:val="Tabla8"/>
              <w:jc w:val="left"/>
            </w:pPr>
            <w:r>
              <w:t xml:space="preserve">No calculable</w:t>
            </w:r>
          </w:p>
        </w:tc>
        <w:tc>
          <w:tcPr/>
          <w:p>
            <w:pPr>
              <w:pStyle w:val="Tabla8"/>
              <w:jc w:val="left"/>
            </w:pPr>
            <w:r>
              <w:t xml:space="preserve">No calculable</w:t>
            </w:r>
          </w:p>
        </w:tc>
        <w:tc>
          <w:tcPr/>
          <w:p>
            <w:pPr>
              <w:pStyle w:val="Tabla8"/>
              <w:jc w:val="left"/>
            </w:pPr>
            <w:r>
              <w:t xml:space="preserve">NO_CALCULABLE</w:t>
            </w:r>
          </w:p>
        </w:tc>
      </w:tr>
    </w:tbl>
    <w:p>
      <w:pPr>
        <w:pStyle w:val="TablaNota"/>
      </w:pPr>
      <w:r>
        <w:rPr>
          <w:i/>
          <w:iCs/>
        </w:rPr>
        <w:t xml:space="preserve">Nota.</w:t>
      </w:r>
      <w:r>
        <w:t xml:space="preserve"> </w:t>
      </w:r>
      <w:r>
        <w:t xml:space="preserve">Elaboración propia con datos de F-INF §1.2 (p. 9), §3.1 (p. 19) y §10.1 (p. 124). Porcentajes sobre 42 documentos. Naturaleza: DOCUMENTADO para las etapas con dato y VACIO para las demás.</w:t>
      </w:r>
    </w:p>
    <w:p>
      <w:pPr>
        <w:pStyle w:val="FiguraRotulo"/>
      </w:pPr>
      <w:bookmarkStart w:id="9490" w:name="rot_Figura_2_1"/>
      <w:r>
        <w:rPr>
          <w:b/>
          <w:bCs/>
        </w:rPr>
        <w:t xml:space="preserve">Figura 2.1</w:t>
      </w:r>
      <w:bookmarkEnd w:id="9490"/>
    </w:p>
    <w:p>
      <w:pPr>
        <w:pStyle w:val="FiguraTitulo"/>
      </w:pPr>
      <w:r>
        <w:rPr>
          <w:i/>
          <w:iCs/>
        </w:rPr>
        <w:t xml:space="preserve">Diagrama PRISMA de flujo del corpus de 42 documentos</w:t>
      </w:r>
    </w:p>
    <w:p>
      <w:pPr>
        <w:pStyle w:val="BodyText"/>
      </w:pPr>
      <w:r>
        <w:drawing>
          <wp:inline>
            <wp:extent cx="5579999" cy="4384285"/>
            <wp:effectExtent b="0" l="0" r="0" t="0"/>
            <wp:docPr descr="" title="" id="293" name="Picture"/>
            <a:graphic>
              <a:graphicData uri="http://schemas.openxmlformats.org/drawingml/2006/picture">
                <pic:pic>
                  <pic:nvPicPr>
                    <pic:cNvPr descr="/tmp/claude-0/-home-user-docs/ddf38714-2a7e-502b-92b4-1008e2832422/scratchpad/proy/figs/out/c2_prisma.png" id="294" name="Picture"/>
                    <pic:cNvPicPr>
                      <a:picLocks noChangeArrowheads="1" noChangeAspect="1"/>
                    </pic:cNvPicPr>
                  </pic:nvPicPr>
                  <pic:blipFill>
                    <a:blip r:embed="rId292"/>
                    <a:stretch>
                      <a:fillRect/>
                    </a:stretch>
                  </pic:blipFill>
                  <pic:spPr bwMode="auto">
                    <a:xfrm>
                      <a:off x="0" y="0"/>
                      <a:ext cx="5579999" cy="43842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§1.2 (p. 9), §3.1 (p. 19) y §10.1 (p. 124). Las etapas de identificación y cribado carecen de registro y se marcan NO_VERIFICADO. Corpus de 42 documentos; año de corte 2026; semilla 42.</w:t>
      </w:r>
    </w:p>
    <w:p>
      <w:pPr>
        <w:pStyle w:val="BodyText"/>
      </w:pPr>
      <w:r>
        <w:t xml:space="preserve">La asimetría tiene una consecuencia metodológica. El proyecto no afirma exhaustividad. Cada capítulo que use este corpus lo describe como una muestra intencional de 42 documentos. La vigilancia futura completará el diagrama con las ecuaciones de la sección 2.1, y el plan de cierre figura en el Paso 3, sección 3.2.</w:t>
      </w:r>
    </w:p>
    <w:bookmarkEnd w:id="295"/>
    <w:bookmarkStart w:id="299" w:name="_Toc00900124"/>
    <w:p>
      <w:pPr>
        <w:pStyle w:val="Heading3"/>
      </w:pPr>
      <w:r>
        <w:t xml:space="preserve">2.2.2 Producción científica temporal</w:t>
      </w:r>
    </w:p>
    <w:p>
      <w:pPr>
        <w:pStyle w:val="FirstParagraph"/>
      </w:pPr>
      <w:r>
        <w:t xml:space="preserve">La producción temporal mide cuántos documentos entran al corpus por año de publicación. El corpus pasa de dos documentos en 2019 a nueve en 2025 y 17 en 2026 (F-INF §4.3, p. 34). El pico ocurre en 2026, con 17 documentos y 40,5 % del corpus. Los últimos cinco años concentran 35 de 42 documentos (83,3 %).</w:t>
      </w:r>
    </w:p>
    <w:p>
      <w:pPr>
        <w:pStyle w:val="BodyText"/>
      </w:pPr>
      <w:r>
        <w:t xml:space="preserve">La tasa de crecimiento anual compuesta (CAGR) resume el cambio entre dos años. Se calcula como el valor final dividido por el inicial, elevado a uno sobre el número de años, menos uno. Su valor depende de la ventana elegida. La Tabla 2.4 presenta la producción anual con la era de cada año. La Figura 2.2 la representa con el acumulado.</w:t>
      </w:r>
    </w:p>
    <w:p>
      <w:pPr>
        <w:pStyle w:val="TablaRotulo"/>
      </w:pPr>
      <w:bookmarkStart w:id="9234" w:name="rot_Tabla_2_4"/>
      <w:r>
        <w:rPr>
          <w:b/>
          <w:bCs/>
        </w:rPr>
        <w:t xml:space="preserve">Tabla 2.4</w:t>
      </w:r>
      <w:bookmarkEnd w:id="9234"/>
    </w:p>
    <w:p>
      <w:pPr>
        <w:pStyle w:val="TablaTitulo"/>
      </w:pPr>
      <w:r>
        <w:rPr>
          <w:i/>
          <w:iCs/>
        </w:rPr>
        <w:t xml:space="preserve">Producción anual de documentos y era histórica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65"/>
        <w:gridCol w:w="1064"/>
        <w:gridCol w:w="998"/>
        <w:gridCol w:w="998"/>
        <w:gridCol w:w="665"/>
        <w:gridCol w:w="1064"/>
        <w:gridCol w:w="1197"/>
        <w:gridCol w:w="1264"/>
      </w:tblGrid>
      <w:tr>
        <w:trPr>
          <w:cantSplit/>
          <w:tblHeader/>
        </w:trPr>
        <w:tc>
          <w:tcPr>
            <w:shd w:val="clear" w:color="auto" w:fill="00B050"/>
          </w:tcPr>
          <w:p>
            <w:pPr>
              <w:pStyle w:val="Tabla8"/>
              <w:jc w:val="center"/>
            </w:pPr>
            <w:r>
              <w:rPr>
                <w:b/>
                <w:color w:val="FFFFFF"/>
              </w:rPr>
              <w:t xml:space="preserve">Año</w:t>
            </w:r>
          </w:p>
        </w:tc>
        <w:tc>
          <w:tcPr>
            <w:shd w:val="clear" w:color="auto" w:fill="00B050"/>
          </w:tcPr>
          <w:p>
            <w:pPr>
              <w:pStyle w:val="Tabla8"/>
              <w:jc w:val="center"/>
            </w:pPr>
            <w:r>
              <w:rPr>
                <w:b/>
                <w:color w:val="FFFFFF"/>
              </w:rPr>
              <w:t xml:space="preserve">Artículos</w:t>
            </w:r>
          </w:p>
        </w:tc>
        <w:tc>
          <w:tcPr>
            <w:shd w:val="clear" w:color="auto" w:fill="00B050"/>
          </w:tcPr>
          <w:p>
            <w:pPr>
              <w:pStyle w:val="Tabla8"/>
              <w:jc w:val="center"/>
            </w:pPr>
            <w:r>
              <w:rPr>
                <w:b/>
                <w:color w:val="FFFFFF"/>
              </w:rPr>
              <w:t xml:space="preserve">Patentes</w:t>
            </w:r>
          </w:p>
        </w:tc>
        <w:tc>
          <w:tcPr>
            <w:shd w:val="clear" w:color="auto" w:fill="00B050"/>
          </w:tcPr>
          <w:p>
            <w:pPr>
              <w:pStyle w:val="Tabla8"/>
              <w:jc w:val="center"/>
            </w:pPr>
            <w:r>
              <w:rPr>
                <w:b/>
                <w:color w:val="FFFFFF"/>
              </w:rPr>
              <w:t xml:space="preserve">Informes</w:t>
            </w:r>
          </w:p>
        </w:tc>
        <w:tc>
          <w:tcPr>
            <w:shd w:val="clear" w:color="auto" w:fill="00B050"/>
          </w:tcPr>
          <w:p>
            <w:pPr>
              <w:pStyle w:val="Tabla8"/>
              <w:jc w:val="center"/>
            </w:pPr>
            <w:r>
              <w:rPr>
                <w:b/>
                <w:color w:val="FFFFFF"/>
              </w:rPr>
              <w:t xml:space="preserve">Total</w:t>
            </w:r>
          </w:p>
        </w:tc>
        <w:tc>
          <w:tcPr>
            <w:shd w:val="clear" w:color="auto" w:fill="00B050"/>
          </w:tcPr>
          <w:p>
            <w:pPr>
              <w:pStyle w:val="Tabla8"/>
              <w:jc w:val="center"/>
            </w:pPr>
            <w:r>
              <w:rPr>
                <w:b/>
                <w:color w:val="FFFFFF"/>
              </w:rPr>
              <w:t xml:space="preserve">Acumulado</w:t>
            </w:r>
          </w:p>
        </w:tc>
        <w:tc>
          <w:tcPr>
            <w:shd w:val="clear" w:color="auto" w:fill="00B050"/>
          </w:tcPr>
          <w:p>
            <w:pPr>
              <w:pStyle w:val="Tabla8"/>
              <w:jc w:val="center"/>
            </w:pPr>
            <w:r>
              <w:rPr>
                <w:b/>
                <w:color w:val="FFFFFF"/>
              </w:rPr>
              <w:t xml:space="preserve">Porcentaje del corpus</w:t>
            </w:r>
          </w:p>
        </w:tc>
        <w:tc>
          <w:tcPr>
            <w:shd w:val="clear" w:color="auto" w:fill="00B050"/>
          </w:tcPr>
          <w:p>
            <w:pPr>
              <w:pStyle w:val="Tabla8"/>
              <w:jc w:val="center"/>
            </w:pPr>
            <w:r>
              <w:rPr>
                <w:b/>
                <w:color w:val="FFFFFF"/>
              </w:rPr>
              <w:t xml:space="preserve">Era</w:t>
            </w:r>
          </w:p>
        </w:tc>
      </w:tr>
      <w:tr>
        <w:trPr>
          <w:cantSplit/>
        </w:trPr>
        <w:tc>
          <w:tcPr/>
          <w:p>
            <w:pPr>
              <w:pStyle w:val="Tabla8"/>
              <w:jc w:val="left"/>
            </w:pPr>
            <w:r>
              <w:t xml:space="preserve">1995</w:t>
            </w:r>
          </w:p>
        </w:tc>
        <w:tc>
          <w:tcPr/>
          <w:p>
            <w:pPr>
              <w:pStyle w:val="Tabla8"/>
              <w:jc w:val="left"/>
            </w:pPr>
            <w:r>
              <w:t xml:space="preserve">0</w:t>
            </w:r>
          </w:p>
        </w:tc>
        <w:tc>
          <w:tcPr/>
          <w:p>
            <w:pPr>
              <w:pStyle w:val="Tabla8"/>
              <w:jc w:val="left"/>
            </w:pPr>
            <w:r>
              <w:t xml:space="preserve">1</w:t>
            </w:r>
          </w:p>
        </w:tc>
        <w:tc>
          <w:tcPr/>
          <w:p>
            <w:pPr>
              <w:pStyle w:val="Tabla8"/>
              <w:jc w:val="left"/>
            </w:pPr>
            <w:r>
              <w:t xml:space="preserve">0</w:t>
            </w:r>
          </w:p>
        </w:tc>
        <w:tc>
          <w:tcPr/>
          <w:p>
            <w:pPr>
              <w:pStyle w:val="Tabla8"/>
              <w:jc w:val="left"/>
            </w:pPr>
            <w:r>
              <w:t xml:space="preserve">1</w:t>
            </w:r>
          </w:p>
        </w:tc>
        <w:tc>
          <w:tcPr/>
          <w:p>
            <w:pPr>
              <w:pStyle w:val="Tabla8"/>
              <w:jc w:val="left"/>
            </w:pPr>
            <w:r>
              <w:t xml:space="preserve">1</w:t>
            </w:r>
          </w:p>
        </w:tc>
        <w:tc>
          <w:tcPr/>
          <w:p>
            <w:pPr>
              <w:pStyle w:val="Tabla8"/>
              <w:jc w:val="left"/>
            </w:pPr>
            <w:r>
              <w:t xml:space="preserve">2,4 %</w:t>
            </w:r>
          </w:p>
        </w:tc>
        <w:tc>
          <w:tcPr/>
          <w:p>
            <w:pPr>
              <w:pStyle w:val="Tabla8"/>
              <w:jc w:val="left"/>
            </w:pPr>
            <w:r>
              <w:t xml:space="preserve">Fundacional</w:t>
            </w:r>
          </w:p>
        </w:tc>
      </w:tr>
      <w:tr>
        <w:trPr>
          <w:cantSplit/>
        </w:trPr>
        <w:tc>
          <w:tcPr/>
          <w:p>
            <w:pPr>
              <w:pStyle w:val="Tabla8"/>
              <w:jc w:val="left"/>
            </w:pPr>
            <w:r>
              <w:t xml:space="preserve">2019</w:t>
            </w:r>
          </w:p>
        </w:tc>
        <w:tc>
          <w:tcPr/>
          <w:p>
            <w:pPr>
              <w:pStyle w:val="Tabla8"/>
              <w:jc w:val="left"/>
            </w:pPr>
            <w:r>
              <w:t xml:space="preserve">0</w:t>
            </w:r>
          </w:p>
        </w:tc>
        <w:tc>
          <w:tcPr/>
          <w:p>
            <w:pPr>
              <w:pStyle w:val="Tabla8"/>
              <w:jc w:val="left"/>
            </w:pPr>
            <w:r>
              <w:t xml:space="preserve">2</w:t>
            </w:r>
          </w:p>
        </w:tc>
        <w:tc>
          <w:tcPr/>
          <w:p>
            <w:pPr>
              <w:pStyle w:val="Tabla8"/>
              <w:jc w:val="left"/>
            </w:pPr>
            <w:r>
              <w:t xml:space="preserve">0</w:t>
            </w:r>
          </w:p>
        </w:tc>
        <w:tc>
          <w:tcPr/>
          <w:p>
            <w:pPr>
              <w:pStyle w:val="Tabla8"/>
              <w:jc w:val="left"/>
            </w:pPr>
            <w:r>
              <w:t xml:space="preserve">2</w:t>
            </w:r>
          </w:p>
        </w:tc>
        <w:tc>
          <w:tcPr/>
          <w:p>
            <w:pPr>
              <w:pStyle w:val="Tabla8"/>
              <w:jc w:val="left"/>
            </w:pPr>
            <w:r>
              <w:t xml:space="preserve">3</w:t>
            </w:r>
          </w:p>
        </w:tc>
        <w:tc>
          <w:tcPr/>
          <w:p>
            <w:pPr>
              <w:pStyle w:val="Tabla8"/>
              <w:jc w:val="left"/>
            </w:pPr>
            <w:r>
              <w:t xml:space="preserve">4,8 %</w:t>
            </w:r>
          </w:p>
        </w:tc>
        <w:tc>
          <w:tcPr/>
          <w:p>
            <w:pPr>
              <w:pStyle w:val="Tabla8"/>
              <w:jc w:val="left"/>
            </w:pPr>
            <w:r>
              <w:t xml:space="preserve">Fundacional</w:t>
            </w:r>
          </w:p>
        </w:tc>
      </w:tr>
      <w:tr>
        <w:trPr>
          <w:cantSplit/>
        </w:trPr>
        <w:tc>
          <w:tcPr/>
          <w:p>
            <w:pPr>
              <w:pStyle w:val="Tabla8"/>
              <w:jc w:val="left"/>
            </w:pPr>
            <w:r>
              <w:t xml:space="preserve">2020</w:t>
            </w:r>
          </w:p>
        </w:tc>
        <w:tc>
          <w:tcPr/>
          <w:p>
            <w:pPr>
              <w:pStyle w:val="Tabla8"/>
              <w:jc w:val="left"/>
            </w:pPr>
            <w:r>
              <w:t xml:space="preserve">0</w:t>
            </w:r>
          </w:p>
        </w:tc>
        <w:tc>
          <w:tcPr/>
          <w:p>
            <w:pPr>
              <w:pStyle w:val="Tabla8"/>
              <w:jc w:val="left"/>
            </w:pPr>
            <w:r>
              <w:t xml:space="preserve">1</w:t>
            </w:r>
          </w:p>
        </w:tc>
        <w:tc>
          <w:tcPr/>
          <w:p>
            <w:pPr>
              <w:pStyle w:val="Tabla8"/>
              <w:jc w:val="left"/>
            </w:pPr>
            <w:r>
              <w:t xml:space="preserve">0</w:t>
            </w:r>
          </w:p>
        </w:tc>
        <w:tc>
          <w:tcPr/>
          <w:p>
            <w:pPr>
              <w:pStyle w:val="Tabla8"/>
              <w:jc w:val="left"/>
            </w:pPr>
            <w:r>
              <w:t xml:space="preserve">1</w:t>
            </w:r>
          </w:p>
        </w:tc>
        <w:tc>
          <w:tcPr/>
          <w:p>
            <w:pPr>
              <w:pStyle w:val="Tabla8"/>
              <w:jc w:val="left"/>
            </w:pPr>
            <w:r>
              <w:t xml:space="preserve">4</w:t>
            </w:r>
          </w:p>
        </w:tc>
        <w:tc>
          <w:tcPr/>
          <w:p>
            <w:pPr>
              <w:pStyle w:val="Tabla8"/>
              <w:jc w:val="left"/>
            </w:pPr>
            <w:r>
              <w:t xml:space="preserve">2,4 %</w:t>
            </w:r>
          </w:p>
        </w:tc>
        <w:tc>
          <w:tcPr/>
          <w:p>
            <w:pPr>
              <w:pStyle w:val="Tabla8"/>
              <w:jc w:val="left"/>
            </w:pPr>
            <w:r>
              <w:t xml:space="preserve">Fundacional</w:t>
            </w:r>
          </w:p>
        </w:tc>
      </w:tr>
      <w:tr>
        <w:trPr>
          <w:cantSplit/>
        </w:trPr>
        <w:tc>
          <w:tcPr/>
          <w:p>
            <w:pPr>
              <w:pStyle w:val="Tabla8"/>
              <w:jc w:val="left"/>
            </w:pPr>
            <w:r>
              <w:t xml:space="preserve">2021</w:t>
            </w:r>
          </w:p>
        </w:tc>
        <w:tc>
          <w:tcPr/>
          <w:p>
            <w:pPr>
              <w:pStyle w:val="Tabla8"/>
              <w:jc w:val="left"/>
            </w:pPr>
            <w:r>
              <w:t xml:space="preserve">2</w:t>
            </w:r>
          </w:p>
        </w:tc>
        <w:tc>
          <w:tcPr/>
          <w:p>
            <w:pPr>
              <w:pStyle w:val="Tabla8"/>
              <w:jc w:val="left"/>
            </w:pPr>
            <w:r>
              <w:t xml:space="preserve">1</w:t>
            </w:r>
          </w:p>
        </w:tc>
        <w:tc>
          <w:tcPr/>
          <w:p>
            <w:pPr>
              <w:pStyle w:val="Tabla8"/>
              <w:jc w:val="left"/>
            </w:pPr>
            <w:r>
              <w:t xml:space="preserve">0</w:t>
            </w:r>
          </w:p>
        </w:tc>
        <w:tc>
          <w:tcPr/>
          <w:p>
            <w:pPr>
              <w:pStyle w:val="Tabla8"/>
              <w:jc w:val="left"/>
            </w:pPr>
            <w:r>
              <w:t xml:space="preserve">3</w:t>
            </w:r>
          </w:p>
        </w:tc>
        <w:tc>
          <w:tcPr/>
          <w:p>
            <w:pPr>
              <w:pStyle w:val="Tabla8"/>
              <w:jc w:val="left"/>
            </w:pPr>
            <w:r>
              <w:t xml:space="preserve">7</w:t>
            </w:r>
          </w:p>
        </w:tc>
        <w:tc>
          <w:tcPr/>
          <w:p>
            <w:pPr>
              <w:pStyle w:val="Tabla8"/>
              <w:jc w:val="left"/>
            </w:pPr>
            <w:r>
              <w:t xml:space="preserve">7,1 %</w:t>
            </w:r>
          </w:p>
        </w:tc>
        <w:tc>
          <w:tcPr/>
          <w:p>
            <w:pPr>
              <w:pStyle w:val="Tabla8"/>
              <w:jc w:val="left"/>
            </w:pPr>
            <w:r>
              <w:t xml:space="preserve">Fundacional</w:t>
            </w:r>
          </w:p>
        </w:tc>
      </w:tr>
      <w:tr>
        <w:trPr>
          <w:cantSplit/>
        </w:trPr>
        <w:tc>
          <w:tcPr/>
          <w:p>
            <w:pPr>
              <w:pStyle w:val="Tabla8"/>
              <w:jc w:val="left"/>
            </w:pPr>
            <w:r>
              <w:t xml:space="preserve">2022</w:t>
            </w:r>
          </w:p>
        </w:tc>
        <w:tc>
          <w:tcPr/>
          <w:p>
            <w:pPr>
              <w:pStyle w:val="Tabla8"/>
              <w:jc w:val="left"/>
            </w:pPr>
            <w:r>
              <w:t xml:space="preserve">1</w:t>
            </w:r>
          </w:p>
        </w:tc>
        <w:tc>
          <w:tcPr/>
          <w:p>
            <w:pPr>
              <w:pStyle w:val="Tabla8"/>
              <w:jc w:val="left"/>
            </w:pPr>
            <w:r>
              <w:t xml:space="preserve">1</w:t>
            </w:r>
          </w:p>
        </w:tc>
        <w:tc>
          <w:tcPr/>
          <w:p>
            <w:pPr>
              <w:pStyle w:val="Tabla8"/>
              <w:jc w:val="left"/>
            </w:pPr>
            <w:r>
              <w:t xml:space="preserve">0</w:t>
            </w:r>
          </w:p>
        </w:tc>
        <w:tc>
          <w:tcPr/>
          <w:p>
            <w:pPr>
              <w:pStyle w:val="Tabla8"/>
              <w:jc w:val="left"/>
            </w:pPr>
            <w:r>
              <w:t xml:space="preserve">2</w:t>
            </w:r>
          </w:p>
        </w:tc>
        <w:tc>
          <w:tcPr/>
          <w:p>
            <w:pPr>
              <w:pStyle w:val="Tabla8"/>
              <w:jc w:val="left"/>
            </w:pPr>
            <w:r>
              <w:t xml:space="preserve">9</w:t>
            </w:r>
          </w:p>
        </w:tc>
        <w:tc>
          <w:tcPr/>
          <w:p>
            <w:pPr>
              <w:pStyle w:val="Tabla8"/>
              <w:jc w:val="left"/>
            </w:pPr>
            <w:r>
              <w:t xml:space="preserve">4,8 %</w:t>
            </w:r>
          </w:p>
        </w:tc>
        <w:tc>
          <w:tcPr/>
          <w:p>
            <w:pPr>
              <w:pStyle w:val="Tabla8"/>
              <w:jc w:val="left"/>
            </w:pPr>
            <w:r>
              <w:t xml:space="preserve">Fundacional</w:t>
            </w:r>
          </w:p>
        </w:tc>
      </w:tr>
      <w:tr>
        <w:trPr>
          <w:cantSplit/>
        </w:trPr>
        <w:tc>
          <w:tcPr/>
          <w:p>
            <w:pPr>
              <w:pStyle w:val="Tabla8"/>
              <w:jc w:val="left"/>
            </w:pPr>
            <w:r>
              <w:t xml:space="preserve">2023</w:t>
            </w:r>
          </w:p>
        </w:tc>
        <w:tc>
          <w:tcPr/>
          <w:p>
            <w:pPr>
              <w:pStyle w:val="Tabla8"/>
              <w:jc w:val="left"/>
            </w:pPr>
            <w:r>
              <w:t xml:space="preserve">1</w:t>
            </w:r>
          </w:p>
        </w:tc>
        <w:tc>
          <w:tcPr/>
          <w:p>
            <w:pPr>
              <w:pStyle w:val="Tabla8"/>
              <w:jc w:val="left"/>
            </w:pPr>
            <w:r>
              <w:t xml:space="preserve">1</w:t>
            </w:r>
          </w:p>
        </w:tc>
        <w:tc>
          <w:tcPr/>
          <w:p>
            <w:pPr>
              <w:pStyle w:val="Tabla8"/>
              <w:jc w:val="left"/>
            </w:pPr>
            <w:r>
              <w:t xml:space="preserve">0</w:t>
            </w:r>
          </w:p>
        </w:tc>
        <w:tc>
          <w:tcPr/>
          <w:p>
            <w:pPr>
              <w:pStyle w:val="Tabla8"/>
              <w:jc w:val="left"/>
            </w:pPr>
            <w:r>
              <w:t xml:space="preserve">2</w:t>
            </w:r>
          </w:p>
        </w:tc>
        <w:tc>
          <w:tcPr/>
          <w:p>
            <w:pPr>
              <w:pStyle w:val="Tabla8"/>
              <w:jc w:val="left"/>
            </w:pPr>
            <w:r>
              <w:t xml:space="preserve">11</w:t>
            </w:r>
          </w:p>
        </w:tc>
        <w:tc>
          <w:tcPr/>
          <w:p>
            <w:pPr>
              <w:pStyle w:val="Tabla8"/>
              <w:jc w:val="left"/>
            </w:pPr>
            <w:r>
              <w:t xml:space="preserve">4,8 %</w:t>
            </w:r>
          </w:p>
        </w:tc>
        <w:tc>
          <w:tcPr/>
          <w:p>
            <w:pPr>
              <w:pStyle w:val="Tabla8"/>
              <w:jc w:val="left"/>
            </w:pPr>
            <w:r>
              <w:t xml:space="preserve">Fundacional</w:t>
            </w:r>
          </w:p>
        </w:tc>
      </w:tr>
      <w:tr>
        <w:trPr>
          <w:cantSplit/>
        </w:trPr>
        <w:tc>
          <w:tcPr/>
          <w:p>
            <w:pPr>
              <w:pStyle w:val="Tabla8"/>
              <w:jc w:val="left"/>
            </w:pPr>
            <w:r>
              <w:t xml:space="preserve">2024</w:t>
            </w:r>
          </w:p>
        </w:tc>
        <w:tc>
          <w:tcPr/>
          <w:p>
            <w:pPr>
              <w:pStyle w:val="Tabla8"/>
              <w:jc w:val="left"/>
            </w:pPr>
            <w:r>
              <w:t xml:space="preserve">2</w:t>
            </w:r>
          </w:p>
        </w:tc>
        <w:tc>
          <w:tcPr/>
          <w:p>
            <w:pPr>
              <w:pStyle w:val="Tabla8"/>
              <w:jc w:val="left"/>
            </w:pPr>
            <w:r>
              <w:t xml:space="preserve">3</w:t>
            </w:r>
          </w:p>
        </w:tc>
        <w:tc>
          <w:tcPr/>
          <w:p>
            <w:pPr>
              <w:pStyle w:val="Tabla8"/>
              <w:jc w:val="left"/>
            </w:pPr>
            <w:r>
              <w:t xml:space="preserve">0</w:t>
            </w:r>
          </w:p>
        </w:tc>
        <w:tc>
          <w:tcPr/>
          <w:p>
            <w:pPr>
              <w:pStyle w:val="Tabla8"/>
              <w:jc w:val="left"/>
            </w:pPr>
            <w:r>
              <w:t xml:space="preserve">5</w:t>
            </w:r>
          </w:p>
        </w:tc>
        <w:tc>
          <w:tcPr/>
          <w:p>
            <w:pPr>
              <w:pStyle w:val="Tabla8"/>
              <w:jc w:val="left"/>
            </w:pPr>
            <w:r>
              <w:t xml:space="preserve">16</w:t>
            </w:r>
          </w:p>
        </w:tc>
        <w:tc>
          <w:tcPr/>
          <w:p>
            <w:pPr>
              <w:pStyle w:val="Tabla8"/>
              <w:jc w:val="left"/>
            </w:pPr>
            <w:r>
              <w:t xml:space="preserve">11,9 %</w:t>
            </w:r>
          </w:p>
        </w:tc>
        <w:tc>
          <w:tcPr/>
          <w:p>
            <w:pPr>
              <w:pStyle w:val="Tabla8"/>
              <w:jc w:val="left"/>
            </w:pPr>
            <w:r>
              <w:t xml:space="preserve">Crecimiento</w:t>
            </w:r>
          </w:p>
        </w:tc>
      </w:tr>
      <w:tr>
        <w:trPr>
          <w:cantSplit/>
        </w:trPr>
        <w:tc>
          <w:tcPr/>
          <w:p>
            <w:pPr>
              <w:pStyle w:val="Tabla8"/>
              <w:jc w:val="left"/>
            </w:pPr>
            <w:r>
              <w:t xml:space="preserve">2025</w:t>
            </w:r>
          </w:p>
        </w:tc>
        <w:tc>
          <w:tcPr/>
          <w:p>
            <w:pPr>
              <w:pStyle w:val="Tabla8"/>
              <w:jc w:val="left"/>
            </w:pPr>
            <w:r>
              <w:t xml:space="preserve">6</w:t>
            </w:r>
          </w:p>
        </w:tc>
        <w:tc>
          <w:tcPr/>
          <w:p>
            <w:pPr>
              <w:pStyle w:val="Tabla8"/>
              <w:jc w:val="left"/>
            </w:pPr>
            <w:r>
              <w:t xml:space="preserve">3</w:t>
            </w:r>
          </w:p>
        </w:tc>
        <w:tc>
          <w:tcPr/>
          <w:p>
            <w:pPr>
              <w:pStyle w:val="Tabla8"/>
              <w:jc w:val="left"/>
            </w:pPr>
            <w:r>
              <w:t xml:space="preserve">0</w:t>
            </w:r>
          </w:p>
        </w:tc>
        <w:tc>
          <w:tcPr/>
          <w:p>
            <w:pPr>
              <w:pStyle w:val="Tabla8"/>
              <w:jc w:val="left"/>
            </w:pPr>
            <w:r>
              <w:t xml:space="preserve">9</w:t>
            </w:r>
          </w:p>
        </w:tc>
        <w:tc>
          <w:tcPr/>
          <w:p>
            <w:pPr>
              <w:pStyle w:val="Tabla8"/>
              <w:jc w:val="left"/>
            </w:pPr>
            <w:r>
              <w:t xml:space="preserve">25</w:t>
            </w:r>
          </w:p>
        </w:tc>
        <w:tc>
          <w:tcPr/>
          <w:p>
            <w:pPr>
              <w:pStyle w:val="Tabla8"/>
              <w:jc w:val="left"/>
            </w:pPr>
            <w:r>
              <w:t xml:space="preserve">21,4 %</w:t>
            </w:r>
          </w:p>
        </w:tc>
        <w:tc>
          <w:tcPr/>
          <w:p>
            <w:pPr>
              <w:pStyle w:val="Tabla8"/>
              <w:jc w:val="left"/>
            </w:pPr>
            <w:r>
              <w:t xml:space="preserve">Crecimiento</w:t>
            </w:r>
          </w:p>
        </w:tc>
      </w:tr>
      <w:tr>
        <w:trPr>
          <w:cantSplit/>
        </w:trPr>
        <w:tc>
          <w:tcPr/>
          <w:p>
            <w:pPr>
              <w:pStyle w:val="Tabla8"/>
              <w:jc w:val="left"/>
            </w:pPr>
            <w:r>
              <w:t xml:space="preserve">2026</w:t>
            </w:r>
          </w:p>
        </w:tc>
        <w:tc>
          <w:tcPr/>
          <w:p>
            <w:pPr>
              <w:pStyle w:val="Tabla8"/>
              <w:jc w:val="left"/>
            </w:pPr>
            <w:r>
              <w:t xml:space="preserve">14</w:t>
            </w:r>
          </w:p>
        </w:tc>
        <w:tc>
          <w:tcPr/>
          <w:p>
            <w:pPr>
              <w:pStyle w:val="Tabla8"/>
              <w:jc w:val="left"/>
            </w:pPr>
            <w:r>
              <w:t xml:space="preserve">2</w:t>
            </w:r>
          </w:p>
        </w:tc>
        <w:tc>
          <w:tcPr/>
          <w:p>
            <w:pPr>
              <w:pStyle w:val="Tabla8"/>
              <w:jc w:val="left"/>
            </w:pPr>
            <w:r>
              <w:t xml:space="preserve">1</w:t>
            </w:r>
          </w:p>
        </w:tc>
        <w:tc>
          <w:tcPr/>
          <w:p>
            <w:pPr>
              <w:pStyle w:val="Tabla8"/>
              <w:jc w:val="left"/>
            </w:pPr>
            <w:r>
              <w:t xml:space="preserve">17</w:t>
            </w:r>
          </w:p>
        </w:tc>
        <w:tc>
          <w:tcPr/>
          <w:p>
            <w:pPr>
              <w:pStyle w:val="Tabla8"/>
              <w:jc w:val="left"/>
            </w:pPr>
            <w:r>
              <w:t xml:space="preserve">42</w:t>
            </w:r>
          </w:p>
        </w:tc>
        <w:tc>
          <w:tcPr/>
          <w:p>
            <w:pPr>
              <w:pStyle w:val="Tabla8"/>
              <w:jc w:val="left"/>
            </w:pPr>
            <w:r>
              <w:t xml:space="preserve">40,5 %</w:t>
            </w:r>
          </w:p>
        </w:tc>
        <w:tc>
          <w:tcPr/>
          <w:p>
            <w:pPr>
              <w:pStyle w:val="Tabla8"/>
              <w:jc w:val="left"/>
            </w:pPr>
            <w:r>
              <w:t xml:space="preserve">Aceleración</w:t>
            </w:r>
          </w:p>
        </w:tc>
      </w:tr>
      <w:tr>
        <w:trPr>
          <w:cantSplit/>
        </w:trPr>
        <w:tc>
          <w:tcPr/>
          <w:p>
            <w:pPr>
              <w:pStyle w:val="Tabla8"/>
              <w:jc w:val="left"/>
            </w:pPr>
            <w:r>
              <w:t xml:space="preserve">Total</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42</w:t>
            </w:r>
          </w:p>
        </w:tc>
        <w:tc>
          <w:tcPr/>
          <w:p>
            <w:pPr>
              <w:pStyle w:val="Tabla8"/>
              <w:jc w:val="left"/>
            </w:pPr>
            <w:r>
              <w:t xml:space="preserve">42</w:t>
            </w:r>
          </w:p>
        </w:tc>
        <w:tc>
          <w:tcPr/>
          <w:p>
            <w:pPr>
              <w:pStyle w:val="Tabla8"/>
              <w:jc w:val="left"/>
            </w:pPr>
            <w:r>
              <w:t xml:space="preserve">100,0 %</w:t>
            </w:r>
          </w:p>
        </w:tc>
        <w:tc>
          <w:tcPr/>
          <w:p>
            <w:pPr>
              <w:pStyle w:val="Tabla8"/>
              <w:jc w:val="left"/>
            </w:pPr>
            <w:r>
              <w:t xml:space="preserve">Tres eras</w:t>
            </w:r>
          </w:p>
        </w:tc>
      </w:tr>
    </w:tbl>
    <w:p>
      <w:pPr>
        <w:pStyle w:val="TablaNota"/>
      </w:pPr>
      <w:r>
        <w:rPr>
          <w:i/>
          <w:iCs/>
        </w:rPr>
        <w:t xml:space="preserve">Nota.</w:t>
      </w:r>
      <w:r>
        <w:t xml:space="preserve"> </w:t>
      </w:r>
      <w:r>
        <w:t xml:space="preserve">Elaboración propia con datos de F-INF §4.3 (p. 34) y §13.2 (p. 212). Años sin documentos entre 1996 y 2018 omitidos. Eras por segmentación óptima en tres tramos contiguos de la serie 1995 a 2026 (mínima suma de cuadrados). Naturaleza: CALCULADO.</w:t>
      </w:r>
    </w:p>
    <w:p>
      <w:pPr>
        <w:pStyle w:val="BodyText"/>
      </w:pPr>
      <w:r>
        <w:t xml:space="preserve">La ventana principal es 2019 a 2026, la única serie continua sin años vacíos, y da un CAGR de 35,8 %. Las ventanas de 2021 a 2026 y de 2024 a 2026 dan 41,5 % y 84,4 %. La dispersión de los tres valores muestra que el CAGR describe la ventana elegida y no un ritmo estable. La segmentación óptima identifica tres eras. La era fundacional va de 1995 a 2023 y tiene 11 documentos. La de crecimiento va de 2024 a 2025 y tiene 14. La de aceleración es 2026 y tiene 17. El nombre madurez no se usa para la última era, porque el informe muestra madurez baja y sin tendencia sostenida (F-INF §4.3, p. 34).</w:t>
      </w:r>
    </w:p>
    <w:p>
      <w:pPr>
        <w:pStyle w:val="FiguraRotulo"/>
      </w:pPr>
      <w:bookmarkStart w:id="9491" w:name="rot_Figura_2_2"/>
      <w:r>
        <w:rPr>
          <w:b/>
          <w:bCs/>
        </w:rPr>
        <w:t xml:space="preserve">Figura 2.2</w:t>
      </w:r>
      <w:bookmarkEnd w:id="9491"/>
    </w:p>
    <w:p>
      <w:pPr>
        <w:pStyle w:val="FiguraTitulo"/>
      </w:pPr>
      <w:r>
        <w:rPr>
          <w:i/>
          <w:iCs/>
        </w:rPr>
        <w:t xml:space="preserve">Producción temporal de documentos con acumulado y eras históricas</w:t>
      </w:r>
    </w:p>
    <w:p>
      <w:pPr>
        <w:pStyle w:val="BodyText"/>
      </w:pPr>
      <w:r>
        <w:drawing>
          <wp:inline>
            <wp:extent cx="5579999" cy="4155937"/>
            <wp:effectExtent b="0" l="0" r="0" t="0"/>
            <wp:docPr descr="" title="" id="297" name="Picture"/>
            <a:graphic>
              <a:graphicData uri="http://schemas.openxmlformats.org/drawingml/2006/picture">
                <pic:pic>
                  <pic:nvPicPr>
                    <pic:cNvPr descr="/tmp/claude-0/-home-user-docs/ddf38714-2a7e-502b-92b4-1008e2832422/scratchpad/proy/figs/out/c2_produccion.png" id="298" name="Picture"/>
                    <pic:cNvPicPr>
                      <a:picLocks noChangeArrowheads="1" noChangeAspect="1"/>
                    </pic:cNvPicPr>
                  </pic:nvPicPr>
                  <pic:blipFill>
                    <a:blip r:embed="rId296"/>
                    <a:stretch>
                      <a:fillRect/>
                    </a:stretch>
                  </pic:blipFill>
                  <pic:spPr bwMode="auto">
                    <a:xfrm>
                      <a:off x="0" y="0"/>
                      <a:ext cx="5579999" cy="41559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§4.3 (p. 34) y §13.2. Barras apiladas por tipo documental; línea discontinua con el acumulado; eras por segmentación óptima en tres tramos (SSE de 26,8). Corpus de 42 documentos; año de corte 2026; semilla 42.</w:t>
      </w:r>
    </w:p>
    <w:p>
      <w:pPr>
        <w:pStyle w:val="BodyText"/>
      </w:pPr>
      <w:r>
        <w:t xml:space="preserve">Dos posiciones explican el aumento. La primera sostiene que un campo joven madurará con el tiempo. La segunda sostiene que la norma de cada género documental no exige verificación externa. El informe contrasta ambas con tres hipótesis. El año no se asocia con la robustez (ρ de 0,26; p de 0,11). Su coeficiente es de menos 0,03 puntos por año (p de 0,49). La evidencia favorece la segunda posición (F-INF §10.2, p. 129).</w:t>
      </w:r>
    </w:p>
    <w:p>
      <w:pPr>
        <w:pStyle w:val="BodyText"/>
      </w:pPr>
      <w:r>
        <w:t xml:space="preserve">Los puntos de inflexión coinciden con hechos de contexto que el informe documenta. Las guías de la Organización Mundial de la Salud (OMS) de 2021 redefinieron los umbrales de referencia (de Moura et al., 2025; OMS, 2021). El Sistema de Alerta Temprana de Medellín y el Valle de Aburrá (SIATA) integra la red de calidad del aire de Medellín. En 2023 el Instituto de Hidrología, Meteorología y Estudios Ambientales (IDEAM) acreditó esa red. Ese año el informe nacional registró 23 sistemas y 209 estaciones. Ambos hechos marcan el paso de redes por contrato a un sistema acreditado (Ruiz-Carrascal et al., 2026; Murad Pedraza et al., 2026). El aumento de 2026 combina revisiones, agendas y propuestas nacionales. Esa concentración en el último año obliga a tratar el corpus como un retrato reciente. El proyecto no extrapola la producción. Actualizará la vigilancia cada seis meses y recalculará la ventana (PROPUESTO).</w:t>
      </w:r>
    </w:p>
    <w:bookmarkEnd w:id="299"/>
    <w:bookmarkStart w:id="303" w:name="_Toc00900125"/>
    <w:p>
      <w:pPr>
        <w:pStyle w:val="Heading3"/>
      </w:pPr>
      <w:r>
        <w:t xml:space="preserve">2.2.3 Autores y productividad: ley de Lotka</w:t>
      </w:r>
    </w:p>
    <w:p>
      <w:pPr>
        <w:pStyle w:val="FirstParagraph"/>
      </w:pPr>
      <w:r>
        <w:t xml:space="preserve">La productividad de autores cuenta cuántos documentos firma cada persona. El corpus tiene 213 autores únicos y 5,29 autores por documento (F-INF §7.6, p. 93). Solo nueve autores figuran en más de un documento. Ninguno figura en más de dos.</w:t>
      </w:r>
    </w:p>
    <w:p>
      <w:pPr>
        <w:pStyle w:val="BodyText"/>
      </w:pPr>
      <w:r>
        <w:t xml:space="preserve">La ley de Lotka (1926) postula que el número de autores con x documentos decrece como x elevado a menos α, con α cercano a 2. Un α menor que 2 indica un campo concentrado en pocos autores prolíficos. Un α mayor que 2 indica dispersión. El ajuste se hace sobre la distribución de autores por número de documentos. La Tabla 2.5 lista los nueve autores con más de un documento. Los autores más citados no se identifican, porque el índice h y las citas no se consultaron (VACIO).</w:t>
      </w:r>
    </w:p>
    <w:p>
      <w:pPr>
        <w:pStyle w:val="TablaRotulo"/>
      </w:pPr>
      <w:bookmarkStart w:id="9235" w:name="rot_Tabla_2_5"/>
      <w:r>
        <w:rPr>
          <w:b/>
          <w:bCs/>
        </w:rPr>
        <w:t xml:space="preserve">Tabla 2.5</w:t>
      </w:r>
      <w:bookmarkEnd w:id="9235"/>
    </w:p>
    <w:p>
      <w:pPr>
        <w:pStyle w:val="TablaTitulo"/>
      </w:pPr>
      <w:r>
        <w:rPr>
          <w:i/>
          <w:iCs/>
        </w:rPr>
        <w:t xml:space="preserve">Autores con más de un documento: productividad, era y vínculo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64"/>
        <w:gridCol w:w="1264"/>
        <w:gridCol w:w="1730"/>
        <w:gridCol w:w="1397"/>
        <w:gridCol w:w="1131"/>
        <w:gridCol w:w="931"/>
      </w:tblGrid>
      <w:tr>
        <w:trPr>
          <w:cantSplit/>
          <w:tblHeader/>
        </w:trPr>
        <w:tc>
          <w:tcPr>
            <w:shd w:val="clear" w:color="auto" w:fill="00B050"/>
          </w:tcPr>
          <w:p>
            <w:pPr>
              <w:pStyle w:val="Tabla9"/>
              <w:jc w:val="center"/>
            </w:pPr>
            <w:r>
              <w:rPr>
                <w:b/>
                <w:color w:val="FFFFFF"/>
              </w:rPr>
              <w:t xml:space="preserve">Autor</w:t>
            </w:r>
          </w:p>
        </w:tc>
        <w:tc>
          <w:tcPr>
            <w:shd w:val="clear" w:color="auto" w:fill="00B050"/>
          </w:tcPr>
          <w:p>
            <w:pPr>
              <w:pStyle w:val="Tabla9"/>
              <w:jc w:val="center"/>
            </w:pPr>
            <w:r>
              <w:rPr>
                <w:b/>
                <w:color w:val="FFFFFF"/>
              </w:rPr>
              <w:t xml:space="preserve">Documentos en el corpus</w:t>
            </w:r>
          </w:p>
        </w:tc>
        <w:tc>
          <w:tcPr>
            <w:shd w:val="clear" w:color="auto" w:fill="00B050"/>
          </w:tcPr>
          <w:p>
            <w:pPr>
              <w:pStyle w:val="Tabla9"/>
              <w:jc w:val="center"/>
            </w:pPr>
            <w:r>
              <w:rPr>
                <w:b/>
                <w:color w:val="FFFFFF"/>
              </w:rPr>
              <w:t xml:space="preserve">Documentos</w:t>
            </w:r>
          </w:p>
        </w:tc>
        <w:tc>
          <w:tcPr>
            <w:shd w:val="clear" w:color="auto" w:fill="00B050"/>
          </w:tcPr>
          <w:p>
            <w:pPr>
              <w:pStyle w:val="Tabla9"/>
              <w:jc w:val="center"/>
            </w:pPr>
            <w:r>
              <w:rPr>
                <w:b/>
                <w:color w:val="FFFFFF"/>
              </w:rPr>
              <w:t xml:space="preserve">Eras</w:t>
            </w:r>
          </w:p>
        </w:tc>
        <w:tc>
          <w:tcPr>
            <w:shd w:val="clear" w:color="auto" w:fill="00B050"/>
          </w:tcPr>
          <w:p>
            <w:pPr>
              <w:pStyle w:val="Tabla9"/>
              <w:jc w:val="center"/>
            </w:pPr>
            <w:r>
              <w:rPr>
                <w:b/>
                <w:color w:val="FFFFFF"/>
              </w:rPr>
              <w:t xml:space="preserve">Vínculo declarado en el informe</w:t>
            </w:r>
          </w:p>
        </w:tc>
        <w:tc>
          <w:tcPr>
            <w:shd w:val="clear" w:color="auto" w:fill="00B050"/>
          </w:tcPr>
          <w:p>
            <w:pPr>
              <w:pStyle w:val="Tabla9"/>
              <w:jc w:val="center"/>
            </w:pPr>
            <w:r>
              <w:rPr>
                <w:b/>
                <w:color w:val="FFFFFF"/>
              </w:rPr>
              <w:t xml:space="preserve">h-index y citas</w:t>
            </w:r>
          </w:p>
        </w:tc>
      </w:tr>
      <w:tr>
        <w:trPr>
          <w:cantSplit/>
        </w:trPr>
        <w:tc>
          <w:tcPr/>
          <w:p>
            <w:pPr>
              <w:pStyle w:val="Tabla9"/>
              <w:jc w:val="left"/>
            </w:pPr>
            <w:r>
              <w:t xml:space="preserve">Chiaramonte, G. J.</w:t>
            </w:r>
          </w:p>
        </w:tc>
        <w:tc>
          <w:tcPr/>
          <w:p>
            <w:pPr>
              <w:pStyle w:val="Tabla9"/>
              <w:jc w:val="left"/>
            </w:pPr>
            <w:r>
              <w:t xml:space="preserve">2</w:t>
            </w:r>
          </w:p>
        </w:tc>
        <w:tc>
          <w:tcPr/>
          <w:p>
            <w:pPr>
              <w:pStyle w:val="Tabla9"/>
              <w:jc w:val="left"/>
            </w:pPr>
            <w:r>
              <w:t xml:space="preserve">Abernathy et al. (2019); Hurst et al. (2024)</w:t>
            </w:r>
          </w:p>
        </w:tc>
        <w:tc>
          <w:tcPr/>
          <w:p>
            <w:pPr>
              <w:pStyle w:val="Tabla9"/>
              <w:jc w:val="left"/>
            </w:pPr>
            <w:r>
              <w:t xml:space="preserve">Fundacional y Crecimiento</w:t>
            </w:r>
          </w:p>
        </w:tc>
        <w:tc>
          <w:tcPr/>
          <w:p>
            <w:pPr>
              <w:pStyle w:val="Tabla9"/>
              <w:jc w:val="left"/>
            </w:pPr>
            <w:r>
              <w:t xml:space="preserve">General Electric</w:t>
            </w:r>
          </w:p>
        </w:tc>
        <w:tc>
          <w:tcPr/>
          <w:p>
            <w:pPr>
              <w:pStyle w:val="Tabla9"/>
              <w:jc w:val="left"/>
            </w:pPr>
            <w:r>
              <w:t xml:space="preserve">VACIO</w:t>
            </w:r>
          </w:p>
        </w:tc>
      </w:tr>
      <w:tr>
        <w:trPr>
          <w:cantSplit/>
        </w:trPr>
        <w:tc>
          <w:tcPr/>
          <w:p>
            <w:pPr>
              <w:pStyle w:val="Tabla9"/>
              <w:jc w:val="left"/>
            </w:pPr>
            <w:r>
              <w:t xml:space="preserve">Horn, D.</w:t>
            </w:r>
          </w:p>
        </w:tc>
        <w:tc>
          <w:tcPr/>
          <w:p>
            <w:pPr>
              <w:pStyle w:val="Tabla9"/>
              <w:jc w:val="left"/>
            </w:pPr>
            <w:r>
              <w:t xml:space="preserve">2</w:t>
            </w:r>
          </w:p>
        </w:tc>
        <w:tc>
          <w:tcPr/>
          <w:p>
            <w:pPr>
              <w:pStyle w:val="Tabla9"/>
              <w:jc w:val="left"/>
            </w:pPr>
            <w:r>
              <w:t xml:space="preserve">Abernathy et al. (2019); Hurst et al. (2024)</w:t>
            </w:r>
          </w:p>
        </w:tc>
        <w:tc>
          <w:tcPr/>
          <w:p>
            <w:pPr>
              <w:pStyle w:val="Tabla9"/>
              <w:jc w:val="left"/>
            </w:pPr>
            <w:r>
              <w:t xml:space="preserve">Fundacional y Crecimiento</w:t>
            </w:r>
          </w:p>
        </w:tc>
        <w:tc>
          <w:tcPr/>
          <w:p>
            <w:pPr>
              <w:pStyle w:val="Tabla9"/>
              <w:jc w:val="left"/>
            </w:pPr>
            <w:r>
              <w:t xml:space="preserve">General Electric</w:t>
            </w:r>
          </w:p>
        </w:tc>
        <w:tc>
          <w:tcPr/>
          <w:p>
            <w:pPr>
              <w:pStyle w:val="Tabla9"/>
              <w:jc w:val="left"/>
            </w:pPr>
            <w:r>
              <w:t xml:space="preserve">VACIO</w:t>
            </w:r>
          </w:p>
        </w:tc>
      </w:tr>
      <w:tr>
        <w:trPr>
          <w:cantSplit/>
        </w:trPr>
        <w:tc>
          <w:tcPr/>
          <w:p>
            <w:pPr>
              <w:pStyle w:val="Tabla9"/>
              <w:jc w:val="left"/>
            </w:pPr>
            <w:r>
              <w:t xml:space="preserve">Levin, S. R.</w:t>
            </w:r>
          </w:p>
        </w:tc>
        <w:tc>
          <w:tcPr/>
          <w:p>
            <w:pPr>
              <w:pStyle w:val="Tabla9"/>
              <w:jc w:val="left"/>
            </w:pPr>
            <w:r>
              <w:t xml:space="preserve">2</w:t>
            </w:r>
          </w:p>
        </w:tc>
        <w:tc>
          <w:tcPr/>
          <w:p>
            <w:pPr>
              <w:pStyle w:val="Tabla9"/>
              <w:jc w:val="left"/>
            </w:pPr>
            <w:r>
              <w:t xml:space="preserve">Abernathy et al. (2019); Hurst et al. (2024)</w:t>
            </w:r>
          </w:p>
        </w:tc>
        <w:tc>
          <w:tcPr/>
          <w:p>
            <w:pPr>
              <w:pStyle w:val="Tabla9"/>
              <w:jc w:val="left"/>
            </w:pPr>
            <w:r>
              <w:t xml:space="preserve">Fundacional y Crecimiento</w:t>
            </w:r>
          </w:p>
        </w:tc>
        <w:tc>
          <w:tcPr/>
          <w:p>
            <w:pPr>
              <w:pStyle w:val="Tabla9"/>
              <w:jc w:val="left"/>
            </w:pPr>
            <w:r>
              <w:t xml:space="preserve">General Electric</w:t>
            </w:r>
          </w:p>
        </w:tc>
        <w:tc>
          <w:tcPr/>
          <w:p>
            <w:pPr>
              <w:pStyle w:val="Tabla9"/>
              <w:jc w:val="left"/>
            </w:pPr>
            <w:r>
              <w:t xml:space="preserve">VACIO</w:t>
            </w:r>
          </w:p>
        </w:tc>
      </w:tr>
      <w:tr>
        <w:trPr>
          <w:cantSplit/>
        </w:trPr>
        <w:tc>
          <w:tcPr/>
          <w:p>
            <w:pPr>
              <w:pStyle w:val="Tabla9"/>
              <w:jc w:val="left"/>
            </w:pPr>
            <w:r>
              <w:t xml:space="preserve">Buffarini, R.</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p>
            <w:pPr>
              <w:pStyle w:val="Tabla9"/>
              <w:jc w:val="left"/>
            </w:pPr>
            <w:r>
              <w:t xml:space="preserve">Carvalho, H.</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p>
            <w:pPr>
              <w:pStyle w:val="Tabla9"/>
              <w:jc w:val="left"/>
            </w:pPr>
            <w:r>
              <w:t xml:space="preserve">Tavella, R. A.</w:t>
            </w:r>
          </w:p>
        </w:tc>
        <w:tc>
          <w:tcPr/>
          <w:p>
            <w:pPr>
              <w:pStyle w:val="Tabla9"/>
              <w:jc w:val="left"/>
            </w:pPr>
            <w:r>
              <w:t xml:space="preserve">2</w:t>
            </w:r>
          </w:p>
        </w:tc>
        <w:tc>
          <w:tcPr/>
          <w:p>
            <w:pPr>
              <w:pStyle w:val="Tabla9"/>
              <w:jc w:val="left"/>
            </w:pPr>
            <w:r>
              <w:t xml:space="preserve">Miraglia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p>
            <w:pPr>
              <w:pStyle w:val="Tabla9"/>
              <w:jc w:val="left"/>
            </w:pPr>
            <w:r>
              <w:t xml:space="preserve">da Silva Júnior, F. M. R.</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p>
            <w:pPr>
              <w:pStyle w:val="Tabla9"/>
              <w:jc w:val="left"/>
            </w:pPr>
            <w:r>
              <w:t xml:space="preserve">de Moura, F. R.</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p>
            <w:pPr>
              <w:pStyle w:val="Tabla9"/>
              <w:jc w:val="left"/>
            </w:pPr>
            <w:r>
              <w:t xml:space="preserve">Zuluaga, M. D.</w:t>
            </w:r>
          </w:p>
        </w:tc>
        <w:tc>
          <w:tcPr/>
          <w:p>
            <w:pPr>
              <w:pStyle w:val="Tabla9"/>
              <w:jc w:val="left"/>
            </w:pPr>
            <w:r>
              <w:t xml:space="preserve">2</w:t>
            </w:r>
          </w:p>
        </w:tc>
        <w:tc>
          <w:tcPr/>
          <w:p>
            <w:pPr>
              <w:pStyle w:val="Tabla9"/>
              <w:jc w:val="left"/>
            </w:pPr>
            <w:r>
              <w:t xml:space="preserve">Ayala-Parra et al. (2026); Ruiz-Carrascal et al. (2026)</w:t>
            </w:r>
          </w:p>
        </w:tc>
        <w:tc>
          <w:tcPr/>
          <w:p>
            <w:pPr>
              <w:pStyle w:val="Tabla9"/>
              <w:jc w:val="left"/>
            </w:pPr>
            <w:r>
              <w:t xml:space="preserve">Aceleración</w:t>
            </w:r>
          </w:p>
        </w:tc>
        <w:tc>
          <w:tcPr/>
          <w:p>
            <w:pPr>
              <w:pStyle w:val="Tabla9"/>
              <w:jc w:val="left"/>
            </w:pPr>
            <w:r>
              <w:t xml:space="preserve">SIATA</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F-INF §7.6 (p. 93) y §13.2 (p. 212). Autor definido por apellido y primera inicial. El índice h y las citas no se consultaron (VACIO; NO_VERIFICADO). Naturaleza: CALCULADO. Corpus de 42 documentos; año de corte 2026.</w:t>
      </w:r>
    </w:p>
    <w:p>
      <w:pPr>
        <w:pStyle w:val="BodyText"/>
      </w:pPr>
      <w:r>
        <w:t xml:space="preserve">Tres grupos explican los nueve casos. Tres corresponden a inventores de General Electric, cinco al grupo brasileño y uno a SIATA (F-INF §7.6, p. 93). Ningún grupo domina dos eras completas. Los inventores de General Electric aparecen en las eras fundacional y de crecimiento. Los otros dos grupos aparecen en crecimiento y aceleración, o solo en aceleración. El corpus no muestra una escuela con liderazgo sostenido.</w:t>
      </w:r>
    </w:p>
    <w:p>
      <w:pPr>
        <w:pStyle w:val="BodyText"/>
      </w:pPr>
      <w:r>
        <w:t xml:space="preserve">La Tabla 2.6 y la Figura 2.3 presentan el ajuste. Con la regla de corpus pequeño, la estadística descriptiva es la lectura vigente y el ajuste es exploratorio.</w:t>
      </w:r>
    </w:p>
    <w:p>
      <w:pPr>
        <w:pStyle w:val="TablaRotulo"/>
      </w:pPr>
      <w:bookmarkStart w:id="9236" w:name="rot_Tabla_2_6"/>
      <w:r>
        <w:rPr>
          <w:b/>
          <w:bCs/>
        </w:rPr>
        <w:t xml:space="preserve">Tabla 2.6</w:t>
      </w:r>
      <w:bookmarkEnd w:id="9236"/>
    </w:p>
    <w:p>
      <w:pPr>
        <w:pStyle w:val="TablaTitulo"/>
      </w:pPr>
      <w:r>
        <w:rPr>
          <w:i/>
          <w:iCs/>
        </w:rPr>
        <w:t xml:space="preserve">Parámetros de la ley de Lotka en el corpus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832"/>
        <w:gridCol w:w="1701"/>
        <w:gridCol w:w="2160"/>
        <w:gridCol w:w="2225"/>
      </w:tblGrid>
      <w:tr>
        <w:trPr>
          <w:cantSplit/>
          <w:tblHeader/>
        </w:trPr>
        <w:tc>
          <w:tcPr>
            <w:shd w:val="clear" w:color="auto" w:fill="00B050"/>
          </w:tcPr>
          <w:p>
            <w:pPr>
              <w:pStyle w:val="Tabla9"/>
              <w:jc w:val="center"/>
            </w:pPr>
            <w:r>
              <w:rPr>
                <w:b/>
                <w:color w:val="FFFFFF"/>
              </w:rPr>
              <w:t xml:space="preserve">Parámetro</w:t>
            </w:r>
          </w:p>
        </w:tc>
        <w:tc>
          <w:tcPr>
            <w:shd w:val="clear" w:color="auto" w:fill="00B050"/>
          </w:tcPr>
          <w:p>
            <w:pPr>
              <w:pStyle w:val="Tabla9"/>
              <w:jc w:val="center"/>
            </w:pPr>
            <w:r>
              <w:rPr>
                <w:b/>
                <w:color w:val="FFFFFF"/>
              </w:rPr>
              <w:t xml:space="preserve">Valor observado</w:t>
            </w:r>
          </w:p>
        </w:tc>
        <w:tc>
          <w:tcPr>
            <w:shd w:val="clear" w:color="auto" w:fill="00B050"/>
          </w:tcPr>
          <w:p>
            <w:pPr>
              <w:pStyle w:val="Tabla9"/>
              <w:jc w:val="center"/>
            </w:pPr>
            <w:r>
              <w:rPr>
                <w:b/>
                <w:color w:val="FFFFFF"/>
              </w:rPr>
              <w:t xml:space="preserve">Valor de referencia</w:t>
            </w:r>
          </w:p>
        </w:tc>
        <w:tc>
          <w:tcPr>
            <w:shd w:val="clear" w:color="auto" w:fill="00B050"/>
          </w:tcPr>
          <w:p>
            <w:pPr>
              <w:pStyle w:val="Tabla9"/>
              <w:jc w:val="center"/>
            </w:pPr>
            <w:r>
              <w:rPr>
                <w:b/>
                <w:color w:val="FFFFFF"/>
              </w:rPr>
              <w:t xml:space="preserve">Interpretación</w:t>
            </w:r>
          </w:p>
        </w:tc>
      </w:tr>
      <w:tr>
        <w:trPr>
          <w:cantSplit/>
        </w:trPr>
        <w:tc>
          <w:tcPr/>
          <w:p>
            <w:pPr>
              <w:pStyle w:val="Tabla9"/>
              <w:jc w:val="left"/>
            </w:pPr>
            <w:r>
              <w:t xml:space="preserve">α por máxima verosimilitud</w:t>
            </w:r>
          </w:p>
        </w:tc>
        <w:tc>
          <w:tcPr/>
          <w:p>
            <w:pPr>
              <w:pStyle w:val="Tabla9"/>
              <w:jc w:val="left"/>
            </w:pPr>
            <w:r>
              <w:t xml:space="preserve">2,38 (IC de 95 %: 2,35 a 2,42)</w:t>
            </w:r>
          </w:p>
        </w:tc>
        <w:tc>
          <w:tcPr/>
          <w:p>
            <w:pPr>
              <w:pStyle w:val="Tabla9"/>
              <w:jc w:val="left"/>
            </w:pPr>
            <w:r>
              <w:t xml:space="preserve">2,00 (Lotka estándar)</w:t>
            </w:r>
          </w:p>
        </w:tc>
        <w:tc>
          <w:tcPr/>
          <w:p>
            <w:pPr>
              <w:pStyle w:val="Tabla9"/>
              <w:jc w:val="left"/>
            </w:pPr>
            <w:r>
              <w:t xml:space="preserve">α mayor que 2: dispersión; estimación exploratoria</w:t>
            </w:r>
          </w:p>
        </w:tc>
      </w:tr>
      <w:tr>
        <w:trPr>
          <w:cantSplit/>
        </w:trPr>
        <w:tc>
          <w:tcPr/>
          <w:p>
            <w:pPr>
              <w:pStyle w:val="Tabla9"/>
              <w:jc w:val="left"/>
            </w:pPr>
            <w:r>
              <w:t xml:space="preserve">α por mínimos cuadrados</w:t>
            </w:r>
          </w:p>
        </w:tc>
        <w:tc>
          <w:tcPr/>
          <w:p>
            <w:pPr>
              <w:pStyle w:val="Tabla9"/>
              <w:jc w:val="left"/>
            </w:pPr>
            <w:r>
              <w:t xml:space="preserve">4,50 (IC de 95 %: 3,72 a 6,13)</w:t>
            </w:r>
          </w:p>
        </w:tc>
        <w:tc>
          <w:tcPr/>
          <w:p>
            <w:pPr>
              <w:pStyle w:val="Tabla9"/>
              <w:jc w:val="left"/>
            </w:pPr>
            <w:r>
              <w:t xml:space="preserve">2,00</w:t>
            </w:r>
          </w:p>
        </w:tc>
        <w:tc>
          <w:tcPr/>
          <w:p>
            <w:pPr>
              <w:pStyle w:val="Tabla9"/>
              <w:jc w:val="left"/>
            </w:pPr>
            <w:r>
              <w:t xml:space="preserve">Dos niveles de productividad y cero grados de libertad</w:t>
            </w:r>
          </w:p>
        </w:tc>
      </w:tr>
      <w:tr>
        <w:trPr>
          <w:cantSplit/>
        </w:trPr>
        <w:tc>
          <w:tcPr/>
          <w:p>
            <w:pPr>
              <w:pStyle w:val="Tabla9"/>
              <w:jc w:val="left"/>
            </w:pPr>
            <w:r>
              <w:t xml:space="preserve">Corpus y autores</w:t>
            </w:r>
          </w:p>
        </w:tc>
        <w:tc>
          <w:tcPr/>
          <w:p>
            <w:pPr>
              <w:pStyle w:val="Tabla9"/>
              <w:jc w:val="left"/>
            </w:pPr>
            <w:r>
              <w:t xml:space="preserve">42 documentos; 213 autores</w:t>
            </w:r>
          </w:p>
        </w:tc>
        <w:tc>
          <w:tcPr/>
          <w:p>
            <w:pPr>
              <w:pStyle w:val="Tabla9"/>
              <w:jc w:val="left"/>
            </w:pPr>
            <w:r>
              <w:t xml:space="preserve">100 o más documentos para caracterización definitiva</w:t>
            </w:r>
          </w:p>
        </w:tc>
        <w:tc>
          <w:tcPr/>
          <w:p>
            <w:pPr>
              <w:pStyle w:val="Tabla9"/>
              <w:jc w:val="left"/>
            </w:pPr>
            <w:r>
              <w:t xml:space="preserve">N menor que 45: la regla R3 sustituye la ley por estadística descriptiva</w:t>
            </w:r>
          </w:p>
        </w:tc>
      </w:tr>
      <w:tr>
        <w:trPr>
          <w:cantSplit/>
        </w:trPr>
        <w:tc>
          <w:tcPr/>
          <w:p>
            <w:pPr>
              <w:pStyle w:val="Tabla9"/>
              <w:jc w:val="left"/>
            </w:pPr>
            <w:r>
              <w:t xml:space="preserve">Autores con un documento</w:t>
            </w:r>
          </w:p>
        </w:tc>
        <w:tc>
          <w:tcPr/>
          <w:p>
            <w:pPr>
              <w:pStyle w:val="Tabla9"/>
              <w:jc w:val="left"/>
            </w:pPr>
            <w:r>
              <w:t xml:space="preserve">204 (95,8 %)</w:t>
            </w:r>
          </w:p>
        </w:tc>
        <w:tc>
          <w:tcPr/>
          <w:p>
            <w:pPr>
              <w:pStyle w:val="Tabla9"/>
              <w:jc w:val="left"/>
            </w:pPr>
            <w:r>
              <w:t xml:space="preserve">Más de 85 %: campo emergente</w:t>
            </w:r>
          </w:p>
        </w:tc>
        <w:tc>
          <w:tcPr/>
          <w:p>
            <w:pPr>
              <w:pStyle w:val="Tabla9"/>
              <w:jc w:val="left"/>
            </w:pPr>
            <w:r>
              <w:t xml:space="preserve">Supera el umbral que el protocolo asocia con campo emergente</w:t>
            </w:r>
          </w:p>
        </w:tc>
      </w:tr>
      <w:tr>
        <w:trPr>
          <w:cantSplit/>
        </w:trPr>
        <w:tc>
          <w:tcPr/>
          <w:p>
            <w:pPr>
              <w:pStyle w:val="Tabla9"/>
              <w:jc w:val="left"/>
            </w:pPr>
            <w:r>
              <w:t xml:space="preserve">Autores con dos documentos</w:t>
            </w:r>
          </w:p>
        </w:tc>
        <w:tc>
          <w:tcPr/>
          <w:p>
            <w:pPr>
              <w:pStyle w:val="Tabla9"/>
              <w:jc w:val="left"/>
            </w:pPr>
            <w:r>
              <w:t xml:space="preserve">9 (4,2 %)</w:t>
            </w:r>
          </w:p>
        </w:tc>
        <w:tc>
          <w:tcPr/>
          <w:p>
            <w:pPr>
              <w:pStyle w:val="Tabla9"/>
              <w:jc w:val="left"/>
            </w:pPr>
            <w:r>
              <w:t xml:space="preserve">No aplica</w:t>
            </w:r>
          </w:p>
        </w:tc>
        <w:tc>
          <w:tcPr/>
          <w:p>
            <w:pPr>
              <w:pStyle w:val="Tabla9"/>
              <w:jc w:val="left"/>
            </w:pPr>
            <w:r>
              <w:t xml:space="preserve">Máximo observado</w:t>
            </w:r>
          </w:p>
        </w:tc>
      </w:tr>
      <w:tr>
        <w:trPr>
          <w:cantSplit/>
        </w:trPr>
        <w:tc>
          <w:tcPr/>
          <w:p>
            <w:pPr>
              <w:pStyle w:val="Tabla9"/>
              <w:jc w:val="left"/>
            </w:pPr>
            <w:r>
              <w:t xml:space="preserve">Autores más productivos</w:t>
            </w:r>
          </w:p>
        </w:tc>
        <w:tc>
          <w:tcPr/>
          <w:p>
            <w:pPr>
              <w:pStyle w:val="Tabla9"/>
              <w:jc w:val="left"/>
            </w:pPr>
            <w:r>
              <w:t xml:space="preserve">Nueve autores empatados con dos documentos</w:t>
            </w:r>
          </w:p>
        </w:tc>
        <w:tc>
          <w:tcPr/>
          <w:p>
            <w:pPr>
              <w:pStyle w:val="Tabla9"/>
              <w:jc w:val="left"/>
            </w:pPr>
            <w:r>
              <w:t xml:space="preserve">No aplica</w:t>
            </w:r>
          </w:p>
        </w:tc>
        <w:tc>
          <w:tcPr/>
          <w:p>
            <w:pPr>
              <w:pStyle w:val="Tabla9"/>
              <w:jc w:val="left"/>
            </w:pPr>
            <w:r>
              <w:t xml:space="preserve">Sin líderes por productividad</w:t>
            </w:r>
          </w:p>
        </w:tc>
      </w:tr>
    </w:tbl>
    <w:p>
      <w:pPr>
        <w:pStyle w:val="TablaNota"/>
      </w:pPr>
      <w:r>
        <w:rPr>
          <w:i/>
          <w:iCs/>
        </w:rPr>
        <w:t xml:space="preserve">Nota.</w:t>
      </w:r>
      <w:r>
        <w:t xml:space="preserve"> </w:t>
      </w:r>
      <w:r>
        <w:t xml:space="preserve">Elaboración propia. Método: máxima verosimilitud con aproximación continua y x mínimo de 1; mínimos cuadrados sobre la recta log-log; intervalos por bootstrap de 1.000 réplicas con semilla 42. Estimación exploratoria. Naturaleza: CALCULADO. Corpus de 42 documentos; año de corte 2026.</w:t>
      </w:r>
    </w:p>
    <w:p>
      <w:pPr>
        <w:pStyle w:val="FiguraRotulo"/>
      </w:pPr>
      <w:bookmarkStart w:id="9492" w:name="rot_Figura_2_3"/>
      <w:r>
        <w:rPr>
          <w:b/>
          <w:bCs/>
        </w:rPr>
        <w:t xml:space="preserve">Figura 2.3</w:t>
      </w:r>
      <w:bookmarkEnd w:id="9492"/>
    </w:p>
    <w:p>
      <w:pPr>
        <w:pStyle w:val="FiguraTitulo"/>
      </w:pPr>
      <w:r>
        <w:rPr>
          <w:i/>
          <w:iCs/>
        </w:rPr>
        <w:t xml:space="preserve">Distribución de Lotka de los 213 autores con ajustes exploratorios</w:t>
      </w:r>
    </w:p>
    <w:p>
      <w:pPr>
        <w:pStyle w:val="BodyText"/>
      </w:pPr>
      <w:r>
        <w:drawing>
          <wp:inline>
            <wp:extent cx="5579999" cy="3844651"/>
            <wp:effectExtent b="0" l="0" r="0" t="0"/>
            <wp:docPr descr="" title="" id="301" name="Picture"/>
            <a:graphic>
              <a:graphicData uri="http://schemas.openxmlformats.org/drawingml/2006/picture">
                <pic:pic>
                  <pic:nvPicPr>
                    <pic:cNvPr descr="/tmp/claude-0/-home-user-docs/ddf38714-2a7e-502b-92b4-1008e2832422/scratchpad/proy/figs/out/c2_lotka.png" id="302" name="Picture"/>
                    <pic:cNvPicPr>
                      <a:picLocks noChangeArrowheads="1" noChangeAspect="1"/>
                    </pic:cNvPicPr>
                  </pic:nvPicPr>
                  <pic:blipFill>
                    <a:blip r:embed="rId300"/>
                    <a:stretch>
                      <a:fillRect/>
                    </a:stretch>
                  </pic:blipFill>
                  <pic:spPr bwMode="auto">
                    <a:xfrm>
                      <a:off x="0" y="0"/>
                      <a:ext cx="5579999" cy="38446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Escala logarítmica en ambos ejes; n de 213 autores de 41 documentos con autoría individual. Máxima verosimilitud con x mínimo de 1 y mínimos cuadrados log-log; bootstrap de 1.000 réplicas con semilla 42. Estimación exploratoria (N menor que 45); año de corte 2026.</w:t>
      </w:r>
    </w:p>
    <w:p>
      <w:pPr>
        <w:pStyle w:val="BodyText"/>
      </w:pPr>
      <w:r>
        <w:t xml:space="preserve">Dos lecturas compiten. La primera interpreta α mayor que 2 como un campo disperso, sin núcleo de autores. La segunda advierte que, con N menor que 45 y dos niveles de productividad, el exponente no se identifica. Los dos métodos confirman la segunda lectura, porque dan 2,38 y 4,50. El proyecto adopta una conclusión limitada. La autoría es dispersa, con 95,8 % de autores con un documento, y el corpus no permite inferir una ley de productividad.</w:t>
      </w:r>
    </w:p>
    <w:p>
      <w:pPr>
        <w:pStyle w:val="BodyText"/>
      </w:pPr>
      <w:r>
        <w:t xml:space="preserve">La decisión metodológica es doble. La vigilancia no se apoyará en seguir autores líderes, porque no existen en este corpus. El proyecto documentará su protocolo de colocalización en forma replicable, para que otros grupos lo evalúen.</w:t>
      </w:r>
    </w:p>
    <w:bookmarkEnd w:id="303"/>
    <w:bookmarkStart w:id="307" w:name="_Toc00900126"/>
    <w:p>
      <w:pPr>
        <w:pStyle w:val="Heading3"/>
      </w:pPr>
      <w:r>
        <w:t xml:space="preserve">2.2.4 Fuentes y dispersión: ley de Bradford</w:t>
      </w:r>
    </w:p>
    <w:p>
      <w:pPr>
        <w:pStyle w:val="FirstParagraph"/>
      </w:pPr>
      <w:r>
        <w:t xml:space="preserve">La distribución de fuentes cuenta cuántos artículos publica cada revista. Los 26 artículos del corpus aparecen en 19 revistas. Atmosphere, Science of the Total Environment y Sustainability publican tres artículos cada una. Urban Climate publica dos, y las 15 revistas restantes publican uno.</w:t>
      </w:r>
    </w:p>
    <w:p>
      <w:pPr>
        <w:pStyle w:val="BodyText"/>
      </w:pPr>
      <w:r>
        <w:t xml:space="preserve">La ley de Bradford (1934) ordena las revistas por productividad y las reparte en zonas con igual número de artículos. La zona núcleo concentra pocas revistas. Las zonas siguientes necesitan multiplicar ese número por un factor φ para reunir los mismos artículos. Un φ cercano a 3 describe un campo bien estructurado, según el protocolo del proyecto. La Tabla 2.7 lista las 19 revistas con su zona. Las columnas de cuartil, factor de impacto y CiteScore quedan vacías. No se consultaron bases de indicadores [DATO_USUARIO: cuartiles SJR, factor de impacto y CiteScore de las revistas del núcleo].</w:t>
      </w:r>
    </w:p>
    <w:p>
      <w:pPr>
        <w:pStyle w:val="TablaRotulo"/>
      </w:pPr>
      <w:bookmarkStart w:id="9237" w:name="rot_Tabla_2_7"/>
      <w:r>
        <w:rPr>
          <w:b/>
          <w:bCs/>
        </w:rPr>
        <w:t xml:space="preserve">Tabla 2.7</w:t>
      </w:r>
      <w:bookmarkEnd w:id="9237"/>
    </w:p>
    <w:p>
      <w:pPr>
        <w:pStyle w:val="TablaTitulo"/>
      </w:pPr>
      <w:r>
        <w:rPr>
          <w:i/>
          <w:iCs/>
        </w:rPr>
        <w:t xml:space="preserve">Revistas del corpus por número de artículos y zona de Bradford</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88"/>
        <w:gridCol w:w="2508"/>
        <w:gridCol w:w="1320"/>
        <w:gridCol w:w="1320"/>
        <w:gridCol w:w="1584"/>
      </w:tblGrid>
      <w:tr>
        <w:trPr>
          <w:cantSplit/>
          <w:tblHeader/>
        </w:trPr>
        <w:tc>
          <w:tcPr>
            <w:shd w:val="clear" w:color="auto" w:fill="00B050"/>
          </w:tcPr>
          <w:p>
            <w:pPr>
              <w:pStyle w:val="Tabla9"/>
              <w:jc w:val="center"/>
            </w:pPr>
            <w:r>
              <w:rPr>
                <w:b/>
                <w:color w:val="FFFFFF"/>
              </w:rPr>
              <w:t xml:space="preserve">Posición</w:t>
            </w:r>
          </w:p>
        </w:tc>
        <w:tc>
          <w:tcPr>
            <w:shd w:val="clear" w:color="auto" w:fill="00B050"/>
          </w:tcPr>
          <w:p>
            <w:pPr>
              <w:pStyle w:val="Tabla9"/>
              <w:jc w:val="center"/>
            </w:pPr>
            <w:r>
              <w:rPr>
                <w:b/>
                <w:color w:val="FFFFFF"/>
              </w:rPr>
              <w:t xml:space="preserve">Revista</w:t>
            </w:r>
          </w:p>
        </w:tc>
        <w:tc>
          <w:tcPr>
            <w:shd w:val="clear" w:color="auto" w:fill="00B050"/>
          </w:tcPr>
          <w:p>
            <w:pPr>
              <w:pStyle w:val="Tabla9"/>
              <w:jc w:val="center"/>
            </w:pPr>
            <w:r>
              <w:rPr>
                <w:b/>
                <w:color w:val="FFFFFF"/>
              </w:rPr>
              <w:t xml:space="preserve">Artículos</w:t>
            </w:r>
          </w:p>
        </w:tc>
        <w:tc>
          <w:tcPr>
            <w:shd w:val="clear" w:color="auto" w:fill="00B050"/>
          </w:tcPr>
          <w:p>
            <w:pPr>
              <w:pStyle w:val="Tabla9"/>
              <w:jc w:val="center"/>
            </w:pPr>
            <w:r>
              <w:rPr>
                <w:b/>
                <w:color w:val="FFFFFF"/>
              </w:rPr>
              <w:t xml:space="preserve">Zona de Bradford</w:t>
            </w:r>
          </w:p>
        </w:tc>
        <w:tc>
          <w:tcPr>
            <w:shd w:val="clear" w:color="auto" w:fill="00B050"/>
          </w:tcPr>
          <w:p>
            <w:pPr>
              <w:pStyle w:val="Tabla9"/>
              <w:jc w:val="center"/>
            </w:pPr>
            <w:r>
              <w:rPr>
                <w:b/>
                <w:color w:val="FFFFFF"/>
              </w:rPr>
              <w:t xml:space="preserve">Cuartil SJR, JIF y CiteScore</w:t>
            </w:r>
          </w:p>
        </w:tc>
      </w:tr>
      <w:tr>
        <w:trPr>
          <w:cantSplit/>
        </w:trPr>
        <w:tc>
          <w:tcPr/>
          <w:p>
            <w:pPr>
              <w:pStyle w:val="Tabla9"/>
              <w:jc w:val="left"/>
            </w:pPr>
            <w:r>
              <w:t xml:space="preserve">1</w:t>
            </w:r>
          </w:p>
        </w:tc>
        <w:tc>
          <w:tcPr/>
          <w:p>
            <w:pPr>
              <w:pStyle w:val="Tabla9"/>
              <w:jc w:val="left"/>
            </w:pPr>
            <w:r>
              <w:t xml:space="preserve">Atmosphere</w:t>
            </w:r>
          </w:p>
        </w:tc>
        <w:tc>
          <w:tcPr/>
          <w:p>
            <w:pPr>
              <w:pStyle w:val="Tabla9"/>
              <w:jc w:val="left"/>
            </w:pPr>
            <w:r>
              <w:t xml:space="preserve">3</w:t>
            </w:r>
          </w:p>
        </w:tc>
        <w:tc>
          <w:tcPr/>
          <w:p>
            <w:pPr>
              <w:pStyle w:val="Tabla9"/>
              <w:jc w:val="left"/>
            </w:pPr>
            <w:r>
              <w:t xml:space="preserve">Zona 1</w:t>
            </w:r>
          </w:p>
        </w:tc>
        <w:tc>
          <w:tcPr/>
          <w:p>
            <w:pPr>
              <w:pStyle w:val="Tabla9"/>
              <w:jc w:val="left"/>
            </w:pPr>
            <w:r>
              <w:t xml:space="preserve">VACIO</w:t>
            </w:r>
          </w:p>
        </w:tc>
      </w:tr>
      <w:tr>
        <w:trPr>
          <w:cantSplit/>
        </w:trPr>
        <w:tc>
          <w:tcPr/>
          <w:p>
            <w:pPr>
              <w:pStyle w:val="Tabla9"/>
              <w:jc w:val="left"/>
            </w:pPr>
            <w:r>
              <w:t xml:space="preserve">2</w:t>
            </w:r>
          </w:p>
        </w:tc>
        <w:tc>
          <w:tcPr/>
          <w:p>
            <w:pPr>
              <w:pStyle w:val="Tabla9"/>
              <w:jc w:val="left"/>
            </w:pPr>
            <w:r>
              <w:t xml:space="preserve">Science of the Total Environment</w:t>
            </w:r>
          </w:p>
        </w:tc>
        <w:tc>
          <w:tcPr/>
          <w:p>
            <w:pPr>
              <w:pStyle w:val="Tabla9"/>
              <w:jc w:val="left"/>
            </w:pPr>
            <w:r>
              <w:t xml:space="preserve">3</w:t>
            </w:r>
          </w:p>
        </w:tc>
        <w:tc>
          <w:tcPr/>
          <w:p>
            <w:pPr>
              <w:pStyle w:val="Tabla9"/>
              <w:jc w:val="left"/>
            </w:pPr>
            <w:r>
              <w:t xml:space="preserve">Zona 1</w:t>
            </w:r>
          </w:p>
        </w:tc>
        <w:tc>
          <w:tcPr/>
          <w:p>
            <w:pPr>
              <w:pStyle w:val="Tabla9"/>
              <w:jc w:val="left"/>
            </w:pPr>
            <w:r>
              <w:t xml:space="preserve">VACIO</w:t>
            </w:r>
          </w:p>
        </w:tc>
      </w:tr>
      <w:tr>
        <w:trPr>
          <w:cantSplit/>
        </w:trPr>
        <w:tc>
          <w:tcPr/>
          <w:p>
            <w:pPr>
              <w:pStyle w:val="Tabla9"/>
              <w:jc w:val="left"/>
            </w:pPr>
            <w:r>
              <w:t xml:space="preserve">3</w:t>
            </w:r>
          </w:p>
        </w:tc>
        <w:tc>
          <w:tcPr/>
          <w:p>
            <w:pPr>
              <w:pStyle w:val="Tabla9"/>
              <w:jc w:val="left"/>
            </w:pPr>
            <w:r>
              <w:t xml:space="preserve">Sustainability</w:t>
            </w:r>
          </w:p>
        </w:tc>
        <w:tc>
          <w:tcPr/>
          <w:p>
            <w:pPr>
              <w:pStyle w:val="Tabla9"/>
              <w:jc w:val="left"/>
            </w:pPr>
            <w:r>
              <w:t xml:space="preserve">3</w:t>
            </w:r>
          </w:p>
        </w:tc>
        <w:tc>
          <w:tcPr/>
          <w:p>
            <w:pPr>
              <w:pStyle w:val="Tabla9"/>
              <w:jc w:val="left"/>
            </w:pPr>
            <w:r>
              <w:t xml:space="preserve">Zona 1</w:t>
            </w:r>
          </w:p>
        </w:tc>
        <w:tc>
          <w:tcPr/>
          <w:p>
            <w:pPr>
              <w:pStyle w:val="Tabla9"/>
              <w:jc w:val="left"/>
            </w:pPr>
            <w:r>
              <w:t xml:space="preserve">VACIO</w:t>
            </w:r>
          </w:p>
        </w:tc>
      </w:tr>
      <w:tr>
        <w:trPr>
          <w:cantSplit/>
        </w:trPr>
        <w:tc>
          <w:tcPr/>
          <w:p>
            <w:pPr>
              <w:pStyle w:val="Tabla9"/>
              <w:jc w:val="left"/>
            </w:pPr>
            <w:r>
              <w:t xml:space="preserve">4</w:t>
            </w:r>
          </w:p>
        </w:tc>
        <w:tc>
          <w:tcPr/>
          <w:p>
            <w:pPr>
              <w:pStyle w:val="Tabla9"/>
              <w:jc w:val="left"/>
            </w:pPr>
            <w:r>
              <w:t xml:space="preserve">Urban Climate</w:t>
            </w:r>
          </w:p>
        </w:tc>
        <w:tc>
          <w:tcPr/>
          <w:p>
            <w:pPr>
              <w:pStyle w:val="Tabla9"/>
              <w:jc w:val="left"/>
            </w:pPr>
            <w:r>
              <w:t xml:space="preserve">2</w:t>
            </w:r>
          </w:p>
        </w:tc>
        <w:tc>
          <w:tcPr/>
          <w:p>
            <w:pPr>
              <w:pStyle w:val="Tabla9"/>
              <w:jc w:val="left"/>
            </w:pPr>
            <w:r>
              <w:t xml:space="preserve">Zona 2</w:t>
            </w:r>
          </w:p>
        </w:tc>
        <w:tc>
          <w:tcPr/>
          <w:p>
            <w:pPr>
              <w:pStyle w:val="Tabla9"/>
              <w:jc w:val="left"/>
            </w:pPr>
            <w:r>
              <w:t xml:space="preserve">VACIO</w:t>
            </w:r>
          </w:p>
        </w:tc>
      </w:tr>
      <w:tr>
        <w:trPr>
          <w:cantSplit/>
        </w:trPr>
        <w:tc>
          <w:tcPr/>
          <w:p>
            <w:pPr>
              <w:pStyle w:val="Tabla9"/>
              <w:jc w:val="left"/>
            </w:pPr>
            <w:r>
              <w:t xml:space="preserve">5</w:t>
            </w:r>
          </w:p>
        </w:tc>
        <w:tc>
          <w:tcPr/>
          <w:p>
            <w:pPr>
              <w:pStyle w:val="Tabla9"/>
              <w:jc w:val="left"/>
            </w:pPr>
            <w:r>
              <w:t xml:space="preserve">Air Quality, Atmosphere y Health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p>
            <w:pPr>
              <w:pStyle w:val="Tabla9"/>
              <w:jc w:val="left"/>
            </w:pPr>
            <w:r>
              <w:t xml:space="preserve">6</w:t>
            </w:r>
          </w:p>
        </w:tc>
        <w:tc>
          <w:tcPr/>
          <w:p>
            <w:pPr>
              <w:pStyle w:val="Tabla9"/>
              <w:jc w:val="left"/>
            </w:pPr>
            <w:r>
              <w:t xml:space="preserve">Atmospheric Research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p>
            <w:pPr>
              <w:pStyle w:val="Tabla9"/>
              <w:jc w:val="left"/>
            </w:pPr>
            <w:r>
              <w:t xml:space="preserve">7</w:t>
            </w:r>
          </w:p>
        </w:tc>
        <w:tc>
          <w:tcPr/>
          <w:p>
            <w:pPr>
              <w:pStyle w:val="Tabla9"/>
              <w:jc w:val="left"/>
            </w:pPr>
            <w:r>
              <w:t xml:space="preserve">CLEAN -- Soil, Air, Water</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p>
            <w:pPr>
              <w:pStyle w:val="Tabla9"/>
              <w:jc w:val="left"/>
            </w:pPr>
            <w:r>
              <w:t xml:space="preserve">8</w:t>
            </w:r>
          </w:p>
        </w:tc>
        <w:tc>
          <w:tcPr/>
          <w:p>
            <w:pPr>
              <w:pStyle w:val="Tabla9"/>
              <w:jc w:val="left"/>
            </w:pPr>
            <w:r>
              <w:t xml:space="preserve">Climate Services</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p>
            <w:pPr>
              <w:pStyle w:val="Tabla9"/>
              <w:jc w:val="left"/>
            </w:pPr>
            <w:r>
              <w:t xml:space="preserve">9</w:t>
            </w:r>
          </w:p>
        </w:tc>
        <w:tc>
          <w:tcPr/>
          <w:p>
            <w:pPr>
              <w:pStyle w:val="Tabla9"/>
              <w:jc w:val="left"/>
            </w:pPr>
            <w:r>
              <w:t xml:space="preserve">Environment Systems and Decisions</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p>
            <w:pPr>
              <w:pStyle w:val="Tabla9"/>
              <w:jc w:val="left"/>
            </w:pPr>
            <w:r>
              <w:t xml:space="preserve">10</w:t>
            </w:r>
          </w:p>
        </w:tc>
        <w:tc>
          <w:tcPr/>
          <w:p>
            <w:pPr>
              <w:pStyle w:val="Tabla9"/>
              <w:jc w:val="left"/>
            </w:pPr>
            <w:r>
              <w:t xml:space="preserve">Environmental Geochemistry and Health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p>
            <w:pPr>
              <w:pStyle w:val="Tabla9"/>
              <w:jc w:val="left"/>
            </w:pPr>
            <w:r>
              <w:t xml:space="preserve">11</w:t>
            </w:r>
          </w:p>
        </w:tc>
        <w:tc>
          <w:tcPr/>
          <w:p>
            <w:pPr>
              <w:pStyle w:val="Tabla9"/>
              <w:jc w:val="left"/>
            </w:pPr>
            <w:r>
              <w:t xml:space="preserve">Environmental Health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p>
            <w:pPr>
              <w:pStyle w:val="Tabla9"/>
              <w:jc w:val="left"/>
            </w:pPr>
            <w:r>
              <w:t xml:space="preserve">12</w:t>
            </w:r>
          </w:p>
        </w:tc>
        <w:tc>
          <w:tcPr/>
          <w:p>
            <w:pPr>
              <w:pStyle w:val="Tabla9"/>
              <w:jc w:val="left"/>
            </w:pPr>
            <w:r>
              <w:t xml:space="preserve">Geocarto International</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p>
            <w:pPr>
              <w:pStyle w:val="Tabla9"/>
              <w:jc w:val="left"/>
            </w:pPr>
            <w:r>
              <w:t xml:space="preserve">13</w:t>
            </w:r>
          </w:p>
        </w:tc>
        <w:tc>
          <w:tcPr/>
          <w:p>
            <w:pPr>
              <w:pStyle w:val="Tabla9"/>
              <w:jc w:val="left"/>
            </w:pPr>
            <w:r>
              <w:t xml:space="preserve">Hygiene and Environmental Health Advances</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p>
            <w:pPr>
              <w:pStyle w:val="Tabla9"/>
              <w:jc w:val="left"/>
            </w:pPr>
            <w:r>
              <w:t xml:space="preserve">14</w:t>
            </w:r>
          </w:p>
        </w:tc>
        <w:tc>
          <w:tcPr/>
          <w:p>
            <w:pPr>
              <w:pStyle w:val="Tabla9"/>
              <w:jc w:val="left"/>
            </w:pPr>
            <w:r>
              <w:t xml:space="preserve">International Journal of Environmental Research and Public Health</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p>
            <w:pPr>
              <w:pStyle w:val="Tabla9"/>
              <w:jc w:val="left"/>
            </w:pPr>
            <w:r>
              <w:t xml:space="preserve">15</w:t>
            </w:r>
          </w:p>
        </w:tc>
        <w:tc>
          <w:tcPr/>
          <w:p>
            <w:pPr>
              <w:pStyle w:val="Tabla9"/>
              <w:jc w:val="left"/>
            </w:pPr>
            <w:r>
              <w:t xml:space="preserve">International Journal of Environmental Science and Technology</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p>
            <w:pPr>
              <w:pStyle w:val="Tabla9"/>
              <w:jc w:val="left"/>
            </w:pPr>
            <w:r>
              <w:t xml:space="preserve">16</w:t>
            </w:r>
          </w:p>
        </w:tc>
        <w:tc>
          <w:tcPr/>
          <w:p>
            <w:pPr>
              <w:pStyle w:val="Tabla9"/>
              <w:jc w:val="left"/>
            </w:pPr>
            <w:r>
              <w:t xml:space="preserve">Journal of South American Earth Sciences</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p>
            <w:pPr>
              <w:pStyle w:val="Tabla9"/>
              <w:jc w:val="left"/>
            </w:pPr>
            <w:r>
              <w:t xml:space="preserve">17</w:t>
            </w:r>
          </w:p>
        </w:tc>
        <w:tc>
          <w:tcPr/>
          <w:p>
            <w:pPr>
              <w:pStyle w:val="Tabla9"/>
              <w:jc w:val="left"/>
            </w:pPr>
            <w:r>
              <w:t xml:space="preserve">Luna Azul</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p>
            <w:pPr>
              <w:pStyle w:val="Tabla9"/>
              <w:jc w:val="left"/>
            </w:pPr>
            <w:r>
              <w:t xml:space="preserve">18</w:t>
            </w:r>
          </w:p>
        </w:tc>
        <w:tc>
          <w:tcPr/>
          <w:p>
            <w:pPr>
              <w:pStyle w:val="Tabla9"/>
              <w:jc w:val="left"/>
            </w:pPr>
            <w:r>
              <w:t xml:space="preserve">Sensors</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p>
            <w:pPr>
              <w:pStyle w:val="Tabla9"/>
              <w:jc w:val="left"/>
            </w:pPr>
            <w:r>
              <w:t xml:space="preserve">19</w:t>
            </w:r>
          </w:p>
        </w:tc>
        <w:tc>
          <w:tcPr/>
          <w:p>
            <w:pPr>
              <w:pStyle w:val="Tabla9"/>
              <w:jc w:val="left"/>
            </w:pPr>
            <w:r>
              <w:t xml:space="preserve">Sustainable Cities and Society</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F-INF §13.2 (p. 212). Desempate alfabético entre revistas con un artículo. Los indicadores de revista son VACIO y NO_VERIFICADO. Naturaleza: CALCULADO. Corpus de 26 artículos; año de corte 2026.</w:t>
      </w:r>
    </w:p>
    <w:p>
      <w:pPr>
        <w:pStyle w:val="BodyText"/>
      </w:pPr>
      <w:r>
        <w:t xml:space="preserve">Las zonas por tercios de artículos reúnen tres, ocho y ocho revistas. La Tabla 2.8 y la Figura 2.4 presentan las zonas y el multiplicador entre ellas.</w:t>
      </w:r>
    </w:p>
    <w:p>
      <w:pPr>
        <w:pStyle w:val="TablaRotulo"/>
      </w:pPr>
      <w:bookmarkStart w:id="9238" w:name="rot_Tabla_2_8"/>
      <w:r>
        <w:rPr>
          <w:b/>
          <w:bCs/>
        </w:rPr>
        <w:t xml:space="preserve">Tabla 2.8</w:t>
      </w:r>
      <w:bookmarkEnd w:id="9238"/>
    </w:p>
    <w:p>
      <w:pPr>
        <w:pStyle w:val="TablaTitulo"/>
      </w:pPr>
      <w:r>
        <w:rPr>
          <w:i/>
          <w:iCs/>
        </w:rPr>
        <w:t xml:space="preserve">Zonas de Bradford, porcentajes y multiplicador φ</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1188"/>
        <w:gridCol w:w="1320"/>
        <w:gridCol w:w="1518"/>
        <w:gridCol w:w="2178"/>
      </w:tblGrid>
      <w:tr>
        <w:trPr>
          <w:cantSplit/>
          <w:tblHeader/>
        </w:trPr>
        <w:tc>
          <w:tcPr>
            <w:shd w:val="clear" w:color="auto" w:fill="00B050"/>
          </w:tcPr>
          <w:p>
            <w:pPr>
              <w:pStyle w:val="Tabla9"/>
              <w:jc w:val="center"/>
            </w:pPr>
            <w:r>
              <w:rPr>
                <w:b/>
                <w:color w:val="FFFFFF"/>
              </w:rPr>
              <w:t xml:space="preserve">Zona</w:t>
            </w:r>
          </w:p>
        </w:tc>
        <w:tc>
          <w:tcPr>
            <w:shd w:val="clear" w:color="auto" w:fill="00B050"/>
          </w:tcPr>
          <w:p>
            <w:pPr>
              <w:pStyle w:val="Tabla9"/>
              <w:jc w:val="center"/>
            </w:pPr>
            <w:r>
              <w:rPr>
                <w:b/>
                <w:color w:val="FFFFFF"/>
              </w:rPr>
              <w:t xml:space="preserve">Revistas</w:t>
            </w:r>
          </w:p>
        </w:tc>
        <w:tc>
          <w:tcPr>
            <w:shd w:val="clear" w:color="auto" w:fill="00B050"/>
          </w:tcPr>
          <w:p>
            <w:pPr>
              <w:pStyle w:val="Tabla9"/>
              <w:jc w:val="center"/>
            </w:pPr>
            <w:r>
              <w:rPr>
                <w:b/>
                <w:color w:val="FFFFFF"/>
              </w:rPr>
              <w:t xml:space="preserve">Artículos</w:t>
            </w:r>
          </w:p>
        </w:tc>
        <w:tc>
          <w:tcPr>
            <w:shd w:val="clear" w:color="auto" w:fill="00B050"/>
          </w:tcPr>
          <w:p>
            <w:pPr>
              <w:pStyle w:val="Tabla9"/>
              <w:jc w:val="center"/>
            </w:pPr>
            <w:r>
              <w:rPr>
                <w:b/>
                <w:color w:val="FFFFFF"/>
              </w:rPr>
              <w:t xml:space="preserve">Porcentaje de artículos</w:t>
            </w:r>
          </w:p>
        </w:tc>
        <w:tc>
          <w:tcPr>
            <w:shd w:val="clear" w:color="auto" w:fill="00B050"/>
          </w:tcPr>
          <w:p>
            <w:pPr>
              <w:pStyle w:val="Tabla9"/>
              <w:jc w:val="center"/>
            </w:pPr>
            <w:r>
              <w:rPr>
                <w:b/>
                <w:color w:val="FFFFFF"/>
              </w:rPr>
              <w:t xml:space="preserve">Multiplicador entre zonas</w:t>
            </w:r>
          </w:p>
        </w:tc>
      </w:tr>
      <w:tr>
        <w:trPr>
          <w:cantSplit/>
        </w:trPr>
        <w:tc>
          <w:tcPr/>
          <w:p>
            <w:pPr>
              <w:pStyle w:val="Tabla9"/>
              <w:jc w:val="left"/>
            </w:pPr>
            <w:r>
              <w:t xml:space="preserve">Zona 1 (núcleo)</w:t>
            </w:r>
          </w:p>
        </w:tc>
        <w:tc>
          <w:tcPr/>
          <w:p>
            <w:pPr>
              <w:pStyle w:val="Tabla9"/>
              <w:jc w:val="left"/>
            </w:pPr>
            <w:r>
              <w:t xml:space="preserve">3</w:t>
            </w:r>
          </w:p>
        </w:tc>
        <w:tc>
          <w:tcPr/>
          <w:p>
            <w:pPr>
              <w:pStyle w:val="Tabla9"/>
              <w:jc w:val="left"/>
            </w:pPr>
            <w:r>
              <w:t xml:space="preserve">9</w:t>
            </w:r>
          </w:p>
        </w:tc>
        <w:tc>
          <w:tcPr/>
          <w:p>
            <w:pPr>
              <w:pStyle w:val="Tabla9"/>
              <w:jc w:val="left"/>
            </w:pPr>
            <w:r>
              <w:t xml:space="preserve">34,6 %</w:t>
            </w:r>
          </w:p>
        </w:tc>
        <w:tc>
          <w:tcPr/>
          <w:p>
            <w:pPr>
              <w:pStyle w:val="Tabla9"/>
              <w:jc w:val="left"/>
            </w:pPr>
            <w:r>
              <w:t xml:space="preserve">No aplica</w:t>
            </w:r>
          </w:p>
        </w:tc>
      </w:tr>
      <w:tr>
        <w:trPr>
          <w:cantSplit/>
        </w:trPr>
        <w:tc>
          <w:tcPr/>
          <w:p>
            <w:pPr>
              <w:pStyle w:val="Tabla9"/>
              <w:jc w:val="left"/>
            </w:pPr>
            <w:r>
              <w:t xml:space="preserve">Zona 2 (general)</w:t>
            </w:r>
          </w:p>
        </w:tc>
        <w:tc>
          <w:tcPr/>
          <w:p>
            <w:pPr>
              <w:pStyle w:val="Tabla9"/>
              <w:jc w:val="left"/>
            </w:pPr>
            <w:r>
              <w:t xml:space="preserve">8</w:t>
            </w:r>
          </w:p>
        </w:tc>
        <w:tc>
          <w:tcPr/>
          <w:p>
            <w:pPr>
              <w:pStyle w:val="Tabla9"/>
              <w:jc w:val="left"/>
            </w:pPr>
            <w:r>
              <w:t xml:space="preserve">9</w:t>
            </w:r>
          </w:p>
        </w:tc>
        <w:tc>
          <w:tcPr/>
          <w:p>
            <w:pPr>
              <w:pStyle w:val="Tabla9"/>
              <w:jc w:val="left"/>
            </w:pPr>
            <w:r>
              <w:t xml:space="preserve">34,6 %</w:t>
            </w:r>
          </w:p>
        </w:tc>
        <w:tc>
          <w:tcPr/>
          <w:p>
            <w:pPr>
              <w:pStyle w:val="Tabla9"/>
              <w:jc w:val="left"/>
            </w:pPr>
            <w:r>
              <w:t xml:space="preserve">2,67 (8 sobre 3)</w:t>
            </w:r>
          </w:p>
        </w:tc>
      </w:tr>
      <w:tr>
        <w:trPr>
          <w:cantSplit/>
        </w:trPr>
        <w:tc>
          <w:tcPr/>
          <w:p>
            <w:pPr>
              <w:pStyle w:val="Tabla9"/>
              <w:jc w:val="left"/>
            </w:pPr>
            <w:r>
              <w:t xml:space="preserve">Zona 3 (periférica)</w:t>
            </w:r>
          </w:p>
        </w:tc>
        <w:tc>
          <w:tcPr/>
          <w:p>
            <w:pPr>
              <w:pStyle w:val="Tabla9"/>
              <w:jc w:val="left"/>
            </w:pPr>
            <w:r>
              <w:t xml:space="preserve">8</w:t>
            </w:r>
          </w:p>
        </w:tc>
        <w:tc>
          <w:tcPr/>
          <w:p>
            <w:pPr>
              <w:pStyle w:val="Tabla9"/>
              <w:jc w:val="left"/>
            </w:pPr>
            <w:r>
              <w:t xml:space="preserve">8</w:t>
            </w:r>
          </w:p>
        </w:tc>
        <w:tc>
          <w:tcPr/>
          <w:p>
            <w:pPr>
              <w:pStyle w:val="Tabla9"/>
              <w:jc w:val="left"/>
            </w:pPr>
            <w:r>
              <w:t xml:space="preserve">30,8 %</w:t>
            </w:r>
          </w:p>
        </w:tc>
        <w:tc>
          <w:tcPr/>
          <w:p>
            <w:pPr>
              <w:pStyle w:val="Tabla9"/>
              <w:jc w:val="left"/>
            </w:pPr>
            <w:r>
              <w:t xml:space="preserve">1,00 (8 sobre 8)</w:t>
            </w:r>
          </w:p>
        </w:tc>
      </w:tr>
      <w:tr>
        <w:trPr>
          <w:cantSplit/>
        </w:trPr>
        <w:tc>
          <w:tcPr/>
          <w:p>
            <w:pPr>
              <w:pStyle w:val="Tabla9"/>
              <w:jc w:val="left"/>
            </w:pPr>
            <w:r>
              <w:t xml:space="preserve">Total</w:t>
            </w:r>
          </w:p>
        </w:tc>
        <w:tc>
          <w:tcPr/>
          <w:p>
            <w:pPr>
              <w:pStyle w:val="Tabla9"/>
              <w:jc w:val="left"/>
            </w:pPr>
            <w:r>
              <w:t xml:space="preserve">19</w:t>
            </w:r>
          </w:p>
        </w:tc>
        <w:tc>
          <w:tcPr/>
          <w:p>
            <w:pPr>
              <w:pStyle w:val="Tabla9"/>
              <w:jc w:val="left"/>
            </w:pPr>
            <w:r>
              <w:t xml:space="preserve">26</w:t>
            </w:r>
          </w:p>
        </w:tc>
        <w:tc>
          <w:tcPr/>
          <w:p>
            <w:pPr>
              <w:pStyle w:val="Tabla9"/>
              <w:jc w:val="left"/>
            </w:pPr>
            <w:r>
              <w:t xml:space="preserve">100,0 %</w:t>
            </w:r>
          </w:p>
        </w:tc>
        <w:tc>
          <w:tcPr/>
          <w:p>
            <w:pPr>
              <w:pStyle w:val="Tabla9"/>
              <w:jc w:val="left"/>
            </w:pPr>
            <w:r>
              <w:t xml:space="preserve">Intervalo de 95 % del primer multiplicador: 1,00 a 2,50</w:t>
            </w:r>
          </w:p>
        </w:tc>
      </w:tr>
    </w:tbl>
    <w:p>
      <w:pPr>
        <w:pStyle w:val="TablaNota"/>
      </w:pPr>
      <w:r>
        <w:rPr>
          <w:i/>
          <w:iCs/>
        </w:rPr>
        <w:t xml:space="preserve">Nota.</w:t>
      </w:r>
      <w:r>
        <w:t xml:space="preserve"> </w:t>
      </w:r>
      <w:r>
        <w:t xml:space="preserve">Elaboración propia. Zonas por tercios de 26 artículos (8,67 por zona). Intervalo de 95 % por bootstrap de 1.000 réplicas con semilla 42 sobre los artículos; el valor observado queda fuera del intervalo por los empates. Estimación exploratoria. Naturaleza: CALCULADO.</w:t>
      </w:r>
    </w:p>
    <w:p>
      <w:pPr>
        <w:pStyle w:val="FiguraRotulo"/>
      </w:pPr>
      <w:bookmarkStart w:id="9493" w:name="rot_Figura_2_4"/>
      <w:r>
        <w:rPr>
          <w:b/>
          <w:bCs/>
        </w:rPr>
        <w:t xml:space="preserve">Figura 2.4</w:t>
      </w:r>
      <w:bookmarkEnd w:id="9493"/>
    </w:p>
    <w:p>
      <w:pPr>
        <w:pStyle w:val="FiguraTitulo"/>
      </w:pPr>
      <w:r>
        <w:rPr>
          <w:i/>
          <w:iCs/>
        </w:rPr>
        <w:t xml:space="preserve">Revistas del corpus por zona de Bradford y número de artículos</w:t>
      </w:r>
    </w:p>
    <w:p>
      <w:pPr>
        <w:pStyle w:val="BodyText"/>
      </w:pPr>
      <w:r>
        <w:drawing>
          <wp:inline>
            <wp:extent cx="5579999" cy="3210438"/>
            <wp:effectExtent b="0" l="0" r="0" t="0"/>
            <wp:docPr descr="" title="" id="305" name="Picture"/>
            <a:graphic>
              <a:graphicData uri="http://schemas.openxmlformats.org/drawingml/2006/picture">
                <pic:pic>
                  <pic:nvPicPr>
                    <pic:cNvPr descr="/tmp/claude-0/-home-user-docs/ddf38714-2a7e-502b-92b4-1008e2832422/scratchpad/proy/figs/out/c2_bradford.png" id="306" name="Picture"/>
                    <pic:cNvPicPr>
                      <a:picLocks noChangeArrowheads="1" noChangeAspect="1"/>
                    </pic:cNvPicPr>
                  </pic:nvPicPr>
                  <pic:blipFill>
                    <a:blip r:embed="rId304"/>
                    <a:stretch>
                      <a:fillRect/>
                    </a:stretch>
                  </pic:blipFill>
                  <pic:spPr bwMode="auto">
                    <a:xfrm>
                      <a:off x="0" y="0"/>
                      <a:ext cx="5579999" cy="321043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Barras horizontales por revista; zonas por tercios de artículos; multiplicador φ con intervalo de 95 % por bootstrap (1.000 réplicas, semilla 42). Estimación exploratoria (N menor que 45); corpus de 26 artículos de 42 documentos; año de corte 2026.</w:t>
      </w:r>
    </w:p>
    <w:p>
      <w:pPr>
        <w:pStyle w:val="BodyText"/>
      </w:pPr>
      <w:r>
        <w:t xml:space="preserve">El multiplicador entre las zonas 1 y 2 es 2,67, cercano al valor de 3 que el protocolo asocia con estructura. El multiplicador entre las zonas 2 y 3 es 1,00, porque ocho revistas aportan un artículo cada una en ambas zonas. Bradford exige un multiplicador estable, y aquí no lo es. El intervalo de 95 % del primero va de 1,00 a 2,50 y no contiene el valor observado. Una lectura sostiene que la literatura se dispersa entre revistas generalistas de ambiente y sostenibilidad. La otra sostiene que un corpus armado por tema no permite estimar dispersión. El proyecto adopta la segunda.</w:t>
      </w:r>
    </w:p>
    <w:p>
      <w:pPr>
        <w:pStyle w:val="BodyText"/>
      </w:pPr>
      <w:r>
        <w:t xml:space="preserve">La implicación práctica es una lista de monitoreo continuo. Las tres revistas del núcleo y Urban Climate forman la lista mínima (PROPUESTO). Climate Services y Luna Azul se añaden por su vínculo con Colombia. Publican a Ruiz-Carrascal et al. (2026) y a Murad Pedraza et al. (2026), en ese orden. Para patentes, dos oficinas concentran los 15 documentos del corpus. La Organización Mundial de la Propiedad Intelectual (OMPI) publica 11 y la Oficina Europea de Patentes (OEP) publica cuatro. El buscador de la SIC completa la lista para Colombia.</w:t>
      </w:r>
    </w:p>
    <w:bookmarkEnd w:id="307"/>
    <w:bookmarkStart w:id="311" w:name="_Toc00900127"/>
    <w:p>
      <w:pPr>
        <w:pStyle w:val="Heading3"/>
      </w:pPr>
      <w:r>
        <w:t xml:space="preserve">2.2.5 Red de co-ocurrencia de palabras clave</w:t>
      </w:r>
    </w:p>
    <w:p>
      <w:pPr>
        <w:pStyle w:val="FirstParagraph"/>
      </w:pPr>
      <w:r>
        <w:t xml:space="preserve">La red de co-ocurrencia une términos que aparecen juntos y revela los temas que organizan un campo. El informe construyó una red con los 600 términos más frecuentes del texto completo. Usó una ventana de ocho términos y un peso mínimo de 30 co-ocurrencias. El resultado es una red de 584 nodos y 5.300 aristas (F-INF §7.5, p. 88). El análisis de co-palabras identifica temas por la asociación entre términos (Callon et al., 1991). Los programas de mapeo agrupan los términos en clusters según su co-ocurrencia (van Eck y Waltman, 2010).</w:t>
      </w:r>
    </w:p>
    <w:p>
      <w:pPr>
        <w:pStyle w:val="BodyText"/>
      </w:pPr>
      <w:r>
        <w:t xml:space="preserve">El informe detectó comunidades con tres algoritmos. Louvain produjo ocho comunidades con modularidad de 0,311. La propagación de etiquetas produjo dos comunidades con modularidad de 0,002, y el informe la descarta por inadecuada en una red densa. Girvan-Newman sobre los 70 términos de mayor grado produjo 22 grupos con modularidad de 0,013 y quedó degenerado (F-INF §7.5, p. 88). La Tabla 2.9 reproduce los 12 términos de mayor grado ponderado y su comunidad de Louvain.</w:t>
      </w:r>
    </w:p>
    <w:p>
      <w:pPr>
        <w:pStyle w:val="TablaRotulo"/>
      </w:pPr>
      <w:bookmarkStart w:id="9239" w:name="rot_Tabla_2_9"/>
      <w:r>
        <w:rPr>
          <w:b/>
          <w:bCs/>
        </w:rPr>
        <w:t xml:space="preserve">Tabla 2.9</w:t>
      </w:r>
      <w:bookmarkEnd w:id="9239"/>
    </w:p>
    <w:p>
      <w:pPr>
        <w:pStyle w:val="TablaTitulo"/>
      </w:pPr>
      <w:r>
        <w:rPr>
          <w:i/>
          <w:iCs/>
        </w:rPr>
        <w:t xml:space="preserve">Términos principales de la red de co-palabras de texto completo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792"/>
        <w:gridCol w:w="1122"/>
        <w:gridCol w:w="1782"/>
        <w:gridCol w:w="1188"/>
        <w:gridCol w:w="1650"/>
      </w:tblGrid>
      <w:tr>
        <w:trPr>
          <w:cantSplit/>
          <w:tblHeader/>
        </w:trPr>
        <w:tc>
          <w:tcPr>
            <w:shd w:val="clear" w:color="auto" w:fill="00B050"/>
          </w:tcPr>
          <w:p>
            <w:pPr>
              <w:pStyle w:val="Tabla9"/>
              <w:jc w:val="center"/>
            </w:pPr>
            <w:r>
              <w:rPr>
                <w:b/>
                <w:color w:val="FFFFFF"/>
              </w:rPr>
              <w:t xml:space="preserve">Término</w:t>
            </w:r>
          </w:p>
        </w:tc>
        <w:tc>
          <w:tcPr>
            <w:shd w:val="clear" w:color="auto" w:fill="00B050"/>
          </w:tcPr>
          <w:p>
            <w:pPr>
              <w:pStyle w:val="Tabla9"/>
              <w:jc w:val="center"/>
            </w:pPr>
            <w:r>
              <w:rPr>
                <w:b/>
                <w:color w:val="FFFFFF"/>
              </w:rPr>
              <w:t xml:space="preserve">Grado</w:t>
            </w:r>
          </w:p>
        </w:tc>
        <w:tc>
          <w:tcPr>
            <w:shd w:val="clear" w:color="auto" w:fill="00B050"/>
          </w:tcPr>
          <w:p>
            <w:pPr>
              <w:pStyle w:val="Tabla9"/>
              <w:jc w:val="center"/>
            </w:pPr>
            <w:r>
              <w:rPr>
                <w:b/>
                <w:color w:val="FFFFFF"/>
              </w:rPr>
              <w:t xml:space="preserve">Grado ponderado</w:t>
            </w:r>
          </w:p>
        </w:tc>
        <w:tc>
          <w:tcPr>
            <w:shd w:val="clear" w:color="auto" w:fill="00B050"/>
          </w:tcPr>
          <w:p>
            <w:pPr>
              <w:pStyle w:val="Tabla9"/>
              <w:jc w:val="center"/>
            </w:pPr>
            <w:r>
              <w:rPr>
                <w:b/>
                <w:color w:val="FFFFFF"/>
              </w:rPr>
              <w:t xml:space="preserve">Intermediación</w:t>
            </w:r>
          </w:p>
        </w:tc>
        <w:tc>
          <w:tcPr>
            <w:shd w:val="clear" w:color="auto" w:fill="00B050"/>
          </w:tcPr>
          <w:p>
            <w:pPr>
              <w:pStyle w:val="Tabla9"/>
              <w:jc w:val="center"/>
            </w:pPr>
            <w:r>
              <w:rPr>
                <w:b/>
                <w:color w:val="FFFFFF"/>
              </w:rPr>
              <w:t xml:space="preserve">Comunidad de Louvain</w:t>
            </w:r>
          </w:p>
        </w:tc>
        <w:tc>
          <w:tcPr>
            <w:shd w:val="clear" w:color="auto" w:fill="00B050"/>
          </w:tcPr>
          <w:p>
            <w:pPr>
              <w:pStyle w:val="Tabla9"/>
              <w:jc w:val="center"/>
            </w:pPr>
            <w:r>
              <w:rPr>
                <w:b/>
                <w:color w:val="FFFFFF"/>
              </w:rPr>
              <w:t xml:space="preserve">Lectura</w:t>
            </w:r>
          </w:p>
        </w:tc>
      </w:tr>
      <w:tr>
        <w:trPr>
          <w:cantSplit/>
        </w:trPr>
        <w:tc>
          <w:tcPr/>
          <w:p>
            <w:pPr>
              <w:pStyle w:val="Tabla9"/>
              <w:jc w:val="left"/>
            </w:pPr>
            <w:r>
              <w:t xml:space="preserve">data</w:t>
            </w:r>
          </w:p>
        </w:tc>
        <w:tc>
          <w:tcPr/>
          <w:p>
            <w:pPr>
              <w:pStyle w:val="Tabla9"/>
              <w:jc w:val="left"/>
            </w:pPr>
            <w:r>
              <w:t xml:space="preserve">393</w:t>
            </w:r>
          </w:p>
        </w:tc>
        <w:tc>
          <w:tcPr/>
          <w:p>
            <w:pPr>
              <w:pStyle w:val="Tabla9"/>
              <w:jc w:val="left"/>
            </w:pPr>
            <w:r>
              <w:t xml:space="preserve">39.987</w:t>
            </w:r>
          </w:p>
        </w:tc>
        <w:tc>
          <w:tcPr/>
          <w:p>
            <w:pPr>
              <w:pStyle w:val="Tabla9"/>
              <w:jc w:val="left"/>
            </w:pPr>
            <w:r>
              <w:t xml:space="preserve">0,5869</w:t>
            </w:r>
          </w:p>
        </w:tc>
        <w:tc>
          <w:tcPr/>
          <w:p>
            <w:pPr>
              <w:pStyle w:val="Tabla9"/>
              <w:jc w:val="left"/>
            </w:pPr>
            <w:r>
              <w:t xml:space="preserve">2</w:t>
            </w:r>
          </w:p>
        </w:tc>
        <w:tc>
          <w:tcPr/>
          <w:p>
            <w:pPr>
              <w:pStyle w:val="Tabla9"/>
              <w:jc w:val="left"/>
            </w:pPr>
            <w:r>
              <w:t xml:space="preserve">Centro de la red y puente entre comunidades</w:t>
            </w:r>
          </w:p>
        </w:tc>
      </w:tr>
      <w:tr>
        <w:trPr>
          <w:cantSplit/>
        </w:trPr>
        <w:tc>
          <w:tcPr/>
          <w:p>
            <w:pPr>
              <w:pStyle w:val="Tabla9"/>
              <w:jc w:val="left"/>
            </w:pPr>
            <w:r>
              <w:t xml:space="preserve">air</w:t>
            </w:r>
          </w:p>
        </w:tc>
        <w:tc>
          <w:tcPr/>
          <w:p>
            <w:pPr>
              <w:pStyle w:val="Tabla9"/>
              <w:jc w:val="left"/>
            </w:pPr>
            <w:r>
              <w:t xml:space="preserve">371</w:t>
            </w:r>
          </w:p>
        </w:tc>
        <w:tc>
          <w:tcPr/>
          <w:p>
            <w:pPr>
              <w:pStyle w:val="Tabla9"/>
              <w:jc w:val="left"/>
            </w:pPr>
            <w:r>
              <w:t xml:space="preserve">34.274</w:t>
            </w:r>
          </w:p>
        </w:tc>
        <w:tc>
          <w:tcPr/>
          <w:p>
            <w:pPr>
              <w:pStyle w:val="Tabla9"/>
              <w:jc w:val="left"/>
            </w:pPr>
            <w:r>
              <w:t xml:space="preserve">0,4463</w:t>
            </w:r>
          </w:p>
        </w:tc>
        <w:tc>
          <w:tcPr/>
          <w:p>
            <w:pPr>
              <w:pStyle w:val="Tabla9"/>
              <w:jc w:val="left"/>
            </w:pPr>
            <w:r>
              <w:t xml:space="preserve">1</w:t>
            </w:r>
          </w:p>
        </w:tc>
        <w:tc>
          <w:tcPr/>
          <w:p>
            <w:pPr>
              <w:pStyle w:val="Tabla9"/>
              <w:jc w:val="left"/>
            </w:pPr>
            <w:r>
              <w:t xml:space="preserve">Núcleo de la comunidad de aire y contaminantes</w:t>
            </w:r>
          </w:p>
        </w:tc>
      </w:tr>
      <w:tr>
        <w:trPr>
          <w:cantSplit/>
        </w:trPr>
        <w:tc>
          <w:tcPr/>
          <w:p>
            <w:pPr>
              <w:pStyle w:val="Tabla9"/>
              <w:jc w:val="left"/>
            </w:pPr>
            <w:r>
              <w:t xml:space="preserve">model</w:t>
            </w:r>
          </w:p>
        </w:tc>
        <w:tc>
          <w:tcPr/>
          <w:p>
            <w:pPr>
              <w:pStyle w:val="Tabla9"/>
              <w:jc w:val="left"/>
            </w:pPr>
            <w:r>
              <w:t xml:space="preserve">287</w:t>
            </w:r>
          </w:p>
        </w:tc>
        <w:tc>
          <w:tcPr/>
          <w:p>
            <w:pPr>
              <w:pStyle w:val="Tabla9"/>
              <w:jc w:val="left"/>
            </w:pPr>
            <w:r>
              <w:t xml:space="preserve">26.811</w:t>
            </w:r>
          </w:p>
        </w:tc>
        <w:tc>
          <w:tcPr/>
          <w:p>
            <w:pPr>
              <w:pStyle w:val="Tabla9"/>
              <w:jc w:val="left"/>
            </w:pPr>
            <w:r>
              <w:t xml:space="preserve">0,2304</w:t>
            </w:r>
          </w:p>
        </w:tc>
        <w:tc>
          <w:tcPr/>
          <w:p>
            <w:pPr>
              <w:pStyle w:val="Tabla9"/>
              <w:jc w:val="left"/>
            </w:pPr>
            <w:r>
              <w:t xml:space="preserve">3</w:t>
            </w:r>
          </w:p>
        </w:tc>
        <w:tc>
          <w:tcPr/>
          <w:p>
            <w:pPr>
              <w:pStyle w:val="Tabla9"/>
              <w:jc w:val="left"/>
            </w:pPr>
            <w:r>
              <w:t xml:space="preserve">Núcleo de la comunidad de modelo y predicción</w:t>
            </w:r>
          </w:p>
        </w:tc>
      </w:tr>
      <w:tr>
        <w:trPr>
          <w:cantSplit/>
        </w:trPr>
        <w:tc>
          <w:tcPr/>
          <w:p>
            <w:pPr>
              <w:pStyle w:val="Tabla9"/>
              <w:jc w:val="left"/>
            </w:pPr>
            <w:r>
              <w:t xml:space="preserve">sensor</w:t>
            </w:r>
          </w:p>
        </w:tc>
        <w:tc>
          <w:tcPr/>
          <w:p>
            <w:pPr>
              <w:pStyle w:val="Tabla9"/>
              <w:jc w:val="left"/>
            </w:pPr>
            <w:r>
              <w:t xml:space="preserve">226</w:t>
            </w:r>
          </w:p>
        </w:tc>
        <w:tc>
          <w:tcPr/>
          <w:p>
            <w:pPr>
              <w:pStyle w:val="Tabla9"/>
              <w:jc w:val="left"/>
            </w:pPr>
            <w:r>
              <w:t xml:space="preserve">22.377</w:t>
            </w:r>
          </w:p>
        </w:tc>
        <w:tc>
          <w:tcPr/>
          <w:p>
            <w:pPr>
              <w:pStyle w:val="Tabla9"/>
              <w:jc w:val="left"/>
            </w:pPr>
            <w:r>
              <w:t xml:space="preserve">0,1568</w:t>
            </w:r>
          </w:p>
        </w:tc>
        <w:tc>
          <w:tcPr/>
          <w:p>
            <w:pPr>
              <w:pStyle w:val="Tabla9"/>
              <w:jc w:val="left"/>
            </w:pPr>
            <w:r>
              <w:t xml:space="preserve">2</w:t>
            </w:r>
          </w:p>
        </w:tc>
        <w:tc>
          <w:tcPr/>
          <w:p>
            <w:pPr>
              <w:pStyle w:val="Tabla9"/>
              <w:jc w:val="left"/>
            </w:pPr>
            <w:r>
              <w:t xml:space="preserve">Une datos, dispositivos y control</w:t>
            </w:r>
          </w:p>
        </w:tc>
      </w:tr>
      <w:tr>
        <w:trPr>
          <w:cantSplit/>
        </w:trPr>
        <w:tc>
          <w:tcPr/>
          <w:p>
            <w:pPr>
              <w:pStyle w:val="Tabla9"/>
              <w:jc w:val="left"/>
            </w:pPr>
            <w:r>
              <w:t xml:space="preserve">health</w:t>
            </w:r>
          </w:p>
        </w:tc>
        <w:tc>
          <w:tcPr/>
          <w:p>
            <w:pPr>
              <w:pStyle w:val="Tabla9"/>
              <w:jc w:val="left"/>
            </w:pPr>
            <w:r>
              <w:t xml:space="preserve">163</w:t>
            </w:r>
          </w:p>
        </w:tc>
        <w:tc>
          <w:tcPr/>
          <w:p>
            <w:pPr>
              <w:pStyle w:val="Tabla9"/>
              <w:jc w:val="left"/>
            </w:pPr>
            <w:r>
              <w:t xml:space="preserve">15.795</w:t>
            </w:r>
          </w:p>
        </w:tc>
        <w:tc>
          <w:tcPr/>
          <w:p>
            <w:pPr>
              <w:pStyle w:val="Tabla9"/>
              <w:jc w:val="left"/>
            </w:pPr>
            <w:r>
              <w:t xml:space="preserve">0,0931</w:t>
            </w:r>
          </w:p>
        </w:tc>
        <w:tc>
          <w:tcPr/>
          <w:p>
            <w:pPr>
              <w:pStyle w:val="Tabla9"/>
              <w:jc w:val="left"/>
            </w:pPr>
            <w:r>
              <w:t xml:space="preserve">4</w:t>
            </w:r>
          </w:p>
        </w:tc>
        <w:tc>
          <w:tcPr/>
          <w:p>
            <w:pPr>
              <w:pStyle w:val="Tabla9"/>
              <w:jc w:val="left"/>
            </w:pPr>
            <w:r>
              <w:t xml:space="preserve">Polisémico: estado de activos y salud humana</w:t>
            </w:r>
          </w:p>
        </w:tc>
      </w:tr>
      <w:tr>
        <w:trPr>
          <w:cantSplit/>
        </w:trPr>
        <w:tc>
          <w:tcPr/>
          <w:p>
            <w:pPr>
              <w:pStyle w:val="Tabla9"/>
              <w:jc w:val="left"/>
            </w:pPr>
            <w:r>
              <w:t xml:space="preserve">asset</w:t>
            </w:r>
          </w:p>
        </w:tc>
        <w:tc>
          <w:tcPr/>
          <w:p>
            <w:pPr>
              <w:pStyle w:val="Tabla9"/>
              <w:jc w:val="left"/>
            </w:pPr>
            <w:r>
              <w:t xml:space="preserve">104</w:t>
            </w:r>
          </w:p>
        </w:tc>
        <w:tc>
          <w:tcPr/>
          <w:p>
            <w:pPr>
              <w:pStyle w:val="Tabla9"/>
              <w:jc w:val="left"/>
            </w:pPr>
            <w:r>
              <w:t xml:space="preserve">14.943</w:t>
            </w:r>
          </w:p>
        </w:tc>
        <w:tc>
          <w:tcPr/>
          <w:p>
            <w:pPr>
              <w:pStyle w:val="Tabla9"/>
              <w:jc w:val="left"/>
            </w:pPr>
            <w:r>
              <w:t xml:space="preserve">0,1517</w:t>
            </w:r>
          </w:p>
        </w:tc>
        <w:tc>
          <w:tcPr/>
          <w:p>
            <w:pPr>
              <w:pStyle w:val="Tabla9"/>
              <w:jc w:val="left"/>
            </w:pPr>
            <w:r>
              <w:t xml:space="preserve">4</w:t>
            </w:r>
          </w:p>
        </w:tc>
        <w:tc>
          <w:tcPr/>
          <w:p>
            <w:pPr>
              <w:pStyle w:val="Tabla9"/>
              <w:jc w:val="left"/>
            </w:pPr>
            <w:r>
              <w:t xml:space="preserve">Vocabulario de patentes de turbinas</w:t>
            </w:r>
          </w:p>
        </w:tc>
      </w:tr>
      <w:tr>
        <w:trPr>
          <w:cantSplit/>
        </w:trPr>
        <w:tc>
          <w:tcPr/>
          <w:p>
            <w:pPr>
              <w:pStyle w:val="Tabla9"/>
              <w:jc w:val="left"/>
            </w:pPr>
            <w:r>
              <w:t xml:space="preserve">quality</w:t>
            </w:r>
          </w:p>
        </w:tc>
        <w:tc>
          <w:tcPr/>
          <w:p>
            <w:pPr>
              <w:pStyle w:val="Tabla9"/>
              <w:jc w:val="left"/>
            </w:pPr>
            <w:r>
              <w:t xml:space="preserve">167</w:t>
            </w:r>
          </w:p>
        </w:tc>
        <w:tc>
          <w:tcPr/>
          <w:p>
            <w:pPr>
              <w:pStyle w:val="Tabla9"/>
              <w:jc w:val="left"/>
            </w:pPr>
            <w:r>
              <w:t xml:space="preserve">13.571</w:t>
            </w:r>
          </w:p>
        </w:tc>
        <w:tc>
          <w:tcPr/>
          <w:p>
            <w:pPr>
              <w:pStyle w:val="Tabla9"/>
              <w:jc w:val="left"/>
            </w:pPr>
            <w:r>
              <w:t xml:space="preserve">0,0000</w:t>
            </w:r>
          </w:p>
        </w:tc>
        <w:tc>
          <w:tcPr/>
          <w:p>
            <w:pPr>
              <w:pStyle w:val="Tabla9"/>
              <w:jc w:val="left"/>
            </w:pPr>
            <w:r>
              <w:t xml:space="preserve">1</w:t>
            </w:r>
          </w:p>
        </w:tc>
        <w:tc>
          <w:tcPr/>
          <w:p>
            <w:pPr>
              <w:pStyle w:val="Tabla9"/>
              <w:jc w:val="left"/>
            </w:pPr>
            <w:r>
              <w:t xml:space="preserve">Acompaña a air sin actuar como puente</w:t>
            </w:r>
          </w:p>
        </w:tc>
      </w:tr>
      <w:tr>
        <w:trPr>
          <w:cantSplit/>
        </w:trPr>
        <w:tc>
          <w:tcPr/>
          <w:p>
            <w:pPr>
              <w:pStyle w:val="Tabla9"/>
              <w:jc w:val="left"/>
            </w:pPr>
            <w:r>
              <w:t xml:space="preserve">time</w:t>
            </w:r>
          </w:p>
        </w:tc>
        <w:tc>
          <w:tcPr/>
          <w:p>
            <w:pPr>
              <w:pStyle w:val="Tabla9"/>
              <w:jc w:val="left"/>
            </w:pPr>
            <w:r>
              <w:t xml:space="preserve">150</w:t>
            </w:r>
          </w:p>
        </w:tc>
        <w:tc>
          <w:tcPr/>
          <w:p>
            <w:pPr>
              <w:pStyle w:val="Tabla9"/>
              <w:jc w:val="left"/>
            </w:pPr>
            <w:r>
              <w:t xml:space="preserve">11.222</w:t>
            </w:r>
          </w:p>
        </w:tc>
        <w:tc>
          <w:tcPr/>
          <w:p>
            <w:pPr>
              <w:pStyle w:val="Tabla9"/>
              <w:jc w:val="left"/>
            </w:pPr>
            <w:r>
              <w:t xml:space="preserve">0,0215</w:t>
            </w:r>
          </w:p>
        </w:tc>
        <w:tc>
          <w:tcPr/>
          <w:p>
            <w:pPr>
              <w:pStyle w:val="Tabla9"/>
              <w:jc w:val="left"/>
            </w:pPr>
            <w:r>
              <w:t xml:space="preserve">3</w:t>
            </w:r>
          </w:p>
        </w:tc>
        <w:tc>
          <w:tcPr/>
          <w:p>
            <w:pPr>
              <w:pStyle w:val="Tabla9"/>
              <w:jc w:val="left"/>
            </w:pPr>
            <w:r>
              <w:t xml:space="preserve">Series temporales y pronóstico</w:t>
            </w:r>
          </w:p>
        </w:tc>
      </w:tr>
      <w:tr>
        <w:trPr>
          <w:cantSplit/>
        </w:trPr>
        <w:tc>
          <w:tcPr/>
          <w:p>
            <w:pPr>
              <w:pStyle w:val="Tabla9"/>
              <w:jc w:val="left"/>
            </w:pPr>
            <w:r>
              <w:t xml:space="preserve">engine</w:t>
            </w:r>
          </w:p>
        </w:tc>
        <w:tc>
          <w:tcPr/>
          <w:p>
            <w:pPr>
              <w:pStyle w:val="Tabla9"/>
              <w:jc w:val="left"/>
            </w:pPr>
            <w:r>
              <w:t xml:space="preserve">113</w:t>
            </w:r>
          </w:p>
        </w:tc>
        <w:tc>
          <w:tcPr/>
          <w:p>
            <w:pPr>
              <w:pStyle w:val="Tabla9"/>
              <w:jc w:val="left"/>
            </w:pPr>
            <w:r>
              <w:t xml:space="preserve">10.539</w:t>
            </w:r>
          </w:p>
        </w:tc>
        <w:tc>
          <w:tcPr/>
          <w:p>
            <w:pPr>
              <w:pStyle w:val="Tabla9"/>
              <w:jc w:val="left"/>
            </w:pPr>
            <w:r>
              <w:t xml:space="preserve">0,0420</w:t>
            </w:r>
          </w:p>
        </w:tc>
        <w:tc>
          <w:tcPr/>
          <w:p>
            <w:pPr>
              <w:pStyle w:val="Tabla9"/>
              <w:jc w:val="left"/>
            </w:pPr>
            <w:r>
              <w:t xml:space="preserve">4</w:t>
            </w:r>
          </w:p>
        </w:tc>
        <w:tc>
          <w:tcPr/>
          <w:p>
            <w:pPr>
              <w:pStyle w:val="Tabla9"/>
              <w:jc w:val="left"/>
            </w:pPr>
            <w:r>
              <w:t xml:space="preserve">Vocabulario de patentes de motores</w:t>
            </w:r>
          </w:p>
        </w:tc>
      </w:tr>
      <w:tr>
        <w:trPr>
          <w:cantSplit/>
        </w:trPr>
        <w:tc>
          <w:tcPr/>
          <w:p>
            <w:pPr>
              <w:pStyle w:val="Tabla9"/>
              <w:jc w:val="left"/>
            </w:pPr>
            <w:r>
              <w:t xml:space="preserve">value</w:t>
            </w:r>
          </w:p>
        </w:tc>
        <w:tc>
          <w:tcPr/>
          <w:p>
            <w:pPr>
              <w:pStyle w:val="Tabla9"/>
              <w:jc w:val="left"/>
            </w:pPr>
            <w:r>
              <w:t xml:space="preserve">130</w:t>
            </w:r>
          </w:p>
        </w:tc>
        <w:tc>
          <w:tcPr/>
          <w:p>
            <w:pPr>
              <w:pStyle w:val="Tabla9"/>
              <w:jc w:val="left"/>
            </w:pPr>
            <w:r>
              <w:t xml:space="preserve">10.084</w:t>
            </w:r>
          </w:p>
        </w:tc>
        <w:tc>
          <w:tcPr/>
          <w:p>
            <w:pPr>
              <w:pStyle w:val="Tabla9"/>
              <w:jc w:val="left"/>
            </w:pPr>
            <w:r>
              <w:t xml:space="preserve">0,0294</w:t>
            </w:r>
          </w:p>
        </w:tc>
        <w:tc>
          <w:tcPr/>
          <w:p>
            <w:pPr>
              <w:pStyle w:val="Tabla9"/>
              <w:jc w:val="left"/>
            </w:pPr>
            <w:r>
              <w:t xml:space="preserve">3</w:t>
            </w:r>
          </w:p>
        </w:tc>
        <w:tc>
          <w:tcPr/>
          <w:p>
            <w:pPr>
              <w:pStyle w:val="Tabla9"/>
              <w:jc w:val="left"/>
            </w:pPr>
            <w:r>
              <w:t xml:space="preserve">Valores de modelos y de índices</w:t>
            </w:r>
          </w:p>
        </w:tc>
      </w:tr>
      <w:tr>
        <w:trPr>
          <w:cantSplit/>
        </w:trPr>
        <w:tc>
          <w:tcPr/>
          <w:p>
            <w:pPr>
              <w:pStyle w:val="Tabla9"/>
              <w:jc w:val="left"/>
            </w:pPr>
            <w:r>
              <w:t xml:space="preserve">environment</w:t>
            </w:r>
          </w:p>
        </w:tc>
        <w:tc>
          <w:tcPr/>
          <w:p>
            <w:pPr>
              <w:pStyle w:val="Tabla9"/>
              <w:jc w:val="left"/>
            </w:pPr>
            <w:r>
              <w:t xml:space="preserve">94</w:t>
            </w:r>
          </w:p>
        </w:tc>
        <w:tc>
          <w:tcPr/>
          <w:p>
            <w:pPr>
              <w:pStyle w:val="Tabla9"/>
              <w:jc w:val="left"/>
            </w:pPr>
            <w:r>
              <w:t xml:space="preserve">9.338</w:t>
            </w:r>
          </w:p>
        </w:tc>
        <w:tc>
          <w:tcPr/>
          <w:p>
            <w:pPr>
              <w:pStyle w:val="Tabla9"/>
              <w:jc w:val="left"/>
            </w:pPr>
            <w:r>
              <w:t xml:space="preserve">0,0412</w:t>
            </w:r>
          </w:p>
        </w:tc>
        <w:tc>
          <w:tcPr/>
          <w:p>
            <w:pPr>
              <w:pStyle w:val="Tabla9"/>
              <w:jc w:val="left"/>
            </w:pPr>
            <w:r>
              <w:t xml:space="preserve">2</w:t>
            </w:r>
          </w:p>
        </w:tc>
        <w:tc>
          <w:tcPr/>
          <w:p>
            <w:pPr>
              <w:pStyle w:val="Tabla9"/>
              <w:jc w:val="left"/>
            </w:pPr>
            <w:r>
              <w:t xml:space="preserve">Contexto de datos y sensores</w:t>
            </w:r>
          </w:p>
        </w:tc>
      </w:tr>
      <w:tr>
        <w:trPr>
          <w:cantSplit/>
        </w:trPr>
        <w:tc>
          <w:tcPr/>
          <w:p>
            <w:pPr>
              <w:pStyle w:val="Tabla9"/>
              <w:jc w:val="left"/>
            </w:pPr>
            <w:r>
              <w:t xml:space="preserve">pollutant</w:t>
            </w:r>
          </w:p>
        </w:tc>
        <w:tc>
          <w:tcPr/>
          <w:p>
            <w:pPr>
              <w:pStyle w:val="Tabla9"/>
              <w:jc w:val="left"/>
            </w:pPr>
            <w:r>
              <w:t xml:space="preserve">123</w:t>
            </w:r>
          </w:p>
        </w:tc>
        <w:tc>
          <w:tcPr/>
          <w:p>
            <w:pPr>
              <w:pStyle w:val="Tabla9"/>
              <w:jc w:val="left"/>
            </w:pPr>
            <w:r>
              <w:t xml:space="preserve">9.056</w:t>
            </w:r>
          </w:p>
        </w:tc>
        <w:tc>
          <w:tcPr/>
          <w:p>
            <w:pPr>
              <w:pStyle w:val="Tabla9"/>
              <w:jc w:val="left"/>
            </w:pPr>
            <w:r>
              <w:t xml:space="preserve">0,0300</w:t>
            </w:r>
          </w:p>
        </w:tc>
        <w:tc>
          <w:tcPr/>
          <w:p>
            <w:pPr>
              <w:pStyle w:val="Tabla9"/>
              <w:jc w:val="left"/>
            </w:pPr>
            <w:r>
              <w:t xml:space="preserve">1</w:t>
            </w:r>
          </w:p>
        </w:tc>
        <w:tc>
          <w:tcPr/>
          <w:p>
            <w:pPr>
              <w:pStyle w:val="Tabla9"/>
              <w:jc w:val="left"/>
            </w:pPr>
            <w:r>
              <w:t xml:space="preserve">Contaminantes del aire</w:t>
            </w:r>
          </w:p>
        </w:tc>
      </w:tr>
    </w:tbl>
    <w:p>
      <w:pPr>
        <w:pStyle w:val="TablaNota"/>
      </w:pPr>
      <w:r>
        <w:rPr>
          <w:i/>
          <w:iCs/>
        </w:rPr>
        <w:t xml:space="preserve">Nota.</w:t>
      </w:r>
      <w:r>
        <w:t xml:space="preserve"> </w:t>
      </w:r>
      <w:r>
        <w:t xml:space="preserve">Elaboración propia con datos de F-INF §7.5, Tabla 36 (p. 88). Red de 584 nodos y 5.300 aristas; Louvain con 8 comunidades y modularidad de 0,311. Naturaleza: DOCUMENTADO; la columna de lectura es INFERIDO. Corpus de 42 documentos; año de corte 2026.</w:t>
      </w:r>
    </w:p>
    <w:p>
      <w:pPr>
        <w:pStyle w:val="BodyText"/>
      </w:pPr>
      <w:r>
        <w:t xml:space="preserve">Los términos data, air, model y sensor concentran el grado ponderado. La intermediación de data, de 0,5869, y la de air, de 0,4463, indican que ambos términos conectan comunidades. El término health ocupa el quinto lugar, pero pertenece a la comunidad de activos y motores. Dos patentes de General Electric usan salud para describir el estado de una turbina (F-INF §10.3, p. 132). Por eso la centralidad de health no prueba que el corpus mida salud humana.</w:t>
      </w:r>
    </w:p>
    <w:p>
      <w:pPr>
        <w:pStyle w:val="BodyText"/>
      </w:pPr>
      <w:r>
        <w:t xml:space="preserve">El proyecto calcula además una red propia con palabras de título. La rotula así porque el informe no reporta palabras clave por documento. La Tabla 2.10 y la Figura 2.5 presentan la red de 49 palabras con frecuencia de dos o más, 260 aristas y cinco comunidades. Su modularidad es de 0,27.</w:t>
      </w:r>
    </w:p>
    <w:p>
      <w:pPr>
        <w:pStyle w:val="TablaRotulo"/>
      </w:pPr>
      <w:bookmarkStart w:id="9240" w:name="rot_Tabla_2_10"/>
      <w:r>
        <w:rPr>
          <w:b/>
          <w:bCs/>
        </w:rPr>
        <w:t xml:space="preserve">Tabla 2.10</w:t>
      </w:r>
      <w:bookmarkEnd w:id="9240"/>
    </w:p>
    <w:p>
      <w:pPr>
        <w:pStyle w:val="TablaTitulo"/>
      </w:pPr>
      <w:r>
        <w:rPr>
          <w:i/>
          <w:iCs/>
        </w:rPr>
        <w:t xml:space="preserve">Palabras de título principales: frecuencia, comunidad y centralidad</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31"/>
        <w:gridCol w:w="1264"/>
        <w:gridCol w:w="1197"/>
        <w:gridCol w:w="732"/>
        <w:gridCol w:w="1730"/>
        <w:gridCol w:w="1663"/>
      </w:tblGrid>
      <w:tr>
        <w:trPr>
          <w:cantSplit/>
          <w:tblHeader/>
        </w:trPr>
        <w:tc>
          <w:tcPr>
            <w:shd w:val="clear" w:color="auto" w:fill="00B050"/>
          </w:tcPr>
          <w:p>
            <w:pPr>
              <w:pStyle w:val="Tabla9"/>
              <w:jc w:val="center"/>
            </w:pPr>
            <w:r>
              <w:rPr>
                <w:b/>
                <w:color w:val="FFFFFF"/>
              </w:rPr>
              <w:t xml:space="preserve">Palabra de título</w:t>
            </w:r>
          </w:p>
        </w:tc>
        <w:tc>
          <w:tcPr>
            <w:shd w:val="clear" w:color="auto" w:fill="00B050"/>
          </w:tcPr>
          <w:p>
            <w:pPr>
              <w:pStyle w:val="Tabla9"/>
              <w:jc w:val="center"/>
            </w:pPr>
            <w:r>
              <w:rPr>
                <w:b/>
                <w:color w:val="FFFFFF"/>
              </w:rPr>
              <w:t xml:space="preserve">Frecuencia en títulos</w:t>
            </w:r>
          </w:p>
        </w:tc>
        <w:tc>
          <w:tcPr>
            <w:shd w:val="clear" w:color="auto" w:fill="00B050"/>
          </w:tcPr>
          <w:p>
            <w:pPr>
              <w:pStyle w:val="Tabla9"/>
              <w:jc w:val="center"/>
            </w:pPr>
            <w:r>
              <w:rPr>
                <w:b/>
                <w:color w:val="FFFFFF"/>
              </w:rPr>
              <w:t xml:space="preserve">Comunidad</w:t>
            </w:r>
          </w:p>
        </w:tc>
        <w:tc>
          <w:tcPr>
            <w:shd w:val="clear" w:color="auto" w:fill="00B050"/>
          </w:tcPr>
          <w:p>
            <w:pPr>
              <w:pStyle w:val="Tabla9"/>
              <w:jc w:val="center"/>
            </w:pPr>
            <w:r>
              <w:rPr>
                <w:b/>
                <w:color w:val="FFFFFF"/>
              </w:rPr>
              <w:t xml:space="preserve">Grado</w:t>
            </w:r>
          </w:p>
        </w:tc>
        <w:tc>
          <w:tcPr>
            <w:shd w:val="clear" w:color="auto" w:fill="00B050"/>
          </w:tcPr>
          <w:p>
            <w:pPr>
              <w:pStyle w:val="Tabla9"/>
              <w:jc w:val="center"/>
            </w:pPr>
            <w:r>
              <w:rPr>
                <w:b/>
                <w:color w:val="FFFFFF"/>
              </w:rPr>
              <w:t xml:space="preserve">Intermediación</w:t>
            </w:r>
          </w:p>
        </w:tc>
        <w:tc>
          <w:tcPr>
            <w:shd w:val="clear" w:color="auto" w:fill="00B050"/>
          </w:tcPr>
          <w:p>
            <w:pPr>
              <w:pStyle w:val="Tabla9"/>
              <w:jc w:val="center"/>
            </w:pPr>
            <w:r>
              <w:rPr>
                <w:b/>
                <w:color w:val="FFFFFF"/>
              </w:rPr>
              <w:t xml:space="preserve">Lectura</w:t>
            </w:r>
          </w:p>
        </w:tc>
      </w:tr>
      <w:tr>
        <w:trPr>
          <w:cantSplit/>
        </w:trPr>
        <w:tc>
          <w:tcPr/>
          <w:p>
            <w:pPr>
              <w:pStyle w:val="Tabla9"/>
              <w:jc w:val="left"/>
            </w:pPr>
            <w:r>
              <w:t xml:space="preserve">air</w:t>
            </w:r>
          </w:p>
        </w:tc>
        <w:tc>
          <w:tcPr/>
          <w:p>
            <w:pPr>
              <w:pStyle w:val="Tabla9"/>
              <w:jc w:val="left"/>
            </w:pPr>
            <w:r>
              <w:t xml:space="preserve">22</w:t>
            </w:r>
          </w:p>
        </w:tc>
        <w:tc>
          <w:tcPr/>
          <w:p>
            <w:pPr>
              <w:pStyle w:val="Tabla9"/>
              <w:jc w:val="left"/>
            </w:pPr>
            <w:r>
              <w:t xml:space="preserve">C1</w:t>
            </w:r>
          </w:p>
        </w:tc>
        <w:tc>
          <w:tcPr/>
          <w:p>
            <w:pPr>
              <w:pStyle w:val="Tabla9"/>
              <w:jc w:val="left"/>
            </w:pPr>
            <w:r>
              <w:t xml:space="preserve">39</w:t>
            </w:r>
          </w:p>
        </w:tc>
        <w:tc>
          <w:tcPr/>
          <w:p>
            <w:pPr>
              <w:pStyle w:val="Tabla9"/>
              <w:jc w:val="left"/>
            </w:pPr>
            <w:r>
              <w:t xml:space="preserve">0,249</w:t>
            </w:r>
          </w:p>
        </w:tc>
        <w:tc>
          <w:tcPr/>
          <w:p>
            <w:pPr>
              <w:pStyle w:val="Tabla9"/>
              <w:jc w:val="left"/>
            </w:pPr>
            <w:r>
              <w:t xml:space="preserve">Centro de la red: se enlaza con 39 de las otras 48 palabras</w:t>
            </w:r>
          </w:p>
        </w:tc>
      </w:tr>
      <w:tr>
        <w:trPr>
          <w:cantSplit/>
        </w:trPr>
        <w:tc>
          <w:tcPr/>
          <w:p>
            <w:pPr>
              <w:pStyle w:val="Tabla9"/>
              <w:jc w:val="left"/>
            </w:pPr>
            <w:r>
              <w:t xml:space="preserve">quality</w:t>
            </w:r>
          </w:p>
        </w:tc>
        <w:tc>
          <w:tcPr/>
          <w:p>
            <w:pPr>
              <w:pStyle w:val="Tabla9"/>
              <w:jc w:val="left"/>
            </w:pPr>
            <w:r>
              <w:t xml:space="preserve">13</w:t>
            </w:r>
          </w:p>
        </w:tc>
        <w:tc>
          <w:tcPr/>
          <w:p>
            <w:pPr>
              <w:pStyle w:val="Tabla9"/>
              <w:jc w:val="left"/>
            </w:pPr>
            <w:r>
              <w:t xml:space="preserve">C1</w:t>
            </w:r>
          </w:p>
        </w:tc>
        <w:tc>
          <w:tcPr/>
          <w:p>
            <w:pPr>
              <w:pStyle w:val="Tabla9"/>
              <w:jc w:val="left"/>
            </w:pPr>
            <w:r>
              <w:t xml:space="preserve">32</w:t>
            </w:r>
          </w:p>
        </w:tc>
        <w:tc>
          <w:tcPr/>
          <w:p>
            <w:pPr>
              <w:pStyle w:val="Tabla9"/>
              <w:jc w:val="left"/>
            </w:pPr>
            <w:r>
              <w:t xml:space="preserve">0,126</w:t>
            </w:r>
          </w:p>
        </w:tc>
        <w:tc>
          <w:tcPr/>
          <w:p>
            <w:pPr>
              <w:pStyle w:val="Tabla9"/>
              <w:jc w:val="left"/>
            </w:pPr>
            <w:r>
              <w:t xml:space="preserve">Acompaña a air; núcleo de la comunidad de pronóstico</w:t>
            </w:r>
          </w:p>
        </w:tc>
      </w:tr>
      <w:tr>
        <w:trPr>
          <w:cantSplit/>
        </w:trPr>
        <w:tc>
          <w:tcPr/>
          <w:p>
            <w:pPr>
              <w:pStyle w:val="Tabla9"/>
              <w:jc w:val="left"/>
            </w:pPr>
            <w:r>
              <w:t xml:space="preserve">pollution</w:t>
            </w:r>
          </w:p>
        </w:tc>
        <w:tc>
          <w:tcPr/>
          <w:p>
            <w:pPr>
              <w:pStyle w:val="Tabla9"/>
              <w:jc w:val="left"/>
            </w:pPr>
            <w:r>
              <w:t xml:space="preserve">9</w:t>
            </w:r>
          </w:p>
        </w:tc>
        <w:tc>
          <w:tcPr/>
          <w:p>
            <w:pPr>
              <w:pStyle w:val="Tabla9"/>
              <w:jc w:val="left"/>
            </w:pPr>
            <w:r>
              <w:t xml:space="preserve">C3</w:t>
            </w:r>
          </w:p>
        </w:tc>
        <w:tc>
          <w:tcPr/>
          <w:p>
            <w:pPr>
              <w:pStyle w:val="Tabla9"/>
              <w:jc w:val="left"/>
            </w:pPr>
            <w:r>
              <w:t xml:space="preserve">22</w:t>
            </w:r>
          </w:p>
        </w:tc>
        <w:tc>
          <w:tcPr/>
          <w:p>
            <w:pPr>
              <w:pStyle w:val="Tabla9"/>
              <w:jc w:val="left"/>
            </w:pPr>
            <w:r>
              <w:t xml:space="preserve">0,058</w:t>
            </w:r>
          </w:p>
        </w:tc>
        <w:tc>
          <w:tcPr/>
          <w:p>
            <w:pPr>
              <w:pStyle w:val="Tabla9"/>
              <w:jc w:val="left"/>
            </w:pPr>
            <w:r>
              <w:t xml:space="preserve">Núcleo de la comunidad de contaminación, clima y patrimonio</w:t>
            </w:r>
          </w:p>
        </w:tc>
      </w:tr>
      <w:tr>
        <w:trPr>
          <w:cantSplit/>
        </w:trPr>
        <w:tc>
          <w:tcPr/>
          <w:p>
            <w:pPr>
              <w:pStyle w:val="Tabla9"/>
              <w:jc w:val="left"/>
            </w:pPr>
            <w:r>
              <w:t xml:space="preserve">health</w:t>
            </w:r>
          </w:p>
        </w:tc>
        <w:tc>
          <w:tcPr/>
          <w:p>
            <w:pPr>
              <w:pStyle w:val="Tabla9"/>
              <w:jc w:val="left"/>
            </w:pPr>
            <w:r>
              <w:t xml:space="preserve">8</w:t>
            </w:r>
          </w:p>
        </w:tc>
        <w:tc>
          <w:tcPr/>
          <w:p>
            <w:pPr>
              <w:pStyle w:val="Tabla9"/>
              <w:jc w:val="left"/>
            </w:pPr>
            <w:r>
              <w:t xml:space="preserve">C2</w:t>
            </w:r>
          </w:p>
        </w:tc>
        <w:tc>
          <w:tcPr/>
          <w:p>
            <w:pPr>
              <w:pStyle w:val="Tabla9"/>
              <w:jc w:val="left"/>
            </w:pPr>
            <w:r>
              <w:t xml:space="preserve">16</w:t>
            </w:r>
          </w:p>
        </w:tc>
        <w:tc>
          <w:tcPr/>
          <w:p>
            <w:pPr>
              <w:pStyle w:val="Tabla9"/>
              <w:jc w:val="left"/>
            </w:pPr>
            <w:r>
              <w:t xml:space="preserve">0,095</w:t>
            </w:r>
          </w:p>
        </w:tc>
        <w:tc>
          <w:tcPr/>
          <w:p>
            <w:pPr>
              <w:pStyle w:val="Tabla9"/>
              <w:jc w:val="left"/>
            </w:pPr>
            <w:r>
              <w:t xml:space="preserve">Polisémica: designa salud humana y estado de activos industriales</w:t>
            </w:r>
          </w:p>
        </w:tc>
      </w:tr>
      <w:tr>
        <w:trPr>
          <w:cantSplit/>
        </w:trPr>
        <w:tc>
          <w:tcPr/>
          <w:p>
            <w:pPr>
              <w:pStyle w:val="Tabla9"/>
              <w:jc w:val="left"/>
            </w:pPr>
            <w:r>
              <w:t xml:space="preserve">monitoring</w:t>
            </w:r>
          </w:p>
        </w:tc>
        <w:tc>
          <w:tcPr/>
          <w:p>
            <w:pPr>
              <w:pStyle w:val="Tabla9"/>
              <w:jc w:val="left"/>
            </w:pPr>
            <w:r>
              <w:t xml:space="preserve">8</w:t>
            </w:r>
          </w:p>
        </w:tc>
        <w:tc>
          <w:tcPr/>
          <w:p>
            <w:pPr>
              <w:pStyle w:val="Tabla9"/>
              <w:jc w:val="left"/>
            </w:pPr>
            <w:r>
              <w:t xml:space="preserve">C2</w:t>
            </w:r>
          </w:p>
        </w:tc>
        <w:tc>
          <w:tcPr/>
          <w:p>
            <w:pPr>
              <w:pStyle w:val="Tabla9"/>
              <w:jc w:val="left"/>
            </w:pPr>
            <w:r>
              <w:t xml:space="preserve">17</w:t>
            </w:r>
          </w:p>
        </w:tc>
        <w:tc>
          <w:tcPr/>
          <w:p>
            <w:pPr>
              <w:pStyle w:val="Tabla9"/>
              <w:jc w:val="left"/>
            </w:pPr>
            <w:r>
              <w:t xml:space="preserve">0,080</w:t>
            </w:r>
          </w:p>
        </w:tc>
        <w:tc>
          <w:tcPr/>
          <w:p>
            <w:pPr>
              <w:pStyle w:val="Tabla9"/>
              <w:jc w:val="left"/>
            </w:pPr>
            <w:r>
              <w:t xml:space="preserve">Une salud, gestión y edificios</w:t>
            </w:r>
          </w:p>
        </w:tc>
      </w:tr>
      <w:tr>
        <w:trPr>
          <w:cantSplit/>
        </w:trPr>
        <w:tc>
          <w:tcPr/>
          <w:p>
            <w:pPr>
              <w:pStyle w:val="Tabla9"/>
              <w:jc w:val="left"/>
            </w:pPr>
            <w:r>
              <w:t xml:space="preserve">management</w:t>
            </w:r>
          </w:p>
        </w:tc>
        <w:tc>
          <w:tcPr/>
          <w:p>
            <w:pPr>
              <w:pStyle w:val="Tabla9"/>
              <w:jc w:val="left"/>
            </w:pPr>
            <w:r>
              <w:t xml:space="preserve">5</w:t>
            </w:r>
          </w:p>
        </w:tc>
        <w:tc>
          <w:tcPr/>
          <w:p>
            <w:pPr>
              <w:pStyle w:val="Tabla9"/>
              <w:jc w:val="left"/>
            </w:pPr>
            <w:r>
              <w:t xml:space="preserve">C2</w:t>
            </w:r>
          </w:p>
        </w:tc>
        <w:tc>
          <w:tcPr/>
          <w:p>
            <w:pPr>
              <w:pStyle w:val="Tabla9"/>
              <w:jc w:val="left"/>
            </w:pPr>
            <w:r>
              <w:t xml:space="preserve">11</w:t>
            </w:r>
          </w:p>
        </w:tc>
        <w:tc>
          <w:tcPr/>
          <w:p>
            <w:pPr>
              <w:pStyle w:val="Tabla9"/>
              <w:jc w:val="left"/>
            </w:pPr>
            <w:r>
              <w:t xml:space="preserve">0,021</w:t>
            </w:r>
          </w:p>
        </w:tc>
        <w:tc>
          <w:tcPr/>
          <w:p>
            <w:pPr>
              <w:pStyle w:val="Tabla9"/>
              <w:jc w:val="left"/>
            </w:pPr>
            <w:r>
              <w:t xml:space="preserve">Aparece solo en la era de aceleración</w:t>
            </w:r>
          </w:p>
        </w:tc>
      </w:tr>
      <w:tr>
        <w:trPr>
          <w:cantSplit/>
        </w:trPr>
        <w:tc>
          <w:tcPr/>
          <w:p>
            <w:pPr>
              <w:pStyle w:val="Tabla9"/>
              <w:jc w:val="left"/>
            </w:pPr>
            <w:r>
              <w:t xml:space="preserve">learning</w:t>
            </w:r>
          </w:p>
        </w:tc>
        <w:tc>
          <w:tcPr/>
          <w:p>
            <w:pPr>
              <w:pStyle w:val="Tabla9"/>
              <w:jc w:val="left"/>
            </w:pPr>
            <w:r>
              <w:t xml:space="preserve">4</w:t>
            </w:r>
          </w:p>
        </w:tc>
        <w:tc>
          <w:tcPr/>
          <w:p>
            <w:pPr>
              <w:pStyle w:val="Tabla9"/>
              <w:jc w:val="left"/>
            </w:pPr>
            <w:r>
              <w:t xml:space="preserve">C1</w:t>
            </w:r>
          </w:p>
        </w:tc>
        <w:tc>
          <w:tcPr/>
          <w:p>
            <w:pPr>
              <w:pStyle w:val="Tabla9"/>
              <w:jc w:val="left"/>
            </w:pPr>
            <w:r>
              <w:t xml:space="preserve">15</w:t>
            </w:r>
          </w:p>
        </w:tc>
        <w:tc>
          <w:tcPr/>
          <w:p>
            <w:pPr>
              <w:pStyle w:val="Tabla9"/>
              <w:jc w:val="left"/>
            </w:pPr>
            <w:r>
              <w:t xml:space="preserve">0,009</w:t>
            </w:r>
          </w:p>
        </w:tc>
        <w:tc>
          <w:tcPr/>
          <w:p>
            <w:pPr>
              <w:pStyle w:val="Tabla9"/>
              <w:jc w:val="left"/>
            </w:pPr>
            <w:r>
              <w:t xml:space="preserve">Pronóstico con aprendizaje automático</w:t>
            </w:r>
          </w:p>
        </w:tc>
      </w:tr>
      <w:tr>
        <w:trPr>
          <w:cantSplit/>
        </w:trPr>
        <w:tc>
          <w:tcPr/>
          <w:p>
            <w:pPr>
              <w:pStyle w:val="Tabla9"/>
              <w:jc w:val="left"/>
            </w:pPr>
            <w:r>
              <w:t xml:space="preserve">urban</w:t>
            </w:r>
          </w:p>
        </w:tc>
        <w:tc>
          <w:tcPr/>
          <w:p>
            <w:pPr>
              <w:pStyle w:val="Tabla9"/>
              <w:jc w:val="left"/>
            </w:pPr>
            <w:r>
              <w:t xml:space="preserve">4</w:t>
            </w:r>
          </w:p>
        </w:tc>
        <w:tc>
          <w:tcPr/>
          <w:p>
            <w:pPr>
              <w:pStyle w:val="Tabla9"/>
              <w:jc w:val="left"/>
            </w:pPr>
            <w:r>
              <w:t xml:space="preserve">C1</w:t>
            </w:r>
          </w:p>
        </w:tc>
        <w:tc>
          <w:tcPr/>
          <w:p>
            <w:pPr>
              <w:pStyle w:val="Tabla9"/>
              <w:jc w:val="left"/>
            </w:pPr>
            <w:r>
              <w:t xml:space="preserve">18</w:t>
            </w:r>
          </w:p>
        </w:tc>
        <w:tc>
          <w:tcPr/>
          <w:p>
            <w:pPr>
              <w:pStyle w:val="Tabla9"/>
              <w:jc w:val="left"/>
            </w:pPr>
            <w:r>
              <w:t xml:space="preserve">0,023</w:t>
            </w:r>
          </w:p>
        </w:tc>
        <w:tc>
          <w:tcPr/>
          <w:p>
            <w:pPr>
              <w:pStyle w:val="Tabla9"/>
              <w:jc w:val="left"/>
            </w:pPr>
            <w:r>
              <w:t xml:space="preserve">Estudios urbanos de pronóstico y de patrimonio</w:t>
            </w:r>
          </w:p>
        </w:tc>
      </w:tr>
      <w:tr>
        <w:trPr>
          <w:cantSplit/>
        </w:trPr>
        <w:tc>
          <w:tcPr/>
          <w:p>
            <w:pPr>
              <w:pStyle w:val="Tabla9"/>
              <w:jc w:val="left"/>
            </w:pPr>
            <w:r>
              <w:t xml:space="preserve">machine</w:t>
            </w:r>
          </w:p>
        </w:tc>
        <w:tc>
          <w:tcPr/>
          <w:p>
            <w:pPr>
              <w:pStyle w:val="Tabla9"/>
              <w:jc w:val="left"/>
            </w:pPr>
            <w:r>
              <w:t xml:space="preserve">4</w:t>
            </w:r>
          </w:p>
        </w:tc>
        <w:tc>
          <w:tcPr/>
          <w:p>
            <w:pPr>
              <w:pStyle w:val="Tabla9"/>
              <w:jc w:val="left"/>
            </w:pPr>
            <w:r>
              <w:t xml:space="preserve">C1</w:t>
            </w:r>
          </w:p>
        </w:tc>
        <w:tc>
          <w:tcPr/>
          <w:p>
            <w:pPr>
              <w:pStyle w:val="Tabla9"/>
              <w:jc w:val="left"/>
            </w:pPr>
            <w:r>
              <w:t xml:space="preserve">15</w:t>
            </w:r>
          </w:p>
        </w:tc>
        <w:tc>
          <w:tcPr/>
          <w:p>
            <w:pPr>
              <w:pStyle w:val="Tabla9"/>
              <w:jc w:val="left"/>
            </w:pPr>
            <w:r>
              <w:t xml:space="preserve">0,016</w:t>
            </w:r>
          </w:p>
        </w:tc>
        <w:tc>
          <w:tcPr/>
          <w:p>
            <w:pPr>
              <w:pStyle w:val="Tabla9"/>
              <w:jc w:val="left"/>
            </w:pPr>
            <w:r>
              <w:t xml:space="preserve">Pronóstico con aprendizaje automático</w:t>
            </w:r>
          </w:p>
        </w:tc>
      </w:tr>
      <w:tr>
        <w:trPr>
          <w:cantSplit/>
        </w:trPr>
        <w:tc>
          <w:tcPr/>
          <w:p>
            <w:pPr>
              <w:pStyle w:val="Tabla9"/>
              <w:jc w:val="left"/>
            </w:pPr>
            <w:r>
              <w:t xml:space="preserve">forecasting</w:t>
            </w:r>
          </w:p>
        </w:tc>
        <w:tc>
          <w:tcPr/>
          <w:p>
            <w:pPr>
              <w:pStyle w:val="Tabla9"/>
              <w:jc w:val="left"/>
            </w:pPr>
            <w:r>
              <w:t xml:space="preserve">4</w:t>
            </w:r>
          </w:p>
        </w:tc>
        <w:tc>
          <w:tcPr/>
          <w:p>
            <w:pPr>
              <w:pStyle w:val="Tabla9"/>
              <w:jc w:val="left"/>
            </w:pPr>
            <w:r>
              <w:t xml:space="preserve">C5</w:t>
            </w:r>
          </w:p>
        </w:tc>
        <w:tc>
          <w:tcPr/>
          <w:p>
            <w:pPr>
              <w:pStyle w:val="Tabla9"/>
              <w:jc w:val="left"/>
            </w:pPr>
            <w:r>
              <w:t xml:space="preserve">18</w:t>
            </w:r>
          </w:p>
        </w:tc>
        <w:tc>
          <w:tcPr/>
          <w:p>
            <w:pPr>
              <w:pStyle w:val="Tabla9"/>
              <w:jc w:val="left"/>
            </w:pPr>
            <w:r>
              <w:t xml:space="preserve">0,032</w:t>
            </w:r>
          </w:p>
        </w:tc>
        <w:tc>
          <w:tcPr/>
          <w:p>
            <w:pPr>
              <w:pStyle w:val="Tabla9"/>
              <w:jc w:val="left"/>
            </w:pPr>
            <w:r>
              <w:t xml:space="preserve">Puente hacia meteorología y gemelo digital</w:t>
            </w:r>
          </w:p>
        </w:tc>
      </w:tr>
      <w:tr>
        <w:trPr>
          <w:cantSplit/>
        </w:trPr>
        <w:tc>
          <w:tcPr/>
          <w:p>
            <w:pPr>
              <w:pStyle w:val="Tabla9"/>
              <w:jc w:val="left"/>
            </w:pPr>
            <w:r>
              <w:t xml:space="preserve">sustainable</w:t>
            </w:r>
          </w:p>
        </w:tc>
        <w:tc>
          <w:tcPr/>
          <w:p>
            <w:pPr>
              <w:pStyle w:val="Tabla9"/>
              <w:jc w:val="left"/>
            </w:pPr>
            <w:r>
              <w:t xml:space="preserve">3</w:t>
            </w:r>
          </w:p>
        </w:tc>
        <w:tc>
          <w:tcPr/>
          <w:p>
            <w:pPr>
              <w:pStyle w:val="Tabla9"/>
              <w:jc w:val="left"/>
            </w:pPr>
            <w:r>
              <w:t xml:space="preserve">C1</w:t>
            </w:r>
          </w:p>
        </w:tc>
        <w:tc>
          <w:tcPr/>
          <w:p>
            <w:pPr>
              <w:pStyle w:val="Tabla9"/>
              <w:jc w:val="left"/>
            </w:pPr>
            <w:r>
              <w:t xml:space="preserve">13</w:t>
            </w:r>
          </w:p>
        </w:tc>
        <w:tc>
          <w:tcPr/>
          <w:p>
            <w:pPr>
              <w:pStyle w:val="Tabla9"/>
              <w:jc w:val="left"/>
            </w:pPr>
            <w:r>
              <w:t xml:space="preserve">0,008</w:t>
            </w:r>
          </w:p>
        </w:tc>
        <w:tc>
          <w:tcPr/>
          <w:p>
            <w:pPr>
              <w:pStyle w:val="Tabla9"/>
              <w:jc w:val="left"/>
            </w:pPr>
            <w:r>
              <w:t xml:space="preserve">Revisiones y estudios de desarrollo sostenible</w:t>
            </w:r>
          </w:p>
        </w:tc>
      </w:tr>
      <w:tr>
        <w:trPr>
          <w:cantSplit/>
        </w:trPr>
        <w:tc>
          <w:tcPr/>
          <w:p>
            <w:pPr>
              <w:pStyle w:val="Tabla9"/>
              <w:jc w:val="left"/>
            </w:pPr>
            <w:r>
              <w:t xml:space="preserve">review</w:t>
            </w:r>
          </w:p>
        </w:tc>
        <w:tc>
          <w:tcPr/>
          <w:p>
            <w:pPr>
              <w:pStyle w:val="Tabla9"/>
              <w:jc w:val="left"/>
            </w:pPr>
            <w:r>
              <w:t xml:space="preserve">3</w:t>
            </w:r>
          </w:p>
        </w:tc>
        <w:tc>
          <w:tcPr/>
          <w:p>
            <w:pPr>
              <w:pStyle w:val="Tabla9"/>
              <w:jc w:val="left"/>
            </w:pPr>
            <w:r>
              <w:t xml:space="preserve">C1</w:t>
            </w:r>
          </w:p>
        </w:tc>
        <w:tc>
          <w:tcPr/>
          <w:p>
            <w:pPr>
              <w:pStyle w:val="Tabla9"/>
              <w:jc w:val="left"/>
            </w:pPr>
            <w:r>
              <w:t xml:space="preserve">11</w:t>
            </w:r>
          </w:p>
        </w:tc>
        <w:tc>
          <w:tcPr/>
          <w:p>
            <w:pPr>
              <w:pStyle w:val="Tabla9"/>
              <w:jc w:val="left"/>
            </w:pPr>
            <w:r>
              <w:t xml:space="preserve">0,004</w:t>
            </w:r>
          </w:p>
        </w:tc>
        <w:tc>
          <w:tcPr/>
          <w:p>
            <w:pPr>
              <w:pStyle w:val="Tabla9"/>
              <w:jc w:val="left"/>
            </w:pPr>
            <w:r>
              <w:t xml:space="preserve">Revisiones sistemáticas y comprensivas</w:t>
            </w:r>
          </w:p>
        </w:tc>
      </w:tr>
      <w:tr>
        <w:trPr>
          <w:cantSplit/>
        </w:trPr>
        <w:tc>
          <w:tcPr/>
          <w:p>
            <w:pPr>
              <w:pStyle w:val="Tabla9"/>
              <w:jc w:val="left"/>
            </w:pPr>
            <w:r>
              <w:t xml:space="preserve">application</w:t>
            </w:r>
          </w:p>
        </w:tc>
        <w:tc>
          <w:tcPr/>
          <w:p>
            <w:pPr>
              <w:pStyle w:val="Tabla9"/>
              <w:jc w:val="left"/>
            </w:pPr>
            <w:r>
              <w:t xml:space="preserve">3</w:t>
            </w:r>
          </w:p>
        </w:tc>
        <w:tc>
          <w:tcPr/>
          <w:p>
            <w:pPr>
              <w:pStyle w:val="Tabla9"/>
              <w:jc w:val="left"/>
            </w:pPr>
            <w:r>
              <w:t xml:space="preserve">C4</w:t>
            </w:r>
          </w:p>
        </w:tc>
        <w:tc>
          <w:tcPr/>
          <w:p>
            <w:pPr>
              <w:pStyle w:val="Tabla9"/>
              <w:jc w:val="left"/>
            </w:pPr>
            <w:r>
              <w:t xml:space="preserve">15</w:t>
            </w:r>
          </w:p>
        </w:tc>
        <w:tc>
          <w:tcPr/>
          <w:p>
            <w:pPr>
              <w:pStyle w:val="Tabla9"/>
              <w:jc w:val="left"/>
            </w:pPr>
            <w:r>
              <w:t xml:space="preserve">0,049</w:t>
            </w:r>
          </w:p>
        </w:tc>
        <w:tc>
          <w:tcPr/>
          <w:p>
            <w:pPr>
              <w:pStyle w:val="Tabla9"/>
              <w:jc w:val="left"/>
            </w:pPr>
            <w:r>
              <w:t xml:space="preserve">Enlaza sensores, partículas y teledetección</w:t>
            </w:r>
          </w:p>
        </w:tc>
      </w:tr>
      <w:tr>
        <w:trPr>
          <w:cantSplit/>
        </w:trPr>
        <w:tc>
          <w:tcPr/>
          <w:p>
            <w:pPr>
              <w:pStyle w:val="Tabla9"/>
              <w:jc w:val="left"/>
            </w:pPr>
            <w:r>
              <w:t xml:space="preserve">climate</w:t>
            </w:r>
          </w:p>
        </w:tc>
        <w:tc>
          <w:tcPr/>
          <w:p>
            <w:pPr>
              <w:pStyle w:val="Tabla9"/>
              <w:jc w:val="left"/>
            </w:pPr>
            <w:r>
              <w:t xml:space="preserve">3</w:t>
            </w:r>
          </w:p>
        </w:tc>
        <w:tc>
          <w:tcPr/>
          <w:p>
            <w:pPr>
              <w:pStyle w:val="Tabla9"/>
              <w:jc w:val="left"/>
            </w:pPr>
            <w:r>
              <w:t xml:space="preserve">C3</w:t>
            </w:r>
          </w:p>
        </w:tc>
        <w:tc>
          <w:tcPr/>
          <w:p>
            <w:pPr>
              <w:pStyle w:val="Tabla9"/>
              <w:jc w:val="left"/>
            </w:pPr>
            <w:r>
              <w:t xml:space="preserve">11</w:t>
            </w:r>
          </w:p>
        </w:tc>
        <w:tc>
          <w:tcPr/>
          <w:p>
            <w:pPr>
              <w:pStyle w:val="Tabla9"/>
              <w:jc w:val="left"/>
            </w:pPr>
            <w:r>
              <w:t xml:space="preserve">0,009</w:t>
            </w:r>
          </w:p>
        </w:tc>
        <w:tc>
          <w:tcPr/>
          <w:p>
            <w:pPr>
              <w:pStyle w:val="Tabla9"/>
              <w:jc w:val="left"/>
            </w:pPr>
            <w:r>
              <w:t xml:space="preserve">Clima, patrimonio y Brasil</w:t>
            </w:r>
          </w:p>
        </w:tc>
      </w:tr>
    </w:tbl>
    <w:p>
      <w:pPr>
        <w:pStyle w:val="TablaNota"/>
      </w:pPr>
      <w:r>
        <w:rPr>
          <w:i/>
          <w:iCs/>
        </w:rPr>
        <w:t xml:space="preserve">Nota.</w:t>
      </w:r>
      <w:r>
        <w:t xml:space="preserve"> </w:t>
      </w:r>
      <w:r>
        <w:t xml:space="preserve">Elaboración propia con los títulos de los 42 documentos. Palabras vacías eliminadas; cuatro términos del español equiparados al inglés (aire, calidad, salud y gestión). Grado: palabras enlazadas por co-ocurrencia en el mismo título; intermediación sin pesos. Louvain con semilla 42. Naturaleza: CALCULADO; la columna de lectura es INFERIDO.</w:t>
      </w:r>
    </w:p>
    <w:p>
      <w:pPr>
        <w:pStyle w:val="FiguraRotulo"/>
      </w:pPr>
      <w:bookmarkStart w:id="9494" w:name="rot_Figura_2_5"/>
      <w:r>
        <w:rPr>
          <w:b/>
          <w:bCs/>
        </w:rPr>
        <w:t xml:space="preserve">Figura 2.5</w:t>
      </w:r>
      <w:bookmarkEnd w:id="9494"/>
    </w:p>
    <w:p>
      <w:pPr>
        <w:pStyle w:val="FiguraTitulo"/>
      </w:pPr>
      <w:r>
        <w:rPr>
          <w:i/>
          <w:iCs/>
        </w:rPr>
        <w:t xml:space="preserve">Red de co-ocurrencia de palabras de título con cinco comunidades</w:t>
      </w:r>
    </w:p>
    <w:p>
      <w:pPr>
        <w:pStyle w:val="BodyText"/>
      </w:pPr>
      <w:r>
        <w:drawing>
          <wp:inline>
            <wp:extent cx="5579999" cy="3971647"/>
            <wp:effectExtent b="0" l="0" r="0" t="0"/>
            <wp:docPr descr="" title="" id="309" name="Picture"/>
            <a:graphic>
              <a:graphicData uri="http://schemas.openxmlformats.org/drawingml/2006/picture">
                <pic:pic>
                  <pic:nvPicPr>
                    <pic:cNvPr descr="/tmp/claude-0/-home-user-docs/ddf38714-2a7e-502b-92b4-1008e2832422/scratchpad/proy/figs/out/c2_coocurrencia.png" id="310" name="Picture"/>
                    <pic:cNvPicPr>
                      <a:picLocks noChangeArrowheads="1" noChangeAspect="1"/>
                    </pic:cNvPicPr>
                  </pic:nvPicPr>
                  <pic:blipFill>
                    <a:blip r:embed="rId308"/>
                    <a:stretch>
                      <a:fillRect/>
                    </a:stretch>
                  </pic:blipFill>
                  <pic:spPr bwMode="auto">
                    <a:xfrm>
                      <a:off x="0" y="0"/>
                      <a:ext cx="5579999" cy="397164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networkx y matplotlib. 49 nodos con frecuencia mínima de 2 en los títulos de 42 documentos; 260 aristas; comunidades de Louvain con modularidad de 0,27. Disposición por comunidades con semilla 42; año de corte 2026. Son palabras de título y no palabras clave.</w:t>
      </w:r>
    </w:p>
    <w:p>
      <w:pPr>
        <w:pStyle w:val="BodyText"/>
      </w:pPr>
      <w:r>
        <w:t xml:space="preserve">La modularidad de 0,27 es baja, de modo que las comunidades son tendencias y no fronteras. Air y quality se enlazan con 39 y 32 de las otras 48 palabras. La comunidad C1 agrupa el pronóstico con aprendizaje automático. La C2 agrupa salud, monitoreo y gestión, e incluye engine y turbine por las patentes de activos. La C3 agrupa contaminación, clima y patrimonio. La C4 agrupa partículas, sensores y exposición. La C5 agrupa meteorología, ciudad y gemelo digital.</w:t>
      </w:r>
    </w:p>
    <w:p>
      <w:pPr>
        <w:pStyle w:val="BodyText"/>
      </w:pPr>
      <w:r>
        <w:t xml:space="preserve">Dos posiciones evalúan estas redes. Una confía en la red de texto completo, porque usa más información por documento. La otra confía en la red de títulos, porque los títulos resumen el tema que declaran los autores. Ambas coinciden en que aire, calidad y monitoreo organizan el campo. Divergen en la salud, que la red de títulos asocia a la gestión y la de texto completo a los activos.</w:t>
      </w:r>
    </w:p>
    <w:p>
      <w:pPr>
        <w:pStyle w:val="BodyText"/>
      </w:pPr>
      <w:r>
        <w:t xml:space="preserve">La consecuencia para el proyecto es doble. Primero, la humedad pertenece a la comunidad 5 del texto completo, de 48 términos, clasificada como emergente o en declive (F-INF §7.5, p. 88). El análisis causal del proyecto la sitúa en el centro del problema. Segundo, los términos calibración y colocalización no figuran entre los 12 de mayor grado. Esa ausencia respalda la formulación del problema. La calibración colocalizada ocupa la periferia del corpus.</w:t>
      </w:r>
    </w:p>
    <w:bookmarkEnd w:id="311"/>
    <w:bookmarkStart w:id="315" w:name="X6c8b0a86b7856d08bf837a5546fdd1c46e47fd8"/>
    <w:p>
      <w:pPr>
        <w:pStyle w:val="Heading3"/>
      </w:pPr>
      <w:r>
        <w:t xml:space="preserve">2.2.6 Red de co-citación y acoplamiento bibliográfico</w:t>
      </w:r>
    </w:p>
    <w:p>
      <w:pPr>
        <w:pStyle w:val="FirstParagraph"/>
      </w:pPr>
      <w:r>
        <w:t xml:space="preserve">La base intelectual de un campo se estudia con dos medidas complementarias. El acoplamiento bibliográfico une dos documentos que comparten referencias (Kessler, 1963). La co-citación une dos documentos que otros citan juntos (Small, 1973). El corpus permite calcular solo la primera medida.</w:t>
      </w:r>
    </w:p>
    <w:p>
      <w:pPr>
        <w:pStyle w:val="BodyText"/>
      </w:pPr>
      <w:r>
        <w:t xml:space="preserve">El informe comparó las listas de referencias de los 26 artículos con fragmentos de título de siete palabras. Excluyó los fragmentos presentes en cinco o más documentos. Detectó 102 pares con referencias compartidas, casi todos con una o dos (F-INF §7.7, p. 95). La Tabla 2.11 lista los 12 pares de mayor acoplamiento. La Figura 2.6 los representa por era de publicación.</w:t>
      </w:r>
    </w:p>
    <w:p>
      <w:pPr>
        <w:pStyle w:val="TablaRotulo"/>
      </w:pPr>
      <w:bookmarkStart w:id="9241" w:name="rot_Tabla_2_11"/>
      <w:r>
        <w:rPr>
          <w:b/>
          <w:bCs/>
        </w:rPr>
        <w:t xml:space="preserve">Tabla 2.11</w:t>
      </w:r>
      <w:bookmarkEnd w:id="9241"/>
    </w:p>
    <w:p>
      <w:pPr>
        <w:pStyle w:val="TablaTitulo"/>
      </w:pPr>
      <w:r>
        <w:rPr>
          <w:i/>
          <w:iCs/>
        </w:rPr>
        <w:t xml:space="preserve">Pares de artículos con mayor acoplamiento bibliográfico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60"/>
        <w:gridCol w:w="2160"/>
        <w:gridCol w:w="1243"/>
        <w:gridCol w:w="1178"/>
        <w:gridCol w:w="1178"/>
      </w:tblGrid>
      <w:tr>
        <w:trPr>
          <w:cantSplit/>
          <w:tblHeader/>
        </w:trPr>
        <w:tc>
          <w:tcPr>
            <w:shd w:val="clear" w:color="auto" w:fill="00B050"/>
          </w:tcPr>
          <w:p>
            <w:pPr>
              <w:pStyle w:val="Tabla9"/>
              <w:jc w:val="center"/>
            </w:pPr>
            <w:r>
              <w:rPr>
                <w:b/>
                <w:color w:val="FFFFFF"/>
              </w:rPr>
              <w:t xml:space="preserve">Documento A</w:t>
            </w:r>
          </w:p>
        </w:tc>
        <w:tc>
          <w:tcPr>
            <w:shd w:val="clear" w:color="auto" w:fill="00B050"/>
          </w:tcPr>
          <w:p>
            <w:pPr>
              <w:pStyle w:val="Tabla9"/>
              <w:jc w:val="center"/>
            </w:pPr>
            <w:r>
              <w:rPr>
                <w:b/>
                <w:color w:val="FFFFFF"/>
              </w:rPr>
              <w:t xml:space="preserve">Documento B</w:t>
            </w:r>
          </w:p>
        </w:tc>
        <w:tc>
          <w:tcPr>
            <w:shd w:val="clear" w:color="auto" w:fill="00B050"/>
          </w:tcPr>
          <w:p>
            <w:pPr>
              <w:pStyle w:val="Tabla9"/>
              <w:jc w:val="center"/>
            </w:pPr>
            <w:r>
              <w:rPr>
                <w:b/>
                <w:color w:val="FFFFFF"/>
              </w:rPr>
              <w:t xml:space="preserve">Referencias compartidas</w:t>
            </w:r>
          </w:p>
        </w:tc>
        <w:tc>
          <w:tcPr>
            <w:shd w:val="clear" w:color="auto" w:fill="00B050"/>
          </w:tcPr>
          <w:p>
            <w:pPr>
              <w:pStyle w:val="Tabla9"/>
              <w:jc w:val="center"/>
            </w:pPr>
            <w:r>
              <w:rPr>
                <w:b/>
                <w:color w:val="FFFFFF"/>
              </w:rPr>
              <w:t xml:space="preserve">Eras de A y B</w:t>
            </w:r>
          </w:p>
        </w:tc>
        <w:tc>
          <w:tcPr>
            <w:shd w:val="clear" w:color="auto" w:fill="00B050"/>
          </w:tcPr>
          <w:p>
            <w:pPr>
              <w:pStyle w:val="Tabla9"/>
              <w:jc w:val="center"/>
            </w:pPr>
            <w:r>
              <w:rPr>
                <w:b/>
                <w:color w:val="FFFFFF"/>
              </w:rPr>
              <w:t xml:space="preserve">Lectura</w:t>
            </w:r>
          </w:p>
        </w:tc>
      </w:tr>
      <w:tr>
        <w:trPr>
          <w:cantSplit/>
        </w:trPr>
        <w:tc>
          <w:tcPr/>
          <w:p>
            <w:pPr>
              <w:pStyle w:val="Tabla9"/>
              <w:jc w:val="left"/>
            </w:pPr>
            <w:r>
              <w:t xml:space="preserve">De Moura 2025</w:t>
            </w:r>
          </w:p>
        </w:tc>
        <w:tc>
          <w:tcPr/>
          <w:p>
            <w:pPr>
              <w:pStyle w:val="Tabla9"/>
              <w:jc w:val="left"/>
            </w:pPr>
            <w:r>
              <w:t xml:space="preserve">Tavella 2026</w:t>
            </w:r>
          </w:p>
        </w:tc>
        <w:tc>
          <w:tcPr/>
          <w:p>
            <w:pPr>
              <w:pStyle w:val="Tabla9"/>
              <w:jc w:val="left"/>
            </w:pPr>
            <w:r>
              <w:t xml:space="preserve">12</w:t>
            </w:r>
          </w:p>
        </w:tc>
        <w:tc>
          <w:tcPr/>
          <w:p>
            <w:pPr>
              <w:pStyle w:val="Tabla9"/>
              <w:jc w:val="left"/>
            </w:pPr>
            <w:r>
              <w:t xml:space="preserve">crecimiento y aceleración</w:t>
            </w:r>
          </w:p>
        </w:tc>
        <w:tc>
          <w:tcPr/>
          <w:p>
            <w:pPr>
              <w:pStyle w:val="Tabla9"/>
              <w:jc w:val="left"/>
            </w:pPr>
            <w:r>
              <w:t xml:space="preserve">Grupo de autores común</w:t>
            </w:r>
          </w:p>
        </w:tc>
      </w:tr>
      <w:tr>
        <w:trPr>
          <w:cantSplit/>
        </w:trPr>
        <w:tc>
          <w:tcPr/>
          <w:p>
            <w:pPr>
              <w:pStyle w:val="Tabla9"/>
              <w:jc w:val="left"/>
            </w:pPr>
            <w:r>
              <w:t xml:space="preserve">Nelson 2026</w:t>
            </w:r>
          </w:p>
        </w:tc>
        <w:tc>
          <w:tcPr/>
          <w:p>
            <w:pPr>
              <w:pStyle w:val="Tabla9"/>
              <w:jc w:val="left"/>
            </w:pPr>
            <w:r>
              <w:t xml:space="preserve">Essamlali 2024</w:t>
            </w:r>
          </w:p>
        </w:tc>
        <w:tc>
          <w:tcPr/>
          <w:p>
            <w:pPr>
              <w:pStyle w:val="Tabla9"/>
              <w:jc w:val="left"/>
            </w:pPr>
            <w:r>
              <w:t xml:space="preserve">6</w:t>
            </w:r>
          </w:p>
        </w:tc>
        <w:tc>
          <w:tcPr/>
          <w:p>
            <w:pPr>
              <w:pStyle w:val="Tabla9"/>
              <w:jc w:val="left"/>
            </w:pPr>
            <w:r>
              <w:t xml:space="preserve">crecimiento y aceleración</w:t>
            </w:r>
          </w:p>
        </w:tc>
        <w:tc>
          <w:tcPr/>
          <w:p>
            <w:pPr>
              <w:pStyle w:val="Tabla9"/>
              <w:jc w:val="left"/>
            </w:pPr>
            <w:r>
              <w:t xml:space="preserve">Revisiones de aprendizaje automático</w:t>
            </w:r>
          </w:p>
        </w:tc>
      </w:tr>
      <w:tr>
        <w:trPr>
          <w:cantSplit/>
        </w:trPr>
        <w:tc>
          <w:tcPr/>
          <w:p>
            <w:pPr>
              <w:pStyle w:val="Tabla9"/>
              <w:jc w:val="left"/>
            </w:pPr>
            <w:r>
              <w:t xml:space="preserve">De Moura 2025</w:t>
            </w:r>
          </w:p>
        </w:tc>
        <w:tc>
          <w:tcPr/>
          <w:p>
            <w:pPr>
              <w:pStyle w:val="Tabla9"/>
              <w:jc w:val="left"/>
            </w:pPr>
            <w:r>
              <w:t xml:space="preserve">Rodríguez-Villamizar 2022</w:t>
            </w:r>
          </w:p>
        </w:tc>
        <w:tc>
          <w:tcPr/>
          <w:p>
            <w:pPr>
              <w:pStyle w:val="Tabla9"/>
              <w:jc w:val="left"/>
            </w:pPr>
            <w:r>
              <w:t xml:space="preserve">6</w:t>
            </w:r>
          </w:p>
        </w:tc>
        <w:tc>
          <w:tcPr/>
          <w:p>
            <w:pPr>
              <w:pStyle w:val="Tabla9"/>
              <w:jc w:val="left"/>
            </w:pPr>
            <w:r>
              <w:t xml:space="preserve">fundacional y crecimiento</w:t>
            </w:r>
          </w:p>
        </w:tc>
        <w:tc>
          <w:tcPr/>
          <w:p>
            <w:pPr>
              <w:pStyle w:val="Tabla9"/>
              <w:jc w:val="left"/>
            </w:pPr>
            <w:r>
              <w:t xml:space="preserve">Carga de enfermedad y exposición</w:t>
            </w:r>
          </w:p>
        </w:tc>
      </w:tr>
      <w:tr>
        <w:trPr>
          <w:cantSplit/>
        </w:trPr>
        <w:tc>
          <w:tcPr/>
          <w:p>
            <w:pPr>
              <w:pStyle w:val="Tabla9"/>
              <w:jc w:val="left"/>
            </w:pPr>
            <w:r>
              <w:t xml:space="preserve">De Moura 2025</w:t>
            </w:r>
          </w:p>
        </w:tc>
        <w:tc>
          <w:tcPr/>
          <w:p>
            <w:pPr>
              <w:pStyle w:val="Tabla9"/>
              <w:jc w:val="left"/>
            </w:pPr>
            <w:r>
              <w:t xml:space="preserve">Kumar 2026</w:t>
            </w:r>
          </w:p>
        </w:tc>
        <w:tc>
          <w:tcPr/>
          <w:p>
            <w:pPr>
              <w:pStyle w:val="Tabla9"/>
              <w:jc w:val="left"/>
            </w:pPr>
            <w:r>
              <w:t xml:space="preserve">5</w:t>
            </w:r>
          </w:p>
        </w:tc>
        <w:tc>
          <w:tcPr/>
          <w:p>
            <w:pPr>
              <w:pStyle w:val="Tabla9"/>
              <w:jc w:val="left"/>
            </w:pPr>
            <w:r>
              <w:t xml:space="preserve">crecimiento y aceleración</w:t>
            </w:r>
          </w:p>
        </w:tc>
        <w:tc>
          <w:tcPr/>
          <w:p>
            <w:pPr>
              <w:pStyle w:val="Tabla9"/>
              <w:jc w:val="left"/>
            </w:pPr>
            <w:r>
              <w:t xml:space="preserve">Exposición y materia particulada</w:t>
            </w:r>
          </w:p>
        </w:tc>
      </w:tr>
      <w:tr>
        <w:trPr>
          <w:cantSplit/>
        </w:trPr>
        <w:tc>
          <w:tcPr/>
          <w:p>
            <w:pPr>
              <w:pStyle w:val="Tabla9"/>
              <w:jc w:val="left"/>
            </w:pPr>
            <w:r>
              <w:t xml:space="preserve">Botezat 2025</w:t>
            </w:r>
          </w:p>
        </w:tc>
        <w:tc>
          <w:tcPr/>
          <w:p>
            <w:pPr>
              <w:pStyle w:val="Tabla9"/>
              <w:jc w:val="left"/>
            </w:pPr>
            <w:r>
              <w:t xml:space="preserve">Tavella 2026</w:t>
            </w:r>
          </w:p>
        </w:tc>
        <w:tc>
          <w:tcPr/>
          <w:p>
            <w:pPr>
              <w:pStyle w:val="Tabla9"/>
              <w:jc w:val="left"/>
            </w:pPr>
            <w:r>
              <w:t xml:space="preserve">4</w:t>
            </w:r>
          </w:p>
        </w:tc>
        <w:tc>
          <w:tcPr/>
          <w:p>
            <w:pPr>
              <w:pStyle w:val="Tabla9"/>
              <w:jc w:val="left"/>
            </w:pPr>
            <w:r>
              <w:t xml:space="preserve">crecimiento y aceleración</w:t>
            </w:r>
          </w:p>
        </w:tc>
        <w:tc>
          <w:tcPr/>
          <w:p>
            <w:pPr>
              <w:pStyle w:val="Tabla9"/>
              <w:jc w:val="left"/>
            </w:pPr>
            <w:r>
              <w:t xml:space="preserve">Humo de biomasa y salud</w:t>
            </w:r>
          </w:p>
        </w:tc>
      </w:tr>
      <w:tr>
        <w:trPr>
          <w:cantSplit/>
        </w:trPr>
        <w:tc>
          <w:tcPr/>
          <w:p>
            <w:pPr>
              <w:pStyle w:val="Tabla9"/>
              <w:jc w:val="left"/>
            </w:pPr>
            <w:r>
              <w:t xml:space="preserve">Huang 2025</w:t>
            </w:r>
          </w:p>
        </w:tc>
        <w:tc>
          <w:tcPr/>
          <w:p>
            <w:pPr>
              <w:pStyle w:val="Tabla9"/>
              <w:jc w:val="left"/>
            </w:pPr>
            <w:r>
              <w:t xml:space="preserve">Wei 2026</w:t>
            </w:r>
          </w:p>
        </w:tc>
        <w:tc>
          <w:tcPr/>
          <w:p>
            <w:pPr>
              <w:pStyle w:val="Tabla9"/>
              <w:jc w:val="left"/>
            </w:pPr>
            <w:r>
              <w:t xml:space="preserve">4</w:t>
            </w:r>
          </w:p>
        </w:tc>
        <w:tc>
          <w:tcPr/>
          <w:p>
            <w:pPr>
              <w:pStyle w:val="Tabla9"/>
              <w:jc w:val="left"/>
            </w:pPr>
            <w:r>
              <w:t xml:space="preserve">crecimiento y aceleración</w:t>
            </w:r>
          </w:p>
        </w:tc>
        <w:tc>
          <w:tcPr/>
          <w:p>
            <w:pPr>
              <w:pStyle w:val="Tabla9"/>
              <w:jc w:val="left"/>
            </w:pPr>
            <w:r>
              <w:t xml:space="preserve">Pronóstico con aprendizaje profundo y gemelo digital</w:t>
            </w:r>
          </w:p>
        </w:tc>
      </w:tr>
      <w:tr>
        <w:trPr>
          <w:cantSplit/>
        </w:trPr>
        <w:tc>
          <w:tcPr/>
          <w:p>
            <w:pPr>
              <w:pStyle w:val="Tabla9"/>
              <w:jc w:val="left"/>
            </w:pPr>
            <w:r>
              <w:t xml:space="preserve">Rodríguez-Villamizar 2022</w:t>
            </w:r>
          </w:p>
        </w:tc>
        <w:tc>
          <w:tcPr/>
          <w:p>
            <w:pPr>
              <w:pStyle w:val="Tabla9"/>
              <w:jc w:val="left"/>
            </w:pPr>
            <w:r>
              <w:t xml:space="preserve">Liao 2026</w:t>
            </w:r>
          </w:p>
        </w:tc>
        <w:tc>
          <w:tcPr/>
          <w:p>
            <w:pPr>
              <w:pStyle w:val="Tabla9"/>
              <w:jc w:val="left"/>
            </w:pPr>
            <w:r>
              <w:t xml:space="preserve">4</w:t>
            </w:r>
          </w:p>
        </w:tc>
        <w:tc>
          <w:tcPr/>
          <w:p>
            <w:pPr>
              <w:pStyle w:val="Tabla9"/>
              <w:jc w:val="left"/>
            </w:pPr>
            <w:r>
              <w:t xml:space="preserve">fundacional y aceleración</w:t>
            </w:r>
          </w:p>
        </w:tc>
        <w:tc>
          <w:tcPr/>
          <w:p>
            <w:pPr>
              <w:pStyle w:val="Tabla9"/>
              <w:jc w:val="left"/>
            </w:pPr>
            <w:r>
              <w:t xml:space="preserve">Carga e índices de salud</w:t>
            </w:r>
          </w:p>
        </w:tc>
      </w:tr>
      <w:tr>
        <w:trPr>
          <w:cantSplit/>
        </w:trPr>
        <w:tc>
          <w:tcPr/>
          <w:p>
            <w:pPr>
              <w:pStyle w:val="Tabla9"/>
              <w:jc w:val="left"/>
            </w:pPr>
            <w:r>
              <w:t xml:space="preserve">Kumar 2026</w:t>
            </w:r>
          </w:p>
        </w:tc>
        <w:tc>
          <w:tcPr/>
          <w:p>
            <w:pPr>
              <w:pStyle w:val="Tabla9"/>
              <w:jc w:val="left"/>
            </w:pPr>
            <w:r>
              <w:t xml:space="preserve">Liao 2026</w:t>
            </w:r>
          </w:p>
        </w:tc>
        <w:tc>
          <w:tcPr/>
          <w:p>
            <w:pPr>
              <w:pStyle w:val="Tabla9"/>
              <w:jc w:val="left"/>
            </w:pPr>
            <w:r>
              <w:t xml:space="preserve">3</w:t>
            </w:r>
          </w:p>
        </w:tc>
        <w:tc>
          <w:tcPr/>
          <w:p>
            <w:pPr>
              <w:pStyle w:val="Tabla9"/>
              <w:jc w:val="left"/>
            </w:pPr>
            <w:r>
              <w:t xml:space="preserve">aceleración</w:t>
            </w:r>
          </w:p>
        </w:tc>
        <w:tc>
          <w:tcPr/>
          <w:p>
            <w:pPr>
              <w:pStyle w:val="Tabla9"/>
              <w:jc w:val="left"/>
            </w:pPr>
            <w:r>
              <w:t xml:space="preserve">Materia particulada e índices</w:t>
            </w:r>
          </w:p>
        </w:tc>
      </w:tr>
      <w:tr>
        <w:trPr>
          <w:cantSplit/>
        </w:trPr>
        <w:tc>
          <w:tcPr/>
          <w:p>
            <w:pPr>
              <w:pStyle w:val="Tabla9"/>
              <w:jc w:val="left"/>
            </w:pPr>
            <w:r>
              <w:t xml:space="preserve">Becerra 2021</w:t>
            </w:r>
          </w:p>
        </w:tc>
        <w:tc>
          <w:tcPr/>
          <w:p>
            <w:pPr>
              <w:pStyle w:val="Tabla9"/>
              <w:jc w:val="left"/>
            </w:pPr>
            <w:r>
              <w:t xml:space="preserve">Vélez-Pereira 2025</w:t>
            </w:r>
          </w:p>
        </w:tc>
        <w:tc>
          <w:tcPr/>
          <w:p>
            <w:pPr>
              <w:pStyle w:val="Tabla9"/>
              <w:jc w:val="left"/>
            </w:pPr>
            <w:r>
              <w:t xml:space="preserve">3</w:t>
            </w:r>
          </w:p>
        </w:tc>
        <w:tc>
          <w:tcPr/>
          <w:p>
            <w:pPr>
              <w:pStyle w:val="Tabla9"/>
              <w:jc w:val="left"/>
            </w:pPr>
            <w:r>
              <w:t xml:space="preserve">fundacional y crecimiento</w:t>
            </w:r>
          </w:p>
        </w:tc>
        <w:tc>
          <w:tcPr/>
          <w:p>
            <w:pPr>
              <w:pStyle w:val="Tabla9"/>
              <w:jc w:val="left"/>
            </w:pPr>
            <w:r>
              <w:t xml:space="preserve">Pronóstico de calidad del aire</w:t>
            </w:r>
          </w:p>
        </w:tc>
      </w:tr>
      <w:tr>
        <w:trPr>
          <w:cantSplit/>
        </w:trPr>
        <w:tc>
          <w:tcPr/>
          <w:p>
            <w:pPr>
              <w:pStyle w:val="Tabla9"/>
              <w:jc w:val="left"/>
            </w:pPr>
            <w:r>
              <w:t xml:space="preserve">Essamlali 2024</w:t>
            </w:r>
          </w:p>
        </w:tc>
        <w:tc>
          <w:tcPr/>
          <w:p>
            <w:pPr>
              <w:pStyle w:val="Tabla9"/>
              <w:jc w:val="left"/>
            </w:pPr>
            <w:r>
              <w:t xml:space="preserve">Haris 2026</w:t>
            </w:r>
          </w:p>
        </w:tc>
        <w:tc>
          <w:tcPr/>
          <w:p>
            <w:pPr>
              <w:pStyle w:val="Tabla9"/>
              <w:jc w:val="left"/>
            </w:pPr>
            <w:r>
              <w:t xml:space="preserve">3</w:t>
            </w:r>
          </w:p>
        </w:tc>
        <w:tc>
          <w:tcPr/>
          <w:p>
            <w:pPr>
              <w:pStyle w:val="Tabla9"/>
              <w:jc w:val="left"/>
            </w:pPr>
            <w:r>
              <w:t xml:space="preserve">crecimiento y aceleración</w:t>
            </w:r>
          </w:p>
        </w:tc>
        <w:tc>
          <w:tcPr/>
          <w:p>
            <w:pPr>
              <w:pStyle w:val="Tabla9"/>
              <w:jc w:val="left"/>
            </w:pPr>
            <w:r>
              <w:t xml:space="preserve">Revisiones de métodos</w:t>
            </w:r>
          </w:p>
        </w:tc>
      </w:tr>
      <w:tr>
        <w:trPr>
          <w:cantSplit/>
        </w:trPr>
        <w:tc>
          <w:tcPr/>
          <w:p>
            <w:pPr>
              <w:pStyle w:val="Tabla9"/>
              <w:jc w:val="left"/>
            </w:pPr>
            <w:r>
              <w:t xml:space="preserve">Bang 2026</w:t>
            </w:r>
          </w:p>
        </w:tc>
        <w:tc>
          <w:tcPr/>
          <w:p>
            <w:pPr>
              <w:pStyle w:val="Tabla9"/>
              <w:jc w:val="left"/>
            </w:pPr>
            <w:r>
              <w:t xml:space="preserve">Tavella 2026</w:t>
            </w:r>
          </w:p>
        </w:tc>
        <w:tc>
          <w:tcPr/>
          <w:p>
            <w:pPr>
              <w:pStyle w:val="Tabla9"/>
              <w:jc w:val="left"/>
            </w:pPr>
            <w:r>
              <w:t xml:space="preserve">3</w:t>
            </w:r>
          </w:p>
        </w:tc>
        <w:tc>
          <w:tcPr/>
          <w:p>
            <w:pPr>
              <w:pStyle w:val="Tabla9"/>
              <w:jc w:val="left"/>
            </w:pPr>
            <w:r>
              <w:t xml:space="preserve">aceleración</w:t>
            </w:r>
          </w:p>
        </w:tc>
        <w:tc>
          <w:tcPr/>
          <w:p>
            <w:pPr>
              <w:pStyle w:val="Tabla9"/>
              <w:jc w:val="left"/>
            </w:pPr>
            <w:r>
              <w:t xml:space="preserve">Redes de sensores y agenda de Brasil</w:t>
            </w:r>
          </w:p>
        </w:tc>
      </w:tr>
      <w:tr>
        <w:trPr>
          <w:cantSplit/>
        </w:trPr>
        <w:tc>
          <w:tcPr/>
          <w:p>
            <w:pPr>
              <w:pStyle w:val="Tabla9"/>
              <w:jc w:val="left"/>
            </w:pPr>
            <w:r>
              <w:t xml:space="preserve">Murad Pedraza 2026</w:t>
            </w:r>
          </w:p>
        </w:tc>
        <w:tc>
          <w:tcPr/>
          <w:p>
            <w:pPr>
              <w:pStyle w:val="Tabla9"/>
              <w:jc w:val="left"/>
            </w:pPr>
            <w:r>
              <w:t xml:space="preserve">Tavella 2026</w:t>
            </w:r>
          </w:p>
        </w:tc>
        <w:tc>
          <w:tcPr/>
          <w:p>
            <w:pPr>
              <w:pStyle w:val="Tabla9"/>
              <w:jc w:val="left"/>
            </w:pPr>
            <w:r>
              <w:t xml:space="preserve">3</w:t>
            </w:r>
          </w:p>
        </w:tc>
        <w:tc>
          <w:tcPr/>
          <w:p>
            <w:pPr>
              <w:pStyle w:val="Tabla9"/>
              <w:jc w:val="left"/>
            </w:pPr>
            <w:r>
              <w:t xml:space="preserve">aceleración</w:t>
            </w:r>
          </w:p>
        </w:tc>
        <w:tc>
          <w:tcPr/>
          <w:p>
            <w:pPr>
              <w:pStyle w:val="Tabla9"/>
              <w:jc w:val="left"/>
            </w:pPr>
            <w:r>
              <w:t xml:space="preserve">Sistemas de vigilancia y agenda de Brasil</w:t>
            </w:r>
          </w:p>
        </w:tc>
      </w:tr>
    </w:tbl>
    <w:p>
      <w:pPr>
        <w:pStyle w:val="TablaNota"/>
      </w:pPr>
      <w:r>
        <w:rPr>
          <w:i/>
          <w:iCs/>
        </w:rPr>
        <w:t xml:space="preserve">Nota.</w:t>
      </w:r>
      <w:r>
        <w:t xml:space="preserve"> </w:t>
      </w:r>
      <w:r>
        <w:t xml:space="preserve">Elaboración propia con datos de F-INF §7.7, Tabla 39 (p. 95). Referencias compartidas aproximadas por fragmentos de título de siete palabras. Eras según la segmentación de la sección 2.2.2. Naturaleza: DOCUMENTADO; la columna de lectura es INFERIDO. Corpus de 26 artículos de 42 documentos; año de corte 2026.</w:t>
      </w:r>
    </w:p>
    <w:p>
      <w:pPr>
        <w:pStyle w:val="FiguraRotulo"/>
      </w:pPr>
      <w:bookmarkStart w:id="9495" w:name="rot_Figura_2_6"/>
      <w:r>
        <w:rPr>
          <w:b/>
          <w:bCs/>
        </w:rPr>
        <w:t xml:space="preserve">Figura 2.6</w:t>
      </w:r>
      <w:bookmarkEnd w:id="9495"/>
    </w:p>
    <w:p>
      <w:pPr>
        <w:pStyle w:val="FiguraTitulo"/>
      </w:pPr>
      <w:r>
        <w:rPr>
          <w:i/>
          <w:iCs/>
        </w:rPr>
        <w:t xml:space="preserve">Acoplamiento bibliográfico entre artículos y referencias más compartidas</w:t>
      </w:r>
    </w:p>
    <w:p>
      <w:pPr>
        <w:pStyle w:val="BodyText"/>
      </w:pPr>
      <w:r>
        <w:drawing>
          <wp:inline>
            <wp:extent cx="5579999" cy="3817894"/>
            <wp:effectExtent b="0" l="0" r="0" t="0"/>
            <wp:docPr descr="" title="" id="313" name="Picture"/>
            <a:graphic>
              <a:graphicData uri="http://schemas.openxmlformats.org/drawingml/2006/picture">
                <pic:pic>
                  <pic:nvPicPr>
                    <pic:cNvPr descr="/tmp/claude-0/-home-user-docs/ddf38714-2a7e-502b-92b4-1008e2832422/scratchpad/proy/figs/out/c2_cocitacion.png" id="314" name="Picture"/>
                    <pic:cNvPicPr>
                      <a:picLocks noChangeArrowheads="1" noChangeAspect="1"/>
                    </pic:cNvPicPr>
                  </pic:nvPicPr>
                  <pic:blipFill>
                    <a:blip r:embed="rId312"/>
                    <a:stretch>
                      <a:fillRect/>
                    </a:stretch>
                  </pic:blipFill>
                  <pic:spPr bwMode="auto">
                    <a:xfrm>
                      <a:off x="0" y="0"/>
                      <a:ext cx="5579999" cy="381789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networkx y matplotlib a partir de F-INF §7.7, Tabla 39 (p. 95). Los 12 pares de mayor acoplamiento de 102; nodos por era de publicación. El corpus no permite calcular co-citación de autores. Corpus de 26 artículos de 42 documentos; año de corte 2026; semilla 42.</w:t>
      </w:r>
    </w:p>
    <w:p>
      <w:pPr>
        <w:pStyle w:val="BodyText"/>
      </w:pPr>
      <w:r>
        <w:t xml:space="preserve">El par de Moura et al. (2025) y Tavella et al. (2026) comparte 12 referencias, y el informe lo atribuye al grupo de autores común. Los otros 11 pares comparten entre tres y seis. La referencia más compartida es la guía de la OMS de 2021, que citan nueve artículos (OMS, 2021). Una revisión sobre efectos ambientales y de salud de la contaminación aparece en cinco artículos. La red forma cuatro componentes, y el mayor reúne ocho artículos.</w:t>
      </w:r>
    </w:p>
    <w:p>
      <w:pPr>
        <w:pStyle w:val="BodyText"/>
      </w:pPr>
      <w:r>
        <w:t xml:space="preserve">Una posición valora el acoplamiento porque capta el frente de investigación actual. La otra valora la co-citación porque capta la base consolidada. Aquí la base compartida es delgada. Las listas casi no se solapan, y la guía de la OMS es la única referencia que citan nueve artículos. La co-citación de autores no es calculable sin una base de citas, y el proyecto la declara VACIO.</w:t>
      </w:r>
    </w:p>
    <w:p>
      <w:pPr>
        <w:pStyle w:val="BodyText"/>
      </w:pPr>
      <w:r>
        <w:t xml:space="preserve">La literatura de calibración colocalizada que el proyecto usa no figura en el corpus. Las evaluaciones de sensores ópticos frente a referencia pertenecen al banco de referencias del proyecto (Barkjohn et al., 2021; Malings et al., 2020; Giordano et al., 2021). También pertenece al banco el protocolo de pruebas de la Agencia de Protección Ambiental de Estados Unidos (EPA, 2021). La consecuencia es que el proyecto debe construir su base intelectual de calibración fuera del corpus. No puede apoyarse en la red documental de la vigilancia.</w:t>
      </w:r>
    </w:p>
    <w:bookmarkEnd w:id="315"/>
    <w:bookmarkStart w:id="319" w:name="_Toc00900128"/>
    <w:p>
      <w:pPr>
        <w:pStyle w:val="Heading3"/>
      </w:pPr>
      <w:r>
        <w:t xml:space="preserve">2.2.7 Mapa estratégico de cuatro cuadrantes</w:t>
      </w:r>
    </w:p>
    <w:p>
      <w:pPr>
        <w:pStyle w:val="FirstParagraph"/>
      </w:pPr>
      <w:r>
        <w:t xml:space="preserve">El mapa estratégico ubica cada comunidad temática según su centralidad y su densidad. La centralidad mide la fuerza de los enlaces con otras comunidades. La densidad mide la fuerza de los enlaces internos (Callon et al., 1991). Las comunidades con ambas medidas altas son temas motores. Las de ambas medidas bajas son emergentes o están en declive. Cobo et al. (2011) usan el mismo diagrama estratégico para describir la evolución de un campo.</w:t>
      </w:r>
    </w:p>
    <w:p>
      <w:pPr>
        <w:pStyle w:val="BodyText"/>
      </w:pPr>
      <w:r>
        <w:t xml:space="preserve">La especificación pide un mapa de acoplamiento bibliográfico con impacto por cluster. El informe no reporta impacto por cluster, porque no incluye citas. Por eso el mapa usa las ocho comunidades de la red de co-palabras. Sus valores de centralidad y densidad provienen del informe (F-INF §7.5, Tabla 37, p. 88). La Tabla 2.12 y la Figura 2.7 presentan las comunidades. El corte entre cuadrantes usa las medianas de centralidad (379.935) y de densidad (27.825), calculadas con los valores del informe.</w:t>
      </w:r>
    </w:p>
    <w:p>
      <w:pPr>
        <w:pStyle w:val="TablaRotulo"/>
      </w:pPr>
      <w:bookmarkStart w:id="9242" w:name="rot_Tabla_2_12"/>
      <w:r>
        <w:rPr>
          <w:b/>
          <w:bCs/>
        </w:rPr>
        <w:t xml:space="preserve">Tabla 2.12</w:t>
      </w:r>
      <w:bookmarkEnd w:id="9242"/>
    </w:p>
    <w:p>
      <w:pPr>
        <w:pStyle w:val="TablaTitulo"/>
      </w:pPr>
      <w:r>
        <w:rPr>
          <w:i/>
          <w:iCs/>
        </w:rPr>
        <w:t xml:space="preserve">Comunidades de co-palabras por cuadrante estratégico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064"/>
        <w:gridCol w:w="998"/>
        <w:gridCol w:w="1397"/>
        <w:gridCol w:w="1064"/>
        <w:gridCol w:w="1264"/>
        <w:gridCol w:w="1064"/>
        <w:gridCol w:w="1064"/>
      </w:tblGrid>
      <w:tr>
        <w:trPr>
          <w:cantSplit/>
          <w:tblHeader/>
        </w:trPr>
        <w:tc>
          <w:tcPr>
            <w:shd w:val="clear" w:color="auto" w:fill="00B050"/>
          </w:tcPr>
          <w:p>
            <w:pPr>
              <w:pStyle w:val="Tabla8"/>
              <w:jc w:val="center"/>
            </w:pPr>
            <w:r>
              <w:rPr>
                <w:b/>
                <w:color w:val="FFFFFF"/>
              </w:rPr>
              <w:t xml:space="preserve">Comunidad</w:t>
            </w:r>
          </w:p>
        </w:tc>
        <w:tc>
          <w:tcPr>
            <w:shd w:val="clear" w:color="auto" w:fill="00B050"/>
          </w:tcPr>
          <w:p>
            <w:pPr>
              <w:pStyle w:val="Tabla8"/>
              <w:jc w:val="center"/>
            </w:pPr>
            <w:r>
              <w:rPr>
                <w:b/>
                <w:color w:val="FFFFFF"/>
              </w:rPr>
              <w:t xml:space="preserve">Términos</w:t>
            </w:r>
          </w:p>
        </w:tc>
        <w:tc>
          <w:tcPr>
            <w:shd w:val="clear" w:color="auto" w:fill="00B050"/>
          </w:tcPr>
          <w:p>
            <w:pPr>
              <w:pStyle w:val="Tabla8"/>
              <w:jc w:val="center"/>
            </w:pPr>
            <w:r>
              <w:rPr>
                <w:b/>
                <w:color w:val="FFFFFF"/>
              </w:rPr>
              <w:t xml:space="preserve">Términos principales</w:t>
            </w:r>
          </w:p>
        </w:tc>
        <w:tc>
          <w:tcPr>
            <w:shd w:val="clear" w:color="auto" w:fill="00B050"/>
          </w:tcPr>
          <w:p>
            <w:pPr>
              <w:pStyle w:val="Tabla8"/>
              <w:jc w:val="center"/>
            </w:pPr>
            <w:r>
              <w:rPr>
                <w:b/>
                <w:color w:val="FFFFFF"/>
              </w:rPr>
              <w:t xml:space="preserve">Densidad</w:t>
            </w:r>
          </w:p>
        </w:tc>
        <w:tc>
          <w:tcPr>
            <w:shd w:val="clear" w:color="auto" w:fill="00B050"/>
          </w:tcPr>
          <w:p>
            <w:pPr>
              <w:pStyle w:val="Tabla8"/>
              <w:jc w:val="center"/>
            </w:pPr>
            <w:r>
              <w:rPr>
                <w:b/>
                <w:color w:val="FFFFFF"/>
              </w:rPr>
              <w:t xml:space="preserve">Centralidad</w:t>
            </w:r>
          </w:p>
        </w:tc>
        <w:tc>
          <w:tcPr>
            <w:shd w:val="clear" w:color="auto" w:fill="00B050"/>
          </w:tcPr>
          <w:p>
            <w:pPr>
              <w:pStyle w:val="Tabla8"/>
              <w:jc w:val="center"/>
            </w:pPr>
            <w:r>
              <w:rPr>
                <w:b/>
                <w:color w:val="FFFFFF"/>
              </w:rPr>
              <w:t xml:space="preserve">Cuadrante en el informe</w:t>
            </w:r>
          </w:p>
        </w:tc>
        <w:tc>
          <w:tcPr>
            <w:shd w:val="clear" w:color="auto" w:fill="00B050"/>
          </w:tcPr>
          <w:p>
            <w:pPr>
              <w:pStyle w:val="Tabla8"/>
              <w:jc w:val="center"/>
            </w:pPr>
            <w:r>
              <w:rPr>
                <w:b/>
                <w:color w:val="FFFFFF"/>
              </w:rPr>
              <w:t xml:space="preserve">Cuadrante por medianas</w:t>
            </w:r>
          </w:p>
        </w:tc>
      </w:tr>
      <w:tr>
        <w:trPr>
          <w:cantSplit/>
        </w:trPr>
        <w:tc>
          <w:tcPr/>
          <w:p>
            <w:pPr>
              <w:pStyle w:val="Tabla8"/>
              <w:jc w:val="left"/>
            </w:pPr>
            <w:r>
              <w:t xml:space="preserve">C1</w:t>
            </w:r>
          </w:p>
        </w:tc>
        <w:tc>
          <w:tcPr/>
          <w:p>
            <w:pPr>
              <w:pStyle w:val="Tabla8"/>
              <w:jc w:val="left"/>
            </w:pPr>
            <w:r>
              <w:t xml:space="preserve">195</w:t>
            </w:r>
          </w:p>
        </w:tc>
        <w:tc>
          <w:tcPr/>
          <w:p>
            <w:pPr>
              <w:pStyle w:val="Tabla8"/>
              <w:jc w:val="left"/>
            </w:pPr>
            <w:r>
              <w:t xml:space="preserve">aire, calidad, contaminantes</w:t>
            </w:r>
          </w:p>
        </w:tc>
        <w:tc>
          <w:tcPr/>
          <w:p>
            <w:pPr>
              <w:pStyle w:val="Tabla8"/>
              <w:jc w:val="left"/>
            </w:pPr>
            <w:r>
              <w:t xml:space="preserve">31.461,54</w:t>
            </w:r>
          </w:p>
        </w:tc>
        <w:tc>
          <w:tcPr/>
          <w:p>
            <w:pPr>
              <w:pStyle w:val="Tabla8"/>
              <w:jc w:val="left"/>
            </w:pPr>
            <w:r>
              <w:t xml:space="preserve">875.310</w:t>
            </w:r>
          </w:p>
        </w:tc>
        <w:tc>
          <w:tcPr/>
          <w:p>
            <w:pPr>
              <w:pStyle w:val="Tabla8"/>
              <w:jc w:val="left"/>
            </w:pPr>
            <w:r>
              <w:t xml:space="preserve">Motor</w:t>
            </w:r>
          </w:p>
        </w:tc>
        <w:tc>
          <w:tcPr/>
          <w:p>
            <w:pPr>
              <w:pStyle w:val="Tabla8"/>
              <w:jc w:val="left"/>
            </w:pPr>
            <w:r>
              <w:t xml:space="preserve">Motor</w:t>
            </w:r>
          </w:p>
        </w:tc>
      </w:tr>
      <w:tr>
        <w:trPr>
          <w:cantSplit/>
        </w:trPr>
        <w:tc>
          <w:tcPr/>
          <w:p>
            <w:pPr>
              <w:pStyle w:val="Tabla8"/>
              <w:jc w:val="left"/>
            </w:pPr>
            <w:r>
              <w:t xml:space="preserve">C2</w:t>
            </w:r>
          </w:p>
        </w:tc>
        <w:tc>
          <w:tcPr/>
          <w:p>
            <w:pPr>
              <w:pStyle w:val="Tabla8"/>
              <w:jc w:val="left"/>
            </w:pPr>
            <w:r>
              <w:t xml:space="preserve">136</w:t>
            </w:r>
          </w:p>
        </w:tc>
        <w:tc>
          <w:tcPr/>
          <w:p>
            <w:pPr>
              <w:pStyle w:val="Tabla8"/>
              <w:jc w:val="left"/>
            </w:pPr>
            <w:r>
              <w:t xml:space="preserve">datos, sensores, dispositivos</w:t>
            </w:r>
          </w:p>
        </w:tc>
        <w:tc>
          <w:tcPr/>
          <w:p>
            <w:pPr>
              <w:pStyle w:val="Tabla8"/>
              <w:jc w:val="left"/>
            </w:pPr>
            <w:r>
              <w:t xml:space="preserve">33.518,38</w:t>
            </w:r>
          </w:p>
        </w:tc>
        <w:tc>
          <w:tcPr/>
          <w:p>
            <w:pPr>
              <w:pStyle w:val="Tabla8"/>
              <w:jc w:val="left"/>
            </w:pPr>
            <w:r>
              <w:t xml:space="preserve">881.650</w:t>
            </w:r>
          </w:p>
        </w:tc>
        <w:tc>
          <w:tcPr/>
          <w:p>
            <w:pPr>
              <w:pStyle w:val="Tabla8"/>
              <w:jc w:val="left"/>
            </w:pPr>
            <w:r>
              <w:t xml:space="preserve">Motor</w:t>
            </w:r>
          </w:p>
        </w:tc>
        <w:tc>
          <w:tcPr/>
          <w:p>
            <w:pPr>
              <w:pStyle w:val="Tabla8"/>
              <w:jc w:val="left"/>
            </w:pPr>
            <w:r>
              <w:t xml:space="preserve">Motor</w:t>
            </w:r>
          </w:p>
        </w:tc>
      </w:tr>
      <w:tr>
        <w:trPr>
          <w:cantSplit/>
        </w:trPr>
        <w:tc>
          <w:tcPr/>
          <w:p>
            <w:pPr>
              <w:pStyle w:val="Tabla8"/>
              <w:jc w:val="left"/>
            </w:pPr>
            <w:r>
              <w:t xml:space="preserve">C3</w:t>
            </w:r>
          </w:p>
        </w:tc>
        <w:tc>
          <w:tcPr/>
          <w:p>
            <w:pPr>
              <w:pStyle w:val="Tabla8"/>
              <w:jc w:val="left"/>
            </w:pPr>
            <w:r>
              <w:t xml:space="preserve">94</w:t>
            </w:r>
          </w:p>
        </w:tc>
        <w:tc>
          <w:tcPr/>
          <w:p>
            <w:pPr>
              <w:pStyle w:val="Tabla8"/>
              <w:jc w:val="left"/>
            </w:pPr>
            <w:r>
              <w:t xml:space="preserve">modelo, tiempo, valor</w:t>
            </w:r>
          </w:p>
        </w:tc>
        <w:tc>
          <w:tcPr/>
          <w:p>
            <w:pPr>
              <w:pStyle w:val="Tabla8"/>
              <w:jc w:val="left"/>
            </w:pPr>
            <w:r>
              <w:t xml:space="preserve">30.410,64</w:t>
            </w:r>
          </w:p>
        </w:tc>
        <w:tc>
          <w:tcPr/>
          <w:p>
            <w:pPr>
              <w:pStyle w:val="Tabla8"/>
              <w:jc w:val="left"/>
            </w:pPr>
            <w:r>
              <w:t xml:space="preserve">700.890</w:t>
            </w:r>
          </w:p>
        </w:tc>
        <w:tc>
          <w:tcPr/>
          <w:p>
            <w:pPr>
              <w:pStyle w:val="Tabla8"/>
              <w:jc w:val="left"/>
            </w:pPr>
            <w:r>
              <w:t xml:space="preserve">Motor</w:t>
            </w:r>
          </w:p>
        </w:tc>
        <w:tc>
          <w:tcPr/>
          <w:p>
            <w:pPr>
              <w:pStyle w:val="Tabla8"/>
              <w:jc w:val="left"/>
            </w:pPr>
            <w:r>
              <w:t xml:space="preserve">Motor</w:t>
            </w:r>
          </w:p>
        </w:tc>
      </w:tr>
      <w:tr>
        <w:trPr>
          <w:cantSplit/>
        </w:trPr>
        <w:tc>
          <w:tcPr/>
          <w:p>
            <w:pPr>
              <w:pStyle w:val="Tabla8"/>
              <w:jc w:val="left"/>
            </w:pPr>
            <w:r>
              <w:t xml:space="preserve">C4</w:t>
            </w:r>
          </w:p>
        </w:tc>
        <w:tc>
          <w:tcPr/>
          <w:p>
            <w:pPr>
              <w:pStyle w:val="Tabla8"/>
              <w:jc w:val="left"/>
            </w:pPr>
            <w:r>
              <w:t xml:space="preserve">59</w:t>
            </w:r>
          </w:p>
        </w:tc>
        <w:tc>
          <w:tcPr/>
          <w:p>
            <w:pPr>
              <w:pStyle w:val="Tabla8"/>
              <w:jc w:val="left"/>
            </w:pPr>
            <w:r>
              <w:t xml:space="preserve">salud, activos, motores</w:t>
            </w:r>
          </w:p>
        </w:tc>
        <w:tc>
          <w:tcPr/>
          <w:p>
            <w:pPr>
              <w:pStyle w:val="Tabla8"/>
              <w:jc w:val="left"/>
            </w:pPr>
            <w:r>
              <w:t xml:space="preserve">54.844,07</w:t>
            </w:r>
          </w:p>
        </w:tc>
        <w:tc>
          <w:tcPr/>
          <w:p>
            <w:pPr>
              <w:pStyle w:val="Tabla8"/>
              <w:jc w:val="left"/>
            </w:pPr>
            <w:r>
              <w:t xml:space="preserve">479.950</w:t>
            </w:r>
          </w:p>
        </w:tc>
        <w:tc>
          <w:tcPr/>
          <w:p>
            <w:pPr>
              <w:pStyle w:val="Tabla8"/>
              <w:jc w:val="left"/>
            </w:pPr>
            <w:r>
              <w:t xml:space="preserve">Motor</w:t>
            </w:r>
          </w:p>
        </w:tc>
        <w:tc>
          <w:tcPr/>
          <w:p>
            <w:pPr>
              <w:pStyle w:val="Tabla8"/>
              <w:jc w:val="left"/>
            </w:pPr>
            <w:r>
              <w:t xml:space="preserve">Motor</w:t>
            </w:r>
          </w:p>
        </w:tc>
      </w:tr>
      <w:tr>
        <w:trPr>
          <w:cantSplit/>
        </w:trPr>
        <w:tc>
          <w:tcPr/>
          <w:p>
            <w:pPr>
              <w:pStyle w:val="Tabla8"/>
              <w:jc w:val="left"/>
            </w:pPr>
            <w:r>
              <w:t xml:space="preserve">C5</w:t>
            </w:r>
          </w:p>
        </w:tc>
        <w:tc>
          <w:tcPr/>
          <w:p>
            <w:pPr>
              <w:pStyle w:val="Tabla8"/>
              <w:jc w:val="left"/>
            </w:pPr>
            <w:r>
              <w:t xml:space="preserve">48</w:t>
            </w:r>
          </w:p>
        </w:tc>
        <w:tc>
          <w:tcPr/>
          <w:p>
            <w:pPr>
              <w:pStyle w:val="Tabla8"/>
              <w:jc w:val="left"/>
            </w:pPr>
            <w:r>
              <w:t xml:space="preserve">temperatura, viento, partículas</w:t>
            </w:r>
          </w:p>
        </w:tc>
        <w:tc>
          <w:tcPr/>
          <w:p>
            <w:pPr>
              <w:pStyle w:val="Tabla8"/>
              <w:jc w:val="left"/>
            </w:pPr>
            <w:r>
              <w:t xml:space="preserve">20.495,83</w:t>
            </w:r>
          </w:p>
        </w:tc>
        <w:tc>
          <w:tcPr/>
          <w:p>
            <w:pPr>
              <w:pStyle w:val="Tabla8"/>
              <w:jc w:val="left"/>
            </w:pPr>
            <w:r>
              <w:t xml:space="preserve">279.920</w:t>
            </w:r>
          </w:p>
        </w:tc>
        <w:tc>
          <w:tcPr/>
          <w:p>
            <w:pPr>
              <w:pStyle w:val="Tabla8"/>
              <w:jc w:val="left"/>
            </w:pPr>
            <w:r>
              <w:t xml:space="preserve">Emergente o en declive</w:t>
            </w:r>
          </w:p>
        </w:tc>
        <w:tc>
          <w:tcPr/>
          <w:p>
            <w:pPr>
              <w:pStyle w:val="Tabla8"/>
              <w:jc w:val="left"/>
            </w:pPr>
            <w:r>
              <w:t xml:space="preserve">Emergente o en declive</w:t>
            </w:r>
          </w:p>
        </w:tc>
      </w:tr>
      <w:tr>
        <w:trPr>
          <w:cantSplit/>
        </w:trPr>
        <w:tc>
          <w:tcPr/>
          <w:p>
            <w:pPr>
              <w:pStyle w:val="Tabla8"/>
              <w:jc w:val="left"/>
            </w:pPr>
            <w:r>
              <w:t xml:space="preserve">C6</w:t>
            </w:r>
          </w:p>
        </w:tc>
        <w:tc>
          <w:tcPr/>
          <w:p>
            <w:pPr>
              <w:pStyle w:val="Tabla8"/>
              <w:jc w:val="left"/>
            </w:pPr>
            <w:r>
              <w:t xml:space="preserve">29</w:t>
            </w:r>
          </w:p>
        </w:tc>
        <w:tc>
          <w:tcPr/>
          <w:p>
            <w:pPr>
              <w:pStyle w:val="Tabla8"/>
              <w:jc w:val="left"/>
            </w:pPr>
            <w:r>
              <w:t xml:space="preserve">edificios, espacio, urbano</w:t>
            </w:r>
          </w:p>
        </w:tc>
        <w:tc>
          <w:tcPr/>
          <w:p>
            <w:pPr>
              <w:pStyle w:val="Tabla8"/>
              <w:jc w:val="left"/>
            </w:pPr>
            <w:r>
              <w:t xml:space="preserve">21.855,17</w:t>
            </w:r>
          </w:p>
        </w:tc>
        <w:tc>
          <w:tcPr/>
          <w:p>
            <w:pPr>
              <w:pStyle w:val="Tabla8"/>
              <w:jc w:val="left"/>
            </w:pPr>
            <w:r>
              <w:t xml:space="preserve">218.480</w:t>
            </w:r>
          </w:p>
        </w:tc>
        <w:tc>
          <w:tcPr/>
          <w:p>
            <w:pPr>
              <w:pStyle w:val="Tabla8"/>
              <w:jc w:val="left"/>
            </w:pPr>
            <w:r>
              <w:t xml:space="preserve">Emergente o en declive</w:t>
            </w:r>
          </w:p>
        </w:tc>
        <w:tc>
          <w:tcPr/>
          <w:p>
            <w:pPr>
              <w:pStyle w:val="Tabla8"/>
              <w:jc w:val="left"/>
            </w:pPr>
            <w:r>
              <w:t xml:space="preserve">Emergente o en declive</w:t>
            </w:r>
          </w:p>
        </w:tc>
      </w:tr>
      <w:tr>
        <w:trPr>
          <w:cantSplit/>
        </w:trPr>
        <w:tc>
          <w:tcPr/>
          <w:p>
            <w:pPr>
              <w:pStyle w:val="Tabla8"/>
              <w:jc w:val="left"/>
            </w:pPr>
            <w:r>
              <w:t xml:space="preserve">C7</w:t>
            </w:r>
          </w:p>
        </w:tc>
        <w:tc>
          <w:tcPr/>
          <w:p>
            <w:pPr>
              <w:pStyle w:val="Tabla8"/>
              <w:jc w:val="left"/>
            </w:pPr>
            <w:r>
              <w:t xml:space="preserve">13</w:t>
            </w:r>
          </w:p>
        </w:tc>
        <w:tc>
          <w:tcPr/>
          <w:p>
            <w:pPr>
              <w:pStyle w:val="Tabla8"/>
              <w:jc w:val="left"/>
            </w:pPr>
            <w:r>
              <w:t xml:space="preserve">conjuntos, índices, métricas</w:t>
            </w:r>
          </w:p>
        </w:tc>
        <w:tc>
          <w:tcPr/>
          <w:p>
            <w:pPr>
              <w:pStyle w:val="Tabla8"/>
              <w:jc w:val="left"/>
            </w:pPr>
            <w:r>
              <w:t xml:space="preserve">25.238,46</w:t>
            </w:r>
          </w:p>
        </w:tc>
        <w:tc>
          <w:tcPr/>
          <w:p>
            <w:pPr>
              <w:pStyle w:val="Tabla8"/>
              <w:jc w:val="left"/>
            </w:pPr>
            <w:r>
              <w:t xml:space="preserve">73.660</w:t>
            </w:r>
          </w:p>
        </w:tc>
        <w:tc>
          <w:tcPr/>
          <w:p>
            <w:pPr>
              <w:pStyle w:val="Tabla8"/>
              <w:jc w:val="left"/>
            </w:pPr>
            <w:r>
              <w:t xml:space="preserve">Emergente o en declive</w:t>
            </w:r>
          </w:p>
        </w:tc>
        <w:tc>
          <w:tcPr/>
          <w:p>
            <w:pPr>
              <w:pStyle w:val="Tabla8"/>
              <w:jc w:val="left"/>
            </w:pPr>
            <w:r>
              <w:t xml:space="preserve">Emergente o en declive</w:t>
            </w:r>
          </w:p>
        </w:tc>
      </w:tr>
      <w:tr>
        <w:trPr>
          <w:cantSplit/>
        </w:trPr>
        <w:tc>
          <w:tcPr/>
          <w:p>
            <w:pPr>
              <w:pStyle w:val="Tabla8"/>
              <w:jc w:val="left"/>
            </w:pPr>
            <w:r>
              <w:t xml:space="preserve">C8</w:t>
            </w:r>
          </w:p>
        </w:tc>
        <w:tc>
          <w:tcPr/>
          <w:p>
            <w:pPr>
              <w:pStyle w:val="Tabla8"/>
              <w:jc w:val="left"/>
            </w:pPr>
            <w:r>
              <w:t xml:space="preserve">10</w:t>
            </w:r>
          </w:p>
        </w:tc>
        <w:tc>
          <w:tcPr/>
          <w:p>
            <w:pPr>
              <w:pStyle w:val="Tabla8"/>
              <w:jc w:val="left"/>
            </w:pPr>
            <w:r>
              <w:t xml:space="preserve">fechas de publicación</w:t>
            </w:r>
          </w:p>
        </w:tc>
        <w:tc>
          <w:tcPr/>
          <w:p>
            <w:pPr>
              <w:pStyle w:val="Tabla8"/>
              <w:jc w:val="left"/>
            </w:pPr>
            <w:r>
              <w:t xml:space="preserve">8.330,00</w:t>
            </w:r>
          </w:p>
        </w:tc>
        <w:tc>
          <w:tcPr/>
          <w:p>
            <w:pPr>
              <w:pStyle w:val="Tabla8"/>
              <w:jc w:val="left"/>
            </w:pPr>
            <w:r>
              <w:t xml:space="preserve">10.640</w:t>
            </w:r>
          </w:p>
        </w:tc>
        <w:tc>
          <w:tcPr/>
          <w:p>
            <w:pPr>
              <w:pStyle w:val="Tabla8"/>
              <w:jc w:val="left"/>
            </w:pPr>
            <w:r>
              <w:t xml:space="preserve">Emergente o en declive</w:t>
            </w:r>
          </w:p>
        </w:tc>
        <w:tc>
          <w:tcPr/>
          <w:p>
            <w:pPr>
              <w:pStyle w:val="Tabla8"/>
              <w:jc w:val="left"/>
            </w:pPr>
            <w:r>
              <w:t xml:space="preserve">Emergente o en declive</w:t>
            </w:r>
          </w:p>
        </w:tc>
      </w:tr>
    </w:tbl>
    <w:p>
      <w:pPr>
        <w:pStyle w:val="TablaNota"/>
      </w:pPr>
      <w:r>
        <w:rPr>
          <w:i/>
          <w:iCs/>
        </w:rPr>
        <w:t xml:space="preserve">Nota.</w:t>
      </w:r>
      <w:r>
        <w:t xml:space="preserve"> </w:t>
      </w:r>
      <w:r>
        <w:t xml:space="preserve">Elaboración propia con datos de F-INF §7.5, Tabla 37 (p. 88). Medianas calculadas sobre las ocho comunidades: centralidad de 379.935 y densidad de 27.825. Naturaleza: DOCUMENTADO para los valores y CALCULADO para el cuadrante por medianas. Corpus de 42 documentos; año de corte 2026.</w:t>
      </w:r>
    </w:p>
    <w:p>
      <w:pPr>
        <w:pStyle w:val="FiguraRotulo"/>
      </w:pPr>
      <w:bookmarkStart w:id="9496" w:name="rot_Figura_2_7"/>
      <w:r>
        <w:rPr>
          <w:b/>
          <w:bCs/>
        </w:rPr>
        <w:t xml:space="preserve">Figura 2.7</w:t>
      </w:r>
      <w:bookmarkEnd w:id="9496"/>
    </w:p>
    <w:p>
      <w:pPr>
        <w:pStyle w:val="FiguraTitulo"/>
      </w:pPr>
      <w:r>
        <w:rPr>
          <w:i/>
          <w:iCs/>
        </w:rPr>
        <w:t xml:space="preserve">Mapa estratégico de cuatro cuadrantes de las comunidades de co-palabras</w:t>
      </w:r>
    </w:p>
    <w:p>
      <w:pPr>
        <w:pStyle w:val="BodyText"/>
      </w:pPr>
      <w:r>
        <w:drawing>
          <wp:inline>
            <wp:extent cx="5579999" cy="3821218"/>
            <wp:effectExtent b="0" l="0" r="0" t="0"/>
            <wp:docPr descr="" title="" id="317" name="Picture"/>
            <a:graphic>
              <a:graphicData uri="http://schemas.openxmlformats.org/drawingml/2006/picture">
                <pic:pic>
                  <pic:nvPicPr>
                    <pic:cNvPr descr="/tmp/claude-0/-home-user-docs/ddf38714-2a7e-502b-92b4-1008e2832422/scratchpad/proy/figs/out/c2_cuadrantes.png" id="318" name="Picture"/>
                    <pic:cNvPicPr>
                      <a:picLocks noChangeArrowheads="1" noChangeAspect="1"/>
                    </pic:cNvPicPr>
                  </pic:nvPicPr>
                  <pic:blipFill>
                    <a:blip r:embed="rId316"/>
                    <a:stretch>
                      <a:fillRect/>
                    </a:stretch>
                  </pic:blipFill>
                  <pic:spPr bwMode="auto">
                    <a:xfrm>
                      <a:off x="0" y="0"/>
                      <a:ext cx="5579999" cy="382121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§7.5, Tabla 37 (p. 88). Tamaño proporcional al número de términos; cortes en las medianas. Louvain con ocho comunidades sobre 584 nodos. Corpus de 42 documentos; año de corte 2026; semilla 42.</w:t>
      </w:r>
    </w:p>
    <w:p>
      <w:pPr>
        <w:pStyle w:val="BodyText"/>
      </w:pPr>
      <w:r>
        <w:t xml:space="preserve">Cuatro comunidades son motoras. Son aire, calidad y contaminantes (195 términos); datos, sensores y dispositivos (136); modelo, tiempo y valor (94); y salud, activos y motores (59). Las otras cuatro son emergentes o marginales. Ninguna comunidad cae en los cuadrantes de nicho ni de tema básico. La comunidad de salud, activos y motores tiene la mayor densidad (54.844) y la menor centralidad entre las motoras. El informe la describe como nicho denso, porque proviene de dos patentes largas de General Electric (F-INF §7.5, p. 88).</w:t>
      </w:r>
    </w:p>
    <w:p>
      <w:pPr>
        <w:pStyle w:val="BodyText"/>
      </w:pPr>
      <w:r>
        <w:t xml:space="preserve">Dos lecturas del cuadrante emergente conviven. Una lo interpreta como frontera de investigación que crece. Otra lo interpreta como periferia que decae. Con 42 documentos y sin serie temporal por comunidad, el corpus no discrimina entre ambas. El informe agrega que dos comunidades reflejan el género y el idioma más que un tema. Son la de conjuntos, índices y métricas, con 13 términos, y la de fechas de publicación, con 10 (F-INF §7.5, p. 88).</w:t>
      </w:r>
    </w:p>
    <w:p>
      <w:pPr>
        <w:pStyle w:val="BodyText"/>
      </w:pPr>
      <w:r>
        <w:t xml:space="preserve">La comunidad 5 reúne temperatura, humedad, viento y partículas. Son las variables del modelo de corrección del proyecto. Su posición emergente respalda la oportunidad de posicionamiento: la corrección por humedad y temperatura está menos consolidada que el pronóstico o el monitoreo. La consecuencia metodológica es que el proyecto debe aportar evidencia propia en el tramo 1. El corpus no la ofrece.</w:t>
      </w:r>
    </w:p>
    <w:bookmarkEnd w:id="319"/>
    <w:bookmarkStart w:id="323" w:name="_Toc00900129"/>
    <w:p>
      <w:pPr>
        <w:pStyle w:val="Heading3"/>
      </w:pPr>
      <w:r>
        <w:t xml:space="preserve">2.2.8 Evolución temática por períodos</w:t>
      </w:r>
    </w:p>
    <w:p>
      <w:pPr>
        <w:pStyle w:val="FirstParagraph"/>
      </w:pPr>
      <w:r>
        <w:t xml:space="preserve">La evolución temática compara la composición del corpus en períodos sucesivos. Cobo et al. (2011) la describen como la persistencia, la fusión o la desaparición de temas entre períodos. Este análisis usa las tres eras de la sección 2.2.2 y los cinco grupos documentales del informe. La Tabla 2.13 y la Figura 2.8 muestran la composición por grupo. Cada documento pertenece a un solo período. Por eso los listones de la figura unen el mismo grupo y no representan migración de documentos.</w:t>
      </w:r>
    </w:p>
    <w:p>
      <w:pPr>
        <w:pStyle w:val="TablaRotulo"/>
      </w:pPr>
      <w:bookmarkStart w:id="9243" w:name="rot_Tabla_2_13"/>
      <w:r>
        <w:rPr>
          <w:b/>
          <w:bCs/>
        </w:rPr>
        <w:t xml:space="preserve">Tabla 2.13</w:t>
      </w:r>
      <w:bookmarkEnd w:id="9243"/>
    </w:p>
    <w:p>
      <w:pPr>
        <w:pStyle w:val="TablaTitulo"/>
      </w:pPr>
      <w:r>
        <w:rPr>
          <w:i/>
          <w:iCs/>
        </w:rPr>
        <w:t xml:space="preserve">Composición del corpus por era y grupo documental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58"/>
        <w:gridCol w:w="843"/>
        <w:gridCol w:w="1363"/>
        <w:gridCol w:w="519"/>
        <w:gridCol w:w="519"/>
        <w:gridCol w:w="519"/>
        <w:gridCol w:w="519"/>
        <w:gridCol w:w="519"/>
        <w:gridCol w:w="1558"/>
      </w:tblGrid>
      <w:tr>
        <w:trPr>
          <w:cantSplit/>
          <w:tblHeader/>
        </w:trPr>
        <w:tc>
          <w:tcPr>
            <w:shd w:val="clear" w:color="auto" w:fill="00B050"/>
          </w:tcPr>
          <w:p>
            <w:pPr>
              <w:pStyle w:val="Tabla8"/>
              <w:jc w:val="center"/>
            </w:pPr>
            <w:r>
              <w:rPr>
                <w:b/>
                <w:color w:val="FFFFFF"/>
              </w:rPr>
              <w:t xml:space="preserve">Era</w:t>
            </w:r>
          </w:p>
        </w:tc>
        <w:tc>
          <w:tcPr>
            <w:shd w:val="clear" w:color="auto" w:fill="00B050"/>
          </w:tcPr>
          <w:p>
            <w:pPr>
              <w:pStyle w:val="Tabla8"/>
              <w:jc w:val="center"/>
            </w:pPr>
            <w:r>
              <w:rPr>
                <w:b/>
                <w:color w:val="FFFFFF"/>
              </w:rPr>
              <w:t xml:space="preserve">Años</w:t>
            </w:r>
          </w:p>
        </w:tc>
        <w:tc>
          <w:tcPr>
            <w:shd w:val="clear" w:color="auto" w:fill="00B050"/>
          </w:tcPr>
          <w:p>
            <w:pPr>
              <w:pStyle w:val="Tabla8"/>
              <w:jc w:val="center"/>
            </w:pPr>
            <w:r>
              <w:rPr>
                <w:b/>
                <w:color w:val="FFFFFF"/>
              </w:rPr>
              <w:t xml:space="preserve">Documentos</w:t>
            </w:r>
          </w:p>
        </w:tc>
        <w:tc>
          <w:tcPr>
            <w:shd w:val="clear" w:color="auto" w:fill="00B050"/>
          </w:tcPr>
          <w:p>
            <w:pPr>
              <w:pStyle w:val="Tabla8"/>
              <w:jc w:val="center"/>
            </w:pPr>
            <w:r>
              <w:rPr>
                <w:b/>
                <w:color w:val="FFFFFF"/>
              </w:rPr>
              <w:t xml:space="preserve">G1</w:t>
            </w:r>
          </w:p>
        </w:tc>
        <w:tc>
          <w:tcPr>
            <w:shd w:val="clear" w:color="auto" w:fill="00B050"/>
          </w:tcPr>
          <w:p>
            <w:pPr>
              <w:pStyle w:val="Tabla8"/>
              <w:jc w:val="center"/>
            </w:pPr>
            <w:r>
              <w:rPr>
                <w:b/>
                <w:color w:val="FFFFFF"/>
              </w:rPr>
              <w:t xml:space="preserve">G2</w:t>
            </w:r>
          </w:p>
        </w:tc>
        <w:tc>
          <w:tcPr>
            <w:shd w:val="clear" w:color="auto" w:fill="00B050"/>
          </w:tcPr>
          <w:p>
            <w:pPr>
              <w:pStyle w:val="Tabla8"/>
              <w:jc w:val="center"/>
            </w:pPr>
            <w:r>
              <w:rPr>
                <w:b/>
                <w:color w:val="FFFFFF"/>
              </w:rPr>
              <w:t xml:space="preserve">G3</w:t>
            </w:r>
          </w:p>
        </w:tc>
        <w:tc>
          <w:tcPr>
            <w:shd w:val="clear" w:color="auto" w:fill="00B050"/>
          </w:tcPr>
          <w:p>
            <w:pPr>
              <w:pStyle w:val="Tabla8"/>
              <w:jc w:val="center"/>
            </w:pPr>
            <w:r>
              <w:rPr>
                <w:b/>
                <w:color w:val="FFFFFF"/>
              </w:rPr>
              <w:t xml:space="preserve">G4</w:t>
            </w:r>
          </w:p>
        </w:tc>
        <w:tc>
          <w:tcPr>
            <w:shd w:val="clear" w:color="auto" w:fill="00B050"/>
          </w:tcPr>
          <w:p>
            <w:pPr>
              <w:pStyle w:val="Tabla8"/>
              <w:jc w:val="center"/>
            </w:pPr>
            <w:r>
              <w:rPr>
                <w:b/>
                <w:color w:val="FFFFFF"/>
              </w:rPr>
              <w:t xml:space="preserve">G5</w:t>
            </w:r>
          </w:p>
        </w:tc>
        <w:tc>
          <w:tcPr>
            <w:shd w:val="clear" w:color="auto" w:fill="00B050"/>
          </w:tcPr>
          <w:p>
            <w:pPr>
              <w:pStyle w:val="Tabla8"/>
              <w:jc w:val="center"/>
            </w:pPr>
            <w:r>
              <w:rPr>
                <w:b/>
                <w:color w:val="FFFFFF"/>
              </w:rPr>
              <w:t xml:space="preserve">Grupo mayoritario</w:t>
            </w:r>
          </w:p>
        </w:tc>
      </w:tr>
      <w:tr>
        <w:trPr>
          <w:cantSplit/>
        </w:trPr>
        <w:tc>
          <w:tcPr/>
          <w:p>
            <w:pPr>
              <w:pStyle w:val="Tabla8"/>
              <w:jc w:val="left"/>
            </w:pPr>
            <w:r>
              <w:t xml:space="preserve">Fundacional</w:t>
            </w:r>
          </w:p>
        </w:tc>
        <w:tc>
          <w:tcPr/>
          <w:p>
            <w:pPr>
              <w:pStyle w:val="Tabla8"/>
              <w:jc w:val="left"/>
            </w:pPr>
            <w:r>
              <w:t xml:space="preserve">1995 a 2023</w:t>
            </w:r>
          </w:p>
        </w:tc>
        <w:tc>
          <w:tcPr/>
          <w:p>
            <w:pPr>
              <w:pStyle w:val="Tabla8"/>
              <w:jc w:val="left"/>
            </w:pPr>
            <w:r>
              <w:t xml:space="preserve">11</w:t>
            </w:r>
          </w:p>
        </w:tc>
        <w:tc>
          <w:tcPr/>
          <w:p>
            <w:pPr>
              <w:pStyle w:val="Tabla8"/>
              <w:jc w:val="left"/>
            </w:pPr>
            <w:r>
              <w:t xml:space="preserve">3</w:t>
            </w:r>
          </w:p>
        </w:tc>
        <w:tc>
          <w:tcPr/>
          <w:p>
            <w:pPr>
              <w:pStyle w:val="Tabla8"/>
              <w:jc w:val="left"/>
            </w:pPr>
            <w:r>
              <w:t xml:space="preserve">0</w:t>
            </w:r>
          </w:p>
        </w:tc>
        <w:tc>
          <w:tcPr/>
          <w:p>
            <w:pPr>
              <w:pStyle w:val="Tabla8"/>
              <w:jc w:val="left"/>
            </w:pPr>
            <w:r>
              <w:t xml:space="preserve">1</w:t>
            </w:r>
          </w:p>
        </w:tc>
        <w:tc>
          <w:tcPr/>
          <w:p>
            <w:pPr>
              <w:pStyle w:val="Tabla8"/>
              <w:jc w:val="left"/>
            </w:pPr>
            <w:r>
              <w:t xml:space="preserve">6</w:t>
            </w:r>
          </w:p>
        </w:tc>
        <w:tc>
          <w:tcPr/>
          <w:p>
            <w:pPr>
              <w:pStyle w:val="Tabla8"/>
              <w:jc w:val="left"/>
            </w:pPr>
            <w:r>
              <w:t xml:space="preserve">1</w:t>
            </w:r>
          </w:p>
        </w:tc>
        <w:tc>
          <w:tcPr/>
          <w:p>
            <w:pPr>
              <w:pStyle w:val="Tabla8"/>
              <w:jc w:val="left"/>
            </w:pPr>
            <w:r>
              <w:t xml:space="preserve">G4 (6)</w:t>
            </w:r>
          </w:p>
        </w:tc>
      </w:tr>
      <w:tr>
        <w:trPr>
          <w:cantSplit/>
        </w:trPr>
        <w:tc>
          <w:tcPr/>
          <w:p>
            <w:pPr>
              <w:pStyle w:val="Tabla8"/>
              <w:jc w:val="left"/>
            </w:pPr>
            <w:r>
              <w:t xml:space="preserve">Crecimiento</w:t>
            </w:r>
          </w:p>
        </w:tc>
        <w:tc>
          <w:tcPr/>
          <w:p>
            <w:pPr>
              <w:pStyle w:val="Tabla8"/>
              <w:jc w:val="left"/>
            </w:pPr>
            <w:r>
              <w:t xml:space="preserve">2024 a 2025</w:t>
            </w:r>
          </w:p>
        </w:tc>
        <w:tc>
          <w:tcPr/>
          <w:p>
            <w:pPr>
              <w:pStyle w:val="Tabla8"/>
              <w:jc w:val="left"/>
            </w:pPr>
            <w:r>
              <w:t xml:space="preserve">14</w:t>
            </w:r>
          </w:p>
        </w:tc>
        <w:tc>
          <w:tcPr/>
          <w:p>
            <w:pPr>
              <w:pStyle w:val="Tabla8"/>
              <w:jc w:val="left"/>
            </w:pPr>
            <w:r>
              <w:t xml:space="preserve">4</w:t>
            </w:r>
          </w:p>
        </w:tc>
        <w:tc>
          <w:tcPr/>
          <w:p>
            <w:pPr>
              <w:pStyle w:val="Tabla8"/>
              <w:jc w:val="left"/>
            </w:pPr>
            <w:r>
              <w:t xml:space="preserve">1</w:t>
            </w:r>
          </w:p>
        </w:tc>
        <w:tc>
          <w:tcPr/>
          <w:p>
            <w:pPr>
              <w:pStyle w:val="Tabla8"/>
              <w:jc w:val="left"/>
            </w:pPr>
            <w:r>
              <w:t xml:space="preserve">3</w:t>
            </w:r>
          </w:p>
        </w:tc>
        <w:tc>
          <w:tcPr/>
          <w:p>
            <w:pPr>
              <w:pStyle w:val="Tabla8"/>
              <w:jc w:val="left"/>
            </w:pPr>
            <w:r>
              <w:t xml:space="preserve">2</w:t>
            </w:r>
          </w:p>
        </w:tc>
        <w:tc>
          <w:tcPr/>
          <w:p>
            <w:pPr>
              <w:pStyle w:val="Tabla8"/>
              <w:jc w:val="left"/>
            </w:pPr>
            <w:r>
              <w:t xml:space="preserve">4</w:t>
            </w:r>
          </w:p>
        </w:tc>
        <w:tc>
          <w:tcPr/>
          <w:p>
            <w:pPr>
              <w:pStyle w:val="Tabla8"/>
              <w:jc w:val="left"/>
            </w:pPr>
            <w:r>
              <w:t xml:space="preserve">G1 (4)</w:t>
            </w:r>
          </w:p>
        </w:tc>
      </w:tr>
      <w:tr>
        <w:trPr>
          <w:cantSplit/>
        </w:trPr>
        <w:tc>
          <w:tcPr/>
          <w:p>
            <w:pPr>
              <w:pStyle w:val="Tabla8"/>
              <w:jc w:val="left"/>
            </w:pPr>
            <w:r>
              <w:t xml:space="preserve">Aceleración</w:t>
            </w:r>
          </w:p>
        </w:tc>
        <w:tc>
          <w:tcPr/>
          <w:p>
            <w:pPr>
              <w:pStyle w:val="Tabla8"/>
              <w:jc w:val="left"/>
            </w:pPr>
            <w:r>
              <w:t xml:space="preserve">2026</w:t>
            </w:r>
          </w:p>
        </w:tc>
        <w:tc>
          <w:tcPr/>
          <w:p>
            <w:pPr>
              <w:pStyle w:val="Tabla8"/>
              <w:jc w:val="left"/>
            </w:pPr>
            <w:r>
              <w:t xml:space="preserve">17</w:t>
            </w:r>
          </w:p>
        </w:tc>
        <w:tc>
          <w:tcPr/>
          <w:p>
            <w:pPr>
              <w:pStyle w:val="Tabla8"/>
              <w:jc w:val="left"/>
            </w:pPr>
            <w:r>
              <w:t xml:space="preserve">2</w:t>
            </w:r>
          </w:p>
        </w:tc>
        <w:tc>
          <w:tcPr/>
          <w:p>
            <w:pPr>
              <w:pStyle w:val="Tabla8"/>
              <w:jc w:val="left"/>
            </w:pPr>
            <w:r>
              <w:t xml:space="preserve">7</w:t>
            </w:r>
          </w:p>
        </w:tc>
        <w:tc>
          <w:tcPr/>
          <w:p>
            <w:pPr>
              <w:pStyle w:val="Tabla8"/>
              <w:jc w:val="left"/>
            </w:pPr>
            <w:r>
              <w:t xml:space="preserve">5</w:t>
            </w:r>
          </w:p>
        </w:tc>
        <w:tc>
          <w:tcPr/>
          <w:p>
            <w:pPr>
              <w:pStyle w:val="Tabla8"/>
              <w:jc w:val="left"/>
            </w:pPr>
            <w:r>
              <w:t xml:space="preserve">0</w:t>
            </w:r>
          </w:p>
        </w:tc>
        <w:tc>
          <w:tcPr/>
          <w:p>
            <w:pPr>
              <w:pStyle w:val="Tabla8"/>
              <w:jc w:val="left"/>
            </w:pPr>
            <w:r>
              <w:t xml:space="preserve">3</w:t>
            </w:r>
          </w:p>
        </w:tc>
        <w:tc>
          <w:tcPr/>
          <w:p>
            <w:pPr>
              <w:pStyle w:val="Tabla8"/>
              <w:jc w:val="left"/>
            </w:pPr>
            <w:r>
              <w:t xml:space="preserve">G2 (7)</w:t>
            </w:r>
          </w:p>
        </w:tc>
      </w:tr>
    </w:tbl>
    <w:p>
      <w:pPr>
        <w:pStyle w:val="TablaNota"/>
      </w:pPr>
      <w:r>
        <w:rPr>
          <w:i/>
          <w:iCs/>
        </w:rPr>
        <w:t xml:space="preserve">Nota.</w:t>
      </w:r>
      <w:r>
        <w:t xml:space="preserve"> </w:t>
      </w:r>
      <w:r>
        <w:t xml:space="preserve">Elaboración propia con datos de F-INF §10.1, Tabla 46 (p. 124) y §13.2 (p. 212). G1: pronóstico con aprendizaje automático; G2: monitoreo y alerta; G3: exposición y salud; G4: patentes de sensores y activos; G5: patentes de espacios interiores y reporte de la SIC. Naturaleza: CALCULADO. Corpus de 42 documentos; año de corte 2026.</w:t>
      </w:r>
    </w:p>
    <w:p>
      <w:pPr>
        <w:pStyle w:val="FiguraRotulo"/>
      </w:pPr>
      <w:bookmarkStart w:id="9497" w:name="rot_Figura_2_8"/>
      <w:r>
        <w:rPr>
          <w:b/>
          <w:bCs/>
        </w:rPr>
        <w:t xml:space="preserve">Figura 2.8</w:t>
      </w:r>
      <w:bookmarkEnd w:id="9497"/>
    </w:p>
    <w:p>
      <w:pPr>
        <w:pStyle w:val="FiguraTitulo"/>
      </w:pPr>
      <w:r>
        <w:rPr>
          <w:i/>
          <w:iCs/>
        </w:rPr>
        <w:t xml:space="preserve">Composición temática del corpus en tres eras mediante listones entre grupos</w:t>
      </w:r>
    </w:p>
    <w:p>
      <w:pPr>
        <w:pStyle w:val="BodyText"/>
      </w:pPr>
      <w:r>
        <w:drawing>
          <wp:inline>
            <wp:extent cx="5579999" cy="4018928"/>
            <wp:effectExtent b="0" l="0" r="0" t="0"/>
            <wp:docPr descr="" title="" id="321" name="Picture"/>
            <a:graphic>
              <a:graphicData uri="http://schemas.openxmlformats.org/drawingml/2006/picture">
                <pic:pic>
                  <pic:nvPicPr>
                    <pic:cNvPr descr="/tmp/claude-0/-home-user-docs/ddf38714-2a7e-502b-92b4-1008e2832422/scratchpad/proy/figs/out/c2_evolucion.png" id="322" name="Picture"/>
                    <pic:cNvPicPr>
                      <a:picLocks noChangeArrowheads="1" noChangeAspect="1"/>
                    </pic:cNvPicPr>
                  </pic:nvPicPr>
                  <pic:blipFill>
                    <a:blip r:embed="rId320"/>
                    <a:stretch>
                      <a:fillRect/>
                    </a:stretch>
                  </pic:blipFill>
                  <pic:spPr bwMode="auto">
                    <a:xfrm>
                      <a:off x="0" y="0"/>
                      <a:ext cx="5579999" cy="401892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§4.3 (p. 34) y §10.1, Tabla 46 (p. 124). Segmentos con el número de documentos por grupo; los listones unen el mismo grupo entre eras y no representan flujos de documentos. Corpus de 42 documentos; año de corte 2026; semilla 42.</w:t>
      </w:r>
    </w:p>
    <w:p>
      <w:pPr>
        <w:pStyle w:val="BodyText"/>
      </w:pPr>
      <w:r>
        <w:t xml:space="preserve">El grupo de patentes de sensores y activos domina la era fundacional con seis de 11 documentos. Los grupos de pronóstico y de patentes de espacios interiores lideran el crecimiento con cuatro documentos cada uno. El grupo de monitoreo y alerta lidera la aceleración con siete de 17, y el de exposición y salud aporta cinco. Las patentes de sensores y activos no tienen documentos en 2026.</w:t>
      </w:r>
    </w:p>
    <w:p>
      <w:pPr>
        <w:pStyle w:val="BodyText"/>
      </w:pPr>
      <w:r>
        <w:t xml:space="preserve">El modelado de tópicos del informe añade dos señales. El tópico de alerta temprana y desastres crece de 0,002 antes de 2019 a 0,138 en 2026 y es el más emergente. El tópico de salud, exposición y mortalidad está presente en todos los períodos y es el más consolidado (F-INF §7.4, p. 82). Los tópicos de retiro de activos y de cuantificador de salud solo pesan en 2019 y 2024, años de las patentes de General Electric. Su descenso refleja ausencia de documentos y no declive tecnológico.</w:t>
      </w:r>
    </w:p>
    <w:p>
      <w:pPr>
        <w:pStyle w:val="BodyText"/>
      </w:pPr>
      <w:r>
        <w:t xml:space="preserve">El análisis de ráfagas se aproxima con la proporción de documentos cuyo título contiene un término, por era. La Tabla 2.14 lista ocho términos. Esta medida no es el algoritmo de Kleinberg. Con 11, 14 y 17 documentos por era, solo indica tendencias.</w:t>
      </w:r>
    </w:p>
    <w:p>
      <w:pPr>
        <w:pStyle w:val="TablaRotulo"/>
      </w:pPr>
      <w:bookmarkStart w:id="9244" w:name="rot_Tabla_2_14"/>
      <w:r>
        <w:rPr>
          <w:b/>
          <w:bCs/>
        </w:rPr>
        <w:t xml:space="preserve">Tabla 2.14</w:t>
      </w:r>
      <w:bookmarkEnd w:id="9244"/>
    </w:p>
    <w:p>
      <w:pPr>
        <w:pStyle w:val="TablaTitulo"/>
      </w:pPr>
      <w:r>
        <w:rPr>
          <w:i/>
          <w:iCs/>
        </w:rPr>
        <w:t xml:space="preserve">Términos de título en aceleración por era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1386"/>
        <w:gridCol w:w="1386"/>
        <w:gridCol w:w="1386"/>
        <w:gridCol w:w="1320"/>
        <w:gridCol w:w="1056"/>
      </w:tblGrid>
      <w:tr>
        <w:trPr>
          <w:cantSplit/>
          <w:tblHeader/>
        </w:trPr>
        <w:tc>
          <w:tcPr>
            <w:shd w:val="clear" w:color="auto" w:fill="00B050"/>
          </w:tcPr>
          <w:p>
            <w:pPr>
              <w:pStyle w:val="Tabla9"/>
              <w:jc w:val="center"/>
            </w:pPr>
            <w:r>
              <w:rPr>
                <w:b/>
                <w:color w:val="FFFFFF"/>
              </w:rPr>
              <w:t xml:space="preserve">Palabra de título</w:t>
            </w:r>
          </w:p>
        </w:tc>
        <w:tc>
          <w:tcPr>
            <w:shd w:val="clear" w:color="auto" w:fill="00B050"/>
          </w:tcPr>
          <w:p>
            <w:pPr>
              <w:pStyle w:val="Tabla9"/>
              <w:jc w:val="center"/>
            </w:pPr>
            <w:r>
              <w:rPr>
                <w:b/>
                <w:color w:val="FFFFFF"/>
              </w:rPr>
              <w:t xml:space="preserve">Era fundacional (11)</w:t>
            </w:r>
          </w:p>
        </w:tc>
        <w:tc>
          <w:tcPr>
            <w:shd w:val="clear" w:color="auto" w:fill="00B050"/>
          </w:tcPr>
          <w:p>
            <w:pPr>
              <w:pStyle w:val="Tabla9"/>
              <w:jc w:val="center"/>
            </w:pPr>
            <w:r>
              <w:rPr>
                <w:b/>
                <w:color w:val="FFFFFF"/>
              </w:rPr>
              <w:t xml:space="preserve">Era de crecimiento (14)</w:t>
            </w:r>
          </w:p>
        </w:tc>
        <w:tc>
          <w:tcPr>
            <w:shd w:val="clear" w:color="auto" w:fill="00B050"/>
          </w:tcPr>
          <w:p>
            <w:pPr>
              <w:pStyle w:val="Tabla9"/>
              <w:jc w:val="center"/>
            </w:pPr>
            <w:r>
              <w:rPr>
                <w:b/>
                <w:color w:val="FFFFFF"/>
              </w:rPr>
              <w:t xml:space="preserve">Era de aceleración (17)</w:t>
            </w:r>
          </w:p>
        </w:tc>
        <w:tc>
          <w:tcPr>
            <w:shd w:val="clear" w:color="auto" w:fill="00B050"/>
          </w:tcPr>
          <w:p>
            <w:pPr>
              <w:pStyle w:val="Tabla9"/>
              <w:jc w:val="center"/>
            </w:pPr>
            <w:r>
              <w:rPr>
                <w:b/>
                <w:color w:val="FFFFFF"/>
              </w:rPr>
              <w:t xml:space="preserve">Proporción de documentos por era</w:t>
            </w:r>
          </w:p>
        </w:tc>
        <w:tc>
          <w:tcPr>
            <w:shd w:val="clear" w:color="auto" w:fill="00B050"/>
          </w:tcPr>
          <w:p>
            <w:pPr>
              <w:pStyle w:val="Tabla9"/>
              <w:jc w:val="center"/>
            </w:pPr>
            <w:r>
              <w:rPr>
                <w:b/>
                <w:color w:val="FFFFFF"/>
              </w:rPr>
              <w:t xml:space="preserve">Lectura</w:t>
            </w:r>
          </w:p>
        </w:tc>
      </w:tr>
      <w:tr>
        <w:trPr>
          <w:cantSplit/>
        </w:trPr>
        <w:tc>
          <w:tcPr/>
          <w:p>
            <w:pPr>
              <w:pStyle w:val="Tabla9"/>
              <w:jc w:val="left"/>
            </w:pPr>
            <w:r>
              <w:t xml:space="preserve">management</w:t>
            </w:r>
          </w:p>
        </w:tc>
        <w:tc>
          <w:tcPr/>
          <w:p>
            <w:pPr>
              <w:pStyle w:val="Tabla9"/>
              <w:jc w:val="left"/>
            </w:pPr>
            <w:r>
              <w:t xml:space="preserve">0</w:t>
            </w:r>
          </w:p>
        </w:tc>
        <w:tc>
          <w:tcPr/>
          <w:p>
            <w:pPr>
              <w:pStyle w:val="Tabla9"/>
              <w:jc w:val="left"/>
            </w:pPr>
            <w:r>
              <w:t xml:space="preserve">0</w:t>
            </w:r>
          </w:p>
        </w:tc>
        <w:tc>
          <w:tcPr/>
          <w:p>
            <w:pPr>
              <w:pStyle w:val="Tabla9"/>
              <w:jc w:val="left"/>
            </w:pPr>
            <w:r>
              <w:t xml:space="preserve">5</w:t>
            </w:r>
          </w:p>
        </w:tc>
        <w:tc>
          <w:tcPr/>
          <w:p>
            <w:pPr>
              <w:pStyle w:val="Tabla9"/>
              <w:jc w:val="left"/>
            </w:pPr>
            <w:r>
              <w:t xml:space="preserve">0,0 %; 0,0 %; 29,4 %</w:t>
            </w:r>
          </w:p>
        </w:tc>
        <w:tc>
          <w:tcPr/>
          <w:p>
            <w:pPr>
              <w:pStyle w:val="Tabla9"/>
              <w:jc w:val="left"/>
            </w:pPr>
            <w:r>
              <w:t xml:space="preserve">Aparece solo en 2026; incluye la gestión del riesgo</w:t>
            </w:r>
          </w:p>
        </w:tc>
      </w:tr>
      <w:tr>
        <w:trPr>
          <w:cantSplit/>
        </w:trPr>
        <w:tc>
          <w:tcPr/>
          <w:p>
            <w:pPr>
              <w:pStyle w:val="Tabla9"/>
              <w:jc w:val="left"/>
            </w:pPr>
            <w:r>
              <w:t xml:space="preserve">pollution</w:t>
            </w:r>
          </w:p>
        </w:tc>
        <w:tc>
          <w:tcPr/>
          <w:p>
            <w:pPr>
              <w:pStyle w:val="Tabla9"/>
              <w:jc w:val="left"/>
            </w:pPr>
            <w:r>
              <w:t xml:space="preserve">0</w:t>
            </w:r>
          </w:p>
        </w:tc>
        <w:tc>
          <w:tcPr/>
          <w:p>
            <w:pPr>
              <w:pStyle w:val="Tabla9"/>
              <w:jc w:val="left"/>
            </w:pPr>
            <w:r>
              <w:t xml:space="preserve">4</w:t>
            </w:r>
          </w:p>
        </w:tc>
        <w:tc>
          <w:tcPr/>
          <w:p>
            <w:pPr>
              <w:pStyle w:val="Tabla9"/>
              <w:jc w:val="left"/>
            </w:pPr>
            <w:r>
              <w:t xml:space="preserve">5</w:t>
            </w:r>
          </w:p>
        </w:tc>
        <w:tc>
          <w:tcPr/>
          <w:p>
            <w:pPr>
              <w:pStyle w:val="Tabla9"/>
              <w:jc w:val="left"/>
            </w:pPr>
            <w:r>
              <w:t xml:space="preserve">0,0 %; 28,6 %; 29,4 %</w:t>
            </w:r>
          </w:p>
        </w:tc>
        <w:tc>
          <w:tcPr/>
          <w:p>
            <w:pPr>
              <w:pStyle w:val="Tabla9"/>
              <w:jc w:val="left"/>
            </w:pPr>
            <w:r>
              <w:t xml:space="preserve">Aparece desde 2024</w:t>
            </w:r>
          </w:p>
        </w:tc>
      </w:tr>
      <w:tr>
        <w:trPr>
          <w:cantSplit/>
        </w:trPr>
        <w:tc>
          <w:tcPr/>
          <w:p>
            <w:pPr>
              <w:pStyle w:val="Tabla9"/>
              <w:jc w:val="left"/>
            </w:pPr>
            <w:r>
              <w:t xml:space="preserve">monitoring</w:t>
            </w:r>
          </w:p>
        </w:tc>
        <w:tc>
          <w:tcPr/>
          <w:p>
            <w:pPr>
              <w:pStyle w:val="Tabla9"/>
              <w:jc w:val="left"/>
            </w:pPr>
            <w:r>
              <w:t xml:space="preserve">1</w:t>
            </w:r>
          </w:p>
        </w:tc>
        <w:tc>
          <w:tcPr/>
          <w:p>
            <w:pPr>
              <w:pStyle w:val="Tabla9"/>
              <w:jc w:val="left"/>
            </w:pPr>
            <w:r>
              <w:t xml:space="preserve">3</w:t>
            </w:r>
          </w:p>
        </w:tc>
        <w:tc>
          <w:tcPr/>
          <w:p>
            <w:pPr>
              <w:pStyle w:val="Tabla9"/>
              <w:jc w:val="left"/>
            </w:pPr>
            <w:r>
              <w:t xml:space="preserve">4</w:t>
            </w:r>
          </w:p>
        </w:tc>
        <w:tc>
          <w:tcPr/>
          <w:p>
            <w:pPr>
              <w:pStyle w:val="Tabla9"/>
              <w:jc w:val="left"/>
            </w:pPr>
            <w:r>
              <w:t xml:space="preserve">9,1 %; 21,4 %; 23,5 %</w:t>
            </w:r>
          </w:p>
        </w:tc>
        <w:tc>
          <w:tcPr/>
          <w:p>
            <w:pPr>
              <w:pStyle w:val="Tabla9"/>
              <w:jc w:val="left"/>
            </w:pPr>
            <w:r>
              <w:t xml:space="preserve">Crece en cada era</w:t>
            </w:r>
          </w:p>
        </w:tc>
      </w:tr>
      <w:tr>
        <w:trPr>
          <w:cantSplit/>
        </w:trPr>
        <w:tc>
          <w:tcPr/>
          <w:p>
            <w:pPr>
              <w:pStyle w:val="Tabla9"/>
              <w:jc w:val="left"/>
            </w:pPr>
            <w:r>
              <w:t xml:space="preserve">climate</w:t>
            </w:r>
          </w:p>
        </w:tc>
        <w:tc>
          <w:tcPr/>
          <w:p>
            <w:pPr>
              <w:pStyle w:val="Tabla9"/>
              <w:jc w:val="left"/>
            </w:pPr>
            <w:r>
              <w:t xml:space="preserve">0</w:t>
            </w:r>
          </w:p>
        </w:tc>
        <w:tc>
          <w:tcPr/>
          <w:p>
            <w:pPr>
              <w:pStyle w:val="Tabla9"/>
              <w:jc w:val="left"/>
            </w:pPr>
            <w:r>
              <w:t xml:space="preserve">1</w:t>
            </w:r>
          </w:p>
        </w:tc>
        <w:tc>
          <w:tcPr/>
          <w:p>
            <w:pPr>
              <w:pStyle w:val="Tabla9"/>
              <w:jc w:val="left"/>
            </w:pPr>
            <w:r>
              <w:t xml:space="preserve">2</w:t>
            </w:r>
          </w:p>
        </w:tc>
        <w:tc>
          <w:tcPr/>
          <w:p>
            <w:pPr>
              <w:pStyle w:val="Tabla9"/>
              <w:jc w:val="left"/>
            </w:pPr>
            <w:r>
              <w:t xml:space="preserve">0,0 %; 7,1 %; 11,8 %</w:t>
            </w:r>
          </w:p>
        </w:tc>
        <w:tc>
          <w:tcPr/>
          <w:p>
            <w:pPr>
              <w:pStyle w:val="Tabla9"/>
              <w:jc w:val="left"/>
            </w:pPr>
            <w:r>
              <w:t xml:space="preserve">Crece desde 2024</w:t>
            </w:r>
          </w:p>
        </w:tc>
      </w:tr>
      <w:tr>
        <w:trPr>
          <w:cantSplit/>
        </w:trPr>
        <w:tc>
          <w:tcPr/>
          <w:p>
            <w:pPr>
              <w:pStyle w:val="Tabla9"/>
              <w:jc w:val="left"/>
            </w:pPr>
            <w:r>
              <w:t xml:space="preserve">heritage</w:t>
            </w:r>
          </w:p>
        </w:tc>
        <w:tc>
          <w:tcPr/>
          <w:p>
            <w:pPr>
              <w:pStyle w:val="Tabla9"/>
              <w:jc w:val="left"/>
            </w:pPr>
            <w:r>
              <w:t xml:space="preserve">0</w:t>
            </w:r>
          </w:p>
        </w:tc>
        <w:tc>
          <w:tcPr/>
          <w:p>
            <w:pPr>
              <w:pStyle w:val="Tabla9"/>
              <w:jc w:val="left"/>
            </w:pPr>
            <w:r>
              <w:t xml:space="preserve">0</w:t>
            </w:r>
          </w:p>
        </w:tc>
        <w:tc>
          <w:tcPr/>
          <w:p>
            <w:pPr>
              <w:pStyle w:val="Tabla9"/>
              <w:jc w:val="left"/>
            </w:pPr>
            <w:r>
              <w:t xml:space="preserve">2</w:t>
            </w:r>
          </w:p>
        </w:tc>
        <w:tc>
          <w:tcPr/>
          <w:p>
            <w:pPr>
              <w:pStyle w:val="Tabla9"/>
              <w:jc w:val="left"/>
            </w:pPr>
            <w:r>
              <w:t xml:space="preserve">0,0 %; 0,0 %; 11,8 %</w:t>
            </w:r>
          </w:p>
        </w:tc>
        <w:tc>
          <w:tcPr/>
          <w:p>
            <w:pPr>
              <w:pStyle w:val="Tabla9"/>
              <w:jc w:val="left"/>
            </w:pPr>
            <w:r>
              <w:t xml:space="preserve">Aparece solo en 2026</w:t>
            </w:r>
          </w:p>
        </w:tc>
      </w:tr>
      <w:tr>
        <w:trPr>
          <w:cantSplit/>
        </w:trPr>
        <w:tc>
          <w:tcPr/>
          <w:p>
            <w:pPr>
              <w:pStyle w:val="Tabla9"/>
              <w:jc w:val="left"/>
            </w:pPr>
            <w:r>
              <w:t xml:space="preserve">review</w:t>
            </w:r>
          </w:p>
        </w:tc>
        <w:tc>
          <w:tcPr/>
          <w:p>
            <w:pPr>
              <w:pStyle w:val="Tabla9"/>
              <w:jc w:val="left"/>
            </w:pPr>
            <w:r>
              <w:t xml:space="preserve">0</w:t>
            </w:r>
          </w:p>
        </w:tc>
        <w:tc>
          <w:tcPr/>
          <w:p>
            <w:pPr>
              <w:pStyle w:val="Tabla9"/>
              <w:jc w:val="left"/>
            </w:pPr>
            <w:r>
              <w:t xml:space="preserve">1</w:t>
            </w:r>
          </w:p>
        </w:tc>
        <w:tc>
          <w:tcPr/>
          <w:p>
            <w:pPr>
              <w:pStyle w:val="Tabla9"/>
              <w:jc w:val="left"/>
            </w:pPr>
            <w:r>
              <w:t xml:space="preserve">2</w:t>
            </w:r>
          </w:p>
        </w:tc>
        <w:tc>
          <w:tcPr/>
          <w:p>
            <w:pPr>
              <w:pStyle w:val="Tabla9"/>
              <w:jc w:val="left"/>
            </w:pPr>
            <w:r>
              <w:t xml:space="preserve">0,0 %; 7,1 %; 11,8 %</w:t>
            </w:r>
          </w:p>
        </w:tc>
        <w:tc>
          <w:tcPr/>
          <w:p>
            <w:pPr>
              <w:pStyle w:val="Tabla9"/>
              <w:jc w:val="left"/>
            </w:pPr>
            <w:r>
              <w:t xml:space="preserve">Crece desde 2024</w:t>
            </w:r>
          </w:p>
        </w:tc>
      </w:tr>
      <w:tr>
        <w:trPr>
          <w:cantSplit/>
        </w:trPr>
        <w:tc>
          <w:tcPr/>
          <w:p>
            <w:pPr>
              <w:pStyle w:val="Tabla9"/>
              <w:jc w:val="left"/>
            </w:pPr>
            <w:r>
              <w:t xml:space="preserve">particulate</w:t>
            </w:r>
          </w:p>
        </w:tc>
        <w:tc>
          <w:tcPr/>
          <w:p>
            <w:pPr>
              <w:pStyle w:val="Tabla9"/>
              <w:jc w:val="left"/>
            </w:pPr>
            <w:r>
              <w:t xml:space="preserve">0</w:t>
            </w:r>
          </w:p>
        </w:tc>
        <w:tc>
          <w:tcPr/>
          <w:p>
            <w:pPr>
              <w:pStyle w:val="Tabla9"/>
              <w:jc w:val="left"/>
            </w:pPr>
            <w:r>
              <w:t xml:space="preserve">1</w:t>
            </w:r>
          </w:p>
        </w:tc>
        <w:tc>
          <w:tcPr/>
          <w:p>
            <w:pPr>
              <w:pStyle w:val="Tabla9"/>
              <w:jc w:val="left"/>
            </w:pPr>
            <w:r>
              <w:t xml:space="preserve">2</w:t>
            </w:r>
          </w:p>
        </w:tc>
        <w:tc>
          <w:tcPr/>
          <w:p>
            <w:pPr>
              <w:pStyle w:val="Tabla9"/>
              <w:jc w:val="left"/>
            </w:pPr>
            <w:r>
              <w:t xml:space="preserve">0,0 %; 7,1 %; 11,8 %</w:t>
            </w:r>
          </w:p>
        </w:tc>
        <w:tc>
          <w:tcPr/>
          <w:p>
            <w:pPr>
              <w:pStyle w:val="Tabla9"/>
              <w:jc w:val="left"/>
            </w:pPr>
            <w:r>
              <w:t xml:space="preserve">Crece desde 2024</w:t>
            </w:r>
          </w:p>
        </w:tc>
      </w:tr>
      <w:tr>
        <w:trPr>
          <w:cantSplit/>
        </w:trPr>
        <w:tc>
          <w:tcPr/>
          <w:p>
            <w:pPr>
              <w:pStyle w:val="Tabla9"/>
              <w:jc w:val="left"/>
            </w:pPr>
            <w:r>
              <w:t xml:space="preserve">health</w:t>
            </w:r>
          </w:p>
        </w:tc>
        <w:tc>
          <w:tcPr/>
          <w:p>
            <w:pPr>
              <w:pStyle w:val="Tabla9"/>
              <w:jc w:val="left"/>
            </w:pPr>
            <w:r>
              <w:t xml:space="preserve">2</w:t>
            </w:r>
          </w:p>
        </w:tc>
        <w:tc>
          <w:tcPr/>
          <w:p>
            <w:pPr>
              <w:pStyle w:val="Tabla9"/>
              <w:jc w:val="left"/>
            </w:pPr>
            <w:r>
              <w:t xml:space="preserve">4</w:t>
            </w:r>
          </w:p>
        </w:tc>
        <w:tc>
          <w:tcPr/>
          <w:p>
            <w:pPr>
              <w:pStyle w:val="Tabla9"/>
              <w:jc w:val="left"/>
            </w:pPr>
            <w:r>
              <w:t xml:space="preserve">2</w:t>
            </w:r>
          </w:p>
        </w:tc>
        <w:tc>
          <w:tcPr/>
          <w:p>
            <w:pPr>
              <w:pStyle w:val="Tabla9"/>
              <w:jc w:val="left"/>
            </w:pPr>
            <w:r>
              <w:t xml:space="preserve">18,2 %; 28,6 %; 11,8 %</w:t>
            </w:r>
          </w:p>
        </w:tc>
        <w:tc>
          <w:tcPr/>
          <w:p>
            <w:pPr>
              <w:pStyle w:val="Tabla9"/>
              <w:jc w:val="left"/>
            </w:pPr>
            <w:r>
              <w:t xml:space="preserve">No crece: sube y baja</w:t>
            </w:r>
          </w:p>
        </w:tc>
      </w:tr>
    </w:tbl>
    <w:p>
      <w:pPr>
        <w:pStyle w:val="TablaNota"/>
      </w:pPr>
      <w:r>
        <w:rPr>
          <w:i/>
          <w:iCs/>
        </w:rPr>
        <w:t xml:space="preserve">Nota.</w:t>
      </w:r>
      <w:r>
        <w:t xml:space="preserve"> </w:t>
      </w:r>
      <w:r>
        <w:t xml:space="preserve">Elaboración propia con los títulos de los 42 documentos. Conteo de documentos cuyo título contiene el término; un término cuenta una vez por documento. Aproximación a ráfagas por razón de proporciones, no por el algoritmo de Kleinberg. Naturaleza: CALCULADO; la columna de lectura es INFERIDO. Año de corte 2026.</w:t>
      </w:r>
    </w:p>
    <w:p>
      <w:pPr>
        <w:pStyle w:val="BodyText"/>
      </w:pPr>
      <w:r>
        <w:t xml:space="preserve">El término management pasa de cero a 29,4 % de los títulos en la era de aceleración. El término pollution pasa de cero a 28,6 % y luego a 29,4 %. El término monitoring crece de 9,1 % a 23,5 %. Los términos heritage, climate, review y particulate aparecen o crecen entre 2024 y 2026. El término health no crece: sube a 28,6 % y cae a 11,8 %.</w:t>
      </w:r>
    </w:p>
    <w:p>
      <w:pPr>
        <w:pStyle w:val="BodyText"/>
      </w:pPr>
      <w:r>
        <w:t xml:space="preserve">Dos lecturas de estas tendencias compiten. La primera ve una aceleración temática hacia la gestión del riesgo y las alertas. La segunda ve un efecto de composición, porque la era de aceleración incluye siete documentos de monitoreo y alerta. El informe respalda la segunda lectura. Afirma que la evolución de tópicos describe la composición del corpus más que la dinámica del campo (F-INF §7.4, p. 82).</w:t>
      </w:r>
    </w:p>
    <w:p>
      <w:pPr>
        <w:pStyle w:val="BodyText"/>
      </w:pPr>
      <w:r>
        <w:t xml:space="preserve">La decisión metodológica es tratar la gestión y la alerta como direcciones plausibles y no como tendencias probadas. El proyecto alinea su tercer objetivo específico con esa dirección. Lo respalda con indicadores propios de uso institucional (PERS-E01) y no con la tendencia bibliométrica.</w:t>
      </w:r>
    </w:p>
    <w:bookmarkEnd w:id="323"/>
    <w:bookmarkStart w:id="327" w:name="_Toc00900130"/>
    <w:p>
      <w:pPr>
        <w:pStyle w:val="Heading3"/>
      </w:pPr>
      <w:r>
        <w:t xml:space="preserve">2.2.9 Complejidad frente a adopción</w:t>
      </w:r>
    </w:p>
    <w:p>
      <w:pPr>
        <w:pStyle w:val="FirstParagraph"/>
      </w:pPr>
      <w:r>
        <w:t xml:space="preserve">La relación entre complejidad y adopción pregunta si los métodos más sofisticados se adoptan menos. El protocolo propone un gráfico de burbujas con una zona de valle de la muerte para complejidad mayor que 7 y adopción menor que 5. El corpus no mide la complejidad de los métodos. Por eso se usan dos proxies que el informe sí mide. El nivel de preparación tecnológica (TRL) representa la sofisticación, y el nivel de integración (IRL) representa la adopción.</w:t>
      </w:r>
    </w:p>
    <w:p>
      <w:pPr>
        <w:pStyle w:val="BodyText"/>
      </w:pPr>
      <w:r>
        <w:t xml:space="preserve">El TRL describe la madurez de una tecnología en nueve niveles (Mankins, 1995). La adopción depende además de la utilidad y de la facilidad de uso percibidas (Davis, 1989; Venkatesh et al., 2003). Depende también de las propiedades de la innovación que describe la teoría de difusión (Rogers, 2003). El IRL del informe mide la integración con interfaces y con sistemas. Es una condición de adopción y no su medida completa.</w:t>
      </w:r>
    </w:p>
    <w:p>
      <w:pPr>
        <w:pStyle w:val="BodyText"/>
      </w:pPr>
      <w:r>
        <w:t xml:space="preserve">La Tabla 2.15 presenta las brechas entre el TRL y las demás dimensiones. La Figura 2.9 ubica los 41 documentos con TRL e IRL.</w:t>
      </w:r>
    </w:p>
    <w:p>
      <w:pPr>
        <w:pStyle w:val="TablaRotulo"/>
      </w:pPr>
      <w:bookmarkStart w:id="9245" w:name="rot_Tabla_2_15"/>
      <w:r>
        <w:rPr>
          <w:b/>
          <w:bCs/>
        </w:rPr>
        <w:t xml:space="preserve">Tabla 2.15</w:t>
      </w:r>
      <w:bookmarkEnd w:id="9245"/>
    </w:p>
    <w:p>
      <w:pPr>
        <w:pStyle w:val="TablaTitulo"/>
      </w:pPr>
      <w:r>
        <w:rPr>
          <w:i/>
          <w:iCs/>
        </w:rPr>
        <w:t xml:space="preserve">Brechas entre el TRL y las demás dimensiones de madurez</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54"/>
        <w:gridCol w:w="1650"/>
        <w:gridCol w:w="924"/>
        <w:gridCol w:w="1056"/>
        <w:gridCol w:w="1056"/>
        <w:gridCol w:w="1980"/>
      </w:tblGrid>
      <w:tr>
        <w:trPr>
          <w:cantSplit/>
          <w:tblHeader/>
        </w:trPr>
        <w:tc>
          <w:tcPr>
            <w:shd w:val="clear" w:color="auto" w:fill="00B050"/>
          </w:tcPr>
          <w:p>
            <w:pPr>
              <w:pStyle w:val="Tabla9"/>
              <w:jc w:val="center"/>
            </w:pPr>
            <w:r>
              <w:rPr>
                <w:b/>
                <w:color w:val="FFFFFF"/>
              </w:rPr>
              <w:t xml:space="preserve">Brecha</w:t>
            </w:r>
          </w:p>
        </w:tc>
        <w:tc>
          <w:tcPr>
            <w:shd w:val="clear" w:color="auto" w:fill="00B050"/>
          </w:tcPr>
          <w:p>
            <w:pPr>
              <w:pStyle w:val="Tabla9"/>
              <w:jc w:val="center"/>
            </w:pPr>
            <w:r>
              <w:rPr>
                <w:b/>
                <w:color w:val="FFFFFF"/>
              </w:rPr>
              <w:t xml:space="preserve">Documentos con dato</w:t>
            </w:r>
          </w:p>
        </w:tc>
        <w:tc>
          <w:tcPr>
            <w:shd w:val="clear" w:color="auto" w:fill="00B050"/>
          </w:tcPr>
          <w:p>
            <w:pPr>
              <w:pStyle w:val="Tabla9"/>
              <w:jc w:val="center"/>
            </w:pPr>
            <w:r>
              <w:rPr>
                <w:b/>
                <w:color w:val="FFFFFF"/>
              </w:rPr>
              <w:t xml:space="preserve">Media</w:t>
            </w:r>
          </w:p>
        </w:tc>
        <w:tc>
          <w:tcPr>
            <w:shd w:val="clear" w:color="auto" w:fill="00B050"/>
          </w:tcPr>
          <w:p>
            <w:pPr>
              <w:pStyle w:val="Tabla9"/>
              <w:jc w:val="center"/>
            </w:pPr>
            <w:r>
              <w:rPr>
                <w:b/>
                <w:color w:val="FFFFFF"/>
              </w:rPr>
              <w:t xml:space="preserve">Mínimo</w:t>
            </w:r>
          </w:p>
        </w:tc>
        <w:tc>
          <w:tcPr>
            <w:shd w:val="clear" w:color="auto" w:fill="00B050"/>
          </w:tcPr>
          <w:p>
            <w:pPr>
              <w:pStyle w:val="Tabla9"/>
              <w:jc w:val="center"/>
            </w:pPr>
            <w:r>
              <w:rPr>
                <w:b/>
                <w:color w:val="FFFFFF"/>
              </w:rPr>
              <w:t xml:space="preserve">Máximo</w:t>
            </w:r>
          </w:p>
        </w:tc>
        <w:tc>
          <w:tcPr>
            <w:shd w:val="clear" w:color="auto" w:fill="00B050"/>
          </w:tcPr>
          <w:p>
            <w:pPr>
              <w:pStyle w:val="Tabla9"/>
              <w:jc w:val="center"/>
            </w:pPr>
            <w:r>
              <w:rPr>
                <w:b/>
                <w:color w:val="FFFFFF"/>
              </w:rPr>
              <w:t xml:space="preserve">Documentos con esta brecha como crítica</w:t>
            </w:r>
          </w:p>
        </w:tc>
      </w:tr>
      <w:tr>
        <w:trPr>
          <w:cantSplit/>
        </w:trPr>
        <w:tc>
          <w:tcPr/>
          <w:p>
            <w:pPr>
              <w:pStyle w:val="Tabla9"/>
              <w:jc w:val="left"/>
            </w:pPr>
            <w:r>
              <w:t xml:space="preserve">TRL menos IRL</w:t>
            </w:r>
          </w:p>
        </w:tc>
        <w:tc>
          <w:tcPr/>
          <w:p>
            <w:pPr>
              <w:pStyle w:val="Tabla9"/>
              <w:jc w:val="left"/>
            </w:pPr>
            <w:r>
              <w:t xml:space="preserve">41</w:t>
            </w:r>
          </w:p>
        </w:tc>
        <w:tc>
          <w:tcPr/>
          <w:p>
            <w:pPr>
              <w:pStyle w:val="Tabla9"/>
              <w:jc w:val="left"/>
            </w:pPr>
            <w:r>
              <w:t xml:space="preserve">0,98</w:t>
            </w:r>
          </w:p>
        </w:tc>
        <w:tc>
          <w:tcPr/>
          <w:p>
            <w:pPr>
              <w:pStyle w:val="Tabla9"/>
              <w:jc w:val="left"/>
            </w:pPr>
            <w:r>
              <w:t xml:space="preserve">0</w:t>
            </w:r>
          </w:p>
        </w:tc>
        <w:tc>
          <w:tcPr/>
          <w:p>
            <w:pPr>
              <w:pStyle w:val="Tabla9"/>
              <w:jc w:val="left"/>
            </w:pPr>
            <w:r>
              <w:t xml:space="preserve">2</w:t>
            </w:r>
          </w:p>
        </w:tc>
        <w:tc>
          <w:tcPr/>
          <w:p>
            <w:pPr>
              <w:pStyle w:val="Tabla9"/>
              <w:jc w:val="left"/>
            </w:pPr>
            <w:r>
              <w:t xml:space="preserve">22</w:t>
            </w:r>
          </w:p>
        </w:tc>
      </w:tr>
      <w:tr>
        <w:trPr>
          <w:cantSplit/>
        </w:trPr>
        <w:tc>
          <w:tcPr/>
          <w:p>
            <w:pPr>
              <w:pStyle w:val="Tabla9"/>
              <w:jc w:val="left"/>
            </w:pPr>
            <w:r>
              <w:t xml:space="preserve">TRL menos DRL</w:t>
            </w:r>
          </w:p>
        </w:tc>
        <w:tc>
          <w:tcPr/>
          <w:p>
            <w:pPr>
              <w:pStyle w:val="Tabla9"/>
              <w:jc w:val="left"/>
            </w:pPr>
            <w:r>
              <w:t xml:space="preserve">41</w:t>
            </w:r>
          </w:p>
        </w:tc>
        <w:tc>
          <w:tcPr/>
          <w:p>
            <w:pPr>
              <w:pStyle w:val="Tabla9"/>
              <w:jc w:val="left"/>
            </w:pPr>
            <w:r>
              <w:t xml:space="preserve">0,80</w:t>
            </w:r>
          </w:p>
        </w:tc>
        <w:tc>
          <w:tcPr/>
          <w:p>
            <w:pPr>
              <w:pStyle w:val="Tabla9"/>
              <w:jc w:val="left"/>
            </w:pPr>
            <w:r>
              <w:t xml:space="preserve">-1</w:t>
            </w:r>
          </w:p>
        </w:tc>
        <w:tc>
          <w:tcPr/>
          <w:p>
            <w:pPr>
              <w:pStyle w:val="Tabla9"/>
              <w:jc w:val="left"/>
            </w:pPr>
            <w:r>
              <w:t xml:space="preserve">3</w:t>
            </w:r>
          </w:p>
        </w:tc>
        <w:tc>
          <w:tcPr/>
          <w:p>
            <w:pPr>
              <w:pStyle w:val="Tabla9"/>
              <w:jc w:val="left"/>
            </w:pPr>
            <w:r>
              <w:t xml:space="preserve">11</w:t>
            </w:r>
          </w:p>
        </w:tc>
      </w:tr>
      <w:tr>
        <w:trPr>
          <w:cantSplit/>
        </w:trPr>
        <w:tc>
          <w:tcPr/>
          <w:p>
            <w:pPr>
              <w:pStyle w:val="Tabla9"/>
              <w:jc w:val="left"/>
            </w:pPr>
            <w:r>
              <w:t xml:space="preserve">TRL menos BRL</w:t>
            </w:r>
          </w:p>
        </w:tc>
        <w:tc>
          <w:tcPr/>
          <w:p>
            <w:pPr>
              <w:pStyle w:val="Tabla9"/>
              <w:jc w:val="left"/>
            </w:pPr>
            <w:r>
              <w:t xml:space="preserve">9</w:t>
            </w:r>
          </w:p>
        </w:tc>
        <w:tc>
          <w:tcPr/>
          <w:p>
            <w:pPr>
              <w:pStyle w:val="Tabla9"/>
              <w:jc w:val="left"/>
            </w:pPr>
            <w:r>
              <w:t xml:space="preserve">2,33</w:t>
            </w:r>
          </w:p>
        </w:tc>
        <w:tc>
          <w:tcPr/>
          <w:p>
            <w:pPr>
              <w:pStyle w:val="Tabla9"/>
              <w:jc w:val="left"/>
            </w:pPr>
            <w:r>
              <w:t xml:space="preserve">1</w:t>
            </w:r>
          </w:p>
        </w:tc>
        <w:tc>
          <w:tcPr/>
          <w:p>
            <w:pPr>
              <w:pStyle w:val="Tabla9"/>
              <w:jc w:val="left"/>
            </w:pPr>
            <w:r>
              <w:t xml:space="preserve">5</w:t>
            </w:r>
          </w:p>
        </w:tc>
        <w:tc>
          <w:tcPr/>
          <w:p>
            <w:pPr>
              <w:pStyle w:val="Tabla9"/>
              <w:jc w:val="left"/>
            </w:pPr>
            <w:r>
              <w:t xml:space="preserve">6</w:t>
            </w:r>
          </w:p>
        </w:tc>
      </w:tr>
      <w:tr>
        <w:trPr>
          <w:cantSplit/>
        </w:trPr>
        <w:tc>
          <w:tcPr/>
          <w:p>
            <w:pPr>
              <w:pStyle w:val="Tabla9"/>
              <w:jc w:val="left"/>
            </w:pPr>
            <w:r>
              <w:t xml:space="preserve">BRL menos DRL</w:t>
            </w:r>
          </w:p>
        </w:tc>
        <w:tc>
          <w:tcPr/>
          <w:p>
            <w:pPr>
              <w:pStyle w:val="Tabla9"/>
              <w:jc w:val="left"/>
            </w:pPr>
            <w:r>
              <w:t xml:space="preserve">9</w:t>
            </w:r>
          </w:p>
        </w:tc>
        <w:tc>
          <w:tcPr/>
          <w:p>
            <w:pPr>
              <w:pStyle w:val="Tabla9"/>
              <w:jc w:val="left"/>
            </w:pPr>
            <w:r>
              <w:t xml:space="preserve">-1,44</w:t>
            </w:r>
          </w:p>
        </w:tc>
        <w:tc>
          <w:tcPr/>
          <w:p>
            <w:pPr>
              <w:pStyle w:val="Tabla9"/>
              <w:jc w:val="left"/>
            </w:pPr>
            <w:r>
              <w:t xml:space="preserve">-3</w:t>
            </w:r>
          </w:p>
        </w:tc>
        <w:tc>
          <w:tcPr/>
          <w:p>
            <w:pPr>
              <w:pStyle w:val="Tabla9"/>
              <w:jc w:val="left"/>
            </w:pPr>
            <w:r>
              <w:t xml:space="preserve">-1</w:t>
            </w:r>
          </w:p>
        </w:tc>
        <w:tc>
          <w:tcPr/>
          <w:p>
            <w:pPr>
              <w:pStyle w:val="Tabla9"/>
              <w:jc w:val="left"/>
            </w:pPr>
            <w:r>
              <w:t xml:space="preserve">1</w:t>
            </w:r>
          </w:p>
        </w:tc>
      </w:tr>
      <w:tr>
        <w:trPr>
          <w:cantSplit/>
        </w:trPr>
        <w:tc>
          <w:tcPr/>
          <w:p>
            <w:pPr>
              <w:pStyle w:val="Tabla9"/>
              <w:jc w:val="left"/>
            </w:pPr>
            <w:r>
              <w:t xml:space="preserve">TRL menos MRL</w:t>
            </w:r>
          </w:p>
        </w:tc>
        <w:tc>
          <w:tcPr/>
          <w:p>
            <w:pPr>
              <w:pStyle w:val="Tabla9"/>
              <w:jc w:val="left"/>
            </w:pPr>
            <w:r>
              <w:t xml:space="preserve">4</w:t>
            </w:r>
          </w:p>
        </w:tc>
        <w:tc>
          <w:tcPr/>
          <w:p>
            <w:pPr>
              <w:pStyle w:val="Tabla9"/>
              <w:jc w:val="left"/>
            </w:pPr>
            <w:r>
              <w:t xml:space="preserve">1,75</w:t>
            </w:r>
          </w:p>
        </w:tc>
        <w:tc>
          <w:tcPr/>
          <w:p>
            <w:pPr>
              <w:pStyle w:val="Tabla9"/>
              <w:jc w:val="left"/>
            </w:pPr>
            <w:r>
              <w:t xml:space="preserve">1</w:t>
            </w:r>
          </w:p>
        </w:tc>
        <w:tc>
          <w:tcPr/>
          <w:p>
            <w:pPr>
              <w:pStyle w:val="Tabla9"/>
              <w:jc w:val="left"/>
            </w:pPr>
            <w:r>
              <w:t xml:space="preserve">3</w:t>
            </w:r>
          </w:p>
        </w:tc>
        <w:tc>
          <w:tcPr/>
          <w:p>
            <w:pPr>
              <w:pStyle w:val="Tabla9"/>
              <w:jc w:val="left"/>
            </w:pPr>
            <w:r>
              <w:t xml:space="preserve">Sin dato; otra brecha: 2</w:t>
            </w:r>
          </w:p>
        </w:tc>
      </w:tr>
    </w:tbl>
    <w:p>
      <w:pPr>
        <w:pStyle w:val="TablaNota"/>
      </w:pPr>
      <w:r>
        <w:rPr>
          <w:i/>
          <w:iCs/>
        </w:rPr>
        <w:t xml:space="preserve">Nota.</w:t>
      </w:r>
      <w:r>
        <w:t xml:space="preserve"> </w:t>
      </w:r>
      <w:r>
        <w:t xml:space="preserve">Elaboración propia con datos de F-INF §4.5, Tablas 15 y 16 (p. 37). BRL = nivel de preparación del negocio; MRL = nivel de preparación de la manufactura. La brecha crítica de cada documento es la de mayor magnitud o riesgo. Naturaleza: DOCUMENTADO. Año de corte 2026.</w:t>
      </w:r>
    </w:p>
    <w:p>
      <w:pPr>
        <w:pStyle w:val="BodyText"/>
      </w:pPr>
      <w:r>
        <w:t xml:space="preserve">El TRL supera al IRL en 0,98 niveles en promedio. Esa brecha es la crítica en 22 de 42 documentos (F-INF §4.5, p. 37). Treinta y cuatro de 41 documentos tienen TRL de 4 o menos, y 33 de 41 tienen IRL de 3 o menos. El valle de componentes sin integración reúne 13 documentos. Nueve de ellos están en la región de TRL 4 a 5 con IRL de 3 o menos. Solo dos documentos alcanzan TRL 7 o más. Son el sistema de SIATA, con TRL 9 e IRL 8, y el sistema de lahares del Instituto Geofísico del Perú. Este tiene TRL 7 e IRL 5 (Ruiz-Carrascal et al., 2026; Espinoza et al., 2026).</w:t>
      </w:r>
    </w:p>
    <w:p>
      <w:pPr>
        <w:pStyle w:val="FiguraRotulo"/>
      </w:pPr>
      <w:bookmarkStart w:id="9498" w:name="rot_Figura_2_9"/>
      <w:r>
        <w:rPr>
          <w:b/>
          <w:bCs/>
        </w:rPr>
        <w:t xml:space="preserve">Figura 2.9</w:t>
      </w:r>
      <w:bookmarkEnd w:id="9498"/>
    </w:p>
    <w:p>
      <w:pPr>
        <w:pStyle w:val="FiguraTitulo"/>
      </w:pPr>
      <w:r>
        <w:rPr>
          <w:i/>
          <w:iCs/>
        </w:rPr>
        <w:t xml:space="preserve">Sofisticación frente a integración de los documentos y valle de componentes sin integración</w:t>
      </w:r>
    </w:p>
    <w:p>
      <w:pPr>
        <w:pStyle w:val="BodyText"/>
      </w:pPr>
      <w:r>
        <w:drawing>
          <wp:inline>
            <wp:extent cx="5579999" cy="3771955"/>
            <wp:effectExtent b="0" l="0" r="0" t="0"/>
            <wp:docPr descr="" title="" id="325" name="Picture"/>
            <a:graphic>
              <a:graphicData uri="http://schemas.openxmlformats.org/drawingml/2006/picture">
                <pic:pic>
                  <pic:nvPicPr>
                    <pic:cNvPr descr="/tmp/claude-0/-home-user-docs/ddf38714-2a7e-502b-92b4-1008e2832422/scratchpad/proy/figs/out/c2_complejidad.png" id="326" name="Picture"/>
                    <pic:cNvPicPr>
                      <a:picLocks noChangeArrowheads="1" noChangeAspect="1"/>
                    </pic:cNvPicPr>
                  </pic:nvPicPr>
                  <pic:blipFill>
                    <a:blip r:embed="rId324"/>
                    <a:stretch>
                      <a:fillRect/>
                    </a:stretch>
                  </pic:blipFill>
                  <pic:spPr bwMode="auto">
                    <a:xfrm>
                      <a:off x="0" y="0"/>
                      <a:ext cx="5579999" cy="377195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§4.1, Tabla 13 (p. 29) y §4.6, Tabla 17 (p. 38). El TRL representa la sofisticación y el IRL la adopción porque el corpus no mide la complejidad. Tamaño proporcional al número de documentos; n de 41 con TRL e IRL. Año de corte 2026; semilla 42.</w:t>
      </w:r>
    </w:p>
    <w:p>
      <w:pPr>
        <w:pStyle w:val="BodyText"/>
      </w:pPr>
      <w:r>
        <w:t xml:space="preserve">Dos posiciones explican el valle. La primera sostiene una secuencia lineal. La madurez tecnológica precede a la adopción, y el valle se cierra con más desarrollo. La segunda sostiene que la adopción depende del uso y del contexto institucional, de modo que más madurez tecnológica no basta (Rogers, 2003; Davis, 1989). El grupo de pronóstico apoya la segunda posición. Tiene TRL de 4,0 y el DRL medio más bajo entre los grupos (2,22). Eso indica modelos probados con datos históricos y sin intención de uso verificada (F-INF §4.4, p. 36). Quienes deciden con alertas enfrentan además sesgos de decisión bajo riesgo, como la aversión a la pérdida (Kahneman y Tversky, 1979).</w:t>
      </w:r>
    </w:p>
    <w:p>
      <w:pPr>
        <w:pStyle w:val="BodyText"/>
      </w:pPr>
      <w:r>
        <w:t xml:space="preserve">El proyecto parte de TRL 4 y apunta a TRL 7 (PROPUESTO). Parte, por tanto, de la región donde el corpus acumula el valle. El proyecto no confía en que más ingeniería cierre esa distancia. Mide la adopción desde el tramo 1. La compuerta C1 exige que al menos 50 % de los comités del tramo 1 use el tablero. El indicador PERS-E01 fija 75 % de uso al mes 24 (PROPUESTO).</w:t>
      </w:r>
    </w:p>
    <w:bookmarkEnd w:id="327"/>
    <w:bookmarkStart w:id="331" w:name="X579ab8e8818d30c24d64ab39a2b27b23c248130"/>
    <w:p>
      <w:pPr>
        <w:pStyle w:val="Heading3"/>
      </w:pPr>
      <w:r>
        <w:t xml:space="preserve">2.2.10 Radar de cobertura por criterios de evaluación</w:t>
      </w:r>
    </w:p>
    <w:p>
      <w:pPr>
        <w:pStyle w:val="FirstParagraph"/>
      </w:pPr>
      <w:r>
        <w:t xml:space="preserve">El radar compara perfiles de cobertura entre grupos de documentos. El protocolo propone seis criterios: financiero, estratégico, de recursos, de riesgo, de partes interesadas y de sostenibilidad. El corpus no mide esos seis criterios. Mide cinco indicadores comparables con un criterio de referencia (F-INF §3.2, p. 22). Son TRL, IRL, nivel de preparación de la demanda (DRL), robustez y valor estratégico. Sus criterios son 7, 6, 5, 7 y 7. El radar usa esos cinco ejes y expresa cada media como porcentaje del criterio.</w:t>
      </w:r>
    </w:p>
    <w:p>
      <w:pPr>
        <w:pStyle w:val="BodyText"/>
      </w:pPr>
      <w:r>
        <w:t xml:space="preserve">El DRL mide, en una escala de 1 a 9, si usuarios concretos validaron la necesidad de una tecnología. El informe extiende así la lógica de los niveles de madurez de Mankins (1995) a la demanda, la integración y el sistema. La Tabla 2.16 y la Figura 2.10 presentan los perfiles de los cinco grupos y del corpus.</w:t>
      </w:r>
    </w:p>
    <w:p>
      <w:pPr>
        <w:pStyle w:val="TablaRotulo"/>
      </w:pPr>
      <w:bookmarkStart w:id="9246" w:name="rot_Tabla_2_16"/>
      <w:r>
        <w:rPr>
          <w:b/>
          <w:bCs/>
        </w:rPr>
        <w:t xml:space="preserve">Tabla 2.16</w:t>
      </w:r>
      <w:bookmarkEnd w:id="9246"/>
    </w:p>
    <w:p>
      <w:pPr>
        <w:pStyle w:val="TablaTitulo"/>
      </w:pPr>
      <w:r>
        <w:rPr>
          <w:i/>
          <w:iCs/>
        </w:rPr>
        <w:t xml:space="preserve">Perfil de los grupos documentales como porcentaje del criterio de referencia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43"/>
        <w:gridCol w:w="1275"/>
        <w:gridCol w:w="671"/>
        <w:gridCol w:w="671"/>
        <w:gridCol w:w="671"/>
        <w:gridCol w:w="1141"/>
        <w:gridCol w:w="805"/>
        <w:gridCol w:w="1141"/>
      </w:tblGrid>
      <w:tr>
        <w:trPr>
          <w:cantSplit/>
          <w:tblHeader/>
        </w:trPr>
        <w:tc>
          <w:tcPr>
            <w:shd w:val="clear" w:color="auto" w:fill="00B050"/>
          </w:tcPr>
          <w:p>
            <w:pPr>
              <w:pStyle w:val="Tabla8"/>
              <w:jc w:val="center"/>
            </w:pPr>
            <w:r>
              <w:rPr>
                <w:b/>
                <w:color w:val="FFFFFF"/>
              </w:rPr>
              <w:t xml:space="preserve">Grupo</w:t>
            </w:r>
          </w:p>
        </w:tc>
        <w:tc>
          <w:tcPr>
            <w:shd w:val="clear" w:color="auto" w:fill="00B050"/>
          </w:tcPr>
          <w:p>
            <w:pPr>
              <w:pStyle w:val="Tabla8"/>
              <w:jc w:val="center"/>
            </w:pPr>
            <w:r>
              <w:rPr>
                <w:b/>
                <w:color w:val="FFFFFF"/>
              </w:rPr>
              <w:t xml:space="preserve">Documentos</w:t>
            </w:r>
          </w:p>
        </w:tc>
        <w:tc>
          <w:tcPr>
            <w:shd w:val="clear" w:color="auto" w:fill="00B050"/>
          </w:tcPr>
          <w:p>
            <w:pPr>
              <w:pStyle w:val="Tabla8"/>
              <w:jc w:val="center"/>
            </w:pPr>
            <w:r>
              <w:rPr>
                <w:b/>
                <w:color w:val="FFFFFF"/>
              </w:rPr>
              <w:t xml:space="preserve">TRL (% de 7)</w:t>
            </w:r>
          </w:p>
        </w:tc>
        <w:tc>
          <w:tcPr>
            <w:shd w:val="clear" w:color="auto" w:fill="00B050"/>
          </w:tcPr>
          <w:p>
            <w:pPr>
              <w:pStyle w:val="Tabla8"/>
              <w:jc w:val="center"/>
            </w:pPr>
            <w:r>
              <w:rPr>
                <w:b/>
                <w:color w:val="FFFFFF"/>
              </w:rPr>
              <w:t xml:space="preserve">IRL (% de 6)</w:t>
            </w:r>
          </w:p>
        </w:tc>
        <w:tc>
          <w:tcPr>
            <w:shd w:val="clear" w:color="auto" w:fill="00B050"/>
          </w:tcPr>
          <w:p>
            <w:pPr>
              <w:pStyle w:val="Tabla8"/>
              <w:jc w:val="center"/>
            </w:pPr>
            <w:r>
              <w:rPr>
                <w:b/>
                <w:color w:val="FFFFFF"/>
              </w:rPr>
              <w:t xml:space="preserve">DRL (% de 5)</w:t>
            </w:r>
          </w:p>
        </w:tc>
        <w:tc>
          <w:tcPr>
            <w:shd w:val="clear" w:color="auto" w:fill="00B050"/>
          </w:tcPr>
          <w:p>
            <w:pPr>
              <w:pStyle w:val="Tabla8"/>
              <w:jc w:val="center"/>
            </w:pPr>
            <w:r>
              <w:rPr>
                <w:b/>
                <w:color w:val="FFFFFF"/>
              </w:rPr>
              <w:t xml:space="preserve">Robustez (% de 7)</w:t>
            </w:r>
          </w:p>
        </w:tc>
        <w:tc>
          <w:tcPr>
            <w:shd w:val="clear" w:color="auto" w:fill="00B050"/>
          </w:tcPr>
          <w:p>
            <w:pPr>
              <w:pStyle w:val="Tabla8"/>
              <w:jc w:val="center"/>
            </w:pPr>
            <w:r>
              <w:rPr>
                <w:b/>
                <w:color w:val="FFFFFF"/>
              </w:rPr>
              <w:t xml:space="preserve">Valor (% de 7)</w:t>
            </w:r>
          </w:p>
        </w:tc>
        <w:tc>
          <w:tcPr>
            <w:shd w:val="clear" w:color="auto" w:fill="00B050"/>
          </w:tcPr>
          <w:p>
            <w:pPr>
              <w:pStyle w:val="Tabla8"/>
              <w:jc w:val="center"/>
            </w:pPr>
            <w:r>
              <w:rPr>
                <w:b/>
                <w:color w:val="FFFFFF"/>
              </w:rPr>
              <w:t xml:space="preserve">Promedio de los cinco ejes</w:t>
            </w:r>
          </w:p>
        </w:tc>
      </w:tr>
      <w:tr>
        <w:trPr>
          <w:cantSplit/>
        </w:trPr>
        <w:tc>
          <w:tcPr/>
          <w:p>
            <w:pPr>
              <w:pStyle w:val="Tabla8"/>
              <w:jc w:val="left"/>
            </w:pPr>
            <w:r>
              <w:t xml:space="preserve">G1 Pronóstico con aprendizaje automático</w:t>
            </w:r>
          </w:p>
        </w:tc>
        <w:tc>
          <w:tcPr/>
          <w:p>
            <w:pPr>
              <w:pStyle w:val="Tabla8"/>
              <w:jc w:val="left"/>
            </w:pPr>
            <w:r>
              <w:t xml:space="preserve">9</w:t>
            </w:r>
          </w:p>
        </w:tc>
        <w:tc>
          <w:tcPr/>
          <w:p>
            <w:pPr>
              <w:pStyle w:val="Tabla8"/>
              <w:jc w:val="left"/>
            </w:pPr>
            <w:r>
              <w:t xml:space="preserve">57 %</w:t>
            </w:r>
          </w:p>
        </w:tc>
        <w:tc>
          <w:tcPr/>
          <w:p>
            <w:pPr>
              <w:pStyle w:val="Tabla8"/>
              <w:jc w:val="left"/>
            </w:pPr>
            <w:r>
              <w:t xml:space="preserve">43 %</w:t>
            </w:r>
          </w:p>
        </w:tc>
        <w:tc>
          <w:tcPr/>
          <w:p>
            <w:pPr>
              <w:pStyle w:val="Tabla8"/>
              <w:jc w:val="left"/>
            </w:pPr>
            <w:r>
              <w:t xml:space="preserve">44 %</w:t>
            </w:r>
          </w:p>
        </w:tc>
        <w:tc>
          <w:tcPr/>
          <w:p>
            <w:pPr>
              <w:pStyle w:val="Tabla8"/>
              <w:jc w:val="left"/>
            </w:pPr>
            <w:r>
              <w:t xml:space="preserve">65 %</w:t>
            </w:r>
          </w:p>
        </w:tc>
        <w:tc>
          <w:tcPr/>
          <w:p>
            <w:pPr>
              <w:pStyle w:val="Tabla8"/>
              <w:jc w:val="left"/>
            </w:pPr>
            <w:r>
              <w:t xml:space="preserve">90 %</w:t>
            </w:r>
          </w:p>
        </w:tc>
        <w:tc>
          <w:tcPr/>
          <w:p>
            <w:pPr>
              <w:pStyle w:val="Tabla8"/>
              <w:jc w:val="left"/>
            </w:pPr>
            <w:r>
              <w:t xml:space="preserve">60 %</w:t>
            </w:r>
          </w:p>
        </w:tc>
      </w:tr>
      <w:tr>
        <w:trPr>
          <w:cantSplit/>
        </w:trPr>
        <w:tc>
          <w:tcPr/>
          <w:p>
            <w:pPr>
              <w:pStyle w:val="Tabla8"/>
              <w:jc w:val="left"/>
            </w:pPr>
            <w:r>
              <w:t xml:space="preserve">G2 Monitoreo y alerta</w:t>
            </w:r>
          </w:p>
        </w:tc>
        <w:tc>
          <w:tcPr/>
          <w:p>
            <w:pPr>
              <w:pStyle w:val="Tabla8"/>
              <w:jc w:val="left"/>
            </w:pPr>
            <w:r>
              <w:t xml:space="preserve">8</w:t>
            </w:r>
          </w:p>
        </w:tc>
        <w:tc>
          <w:tcPr/>
          <w:p>
            <w:pPr>
              <w:pStyle w:val="Tabla8"/>
              <w:jc w:val="left"/>
            </w:pPr>
            <w:r>
              <w:t xml:space="preserve">73 %</w:t>
            </w:r>
          </w:p>
        </w:tc>
        <w:tc>
          <w:tcPr/>
          <w:p>
            <w:pPr>
              <w:pStyle w:val="Tabla8"/>
              <w:jc w:val="left"/>
            </w:pPr>
            <w:r>
              <w:t xml:space="preserve">65 %</w:t>
            </w:r>
          </w:p>
        </w:tc>
        <w:tc>
          <w:tcPr/>
          <w:p>
            <w:pPr>
              <w:pStyle w:val="Tabla8"/>
              <w:jc w:val="left"/>
            </w:pPr>
            <w:r>
              <w:t xml:space="preserve">78 %</w:t>
            </w:r>
          </w:p>
        </w:tc>
        <w:tc>
          <w:tcPr/>
          <w:p>
            <w:pPr>
              <w:pStyle w:val="Tabla8"/>
              <w:jc w:val="left"/>
            </w:pPr>
            <w:r>
              <w:t xml:space="preserve">59 %</w:t>
            </w:r>
          </w:p>
        </w:tc>
        <w:tc>
          <w:tcPr/>
          <w:p>
            <w:pPr>
              <w:pStyle w:val="Tabla8"/>
              <w:jc w:val="left"/>
            </w:pPr>
            <w:r>
              <w:t xml:space="preserve">95 %</w:t>
            </w:r>
          </w:p>
        </w:tc>
        <w:tc>
          <w:tcPr/>
          <w:p>
            <w:pPr>
              <w:pStyle w:val="Tabla8"/>
              <w:jc w:val="left"/>
            </w:pPr>
            <w:r>
              <w:t xml:space="preserve">74 %</w:t>
            </w:r>
          </w:p>
        </w:tc>
      </w:tr>
      <w:tr>
        <w:trPr>
          <w:cantSplit/>
        </w:trPr>
        <w:tc>
          <w:tcPr/>
          <w:p>
            <w:pPr>
              <w:pStyle w:val="Tabla8"/>
              <w:jc w:val="left"/>
            </w:pPr>
            <w:r>
              <w:t xml:space="preserve">G3 Exposición y salud</w:t>
            </w:r>
          </w:p>
        </w:tc>
        <w:tc>
          <w:tcPr/>
          <w:p>
            <w:pPr>
              <w:pStyle w:val="Tabla8"/>
              <w:jc w:val="left"/>
            </w:pPr>
            <w:r>
              <w:t xml:space="preserve">9</w:t>
            </w:r>
          </w:p>
        </w:tc>
        <w:tc>
          <w:tcPr/>
          <w:p>
            <w:pPr>
              <w:pStyle w:val="Tabla8"/>
              <w:jc w:val="left"/>
            </w:pPr>
            <w:r>
              <w:t xml:space="preserve">52 %</w:t>
            </w:r>
          </w:p>
        </w:tc>
        <w:tc>
          <w:tcPr/>
          <w:p>
            <w:pPr>
              <w:pStyle w:val="Tabla8"/>
              <w:jc w:val="left"/>
            </w:pPr>
            <w:r>
              <w:t xml:space="preserve">43 %</w:t>
            </w:r>
          </w:p>
        </w:tc>
        <w:tc>
          <w:tcPr/>
          <w:p>
            <w:pPr>
              <w:pStyle w:val="Tabla8"/>
              <w:jc w:val="left"/>
            </w:pPr>
            <w:r>
              <w:t xml:space="preserve">62 %</w:t>
            </w:r>
          </w:p>
        </w:tc>
        <w:tc>
          <w:tcPr/>
          <w:p>
            <w:pPr>
              <w:pStyle w:val="Tabla8"/>
              <w:jc w:val="left"/>
            </w:pPr>
            <w:r>
              <w:t xml:space="preserve">62 %</w:t>
            </w:r>
          </w:p>
        </w:tc>
        <w:tc>
          <w:tcPr/>
          <w:p>
            <w:pPr>
              <w:pStyle w:val="Tabla8"/>
              <w:jc w:val="left"/>
            </w:pPr>
            <w:r>
              <w:t xml:space="preserve">92 %</w:t>
            </w:r>
          </w:p>
        </w:tc>
        <w:tc>
          <w:tcPr/>
          <w:p>
            <w:pPr>
              <w:pStyle w:val="Tabla8"/>
              <w:jc w:val="left"/>
            </w:pPr>
            <w:r>
              <w:t xml:space="preserve">62 %</w:t>
            </w:r>
          </w:p>
        </w:tc>
      </w:tr>
      <w:tr>
        <w:trPr>
          <w:cantSplit/>
        </w:trPr>
        <w:tc>
          <w:tcPr/>
          <w:p>
            <w:pPr>
              <w:pStyle w:val="Tabla8"/>
              <w:jc w:val="left"/>
            </w:pPr>
            <w:r>
              <w:t xml:space="preserve">G4 Patentes de sensores y activos</w:t>
            </w:r>
          </w:p>
        </w:tc>
        <w:tc>
          <w:tcPr/>
          <w:p>
            <w:pPr>
              <w:pStyle w:val="Tabla8"/>
              <w:jc w:val="left"/>
            </w:pPr>
            <w:r>
              <w:t xml:space="preserve">8</w:t>
            </w:r>
          </w:p>
        </w:tc>
        <w:tc>
          <w:tcPr/>
          <w:p>
            <w:pPr>
              <w:pStyle w:val="Tabla8"/>
              <w:jc w:val="left"/>
            </w:pPr>
            <w:r>
              <w:t xml:space="preserve">46 %</w:t>
            </w:r>
          </w:p>
        </w:tc>
        <w:tc>
          <w:tcPr/>
          <w:p>
            <w:pPr>
              <w:pStyle w:val="Tabla8"/>
              <w:jc w:val="left"/>
            </w:pPr>
            <w:r>
              <w:t xml:space="preserve">44 %</w:t>
            </w:r>
          </w:p>
        </w:tc>
        <w:tc>
          <w:tcPr/>
          <w:p>
            <w:pPr>
              <w:pStyle w:val="Tabla8"/>
              <w:jc w:val="left"/>
            </w:pPr>
            <w:r>
              <w:t xml:space="preserve">60 %</w:t>
            </w:r>
          </w:p>
        </w:tc>
        <w:tc>
          <w:tcPr/>
          <w:p>
            <w:pPr>
              <w:pStyle w:val="Tabla8"/>
              <w:jc w:val="left"/>
            </w:pPr>
            <w:r>
              <w:t xml:space="preserve">51 %</w:t>
            </w:r>
          </w:p>
        </w:tc>
        <w:tc>
          <w:tcPr/>
          <w:p>
            <w:pPr>
              <w:pStyle w:val="Tabla8"/>
              <w:jc w:val="left"/>
            </w:pPr>
            <w:r>
              <w:t xml:space="preserve">61 %</w:t>
            </w:r>
          </w:p>
        </w:tc>
        <w:tc>
          <w:tcPr/>
          <w:p>
            <w:pPr>
              <w:pStyle w:val="Tabla8"/>
              <w:jc w:val="left"/>
            </w:pPr>
            <w:r>
              <w:t xml:space="preserve">52 %</w:t>
            </w:r>
          </w:p>
        </w:tc>
      </w:tr>
      <w:tr>
        <w:trPr>
          <w:cantSplit/>
        </w:trPr>
        <w:tc>
          <w:tcPr/>
          <w:p>
            <w:pPr>
              <w:pStyle w:val="Tabla8"/>
              <w:jc w:val="left"/>
            </w:pPr>
            <w:r>
              <w:t xml:space="preserve">G5 Patentes interiores y reporte de la SIC</w:t>
            </w:r>
          </w:p>
        </w:tc>
        <w:tc>
          <w:tcPr/>
          <w:p>
            <w:pPr>
              <w:pStyle w:val="Tabla8"/>
              <w:jc w:val="left"/>
            </w:pPr>
            <w:r>
              <w:t xml:space="preserve">8</w:t>
            </w:r>
          </w:p>
        </w:tc>
        <w:tc>
          <w:tcPr/>
          <w:p>
            <w:pPr>
              <w:pStyle w:val="Tabla8"/>
              <w:jc w:val="left"/>
            </w:pPr>
            <w:r>
              <w:t xml:space="preserve">45 %</w:t>
            </w:r>
          </w:p>
        </w:tc>
        <w:tc>
          <w:tcPr/>
          <w:p>
            <w:pPr>
              <w:pStyle w:val="Tabla8"/>
              <w:jc w:val="left"/>
            </w:pPr>
            <w:r>
              <w:t xml:space="preserve">48 %</w:t>
            </w:r>
          </w:p>
        </w:tc>
        <w:tc>
          <w:tcPr/>
          <w:p>
            <w:pPr>
              <w:pStyle w:val="Tabla8"/>
              <w:jc w:val="left"/>
            </w:pPr>
            <w:r>
              <w:t xml:space="preserve">62 %</w:t>
            </w:r>
          </w:p>
        </w:tc>
        <w:tc>
          <w:tcPr/>
          <w:p>
            <w:pPr>
              <w:pStyle w:val="Tabla8"/>
              <w:jc w:val="left"/>
            </w:pPr>
            <w:r>
              <w:t xml:space="preserve">42 %</w:t>
            </w:r>
          </w:p>
        </w:tc>
        <w:tc>
          <w:tcPr/>
          <w:p>
            <w:pPr>
              <w:pStyle w:val="Tabla8"/>
              <w:jc w:val="left"/>
            </w:pPr>
            <w:r>
              <w:t xml:space="preserve">70 %</w:t>
            </w:r>
          </w:p>
        </w:tc>
        <w:tc>
          <w:tcPr/>
          <w:p>
            <w:pPr>
              <w:pStyle w:val="Tabla8"/>
              <w:jc w:val="left"/>
            </w:pPr>
            <w:r>
              <w:t xml:space="preserve">53 %</w:t>
            </w:r>
          </w:p>
        </w:tc>
      </w:tr>
      <w:tr>
        <w:trPr>
          <w:cantSplit/>
        </w:trPr>
        <w:tc>
          <w:tcPr/>
          <w:p>
            <w:pPr>
              <w:pStyle w:val="Tabla8"/>
              <w:jc w:val="left"/>
            </w:pPr>
            <w:r>
              <w:t xml:space="preserve">Corpus completo</w:t>
            </w:r>
          </w:p>
        </w:tc>
        <w:tc>
          <w:tcPr/>
          <w:p>
            <w:pPr>
              <w:pStyle w:val="Tabla8"/>
              <w:jc w:val="left"/>
            </w:pPr>
            <w:r>
              <w:t xml:space="preserve">42</w:t>
            </w:r>
          </w:p>
        </w:tc>
        <w:tc>
          <w:tcPr/>
          <w:p>
            <w:pPr>
              <w:pStyle w:val="Tabla8"/>
              <w:jc w:val="left"/>
            </w:pPr>
            <w:r>
              <w:t xml:space="preserve">55 %</w:t>
            </w:r>
          </w:p>
        </w:tc>
        <w:tc>
          <w:tcPr/>
          <w:p>
            <w:pPr>
              <w:pStyle w:val="Tabla8"/>
              <w:jc w:val="left"/>
            </w:pPr>
            <w:r>
              <w:t xml:space="preserve">48 %</w:t>
            </w:r>
          </w:p>
        </w:tc>
        <w:tc>
          <w:tcPr/>
          <w:p>
            <w:pPr>
              <w:pStyle w:val="Tabla8"/>
              <w:jc w:val="left"/>
            </w:pPr>
            <w:r>
              <w:t xml:space="preserve">61 %</w:t>
            </w:r>
          </w:p>
        </w:tc>
        <w:tc>
          <w:tcPr/>
          <w:p>
            <w:pPr>
              <w:pStyle w:val="Tabla8"/>
              <w:jc w:val="left"/>
            </w:pPr>
            <w:r>
              <w:t xml:space="preserve">56 %</w:t>
            </w:r>
          </w:p>
        </w:tc>
        <w:tc>
          <w:tcPr/>
          <w:p>
            <w:pPr>
              <w:pStyle w:val="Tabla8"/>
              <w:jc w:val="left"/>
            </w:pPr>
            <w:r>
              <w:t xml:space="preserve">82 %</w:t>
            </w:r>
          </w:p>
        </w:tc>
        <w:tc>
          <w:tcPr/>
          <w:p>
            <w:pPr>
              <w:pStyle w:val="Tabla8"/>
              <w:jc w:val="left"/>
            </w:pPr>
            <w:r>
              <w:t xml:space="preserve">60 %</w:t>
            </w:r>
          </w:p>
        </w:tc>
      </w:tr>
    </w:tbl>
    <w:p>
      <w:pPr>
        <w:pStyle w:val="TablaNota"/>
      </w:pPr>
      <w:r>
        <w:rPr>
          <w:i/>
          <w:iCs/>
        </w:rPr>
        <w:t xml:space="preserve">Nota.</w:t>
      </w:r>
      <w:r>
        <w:t xml:space="preserve"> </w:t>
      </w:r>
      <w:r>
        <w:t xml:space="preserve">Elaboración propia con datos de F-INF §3.2, Tablas 5 y 6 (p. 22). Criterios de referencia: TRL 7, IRL 6, DRL 5, robustez 7 y valor estratégico 7. El SRL se excluye porque solo tres grupos tienen datos. Naturaleza: CALCULADO sobre medias DOCUMENTADAS. Corpus de 42 documentos; año de corte 2026.</w:t>
      </w:r>
    </w:p>
    <w:p>
      <w:pPr>
        <w:pStyle w:val="FiguraRotulo"/>
      </w:pPr>
      <w:bookmarkStart w:id="9499" w:name="rot_Figura_2_10"/>
      <w:r>
        <w:rPr>
          <w:b/>
          <w:bCs/>
        </w:rPr>
        <w:t xml:space="preserve">Figura 2.10</w:t>
      </w:r>
      <w:bookmarkEnd w:id="9499"/>
    </w:p>
    <w:p>
      <w:pPr>
        <w:pStyle w:val="FiguraTitulo"/>
      </w:pPr>
      <w:r>
        <w:rPr>
          <w:i/>
          <w:iCs/>
        </w:rPr>
        <w:t xml:space="preserve">Perfil de cada grupo documental frente al criterio de referencia en cinco indicadores</w:t>
      </w:r>
    </w:p>
    <w:p>
      <w:pPr>
        <w:pStyle w:val="BodyText"/>
      </w:pPr>
      <w:r>
        <w:drawing>
          <wp:inline>
            <wp:extent cx="5579999" cy="3888941"/>
            <wp:effectExtent b="0" l="0" r="0" t="0"/>
            <wp:docPr descr="" title="" id="329" name="Picture"/>
            <a:graphic>
              <a:graphicData uri="http://schemas.openxmlformats.org/drawingml/2006/picture">
                <pic:pic>
                  <pic:nvPicPr>
                    <pic:cNvPr descr="/tmp/claude-0/-home-user-docs/ddf38714-2a7e-502b-92b4-1008e2832422/scratchpad/proy/figs/out/c2_radar.png" id="330" name="Picture"/>
                    <pic:cNvPicPr>
                      <a:picLocks noChangeArrowheads="1" noChangeAspect="1"/>
                    </pic:cNvPicPr>
                  </pic:nvPicPr>
                  <pic:blipFill>
                    <a:blip r:embed="rId328"/>
                    <a:stretch>
                      <a:fillRect/>
                    </a:stretch>
                  </pic:blipFill>
                  <pic:spPr bwMode="auto">
                    <a:xfrm>
                      <a:off x="0" y="0"/>
                      <a:ext cx="5579999" cy="388894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§3.2, Tablas 5 y 6 (p. 22). Cada eje es la media del grupo como porcentaje del criterio; la línea discontinua es el corpus de 42 documentos. Los seis criterios de la especificación no se midieron en el corpus. Año de corte 2026; semilla 42.</w:t>
      </w:r>
    </w:p>
    <w:p>
      <w:pPr>
        <w:pStyle w:val="BodyText"/>
      </w:pPr>
      <w:r>
        <w:t xml:space="preserve">El grupo de monitoreo y alerta tiene el perfil más alto. Su TRL llega a 73 %, su IRL a 65 % y su DRL a 78 %. Su robustez llega a 59 % y su valor a 95 %. Los grupos de patentes tienen el perfil más bajo, con promedios de 52 % y 53 %. El grupo de pronóstico combina un TRL de 57 % con un DRL de 44 %, el más bajo entre los tres grupos de artículos. Ningún grupo llega a 100 % en ningún eje.</w:t>
      </w:r>
    </w:p>
    <w:p>
      <w:pPr>
        <w:pStyle w:val="BodyText"/>
      </w:pPr>
      <w:r>
        <w:t xml:space="preserve">Una posición usa el perfil conjunto como señal de preparación global. La otra advierte que un perfil promedio oculta la dispersión. El grupo de monitoreo y alerta depende de un solo sistema de nivel 9. Ese sistema sostiene su TRL, su IRL y su DRL (F-INF §4.4, p. 36). Sin SIATA, el TRL medio del corpus baja de 3,85 a 3,73 (F-INF §3.6, p. 28). El proyecto adopta la segunda advertencia y no promedia grupos con un solo caso destacado.</w:t>
      </w:r>
    </w:p>
    <w:p>
      <w:pPr>
        <w:pStyle w:val="BodyText"/>
      </w:pPr>
      <w:r>
        <w:t xml:space="preserve">Los documentos del grupo de monitoreo y alerta sirven como anclas del proyecto. Son SIATA, el sistema de lahares, la red de Seúl y la red de una mina de carbón (Ruiz-Carrascal et al., 2026; Espinoza et al., 2026; Bang et al., 2026; Suresh et al., 2025). Las patentes sirven para la libertad de operación y no como evidencia de desempeño. El proyecto no usa el valor estratégico asignado como criterio de selección, porque es una escala del analista.</w:t>
      </w:r>
    </w:p>
    <w:bookmarkEnd w:id="331"/>
    <w:bookmarkStart w:id="335" w:name="X34015fd9ea279491d3bea86d9034758823410a6"/>
    <w:p>
      <w:pPr>
        <w:pStyle w:val="Heading3"/>
      </w:pPr>
      <w:r>
        <w:t xml:space="preserve">2.2.11 Mapa de calor de líneas tecnológicas y madurez</w:t>
      </w:r>
    </w:p>
    <w:p>
      <w:pPr>
        <w:pStyle w:val="FirstParagraph"/>
      </w:pPr>
      <w:r>
        <w:t xml:space="preserve">El mapa de calor cruza líneas tecnológicas con criterios de madurez. El protocolo pide una matriz de métodos por criterios con valores de compatibilidad de 0 a 10. El corpus no contiene esa puntuación. La versión que los datos soportan cruza las 12 líneas tecnológicas del informe con dos criterios medidos, el TRL y el IRL. Cada valor se expresa como porcentaje del criterio de referencia.</w:t>
      </w:r>
    </w:p>
    <w:p>
      <w:pPr>
        <w:pStyle w:val="BodyText"/>
      </w:pPr>
      <w:r>
        <w:t xml:space="preserve">El informe agrega los documentos en 13 líneas tecnológicas y calcula su madurez media (F-INF §4.8, p. 41). Un documento puede pertenecer a más de una línea. Por eso las 13 líneas suman 45 asignaciones para 42 documentos. La Tabla 2.17 y la Figura 2.11 presentan las 12 líneas con TRL e IRL.</w:t>
      </w:r>
    </w:p>
    <w:p>
      <w:pPr>
        <w:pStyle w:val="TablaRotulo"/>
      </w:pPr>
      <w:bookmarkStart w:id="9247" w:name="rot_Tabla_2_17"/>
      <w:r>
        <w:rPr>
          <w:b/>
          <w:bCs/>
        </w:rPr>
        <w:t xml:space="preserve">Tabla 2.17</w:t>
      </w:r>
      <w:bookmarkEnd w:id="9247"/>
    </w:p>
    <w:p>
      <w:pPr>
        <w:pStyle w:val="TablaTitulo"/>
      </w:pPr>
      <w:r>
        <w:rPr>
          <w:i/>
          <w:iCs/>
        </w:rPr>
        <w:t xml:space="preserve">Madurez media por línea tecnológica como porcentaje del criterio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29"/>
        <w:gridCol w:w="1331"/>
        <w:gridCol w:w="865"/>
        <w:gridCol w:w="865"/>
        <w:gridCol w:w="865"/>
        <w:gridCol w:w="865"/>
        <w:gridCol w:w="998"/>
      </w:tblGrid>
      <w:tr>
        <w:trPr>
          <w:cantSplit/>
          <w:tblHeader/>
        </w:trPr>
        <w:tc>
          <w:tcPr>
            <w:shd w:val="clear" w:color="auto" w:fill="00B050"/>
          </w:tcPr>
          <w:p>
            <w:pPr>
              <w:pStyle w:val="Tabla8"/>
              <w:jc w:val="center"/>
            </w:pPr>
            <w:r>
              <w:rPr>
                <w:b/>
                <w:color w:val="FFFFFF"/>
              </w:rPr>
              <w:t xml:space="preserve">Línea tecnológica</w:t>
            </w:r>
          </w:p>
        </w:tc>
        <w:tc>
          <w:tcPr>
            <w:shd w:val="clear" w:color="auto" w:fill="00B050"/>
          </w:tcPr>
          <w:p>
            <w:pPr>
              <w:pStyle w:val="Tabla8"/>
              <w:jc w:val="center"/>
            </w:pPr>
            <w:r>
              <w:rPr>
                <w:b/>
                <w:color w:val="FFFFFF"/>
              </w:rPr>
              <w:t xml:space="preserve">Documentos</w:t>
            </w:r>
          </w:p>
        </w:tc>
        <w:tc>
          <w:tcPr>
            <w:shd w:val="clear" w:color="auto" w:fill="00B050"/>
          </w:tcPr>
          <w:p>
            <w:pPr>
              <w:pStyle w:val="Tabla8"/>
              <w:jc w:val="center"/>
            </w:pPr>
            <w:r>
              <w:rPr>
                <w:b/>
                <w:color w:val="FFFFFF"/>
              </w:rPr>
              <w:t xml:space="preserve">TRL actual</w:t>
            </w:r>
          </w:p>
        </w:tc>
        <w:tc>
          <w:tcPr>
            <w:shd w:val="clear" w:color="auto" w:fill="00B050"/>
          </w:tcPr>
          <w:p>
            <w:pPr>
              <w:pStyle w:val="Tabla8"/>
              <w:jc w:val="center"/>
            </w:pPr>
            <w:r>
              <w:rPr>
                <w:b/>
                <w:color w:val="FFFFFF"/>
              </w:rPr>
              <w:t xml:space="preserve">IRL actual</w:t>
            </w:r>
          </w:p>
        </w:tc>
        <w:tc>
          <w:tcPr>
            <w:shd w:val="clear" w:color="auto" w:fill="00B050"/>
          </w:tcPr>
          <w:p>
            <w:pPr>
              <w:pStyle w:val="Tabla8"/>
              <w:jc w:val="center"/>
            </w:pPr>
            <w:r>
              <w:rPr>
                <w:b/>
                <w:color w:val="FFFFFF"/>
              </w:rPr>
              <w:t xml:space="preserve">TRL (% de 7)</w:t>
            </w:r>
          </w:p>
        </w:tc>
        <w:tc>
          <w:tcPr>
            <w:shd w:val="clear" w:color="auto" w:fill="00B050"/>
          </w:tcPr>
          <w:p>
            <w:pPr>
              <w:pStyle w:val="Tabla8"/>
              <w:jc w:val="center"/>
            </w:pPr>
            <w:r>
              <w:rPr>
                <w:b/>
                <w:color w:val="FFFFFF"/>
              </w:rPr>
              <w:t xml:space="preserve">IRL (% de 6)</w:t>
            </w:r>
          </w:p>
        </w:tc>
        <w:tc>
          <w:tcPr>
            <w:shd w:val="clear" w:color="auto" w:fill="00B050"/>
          </w:tcPr>
          <w:p>
            <w:pPr>
              <w:pStyle w:val="Tabla8"/>
              <w:jc w:val="center"/>
            </w:pPr>
            <w:r>
              <w:rPr>
                <w:b/>
                <w:color w:val="FFFFFF"/>
              </w:rPr>
              <w:t xml:space="preserve">Brecha TRL menos IRL</w:t>
            </w:r>
          </w:p>
        </w:tc>
      </w:tr>
      <w:tr>
        <w:trPr>
          <w:cantSplit/>
        </w:trPr>
        <w:tc>
          <w:tcPr/>
          <w:p>
            <w:pPr>
              <w:pStyle w:val="Tabla8"/>
              <w:jc w:val="left"/>
            </w:pPr>
            <w:r>
              <w:t xml:space="preserve">Sistemas de alerta temprana y gestión de desastres</w:t>
            </w:r>
          </w:p>
        </w:tc>
        <w:tc>
          <w:tcPr/>
          <w:p>
            <w:pPr>
              <w:pStyle w:val="Tabla8"/>
              <w:jc w:val="left"/>
            </w:pPr>
            <w:r>
              <w:t xml:space="preserve">4</w:t>
            </w:r>
          </w:p>
        </w:tc>
        <w:tc>
          <w:tcPr/>
          <w:p>
            <w:pPr>
              <w:pStyle w:val="Tabla8"/>
              <w:jc w:val="left"/>
            </w:pPr>
            <w:r>
              <w:t xml:space="preserve">5,75</w:t>
            </w:r>
          </w:p>
        </w:tc>
        <w:tc>
          <w:tcPr/>
          <w:p>
            <w:pPr>
              <w:pStyle w:val="Tabla8"/>
              <w:jc w:val="left"/>
            </w:pPr>
            <w:r>
              <w:t xml:space="preserve">4,50</w:t>
            </w:r>
          </w:p>
        </w:tc>
        <w:tc>
          <w:tcPr/>
          <w:p>
            <w:pPr>
              <w:pStyle w:val="Tabla8"/>
              <w:jc w:val="left"/>
            </w:pPr>
            <w:r>
              <w:t xml:space="preserve">82 %</w:t>
            </w:r>
          </w:p>
        </w:tc>
        <w:tc>
          <w:tcPr/>
          <w:p>
            <w:pPr>
              <w:pStyle w:val="Tabla8"/>
              <w:jc w:val="left"/>
            </w:pPr>
            <w:r>
              <w:t xml:space="preserve">75 %</w:t>
            </w:r>
          </w:p>
        </w:tc>
        <w:tc>
          <w:tcPr/>
          <w:p>
            <w:pPr>
              <w:pStyle w:val="Tabla8"/>
              <w:jc w:val="left"/>
            </w:pPr>
            <w:r>
              <w:t xml:space="preserve">1,25</w:t>
            </w:r>
          </w:p>
        </w:tc>
      </w:tr>
      <w:tr>
        <w:trPr>
          <w:cantSplit/>
        </w:trPr>
        <w:tc>
          <w:tcPr/>
          <w:p>
            <w:pPr>
              <w:pStyle w:val="Tabla8"/>
              <w:jc w:val="left"/>
            </w:pPr>
            <w:r>
              <w:t xml:space="preserve">Pronóstico con aprendizaje automático</w:t>
            </w:r>
          </w:p>
        </w:tc>
        <w:tc>
          <w:tcPr/>
          <w:p>
            <w:pPr>
              <w:pStyle w:val="Tabla8"/>
              <w:jc w:val="left"/>
            </w:pPr>
            <w:r>
              <w:t xml:space="preserve">9</w:t>
            </w:r>
          </w:p>
        </w:tc>
        <w:tc>
          <w:tcPr/>
          <w:p>
            <w:pPr>
              <w:pStyle w:val="Tabla8"/>
              <w:jc w:val="left"/>
            </w:pPr>
            <w:r>
              <w:t xml:space="preserve">4,00</w:t>
            </w:r>
          </w:p>
        </w:tc>
        <w:tc>
          <w:tcPr/>
          <w:p>
            <w:pPr>
              <w:pStyle w:val="Tabla8"/>
              <w:jc w:val="left"/>
            </w:pPr>
            <w:r>
              <w:t xml:space="preserve">2,56</w:t>
            </w:r>
          </w:p>
        </w:tc>
        <w:tc>
          <w:tcPr/>
          <w:p>
            <w:pPr>
              <w:pStyle w:val="Tabla8"/>
              <w:jc w:val="left"/>
            </w:pPr>
            <w:r>
              <w:t xml:space="preserve">57 %</w:t>
            </w:r>
          </w:p>
        </w:tc>
        <w:tc>
          <w:tcPr/>
          <w:p>
            <w:pPr>
              <w:pStyle w:val="Tabla8"/>
              <w:jc w:val="left"/>
            </w:pPr>
            <w:r>
              <w:t xml:space="preserve">43 %</w:t>
            </w:r>
          </w:p>
        </w:tc>
        <w:tc>
          <w:tcPr/>
          <w:p>
            <w:pPr>
              <w:pStyle w:val="Tabla8"/>
              <w:jc w:val="left"/>
            </w:pPr>
            <w:r>
              <w:t xml:space="preserve">1,44</w:t>
            </w:r>
          </w:p>
        </w:tc>
      </w:tr>
      <w:tr>
        <w:trPr>
          <w:cantSplit/>
        </w:trPr>
        <w:tc>
          <w:tcPr/>
          <w:p>
            <w:pPr>
              <w:pStyle w:val="Tabla8"/>
              <w:jc w:val="left"/>
            </w:pPr>
            <w:r>
              <w:t xml:space="preserve">Valorización de residuos por gasificación</w:t>
            </w:r>
          </w:p>
        </w:tc>
        <w:tc>
          <w:tcPr/>
          <w:p>
            <w:pPr>
              <w:pStyle w:val="Tabla8"/>
              <w:jc w:val="left"/>
            </w:pPr>
            <w:r>
              <w:t xml:space="preserve">1</w:t>
            </w:r>
          </w:p>
        </w:tc>
        <w:tc>
          <w:tcPr/>
          <w:p>
            <w:pPr>
              <w:pStyle w:val="Tabla8"/>
              <w:jc w:val="left"/>
            </w:pPr>
            <w:r>
              <w:t xml:space="preserve">4,00</w:t>
            </w:r>
          </w:p>
        </w:tc>
        <w:tc>
          <w:tcPr/>
          <w:p>
            <w:pPr>
              <w:pStyle w:val="Tabla8"/>
              <w:jc w:val="left"/>
            </w:pPr>
            <w:r>
              <w:t xml:space="preserve">3,00</w:t>
            </w:r>
          </w:p>
        </w:tc>
        <w:tc>
          <w:tcPr/>
          <w:p>
            <w:pPr>
              <w:pStyle w:val="Tabla8"/>
              <w:jc w:val="left"/>
            </w:pPr>
            <w:r>
              <w:t xml:space="preserve">57 %</w:t>
            </w:r>
          </w:p>
        </w:tc>
        <w:tc>
          <w:tcPr/>
          <w:p>
            <w:pPr>
              <w:pStyle w:val="Tabla8"/>
              <w:jc w:val="left"/>
            </w:pPr>
            <w:r>
              <w:t xml:space="preserve">50 %</w:t>
            </w:r>
          </w:p>
        </w:tc>
        <w:tc>
          <w:tcPr/>
          <w:p>
            <w:pPr>
              <w:pStyle w:val="Tabla8"/>
              <w:jc w:val="left"/>
            </w:pPr>
            <w:r>
              <w:t xml:space="preserve">1,00</w:t>
            </w:r>
          </w:p>
        </w:tc>
      </w:tr>
      <w:tr>
        <w:trPr>
          <w:cantSplit/>
        </w:trPr>
        <w:tc>
          <w:tcPr/>
          <w:p>
            <w:pPr>
              <w:pStyle w:val="Tabla8"/>
              <w:jc w:val="left"/>
            </w:pPr>
            <w:r>
              <w:t xml:space="preserve">Exposición ocupacional</w:t>
            </w:r>
          </w:p>
        </w:tc>
        <w:tc>
          <w:tcPr/>
          <w:p>
            <w:pPr>
              <w:pStyle w:val="Tabla8"/>
              <w:jc w:val="left"/>
            </w:pPr>
            <w:r>
              <w:t xml:space="preserve">2</w:t>
            </w:r>
          </w:p>
        </w:tc>
        <w:tc>
          <w:tcPr/>
          <w:p>
            <w:pPr>
              <w:pStyle w:val="Tabla8"/>
              <w:jc w:val="left"/>
            </w:pPr>
            <w:r>
              <w:t xml:space="preserve">4,00</w:t>
            </w:r>
          </w:p>
        </w:tc>
        <w:tc>
          <w:tcPr/>
          <w:p>
            <w:pPr>
              <w:pStyle w:val="Tabla8"/>
              <w:jc w:val="left"/>
            </w:pPr>
            <w:r>
              <w:t xml:space="preserve">3,00</w:t>
            </w:r>
          </w:p>
        </w:tc>
        <w:tc>
          <w:tcPr/>
          <w:p>
            <w:pPr>
              <w:pStyle w:val="Tabla8"/>
              <w:jc w:val="left"/>
            </w:pPr>
            <w:r>
              <w:t xml:space="preserve">57 %</w:t>
            </w:r>
          </w:p>
        </w:tc>
        <w:tc>
          <w:tcPr/>
          <w:p>
            <w:pPr>
              <w:pStyle w:val="Tabla8"/>
              <w:jc w:val="left"/>
            </w:pPr>
            <w:r>
              <w:t xml:space="preserve">50 %</w:t>
            </w:r>
          </w:p>
        </w:tc>
        <w:tc>
          <w:tcPr/>
          <w:p>
            <w:pPr>
              <w:pStyle w:val="Tabla8"/>
              <w:jc w:val="left"/>
            </w:pPr>
            <w:r>
              <w:t xml:space="preserve">1,00</w:t>
            </w:r>
          </w:p>
        </w:tc>
      </w:tr>
      <w:tr>
        <w:trPr>
          <w:cantSplit/>
        </w:trPr>
        <w:tc>
          <w:tcPr/>
          <w:p>
            <w:pPr>
              <w:pStyle w:val="Tabla8"/>
              <w:jc w:val="left"/>
            </w:pPr>
            <w:r>
              <w:t xml:space="preserve">Redes de sensores de bajo costo y calibración</w:t>
            </w:r>
          </w:p>
        </w:tc>
        <w:tc>
          <w:tcPr/>
          <w:p>
            <w:pPr>
              <w:pStyle w:val="Tabla8"/>
              <w:jc w:val="left"/>
            </w:pPr>
            <w:r>
              <w:t xml:space="preserve">5</w:t>
            </w:r>
          </w:p>
        </w:tc>
        <w:tc>
          <w:tcPr/>
          <w:p>
            <w:pPr>
              <w:pStyle w:val="Tabla8"/>
              <w:jc w:val="left"/>
            </w:pPr>
            <w:r>
              <w:t xml:space="preserve">3,80</w:t>
            </w:r>
          </w:p>
        </w:tc>
        <w:tc>
          <w:tcPr/>
          <w:p>
            <w:pPr>
              <w:pStyle w:val="Tabla8"/>
              <w:jc w:val="left"/>
            </w:pPr>
            <w:r>
              <w:t xml:space="preserve">3,00</w:t>
            </w:r>
          </w:p>
        </w:tc>
        <w:tc>
          <w:tcPr/>
          <w:p>
            <w:pPr>
              <w:pStyle w:val="Tabla8"/>
              <w:jc w:val="left"/>
            </w:pPr>
            <w:r>
              <w:t xml:space="preserve">54 %</w:t>
            </w:r>
          </w:p>
        </w:tc>
        <w:tc>
          <w:tcPr/>
          <w:p>
            <w:pPr>
              <w:pStyle w:val="Tabla8"/>
              <w:jc w:val="left"/>
            </w:pPr>
            <w:r>
              <w:t xml:space="preserve">50 %</w:t>
            </w:r>
          </w:p>
        </w:tc>
        <w:tc>
          <w:tcPr/>
          <w:p>
            <w:pPr>
              <w:pStyle w:val="Tabla8"/>
              <w:jc w:val="left"/>
            </w:pPr>
            <w:r>
              <w:t xml:space="preserve">0,80</w:t>
            </w:r>
          </w:p>
        </w:tc>
      </w:tr>
      <w:tr>
        <w:trPr>
          <w:cantSplit/>
        </w:trPr>
        <w:tc>
          <w:tcPr/>
          <w:p>
            <w:pPr>
              <w:pStyle w:val="Tabla8"/>
              <w:jc w:val="left"/>
            </w:pPr>
            <w:r>
              <w:t xml:space="preserve">Índices y calificaciones de salud y salubridad</w:t>
            </w:r>
          </w:p>
        </w:tc>
        <w:tc>
          <w:tcPr/>
          <w:p>
            <w:pPr>
              <w:pStyle w:val="Tabla8"/>
              <w:jc w:val="left"/>
            </w:pPr>
            <w:r>
              <w:t xml:space="preserve">4</w:t>
            </w:r>
          </w:p>
        </w:tc>
        <w:tc>
          <w:tcPr/>
          <w:p>
            <w:pPr>
              <w:pStyle w:val="Tabla8"/>
              <w:jc w:val="left"/>
            </w:pPr>
            <w:r>
              <w:t xml:space="preserve">3,75</w:t>
            </w:r>
          </w:p>
        </w:tc>
        <w:tc>
          <w:tcPr/>
          <w:p>
            <w:pPr>
              <w:pStyle w:val="Tabla8"/>
              <w:jc w:val="left"/>
            </w:pPr>
            <w:r>
              <w:t xml:space="preserve">3,00</w:t>
            </w:r>
          </w:p>
        </w:tc>
        <w:tc>
          <w:tcPr/>
          <w:p>
            <w:pPr>
              <w:pStyle w:val="Tabla8"/>
              <w:jc w:val="left"/>
            </w:pPr>
            <w:r>
              <w:t xml:space="preserve">54 %</w:t>
            </w:r>
          </w:p>
        </w:tc>
        <w:tc>
          <w:tcPr/>
          <w:p>
            <w:pPr>
              <w:pStyle w:val="Tabla8"/>
              <w:jc w:val="left"/>
            </w:pPr>
            <w:r>
              <w:t xml:space="preserve">50 %</w:t>
            </w:r>
          </w:p>
        </w:tc>
        <w:tc>
          <w:tcPr/>
          <w:p>
            <w:pPr>
              <w:pStyle w:val="Tabla8"/>
              <w:jc w:val="left"/>
            </w:pPr>
            <w:r>
              <w:t xml:space="preserve">0,75</w:t>
            </w:r>
          </w:p>
        </w:tc>
      </w:tr>
      <w:tr>
        <w:trPr>
          <w:cantSplit/>
        </w:trPr>
        <w:tc>
          <w:tcPr/>
          <w:p>
            <w:pPr>
              <w:pStyle w:val="Tabla8"/>
              <w:jc w:val="left"/>
            </w:pPr>
            <w:r>
              <w:t xml:space="preserve">Teledetección de incendios, humo y transporte regional</w:t>
            </w:r>
          </w:p>
        </w:tc>
        <w:tc>
          <w:tcPr/>
          <w:p>
            <w:pPr>
              <w:pStyle w:val="Tabla8"/>
              <w:jc w:val="left"/>
            </w:pPr>
            <w:r>
              <w:t xml:space="preserve">3</w:t>
            </w:r>
          </w:p>
        </w:tc>
        <w:tc>
          <w:tcPr/>
          <w:p>
            <w:pPr>
              <w:pStyle w:val="Tabla8"/>
              <w:jc w:val="left"/>
            </w:pPr>
            <w:r>
              <w:t xml:space="preserve">3,67</w:t>
            </w:r>
          </w:p>
        </w:tc>
        <w:tc>
          <w:tcPr/>
          <w:p>
            <w:pPr>
              <w:pStyle w:val="Tabla8"/>
              <w:jc w:val="left"/>
            </w:pPr>
            <w:r>
              <w:t xml:space="preserve">2,33</w:t>
            </w:r>
          </w:p>
        </w:tc>
        <w:tc>
          <w:tcPr/>
          <w:p>
            <w:pPr>
              <w:pStyle w:val="Tabla8"/>
              <w:jc w:val="left"/>
            </w:pPr>
            <w:r>
              <w:t xml:space="preserve">52 %</w:t>
            </w:r>
          </w:p>
        </w:tc>
        <w:tc>
          <w:tcPr/>
          <w:p>
            <w:pPr>
              <w:pStyle w:val="Tabla8"/>
              <w:jc w:val="left"/>
            </w:pPr>
            <w:r>
              <w:t xml:space="preserve">39 %</w:t>
            </w:r>
          </w:p>
        </w:tc>
        <w:tc>
          <w:tcPr/>
          <w:p>
            <w:pPr>
              <w:pStyle w:val="Tabla8"/>
              <w:jc w:val="left"/>
            </w:pPr>
            <w:r>
              <w:t xml:space="preserve">1,34</w:t>
            </w:r>
          </w:p>
        </w:tc>
      </w:tr>
      <w:tr>
        <w:trPr>
          <w:cantSplit/>
        </w:trPr>
        <w:tc>
          <w:tcPr/>
          <w:p>
            <w:pPr>
              <w:pStyle w:val="Tabla8"/>
              <w:jc w:val="left"/>
            </w:pPr>
            <w:r>
              <w:t xml:space="preserve">Carga de enfermedad y exposición</w:t>
            </w:r>
          </w:p>
        </w:tc>
        <w:tc>
          <w:tcPr/>
          <w:p>
            <w:pPr>
              <w:pStyle w:val="Tabla8"/>
              <w:jc w:val="left"/>
            </w:pPr>
            <w:r>
              <w:t xml:space="preserve">5</w:t>
            </w:r>
          </w:p>
        </w:tc>
        <w:tc>
          <w:tcPr/>
          <w:p>
            <w:pPr>
              <w:pStyle w:val="Tabla8"/>
              <w:jc w:val="left"/>
            </w:pPr>
            <w:r>
              <w:t xml:space="preserve">3,60</w:t>
            </w:r>
          </w:p>
        </w:tc>
        <w:tc>
          <w:tcPr/>
          <w:p>
            <w:pPr>
              <w:pStyle w:val="Tabla8"/>
              <w:jc w:val="left"/>
            </w:pPr>
            <w:r>
              <w:t xml:space="preserve">2,40</w:t>
            </w:r>
          </w:p>
        </w:tc>
        <w:tc>
          <w:tcPr/>
          <w:p>
            <w:pPr>
              <w:pStyle w:val="Tabla8"/>
              <w:jc w:val="left"/>
            </w:pPr>
            <w:r>
              <w:t xml:space="preserve">51 %</w:t>
            </w:r>
          </w:p>
        </w:tc>
        <w:tc>
          <w:tcPr/>
          <w:p>
            <w:pPr>
              <w:pStyle w:val="Tabla8"/>
              <w:jc w:val="left"/>
            </w:pPr>
            <w:r>
              <w:t xml:space="preserve">40 %</w:t>
            </w:r>
          </w:p>
        </w:tc>
        <w:tc>
          <w:tcPr/>
          <w:p>
            <w:pPr>
              <w:pStyle w:val="Tabla8"/>
              <w:jc w:val="left"/>
            </w:pPr>
            <w:r>
              <w:t xml:space="preserve">1,20</w:t>
            </w:r>
          </w:p>
        </w:tc>
      </w:tr>
      <w:tr>
        <w:trPr>
          <w:cantSplit/>
        </w:trPr>
        <w:tc>
          <w:tcPr/>
          <w:p>
            <w:pPr>
              <w:pStyle w:val="Tabla8"/>
              <w:jc w:val="left"/>
            </w:pPr>
            <w:r>
              <w:t xml:space="preserve">Patrimonio y materiales</w:t>
            </w:r>
          </w:p>
        </w:tc>
        <w:tc>
          <w:tcPr/>
          <w:p>
            <w:pPr>
              <w:pStyle w:val="Tabla8"/>
              <w:jc w:val="left"/>
            </w:pPr>
            <w:r>
              <w:t xml:space="preserve">2</w:t>
            </w:r>
          </w:p>
        </w:tc>
        <w:tc>
          <w:tcPr/>
          <w:p>
            <w:pPr>
              <w:pStyle w:val="Tabla8"/>
              <w:jc w:val="left"/>
            </w:pPr>
            <w:r>
              <w:t xml:space="preserve">3,50</w:t>
            </w:r>
          </w:p>
        </w:tc>
        <w:tc>
          <w:tcPr/>
          <w:p>
            <w:pPr>
              <w:pStyle w:val="Tabla8"/>
              <w:jc w:val="left"/>
            </w:pPr>
            <w:r>
              <w:t xml:space="preserve">3,00</w:t>
            </w:r>
          </w:p>
        </w:tc>
        <w:tc>
          <w:tcPr/>
          <w:p>
            <w:pPr>
              <w:pStyle w:val="Tabla8"/>
              <w:jc w:val="left"/>
            </w:pPr>
            <w:r>
              <w:t xml:space="preserve">50 %</w:t>
            </w:r>
          </w:p>
        </w:tc>
        <w:tc>
          <w:tcPr/>
          <w:p>
            <w:pPr>
              <w:pStyle w:val="Tabla8"/>
              <w:jc w:val="left"/>
            </w:pPr>
            <w:r>
              <w:t xml:space="preserve">50 %</w:t>
            </w:r>
          </w:p>
        </w:tc>
        <w:tc>
          <w:tcPr/>
          <w:p>
            <w:pPr>
              <w:pStyle w:val="Tabla8"/>
              <w:jc w:val="left"/>
            </w:pPr>
            <w:r>
              <w:t xml:space="preserve">0,50</w:t>
            </w:r>
          </w:p>
        </w:tc>
      </w:tr>
      <w:tr>
        <w:trPr>
          <w:cantSplit/>
        </w:trPr>
        <w:tc>
          <w:tcPr/>
          <w:p>
            <w:pPr>
              <w:pStyle w:val="Tabla8"/>
              <w:jc w:val="left"/>
            </w:pPr>
            <w:r>
              <w:t xml:space="preserve">Diagnóstico predictivo con gemelo digital</w:t>
            </w:r>
          </w:p>
        </w:tc>
        <w:tc>
          <w:tcPr/>
          <w:p>
            <w:pPr>
              <w:pStyle w:val="Tabla8"/>
              <w:jc w:val="left"/>
            </w:pPr>
            <w:r>
              <w:t xml:space="preserve">3</w:t>
            </w:r>
          </w:p>
        </w:tc>
        <w:tc>
          <w:tcPr/>
          <w:p>
            <w:pPr>
              <w:pStyle w:val="Tabla8"/>
              <w:jc w:val="left"/>
            </w:pPr>
            <w:r>
              <w:t xml:space="preserve">3,33</w:t>
            </w:r>
          </w:p>
        </w:tc>
        <w:tc>
          <w:tcPr/>
          <w:p>
            <w:pPr>
              <w:pStyle w:val="Tabla8"/>
              <w:jc w:val="left"/>
            </w:pPr>
            <w:r>
              <w:t xml:space="preserve">3,00</w:t>
            </w:r>
          </w:p>
        </w:tc>
        <w:tc>
          <w:tcPr/>
          <w:p>
            <w:pPr>
              <w:pStyle w:val="Tabla8"/>
              <w:jc w:val="left"/>
            </w:pPr>
            <w:r>
              <w:t xml:space="preserve">48 %</w:t>
            </w:r>
          </w:p>
        </w:tc>
        <w:tc>
          <w:tcPr/>
          <w:p>
            <w:pPr>
              <w:pStyle w:val="Tabla8"/>
              <w:jc w:val="left"/>
            </w:pPr>
            <w:r>
              <w:t xml:space="preserve">50 %</w:t>
            </w:r>
          </w:p>
        </w:tc>
        <w:tc>
          <w:tcPr/>
          <w:p>
            <w:pPr>
              <w:pStyle w:val="Tabla8"/>
              <w:jc w:val="left"/>
            </w:pPr>
            <w:r>
              <w:t xml:space="preserve">0,33</w:t>
            </w:r>
          </w:p>
        </w:tc>
      </w:tr>
      <w:tr>
        <w:trPr>
          <w:cantSplit/>
        </w:trPr>
        <w:tc>
          <w:tcPr/>
          <w:p>
            <w:pPr>
              <w:pStyle w:val="Tabla8"/>
              <w:jc w:val="left"/>
            </w:pPr>
            <w:r>
              <w:t xml:space="preserve">Medición de partículas y calibración (patentes)</w:t>
            </w:r>
          </w:p>
        </w:tc>
        <w:tc>
          <w:tcPr/>
          <w:p>
            <w:pPr>
              <w:pStyle w:val="Tabla8"/>
              <w:jc w:val="left"/>
            </w:pPr>
            <w:r>
              <w:t xml:space="preserve">3</w:t>
            </w:r>
          </w:p>
        </w:tc>
        <w:tc>
          <w:tcPr/>
          <w:p>
            <w:pPr>
              <w:pStyle w:val="Tabla8"/>
              <w:jc w:val="left"/>
            </w:pPr>
            <w:r>
              <w:t xml:space="preserve">3,00</w:t>
            </w:r>
          </w:p>
        </w:tc>
        <w:tc>
          <w:tcPr/>
          <w:p>
            <w:pPr>
              <w:pStyle w:val="Tabla8"/>
              <w:jc w:val="left"/>
            </w:pPr>
            <w:r>
              <w:t xml:space="preserve">2,33</w:t>
            </w:r>
          </w:p>
        </w:tc>
        <w:tc>
          <w:tcPr/>
          <w:p>
            <w:pPr>
              <w:pStyle w:val="Tabla8"/>
              <w:jc w:val="left"/>
            </w:pPr>
            <w:r>
              <w:t xml:space="preserve">43 %</w:t>
            </w:r>
          </w:p>
        </w:tc>
        <w:tc>
          <w:tcPr/>
          <w:p>
            <w:pPr>
              <w:pStyle w:val="Tabla8"/>
              <w:jc w:val="left"/>
            </w:pPr>
            <w:r>
              <w:t xml:space="preserve">39 %</w:t>
            </w:r>
          </w:p>
        </w:tc>
        <w:tc>
          <w:tcPr/>
          <w:p>
            <w:pPr>
              <w:pStyle w:val="Tabla8"/>
              <w:jc w:val="left"/>
            </w:pPr>
            <w:r>
              <w:t xml:space="preserve">0,67</w:t>
            </w:r>
          </w:p>
        </w:tc>
      </w:tr>
      <w:tr>
        <w:trPr>
          <w:cantSplit/>
        </w:trPr>
        <w:tc>
          <w:tcPr/>
          <w:p>
            <w:pPr>
              <w:pStyle w:val="Tabla8"/>
              <w:jc w:val="left"/>
            </w:pPr>
            <w:r>
              <w:t xml:space="preserve">Energía, carbono y control de interiores</w:t>
            </w:r>
          </w:p>
        </w:tc>
        <w:tc>
          <w:tcPr/>
          <w:p>
            <w:pPr>
              <w:pStyle w:val="Tabla8"/>
              <w:jc w:val="left"/>
            </w:pPr>
            <w:r>
              <w:t xml:space="preserve">3</w:t>
            </w:r>
          </w:p>
        </w:tc>
        <w:tc>
          <w:tcPr/>
          <w:p>
            <w:pPr>
              <w:pStyle w:val="Tabla8"/>
              <w:jc w:val="left"/>
            </w:pPr>
            <w:r>
              <w:t xml:space="preserve">2,67</w:t>
            </w:r>
          </w:p>
        </w:tc>
        <w:tc>
          <w:tcPr/>
          <w:p>
            <w:pPr>
              <w:pStyle w:val="Tabla8"/>
              <w:jc w:val="left"/>
            </w:pPr>
            <w:r>
              <w:t xml:space="preserve">2,67</w:t>
            </w:r>
          </w:p>
        </w:tc>
        <w:tc>
          <w:tcPr/>
          <w:p>
            <w:pPr>
              <w:pStyle w:val="Tabla8"/>
              <w:jc w:val="left"/>
            </w:pPr>
            <w:r>
              <w:t xml:space="preserve">38 %</w:t>
            </w:r>
          </w:p>
        </w:tc>
        <w:tc>
          <w:tcPr/>
          <w:p>
            <w:pPr>
              <w:pStyle w:val="Tabla8"/>
              <w:jc w:val="left"/>
            </w:pPr>
            <w:r>
              <w:t xml:space="preserve">44 %</w:t>
            </w:r>
          </w:p>
        </w:tc>
        <w:tc>
          <w:tcPr/>
          <w:p>
            <w:pPr>
              <w:pStyle w:val="Tabla8"/>
              <w:jc w:val="left"/>
            </w:pPr>
            <w:r>
              <w:t xml:space="preserve">0,00</w:t>
            </w:r>
          </w:p>
        </w:tc>
      </w:tr>
      <w:tr>
        <w:trPr>
          <w:cantSplit/>
        </w:trPr>
        <w:tc>
          <w:tcPr/>
          <w:p>
            <w:pPr>
              <w:pStyle w:val="Tabla8"/>
              <w:jc w:val="left"/>
            </w:pPr>
            <w:r>
              <w:t xml:space="preserve">Vigilancia de propiedad industrial</w:t>
            </w:r>
          </w:p>
        </w:tc>
        <w:tc>
          <w:tcPr/>
          <w:p>
            <w:pPr>
              <w:pStyle w:val="Tabla8"/>
              <w:jc w:val="left"/>
            </w:pPr>
            <w:r>
              <w:t xml:space="preserve">1</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r>
    </w:tbl>
    <w:p>
      <w:pPr>
        <w:pStyle w:val="TablaNota"/>
      </w:pPr>
      <w:r>
        <w:rPr>
          <w:i/>
          <w:iCs/>
        </w:rPr>
        <w:t xml:space="preserve">Nota.</w:t>
      </w:r>
      <w:r>
        <w:t xml:space="preserve"> </w:t>
      </w:r>
      <w:r>
        <w:t xml:space="preserve">Elaboración propia con datos de F-INF §4.8, Tabla 18 (p. 41). Criterios: TRL 7 e IRL 6. Un documento puede pertenecer a más de una línea. La brecha es TRL menos IRL. Naturaleza: DOCUMENTADO para TRL e IRL y CALCULADO para porcentajes y brechas. Corpus de 42 documentos; año de corte 2026.</w:t>
      </w:r>
    </w:p>
    <w:p>
      <w:pPr>
        <w:pStyle w:val="FiguraRotulo"/>
      </w:pPr>
      <w:bookmarkStart w:id="9500" w:name="rot_Figura_2_11"/>
      <w:r>
        <w:rPr>
          <w:b/>
          <w:bCs/>
        </w:rPr>
        <w:t xml:space="preserve">Figura 2.11</w:t>
      </w:r>
      <w:bookmarkEnd w:id="9500"/>
    </w:p>
    <w:p>
      <w:pPr>
        <w:pStyle w:val="FiguraTitulo"/>
      </w:pPr>
      <w:r>
        <w:rPr>
          <w:i/>
          <w:iCs/>
        </w:rPr>
        <w:t xml:space="preserve">Mapa de calor de madurez tecnológica y de integración por línea tecnológica</w:t>
      </w:r>
    </w:p>
    <w:p>
      <w:pPr>
        <w:pStyle w:val="BodyText"/>
      </w:pPr>
      <w:r>
        <w:drawing>
          <wp:inline>
            <wp:extent cx="5579999" cy="3803006"/>
            <wp:effectExtent b="0" l="0" r="0" t="0"/>
            <wp:docPr descr="" title="" id="333" name="Picture"/>
            <a:graphic>
              <a:graphicData uri="http://schemas.openxmlformats.org/drawingml/2006/picture">
                <pic:pic>
                  <pic:nvPicPr>
                    <pic:cNvPr descr="/tmp/claude-0/-home-user-docs/ddf38714-2a7e-502b-92b4-1008e2832422/scratchpad/proy/figs/out/c2_heatmap.png" id="334" name="Picture"/>
                    <pic:cNvPicPr>
                      <a:picLocks noChangeArrowheads="1" noChangeAspect="1"/>
                    </pic:cNvPicPr>
                  </pic:nvPicPr>
                  <pic:blipFill>
                    <a:blip r:embed="rId332"/>
                    <a:stretch>
                      <a:fillRect/>
                    </a:stretch>
                  </pic:blipFill>
                  <pic:spPr bwMode="auto">
                    <a:xfrm>
                      <a:off x="0" y="0"/>
                      <a:ext cx="5579999" cy="38030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§4.8, Tabla 18 (p. 41). Color proporcional al porcentaje del criterio (TRL 7; IRL 6); brecha TRL menos IRL en niveles. La línea de vigilancia de propiedad industrial carece de TRL e IRL. Corpus de 42 documentos; año de corte 2026.</w:t>
      </w:r>
    </w:p>
    <w:p>
      <w:pPr>
        <w:pStyle w:val="BodyText"/>
      </w:pPr>
      <w:r>
        <w:t xml:space="preserve">Los sistemas de alerta temprana tienen los valores más altos, con TRL de 5,75 (82 %) e IRL de 4,50 (75 %). El pronóstico con aprendizaje automático tiene la mayor brecha entre TRL e IRL, de 1,44 niveles. Las redes de sensores de bajo costo y calibración tienen TRL de 3,80 e IRL de 3,00, con cinco documentos. La línea de energía, carbono y control de interiores tiene la menor madurez, con TRL de 2,67.</w:t>
      </w:r>
    </w:p>
    <w:p>
      <w:pPr>
        <w:pStyle w:val="BodyText"/>
      </w:pPr>
      <w:r>
        <w:t xml:space="preserve">Dos lecturas identifican las líneas versátiles. La primera elige las líneas con brecha pequeña, porque integran lo que desarrollan. Con ese criterio, dos líneas son las más versátiles: energía y control de interiores (brecha de 0,00) y diagnóstico predictivo con gemelo digital (0,33). Ambas tienen TRL bajo. La segunda elige las líneas de madurez alta, porque ofrecen más usos. Con ese criterio, solo los sistemas de alerta lo son.</w:t>
      </w:r>
    </w:p>
    <w:p>
      <w:pPr>
        <w:pStyle w:val="BodyText"/>
      </w:pPr>
      <w:r>
        <w:t xml:space="preserve">La línea que interesa al proyecto es la de redes de sensores de bajo costo y calibración. Alcanza 54 % del criterio en TRL y 50 % en IRL. Esa posición intermedia indica que existe base técnica y falta integración con un protocolo de referencia. El proyecto actúa sobre esa brecha con tres monitores gravimétricos de referencia, uno por departamento, y con la corrección en el gateway (DEC-F02).</w:t>
      </w:r>
    </w:p>
    <w:bookmarkEnd w:id="335"/>
    <w:bookmarkStart w:id="339" w:name="_Toc00900131"/>
    <w:p>
      <w:pPr>
        <w:pStyle w:val="Heading3"/>
      </w:pPr>
      <w:r>
        <w:t xml:space="preserve">2.2.12 Distribución geográfica</w:t>
      </w:r>
    </w:p>
    <w:p>
      <w:pPr>
        <w:pStyle w:val="FirstParagraph"/>
      </w:pPr>
      <w:r>
        <w:t xml:space="preserve">La distribución geográfica mide dónde se produce el conocimiento del corpus. El informe asigna cada documento a los países de sus instituciones. Estados Unidos aporta 12 documentos, Colombia nueve, China cuatro, y España, Brasil y el Reino Unido tres cada uno. El corpus incluye 21 nacionalidades (F-INF §6.2, p. 61). La Tabla 2.18 y la Figura 2.12 presentan los seis países que el informe desagrega.</w:t>
      </w:r>
    </w:p>
    <w:p>
      <w:pPr>
        <w:pStyle w:val="TablaRotulo"/>
      </w:pPr>
      <w:bookmarkStart w:id="9248" w:name="rot_Tabla_2_18"/>
      <w:r>
        <w:rPr>
          <w:b/>
          <w:bCs/>
        </w:rPr>
        <w:t xml:space="preserve">Tabla 2.18</w:t>
      </w:r>
      <w:bookmarkEnd w:id="9248"/>
    </w:p>
    <w:p>
      <w:pPr>
        <w:pStyle w:val="TablaTitulo"/>
      </w:pPr>
      <w:r>
        <w:rPr>
          <w:i/>
          <w:iCs/>
        </w:rPr>
        <w:t xml:space="preserve">Países con mayor número de documentos del corpus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14"/>
        <w:gridCol w:w="1848"/>
        <w:gridCol w:w="2112"/>
        <w:gridCol w:w="2046"/>
      </w:tblGrid>
      <w:tr>
        <w:trPr>
          <w:cantSplit/>
          <w:tblHeader/>
        </w:trPr>
        <w:tc>
          <w:tcPr>
            <w:shd w:val="clear" w:color="auto" w:fill="00B050"/>
          </w:tcPr>
          <w:p>
            <w:pPr>
              <w:pStyle w:val="Tabla9"/>
              <w:jc w:val="center"/>
            </w:pPr>
            <w:r>
              <w:rPr>
                <w:b/>
                <w:color w:val="FFFFFF"/>
              </w:rPr>
              <w:t xml:space="preserve">País</w:t>
            </w:r>
          </w:p>
        </w:tc>
        <w:tc>
          <w:tcPr>
            <w:shd w:val="clear" w:color="auto" w:fill="00B050"/>
          </w:tcPr>
          <w:p>
            <w:pPr>
              <w:pStyle w:val="Tabla9"/>
              <w:jc w:val="center"/>
            </w:pPr>
            <w:r>
              <w:rPr>
                <w:b/>
                <w:color w:val="FFFFFF"/>
              </w:rPr>
              <w:t xml:space="preserve">Documentos</w:t>
            </w:r>
          </w:p>
        </w:tc>
        <w:tc>
          <w:tcPr>
            <w:shd w:val="clear" w:color="auto" w:fill="00B050"/>
          </w:tcPr>
          <w:p>
            <w:pPr>
              <w:pStyle w:val="Tabla9"/>
              <w:jc w:val="center"/>
            </w:pPr>
            <w:r>
              <w:rPr>
                <w:b/>
                <w:color w:val="FFFFFF"/>
              </w:rPr>
              <w:t xml:space="preserve">Porcentaje de 42</w:t>
            </w:r>
          </w:p>
        </w:tc>
        <w:tc>
          <w:tcPr>
            <w:shd w:val="clear" w:color="auto" w:fill="00B050"/>
          </w:tcPr>
          <w:p>
            <w:pPr>
              <w:pStyle w:val="Tabla9"/>
              <w:jc w:val="center"/>
            </w:pPr>
            <w:r>
              <w:rPr>
                <w:b/>
                <w:color w:val="FFFFFF"/>
              </w:rPr>
              <w:t xml:space="preserve">Posición</w:t>
            </w:r>
          </w:p>
        </w:tc>
      </w:tr>
      <w:tr>
        <w:trPr>
          <w:cantSplit/>
        </w:trPr>
        <w:tc>
          <w:tcPr/>
          <w:p>
            <w:pPr>
              <w:pStyle w:val="Tabla9"/>
              <w:jc w:val="left"/>
            </w:pPr>
            <w:r>
              <w:t xml:space="preserve">Estados Unidos</w:t>
            </w:r>
          </w:p>
        </w:tc>
        <w:tc>
          <w:tcPr/>
          <w:p>
            <w:pPr>
              <w:pStyle w:val="Tabla9"/>
              <w:jc w:val="left"/>
            </w:pPr>
            <w:r>
              <w:t xml:space="preserve">12</w:t>
            </w:r>
          </w:p>
        </w:tc>
        <w:tc>
          <w:tcPr/>
          <w:p>
            <w:pPr>
              <w:pStyle w:val="Tabla9"/>
              <w:jc w:val="left"/>
            </w:pPr>
            <w:r>
              <w:t xml:space="preserve">28,6 %</w:t>
            </w:r>
          </w:p>
        </w:tc>
        <w:tc>
          <w:tcPr/>
          <w:p>
            <w:pPr>
              <w:pStyle w:val="Tabla9"/>
              <w:jc w:val="left"/>
            </w:pPr>
            <w:r>
              <w:t xml:space="preserve">Primero</w:t>
            </w:r>
          </w:p>
        </w:tc>
      </w:tr>
      <w:tr>
        <w:trPr>
          <w:cantSplit/>
        </w:trPr>
        <w:tc>
          <w:tcPr/>
          <w:p>
            <w:pPr>
              <w:pStyle w:val="Tabla9"/>
              <w:jc w:val="left"/>
            </w:pPr>
            <w:r>
              <w:t xml:space="preserve">Colombia</w:t>
            </w:r>
          </w:p>
        </w:tc>
        <w:tc>
          <w:tcPr/>
          <w:p>
            <w:pPr>
              <w:pStyle w:val="Tabla9"/>
              <w:jc w:val="left"/>
            </w:pPr>
            <w:r>
              <w:t xml:space="preserve">9</w:t>
            </w:r>
          </w:p>
        </w:tc>
        <w:tc>
          <w:tcPr/>
          <w:p>
            <w:pPr>
              <w:pStyle w:val="Tabla9"/>
              <w:jc w:val="left"/>
            </w:pPr>
            <w:r>
              <w:t xml:space="preserve">21,4 %</w:t>
            </w:r>
          </w:p>
        </w:tc>
        <w:tc>
          <w:tcPr/>
          <w:p>
            <w:pPr>
              <w:pStyle w:val="Tabla9"/>
              <w:jc w:val="left"/>
            </w:pPr>
            <w:r>
              <w:t xml:space="preserve">Segundo</w:t>
            </w:r>
          </w:p>
        </w:tc>
      </w:tr>
      <w:tr>
        <w:trPr>
          <w:cantSplit/>
        </w:trPr>
        <w:tc>
          <w:tcPr/>
          <w:p>
            <w:pPr>
              <w:pStyle w:val="Tabla9"/>
              <w:jc w:val="left"/>
            </w:pPr>
            <w:r>
              <w:t xml:space="preserve">China</w:t>
            </w:r>
          </w:p>
        </w:tc>
        <w:tc>
          <w:tcPr/>
          <w:p>
            <w:pPr>
              <w:pStyle w:val="Tabla9"/>
              <w:jc w:val="left"/>
            </w:pPr>
            <w:r>
              <w:t xml:space="preserve">4</w:t>
            </w:r>
          </w:p>
        </w:tc>
        <w:tc>
          <w:tcPr/>
          <w:p>
            <w:pPr>
              <w:pStyle w:val="Tabla9"/>
              <w:jc w:val="left"/>
            </w:pPr>
            <w:r>
              <w:t xml:space="preserve">9,5 %</w:t>
            </w:r>
          </w:p>
        </w:tc>
        <w:tc>
          <w:tcPr/>
          <w:p>
            <w:pPr>
              <w:pStyle w:val="Tabla9"/>
              <w:jc w:val="left"/>
            </w:pPr>
            <w:r>
              <w:t xml:space="preserve">Tercero</w:t>
            </w:r>
          </w:p>
        </w:tc>
      </w:tr>
      <w:tr>
        <w:trPr>
          <w:cantSplit/>
        </w:trPr>
        <w:tc>
          <w:tcPr/>
          <w:p>
            <w:pPr>
              <w:pStyle w:val="Tabla9"/>
              <w:jc w:val="left"/>
            </w:pPr>
            <w:r>
              <w:t xml:space="preserve">España</w:t>
            </w:r>
          </w:p>
        </w:tc>
        <w:tc>
          <w:tcPr/>
          <w:p>
            <w:pPr>
              <w:pStyle w:val="Tabla9"/>
              <w:jc w:val="left"/>
            </w:pPr>
            <w:r>
              <w:t xml:space="preserve">3</w:t>
            </w:r>
          </w:p>
        </w:tc>
        <w:tc>
          <w:tcPr/>
          <w:p>
            <w:pPr>
              <w:pStyle w:val="Tabla9"/>
              <w:jc w:val="left"/>
            </w:pPr>
            <w:r>
              <w:t xml:space="preserve">7,1 %</w:t>
            </w:r>
          </w:p>
        </w:tc>
        <w:tc>
          <w:tcPr/>
          <w:p>
            <w:pPr>
              <w:pStyle w:val="Tabla9"/>
              <w:jc w:val="left"/>
            </w:pPr>
            <w:r>
              <w:t xml:space="preserve">Cuarto, empatado</w:t>
            </w:r>
          </w:p>
        </w:tc>
      </w:tr>
      <w:tr>
        <w:trPr>
          <w:cantSplit/>
        </w:trPr>
        <w:tc>
          <w:tcPr/>
          <w:p>
            <w:pPr>
              <w:pStyle w:val="Tabla9"/>
              <w:jc w:val="left"/>
            </w:pPr>
            <w:r>
              <w:t xml:space="preserve">Brasil</w:t>
            </w:r>
          </w:p>
        </w:tc>
        <w:tc>
          <w:tcPr/>
          <w:p>
            <w:pPr>
              <w:pStyle w:val="Tabla9"/>
              <w:jc w:val="left"/>
            </w:pPr>
            <w:r>
              <w:t xml:space="preserve">3</w:t>
            </w:r>
          </w:p>
        </w:tc>
        <w:tc>
          <w:tcPr/>
          <w:p>
            <w:pPr>
              <w:pStyle w:val="Tabla9"/>
              <w:jc w:val="left"/>
            </w:pPr>
            <w:r>
              <w:t xml:space="preserve">7,1 %</w:t>
            </w:r>
          </w:p>
        </w:tc>
        <w:tc>
          <w:tcPr/>
          <w:p>
            <w:pPr>
              <w:pStyle w:val="Tabla9"/>
              <w:jc w:val="left"/>
            </w:pPr>
            <w:r>
              <w:t xml:space="preserve">Cuarto, empatado</w:t>
            </w:r>
          </w:p>
        </w:tc>
      </w:tr>
      <w:tr>
        <w:trPr>
          <w:cantSplit/>
        </w:trPr>
        <w:tc>
          <w:tcPr/>
          <w:p>
            <w:pPr>
              <w:pStyle w:val="Tabla9"/>
              <w:jc w:val="left"/>
            </w:pPr>
            <w:r>
              <w:t xml:space="preserve">Reino Unido</w:t>
            </w:r>
          </w:p>
        </w:tc>
        <w:tc>
          <w:tcPr/>
          <w:p>
            <w:pPr>
              <w:pStyle w:val="Tabla9"/>
              <w:jc w:val="left"/>
            </w:pPr>
            <w:r>
              <w:t xml:space="preserve">3</w:t>
            </w:r>
          </w:p>
        </w:tc>
        <w:tc>
          <w:tcPr/>
          <w:p>
            <w:pPr>
              <w:pStyle w:val="Tabla9"/>
              <w:jc w:val="left"/>
            </w:pPr>
            <w:r>
              <w:t xml:space="preserve">7,1 %</w:t>
            </w:r>
          </w:p>
        </w:tc>
        <w:tc>
          <w:tcPr/>
          <w:p>
            <w:pPr>
              <w:pStyle w:val="Tabla9"/>
              <w:jc w:val="left"/>
            </w:pPr>
            <w:r>
              <w:t xml:space="preserve">Cuarto, empatado</w:t>
            </w:r>
          </w:p>
        </w:tc>
      </w:tr>
    </w:tbl>
    <w:p>
      <w:pPr>
        <w:pStyle w:val="TablaNota"/>
      </w:pPr>
      <w:r>
        <w:rPr>
          <w:i/>
          <w:iCs/>
        </w:rPr>
        <w:t xml:space="preserve">Nota.</w:t>
      </w:r>
      <w:r>
        <w:t xml:space="preserve"> </w:t>
      </w:r>
      <w:r>
        <w:t xml:space="preserve">Elaboración propia con datos de F-INF §6.2 (p. 61). Un documento puede contar en varios países, de modo que los porcentajes no suman 100 %. Los 15 países restantes no se desagregan en el informe. Naturaleza: DOCUMENTADO para los conteos y CALCULADO para los porcentajes. Corpus de 42 documentos; año de corte 2026.</w:t>
      </w:r>
    </w:p>
    <w:p>
      <w:pPr>
        <w:pStyle w:val="FiguraRotulo"/>
      </w:pPr>
      <w:bookmarkStart w:id="9501" w:name="rot_Figura_2_12"/>
      <w:r>
        <w:rPr>
          <w:b/>
          <w:bCs/>
        </w:rPr>
        <w:t xml:space="preserve">Figura 2.12</w:t>
      </w:r>
      <w:bookmarkEnd w:id="9501"/>
    </w:p>
    <w:p>
      <w:pPr>
        <w:pStyle w:val="FiguraTitulo"/>
      </w:pPr>
      <w:r>
        <w:rPr>
          <w:i/>
          <w:iCs/>
        </w:rPr>
        <w:t xml:space="preserve">Documentos del corpus por país de las instituciones</w:t>
      </w:r>
    </w:p>
    <w:p>
      <w:pPr>
        <w:pStyle w:val="BodyText"/>
      </w:pPr>
      <w:r>
        <w:drawing>
          <wp:inline>
            <wp:extent cx="5579999" cy="2706956"/>
            <wp:effectExtent b="0" l="0" r="0" t="0"/>
            <wp:docPr descr="" title="" id="337" name="Picture"/>
            <a:graphic>
              <a:graphicData uri="http://schemas.openxmlformats.org/drawingml/2006/picture">
                <pic:pic>
                  <pic:nvPicPr>
                    <pic:cNvPr descr="/tmp/claude-0/-home-user-docs/ddf38714-2a7e-502b-92b4-1008e2832422/scratchpad/proy/figs/out/c2_geografica.png" id="338" name="Picture"/>
                    <pic:cNvPicPr>
                      <a:picLocks noChangeArrowheads="1" noChangeAspect="1"/>
                    </pic:cNvPicPr>
                  </pic:nvPicPr>
                  <pic:blipFill>
                    <a:blip r:embed="rId336"/>
                    <a:stretch>
                      <a:fillRect/>
                    </a:stretch>
                  </pic:blipFill>
                  <pic:spPr bwMode="auto">
                    <a:xfrm>
                      <a:off x="0" y="0"/>
                      <a:ext cx="5579999" cy="270695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§6.2 (p. 61) y §7.6 (p. 93). Seis países desagregados de 21 nacionalidades; un documento puede contar en varios países. Corpus de 42 documentos; año de corte 2026.</w:t>
      </w:r>
    </w:p>
    <w:p>
      <w:pPr>
        <w:pStyle w:val="BodyText"/>
      </w:pPr>
      <w:r>
        <w:t xml:space="preserve">Colombia ocupa el segundo lugar con 21,4 % de los documentos. Su aporte proviene de grupos con vínculos locales fuertes, como SIATA, EAFIT y la Universidad de Antioquia. Los vínculos internacionales son pocos (F-INF §7.6, p. 93). Solo ocho de los 26 artículos (30,8 %) tienen coautoría internacional. Ninguna de las 15 patentes tiene solicitante colombiano, y diez designan a Colombia (F-INF §6.2, p. 61). América Latina no se cuantifica como región, porque el informe solo desagrega a Colombia y Brasil entre los países latinoamericanos.</w:t>
      </w:r>
    </w:p>
    <w:p>
      <w:pPr>
        <w:pStyle w:val="BodyText"/>
      </w:pPr>
      <w:r>
        <w:t xml:space="preserve">Los estudios de índices de calidad del aire y salud ilustran el vacío regional. Ninguno de los 53 estudios revisados proviene de América Latina, y 88,7 % proviene de China (Liao et al., 2026, p. 6). Dos posiciones interpretan este patrón. La primera ve una oportunidad de posicionamiento, porque la región aporta datos locales y poca validación de métodos. La segunda ve una dependencia, porque los métodos se importan de grupos de China, Corea y Estados Unidos y se aplican sin validación local. El informe describe la dinámica como un primer movimiento asimétrico en índices y minería (F-INF §6.5, p. 68).</w:t>
      </w:r>
    </w:p>
    <w:p>
      <w:pPr>
        <w:pStyle w:val="BodyText"/>
      </w:pPr>
      <w:r>
        <w:t xml:space="preserve">La consecuencia es que el proyecto debe producir validación local en Caldas, Cundinamarca y Valle del Cauca (SUPUESTO) y publicarla. Los dos artículos en revistas Q1 o Q2 del indicador PERS-P03 apuntan en esa dirección. Las redes de colaboración internacional del corpus son escasas. El proyecto las trata como una tarea de alianza y no como un dato de partida.</w:t>
      </w:r>
    </w:p>
    <w:bookmarkEnd w:id="339"/>
    <w:bookmarkStart w:id="343" w:name="_Toc00900132"/>
    <w:p>
      <w:pPr>
        <w:pStyle w:val="Heading3"/>
      </w:pPr>
      <w:r>
        <w:t xml:space="preserve">2.2.13 Robustez metodológica</w:t>
      </w:r>
    </w:p>
    <w:p>
      <w:pPr>
        <w:pStyle w:val="FirstParagraph"/>
      </w:pPr>
      <w:r>
        <w:t xml:space="preserve">La robustez metodológica evalúa cuán sólido es el argumento de cada documento. El informe la calcula como 0,3 por consistencia lógica, 0,3 por calidad de la evidencia, 0,2 por validez causal y 0,2 por generalizabilidad. Cada componente va de 1 a 10 (F-INF §2.2, p. 14). La definición se parece a la lectura de argumentos por afirmación, datos y garantía (Toulmin, 1958).</w:t>
      </w:r>
    </w:p>
    <w:p>
      <w:pPr>
        <w:pStyle w:val="BodyText"/>
      </w:pPr>
      <w:r>
        <w:t xml:space="preserve">La media del corpus es 3,93, la mediana 4,0 y la desviación estándar 0,75. El rango va de 2,7 a 6,1. Veintiún documentos tienen robustez de 4 o menos. Solo uno, Nelson et al. (2026), supera 6. Ningún documento alcanza 7, de modo que el porcentaje de documentos sólidos, con 8,5 o más, es 0 %. La Tabla 2.19 y la Figura 2.13 presentan la media por grupo y por clase documental. El informe no publica la robustez de cada documento. Por eso no se construye un gráfico de violín.</w:t>
      </w:r>
    </w:p>
    <w:p>
      <w:pPr>
        <w:pStyle w:val="TablaRotulo"/>
      </w:pPr>
      <w:bookmarkStart w:id="9249" w:name="rot_Tabla_2_19"/>
      <w:r>
        <w:rPr>
          <w:b/>
          <w:bCs/>
        </w:rPr>
        <w:t xml:space="preserve">Tabla 2.19</w:t>
      </w:r>
      <w:bookmarkEnd w:id="9249"/>
    </w:p>
    <w:p>
      <w:pPr>
        <w:pStyle w:val="TablaTitulo"/>
      </w:pPr>
      <w:r>
        <w:rPr>
          <w:i/>
          <w:iCs/>
        </w:rPr>
        <w:t xml:space="preserve">Robustez por grupo y clase documental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18"/>
        <w:gridCol w:w="1320"/>
        <w:gridCol w:w="792"/>
        <w:gridCol w:w="1386"/>
        <w:gridCol w:w="1584"/>
        <w:gridCol w:w="1320"/>
      </w:tblGrid>
      <w:tr>
        <w:trPr>
          <w:cantSplit/>
          <w:tblHeader/>
        </w:trPr>
        <w:tc>
          <w:tcPr>
            <w:shd w:val="clear" w:color="auto" w:fill="00B050"/>
          </w:tcPr>
          <w:p>
            <w:pPr>
              <w:pStyle w:val="Tabla9"/>
              <w:jc w:val="center"/>
            </w:pPr>
            <w:r>
              <w:rPr>
                <w:b/>
                <w:color w:val="FFFFFF"/>
              </w:rPr>
              <w:t xml:space="preserve">Grupo o clase</w:t>
            </w:r>
          </w:p>
        </w:tc>
        <w:tc>
          <w:tcPr>
            <w:shd w:val="clear" w:color="auto" w:fill="00B050"/>
          </w:tcPr>
          <w:p>
            <w:pPr>
              <w:pStyle w:val="Tabla9"/>
              <w:jc w:val="center"/>
            </w:pPr>
            <w:r>
              <w:rPr>
                <w:b/>
                <w:color w:val="FFFFFF"/>
              </w:rPr>
              <w:t xml:space="preserve">Documentos</w:t>
            </w:r>
          </w:p>
        </w:tc>
        <w:tc>
          <w:tcPr>
            <w:shd w:val="clear" w:color="auto" w:fill="00B050"/>
          </w:tcPr>
          <w:p>
            <w:pPr>
              <w:pStyle w:val="Tabla9"/>
              <w:jc w:val="center"/>
            </w:pPr>
            <w:r>
              <w:rPr>
                <w:b/>
                <w:color w:val="FFFFFF"/>
              </w:rPr>
              <w:t xml:space="preserve">Media</w:t>
            </w:r>
          </w:p>
        </w:tc>
        <w:tc>
          <w:tcPr>
            <w:shd w:val="clear" w:color="auto" w:fill="00B050"/>
          </w:tcPr>
          <w:p>
            <w:pPr>
              <w:pStyle w:val="Tabla9"/>
              <w:jc w:val="center"/>
            </w:pPr>
            <w:r>
              <w:rPr>
                <w:b/>
                <w:color w:val="FFFFFF"/>
              </w:rPr>
              <w:t xml:space="preserve">Desviación estándar</w:t>
            </w:r>
          </w:p>
        </w:tc>
        <w:tc>
          <w:tcPr>
            <w:shd w:val="clear" w:color="auto" w:fill="00B050"/>
          </w:tcPr>
          <w:p>
            <w:pPr>
              <w:pStyle w:val="Tabla9"/>
              <w:jc w:val="center"/>
            </w:pPr>
            <w:r>
              <w:rPr>
                <w:b/>
                <w:color w:val="FFFFFF"/>
              </w:rPr>
              <w:t xml:space="preserve">Valores individuales publicados</w:t>
            </w:r>
          </w:p>
        </w:tc>
        <w:tc>
          <w:tcPr>
            <w:shd w:val="clear" w:color="auto" w:fill="00B050"/>
          </w:tcPr>
          <w:p>
            <w:pPr>
              <w:pStyle w:val="Tabla9"/>
              <w:jc w:val="center"/>
            </w:pPr>
            <w:r>
              <w:rPr>
                <w:b/>
                <w:color w:val="FFFFFF"/>
              </w:rPr>
              <w:t xml:space="preserve">Rango de los valores publicados</w:t>
            </w:r>
          </w:p>
        </w:tc>
      </w:tr>
      <w:tr>
        <w:trPr>
          <w:cantSplit/>
        </w:trPr>
        <w:tc>
          <w:tcPr/>
          <w:p>
            <w:pPr>
              <w:pStyle w:val="Tabla9"/>
              <w:jc w:val="left"/>
            </w:pPr>
            <w:r>
              <w:t xml:space="preserve">G1 Pronóstico con aprendizaje automático</w:t>
            </w:r>
          </w:p>
        </w:tc>
        <w:tc>
          <w:tcPr/>
          <w:p>
            <w:pPr>
              <w:pStyle w:val="Tabla9"/>
              <w:jc w:val="left"/>
            </w:pPr>
            <w:r>
              <w:t xml:space="preserve">9</w:t>
            </w:r>
          </w:p>
        </w:tc>
        <w:tc>
          <w:tcPr/>
          <w:p>
            <w:pPr>
              <w:pStyle w:val="Tabla9"/>
              <w:jc w:val="left"/>
            </w:pPr>
            <w:r>
              <w:t xml:space="preserve">4,54</w:t>
            </w:r>
          </w:p>
        </w:tc>
        <w:tc>
          <w:tcPr/>
          <w:p>
            <w:pPr>
              <w:pStyle w:val="Tabla9"/>
              <w:jc w:val="left"/>
            </w:pPr>
            <w:r>
              <w:t xml:space="preserve">No publicada</w:t>
            </w:r>
          </w:p>
        </w:tc>
        <w:tc>
          <w:tcPr/>
          <w:p>
            <w:pPr>
              <w:pStyle w:val="Tabla9"/>
              <w:jc w:val="left"/>
            </w:pPr>
            <w:r>
              <w:t xml:space="preserve">3</w:t>
            </w:r>
          </w:p>
        </w:tc>
        <w:tc>
          <w:tcPr/>
          <w:p>
            <w:pPr>
              <w:pStyle w:val="Tabla9"/>
              <w:jc w:val="left"/>
            </w:pPr>
            <w:r>
              <w:t xml:space="preserve">4,4 a 6,1</w:t>
            </w:r>
          </w:p>
        </w:tc>
      </w:tr>
      <w:tr>
        <w:trPr>
          <w:cantSplit/>
        </w:trPr>
        <w:tc>
          <w:tcPr/>
          <w:p>
            <w:pPr>
              <w:pStyle w:val="Tabla9"/>
              <w:jc w:val="left"/>
            </w:pPr>
            <w:r>
              <w:t xml:space="preserve">G2 Monitoreo y alerta</w:t>
            </w:r>
          </w:p>
        </w:tc>
        <w:tc>
          <w:tcPr/>
          <w:p>
            <w:pPr>
              <w:pStyle w:val="Tabla9"/>
              <w:jc w:val="left"/>
            </w:pPr>
            <w:r>
              <w:t xml:space="preserve">8</w:t>
            </w:r>
          </w:p>
        </w:tc>
        <w:tc>
          <w:tcPr/>
          <w:p>
            <w:pPr>
              <w:pStyle w:val="Tabla9"/>
              <w:jc w:val="left"/>
            </w:pPr>
            <w:r>
              <w:t xml:space="preserve">4,12</w:t>
            </w:r>
          </w:p>
        </w:tc>
        <w:tc>
          <w:tcPr/>
          <w:p>
            <w:pPr>
              <w:pStyle w:val="Tabla9"/>
              <w:jc w:val="left"/>
            </w:pPr>
            <w:r>
              <w:t xml:space="preserve">No publicada</w:t>
            </w:r>
          </w:p>
        </w:tc>
        <w:tc>
          <w:tcPr/>
          <w:p>
            <w:pPr>
              <w:pStyle w:val="Tabla9"/>
              <w:jc w:val="left"/>
            </w:pPr>
            <w:r>
              <w:t xml:space="preserve">5</w:t>
            </w:r>
          </w:p>
        </w:tc>
        <w:tc>
          <w:tcPr/>
          <w:p>
            <w:pPr>
              <w:pStyle w:val="Tabla9"/>
              <w:jc w:val="left"/>
            </w:pPr>
            <w:r>
              <w:t xml:space="preserve">2,8 a 5,0</w:t>
            </w:r>
          </w:p>
        </w:tc>
      </w:tr>
      <w:tr>
        <w:trPr>
          <w:cantSplit/>
        </w:trPr>
        <w:tc>
          <w:tcPr/>
          <w:p>
            <w:pPr>
              <w:pStyle w:val="Tabla9"/>
              <w:jc w:val="left"/>
            </w:pPr>
            <w:r>
              <w:t xml:space="preserve">G3 Exposición y salud</w:t>
            </w:r>
          </w:p>
        </w:tc>
        <w:tc>
          <w:tcPr/>
          <w:p>
            <w:pPr>
              <w:pStyle w:val="Tabla9"/>
              <w:jc w:val="left"/>
            </w:pPr>
            <w:r>
              <w:t xml:space="preserve">9</w:t>
            </w:r>
          </w:p>
        </w:tc>
        <w:tc>
          <w:tcPr/>
          <w:p>
            <w:pPr>
              <w:pStyle w:val="Tabla9"/>
              <w:jc w:val="left"/>
            </w:pPr>
            <w:r>
              <w:t xml:space="preserve">4,32</w:t>
            </w:r>
          </w:p>
        </w:tc>
        <w:tc>
          <w:tcPr/>
          <w:p>
            <w:pPr>
              <w:pStyle w:val="Tabla9"/>
              <w:jc w:val="left"/>
            </w:pPr>
            <w:r>
              <w:t xml:space="preserve">No publicada</w:t>
            </w:r>
          </w:p>
        </w:tc>
        <w:tc>
          <w:tcPr/>
          <w:p>
            <w:pPr>
              <w:pStyle w:val="Tabla9"/>
              <w:jc w:val="left"/>
            </w:pPr>
            <w:r>
              <w:t xml:space="preserve">3</w:t>
            </w:r>
          </w:p>
        </w:tc>
        <w:tc>
          <w:tcPr/>
          <w:p>
            <w:pPr>
              <w:pStyle w:val="Tabla9"/>
              <w:jc w:val="left"/>
            </w:pPr>
            <w:r>
              <w:t xml:space="preserve">4,1 a 5,0</w:t>
            </w:r>
          </w:p>
        </w:tc>
      </w:tr>
      <w:tr>
        <w:trPr>
          <w:cantSplit/>
        </w:trPr>
        <w:tc>
          <w:tcPr/>
          <w:p>
            <w:pPr>
              <w:pStyle w:val="Tabla9"/>
              <w:jc w:val="left"/>
            </w:pPr>
            <w:r>
              <w:t xml:space="preserve">G4 Patentes de sensores y activos</w:t>
            </w:r>
          </w:p>
        </w:tc>
        <w:tc>
          <w:tcPr/>
          <w:p>
            <w:pPr>
              <w:pStyle w:val="Tabla9"/>
              <w:jc w:val="left"/>
            </w:pPr>
            <w:r>
              <w:t xml:space="preserve">8</w:t>
            </w:r>
          </w:p>
        </w:tc>
        <w:tc>
          <w:tcPr/>
          <w:p>
            <w:pPr>
              <w:pStyle w:val="Tabla9"/>
              <w:jc w:val="left"/>
            </w:pPr>
            <w:r>
              <w:t xml:space="preserve">3,54</w:t>
            </w:r>
          </w:p>
        </w:tc>
        <w:tc>
          <w:tcPr/>
          <w:p>
            <w:pPr>
              <w:pStyle w:val="Tabla9"/>
              <w:jc w:val="left"/>
            </w:pPr>
            <w:r>
              <w:t xml:space="preserve">No publicada</w:t>
            </w:r>
          </w:p>
        </w:tc>
        <w:tc>
          <w:tcPr/>
          <w:p>
            <w:pPr>
              <w:pStyle w:val="Tabla9"/>
              <w:jc w:val="left"/>
            </w:pPr>
            <w:r>
              <w:t xml:space="preserve">2</w:t>
            </w:r>
          </w:p>
        </w:tc>
        <w:tc>
          <w:tcPr/>
          <w:p>
            <w:pPr>
              <w:pStyle w:val="Tabla9"/>
              <w:jc w:val="left"/>
            </w:pPr>
            <w:r>
              <w:t xml:space="preserve">3,0 a 3,8</w:t>
            </w:r>
          </w:p>
        </w:tc>
      </w:tr>
      <w:tr>
        <w:trPr>
          <w:cantSplit/>
        </w:trPr>
        <w:tc>
          <w:tcPr/>
          <w:p>
            <w:pPr>
              <w:pStyle w:val="Tabla9"/>
              <w:jc w:val="left"/>
            </w:pPr>
            <w:r>
              <w:t xml:space="preserve">G5 Patentes interiores y reporte de la SIC</w:t>
            </w:r>
          </w:p>
        </w:tc>
        <w:tc>
          <w:tcPr/>
          <w:p>
            <w:pPr>
              <w:pStyle w:val="Tabla9"/>
              <w:jc w:val="left"/>
            </w:pPr>
            <w:r>
              <w:t xml:space="preserve">8</w:t>
            </w:r>
          </w:p>
        </w:tc>
        <w:tc>
          <w:tcPr/>
          <w:p>
            <w:pPr>
              <w:pStyle w:val="Tabla9"/>
              <w:jc w:val="left"/>
            </w:pPr>
            <w:r>
              <w:t xml:space="preserve">2,97</w:t>
            </w:r>
          </w:p>
        </w:tc>
        <w:tc>
          <w:tcPr/>
          <w:p>
            <w:pPr>
              <w:pStyle w:val="Tabla9"/>
              <w:jc w:val="left"/>
            </w:pPr>
            <w:r>
              <w:t xml:space="preserve">No publicada</w:t>
            </w:r>
          </w:p>
        </w:tc>
        <w:tc>
          <w:tcPr/>
          <w:p>
            <w:pPr>
              <w:pStyle w:val="Tabla9"/>
              <w:jc w:val="left"/>
            </w:pPr>
            <w:r>
              <w:t xml:space="preserve">4</w:t>
            </w:r>
          </w:p>
        </w:tc>
        <w:tc>
          <w:tcPr/>
          <w:p>
            <w:pPr>
              <w:pStyle w:val="Tabla9"/>
              <w:jc w:val="left"/>
            </w:pPr>
            <w:r>
              <w:t xml:space="preserve">2,7 a 3,0</w:t>
            </w:r>
          </w:p>
        </w:tc>
      </w:tr>
      <w:tr>
        <w:trPr>
          <w:cantSplit/>
        </w:trPr>
        <w:tc>
          <w:tcPr/>
          <w:p>
            <w:pPr>
              <w:pStyle w:val="Tabla9"/>
              <w:jc w:val="left"/>
            </w:pPr>
            <w:r>
              <w:t xml:space="preserve">Artículos</w:t>
            </w:r>
          </w:p>
        </w:tc>
        <w:tc>
          <w:tcPr/>
          <w:p>
            <w:pPr>
              <w:pStyle w:val="Tabla9"/>
              <w:jc w:val="left"/>
            </w:pPr>
            <w:r>
              <w:t xml:space="preserve">26</w:t>
            </w:r>
          </w:p>
        </w:tc>
        <w:tc>
          <w:tcPr/>
          <w:p>
            <w:pPr>
              <w:pStyle w:val="Tabla9"/>
              <w:jc w:val="left"/>
            </w:pPr>
            <w:r>
              <w:t xml:space="preserve">4,34</w:t>
            </w:r>
          </w:p>
        </w:tc>
        <w:tc>
          <w:tcPr/>
          <w:p>
            <w:pPr>
              <w:pStyle w:val="Tabla9"/>
              <w:jc w:val="left"/>
            </w:pPr>
            <w:r>
              <w:t xml:space="preserve">No publicada</w:t>
            </w:r>
          </w:p>
        </w:tc>
        <w:tc>
          <w:tcPr/>
          <w:p>
            <w:pPr>
              <w:pStyle w:val="Tabla9"/>
              <w:jc w:val="left"/>
            </w:pPr>
            <w:r>
              <w:t xml:space="preserve">11</w:t>
            </w:r>
          </w:p>
        </w:tc>
        <w:tc>
          <w:tcPr/>
          <w:p>
            <w:pPr>
              <w:pStyle w:val="Tabla9"/>
              <w:jc w:val="left"/>
            </w:pPr>
            <w:r>
              <w:t xml:space="preserve">2,8 a 6,1</w:t>
            </w:r>
          </w:p>
        </w:tc>
      </w:tr>
      <w:tr>
        <w:trPr>
          <w:cantSplit/>
        </w:trPr>
        <w:tc>
          <w:tcPr/>
          <w:p>
            <w:pPr>
              <w:pStyle w:val="Tabla9"/>
              <w:jc w:val="left"/>
            </w:pPr>
            <w:r>
              <w:t xml:space="preserve">Patentes</w:t>
            </w:r>
          </w:p>
        </w:tc>
        <w:tc>
          <w:tcPr/>
          <w:p>
            <w:pPr>
              <w:pStyle w:val="Tabla9"/>
              <w:jc w:val="left"/>
            </w:pPr>
            <w:r>
              <w:t xml:space="preserve">15</w:t>
            </w:r>
          </w:p>
        </w:tc>
        <w:tc>
          <w:tcPr/>
          <w:p>
            <w:pPr>
              <w:pStyle w:val="Tabla9"/>
              <w:jc w:val="left"/>
            </w:pPr>
            <w:r>
              <w:t xml:space="preserve">3,27</w:t>
            </w:r>
          </w:p>
        </w:tc>
        <w:tc>
          <w:tcPr/>
          <w:p>
            <w:pPr>
              <w:pStyle w:val="Tabla9"/>
              <w:jc w:val="left"/>
            </w:pPr>
            <w:r>
              <w:t xml:space="preserve">No publicada</w:t>
            </w:r>
          </w:p>
        </w:tc>
        <w:tc>
          <w:tcPr/>
          <w:p>
            <w:pPr>
              <w:pStyle w:val="Tabla9"/>
              <w:jc w:val="left"/>
            </w:pPr>
            <w:r>
              <w:t xml:space="preserve">5</w:t>
            </w:r>
          </w:p>
        </w:tc>
        <w:tc>
          <w:tcPr/>
          <w:p>
            <w:pPr>
              <w:pStyle w:val="Tabla9"/>
              <w:jc w:val="left"/>
            </w:pPr>
            <w:r>
              <w:t xml:space="preserve">2,7 a 3,8</w:t>
            </w:r>
          </w:p>
        </w:tc>
      </w:tr>
      <w:tr>
        <w:trPr>
          <w:cantSplit/>
        </w:trPr>
        <w:tc>
          <w:tcPr/>
          <w:p>
            <w:pPr>
              <w:pStyle w:val="Tabla9"/>
              <w:jc w:val="left"/>
            </w:pPr>
            <w:r>
              <w:t xml:space="preserve">Corpus completo</w:t>
            </w:r>
          </w:p>
        </w:tc>
        <w:tc>
          <w:tcPr/>
          <w:p>
            <w:pPr>
              <w:pStyle w:val="Tabla9"/>
              <w:jc w:val="left"/>
            </w:pPr>
            <w:r>
              <w:t xml:space="preserve">42</w:t>
            </w:r>
          </w:p>
        </w:tc>
        <w:tc>
          <w:tcPr/>
          <w:p>
            <w:pPr>
              <w:pStyle w:val="Tabla9"/>
              <w:jc w:val="left"/>
            </w:pPr>
            <w:r>
              <w:t xml:space="preserve">3,93</w:t>
            </w:r>
          </w:p>
        </w:tc>
        <w:tc>
          <w:tcPr/>
          <w:p>
            <w:pPr>
              <w:pStyle w:val="Tabla9"/>
              <w:jc w:val="left"/>
            </w:pPr>
            <w:r>
              <w:t xml:space="preserve">0,75</w:t>
            </w:r>
          </w:p>
        </w:tc>
        <w:tc>
          <w:tcPr/>
          <w:p>
            <w:pPr>
              <w:pStyle w:val="Tabla9"/>
              <w:jc w:val="left"/>
            </w:pPr>
            <w:r>
              <w:t xml:space="preserve">17</w:t>
            </w:r>
          </w:p>
        </w:tc>
        <w:tc>
          <w:tcPr/>
          <w:p>
            <w:pPr>
              <w:pStyle w:val="Tabla9"/>
              <w:jc w:val="left"/>
            </w:pPr>
            <w:r>
              <w:t xml:space="preserve">2,7 a 6,1</w:t>
            </w:r>
          </w:p>
        </w:tc>
      </w:tr>
    </w:tbl>
    <w:p>
      <w:pPr>
        <w:pStyle w:val="TablaNota"/>
      </w:pPr>
      <w:r>
        <w:rPr>
          <w:i/>
          <w:iCs/>
        </w:rPr>
        <w:t xml:space="preserve">Nota.</w:t>
      </w:r>
      <w:r>
        <w:t xml:space="preserve"> </w:t>
      </w:r>
      <w:r>
        <w:t xml:space="preserve">Elaboración propia con datos de F-INF §2.2 (p. 14), §3.2, Tablas 6 y 7 (p. 22) y §13.1, Tabla 65 (p. 208). El informe reporta 2,97 para G5 en el texto de §2.2 y en la Tabla 6, y 2,98 en la Tabla 1. Los valores individuales son los publicados en el informe, 17 de 42. Naturaleza: DOCUMENTADO. Año de corte 2026.</w:t>
      </w:r>
    </w:p>
    <w:p>
      <w:pPr>
        <w:pStyle w:val="BodyText"/>
      </w:pPr>
      <w:r>
        <w:t xml:space="preserve">Los artículos promedian 4,34 y las patentes 3,27. La diferencia es significativa (Mann-Whitney, p menor que 0,001). Un modelo lineal asigna a la patente un coeficiente de menos 1,10 puntos una vez controlados TRL, IRL y año (F-INF §3.3, p. 24). El informe interpreta que las patentes describen sin demostrar. La consistencia lógica es el componente más alto (4,93) y la validez causal el más bajo (3,17). Las patentes casi igualan a los artículos en consistencia, con 4,87 y 5,00. Se separan en evidencia, con 2,00 y 4,54 (F-INF §2.2, p. 14).</w:t>
      </w:r>
    </w:p>
    <w:p>
      <w:pPr>
        <w:pStyle w:val="FiguraRotulo"/>
      </w:pPr>
      <w:bookmarkStart w:id="9502" w:name="rot_Figura_2_13"/>
      <w:r>
        <w:rPr>
          <w:b/>
          <w:bCs/>
        </w:rPr>
        <w:t xml:space="preserve">Figura 2.13</w:t>
      </w:r>
      <w:bookmarkEnd w:id="9502"/>
    </w:p>
    <w:p>
      <w:pPr>
        <w:pStyle w:val="FiguraTitulo"/>
      </w:pPr>
      <w:r>
        <w:rPr>
          <w:i/>
          <w:iCs/>
        </w:rPr>
        <w:t xml:space="preserve">Robustez media por grupo documental y valores individuales publicados</w:t>
      </w:r>
    </w:p>
    <w:p>
      <w:pPr>
        <w:pStyle w:val="BodyText"/>
      </w:pPr>
      <w:r>
        <w:drawing>
          <wp:inline>
            <wp:extent cx="5579999" cy="4054198"/>
            <wp:effectExtent b="0" l="0" r="0" t="0"/>
            <wp:docPr descr="" title="" id="341" name="Picture"/>
            <a:graphic>
              <a:graphicData uri="http://schemas.openxmlformats.org/drawingml/2006/picture">
                <pic:pic>
                  <pic:nvPicPr>
                    <pic:cNvPr descr="/tmp/claude-0/-home-user-docs/ddf38714-2a7e-502b-92b4-1008e2832422/scratchpad/proy/figs/out/c2_robustez.png" id="342" name="Picture"/>
                    <pic:cNvPicPr>
                      <a:picLocks noChangeArrowheads="1" noChangeAspect="1"/>
                    </pic:cNvPicPr>
                  </pic:nvPicPr>
                  <pic:blipFill>
                    <a:blip r:embed="rId340"/>
                    <a:stretch>
                      <a:fillRect/>
                    </a:stretch>
                  </pic:blipFill>
                  <pic:spPr bwMode="auto">
                    <a:xfrm>
                      <a:off x="0" y="0"/>
                      <a:ext cx="5579999" cy="405419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§2.2 (p. 14), §3.2 (p. 22) y §13.1, Tabla 65 (p. 208). Barras con la media del grupo y puntos con los 17 valores individuales publicados; la distribución completa no se publica. Corpus de 42 documentos; año de corte 2026; semilla 42.</w:t>
      </w:r>
    </w:p>
    <w:p>
      <w:pPr>
        <w:pStyle w:val="BodyText"/>
      </w:pPr>
      <w:r>
        <w:t xml:space="preserve">Una posición toma la robustez como medida de la calidad de los documentos. La otra la toma como una escala ordinal del analista, útil para ordenar la atención y no para medir calidad (F-INF §3.3, p. 24). Este capítulo adopta la segunda lectura. La rúbrica no sustituye la verificación empírica. Ningún documento aporta la verificación que exige el proyecto: la comparación con una referencia colocalizada en sitios de remoción de escombros.</w:t>
      </w:r>
    </w:p>
    <w:p>
      <w:pPr>
        <w:pStyle w:val="BodyText"/>
      </w:pPr>
      <w:r>
        <w:t xml:space="preserve">La consecuencia metodológica es que los umbrales de desempeño del proyecto no provienen del corpus. Provienen del protocolo de pruebas de sensores de la EPA (EPA, 2021). Fijan un coeficiente de determinación (R²) de 0,70 o más. Fijan también un error cuadrático medio normalizado (NRMSE) de 30 % o menos. Ambos se miden frente a una referencia colocalizada (PROPUESTO). El proyecto trata las afirmaciones de los documentos como hipótesis de diseño.</w:t>
      </w:r>
    </w:p>
    <w:bookmarkEnd w:id="343"/>
    <w:bookmarkStart w:id="344" w:name="X2973bdc1aeab36a30f4edf122c7b6b906474f7a"/>
    <w:p>
      <w:pPr>
        <w:pStyle w:val="Heading3"/>
      </w:pPr>
      <w:r>
        <w:t xml:space="preserve">2.2.14 Síntesis cienciométrica, brechas cuantitativas y marco de análisis de brechas</w:t>
      </w:r>
    </w:p>
    <w:p>
      <w:pPr>
        <w:pStyle w:val="FirstParagraph"/>
      </w:pPr>
      <w:r>
        <w:t xml:space="preserve">La síntesis cienciométrica reúne los indicadores y los traduce en brechas cuantitativas. El corpus crece de dos documentos en 2019 a 17 en 2026. Tiene autoría dispersa, con 95,8 % de autores con un documento, y 19 revistas para 26 artículos. Su red temática forma cinco comunidades con modularidad de 0,27. La madurez es baja: TRL de 3,85, IRL de 2,88 y DRL de 3,05 frente a criterios de 7, 6 y 5 (F-INF §3.2, p. 22). La robustez media es 3,93 y ningún documento llega a 7.</w:t>
      </w:r>
    </w:p>
    <w:p>
      <w:pPr>
        <w:pStyle w:val="BodyText"/>
      </w:pPr>
      <w:r>
        <w:t xml:space="preserve">El marco de análisis de brechas agrupa cuatro categorías heredadas y una quinta ranura para el patrón propio del campo. Cada categoría se instancia solo si el corpus cumple su criterio de aplicabilidad. La Tabla 2.20 consolida cada brecha con su evidencia, sus fuentes y la oportunidad que abre para el proyecto.</w:t>
      </w:r>
    </w:p>
    <w:p>
      <w:pPr>
        <w:pStyle w:val="TablaRotulo"/>
      </w:pPr>
      <w:bookmarkStart w:id="9250" w:name="rot_Tabla_2_20"/>
      <w:r>
        <w:rPr>
          <w:b/>
          <w:bCs/>
        </w:rPr>
        <w:t xml:space="preserve">Tabla 2.20</w:t>
      </w:r>
      <w:bookmarkEnd w:id="9250"/>
    </w:p>
    <w:p>
      <w:pPr>
        <w:pStyle w:val="TablaTitulo"/>
      </w:pPr>
      <w:r>
        <w:rPr>
          <w:i/>
          <w:iCs/>
        </w:rPr>
        <w:t xml:space="preserve">Consolidación de brechas cuantitativas: evidencia, fuentes y oportunidad</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22"/>
        <w:gridCol w:w="1254"/>
        <w:gridCol w:w="1320"/>
        <w:gridCol w:w="1254"/>
        <w:gridCol w:w="1320"/>
        <w:gridCol w:w="1650"/>
      </w:tblGrid>
      <w:tr>
        <w:trPr>
          <w:cantSplit/>
          <w:tblHeader/>
        </w:trPr>
        <w:tc>
          <w:tcPr>
            <w:shd w:val="clear" w:color="auto" w:fill="00B050"/>
          </w:tcPr>
          <w:p>
            <w:pPr>
              <w:pStyle w:val="Tabla9"/>
              <w:jc w:val="center"/>
            </w:pPr>
            <w:r>
              <w:rPr>
                <w:b/>
                <w:color w:val="FFFFFF"/>
              </w:rPr>
              <w:t xml:space="preserve">Brecha</w:t>
            </w:r>
          </w:p>
        </w:tc>
        <w:tc>
          <w:tcPr>
            <w:shd w:val="clear" w:color="auto" w:fill="00B050"/>
          </w:tcPr>
          <w:p>
            <w:pPr>
              <w:pStyle w:val="Tabla9"/>
              <w:jc w:val="center"/>
            </w:pPr>
            <w:r>
              <w:rPr>
                <w:b/>
                <w:color w:val="FFFFFF"/>
              </w:rPr>
              <w:t xml:space="preserve">Instanciación en este corpus</w:t>
            </w:r>
          </w:p>
        </w:tc>
        <w:tc>
          <w:tcPr>
            <w:shd w:val="clear" w:color="auto" w:fill="00B050"/>
          </w:tcPr>
          <w:p>
            <w:pPr>
              <w:pStyle w:val="Tabla9"/>
              <w:jc w:val="center"/>
            </w:pPr>
            <w:r>
              <w:rPr>
                <w:b/>
                <w:color w:val="FFFFFF"/>
              </w:rPr>
              <w:t xml:space="preserve">Evidencia cuantitativa</w:t>
            </w:r>
          </w:p>
        </w:tc>
        <w:tc>
          <w:tcPr>
            <w:shd w:val="clear" w:color="auto" w:fill="00B050"/>
          </w:tcPr>
          <w:p>
            <w:pPr>
              <w:pStyle w:val="Tabla9"/>
              <w:jc w:val="center"/>
            </w:pPr>
            <w:r>
              <w:rPr>
                <w:b/>
                <w:color w:val="FFFFFF"/>
              </w:rPr>
              <w:t xml:space="preserve">Fuentes</w:t>
            </w:r>
          </w:p>
        </w:tc>
        <w:tc>
          <w:tcPr>
            <w:shd w:val="clear" w:color="auto" w:fill="00B050"/>
          </w:tcPr>
          <w:p>
            <w:pPr>
              <w:pStyle w:val="Tabla9"/>
              <w:jc w:val="center"/>
            </w:pPr>
            <w:r>
              <w:rPr>
                <w:b/>
                <w:color w:val="FFFFFF"/>
              </w:rPr>
              <w:t xml:space="preserve">Oportunidad para el proyecto</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Paradoja de usabilidad</w:t>
            </w:r>
          </w:p>
        </w:tc>
        <w:tc>
          <w:tcPr/>
          <w:p>
            <w:pPr>
              <w:pStyle w:val="Tabla9"/>
              <w:jc w:val="left"/>
            </w:pPr>
            <w:r>
              <w:t xml:space="preserve">Sofisticación medida por el TRL; adopción medida por el IRL y el DRL; aplica con proxies</w:t>
            </w:r>
          </w:p>
        </w:tc>
        <w:tc>
          <w:tcPr/>
          <w:p>
            <w:pPr>
              <w:pStyle w:val="Tabla9"/>
              <w:jc w:val="left"/>
            </w:pPr>
            <w:r>
              <w:t xml:space="preserve">Brecha TRL menos IRL de 0,98 niveles, crítica en 22 de 42 documentos; el grupo de pronóstico tiene DRL de 2,22</w:t>
            </w:r>
          </w:p>
        </w:tc>
        <w:tc>
          <w:tcPr/>
          <w:p>
            <w:pPr>
              <w:pStyle w:val="Tabla9"/>
              <w:jc w:val="left"/>
            </w:pPr>
            <w:r>
              <w:t xml:space="preserve">F-INF §4.4 y §4.5 (pp. 36-37)</w:t>
            </w:r>
          </w:p>
        </w:tc>
        <w:tc>
          <w:tcPr/>
          <w:p>
            <w:pPr>
              <w:pStyle w:val="Tabla9"/>
              <w:jc w:val="left"/>
            </w:pPr>
            <w:r>
              <w:t xml:space="preserve">Medir la adopción desde el tramo 1 con la compuerta C1 y el indicador PERS-E01</w:t>
            </w:r>
          </w:p>
        </w:tc>
        <w:tc>
          <w:tcPr/>
          <w:p>
            <w:pPr>
              <w:pStyle w:val="Tabla9"/>
              <w:jc w:val="left"/>
            </w:pPr>
            <w:r>
              <w:t xml:space="preserve">CALCULADO; INFERIDO</w:t>
            </w:r>
          </w:p>
        </w:tc>
      </w:tr>
      <w:tr>
        <w:trPr>
          <w:cantSplit/>
        </w:trPr>
        <w:tc>
          <w:tcPr/>
          <w:p>
            <w:pPr>
              <w:pStyle w:val="Tabla9"/>
              <w:jc w:val="left"/>
            </w:pPr>
            <w:r>
              <w:t xml:space="preserve">Espejismo del óptimo</w:t>
            </w:r>
          </w:p>
        </w:tc>
        <w:tc>
          <w:tcPr/>
          <w:p>
            <w:pPr>
              <w:pStyle w:val="Tabla9"/>
              <w:jc w:val="left"/>
            </w:pPr>
            <w:r>
              <w:t xml:space="preserve">Unidad: sensor o modelo; conjunto: red con calibración, mantenimiento y uso; aplica</w:t>
            </w:r>
          </w:p>
        </w:tc>
        <w:tc>
          <w:tcPr/>
          <w:p>
            <w:pPr>
              <w:pStyle w:val="Tabla9"/>
              <w:jc w:val="left"/>
            </w:pPr>
            <w:r>
              <w:t xml:space="preserve">90,8 % de 5.076 estaciones sin plan de calibración; 96 de 570 estaciones brasileñas inactivas o sin estado (16,8 %)</w:t>
            </w:r>
          </w:p>
        </w:tc>
        <w:tc>
          <w:tcPr/>
          <w:p>
            <w:pPr>
              <w:pStyle w:val="Tabla9"/>
              <w:jc w:val="left"/>
            </w:pPr>
            <w:r>
              <w:t xml:space="preserve">Murad Pedraza et al. (2026, pp. 10-11 y 13); Tavella et al. (2026, p. 6)</w:t>
            </w:r>
          </w:p>
        </w:tc>
        <w:tc>
          <w:tcPr/>
          <w:p>
            <w:pPr>
              <w:pStyle w:val="Tabla9"/>
              <w:jc w:val="left"/>
            </w:pPr>
            <w:r>
              <w:t xml:space="preserve">Condicionar la compra de cada tramo a la calibración con las compuertas C1 y C2</w:t>
            </w:r>
          </w:p>
        </w:tc>
        <w:tc>
          <w:tcPr/>
          <w:p>
            <w:pPr>
              <w:pStyle w:val="Tabla9"/>
              <w:jc w:val="left"/>
            </w:pPr>
            <w:r>
              <w:t xml:space="preserve">DOCUMENTADO; INFERIDO</w:t>
            </w:r>
          </w:p>
        </w:tc>
      </w:tr>
      <w:tr>
        <w:trPr>
          <w:cantSplit/>
        </w:trPr>
        <w:tc>
          <w:tcPr/>
          <w:p>
            <w:pPr>
              <w:pStyle w:val="Tabla9"/>
              <w:jc w:val="left"/>
            </w:pPr>
            <w:r>
              <w:t xml:space="preserve">Brecha TRL-BRL</w:t>
            </w:r>
          </w:p>
        </w:tc>
        <w:tc>
          <w:tcPr/>
          <w:p>
            <w:pPr>
              <w:pStyle w:val="Tabla9"/>
              <w:jc w:val="left"/>
            </w:pPr>
            <w:r>
              <w:t xml:space="preserve">Madurez de la solución frente a madurez del negocio; aplica a 9 documentos con BRL</w:t>
            </w:r>
          </w:p>
        </w:tc>
        <w:tc>
          <w:tcPr/>
          <w:p>
            <w:pPr>
              <w:pStyle w:val="Tabla9"/>
              <w:jc w:val="left"/>
            </w:pPr>
            <w:r>
              <w:t xml:space="preserve">Brecha media de 2,33 niveles, de 1 a 5; BRL menos DRL de -1,44</w:t>
            </w:r>
          </w:p>
        </w:tc>
        <w:tc>
          <w:tcPr/>
          <w:p>
            <w:pPr>
              <w:pStyle w:val="Tabla9"/>
              <w:jc w:val="left"/>
            </w:pPr>
            <w:r>
              <w:t xml:space="preserve">F-INF §4.5, Tabla 15 (p. 37)</w:t>
            </w:r>
          </w:p>
        </w:tc>
        <w:tc>
          <w:tcPr/>
          <w:p>
            <w:pPr>
              <w:pStyle w:val="Tabla9"/>
              <w:jc w:val="left"/>
            </w:pPr>
            <w:r>
              <w:t xml:space="preserve">Custodia distribuida y convenios por tramo para cerrar la brecha de negocio</w:t>
            </w:r>
          </w:p>
        </w:tc>
        <w:tc>
          <w:tcPr/>
          <w:p>
            <w:pPr>
              <w:pStyle w:val="Tabla9"/>
              <w:jc w:val="left"/>
            </w:pPr>
            <w:r>
              <w:t xml:space="preserve">DOCUMENTADO; INFERIDO</w:t>
            </w:r>
          </w:p>
        </w:tc>
      </w:tr>
      <w:tr>
        <w:trPr>
          <w:cantSplit/>
        </w:trPr>
        <w:tc>
          <w:tcPr/>
          <w:p>
            <w:pPr>
              <w:pStyle w:val="Tabla9"/>
              <w:jc w:val="left"/>
            </w:pPr>
            <w:r>
              <w:t xml:space="preserve">Variables conductuales ausentes</w:t>
            </w:r>
          </w:p>
        </w:tc>
        <w:tc>
          <w:tcPr/>
          <w:p>
            <w:pPr>
              <w:pStyle w:val="Tabla9"/>
              <w:jc w:val="left"/>
            </w:pPr>
            <w:r>
              <w:t xml:space="preserve">Decisión humana: respuesta de comités ante alertas; aplica de forma limitada</w:t>
            </w:r>
          </w:p>
        </w:tc>
        <w:tc>
          <w:tcPr/>
          <w:p>
            <w:pPr>
              <w:pStyle w:val="Tabla9"/>
              <w:jc w:val="left"/>
            </w:pPr>
            <w:r>
              <w:t xml:space="preserve">Ninguno de los 5 documentos de alerta reporta detección, falsas alarmas ni anticipación; 1 de 42 documentos (2,4 %) trata conocimientos, actitudes y prácticas</w:t>
            </w:r>
          </w:p>
        </w:tc>
        <w:tc>
          <w:tcPr/>
          <w:p>
            <w:pPr>
              <w:pStyle w:val="Tabla9"/>
              <w:jc w:val="left"/>
            </w:pPr>
            <w:r>
              <w:t xml:space="preserve">F-INF §1.3 (p. 10); Rendón-Marín et al. (2024)</w:t>
            </w:r>
          </w:p>
        </w:tc>
        <w:tc>
          <w:tcPr/>
          <w:p>
            <w:pPr>
              <w:pStyle w:val="Tabla9"/>
              <w:jc w:val="left"/>
            </w:pPr>
            <w:r>
              <w:t xml:space="preserve">Co-diseño con comités y medición del uso del tablero y de las falsas alarmas</w:t>
            </w:r>
          </w:p>
        </w:tc>
        <w:tc>
          <w:tcPr/>
          <w:p>
            <w:pPr>
              <w:pStyle w:val="Tabla9"/>
              <w:jc w:val="left"/>
            </w:pPr>
            <w:r>
              <w:t xml:space="preserve">DOCUMENTADO; INFERIDO</w:t>
            </w:r>
          </w:p>
        </w:tc>
      </w:tr>
      <w:tr>
        <w:trPr>
          <w:cantSplit/>
        </w:trPr>
        <w:tc>
          <w:tcPr/>
          <w:p>
            <w:pPr>
              <w:pStyle w:val="Tabla9"/>
              <w:jc w:val="left"/>
            </w:pPr>
            <w:r>
              <w:t xml:space="preserve">Brecha emergente: producción sin verificación</w:t>
            </w:r>
          </w:p>
        </w:tc>
        <w:tc>
          <w:tcPr/>
          <w:p>
            <w:pPr>
              <w:pStyle w:val="Tabla9"/>
              <w:jc w:val="left"/>
            </w:pPr>
            <w:r>
              <w:t xml:space="preserve">Patrón propio del campo; exploratoria porque N es menor que 45</w:t>
            </w:r>
          </w:p>
        </w:tc>
        <w:tc>
          <w:tcPr/>
          <w:p>
            <w:pPr>
              <w:pStyle w:val="Tabla9"/>
              <w:jc w:val="left"/>
            </w:pPr>
            <w:r>
              <w:t xml:space="preserve">Robustez media de 3,93; 0 de 15 patentes con validación frente a verdad de referencia; 9,4 % de 53 estudios de índices con partición de datos</w:t>
            </w:r>
          </w:p>
        </w:tc>
        <w:tc>
          <w:tcPr/>
          <w:p>
            <w:pPr>
              <w:pStyle w:val="Tabla9"/>
              <w:jc w:val="left"/>
            </w:pPr>
            <w:r>
              <w:t xml:space="preserve">F-INF §1.3 (p. 10); Liao et al. (2026, pp. 6 y 8)</w:t>
            </w:r>
          </w:p>
        </w:tc>
        <w:tc>
          <w:tcPr/>
          <w:p>
            <w:pPr>
              <w:pStyle w:val="Tabla9"/>
              <w:jc w:val="left"/>
            </w:pPr>
            <w:r>
              <w:t xml:space="preserve">Verificar con colocalización y evaluación independiente (líneas S07 y S08)</w:t>
            </w:r>
          </w:p>
        </w:tc>
        <w:tc>
          <w:tcPr/>
          <w:p>
            <w:pPr>
              <w:pStyle w:val="Tabla9"/>
              <w:jc w:val="left"/>
            </w:pPr>
            <w:r>
              <w:t xml:space="preserve">DOCUMENTADO; INFERIDO</w:t>
            </w:r>
          </w:p>
        </w:tc>
      </w:tr>
    </w:tbl>
    <w:p>
      <w:pPr>
        <w:pStyle w:val="TablaNota"/>
      </w:pPr>
      <w:r>
        <w:rPr>
          <w:i/>
          <w:iCs/>
        </w:rPr>
        <w:t xml:space="preserve">Nota.</w:t>
      </w:r>
      <w:r>
        <w:t xml:space="preserve"> </w:t>
      </w:r>
      <w:r>
        <w:t xml:space="preserve">Elaboración propia con datos de F-INF §1.3 (p. 10), §4.4 y §4.5 (pp. 36-37) y de las fuentes citadas. BRL = nivel de preparación del negocio. Las instanciaciones son INFERIDO y los datos de cada fuente son DOCUMENTADO. Corpus de 42 documentos; año de corte 2026.</w:t>
      </w:r>
    </w:p>
    <w:p>
      <w:pPr>
        <w:pStyle w:val="BodyText"/>
      </w:pPr>
      <w:r>
        <w:t xml:space="preserve">La paradoja de usabilidad se instancia como la distancia entre desarrollo e integración. El grupo de pronóstico alcanza un TRL de 4,0 con el DRL más bajo. Cinco de sus nueve documentos carecen de línea base de persistencia (F-INF §1.3, p. 10). El segundo patrón, la optimización de unidades aisladas, aparece cuando se optimiza el sensor o el modelo sin considerar el sistema. La compra de sensores sin plan de calibración sigue esa lógica. El 90,8 % de las 5.076 estaciones propuestas no tendría plan (Murad Pedraza et al., 2026, pp. 10-11 y 13). En Brasil, 96 de 570 estaciones están inactivas o sin estado (Tavella et al., 2026, p. 6).</w:t>
      </w:r>
    </w:p>
    <w:p>
      <w:pPr>
        <w:pStyle w:val="BodyText"/>
      </w:pPr>
      <w:r>
        <w:t xml:space="preserve">La brecha TRL-BRL mide cuánto supera la madurez tecnológica a la del negocio. En los nueve documentos con BRL, el promedio es 2,33 niveles. SIATA es el único caso con BRL de 6 (F-INF §4.1, p. 29). Las variables conductuales faltan en los procesos de decisión. Los cinco documentos de alerta no reportan detección, falsas alarmas ni anticipación. SIATA no evalúa sus alertas con un contrafactual (Ruiz-Carrascal et al., 2026, pp. 2, 5 y 7). Los sesgos cognitivos y la racionalidad limitada afectan la lectura de las alertas (Tversky y Kahneman, 1974; Simon, 1955). El corpus no los modela.</w:t>
      </w:r>
    </w:p>
    <w:p>
      <w:pPr>
        <w:pStyle w:val="BodyText"/>
      </w:pPr>
      <w:r>
        <w:t xml:space="preserve">La brecha emergente es la producción sin verificación. Ninguna de las 15 patentes valida con verdad de referencia (F-INF §1.3, p. 10). Solo 9,4 % de los 53 estudios de índices de calidad del aire y salud validó con partición de datos (Liao et al., 2026, pp. 6 y 8). Con 42 documentos, esta brecha es una hipótesis exploratoria y no una ley del campo. Dos posiciones evalúan el marco. Una lo usa para priorizar la inversión. La otra advierte que las categorías heredadas pueden forzar patrones ajenos al corpus. El proyecto aplica el criterio de aplicabilidad y declara en cada brecha si la instanciación es completa o limitada.</w:t>
      </w:r>
    </w:p>
    <w:p>
      <w:pPr>
        <w:pStyle w:val="BodyText"/>
      </w:pPr>
      <w:r>
        <w:t xml:space="preserve">Las oportunidades de posicionamiento son tres. La primera es la colocalización con referencia gravimétrica en sitios de remoción de escombros, que el corpus no cubre. La segunda es la medición de la adopción institucional desde el tramo 1. La tercera es la verificación independiente del desempeño, con una evaluación externa y un ensayo con laboratorio externo (líneas S07 y S08). La ventana temporal combina dos señales. Primero, 17 de 42 documentos son de 2026, de modo que el interés por alertas y gestión crece. Segundo, tres solicitudes del Tratado de Cooperación en materia de Patentes (PCT) vencen en tres fechas. Esas fechas van del 10 de diciembre de 2026 al 28 de agosto de 2027. Caen entre dos y 11 meses después de la fecha de corte. Si la ejecución inicia pronto, las tres caen dentro del tramo 1, que dura 12 meses. La fecha de inicio es un dato por definir [DATO_USUARIO: fecha del acta de inicio].</w:t>
      </w:r>
    </w:p>
    <w:bookmarkEnd w:id="344"/>
    <w:bookmarkEnd w:id="345"/>
    <w:bookmarkStart w:id="353" w:name="X416af1c26c02709fff9112307cb59f87c49b0f4"/>
    <w:p>
      <w:pPr>
        <w:pStyle w:val="Heading2"/>
      </w:pPr>
      <w:r>
        <w:t xml:space="preserve">2.3 Análisis de patentes y vigilancia tecnológica</w:t>
      </w:r>
    </w:p>
    <w:p>
      <w:pPr>
        <w:pStyle w:val="FirstParagraph"/>
      </w:pPr>
      <w:r>
        <w:t xml:space="preserve">El análisis de patentes responde a dos preguntas. La primera es quién protege qué en el campo. La segunda es qué restricciones de libertad de operación enfrenta el proyecto. El corpus incluye 15 patentes. La Organización Mundial de la Propiedad Intelectual publica 11 y la Oficina Europea de Patentes publica cuatro. Diez designan a Colombia y ninguna tiene solicitante colombiano (F-INF §6.2, p. 61). Los titulares se toman de los nombres que el informe de vigilancia asigna a cada solicitud.</w:t>
      </w:r>
    </w:p>
    <w:bookmarkStart w:id="346" w:name="_Toc00900133"/>
    <w:p>
      <w:pPr>
        <w:pStyle w:val="Heading3"/>
      </w:pPr>
      <w:r>
        <w:t xml:space="preserve">2.3.1 Titulares y clasificaciones</w:t>
      </w:r>
    </w:p>
    <w:p>
      <w:pPr>
        <w:pStyle w:val="FirstParagraph"/>
      </w:pPr>
      <w:r>
        <w:t xml:space="preserve">La libertad de operación es la posibilidad de fabricar y operar una tecnología sin infringir derechos vigentes de terceros. El régimen común andino de propiedad industrial rige la materia en Colombia (Comunidad Andina, 2000). Una solicitud del Tratado de Cooperación en materia de Patentes (PCT) puede designar muchos países. Designar a Colombia no obliga al titular a entrar a la fase nacional (F-INF §6.6, p. 71). La Tabla 2.21 lista las 15 patentes con su titular, su año, su oficina, su número y su TRL.</w:t>
      </w:r>
    </w:p>
    <w:p>
      <w:pPr>
        <w:pStyle w:val="TablaRotulo"/>
      </w:pPr>
      <w:bookmarkStart w:id="9251" w:name="rot_Tabla_2_21"/>
      <w:r>
        <w:rPr>
          <w:b/>
          <w:bCs/>
        </w:rPr>
        <w:t xml:space="preserve">Tabla 2.21</w:t>
      </w:r>
      <w:bookmarkEnd w:id="9251"/>
    </w:p>
    <w:p>
      <w:pPr>
        <w:pStyle w:val="TablaTitulo"/>
      </w:pPr>
      <w:r>
        <w:rPr>
          <w:i/>
          <w:iCs/>
        </w:rPr>
        <w:t xml:space="preserve">Principales titulares de patentes del corpus con oficina, número y TRL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74"/>
        <w:gridCol w:w="1505"/>
        <w:gridCol w:w="589"/>
        <w:gridCol w:w="981"/>
        <w:gridCol w:w="916"/>
        <w:gridCol w:w="654"/>
        <w:gridCol w:w="720"/>
        <w:gridCol w:w="1178"/>
      </w:tblGrid>
      <w:tr>
        <w:trPr>
          <w:cantSplit/>
          <w:tblHeader/>
        </w:trPr>
        <w:tc>
          <w:tcPr>
            <w:shd w:val="clear" w:color="auto" w:fill="00B050"/>
          </w:tcPr>
          <w:p>
            <w:pPr>
              <w:pStyle w:val="Tabla8"/>
              <w:jc w:val="center"/>
            </w:pPr>
            <w:r>
              <w:rPr>
                <w:b/>
                <w:color w:val="FFFFFF"/>
              </w:rPr>
              <w:t xml:space="preserve">Documento</w:t>
            </w:r>
          </w:p>
        </w:tc>
        <w:tc>
          <w:tcPr>
            <w:shd w:val="clear" w:color="auto" w:fill="00B050"/>
          </w:tcPr>
          <w:p>
            <w:pPr>
              <w:pStyle w:val="Tabla8"/>
              <w:jc w:val="center"/>
            </w:pPr>
            <w:r>
              <w:rPr>
                <w:b/>
                <w:color w:val="FFFFFF"/>
              </w:rPr>
              <w:t xml:space="preserve">Titular según el informe</w:t>
            </w:r>
          </w:p>
        </w:tc>
        <w:tc>
          <w:tcPr>
            <w:shd w:val="clear" w:color="auto" w:fill="00B050"/>
          </w:tcPr>
          <w:p>
            <w:pPr>
              <w:pStyle w:val="Tabla8"/>
              <w:jc w:val="center"/>
            </w:pPr>
            <w:r>
              <w:rPr>
                <w:b/>
                <w:color w:val="FFFFFF"/>
              </w:rPr>
              <w:t xml:space="preserve">Año</w:t>
            </w:r>
          </w:p>
        </w:tc>
        <w:tc>
          <w:tcPr>
            <w:shd w:val="clear" w:color="auto" w:fill="00B050"/>
          </w:tcPr>
          <w:p>
            <w:pPr>
              <w:pStyle w:val="Tabla8"/>
              <w:jc w:val="center"/>
            </w:pPr>
            <w:r>
              <w:rPr>
                <w:b/>
                <w:color w:val="FFFFFF"/>
              </w:rPr>
              <w:t xml:space="preserve">Oficina</w:t>
            </w:r>
          </w:p>
        </w:tc>
        <w:tc>
          <w:tcPr>
            <w:shd w:val="clear" w:color="auto" w:fill="00B050"/>
          </w:tcPr>
          <w:p>
            <w:pPr>
              <w:pStyle w:val="Tabla8"/>
              <w:jc w:val="center"/>
            </w:pPr>
            <w:r>
              <w:rPr>
                <w:b/>
                <w:color w:val="FFFFFF"/>
              </w:rPr>
              <w:t xml:space="preserve">Número</w:t>
            </w:r>
          </w:p>
        </w:tc>
        <w:tc>
          <w:tcPr>
            <w:shd w:val="clear" w:color="auto" w:fill="00B050"/>
          </w:tcPr>
          <w:p>
            <w:pPr>
              <w:pStyle w:val="Tabla8"/>
              <w:jc w:val="center"/>
            </w:pPr>
            <w:r>
              <w:rPr>
                <w:b/>
                <w:color w:val="FFFFFF"/>
              </w:rPr>
              <w:t xml:space="preserve">TRL</w:t>
            </w:r>
          </w:p>
        </w:tc>
        <w:tc>
          <w:tcPr>
            <w:shd w:val="clear" w:color="auto" w:fill="00B050"/>
          </w:tcPr>
          <w:p>
            <w:pPr>
              <w:pStyle w:val="Tabla8"/>
              <w:jc w:val="center"/>
            </w:pPr>
            <w:r>
              <w:rPr>
                <w:b/>
                <w:color w:val="FFFFFF"/>
              </w:rPr>
              <w:t xml:space="preserve">Grupo</w:t>
            </w:r>
          </w:p>
        </w:tc>
        <w:tc>
          <w:tcPr>
            <w:shd w:val="clear" w:color="auto" w:fill="00B050"/>
          </w:tcPr>
          <w:p>
            <w:pPr>
              <w:pStyle w:val="Tabla8"/>
              <w:jc w:val="center"/>
            </w:pPr>
            <w:r>
              <w:rPr>
                <w:b/>
                <w:color w:val="FFFFFF"/>
              </w:rPr>
              <w:t xml:space="preserve">Colombia designada</w:t>
            </w:r>
          </w:p>
        </w:tc>
      </w:tr>
      <w:tr>
        <w:trPr>
          <w:cantSplit/>
        </w:trPr>
        <w:tc>
          <w:tcPr/>
          <w:p>
            <w:pPr>
              <w:pStyle w:val="Tabla8"/>
              <w:jc w:val="left"/>
            </w:pPr>
            <w:r>
              <w:t xml:space="preserve">Reintjes et al. (1995)</w:t>
            </w:r>
          </w:p>
        </w:tc>
        <w:tc>
          <w:tcPr/>
          <w:p>
            <w:pPr>
              <w:pStyle w:val="Tabla8"/>
              <w:jc w:val="left"/>
            </w:pPr>
            <w:r>
              <w:t xml:space="preserve">No identificado en el informe</w:t>
            </w:r>
          </w:p>
        </w:tc>
        <w:tc>
          <w:tcPr/>
          <w:p>
            <w:pPr>
              <w:pStyle w:val="Tabla8"/>
              <w:jc w:val="left"/>
            </w:pPr>
            <w:r>
              <w:t xml:space="preserve">1995</w:t>
            </w:r>
          </w:p>
        </w:tc>
        <w:tc>
          <w:tcPr/>
          <w:p>
            <w:pPr>
              <w:pStyle w:val="Tabla8"/>
              <w:jc w:val="left"/>
            </w:pPr>
            <w:r>
              <w:t xml:space="preserve">OMPI</w:t>
            </w:r>
          </w:p>
        </w:tc>
        <w:tc>
          <w:tcPr/>
          <w:p>
            <w:pPr>
              <w:pStyle w:val="Tabla8"/>
              <w:jc w:val="left"/>
            </w:pPr>
            <w:r>
              <w:t xml:space="preserve">WO 95/12118 A1</w:t>
            </w:r>
          </w:p>
        </w:tc>
        <w:tc>
          <w:tcPr/>
          <w:p>
            <w:pPr>
              <w:pStyle w:val="Tabla8"/>
              <w:jc w:val="left"/>
            </w:pPr>
            <w:r>
              <w:t xml:space="preserve">3</w:t>
            </w:r>
          </w:p>
        </w:tc>
        <w:tc>
          <w:tcPr/>
          <w:p>
            <w:pPr>
              <w:pStyle w:val="Tabla8"/>
              <w:jc w:val="left"/>
            </w:pPr>
            <w:r>
              <w:t xml:space="preserve">G4</w:t>
            </w:r>
          </w:p>
        </w:tc>
        <w:tc>
          <w:tcPr/>
          <w:p>
            <w:pPr>
              <w:pStyle w:val="Tabla8"/>
              <w:jc w:val="left"/>
            </w:pPr>
            <w:r>
              <w:t xml:space="preserve">No figura en el Anexo C</w:t>
            </w:r>
          </w:p>
        </w:tc>
      </w:tr>
      <w:tr>
        <w:trPr>
          <w:cantSplit/>
        </w:trPr>
        <w:tc>
          <w:tcPr/>
          <w:p>
            <w:pPr>
              <w:pStyle w:val="Tabla8"/>
              <w:jc w:val="left"/>
            </w:pPr>
            <w:r>
              <w:t xml:space="preserve">Abernathy et al. (2019)</w:t>
            </w:r>
          </w:p>
        </w:tc>
        <w:tc>
          <w:tcPr/>
          <w:p>
            <w:pPr>
              <w:pStyle w:val="Tabla8"/>
              <w:jc w:val="left"/>
            </w:pPr>
            <w:r>
              <w:t xml:space="preserve">General Electric</w:t>
            </w:r>
          </w:p>
        </w:tc>
        <w:tc>
          <w:tcPr/>
          <w:p>
            <w:pPr>
              <w:pStyle w:val="Tabla8"/>
              <w:jc w:val="left"/>
            </w:pPr>
            <w:r>
              <w:t xml:space="preserve">2019</w:t>
            </w:r>
          </w:p>
        </w:tc>
        <w:tc>
          <w:tcPr/>
          <w:p>
            <w:pPr>
              <w:pStyle w:val="Tabla8"/>
              <w:jc w:val="left"/>
            </w:pPr>
            <w:r>
              <w:t xml:space="preserve">OEP</w:t>
            </w:r>
          </w:p>
        </w:tc>
        <w:tc>
          <w:tcPr/>
          <w:p>
            <w:pPr>
              <w:pStyle w:val="Tabla8"/>
              <w:jc w:val="left"/>
            </w:pPr>
            <w:r>
              <w:t xml:space="preserve">EP 3 483 800 A1</w:t>
            </w:r>
          </w:p>
        </w:tc>
        <w:tc>
          <w:tcPr/>
          <w:p>
            <w:pPr>
              <w:pStyle w:val="Tabla8"/>
              <w:jc w:val="left"/>
            </w:pPr>
            <w:r>
              <w:t xml:space="preserve">3</w:t>
            </w:r>
          </w:p>
        </w:tc>
        <w:tc>
          <w:tcPr/>
          <w:p>
            <w:pPr>
              <w:pStyle w:val="Tabla8"/>
              <w:jc w:val="left"/>
            </w:pPr>
            <w:r>
              <w:t xml:space="preserve">G4</w:t>
            </w:r>
          </w:p>
        </w:tc>
        <w:tc>
          <w:tcPr/>
          <w:p>
            <w:pPr>
              <w:pStyle w:val="Tabla8"/>
              <w:jc w:val="left"/>
            </w:pPr>
            <w:r>
              <w:t xml:space="preserve">No figura en el Anexo C</w:t>
            </w:r>
          </w:p>
        </w:tc>
      </w:tr>
      <w:tr>
        <w:trPr>
          <w:cantSplit/>
        </w:trPr>
        <w:tc>
          <w:tcPr/>
          <w:p>
            <w:pPr>
              <w:pStyle w:val="Tabla8"/>
              <w:jc w:val="left"/>
            </w:pPr>
            <w:r>
              <w:t xml:space="preserve">Koppinen et al. (2019)</w:t>
            </w:r>
          </w:p>
        </w:tc>
        <w:tc>
          <w:tcPr/>
          <w:p>
            <w:pPr>
              <w:pStyle w:val="Tabla8"/>
              <w:jc w:val="left"/>
            </w:pPr>
            <w:r>
              <w:t xml:space="preserve">VTT</w:t>
            </w:r>
          </w:p>
        </w:tc>
        <w:tc>
          <w:tcPr/>
          <w:p>
            <w:pPr>
              <w:pStyle w:val="Tabla8"/>
              <w:jc w:val="left"/>
            </w:pPr>
            <w:r>
              <w:t xml:space="preserve">2019</w:t>
            </w:r>
          </w:p>
        </w:tc>
        <w:tc>
          <w:tcPr/>
          <w:p>
            <w:pPr>
              <w:pStyle w:val="Tabla8"/>
              <w:jc w:val="left"/>
            </w:pPr>
            <w:r>
              <w:t xml:space="preserve">OMPI</w:t>
            </w:r>
          </w:p>
        </w:tc>
        <w:tc>
          <w:tcPr/>
          <w:p>
            <w:pPr>
              <w:pStyle w:val="Tabla8"/>
              <w:jc w:val="left"/>
            </w:pPr>
            <w:r>
              <w:t xml:space="preserve">WO 2019/215392 A1</w:t>
            </w:r>
          </w:p>
        </w:tc>
        <w:tc>
          <w:tcPr/>
          <w:p>
            <w:pPr>
              <w:pStyle w:val="Tabla8"/>
              <w:jc w:val="left"/>
            </w:pPr>
            <w:r>
              <w:t xml:space="preserve">3</w:t>
            </w:r>
          </w:p>
        </w:tc>
        <w:tc>
          <w:tcPr/>
          <w:p>
            <w:pPr>
              <w:pStyle w:val="Tabla8"/>
              <w:jc w:val="left"/>
            </w:pPr>
            <w:r>
              <w:t xml:space="preserve">G4</w:t>
            </w:r>
          </w:p>
        </w:tc>
        <w:tc>
          <w:tcPr/>
          <w:p>
            <w:pPr>
              <w:pStyle w:val="Tabla8"/>
              <w:jc w:val="left"/>
            </w:pPr>
            <w:r>
              <w:t xml:space="preserve">Sí (Anexo C)</w:t>
            </w:r>
          </w:p>
        </w:tc>
      </w:tr>
      <w:tr>
        <w:trPr>
          <w:cantSplit/>
        </w:trPr>
        <w:tc>
          <w:tcPr/>
          <w:p>
            <w:pPr>
              <w:pStyle w:val="Tabla8"/>
              <w:jc w:val="left"/>
            </w:pPr>
            <w:r>
              <w:t xml:space="preserve">Blythe y Hohman (2020)</w:t>
            </w:r>
          </w:p>
        </w:tc>
        <w:tc>
          <w:tcPr/>
          <w:p>
            <w:pPr>
              <w:pStyle w:val="Tabla8"/>
              <w:jc w:val="left"/>
            </w:pPr>
            <w:r>
              <w:t xml:space="preserve">Monte Cristo</w:t>
            </w:r>
          </w:p>
        </w:tc>
        <w:tc>
          <w:tcPr/>
          <w:p>
            <w:pPr>
              <w:pStyle w:val="Tabla8"/>
              <w:jc w:val="left"/>
            </w:pPr>
            <w:r>
              <w:t xml:space="preserve">2020</w:t>
            </w:r>
          </w:p>
        </w:tc>
        <w:tc>
          <w:tcPr/>
          <w:p>
            <w:pPr>
              <w:pStyle w:val="Tabla8"/>
              <w:jc w:val="left"/>
            </w:pPr>
            <w:r>
              <w:t xml:space="preserve">OEP</w:t>
            </w:r>
          </w:p>
        </w:tc>
        <w:tc>
          <w:tcPr/>
          <w:p>
            <w:pPr>
              <w:pStyle w:val="Tabla8"/>
              <w:jc w:val="left"/>
            </w:pPr>
            <w:r>
              <w:t xml:space="preserve">EP 3 623 453 A1</w:t>
            </w:r>
          </w:p>
        </w:tc>
        <w:tc>
          <w:tcPr/>
          <w:p>
            <w:pPr>
              <w:pStyle w:val="Tabla8"/>
              <w:jc w:val="left"/>
            </w:pPr>
            <w:r>
              <w:t xml:space="preserve">4</w:t>
            </w:r>
          </w:p>
        </w:tc>
        <w:tc>
          <w:tcPr/>
          <w:p>
            <w:pPr>
              <w:pStyle w:val="Tabla8"/>
              <w:jc w:val="left"/>
            </w:pPr>
            <w:r>
              <w:t xml:space="preserve">G4</w:t>
            </w:r>
          </w:p>
        </w:tc>
        <w:tc>
          <w:tcPr/>
          <w:p>
            <w:pPr>
              <w:pStyle w:val="Tabla8"/>
              <w:jc w:val="left"/>
            </w:pPr>
            <w:r>
              <w:t xml:space="preserve">No figura en el Anexo C</w:t>
            </w:r>
          </w:p>
        </w:tc>
      </w:tr>
      <w:tr>
        <w:trPr>
          <w:cantSplit/>
        </w:trPr>
        <w:tc>
          <w:tcPr/>
          <w:p>
            <w:pPr>
              <w:pStyle w:val="Tabla8"/>
              <w:jc w:val="left"/>
            </w:pPr>
            <w:r>
              <w:t xml:space="preserve">Gumaste et al. (2021)</w:t>
            </w:r>
          </w:p>
        </w:tc>
        <w:tc>
          <w:tcPr/>
          <w:p>
            <w:pPr>
              <w:pStyle w:val="Tabla8"/>
              <w:jc w:val="left"/>
            </w:pPr>
            <w:r>
              <w:t xml:space="preserve">Cummins</w:t>
            </w:r>
          </w:p>
        </w:tc>
        <w:tc>
          <w:tcPr/>
          <w:p>
            <w:pPr>
              <w:pStyle w:val="Tabla8"/>
              <w:jc w:val="left"/>
            </w:pPr>
            <w:r>
              <w:t xml:space="preserve">2021</w:t>
            </w:r>
          </w:p>
        </w:tc>
        <w:tc>
          <w:tcPr/>
          <w:p>
            <w:pPr>
              <w:pStyle w:val="Tabla8"/>
              <w:jc w:val="left"/>
            </w:pPr>
            <w:r>
              <w:t xml:space="preserve">OMPI</w:t>
            </w:r>
          </w:p>
        </w:tc>
        <w:tc>
          <w:tcPr/>
          <w:p>
            <w:pPr>
              <w:pStyle w:val="Tabla8"/>
              <w:jc w:val="left"/>
            </w:pPr>
            <w:r>
              <w:t xml:space="preserve">WO 2021/061603 A1</w:t>
            </w:r>
          </w:p>
        </w:tc>
        <w:tc>
          <w:tcPr/>
          <w:p>
            <w:pPr>
              <w:pStyle w:val="Tabla8"/>
              <w:jc w:val="left"/>
            </w:pPr>
            <w:r>
              <w:t xml:space="preserve">4</w:t>
            </w:r>
          </w:p>
        </w:tc>
        <w:tc>
          <w:tcPr/>
          <w:p>
            <w:pPr>
              <w:pStyle w:val="Tabla8"/>
              <w:jc w:val="left"/>
            </w:pPr>
            <w:r>
              <w:t xml:space="preserve">G4</w:t>
            </w:r>
          </w:p>
        </w:tc>
        <w:tc>
          <w:tcPr/>
          <w:p>
            <w:pPr>
              <w:pStyle w:val="Tabla8"/>
              <w:jc w:val="left"/>
            </w:pPr>
            <w:r>
              <w:t xml:space="preserve">Sí (Anexo C)</w:t>
            </w:r>
          </w:p>
        </w:tc>
      </w:tr>
      <w:tr>
        <w:trPr>
          <w:cantSplit/>
        </w:trPr>
        <w:tc>
          <w:tcPr/>
          <w:p>
            <w:pPr>
              <w:pStyle w:val="Tabla8"/>
              <w:jc w:val="left"/>
            </w:pPr>
            <w:r>
              <w:t xml:space="preserve">Ali et al. (2022)</w:t>
            </w:r>
          </w:p>
        </w:tc>
        <w:tc>
          <w:tcPr/>
          <w:p>
            <w:pPr>
              <w:pStyle w:val="Tabla8"/>
              <w:jc w:val="left"/>
            </w:pPr>
            <w:r>
              <w:t xml:space="preserve">No identificado en el informe</w:t>
            </w:r>
          </w:p>
        </w:tc>
        <w:tc>
          <w:tcPr/>
          <w:p>
            <w:pPr>
              <w:pStyle w:val="Tabla8"/>
              <w:jc w:val="left"/>
            </w:pPr>
            <w:r>
              <w:t xml:space="preserve">2022</w:t>
            </w:r>
          </w:p>
        </w:tc>
        <w:tc>
          <w:tcPr/>
          <w:p>
            <w:pPr>
              <w:pStyle w:val="Tabla8"/>
              <w:jc w:val="left"/>
            </w:pPr>
            <w:r>
              <w:t xml:space="preserve">OMPI</w:t>
            </w:r>
          </w:p>
        </w:tc>
        <w:tc>
          <w:tcPr/>
          <w:p>
            <w:pPr>
              <w:pStyle w:val="Tabla8"/>
              <w:jc w:val="left"/>
            </w:pPr>
            <w:r>
              <w:t xml:space="preserve">WO 2022/217342 A1</w:t>
            </w:r>
          </w:p>
        </w:tc>
        <w:tc>
          <w:tcPr/>
          <w:p>
            <w:pPr>
              <w:pStyle w:val="Tabla8"/>
              <w:jc w:val="left"/>
            </w:pPr>
            <w:r>
              <w:t xml:space="preserve">3</w:t>
            </w:r>
          </w:p>
        </w:tc>
        <w:tc>
          <w:tcPr/>
          <w:p>
            <w:pPr>
              <w:pStyle w:val="Tabla8"/>
              <w:jc w:val="left"/>
            </w:pPr>
            <w:r>
              <w:t xml:space="preserve">G4</w:t>
            </w:r>
          </w:p>
        </w:tc>
        <w:tc>
          <w:tcPr/>
          <w:p>
            <w:pPr>
              <w:pStyle w:val="Tabla8"/>
              <w:jc w:val="left"/>
            </w:pPr>
            <w:r>
              <w:t xml:space="preserve">Sí (Anexo C)</w:t>
            </w:r>
          </w:p>
        </w:tc>
      </w:tr>
      <w:tr>
        <w:trPr>
          <w:cantSplit/>
        </w:trPr>
        <w:tc>
          <w:tcPr/>
          <w:p>
            <w:pPr>
              <w:pStyle w:val="Tabla8"/>
              <w:jc w:val="left"/>
            </w:pPr>
            <w:r>
              <w:t xml:space="preserve">Izod y Burch (2023)</w:t>
            </w:r>
          </w:p>
        </w:tc>
        <w:tc>
          <w:tcPr/>
          <w:p>
            <w:pPr>
              <w:pStyle w:val="Tabla8"/>
              <w:jc w:val="left"/>
            </w:pPr>
            <w:r>
              <w:t xml:space="preserve">Healthy Space</w:t>
            </w:r>
          </w:p>
        </w:tc>
        <w:tc>
          <w:tcPr/>
          <w:p>
            <w:pPr>
              <w:pStyle w:val="Tabla8"/>
              <w:jc w:val="left"/>
            </w:pPr>
            <w:r>
              <w:t xml:space="preserve">2023</w:t>
            </w:r>
          </w:p>
        </w:tc>
        <w:tc>
          <w:tcPr/>
          <w:p>
            <w:pPr>
              <w:pStyle w:val="Tabla8"/>
              <w:jc w:val="left"/>
            </w:pPr>
            <w:r>
              <w:t xml:space="preserve">OMPI</w:t>
            </w:r>
          </w:p>
        </w:tc>
        <w:tc>
          <w:tcPr/>
          <w:p>
            <w:pPr>
              <w:pStyle w:val="Tabla8"/>
              <w:jc w:val="left"/>
            </w:pPr>
            <w:r>
              <w:t xml:space="preserve">WO 2023/139267 A1</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p>
            <w:pPr>
              <w:pStyle w:val="Tabla8"/>
              <w:jc w:val="left"/>
            </w:pPr>
            <w:r>
              <w:t xml:space="preserve">Hurst et al. (2024)</w:t>
            </w:r>
          </w:p>
        </w:tc>
        <w:tc>
          <w:tcPr/>
          <w:p>
            <w:pPr>
              <w:pStyle w:val="Tabla8"/>
              <w:jc w:val="left"/>
            </w:pPr>
            <w:r>
              <w:t xml:space="preserve">General Electric</w:t>
            </w:r>
          </w:p>
        </w:tc>
        <w:tc>
          <w:tcPr/>
          <w:p>
            <w:pPr>
              <w:pStyle w:val="Tabla8"/>
              <w:jc w:val="left"/>
            </w:pPr>
            <w:r>
              <w:t xml:space="preserve">2024</w:t>
            </w:r>
          </w:p>
        </w:tc>
        <w:tc>
          <w:tcPr/>
          <w:p>
            <w:pPr>
              <w:pStyle w:val="Tabla8"/>
              <w:jc w:val="left"/>
            </w:pPr>
            <w:r>
              <w:t xml:space="preserve">OEP</w:t>
            </w:r>
          </w:p>
        </w:tc>
        <w:tc>
          <w:tcPr/>
          <w:p>
            <w:pPr>
              <w:pStyle w:val="Tabla8"/>
              <w:jc w:val="left"/>
            </w:pPr>
            <w:r>
              <w:t xml:space="preserve">EP 3 483 686 B1</w:t>
            </w:r>
          </w:p>
        </w:tc>
        <w:tc>
          <w:tcPr/>
          <w:p>
            <w:pPr>
              <w:pStyle w:val="Tabla8"/>
              <w:jc w:val="left"/>
            </w:pPr>
            <w:r>
              <w:t xml:space="preserve">3</w:t>
            </w:r>
          </w:p>
        </w:tc>
        <w:tc>
          <w:tcPr/>
          <w:p>
            <w:pPr>
              <w:pStyle w:val="Tabla8"/>
              <w:jc w:val="left"/>
            </w:pPr>
            <w:r>
              <w:t xml:space="preserve">G4</w:t>
            </w:r>
          </w:p>
        </w:tc>
        <w:tc>
          <w:tcPr/>
          <w:p>
            <w:pPr>
              <w:pStyle w:val="Tabla8"/>
              <w:jc w:val="left"/>
            </w:pPr>
            <w:r>
              <w:t xml:space="preserve">No figura en el Anexo C</w:t>
            </w:r>
          </w:p>
        </w:tc>
      </w:tr>
      <w:tr>
        <w:trPr>
          <w:cantSplit/>
        </w:trPr>
        <w:tc>
          <w:tcPr/>
          <w:p>
            <w:pPr>
              <w:pStyle w:val="Tabla8"/>
              <w:jc w:val="left"/>
            </w:pPr>
            <w:r>
              <w:t xml:space="preserve">Røine (2024)</w:t>
            </w:r>
          </w:p>
        </w:tc>
        <w:tc>
          <w:tcPr/>
          <w:p>
            <w:pPr>
              <w:pStyle w:val="Tabla8"/>
              <w:jc w:val="left"/>
            </w:pPr>
            <w:r>
              <w:t xml:space="preserve">Airthings</w:t>
            </w:r>
          </w:p>
        </w:tc>
        <w:tc>
          <w:tcPr/>
          <w:p>
            <w:pPr>
              <w:pStyle w:val="Tabla8"/>
              <w:jc w:val="left"/>
            </w:pPr>
            <w:r>
              <w:t xml:space="preserve">2024</w:t>
            </w:r>
          </w:p>
        </w:tc>
        <w:tc>
          <w:tcPr/>
          <w:p>
            <w:pPr>
              <w:pStyle w:val="Tabla8"/>
              <w:jc w:val="left"/>
            </w:pPr>
            <w:r>
              <w:t xml:space="preserve">OMPI</w:t>
            </w:r>
          </w:p>
        </w:tc>
        <w:tc>
          <w:tcPr/>
          <w:p>
            <w:pPr>
              <w:pStyle w:val="Tabla8"/>
              <w:jc w:val="left"/>
            </w:pPr>
            <w:r>
              <w:t xml:space="preserve">WO 2024/080881 A1</w:t>
            </w:r>
          </w:p>
        </w:tc>
        <w:tc>
          <w:tcPr/>
          <w:p>
            <w:pPr>
              <w:pStyle w:val="Tabla8"/>
              <w:jc w:val="left"/>
            </w:pPr>
            <w:r>
              <w:t xml:space="preserve">2</w:t>
            </w:r>
          </w:p>
        </w:tc>
        <w:tc>
          <w:tcPr/>
          <w:p>
            <w:pPr>
              <w:pStyle w:val="Tabla8"/>
              <w:jc w:val="left"/>
            </w:pPr>
            <w:r>
              <w:t xml:space="preserve">G5</w:t>
            </w:r>
          </w:p>
        </w:tc>
        <w:tc>
          <w:tcPr/>
          <w:p>
            <w:pPr>
              <w:pStyle w:val="Tabla8"/>
              <w:jc w:val="left"/>
            </w:pPr>
            <w:r>
              <w:t xml:space="preserve">Sí (Anexo C)</w:t>
            </w:r>
          </w:p>
        </w:tc>
      </w:tr>
      <w:tr>
        <w:trPr>
          <w:cantSplit/>
        </w:trPr>
        <w:tc>
          <w:tcPr/>
          <w:p>
            <w:pPr>
              <w:pStyle w:val="Tabla8"/>
              <w:jc w:val="left"/>
            </w:pPr>
            <w:r>
              <w:t xml:space="preserve">Wilson et al. (2024)</w:t>
            </w:r>
          </w:p>
        </w:tc>
        <w:tc>
          <w:tcPr/>
          <w:p>
            <w:pPr>
              <w:pStyle w:val="Tabla8"/>
              <w:jc w:val="left"/>
            </w:pPr>
            <w:r>
              <w:t xml:space="preserve">View</w:t>
            </w:r>
          </w:p>
        </w:tc>
        <w:tc>
          <w:tcPr/>
          <w:p>
            <w:pPr>
              <w:pStyle w:val="Tabla8"/>
              <w:jc w:val="left"/>
            </w:pPr>
            <w:r>
              <w:t xml:space="preserve">2024</w:t>
            </w:r>
          </w:p>
        </w:tc>
        <w:tc>
          <w:tcPr/>
          <w:p>
            <w:pPr>
              <w:pStyle w:val="Tabla8"/>
              <w:jc w:val="left"/>
            </w:pPr>
            <w:r>
              <w:t xml:space="preserve">OMPI</w:t>
            </w:r>
          </w:p>
        </w:tc>
        <w:tc>
          <w:tcPr/>
          <w:p>
            <w:pPr>
              <w:pStyle w:val="Tabla8"/>
              <w:jc w:val="left"/>
            </w:pPr>
            <w:r>
              <w:t xml:space="preserve">WO 2024/064927 A1</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p>
            <w:pPr>
              <w:pStyle w:val="Tabla8"/>
              <w:jc w:val="left"/>
            </w:pPr>
            <w:r>
              <w:t xml:space="preserve">Eckenrode y Stevenson (2025)</w:t>
            </w:r>
          </w:p>
        </w:tc>
        <w:tc>
          <w:tcPr/>
          <w:p>
            <w:pPr>
              <w:pStyle w:val="Tabla8"/>
              <w:jc w:val="left"/>
            </w:pPr>
            <w:r>
              <w:t xml:space="preserve">Auros</w:t>
            </w:r>
          </w:p>
        </w:tc>
        <w:tc>
          <w:tcPr/>
          <w:p>
            <w:pPr>
              <w:pStyle w:val="Tabla8"/>
              <w:jc w:val="left"/>
            </w:pPr>
            <w:r>
              <w:t xml:space="preserve">2025</w:t>
            </w:r>
          </w:p>
        </w:tc>
        <w:tc>
          <w:tcPr/>
          <w:p>
            <w:pPr>
              <w:pStyle w:val="Tabla8"/>
              <w:jc w:val="left"/>
            </w:pPr>
            <w:r>
              <w:t xml:space="preserve">OMPI</w:t>
            </w:r>
          </w:p>
        </w:tc>
        <w:tc>
          <w:tcPr/>
          <w:p>
            <w:pPr>
              <w:pStyle w:val="Tabla8"/>
              <w:jc w:val="left"/>
            </w:pPr>
            <w:r>
              <w:t xml:space="preserve">WO 2025/049390 A2</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p>
            <w:pPr>
              <w:pStyle w:val="Tabla8"/>
              <w:jc w:val="left"/>
            </w:pPr>
            <w:r>
              <w:t xml:space="preserve">Hale et al. (2025)</w:t>
            </w:r>
          </w:p>
        </w:tc>
        <w:tc>
          <w:tcPr/>
          <w:p>
            <w:pPr>
              <w:pStyle w:val="Tabla8"/>
              <w:jc w:val="left"/>
            </w:pPr>
            <w:r>
              <w:t xml:space="preserve">Disney</w:t>
            </w:r>
          </w:p>
        </w:tc>
        <w:tc>
          <w:tcPr/>
          <w:p>
            <w:pPr>
              <w:pStyle w:val="Tabla8"/>
              <w:jc w:val="left"/>
            </w:pPr>
            <w:r>
              <w:t xml:space="preserve">2025</w:t>
            </w:r>
          </w:p>
        </w:tc>
        <w:tc>
          <w:tcPr/>
          <w:p>
            <w:pPr>
              <w:pStyle w:val="Tabla8"/>
              <w:jc w:val="left"/>
            </w:pPr>
            <w:r>
              <w:t xml:space="preserve">OEP</w:t>
            </w:r>
          </w:p>
        </w:tc>
        <w:tc>
          <w:tcPr/>
          <w:p>
            <w:pPr>
              <w:pStyle w:val="Tabla8"/>
              <w:jc w:val="left"/>
            </w:pPr>
            <w:r>
              <w:t xml:space="preserve">EP 4 617 736 A1</w:t>
            </w:r>
          </w:p>
        </w:tc>
        <w:tc>
          <w:tcPr/>
          <w:p>
            <w:pPr>
              <w:pStyle w:val="Tabla8"/>
              <w:jc w:val="left"/>
            </w:pPr>
            <w:r>
              <w:t xml:space="preserve">3</w:t>
            </w:r>
          </w:p>
        </w:tc>
        <w:tc>
          <w:tcPr/>
          <w:p>
            <w:pPr>
              <w:pStyle w:val="Tabla8"/>
              <w:jc w:val="left"/>
            </w:pPr>
            <w:r>
              <w:t xml:space="preserve">G4</w:t>
            </w:r>
          </w:p>
        </w:tc>
        <w:tc>
          <w:tcPr/>
          <w:p>
            <w:pPr>
              <w:pStyle w:val="Tabla8"/>
              <w:jc w:val="left"/>
            </w:pPr>
            <w:r>
              <w:t xml:space="preserve">No figura en el Anexo C</w:t>
            </w:r>
          </w:p>
        </w:tc>
      </w:tr>
      <w:tr>
        <w:trPr>
          <w:cantSplit/>
        </w:trPr>
        <w:tc>
          <w:tcPr/>
          <w:p>
            <w:pPr>
              <w:pStyle w:val="Tabla8"/>
              <w:jc w:val="left"/>
            </w:pPr>
            <w:r>
              <w:t xml:space="preserve">Machida y Ammendola (2025)</w:t>
            </w:r>
          </w:p>
        </w:tc>
        <w:tc>
          <w:tcPr/>
          <w:p>
            <w:pPr>
              <w:pStyle w:val="Tabla8"/>
              <w:jc w:val="left"/>
            </w:pPr>
            <w:r>
              <w:t xml:space="preserve">Ambient X</w:t>
            </w:r>
          </w:p>
        </w:tc>
        <w:tc>
          <w:tcPr/>
          <w:p>
            <w:pPr>
              <w:pStyle w:val="Tabla8"/>
              <w:jc w:val="left"/>
            </w:pPr>
            <w:r>
              <w:t xml:space="preserve">2025</w:t>
            </w:r>
          </w:p>
        </w:tc>
        <w:tc>
          <w:tcPr/>
          <w:p>
            <w:pPr>
              <w:pStyle w:val="Tabla8"/>
              <w:jc w:val="left"/>
            </w:pPr>
            <w:r>
              <w:t xml:space="preserve">OMPI</w:t>
            </w:r>
          </w:p>
        </w:tc>
        <w:tc>
          <w:tcPr/>
          <w:p>
            <w:pPr>
              <w:pStyle w:val="Tabla8"/>
              <w:jc w:val="left"/>
            </w:pPr>
            <w:r>
              <w:t xml:space="preserve">WO 2025/257740 A1</w:t>
            </w:r>
          </w:p>
        </w:tc>
        <w:tc>
          <w:tcPr/>
          <w:p>
            <w:pPr>
              <w:pStyle w:val="Tabla8"/>
              <w:jc w:val="left"/>
            </w:pPr>
            <w:r>
              <w:t xml:space="preserve">4</w:t>
            </w:r>
          </w:p>
        </w:tc>
        <w:tc>
          <w:tcPr/>
          <w:p>
            <w:pPr>
              <w:pStyle w:val="Tabla8"/>
              <w:jc w:val="left"/>
            </w:pPr>
            <w:r>
              <w:t xml:space="preserve">G5</w:t>
            </w:r>
          </w:p>
        </w:tc>
        <w:tc>
          <w:tcPr/>
          <w:p>
            <w:pPr>
              <w:pStyle w:val="Tabla8"/>
              <w:jc w:val="left"/>
            </w:pPr>
            <w:r>
              <w:t xml:space="preserve">Sí (Anexo C)</w:t>
            </w:r>
          </w:p>
        </w:tc>
      </w:tr>
      <w:tr>
        <w:trPr>
          <w:cantSplit/>
        </w:trPr>
        <w:tc>
          <w:tcPr/>
          <w:p>
            <w:pPr>
              <w:pStyle w:val="Tabla8"/>
              <w:jc w:val="left"/>
            </w:pPr>
            <w:r>
              <w:t xml:space="preserve">Acosta y Horstmann (2026)</w:t>
            </w:r>
          </w:p>
        </w:tc>
        <w:tc>
          <w:tcPr/>
          <w:p>
            <w:pPr>
              <w:pStyle w:val="Tabla8"/>
              <w:jc w:val="left"/>
            </w:pPr>
            <w:r>
              <w:t xml:space="preserve">CosySense</w:t>
            </w:r>
          </w:p>
        </w:tc>
        <w:tc>
          <w:tcPr/>
          <w:p>
            <w:pPr>
              <w:pStyle w:val="Tabla8"/>
              <w:jc w:val="left"/>
            </w:pPr>
            <w:r>
              <w:t xml:space="preserve">2026</w:t>
            </w:r>
          </w:p>
        </w:tc>
        <w:tc>
          <w:tcPr/>
          <w:p>
            <w:pPr>
              <w:pStyle w:val="Tabla8"/>
              <w:jc w:val="left"/>
            </w:pPr>
            <w:r>
              <w:t xml:space="preserve">OMPI</w:t>
            </w:r>
          </w:p>
        </w:tc>
        <w:tc>
          <w:tcPr/>
          <w:p>
            <w:pPr>
              <w:pStyle w:val="Tabla8"/>
              <w:jc w:val="left"/>
            </w:pPr>
            <w:r>
              <w:t xml:space="preserve">WO 2026/093802 A1</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p>
            <w:pPr>
              <w:pStyle w:val="Tabla8"/>
              <w:jc w:val="left"/>
            </w:pPr>
            <w:r>
              <w:t xml:space="preserve">Spasojevic Brkic et al. (2026)</w:t>
            </w:r>
          </w:p>
        </w:tc>
        <w:tc>
          <w:tcPr/>
          <w:p>
            <w:pPr>
              <w:pStyle w:val="Tabla8"/>
              <w:jc w:val="left"/>
            </w:pPr>
            <w:r>
              <w:t xml:space="preserve">SmartMiner</w:t>
            </w:r>
          </w:p>
        </w:tc>
        <w:tc>
          <w:tcPr/>
          <w:p>
            <w:pPr>
              <w:pStyle w:val="Tabla8"/>
              <w:jc w:val="left"/>
            </w:pPr>
            <w:r>
              <w:t xml:space="preserve">2026</w:t>
            </w:r>
          </w:p>
        </w:tc>
        <w:tc>
          <w:tcPr/>
          <w:p>
            <w:pPr>
              <w:pStyle w:val="Tabla8"/>
              <w:jc w:val="left"/>
            </w:pPr>
            <w:r>
              <w:t xml:space="preserve">OMPI</w:t>
            </w:r>
          </w:p>
        </w:tc>
        <w:tc>
          <w:tcPr/>
          <w:p>
            <w:pPr>
              <w:pStyle w:val="Tabla8"/>
              <w:jc w:val="left"/>
            </w:pPr>
            <w:r>
              <w:t xml:space="preserve">WO 2026/180852 A1</w:t>
            </w:r>
          </w:p>
        </w:tc>
        <w:tc>
          <w:tcPr/>
          <w:p>
            <w:pPr>
              <w:pStyle w:val="Tabla8"/>
              <w:jc w:val="left"/>
            </w:pPr>
            <w:r>
              <w:t xml:space="preserve">4</w:t>
            </w:r>
          </w:p>
        </w:tc>
        <w:tc>
          <w:tcPr/>
          <w:p>
            <w:pPr>
              <w:pStyle w:val="Tabla8"/>
              <w:jc w:val="left"/>
            </w:pPr>
            <w:r>
              <w:t xml:space="preserve">G5</w:t>
            </w:r>
          </w:p>
        </w:tc>
        <w:tc>
          <w:tcPr/>
          <w:p>
            <w:pPr>
              <w:pStyle w:val="Tabla8"/>
              <w:jc w:val="left"/>
            </w:pPr>
            <w:r>
              <w:t xml:space="preserve">Sí (Anexo C)</w:t>
            </w:r>
          </w:p>
        </w:tc>
      </w:tr>
    </w:tbl>
    <w:p>
      <w:pPr>
        <w:pStyle w:val="TablaNota"/>
      </w:pPr>
      <w:r>
        <w:rPr>
          <w:i/>
          <w:iCs/>
        </w:rPr>
        <w:t xml:space="preserve">Nota.</w:t>
      </w:r>
      <w:r>
        <w:t xml:space="preserve"> </w:t>
      </w:r>
      <w:r>
        <w:t xml:space="preserve">Elaboración propia con datos de F-INF §13.2 (p. 212), §4.1, Tabla 13 (p. 29), §5.7 (p. 55), §6.1 (p. 56) y Anexo C (p. 221). Titulares tomados del texto del informe; dos patentes no tienen titular identificado. OMPI: Organización Mundial de la Propiedad Intelectual; OEP: Oficina Europea de Patentes. Naturaleza: DOCUMENTADO; verificación: PARCIALMENTE_VERIFICADO. Año de corte 2026.</w:t>
      </w:r>
    </w:p>
    <w:p>
      <w:pPr>
        <w:pStyle w:val="BodyText"/>
      </w:pPr>
      <w:r>
        <w:t xml:space="preserve">El titular se identifica en 13 de las 15 patentes. General Electric aparece dos veces, con Abernathy et al. (2019) y Hurst et al. (2024). Esas dos patentes comparten 50,1 % de los fragmentos de ocho palabras (F-INF §3.1, p. 19). Los demás titulares aparecen una sola vez. Las patentes se agrupan por función: medición de partículas, gestión de activos industriales, calificación de edificios y exposición ocupacional (F-INF §4.8, p. 41).</w:t>
      </w:r>
    </w:p>
    <w:p>
      <w:pPr>
        <w:pStyle w:val="BodyText"/>
      </w:pPr>
      <w:r>
        <w:t xml:space="preserve">Las clases de la clasificación internacional de patentes de cada documento no se tabularon en el informe (VACIO). El informe propone cinco clases para vigilar la calidad del aire (F-INF Anexo D, p. 222). Son F24F, G01N 33, B01D 46, B01D 53 y G08B 21/12. Esa lista es PROPUESTO y no describe el corpus actual. El proyecto adopta una consecuencia práctica. Tabulará las clases de los 15 documentos en la primera ejecución de la ecuación E2 y las comparará con la lista propuesta. Hasta entonces, la lectura por clase queda pendiente.</w:t>
      </w:r>
    </w:p>
    <w:bookmarkEnd w:id="346"/>
    <w:bookmarkStart w:id="347" w:name="_Toc00900134"/>
    <w:p>
      <w:pPr>
        <w:pStyle w:val="Heading3"/>
      </w:pPr>
      <w:r>
        <w:t xml:space="preserve">2.3.2 Tendencia de patentamiento</w:t>
      </w:r>
    </w:p>
    <w:p>
      <w:pPr>
        <w:pStyle w:val="FirstParagraph"/>
      </w:pPr>
      <w:r>
        <w:t xml:space="preserve">La tendencia de patentamiento se lee por año de publicación. Hay una patente de 1995 y dos de 2019. Hay una por año de 2020 a 2023, tres en 2024, tres en 2025 y dos en 2026. Catorce de las 15 son de 2016 a 2026, y 10 de las 15 son de 2022 a 2026. El número crece de forma modesta, con dos o tres publicaciones por año desde 2024. Con 15 patentes, la serie no permite estimar una tasa de crecimiento.</w:t>
      </w:r>
    </w:p>
    <w:p>
      <w:pPr>
        <w:pStyle w:val="BodyText"/>
      </w:pPr>
      <w:r>
        <w:t xml:space="preserve">El aumento de solicitudes no se acompaña de más evidencia. La robustez media de las patentes es 3,20 en 2024, 2,93 en 2025 y 3,00 en 2026. Fue 3,55 en 2019 y 3,80 en 1995 (F-INF §4.3, p. 34). Dos posiciones interpretan el patrón. La primera sostiene que el patentamiento anuncia tecnología madura. La segunda sostiene que las patentes describen sin demostrar. Los datos favorecen la segunda. El TRL medio de las patentes es 3,20. Además, 10 de las 15 tienen documentos de categoría X, Y o PX en su informe de búsqueda (F-INF §3.1, Tabla 3, p. 19). Esos documentos debilitan la novedad de los conceptos generales (F-INF §5.7, p. 55).</w:t>
      </w:r>
    </w:p>
    <w:bookmarkEnd w:id="347"/>
    <w:bookmarkStart w:id="351" w:name="_Toc00900135"/>
    <w:p>
      <w:pPr>
        <w:pStyle w:val="Heading3"/>
      </w:pPr>
      <w:r>
        <w:t xml:space="preserve">2.3.3 Libertad de operación</w:t>
      </w:r>
    </w:p>
    <w:p>
      <w:pPr>
        <w:pStyle w:val="FirstParagraph"/>
      </w:pPr>
      <w:r>
        <w:t xml:space="preserve">El análisis de libertad de operación parte de las diez solicitudes PCT que designan a Colombia (F-INF Anexo C, p. 221). La Tabla 2.22 y la Figura 2.14 presentan cada solicitud con su prioridad, su plazo de 30 meses y su estado al 13 de octubre de 2026. Los plazos son un cálculo del analista del informe con conocimiento externo y siguen NO_VERIFICADO. El estado real de cada expediente lo establece la consulta a la SIC. La última columna de la tabla es una inferencia de esta corrida y no un análisis jurídico.</w:t>
      </w:r>
    </w:p>
    <w:p>
      <w:pPr>
        <w:pStyle w:val="TablaRotulo"/>
      </w:pPr>
      <w:bookmarkStart w:id="9252" w:name="rot_Tabla_2_22"/>
      <w:r>
        <w:rPr>
          <w:b/>
          <w:bCs/>
        </w:rPr>
        <w:t xml:space="preserve">Tabla 2.22</w:t>
      </w:r>
      <w:bookmarkEnd w:id="9252"/>
    </w:p>
    <w:p>
      <w:pPr>
        <w:pStyle w:val="TablaTitulo"/>
      </w:pPr>
      <w:r>
        <w:rPr>
          <w:i/>
          <w:iCs/>
        </w:rPr>
        <w:t xml:space="preserve">Solicitudes PCT con Colombia designada, plazo de fase nacional y relación con el diseño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24"/>
        <w:gridCol w:w="990"/>
        <w:gridCol w:w="1056"/>
        <w:gridCol w:w="1320"/>
        <w:gridCol w:w="594"/>
        <w:gridCol w:w="726"/>
        <w:gridCol w:w="858"/>
        <w:gridCol w:w="1452"/>
      </w:tblGrid>
      <w:tr>
        <w:trPr>
          <w:cantSplit/>
          <w:tblHeader/>
        </w:trPr>
        <w:tc>
          <w:tcPr>
            <w:shd w:val="clear" w:color="auto" w:fill="00B050"/>
          </w:tcPr>
          <w:p>
            <w:pPr>
              <w:pStyle w:val="Tabla8"/>
              <w:jc w:val="center"/>
            </w:pPr>
            <w:r>
              <w:rPr>
                <w:b/>
                <w:color w:val="FFFFFF"/>
              </w:rPr>
              <w:t xml:space="preserve">Solicitud</w:t>
            </w:r>
          </w:p>
        </w:tc>
        <w:tc>
          <w:tcPr>
            <w:shd w:val="clear" w:color="auto" w:fill="00B050"/>
          </w:tcPr>
          <w:p>
            <w:pPr>
              <w:pStyle w:val="Tabla8"/>
              <w:jc w:val="center"/>
            </w:pPr>
            <w:r>
              <w:rPr>
                <w:b/>
                <w:color w:val="FFFFFF"/>
              </w:rPr>
              <w:t xml:space="preserve">Documento</w:t>
            </w:r>
          </w:p>
        </w:tc>
        <w:tc>
          <w:tcPr>
            <w:shd w:val="clear" w:color="auto" w:fill="00B050"/>
          </w:tcPr>
          <w:p>
            <w:pPr>
              <w:pStyle w:val="Tabla8"/>
              <w:jc w:val="center"/>
            </w:pPr>
            <w:r>
              <w:rPr>
                <w:b/>
                <w:color w:val="FFFFFF"/>
              </w:rPr>
              <w:t xml:space="preserve">Titular según el informe</w:t>
            </w:r>
          </w:p>
        </w:tc>
        <w:tc>
          <w:tcPr>
            <w:shd w:val="clear" w:color="auto" w:fill="00B050"/>
          </w:tcPr>
          <w:p>
            <w:pPr>
              <w:pStyle w:val="Tabla8"/>
              <w:jc w:val="center"/>
            </w:pPr>
            <w:r>
              <w:rPr>
                <w:b/>
                <w:color w:val="FFFFFF"/>
              </w:rPr>
              <w:t xml:space="preserve">Prioridad o presentación</w:t>
            </w:r>
          </w:p>
        </w:tc>
        <w:tc>
          <w:tcPr>
            <w:shd w:val="clear" w:color="auto" w:fill="00B050"/>
          </w:tcPr>
          <w:p>
            <w:pPr>
              <w:pStyle w:val="Tabla8"/>
              <w:jc w:val="center"/>
            </w:pPr>
            <w:r>
              <w:rPr>
                <w:b/>
                <w:color w:val="FFFFFF"/>
              </w:rPr>
              <w:t xml:space="preserve">Plazo de 30 meses</w:t>
            </w:r>
          </w:p>
        </w:tc>
        <w:tc>
          <w:tcPr>
            <w:shd w:val="clear" w:color="auto" w:fill="00B050"/>
          </w:tcPr>
          <w:p>
            <w:pPr>
              <w:pStyle w:val="Tabla8"/>
              <w:jc w:val="center"/>
            </w:pPr>
            <w:r>
              <w:rPr>
                <w:b/>
                <w:color w:val="FFFFFF"/>
              </w:rPr>
              <w:t xml:space="preserve">Estado al 13/10/2026</w:t>
            </w:r>
          </w:p>
        </w:tc>
        <w:tc>
          <w:tcPr>
            <w:shd w:val="clear" w:color="auto" w:fill="00B050"/>
          </w:tcPr>
          <w:p>
            <w:pPr>
              <w:pStyle w:val="Tabla8"/>
              <w:jc w:val="center"/>
            </w:pPr>
            <w:r>
              <w:rPr>
                <w:b/>
                <w:color w:val="FFFFFF"/>
              </w:rPr>
              <w:t xml:space="preserve">Días restantes</w:t>
            </w:r>
          </w:p>
        </w:tc>
        <w:tc>
          <w:tcPr>
            <w:shd w:val="clear" w:color="auto" w:fill="00B050"/>
          </w:tcPr>
          <w:p>
            <w:pPr>
              <w:pStyle w:val="Tabla8"/>
              <w:jc w:val="center"/>
            </w:pPr>
            <w:r>
              <w:rPr>
                <w:b/>
                <w:color w:val="FFFFFF"/>
              </w:rPr>
              <w:t xml:space="preserve">Relación con el diseño del proyecto</w:t>
            </w:r>
          </w:p>
        </w:tc>
      </w:tr>
      <w:tr>
        <w:trPr>
          <w:cantSplit/>
        </w:trPr>
        <w:tc>
          <w:tcPr/>
          <w:p>
            <w:pPr>
              <w:pStyle w:val="Tabla8"/>
              <w:jc w:val="left"/>
            </w:pPr>
            <w:r>
              <w:t xml:space="preserve">WO 2019/215392 A1</w:t>
            </w:r>
          </w:p>
        </w:tc>
        <w:tc>
          <w:tcPr/>
          <w:p>
            <w:pPr>
              <w:pStyle w:val="Tabla8"/>
              <w:jc w:val="left"/>
            </w:pPr>
            <w:r>
              <w:t xml:space="preserve">Koppinen et al. (2019)</w:t>
            </w:r>
          </w:p>
        </w:tc>
        <w:tc>
          <w:tcPr/>
          <w:p>
            <w:pPr>
              <w:pStyle w:val="Tabla8"/>
              <w:jc w:val="left"/>
            </w:pPr>
            <w:r>
              <w:t xml:space="preserve">VTT</w:t>
            </w:r>
          </w:p>
        </w:tc>
        <w:tc>
          <w:tcPr/>
          <w:p>
            <w:pPr>
              <w:pStyle w:val="Tabla8"/>
              <w:jc w:val="left"/>
            </w:pPr>
            <w:r>
              <w:t xml:space="preserve">11/05/2018</w:t>
            </w:r>
          </w:p>
        </w:tc>
        <w:tc>
          <w:tcPr/>
          <w:p>
            <w:pPr>
              <w:pStyle w:val="Tabla8"/>
              <w:jc w:val="left"/>
            </w:pPr>
            <w:r>
              <w:t xml:space="preserve">11/11/2020</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sensor termoforético de partículas; el proyecto usa un sensor óptico</w:t>
            </w:r>
          </w:p>
        </w:tc>
      </w:tr>
      <w:tr>
        <w:trPr>
          <w:cantSplit/>
        </w:trPr>
        <w:tc>
          <w:tcPr/>
          <w:p>
            <w:pPr>
              <w:pStyle w:val="Tabla8"/>
              <w:jc w:val="left"/>
            </w:pPr>
            <w:r>
              <w:t xml:space="preserve">WO 2021/061603 A1</w:t>
            </w:r>
          </w:p>
        </w:tc>
        <w:tc>
          <w:tcPr/>
          <w:p>
            <w:pPr>
              <w:pStyle w:val="Tabla8"/>
              <w:jc w:val="left"/>
            </w:pPr>
            <w:r>
              <w:t xml:space="preserve">Gumaste et al. (2021)</w:t>
            </w:r>
          </w:p>
        </w:tc>
        <w:tc>
          <w:tcPr/>
          <w:p>
            <w:pPr>
              <w:pStyle w:val="Tabla8"/>
              <w:jc w:val="left"/>
            </w:pPr>
            <w:r>
              <w:t xml:space="preserve">Cummins</w:t>
            </w:r>
          </w:p>
        </w:tc>
        <w:tc>
          <w:tcPr/>
          <w:p>
            <w:pPr>
              <w:pStyle w:val="Tabla8"/>
              <w:jc w:val="left"/>
            </w:pPr>
            <w:r>
              <w:t xml:space="preserve">23/09/2019</w:t>
            </w:r>
          </w:p>
        </w:tc>
        <w:tc>
          <w:tcPr/>
          <w:p>
            <w:pPr>
              <w:pStyle w:val="Tabla8"/>
              <w:jc w:val="left"/>
            </w:pPr>
            <w:r>
              <w:t xml:space="preserve">23/03/2022</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gemelo digital de unidades reemplazables en motores</w:t>
            </w:r>
          </w:p>
        </w:tc>
      </w:tr>
      <w:tr>
        <w:trPr>
          <w:cantSplit/>
        </w:trPr>
        <w:tc>
          <w:tcPr/>
          <w:p>
            <w:pPr>
              <w:pStyle w:val="Tabla8"/>
              <w:jc w:val="left"/>
            </w:pPr>
            <w:r>
              <w:t xml:space="preserve">WO 2022/217342 A1</w:t>
            </w:r>
          </w:p>
        </w:tc>
        <w:tc>
          <w:tcPr/>
          <w:p>
            <w:pPr>
              <w:pStyle w:val="Tabla8"/>
              <w:jc w:val="left"/>
            </w:pPr>
            <w:r>
              <w:t xml:space="preserve">Ali et al. (2022)</w:t>
            </w:r>
          </w:p>
        </w:tc>
        <w:tc>
          <w:tcPr/>
          <w:p>
            <w:pPr>
              <w:pStyle w:val="Tabla8"/>
              <w:jc w:val="left"/>
            </w:pPr>
            <w:r>
              <w:t xml:space="preserve">titular sin identificar</w:t>
            </w:r>
          </w:p>
        </w:tc>
        <w:tc>
          <w:tcPr/>
          <w:p>
            <w:pPr>
              <w:pStyle w:val="Tabla8"/>
              <w:jc w:val="left"/>
            </w:pPr>
            <w:r>
              <w:t xml:space="preserve">14/04/2021</w:t>
            </w:r>
          </w:p>
        </w:tc>
        <w:tc>
          <w:tcPr/>
          <w:p>
            <w:pPr>
              <w:pStyle w:val="Tabla8"/>
              <w:jc w:val="left"/>
            </w:pPr>
            <w:r>
              <w:t xml:space="preserve">14/10/2023</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Media a alta: modelo entrenado para un parámetro del aire, análogo a la corrección en el gateway</w:t>
            </w:r>
          </w:p>
        </w:tc>
      </w:tr>
      <w:tr>
        <w:trPr>
          <w:cantSplit/>
        </w:trPr>
        <w:tc>
          <w:tcPr/>
          <w:p>
            <w:pPr>
              <w:pStyle w:val="Tabla8"/>
              <w:jc w:val="left"/>
            </w:pPr>
            <w:r>
              <w:t xml:space="preserve">WO 2023/139267 A1</w:t>
            </w:r>
          </w:p>
        </w:tc>
        <w:tc>
          <w:tcPr/>
          <w:p>
            <w:pPr>
              <w:pStyle w:val="Tabla8"/>
              <w:jc w:val="left"/>
            </w:pPr>
            <w:r>
              <w:t xml:space="preserve">Izod y Burch (2023)</w:t>
            </w:r>
          </w:p>
        </w:tc>
        <w:tc>
          <w:tcPr/>
          <w:p>
            <w:pPr>
              <w:pStyle w:val="Tabla8"/>
              <w:jc w:val="left"/>
            </w:pPr>
            <w:r>
              <w:t xml:space="preserve">Healthy Space</w:t>
            </w:r>
          </w:p>
        </w:tc>
        <w:tc>
          <w:tcPr/>
          <w:p>
            <w:pPr>
              <w:pStyle w:val="Tabla8"/>
              <w:jc w:val="left"/>
            </w:pPr>
            <w:r>
              <w:t xml:space="preserve">21/01/2022</w:t>
            </w:r>
          </w:p>
        </w:tc>
        <w:tc>
          <w:tcPr/>
          <w:p>
            <w:pPr>
              <w:pStyle w:val="Tabla8"/>
              <w:jc w:val="left"/>
            </w:pPr>
            <w:r>
              <w:t xml:space="preserve">21/07/2024</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riesgos de salud en espacios cerrados</w:t>
            </w:r>
          </w:p>
        </w:tc>
      </w:tr>
      <w:tr>
        <w:trPr>
          <w:cantSplit/>
        </w:trPr>
        <w:tc>
          <w:tcPr/>
          <w:p>
            <w:pPr>
              <w:pStyle w:val="Tabla8"/>
              <w:jc w:val="left"/>
            </w:pPr>
            <w:r>
              <w:t xml:space="preserve">WO 2024/064927 A1</w:t>
            </w:r>
          </w:p>
        </w:tc>
        <w:tc>
          <w:tcPr/>
          <w:p>
            <w:pPr>
              <w:pStyle w:val="Tabla8"/>
              <w:jc w:val="left"/>
            </w:pPr>
            <w:r>
              <w:t xml:space="preserve">Wilson et al. (2024)</w:t>
            </w:r>
          </w:p>
        </w:tc>
        <w:tc>
          <w:tcPr/>
          <w:p>
            <w:pPr>
              <w:pStyle w:val="Tabla8"/>
              <w:jc w:val="left"/>
            </w:pPr>
            <w:r>
              <w:t xml:space="preserve">View</w:t>
            </w:r>
          </w:p>
        </w:tc>
        <w:tc>
          <w:tcPr/>
          <w:p>
            <w:pPr>
              <w:pStyle w:val="Tabla8"/>
              <w:jc w:val="left"/>
            </w:pPr>
            <w:r>
              <w:t xml:space="preserve">23/09/2022</w:t>
            </w:r>
          </w:p>
        </w:tc>
        <w:tc>
          <w:tcPr/>
          <w:p>
            <w:pPr>
              <w:pStyle w:val="Tabla8"/>
              <w:jc w:val="left"/>
            </w:pPr>
            <w:r>
              <w:t xml:space="preserve">23/03/2025</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calificación de salud de edificios</w:t>
            </w:r>
          </w:p>
        </w:tc>
      </w:tr>
      <w:tr>
        <w:trPr>
          <w:cantSplit/>
        </w:trPr>
        <w:tc>
          <w:tcPr/>
          <w:p>
            <w:pPr>
              <w:pStyle w:val="Tabla8"/>
              <w:jc w:val="left"/>
            </w:pPr>
            <w:r>
              <w:t xml:space="preserve">WO 2024/080881 A1</w:t>
            </w:r>
          </w:p>
        </w:tc>
        <w:tc>
          <w:tcPr/>
          <w:p>
            <w:pPr>
              <w:pStyle w:val="Tabla8"/>
              <w:jc w:val="left"/>
            </w:pPr>
            <w:r>
              <w:t xml:space="preserve">Røine (2024)</w:t>
            </w:r>
          </w:p>
        </w:tc>
        <w:tc>
          <w:tcPr/>
          <w:p>
            <w:pPr>
              <w:pStyle w:val="Tabla8"/>
              <w:jc w:val="left"/>
            </w:pPr>
            <w:r>
              <w:t xml:space="preserve">Airthings</w:t>
            </w:r>
          </w:p>
        </w:tc>
        <w:tc>
          <w:tcPr/>
          <w:p>
            <w:pPr>
              <w:pStyle w:val="Tabla8"/>
              <w:jc w:val="left"/>
            </w:pPr>
            <w:r>
              <w:t xml:space="preserve">12/10/2022</w:t>
            </w:r>
          </w:p>
        </w:tc>
        <w:tc>
          <w:tcPr/>
          <w:p>
            <w:pPr>
              <w:pStyle w:val="Tabla8"/>
              <w:jc w:val="left"/>
            </w:pPr>
            <w:r>
              <w:t xml:space="preserve">12/04/2025</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retiro de CO2 del aire interior</w:t>
            </w:r>
          </w:p>
        </w:tc>
      </w:tr>
      <w:tr>
        <w:trPr>
          <w:cantSplit/>
        </w:trPr>
        <w:tc>
          <w:tcPr/>
          <w:p>
            <w:pPr>
              <w:pStyle w:val="Tabla8"/>
              <w:jc w:val="left"/>
            </w:pPr>
            <w:r>
              <w:t xml:space="preserve">WO 2025/049390 A2</w:t>
            </w:r>
          </w:p>
        </w:tc>
        <w:tc>
          <w:tcPr/>
          <w:p>
            <w:pPr>
              <w:pStyle w:val="Tabla8"/>
              <w:jc w:val="left"/>
            </w:pPr>
            <w:r>
              <w:t xml:space="preserve">Eckenrode y Stevenson (2025)</w:t>
            </w:r>
          </w:p>
        </w:tc>
        <w:tc>
          <w:tcPr/>
          <w:p>
            <w:pPr>
              <w:pStyle w:val="Tabla8"/>
              <w:jc w:val="left"/>
            </w:pPr>
            <w:r>
              <w:t xml:space="preserve">Auros</w:t>
            </w:r>
          </w:p>
        </w:tc>
        <w:tc>
          <w:tcPr/>
          <w:p>
            <w:pPr>
              <w:pStyle w:val="Tabla8"/>
              <w:jc w:val="left"/>
            </w:pPr>
            <w:r>
              <w:t xml:space="preserve">28/08/2023</w:t>
            </w:r>
          </w:p>
        </w:tc>
        <w:tc>
          <w:tcPr/>
          <w:p>
            <w:pPr>
              <w:pStyle w:val="Tabla8"/>
              <w:jc w:val="left"/>
            </w:pPr>
            <w:r>
              <w:t xml:space="preserve">28/02/2026</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descarbonización de edificios</w:t>
            </w:r>
          </w:p>
        </w:tc>
      </w:tr>
      <w:tr>
        <w:trPr>
          <w:cantSplit/>
        </w:trPr>
        <w:tc>
          <w:tcPr/>
          <w:p>
            <w:pPr>
              <w:pStyle w:val="Tabla8"/>
              <w:jc w:val="left"/>
            </w:pPr>
            <w:r>
              <w:t xml:space="preserve">WO 2025/257740 A1</w:t>
            </w:r>
          </w:p>
        </w:tc>
        <w:tc>
          <w:tcPr/>
          <w:p>
            <w:pPr>
              <w:pStyle w:val="Tabla8"/>
              <w:jc w:val="left"/>
            </w:pPr>
            <w:r>
              <w:t xml:space="preserve">Machida y Ammendola (2025)</w:t>
            </w:r>
          </w:p>
        </w:tc>
        <w:tc>
          <w:tcPr/>
          <w:p>
            <w:pPr>
              <w:pStyle w:val="Tabla8"/>
              <w:jc w:val="left"/>
            </w:pPr>
            <w:r>
              <w:t xml:space="preserve">Ambient X</w:t>
            </w:r>
          </w:p>
        </w:tc>
        <w:tc>
          <w:tcPr/>
          <w:p>
            <w:pPr>
              <w:pStyle w:val="Tabla8"/>
              <w:jc w:val="left"/>
            </w:pPr>
            <w:r>
              <w:t xml:space="preserve">10/06/2024</w:t>
            </w:r>
          </w:p>
        </w:tc>
        <w:tc>
          <w:tcPr/>
          <w:p>
            <w:pPr>
              <w:pStyle w:val="Tabla8"/>
              <w:jc w:val="left"/>
            </w:pPr>
            <w:r>
              <w:t xml:space="preserve">10/12/2026</w:t>
            </w:r>
          </w:p>
        </w:tc>
        <w:tc>
          <w:tcPr/>
          <w:p>
            <w:pPr>
              <w:pStyle w:val="Tabla8"/>
              <w:jc w:val="left"/>
            </w:pPr>
            <w:r>
              <w:t xml:space="preserve">Abierto</w:t>
            </w:r>
          </w:p>
        </w:tc>
        <w:tc>
          <w:tcPr/>
          <w:p>
            <w:pPr>
              <w:pStyle w:val="Tabla8"/>
              <w:jc w:val="left"/>
            </w:pPr>
            <w:r>
              <w:t xml:space="preserve">58</w:t>
            </w:r>
          </w:p>
        </w:tc>
        <w:tc>
          <w:tcPr/>
          <w:p>
            <w:pPr>
              <w:pStyle w:val="Tabla8"/>
              <w:jc w:val="left"/>
            </w:pPr>
            <w:r>
              <w:t xml:space="preserve">Media: monitoreo multimodal que estima sílice respirable a partir del PM2,5</w:t>
            </w:r>
          </w:p>
        </w:tc>
      </w:tr>
      <w:tr>
        <w:trPr>
          <w:cantSplit/>
        </w:trPr>
        <w:tc>
          <w:tcPr/>
          <w:p>
            <w:pPr>
              <w:pStyle w:val="Tabla8"/>
              <w:jc w:val="left"/>
            </w:pPr>
            <w:r>
              <w:t xml:space="preserve">WO 2026/093802 A1</w:t>
            </w:r>
          </w:p>
        </w:tc>
        <w:tc>
          <w:tcPr/>
          <w:p>
            <w:pPr>
              <w:pStyle w:val="Tabla8"/>
              <w:jc w:val="left"/>
            </w:pPr>
            <w:r>
              <w:t xml:space="preserve">Acosta y Horstmann (2026)</w:t>
            </w:r>
          </w:p>
        </w:tc>
        <w:tc>
          <w:tcPr/>
          <w:p>
            <w:pPr>
              <w:pStyle w:val="Tabla8"/>
              <w:jc w:val="left"/>
            </w:pPr>
            <w:r>
              <w:t xml:space="preserve">CosySense</w:t>
            </w:r>
          </w:p>
        </w:tc>
        <w:tc>
          <w:tcPr/>
          <w:p>
            <w:pPr>
              <w:pStyle w:val="Tabla8"/>
              <w:jc w:val="left"/>
            </w:pPr>
            <w:r>
              <w:t xml:space="preserve">28/10/2024</w:t>
            </w:r>
          </w:p>
        </w:tc>
        <w:tc>
          <w:tcPr/>
          <w:p>
            <w:pPr>
              <w:pStyle w:val="Tabla8"/>
              <w:jc w:val="left"/>
            </w:pPr>
            <w:r>
              <w:t xml:space="preserve">28/04/2027</w:t>
            </w:r>
          </w:p>
        </w:tc>
        <w:tc>
          <w:tcPr/>
          <w:p>
            <w:pPr>
              <w:pStyle w:val="Tabla8"/>
              <w:jc w:val="left"/>
            </w:pPr>
            <w:r>
              <w:t xml:space="preserve">Abierto</w:t>
            </w:r>
          </w:p>
        </w:tc>
        <w:tc>
          <w:tcPr/>
          <w:p>
            <w:pPr>
              <w:pStyle w:val="Tabla8"/>
              <w:jc w:val="left"/>
            </w:pPr>
            <w:r>
              <w:t xml:space="preserve">197</w:t>
            </w:r>
          </w:p>
        </w:tc>
        <w:tc>
          <w:tcPr/>
          <w:p>
            <w:pPr>
              <w:pStyle w:val="Tabla8"/>
              <w:jc w:val="left"/>
            </w:pPr>
            <w:r>
              <w:t xml:space="preserve">Baja: gestión del ambiente construido</w:t>
            </w:r>
          </w:p>
        </w:tc>
      </w:tr>
      <w:tr>
        <w:trPr>
          <w:cantSplit/>
        </w:trPr>
        <w:tc>
          <w:tcPr/>
          <w:p>
            <w:pPr>
              <w:pStyle w:val="Tabla8"/>
              <w:jc w:val="left"/>
            </w:pPr>
            <w:r>
              <w:t xml:space="preserve">WO 2026/180852 A1</w:t>
            </w:r>
          </w:p>
        </w:tc>
        <w:tc>
          <w:tcPr/>
          <w:p>
            <w:pPr>
              <w:pStyle w:val="Tabla8"/>
              <w:jc w:val="left"/>
            </w:pPr>
            <w:r>
              <w:t xml:space="preserve">Spasojevic Brkic et al. (2026)</w:t>
            </w:r>
          </w:p>
        </w:tc>
        <w:tc>
          <w:tcPr/>
          <w:p>
            <w:pPr>
              <w:pStyle w:val="Tabla8"/>
              <w:jc w:val="left"/>
            </w:pPr>
            <w:r>
              <w:t xml:space="preserve">SmartMiner</w:t>
            </w:r>
          </w:p>
        </w:tc>
        <w:tc>
          <w:tcPr/>
          <w:p>
            <w:pPr>
              <w:pStyle w:val="Tabla8"/>
              <w:jc w:val="left"/>
            </w:pPr>
            <w:r>
              <w:t xml:space="preserve">28/02/2025 (presentación)</w:t>
            </w:r>
          </w:p>
        </w:tc>
        <w:tc>
          <w:tcPr/>
          <w:p>
            <w:pPr>
              <w:pStyle w:val="Tabla8"/>
              <w:jc w:val="left"/>
            </w:pPr>
            <w:r>
              <w:t xml:space="preserve">28/08/2027</w:t>
            </w:r>
          </w:p>
        </w:tc>
        <w:tc>
          <w:tcPr/>
          <w:p>
            <w:pPr>
              <w:pStyle w:val="Tabla8"/>
              <w:jc w:val="left"/>
            </w:pPr>
            <w:r>
              <w:t xml:space="preserve">Abierto</w:t>
            </w:r>
          </w:p>
        </w:tc>
        <w:tc>
          <w:tcPr/>
          <w:p>
            <w:pPr>
              <w:pStyle w:val="Tabla8"/>
              <w:jc w:val="left"/>
            </w:pPr>
            <w:r>
              <w:t xml:space="preserve">319</w:t>
            </w:r>
          </w:p>
        </w:tc>
        <w:tc>
          <w:tcPr/>
          <w:p>
            <w:pPr>
              <w:pStyle w:val="Tabla8"/>
              <w:jc w:val="left"/>
            </w:pPr>
            <w:r>
              <w:t xml:space="preserve">Media a alta: monitoreo de condiciones de trabajo en maquinaria de movimiento de tierras</w:t>
            </w:r>
          </w:p>
        </w:tc>
      </w:tr>
    </w:tbl>
    <w:p>
      <w:pPr>
        <w:pStyle w:val="TablaNota"/>
      </w:pPr>
      <w:r>
        <w:rPr>
          <w:i/>
          <w:iCs/>
        </w:rPr>
        <w:t xml:space="preserve">Nota.</w:t>
      </w:r>
      <w:r>
        <w:t xml:space="preserve"> </w:t>
      </w:r>
      <w:r>
        <w:t xml:space="preserve">Elaboración propia con datos de F-INF Anexo C, Tabla 68 (p. 221), §1.3 (p. 10), §5.7 (p. 55) y §13.2. Días restantes calculados al 13 de octubre de 2026; el informe los calculó al 30 de septiembre de 2026 (71, 210 y 332 días). Plazos con conocimiento externo: NO_VERIFICADO. La relación con el diseño es INFERIDO y requiere análisis jurídico. Año de corte 2026.</w:t>
      </w:r>
    </w:p>
    <w:p>
      <w:pPr>
        <w:pStyle w:val="FiguraRotulo"/>
      </w:pPr>
      <w:bookmarkStart w:id="9503" w:name="rot_Figura_2_14"/>
      <w:r>
        <w:rPr>
          <w:b/>
          <w:bCs/>
        </w:rPr>
        <w:t xml:space="preserve">Figura 2.14</w:t>
      </w:r>
      <w:bookmarkEnd w:id="9503"/>
    </w:p>
    <w:p>
      <w:pPr>
        <w:pStyle w:val="FiguraTitulo"/>
      </w:pPr>
      <w:r>
        <w:rPr>
          <w:i/>
          <w:iCs/>
        </w:rPr>
        <w:t xml:space="preserve">Línea de tiempo de las patentes del corpus y de los plazos de fase nacional en Colombia</w:t>
      </w:r>
    </w:p>
    <w:p>
      <w:pPr>
        <w:pStyle w:val="BodyText"/>
      </w:pPr>
      <w:r>
        <w:drawing>
          <wp:inline>
            <wp:extent cx="5579999" cy="3091701"/>
            <wp:effectExtent b="0" l="0" r="0" t="0"/>
            <wp:docPr descr="" title="" id="349" name="Picture"/>
            <a:graphic>
              <a:graphicData uri="http://schemas.openxmlformats.org/drawingml/2006/picture">
                <pic:pic>
                  <pic:nvPicPr>
                    <pic:cNvPr descr="/tmp/claude-0/-home-user-docs/ddf38714-2a7e-502b-92b4-1008e2832422/scratchpad/proy/figs/out/c2_patentes.png" id="350" name="Picture"/>
                    <pic:cNvPicPr>
                      <a:picLocks noChangeArrowheads="1" noChangeAspect="1"/>
                    </pic:cNvPicPr>
                  </pic:nvPicPr>
                  <pic:blipFill>
                    <a:blip r:embed="rId348"/>
                    <a:stretch>
                      <a:fillRect/>
                    </a:stretch>
                  </pic:blipFill>
                  <pic:spPr bwMode="auto">
                    <a:xfrm>
                      <a:off x="0" y="0"/>
                      <a:ext cx="5579999" cy="309170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Anexo C (p. 221), §5.7 (p. 55) y §13.2 (p. 212). Marcador: año de publicación; barra: ventana de 30 meses desde la prioridad; corte al 13 de octubre de 2026. Plazos con conocimiento externo: NO_VERIFICADO. 15 patentes; año de corte 2026.</w:t>
      </w:r>
    </w:p>
    <w:p>
      <w:pPr>
        <w:pStyle w:val="BodyText"/>
      </w:pPr>
      <w:r>
        <w:t xml:space="preserve">Siete solicitudes tienen vencido el plazo de 30 meses. Tres siguen abiertas. Machida y Ammendola (2025) cierra el 10 de diciembre de 2026, Acosta y Horstmann (2026) el 28 de abril de 2027 y Spasojevic Brkic et al. (2026) el 28 de agosto de 2027. Ninguna solicitud informa la fase nacional (F-INF §5.7, p. 55). Si el titular no entró a la fase nacional dentro del plazo, la tecnología sería de uso libre en Colombia (INFERIDO). La patente más antigua, Reintjes et al. (1995), tiene prioridad de 1993 y superó la vigencia de 20 años (F-INF §5.7, p. 55).</w:t>
      </w:r>
    </w:p>
    <w:p>
      <w:pPr>
        <w:pStyle w:val="BodyText"/>
      </w:pPr>
      <w:r>
        <w:t xml:space="preserve">Cuatro patentes ofrecen métodos de calibración, autocalibración o medición de partículas sin datos de desempeño. Son Koppinen et al. (2019), Ali et al. (2022), Wilson et al. (2024) y Spasojevic Brkic et al. (2026) (F-INF §1.3, p. 10). Las tres primeras tienen el plazo vencido. La cuarta sigue abierta. Su título menciona maquinaria de movimiento de tierras, un contexto cercano a la remoción de escombros. Es la única de las abiertas con esa mención (INFERIDO). Su análisis tiene prioridad.</w:t>
      </w:r>
    </w:p>
    <w:p>
      <w:pPr>
        <w:pStyle w:val="BodyText"/>
      </w:pPr>
      <w:r>
        <w:t xml:space="preserve">Dos posiciones orientan el manejo del riesgo. La primera propone evitar toda tecnología con solicitudes abiertas. La segunda propone consultar primero el estado nacional y decidir después. La segunda es la que sigue el informe de vigilancia, porque designar a Colombia no implica entrar a la fase nacional. Teece (1986) analiza cómo los mecanismos de apropiación determinan quién captura el valor de una innovación. En esa lógica, una designación que el titular no ejerce no excluye a terceros (INFERIDO). El informe de la SIC describe un procedimiento con dos ecuaciones para identificar tecnologías en dominio público (SIC, 2026, pp. 4-9). El informe de vigilancia propone replicarlo para la calidad del aire. Plantea que al menos 30 % de las solicitudes nacionales de esa materia están en dominio público (F-INF §5.7, p. 55). Esa cifra es una hipótesis y no un dato.</w:t>
      </w:r>
    </w:p>
    <w:p>
      <w:pPr>
        <w:pStyle w:val="BodyText"/>
      </w:pPr>
      <w:r>
        <w:t xml:space="preserve">El proyecto presupuesta 150 horas de consultoría jurídica en propiedad intelectual y libertad de operación, por 45 millones de pesos colombianos (COP). Es la línea S02 y su naturaleza es DECLARADO. También registra el riesgo R-JUR-01. Una solicitud de terceros afecta la libertad de operación con probabilidad de 20 % y un impacto de COP 100 millones. El valor monetario esperado es de COP 20 millones (CALCULADO). Tres acciones se proponen (PROPUESTO). Primera, consultar el estado nacional de las diez solicitudes durante el primer mes de ejecución con el procedimiento que publica la SIC (SIC, 2026, pp. 2, 7 y 9). Segunda, vigilar los tres vencimientos abiertos con alertas anteriores a cada fecha. Tercera, someter el diseño final del nodo y del gateway a un análisis jurídico de reivindicaciones con las horas de la línea S02.</w:t>
      </w:r>
    </w:p>
    <w:bookmarkEnd w:id="351"/>
    <w:bookmarkStart w:id="352" w:name="_Toc00900136"/>
    <w:p>
      <w:pPr>
        <w:pStyle w:val="Heading3"/>
      </w:pPr>
      <w:r>
        <w:t xml:space="preserve">2.3.4 Evidencia de validación en las patentes</w:t>
      </w:r>
    </w:p>
    <w:p>
      <w:pPr>
        <w:pStyle w:val="FirstParagraph"/>
      </w:pPr>
      <w:r>
        <w:t xml:space="preserve">Ninguna patente del corpus reporta validación con verdad de referencia (F-INF §1.3, p. 10). El resultado abarca las 15 patentes. Las patentes afirman ventajas frente a las prácticas convencionales, como exactitud, costo o energía. Ningún documento las demuestra (F-INF §6.1, p. 56). Esa ausencia define el papel de las patentes en el proyecto. Sirven como señal de libertad de operación y como inventario de ideas. No sirven como evidencia de desempeño.</w:t>
      </w:r>
    </w:p>
    <w:p>
      <w:pPr>
        <w:pStyle w:val="BodyText"/>
      </w:pPr>
      <w:r>
        <w:t xml:space="preserve">La consecuencia es que el proyecto genera su propia evidencia en el tramo 1. Coloca tres monitores gravimétricos de referencia, uno por departamento, junto a los nodos del piloto de 30 nodos y tres gateways. Compara las lecturas corregidas con los umbrales de la EPA (EPA, 2021). Esos umbrales son R² de 0,70 o más y NRMSE de 30 % o menos (PROPUESTO). El resultado alimenta la compuerta C1 al mes 12. Así el proyecto convierte la ausencia de validación en las patentes en su propia hipótesis verificable.</w:t>
      </w:r>
    </w:p>
    <w:bookmarkEnd w:id="352"/>
    <w:bookmarkEnd w:id="353"/>
    <w:bookmarkStart w:id="359" w:name="Xc5c919127df9f62bc934aaaf75507f496398397"/>
    <w:p>
      <w:pPr>
        <w:pStyle w:val="Heading2"/>
      </w:pPr>
      <w:r>
        <w:t xml:space="preserve">2.4 Estado del arte temático: síntesis analítica</w:t>
      </w:r>
    </w:p>
    <w:p>
      <w:pPr>
        <w:pStyle w:val="FirstParagraph"/>
      </w:pPr>
      <w:r>
        <w:t xml:space="preserve">El estado del arte temático organiza la evidencia en cuatro dimensiones. La primera es la base teórica del problema. La segunda reúne las metodologías y los enfoques. La tercera describe el contexto territorial y sectorial. La cuarta recoge las innovaciones y las tendencias emergentes. Cada dimensión sigue la misma secuencia: consensos, controversias y brecha. Los consensos se respaldan con citas parentéticas agrupadas. Las controversias se discuten con citas narrativas que contrastan posiciones. La brecha se enuncia con el modelo de creación de un espacio de investigación (CARS, por su sigla en inglés). Ese modelo distingue el territorio establecido, el nicho y la ocupación del nicho (Swales, 1990; Swales, 2004).</w:t>
      </w:r>
    </w:p>
    <w:p>
      <w:pPr>
        <w:pStyle w:val="BodyText"/>
      </w:pPr>
      <w:r>
        <w:t xml:space="preserve">La evidencia proviene de dos fuentes. La primera es F-INF, que reúne 26 artículos, 15 patentes y un informe institucional. De esos 42 documentos, 26 son de 2025 y 2026, es decir, 61,9 % del corpus (F-INF, sección 3.1, p. 19). La segunda es el banco de literatura de dominio. Cubre la calibración de sensores, la humedad, los gemelos digitales y el procesamiento en el borde. También cubre los enlaces de largo alcance, los índices de salud y el polvo de escombros. La Tabla 2.25 resume el resultado por dimensión. La Tabla 2.23 compara los enfoques metodológicos. Las cifras de F-INF son DECLARADO y no se verificaron en esta corrida. El corpus es una muestra intencional sin criterio de selección registrado (F-INF, sección 10.8, p. 147).</w:t>
      </w:r>
    </w:p>
    <w:bookmarkStart w:id="354" w:name="_Toc00900137"/>
    <w:p>
      <w:pPr>
        <w:pStyle w:val="Heading3"/>
      </w:pPr>
      <w:r>
        <w:t xml:space="preserve">2.4.1 Dimensión 1: base teórica del problema</w:t>
      </w:r>
    </w:p>
    <w:p>
      <w:pPr>
        <w:pStyle w:val="FirstParagraph"/>
      </w:pPr>
      <w:r>
        <w:t xml:space="preserve">La base teórica del problema articula tres constructos. El primero es la medición óptica de masa de partículas. El segundo es la exposición al material particulado. El tercero es el uso institucional de la información ambiental. Un sensor óptico de bajo costo no mide masa. Mide la luz que dispersan las partículas y la convierte en masa con supuestos sobre su tamaño y su composición (Giordano et al., 2021; Karagulian et al., 2019). La humedad relativa altera esa conversión y sesga la lectura, como documentaron Jayaratne et al. (2018) para un sensor de masa y para episodios de niebla. El proyecto parte de este mecanismo. Su modelo de corrección incorpora humedad, temperatura y fracción gruesa. No trata la lectura óptica como una medición de masa.</w:t>
      </w:r>
    </w:p>
    <w:p>
      <w:pPr>
        <w:pStyle w:val="BodyText"/>
      </w:pPr>
      <w:r>
        <w:rPr>
          <w:b/>
          <w:bCs/>
        </w:rPr>
        <w:t xml:space="preserve">Consensos.</w:t>
      </w:r>
      <w:r>
        <w:t xml:space="preserve"> </w:t>
      </w:r>
      <w:r>
        <w:t xml:space="preserve">La literatura coincide en tres puntos. El primero es que los sensores de bajo costo amplían la cobertura de vigilancia, pero entregan datos de calidad variable (Kumar et al., 2015; Morawska et al., 2018; Castell et al., 2017). El segundo es que la humedad relativa sesga la medición y exige corrección (Jayaratne et al., 2018; Crilley et al., 2018; Barkjohn et al., 2021). El tercero es que la exposición al material particulado se asocia con desenlaces de salud (Pope y Dockery, 2006). Un desastre agrega exposiciones elevadas a polvo y humo en el personal de respuesta y en la población residente (Landrigan et al., 2004). El corpus refuerza el segundo punto. En una mina de carbón a cielo abierto, la correlación de las partículas con la humedad fue de 0,73 en un sensor sin corregir (Suresh et al., 2025, p. 30).</w:t>
      </w:r>
    </w:p>
    <w:p>
      <w:pPr>
        <w:pStyle w:val="BodyText"/>
      </w:pPr>
      <w:r>
        <w:rPr>
          <w:b/>
          <w:bCs/>
        </w:rPr>
        <w:t xml:space="preserve">Controversias.</w:t>
      </w:r>
      <w:r>
        <w:t xml:space="preserve"> </w:t>
      </w:r>
      <w:r>
        <w:t xml:space="preserve">Dos debates separan a los autores. El primero concierne a los umbrales de decisión. La OMS (2021) fija valores guía por contaminante, mientras Stieb et al. (2008) construyeron un índice multicontaminante sin umbral a partir de asociaciones de series de tiempo. Liao et al. (2026, pp. 6 y 8) revisaron 53 estudios de índices de calidad del aire y salud. El 88,7 % procede de China, ninguno de América Latina y solo 9,4 % validó con partición de datos. Wilson et al. (2024, pp. 85 y 88) toman cortes de PM2,5 de guías de otros contextos, mientras Bang et al. (2026, p. 2) y Suresh et al. (2025, p. 11) anclan sus umbrales en la guía de la OMS de 15 µg/m3. La disputa es de contexto. Cada umbral viene de un régimen distinto y ninguno se validó en sitios de remoción de escombros (INFERIDO).</w:t>
      </w:r>
    </w:p>
    <w:p>
      <w:pPr>
        <w:pStyle w:val="BodyText"/>
      </w:pPr>
      <w:r>
        <w:t xml:space="preserve">La elección del umbral cambia la magnitud de los resultados. En Curicó, la fracción de días buenos de PM10 pasa de 99,4 % a 15,6 % según la norma aplicada (Vélez-Pereira et al., 2025, p. 9). En Colombia, las muertes evitables por PM2,5 entre 2014 y 2019 van de 142 a 34.341. La cifra baja usa 25 µg/m3 como referencia y la alta usa 15 µg/m3 (Rodríguez-Villamizar et al., 2022, pp. 6 y 8). Ambos casos muestran que el umbral es una decisión metodológica y no un dato. Por eso el proyecto fija los umbrales del tablero con validación local y declara su ancla.</w:t>
      </w:r>
    </w:p>
    <w:p>
      <w:pPr>
        <w:pStyle w:val="BodyText"/>
      </w:pPr>
      <w:r>
        <w:t xml:space="preserve">El segundo debate concierne al paso de la información a la decisión. Davis (1989) propuso que la utilidad percibida y la facilidad de uso explican la aceptación de una tecnología de información. Venkatesh et al. (2003) integraron ocho modelos de aceptación en una teoría unificada. Rendón-Marín et al. (2024, p. 8) observaron, en estudiantes de medicina de Medellín, que los conocimientos no se asocian de forma directa con las prácticas de protección. Los dos resultados no se contradicen, pero advierten que informar no basta. La lectura del proyecto es que el uso depende de la utilidad percibida por quien decide y no solo del conocimiento disponible (INFERIDO).</w:t>
      </w:r>
    </w:p>
    <w:p>
      <w:pPr>
        <w:pStyle w:val="BodyText"/>
      </w:pPr>
      <w:r>
        <w:rPr>
          <w:b/>
          <w:bCs/>
        </w:rPr>
        <w:t xml:space="preserve">Brecha.</w:t>
      </w:r>
      <w:r>
        <w:t xml:space="preserve"> </w:t>
      </w:r>
      <w:r>
        <w:t xml:space="preserve">En el territorio establecido, la literatura acepta que la humedad sesga la lectura y que la referencia colocalizada la corrige. En el nicho, 37 de 42 documentos (88,1 %) no cubren Colombia, América Latina, el trópico ni los Andes. Además, 32 de 42 (76,2 %) no conectan la métrica con el resultado en salud, política o conducta (F-INF, sección 5.3, p. 48). Ningún documento liga la medición verificada con la decisión de un comité de gestión del riesgo en un sitio de escombros (INFERIDO). El proyecto ocupa ese espacio con una definición operativa. La calidad se mide con R² y error normalizado frente a referencia. El uso se mide con decisiones documentadas de los comités (PERS-E01). La consecuencia metodológica es doble. El proyecto no promete efectos en salud, porque la evidencia disponible asocia y no identifica causas. Tampoco adopta un índice externo sin validarlo: los umbrales del tablero se validan con datos locales en el tramo 1.</w:t>
      </w:r>
    </w:p>
    <w:bookmarkEnd w:id="354"/>
    <w:bookmarkStart w:id="355" w:name="_Toc00900138"/>
    <w:p>
      <w:pPr>
        <w:pStyle w:val="Heading3"/>
      </w:pPr>
      <w:r>
        <w:t xml:space="preserve">2.4.2 Dimensión 2: metodologías y enfoques</w:t>
      </w:r>
    </w:p>
    <w:p>
      <w:pPr>
        <w:pStyle w:val="FirstParagraph"/>
      </w:pPr>
      <w:r>
        <w:t xml:space="preserve">Los enfoques para obtener datos utilizables de sensores de bajo costo se agrupan en cinco familias. La primera es la corrección lineal fija. La segunda es la corrección con humedad. La tercera es la colocalización con alineación temporal frente a una estación de referencia. La cuarta es el aprendizaje automático. La quinta es la autocalibración por ventana estable. La evolución metodológica va de la evaluación a la corrección y de la corrección al protocolo. Los trabajos iniciales evaluaron el desempeño de los sensores frente a instrumentos de referencia (Castell et al., 2017; Crilley et al., 2018; Karagulian et al., 2019). Los posteriores propusieron correcciones con covariables y seguimiento a largo plazo (Malings et al., 2020; Barkjohn et al., 2021). La etapa reciente incorpora la alineación con la estación cercana (Bang et al., 2026, pp. 6-8) y los protocolos con valores objetivo (EPA, 2021). El aprendizaje automático ocupa nueve de los 42 documentos del corpus como línea de pronóstico (F-INF, sección 4.8, p. 41). La Tabla 2.23 compara estos enfoques por autor, método, fortalezas y limitaciones.</w:t>
      </w:r>
    </w:p>
    <w:p>
      <w:pPr>
        <w:pStyle w:val="TablaRotulo"/>
      </w:pPr>
      <w:bookmarkStart w:id="9253" w:name="rot_Tabla_2_23"/>
      <w:r>
        <w:rPr>
          <w:b/>
          <w:bCs/>
        </w:rPr>
        <w:t xml:space="preserve">Tabla 2.23</w:t>
      </w:r>
      <w:bookmarkEnd w:id="9253"/>
    </w:p>
    <w:p>
      <w:pPr>
        <w:pStyle w:val="TablaTitulo"/>
      </w:pPr>
      <w:r>
        <w:rPr>
          <w:i/>
          <w:iCs/>
        </w:rPr>
        <w:t xml:space="preserve">Comparación de enfoques metodológicos para corregir y evaluar sensores ópticos de bajo costo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056"/>
        <w:gridCol w:w="1584"/>
        <w:gridCol w:w="1452"/>
        <w:gridCol w:w="1914"/>
        <w:gridCol w:w="1914"/>
      </w:tblGrid>
      <w:tr>
        <w:trPr>
          <w:cantSplit/>
          <w:tblHeader/>
        </w:trPr>
        <w:tc>
          <w:tcPr>
            <w:shd w:val="clear" w:color="auto" w:fill="00B050"/>
          </w:tcPr>
          <w:p>
            <w:pPr>
              <w:pStyle w:val="Tabla9"/>
              <w:jc w:val="center"/>
            </w:pPr>
            <w:r>
              <w:rPr>
                <w:b/>
                <w:color w:val="FFFFFF"/>
              </w:rPr>
              <w:t xml:space="preserve">Autor y año</w:t>
            </w:r>
          </w:p>
        </w:tc>
        <w:tc>
          <w:tcPr>
            <w:shd w:val="clear" w:color="auto" w:fill="00B050"/>
          </w:tcPr>
          <w:p>
            <w:pPr>
              <w:pStyle w:val="Tabla9"/>
              <w:jc w:val="center"/>
            </w:pPr>
            <w:r>
              <w:rPr>
                <w:b/>
                <w:color w:val="FFFFFF"/>
              </w:rPr>
              <w:t xml:space="preserve">Método</w:t>
            </w:r>
          </w:p>
        </w:tc>
        <w:tc>
          <w:tcPr>
            <w:shd w:val="clear" w:color="auto" w:fill="00B050"/>
          </w:tcPr>
          <w:p>
            <w:pPr>
              <w:pStyle w:val="Tabla9"/>
              <w:jc w:val="center"/>
            </w:pPr>
            <w:r>
              <w:rPr>
                <w:b/>
                <w:color w:val="FFFFFF"/>
              </w:rPr>
              <w:t xml:space="preserve">Fortalezas</w:t>
            </w:r>
          </w:p>
        </w:tc>
        <w:tc>
          <w:tcPr>
            <w:shd w:val="clear" w:color="auto" w:fill="00B050"/>
          </w:tcPr>
          <w:p>
            <w:pPr>
              <w:pStyle w:val="Tabla9"/>
              <w:jc w:val="center"/>
            </w:pPr>
            <w:r>
              <w:rPr>
                <w:b/>
                <w:color w:val="FFFFFF"/>
              </w:rPr>
              <w:t xml:space="preserve">Limitaciones</w:t>
            </w:r>
          </w:p>
        </w:tc>
        <w:tc>
          <w:tcPr>
            <w:shd w:val="clear" w:color="auto" w:fill="00B050"/>
          </w:tcPr>
          <w:p>
            <w:pPr>
              <w:pStyle w:val="Tabla9"/>
              <w:jc w:val="center"/>
            </w:pPr>
            <w:r>
              <w:rPr>
                <w:b/>
                <w:color w:val="FFFFFF"/>
              </w:rPr>
              <w:t xml:space="preserve">Naturaleza y verificación</w:t>
            </w:r>
          </w:p>
        </w:tc>
      </w:tr>
      <w:tr>
        <w:trPr>
          <w:cantSplit/>
        </w:trPr>
        <w:tc>
          <w:tcPr/>
          <w:p>
            <w:pPr>
              <w:pStyle w:val="Tabla9"/>
              <w:jc w:val="left"/>
            </w:pPr>
            <w:r>
              <w:t xml:space="preserve">Jayaratne et al. (2018)</w:t>
            </w:r>
          </w:p>
        </w:tc>
        <w:tc>
          <w:tcPr/>
          <w:p>
            <w:pPr>
              <w:pStyle w:val="Tabla9"/>
              <w:jc w:val="left"/>
            </w:pPr>
            <w:r>
              <w:t xml:space="preserve">Evaluación de un sensor de masa de bajo costo bajo humedad variable y en niebla</w:t>
            </w:r>
          </w:p>
        </w:tc>
        <w:tc>
          <w:tcPr/>
          <w:p>
            <w:pPr>
              <w:pStyle w:val="Tabla9"/>
              <w:jc w:val="left"/>
            </w:pPr>
            <w:r>
              <w:t xml:space="preserve">Aísla el efecto de la humedad sobre la lectura</w:t>
            </w:r>
          </w:p>
        </w:tc>
        <w:tc>
          <w:tcPr/>
          <w:p>
            <w:pPr>
              <w:pStyle w:val="Tabla9"/>
              <w:jc w:val="left"/>
            </w:pPr>
            <w:r>
              <w:t xml:space="preserve">Un modelo de sensor; magnitudes del sesgo NO_VERIFICADO</w:t>
            </w:r>
          </w:p>
        </w:tc>
        <w:tc>
          <w:tcPr/>
          <w:p>
            <w:pPr>
              <w:pStyle w:val="Tabla9"/>
              <w:jc w:val="left"/>
            </w:pPr>
            <w:r>
              <w:t xml:space="preserve">DOCUMENTADO; NO_VERIFICADO</w:t>
            </w:r>
          </w:p>
        </w:tc>
      </w:tr>
      <w:tr>
        <w:trPr>
          <w:cantSplit/>
        </w:trPr>
        <w:tc>
          <w:tcPr/>
          <w:p>
            <w:pPr>
              <w:pStyle w:val="Tabla9"/>
              <w:jc w:val="left"/>
            </w:pPr>
            <w:r>
              <w:t xml:space="preserve">Crilley et al. (2018)</w:t>
            </w:r>
          </w:p>
        </w:tc>
        <w:tc>
          <w:tcPr/>
          <w:p>
            <w:pPr>
              <w:pStyle w:val="Tabla9"/>
              <w:jc w:val="left"/>
            </w:pPr>
            <w:r>
              <w:t xml:space="preserve">Evaluación del contador óptico OPC-N2 frente a referencia en aire ambiente</w:t>
            </w:r>
          </w:p>
        </w:tc>
        <w:tc>
          <w:tcPr/>
          <w:p>
            <w:pPr>
              <w:pStyle w:val="Tabla9"/>
              <w:jc w:val="left"/>
            </w:pPr>
            <w:r>
              <w:t xml:space="preserve">Comparación con instrumentos de referencia</w:t>
            </w:r>
          </w:p>
        </w:tc>
        <w:tc>
          <w:tcPr/>
          <w:p>
            <w:pPr>
              <w:pStyle w:val="Tabla9"/>
              <w:jc w:val="left"/>
            </w:pPr>
            <w:r>
              <w:t xml:space="preserve">Resultados propios del modelo evaluado; cifras NO_VERIFICADO</w:t>
            </w:r>
          </w:p>
        </w:tc>
        <w:tc>
          <w:tcPr/>
          <w:p>
            <w:pPr>
              <w:pStyle w:val="Tabla9"/>
              <w:jc w:val="left"/>
            </w:pPr>
            <w:r>
              <w:t xml:space="preserve">DOCUMENTADO; NO_VERIFICADO</w:t>
            </w:r>
          </w:p>
        </w:tc>
      </w:tr>
      <w:tr>
        <w:trPr>
          <w:cantSplit/>
        </w:trPr>
        <w:tc>
          <w:tcPr/>
          <w:p>
            <w:pPr>
              <w:pStyle w:val="Tabla9"/>
              <w:jc w:val="left"/>
            </w:pPr>
            <w:r>
              <w:t xml:space="preserve">Magi et al. (2020)</w:t>
            </w:r>
          </w:p>
        </w:tc>
        <w:tc>
          <w:tcPr/>
          <w:p>
            <w:pPr>
              <w:pStyle w:val="Tabla9"/>
              <w:jc w:val="left"/>
            </w:pPr>
            <w:r>
              <w:t xml:space="preserve">Comparación de un contador óptico con un monitor de atenuación beta equivalente federal en entorno urbano</w:t>
            </w:r>
          </w:p>
        </w:tc>
        <w:tc>
          <w:tcPr/>
          <w:p>
            <w:pPr>
              <w:pStyle w:val="Tabla9"/>
              <w:jc w:val="left"/>
            </w:pPr>
            <w:r>
              <w:t xml:space="preserve">Referencia equivalente reconocida</w:t>
            </w:r>
          </w:p>
        </w:tc>
        <w:tc>
          <w:tcPr/>
          <w:p>
            <w:pPr>
              <w:pStyle w:val="Tabla9"/>
              <w:jc w:val="left"/>
            </w:pPr>
            <w:r>
              <w:t xml:space="preserve">Contexto urbano; sin sitios con polvo grueso (INFERIDO)</w:t>
            </w:r>
          </w:p>
        </w:tc>
        <w:tc>
          <w:tcPr/>
          <w:p>
            <w:pPr>
              <w:pStyle w:val="Tabla9"/>
              <w:jc w:val="left"/>
            </w:pPr>
            <w:r>
              <w:t xml:space="preserve">DOCUMENTADO; NO_VERIFICADO</w:t>
            </w:r>
          </w:p>
        </w:tc>
      </w:tr>
      <w:tr>
        <w:trPr>
          <w:cantSplit/>
        </w:trPr>
        <w:tc>
          <w:tcPr/>
          <w:p>
            <w:pPr>
              <w:pStyle w:val="Tabla9"/>
              <w:jc w:val="left"/>
            </w:pPr>
            <w:r>
              <w:t xml:space="preserve">Malings et al. (2020)</w:t>
            </w:r>
          </w:p>
        </w:tc>
        <w:tc>
          <w:tcPr/>
          <w:p>
            <w:pPr>
              <w:pStyle w:val="Tabla9"/>
              <w:jc w:val="left"/>
            </w:pPr>
            <w:r>
              <w:t xml:space="preserve">Corrección y evaluación del desempeño a largo plazo de sensores de masa fina</w:t>
            </w:r>
          </w:p>
        </w:tc>
        <w:tc>
          <w:tcPr/>
          <w:p>
            <w:pPr>
              <w:pStyle w:val="Tabla9"/>
              <w:jc w:val="left"/>
            </w:pPr>
            <w:r>
              <w:t xml:space="preserve">Seguimiento temporal del desempeño</w:t>
            </w:r>
          </w:p>
        </w:tc>
        <w:tc>
          <w:tcPr/>
          <w:p>
            <w:pPr>
              <w:pStyle w:val="Tabla9"/>
              <w:jc w:val="left"/>
            </w:pPr>
            <w:r>
              <w:t xml:space="preserve">Solo PM2,5; cifras NO_VERIFICADO</w:t>
            </w:r>
          </w:p>
        </w:tc>
        <w:tc>
          <w:tcPr/>
          <w:p>
            <w:pPr>
              <w:pStyle w:val="Tabla9"/>
              <w:jc w:val="left"/>
            </w:pPr>
            <w:r>
              <w:t xml:space="preserve">DOCUMENTADO; NO_VERIFICADO</w:t>
            </w:r>
          </w:p>
        </w:tc>
      </w:tr>
      <w:tr>
        <w:trPr>
          <w:cantSplit/>
        </w:trPr>
        <w:tc>
          <w:tcPr/>
          <w:p>
            <w:pPr>
              <w:pStyle w:val="Tabla9"/>
              <w:jc w:val="left"/>
            </w:pPr>
            <w:r>
              <w:t xml:space="preserve">Barkjohn et al. (2021)</w:t>
            </w:r>
          </w:p>
        </w:tc>
        <w:tc>
          <w:tcPr/>
          <w:p>
            <w:pPr>
              <w:pStyle w:val="Tabla9"/>
              <w:jc w:val="left"/>
            </w:pPr>
            <w:r>
              <w:t xml:space="preserve">Colocalización con monitores de referencia y modelo lineal con humedad relativa para el sensor PurpleAir en EE. UU.</w:t>
            </w:r>
          </w:p>
        </w:tc>
        <w:tc>
          <w:tcPr/>
          <w:p>
            <w:pPr>
              <w:pStyle w:val="Tabla9"/>
              <w:jc w:val="left"/>
            </w:pPr>
            <w:r>
              <w:t xml:space="preserve">Una sola corrección para una red de alcance nacional; humedad como covariable</w:t>
            </w:r>
          </w:p>
        </w:tc>
        <w:tc>
          <w:tcPr/>
          <w:p>
            <w:pPr>
              <w:pStyle w:val="Tabla9"/>
              <w:jc w:val="left"/>
            </w:pPr>
            <w:r>
              <w:t xml:space="preserve">Un tipo de sensor y solo PM2,5; sin pruebas en sitios de remoción (INFERIDO)</w:t>
            </w:r>
          </w:p>
        </w:tc>
        <w:tc>
          <w:tcPr/>
          <w:p>
            <w:pPr>
              <w:pStyle w:val="Tabla9"/>
              <w:jc w:val="left"/>
            </w:pPr>
            <w:r>
              <w:t xml:space="preserve">DOCUMENTADO; NO_VERIFICADO</w:t>
            </w:r>
          </w:p>
        </w:tc>
      </w:tr>
      <w:tr>
        <w:trPr>
          <w:cantSplit/>
        </w:trPr>
        <w:tc>
          <w:tcPr/>
          <w:p>
            <w:pPr>
              <w:pStyle w:val="Tabla9"/>
              <w:jc w:val="left"/>
            </w:pPr>
            <w:r>
              <w:t xml:space="preserve">Giordano et al. (2021)</w:t>
            </w:r>
          </w:p>
        </w:tc>
        <w:tc>
          <w:tcPr/>
          <w:p>
            <w:pPr>
              <w:pStyle w:val="Tabla9"/>
              <w:jc w:val="left"/>
            </w:pPr>
            <w:r>
              <w:t xml:space="preserve">Síntesis de desafíos y buenas prácticas de calibración de sensores de masa</w:t>
            </w:r>
          </w:p>
        </w:tc>
        <w:tc>
          <w:tcPr/>
          <w:p>
            <w:pPr>
              <w:pStyle w:val="Tabla9"/>
              <w:jc w:val="left"/>
            </w:pPr>
            <w:r>
              <w:t xml:space="preserve">Orienta el diseño de la colocalización</w:t>
            </w:r>
          </w:p>
        </w:tc>
        <w:tc>
          <w:tcPr/>
          <w:p>
            <w:pPr>
              <w:pStyle w:val="Tabla9"/>
              <w:jc w:val="left"/>
            </w:pPr>
            <w:r>
              <w:t xml:space="preserve">Revisión sin datos propios; no fija umbrales</w:t>
            </w:r>
          </w:p>
        </w:tc>
        <w:tc>
          <w:tcPr/>
          <w:p>
            <w:pPr>
              <w:pStyle w:val="Tabla9"/>
              <w:jc w:val="left"/>
            </w:pPr>
            <w:r>
              <w:t xml:space="preserve">DOCUMENTADO; NO_VERIFICADO</w:t>
            </w:r>
          </w:p>
        </w:tc>
      </w:tr>
      <w:tr>
        <w:trPr>
          <w:cantSplit/>
        </w:trPr>
        <w:tc>
          <w:tcPr/>
          <w:p>
            <w:pPr>
              <w:pStyle w:val="Tabla9"/>
              <w:jc w:val="left"/>
            </w:pPr>
            <w:r>
              <w:t xml:space="preserve">Bang et al. (2026)</w:t>
            </w:r>
          </w:p>
        </w:tc>
        <w:tc>
          <w:tcPr/>
          <w:p>
            <w:pPr>
              <w:pStyle w:val="Tabla9"/>
              <w:jc w:val="left"/>
            </w:pPr>
            <w:r>
              <w:t xml:space="preserve">Corrección con la estación cercana y desfase de 35 minutos en la red S-Dot de 1.138 sitios</w:t>
            </w:r>
          </w:p>
        </w:tc>
        <w:tc>
          <w:tcPr/>
          <w:p>
            <w:pPr>
              <w:pStyle w:val="Tabla9"/>
              <w:jc w:val="left"/>
            </w:pPr>
            <w:r>
              <w:t xml:space="preserve">R² de menos de 0,2 a 0,81 (pp. 6-8)</w:t>
            </w:r>
          </w:p>
        </w:tc>
        <w:tc>
          <w:tcPr/>
          <w:p>
            <w:pPr>
              <w:pStyle w:val="Tabla9"/>
              <w:jc w:val="left"/>
            </w:pPr>
            <w:r>
              <w:t xml:space="preserve">Un evento de fuegos artificiales; protocolo de alerta probado con un solo evento (p. 15)</w:t>
            </w:r>
          </w:p>
        </w:tc>
        <w:tc>
          <w:tcPr/>
          <w:p>
            <w:pPr>
              <w:pStyle w:val="Tabla9"/>
              <w:jc w:val="left"/>
            </w:pPr>
            <w:r>
              <w:t xml:space="preserve">DECLARADO; NO_VERIFICADO</w:t>
            </w:r>
          </w:p>
        </w:tc>
      </w:tr>
      <w:tr>
        <w:trPr>
          <w:cantSplit/>
        </w:trPr>
        <w:tc>
          <w:tcPr/>
          <w:p>
            <w:pPr>
              <w:pStyle w:val="Tabla9"/>
              <w:jc w:val="left"/>
            </w:pPr>
            <w:r>
              <w:t xml:space="preserve">Suresh et al. (2025)</w:t>
            </w:r>
          </w:p>
        </w:tc>
        <w:tc>
          <w:tcPr/>
          <w:p>
            <w:pPr>
              <w:pStyle w:val="Tabla9"/>
              <w:jc w:val="left"/>
            </w:pPr>
            <w:r>
              <w:t xml:space="preserve">Monitoreo con sensores IoT de bajo costo en una mina de carbón a cielo abierto</w:t>
            </w:r>
          </w:p>
        </w:tc>
        <w:tc>
          <w:tcPr/>
          <w:p>
            <w:pPr>
              <w:pStyle w:val="Tabla9"/>
              <w:jc w:val="left"/>
            </w:pPr>
            <w:r>
              <w:t xml:space="preserve">Sitio con polvo; PM2,5 medio de 159,11 µg/m3 (p. 10)</w:t>
            </w:r>
          </w:p>
        </w:tc>
        <w:tc>
          <w:tcPr/>
          <w:p>
            <w:pPr>
              <w:pStyle w:val="Tabla9"/>
              <w:jc w:val="left"/>
            </w:pPr>
            <w:r>
              <w:t xml:space="preserve">Correlación de 0,73 con la humedad en un sensor sin corregir (p. 30); corrección no documentada</w:t>
            </w:r>
          </w:p>
        </w:tc>
        <w:tc>
          <w:tcPr/>
          <w:p>
            <w:pPr>
              <w:pStyle w:val="Tabla9"/>
              <w:jc w:val="left"/>
            </w:pPr>
            <w:r>
              <w:t xml:space="preserve">DECLARADO; NO_VERIFICADO</w:t>
            </w:r>
          </w:p>
        </w:tc>
      </w:tr>
      <w:tr>
        <w:trPr>
          <w:cantSplit/>
        </w:trPr>
        <w:tc>
          <w:tcPr/>
          <w:p>
            <w:pPr>
              <w:pStyle w:val="Tabla9"/>
              <w:jc w:val="left"/>
            </w:pPr>
            <w:r>
              <w:t xml:space="preserve">Ali et al. (2022); Wilson et al. (2024)</w:t>
            </w:r>
          </w:p>
        </w:tc>
        <w:tc>
          <w:tcPr/>
          <w:p>
            <w:pPr>
              <w:pStyle w:val="Tabla9"/>
              <w:jc w:val="left"/>
            </w:pPr>
            <w:r>
              <w:t xml:space="preserve">Patentes: modelo pareado con unidad de referencia y autocalibración por ventana estable</w:t>
            </w:r>
          </w:p>
        </w:tc>
        <w:tc>
          <w:tcPr/>
          <w:p>
            <w:pPr>
              <w:pStyle w:val="Tabla9"/>
              <w:jc w:val="left"/>
            </w:pPr>
            <w:r>
              <w:t xml:space="preserve">Proponen mecanismos de mantenimiento del sensor</w:t>
            </w:r>
          </w:p>
        </w:tc>
        <w:tc>
          <w:tcPr/>
          <w:p>
            <w:pPr>
              <w:pStyle w:val="Tabla9"/>
              <w:jc w:val="left"/>
            </w:pPr>
            <w:r>
              <w:t xml:space="preserve">Sin datos de desempeño (F-INF, sección 1.3, p. 10)</w:t>
            </w:r>
          </w:p>
        </w:tc>
        <w:tc>
          <w:tcPr/>
          <w:p>
            <w:pPr>
              <w:pStyle w:val="Tabla9"/>
              <w:jc w:val="left"/>
            </w:pPr>
            <w:r>
              <w:t xml:space="preserve">DECLARADO; NO_VERIFICADO</w:t>
            </w:r>
          </w:p>
        </w:tc>
      </w:tr>
      <w:tr>
        <w:trPr>
          <w:cantSplit/>
        </w:trPr>
        <w:tc>
          <w:tcPr/>
          <w:p>
            <w:pPr>
              <w:pStyle w:val="Tabla9"/>
              <w:jc w:val="left"/>
            </w:pPr>
            <w:r>
              <w:t xml:space="preserve">Chang et al. (2023); Huang et al. (2025)</w:t>
            </w:r>
          </w:p>
        </w:tc>
        <w:tc>
          <w:tcPr/>
          <w:p>
            <w:pPr>
              <w:pStyle w:val="Tabla9"/>
              <w:jc w:val="left"/>
            </w:pPr>
            <w:r>
              <w:t xml:space="preserve">Pronóstico híbrido con descomposición de la serie completa</w:t>
            </w:r>
          </w:p>
        </w:tc>
        <w:tc>
          <w:tcPr/>
          <w:p>
            <w:pPr>
              <w:pStyle w:val="Tabla9"/>
              <w:jc w:val="left"/>
            </w:pPr>
            <w:r>
              <w:t xml:space="preserve">Reducción del RMSE de 26 % a 56 % y cercana a 50 %</w:t>
            </w:r>
          </w:p>
        </w:tc>
        <w:tc>
          <w:tcPr/>
          <w:p>
            <w:pPr>
              <w:pStyle w:val="Tabla9"/>
              <w:jc w:val="left"/>
            </w:pPr>
            <w:r>
              <w:t xml:space="preserve">Sin línea base de persistencia; riesgo de fuga de información</w:t>
            </w:r>
          </w:p>
        </w:tc>
        <w:tc>
          <w:tcPr/>
          <w:p>
            <w:pPr>
              <w:pStyle w:val="Tabla9"/>
              <w:jc w:val="left"/>
            </w:pPr>
            <w:r>
              <w:t xml:space="preserve">DECLARADO; NO_VERIFICADO</w:t>
            </w:r>
          </w:p>
        </w:tc>
      </w:tr>
      <w:tr>
        <w:trPr>
          <w:cantSplit/>
        </w:trPr>
        <w:tc>
          <w:tcPr/>
          <w:p>
            <w:pPr>
              <w:pStyle w:val="Tabla9"/>
              <w:jc w:val="left"/>
            </w:pPr>
            <w:r>
              <w:t xml:space="preserve">EPA (2021)</w:t>
            </w:r>
          </w:p>
        </w:tc>
        <w:tc>
          <w:tcPr/>
          <w:p>
            <w:pPr>
              <w:pStyle w:val="Tabla9"/>
              <w:jc w:val="left"/>
            </w:pPr>
            <w:r>
              <w:t xml:space="preserve">Protocolo de prueba con métricas y valores objetivo para sensores de PM2,5 en sitio fijo</w:t>
            </w:r>
          </w:p>
        </w:tc>
        <w:tc>
          <w:tcPr/>
          <w:p>
            <w:pPr>
              <w:pStyle w:val="Tabla9"/>
              <w:jc w:val="left"/>
            </w:pPr>
            <w:r>
              <w:t xml:space="preserve">Métricas comparables entre sensores</w:t>
            </w:r>
          </w:p>
        </w:tc>
        <w:tc>
          <w:tcPr/>
          <w:p>
            <w:pPr>
              <w:pStyle w:val="Tabla9"/>
              <w:jc w:val="left"/>
            </w:pPr>
            <w:r>
              <w:t xml:space="preserve">Solo PM2,5; uso informativo no regulatorio</w:t>
            </w:r>
          </w:p>
        </w:tc>
        <w:tc>
          <w:tcPr/>
          <w:p>
            <w:pPr>
              <w:pStyle w:val="Tabla9"/>
              <w:jc w:val="left"/>
            </w:pPr>
            <w:r>
              <w:t xml:space="preserve">DOCUMENTADO; NO_VERIFICADO</w:t>
            </w:r>
          </w:p>
        </w:tc>
      </w:tr>
    </w:tbl>
    <w:p>
      <w:pPr>
        <w:pStyle w:val="TablaNota"/>
      </w:pPr>
      <w:r>
        <w:rPr>
          <w:i/>
          <w:iCs/>
        </w:rPr>
        <w:t xml:space="preserve">Nota.</w:t>
      </w:r>
      <w:r>
        <w:t xml:space="preserve"> </w:t>
      </w:r>
      <w:r>
        <w:t xml:space="preserve">Elaboración propia con datos de F-INF (secciones 1.3, 3.1 y 4.8) y del banco de referencias. Las cifras de F-INF son DECLARADO; las descripciones de obras de dominio se limitan a lo que el título y el diseño general respaldan. Decimales con coma.</w:t>
      </w:r>
    </w:p>
    <w:p>
      <w:pPr>
        <w:pStyle w:val="BodyText"/>
      </w:pPr>
      <w:r>
        <w:t xml:space="preserve">La Tabla 2.23 muestra que cada familia corrige una fuente de error distinta. La humedad se corrige con covariables, el desfase con alineación temporal y la deriva con autocalibración. Ninguna fila combina las tres correcciones con una referencia gravimétrica en un sitio de polvo grueso. Esa combinación es la que el proyecto prueba en el tramo 1 y verifica al mes 24.</w:t>
      </w:r>
    </w:p>
    <w:p>
      <w:pPr>
        <w:pStyle w:val="BodyText"/>
      </w:pPr>
      <w:r>
        <w:rPr>
          <w:b/>
          <w:bCs/>
        </w:rPr>
        <w:t xml:space="preserve">Consensos.</w:t>
      </w:r>
      <w:r>
        <w:t xml:space="preserve"> </w:t>
      </w:r>
      <w:r>
        <w:t xml:space="preserve">Tres acuerdos orientan el diseño. El primero es que la corrección exige colocalizar el sensor con un instrumento de referencia (Giordano et al., 2021; Malings et al., 2020; Magi et al., 2020; Bang et al., 2026, pp. 6-8). El segundo es que la humedad relativa debe entrar como covariable del modelo (Barkjohn et al., 2021; Jayaratne et al., 2018; Suresh et al., 2025, p. 30). El tercero es que el desempeño se informa con métricas comparables. La EPA (2021) define protocolos, métricas y valores objetivo para sensores de PM2,5 en sitios fijos con uso informativo. El proyecto adopta esa ancla con cuatro umbrales (PROPUESTO). Son R² ≥ 0,70, error cuadrático medio normalizado (NRMSE) ≤ 30 %, pendiente entre 0,65 y 1,35 y sesgo entre −5,0 y 5,0 µg/m3.</w:t>
      </w:r>
    </w:p>
    <w:p>
      <w:pPr>
        <w:pStyle w:val="BodyText"/>
      </w:pPr>
      <w:r>
        <w:rPr>
          <w:b/>
          <w:bCs/>
        </w:rPr>
        <w:t xml:space="preserve">Controversias.</w:t>
      </w:r>
      <w:r>
        <w:t xml:space="preserve"> </w:t>
      </w:r>
      <w:r>
        <w:t xml:space="preserve">Tres controversias dividen a los autores. La primera es el alcance de la corrección. Barkjohn et al. (2021) ajustaron una sola corrección para una red de alcance nacional, mientras Giordano et al. (2021) sintetizan los desafíos de calibración y la colocalización como buena práctica. El proyecto trata la generalización como hipótesis y no como supuesto: el registro de riesgos incluye que el modelo no generalice entre departamentos (R-TEC-04). La segunda controversia es el valor de los métodos sin datos. Ali et al. (2022) y Wilson et al. (2024) proponen ponderación por confianza y autocalibración, pero ninguna solicitud informa datos de desempeño. Bang et al. (2026, pp. 6-8), en cambio, informan un R² de 0,81 con corrección y alineación, aunque probaron su protocolo de alerta con un solo evento (p. 15). La tercera es la evaluación de los modelos de aprendizaje automático. Chang et al. (2023, pp. 16-17) y Huang et al. (2025, p. 16) reportan reducciones del error de 26 % a 56 % y cercanas a 50 %, sin línea base de persistencia. La misma red LSTM alcanzó un R² de 0,70 en un estudio. En otro, el R² fue de 0,156 y 0,193, ambos a una hora (Huang et al., 2025; Wei et al., 2026).</w:t>
      </w:r>
    </w:p>
    <w:p>
      <w:pPr>
        <w:pStyle w:val="BodyText"/>
      </w:pPr>
      <w:r>
        <w:rPr>
          <w:b/>
          <w:bCs/>
        </w:rPr>
        <w:t xml:space="preserve">Brecha.</w:t>
      </w:r>
      <w:r>
        <w:t xml:space="preserve"> </w:t>
      </w:r>
      <w:r>
        <w:t xml:space="preserve">En el territorio establecido, la colocalización con humedad y alineación temporal reduce el error en redes urbanas. En el nicho, ningún documento prueba la ponderación por confianza ni la autocalibración en una red colombiana. Solo un documento informa el efecto de la alineación temporal en un par de sensores (F-INF, sección 11.5, p. 173; Bang et al., 2026, pp. 6-8). Tampoco hay una comparación entre sensores ópticos y referencia gravimétrica en sitios con polvo grueso, que Kumar et al. (2026, pp. 13-15) reclaman como validación pendiente. El proyecto ocupa el nicho con tres decisiones. La primera es colocar un monitor de referencia gravimétrico por departamento. La segunda es entrenar el modelo con la colocalización del tramo 1 y aplicarlo en los gateways. Así la corrección se define en un solo lugar (DEC-F02). La tercera es medir la línea base de error en el tramo 1. El error superior a 45 % del expediente es DECLARADO sin localizador (NO_VERIFICADO). La extensión de los valores objetivo de PM2,5 a PM10 es una decisión del proyecto (PROPUESTO).</w:t>
      </w:r>
    </w:p>
    <w:bookmarkEnd w:id="355"/>
    <w:bookmarkStart w:id="356" w:name="X6a0d0afb4bca35bb752f462448f9b8c57675af7"/>
    <w:p>
      <w:pPr>
        <w:pStyle w:val="Heading3"/>
      </w:pPr>
      <w:r>
        <w:t xml:space="preserve">2.4.3 Dimensión 3: contexto territorial y sectorial</w:t>
      </w:r>
    </w:p>
    <w:p>
      <w:pPr>
        <w:pStyle w:val="FirstParagraph"/>
      </w:pPr>
      <w:r>
        <w:t xml:space="preserve">El contexto territorial y sectorial se describe en tres planos: la vigilancia en Colombia, los referentes internacionales y el sector de la remoción de escombros. En cada plano se contrastan los datos verificables con las incógnitas que el proyecto debe medir. Los datos nacionales son escasos. Colombia reporta 209 estaciones de calidad del aire, de ellas 192 fijas y 17 indicativas, y 154 integran un sistema de vigilancia (Murad Pedraza et al., 2026, pp. 5-6). Solo 92 de 1.122 municipios miden la calidad del aire y apenas 28 cuentan con estaciones utilizables para estimar la carga de enfermedad (Rodríguez-Villamizar et al., 2022, pp. 3 y 6). De 102 municipios obligados a vigilar, 91 poseen infraestructura y 42 cumplen los mínimos (Murad Pedraza et al., 2026, pp. 7 y 17). SIATA opera 65 equipos acreditados y 450 sensores de bajo costo, con una inversión de 1,63 dólares por habitante y año (Ruiz-Carrascal et al., 2026, pp. 3 y 8).</w:t>
      </w:r>
    </w:p>
    <w:p>
      <w:pPr>
        <w:pStyle w:val="BodyText"/>
      </w:pPr>
      <w:r>
        <w:t xml:space="preserve">El marco normativo ordena la vigilancia y la gestión del riesgo. La norma de calidad del aire ambiente fija los niveles de referencia nacionales (Ministerio de Ambiente y Desarrollo Sostenible, 2017). La política de mejoramiento de la calidad del aire orienta las acciones públicas (Departamento Nacional de Planeación, 2018). La Ley 1523 de 2012 organiza el Sistema Nacional de Gestión del Riesgo de Desastres (Congreso de la República, 2012a). A él se articulan los comités territoriales que el proyecto focaliza (SUPUESTO). Las alcaldías no aportan contrapartida al proyecto (VACIO).</w:t>
      </w:r>
    </w:p>
    <w:p>
      <w:pPr>
        <w:pStyle w:val="BodyText"/>
      </w:pPr>
      <w:r>
        <w:rPr>
          <w:b/>
          <w:bCs/>
        </w:rPr>
        <w:t xml:space="preserve">Consensos.</w:t>
      </w:r>
      <w:r>
        <w:t xml:space="preserve"> </w:t>
      </w:r>
      <w:r>
        <w:t xml:space="preserve">Los datos coinciden en tres puntos. El primero es la cobertura limitada de la vigilancia. Solo 28 de 1.122 municipios cuentan con estaciones utilizables (Rodríguez-Villamizar et al., 2022, pp. 3 y 6), y apenas 42 de 102 municipios obligados cumplen los mínimos (Murad Pedraza et al., 2026, pp. 7 y 17). El segundo es la concentración de la capacidad técnica en pocas instituciones. SIATA es el único sistema de nivel 9 del corpus (Ruiz-Carrascal et al., 2026, pp. 3 y 8). El tercero es que los sensores de bajo costo amplían el monitoreo en el país y la región (Kumar et al., 2015; Tavella et al., 2026, p. 6).</w:t>
      </w:r>
    </w:p>
    <w:p>
      <w:pPr>
        <w:pStyle w:val="BodyText"/>
      </w:pPr>
      <w:r>
        <w:t xml:space="preserve">Los referentes internacionales muestran dos modelos de expansión. Seúl opera la red S-Dot con 1.138 sitios y corrige con la estación cercana (Bang et al., 2026, pp. 4 y 6-8). Brasil suma 570 estaciones, de ellas 194 monitores de bajo costo (Tavella et al., 2026, p. 6). En Perú, el Instituto Geofísico opera un sistema automático de monitoreo de lahares con TRL 7 (Espinoza et al., 2026). El primer modelo prioriza la corrección con referencia. El segundo prioriza la cobertura. Colombia combina ambos. Cuenta con una red acreditada con sensores de bajo costo en SIATA. Además, su diseño nacional de gran escala prevé sensores sin plan de calibración en 90,8 % de las estaciones (Murad Pedraza et al., 2026, pp. 10-11 y 13; cálculo del analista de F-INF).</w:t>
      </w:r>
    </w:p>
    <w:p>
      <w:pPr>
        <w:pStyle w:val="BodyText"/>
      </w:pPr>
      <w:r>
        <w:rPr>
          <w:b/>
          <w:bCs/>
        </w:rPr>
        <w:t xml:space="preserve">Controversias.</w:t>
      </w:r>
      <w:r>
        <w:t xml:space="preserve"> </w:t>
      </w:r>
      <w:r>
        <w:t xml:space="preserve">Tres disputas afectan la lectura de los datos nacionales. La primera es el costo. El diseño nacional propuesto implica unos 3,25 dólares por habitante y año de operación (Murad Pedraza et al., 2026; cálculo del analista de F-INF, sección 10.5), mientras Ruiz-Carrascal et al. (2026, p. 3) informan 1,63 dólares para SIATA. Ninguno de los dos documentos define los rubros ni el denominador. La segunda es el tamaño de la red de SIATA, que Ayala-Parra et al. (2026) cuentan con 300 sensores de bajo costo y Ruiz-Carrascal et al. (2026, p. 8) con 450. La tercera es la expansión. Kumar et al. (2026) recomiendan ampliar las redes de bajo costo y reclaman calibración estandarizada. Tavella et al. (2026, p. 6) muestran que el crecimiento del monitoreo brasileño se debe casi por completo a monitores de bajo costo. Además, 96 de 570 estaciones (16,8 %) están inactivas o sin estado. El informe de vigilancia clasifica estas tensiones como contradicciones de medición y de definición, y no de teoría (F-INF, sección 12.4, p. 197).</w:t>
      </w:r>
    </w:p>
    <w:p>
      <w:pPr>
        <w:pStyle w:val="BodyText"/>
      </w:pPr>
      <w:r>
        <w:t xml:space="preserve">El sector de la remoción de escombros no cuenta con literatura propia en el corpus. Los antecedentes más próximos son análogos. Landrigan et al. (2004) revisan las consecuencias ambientales y sanitarias del desastre del World Trade Center. Suresh et al. (2025, pp. 10 y 22) miden un PM2,5 medio de 159,11 µg/m3 y un cociente PM2,5/PM10 de 0,88 en una mina a cielo abierto. Una solicitud de patente propone sensores de gases de escape para maquinaria de movimiento de tierras sin cifras de exactitud (Spasojevic Brkic et al., 2026, pp. 14-15 y 19-20). Otra estima la sílice respirable con proporciones por defecto del PM2,5 (Machida y Ammendola, 2025, pp. 43 y 45). Ninguno de estos antecedentes valida un sensor óptico frente a una referencia gravimétrica en un sitio de escombros.</w:t>
      </w:r>
    </w:p>
    <w:p>
      <w:pPr>
        <w:pStyle w:val="BodyText"/>
      </w:pPr>
      <w:r>
        <w:rPr>
          <w:b/>
          <w:bCs/>
        </w:rPr>
        <w:t xml:space="preserve">Brecha.</w:t>
      </w:r>
      <w:r>
        <w:t xml:space="preserve"> </w:t>
      </w:r>
      <w:r>
        <w:t xml:space="preserve">En el territorio establecido, existe una red acreditada con sensores de bajo costo y alertas operativas (Ruiz-Carrascal et al., 2026, pp. 7 y 8). En el nicho, ninguno de los 42 documentos describe mediciones de material particulado en sitios de remoción de escombros posterremoto. En F-INF, Cundinamarca aparece solo como autoridad posible para pilotos de red indicativa. Caldas y Valle del Cauca no aparecen (F-INF, sección 6.2, p. 61; INFERIDO). Caldas, Cundinamarca y Valle del Cauca son el territorio del proyecto por instrucción del usuario (SUPUESTO). El proyecto distribuye 33, 34 y 33 nodos entre los tres departamentos (PROPUESTO) y focaliza 12 municipios, cuatro por departamento [DATO_USUARIO: lista de municipios]. Las condiciones locales de humedad, polvo y enlace son incógnitas que se miden en el tramo 1. La consecuencia es que ningún valor de otro territorio se importa como línea base: cada departamento mide la suya.</w:t>
      </w:r>
    </w:p>
    <w:bookmarkEnd w:id="356"/>
    <w:bookmarkStart w:id="357" w:name="Xc814280fe2d8d35041ec63e160b9d938a03efd4"/>
    <w:p>
      <w:pPr>
        <w:pStyle w:val="Heading3"/>
      </w:pPr>
      <w:r>
        <w:t xml:space="preserve">2.4.4 Dimensión 4: innovaciones y tendencias emergentes</w:t>
      </w:r>
    </w:p>
    <w:p>
      <w:pPr>
        <w:pStyle w:val="FirstParagraph"/>
      </w:pPr>
      <w:r>
        <w:t xml:space="preserve">Las innovaciones y las tendencias emergentes se identifican con tres señales. La primera es el crecimiento de los tópicos del corpus. La segunda es la madurez por línea tecnológica. La tercera es la presencia de frentes con evidencia reciente. La Tabla 2.24 reúne siete frentes con su indicador, su madurez y su lectura para el proyecto. El modelado de 25 tópicos identifica uno de alerta temprana y gestión de desastres. Su peso crece de 0,002 antes de 2019 a 0,138 en 2026 (F-INF, sección 7.4, p. 82). Es el tópico más emergente del corpus. La lectura exige cautela. El corpus es intencional y 17 de sus 42 documentos son de 2026. El crecimiento describe la composición del corpus más que la dinámica del campo. Tampoco hay una mejora de madurez. El TRL medio por año oscila entre 3,0 y 4,3 sin tendencia sostenida (F-INF, sección 4.3, p. 34).</w:t>
      </w:r>
    </w:p>
    <w:p>
      <w:pPr>
        <w:pStyle w:val="TablaRotulo"/>
      </w:pPr>
      <w:bookmarkStart w:id="9254" w:name="rot_Tabla_2_24"/>
      <w:r>
        <w:rPr>
          <w:b/>
          <w:bCs/>
        </w:rPr>
        <w:t xml:space="preserve">Tabla 2.24</w:t>
      </w:r>
      <w:bookmarkEnd w:id="9254"/>
    </w:p>
    <w:p>
      <w:pPr>
        <w:pStyle w:val="TablaTitulo"/>
      </w:pPr>
      <w:r>
        <w:rPr>
          <w:i/>
          <w:iCs/>
        </w:rPr>
        <w:t xml:space="preserve">Frentes emergentes del corpus y de la literatura de dominio con su lectura para 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84"/>
        <w:gridCol w:w="1716"/>
        <w:gridCol w:w="1518"/>
        <w:gridCol w:w="1254"/>
        <w:gridCol w:w="1848"/>
      </w:tblGrid>
      <w:tr>
        <w:trPr>
          <w:cantSplit/>
          <w:tblHeader/>
        </w:trPr>
        <w:tc>
          <w:tcPr>
            <w:shd w:val="clear" w:color="auto" w:fill="00B050"/>
          </w:tcPr>
          <w:p>
            <w:pPr>
              <w:pStyle w:val="Tabla9"/>
              <w:jc w:val="center"/>
            </w:pPr>
            <w:r>
              <w:rPr>
                <w:b/>
                <w:color w:val="FFFFFF"/>
              </w:rPr>
              <w:t xml:space="preserve">Frente</w:t>
            </w:r>
          </w:p>
        </w:tc>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Madurez de la línea</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Lectura para el proyecto</w:t>
            </w:r>
          </w:p>
        </w:tc>
      </w:tr>
      <w:tr>
        <w:trPr>
          <w:cantSplit/>
        </w:trPr>
        <w:tc>
          <w:tcPr/>
          <w:p>
            <w:pPr>
              <w:pStyle w:val="Tabla9"/>
              <w:jc w:val="left"/>
            </w:pPr>
            <w:r>
              <w:t xml:space="preserve">Alerta temprana y gestión de desastres</w:t>
            </w:r>
          </w:p>
        </w:tc>
        <w:tc>
          <w:tcPr/>
          <w:p>
            <w:pPr>
              <w:pStyle w:val="Tabla9"/>
              <w:jc w:val="left"/>
            </w:pPr>
            <w:r>
              <w:t xml:space="preserve">Peso del tópico 14: 0,002 antes de 2019 y 0,138 en 2026</w:t>
            </w:r>
          </w:p>
        </w:tc>
        <w:tc>
          <w:tcPr/>
          <w:p>
            <w:pPr>
              <w:pStyle w:val="Tabla9"/>
              <w:jc w:val="left"/>
            </w:pPr>
            <w:r>
              <w:t xml:space="preserve">TRL 5,75; IRL 4,5 (4 documentos)</w:t>
            </w:r>
          </w:p>
        </w:tc>
        <w:tc>
          <w:tcPr/>
          <w:p>
            <w:pPr>
              <w:pStyle w:val="Tabla9"/>
              <w:jc w:val="left"/>
            </w:pPr>
            <w:r>
              <w:t xml:space="preserve">F-INF, secciones 4.8 y 7.4 (pp. 41 y 82)</w:t>
            </w:r>
          </w:p>
        </w:tc>
        <w:tc>
          <w:tcPr/>
          <w:p>
            <w:pPr>
              <w:pStyle w:val="Tabla9"/>
              <w:jc w:val="left"/>
            </w:pPr>
            <w:r>
              <w:t xml:space="preserve">Frente más emergente; SIATA (TRL 9) y el sistema de lahares (TRL 7) son los casos operativos; el proyecto mide falsas alarmas (PERS-E02)</w:t>
            </w:r>
          </w:p>
        </w:tc>
      </w:tr>
      <w:tr>
        <w:trPr>
          <w:cantSplit/>
        </w:trPr>
        <w:tc>
          <w:tcPr/>
          <w:p>
            <w:pPr>
              <w:pStyle w:val="Tabla9"/>
              <w:jc w:val="left"/>
            </w:pPr>
            <w:r>
              <w:t xml:space="preserve">Redes de sensores de bajo costo y calibración</w:t>
            </w:r>
          </w:p>
        </w:tc>
        <w:tc>
          <w:tcPr/>
          <w:p>
            <w:pPr>
              <w:pStyle w:val="Tabla9"/>
              <w:jc w:val="left"/>
            </w:pPr>
            <w:r>
              <w:t xml:space="preserve">90,8 % de 5.076 estaciones sin plan; R² de menos de 0,2 a 0,81 en un caso</w:t>
            </w:r>
          </w:p>
        </w:tc>
        <w:tc>
          <w:tcPr/>
          <w:p>
            <w:pPr>
              <w:pStyle w:val="Tabla9"/>
              <w:jc w:val="left"/>
            </w:pPr>
            <w:r>
              <w:t xml:space="preserve">TRL 3,8; IRL 3,0 (5 documentos)</w:t>
            </w:r>
          </w:p>
        </w:tc>
        <w:tc>
          <w:tcPr/>
          <w:p>
            <w:pPr>
              <w:pStyle w:val="Tabla9"/>
              <w:jc w:val="left"/>
            </w:pPr>
            <w:r>
              <w:t xml:space="preserve">Murad Pedraza et al. (2026); Bang et al. (2026)</w:t>
            </w:r>
          </w:p>
        </w:tc>
        <w:tc>
          <w:tcPr/>
          <w:p>
            <w:pPr>
              <w:pStyle w:val="Tabla9"/>
              <w:jc w:val="left"/>
            </w:pPr>
            <w:r>
              <w:t xml:space="preserve">Frente central del proyecto (OE1 y OE2)</w:t>
            </w:r>
          </w:p>
        </w:tc>
      </w:tr>
      <w:tr>
        <w:trPr>
          <w:cantSplit/>
        </w:trPr>
        <w:tc>
          <w:tcPr/>
          <w:p>
            <w:pPr>
              <w:pStyle w:val="Tabla9"/>
              <w:jc w:val="left"/>
            </w:pPr>
            <w:r>
              <w:t xml:space="preserve">Gemelo digital urbano</w:t>
            </w:r>
          </w:p>
        </w:tc>
        <w:tc>
          <w:tcPr/>
          <w:p>
            <w:pPr>
              <w:pStyle w:val="Tabla9"/>
              <w:jc w:val="left"/>
            </w:pPr>
            <w:r>
              <w:t xml:space="preserve">R² de 0,919 a 0,994 a una hora y de 0,085 para CO2 a seis horas; cinco acepciones en al menos 11 documentos</w:t>
            </w:r>
          </w:p>
        </w:tc>
        <w:tc>
          <w:tcPr/>
          <w:p>
            <w:pPr>
              <w:pStyle w:val="Tabla9"/>
              <w:jc w:val="left"/>
            </w:pPr>
            <w:r>
              <w:t xml:space="preserve">TRL 3,33 en la línea de diagnóstico predictivo con gemelo digital (3 documentos)</w:t>
            </w:r>
          </w:p>
        </w:tc>
        <w:tc>
          <w:tcPr/>
          <w:p>
            <w:pPr>
              <w:pStyle w:val="Tabla9"/>
              <w:jc w:val="left"/>
            </w:pPr>
            <w:r>
              <w:t xml:space="preserve">Wei et al. (2026, pp. 12 y 32-33); F-INF, sección 1.3</w:t>
            </w:r>
          </w:p>
        </w:tc>
        <w:tc>
          <w:tcPr/>
          <w:p>
            <w:pPr>
              <w:pStyle w:val="Tabla9"/>
              <w:jc w:val="left"/>
            </w:pPr>
            <w:r>
              <w:t xml:space="preserve">Definición operativa propia: estimación espacial en la nube</w:t>
            </w:r>
          </w:p>
        </w:tc>
      </w:tr>
      <w:tr>
        <w:trPr>
          <w:cantSplit/>
        </w:trPr>
        <w:tc>
          <w:tcPr/>
          <w:p>
            <w:pPr>
              <w:pStyle w:val="Tabla9"/>
              <w:jc w:val="left"/>
            </w:pPr>
            <w:r>
              <w:t xml:space="preserve">Aprendizaje automático híbrido para pronóstico</w:t>
            </w:r>
          </w:p>
        </w:tc>
        <w:tc>
          <w:tcPr/>
          <w:p>
            <w:pPr>
              <w:pStyle w:val="Tabla9"/>
              <w:jc w:val="left"/>
            </w:pPr>
            <w:r>
              <w:t xml:space="preserve">Reducciones del RMSE de 26 % a 56 % sin persistencia; 5 de 9 documentos sin línea base</w:t>
            </w:r>
          </w:p>
        </w:tc>
        <w:tc>
          <w:tcPr/>
          <w:p>
            <w:pPr>
              <w:pStyle w:val="Tabla9"/>
              <w:jc w:val="left"/>
            </w:pPr>
            <w:r>
              <w:t xml:space="preserve">TRL 4,0; IRL 2,56 (9 documentos)</w:t>
            </w:r>
          </w:p>
        </w:tc>
        <w:tc>
          <w:tcPr/>
          <w:p>
            <w:pPr>
              <w:pStyle w:val="Tabla9"/>
              <w:jc w:val="left"/>
            </w:pPr>
            <w:r>
              <w:t xml:space="preserve">Chang et al. (2023); Huang et al. (2025); F-INF, sección 1.3</w:t>
            </w:r>
          </w:p>
        </w:tc>
        <w:tc>
          <w:tcPr/>
          <w:p>
            <w:pPr>
              <w:pStyle w:val="Tabla9"/>
              <w:jc w:val="left"/>
            </w:pPr>
            <w:r>
              <w:t xml:space="preserve">Evaluar con línea base y partición por sitio</w:t>
            </w:r>
          </w:p>
        </w:tc>
      </w:tr>
      <w:tr>
        <w:trPr>
          <w:cantSplit/>
        </w:trPr>
        <w:tc>
          <w:tcPr/>
          <w:p>
            <w:pPr>
              <w:pStyle w:val="Tabla9"/>
              <w:jc w:val="left"/>
            </w:pPr>
            <w:r>
              <w:t xml:space="preserve">Índices de salud validados localmente</w:t>
            </w:r>
          </w:p>
        </w:tc>
        <w:tc>
          <w:tcPr/>
          <w:p>
            <w:pPr>
              <w:pStyle w:val="Tabla9"/>
              <w:jc w:val="left"/>
            </w:pPr>
            <w:r>
              <w:t xml:space="preserve">53 estudios; 9,4 % con partición de datos; ninguno latinoamericano</w:t>
            </w:r>
          </w:p>
        </w:tc>
        <w:tc>
          <w:tcPr/>
          <w:p>
            <w:pPr>
              <w:pStyle w:val="Tabla9"/>
              <w:jc w:val="left"/>
            </w:pPr>
            <w:r>
              <w:t xml:space="preserve">TRL 3,75; IRL 3,0 (4 documentos)</w:t>
            </w:r>
          </w:p>
        </w:tc>
        <w:tc>
          <w:tcPr/>
          <w:p>
            <w:pPr>
              <w:pStyle w:val="Tabla9"/>
              <w:jc w:val="left"/>
            </w:pPr>
            <w:r>
              <w:t xml:space="preserve">Liao et al. (2026, pp. 6 y 8)</w:t>
            </w:r>
          </w:p>
        </w:tc>
        <w:tc>
          <w:tcPr/>
          <w:p>
            <w:pPr>
              <w:pStyle w:val="Tabla9"/>
              <w:jc w:val="left"/>
            </w:pPr>
            <w:r>
              <w:t xml:space="preserve">Umbrales del tablero validados localmente (OE3)</w:t>
            </w:r>
          </w:p>
        </w:tc>
      </w:tr>
      <w:tr>
        <w:trPr>
          <w:cantSplit/>
        </w:trPr>
        <w:tc>
          <w:tcPr/>
          <w:p>
            <w:pPr>
              <w:pStyle w:val="Tabla9"/>
              <w:jc w:val="left"/>
            </w:pPr>
            <w:r>
              <w:t xml:space="preserve">Riesgo compuesto de calor y humo</w:t>
            </w:r>
          </w:p>
        </w:tc>
        <w:tc>
          <w:tcPr/>
          <w:p>
            <w:pPr>
              <w:pStyle w:val="Tabla9"/>
              <w:jc w:val="left"/>
            </w:pPr>
            <w:r>
              <w:t xml:space="preserve">48.075 muertes por calor entre 2000 y 2018 en 14 áreas urbanas</w:t>
            </w:r>
          </w:p>
        </w:tc>
        <w:tc>
          <w:tcPr/>
          <w:p>
            <w:pPr>
              <w:pStyle w:val="Tabla9"/>
              <w:jc w:val="left"/>
            </w:pPr>
            <w:r>
              <w:t xml:space="preserve">TRL 3,67; IRL 2,33 en la línea de teledetección (3 documentos)</w:t>
            </w:r>
          </w:p>
        </w:tc>
        <w:tc>
          <w:tcPr/>
          <w:p>
            <w:pPr>
              <w:pStyle w:val="Tabla9"/>
              <w:jc w:val="left"/>
            </w:pPr>
            <w:r>
              <w:t xml:space="preserve">Tavella et al. (2026, p. 8); F-INF, sección 4.8</w:t>
            </w:r>
          </w:p>
        </w:tc>
        <w:tc>
          <w:tcPr/>
          <w:p>
            <w:pPr>
              <w:pStyle w:val="Tabla9"/>
              <w:jc w:val="left"/>
            </w:pPr>
            <w:r>
              <w:t xml:space="preserve">Fuera del alcance; frente posible de fases futuras (INFERIDO)</w:t>
            </w:r>
          </w:p>
        </w:tc>
      </w:tr>
      <w:tr>
        <w:trPr>
          <w:cantSplit/>
        </w:trPr>
        <w:tc>
          <w:tcPr/>
          <w:p>
            <w:pPr>
              <w:pStyle w:val="Tabla9"/>
              <w:jc w:val="left"/>
            </w:pPr>
            <w:r>
              <w:t xml:space="preserve">Procesamiento en el borde, TinyML y LoRaWAN</w:t>
            </w:r>
          </w:p>
        </w:tc>
        <w:tc>
          <w:tcPr/>
          <w:p>
            <w:pPr>
              <w:pStyle w:val="Tabla9"/>
              <w:jc w:val="left"/>
            </w:pPr>
            <w:r>
              <w:t xml:space="preserve">Sin mención en el texto de F-INF</w:t>
            </w:r>
          </w:p>
        </w:tc>
        <w:tc>
          <w:tcPr/>
          <w:p>
            <w:pPr>
              <w:pStyle w:val="Tabla9"/>
              <w:jc w:val="left"/>
            </w:pPr>
            <w:r>
              <w:t xml:space="preserve">No determinada</w:t>
            </w:r>
          </w:p>
        </w:tc>
        <w:tc>
          <w:tcPr/>
          <w:p>
            <w:pPr>
              <w:pStyle w:val="Tabla9"/>
              <w:jc w:val="left"/>
            </w:pPr>
            <w:r>
              <w:t xml:space="preserve">Shi et al. (2016); Warden y Situnayake (2019); David et al. (2021); Adelantado et al. (2017)</w:t>
            </w:r>
          </w:p>
        </w:tc>
        <w:tc>
          <w:tcPr/>
          <w:p>
            <w:pPr>
              <w:pStyle w:val="Tabla9"/>
              <w:jc w:val="left"/>
            </w:pPr>
            <w:r>
              <w:t xml:space="preserve">Corrección en el gateway; sin inferencia en el microcontrolador del nodo</w:t>
            </w:r>
          </w:p>
        </w:tc>
      </w:tr>
    </w:tbl>
    <w:p>
      <w:pPr>
        <w:pStyle w:val="TablaNota"/>
      </w:pPr>
      <w:r>
        <w:rPr>
          <w:i/>
          <w:iCs/>
        </w:rPr>
        <w:t xml:space="preserve">Nota.</w:t>
      </w:r>
      <w:r>
        <w:t xml:space="preserve"> </w:t>
      </w:r>
      <w:r>
        <w:t xml:space="preserve">Elaboración propia con datos de F-INF (secciones 1.3, 4.3, 4.8 y 7.4). Las cifras de F-INF son DECLARADO y NO_VERIFICADO en esta corrida; la lectura para el proyecto es INFERIDO. Decimales con coma.</w:t>
      </w:r>
    </w:p>
    <w:p>
      <w:pPr>
        <w:pStyle w:val="BodyText"/>
      </w:pPr>
      <w:r>
        <w:t xml:space="preserve">La Tabla 2.24 separa los frentes por su relación con el proyecto. Dos frentes son centrales: la calibración con referencia y la alerta temprana con evaluación. Tres son instrumentales: el gemelo digital, el aprendizaje automático y el procesamiento en el borde. Dos quedan fuera del alcance o se subordinan a la validación local: el riesgo compuesto y los índices de salud. Esa jerarquía evita dispersar el desarrollo en frentes sin evidencia comparable.</w:t>
      </w:r>
    </w:p>
    <w:p>
      <w:pPr>
        <w:pStyle w:val="BodyText"/>
      </w:pPr>
      <w:r>
        <w:rPr>
          <w:b/>
          <w:bCs/>
        </w:rPr>
        <w:t xml:space="preserve">Consensos.</w:t>
      </w:r>
      <w:r>
        <w:t xml:space="preserve"> </w:t>
      </w:r>
      <w:r>
        <w:t xml:space="preserve">Tres tendencias reúnen acuerdo. La primera es la corrección con referencia colocalizada como condición de utilidad. Cuatro documentos de cuatro grupos documentales y de dos géneros describen esa necesidad (Kumar et al., 2026; Bang et al., 2026, pp. 6-8; Ali et al., 2022, p. 19; Wilson et al., 2024, pp. 31 y 33). La segunda es la integración de la alerta temprana con sensores, con SIATA y el sistema de lahares como casos operativos (Ruiz-Carrascal et al., 2026; Espinoza et al., 2026). La tercera es el gemelo digital como modelo de estimación y de pronóstico (Grieves y Vickers, 2017; Tao et al., 2019; Wei et al., 2026, p. 4). Grieves y Vickers (2017) lo describen como un conjunto de constructos virtuales de información vinculado con un producto físico. Tao et al. (2019) revisan su estado en la industria.</w:t>
      </w:r>
    </w:p>
    <w:p>
      <w:pPr>
        <w:pStyle w:val="BodyText"/>
      </w:pPr>
      <w:r>
        <w:t xml:space="preserve">Dos tecnologías de dominio sustentan la arquitectura del proyecto. Shi et al. (2016) formulan la visión y los desafíos del cómputo en el borde, que acerca el procesamiento a la fuente de datos. Adelantado et al. (2017) analizaron los límites de capacidad y de escalabilidad de LoRaWAN, una red de área amplia de baja potencia. El informe de vigilancia no menciona el procesamiento en el borde, TinyML ni LoRa. La tecnología central del proyecto carece, por tanto, de respaldo en el corpus y se apoya solo en el banco de dominio (INFERIDO).</w:t>
      </w:r>
    </w:p>
    <w:p>
      <w:pPr>
        <w:pStyle w:val="BodyText"/>
      </w:pPr>
      <w:r>
        <w:rPr>
          <w:b/>
          <w:bCs/>
        </w:rPr>
        <w:t xml:space="preserve">Controversias.</w:t>
      </w:r>
      <w:r>
        <w:t xml:space="preserve"> </w:t>
      </w:r>
      <w:r>
        <w:t xml:space="preserve">Tres controversias marcan este frente. La primera es el significado del gemelo digital. Grieves y Vickers (2017) subrayan el vínculo entre el objeto físico y su contraparte virtual. Las solicitudes de patente del corpus usan el término con al menos cinco acepciones (F-INF, sección 8.4, p. 104). Van de la simulación física calibrada al modelo de estado de un componente. La segunda es la ubicación del cómputo. Warden y Situnayake (2019) y David et al. (2021) ubican la inferencia en el microcontrolador del dispositivo, mientras Shi et al. (2016) describen una capa de borde cercana a la fuente. El proyecto elige la segunda ubicación. La corrección ocurre en el gateway (DEC-F02). El nodo hoja prioriza el bajo consumo y la autonomía de 14 días sin sol. La tercera es el método de predicción. Hale et al. (2025, pp. 2 y 8) predicen contaminantes locales con datos meteorológicos regionales, mientras Ayala-Parra et al. (2026, pp. 7-10) explican el episodio de febrero de 2022 por advección y canalización del humo.</w:t>
      </w:r>
    </w:p>
    <w:p>
      <w:pPr>
        <w:pStyle w:val="BodyText"/>
      </w:pPr>
      <w:r>
        <w:rPr>
          <w:b/>
          <w:bCs/>
        </w:rPr>
        <w:t xml:space="preserve">Brecha.</w:t>
      </w:r>
      <w:r>
        <w:t xml:space="preserve"> </w:t>
      </w:r>
      <w:r>
        <w:t xml:space="preserve">En el territorio establecido, el corpus registra alertas operativas y modelos de estimación con buen ajuste a una hora. En el nicho, ningún documento combina corrección en el borde, gemelo digital y custodia institucional en un contexto de desastre (INFERIDO). Los modelos de estimación pierden ajuste con el horizonte: el R² que informan Wei et al. (2026, pp. 12 y 32-33) cae a 0,085 para CO2 a seis horas. El proyecto ocupa el nicho con tres decisiones. Define el gemelo digital como la estimación espacial que aloja la nube. Reporta el desempeño por horizonte y por departamento. Retira de su diseño la inferencia en el chip del sensor y en el microcontrolador del nodo, que el expediente E3 mencionaba (DEC-F02).</w:t>
      </w:r>
    </w:p>
    <w:p>
      <w:pPr>
        <w:pStyle w:val="BodyText"/>
      </w:pPr>
      <w:r>
        <w:rPr>
          <w:b/>
          <w:bCs/>
        </w:rPr>
        <w:t xml:space="preserve">Oportunidad de posicionamiento.</w:t>
      </w:r>
      <w:r>
        <w:t xml:space="preserve"> </w:t>
      </w:r>
      <w:r>
        <w:t xml:space="preserve">La oportunidad del proyecto en esta dimensión es doble. La primera es ocupar un espacio vacío del corpus. Es la validación de sensores con datos abiertos y protocolos públicos, que ningún competidor ocupa (F-INF, sección 6.4, p. 67). La segunda es responder a la demanda institucional de alertas operativas, que SIATA y el sistema de lahares demuestran (Ruiz-Carrascal et al., 2026; Espinoza et al., 2026). Ninguno de los cinco documentos de alerta del grupo de monitoreo reporta detección ni falsas alarmas (F-INF, sección 1.3, p. 10). El proyecto ofrece mediciones con error conocido y una cláusula de apertura que se firma al cierre (hito H8). Así otros grupos pueden replicar la evaluación con los mismos datos.</w:t>
      </w:r>
    </w:p>
    <w:bookmarkEnd w:id="357"/>
    <w:bookmarkStart w:id="358" w:name="X09e5bf42be906606fecc307ff71bbf1d918dc29"/>
    <w:p>
      <w:pPr>
        <w:pStyle w:val="Heading3"/>
      </w:pPr>
      <w:r>
        <w:t xml:space="preserve">2.4.5 Síntesis integrativa de hallazgos por dimensión</w:t>
      </w:r>
    </w:p>
    <w:p>
      <w:pPr>
        <w:pStyle w:val="FirstParagraph"/>
      </w:pPr>
      <w:r>
        <w:t xml:space="preserve">Las cuatro dimensiones convergen en una misma brecha. La calidad de la medición no se verifica con referencia local y la información no se conecta con la decisión institucional. En la base teórica, 32 de 42 documentos no ligan la métrica con el resultado. En las metodologías, ningún documento prueba la corrección en el gateway con referencia gravimétrica en un sitio de polvo grueso. En el territorio, ninguno mide sitios de remoción de escombros. En las tendencias, ninguno combina el procesamiento en el borde, el gemelo digital y la custodia institucional. La Tabla 2.25 sintetiza el resultado por dimensión.</w:t>
      </w:r>
    </w:p>
    <w:p>
      <w:pPr>
        <w:pStyle w:val="TablaRotulo"/>
      </w:pPr>
      <w:bookmarkStart w:id="9255" w:name="rot_Tabla_2_25"/>
      <w:r>
        <w:rPr>
          <w:b/>
          <w:bCs/>
        </w:rPr>
        <w:t xml:space="preserve">Tabla 2.25</w:t>
      </w:r>
      <w:bookmarkEnd w:id="9255"/>
    </w:p>
    <w:p>
      <w:pPr>
        <w:pStyle w:val="TablaTitulo"/>
      </w:pPr>
      <w:r>
        <w:rPr>
          <w:i/>
          <w:iCs/>
        </w:rPr>
        <w:t xml:space="preserve">Síntesis comparativa por dimensión temática del estado del arte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31"/>
        <w:gridCol w:w="2262"/>
        <w:gridCol w:w="1331"/>
        <w:gridCol w:w="1331"/>
        <w:gridCol w:w="1663"/>
      </w:tblGrid>
      <w:tr>
        <w:trPr>
          <w:cantSplit/>
          <w:tblHeader/>
        </w:trPr>
        <w:tc>
          <w:tcPr>
            <w:shd w:val="clear" w:color="auto" w:fill="00B050"/>
          </w:tcPr>
          <w:p>
            <w:pPr>
              <w:pStyle w:val="Tabla9"/>
              <w:jc w:val="center"/>
            </w:pPr>
            <w:r>
              <w:rPr>
                <w:b/>
                <w:color w:val="FFFFFF"/>
              </w:rPr>
              <w:t xml:space="preserve">Dimensión</w:t>
            </w:r>
          </w:p>
        </w:tc>
        <w:tc>
          <w:tcPr>
            <w:shd w:val="clear" w:color="auto" w:fill="00B050"/>
          </w:tcPr>
          <w:p>
            <w:pPr>
              <w:pStyle w:val="Tabla9"/>
              <w:jc w:val="center"/>
            </w:pPr>
            <w:r>
              <w:rPr>
                <w:b/>
                <w:color w:val="FFFFFF"/>
              </w:rPr>
              <w:t xml:space="preserve">Consenso principal</w:t>
            </w:r>
          </w:p>
        </w:tc>
        <w:tc>
          <w:tcPr>
            <w:shd w:val="clear" w:color="auto" w:fill="00B050"/>
          </w:tcPr>
          <w:p>
            <w:pPr>
              <w:pStyle w:val="Tabla9"/>
              <w:jc w:val="center"/>
            </w:pPr>
            <w:r>
              <w:rPr>
                <w:b/>
                <w:color w:val="FFFFFF"/>
              </w:rPr>
              <w:t xml:space="preserve">Controversia principal</w:t>
            </w:r>
          </w:p>
        </w:tc>
        <w:tc>
          <w:tcPr>
            <w:shd w:val="clear" w:color="auto" w:fill="00B050"/>
          </w:tcPr>
          <w:p>
            <w:pPr>
              <w:pStyle w:val="Tabla9"/>
              <w:jc w:val="center"/>
            </w:pPr>
            <w:r>
              <w:rPr>
                <w:b/>
                <w:color w:val="FFFFFF"/>
              </w:rPr>
              <w:t xml:space="preserve">Brecha según el modelo CARS</w:t>
            </w:r>
          </w:p>
        </w:tc>
        <w:tc>
          <w:tcPr>
            <w:shd w:val="clear" w:color="auto" w:fill="00B050"/>
          </w:tcPr>
          <w:p>
            <w:pPr>
              <w:pStyle w:val="Tabla9"/>
              <w:jc w:val="center"/>
            </w:pPr>
            <w:r>
              <w:rPr>
                <w:b/>
                <w:color w:val="FFFFFF"/>
              </w:rPr>
              <w:t xml:space="preserve">Decisión del proyecto</w:t>
            </w:r>
          </w:p>
        </w:tc>
      </w:tr>
      <w:tr>
        <w:trPr>
          <w:cantSplit/>
        </w:trPr>
        <w:tc>
          <w:tcPr/>
          <w:p>
            <w:pPr>
              <w:pStyle w:val="Tabla9"/>
              <w:jc w:val="left"/>
            </w:pPr>
            <w:r>
              <w:t xml:space="preserve">Base teórica del problema</w:t>
            </w:r>
          </w:p>
        </w:tc>
        <w:tc>
          <w:tcPr/>
          <w:p>
            <w:pPr>
              <w:pStyle w:val="Tabla9"/>
              <w:jc w:val="left"/>
            </w:pPr>
            <w:r>
              <w:t xml:space="preserve">La humedad sesga el sensor óptico y la exposición al material particulado se asocia con desenlaces de salud (Jayaratne et al., 2018; Pope y Dockery, 2006)</w:t>
            </w:r>
          </w:p>
        </w:tc>
        <w:tc>
          <w:tcPr/>
          <w:p>
            <w:pPr>
              <w:pStyle w:val="Tabla9"/>
              <w:jc w:val="left"/>
            </w:pPr>
            <w:r>
              <w:t xml:space="preserve">Valores guía por umbral (OMS, 2021) frente a índices sin umbral y sin validación local (Stieb et al., 2008; Liao et al., 2026)</w:t>
            </w:r>
          </w:p>
        </w:tc>
        <w:tc>
          <w:tcPr/>
          <w:p>
            <w:pPr>
              <w:pStyle w:val="Tabla9"/>
              <w:jc w:val="left"/>
            </w:pPr>
            <w:r>
              <w:t xml:space="preserve">32 de 42 documentos no conectan la métrica con el resultado</w:t>
            </w:r>
          </w:p>
        </w:tc>
        <w:tc>
          <w:tcPr/>
          <w:p>
            <w:pPr>
              <w:pStyle w:val="Tabla9"/>
              <w:jc w:val="left"/>
            </w:pPr>
            <w:r>
              <w:t xml:space="preserve">Medir calidad (R² y NRMSE) y uso institucional; sin afirmar efectos en salud</w:t>
            </w:r>
          </w:p>
        </w:tc>
      </w:tr>
      <w:tr>
        <w:trPr>
          <w:cantSplit/>
        </w:trPr>
        <w:tc>
          <w:tcPr/>
          <w:p>
            <w:pPr>
              <w:pStyle w:val="Tabla9"/>
              <w:jc w:val="left"/>
            </w:pPr>
            <w:r>
              <w:t xml:space="preserve">Metodologías y enfoques</w:t>
            </w:r>
          </w:p>
        </w:tc>
        <w:tc>
          <w:tcPr/>
          <w:p>
            <w:pPr>
              <w:pStyle w:val="Tabla9"/>
              <w:jc w:val="left"/>
            </w:pPr>
            <w:r>
              <w:t xml:space="preserve">Colocalizar con referencia y corregir con humedad (Giordano et al., 2021; Barkjohn et al., 2021)</w:t>
            </w:r>
          </w:p>
        </w:tc>
        <w:tc>
          <w:tcPr/>
          <w:p>
            <w:pPr>
              <w:pStyle w:val="Tabla9"/>
              <w:jc w:val="left"/>
            </w:pPr>
            <w:r>
              <w:t xml:space="preserve">Corrección única frente a verificación por sensor; modelos sin línea base (Huang et al., 2025)</w:t>
            </w:r>
          </w:p>
        </w:tc>
        <w:tc>
          <w:tcPr/>
          <w:p>
            <w:pPr>
              <w:pStyle w:val="Tabla9"/>
              <w:jc w:val="left"/>
            </w:pPr>
            <w:r>
              <w:t xml:space="preserve">Ninguna prueba de corrección en gateway con referencia gravimétrica en polvo grueso</w:t>
            </w:r>
          </w:p>
        </w:tc>
        <w:tc>
          <w:tcPr/>
          <w:p>
            <w:pPr>
              <w:pStyle w:val="Tabla9"/>
              <w:jc w:val="left"/>
            </w:pPr>
            <w:r>
              <w:t xml:space="preserve">Tramo 1 como piloto de contraste; umbrales R² ≥ 0,70 y NRMSE ≤ 30 % (PROPUESTO)</w:t>
            </w:r>
          </w:p>
        </w:tc>
      </w:tr>
      <w:tr>
        <w:trPr>
          <w:cantSplit/>
        </w:trPr>
        <w:tc>
          <w:tcPr/>
          <w:p>
            <w:pPr>
              <w:pStyle w:val="Tabla9"/>
              <w:jc w:val="left"/>
            </w:pPr>
            <w:r>
              <w:t xml:space="preserve">Contexto territorial y sectorial</w:t>
            </w:r>
          </w:p>
        </w:tc>
        <w:tc>
          <w:tcPr/>
          <w:p>
            <w:pPr>
              <w:pStyle w:val="Tabla9"/>
              <w:jc w:val="left"/>
            </w:pPr>
            <w:r>
              <w:t xml:space="preserve">Cobertura limitada y capacidad concentrada (Rodríguez-Villamizar et al., 2022; Ruiz-Carrascal et al., 2026)</w:t>
            </w:r>
          </w:p>
        </w:tc>
        <w:tc>
          <w:tcPr/>
          <w:p>
            <w:pPr>
              <w:pStyle w:val="Tabla9"/>
              <w:jc w:val="left"/>
            </w:pPr>
            <w:r>
              <w:t xml:space="preserve">Costo de 3,25 frente a 1,63 dólares por habitante; expansión sin referencia (Kumar et al., 2026; Tavella et al., 2026)</w:t>
            </w:r>
          </w:p>
        </w:tc>
        <w:tc>
          <w:tcPr/>
          <w:p>
            <w:pPr>
              <w:pStyle w:val="Tabla9"/>
              <w:jc w:val="left"/>
            </w:pPr>
            <w:r>
              <w:t xml:space="preserve">Ningún documento mide sitios de remoción de escombros</w:t>
            </w:r>
          </w:p>
        </w:tc>
        <w:tc>
          <w:tcPr/>
          <w:p>
            <w:pPr>
              <w:pStyle w:val="Tabla9"/>
              <w:jc w:val="left"/>
            </w:pPr>
            <w:r>
              <w:t xml:space="preserve">Tres departamentos (SUPUESTO), 12 municipios y tres referencias gravimétricas</w:t>
            </w:r>
          </w:p>
        </w:tc>
      </w:tr>
      <w:tr>
        <w:trPr>
          <w:cantSplit/>
        </w:trPr>
        <w:tc>
          <w:tcPr/>
          <w:p>
            <w:pPr>
              <w:pStyle w:val="Tabla9"/>
              <w:jc w:val="left"/>
            </w:pPr>
            <w:r>
              <w:t xml:space="preserve">Innovaciones y tendencias</w:t>
            </w:r>
          </w:p>
        </w:tc>
        <w:tc>
          <w:tcPr/>
          <w:p>
            <w:pPr>
              <w:pStyle w:val="Tabla9"/>
              <w:jc w:val="left"/>
            </w:pPr>
            <w:r>
              <w:t xml:space="preserve">Alerta temprana creciente y corrección con referencia (Ruiz-Carrascal et al., 2026; Bang et al., 2026)</w:t>
            </w:r>
          </w:p>
        </w:tc>
        <w:tc>
          <w:tcPr/>
          <w:p>
            <w:pPr>
              <w:pStyle w:val="Tabla9"/>
              <w:jc w:val="left"/>
            </w:pPr>
            <w:r>
              <w:t xml:space="preserve">Cinco acepciones de gemelo digital; R² de 0,70 frente a 0,156 (Huang et al., 2025; Wei et al., 2026)</w:t>
            </w:r>
          </w:p>
        </w:tc>
        <w:tc>
          <w:tcPr/>
          <w:p>
            <w:pPr>
              <w:pStyle w:val="Tabla9"/>
              <w:jc w:val="left"/>
            </w:pPr>
            <w:r>
              <w:t xml:space="preserve">Ninguna combinación de borde, gemelo digital y custodia en desastres</w:t>
            </w:r>
          </w:p>
        </w:tc>
        <w:tc>
          <w:tcPr/>
          <w:p>
            <w:pPr>
              <w:pStyle w:val="Tabla9"/>
              <w:jc w:val="left"/>
            </w:pPr>
            <w:r>
              <w:t xml:space="preserve">Gemelo digital como estimación espacial en la nube; corrección solo en el gateway</w:t>
            </w:r>
          </w:p>
        </w:tc>
      </w:tr>
    </w:tbl>
    <w:p>
      <w:pPr>
        <w:pStyle w:val="TablaNota"/>
      </w:pPr>
      <w:r>
        <w:rPr>
          <w:i/>
          <w:iCs/>
        </w:rPr>
        <w:t xml:space="preserve">Nota.</w:t>
      </w:r>
      <w:r>
        <w:t xml:space="preserve"> </w:t>
      </w:r>
      <w:r>
        <w:t xml:space="preserve">Elaboración propia con datos de F-INF (secciones 1.3, 5.3 y 12.4) y del banco de referencias. Naturaleza: INFERIDO para las brechas; PROPUESTO para las decisiones. Decimales con coma.</w:t>
      </w:r>
    </w:p>
    <w:p>
      <w:pPr>
        <w:pStyle w:val="BodyText"/>
      </w:pPr>
      <w:r>
        <w:t xml:space="preserve">La Tabla 2.25 muestra una estructura común. Cada dimensión cierra con un consenso verificable, una controversia de medición o de definición y una brecha de aplicación. Las decisiones del proyecto responden a la brecha. No intentan zanjar la controversia con una posición propia.</w:t>
      </w:r>
    </w:p>
    <w:p>
      <w:pPr>
        <w:pStyle w:val="BodyText"/>
      </w:pPr>
      <w:r>
        <w:t xml:space="preserve">La mayor parte de las controversias es de medición y de definición, y no de teoría (F-INF, sección 12.4, p. 197). La Tabla 2.26 resume seis de ellas con la decisión que el proyecto toma ante cada una. Las dos primeras filas conciernen a los umbrales y a la expansión de las redes. Las dos siguientes conciernen al costo y al diseño. Las dos últimas conciernen a la evaluación de los modelos y al contaminante con mayor peso en los episodios de humo. En España, el ozono pesa 2,1 veces más que el material particulado en las admisiones de esos días (Botezat et al., 2025). En São Paulo, el PM10 aumenta 140,81 % durante el episodio (Miraglia et al., 2025, p. 2).</w:t>
      </w:r>
    </w:p>
    <w:p>
      <w:pPr>
        <w:pStyle w:val="TablaRotulo"/>
      </w:pPr>
      <w:bookmarkStart w:id="9256" w:name="rot_Tabla_2_26"/>
      <w:r>
        <w:rPr>
          <w:b/>
          <w:bCs/>
        </w:rPr>
        <w:t xml:space="preserve">Tabla 2.26</w:t>
      </w:r>
      <w:bookmarkEnd w:id="9256"/>
    </w:p>
    <w:p>
      <w:pPr>
        <w:pStyle w:val="TablaTitulo"/>
      </w:pPr>
      <w:r>
        <w:rPr>
          <w:i/>
          <w:iCs/>
        </w:rPr>
        <w:t xml:space="preserve">Controversias del estado del arte y tratamiento en 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97"/>
        <w:gridCol w:w="1397"/>
        <w:gridCol w:w="1730"/>
        <w:gridCol w:w="1397"/>
        <w:gridCol w:w="1996"/>
      </w:tblGrid>
      <w:tr>
        <w:trPr>
          <w:cantSplit/>
          <w:tblHeader/>
        </w:trPr>
        <w:tc>
          <w:tcPr>
            <w:shd w:val="clear" w:color="auto" w:fill="00B050"/>
          </w:tcPr>
          <w:p>
            <w:pPr>
              <w:pStyle w:val="Tabla9"/>
              <w:jc w:val="center"/>
            </w:pPr>
            <w:r>
              <w:rPr>
                <w:b/>
                <w:color w:val="FFFFFF"/>
              </w:rPr>
              <w:t xml:space="preserve">Controversia</w:t>
            </w:r>
          </w:p>
        </w:tc>
        <w:tc>
          <w:tcPr>
            <w:shd w:val="clear" w:color="auto" w:fill="00B050"/>
          </w:tcPr>
          <w:p>
            <w:pPr>
              <w:pStyle w:val="Tabla9"/>
              <w:jc w:val="center"/>
            </w:pPr>
            <w:r>
              <w:rPr>
                <w:b/>
                <w:color w:val="FFFFFF"/>
              </w:rPr>
              <w:t xml:space="preserve">Posición A</w:t>
            </w:r>
          </w:p>
        </w:tc>
        <w:tc>
          <w:tcPr>
            <w:shd w:val="clear" w:color="auto" w:fill="00B050"/>
          </w:tcPr>
          <w:p>
            <w:pPr>
              <w:pStyle w:val="Tabla9"/>
              <w:jc w:val="center"/>
            </w:pPr>
            <w:r>
              <w:rPr>
                <w:b/>
                <w:color w:val="FFFFFF"/>
              </w:rPr>
              <w:t xml:space="preserve">Posición B</w:t>
            </w:r>
          </w:p>
        </w:tc>
        <w:tc>
          <w:tcPr>
            <w:shd w:val="clear" w:color="auto" w:fill="00B050"/>
          </w:tcPr>
          <w:p>
            <w:pPr>
              <w:pStyle w:val="Tabla9"/>
              <w:jc w:val="center"/>
            </w:pPr>
            <w:r>
              <w:rPr>
                <w:b/>
                <w:color w:val="FFFFFF"/>
              </w:rPr>
              <w:t xml:space="preserve">Origen de la disputa</w:t>
            </w:r>
          </w:p>
        </w:tc>
        <w:tc>
          <w:tcPr>
            <w:shd w:val="clear" w:color="auto" w:fill="00B050"/>
          </w:tcPr>
          <w:p>
            <w:pPr>
              <w:pStyle w:val="Tabla9"/>
              <w:jc w:val="center"/>
            </w:pPr>
            <w:r>
              <w:rPr>
                <w:b/>
                <w:color w:val="FFFFFF"/>
              </w:rPr>
              <w:t xml:space="preserve">Tratamiento en el proyecto</w:t>
            </w:r>
          </w:p>
        </w:tc>
      </w:tr>
      <w:tr>
        <w:trPr>
          <w:cantSplit/>
        </w:trPr>
        <w:tc>
          <w:tcPr/>
          <w:p>
            <w:pPr>
              <w:pStyle w:val="Tabla9"/>
              <w:jc w:val="left"/>
            </w:pPr>
            <w:r>
              <w:t xml:space="preserve">Umbral de referencia</w:t>
            </w:r>
          </w:p>
        </w:tc>
        <w:tc>
          <w:tcPr/>
          <w:p>
            <w:pPr>
              <w:pStyle w:val="Tabla9"/>
              <w:jc w:val="left"/>
            </w:pPr>
            <w:r>
              <w:t xml:space="preserve">Guía de la OMS de 15 µg/m3 (Bang et al., 2026, p. 2; Suresh et al., 2025, p. 11)</w:t>
            </w:r>
          </w:p>
        </w:tc>
        <w:tc>
          <w:tcPr/>
          <w:p>
            <w:pPr>
              <w:pStyle w:val="Tabla9"/>
              <w:jc w:val="left"/>
            </w:pPr>
            <w:r>
              <w:t xml:space="preserve">Cortes de guías de otros contextos (Wilson et al., 2024, pp. 85 y 88)</w:t>
            </w:r>
          </w:p>
        </w:tc>
        <w:tc>
          <w:tcPr/>
          <w:p>
            <w:pPr>
              <w:pStyle w:val="Tabla9"/>
              <w:jc w:val="left"/>
            </w:pPr>
            <w:r>
              <w:t xml:space="preserve">Umbral tomado de otro contexto</w:t>
            </w:r>
          </w:p>
        </w:tc>
        <w:tc>
          <w:tcPr/>
          <w:p>
            <w:pPr>
              <w:pStyle w:val="Tabla9"/>
              <w:jc w:val="left"/>
            </w:pPr>
            <w:r>
              <w:t xml:space="preserve">Umbrales anclados en la OMS y en la norma nacional, y validados localmente (OE3)</w:t>
            </w:r>
          </w:p>
        </w:tc>
      </w:tr>
      <w:tr>
        <w:trPr>
          <w:cantSplit/>
        </w:trPr>
        <w:tc>
          <w:tcPr/>
          <w:p>
            <w:pPr>
              <w:pStyle w:val="Tabla9"/>
              <w:jc w:val="left"/>
            </w:pPr>
            <w:r>
              <w:t xml:space="preserve">Expansión de redes</w:t>
            </w:r>
          </w:p>
        </w:tc>
        <w:tc>
          <w:tcPr/>
          <w:p>
            <w:pPr>
              <w:pStyle w:val="Tabla9"/>
              <w:jc w:val="left"/>
            </w:pPr>
            <w:r>
              <w:t xml:space="preserve">Ampliar redes de bajo costo con calibración estandarizada (Kumar et al., 2026)</w:t>
            </w:r>
          </w:p>
        </w:tc>
        <w:tc>
          <w:tcPr/>
          <w:p>
            <w:pPr>
              <w:pStyle w:val="Tabla9"/>
              <w:jc w:val="left"/>
            </w:pPr>
            <w:r>
              <w:t xml:space="preserve">96 de 570 estaciones inactivas o sin estado (Tavella et al., 2026, p. 6)</w:t>
            </w:r>
          </w:p>
        </w:tc>
        <w:tc>
          <w:tcPr/>
          <w:p>
            <w:pPr>
              <w:pStyle w:val="Tabla9"/>
              <w:jc w:val="left"/>
            </w:pPr>
            <w:r>
              <w:t xml:space="preserve">Compra sin condicionar el mantenimiento</w:t>
            </w:r>
          </w:p>
        </w:tc>
        <w:tc>
          <w:tcPr/>
          <w:p>
            <w:pPr>
              <w:pStyle w:val="Tabla9"/>
              <w:jc w:val="left"/>
            </w:pPr>
            <w:r>
              <w:t xml:space="preserve">Compuertas C1 y C2 que liberan las compras del tramo siguiente</w:t>
            </w:r>
          </w:p>
        </w:tc>
      </w:tr>
      <w:tr>
        <w:trPr>
          <w:cantSplit/>
        </w:trPr>
        <w:tc>
          <w:tcPr/>
          <w:p>
            <w:pPr>
              <w:pStyle w:val="Tabla9"/>
              <w:jc w:val="left"/>
            </w:pPr>
            <w:r>
              <w:t xml:space="preserve">Costo por habitante</w:t>
            </w:r>
          </w:p>
        </w:tc>
        <w:tc>
          <w:tcPr/>
          <w:p>
            <w:pPr>
              <w:pStyle w:val="Tabla9"/>
              <w:jc w:val="left"/>
            </w:pPr>
            <w:r>
              <w:t xml:space="preserve">Unos 3,25 dólares por año en el diseño nacional (Murad Pedraza et al., 2026)</w:t>
            </w:r>
          </w:p>
        </w:tc>
        <w:tc>
          <w:tcPr/>
          <w:p>
            <w:pPr>
              <w:pStyle w:val="Tabla9"/>
              <w:jc w:val="left"/>
            </w:pPr>
            <w:r>
              <w:t xml:space="preserve">1,63 dólares por año en SIATA (Ruiz-Carrascal et al., 2026, p. 3)</w:t>
            </w:r>
          </w:p>
        </w:tc>
        <w:tc>
          <w:tcPr/>
          <w:p>
            <w:pPr>
              <w:pStyle w:val="Tabla9"/>
              <w:jc w:val="left"/>
            </w:pPr>
            <w:r>
              <w:t xml:space="preserve">Rubros y denominadores distintos</w:t>
            </w:r>
          </w:p>
        </w:tc>
        <w:tc>
          <w:tcPr/>
          <w:p>
            <w:pPr>
              <w:pStyle w:val="Tabla9"/>
              <w:jc w:val="left"/>
            </w:pPr>
            <w:r>
              <w:t xml:space="preserve">Costo de sostenimiento NO_CALCULABLE hasta fijar rubros; presupuesto por línea</w:t>
            </w:r>
          </w:p>
        </w:tc>
      </w:tr>
      <w:tr>
        <w:trPr>
          <w:cantSplit/>
        </w:trPr>
        <w:tc>
          <w:tcPr/>
          <w:p>
            <w:pPr>
              <w:pStyle w:val="Tabla9"/>
              <w:jc w:val="left"/>
            </w:pPr>
            <w:r>
              <w:t xml:space="preserve">Diseño simple o heterogéneo</w:t>
            </w:r>
          </w:p>
        </w:tc>
        <w:tc>
          <w:tcPr/>
          <w:p>
            <w:pPr>
              <w:pStyle w:val="Tabla9"/>
              <w:jc w:val="left"/>
            </w:pPr>
            <w:r>
              <w:t xml:space="preserve">Diseño simple (Espinoza et al., 2026)</w:t>
            </w:r>
          </w:p>
        </w:tc>
        <w:tc>
          <w:tcPr/>
          <w:p>
            <w:pPr>
              <w:pStyle w:val="Tabla9"/>
              <w:jc w:val="left"/>
            </w:pPr>
            <w:r>
              <w:t xml:space="preserve">Integración heterogénea (Haris et al., 2026)</w:t>
            </w:r>
          </w:p>
        </w:tc>
        <w:tc>
          <w:tcPr/>
          <w:p>
            <w:pPr>
              <w:pStyle w:val="Tabla9"/>
              <w:jc w:val="left"/>
            </w:pPr>
            <w:r>
              <w:t xml:space="preserve">Contexto distinto</w:t>
            </w:r>
          </w:p>
        </w:tc>
        <w:tc>
          <w:tcPr/>
          <w:p>
            <w:pPr>
              <w:pStyle w:val="Tabla9"/>
              <w:jc w:val="left"/>
            </w:pPr>
            <w:r>
              <w:t xml:space="preserve">Arquitectura de dos capas con corrección en un solo lugar (DEC-F02)</w:t>
            </w:r>
          </w:p>
        </w:tc>
      </w:tr>
      <w:tr>
        <w:trPr>
          <w:cantSplit/>
        </w:trPr>
        <w:tc>
          <w:tcPr/>
          <w:p>
            <w:pPr>
              <w:pStyle w:val="Tabla9"/>
              <w:jc w:val="left"/>
            </w:pPr>
            <w:r>
              <w:t xml:space="preserve">Desempeño de la red LSTM</w:t>
            </w:r>
          </w:p>
        </w:tc>
        <w:tc>
          <w:tcPr/>
          <w:p>
            <w:pPr>
              <w:pStyle w:val="Tabla9"/>
              <w:jc w:val="left"/>
            </w:pPr>
            <w:r>
              <w:t xml:space="preserve">R² de 0,70 (Huang et al., 2025)</w:t>
            </w:r>
          </w:p>
        </w:tc>
        <w:tc>
          <w:tcPr/>
          <w:p>
            <w:pPr>
              <w:pStyle w:val="Tabla9"/>
              <w:jc w:val="left"/>
            </w:pPr>
            <w:r>
              <w:t xml:space="preserve">R² de 0,156 y 0,193 (Wei et al., 2026)</w:t>
            </w:r>
          </w:p>
        </w:tc>
        <w:tc>
          <w:tcPr/>
          <w:p>
            <w:pPr>
              <w:pStyle w:val="Tabla9"/>
              <w:jc w:val="left"/>
            </w:pPr>
            <w:r>
              <w:t xml:space="preserve">Definición de la línea base y del R²</w:t>
            </w:r>
          </w:p>
        </w:tc>
        <w:tc>
          <w:tcPr/>
          <w:p>
            <w:pPr>
              <w:pStyle w:val="Tabla9"/>
              <w:jc w:val="left"/>
            </w:pPr>
            <w:r>
              <w:t xml:space="preserve">Evaluación con línea base y partición por sitio</w:t>
            </w:r>
          </w:p>
        </w:tc>
      </w:tr>
      <w:tr>
        <w:trPr>
          <w:cantSplit/>
        </w:trPr>
        <w:tc>
          <w:tcPr/>
          <w:p>
            <w:pPr>
              <w:pStyle w:val="Tabla9"/>
              <w:jc w:val="left"/>
            </w:pPr>
            <w:r>
              <w:t xml:space="preserve">Contaminante con mayor peso en episodios de humo</w:t>
            </w:r>
          </w:p>
        </w:tc>
        <w:tc>
          <w:tcPr/>
          <w:p>
            <w:pPr>
              <w:pStyle w:val="Tabla9"/>
              <w:jc w:val="left"/>
            </w:pPr>
            <w:r>
              <w:t xml:space="preserve">Ozono 2,1 veces más que el material particulado en admisiones de España (Botezat et al., 2025)</w:t>
            </w:r>
          </w:p>
        </w:tc>
        <w:tc>
          <w:tcPr/>
          <w:p>
            <w:pPr>
              <w:pStyle w:val="Tabla9"/>
              <w:jc w:val="left"/>
            </w:pPr>
            <w:r>
              <w:t xml:space="preserve">PM10 con aumento de 140,81 % en São Paulo (Miraglia et al., 2025, p. 2)</w:t>
            </w:r>
          </w:p>
        </w:tc>
        <w:tc>
          <w:tcPr/>
          <w:p>
            <w:pPr>
              <w:pStyle w:val="Tabla9"/>
              <w:jc w:val="left"/>
            </w:pPr>
            <w:r>
              <w:t xml:space="preserve">Régimen y fuente distintos</w:t>
            </w:r>
          </w:p>
        </w:tc>
        <w:tc>
          <w:tcPr/>
          <w:p>
            <w:pPr>
              <w:pStyle w:val="Tabla9"/>
              <w:jc w:val="left"/>
            </w:pPr>
            <w:r>
              <w:t xml:space="preserve">Sin transferencia de umbrales entre contextos; línea base por departamento</w:t>
            </w:r>
          </w:p>
        </w:tc>
      </w:tr>
    </w:tbl>
    <w:p>
      <w:pPr>
        <w:pStyle w:val="TablaNota"/>
      </w:pPr>
      <w:r>
        <w:rPr>
          <w:i/>
          <w:iCs/>
        </w:rPr>
        <w:t xml:space="preserve">Nota.</w:t>
      </w:r>
      <w:r>
        <w:t xml:space="preserve"> </w:t>
      </w:r>
      <w:r>
        <w:t xml:space="preserve">Elaboración propia con datos de F-INF (secciones 10.5 y 12.4). Naturaleza: DECLARADO (cifras de F-INF; no verificadas) y PROPUESTO (tratamiento en el proyecto). Decimales con coma.</w:t>
      </w:r>
    </w:p>
    <w:p>
      <w:pPr>
        <w:pStyle w:val="BodyText"/>
      </w:pPr>
      <w:r>
        <w:t xml:space="preserve">La Tabla 2.26 muestra la respuesta del proyecto. No resuelve las controversias con argumentos, sino con definiciones fijas y con datos propios. Fija una ubicación para la corrección, una meta de error y una línea base medida en el tramo 1. Registra además el costo de sostenimiento como NO_CALCULABLE, porque ningún documento del corpus define los rubros que permitirían compararlo.</w:t>
      </w:r>
    </w:p>
    <w:p>
      <w:pPr>
        <w:pStyle w:val="BodyText"/>
      </w:pPr>
      <w:r>
        <w:t xml:space="preserve">La síntesis presenta límites que condicionan su lectura. El corpus es una muestra intencional de 42 documentos, en dos idiomas (F-INF, sección 10.8, p. 147). De ellos, 61,9 % es de 2025 y 2026. Una afirmación de ausencia significa que el hallazgo no aparece en esos documentos y no que no exista en la literatura. Las obras de dominio se resumen con el conocimiento firme de su objetivo y de su diseño, y sus cifras permanecen NO_VERIFICADO. Los cuartiles de las revistas tampoco se verificaron. Por eso las brechas se declaran como INFERIDO. Se revisan si una búsqueda externa documenta mediciones en sitios de remoción de escombros.</w:t>
      </w:r>
    </w:p>
    <w:p>
      <w:pPr>
        <w:pStyle w:val="BodyText"/>
      </w:pPr>
      <w:r>
        <w:t xml:space="preserve">Las cuatro dimensiones se traducen en decisiones de diseño verificables. La primera dimensión fija la definición de calidad: R² y error normalizado frente a referencia, y no un índice de salud. La segunda fija el método: colocalización con tres referencias, modelo de corrección en el gateway y línea base medida en el tramo 1 (OE1). La tercera fija el territorio y la disponibilidad: tres departamentos, autonomía mínima de 14 días sin sol y almacenamiento local de siete días (OE2). La cuarta fija la arquitectura y el uso. La corrección ocurre en un solo lugar, el gemelo digital es una estimación espacial y el co-diseño abarca 15 comités focalizados (OE3). Cada decisión conserva su naturaleza. Son PROPUESTO, salvo el territorio y los comités, que son SUPUESTO.</w:t>
      </w:r>
    </w:p>
    <w:bookmarkEnd w:id="358"/>
    <w:bookmarkEnd w:id="359"/>
    <w:bookmarkStart w:id="369" w:name="X018669025dbb4a2f5094ca847a0244e903731a6"/>
    <w:p>
      <w:pPr>
        <w:pStyle w:val="Heading2"/>
      </w:pPr>
      <w:r>
        <w:t xml:space="preserve">2.5 Brechas, oportunidades y posicionamiento del proyecto</w:t>
      </w:r>
    </w:p>
    <w:bookmarkStart w:id="360" w:name="_Toc00900139"/>
    <w:p>
      <w:pPr>
        <w:pStyle w:val="Heading3"/>
      </w:pPr>
      <w:r>
        <w:t xml:space="preserve">2.5.1 Consolidación de brechas</w:t>
      </w:r>
    </w:p>
    <w:p>
      <w:pPr>
        <w:pStyle w:val="FirstParagraph"/>
      </w:pPr>
      <w:r>
        <w:t xml:space="preserve">La consolidación reúne las brechas cienciométricas, temáticas y metodológicas en una sola lectura. F-INF identificó 267 brechas. De ellas, 72 son críticas (27,0 %), 120 significativas (44,9 %) y 75 moderadas (28,1 %) (F-INF, sección 5.1, p. 43). La prioridad estratégica media es de 7,1 y 50 brechas alcanzan la prioridad máxima de 9. La viabilidad de solución es alta en 109 brechas, media en 148 y baja en 10. La Tabla 2.27 distribuye las brechas por tipo y calcula la proporción de críticas dentro de cada tipo.</w:t>
      </w:r>
    </w:p>
    <w:p>
      <w:pPr>
        <w:pStyle w:val="TablaRotulo"/>
      </w:pPr>
      <w:bookmarkStart w:id="9257" w:name="rot_Tabla_2_27"/>
      <w:r>
        <w:rPr>
          <w:b/>
          <w:bCs/>
        </w:rPr>
        <w:t xml:space="preserve">Tabla 2.27</w:t>
      </w:r>
      <w:bookmarkEnd w:id="9257"/>
    </w:p>
    <w:p>
      <w:pPr>
        <w:pStyle w:val="TablaTitulo"/>
      </w:pPr>
      <w:r>
        <w:rPr>
          <w:i/>
          <w:iCs/>
        </w:rPr>
        <w:t xml:space="preserve">Brechas del informe de vigilancia por tipo y proporción de brechas críticas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14"/>
        <w:gridCol w:w="1254"/>
        <w:gridCol w:w="1716"/>
        <w:gridCol w:w="1386"/>
        <w:gridCol w:w="1650"/>
      </w:tblGrid>
      <w:tr>
        <w:trPr>
          <w:cantSplit/>
          <w:tblHeader/>
        </w:trPr>
        <w:tc>
          <w:tcPr>
            <w:shd w:val="clear" w:color="auto" w:fill="00B050"/>
          </w:tcPr>
          <w:p>
            <w:pPr>
              <w:pStyle w:val="Tabla9"/>
              <w:jc w:val="center"/>
            </w:pPr>
            <w:r>
              <w:rPr>
                <w:b/>
                <w:color w:val="FFFFFF"/>
              </w:rPr>
              <w:t xml:space="preserve">Tipo de brecha</w:t>
            </w:r>
          </w:p>
        </w:tc>
        <w:tc>
          <w:tcPr>
            <w:shd w:val="clear" w:color="auto" w:fill="00B050"/>
          </w:tcPr>
          <w:p>
            <w:pPr>
              <w:pStyle w:val="Tabla9"/>
              <w:jc w:val="center"/>
            </w:pPr>
            <w:r>
              <w:rPr>
                <w:b/>
                <w:color w:val="FFFFFF"/>
              </w:rPr>
              <w:t xml:space="preserve">Brechas (N)</w:t>
            </w:r>
          </w:p>
        </w:tc>
        <w:tc>
          <w:tcPr>
            <w:shd w:val="clear" w:color="auto" w:fill="00B050"/>
          </w:tcPr>
          <w:p>
            <w:pPr>
              <w:pStyle w:val="Tabla9"/>
              <w:jc w:val="center"/>
            </w:pPr>
            <w:r>
              <w:rPr>
                <w:b/>
                <w:color w:val="FFFFFF"/>
              </w:rPr>
              <w:t xml:space="preserve">Porcentaje del total</w:t>
            </w:r>
          </w:p>
        </w:tc>
        <w:tc>
          <w:tcPr>
            <w:shd w:val="clear" w:color="auto" w:fill="00B050"/>
          </w:tcPr>
          <w:p>
            <w:pPr>
              <w:pStyle w:val="Tabla9"/>
              <w:jc w:val="center"/>
            </w:pPr>
            <w:r>
              <w:rPr>
                <w:b/>
                <w:color w:val="FFFFFF"/>
              </w:rPr>
              <w:t xml:space="preserve">Críticas (N)</w:t>
            </w:r>
          </w:p>
        </w:tc>
        <w:tc>
          <w:tcPr>
            <w:shd w:val="clear" w:color="auto" w:fill="00B050"/>
          </w:tcPr>
          <w:p>
            <w:pPr>
              <w:pStyle w:val="Tabla9"/>
              <w:jc w:val="center"/>
            </w:pPr>
            <w:r>
              <w:rPr>
                <w:b/>
                <w:color w:val="FFFFFF"/>
              </w:rPr>
              <w:t xml:space="preserve">Críticas dentro del tipo (%)</w:t>
            </w:r>
          </w:p>
        </w:tc>
      </w:tr>
      <w:tr>
        <w:trPr>
          <w:cantSplit/>
        </w:trPr>
        <w:tc>
          <w:tcPr/>
          <w:p>
            <w:pPr>
              <w:pStyle w:val="Tabla9"/>
              <w:jc w:val="left"/>
            </w:pPr>
            <w:r>
              <w:t xml:space="preserve">Conocimiento</w:t>
            </w:r>
          </w:p>
        </w:tc>
        <w:tc>
          <w:tcPr/>
          <w:p>
            <w:pPr>
              <w:pStyle w:val="Tabla9"/>
              <w:jc w:val="left"/>
            </w:pPr>
            <w:r>
              <w:t xml:space="preserve">70</w:t>
            </w:r>
          </w:p>
        </w:tc>
        <w:tc>
          <w:tcPr/>
          <w:p>
            <w:pPr>
              <w:pStyle w:val="Tabla9"/>
              <w:jc w:val="left"/>
            </w:pPr>
            <w:r>
              <w:t xml:space="preserve">26,2</w:t>
            </w:r>
          </w:p>
        </w:tc>
        <w:tc>
          <w:tcPr/>
          <w:p>
            <w:pPr>
              <w:pStyle w:val="Tabla9"/>
              <w:jc w:val="left"/>
            </w:pPr>
            <w:r>
              <w:t xml:space="preserve">17</w:t>
            </w:r>
          </w:p>
        </w:tc>
        <w:tc>
          <w:tcPr/>
          <w:p>
            <w:pPr>
              <w:pStyle w:val="Tabla9"/>
              <w:jc w:val="left"/>
            </w:pPr>
            <w:r>
              <w:t xml:space="preserve">24,3</w:t>
            </w:r>
          </w:p>
        </w:tc>
      </w:tr>
      <w:tr>
        <w:trPr>
          <w:cantSplit/>
        </w:trPr>
        <w:tc>
          <w:tcPr/>
          <w:p>
            <w:pPr>
              <w:pStyle w:val="Tabla9"/>
              <w:jc w:val="left"/>
            </w:pPr>
            <w:r>
              <w:t xml:space="preserve">Metodológico</w:t>
            </w:r>
          </w:p>
        </w:tc>
        <w:tc>
          <w:tcPr/>
          <w:p>
            <w:pPr>
              <w:pStyle w:val="Tabla9"/>
              <w:jc w:val="left"/>
            </w:pPr>
            <w:r>
              <w:t xml:space="preserve">70</w:t>
            </w:r>
          </w:p>
        </w:tc>
        <w:tc>
          <w:tcPr/>
          <w:p>
            <w:pPr>
              <w:pStyle w:val="Tabla9"/>
              <w:jc w:val="left"/>
            </w:pPr>
            <w:r>
              <w:t xml:space="preserve">26,2</w:t>
            </w:r>
          </w:p>
        </w:tc>
        <w:tc>
          <w:tcPr/>
          <w:p>
            <w:pPr>
              <w:pStyle w:val="Tabla9"/>
              <w:jc w:val="left"/>
            </w:pPr>
            <w:r>
              <w:t xml:space="preserve">29</w:t>
            </w:r>
          </w:p>
        </w:tc>
        <w:tc>
          <w:tcPr/>
          <w:p>
            <w:pPr>
              <w:pStyle w:val="Tabla9"/>
              <w:jc w:val="left"/>
            </w:pPr>
            <w:r>
              <w:t xml:space="preserve">41,4</w:t>
            </w:r>
          </w:p>
        </w:tc>
      </w:tr>
      <w:tr>
        <w:trPr>
          <w:cantSplit/>
        </w:trPr>
        <w:tc>
          <w:tcPr/>
          <w:p>
            <w:pPr>
              <w:pStyle w:val="Tabla9"/>
              <w:jc w:val="left"/>
            </w:pPr>
            <w:r>
              <w:t xml:space="preserve">Tecnológico</w:t>
            </w:r>
          </w:p>
        </w:tc>
        <w:tc>
          <w:tcPr/>
          <w:p>
            <w:pPr>
              <w:pStyle w:val="Tabla9"/>
              <w:jc w:val="left"/>
            </w:pPr>
            <w:r>
              <w:t xml:space="preserve">54</w:t>
            </w:r>
          </w:p>
        </w:tc>
        <w:tc>
          <w:tcPr/>
          <w:p>
            <w:pPr>
              <w:pStyle w:val="Tabla9"/>
              <w:jc w:val="left"/>
            </w:pPr>
            <w:r>
              <w:t xml:space="preserve">20,2</w:t>
            </w:r>
          </w:p>
        </w:tc>
        <w:tc>
          <w:tcPr/>
          <w:p>
            <w:pPr>
              <w:pStyle w:val="Tabla9"/>
              <w:jc w:val="left"/>
            </w:pPr>
            <w:r>
              <w:t xml:space="preserve">23</w:t>
            </w:r>
          </w:p>
        </w:tc>
        <w:tc>
          <w:tcPr/>
          <w:p>
            <w:pPr>
              <w:pStyle w:val="Tabla9"/>
              <w:jc w:val="left"/>
            </w:pPr>
            <w:r>
              <w:t xml:space="preserve">42,6</w:t>
            </w:r>
          </w:p>
        </w:tc>
      </w:tr>
      <w:tr>
        <w:trPr>
          <w:cantSplit/>
        </w:trPr>
        <w:tc>
          <w:tcPr/>
          <w:p>
            <w:pPr>
              <w:pStyle w:val="Tabla9"/>
              <w:jc w:val="left"/>
            </w:pPr>
            <w:r>
              <w:t xml:space="preserve">Regulatorio</w:t>
            </w:r>
          </w:p>
        </w:tc>
        <w:tc>
          <w:tcPr/>
          <w:p>
            <w:pPr>
              <w:pStyle w:val="Tabla9"/>
              <w:jc w:val="left"/>
            </w:pPr>
            <w:r>
              <w:t xml:space="preserve">28</w:t>
            </w:r>
          </w:p>
        </w:tc>
        <w:tc>
          <w:tcPr/>
          <w:p>
            <w:pPr>
              <w:pStyle w:val="Tabla9"/>
              <w:jc w:val="left"/>
            </w:pPr>
            <w:r>
              <w:t xml:space="preserve">10,5</w:t>
            </w:r>
          </w:p>
        </w:tc>
        <w:tc>
          <w:tcPr/>
          <w:p>
            <w:pPr>
              <w:pStyle w:val="Tabla9"/>
              <w:jc w:val="left"/>
            </w:pPr>
            <w:r>
              <w:t xml:space="preserve">0</w:t>
            </w:r>
          </w:p>
        </w:tc>
        <w:tc>
          <w:tcPr/>
          <w:p>
            <w:pPr>
              <w:pStyle w:val="Tabla9"/>
              <w:jc w:val="left"/>
            </w:pPr>
            <w:r>
              <w:t xml:space="preserve">0,0</w:t>
            </w:r>
          </w:p>
        </w:tc>
      </w:tr>
      <w:tr>
        <w:trPr>
          <w:cantSplit/>
        </w:trPr>
        <w:tc>
          <w:tcPr/>
          <w:p>
            <w:pPr>
              <w:pStyle w:val="Tabla9"/>
              <w:jc w:val="left"/>
            </w:pPr>
            <w:r>
              <w:t xml:space="preserve">Mercado</w:t>
            </w:r>
          </w:p>
        </w:tc>
        <w:tc>
          <w:tcPr/>
          <w:p>
            <w:pPr>
              <w:pStyle w:val="Tabla9"/>
              <w:jc w:val="left"/>
            </w:pPr>
            <w:r>
              <w:t xml:space="preserve">25</w:t>
            </w:r>
          </w:p>
        </w:tc>
        <w:tc>
          <w:tcPr/>
          <w:p>
            <w:pPr>
              <w:pStyle w:val="Tabla9"/>
              <w:jc w:val="left"/>
            </w:pPr>
            <w:r>
              <w:t xml:space="preserve">9,4</w:t>
            </w:r>
          </w:p>
        </w:tc>
        <w:tc>
          <w:tcPr/>
          <w:p>
            <w:pPr>
              <w:pStyle w:val="Tabla9"/>
              <w:jc w:val="left"/>
            </w:pPr>
            <w:r>
              <w:t xml:space="preserve">1</w:t>
            </w:r>
          </w:p>
        </w:tc>
        <w:tc>
          <w:tcPr/>
          <w:p>
            <w:pPr>
              <w:pStyle w:val="Tabla9"/>
              <w:jc w:val="left"/>
            </w:pPr>
            <w:r>
              <w:t xml:space="preserve">4,0</w:t>
            </w:r>
          </w:p>
        </w:tc>
      </w:tr>
      <w:tr>
        <w:trPr>
          <w:cantSplit/>
        </w:trPr>
        <w:tc>
          <w:tcPr/>
          <w:p>
            <w:pPr>
              <w:pStyle w:val="Tabla9"/>
              <w:jc w:val="left"/>
            </w:pPr>
            <w:r>
              <w:t xml:space="preserve">Datos</w:t>
            </w:r>
          </w:p>
        </w:tc>
        <w:tc>
          <w:tcPr/>
          <w:p>
            <w:pPr>
              <w:pStyle w:val="Tabla9"/>
              <w:jc w:val="left"/>
            </w:pPr>
            <w:r>
              <w:t xml:space="preserve">19</w:t>
            </w:r>
          </w:p>
        </w:tc>
        <w:tc>
          <w:tcPr/>
          <w:p>
            <w:pPr>
              <w:pStyle w:val="Tabla9"/>
              <w:jc w:val="left"/>
            </w:pPr>
            <w:r>
              <w:t xml:space="preserve">7,1</w:t>
            </w:r>
          </w:p>
        </w:tc>
        <w:tc>
          <w:tcPr/>
          <w:p>
            <w:pPr>
              <w:pStyle w:val="Tabla9"/>
              <w:jc w:val="left"/>
            </w:pPr>
            <w:r>
              <w:t xml:space="preserve">1</w:t>
            </w:r>
          </w:p>
        </w:tc>
        <w:tc>
          <w:tcPr/>
          <w:p>
            <w:pPr>
              <w:pStyle w:val="Tabla9"/>
              <w:jc w:val="left"/>
            </w:pPr>
            <w:r>
              <w:t xml:space="preserve">5,3</w:t>
            </w:r>
          </w:p>
        </w:tc>
      </w:tr>
      <w:tr>
        <w:trPr>
          <w:cantSplit/>
        </w:trPr>
        <w:tc>
          <w:tcPr/>
          <w:p>
            <w:pPr>
              <w:pStyle w:val="Tabla9"/>
              <w:jc w:val="left"/>
            </w:pPr>
            <w:r>
              <w:t xml:space="preserve">Territorial</w:t>
            </w:r>
          </w:p>
        </w:tc>
        <w:tc>
          <w:tcPr/>
          <w:p>
            <w:pPr>
              <w:pStyle w:val="Tabla9"/>
              <w:jc w:val="left"/>
            </w:pPr>
            <w:r>
              <w:t xml:space="preserve">1</w:t>
            </w:r>
          </w:p>
        </w:tc>
        <w:tc>
          <w:tcPr/>
          <w:p>
            <w:pPr>
              <w:pStyle w:val="Tabla9"/>
              <w:jc w:val="left"/>
            </w:pPr>
            <w:r>
              <w:t xml:space="preserve">0,4</w:t>
            </w:r>
          </w:p>
        </w:tc>
        <w:tc>
          <w:tcPr/>
          <w:p>
            <w:pPr>
              <w:pStyle w:val="Tabla9"/>
              <w:jc w:val="left"/>
            </w:pPr>
            <w:r>
              <w:t xml:space="preserve">1</w:t>
            </w:r>
          </w:p>
        </w:tc>
        <w:tc>
          <w:tcPr/>
          <w:p>
            <w:pPr>
              <w:pStyle w:val="Tabla9"/>
              <w:jc w:val="left"/>
            </w:pPr>
            <w:r>
              <w:t xml:space="preserve">100,0</w:t>
            </w:r>
          </w:p>
        </w:tc>
      </w:tr>
      <w:tr>
        <w:trPr>
          <w:cantSplit/>
        </w:trPr>
        <w:tc>
          <w:tcPr/>
          <w:p>
            <w:pPr>
              <w:pStyle w:val="Tabla9"/>
              <w:jc w:val="left"/>
            </w:pPr>
            <w:r>
              <w:t xml:space="preserve">Total</w:t>
            </w:r>
          </w:p>
        </w:tc>
        <w:tc>
          <w:tcPr/>
          <w:p>
            <w:pPr>
              <w:pStyle w:val="Tabla9"/>
              <w:jc w:val="left"/>
            </w:pPr>
            <w:r>
              <w:t xml:space="preserve">267</w:t>
            </w:r>
          </w:p>
        </w:tc>
        <w:tc>
          <w:tcPr/>
          <w:p>
            <w:pPr>
              <w:pStyle w:val="Tabla9"/>
              <w:jc w:val="left"/>
            </w:pPr>
            <w:r>
              <w:t xml:space="preserve">100,0</w:t>
            </w:r>
          </w:p>
        </w:tc>
        <w:tc>
          <w:tcPr/>
          <w:p>
            <w:pPr>
              <w:pStyle w:val="Tabla9"/>
              <w:jc w:val="left"/>
            </w:pPr>
            <w:r>
              <w:t xml:space="preserve">72</w:t>
            </w:r>
          </w:p>
        </w:tc>
        <w:tc>
          <w:tcPr/>
          <w:p>
            <w:pPr>
              <w:pStyle w:val="Tabla9"/>
              <w:jc w:val="left"/>
            </w:pPr>
            <w:r>
              <w:t xml:space="preserve">27,0</w:t>
            </w:r>
          </w:p>
        </w:tc>
      </w:tr>
    </w:tbl>
    <w:p>
      <w:pPr>
        <w:pStyle w:val="TablaNota"/>
      </w:pPr>
      <w:r>
        <w:rPr>
          <w:i/>
          <w:iCs/>
        </w:rPr>
        <w:t xml:space="preserve">Nota.</w:t>
      </w:r>
      <w:r>
        <w:t xml:space="preserve"> </w:t>
      </w:r>
      <w:r>
        <w:t xml:space="preserve">Elaboración propia con datos de F-INF (sección 5.1, p. 43). Naturaleza: DECLARADO para N, porcentaje del total y críticas; CALCULADO para la última columna (críticas ÷ N). Decimales con coma.</w:t>
      </w:r>
    </w:p>
    <w:p>
      <w:pPr>
        <w:pStyle w:val="BodyText"/>
      </w:pPr>
      <w:r>
        <w:t xml:space="preserve">La criticidad se concentra en dos tipos. El 41,4 % de las brechas metodológicas y el 42,6 % de las tecnológicas son críticas, frente a 24,3 % de las de conocimiento. Ninguna de las 28 regulatorias es crítica. El campo está limitado por la evaluación y no por la regulación ni por el mercado, según F-INF (sección 5.1, p. 43). La cautela es de método. En los tres grupos documentales de literatura, 12 de 166 brechas son regulatorias (7,2 %). En los dos de patentes, son 16 de 101 (15,8 %). Parte de la diferencia refleja el género del documento y parte el criterio de clasificación. El predominio de la evaluación es, por tanto, una lectura de estos documentos y no una medición independiente.</w:t>
      </w:r>
    </w:p>
    <w:p>
      <w:pPr>
        <w:pStyle w:val="BodyText"/>
      </w:pPr>
      <w:r>
        <w:t xml:space="preserve">Dos inventarios complementan las brechas. El primero reúne 294 vacíos, 42 por cada uno de siete tipos (F-INF, sección 5.3, p. 48). Los vacíos territoriales presentan potencial de innovación alto en 40 de 42 casos, y los causales presentan viabilidad de datos baja en 40 de 42. El segundo reúne 215 áreas grises (F-INF, sección 12.5, p. 199). Seis categorías aparecen en más de la mitad de los documentos. La primera es la ausencia de validación o de datos de desempeño, en 30 documentos (71,4 %). La segunda es el método de revisión insuficiente, en 30. La tercera es la calibración, la exactitud o el sesgo de los sensores, en 29. La cuarta es la cobertura territorial, en 24. La quinta es la línea base ausente, en 23. La sexta es la ausencia de justificación de los umbrales, en 23 (F-INF, sección 5.4, p. 51). Las mismas debilidades se repiten en géneros de documento distintos, lo que indica un problema del campo y no de una línea de trabajo.</w:t>
      </w:r>
    </w:p>
    <w:p>
      <w:pPr>
        <w:pStyle w:val="BodyText"/>
      </w:pPr>
      <w:r>
        <w:t xml:space="preserve">La Tabla 2.28 enlaza 14 brechas con su evidencia, su fuente, la respuesta del proyecto, el objetivo específico y los indicadores PERS. La columna de alcance distingue tres situaciones. «Objetivo directo» indica que un objetivo específico atiende la brecha. «Parcial» indica que el proyecto aborda una parte. «Fuera de alcance» indica que no la aborda.</w:t>
      </w:r>
    </w:p>
    <w:p>
      <w:pPr>
        <w:pStyle w:val="TablaRotulo"/>
      </w:pPr>
      <w:bookmarkStart w:id="9258" w:name="rot_Tabla_2_28"/>
      <w:r>
        <w:rPr>
          <w:b/>
          <w:bCs/>
        </w:rPr>
        <w:t xml:space="preserve">Tabla 2.28</w:t>
      </w:r>
      <w:bookmarkEnd w:id="9258"/>
    </w:p>
    <w:p>
      <w:pPr>
        <w:pStyle w:val="TablaTitulo"/>
      </w:pPr>
      <w:r>
        <w:rPr>
          <w:i/>
          <w:iCs/>
        </w:rPr>
        <w:t xml:space="preserve">Matriz consolidada de brechas: evidencia, fuente y respuesta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254"/>
        <w:gridCol w:w="1518"/>
        <w:gridCol w:w="990"/>
        <w:gridCol w:w="990"/>
        <w:gridCol w:w="726"/>
      </w:tblGrid>
      <w:tr>
        <w:trPr>
          <w:cantSplit/>
          <w:tblHeader/>
        </w:trPr>
        <w:tc>
          <w:tcPr>
            <w:shd w:val="clear" w:color="auto" w:fill="00B050"/>
          </w:tcPr>
          <w:p>
            <w:pPr>
              <w:pStyle w:val="Tabla8"/>
              <w:jc w:val="center"/>
            </w:pPr>
            <w:r>
              <w:rPr>
                <w:b/>
                <w:color w:val="FFFFFF"/>
              </w:rPr>
              <w:t xml:space="preserve">Brecha</w:t>
            </w:r>
          </w:p>
        </w:tc>
        <w:tc>
          <w:tcPr>
            <w:shd w:val="clear" w:color="auto" w:fill="00B050"/>
          </w:tcPr>
          <w:p>
            <w:pPr>
              <w:pStyle w:val="Tabla8"/>
              <w:jc w:val="center"/>
            </w:pPr>
            <w:r>
              <w:rPr>
                <w:b/>
                <w:color w:val="FFFFFF"/>
              </w:rPr>
              <w:t xml:space="preserve">Evidencia</w:t>
            </w:r>
          </w:p>
        </w:tc>
        <w:tc>
          <w:tcPr>
            <w:shd w:val="clear" w:color="auto" w:fill="00B050"/>
          </w:tcPr>
          <w:p>
            <w:pPr>
              <w:pStyle w:val="Tabla8"/>
              <w:jc w:val="center"/>
            </w:pPr>
            <w:r>
              <w:rPr>
                <w:b/>
                <w:color w:val="FFFFFF"/>
              </w:rPr>
              <w:t xml:space="preserve">Fuente</w:t>
            </w:r>
          </w:p>
        </w:tc>
        <w:tc>
          <w:tcPr>
            <w:shd w:val="clear" w:color="auto" w:fill="00B050"/>
          </w:tcPr>
          <w:p>
            <w:pPr>
              <w:pStyle w:val="Tabla8"/>
              <w:jc w:val="center"/>
            </w:pPr>
            <w:r>
              <w:rPr>
                <w:b/>
                <w:color w:val="FFFFFF"/>
              </w:rPr>
              <w:t xml:space="preserve">Cómo la aborda el proyecto</w:t>
            </w:r>
          </w:p>
        </w:tc>
        <w:tc>
          <w:tcPr>
            <w:shd w:val="clear" w:color="auto" w:fill="00B050"/>
          </w:tcPr>
          <w:p>
            <w:pPr>
              <w:pStyle w:val="Tabla8"/>
              <w:jc w:val="center"/>
            </w:pPr>
            <w:r>
              <w:rPr>
                <w:b/>
                <w:color w:val="FFFFFF"/>
              </w:rPr>
              <w:t xml:space="preserve">OE</w:t>
            </w:r>
          </w:p>
        </w:tc>
        <w:tc>
          <w:tcPr>
            <w:shd w:val="clear" w:color="auto" w:fill="00B050"/>
          </w:tcPr>
          <w:p>
            <w:pPr>
              <w:pStyle w:val="Tabla8"/>
              <w:jc w:val="center"/>
            </w:pPr>
            <w:r>
              <w:rPr>
                <w:b/>
                <w:color w:val="FFFFFF"/>
              </w:rPr>
              <w:t xml:space="preserve">Indicadores PERS</w:t>
            </w:r>
          </w:p>
        </w:tc>
        <w:tc>
          <w:tcPr>
            <w:shd w:val="clear" w:color="auto" w:fill="00B050"/>
          </w:tcPr>
          <w:p>
            <w:pPr>
              <w:pStyle w:val="Tabla8"/>
              <w:jc w:val="center"/>
            </w:pPr>
            <w:r>
              <w:rPr>
                <w:b/>
                <w:color w:val="FFFFFF"/>
              </w:rPr>
              <w:t xml:space="preserve">Alcance</w:t>
            </w:r>
          </w:p>
        </w:tc>
      </w:tr>
      <w:tr>
        <w:trPr>
          <w:cantSplit/>
        </w:trPr>
        <w:tc>
          <w:tcPr/>
          <w:p>
            <w:pPr>
              <w:pStyle w:val="Tabla8"/>
              <w:jc w:val="left"/>
            </w:pPr>
            <w:r>
              <w:t xml:space="preserve">Calibración colocalizada ausente en redes de bajo costo</w:t>
            </w:r>
          </w:p>
        </w:tc>
        <w:tc>
          <w:tcPr/>
          <w:p>
            <w:pPr>
              <w:pStyle w:val="Tabla8"/>
              <w:jc w:val="left"/>
            </w:pPr>
            <w:r>
              <w:t xml:space="preserve">90,8 % de 5.076 estaciones sin plan de calibración; R² de menos de 0,2 a 0,81 en un caso</w:t>
            </w:r>
          </w:p>
        </w:tc>
        <w:tc>
          <w:tcPr/>
          <w:p>
            <w:pPr>
              <w:pStyle w:val="Tabla8"/>
              <w:jc w:val="left"/>
            </w:pPr>
            <w:r>
              <w:t xml:space="preserve">Murad Pedraza et al. (2026, pp. 10-11 y 13); Bang et al. (2026, pp. 6-8)</w:t>
            </w:r>
          </w:p>
        </w:tc>
        <w:tc>
          <w:tcPr/>
          <w:p>
            <w:pPr>
              <w:pStyle w:val="Tabla8"/>
              <w:jc w:val="left"/>
            </w:pPr>
            <w:r>
              <w:t xml:space="preserve">Colocalización con tres referencias gravimétricas y modelo de corrección aplicado en el gateway</w:t>
            </w:r>
          </w:p>
        </w:tc>
        <w:tc>
          <w:tcPr/>
          <w:p>
            <w:pPr>
              <w:pStyle w:val="Tabla8"/>
              <w:jc w:val="left"/>
            </w:pPr>
            <w:r>
              <w:t xml:space="preserve">OE1</w:t>
            </w:r>
          </w:p>
        </w:tc>
        <w:tc>
          <w:tcPr/>
          <w:p>
            <w:pPr>
              <w:pStyle w:val="Tabla8"/>
              <w:jc w:val="left"/>
            </w:pPr>
            <w:r>
              <w:t xml:space="preserve">PERS-R02; PERS-R05</w:t>
            </w:r>
          </w:p>
        </w:tc>
        <w:tc>
          <w:tcPr/>
          <w:p>
            <w:pPr>
              <w:pStyle w:val="Tabla8"/>
              <w:jc w:val="left"/>
            </w:pPr>
            <w:r>
              <w:t xml:space="preserve">Objetivo directo</w:t>
            </w:r>
          </w:p>
        </w:tc>
      </w:tr>
      <w:tr>
        <w:trPr>
          <w:cantSplit/>
        </w:trPr>
        <w:tc>
          <w:tcPr/>
          <w:p>
            <w:pPr>
              <w:pStyle w:val="Tabla8"/>
              <w:jc w:val="left"/>
            </w:pPr>
            <w:r>
              <w:t xml:space="preserve">Sesgo por humedad y fracción gruesa sin corregir</w:t>
            </w:r>
          </w:p>
        </w:tc>
        <w:tc>
          <w:tcPr/>
          <w:p>
            <w:pPr>
              <w:pStyle w:val="Tabla8"/>
              <w:jc w:val="left"/>
            </w:pPr>
            <w:r>
              <w:t xml:space="preserve">Correlación de 0,73 con la humedad en un sensor sin corregir</w:t>
            </w:r>
          </w:p>
        </w:tc>
        <w:tc>
          <w:tcPr/>
          <w:p>
            <w:pPr>
              <w:pStyle w:val="Tabla8"/>
              <w:jc w:val="left"/>
            </w:pPr>
            <w:r>
              <w:t xml:space="preserve">Suresh et al. (2025, p. 30); Jayaratne et al. (2018)</w:t>
            </w:r>
          </w:p>
        </w:tc>
        <w:tc>
          <w:tcPr/>
          <w:p>
            <w:pPr>
              <w:pStyle w:val="Tabla8"/>
              <w:jc w:val="left"/>
            </w:pPr>
            <w:r>
              <w:t xml:space="preserve">Modelo con humedad, temperatura y fracción gruesa; meta de R² ≥ 0,70 y NRMSE ≤ 30 %</w:t>
            </w:r>
          </w:p>
        </w:tc>
        <w:tc>
          <w:tcPr/>
          <w:p>
            <w:pPr>
              <w:pStyle w:val="Tabla8"/>
              <w:jc w:val="left"/>
            </w:pPr>
            <w:r>
              <w:t xml:space="preserve">OE1</w:t>
            </w:r>
          </w:p>
        </w:tc>
        <w:tc>
          <w:tcPr/>
          <w:p>
            <w:pPr>
              <w:pStyle w:val="Tabla8"/>
              <w:jc w:val="left"/>
            </w:pPr>
            <w:r>
              <w:t xml:space="preserve">PERS-R02; PERS-P02</w:t>
            </w:r>
          </w:p>
        </w:tc>
        <w:tc>
          <w:tcPr/>
          <w:p>
            <w:pPr>
              <w:pStyle w:val="Tabla8"/>
              <w:jc w:val="left"/>
            </w:pPr>
            <w:r>
              <w:t xml:space="preserve">Objetivo directo</w:t>
            </w:r>
          </w:p>
        </w:tc>
      </w:tr>
      <w:tr>
        <w:trPr>
          <w:cantSplit/>
        </w:trPr>
        <w:tc>
          <w:tcPr/>
          <w:p>
            <w:pPr>
              <w:pStyle w:val="Tabla8"/>
              <w:jc w:val="left"/>
            </w:pPr>
            <w:r>
              <w:t xml:space="preserve">Línea base de error local sin medir</w:t>
            </w:r>
          </w:p>
        </w:tc>
        <w:tc>
          <w:tcPr/>
          <w:p>
            <w:pPr>
              <w:pStyle w:val="Tabla8"/>
              <w:jc w:val="left"/>
            </w:pPr>
            <w:r>
              <w:t xml:space="preserve">20 de 42 documentos sin línea base ni comparación</w:t>
            </w:r>
          </w:p>
        </w:tc>
        <w:tc>
          <w:tcPr/>
          <w:p>
            <w:pPr>
              <w:pStyle w:val="Tabla8"/>
              <w:jc w:val="left"/>
            </w:pPr>
            <w:r>
              <w:t xml:space="preserve">F-INF, sección 5.3 (p. 48)</w:t>
            </w:r>
          </w:p>
        </w:tc>
        <w:tc>
          <w:tcPr/>
          <w:p>
            <w:pPr>
              <w:pStyle w:val="Tabla8"/>
              <w:jc w:val="left"/>
            </w:pPr>
            <w:r>
              <w:t xml:space="preserve">Medición de la línea base en el tramo 1 (hito H2, mes 10)</w:t>
            </w:r>
          </w:p>
        </w:tc>
        <w:tc>
          <w:tcPr/>
          <w:p>
            <w:pPr>
              <w:pStyle w:val="Tabla8"/>
              <w:jc w:val="left"/>
            </w:pPr>
            <w:r>
              <w:t xml:space="preserve">OE1</w:t>
            </w:r>
          </w:p>
        </w:tc>
        <w:tc>
          <w:tcPr/>
          <w:p>
            <w:pPr>
              <w:pStyle w:val="Tabla8"/>
              <w:jc w:val="left"/>
            </w:pPr>
            <w:r>
              <w:t xml:space="preserve">PERS-R05</w:t>
            </w:r>
          </w:p>
        </w:tc>
        <w:tc>
          <w:tcPr/>
          <w:p>
            <w:pPr>
              <w:pStyle w:val="Tabla8"/>
              <w:jc w:val="left"/>
            </w:pPr>
            <w:r>
              <w:t xml:space="preserve">Objetivo directo</w:t>
            </w:r>
          </w:p>
        </w:tc>
      </w:tr>
      <w:tr>
        <w:trPr>
          <w:cantSplit/>
        </w:trPr>
        <w:tc>
          <w:tcPr/>
          <w:p>
            <w:pPr>
              <w:pStyle w:val="Tabla8"/>
              <w:jc w:val="left"/>
            </w:pPr>
            <w:r>
              <w:t xml:space="preserve">Evaluación sin partición ni línea base de persistencia</w:t>
            </w:r>
          </w:p>
        </w:tc>
        <w:tc>
          <w:tcPr/>
          <w:p>
            <w:pPr>
              <w:pStyle w:val="Tabla8"/>
              <w:jc w:val="left"/>
            </w:pPr>
            <w:r>
              <w:t xml:space="preserve">5 de 9 documentos de aprendizaje automático sin persistencia; reducciones de 26 % a 56 %</w:t>
            </w:r>
          </w:p>
        </w:tc>
        <w:tc>
          <w:tcPr/>
          <w:p>
            <w:pPr>
              <w:pStyle w:val="Tabla8"/>
              <w:jc w:val="left"/>
            </w:pPr>
            <w:r>
              <w:t xml:space="preserve">Chang et al. (2023, pp. 16-17); Huang et al. (2025, p. 16)</w:t>
            </w:r>
          </w:p>
        </w:tc>
        <w:tc>
          <w:tcPr/>
          <w:p>
            <w:pPr>
              <w:pStyle w:val="Tabla8"/>
              <w:jc w:val="left"/>
            </w:pPr>
            <w:r>
              <w:t xml:space="preserve">Validación por departamento y reentrenamiento por tramo</w:t>
            </w:r>
          </w:p>
        </w:tc>
        <w:tc>
          <w:tcPr/>
          <w:p>
            <w:pPr>
              <w:pStyle w:val="Tabla8"/>
              <w:jc w:val="left"/>
            </w:pPr>
            <w:r>
              <w:t xml:space="preserve">OE1</w:t>
            </w:r>
          </w:p>
        </w:tc>
        <w:tc>
          <w:tcPr/>
          <w:p>
            <w:pPr>
              <w:pStyle w:val="Tabla8"/>
              <w:jc w:val="left"/>
            </w:pPr>
            <w:r>
              <w:t xml:space="preserve">PERS-R02</w:t>
            </w:r>
          </w:p>
        </w:tc>
        <w:tc>
          <w:tcPr/>
          <w:p>
            <w:pPr>
              <w:pStyle w:val="Tabla8"/>
              <w:jc w:val="left"/>
            </w:pPr>
            <w:r>
              <w:t xml:space="preserve">Parcial</w:t>
            </w:r>
          </w:p>
        </w:tc>
      </w:tr>
      <w:tr>
        <w:trPr>
          <w:cantSplit/>
        </w:trPr>
        <w:tc>
          <w:tcPr/>
          <w:p>
            <w:pPr>
              <w:pStyle w:val="Tabla8"/>
              <w:jc w:val="left"/>
            </w:pPr>
            <w:r>
              <w:t xml:space="preserve">Redes inactivas por falta de mantenimiento, energía y enlace</w:t>
            </w:r>
          </w:p>
        </w:tc>
        <w:tc>
          <w:tcPr/>
          <w:p>
            <w:pPr>
              <w:pStyle w:val="Tabla8"/>
              <w:jc w:val="left"/>
            </w:pPr>
            <w:r>
              <w:t xml:space="preserve">96 de 570 estaciones (16,8 %) inactivas o sin estado</w:t>
            </w:r>
          </w:p>
        </w:tc>
        <w:tc>
          <w:tcPr/>
          <w:p>
            <w:pPr>
              <w:pStyle w:val="Tabla8"/>
              <w:jc w:val="left"/>
            </w:pPr>
            <w:r>
              <w:t xml:space="preserve">Tavella et al. (2026, p. 6)</w:t>
            </w:r>
          </w:p>
        </w:tc>
        <w:tc>
          <w:tcPr/>
          <w:p>
            <w:pPr>
              <w:pStyle w:val="Tabla8"/>
              <w:jc w:val="left"/>
            </w:pPr>
            <w:r>
              <w:t xml:space="preserve">Autonomía mínima de 14 días sin sol, enlace alterno y almacenamiento local de 7 días</w:t>
            </w:r>
          </w:p>
        </w:tc>
        <w:tc>
          <w:tcPr/>
          <w:p>
            <w:pPr>
              <w:pStyle w:val="Tabla8"/>
              <w:jc w:val="left"/>
            </w:pPr>
            <w:r>
              <w:t xml:space="preserve">OE2</w:t>
            </w:r>
          </w:p>
        </w:tc>
        <w:tc>
          <w:tcPr/>
          <w:p>
            <w:pPr>
              <w:pStyle w:val="Tabla8"/>
              <w:jc w:val="left"/>
            </w:pPr>
            <w:r>
              <w:t xml:space="preserve">PERS-R01; PERS-P01; PERS-R03</w:t>
            </w:r>
          </w:p>
        </w:tc>
        <w:tc>
          <w:tcPr/>
          <w:p>
            <w:pPr>
              <w:pStyle w:val="Tabla8"/>
              <w:jc w:val="left"/>
            </w:pPr>
            <w:r>
              <w:t xml:space="preserve">Objetivo directo</w:t>
            </w:r>
          </w:p>
        </w:tc>
      </w:tr>
      <w:tr>
        <w:trPr>
          <w:cantSplit/>
        </w:trPr>
        <w:tc>
          <w:tcPr/>
          <w:p>
            <w:pPr>
              <w:pStyle w:val="Tabla8"/>
              <w:jc w:val="left"/>
            </w:pPr>
            <w:r>
              <w:t xml:space="preserve">Costo total de sostenimiento desconocido</w:t>
            </w:r>
          </w:p>
        </w:tc>
        <w:tc>
          <w:tcPr/>
          <w:p>
            <w:pPr>
              <w:pStyle w:val="Tabla8"/>
              <w:jc w:val="left"/>
            </w:pPr>
            <w:r>
              <w:t xml:space="preserve">Unos 3,25 frente a 1,63 dólares por habitante y año</w:t>
            </w:r>
          </w:p>
        </w:tc>
        <w:tc>
          <w:tcPr/>
          <w:p>
            <w:pPr>
              <w:pStyle w:val="Tabla8"/>
              <w:jc w:val="left"/>
            </w:pPr>
            <w:r>
              <w:t xml:space="preserve">Murad Pedraza et al. (2026); Ruiz-Carrascal et al. (2026, p. 3)</w:t>
            </w:r>
          </w:p>
        </w:tc>
        <w:tc>
          <w:tcPr/>
          <w:p>
            <w:pPr>
              <w:pStyle w:val="Tabla8"/>
              <w:jc w:val="left"/>
            </w:pPr>
            <w:r>
              <w:t xml:space="preserve">Custodia por tramos y convenios por componente; costo de sostenimiento NO_CALCULABLE</w:t>
            </w:r>
          </w:p>
        </w:tc>
        <w:tc>
          <w:tcPr/>
          <w:p>
            <w:pPr>
              <w:pStyle w:val="Tabla8"/>
              <w:jc w:val="left"/>
            </w:pPr>
            <w:r>
              <w:t xml:space="preserve">OE3</w:t>
            </w:r>
          </w:p>
        </w:tc>
        <w:tc>
          <w:tcPr/>
          <w:p>
            <w:pPr>
              <w:pStyle w:val="Tabla8"/>
              <w:jc w:val="left"/>
            </w:pPr>
            <w:r>
              <w:t xml:space="preserve">PERS-E03; PERS-S02</w:t>
            </w:r>
          </w:p>
        </w:tc>
        <w:tc>
          <w:tcPr/>
          <w:p>
            <w:pPr>
              <w:pStyle w:val="Tabla8"/>
              <w:jc w:val="left"/>
            </w:pPr>
            <w:r>
              <w:t xml:space="preserve">Parcial</w:t>
            </w:r>
          </w:p>
        </w:tc>
      </w:tr>
      <w:tr>
        <w:trPr>
          <w:cantSplit/>
        </w:trPr>
        <w:tc>
          <w:tcPr/>
          <w:p>
            <w:pPr>
              <w:pStyle w:val="Tabla8"/>
              <w:jc w:val="left"/>
            </w:pPr>
            <w:r>
              <w:t xml:space="preserve">Alertas sin evaluación de detección ni de falsas alarmas</w:t>
            </w:r>
          </w:p>
        </w:tc>
        <w:tc>
          <w:tcPr/>
          <w:p>
            <w:pPr>
              <w:pStyle w:val="Tabla8"/>
              <w:jc w:val="left"/>
            </w:pPr>
            <w:r>
              <w:t xml:space="preserve">Ninguno de cinco documentos con alertas reporta detección, falsas alarmas ni anticipación</w:t>
            </w:r>
          </w:p>
        </w:tc>
        <w:tc>
          <w:tcPr/>
          <w:p>
            <w:pPr>
              <w:pStyle w:val="Tabla8"/>
              <w:jc w:val="left"/>
            </w:pPr>
            <w:r>
              <w:t xml:space="preserve">F-INF, sección 1.3 (p. 10)</w:t>
            </w:r>
          </w:p>
        </w:tc>
        <w:tc>
          <w:tcPr/>
          <w:p>
            <w:pPr>
              <w:pStyle w:val="Tabla8"/>
              <w:jc w:val="left"/>
            </w:pPr>
            <w:r>
              <w:t xml:space="preserve">Protocolo de alerta con umbrales validados localmente; reducción relativa de falsas alarmas</w:t>
            </w:r>
          </w:p>
        </w:tc>
        <w:tc>
          <w:tcPr/>
          <w:p>
            <w:pPr>
              <w:pStyle w:val="Tabla8"/>
              <w:jc w:val="left"/>
            </w:pPr>
            <w:r>
              <w:t xml:space="preserve">OE3</w:t>
            </w:r>
          </w:p>
        </w:tc>
        <w:tc>
          <w:tcPr/>
          <w:p>
            <w:pPr>
              <w:pStyle w:val="Tabla8"/>
              <w:jc w:val="left"/>
            </w:pPr>
            <w:r>
              <w:t xml:space="preserve">PERS-E02; PERS-S01</w:t>
            </w:r>
          </w:p>
        </w:tc>
        <w:tc>
          <w:tcPr/>
          <w:p>
            <w:pPr>
              <w:pStyle w:val="Tabla8"/>
              <w:jc w:val="left"/>
            </w:pPr>
            <w:r>
              <w:t xml:space="preserve">Parcial</w:t>
            </w:r>
          </w:p>
        </w:tc>
      </w:tr>
      <w:tr>
        <w:trPr>
          <w:cantSplit/>
        </w:trPr>
        <w:tc>
          <w:tcPr/>
          <w:p>
            <w:pPr>
              <w:pStyle w:val="Tabla8"/>
              <w:jc w:val="left"/>
            </w:pPr>
            <w:r>
              <w:t xml:space="preserve">Índices de salud sin validación local</w:t>
            </w:r>
          </w:p>
        </w:tc>
        <w:tc>
          <w:tcPr/>
          <w:p>
            <w:pPr>
              <w:pStyle w:val="Tabla8"/>
              <w:jc w:val="left"/>
            </w:pPr>
            <w:r>
              <w:t xml:space="preserve">53 estudios; 9,4 % con partición de datos; ninguno latinoamericano</w:t>
            </w:r>
          </w:p>
        </w:tc>
        <w:tc>
          <w:tcPr/>
          <w:p>
            <w:pPr>
              <w:pStyle w:val="Tabla8"/>
              <w:jc w:val="left"/>
            </w:pPr>
            <w:r>
              <w:t xml:space="preserve">Liao et al. (2026, pp. 6 y 8)</w:t>
            </w:r>
          </w:p>
        </w:tc>
        <w:tc>
          <w:tcPr/>
          <w:p>
            <w:pPr>
              <w:pStyle w:val="Tabla8"/>
              <w:jc w:val="left"/>
            </w:pPr>
            <w:r>
              <w:t xml:space="preserve">Umbrales del tablero validados con datos locales; sin desenlaces de salud</w:t>
            </w:r>
          </w:p>
        </w:tc>
        <w:tc>
          <w:tcPr/>
          <w:p>
            <w:pPr>
              <w:pStyle w:val="Tabla8"/>
              <w:jc w:val="left"/>
            </w:pPr>
            <w:r>
              <w:t xml:space="preserve">OE3</w:t>
            </w:r>
          </w:p>
        </w:tc>
        <w:tc>
          <w:tcPr/>
          <w:p>
            <w:pPr>
              <w:pStyle w:val="Tabla8"/>
              <w:jc w:val="left"/>
            </w:pPr>
            <w:r>
              <w:t xml:space="preserve">PERS-E01; PERS-S01</w:t>
            </w:r>
          </w:p>
        </w:tc>
        <w:tc>
          <w:tcPr/>
          <w:p>
            <w:pPr>
              <w:pStyle w:val="Tabla8"/>
              <w:jc w:val="left"/>
            </w:pPr>
            <w:r>
              <w:t xml:space="preserve">Parcial</w:t>
            </w:r>
          </w:p>
        </w:tc>
      </w:tr>
      <w:tr>
        <w:trPr>
          <w:cantSplit/>
        </w:trPr>
        <w:tc>
          <w:tcPr/>
          <w:p>
            <w:pPr>
              <w:pStyle w:val="Tabla8"/>
              <w:jc w:val="left"/>
            </w:pPr>
            <w:r>
              <w:t xml:space="preserve">Ausencia de un marco que conecte la métrica con la decisión</w:t>
            </w:r>
          </w:p>
        </w:tc>
        <w:tc>
          <w:tcPr/>
          <w:p>
            <w:pPr>
              <w:pStyle w:val="Tabla8"/>
              <w:jc w:val="left"/>
            </w:pPr>
            <w:r>
              <w:t xml:space="preserve">32 de 42 documentos (76,2 %)</w:t>
            </w:r>
          </w:p>
        </w:tc>
        <w:tc>
          <w:tcPr/>
          <w:p>
            <w:pPr>
              <w:pStyle w:val="Tabla8"/>
              <w:jc w:val="left"/>
            </w:pPr>
            <w:r>
              <w:t xml:space="preserve">F-INF, sección 5.3 (p. 48)</w:t>
            </w:r>
          </w:p>
        </w:tc>
        <w:tc>
          <w:tcPr/>
          <w:p>
            <w:pPr>
              <w:pStyle w:val="Tabla8"/>
              <w:jc w:val="left"/>
            </w:pPr>
            <w:r>
              <w:t xml:space="preserve">Co-diseño con los comités, formación y convenios por tramo</w:t>
            </w:r>
          </w:p>
        </w:tc>
        <w:tc>
          <w:tcPr/>
          <w:p>
            <w:pPr>
              <w:pStyle w:val="Tabla8"/>
              <w:jc w:val="left"/>
            </w:pPr>
            <w:r>
              <w:t xml:space="preserve">OE3</w:t>
            </w:r>
          </w:p>
        </w:tc>
        <w:tc>
          <w:tcPr/>
          <w:p>
            <w:pPr>
              <w:pStyle w:val="Tabla8"/>
              <w:jc w:val="left"/>
            </w:pPr>
            <w:r>
              <w:t xml:space="preserve">PERS-E01; PERS-E03; PERS-P04</w:t>
            </w:r>
          </w:p>
        </w:tc>
        <w:tc>
          <w:tcPr/>
          <w:p>
            <w:pPr>
              <w:pStyle w:val="Tabla8"/>
              <w:jc w:val="left"/>
            </w:pPr>
            <w:r>
              <w:t xml:space="preserve">Objetivo directo</w:t>
            </w:r>
          </w:p>
        </w:tc>
      </w:tr>
      <w:tr>
        <w:trPr>
          <w:cantSplit/>
        </w:trPr>
        <w:tc>
          <w:tcPr/>
          <w:p>
            <w:pPr>
              <w:pStyle w:val="Tabla8"/>
              <w:jc w:val="left"/>
            </w:pPr>
            <w:r>
              <w:t xml:space="preserve">Cobertura territorial de Colombia ausente</w:t>
            </w:r>
          </w:p>
        </w:tc>
        <w:tc>
          <w:tcPr/>
          <w:p>
            <w:pPr>
              <w:pStyle w:val="Tabla8"/>
              <w:jc w:val="left"/>
            </w:pPr>
            <w:r>
              <w:t xml:space="preserve">37 de 42 documentos (88,1 %); ninguno mide sitios de remoción</w:t>
            </w:r>
          </w:p>
        </w:tc>
        <w:tc>
          <w:tcPr/>
          <w:p>
            <w:pPr>
              <w:pStyle w:val="Tabla8"/>
              <w:jc w:val="left"/>
            </w:pPr>
            <w:r>
              <w:t xml:space="preserve">F-INF, sección 5.3 (p. 48)</w:t>
            </w:r>
          </w:p>
        </w:tc>
        <w:tc>
          <w:tcPr/>
          <w:p>
            <w:pPr>
              <w:pStyle w:val="Tabla8"/>
              <w:jc w:val="left"/>
            </w:pPr>
            <w:r>
              <w:t xml:space="preserve">Despliegue en tres departamentos (SUPUESTO) y 12 municipios</w:t>
            </w:r>
          </w:p>
        </w:tc>
        <w:tc>
          <w:tcPr/>
          <w:p>
            <w:pPr>
              <w:pStyle w:val="Tabla8"/>
              <w:jc w:val="left"/>
            </w:pPr>
            <w:r>
              <w:t xml:space="preserve">OE1, OE2 y OE3</w:t>
            </w:r>
          </w:p>
        </w:tc>
        <w:tc>
          <w:tcPr/>
          <w:p>
            <w:pPr>
              <w:pStyle w:val="Tabla8"/>
              <w:jc w:val="left"/>
            </w:pPr>
            <w:r>
              <w:t xml:space="preserve">PERS-R01; PERS-P01</w:t>
            </w:r>
          </w:p>
        </w:tc>
        <w:tc>
          <w:tcPr/>
          <w:p>
            <w:pPr>
              <w:pStyle w:val="Tabla8"/>
              <w:jc w:val="left"/>
            </w:pPr>
            <w:r>
              <w:t xml:space="preserve">Parcial</w:t>
            </w:r>
          </w:p>
        </w:tc>
      </w:tr>
      <w:tr>
        <w:trPr>
          <w:cantSplit/>
        </w:trPr>
        <w:tc>
          <w:tcPr/>
          <w:p>
            <w:pPr>
              <w:pStyle w:val="Tabla8"/>
              <w:jc w:val="left"/>
            </w:pPr>
            <w:r>
              <w:t xml:space="preserve">Gemelo digital sin definición común</w:t>
            </w:r>
          </w:p>
        </w:tc>
        <w:tc>
          <w:tcPr/>
          <w:p>
            <w:pPr>
              <w:pStyle w:val="Tabla8"/>
              <w:jc w:val="left"/>
            </w:pPr>
            <w:r>
              <w:t xml:space="preserve">Cinco acepciones en al menos 11 documentos</w:t>
            </w:r>
          </w:p>
        </w:tc>
        <w:tc>
          <w:tcPr/>
          <w:p>
            <w:pPr>
              <w:pStyle w:val="Tabla8"/>
              <w:jc w:val="left"/>
            </w:pPr>
            <w:r>
              <w:t xml:space="preserve">F-INF, sección 1.3 (p. 10)</w:t>
            </w:r>
          </w:p>
        </w:tc>
        <w:tc>
          <w:tcPr/>
          <w:p>
            <w:pPr>
              <w:pStyle w:val="Tabla8"/>
              <w:jc w:val="left"/>
            </w:pPr>
            <w:r>
              <w:t xml:space="preserve">Definición operativa: estimación espacial que aloja la nube</w:t>
            </w:r>
          </w:p>
        </w:tc>
        <w:tc>
          <w:tcPr/>
          <w:p>
            <w:pPr>
              <w:pStyle w:val="Tabla8"/>
              <w:jc w:val="left"/>
            </w:pPr>
            <w:r>
              <w:t xml:space="preserve">OE1</w:t>
            </w:r>
          </w:p>
        </w:tc>
        <w:tc>
          <w:tcPr/>
          <w:p>
            <w:pPr>
              <w:pStyle w:val="Tabla8"/>
              <w:jc w:val="left"/>
            </w:pPr>
            <w:r>
              <w:t xml:space="preserve">PERS-P02</w:t>
            </w:r>
          </w:p>
        </w:tc>
        <w:tc>
          <w:tcPr/>
          <w:p>
            <w:pPr>
              <w:pStyle w:val="Tabla8"/>
              <w:jc w:val="left"/>
            </w:pPr>
            <w:r>
              <w:t xml:space="preserve">Objetivo directo</w:t>
            </w:r>
          </w:p>
        </w:tc>
      </w:tr>
      <w:tr>
        <w:trPr>
          <w:cantSplit/>
        </w:trPr>
        <w:tc>
          <w:tcPr/>
          <w:p>
            <w:pPr>
              <w:pStyle w:val="Tabla8"/>
              <w:jc w:val="left"/>
            </w:pPr>
            <w:r>
              <w:t xml:space="preserve">Libertad de operación desconocida</w:t>
            </w:r>
          </w:p>
        </w:tc>
        <w:tc>
          <w:tcPr/>
          <w:p>
            <w:pPr>
              <w:pStyle w:val="Tabla8"/>
              <w:jc w:val="left"/>
            </w:pPr>
            <w:r>
              <w:t xml:space="preserve">10 solicitudes del Tratado de Cooperación en materia de Patentes designan a Colombia; ninguna informa la fase nacional</w:t>
            </w:r>
          </w:p>
        </w:tc>
        <w:tc>
          <w:tcPr/>
          <w:p>
            <w:pPr>
              <w:pStyle w:val="Tabla8"/>
              <w:jc w:val="left"/>
            </w:pPr>
            <w:r>
              <w:t xml:space="preserve">SIC (2026, pp. 2, 7 y 9)</w:t>
            </w:r>
          </w:p>
        </w:tc>
        <w:tc>
          <w:tcPr/>
          <w:p>
            <w:pPr>
              <w:pStyle w:val="Tabla8"/>
              <w:jc w:val="left"/>
            </w:pPr>
            <w:r>
              <w:t xml:space="preserve">Asesoría de propiedad intelectual y registro del software ante la DNDA</w:t>
            </w:r>
          </w:p>
        </w:tc>
        <w:tc>
          <w:tcPr/>
          <w:p>
            <w:pPr>
              <w:pStyle w:val="Tabla8"/>
              <w:jc w:val="left"/>
            </w:pPr>
            <w:r>
              <w:t xml:space="preserve">Transversal</w:t>
            </w:r>
          </w:p>
        </w:tc>
        <w:tc>
          <w:tcPr/>
          <w:p>
            <w:pPr>
              <w:pStyle w:val="Tabla8"/>
              <w:jc w:val="left"/>
            </w:pPr>
            <w:r>
              <w:t xml:space="preserve">PERS-P02</w:t>
            </w:r>
          </w:p>
        </w:tc>
        <w:tc>
          <w:tcPr/>
          <w:p>
            <w:pPr>
              <w:pStyle w:val="Tabla8"/>
              <w:jc w:val="left"/>
            </w:pPr>
            <w:r>
              <w:t xml:space="preserve">Parcial</w:t>
            </w:r>
          </w:p>
        </w:tc>
      </w:tr>
      <w:tr>
        <w:trPr>
          <w:cantSplit/>
        </w:trPr>
        <w:tc>
          <w:tcPr/>
          <w:p>
            <w:pPr>
              <w:pStyle w:val="Tabla8"/>
              <w:jc w:val="left"/>
            </w:pPr>
            <w:r>
              <w:t xml:space="preserve">Aire interior y ocupacional con patentes sin evidencia</w:t>
            </w:r>
          </w:p>
        </w:tc>
        <w:tc>
          <w:tcPr/>
          <w:p>
            <w:pPr>
              <w:pStyle w:val="Tabla8"/>
              <w:jc w:val="left"/>
            </w:pPr>
            <w:r>
              <w:t xml:space="preserve">Siete solicitudes sin datos de desempeño</w:t>
            </w:r>
          </w:p>
        </w:tc>
        <w:tc>
          <w:tcPr/>
          <w:p>
            <w:pPr>
              <w:pStyle w:val="Tabla8"/>
              <w:jc w:val="left"/>
            </w:pPr>
            <w:r>
              <w:t xml:space="preserve">F-INF, sección 1.3 (p. 10)</w:t>
            </w:r>
          </w:p>
        </w:tc>
        <w:tc>
          <w:tcPr/>
          <w:p>
            <w:pPr>
              <w:pStyle w:val="Tabla8"/>
              <w:jc w:val="left"/>
            </w:pPr>
            <w:r>
              <w:t xml:space="preserve">No la aborda</w:t>
            </w:r>
          </w:p>
        </w:tc>
        <w:tc>
          <w:tcPr/>
          <w:p>
            <w:pPr>
              <w:pStyle w:val="Tabla8"/>
              <w:jc w:val="left"/>
            </w:pPr>
            <w:r>
              <w:t xml:space="preserve">Ninguno</w:t>
            </w:r>
          </w:p>
        </w:tc>
        <w:tc>
          <w:tcPr/>
          <w:p>
            <w:pPr>
              <w:pStyle w:val="Tabla8"/>
              <w:jc w:val="left"/>
            </w:pPr>
            <w:r>
              <w:t xml:space="preserve">Ninguno</w:t>
            </w:r>
          </w:p>
        </w:tc>
        <w:tc>
          <w:tcPr/>
          <w:p>
            <w:pPr>
              <w:pStyle w:val="Tabla8"/>
              <w:jc w:val="left"/>
            </w:pPr>
            <w:r>
              <w:t xml:space="preserve">Fuera de alcance</w:t>
            </w:r>
          </w:p>
        </w:tc>
      </w:tr>
      <w:tr>
        <w:trPr>
          <w:cantSplit/>
        </w:trPr>
        <w:tc>
          <w:tcPr/>
          <w:p>
            <w:pPr>
              <w:pStyle w:val="Tabla8"/>
              <w:jc w:val="left"/>
            </w:pPr>
            <w:r>
              <w:t xml:space="preserve">Riesgo compuesto de calor y humo</w:t>
            </w:r>
          </w:p>
        </w:tc>
        <w:tc>
          <w:tcPr/>
          <w:p>
            <w:pPr>
              <w:pStyle w:val="Tabla8"/>
              <w:jc w:val="left"/>
            </w:pPr>
            <w:r>
              <w:t xml:space="preserve">48.075 muertes por calor entre 2000 y 2018 en 14 áreas urbanas</w:t>
            </w:r>
          </w:p>
        </w:tc>
        <w:tc>
          <w:tcPr/>
          <w:p>
            <w:pPr>
              <w:pStyle w:val="Tabla8"/>
              <w:jc w:val="left"/>
            </w:pPr>
            <w:r>
              <w:t xml:space="preserve">Tavella et al. (2026, p. 8)</w:t>
            </w:r>
          </w:p>
        </w:tc>
        <w:tc>
          <w:tcPr/>
          <w:p>
            <w:pPr>
              <w:pStyle w:val="Tabla8"/>
              <w:jc w:val="left"/>
            </w:pPr>
            <w:r>
              <w:t xml:space="preserve">No la aborda</w:t>
            </w:r>
          </w:p>
        </w:tc>
        <w:tc>
          <w:tcPr/>
          <w:p>
            <w:pPr>
              <w:pStyle w:val="Tabla8"/>
              <w:jc w:val="left"/>
            </w:pPr>
            <w:r>
              <w:t xml:space="preserve">Ninguno</w:t>
            </w:r>
          </w:p>
        </w:tc>
        <w:tc>
          <w:tcPr/>
          <w:p>
            <w:pPr>
              <w:pStyle w:val="Tabla8"/>
              <w:jc w:val="left"/>
            </w:pPr>
            <w:r>
              <w:t xml:space="preserve">Ninguno</w:t>
            </w:r>
          </w:p>
        </w:tc>
        <w:tc>
          <w:tcPr/>
          <w:p>
            <w:pPr>
              <w:pStyle w:val="Tabla8"/>
              <w:jc w:val="left"/>
            </w:pPr>
            <w:r>
              <w:t xml:space="preserve">Fuera de alcance</w:t>
            </w:r>
          </w:p>
        </w:tc>
      </w:tr>
    </w:tbl>
    <w:p>
      <w:pPr>
        <w:pStyle w:val="TablaNota"/>
      </w:pPr>
      <w:r>
        <w:rPr>
          <w:i/>
          <w:iCs/>
        </w:rPr>
        <w:t xml:space="preserve">Nota.</w:t>
      </w:r>
      <w:r>
        <w:t xml:space="preserve"> </w:t>
      </w:r>
      <w:r>
        <w:t xml:space="preserve">Elaboración propia con datos de F-INF y del banco de referencias. Naturaleza: DECLARADO para la evidencia; PROPUESTO para la respuesta del proyecto; SUPUESTO para el territorio; la meta de R² y NRMSE es PROPUESTO con ancla en EPA (2021). Decimales con coma.</w:t>
      </w:r>
    </w:p>
    <w:p>
      <w:pPr>
        <w:pStyle w:val="BodyText"/>
      </w:pPr>
      <w:r>
        <w:t xml:space="preserve">Seis brechas son objetivo directo, seis se abordan de forma parcial y dos quedan fuera del alcance. Las seis parciales comparten un límite. El proyecto mide con datos locales, pero no estima efectos en salud ni el costo total de sostenimiento (NO_CALCULABLE). Las dos brechas fuera del alcance son el aire interior y el riesgo compuesto de calor y humo. Se registran para no atribuir al proyecto resultados que no promete. La matriz fija además el criterio de verificación. Cada fila se cierra con un indicador PERS medible y con una fuente de datos propia, y no con la cita de otro estudio.</w:t>
      </w:r>
    </w:p>
    <w:bookmarkEnd w:id="360"/>
    <w:bookmarkStart w:id="361" w:name="X751ae02e9673130a6a67028b898fa673e7cd2ea"/>
    <w:p>
      <w:pPr>
        <w:pStyle w:val="Heading3"/>
      </w:pPr>
      <w:r>
        <w:t xml:space="preserve">2.5.2 Oportunidades de diferenciación y ventana temporal</w:t>
      </w:r>
    </w:p>
    <w:p>
      <w:pPr>
        <w:pStyle w:val="FirstParagraph"/>
      </w:pPr>
      <w:r>
        <w:t xml:space="preserve">Las oportunidades de diferenciación parten de las 108 brechas de prioridad 8 o 9, de las 24 proposiciones relacionales y de 126 ideas propositivas. F-INF las agrupa en diez oportunidades ordenadas por prioridad (F-INF, sección 5.5, p. 52). La Tabla 2.29 contrasta cada oportunidad con la posición del proyecto. La Superintendencia de Industria y Comercio (SIC) publica el procedimiento de consulta (SIC, 2026, pp. 2, 7 y 9). La oportunidad sobre libertad de operación es, por tanto, de bajo costo.</w:t>
      </w:r>
    </w:p>
    <w:p>
      <w:pPr>
        <w:pStyle w:val="TablaRotulo"/>
      </w:pPr>
      <w:bookmarkStart w:id="9259" w:name="rot_Tabla_2_29"/>
      <w:r>
        <w:rPr>
          <w:b/>
          <w:bCs/>
        </w:rPr>
        <w:t xml:space="preserve">Tabla 2.29</w:t>
      </w:r>
      <w:bookmarkEnd w:id="9259"/>
    </w:p>
    <w:p>
      <w:pPr>
        <w:pStyle w:val="TablaTitulo"/>
      </w:pPr>
      <w:r>
        <w:rPr>
          <w:i/>
          <w:iCs/>
        </w:rPr>
        <w:t xml:space="preserve">Oportunidades de diferenciación del informe de vigilancia y posición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92"/>
        <w:gridCol w:w="2046"/>
        <w:gridCol w:w="1254"/>
        <w:gridCol w:w="2640"/>
        <w:gridCol w:w="1188"/>
      </w:tblGrid>
      <w:tr>
        <w:trPr>
          <w:cantSplit/>
          <w:tblHeader/>
        </w:trPr>
        <w:tc>
          <w:tcPr>
            <w:shd w:val="clear" w:color="auto" w:fill="00B050"/>
          </w:tcPr>
          <w:p>
            <w:pPr>
              <w:pStyle w:val="Tabla9"/>
              <w:jc w:val="center"/>
            </w:pPr>
            <w:r>
              <w:rPr>
                <w:b/>
                <w:color w:val="FFFFFF"/>
              </w:rPr>
              <w:t xml:space="preserve">Orden</w:t>
            </w:r>
          </w:p>
        </w:tc>
        <w:tc>
          <w:tcPr>
            <w:shd w:val="clear" w:color="auto" w:fill="00B050"/>
          </w:tcPr>
          <w:p>
            <w:pPr>
              <w:pStyle w:val="Tabla9"/>
              <w:jc w:val="center"/>
            </w:pPr>
            <w:r>
              <w:rPr>
                <w:b/>
                <w:color w:val="FFFFFF"/>
              </w:rPr>
              <w:t xml:space="preserve">Oportunidad (F-INF)</w:t>
            </w:r>
          </w:p>
        </w:tc>
        <w:tc>
          <w:tcPr>
            <w:shd w:val="clear" w:color="auto" w:fill="00B050"/>
          </w:tcPr>
          <w:p>
            <w:pPr>
              <w:pStyle w:val="Tabla9"/>
              <w:jc w:val="center"/>
            </w:pPr>
            <w:r>
              <w:rPr>
                <w:b/>
                <w:color w:val="FFFFFF"/>
              </w:rPr>
              <w:t xml:space="preserve">Prioridad</w:t>
            </w:r>
          </w:p>
        </w:tc>
        <w:tc>
          <w:tcPr>
            <w:shd w:val="clear" w:color="auto" w:fill="00B050"/>
          </w:tcPr>
          <w:p>
            <w:pPr>
              <w:pStyle w:val="Tabla9"/>
              <w:jc w:val="center"/>
            </w:pPr>
            <w:r>
              <w:rPr>
                <w:b/>
                <w:color w:val="FFFFFF"/>
              </w:rPr>
              <w:t xml:space="preserve">Diferenciación del proyecto</w:t>
            </w:r>
          </w:p>
        </w:tc>
        <w:tc>
          <w:tcPr>
            <w:shd w:val="clear" w:color="auto" w:fill="00B050"/>
          </w:tcPr>
          <w:p>
            <w:pPr>
              <w:pStyle w:val="Tabla9"/>
              <w:jc w:val="center"/>
            </w:pPr>
            <w:r>
              <w:rPr>
                <w:b/>
                <w:color w:val="FFFFFF"/>
              </w:rPr>
              <w:t xml:space="preserve">Alcance</w:t>
            </w:r>
          </w:p>
        </w:tc>
      </w:tr>
      <w:tr>
        <w:trPr>
          <w:cantSplit/>
        </w:trPr>
        <w:tc>
          <w:tcPr/>
          <w:p>
            <w:pPr>
              <w:pStyle w:val="Tabla9"/>
              <w:jc w:val="left"/>
            </w:pPr>
            <w:r>
              <w:t xml:space="preserve">1</w:t>
            </w:r>
          </w:p>
        </w:tc>
        <w:tc>
          <w:tcPr/>
          <w:p>
            <w:pPr>
              <w:pStyle w:val="Tabla9"/>
              <w:jc w:val="left"/>
            </w:pPr>
            <w:r>
              <w:t xml:space="preserve">Protocolo de calibración colocalizada de sensores de bajo costo</w:t>
            </w:r>
          </w:p>
        </w:tc>
        <w:tc>
          <w:tcPr/>
          <w:p>
            <w:pPr>
              <w:pStyle w:val="Tabla9"/>
              <w:jc w:val="left"/>
            </w:pPr>
            <w:r>
              <w:t xml:space="preserve">10</w:t>
            </w:r>
          </w:p>
        </w:tc>
        <w:tc>
          <w:tcPr/>
          <w:p>
            <w:pPr>
              <w:pStyle w:val="Tabla9"/>
              <w:jc w:val="left"/>
            </w:pPr>
            <w:r>
              <w:t xml:space="preserve">Aplica el protocolo en sitios de remoción de escombros, con corrección en el gateway y referencia gravimétrica propia</w:t>
            </w:r>
          </w:p>
        </w:tc>
        <w:tc>
          <w:tcPr/>
          <w:p>
            <w:pPr>
              <w:pStyle w:val="Tabla9"/>
              <w:jc w:val="left"/>
            </w:pPr>
            <w:r>
              <w:t xml:space="preserve">Objetivo directo</w:t>
            </w:r>
          </w:p>
        </w:tc>
      </w:tr>
      <w:tr>
        <w:trPr>
          <w:cantSplit/>
        </w:trPr>
        <w:tc>
          <w:tcPr/>
          <w:p>
            <w:pPr>
              <w:pStyle w:val="Tabla9"/>
              <w:jc w:val="left"/>
            </w:pPr>
            <w:r>
              <w:t xml:space="preserve">2</w:t>
            </w:r>
          </w:p>
        </w:tc>
        <w:tc>
          <w:tcPr/>
          <w:p>
            <w:pPr>
              <w:pStyle w:val="Tabla9"/>
              <w:jc w:val="left"/>
            </w:pPr>
            <w:r>
              <w:t xml:space="preserve">Consulta del estado nacional de 10 solicitudes de patente</w:t>
            </w:r>
          </w:p>
        </w:tc>
        <w:tc>
          <w:tcPr/>
          <w:p>
            <w:pPr>
              <w:pStyle w:val="Tabla9"/>
              <w:jc w:val="left"/>
            </w:pPr>
            <w:r>
              <w:t xml:space="preserve">9</w:t>
            </w:r>
          </w:p>
        </w:tc>
        <w:tc>
          <w:tcPr/>
          <w:p>
            <w:pPr>
              <w:pStyle w:val="Tabla9"/>
              <w:jc w:val="left"/>
            </w:pPr>
            <w:r>
              <w:t xml:space="preserve">La consulta ante la SIC es insumo de la asesoría de libertad de operación</w:t>
            </w:r>
          </w:p>
        </w:tc>
        <w:tc>
          <w:tcPr/>
          <w:p>
            <w:pPr>
              <w:pStyle w:val="Tabla9"/>
              <w:jc w:val="left"/>
            </w:pPr>
            <w:r>
              <w:t xml:space="preserve">Parcial</w:t>
            </w:r>
          </w:p>
        </w:tc>
      </w:tr>
      <w:tr>
        <w:trPr>
          <w:cantSplit/>
        </w:trPr>
        <w:tc>
          <w:tcPr/>
          <w:p>
            <w:pPr>
              <w:pStyle w:val="Tabla9"/>
              <w:jc w:val="left"/>
            </w:pPr>
            <w:r>
              <w:t xml:space="preserve">3</w:t>
            </w:r>
          </w:p>
        </w:tc>
        <w:tc>
          <w:tcPr/>
          <w:p>
            <w:pPr>
              <w:pStyle w:val="Tabla9"/>
              <w:jc w:val="left"/>
            </w:pPr>
            <w:r>
              <w:t xml:space="preserve">Fase 0 de red nacional con costo total de propiedad</w:t>
            </w:r>
          </w:p>
        </w:tc>
        <w:tc>
          <w:tcPr/>
          <w:p>
            <w:pPr>
              <w:pStyle w:val="Tabla9"/>
              <w:jc w:val="left"/>
            </w:pPr>
            <w:r>
              <w:t xml:space="preserve">8</w:t>
            </w:r>
          </w:p>
        </w:tc>
        <w:tc>
          <w:tcPr/>
          <w:p>
            <w:pPr>
              <w:pStyle w:val="Tabla9"/>
              <w:jc w:val="left"/>
            </w:pPr>
            <w:r>
              <w:t xml:space="preserve">Despliega por tramos con compuertas C1 y C2; el costo de sostenimiento es NO_CALCULABLE</w:t>
            </w:r>
          </w:p>
        </w:tc>
        <w:tc>
          <w:tcPr/>
          <w:p>
            <w:pPr>
              <w:pStyle w:val="Tabla9"/>
              <w:jc w:val="left"/>
            </w:pPr>
            <w:r>
              <w:t xml:space="preserve">Parcial</w:t>
            </w:r>
          </w:p>
        </w:tc>
      </w:tr>
      <w:tr>
        <w:trPr>
          <w:cantSplit/>
        </w:trPr>
        <w:tc>
          <w:tcPr/>
          <w:p>
            <w:pPr>
              <w:pStyle w:val="Tabla9"/>
              <w:jc w:val="left"/>
            </w:pPr>
            <w:r>
              <w:t xml:space="preserve">4</w:t>
            </w:r>
          </w:p>
        </w:tc>
        <w:tc>
          <w:tcPr/>
          <w:p>
            <w:pPr>
              <w:pStyle w:val="Tabla9"/>
              <w:jc w:val="left"/>
            </w:pPr>
            <w:r>
              <w:t xml:space="preserve">Estándar de evaluación de pronósticos y alertas</w:t>
            </w:r>
          </w:p>
        </w:tc>
        <w:tc>
          <w:tcPr/>
          <w:p>
            <w:pPr>
              <w:pStyle w:val="Tabla9"/>
              <w:jc w:val="left"/>
            </w:pPr>
            <w:r>
              <w:t xml:space="preserve">8</w:t>
            </w:r>
          </w:p>
        </w:tc>
        <w:tc>
          <w:tcPr/>
          <w:p>
            <w:pPr>
              <w:pStyle w:val="Tabla9"/>
              <w:jc w:val="left"/>
            </w:pPr>
            <w:r>
              <w:t xml:space="preserve">Aplica línea base y partición por sitio a la estimación espacial; mide falsas alarmas (PERS-E02)</w:t>
            </w:r>
          </w:p>
        </w:tc>
        <w:tc>
          <w:tcPr/>
          <w:p>
            <w:pPr>
              <w:pStyle w:val="Tabla9"/>
              <w:jc w:val="left"/>
            </w:pPr>
            <w:r>
              <w:t xml:space="preserve">Parcial</w:t>
            </w:r>
          </w:p>
        </w:tc>
      </w:tr>
      <w:tr>
        <w:trPr>
          <w:cantSplit/>
        </w:trPr>
        <w:tc>
          <w:tcPr/>
          <w:p>
            <w:pPr>
              <w:pStyle w:val="Tabla9"/>
              <w:jc w:val="left"/>
            </w:pPr>
            <w:r>
              <w:t xml:space="preserve">5</w:t>
            </w:r>
          </w:p>
        </w:tc>
        <w:tc>
          <w:tcPr/>
          <w:p>
            <w:pPr>
              <w:pStyle w:val="Tabla9"/>
              <w:jc w:val="left"/>
            </w:pPr>
            <w:r>
              <w:t xml:space="preserve">Alerta compuesta de calor y humo con evaluación</w:t>
            </w:r>
          </w:p>
        </w:tc>
        <w:tc>
          <w:tcPr/>
          <w:p>
            <w:pPr>
              <w:pStyle w:val="Tabla9"/>
              <w:jc w:val="left"/>
            </w:pPr>
            <w:r>
              <w:t xml:space="preserve">8</w:t>
            </w:r>
          </w:p>
        </w:tc>
        <w:tc>
          <w:tcPr/>
          <w:p>
            <w:pPr>
              <w:pStyle w:val="Tabla9"/>
              <w:jc w:val="left"/>
            </w:pPr>
            <w:r>
              <w:t xml:space="preserve">No aborda la alerta compuesta</w:t>
            </w:r>
          </w:p>
        </w:tc>
        <w:tc>
          <w:tcPr/>
          <w:p>
            <w:pPr>
              <w:pStyle w:val="Tabla9"/>
              <w:jc w:val="left"/>
            </w:pPr>
            <w:r>
              <w:t xml:space="preserve">Fuera de alcance</w:t>
            </w:r>
          </w:p>
        </w:tc>
      </w:tr>
      <w:tr>
        <w:trPr>
          <w:cantSplit/>
        </w:trPr>
        <w:tc>
          <w:tcPr/>
          <w:p>
            <w:pPr>
              <w:pStyle w:val="Tabla9"/>
              <w:jc w:val="left"/>
            </w:pPr>
            <w:r>
              <w:t xml:space="preserve">6</w:t>
            </w:r>
          </w:p>
        </w:tc>
        <w:tc>
          <w:tcPr/>
          <w:p>
            <w:pPr>
              <w:pStyle w:val="Tabla9"/>
              <w:jc w:val="left"/>
            </w:pPr>
            <w:r>
              <w:t xml:space="preserve">Índice local de salud y calificación interior validados</w:t>
            </w:r>
          </w:p>
        </w:tc>
        <w:tc>
          <w:tcPr/>
          <w:p>
            <w:pPr>
              <w:pStyle w:val="Tabla9"/>
              <w:jc w:val="left"/>
            </w:pPr>
            <w:r>
              <w:t xml:space="preserve">7</w:t>
            </w:r>
          </w:p>
        </w:tc>
        <w:tc>
          <w:tcPr/>
          <w:p>
            <w:pPr>
              <w:pStyle w:val="Tabla9"/>
              <w:jc w:val="left"/>
            </w:pPr>
            <w:r>
              <w:t xml:space="preserve">Valida umbrales con datos locales; sin desenlaces de salud</w:t>
            </w:r>
          </w:p>
        </w:tc>
        <w:tc>
          <w:tcPr/>
          <w:p>
            <w:pPr>
              <w:pStyle w:val="Tabla9"/>
              <w:jc w:val="left"/>
            </w:pPr>
            <w:r>
              <w:t xml:space="preserve">Parcial</w:t>
            </w:r>
          </w:p>
        </w:tc>
      </w:tr>
      <w:tr>
        <w:trPr>
          <w:cantSplit/>
        </w:trPr>
        <w:tc>
          <w:tcPr/>
          <w:p>
            <w:pPr>
              <w:pStyle w:val="Tabla9"/>
              <w:jc w:val="left"/>
            </w:pPr>
            <w:r>
              <w:t xml:space="preserve">7</w:t>
            </w:r>
          </w:p>
        </w:tc>
        <w:tc>
          <w:tcPr/>
          <w:p>
            <w:pPr>
              <w:pStyle w:val="Tabla9"/>
              <w:jc w:val="left"/>
            </w:pPr>
            <w:r>
              <w:t xml:space="preserve">Catálogo de episodios de PM2,5 con y sin transporte regional</w:t>
            </w:r>
          </w:p>
        </w:tc>
        <w:tc>
          <w:tcPr/>
          <w:p>
            <w:pPr>
              <w:pStyle w:val="Tabla9"/>
              <w:jc w:val="left"/>
            </w:pPr>
            <w:r>
              <w:t xml:space="preserve">7</w:t>
            </w:r>
          </w:p>
        </w:tc>
        <w:tc>
          <w:tcPr/>
          <w:p>
            <w:pPr>
              <w:pStyle w:val="Tabla9"/>
              <w:jc w:val="left"/>
            </w:pPr>
            <w:r>
              <w:t xml:space="preserve">No construye el catálogo; las series del proyecto pueden alimentarlo (INFERIDO)</w:t>
            </w:r>
          </w:p>
        </w:tc>
        <w:tc>
          <w:tcPr/>
          <w:p>
            <w:pPr>
              <w:pStyle w:val="Tabla9"/>
              <w:jc w:val="left"/>
            </w:pPr>
            <w:r>
              <w:t xml:space="preserve">Fuera de alcance</w:t>
            </w:r>
          </w:p>
        </w:tc>
      </w:tr>
      <w:tr>
        <w:trPr>
          <w:cantSplit/>
        </w:trPr>
        <w:tc>
          <w:tcPr/>
          <w:p>
            <w:pPr>
              <w:pStyle w:val="Tabla9"/>
              <w:jc w:val="left"/>
            </w:pPr>
            <w:r>
              <w:t xml:space="preserve">8</w:t>
            </w:r>
          </w:p>
        </w:tc>
        <w:tc>
          <w:tcPr/>
          <w:p>
            <w:pPr>
              <w:pStyle w:val="Tabla9"/>
              <w:jc w:val="left"/>
            </w:pPr>
            <w:r>
              <w:t xml:space="preserve">Piloto de flota diésel con emisiones en ruta</w:t>
            </w:r>
          </w:p>
        </w:tc>
        <w:tc>
          <w:tcPr/>
          <w:p>
            <w:pPr>
              <w:pStyle w:val="Tabla9"/>
              <w:jc w:val="left"/>
            </w:pPr>
            <w:r>
              <w:t xml:space="preserve">6</w:t>
            </w:r>
          </w:p>
        </w:tc>
        <w:tc>
          <w:tcPr/>
          <w:p>
            <w:pPr>
              <w:pStyle w:val="Tabla9"/>
              <w:jc w:val="left"/>
            </w:pPr>
            <w:r>
              <w:t xml:space="preserve">No aborda flotas diésel</w:t>
            </w:r>
          </w:p>
        </w:tc>
        <w:tc>
          <w:tcPr/>
          <w:p>
            <w:pPr>
              <w:pStyle w:val="Tabla9"/>
              <w:jc w:val="left"/>
            </w:pPr>
            <w:r>
              <w:t xml:space="preserve">Fuera de alcance</w:t>
            </w:r>
          </w:p>
        </w:tc>
      </w:tr>
      <w:tr>
        <w:trPr>
          <w:cantSplit/>
        </w:trPr>
        <w:tc>
          <w:tcPr/>
          <w:p>
            <w:pPr>
              <w:pStyle w:val="Tabla9"/>
              <w:jc w:val="left"/>
            </w:pPr>
            <w:r>
              <w:t xml:space="preserve">9</w:t>
            </w:r>
          </w:p>
        </w:tc>
        <w:tc>
          <w:tcPr/>
          <w:p>
            <w:pPr>
              <w:pStyle w:val="Tabla9"/>
              <w:jc w:val="left"/>
            </w:pPr>
            <w:r>
              <w:t xml:space="preserve">Colocalización con gravimetría en talleres y una mina</w:t>
            </w:r>
          </w:p>
        </w:tc>
        <w:tc>
          <w:tcPr/>
          <w:p>
            <w:pPr>
              <w:pStyle w:val="Tabla9"/>
              <w:jc w:val="left"/>
            </w:pPr>
            <w:r>
              <w:t xml:space="preserve">6</w:t>
            </w:r>
          </w:p>
        </w:tc>
        <w:tc>
          <w:tcPr/>
          <w:p>
            <w:pPr>
              <w:pStyle w:val="Tabla9"/>
              <w:jc w:val="left"/>
            </w:pPr>
            <w:r>
              <w:t xml:space="preserve">Colocaliza con gravimetría de PM2,5 y PM10 en sitios de remoción; sin análisis de sílice</w:t>
            </w:r>
          </w:p>
        </w:tc>
        <w:tc>
          <w:tcPr/>
          <w:p>
            <w:pPr>
              <w:pStyle w:val="Tabla9"/>
              <w:jc w:val="left"/>
            </w:pPr>
            <w:r>
              <w:t xml:space="preserve">Parcial</w:t>
            </w:r>
          </w:p>
        </w:tc>
      </w:tr>
      <w:tr>
        <w:trPr>
          <w:cantSplit/>
        </w:trPr>
        <w:tc>
          <w:tcPr/>
          <w:p>
            <w:pPr>
              <w:pStyle w:val="Tabla9"/>
              <w:jc w:val="left"/>
            </w:pPr>
            <w:r>
              <w:t xml:space="preserve">10</w:t>
            </w:r>
          </w:p>
        </w:tc>
        <w:tc>
          <w:tcPr/>
          <w:p>
            <w:pPr>
              <w:pStyle w:val="Tabla9"/>
              <w:jc w:val="left"/>
            </w:pPr>
            <w:r>
              <w:t xml:space="preserve">Gobernanza de datos personales y taxonomía de gemelos digitales</w:t>
            </w:r>
          </w:p>
        </w:tc>
        <w:tc>
          <w:tcPr/>
          <w:p>
            <w:pPr>
              <w:pStyle w:val="Tabla9"/>
              <w:jc w:val="left"/>
            </w:pPr>
            <w:r>
              <w:t xml:space="preserve">6 y 4</w:t>
            </w:r>
          </w:p>
        </w:tc>
        <w:tc>
          <w:tcPr/>
          <w:p>
            <w:pPr>
              <w:pStyle w:val="Tabla9"/>
              <w:jc w:val="left"/>
            </w:pPr>
            <w:r>
              <w:t xml:space="preserve">Define el gemelo digital con una acepción operativa</w:t>
            </w:r>
          </w:p>
        </w:tc>
        <w:tc>
          <w:tcPr/>
          <w:p>
            <w:pPr>
              <w:pStyle w:val="Tabla9"/>
              <w:jc w:val="left"/>
            </w:pPr>
            <w:r>
              <w:t xml:space="preserve">Parcial</w:t>
            </w:r>
          </w:p>
        </w:tc>
      </w:tr>
    </w:tbl>
    <w:p>
      <w:pPr>
        <w:pStyle w:val="TablaNota"/>
      </w:pPr>
      <w:r>
        <w:rPr>
          <w:i/>
          <w:iCs/>
        </w:rPr>
        <w:t xml:space="preserve">Nota.</w:t>
      </w:r>
      <w:r>
        <w:t xml:space="preserve"> </w:t>
      </w:r>
      <w:r>
        <w:t xml:space="preserve">Elaboración propia con datos de F-INF (sección 5.5, p. 52). Naturaleza: DECLARADO para la oportunidad y su prioridad (juicio del analista de F-INF); PROPUESTO para la diferenciación. Decimales con coma.</w:t>
      </w:r>
    </w:p>
    <w:p>
      <w:pPr>
        <w:pStyle w:val="BodyText"/>
      </w:pPr>
      <w:r>
        <w:t xml:space="preserve">Una oportunidad es objetivo directo, seis son parciales y tres quedan fuera del alcance. La diferenciación del proyecto no está en el método de calibración, que F-INF propone para la capa indicativa nacional. Está en el sitio de aplicación. Ningún documento del corpus lo aplica a sitios de remoción de escombros con corrección en el gateway y referencia gravimétrica propia (INFERIDO).</w:t>
      </w:r>
    </w:p>
    <w:p>
      <w:pPr>
        <w:pStyle w:val="BodyText"/>
      </w:pPr>
      <w:r>
        <w:t xml:space="preserve">La ventana de oportunidad se sostiene en tres señales. La primera es la concentración reciente. De 42 documentos, 26 son de 2025 y 2026, y 17 son de 2026 (F-INF, sección 4.3, p. 34). La segunda es la ausencia de saturación en madurez. El TRL medio por año oscila entre 3,0 y 4,3. Solo dos documentos alcanzan el TRL 7 (F-INF, sección 1.3, p. 10). La tercera es el calendario de propiedad industrial. Diez solicitudes designan a Colombia. Tres de ellas presentan plazos de fase nacional abiertos. Vencen el 10 de diciembre de 2026, el 28 de abril de 2027 y el 28 de agosto de 2027. Son un cálculo del analista de F-INF y conocimiento externo. La libertad de operación puede cambiar, por tanto, durante los 24 meses de ejecución.</w:t>
      </w:r>
    </w:p>
    <w:p>
      <w:pPr>
        <w:pStyle w:val="BodyText"/>
      </w:pPr>
      <w:r>
        <w:t xml:space="preserve">La ventana no se cuantifica con tasas de crecimiento. El corpus es una muestra de conveniencia y extrapolar el número de documentos por año carecería de base (F-INF, sección 3.5, p. 27). Tampoco se afirma una fecha de cierre. El cierre depende de que otros grupos publiquen validaciones locales con referencia, y el corpus no permite anticiparlo.</w:t>
      </w:r>
    </w:p>
    <w:bookmarkEnd w:id="361"/>
    <w:bookmarkStart w:id="368" w:name="X1cfdac57067659e388f17243ad0f29c5c24d415"/>
    <w:p>
      <w:pPr>
        <w:pStyle w:val="Heading3"/>
      </w:pPr>
      <w:r>
        <w:t xml:space="preserve">2.5.3 Posicionamiento, nicho de investigación y nivel de madurez comparado</w:t>
      </w:r>
    </w:p>
    <w:p>
      <w:pPr>
        <w:pStyle w:val="FirstParagraph"/>
      </w:pPr>
      <w:r>
        <w:t xml:space="preserve">El posicionamiento del proyecto se define frente a la curva de valor del campo. Según F-INF, esa curva es alta en cobertura y en complejidad de modelo. Es baja en verificación, en mantenimiento y en evaluación de efecto (F-INF, sección 6.4, p. 67). Los competidores del corpus son sistemas públicos o abiertos, como SIATA y la red S-Dot. También son empresas titulares de patentes sin datos de desempeño (F-INF, sección 6.1, p. 56). El proyecto invierte esa forma en las variables que controla. Limita la red a 100 nodos, verifica con tres referencias gravimétricas y sostiene la operación con energía y enlace redundantes. La Figura 2.15 ubica el rango de TRL del proyecto frente a los 41 documentos con TRL e IRL. La Figura 2.16 lo ubica frente a las líneas tecnológicas.</w:t>
      </w:r>
    </w:p>
    <w:p>
      <w:pPr>
        <w:pStyle w:val="FiguraRotulo"/>
      </w:pPr>
      <w:bookmarkStart w:id="9504" w:name="rot_Figura_2_15"/>
      <w:r>
        <w:rPr>
          <w:b/>
          <w:bCs/>
        </w:rPr>
        <w:t xml:space="preserve">Figura 2.15</w:t>
      </w:r>
      <w:bookmarkEnd w:id="9504"/>
    </w:p>
    <w:p>
      <w:pPr>
        <w:pStyle w:val="FiguraTitulo"/>
      </w:pPr>
      <w:r>
        <w:rPr>
          <w:i/>
          <w:iCs/>
        </w:rPr>
        <w:t xml:space="preserve">Posicionamiento del proyecto frente a los 41 documentos del corpus por TRL e IRL</w:t>
      </w:r>
    </w:p>
    <w:p>
      <w:pPr>
        <w:pStyle w:val="BodyText"/>
      </w:pPr>
      <w:r>
        <w:drawing>
          <wp:inline>
            <wp:extent cx="5579999" cy="4190673"/>
            <wp:effectExtent b="0" l="0" r="0" t="0"/>
            <wp:docPr descr="" title="" id="363" name="Picture"/>
            <a:graphic>
              <a:graphicData uri="http://schemas.openxmlformats.org/drawingml/2006/picture">
                <pic:pic>
                  <pic:nvPicPr>
                    <pic:cNvPr descr="/tmp/claude-0/-home-user-docs/ddf38714-2a7e-502b-92b4-1008e2832422/scratchpad/proy/figs/out/c2_b_f01.png" id="364" name="Picture"/>
                    <pic:cNvPicPr>
                      <a:picLocks noChangeArrowheads="1" noChangeAspect="1"/>
                    </pic:cNvPicPr>
                  </pic:nvPicPr>
                  <pic:blipFill>
                    <a:blip r:embed="rId362"/>
                    <a:stretch>
                      <a:fillRect/>
                    </a:stretch>
                  </pic:blipFill>
                  <pic:spPr bwMode="auto">
                    <a:xfrm>
                      <a:off x="0" y="0"/>
                      <a:ext cx="5579999" cy="419067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Datos de F-INF §4.1 (p. 29): niveles de madurez por documento; n = 41 documentos con TRL e IRL (26 artículos y 15 patentes); sin SIC (2026). Python con matplotlib; sin aleatoriedad; año de corte 2026. Script c2_b_f01.py.</w:t>
      </w:r>
    </w:p>
    <w:p>
      <w:pPr>
        <w:pStyle w:val="BodyText"/>
      </w:pPr>
      <w:r>
        <w:t xml:space="preserve">La Figura 2.15 muestra que 34 de 41 documentos están en TRL 4 o menos. Solo SIATA y el sistema de lahares alcanzan el TRL 7. El rango de 4 a 7 del proyecto parte de la zona más poblada del mapa. La integración es la limitación más frecuente. De 41 documentos, 33 están en IRL 3 o menos. La brecha crítica entre TRL e IRL es la mayor en 22 de 42 documentos (F-INF, secciones 4.1 y 4.5, pp. 29 y 37). El proyecto no declara un IRL final. Por eso la integración se mide con la disponibilidad de la red y con el uso institucional, y no con una escala IRL sin definir.</w:t>
      </w:r>
    </w:p>
    <w:p>
      <w:pPr>
        <w:pStyle w:val="FiguraRotulo"/>
      </w:pPr>
      <w:bookmarkStart w:id="9505" w:name="rot_Figura_2_16"/>
      <w:r>
        <w:rPr>
          <w:b/>
          <w:bCs/>
        </w:rPr>
        <w:t xml:space="preserve">Figura 2.16</w:t>
      </w:r>
      <w:bookmarkEnd w:id="9505"/>
    </w:p>
    <w:p>
      <w:pPr>
        <w:pStyle w:val="FiguraTitulo"/>
      </w:pPr>
      <w:r>
        <w:rPr>
          <w:i/>
          <w:iCs/>
        </w:rPr>
        <w:t xml:space="preserve">Hoja de ruta tecnológica del sector con la posición del proyecto por línea y TRL medio</w:t>
      </w:r>
    </w:p>
    <w:p>
      <w:pPr>
        <w:pStyle w:val="BodyText"/>
      </w:pPr>
      <w:r>
        <w:drawing>
          <wp:inline>
            <wp:extent cx="5579999" cy="3549981"/>
            <wp:effectExtent b="0" l="0" r="0" t="0"/>
            <wp:docPr descr="" title="" id="366" name="Picture"/>
            <a:graphic>
              <a:graphicData uri="http://schemas.openxmlformats.org/drawingml/2006/picture">
                <pic:pic>
                  <pic:nvPicPr>
                    <pic:cNvPr descr="/tmp/claude-0/-home-user-docs/ddf38714-2a7e-502b-92b4-1008e2832422/scratchpad/proy/figs/out/c2_b_f02.png" id="367" name="Picture"/>
                    <pic:cNvPicPr>
                      <a:picLocks noChangeArrowheads="1" noChangeAspect="1"/>
                    </pic:cNvPicPr>
                  </pic:nvPicPr>
                  <pic:blipFill>
                    <a:blip r:embed="rId365"/>
                    <a:stretch>
                      <a:fillRect/>
                    </a:stretch>
                  </pic:blipFill>
                  <pic:spPr bwMode="auto">
                    <a:xfrm>
                      <a:off x="0" y="0"/>
                      <a:ext cx="5579999" cy="354998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Datos de F-INF §4.8 (p. 41): TRL medio por línea tecnológica; 12 líneas con TRL; criterio TRL 7 de F-INF §3.2 (p. 22); rango del proyecto PROPUESTO (DEC-F05). Python con matplotlib; sin aleatoriedad; año de corte 2026. Script c2_b_f02.py.</w:t>
      </w:r>
    </w:p>
    <w:p>
      <w:pPr>
        <w:pStyle w:val="BodyText"/>
      </w:pPr>
      <w:r>
        <w:t xml:space="preserve">La Figura 2.16 muestra que ninguna línea alcanza un TRL medio de 7. La línea de redes de sensores y calibración registra un TRL medio de 3,8 y la de alerta temprana, el más alto, de 5,75. Llevar el sistema del proyecto de TRL 4 a TRL 7 equivale a superar la mayor madurez media del corpus. La meta es PROPUESTO. El sistema se demuestra en entorno operativo sin calificación formal. El TRL 8 queda condicionado a una evaluación de desempeño independiente (DEC-F05). La escala de TRL proviene de la NASA (Mankins, 1995).</w:t>
      </w:r>
    </w:p>
    <w:p>
      <w:pPr>
        <w:pStyle w:val="BodyText"/>
      </w:pPr>
      <w:r>
        <w:t xml:space="preserve">El nivel de madurez comparado separa la posición global de la colombiana por línea tecnológica. La Tabla 2.30 usa las medias de línea de F-INF y el mayor TRL documentado dentro y fuera de Colombia. Los niveles son asignaciones ordinales del analista de F-INF y no mediciones. La asignación de cada documento a una línea es INFERIDO. Se deriva de los niveles por documento y por línea de F-INF (secciones 4.1 y 4.8).</w:t>
      </w:r>
    </w:p>
    <w:p>
      <w:pPr>
        <w:pStyle w:val="TablaRotulo"/>
      </w:pPr>
      <w:bookmarkStart w:id="9260" w:name="rot_Tabla_2_30"/>
      <w:r>
        <w:rPr>
          <w:b/>
          <w:bCs/>
        </w:rPr>
        <w:t xml:space="preserve">Tabla 2.30</w:t>
      </w:r>
      <w:bookmarkEnd w:id="9260"/>
    </w:p>
    <w:p>
      <w:pPr>
        <w:pStyle w:val="TablaTitulo"/>
      </w:pPr>
      <w:r>
        <w:rPr>
          <w:i/>
          <w:iCs/>
        </w:rPr>
        <w:t xml:space="preserve">Nivel de madurez tecnológica comparado: global y Colombia por línea tecnológica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97"/>
        <w:gridCol w:w="1730"/>
        <w:gridCol w:w="1264"/>
        <w:gridCol w:w="1796"/>
        <w:gridCol w:w="1530"/>
      </w:tblGrid>
      <w:tr>
        <w:trPr>
          <w:cantSplit/>
          <w:tblHeader/>
        </w:trPr>
        <w:tc>
          <w:tcPr>
            <w:shd w:val="clear" w:color="auto" w:fill="00B050"/>
          </w:tcPr>
          <w:p>
            <w:pPr>
              <w:pStyle w:val="Tabla9"/>
              <w:jc w:val="center"/>
            </w:pPr>
            <w:r>
              <w:rPr>
                <w:b/>
                <w:color w:val="FFFFFF"/>
              </w:rPr>
              <w:t xml:space="preserve">Línea tecnológica</w:t>
            </w:r>
          </w:p>
        </w:tc>
        <w:tc>
          <w:tcPr>
            <w:shd w:val="clear" w:color="auto" w:fill="00B050"/>
          </w:tcPr>
          <w:p>
            <w:pPr>
              <w:pStyle w:val="Tabla9"/>
              <w:jc w:val="center"/>
            </w:pPr>
            <w:r>
              <w:rPr>
                <w:b/>
                <w:color w:val="FFFFFF"/>
              </w:rPr>
              <w:t xml:space="preserve">TRL medio de la línea (documentos)</w:t>
            </w:r>
          </w:p>
        </w:tc>
        <w:tc>
          <w:tcPr>
            <w:shd w:val="clear" w:color="auto" w:fill="00B050"/>
          </w:tcPr>
          <w:p>
            <w:pPr>
              <w:pStyle w:val="Tabla9"/>
              <w:jc w:val="center"/>
            </w:pPr>
            <w:r>
              <w:rPr>
                <w:b/>
                <w:color w:val="FFFFFF"/>
              </w:rPr>
              <w:t xml:space="preserve">Mayor TRL documentado fuera de Colombia</w:t>
            </w:r>
          </w:p>
        </w:tc>
        <w:tc>
          <w:tcPr>
            <w:shd w:val="clear" w:color="auto" w:fill="00B050"/>
          </w:tcPr>
          <w:p>
            <w:pPr>
              <w:pStyle w:val="Tabla9"/>
              <w:jc w:val="center"/>
            </w:pPr>
            <w:r>
              <w:rPr>
                <w:b/>
                <w:color w:val="FFFFFF"/>
              </w:rPr>
              <w:t xml:space="preserve">Mayor TRL documentado en Colombia</w:t>
            </w:r>
          </w:p>
        </w:tc>
        <w:tc>
          <w:tcPr>
            <w:shd w:val="clear" w:color="auto" w:fill="00B050"/>
          </w:tcPr>
          <w:p>
            <w:pPr>
              <w:pStyle w:val="Tabla9"/>
              <w:jc w:val="center"/>
            </w:pPr>
            <w:r>
              <w:rPr>
                <w:b/>
                <w:color w:val="FFFFFF"/>
              </w:rPr>
              <w:t xml:space="preserve">Lectura para el proyecto</w:t>
            </w:r>
          </w:p>
        </w:tc>
      </w:tr>
      <w:tr>
        <w:trPr>
          <w:cantSplit/>
        </w:trPr>
        <w:tc>
          <w:tcPr/>
          <w:p>
            <w:pPr>
              <w:pStyle w:val="Tabla9"/>
              <w:jc w:val="left"/>
            </w:pPr>
            <w:r>
              <w:t xml:space="preserve">Sistemas de alerta temprana y gestión de desastres</w:t>
            </w:r>
          </w:p>
        </w:tc>
        <w:tc>
          <w:tcPr/>
          <w:p>
            <w:pPr>
              <w:pStyle w:val="Tabla9"/>
              <w:jc w:val="left"/>
            </w:pPr>
            <w:r>
              <w:t xml:space="preserve">5,75 (4)</w:t>
            </w:r>
          </w:p>
        </w:tc>
        <w:tc>
          <w:tcPr/>
          <w:p>
            <w:pPr>
              <w:pStyle w:val="Tabla9"/>
              <w:jc w:val="left"/>
            </w:pPr>
            <w:r>
              <w:t xml:space="preserve">7: sistema de lahares de Perú (Espinoza et al., 2026)</w:t>
            </w:r>
          </w:p>
        </w:tc>
        <w:tc>
          <w:tcPr/>
          <w:p>
            <w:pPr>
              <w:pStyle w:val="Tabla9"/>
              <w:jc w:val="left"/>
            </w:pPr>
            <w:r>
              <w:t xml:space="preserve">9: SIATA (Ruiz-Carrascal et al., 2026)</w:t>
            </w:r>
          </w:p>
        </w:tc>
        <w:tc>
          <w:tcPr/>
          <w:p>
            <w:pPr>
              <w:pStyle w:val="Tabla9"/>
              <w:jc w:val="left"/>
            </w:pPr>
            <w:r>
              <w:t xml:space="preserve">Colombia lidera la región; sin métricas públicas de desempeño del pronóstico</w:t>
            </w:r>
          </w:p>
        </w:tc>
      </w:tr>
      <w:tr>
        <w:trPr>
          <w:cantSplit/>
        </w:trPr>
        <w:tc>
          <w:tcPr/>
          <w:p>
            <w:pPr>
              <w:pStyle w:val="Tabla9"/>
              <w:jc w:val="left"/>
            </w:pPr>
            <w:r>
              <w:t xml:space="preserve">Redes de sensores de bajo costo y calibración</w:t>
            </w:r>
          </w:p>
        </w:tc>
        <w:tc>
          <w:tcPr/>
          <w:p>
            <w:pPr>
              <w:pStyle w:val="Tabla9"/>
              <w:jc w:val="left"/>
            </w:pPr>
            <w:r>
              <w:t xml:space="preserve">3,8 (5)</w:t>
            </w:r>
          </w:p>
        </w:tc>
        <w:tc>
          <w:tcPr/>
          <w:p>
            <w:pPr>
              <w:pStyle w:val="Tabla9"/>
              <w:jc w:val="left"/>
            </w:pPr>
            <w:r>
              <w:t xml:space="preserve">6: mina de la India (Suresh et al., 2025)</w:t>
            </w:r>
          </w:p>
        </w:tc>
        <w:tc>
          <w:tcPr/>
          <w:p>
            <w:pPr>
              <w:pStyle w:val="Tabla9"/>
              <w:jc w:val="left"/>
            </w:pPr>
            <w:r>
              <w:t xml:space="preserve">3: diseño de red nacional (Murad Pedraza et al., 2026)</w:t>
            </w:r>
          </w:p>
        </w:tc>
        <w:tc>
          <w:tcPr/>
          <w:p>
            <w:pPr>
              <w:pStyle w:val="Tabla9"/>
              <w:jc w:val="left"/>
            </w:pPr>
            <w:r>
              <w:t xml:space="preserve">El despliegue supera la calibración; el proyecto parte de TRL 4</w:t>
            </w:r>
          </w:p>
        </w:tc>
      </w:tr>
      <w:tr>
        <w:trPr>
          <w:cantSplit/>
        </w:trPr>
        <w:tc>
          <w:tcPr/>
          <w:p>
            <w:pPr>
              <w:pStyle w:val="Tabla9"/>
              <w:jc w:val="left"/>
            </w:pPr>
            <w:r>
              <w:t xml:space="preserve">Pronóstico con aprendizaje automático</w:t>
            </w:r>
          </w:p>
        </w:tc>
        <w:tc>
          <w:tcPr/>
          <w:p>
            <w:pPr>
              <w:pStyle w:val="Tabla9"/>
              <w:jc w:val="left"/>
            </w:pPr>
            <w:r>
              <w:t xml:space="preserve">4,0 (9)</w:t>
            </w:r>
          </w:p>
        </w:tc>
        <w:tc>
          <w:tcPr/>
          <w:p>
            <w:pPr>
              <w:pStyle w:val="Tabla9"/>
              <w:jc w:val="left"/>
            </w:pPr>
            <w:r>
              <w:t xml:space="preserve">5: revisiones (Nelson et al., 2026; Essamlali et al., 2024)</w:t>
            </w:r>
          </w:p>
        </w:tc>
        <w:tc>
          <w:tcPr/>
          <w:p>
            <w:pPr>
              <w:pStyle w:val="Tabla9"/>
              <w:jc w:val="left"/>
            </w:pPr>
            <w:r>
              <w:t xml:space="preserve">4: fusión de información en Medellín (Becerra et al., 2021)</w:t>
            </w:r>
          </w:p>
        </w:tc>
        <w:tc>
          <w:tcPr/>
          <w:p>
            <w:pPr>
              <w:pStyle w:val="Tabla9"/>
              <w:jc w:val="left"/>
            </w:pPr>
            <w:r>
              <w:t xml:space="preserve">Madurez baja y sin línea base de persistencia</w:t>
            </w:r>
          </w:p>
        </w:tc>
      </w:tr>
      <w:tr>
        <w:trPr>
          <w:cantSplit/>
        </w:trPr>
        <w:tc>
          <w:tcPr/>
          <w:p>
            <w:pPr>
              <w:pStyle w:val="Tabla9"/>
              <w:jc w:val="left"/>
            </w:pPr>
            <w:r>
              <w:t xml:space="preserve">Índices y calificaciones de salud y salubridad</w:t>
            </w:r>
          </w:p>
        </w:tc>
        <w:tc>
          <w:tcPr/>
          <w:p>
            <w:pPr>
              <w:pStyle w:val="Tabla9"/>
              <w:jc w:val="left"/>
            </w:pPr>
            <w:r>
              <w:t xml:space="preserve">3,75 (4)</w:t>
            </w:r>
          </w:p>
        </w:tc>
        <w:tc>
          <w:tcPr/>
          <w:p>
            <w:pPr>
              <w:pStyle w:val="Tabla9"/>
              <w:jc w:val="left"/>
            </w:pPr>
            <w:r>
              <w:t xml:space="preserve">5: revisión de índices de calidad del aire y salud (Liao et al., 2026)</w:t>
            </w:r>
          </w:p>
        </w:tc>
        <w:tc>
          <w:tcPr/>
          <w:p>
            <w:pPr>
              <w:pStyle w:val="Tabla9"/>
              <w:jc w:val="left"/>
            </w:pPr>
            <w:r>
              <w:t xml:space="preserve">Sin documento colombiano; ninguno de 53 estudios es latinoamericano</w:t>
            </w:r>
          </w:p>
        </w:tc>
        <w:tc>
          <w:tcPr/>
          <w:p>
            <w:pPr>
              <w:pStyle w:val="Tabla9"/>
              <w:jc w:val="left"/>
            </w:pPr>
            <w:r>
              <w:t xml:space="preserve">Rezago de Colombia en índices</w:t>
            </w:r>
          </w:p>
        </w:tc>
      </w:tr>
      <w:tr>
        <w:trPr>
          <w:cantSplit/>
        </w:trPr>
        <w:tc>
          <w:tcPr/>
          <w:p>
            <w:pPr>
              <w:pStyle w:val="Tabla9"/>
              <w:jc w:val="left"/>
            </w:pPr>
            <w:r>
              <w:t xml:space="preserve">Diagnóstico predictivo con gemelo digital</w:t>
            </w:r>
          </w:p>
        </w:tc>
        <w:tc>
          <w:tcPr/>
          <w:p>
            <w:pPr>
              <w:pStyle w:val="Tabla9"/>
              <w:jc w:val="left"/>
            </w:pPr>
            <w:r>
              <w:t xml:space="preserve">3,33 (3)</w:t>
            </w:r>
          </w:p>
        </w:tc>
        <w:tc>
          <w:tcPr/>
          <w:p>
            <w:pPr>
              <w:pStyle w:val="Tabla9"/>
              <w:jc w:val="left"/>
            </w:pPr>
            <w:r>
              <w:t xml:space="preserve">4: patente de diagnóstico de motores (Gumaste et al., 2021)</w:t>
            </w:r>
          </w:p>
        </w:tc>
        <w:tc>
          <w:tcPr/>
          <w:p>
            <w:pPr>
              <w:pStyle w:val="Tabla9"/>
              <w:jc w:val="left"/>
            </w:pPr>
            <w:r>
              <w:t xml:space="preserve">Sin actor colombiano</w:t>
            </w:r>
          </w:p>
        </w:tc>
        <w:tc>
          <w:tcPr/>
          <w:p>
            <w:pPr>
              <w:pStyle w:val="Tabla9"/>
              <w:jc w:val="left"/>
            </w:pPr>
            <w:r>
              <w:t xml:space="preserve">Relevante solo por la definición del término</w:t>
            </w:r>
          </w:p>
        </w:tc>
      </w:tr>
      <w:tr>
        <w:trPr>
          <w:cantSplit/>
        </w:trPr>
        <w:tc>
          <w:tcPr/>
          <w:p>
            <w:pPr>
              <w:pStyle w:val="Tabla9"/>
              <w:jc w:val="left"/>
            </w:pPr>
            <w:r>
              <w:t xml:space="preserve">Medición de partículas y calibración (patentes)</w:t>
            </w:r>
          </w:p>
        </w:tc>
        <w:tc>
          <w:tcPr/>
          <w:p>
            <w:pPr>
              <w:pStyle w:val="Tabla9"/>
              <w:jc w:val="left"/>
            </w:pPr>
            <w:r>
              <w:t xml:space="preserve">3,0 (3)</w:t>
            </w:r>
          </w:p>
        </w:tc>
        <w:tc>
          <w:tcPr/>
          <w:p>
            <w:pPr>
              <w:pStyle w:val="Tabla9"/>
              <w:jc w:val="left"/>
            </w:pPr>
            <w:r>
              <w:t xml:space="preserve">3: patentes (Reintjes et al., 1995; Koppinen et al., 2019; Ali et al., 2022)</w:t>
            </w:r>
          </w:p>
        </w:tc>
        <w:tc>
          <w:tcPr/>
          <w:p>
            <w:pPr>
              <w:pStyle w:val="Tabla9"/>
              <w:jc w:val="left"/>
            </w:pPr>
            <w:r>
              <w:t xml:space="preserve">Sin solicitante colombiano</w:t>
            </w:r>
          </w:p>
        </w:tc>
        <w:tc>
          <w:tcPr/>
          <w:p>
            <w:pPr>
              <w:pStyle w:val="Tabla9"/>
              <w:jc w:val="left"/>
            </w:pPr>
            <w:r>
              <w:t xml:space="preserve">Sin datos de desempeño: el proyecto aporta datos</w:t>
            </w:r>
          </w:p>
        </w:tc>
      </w:tr>
      <w:tr>
        <w:trPr>
          <w:cantSplit/>
        </w:trPr>
        <w:tc>
          <w:tcPr/>
          <w:p>
            <w:pPr>
              <w:pStyle w:val="Tabla9"/>
              <w:jc w:val="left"/>
            </w:pPr>
            <w:r>
              <w:t xml:space="preserve">Corpus completo</w:t>
            </w:r>
          </w:p>
        </w:tc>
        <w:tc>
          <w:tcPr/>
          <w:p>
            <w:pPr>
              <w:pStyle w:val="Tabla9"/>
              <w:jc w:val="left"/>
            </w:pPr>
            <w:r>
              <w:t xml:space="preserve">TRL medio de 3,85; 34 de 41 documentos en TRL 4 o menos</w:t>
            </w:r>
          </w:p>
        </w:tc>
        <w:tc>
          <w:tcPr/>
          <w:p>
            <w:pPr>
              <w:pStyle w:val="Tabla9"/>
              <w:jc w:val="left"/>
            </w:pPr>
            <w:r>
              <w:t xml:space="preserve">Criterio de referencia: TRL 7</w:t>
            </w:r>
          </w:p>
        </w:tc>
        <w:tc>
          <w:tcPr/>
          <w:p>
            <w:pPr>
              <w:pStyle w:val="Tabla9"/>
              <w:jc w:val="left"/>
            </w:pPr>
            <w:r>
              <w:t xml:space="preserve">9 de 42 documentos con una institución colombiana; Estados Unidos aporta 12</w:t>
            </w:r>
          </w:p>
        </w:tc>
        <w:tc>
          <w:tcPr/>
          <w:p>
            <w:pPr>
              <w:pStyle w:val="Tabla9"/>
              <w:jc w:val="left"/>
            </w:pPr>
            <w:r>
              <w:t xml:space="preserve">Madurez baja y homogénea</w:t>
            </w:r>
          </w:p>
        </w:tc>
      </w:tr>
      <w:tr>
        <w:trPr>
          <w:cantSplit/>
        </w:trPr>
        <w:tc>
          <w:tcPr/>
          <w:p>
            <w:pPr>
              <w:pStyle w:val="Tabla9"/>
              <w:jc w:val="left"/>
            </w:pPr>
            <w:r>
              <w:t xml:space="preserve">Proyecto</w:t>
            </w:r>
          </w:p>
        </w:tc>
        <w:tc>
          <w:tcPr/>
          <w:p>
            <w:pPr>
              <w:pStyle w:val="Tabla9"/>
              <w:jc w:val="left"/>
            </w:pPr>
            <w:r>
              <w:t xml:space="preserve">TRL 4 inicial y TRL 7 final (PROPUESTO)</w:t>
            </w:r>
          </w:p>
        </w:tc>
        <w:tc>
          <w:tcPr/>
          <w:p>
            <w:pPr>
              <w:pStyle w:val="Tabla9"/>
              <w:jc w:val="left"/>
            </w:pPr>
            <w:r>
              <w:t xml:space="preserve">No aplica</w:t>
            </w:r>
          </w:p>
        </w:tc>
        <w:tc>
          <w:tcPr/>
          <w:p>
            <w:pPr>
              <w:pStyle w:val="Tabla9"/>
              <w:jc w:val="left"/>
            </w:pPr>
            <w:r>
              <w:t xml:space="preserve">No aplica</w:t>
            </w:r>
          </w:p>
        </w:tc>
        <w:tc>
          <w:tcPr/>
          <w:p>
            <w:pPr>
              <w:pStyle w:val="Tabla9"/>
              <w:jc w:val="left"/>
            </w:pPr>
            <w:r>
              <w:t xml:space="preserve">TRL 8 condicionado a evaluación independiente</w:t>
            </w:r>
          </w:p>
        </w:tc>
      </w:tr>
    </w:tbl>
    <w:p>
      <w:pPr>
        <w:pStyle w:val="TablaNota"/>
      </w:pPr>
      <w:r>
        <w:rPr>
          <w:i/>
          <w:iCs/>
        </w:rPr>
        <w:t xml:space="preserve">Nota.</w:t>
      </w:r>
      <w:r>
        <w:t xml:space="preserve"> </w:t>
      </w:r>
      <w:r>
        <w:t xml:space="preserve">Elaboración propia con datos de F-INF (secciones 4.1, 4.8 y 6.2, pp. 29, 41 y 61). Naturaleza: DECLARADO (niveles asignados por el analista de F-INF, no verificados en esta corrida); INFERIDO (asignación de documentos a líneas); PROPUESTO (TRL del proyecto). Decimales con coma.</w:t>
      </w:r>
    </w:p>
    <w:p>
      <w:pPr>
        <w:pStyle w:val="BodyText"/>
      </w:pPr>
      <w:r>
        <w:t xml:space="preserve">Colombia posee el mayor TRL del corpus en alerta temprana, con SIATA en 9. En cambio, queda en TRL 3 en el diseño de la red nacional y sin documento propio en índices de salud. La asimetría coincide con la posición que describe F-INF. Colombia es líder regional en alerta temprana, seguidora en pronóstico y rezagada en índices (F-INF, sección 6.2, p. 61). El proyecto se ubica en la línea con mayor distancia entre el despliegue y la verificación, la de redes de sensores y calibración. No compite en las líneas donde el corpus ya registra un sistema operativo.</w:t>
      </w:r>
    </w:p>
    <w:p>
      <w:pPr>
        <w:pStyle w:val="BodyText"/>
      </w:pPr>
      <w:r>
        <w:rPr>
          <w:b/>
          <w:bCs/>
        </w:rPr>
        <w:t xml:space="preserve">Declaración formal del nicho.</w:t>
      </w:r>
      <w:r>
        <w:t xml:space="preserve"> </w:t>
      </w:r>
      <w:r>
        <w:t xml:space="preserve">La primera movida establece el territorio. Los sensores de bajo costo amplían la vigilancia del material particulado, y la corrección con referencia mejora su desempeño (Kumar et al., 2015; Barkjohn et al., 2021; Bang et al., 2026, pp. 6-8). La segunda movida establece el nicho. Ningún documento del corpus de 42 prueba una red de bajo costo con corrección en el gateway y referencia gravimétrica (INFERIDO). Tampoco prueba la custodia institucional en sitios de remoción de escombros posterremoto (INFERIDO). La tercera movida ocupa el nicho. El proyecto propone y verifica un modelo de corrección aplicado en gateways. La meta es R² ≥ 0,70 y NRMSE ≤ 30 % frente a referencia en los tres tramos. Además mide el uso del tablero y del protocolo por comités de gestión del riesgo en Caldas, Cundinamarca y Valle del Cauca (SUPUESTO). Esta declaración no afirma novedad absoluta. Se limita a los 42 documentos analizados y a su fecha de corte.</w:t>
      </w:r>
    </w:p>
    <w:p>
      <w:pPr>
        <w:pStyle w:val="BodyText"/>
      </w:pPr>
      <w:r>
        <w:t xml:space="preserve">El posicionamiento descansa en tres condiciones de validez. La primera es que ningún otro grupo publique antes una validación con referencia en sitios de remoción de escombros. El corpus no permite descartarlo (INFERIDO). La segunda es que el modelo cumpla los umbrales en el tramo 1. La compuerta C1 decide la ampliación al tramo 2 si el modelo alcanza R² ≥ 0,70 y NRMSE ≤ 30 %. Exige además que al menos 50 % de los comités del tramo 1 use el tablero. La tercera es que la libertad de operación no cambie, porque tres solicitudes con plazos abiertos pueden entrar a la fase nacional. Si una condición falla, el proyecto ajusta el alcance y no la afirmación. La compuerta C2 repite los umbrales en los tres departamentos, con disponibilidad mensual de nodos ≥ 90 % y convenios de custodia con partida.</w:t>
      </w:r>
    </w:p>
    <w:bookmarkEnd w:id="368"/>
    <w:bookmarkEnd w:id="369"/>
    <w:bookmarkStart w:id="377" w:name="X787642341d538b5778eb9fce1a0f8e6f73efb4d"/>
    <w:p>
      <w:pPr>
        <w:pStyle w:val="Heading2"/>
      </w:pPr>
      <w:r>
        <w:t xml:space="preserve">2.6 Fichas bibliográficas analíticas de referencias clave</w:t>
      </w:r>
    </w:p>
    <w:bookmarkStart w:id="370" w:name="_Toc00900140"/>
    <w:p>
      <w:pPr>
        <w:pStyle w:val="Heading3"/>
      </w:pPr>
      <w:r>
        <w:t xml:space="preserve">2.6.1 Criterio de selección</w:t>
      </w:r>
    </w:p>
    <w:p>
      <w:pPr>
        <w:pStyle w:val="FirstParagraph"/>
      </w:pPr>
      <w:r>
        <w:t xml:space="preserve">Las fichas permiten verificar que las referencias clave se leyeron, se sintetizaron y se contrastaron con las demás. Se seleccionaron ocho referencias con tres criterios. El primero es la centralidad en la red de relaciones de F-INF. Cuatro de las cinco referencias del corpus figuran entre los 12 nodos de mayor grado ponderado: SIATA, la red de Seúl, el diseño nacional y la revisión de índices (F-INF, sección 12.2, p. 193). El segundo criterio es el vínculo directo con un objetivo específico del proyecto. El tercero es el equilibrio de origen: cinco referencias provienen del corpus y tres del banco de dominio. Las tres de dominio cubren la humedad, la corrección y las métricas de desempeño, que el corpus trata de forma indirecta.</w:t>
      </w:r>
    </w:p>
    <w:p>
      <w:pPr>
        <w:pStyle w:val="BodyText"/>
      </w:pPr>
      <w:r>
        <w:t xml:space="preserve">Los campos de metodología y de resultados contienen solo lo que F-INF respalda o lo que se conoce con firmeza de la obra. Lo demás se marca NO_VERIFICADO. El cuartil y el factor de impacto se marcan NO_VERIFICADO en las ocho fichas, porque F-INF no los informa. Las obras no se consultaron de nuevo en esta corrida. Las fichas del corpus toman las cifras de F-INF con su página (DECLARADO). Las fichas de dominio describen el objetivo y el diseño general que respaldan el título y el conocimiento firme de la obra. Marcan NO_VERIFICADO cada cifra.</w:t>
      </w:r>
    </w:p>
    <w:bookmarkEnd w:id="370"/>
    <w:bookmarkStart w:id="371" w:name="_Toc00900141"/>
    <w:p>
      <w:pPr>
        <w:pStyle w:val="Heading3"/>
      </w:pPr>
      <w:r>
        <w:t xml:space="preserve">2.6.2 Fichas analíticas</w:t>
      </w:r>
    </w:p>
    <w:p>
      <w:pPr>
        <w:pStyle w:val="FirstParagraph"/>
      </w:pPr>
      <w:r>
        <w:t xml:space="preserve">Las fichas siguen los nueve campos del formato analítico. Los primeros cuatro identifican la obra: referencia, tipo de fuente, cuartil o factor de impacto y objetivo. Los siguientes cinco la analizan: metodología, resultados, discusión, relevancia para el proyecto y conexión con otras referencias. La Tabla 2.31 presenta la ficha de la red de Seúl (Bang et al., 2026) y la Tabla 2.32 la de la mina de carbón (Suresh et al., 2025). La Tabla 2.33 presenta la ficha del diseño nacional (Murad Pedraza et al., 2026) y la Tabla 2.34 la de SIATA (Ruiz-Carrascal et al., 2026). La Tabla 2.35 presenta la de la revisión de índices (Liao et al., 2026). La Tabla 2.36, la Tabla 2.37 y la Tabla 2.38 presentan las obras de dominio sobre humedad, corrección y métricas (Jayaratne et al., 2018; Barkjohn et al., 2021; EPA, 2021).</w:t>
      </w:r>
    </w:p>
    <w:p>
      <w:pPr>
        <w:pStyle w:val="TablaRotulo"/>
      </w:pPr>
      <w:bookmarkStart w:id="9261" w:name="rot_Tabla_2_31"/>
      <w:r>
        <w:rPr>
          <w:b/>
          <w:bCs/>
        </w:rPr>
        <w:t xml:space="preserve">Tabla 2.31</w:t>
      </w:r>
      <w:bookmarkEnd w:id="9261"/>
    </w:p>
    <w:p>
      <w:pPr>
        <w:pStyle w:val="TablaTitulo"/>
      </w:pPr>
      <w:r>
        <w:rPr>
          <w:i/>
          <w:iCs/>
        </w:rPr>
        <w:t xml:space="preserve">Ficha bibliográfica analítica de Bang et al. (2026)</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Referencia APA 7</w:t>
            </w:r>
          </w:p>
        </w:tc>
        <w:tc>
          <w:tcPr/>
          <w:p>
            <w:pPr>
              <w:pStyle w:val="Tabla9"/>
              <w:jc w:val="left"/>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tc>
      </w:tr>
      <w:tr>
        <w:trPr>
          <w:cantSplit/>
        </w:trPr>
        <w:tc>
          <w:tcPr/>
          <w:p>
            <w:pPr>
              <w:pStyle w:val="Tabla9"/>
              <w:jc w:val="left"/>
            </w:pPr>
            <w:r>
              <w:t xml:space="preserve">Tipo de fuente</w:t>
            </w:r>
          </w:p>
        </w:tc>
        <w:tc>
          <w:tcPr/>
          <w:p>
            <w:pPr>
              <w:pStyle w:val="Tabla9"/>
              <w:jc w:val="left"/>
            </w:pPr>
            <w:r>
              <w:t xml:space="preserve">Artículo empírico (estudio de caso)</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p>
            <w:pPr>
              <w:pStyle w:val="Tabla9"/>
              <w:jc w:val="left"/>
            </w:pPr>
            <w:r>
              <w:t xml:space="preserve">Objetivo del estudio</w:t>
            </w:r>
          </w:p>
        </w:tc>
        <w:tc>
          <w:tcPr/>
          <w:p>
            <w:pPr>
              <w:pStyle w:val="Tabla9"/>
              <w:jc w:val="left"/>
            </w:pPr>
            <w:r>
              <w:t xml:space="preserve">Evaluar el uso de redes fijas de sensores IoT para reducir la exposición a material particulado durante eventos locales de concentración alta en una megaciudad, con un caso de fuegos artificiales.</w:t>
            </w:r>
          </w:p>
        </w:tc>
      </w:tr>
      <w:tr>
        <w:trPr>
          <w:cantSplit/>
        </w:trPr>
        <w:tc>
          <w:tcPr/>
          <w:p>
            <w:pPr>
              <w:pStyle w:val="Tabla9"/>
              <w:jc w:val="left"/>
            </w:pPr>
            <w:r>
              <w:t xml:space="preserve">Metodología</w:t>
            </w:r>
          </w:p>
        </w:tc>
        <w:tc>
          <w:tcPr/>
          <w:p>
            <w:pPr>
              <w:pStyle w:val="Tabla9"/>
              <w:jc w:val="left"/>
            </w:pPr>
            <w:r>
              <w:t xml:space="preserve">Red S-Dot de Seúl con 1.138 sitios y sensor PM3006 (pp. 4 y 6-8). Corrección con la estación cercana y alineación temporal de 35 minutos. Un evento de octubre de 2023. Diseño de muestreo y análisis estadístico: NO_VERIFICADO.</w:t>
            </w:r>
          </w:p>
        </w:tc>
      </w:tr>
      <w:tr>
        <w:trPr>
          <w:cantSplit/>
        </w:trPr>
        <w:tc>
          <w:tcPr/>
          <w:p>
            <w:pPr>
              <w:pStyle w:val="Tabla9"/>
              <w:jc w:val="left"/>
            </w:pPr>
            <w:r>
              <w:t xml:space="preserve">Resultados principales</w:t>
            </w:r>
          </w:p>
        </w:tc>
        <w:tc>
          <w:tcPr/>
          <w:p>
            <w:pPr>
              <w:pStyle w:val="Tabla9"/>
              <w:jc w:val="left"/>
            </w:pPr>
            <w:r>
              <w:t xml:space="preserve">R² de menos de 0,2 a 0,81 tras corregir con la estación cercana y 35 minutos de desfase (pp. 6-8).</w:t>
            </w:r>
          </w:p>
        </w:tc>
      </w:tr>
      <w:tr>
        <w:trPr>
          <w:cantSplit/>
        </w:trPr>
        <w:tc>
          <w:tcPr/>
          <w:p>
            <w:pPr>
              <w:pStyle w:val="Tabla9"/>
              <w:jc w:val="left"/>
            </w:pPr>
            <w:r>
              <w:t xml:space="preserve">Discusión y conclusiones</w:t>
            </w:r>
          </w:p>
        </w:tc>
        <w:tc>
          <w:tcPr/>
          <w:p>
            <w:pPr>
              <w:pStyle w:val="Tabla9"/>
              <w:jc w:val="left"/>
            </w:pPr>
            <w:r>
              <w:t xml:space="preserve">El protocolo de alerta local se probó con un solo evento (p. 15), que F-INF clasifica como generalización apresurada. Usa la guía de la OMS de 15 µg/m3 como umbral (p. 2). Limitaciones declaradas por los autores: NO_VERIFICADO.</w:t>
            </w:r>
          </w:p>
        </w:tc>
      </w:tr>
      <w:tr>
        <w:trPr>
          <w:cantSplit/>
        </w:trPr>
        <w:tc>
          <w:tcPr/>
          <w:p>
            <w:pPr>
              <w:pStyle w:val="Tabla9"/>
              <w:jc w:val="left"/>
            </w:pPr>
            <w:r>
              <w:t xml:space="preserve">Relevancia para el proyecto</w:t>
            </w:r>
          </w:p>
        </w:tc>
        <w:tc>
          <w:tcPr/>
          <w:p>
            <w:pPr>
              <w:pStyle w:val="Tabla9"/>
              <w:jc w:val="left"/>
            </w:pPr>
            <w:r>
              <w:t xml:space="preserve">Apoya el método de corrección con referencia y desfase (OE1). Contrasta en la escala temporal: un evento corto frente a 24 meses en tres departamentos.</w:t>
            </w:r>
          </w:p>
        </w:tc>
      </w:tr>
      <w:tr>
        <w:trPr>
          <w:cantSplit/>
        </w:trPr>
        <w:tc>
          <w:tcPr/>
          <w:p>
            <w:pPr>
              <w:pStyle w:val="Tabla9"/>
              <w:jc w:val="left"/>
            </w:pPr>
            <w:r>
              <w:t xml:space="preserve">Conexión con otras referencias</w:t>
            </w:r>
          </w:p>
        </w:tc>
        <w:tc>
          <w:tcPr/>
          <w:p>
            <w:pPr>
              <w:pStyle w:val="Tabla9"/>
              <w:jc w:val="left"/>
            </w:pPr>
            <w:r>
              <w:t xml:space="preserve">Coincide con Suresh et al. (2025) y Kumar et al. (2026) en la necesidad de referencia. Complementa a Barkjohn et al. (2021), que corrige con humedad. Informa R², métrica compatible con EPA (2021).</w:t>
            </w:r>
          </w:p>
        </w:tc>
      </w:tr>
    </w:tbl>
    <w:p>
      <w:pPr>
        <w:pStyle w:val="TablaNota"/>
      </w:pPr>
      <w:r>
        <w:rPr>
          <w:i/>
          <w:iCs/>
        </w:rPr>
        <w:t xml:space="preserve">Nota.</w:t>
      </w:r>
      <w:r>
        <w:t xml:space="preserve"> </w:t>
      </w:r>
      <w:r>
        <w:t xml:space="preserve">Elaboración propia con datos de F-INF (secciones 4.1, 6.1, 10.1 y 12.3) y del banco de referencias. Naturaleza: DECLARADO; verificación: NO_VERIFICADO. Páginas de la obra según F-INF.</w:t>
      </w:r>
    </w:p>
    <w:p>
      <w:pPr>
        <w:pStyle w:val="BodyText"/>
      </w:pPr>
      <w:r>
        <w:t xml:space="preserve">La ficha de la red de Seúl (Bang et al., 2026) aporta la única cifra del corpus sobre el efecto de la alineación temporal. Su límite es la escala: un evento y una ciudad con una red densa. El proyecto toma el método y descarta la extrapolación. Verifica la corrección en tres departamentos y durante 24 meses.</w:t>
      </w:r>
    </w:p>
    <w:p>
      <w:pPr>
        <w:pStyle w:val="TablaRotulo"/>
      </w:pPr>
      <w:bookmarkStart w:id="9262" w:name="rot_Tabla_2_32"/>
      <w:r>
        <w:rPr>
          <w:b/>
          <w:bCs/>
        </w:rPr>
        <w:t xml:space="preserve">Tabla 2.32</w:t>
      </w:r>
      <w:bookmarkEnd w:id="9262"/>
    </w:p>
    <w:p>
      <w:pPr>
        <w:pStyle w:val="TablaTitulo"/>
      </w:pPr>
      <w:r>
        <w:rPr>
          <w:i/>
          <w:iCs/>
        </w:rPr>
        <w:t xml:space="preserve">Ficha bibliográfica analítica de Suresh et al. (2025)</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Referencia APA 7</w:t>
            </w:r>
          </w:p>
        </w:tc>
        <w:tc>
          <w:tcPr/>
          <w:p>
            <w:pPr>
              <w:pStyle w:val="Tabla9"/>
              <w:jc w:val="left"/>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tc>
      </w:tr>
      <w:tr>
        <w:trPr>
          <w:cantSplit/>
        </w:trPr>
        <w:tc>
          <w:tcPr/>
          <w:p>
            <w:pPr>
              <w:pStyle w:val="Tabla9"/>
              <w:jc w:val="left"/>
            </w:pPr>
            <w:r>
              <w:t xml:space="preserve">Tipo de fuente</w:t>
            </w:r>
          </w:p>
        </w:tc>
        <w:tc>
          <w:tcPr/>
          <w:p>
            <w:pPr>
              <w:pStyle w:val="Tabla9"/>
              <w:jc w:val="left"/>
            </w:pPr>
            <w:r>
              <w:t xml:space="preserve">Artículo empírico (despliegue experimental)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p>
            <w:pPr>
              <w:pStyle w:val="Tabla9"/>
              <w:jc w:val="left"/>
            </w:pPr>
            <w:r>
              <w:t xml:space="preserve">Objetivo del estudio</w:t>
            </w:r>
          </w:p>
        </w:tc>
        <w:tc>
          <w:tcPr/>
          <w:p>
            <w:pPr>
              <w:pStyle w:val="Tabla9"/>
              <w:jc w:val="left"/>
            </w:pPr>
            <w:r>
              <w:t xml:space="preserve">Examinar el monitoreo de calidad del aire en tiempo real con soluciones IoT de bajo costo en minas de carbón a cielo abierto y el papel de las variables meteorológicas en las emisiones de material particulado y de gases de efecto invernadero.</w:t>
            </w:r>
          </w:p>
        </w:tc>
      </w:tr>
      <w:tr>
        <w:trPr>
          <w:cantSplit/>
        </w:trPr>
        <w:tc>
          <w:tcPr/>
          <w:p>
            <w:pPr>
              <w:pStyle w:val="Tabla9"/>
              <w:jc w:val="left"/>
            </w:pPr>
            <w:r>
              <w:t xml:space="preserve">Metodología</w:t>
            </w:r>
          </w:p>
        </w:tc>
        <w:tc>
          <w:tcPr/>
          <w:p>
            <w:pPr>
              <w:pStyle w:val="Tabla9"/>
              <w:jc w:val="left"/>
            </w:pPr>
            <w:r>
              <w:t xml:space="preserve">Despliegue de un monitor óptico de bajo costo de la empresa Prana Air en una mina de carbón a cielo abierto de la India (F-INF, sección 6.1). TRL 6, IRL 4 y BRL 2 (F-INF, sección 4.1). Número de sensores, duración y análisis: NO_VERIFICADO.</w:t>
            </w:r>
          </w:p>
        </w:tc>
      </w:tr>
      <w:tr>
        <w:trPr>
          <w:cantSplit/>
        </w:trPr>
        <w:tc>
          <w:tcPr/>
          <w:p>
            <w:pPr>
              <w:pStyle w:val="Tabla9"/>
              <w:jc w:val="left"/>
            </w:pPr>
            <w:r>
              <w:t xml:space="preserve">Resultados principales</w:t>
            </w:r>
          </w:p>
        </w:tc>
        <w:tc>
          <w:tcPr/>
          <w:p>
            <w:pPr>
              <w:pStyle w:val="Tabla9"/>
              <w:jc w:val="left"/>
            </w:pPr>
            <w:r>
              <w:t xml:space="preserve">PM2,5 medio de 159,11 µg/m3 (p. 10). Cociente PM2,5/PM10 de 0,88 (p. 22). Correlación de las partículas con la humedad de 0,73 en un sensor sin corregir (p. 30).</w:t>
            </w:r>
          </w:p>
        </w:tc>
      </w:tr>
      <w:tr>
        <w:trPr>
          <w:cantSplit/>
        </w:trPr>
        <w:tc>
          <w:tcPr/>
          <w:p>
            <w:pPr>
              <w:pStyle w:val="Tabla9"/>
              <w:jc w:val="left"/>
            </w:pPr>
            <w:r>
              <w:t xml:space="preserve">Discusión y conclusiones</w:t>
            </w:r>
          </w:p>
        </w:tc>
        <w:tc>
          <w:tcPr/>
          <w:p>
            <w:pPr>
              <w:pStyle w:val="Tabla9"/>
              <w:jc w:val="left"/>
            </w:pPr>
            <w:r>
              <w:t xml:space="preserve">Ancla los umbrales en la guía de la OMS de 15 µg/m3 (p. 11). F-INF ubica el documento en el valle de tecnología sin negocio. Interpretación y limitaciones de los autores: NO_VERIFICADO.</w:t>
            </w:r>
          </w:p>
        </w:tc>
      </w:tr>
      <w:tr>
        <w:trPr>
          <w:cantSplit/>
        </w:trPr>
        <w:tc>
          <w:tcPr/>
          <w:p>
            <w:pPr>
              <w:pStyle w:val="Tabla9"/>
              <w:jc w:val="left"/>
            </w:pPr>
            <w:r>
              <w:t xml:space="preserve">Relevancia para el proyecto</w:t>
            </w:r>
          </w:p>
        </w:tc>
        <w:tc>
          <w:tcPr/>
          <w:p>
            <w:pPr>
              <w:pStyle w:val="Tabla9"/>
              <w:jc w:val="left"/>
            </w:pPr>
            <w:r>
              <w:t xml:space="preserve">Es el análogo sectorial más cercano del corpus a un sitio de remoción: polvo y exposición ocupacional. Apoya la hipótesis de sesgo por humedad (OE1). Contrasta porque F-INF no registra una corrección ni una referencia gravimétrica.</w:t>
            </w:r>
          </w:p>
        </w:tc>
      </w:tr>
      <w:tr>
        <w:trPr>
          <w:cantSplit/>
        </w:trPr>
        <w:tc>
          <w:tcPr/>
          <w:p>
            <w:pPr>
              <w:pStyle w:val="Tabla9"/>
              <w:jc w:val="left"/>
            </w:pPr>
            <w:r>
              <w:t xml:space="preserve">Conexión con otras referencias</w:t>
            </w:r>
          </w:p>
        </w:tc>
        <w:tc>
          <w:tcPr/>
          <w:p>
            <w:pPr>
              <w:pStyle w:val="Tabla9"/>
              <w:jc w:val="left"/>
            </w:pPr>
            <w:r>
              <w:t xml:space="preserve">Coincide con Jayaratne et al. (2018) en el sesgo por humedad y con Bang et al. (2026) en la necesidad de referencia. Kumar et al. (2026) reclaman la validación gravimétrica que este estudio no informa.</w:t>
            </w:r>
          </w:p>
        </w:tc>
      </w:tr>
    </w:tbl>
    <w:p>
      <w:pPr>
        <w:pStyle w:val="TablaNota"/>
      </w:pPr>
      <w:r>
        <w:rPr>
          <w:i/>
          <w:iCs/>
        </w:rPr>
        <w:t xml:space="preserve">Nota.</w:t>
      </w:r>
      <w:r>
        <w:t xml:space="preserve"> </w:t>
      </w:r>
      <w:r>
        <w:t xml:space="preserve">Elaboración propia con datos de F-INF (secciones 3.1, 4.1 y 6.1) y del banco de referencias. Naturaleza: DECLARADO; verificación: NO_VERIFICADO. Páginas de la obra según F-INF. Decimales con coma.</w:t>
      </w:r>
    </w:p>
    <w:p>
      <w:pPr>
        <w:pStyle w:val="BodyText"/>
      </w:pPr>
      <w:r>
        <w:t xml:space="preserve">La ficha de la mina de carbón (Suresh et al., 2025) sitúa la humedad como fuente de error en un sitio con polvo. La mina no es un sitio de escombros. Sí es un sitio con polvo y exposición ocupacional. Su cociente PM2,5/PM10 de 0,88 es un dato de ese sitio y no se transfiere a escombros sin medición (INFERIDO). El proyecto usa el estudio como antecedente del sesgo, no como evidencia de que la corrección funcione en escombros.</w:t>
      </w:r>
    </w:p>
    <w:p>
      <w:pPr>
        <w:pStyle w:val="TablaRotulo"/>
      </w:pPr>
      <w:bookmarkStart w:id="9263" w:name="rot_Tabla_2_33"/>
      <w:r>
        <w:rPr>
          <w:b/>
          <w:bCs/>
        </w:rPr>
        <w:t xml:space="preserve">Tabla 2.33</w:t>
      </w:r>
      <w:bookmarkEnd w:id="9263"/>
    </w:p>
    <w:p>
      <w:pPr>
        <w:pStyle w:val="TablaTitulo"/>
      </w:pPr>
      <w:r>
        <w:rPr>
          <w:i/>
          <w:iCs/>
        </w:rPr>
        <w:t xml:space="preserve">Ficha bibliográfica analítica de Murad Pedraza et al. (2026)</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Referencia APA 7</w:t>
            </w:r>
          </w:p>
        </w:tc>
        <w:tc>
          <w:tcPr/>
          <w:p>
            <w:pPr>
              <w:pStyle w:val="Tabla9"/>
              <w:jc w:val="left"/>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tc>
      </w:tr>
      <w:tr>
        <w:trPr>
          <w:cantSplit/>
        </w:trPr>
        <w:tc>
          <w:tcPr/>
          <w:p>
            <w:pPr>
              <w:pStyle w:val="Tabla9"/>
              <w:jc w:val="left"/>
            </w:pPr>
            <w:r>
              <w:t xml:space="preserve">Tipo de fuente</w:t>
            </w:r>
          </w:p>
        </w:tc>
        <w:tc>
          <w:tcPr/>
          <w:p>
            <w:pPr>
              <w:pStyle w:val="Tabla9"/>
              <w:jc w:val="left"/>
            </w:pPr>
            <w:r>
              <w:t xml:space="preserve">Artículo de diagnóstico y propuesta de diseño de red, en español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p>
            <w:pPr>
              <w:pStyle w:val="Tabla9"/>
              <w:jc w:val="left"/>
            </w:pPr>
            <w:r>
              <w:t xml:space="preserve">Objetivo del estudio</w:t>
            </w:r>
          </w:p>
        </w:tc>
        <w:tc>
          <w:tcPr/>
          <w:p>
            <w:pPr>
              <w:pStyle w:val="Tabla9"/>
              <w:jc w:val="left"/>
            </w:pPr>
            <w:r>
              <w:t xml:space="preserve">Proponer el fortalecimiento y la transformación del sistema de vigilancia de calidad del aire de Colombia con un enfoque de gestión del riesgo en salud pública.</w:t>
            </w:r>
          </w:p>
        </w:tc>
      </w:tr>
      <w:tr>
        <w:trPr>
          <w:cantSplit/>
        </w:trPr>
        <w:tc>
          <w:tcPr/>
          <w:p>
            <w:pPr>
              <w:pStyle w:val="Tabla9"/>
              <w:jc w:val="left"/>
            </w:pPr>
            <w:r>
              <w:t xml:space="preserve">Metodología</w:t>
            </w:r>
          </w:p>
        </w:tc>
        <w:tc>
          <w:tcPr/>
          <w:p>
            <w:pPr>
              <w:pStyle w:val="Tabla9"/>
              <w:jc w:val="left"/>
            </w:pPr>
            <w:r>
              <w:t xml:space="preserve">Diagnóstico de 209 estaciones (192 fijas y 17 indicativas; 154 integradas; pp. 5-6) y diseño de una red nacional de 5.076 estaciones, con 4.608 sensores y 468 automáticas (p. 13). Método de diseño y de costeo: NO_VERIFICADO.</w:t>
            </w:r>
          </w:p>
        </w:tc>
      </w:tr>
      <w:tr>
        <w:trPr>
          <w:cantSplit/>
        </w:trPr>
        <w:tc>
          <w:tcPr/>
          <w:p>
            <w:pPr>
              <w:pStyle w:val="Tabla9"/>
              <w:jc w:val="left"/>
            </w:pPr>
            <w:r>
              <w:t xml:space="preserve">Resultados principales</w:t>
            </w:r>
          </w:p>
        </w:tc>
        <w:tc>
          <w:tcPr/>
          <w:p>
            <w:pPr>
              <w:pStyle w:val="Tabla9"/>
              <w:jc w:val="left"/>
            </w:pPr>
            <w:r>
              <w:t xml:space="preserve">91 municipios obligados con infraestructura y 42 de 102 que cumplen los mínimos (pp. 7 y 17). Adquisición de 719,7 mil millones de pesos y unos 302 mil millones por año de operación (p. 15; cálculo del analista). 90,8 % de las estaciones serían sensores sin plan de calibración (cálculo del analista).</w:t>
            </w:r>
          </w:p>
        </w:tc>
      </w:tr>
      <w:tr>
        <w:trPr>
          <w:cantSplit/>
        </w:trPr>
        <w:tc>
          <w:tcPr/>
          <w:p>
            <w:pPr>
              <w:pStyle w:val="Tabla9"/>
              <w:jc w:val="left"/>
            </w:pPr>
            <w:r>
              <w:t xml:space="preserve">Discusión y conclusiones</w:t>
            </w:r>
          </w:p>
        </w:tc>
        <w:tc>
          <w:tcPr/>
          <w:p>
            <w:pPr>
              <w:pStyle w:val="Tabla9"/>
              <w:jc w:val="left"/>
            </w:pPr>
            <w:r>
              <w:t xml:space="preserve">F-INF señala tres versiones de los totales de estaciones y dos del costo total, y que el costo se presenta como total aunque es solo de adquisición. Limitaciones declaradas por los autores: NO_VERIFICADO.</w:t>
            </w:r>
          </w:p>
        </w:tc>
      </w:tr>
      <w:tr>
        <w:trPr>
          <w:cantSplit/>
        </w:trPr>
        <w:tc>
          <w:tcPr/>
          <w:p>
            <w:pPr>
              <w:pStyle w:val="Tabla9"/>
              <w:jc w:val="left"/>
            </w:pPr>
            <w:r>
              <w:t xml:space="preserve">Relevancia para el proyecto</w:t>
            </w:r>
          </w:p>
        </w:tc>
        <w:tc>
          <w:tcPr/>
          <w:p>
            <w:pPr>
              <w:pStyle w:val="Tabla9"/>
              <w:jc w:val="left"/>
            </w:pPr>
            <w:r>
              <w:t xml:space="preserve">Contrasta: define el contexto de decisión pública que el proyecto responde con compra por tramos, compuertas de desempeño (OE2) y custodia por tramos (OE3).</w:t>
            </w:r>
          </w:p>
        </w:tc>
      </w:tr>
      <w:tr>
        <w:trPr>
          <w:cantSplit/>
        </w:trPr>
        <w:tc>
          <w:tcPr/>
          <w:p>
            <w:pPr>
              <w:pStyle w:val="Tabla9"/>
              <w:jc w:val="left"/>
            </w:pPr>
            <w:r>
              <w:t xml:space="preserve">Conexión con otras referencias</w:t>
            </w:r>
          </w:p>
        </w:tc>
        <w:tc>
          <w:tcPr/>
          <w:p>
            <w:pPr>
              <w:pStyle w:val="Tabla9"/>
              <w:jc w:val="left"/>
            </w:pPr>
            <w:r>
              <w:t xml:space="preserve">Se opone a Ruiz-Carrascal et al. (2026) en el costo por habitante. Coincide con Tavella et al. (2026) en la calidad de la expansión y con Bang et al. (2026) en la necesidad de calibración.</w:t>
            </w:r>
          </w:p>
        </w:tc>
      </w:tr>
    </w:tbl>
    <w:p>
      <w:pPr>
        <w:pStyle w:val="TablaNota"/>
      </w:pPr>
      <w:r>
        <w:rPr>
          <w:i/>
          <w:iCs/>
        </w:rPr>
        <w:t xml:space="preserve">Nota.</w:t>
      </w:r>
      <w:r>
        <w:t xml:space="preserve"> </w:t>
      </w:r>
      <w:r>
        <w:t xml:space="preserve">Elaboración propia con datos de F-INF (secciones 3.1, 5.2 y 8.4). Naturaleza: DECLARADO; los porcentajes y los costos anuales son cálculo del analista de F-INF; verificación: NO_VERIFICADO. Páginas de la obra según F-INF.</w:t>
      </w:r>
    </w:p>
    <w:p>
      <w:pPr>
        <w:pStyle w:val="BodyText"/>
      </w:pPr>
      <w:r>
        <w:t xml:space="preserve">La ficha del diseño nacional (Murad Pedraza et al., 2026) describe la decisión pública que el proyecto no replica. El diseño nacional prevé que 90,8 % de las estaciones sean sensores sin plan de calibración (cálculo del analista de F-INF). El proyecto compra por tramos y libera cada compra con una compuerta. Esa diferencia es una decisión de diseño y no una crítica al documento, cuyas inconsistencias internas F-INF documenta.</w:t>
      </w:r>
    </w:p>
    <w:p>
      <w:pPr>
        <w:pStyle w:val="TablaRotulo"/>
      </w:pPr>
      <w:bookmarkStart w:id="9264" w:name="rot_Tabla_2_34"/>
      <w:r>
        <w:rPr>
          <w:b/>
          <w:bCs/>
        </w:rPr>
        <w:t xml:space="preserve">Tabla 2.34</w:t>
      </w:r>
      <w:bookmarkEnd w:id="9264"/>
    </w:p>
    <w:p>
      <w:pPr>
        <w:pStyle w:val="TablaTitulo"/>
      </w:pPr>
      <w:r>
        <w:rPr>
          <w:i/>
          <w:iCs/>
        </w:rPr>
        <w:t xml:space="preserve">Ficha bibliográfica analítica de Ruiz-Carrascal et al. (2026)</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Referencia APA 7</w:t>
            </w:r>
          </w:p>
        </w:tc>
        <w:tc>
          <w:tcPr/>
          <w:p>
            <w:pPr>
              <w:pStyle w:val="Tabla9"/>
              <w:jc w:val="left"/>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tc>
      </w:tr>
      <w:tr>
        <w:trPr>
          <w:cantSplit/>
        </w:trPr>
        <w:tc>
          <w:tcPr/>
          <w:p>
            <w:pPr>
              <w:pStyle w:val="Tabla9"/>
              <w:jc w:val="left"/>
            </w:pPr>
            <w:r>
              <w:t xml:space="preserve">Tipo de fuente</w:t>
            </w:r>
          </w:p>
        </w:tc>
        <w:tc>
          <w:tcPr/>
          <w:p>
            <w:pPr>
              <w:pStyle w:val="Tabla9"/>
              <w:jc w:val="left"/>
            </w:pPr>
            <w:r>
              <w:t xml:space="preserve">Artículo descriptivo de un sistema operativo (caso institucional)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p>
            <w:pPr>
              <w:pStyle w:val="Tabla9"/>
              <w:jc w:val="left"/>
            </w:pPr>
            <w:r>
              <w:t xml:space="preserve">Objetivo del estudio</w:t>
            </w:r>
          </w:p>
        </w:tc>
        <w:tc>
          <w:tcPr/>
          <w:p>
            <w:pPr>
              <w:pStyle w:val="Tabla9"/>
              <w:jc w:val="left"/>
            </w:pPr>
            <w:r>
              <w:t xml:space="preserve">Describir la trayectoria de más de 20 años del Sistema de Alerta Temprana de Medellín y el Valle de Aburrá.</w:t>
            </w:r>
          </w:p>
        </w:tc>
      </w:tr>
      <w:tr>
        <w:trPr>
          <w:cantSplit/>
        </w:trPr>
        <w:tc>
          <w:tcPr/>
          <w:p>
            <w:pPr>
              <w:pStyle w:val="Tabla9"/>
              <w:jc w:val="left"/>
            </w:pPr>
            <w:r>
              <w:t xml:space="preserve">Metodología</w:t>
            </w:r>
          </w:p>
        </w:tc>
        <w:tc>
          <w:tcPr/>
          <w:p>
            <w:pPr>
              <w:pStyle w:val="Tabla9"/>
              <w:jc w:val="left"/>
            </w:pPr>
            <w:r>
              <w:t xml:space="preserve">Descripción del sistema: red de dos capas con 65 equipos acreditados y 450 sensores de bajo costo (p. 8), 59 sistemas comunitarios de alerta (p. 7) e inversión de 1,63 dólares por habitante y año entre 2017 y 2024 (p. 3). Diseño evaluativo: sin contrafactual (pp. 2, 5 y 7).</w:t>
            </w:r>
          </w:p>
        </w:tc>
      </w:tr>
      <w:tr>
        <w:trPr>
          <w:cantSplit/>
        </w:trPr>
        <w:tc>
          <w:tcPr/>
          <w:p>
            <w:pPr>
              <w:pStyle w:val="Tabla9"/>
              <w:jc w:val="left"/>
            </w:pPr>
            <w:r>
              <w:t xml:space="preserve">Resultados principales</w:t>
            </w:r>
          </w:p>
        </w:tc>
        <w:tc>
          <w:tcPr/>
          <w:p>
            <w:pPr>
              <w:pStyle w:val="Tabla9"/>
              <w:jc w:val="left"/>
            </w:pPr>
            <w:r>
              <w:t xml:space="preserve">Único sistema de nivel 9 del corpus (TRL 9, IRL 8, DRL 8; F-INF, sección 4.2). No publica métricas de desempeño del pronóstico de PM2,5 (p. 10).</w:t>
            </w:r>
          </w:p>
        </w:tc>
      </w:tr>
      <w:tr>
        <w:trPr>
          <w:cantSplit/>
        </w:trPr>
        <w:tc>
          <w:tcPr/>
          <w:p>
            <w:pPr>
              <w:pStyle w:val="Tabla9"/>
              <w:jc w:val="left"/>
            </w:pPr>
            <w:r>
              <w:t xml:space="preserve">Discusión y conclusiones</w:t>
            </w:r>
          </w:p>
        </w:tc>
        <w:tc>
          <w:tcPr/>
          <w:p>
            <w:pPr>
              <w:pStyle w:val="Tabla9"/>
              <w:jc w:val="left"/>
            </w:pPr>
            <w:r>
              <w:t xml:space="preserve">La efectividad se apoya en la ausencia de víctimas por eventos naturales frente a la inversión (pp. 3 y 5), una asociación ecológica que F-INF no lee como efecto causal. Cuatro supuestos quedan sin verificar (pp. 3, 7 y 8). Limitaciones declaradas por los autores: NO_VERIFICADO.</w:t>
            </w:r>
          </w:p>
        </w:tc>
      </w:tr>
      <w:tr>
        <w:trPr>
          <w:cantSplit/>
        </w:trPr>
        <w:tc>
          <w:tcPr/>
          <w:p>
            <w:pPr>
              <w:pStyle w:val="Tabla9"/>
              <w:jc w:val="left"/>
            </w:pPr>
            <w:r>
              <w:t xml:space="preserve">Relevancia para el proyecto</w:t>
            </w:r>
          </w:p>
        </w:tc>
        <w:tc>
          <w:tcPr/>
          <w:p>
            <w:pPr>
              <w:pStyle w:val="Tabla9"/>
              <w:jc w:val="left"/>
            </w:pPr>
            <w:r>
              <w:t xml:space="preserve">Complementa: referente nacional de operación continua con sensores de bajo costo. Contrasta: la evaluación de alertas carece de contrafactual, brecha que el proyecto aborda con la medición de falsas alarmas (PERS-E02).</w:t>
            </w:r>
          </w:p>
        </w:tc>
      </w:tr>
      <w:tr>
        <w:trPr>
          <w:cantSplit/>
        </w:trPr>
        <w:tc>
          <w:tcPr/>
          <w:p>
            <w:pPr>
              <w:pStyle w:val="Tabla9"/>
              <w:jc w:val="left"/>
            </w:pPr>
            <w:r>
              <w:t xml:space="preserve">Conexión con otras referencias</w:t>
            </w:r>
          </w:p>
        </w:tc>
        <w:tc>
          <w:tcPr/>
          <w:p>
            <w:pPr>
              <w:pStyle w:val="Tabla9"/>
              <w:jc w:val="left"/>
            </w:pPr>
            <w:r>
              <w:t xml:space="preserve">Se opone a Murad Pedraza et al. (2026) en el costo y difiere de Ayala-Parra et al. (2026) en el número de sensores. Es el nodo de mayor grado ponderado de la red relacional (F-INF, sección 12.2, p. 193).</w:t>
            </w:r>
          </w:p>
        </w:tc>
      </w:tr>
    </w:tbl>
    <w:p>
      <w:pPr>
        <w:pStyle w:val="TablaNota"/>
      </w:pPr>
      <w:r>
        <w:rPr>
          <w:i/>
          <w:iCs/>
        </w:rPr>
        <w:t xml:space="preserve">Nota.</w:t>
      </w:r>
      <w:r>
        <w:t xml:space="preserve"> </w:t>
      </w:r>
      <w:r>
        <w:t xml:space="preserve">Elaboración propia con datos de F-INF (secciones 2.3, 2.5, 3.1, 4.2 y 12.2). Naturaleza: DECLARADO; verificación: NO_VERIFICADO. Páginas de la obra según F-INF. Decimales con coma.</w:t>
      </w:r>
    </w:p>
    <w:p>
      <w:pPr>
        <w:pStyle w:val="BodyText"/>
      </w:pPr>
      <w:r>
        <w:t xml:space="preserve">La ficha de SIATA (Ruiz-Carrascal et al., 2026) muestra que la operación continua y la evaluación son procesos distintos. SIATA opera con nivel 9 y no publica métricas de su pronóstico ni contrafactual de sus alertas. El proyecto adopta el sistema como referente de operación y no como evidencia de efecto. Mide las falsas alarmas del protocolo en el tramo 1.</w:t>
      </w:r>
    </w:p>
    <w:p>
      <w:pPr>
        <w:pStyle w:val="TablaRotulo"/>
      </w:pPr>
      <w:bookmarkStart w:id="9265" w:name="rot_Tabla_2_35"/>
      <w:r>
        <w:rPr>
          <w:b/>
          <w:bCs/>
        </w:rPr>
        <w:t xml:space="preserve">Tabla 2.35</w:t>
      </w:r>
      <w:bookmarkEnd w:id="9265"/>
    </w:p>
    <w:p>
      <w:pPr>
        <w:pStyle w:val="TablaTitulo"/>
      </w:pPr>
      <w:r>
        <w:rPr>
          <w:i/>
          <w:iCs/>
        </w:rPr>
        <w:t xml:space="preserve">Ficha bibliográfica analítica de Liao et al. (2026)</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Referencia APA 7</w:t>
            </w:r>
          </w:p>
        </w:tc>
        <w:tc>
          <w:tcPr/>
          <w:p>
            <w:pPr>
              <w:pStyle w:val="Tabla9"/>
              <w:jc w:val="left"/>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tc>
      </w:tr>
      <w:tr>
        <w:trPr>
          <w:cantSplit/>
        </w:trPr>
        <w:tc>
          <w:tcPr/>
          <w:p>
            <w:pPr>
              <w:pStyle w:val="Tabla9"/>
              <w:jc w:val="left"/>
            </w:pPr>
            <w:r>
              <w:t xml:space="preserve">Tipo de fuente</w:t>
            </w:r>
          </w:p>
        </w:tc>
        <w:tc>
          <w:tcPr/>
          <w:p>
            <w:pPr>
              <w:pStyle w:val="Tabla9"/>
              <w:jc w:val="left"/>
            </w:pPr>
            <w:r>
              <w:t xml:space="preserve">Revisión sistemática</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p>
            <w:pPr>
              <w:pStyle w:val="Tabla9"/>
              <w:jc w:val="left"/>
            </w:pPr>
            <w:r>
              <w:t xml:space="preserve">Objetivo del estudio</w:t>
            </w:r>
          </w:p>
        </w:tc>
        <w:tc>
          <w:tcPr/>
          <w:p>
            <w:pPr>
              <w:pStyle w:val="Tabla9"/>
              <w:jc w:val="left"/>
            </w:pPr>
            <w:r>
              <w:t xml:space="preserve">Revisar los conceptos y los enfoques de desarrollo del índice de calidad del aire y salud.</w:t>
            </w:r>
          </w:p>
        </w:tc>
      </w:tr>
      <w:tr>
        <w:trPr>
          <w:cantSplit/>
        </w:trPr>
        <w:tc>
          <w:tcPr/>
          <w:p>
            <w:pPr>
              <w:pStyle w:val="Tabla9"/>
              <w:jc w:val="left"/>
            </w:pPr>
            <w:r>
              <w:t xml:space="preserve">Metodología</w:t>
            </w:r>
          </w:p>
        </w:tc>
        <w:tc>
          <w:tcPr/>
          <w:p>
            <w:pPr>
              <w:pStyle w:val="Tabla9"/>
              <w:jc w:val="left"/>
            </w:pPr>
            <w:r>
              <w:t xml:space="preserve">Revisión sistemática de 53 estudios (pp. 6 y 8). Estrategia de búsqueda, criterios de inclusión y evaluación de calidad: NO_VERIFICADO.</w:t>
            </w:r>
          </w:p>
        </w:tc>
      </w:tr>
      <w:tr>
        <w:trPr>
          <w:cantSplit/>
        </w:trPr>
        <w:tc>
          <w:tcPr/>
          <w:p>
            <w:pPr>
              <w:pStyle w:val="Tabla9"/>
              <w:jc w:val="left"/>
            </w:pPr>
            <w:r>
              <w:t xml:space="preserve">Resultados principales</w:t>
            </w:r>
          </w:p>
        </w:tc>
        <w:tc>
          <w:tcPr/>
          <w:p>
            <w:pPr>
              <w:pStyle w:val="Tabla9"/>
              <w:jc w:val="left"/>
            </w:pPr>
            <w:r>
              <w:t xml:space="preserve">88,7 % de los estudios procede de China, ninguno de América Latina, 9,4 % validó con partición de datos y 11,3 % realizó análisis de sensibilidad (pp. 6 y 8).</w:t>
            </w:r>
          </w:p>
        </w:tc>
      </w:tr>
      <w:tr>
        <w:trPr>
          <w:cantSplit/>
        </w:trPr>
        <w:tc>
          <w:tcPr/>
          <w:p>
            <w:pPr>
              <w:pStyle w:val="Tabla9"/>
              <w:jc w:val="left"/>
            </w:pPr>
            <w:r>
              <w:t xml:space="preserve">Discusión y conclusiones</w:t>
            </w:r>
          </w:p>
        </w:tc>
        <w:tc>
          <w:tcPr/>
          <w:p>
            <w:pPr>
              <w:pStyle w:val="Tabla9"/>
              <w:jc w:val="left"/>
            </w:pPr>
            <w:r>
              <w:t xml:space="preserve">F-INF señala que la revisión concluye que el índice supera al de concentraciones aunque solo 9,4 % validó fuera de muestra (F-INF, sección 10.5). Limitaciones declaradas por los autores: NO_VERIFICADO.</w:t>
            </w:r>
          </w:p>
        </w:tc>
      </w:tr>
      <w:tr>
        <w:trPr>
          <w:cantSplit/>
        </w:trPr>
        <w:tc>
          <w:tcPr/>
          <w:p>
            <w:pPr>
              <w:pStyle w:val="Tabla9"/>
              <w:jc w:val="left"/>
            </w:pPr>
            <w:r>
              <w:t xml:space="preserve">Relevancia para el proyecto</w:t>
            </w:r>
          </w:p>
        </w:tc>
        <w:tc>
          <w:tcPr/>
          <w:p>
            <w:pPr>
              <w:pStyle w:val="Tabla9"/>
              <w:jc w:val="left"/>
            </w:pPr>
            <w:r>
              <w:t xml:space="preserve">Apoya la decisión de validar los umbrales con datos locales (OE3). Contrasta: el proyecto no adopta un índice externo y deja la fórmula local como incógnita que resuelve con datos del tramo 1 (VACIO).</w:t>
            </w:r>
          </w:p>
        </w:tc>
      </w:tr>
      <w:tr>
        <w:trPr>
          <w:cantSplit/>
        </w:trPr>
        <w:tc>
          <w:tcPr/>
          <w:p>
            <w:pPr>
              <w:pStyle w:val="Tabla9"/>
              <w:jc w:val="left"/>
            </w:pPr>
            <w:r>
              <w:t xml:space="preserve">Conexión con otras referencias</w:t>
            </w:r>
          </w:p>
        </w:tc>
        <w:tc>
          <w:tcPr/>
          <w:p>
            <w:pPr>
              <w:pStyle w:val="Tabla9"/>
              <w:jc w:val="left"/>
            </w:pPr>
            <w:r>
              <w:t xml:space="preserve">Parte del índice canadiense de Stieb et al. (2008). Comparte cuatro referencias con Rodríguez-Villamizar et al. (2022) y tres con Kumar et al. (2026) (F-INF, sección 7.7). Coincide con Wilson et al. (2024) en índices sin validación.</w:t>
            </w:r>
          </w:p>
        </w:tc>
      </w:tr>
    </w:tbl>
    <w:p>
      <w:pPr>
        <w:pStyle w:val="TablaNota"/>
      </w:pPr>
      <w:r>
        <w:rPr>
          <w:i/>
          <w:iCs/>
        </w:rPr>
        <w:t xml:space="preserve">Nota.</w:t>
      </w:r>
      <w:r>
        <w:t xml:space="preserve"> </w:t>
      </w:r>
      <w:r>
        <w:t xml:space="preserve">Elaboración propia con datos de F-INF (secciones 3.1, 7.7 y 10.5). Naturaleza: DECLARADO; verificación: NO_VERIFICADO. Páginas de la obra según F-INF. Decimales con coma.</w:t>
      </w:r>
    </w:p>
    <w:p>
      <w:pPr>
        <w:pStyle w:val="BodyText"/>
      </w:pPr>
      <w:r>
        <w:t xml:space="preserve">La ficha de la revisión de índices (Liao et al., 2026) establece el límite de la evidencia sobre índices. Ninguno de 53 estudios es latinoamericano y solo 9,4 % validó con partición de datos. El tablero del proyecto no hereda un índice con esa base. Valida umbrales localmente y no estima desenlaces de salud.</w:t>
      </w:r>
    </w:p>
    <w:p>
      <w:pPr>
        <w:pStyle w:val="TablaRotulo"/>
      </w:pPr>
      <w:bookmarkStart w:id="9266" w:name="rot_Tabla_2_36"/>
      <w:r>
        <w:rPr>
          <w:b/>
          <w:bCs/>
        </w:rPr>
        <w:t xml:space="preserve">Tabla 2.36</w:t>
      </w:r>
      <w:bookmarkEnd w:id="9266"/>
    </w:p>
    <w:p>
      <w:pPr>
        <w:pStyle w:val="TablaTitulo"/>
      </w:pPr>
      <w:r>
        <w:rPr>
          <w:i/>
          <w:iCs/>
        </w:rPr>
        <w:t xml:space="preserve">Ficha bibliográfica analítica de Jayaratne et al. (2018)</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Referencia APA 7</w:t>
            </w:r>
          </w:p>
        </w:tc>
        <w:tc>
          <w:tcPr/>
          <w:p>
            <w:pPr>
              <w:pStyle w:val="Tabla9"/>
              <w:jc w:val="left"/>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tc>
      </w:tr>
      <w:tr>
        <w:trPr>
          <w:cantSplit/>
        </w:trPr>
        <w:tc>
          <w:tcPr/>
          <w:p>
            <w:pPr>
              <w:pStyle w:val="Tabla9"/>
              <w:jc w:val="left"/>
            </w:pPr>
            <w:r>
              <w:t xml:space="preserve">Tipo de fuente</w:t>
            </w:r>
          </w:p>
        </w:tc>
        <w:tc>
          <w:tcPr/>
          <w:p>
            <w:pPr>
              <w:pStyle w:val="Tabla9"/>
              <w:jc w:val="left"/>
            </w:pPr>
            <w:r>
              <w:t xml:space="preserve">Artículo empírico</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p>
            <w:pPr>
              <w:pStyle w:val="Tabla9"/>
              <w:jc w:val="left"/>
            </w:pPr>
            <w:r>
              <w:t xml:space="preserve">Objetivo del estudio</w:t>
            </w:r>
          </w:p>
        </w:tc>
        <w:tc>
          <w:tcPr/>
          <w:p>
            <w:pPr>
              <w:pStyle w:val="Tabla9"/>
              <w:jc w:val="left"/>
            </w:pPr>
            <w:r>
              <w:t xml:space="preserve">Determinar la influencia de la humedad en el desempeño de un sensor de masa de partículas de bajo costo y el efecto de la niebla atmosférica.</w:t>
            </w:r>
          </w:p>
        </w:tc>
      </w:tr>
      <w:tr>
        <w:trPr>
          <w:cantSplit/>
        </w:trPr>
        <w:tc>
          <w:tcPr/>
          <w:p>
            <w:pPr>
              <w:pStyle w:val="Tabla9"/>
              <w:jc w:val="left"/>
            </w:pPr>
            <w:r>
              <w:t xml:space="preserve">Metodología</w:t>
            </w:r>
          </w:p>
        </w:tc>
        <w:tc>
          <w:tcPr/>
          <w:p>
            <w:pPr>
              <w:pStyle w:val="Tabla9"/>
              <w:jc w:val="left"/>
            </w:pPr>
            <w:r>
              <w:t xml:space="preserve">Evaluación de un sensor de masa de bajo costo bajo humedad variable y durante niebla. Sensor, referencia, duración y análisis: NO_VERIFICADO.</w:t>
            </w:r>
          </w:p>
        </w:tc>
      </w:tr>
      <w:tr>
        <w:trPr>
          <w:cantSplit/>
        </w:trPr>
        <w:tc>
          <w:tcPr/>
          <w:p>
            <w:pPr>
              <w:pStyle w:val="Tabla9"/>
              <w:jc w:val="left"/>
            </w:pPr>
            <w:r>
              <w:t xml:space="preserve">Resultados principales</w:t>
            </w:r>
          </w:p>
        </w:tc>
        <w:tc>
          <w:tcPr/>
          <w:p>
            <w:pPr>
              <w:pStyle w:val="Tabla9"/>
              <w:jc w:val="left"/>
            </w:pPr>
            <w:r>
              <w:t xml:space="preserve">El desempeño del sensor depende de la humedad relativa y la niebla altera la lectura, con mayor lectura cuando la humedad es alta (dirección del efecto). Magnitudes: NO_VERIFICADO.</w:t>
            </w:r>
          </w:p>
        </w:tc>
      </w:tr>
      <w:tr>
        <w:trPr>
          <w:cantSplit/>
        </w:trPr>
        <w:tc>
          <w:tcPr/>
          <w:p>
            <w:pPr>
              <w:pStyle w:val="Tabla9"/>
              <w:jc w:val="left"/>
            </w:pPr>
            <w:r>
              <w:t xml:space="preserve">Discusión y conclusiones</w:t>
            </w:r>
          </w:p>
        </w:tc>
        <w:tc>
          <w:tcPr/>
          <w:p>
            <w:pPr>
              <w:pStyle w:val="Tabla9"/>
              <w:jc w:val="left"/>
            </w:pPr>
            <w:r>
              <w:t xml:space="preserve">Implica que la humedad debe considerarse al usar sensores de bajo costo. Limitaciones declaradas por los autores: NO_VERIFICADO.</w:t>
            </w:r>
          </w:p>
        </w:tc>
      </w:tr>
      <w:tr>
        <w:trPr>
          <w:cantSplit/>
        </w:trPr>
        <w:tc>
          <w:tcPr/>
          <w:p>
            <w:pPr>
              <w:pStyle w:val="Tabla9"/>
              <w:jc w:val="left"/>
            </w:pPr>
            <w:r>
              <w:t xml:space="preserve">Relevancia para el proyecto</w:t>
            </w:r>
          </w:p>
        </w:tc>
        <w:tc>
          <w:tcPr/>
          <w:p>
            <w:pPr>
              <w:pStyle w:val="Tabla9"/>
              <w:jc w:val="left"/>
            </w:pPr>
            <w:r>
              <w:t xml:space="preserve">Sustenta de forma física y empírica la inclusión de la humedad en el modelo del gateway (OE1). La humedad es una causa priorizada en el análisis causal del proyecto.</w:t>
            </w:r>
          </w:p>
        </w:tc>
      </w:tr>
      <w:tr>
        <w:trPr>
          <w:cantSplit/>
        </w:trPr>
        <w:tc>
          <w:tcPr/>
          <w:p>
            <w:pPr>
              <w:pStyle w:val="Tabla9"/>
              <w:jc w:val="left"/>
            </w:pPr>
            <w:r>
              <w:t xml:space="preserve">Conexión con otras referencias</w:t>
            </w:r>
          </w:p>
        </w:tc>
        <w:tc>
          <w:tcPr/>
          <w:p>
            <w:pPr>
              <w:pStyle w:val="Tabla9"/>
              <w:jc w:val="left"/>
            </w:pPr>
            <w:r>
              <w:t xml:space="preserve">Coincide con Suresh et al. (2025) en el sesgo por humedad y con Barkjohn et al. (2021) en usar la humedad como covariable. Se relaciona con la evaluación del contador OPC-N2 de Crilley et al. (2018).</w:t>
            </w:r>
          </w:p>
        </w:tc>
      </w:tr>
    </w:tbl>
    <w:p>
      <w:pPr>
        <w:pStyle w:val="TablaNota"/>
      </w:pPr>
      <w:r>
        <w:rPr>
          <w:i/>
          <w:iCs/>
        </w:rPr>
        <w:t xml:space="preserve">Nota.</w:t>
      </w:r>
      <w:r>
        <w:t xml:space="preserve"> </w:t>
      </w:r>
      <w:r>
        <w:t xml:space="preserve">Elaboración propia con el banco de referencias y el conocimiento firme de la obra. Naturaleza: DOCUMENTADO; verificación: NO_VERIFICADO. Sin cifras de la obra.</w:t>
      </w:r>
    </w:p>
    <w:p>
      <w:pPr>
        <w:pStyle w:val="BodyText"/>
      </w:pPr>
      <w:r>
        <w:t xml:space="preserve">La ficha sobre humedad (Jayaratne et al., 2018) respalda el mecanismo y no la magnitud. El proyecto no importa un coeficiente de humedad de otro sensor. Estima el suyo con la colocalización del tramo 1 y lo verifica por departamento.</w:t>
      </w:r>
    </w:p>
    <w:p>
      <w:pPr>
        <w:pStyle w:val="TablaRotulo"/>
      </w:pPr>
      <w:bookmarkStart w:id="9267" w:name="rot_Tabla_2_37"/>
      <w:r>
        <w:rPr>
          <w:b/>
          <w:bCs/>
        </w:rPr>
        <w:t xml:space="preserve">Tabla 2.37</w:t>
      </w:r>
      <w:bookmarkEnd w:id="9267"/>
    </w:p>
    <w:p>
      <w:pPr>
        <w:pStyle w:val="TablaTitulo"/>
      </w:pPr>
      <w:r>
        <w:rPr>
          <w:i/>
          <w:iCs/>
        </w:rPr>
        <w:t xml:space="preserve">Ficha bibliográfica analítica de Barkjohn et al. (2021)</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Referencia APA 7</w:t>
            </w:r>
          </w:p>
        </w:tc>
        <w:tc>
          <w:tcPr/>
          <w:p>
            <w:pPr>
              <w:pStyle w:val="Tabla9"/>
              <w:jc w:val="left"/>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tc>
      </w:tr>
      <w:tr>
        <w:trPr>
          <w:cantSplit/>
        </w:trPr>
        <w:tc>
          <w:tcPr/>
          <w:p>
            <w:pPr>
              <w:pStyle w:val="Tabla9"/>
              <w:jc w:val="left"/>
            </w:pPr>
            <w:r>
              <w:t xml:space="preserve">Tipo de fuente</w:t>
            </w:r>
          </w:p>
        </w:tc>
        <w:tc>
          <w:tcPr/>
          <w:p>
            <w:pPr>
              <w:pStyle w:val="Tabla9"/>
              <w:jc w:val="left"/>
            </w:pPr>
            <w:r>
              <w:t xml:space="preserve">Artículo empírico (desarrollo y aplicación de un modelo de corrección)</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p>
            <w:pPr>
              <w:pStyle w:val="Tabla9"/>
              <w:jc w:val="left"/>
            </w:pPr>
            <w:r>
              <w:t xml:space="preserve">Objetivo del estudio</w:t>
            </w:r>
          </w:p>
        </w:tc>
        <w:tc>
          <w:tcPr/>
          <w:p>
            <w:pPr>
              <w:pStyle w:val="Tabla9"/>
              <w:jc w:val="left"/>
            </w:pPr>
            <w:r>
              <w:t xml:space="preserve">Desarrollar y aplicar una corrección de alcance nacional en Estados Unidos para datos de PM2,5 del sensor PurpleAir.</w:t>
            </w:r>
          </w:p>
        </w:tc>
      </w:tr>
      <w:tr>
        <w:trPr>
          <w:cantSplit/>
        </w:trPr>
        <w:tc>
          <w:tcPr/>
          <w:p>
            <w:pPr>
              <w:pStyle w:val="Tabla9"/>
              <w:jc w:val="left"/>
            </w:pPr>
            <w:r>
              <w:t xml:space="preserve">Metodología</w:t>
            </w:r>
          </w:p>
        </w:tc>
        <w:tc>
          <w:tcPr/>
          <w:p>
            <w:pPr>
              <w:pStyle w:val="Tabla9"/>
              <w:jc w:val="left"/>
            </w:pPr>
            <w:r>
              <w:t xml:space="preserve">Colocalización del sensor con monitores de referencia y ajuste de un modelo de corrección que incluye la humedad relativa. Número de sitios, periodo y especificación completa: NO_VERIFICADO.</w:t>
            </w:r>
          </w:p>
        </w:tc>
      </w:tr>
      <w:tr>
        <w:trPr>
          <w:cantSplit/>
        </w:trPr>
        <w:tc>
          <w:tcPr/>
          <w:p>
            <w:pPr>
              <w:pStyle w:val="Tabla9"/>
              <w:jc w:val="left"/>
            </w:pPr>
            <w:r>
              <w:t xml:space="preserve">Resultados principales</w:t>
            </w:r>
          </w:p>
        </w:tc>
        <w:tc>
          <w:tcPr/>
          <w:p>
            <w:pPr>
              <w:pStyle w:val="Tabla9"/>
              <w:jc w:val="left"/>
            </w:pPr>
            <w:r>
              <w:t xml:space="preserve">La corrección reduce el error del sensor frente a la referencia (dirección del efecto). Cifras de error antes y después: NO_VERIFICADO.</w:t>
            </w:r>
          </w:p>
        </w:tc>
      </w:tr>
      <w:tr>
        <w:trPr>
          <w:cantSplit/>
        </w:trPr>
        <w:tc>
          <w:tcPr/>
          <w:p>
            <w:pPr>
              <w:pStyle w:val="Tabla9"/>
              <w:jc w:val="left"/>
            </w:pPr>
            <w:r>
              <w:t xml:space="preserve">Discusión y conclusiones</w:t>
            </w:r>
          </w:p>
        </w:tc>
        <w:tc>
          <w:tcPr/>
          <w:p>
            <w:pPr>
              <w:pStyle w:val="Tabla9"/>
              <w:jc w:val="left"/>
            </w:pPr>
            <w:r>
              <w:t xml:space="preserve">Muestra que una corrección con humedad es viable para una red de gran escala. Limitaciones y aplicación operativa descritas por los autores: NO_VERIFICADO.</w:t>
            </w:r>
          </w:p>
        </w:tc>
      </w:tr>
      <w:tr>
        <w:trPr>
          <w:cantSplit/>
        </w:trPr>
        <w:tc>
          <w:tcPr/>
          <w:p>
            <w:pPr>
              <w:pStyle w:val="Tabla9"/>
              <w:jc w:val="left"/>
            </w:pPr>
            <w:r>
              <w:t xml:space="preserve">Relevancia para el proyecto</w:t>
            </w:r>
          </w:p>
        </w:tc>
        <w:tc>
          <w:tcPr/>
          <w:p>
            <w:pPr>
              <w:pStyle w:val="Tabla9"/>
              <w:jc w:val="left"/>
            </w:pPr>
            <w:r>
              <w:t xml:space="preserve">Referente del modelo de corrección con humedad (OE1). Contrasta: un solo tipo de sensor y solo PM2,5 en ambiente exterior de Estados Unidos, frente a PM2,5 y PM10 en sitios de remoción de escombros.</w:t>
            </w:r>
          </w:p>
        </w:tc>
      </w:tr>
      <w:tr>
        <w:trPr>
          <w:cantSplit/>
        </w:trPr>
        <w:tc>
          <w:tcPr/>
          <w:p>
            <w:pPr>
              <w:pStyle w:val="Tabla9"/>
              <w:jc w:val="left"/>
            </w:pPr>
            <w:r>
              <w:t xml:space="preserve">Conexión con otras referencias</w:t>
            </w:r>
          </w:p>
        </w:tc>
        <w:tc>
          <w:tcPr/>
          <w:p>
            <w:pPr>
              <w:pStyle w:val="Tabla9"/>
              <w:jc w:val="left"/>
            </w:pPr>
            <w:r>
              <w:t xml:space="preserve">Coincide con Jayaratne et al. (2018) en la humedad y con Malings et al. (2020) en corregir con referencia. EPA (2021) aporta las métricas de evaluación que complementan el método.</w:t>
            </w:r>
          </w:p>
        </w:tc>
      </w:tr>
    </w:tbl>
    <w:p>
      <w:pPr>
        <w:pStyle w:val="TablaNota"/>
      </w:pPr>
      <w:r>
        <w:rPr>
          <w:i/>
          <w:iCs/>
        </w:rPr>
        <w:t xml:space="preserve">Nota.</w:t>
      </w:r>
      <w:r>
        <w:t xml:space="preserve"> </w:t>
      </w:r>
      <w:r>
        <w:t xml:space="preserve">Elaboración propia con el banco de referencias y el conocimiento firme de la obra. Naturaleza: DOCUMENTADO; verificación: NO_VERIFICADO. Sin cifras de la obra.</w:t>
      </w:r>
    </w:p>
    <w:p>
      <w:pPr>
        <w:pStyle w:val="BodyText"/>
      </w:pPr>
      <w:r>
        <w:t xml:space="preserve">La ficha de la corrección nacional (Barkjohn et al., 2021) ofrece la forma funcional del modelo: una corrección lineal con humedad ajustada con referencia. El proyecto la toma como punto de partida. Descarta la transferencia directa de coeficientes, porque cambian el sensor, el contaminante y el sitio.</w:t>
      </w:r>
    </w:p>
    <w:p>
      <w:pPr>
        <w:pStyle w:val="TablaRotulo"/>
      </w:pPr>
      <w:bookmarkStart w:id="9268" w:name="rot_Tabla_2_38"/>
      <w:r>
        <w:rPr>
          <w:b/>
          <w:bCs/>
        </w:rPr>
        <w:t xml:space="preserve">Tabla 2.38</w:t>
      </w:r>
      <w:bookmarkEnd w:id="9268"/>
    </w:p>
    <w:p>
      <w:pPr>
        <w:pStyle w:val="TablaTitulo"/>
      </w:pPr>
      <w:r>
        <w:rPr>
          <w:i/>
          <w:iCs/>
        </w:rPr>
        <w:t xml:space="preserve">Ficha bibliográfica analítica de EPA (2021)</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Referencia APA 7</w:t>
            </w:r>
          </w:p>
        </w:tc>
        <w:tc>
          <w:tcPr/>
          <w:p>
            <w:pPr>
              <w:pStyle w:val="Tabla9"/>
              <w:jc w:val="left"/>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tc>
      </w:tr>
      <w:tr>
        <w:trPr>
          <w:cantSplit/>
        </w:trPr>
        <w:tc>
          <w:tcPr/>
          <w:p>
            <w:pPr>
              <w:pStyle w:val="Tabla9"/>
              <w:jc w:val="left"/>
            </w:pPr>
            <w:r>
              <w:t xml:space="preserve">Tipo de fuente</w:t>
            </w:r>
          </w:p>
        </w:tc>
        <w:tc>
          <w:tcPr/>
          <w:p>
            <w:pPr>
              <w:pStyle w:val="Tabla9"/>
              <w:jc w:val="left"/>
            </w:pPr>
            <w:r>
              <w:t xml:space="preserve">Informe técnico (protocolo de prueba)</w:t>
            </w:r>
          </w:p>
        </w:tc>
      </w:tr>
      <w:tr>
        <w:trPr>
          <w:cantSplit/>
        </w:trPr>
        <w:tc>
          <w:tcPr/>
          <w:p>
            <w:pPr>
              <w:pStyle w:val="Tabla9"/>
              <w:jc w:val="left"/>
            </w:pPr>
            <w:r>
              <w:t xml:space="preserve">Cuartil / JIF</w:t>
            </w:r>
          </w:p>
        </w:tc>
        <w:tc>
          <w:tcPr/>
          <w:p>
            <w:pPr>
              <w:pStyle w:val="Tabla9"/>
              <w:jc w:val="left"/>
            </w:pPr>
            <w:r>
              <w:t xml:space="preserve">NO_VERIFICADO (informe técnico sin revista)</w:t>
            </w:r>
          </w:p>
        </w:tc>
      </w:tr>
      <w:tr>
        <w:trPr>
          <w:cantSplit/>
        </w:trPr>
        <w:tc>
          <w:tcPr/>
          <w:p>
            <w:pPr>
              <w:pStyle w:val="Tabla9"/>
              <w:jc w:val="left"/>
            </w:pPr>
            <w:r>
              <w:t xml:space="preserve">Objetivo del estudio</w:t>
            </w:r>
          </w:p>
        </w:tc>
        <w:tc>
          <w:tcPr/>
          <w:p>
            <w:pPr>
              <w:pStyle w:val="Tabla9"/>
              <w:jc w:val="left"/>
            </w:pPr>
            <w:r>
              <w:t xml:space="preserve">Establecer protocolos de prueba, métricas y valores objetivo para evaluar sensores de PM2,5 en sitios fijos exteriores con uso suplementario e informativo no regulatorio.</w:t>
            </w:r>
          </w:p>
        </w:tc>
      </w:tr>
      <w:tr>
        <w:trPr>
          <w:cantSplit/>
        </w:trPr>
        <w:tc>
          <w:tcPr/>
          <w:p>
            <w:pPr>
              <w:pStyle w:val="Tabla9"/>
              <w:jc w:val="left"/>
            </w:pPr>
            <w:r>
              <w:t xml:space="preserve">Metodología</w:t>
            </w:r>
          </w:p>
        </w:tc>
        <w:tc>
          <w:tcPr/>
          <w:p>
            <w:pPr>
              <w:pStyle w:val="Tabla9"/>
              <w:jc w:val="left"/>
            </w:pPr>
            <w:r>
              <w:t xml:space="preserve">Protocolo de prueba de campo con colocalización frente a monitores de referencia y métricas de regresión y de error. Duración, sitios y reglas de cálculo: NO_VERIFICADO.</w:t>
            </w:r>
          </w:p>
        </w:tc>
      </w:tr>
      <w:tr>
        <w:trPr>
          <w:cantSplit/>
        </w:trPr>
        <w:tc>
          <w:tcPr/>
          <w:p>
            <w:pPr>
              <w:pStyle w:val="Tabla9"/>
              <w:jc w:val="left"/>
            </w:pPr>
            <w:r>
              <w:t xml:space="preserve">Resultados principales</w:t>
            </w:r>
          </w:p>
        </w:tc>
        <w:tc>
          <w:tcPr/>
          <w:p>
            <w:pPr>
              <w:pStyle w:val="Tabla9"/>
              <w:jc w:val="left"/>
            </w:pPr>
            <w:r>
              <w:t xml:space="preserve">Valores objetivo por métrica. La transcripción de esos valores es NO_VERIFICADO en esta corrida. Los umbrales del proyecto (R² ≥ 0,70; NRMSE ≤ 30 %; pendiente entre 0,65 y 1,35; sesgo entre −5,0 y 5,0 µg/m3) son PROPUESTO con esta ancla.</w:t>
            </w:r>
          </w:p>
        </w:tc>
      </w:tr>
      <w:tr>
        <w:trPr>
          <w:cantSplit/>
        </w:trPr>
        <w:tc>
          <w:tcPr/>
          <w:p>
            <w:pPr>
              <w:pStyle w:val="Tabla9"/>
              <w:jc w:val="left"/>
            </w:pPr>
            <w:r>
              <w:t xml:space="preserve">Discusión y conclusiones</w:t>
            </w:r>
          </w:p>
        </w:tc>
        <w:tc>
          <w:tcPr/>
          <w:p>
            <w:pPr>
              <w:pStyle w:val="Tabla9"/>
              <w:jc w:val="left"/>
            </w:pPr>
            <w:r>
              <w:t xml:space="preserve">Define el uso informativo en sitio fijo. No equivale a una certificación regulatoria ni cubre PM10.</w:t>
            </w:r>
          </w:p>
        </w:tc>
      </w:tr>
      <w:tr>
        <w:trPr>
          <w:cantSplit/>
        </w:trPr>
        <w:tc>
          <w:tcPr/>
          <w:p>
            <w:pPr>
              <w:pStyle w:val="Tabla9"/>
              <w:jc w:val="left"/>
            </w:pPr>
            <w:r>
              <w:t xml:space="preserve">Relevancia para el proyecto</w:t>
            </w:r>
          </w:p>
        </w:tc>
        <w:tc>
          <w:tcPr/>
          <w:p>
            <w:pPr>
              <w:pStyle w:val="Tabla9"/>
              <w:jc w:val="left"/>
            </w:pPr>
            <w:r>
              <w:t xml:space="preserve">Fundamenta las metas del OE1. Limita: la extensión a PM10 y a sitios de remoción de escombros es una decisión del proyecto (PROPUESTO).</w:t>
            </w:r>
          </w:p>
        </w:tc>
      </w:tr>
      <w:tr>
        <w:trPr>
          <w:cantSplit/>
        </w:trPr>
        <w:tc>
          <w:tcPr/>
          <w:p>
            <w:pPr>
              <w:pStyle w:val="Tabla9"/>
              <w:jc w:val="left"/>
            </w:pPr>
            <w:r>
              <w:t xml:space="preserve">Conexión con otras referencias</w:t>
            </w:r>
          </w:p>
        </w:tc>
        <w:tc>
          <w:tcPr/>
          <w:p>
            <w:pPr>
              <w:pStyle w:val="Tabla9"/>
              <w:jc w:val="left"/>
            </w:pPr>
            <w:r>
              <w:t xml:space="preserve">Complementa a Barkjohn et al. (2021) y a Bang et al. (2026), que informan R². Giordano et al. (2021) aportan las buenas prácticas de calibración.</w:t>
            </w:r>
          </w:p>
        </w:tc>
      </w:tr>
    </w:tbl>
    <w:p>
      <w:pPr>
        <w:pStyle w:val="TablaNota"/>
      </w:pPr>
      <w:r>
        <w:rPr>
          <w:i/>
          <w:iCs/>
        </w:rPr>
        <w:t xml:space="preserve">Nota.</w:t>
      </w:r>
      <w:r>
        <w:t xml:space="preserve"> </w:t>
      </w:r>
      <w:r>
        <w:t xml:space="preserve">Elaboración propia con el banco de referencias y el conocimiento firme de la obra. Naturaleza: DOCUMENTADO para el alcance del informe; PROPUESTO para los umbrales del proyecto; verificación: NO_VERIFICADO. Decimales con coma.</w:t>
      </w:r>
    </w:p>
    <w:p>
      <w:pPr>
        <w:pStyle w:val="BodyText"/>
      </w:pPr>
      <w:r>
        <w:t xml:space="preserve">La ficha del protocolo de la EPA (EPA, 2021) da el ancla de las metas del OE1 y fija su límite. El informe trata PM2,5 en sitio fijo con uso informativo. El proyecto extiende los umbrales a PM10 y a sitios de remoción de escombros como decisión propia y lo declara. Por eso la meta se verifica con un ensayo independiente (hito H7, mes 23). No se presenta como cumplimiento de un protocolo regulatorio.</w:t>
      </w:r>
    </w:p>
    <w:bookmarkEnd w:id="371"/>
    <w:bookmarkStart w:id="375" w:name="Xda5858d87390ca530d0295e2c5edecfb6ce38de"/>
    <w:p>
      <w:pPr>
        <w:pStyle w:val="Heading3"/>
      </w:pPr>
      <w:r>
        <w:t xml:space="preserve">2.6.3 Matriz de conexiones entre referencias clave</w:t>
      </w:r>
    </w:p>
    <w:p>
      <w:pPr>
        <w:pStyle w:val="FirstParagraph"/>
      </w:pPr>
      <w:r>
        <w:t xml:space="preserve">La Tabla 2.39 reúne 16 vínculos entre las ocho referencias con ficha y cinco referencias de apoyo. Cada vínculo es de uno de tres tipos. Un acuerdo indica que dos obras llegan a la misma conclusión con métodos distintos. Un complemento indica que una obra aporta lo que la otra no incluye. Un desacuerdo indica que las obras difieren en una cifra o en una recomendación. F-INF no calcula citas directas entre estos documentos y usa un acoplamiento bibliográfico aproximado por texto (F-INF, sección 7.7, p. 95). Los vínculos DOCUMENTADO provienen de F-INF y los INFERIDO son una lectura del proyecto. La Figura 2.17 dibuja la red.</w:t>
      </w:r>
    </w:p>
    <w:p>
      <w:pPr>
        <w:pStyle w:val="TablaRotulo"/>
      </w:pPr>
      <w:bookmarkStart w:id="9269" w:name="rot_Tabla_2_39"/>
      <w:r>
        <w:rPr>
          <w:b/>
          <w:bCs/>
        </w:rPr>
        <w:t xml:space="preserve">Tabla 2.39</w:t>
      </w:r>
      <w:bookmarkEnd w:id="9269"/>
    </w:p>
    <w:p>
      <w:pPr>
        <w:pStyle w:val="TablaTitulo"/>
      </w:pPr>
      <w:r>
        <w:rPr>
          <w:i/>
          <w:iCs/>
        </w:rPr>
        <w:t xml:space="preserve">Matriz de conexiones entre referencias clave: acuerdos, complementos y desacuerdos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78"/>
        <w:gridCol w:w="1254"/>
        <w:gridCol w:w="1518"/>
        <w:gridCol w:w="1188"/>
        <w:gridCol w:w="1782"/>
      </w:tblGrid>
      <w:tr>
        <w:trPr>
          <w:cantSplit/>
          <w:tblHeader/>
        </w:trPr>
        <w:tc>
          <w:tcPr>
            <w:shd w:val="clear" w:color="auto" w:fill="00B050"/>
          </w:tcPr>
          <w:p>
            <w:pPr>
              <w:pStyle w:val="Tabla9"/>
              <w:jc w:val="center"/>
            </w:pPr>
            <w:r>
              <w:rPr>
                <w:b/>
                <w:color w:val="FFFFFF"/>
              </w:rPr>
              <w:t xml:space="preserve">Referencias</w:t>
            </w:r>
          </w:p>
        </w:tc>
        <w:tc>
          <w:tcPr>
            <w:shd w:val="clear" w:color="auto" w:fill="00B050"/>
          </w:tcPr>
          <w:p>
            <w:pPr>
              <w:pStyle w:val="Tabla9"/>
              <w:jc w:val="center"/>
            </w:pPr>
            <w:r>
              <w:rPr>
                <w:b/>
                <w:color w:val="FFFFFF"/>
              </w:rPr>
              <w:t xml:space="preserve">Tipo</w:t>
            </w:r>
          </w:p>
        </w:tc>
        <w:tc>
          <w:tcPr>
            <w:shd w:val="clear" w:color="auto" w:fill="00B050"/>
          </w:tcPr>
          <w:p>
            <w:pPr>
              <w:pStyle w:val="Tabla9"/>
              <w:jc w:val="center"/>
            </w:pPr>
            <w:r>
              <w:rPr>
                <w:b/>
                <w:color w:val="FFFFFF"/>
              </w:rPr>
              <w:t xml:space="preserve">Fundamento del vínculo</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Bang et al. (2026) y Suresh et al. (2025)</w:t>
            </w:r>
          </w:p>
        </w:tc>
        <w:tc>
          <w:tcPr/>
          <w:p>
            <w:pPr>
              <w:pStyle w:val="Tabla9"/>
              <w:jc w:val="left"/>
            </w:pPr>
            <w:r>
              <w:t xml:space="preserve">Acuerdo</w:t>
            </w:r>
          </w:p>
        </w:tc>
        <w:tc>
          <w:tcPr/>
          <w:p>
            <w:pPr>
              <w:pStyle w:val="Tabla9"/>
              <w:jc w:val="left"/>
            </w:pPr>
            <w:r>
              <w:t xml:space="preserve">La corrección con referencia y la dependencia de la humedad convergen en la calibración como condición de utilidad</w:t>
            </w:r>
          </w:p>
        </w:tc>
        <w:tc>
          <w:tcPr/>
          <w:p>
            <w:pPr>
              <w:pStyle w:val="Tabla9"/>
              <w:jc w:val="left"/>
            </w:pPr>
            <w:r>
              <w:t xml:space="preserve">F-INF, sección 12.3 (p. 196)</w:t>
            </w:r>
          </w:p>
        </w:tc>
        <w:tc>
          <w:tcPr/>
          <w:p>
            <w:pPr>
              <w:pStyle w:val="Tabla9"/>
              <w:jc w:val="left"/>
            </w:pPr>
            <w:r>
              <w:t xml:space="preserve">DOCUMENTADO</w:t>
            </w:r>
          </w:p>
        </w:tc>
      </w:tr>
      <w:tr>
        <w:trPr>
          <w:cantSplit/>
        </w:trPr>
        <w:tc>
          <w:tcPr/>
          <w:p>
            <w:pPr>
              <w:pStyle w:val="Tabla9"/>
              <w:jc w:val="left"/>
            </w:pPr>
            <w:r>
              <w:t xml:space="preserve">Bang et al. (2026) y Kumar et al. (2026)</w:t>
            </w:r>
          </w:p>
        </w:tc>
        <w:tc>
          <w:tcPr/>
          <w:p>
            <w:pPr>
              <w:pStyle w:val="Tabla9"/>
              <w:jc w:val="left"/>
            </w:pPr>
            <w:r>
              <w:t xml:space="preserve">Acuerdo</w:t>
            </w:r>
          </w:p>
        </w:tc>
        <w:tc>
          <w:tcPr/>
          <w:p>
            <w:pPr>
              <w:pStyle w:val="Tabla9"/>
              <w:jc w:val="left"/>
            </w:pPr>
            <w:r>
              <w:t xml:space="preserve">Ambos exigen calibración con referencia; Kumar reclama calibración estandarizada</w:t>
            </w:r>
          </w:p>
        </w:tc>
        <w:tc>
          <w:tcPr/>
          <w:p>
            <w:pPr>
              <w:pStyle w:val="Tabla9"/>
              <w:jc w:val="left"/>
            </w:pPr>
            <w:r>
              <w:t xml:space="preserve">F-INF, sección 12.3 (p. 196)</w:t>
            </w:r>
          </w:p>
        </w:tc>
        <w:tc>
          <w:tcPr/>
          <w:p>
            <w:pPr>
              <w:pStyle w:val="Tabla9"/>
              <w:jc w:val="left"/>
            </w:pPr>
            <w:r>
              <w:t xml:space="preserve">DOCUMENTADO</w:t>
            </w:r>
          </w:p>
        </w:tc>
      </w:tr>
      <w:tr>
        <w:trPr>
          <w:cantSplit/>
        </w:trPr>
        <w:tc>
          <w:tcPr/>
          <w:p>
            <w:pPr>
              <w:pStyle w:val="Tabla9"/>
              <w:jc w:val="left"/>
            </w:pPr>
            <w:r>
              <w:t xml:space="preserve">Murad Pedraza et al. (2026) y Bang et al. (2026)</w:t>
            </w:r>
          </w:p>
        </w:tc>
        <w:tc>
          <w:tcPr/>
          <w:p>
            <w:pPr>
              <w:pStyle w:val="Tabla9"/>
              <w:jc w:val="left"/>
            </w:pPr>
            <w:r>
              <w:t xml:space="preserve">Complemento</w:t>
            </w:r>
          </w:p>
        </w:tc>
        <w:tc>
          <w:tcPr/>
          <w:p>
            <w:pPr>
              <w:pStyle w:val="Tabla9"/>
              <w:jc w:val="left"/>
            </w:pPr>
            <w:r>
              <w:t xml:space="preserve">El problema (90,8 % sin plan) y un método de solución (R² de 0,81)</w:t>
            </w:r>
          </w:p>
        </w:tc>
        <w:tc>
          <w:tcPr/>
          <w:p>
            <w:pPr>
              <w:pStyle w:val="Tabla9"/>
              <w:jc w:val="left"/>
            </w:pPr>
            <w:r>
              <w:t xml:space="preserve">F-INF, sección 8.3 (p. 102)</w:t>
            </w:r>
          </w:p>
        </w:tc>
        <w:tc>
          <w:tcPr/>
          <w:p>
            <w:pPr>
              <w:pStyle w:val="Tabla9"/>
              <w:jc w:val="left"/>
            </w:pPr>
            <w:r>
              <w:t xml:space="preserve">DOCUMENTADO</w:t>
            </w:r>
          </w:p>
        </w:tc>
      </w:tr>
      <w:tr>
        <w:trPr>
          <w:cantSplit/>
        </w:trPr>
        <w:tc>
          <w:tcPr/>
          <w:p>
            <w:pPr>
              <w:pStyle w:val="Tabla9"/>
              <w:jc w:val="left"/>
            </w:pPr>
            <w:r>
              <w:t xml:space="preserve">Tavella et al. (2026) y Murad Pedraza et al. (2026)</w:t>
            </w:r>
          </w:p>
        </w:tc>
        <w:tc>
          <w:tcPr/>
          <w:p>
            <w:pPr>
              <w:pStyle w:val="Tabla9"/>
              <w:jc w:val="left"/>
            </w:pPr>
            <w:r>
              <w:t xml:space="preserve">Acuerdo</w:t>
            </w:r>
          </w:p>
        </w:tc>
        <w:tc>
          <w:tcPr/>
          <w:p>
            <w:pPr>
              <w:pStyle w:val="Tabla9"/>
              <w:jc w:val="left"/>
            </w:pPr>
            <w:r>
              <w:t xml:space="preserve">Calidad de la expansión de redes; tres referencias compartidas</w:t>
            </w:r>
          </w:p>
        </w:tc>
        <w:tc>
          <w:tcPr/>
          <w:p>
            <w:pPr>
              <w:pStyle w:val="Tabla9"/>
              <w:jc w:val="left"/>
            </w:pPr>
            <w:r>
              <w:t xml:space="preserve">F-INF, secciones 7.7 y 12.3</w:t>
            </w:r>
          </w:p>
        </w:tc>
        <w:tc>
          <w:tcPr/>
          <w:p>
            <w:pPr>
              <w:pStyle w:val="Tabla9"/>
              <w:jc w:val="left"/>
            </w:pPr>
            <w:r>
              <w:t xml:space="preserve">DOCUMENTADO</w:t>
            </w:r>
          </w:p>
        </w:tc>
      </w:tr>
      <w:tr>
        <w:trPr>
          <w:cantSplit/>
        </w:trPr>
        <w:tc>
          <w:tcPr/>
          <w:p>
            <w:pPr>
              <w:pStyle w:val="Tabla9"/>
              <w:jc w:val="left"/>
            </w:pPr>
            <w:r>
              <w:t xml:space="preserve">Kumar et al. (2026) y Tavella et al. (2026)</w:t>
            </w:r>
          </w:p>
        </w:tc>
        <w:tc>
          <w:tcPr/>
          <w:p>
            <w:pPr>
              <w:pStyle w:val="Tabla9"/>
              <w:jc w:val="left"/>
            </w:pPr>
            <w:r>
              <w:t xml:space="preserve">Desacuerdo</w:t>
            </w:r>
          </w:p>
        </w:tc>
        <w:tc>
          <w:tcPr/>
          <w:p>
            <w:pPr>
              <w:pStyle w:val="Tabla9"/>
              <w:jc w:val="left"/>
            </w:pPr>
            <w:r>
              <w:t xml:space="preserve">Ampliar redes de bajo costo frente a 96 de 570 estaciones inactivas</w:t>
            </w:r>
          </w:p>
        </w:tc>
        <w:tc>
          <w:tcPr/>
          <w:p>
            <w:pPr>
              <w:pStyle w:val="Tabla9"/>
              <w:jc w:val="left"/>
            </w:pPr>
            <w:r>
              <w:t xml:space="preserve">F-INF, sección 12.4 (p. 197)</w:t>
            </w:r>
          </w:p>
        </w:tc>
        <w:tc>
          <w:tcPr/>
          <w:p>
            <w:pPr>
              <w:pStyle w:val="Tabla9"/>
              <w:jc w:val="left"/>
            </w:pPr>
            <w:r>
              <w:t xml:space="preserve">DOCUMENTADO</w:t>
            </w:r>
          </w:p>
        </w:tc>
      </w:tr>
      <w:tr>
        <w:trPr>
          <w:cantSplit/>
        </w:trPr>
        <w:tc>
          <w:tcPr/>
          <w:p>
            <w:pPr>
              <w:pStyle w:val="Tabla9"/>
              <w:jc w:val="left"/>
            </w:pPr>
            <w:r>
              <w:t xml:space="preserve">Murad Pedraza et al. (2026) y Ruiz-Carrascal et al. (2026)</w:t>
            </w:r>
          </w:p>
        </w:tc>
        <w:tc>
          <w:tcPr/>
          <w:p>
            <w:pPr>
              <w:pStyle w:val="Tabla9"/>
              <w:jc w:val="left"/>
            </w:pPr>
            <w:r>
              <w:t xml:space="preserve">Desacuerdo</w:t>
            </w:r>
          </w:p>
        </w:tc>
        <w:tc>
          <w:tcPr/>
          <w:p>
            <w:pPr>
              <w:pStyle w:val="Tabla9"/>
              <w:jc w:val="left"/>
            </w:pPr>
            <w:r>
              <w:t xml:space="preserve">Costo de unos 3,25 frente a 1,63 dólares por habitante y año</w:t>
            </w:r>
          </w:p>
        </w:tc>
        <w:tc>
          <w:tcPr/>
          <w:p>
            <w:pPr>
              <w:pStyle w:val="Tabla9"/>
              <w:jc w:val="left"/>
            </w:pPr>
            <w:r>
              <w:t xml:space="preserve">F-INF, sección 12.4 (p. 197)</w:t>
            </w:r>
          </w:p>
        </w:tc>
        <w:tc>
          <w:tcPr/>
          <w:p>
            <w:pPr>
              <w:pStyle w:val="Tabla9"/>
              <w:jc w:val="left"/>
            </w:pPr>
            <w:r>
              <w:t xml:space="preserve">DOCUMENTADO</w:t>
            </w:r>
          </w:p>
        </w:tc>
      </w:tr>
      <w:tr>
        <w:trPr>
          <w:cantSplit/>
        </w:trPr>
        <w:tc>
          <w:tcPr/>
          <w:p>
            <w:pPr>
              <w:pStyle w:val="Tabla9"/>
              <w:jc w:val="left"/>
            </w:pPr>
            <w:r>
              <w:t xml:space="preserve">Liao et al. (2026) y Rodríguez-Villamizar et al. (2022)</w:t>
            </w:r>
          </w:p>
        </w:tc>
        <w:tc>
          <w:tcPr/>
          <w:p>
            <w:pPr>
              <w:pStyle w:val="Tabla9"/>
              <w:jc w:val="left"/>
            </w:pPr>
            <w:r>
              <w:t xml:space="preserve">Complemento</w:t>
            </w:r>
          </w:p>
        </w:tc>
        <w:tc>
          <w:tcPr/>
          <w:p>
            <w:pPr>
              <w:pStyle w:val="Tabla9"/>
              <w:jc w:val="left"/>
            </w:pPr>
            <w:r>
              <w:t xml:space="preserve">Índices de salud y carga de enfermedad; cuatro referencias compartidas</w:t>
            </w:r>
          </w:p>
        </w:tc>
        <w:tc>
          <w:tcPr/>
          <w:p>
            <w:pPr>
              <w:pStyle w:val="Tabla9"/>
              <w:jc w:val="left"/>
            </w:pPr>
            <w:r>
              <w:t xml:space="preserve">F-INF, sección 7.7 (p. 95)</w:t>
            </w:r>
          </w:p>
        </w:tc>
        <w:tc>
          <w:tcPr/>
          <w:p>
            <w:pPr>
              <w:pStyle w:val="Tabla9"/>
              <w:jc w:val="left"/>
            </w:pPr>
            <w:r>
              <w:t xml:space="preserve">DOCUMENTADO</w:t>
            </w:r>
          </w:p>
        </w:tc>
      </w:tr>
      <w:tr>
        <w:trPr>
          <w:cantSplit/>
        </w:trPr>
        <w:tc>
          <w:tcPr/>
          <w:p>
            <w:pPr>
              <w:pStyle w:val="Tabla9"/>
              <w:jc w:val="left"/>
            </w:pPr>
            <w:r>
              <w:t xml:space="preserve">Suresh et al. (2025) y Jayaratne et al. (2018)</w:t>
            </w:r>
          </w:p>
        </w:tc>
        <w:tc>
          <w:tcPr/>
          <w:p>
            <w:pPr>
              <w:pStyle w:val="Tabla9"/>
              <w:jc w:val="left"/>
            </w:pPr>
            <w:r>
              <w:t xml:space="preserve">Acuerdo</w:t>
            </w:r>
          </w:p>
        </w:tc>
        <w:tc>
          <w:tcPr/>
          <w:p>
            <w:pPr>
              <w:pStyle w:val="Tabla9"/>
              <w:jc w:val="left"/>
            </w:pPr>
            <w:r>
              <w:t xml:space="preserve">Sesgo por humedad: correlación de 0,73 y efecto de la humedad y la niebla</w:t>
            </w:r>
          </w:p>
        </w:tc>
        <w:tc>
          <w:tcPr/>
          <w:p>
            <w:pPr>
              <w:pStyle w:val="Tabla9"/>
              <w:jc w:val="left"/>
            </w:pPr>
            <w:r>
              <w:t xml:space="preserve">F-INF, sección 1.3; ficha de Jayaratne et al.</w:t>
            </w:r>
          </w:p>
        </w:tc>
        <w:tc>
          <w:tcPr/>
          <w:p>
            <w:pPr>
              <w:pStyle w:val="Tabla9"/>
              <w:jc w:val="left"/>
            </w:pPr>
            <w:r>
              <w:t xml:space="preserve">INFERIDO</w:t>
            </w:r>
          </w:p>
        </w:tc>
      </w:tr>
      <w:tr>
        <w:trPr>
          <w:cantSplit/>
        </w:trPr>
        <w:tc>
          <w:tcPr/>
          <w:p>
            <w:pPr>
              <w:pStyle w:val="Tabla9"/>
              <w:jc w:val="left"/>
            </w:pPr>
            <w:r>
              <w:t xml:space="preserve">Jayaratne et al. (2018) y Barkjohn et al. (2021)</w:t>
            </w:r>
          </w:p>
        </w:tc>
        <w:tc>
          <w:tcPr/>
          <w:p>
            <w:pPr>
              <w:pStyle w:val="Tabla9"/>
              <w:jc w:val="left"/>
            </w:pPr>
            <w:r>
              <w:t xml:space="preserve">Acuerdo</w:t>
            </w:r>
          </w:p>
        </w:tc>
        <w:tc>
          <w:tcPr/>
          <w:p>
            <w:pPr>
              <w:pStyle w:val="Tabla9"/>
              <w:jc w:val="left"/>
            </w:pPr>
            <w:r>
              <w:t xml:space="preserve">La humedad como covariable de la corrección</w:t>
            </w:r>
          </w:p>
        </w:tc>
        <w:tc>
          <w:tcPr/>
          <w:p>
            <w:pPr>
              <w:pStyle w:val="Tabla9"/>
              <w:jc w:val="left"/>
            </w:pPr>
            <w:r>
              <w:t xml:space="preserve">Fichas de Jayaratne et al. y Barkjohn et al.</w:t>
            </w:r>
          </w:p>
        </w:tc>
        <w:tc>
          <w:tcPr/>
          <w:p>
            <w:pPr>
              <w:pStyle w:val="Tabla9"/>
              <w:jc w:val="left"/>
            </w:pPr>
            <w:r>
              <w:t xml:space="preserve">INFERIDO</w:t>
            </w:r>
          </w:p>
        </w:tc>
      </w:tr>
      <w:tr>
        <w:trPr>
          <w:cantSplit/>
        </w:trPr>
        <w:tc>
          <w:tcPr/>
          <w:p>
            <w:pPr>
              <w:pStyle w:val="Tabla9"/>
              <w:jc w:val="left"/>
            </w:pPr>
            <w:r>
              <w:t xml:space="preserve">Bang et al. (2026) y Barkjohn et al. (2021)</w:t>
            </w:r>
          </w:p>
        </w:tc>
        <w:tc>
          <w:tcPr/>
          <w:p>
            <w:pPr>
              <w:pStyle w:val="Tabla9"/>
              <w:jc w:val="left"/>
            </w:pPr>
            <w:r>
              <w:t xml:space="preserve">Complemento</w:t>
            </w:r>
          </w:p>
        </w:tc>
        <w:tc>
          <w:tcPr/>
          <w:p>
            <w:pPr>
              <w:pStyle w:val="Tabla9"/>
              <w:jc w:val="left"/>
            </w:pPr>
            <w:r>
              <w:t xml:space="preserve">Desfase temporal frente a humedad relativa como variable de corrección</w:t>
            </w:r>
          </w:p>
        </w:tc>
        <w:tc>
          <w:tcPr/>
          <w:p>
            <w:pPr>
              <w:pStyle w:val="Tabla9"/>
              <w:jc w:val="left"/>
            </w:pPr>
            <w:r>
              <w:t xml:space="preserve">Fichas de Bang et al. y Barkjohn et al.</w:t>
            </w:r>
          </w:p>
        </w:tc>
        <w:tc>
          <w:tcPr/>
          <w:p>
            <w:pPr>
              <w:pStyle w:val="Tabla9"/>
              <w:jc w:val="left"/>
            </w:pPr>
            <w:r>
              <w:t xml:space="preserve">INFERIDO</w:t>
            </w:r>
          </w:p>
        </w:tc>
      </w:tr>
      <w:tr>
        <w:trPr>
          <w:cantSplit/>
        </w:trPr>
        <w:tc>
          <w:tcPr/>
          <w:p>
            <w:pPr>
              <w:pStyle w:val="Tabla9"/>
              <w:jc w:val="left"/>
            </w:pPr>
            <w:r>
              <w:t xml:space="preserve">Ruiz-Carrascal et al. (2026) y Bang et al. (2026)</w:t>
            </w:r>
          </w:p>
        </w:tc>
        <w:tc>
          <w:tcPr/>
          <w:p>
            <w:pPr>
              <w:pStyle w:val="Tabla9"/>
              <w:jc w:val="left"/>
            </w:pPr>
            <w:r>
              <w:t xml:space="preserve">Acuerdo</w:t>
            </w:r>
          </w:p>
        </w:tc>
        <w:tc>
          <w:tcPr/>
          <w:p>
            <w:pPr>
              <w:pStyle w:val="Tabla9"/>
              <w:jc w:val="left"/>
            </w:pPr>
            <w:r>
              <w:t xml:space="preserve">Alertas sin evaluación independiente: sin contrafactual y con un solo evento</w:t>
            </w:r>
          </w:p>
        </w:tc>
        <w:tc>
          <w:tcPr/>
          <w:p>
            <w:pPr>
              <w:pStyle w:val="Tabla9"/>
              <w:jc w:val="left"/>
            </w:pPr>
            <w:r>
              <w:t xml:space="preserve">F-INF, sección 2.3 (p. 16)</w:t>
            </w:r>
          </w:p>
        </w:tc>
        <w:tc>
          <w:tcPr/>
          <w:p>
            <w:pPr>
              <w:pStyle w:val="Tabla9"/>
              <w:jc w:val="left"/>
            </w:pPr>
            <w:r>
              <w:t xml:space="preserve">INFERIDO</w:t>
            </w:r>
          </w:p>
        </w:tc>
      </w:tr>
      <w:tr>
        <w:trPr>
          <w:cantSplit/>
        </w:trPr>
        <w:tc>
          <w:tcPr/>
          <w:p>
            <w:pPr>
              <w:pStyle w:val="Tabla9"/>
              <w:jc w:val="left"/>
            </w:pPr>
            <w:r>
              <w:t xml:space="preserve">EPA (2021) y Bang et al. (2026)</w:t>
            </w:r>
          </w:p>
        </w:tc>
        <w:tc>
          <w:tcPr/>
          <w:p>
            <w:pPr>
              <w:pStyle w:val="Tabla9"/>
              <w:jc w:val="left"/>
            </w:pPr>
            <w:r>
              <w:t xml:space="preserve">Complemento</w:t>
            </w:r>
          </w:p>
        </w:tc>
        <w:tc>
          <w:tcPr/>
          <w:p>
            <w:pPr>
              <w:pStyle w:val="Tabla9"/>
              <w:jc w:val="left"/>
            </w:pPr>
            <w:r>
              <w:t xml:space="preserve">Métricas de evaluación y un caso que informa R²</w:t>
            </w:r>
          </w:p>
        </w:tc>
        <w:tc>
          <w:tcPr/>
          <w:p>
            <w:pPr>
              <w:pStyle w:val="Tabla9"/>
              <w:jc w:val="left"/>
            </w:pPr>
            <w:r>
              <w:t xml:space="preserve">Fichas de la EPA y de Bang et al.</w:t>
            </w:r>
          </w:p>
        </w:tc>
        <w:tc>
          <w:tcPr/>
          <w:p>
            <w:pPr>
              <w:pStyle w:val="Tabla9"/>
              <w:jc w:val="left"/>
            </w:pPr>
            <w:r>
              <w:t xml:space="preserve">INFERIDO</w:t>
            </w:r>
          </w:p>
        </w:tc>
      </w:tr>
      <w:tr>
        <w:trPr>
          <w:cantSplit/>
        </w:trPr>
        <w:tc>
          <w:tcPr/>
          <w:p>
            <w:pPr>
              <w:pStyle w:val="Tabla9"/>
              <w:jc w:val="left"/>
            </w:pPr>
            <w:r>
              <w:t xml:space="preserve">EPA (2021) y Barkjohn et al. (2021)</w:t>
            </w:r>
          </w:p>
        </w:tc>
        <w:tc>
          <w:tcPr/>
          <w:p>
            <w:pPr>
              <w:pStyle w:val="Tabla9"/>
              <w:jc w:val="left"/>
            </w:pPr>
            <w:r>
              <w:t xml:space="preserve">Complemento</w:t>
            </w:r>
          </w:p>
        </w:tc>
        <w:tc>
          <w:tcPr/>
          <w:p>
            <w:pPr>
              <w:pStyle w:val="Tabla9"/>
              <w:jc w:val="left"/>
            </w:pPr>
            <w:r>
              <w:t xml:space="preserve">Protocolo de evaluación y método de corrección</w:t>
            </w:r>
          </w:p>
        </w:tc>
        <w:tc>
          <w:tcPr/>
          <w:p>
            <w:pPr>
              <w:pStyle w:val="Tabla9"/>
              <w:jc w:val="left"/>
            </w:pPr>
            <w:r>
              <w:t xml:space="preserve">Fichas de la EPA y de Barkjohn et al.</w:t>
            </w:r>
          </w:p>
        </w:tc>
        <w:tc>
          <w:tcPr/>
          <w:p>
            <w:pPr>
              <w:pStyle w:val="Tabla9"/>
              <w:jc w:val="left"/>
            </w:pPr>
            <w:r>
              <w:t xml:space="preserve">INFERIDO</w:t>
            </w:r>
          </w:p>
        </w:tc>
      </w:tr>
      <w:tr>
        <w:trPr>
          <w:cantSplit/>
        </w:trPr>
        <w:tc>
          <w:tcPr/>
          <w:p>
            <w:pPr>
              <w:pStyle w:val="Tabla9"/>
              <w:jc w:val="left"/>
            </w:pPr>
            <w:r>
              <w:t xml:space="preserve">Giordano et al. (2021) y Barkjohn et al. (2021)</w:t>
            </w:r>
          </w:p>
        </w:tc>
        <w:tc>
          <w:tcPr/>
          <w:p>
            <w:pPr>
              <w:pStyle w:val="Tabla9"/>
              <w:jc w:val="left"/>
            </w:pPr>
            <w:r>
              <w:t xml:space="preserve">Complemento</w:t>
            </w:r>
          </w:p>
        </w:tc>
        <w:tc>
          <w:tcPr/>
          <w:p>
            <w:pPr>
              <w:pStyle w:val="Tabla9"/>
              <w:jc w:val="left"/>
            </w:pPr>
            <w:r>
              <w:t xml:space="preserve">Buenas prácticas de calibración y un caso de corrección de alcance nacional</w:t>
            </w:r>
          </w:p>
        </w:tc>
        <w:tc>
          <w:tcPr/>
          <w:p>
            <w:pPr>
              <w:pStyle w:val="Tabla9"/>
              <w:jc w:val="left"/>
            </w:pPr>
            <w:r>
              <w:t xml:space="preserve">Banco de referencias</w:t>
            </w:r>
          </w:p>
        </w:tc>
        <w:tc>
          <w:tcPr/>
          <w:p>
            <w:pPr>
              <w:pStyle w:val="Tabla9"/>
              <w:jc w:val="left"/>
            </w:pPr>
            <w:r>
              <w:t xml:space="preserve">INFERIDO</w:t>
            </w:r>
          </w:p>
        </w:tc>
      </w:tr>
      <w:tr>
        <w:trPr>
          <w:cantSplit/>
        </w:trPr>
        <w:tc>
          <w:tcPr/>
          <w:p>
            <w:pPr>
              <w:pStyle w:val="Tabla9"/>
              <w:jc w:val="left"/>
            </w:pPr>
            <w:r>
              <w:t xml:space="preserve">Liao et al. (2026) y Stieb et al. (2008)</w:t>
            </w:r>
          </w:p>
        </w:tc>
        <w:tc>
          <w:tcPr/>
          <w:p>
            <w:pPr>
              <w:pStyle w:val="Tabla9"/>
              <w:jc w:val="left"/>
            </w:pPr>
            <w:r>
              <w:t xml:space="preserve">Acuerdo</w:t>
            </w:r>
          </w:p>
        </w:tc>
        <w:tc>
          <w:tcPr/>
          <w:p>
            <w:pPr>
              <w:pStyle w:val="Tabla9"/>
              <w:jc w:val="left"/>
            </w:pPr>
            <w:r>
              <w:t xml:space="preserve">El índice canadiense es el antecedente de los índices revisados</w:t>
            </w:r>
          </w:p>
        </w:tc>
        <w:tc>
          <w:tcPr/>
          <w:p>
            <w:pPr>
              <w:pStyle w:val="Tabla9"/>
              <w:jc w:val="left"/>
            </w:pPr>
            <w:r>
              <w:t xml:space="preserve">F-INF, sección 6.1; ficha de Liao et al.</w:t>
            </w:r>
          </w:p>
        </w:tc>
        <w:tc>
          <w:tcPr/>
          <w:p>
            <w:pPr>
              <w:pStyle w:val="Tabla9"/>
              <w:jc w:val="left"/>
            </w:pPr>
            <w:r>
              <w:t xml:space="preserve">INFERIDO</w:t>
            </w:r>
          </w:p>
        </w:tc>
      </w:tr>
      <w:tr>
        <w:trPr>
          <w:cantSplit/>
        </w:trPr>
        <w:tc>
          <w:tcPr/>
          <w:p>
            <w:pPr>
              <w:pStyle w:val="Tabla9"/>
              <w:jc w:val="left"/>
            </w:pPr>
            <w:r>
              <w:t xml:space="preserve">Rodríguez-Villamizar et al. (2022) y Murad Pedraza et al. (2026)</w:t>
            </w:r>
          </w:p>
        </w:tc>
        <w:tc>
          <w:tcPr/>
          <w:p>
            <w:pPr>
              <w:pStyle w:val="Tabla9"/>
              <w:jc w:val="left"/>
            </w:pPr>
            <w:r>
              <w:t xml:space="preserve">Complemento</w:t>
            </w:r>
          </w:p>
        </w:tc>
        <w:tc>
          <w:tcPr/>
          <w:p>
            <w:pPr>
              <w:pStyle w:val="Tabla9"/>
              <w:jc w:val="left"/>
            </w:pPr>
            <w:r>
              <w:t xml:space="preserve">28 de 1.122 municipios con estaciones utilizables frente a 154 de 209 estaciones integradas</w:t>
            </w:r>
          </w:p>
        </w:tc>
        <w:tc>
          <w:tcPr/>
          <w:p>
            <w:pPr>
              <w:pStyle w:val="Tabla9"/>
              <w:jc w:val="left"/>
            </w:pPr>
            <w:r>
              <w:t xml:space="preserve">F-INF, secciones 3.1 y 5.2</w:t>
            </w:r>
          </w:p>
        </w:tc>
        <w:tc>
          <w:tcPr/>
          <w:p>
            <w:pPr>
              <w:pStyle w:val="Tabla9"/>
              <w:jc w:val="left"/>
            </w:pPr>
            <w:r>
              <w:t xml:space="preserve">INFERIDO</w:t>
            </w:r>
          </w:p>
        </w:tc>
      </w:tr>
    </w:tbl>
    <w:p>
      <w:pPr>
        <w:pStyle w:val="TablaNota"/>
      </w:pPr>
      <w:r>
        <w:rPr>
          <w:i/>
          <w:iCs/>
        </w:rPr>
        <w:t xml:space="preserve">Nota.</w:t>
      </w:r>
      <w:r>
        <w:t xml:space="preserve"> </w:t>
      </w:r>
      <w:r>
        <w:t xml:space="preserve">Elaboración propia con datos de F-INF y del banco de referencias. Los vínculos DOCUMENTADO coinciden con las relaciones de F-INF; los INFERIDO son una lectura del proyecto y no citas directas. Decimales con coma.</w:t>
      </w:r>
    </w:p>
    <w:p>
      <w:pPr>
        <w:pStyle w:val="BodyText"/>
      </w:pPr>
      <w:r>
        <w:t xml:space="preserve">La Tabla 2.39 muestra que los dos desacuerdos están DOCUMENTADO en F-INF. Los nueve vínculos INFERIDO son acuerdos o complementos. El proyecto no construye controversias que el informe no registre. La Figura 2.17 dibuja la red completa.</w:t>
      </w:r>
    </w:p>
    <w:p>
      <w:pPr>
        <w:pStyle w:val="FiguraRotulo"/>
      </w:pPr>
      <w:bookmarkStart w:id="9506" w:name="rot_Figura_2_17"/>
      <w:r>
        <w:rPr>
          <w:b/>
          <w:bCs/>
        </w:rPr>
        <w:t xml:space="preserve">Figura 2.17</w:t>
      </w:r>
      <w:bookmarkEnd w:id="9506"/>
    </w:p>
    <w:p>
      <w:pPr>
        <w:pStyle w:val="FiguraTitulo"/>
      </w:pPr>
      <w:r>
        <w:rPr>
          <w:i/>
          <w:iCs/>
        </w:rPr>
        <w:t xml:space="preserve">Red de conexiones entre las referencias clave del proyecto: ocho con ficha y cinco de apoyo</w:t>
      </w:r>
    </w:p>
    <w:p>
      <w:pPr>
        <w:pStyle w:val="BodyText"/>
      </w:pPr>
      <w:r>
        <w:drawing>
          <wp:inline>
            <wp:extent cx="5579999" cy="3558357"/>
            <wp:effectExtent b="0" l="0" r="0" t="0"/>
            <wp:docPr descr="" title="" id="373" name="Picture"/>
            <a:graphic>
              <a:graphicData uri="http://schemas.openxmlformats.org/drawingml/2006/picture">
                <pic:pic>
                  <pic:nvPicPr>
                    <pic:cNvPr descr="/tmp/claude-0/-home-user-docs/ddf38714-2a7e-502b-92b4-1008e2832422/scratchpad/proy/figs/out/c2_b_f03.png" id="374" name="Picture"/>
                    <pic:cNvPicPr>
                      <a:picLocks noChangeArrowheads="1" noChangeAspect="1"/>
                    </pic:cNvPicPr>
                  </pic:nvPicPr>
                  <pic:blipFill>
                    <a:blip r:embed="rId372"/>
                    <a:stretch>
                      <a:fillRect/>
                    </a:stretch>
                  </pic:blipFill>
                  <pic:spPr bwMode="auto">
                    <a:xfrm>
                      <a:off x="0" y="0"/>
                      <a:ext cx="5579999" cy="35583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Nodos: 13 referencias del banco; aristas: 16 vínculos de la matriz de conexiones (14 acuerdos o complementos y dos desacuerdos); trazo grueso = DOCUMENTADO en F-INF, fino = INFERIDO. Python con matplotlib; posiciones fijas, sin aleatoriedad; año de corte 2026. Script c2_b_f03.py.</w:t>
      </w:r>
    </w:p>
    <w:p>
      <w:pPr>
        <w:pStyle w:val="BodyText"/>
      </w:pPr>
      <w:r>
        <w:t xml:space="preserve">La Figura 2.17 muestra que solo dos de 16 vínculos son desacuerdos. Ambos se explican por rubros, denominadores y condiciones distintos, según F-INF (sección 12.4, p. 197). Los otros 14 convergen en la calibración con referencia, la humedad y la validación local. Siete vínculos están DOCUMENTADO y nueve son INFERIDO, de modo que la red es en parte una lectura del proyecto. La base intelectual compartida del corpus es delgada: F-INF detecta 102 pares de artículos con referencias compartidas, la mayoría con una o dos (F-INF, sección 7.7, p. 95). Las fichas no representan, por tanto, un consenso del campo. Representan los vínculos que el proyecto necesita para justificar sus decisiones.</w:t>
      </w:r>
    </w:p>
    <w:p>
      <w:pPr>
        <w:pStyle w:val="BodyText"/>
      </w:pPr>
      <w:r>
        <w:t xml:space="preserve">La lectura de la red distingue tres agrupaciones. La primera reúne las obras de humedad y corrección (Jayaratne et al., 2018; Barkjohn et al., 2021; Giordano et al., 2021). Se conecta con el corpus mediante dos estudios (Bang et al., 2026; Suresh et al., 2025). La segunda reúne el diseño nacional, la expansión brasileña y la carga de enfermedad (Murad Pedraza et al., 2026; Tavella et al., 2026; Rodríguez-Villamizar et al., 2022). Contiene los dos desacuerdos de la red. La tercera reúne los índices de salud (Liao et al., 2026; Stieb et al., 2008) y queda unida al resto por un solo vínculo documentado. Esa zona de baja conectividad coincide con la brecha del proyecto: el uso institucional de los índices carece de base local. El estudio de Seúl (Bang et al., 2026) actúa como nodo de enlace entre la primera y la segunda agrupación.</w:t>
      </w:r>
    </w:p>
    <w:bookmarkEnd w:id="375"/>
    <w:bookmarkStart w:id="376" w:name="Xb0dbad62b22254320615133869e352550ddfab8"/>
    <w:p>
      <w:pPr>
        <w:pStyle w:val="Heading3"/>
      </w:pPr>
      <w:r>
        <w:t xml:space="preserve">2.6.4 Verificación bibliográfica del Capítulo 2</w:t>
      </w:r>
    </w:p>
    <w:p>
      <w:pPr>
        <w:pStyle w:val="FirstParagraph"/>
      </w:pPr>
      <w:r>
        <w:t xml:space="preserve">La verificación bibliográfica contrasta la estructura de las citas con los criterios del capítulo. El cálculo lee las citas de la prosa y las asigna al banco de referencias por autor y año. Luego las clasifica por origen, tipo de fuente y año. Las tablas y las notas no entran en el conteo principal y se informan aparte. El cálculo cubre solo el archivo de las secciones 2.4 a 2.6. El archivo de las secciones 2.1 a 2.3 estaba incompleto al cerrar esta parte. La tabla describe, por tanto, esta parte y no el capítulo completo. Al integrar ambos archivos, el mismo script recalcula la tabla para el capítulo completo. La Tabla 2.40 presenta el resultado.</w:t>
      </w:r>
    </w:p>
    <w:p>
      <w:pPr>
        <w:pStyle w:val="TablaRotulo"/>
      </w:pPr>
      <w:bookmarkStart w:id="9270" w:name="rot_Tabla_2_40"/>
      <w:r>
        <w:rPr>
          <w:b/>
          <w:bCs/>
        </w:rPr>
        <w:t xml:space="preserve">Tabla 2.40</w:t>
      </w:r>
      <w:bookmarkEnd w:id="9270"/>
    </w:p>
    <w:p>
      <w:pPr>
        <w:pStyle w:val="TablaTitulo"/>
      </w:pPr>
      <w:r>
        <w:rPr>
          <w:i/>
          <w:iCs/>
        </w:rPr>
        <w:t xml:space="preserve">Verificación bibliográfica de las secciones 2.4 a 2.6 frente a los criterios del Capítulo 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05"/>
        <w:gridCol w:w="2421"/>
        <w:gridCol w:w="1701"/>
        <w:gridCol w:w="2290"/>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Resultado</w:t>
            </w:r>
          </w:p>
        </w:tc>
        <w:tc>
          <w:tcPr>
            <w:shd w:val="clear" w:color="auto" w:fill="00B050"/>
          </w:tcPr>
          <w:p>
            <w:pPr>
              <w:pStyle w:val="Tabla9"/>
              <w:jc w:val="center"/>
            </w:pPr>
            <w:r>
              <w:rPr>
                <w:b/>
                <w:color w:val="FFFFFF"/>
              </w:rPr>
              <w:t xml:space="preserve">Criterio</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Archivos incluidos</w:t>
            </w:r>
          </w:p>
        </w:tc>
        <w:tc>
          <w:tcPr/>
          <w:p>
            <w:pPr>
              <w:pStyle w:val="Tabla9"/>
              <w:jc w:val="left"/>
            </w:pPr>
            <w:r>
              <w:t xml:space="preserve">Secciones 2.4 a 2.6; archivo de las secciones 2.1 a 2.3 incompleto al calcular</w:t>
            </w:r>
          </w:p>
        </w:tc>
        <w:tc>
          <w:tcPr/>
          <w:p>
            <w:pPr>
              <w:pStyle w:val="Tabla9"/>
              <w:jc w:val="left"/>
            </w:pPr>
            <w:r>
              <w:t xml:space="preserve">Capítulo 2 completo</w:t>
            </w:r>
          </w:p>
        </w:tc>
        <w:tc>
          <w:tcPr/>
          <w:p>
            <w:pPr>
              <w:pStyle w:val="Tabla9"/>
              <w:jc w:val="left"/>
            </w:pPr>
            <w:r>
              <w:t xml:space="preserve">PARCIAL: recalcular al integrar</w:t>
            </w:r>
          </w:p>
        </w:tc>
      </w:tr>
      <w:tr>
        <w:trPr>
          <w:cantSplit/>
        </w:trPr>
        <w:tc>
          <w:tcPr/>
          <w:p>
            <w:pPr>
              <w:pStyle w:val="Tabla9"/>
              <w:jc w:val="left"/>
            </w:pPr>
            <w:r>
              <w:t xml:space="preserve">Citas en la prosa</w:t>
            </w:r>
          </w:p>
        </w:tc>
        <w:tc>
          <w:tcPr/>
          <w:p>
            <w:pPr>
              <w:pStyle w:val="Tabla9"/>
              <w:jc w:val="left"/>
            </w:pPr>
            <w:r>
              <w:t xml:space="preserve">134: 97 parentéticas (72,4 %) y 37 narrativas (27,6 %)</w:t>
            </w:r>
          </w:p>
        </w:tc>
        <w:tc>
          <w:tcPr/>
          <w:p>
            <w:pPr>
              <w:pStyle w:val="Tabla9"/>
              <w:jc w:val="left"/>
            </w:pPr>
            <w:r>
              <w:t xml:space="preserve">Al menos 60 % parentéticas; 25 % a 35 % narrativas</w:t>
            </w:r>
          </w:p>
        </w:tc>
        <w:tc>
          <w:tcPr/>
          <w:p>
            <w:pPr>
              <w:pStyle w:val="Tabla9"/>
              <w:jc w:val="left"/>
            </w:pPr>
            <w:r>
              <w:t xml:space="preserve">Cumple</w:t>
            </w:r>
          </w:p>
        </w:tc>
      </w:tr>
      <w:tr>
        <w:trPr>
          <w:cantSplit/>
        </w:trPr>
        <w:tc>
          <w:tcPr/>
          <w:p>
            <w:pPr>
              <w:pStyle w:val="Tabla9"/>
              <w:jc w:val="left"/>
            </w:pPr>
            <w:r>
              <w:t xml:space="preserve">Densidad de citación</w:t>
            </w:r>
          </w:p>
        </w:tc>
        <w:tc>
          <w:tcPr/>
          <w:p>
            <w:pPr>
              <w:pStyle w:val="Tabla9"/>
              <w:jc w:val="left"/>
            </w:pPr>
            <w:r>
              <w:t xml:space="preserve">2,7 citas por cada 150 palabras</w:t>
            </w:r>
          </w:p>
        </w:tc>
        <w:tc>
          <w:tcPr/>
          <w:p>
            <w:pPr>
              <w:pStyle w:val="Tabla9"/>
              <w:jc w:val="left"/>
            </w:pPr>
            <w:r>
              <w:t xml:space="preserve">Al menos 1,0</w:t>
            </w:r>
          </w:p>
        </w:tc>
        <w:tc>
          <w:tcPr/>
          <w:p>
            <w:pPr>
              <w:pStyle w:val="Tabla9"/>
              <w:jc w:val="left"/>
            </w:pPr>
            <w:r>
              <w:t xml:space="preserve">Cumple</w:t>
            </w:r>
          </w:p>
        </w:tc>
      </w:tr>
      <w:tr>
        <w:trPr>
          <w:cantSplit/>
        </w:trPr>
        <w:tc>
          <w:tcPr/>
          <w:p>
            <w:pPr>
              <w:pStyle w:val="Tabla9"/>
              <w:jc w:val="left"/>
            </w:pPr>
            <w:r>
              <w:t xml:space="preserve">Referencias distintas citadas</w:t>
            </w:r>
          </w:p>
        </w:tc>
        <w:tc>
          <w:tcPr/>
          <w:p>
            <w:pPr>
              <w:pStyle w:val="Tabla9"/>
              <w:jc w:val="left"/>
            </w:pPr>
            <w:r>
              <w:t xml:space="preserve">52 en la prosa; 59 con tablas y notas</w:t>
            </w:r>
          </w:p>
        </w:tc>
        <w:tc>
          <w:tcPr/>
          <w:p>
            <w:pPr>
              <w:pStyle w:val="Tabla9"/>
              <w:jc w:val="left"/>
            </w:pPr>
            <w:r>
              <w:t xml:space="preserve">Al menos 40 en el capítulo</w:t>
            </w:r>
          </w:p>
        </w:tc>
        <w:tc>
          <w:tcPr/>
          <w:p>
            <w:pPr>
              <w:pStyle w:val="Tabla9"/>
              <w:jc w:val="left"/>
            </w:pPr>
            <w:r>
              <w:t xml:space="preserve">Cumple en 2.4 a 2.6</w:t>
            </w:r>
          </w:p>
        </w:tc>
      </w:tr>
      <w:tr>
        <w:trPr>
          <w:cantSplit/>
        </w:trPr>
        <w:tc>
          <w:tcPr/>
          <w:p>
            <w:pPr>
              <w:pStyle w:val="Tabla9"/>
              <w:jc w:val="left"/>
            </w:pPr>
            <w:r>
              <w:t xml:space="preserve">Origen: corpus de F-INF</w:t>
            </w:r>
          </w:p>
        </w:tc>
        <w:tc>
          <w:tcPr/>
          <w:p>
            <w:pPr>
              <w:pStyle w:val="Tabla9"/>
              <w:jc w:val="left"/>
            </w:pPr>
            <w:r>
              <w:t xml:space="preserve">23 referencias (44,2 %); 75 citas (56,0 %)</w:t>
            </w:r>
          </w:p>
        </w:tc>
        <w:tc>
          <w:tcPr/>
          <w:p>
            <w:pPr>
              <w:pStyle w:val="Tabla9"/>
              <w:jc w:val="left"/>
            </w:pPr>
            <w:r>
              <w:t xml:space="preserve">Sin criterio</w:t>
            </w:r>
          </w:p>
        </w:tc>
        <w:tc>
          <w:tcPr/>
          <w:p>
            <w:pPr>
              <w:pStyle w:val="Tabla9"/>
              <w:jc w:val="left"/>
            </w:pPr>
            <w:r>
              <w:t xml:space="preserve">CALCULADO</w:t>
            </w:r>
          </w:p>
        </w:tc>
      </w:tr>
      <w:tr>
        <w:trPr>
          <w:cantSplit/>
        </w:trPr>
        <w:tc>
          <w:tcPr/>
          <w:p>
            <w:pPr>
              <w:pStyle w:val="Tabla9"/>
              <w:jc w:val="left"/>
            </w:pPr>
            <w:r>
              <w:t xml:space="preserve">Origen: canon</w:t>
            </w:r>
          </w:p>
        </w:tc>
        <w:tc>
          <w:tcPr/>
          <w:p>
            <w:pPr>
              <w:pStyle w:val="Tabla9"/>
              <w:jc w:val="left"/>
            </w:pPr>
            <w:r>
              <w:t xml:space="preserve">2 referencias (3,8 %); 2 citas (1,5 %)</w:t>
            </w:r>
          </w:p>
        </w:tc>
        <w:tc>
          <w:tcPr/>
          <w:p>
            <w:pPr>
              <w:pStyle w:val="Tabla9"/>
              <w:jc w:val="left"/>
            </w:pPr>
            <w:r>
              <w:t xml:space="preserve">Sin criterio</w:t>
            </w:r>
          </w:p>
        </w:tc>
        <w:tc>
          <w:tcPr/>
          <w:p>
            <w:pPr>
              <w:pStyle w:val="Tabla9"/>
              <w:jc w:val="left"/>
            </w:pPr>
            <w:r>
              <w:t xml:space="preserve">CALCULADO</w:t>
            </w:r>
          </w:p>
        </w:tc>
      </w:tr>
      <w:tr>
        <w:trPr>
          <w:cantSplit/>
        </w:trPr>
        <w:tc>
          <w:tcPr/>
          <w:p>
            <w:pPr>
              <w:pStyle w:val="Tabla9"/>
              <w:jc w:val="left"/>
            </w:pPr>
            <w:r>
              <w:t xml:space="preserve">Origen: dominio</w:t>
            </w:r>
          </w:p>
        </w:tc>
        <w:tc>
          <w:tcPr/>
          <w:p>
            <w:pPr>
              <w:pStyle w:val="Tabla9"/>
              <w:jc w:val="left"/>
            </w:pPr>
            <w:r>
              <w:t xml:space="preserve">24 referencias (46,2 %); 54 citas (40,3 %)</w:t>
            </w:r>
          </w:p>
        </w:tc>
        <w:tc>
          <w:tcPr/>
          <w:p>
            <w:pPr>
              <w:pStyle w:val="Tabla9"/>
              <w:jc w:val="left"/>
            </w:pPr>
            <w:r>
              <w:t xml:space="preserve">Sin criterio</w:t>
            </w:r>
          </w:p>
        </w:tc>
        <w:tc>
          <w:tcPr/>
          <w:p>
            <w:pPr>
              <w:pStyle w:val="Tabla9"/>
              <w:jc w:val="left"/>
            </w:pPr>
            <w:r>
              <w:t xml:space="preserve">CALCULADO</w:t>
            </w:r>
          </w:p>
        </w:tc>
      </w:tr>
      <w:tr>
        <w:trPr>
          <w:cantSplit/>
        </w:trPr>
        <w:tc>
          <w:tcPr/>
          <w:p>
            <w:pPr>
              <w:pStyle w:val="Tabla9"/>
              <w:jc w:val="left"/>
            </w:pPr>
            <w:r>
              <w:t xml:space="preserve">Origen: norma</w:t>
            </w:r>
          </w:p>
        </w:tc>
        <w:tc>
          <w:tcPr/>
          <w:p>
            <w:pPr>
              <w:pStyle w:val="Tabla9"/>
              <w:jc w:val="left"/>
            </w:pPr>
            <w:r>
              <w:t xml:space="preserve">3 referencias (5,8 %); 3 citas (2,2 %)</w:t>
            </w:r>
          </w:p>
        </w:tc>
        <w:tc>
          <w:tcPr/>
          <w:p>
            <w:pPr>
              <w:pStyle w:val="Tabla9"/>
              <w:jc w:val="left"/>
            </w:pPr>
            <w:r>
              <w:t xml:space="preserve">Sin criterio</w:t>
            </w:r>
          </w:p>
        </w:tc>
        <w:tc>
          <w:tcPr/>
          <w:p>
            <w:pPr>
              <w:pStyle w:val="Tabla9"/>
              <w:jc w:val="left"/>
            </w:pPr>
            <w:r>
              <w:t xml:space="preserve">CALCULADO</w:t>
            </w:r>
          </w:p>
        </w:tc>
      </w:tr>
      <w:tr>
        <w:trPr>
          <w:cantSplit/>
        </w:trPr>
        <w:tc>
          <w:tcPr/>
          <w:p>
            <w:pPr>
              <w:pStyle w:val="Tabla9"/>
              <w:jc w:val="left"/>
            </w:pPr>
            <w:r>
              <w:t xml:space="preserve">Tipo de fuente</w:t>
            </w:r>
          </w:p>
        </w:tc>
        <w:tc>
          <w:tcPr/>
          <w:p>
            <w:pPr>
              <w:pStyle w:val="Tabla9"/>
              <w:jc w:val="left"/>
            </w:pPr>
            <w:r>
              <w:t xml:space="preserve">Artículo 36; patente 5; informe 4; norma 3; libro 3; capítulo 1</w:t>
            </w:r>
          </w:p>
        </w:tc>
        <w:tc>
          <w:tcPr/>
          <w:p>
            <w:pPr>
              <w:pStyle w:val="Tabla9"/>
              <w:jc w:val="left"/>
            </w:pPr>
            <w:r>
              <w:t xml:space="preserve">Sin criterio</w:t>
            </w:r>
          </w:p>
        </w:tc>
        <w:tc>
          <w:tcPr/>
          <w:p>
            <w:pPr>
              <w:pStyle w:val="Tabla9"/>
              <w:jc w:val="left"/>
            </w:pPr>
            <w:r>
              <w:t xml:space="preserve">CALCULADO</w:t>
            </w:r>
          </w:p>
        </w:tc>
      </w:tr>
      <w:tr>
        <w:trPr>
          <w:cantSplit/>
        </w:trPr>
        <w:tc>
          <w:tcPr/>
          <w:p>
            <w:pPr>
              <w:pStyle w:val="Tabla9"/>
              <w:jc w:val="left"/>
            </w:pPr>
            <w:r>
              <w:t xml:space="preserve">Año 2009 o antes</w:t>
            </w:r>
          </w:p>
        </w:tc>
        <w:tc>
          <w:tcPr/>
          <w:p>
            <w:pPr>
              <w:pStyle w:val="Tabla9"/>
              <w:jc w:val="left"/>
            </w:pPr>
            <w:r>
              <w:t xml:space="preserve">8 referencias (15,4 %); 10 citas (7,5 %)</w:t>
            </w:r>
          </w:p>
        </w:tc>
        <w:tc>
          <w:tcPr/>
          <w:p>
            <w:pPr>
              <w:pStyle w:val="Tabla9"/>
              <w:jc w:val="left"/>
            </w:pPr>
            <w:r>
              <w:t xml:space="preserve">Sin criterio</w:t>
            </w:r>
          </w:p>
        </w:tc>
        <w:tc>
          <w:tcPr/>
          <w:p>
            <w:pPr>
              <w:pStyle w:val="Tabla9"/>
              <w:jc w:val="left"/>
            </w:pPr>
            <w:r>
              <w:t xml:space="preserve">CALCULADO</w:t>
            </w:r>
          </w:p>
        </w:tc>
      </w:tr>
      <w:tr>
        <w:trPr>
          <w:cantSplit/>
        </w:trPr>
        <w:tc>
          <w:tcPr/>
          <w:p>
            <w:pPr>
              <w:pStyle w:val="Tabla9"/>
              <w:jc w:val="left"/>
            </w:pPr>
            <w:r>
              <w:t xml:space="preserve">Año 2010 a 2015</w:t>
            </w:r>
          </w:p>
        </w:tc>
        <w:tc>
          <w:tcPr/>
          <w:p>
            <w:pPr>
              <w:pStyle w:val="Tabla9"/>
              <w:jc w:val="left"/>
            </w:pPr>
            <w:r>
              <w:t xml:space="preserve">2 referencias (3,8 %); 4 citas (3,0 %)</w:t>
            </w:r>
          </w:p>
        </w:tc>
        <w:tc>
          <w:tcPr/>
          <w:p>
            <w:pPr>
              <w:pStyle w:val="Tabla9"/>
              <w:jc w:val="left"/>
            </w:pPr>
            <w:r>
              <w:t xml:space="preserve">Sin criterio</w:t>
            </w:r>
          </w:p>
        </w:tc>
        <w:tc>
          <w:tcPr/>
          <w:p>
            <w:pPr>
              <w:pStyle w:val="Tabla9"/>
              <w:jc w:val="left"/>
            </w:pPr>
            <w:r>
              <w:t xml:space="preserve">CALCULADO</w:t>
            </w:r>
          </w:p>
        </w:tc>
      </w:tr>
      <w:tr>
        <w:trPr>
          <w:cantSplit/>
        </w:trPr>
        <w:tc>
          <w:tcPr/>
          <w:p>
            <w:pPr>
              <w:pStyle w:val="Tabla9"/>
              <w:jc w:val="left"/>
            </w:pPr>
            <w:r>
              <w:t xml:space="preserve">Año 2016 a 2021</w:t>
            </w:r>
          </w:p>
        </w:tc>
        <w:tc>
          <w:tcPr/>
          <w:p>
            <w:pPr>
              <w:pStyle w:val="Tabla9"/>
              <w:jc w:val="left"/>
            </w:pPr>
            <w:r>
              <w:t xml:space="preserve">19 referencias (36,5 %); 45 citas (33,6 %)</w:t>
            </w:r>
          </w:p>
        </w:tc>
        <w:tc>
          <w:tcPr/>
          <w:p>
            <w:pPr>
              <w:pStyle w:val="Tabla9"/>
              <w:jc w:val="left"/>
            </w:pPr>
            <w:r>
              <w:t xml:space="preserve">Sin criterio</w:t>
            </w:r>
          </w:p>
        </w:tc>
        <w:tc>
          <w:tcPr/>
          <w:p>
            <w:pPr>
              <w:pStyle w:val="Tabla9"/>
              <w:jc w:val="left"/>
            </w:pPr>
            <w:r>
              <w:t xml:space="preserve">CALCULADO</w:t>
            </w:r>
          </w:p>
        </w:tc>
      </w:tr>
      <w:tr>
        <w:trPr>
          <w:cantSplit/>
        </w:trPr>
        <w:tc>
          <w:tcPr/>
          <w:p>
            <w:pPr>
              <w:pStyle w:val="Tabla9"/>
              <w:jc w:val="left"/>
            </w:pPr>
            <w:r>
              <w:t xml:space="preserve">Año 2022 a 2026</w:t>
            </w:r>
          </w:p>
        </w:tc>
        <w:tc>
          <w:tcPr/>
          <w:p>
            <w:pPr>
              <w:pStyle w:val="Tabla9"/>
              <w:jc w:val="left"/>
            </w:pPr>
            <w:r>
              <w:t xml:space="preserve">23 referencias (44,2 %); 75 citas (56,0 %); por año: 2022, 2; 2023, 1; 2024, 2; 2025, 7; 2026, 11</w:t>
            </w:r>
          </w:p>
        </w:tc>
        <w:tc>
          <w:tcPr/>
          <w:p>
            <w:pPr>
              <w:pStyle w:val="Tabla9"/>
              <w:jc w:val="left"/>
            </w:pPr>
            <w:r>
              <w:t xml:space="preserve">Al menos 70 % de los últimos cinco años</w:t>
            </w:r>
          </w:p>
        </w:tc>
        <w:tc>
          <w:tcPr/>
          <w:p>
            <w:pPr>
              <w:pStyle w:val="Tabla9"/>
              <w:jc w:val="left"/>
            </w:pPr>
            <w:r>
              <w:t xml:space="preserve">NO CUMPLE en 2.4 a 2.6</w:t>
            </w:r>
          </w:p>
        </w:tc>
      </w:tr>
      <w:tr>
        <w:trPr>
          <w:cantSplit/>
        </w:trPr>
        <w:tc>
          <w:tcPr/>
          <w:p>
            <w:pPr>
              <w:pStyle w:val="Tabla9"/>
              <w:jc w:val="left"/>
            </w:pPr>
            <w:r>
              <w:t xml:space="preserve">Cuartil Q1 o Q2</w:t>
            </w:r>
          </w:p>
        </w:tc>
        <w:tc>
          <w:tcPr/>
          <w:p>
            <w:pPr>
              <w:pStyle w:val="Tabla9"/>
              <w:jc w:val="left"/>
            </w:pPr>
            <w:r>
              <w:t xml:space="preserve">No determinable: cuartiles NO_VERIFICADO</w:t>
            </w:r>
          </w:p>
        </w:tc>
        <w:tc>
          <w:tcPr/>
          <w:p>
            <w:pPr>
              <w:pStyle w:val="Tabla9"/>
              <w:jc w:val="left"/>
            </w:pPr>
            <w:r>
              <w:t xml:space="preserve">Al menos 60 % en Q1 o Q2</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banco de referencias y el script c2_b_verif.py (sin aleatoriedad; fecha de corte 13 de octubre de 2026). Los últimos cinco años son 2022 a 2026. Los porcentajes de año y de origen se calculan sobre las referencias distintas (52) y sobre las citas (134). Naturaleza: CALCULADO; cuartiles: NO_VERIFICADO. Decimales con coma.</w:t>
      </w:r>
    </w:p>
    <w:p>
      <w:pPr>
        <w:pStyle w:val="BodyText"/>
      </w:pPr>
      <w:r>
        <w:t xml:space="preserve">Las secciones 2.4 a 2.6 citan 52 referencias distintas en 134 citas de prosa. Con las tablas y las notas, las referencias distintas son 59. Superan el mínimo de 40 referencias del capítulo. La densidad de citación es de 2,7 citas por cada 150 palabras, frente a una meta de 1,0. La proporción de citas parentéticas (72,4 %) y narrativas (27,6 %) se ajusta a lo previsto. Por origen, 44,2 % de las referencias distintas procede del corpus de F-INF y 46,2 % del banco de dominio.</w:t>
      </w:r>
    </w:p>
    <w:p>
      <w:pPr>
        <w:pStyle w:val="BodyText"/>
      </w:pPr>
      <w:r>
        <w:t xml:space="preserve">El criterio de 70 % de referencias de los últimos cinco años no se cumple en estas secciones. De las 52 referencias distintas, 23 (44,2 %) son de 2022 a 2026, y de las 134 citas, 75 (56,0 %). La causa es de diseño. Las 24 referencias de dominio sobre calibración, humedad, gemelos digitales, borde e índices son anteriores a 2022. También lo son el canon y las normas. Ese grupo sustenta constructos que la literatura reciente del corpus no desarrolla. El cumplimiento del capítulo completo depende de las secciones 2.1 a 2.3 y debe recalcularse al integrarlas. No se sustituyó ninguna referencia seminal por una reciente para alcanzar la cifra.</w:t>
      </w:r>
    </w:p>
    <w:p>
      <w:pPr>
        <w:pStyle w:val="BodyText"/>
      </w:pPr>
      <w:r>
        <w:t xml:space="preserve">El criterio de 60 % de referencias en revistas Q1 o Q2 no es determinable. Ni el banco ni F-INF informan el cuartil de ninguna revista, de modo que el cuartil de las 36 referencias de tipo artículo es NO_VERIFICADO. Verificarlo exige consultar un índice de revistas con cuartiles para cada título. Mientras esa consulta no se haga, el proyecto no afirma el cumplimiento ni el incumplimiento del criterio. Tampoco aplica el criterio de cuartil a las patentes ni a los informes técnicos, porque esos tipos de fuente no se publican en revistas.</w:t>
      </w:r>
    </w:p>
    <w:bookmarkEnd w:id="376"/>
    <w:bookmarkEnd w:id="377"/>
    <w:bookmarkEnd w:id="378"/>
    <w:bookmarkStart w:id="388" w:name="_Toc00900142"/>
    <w:p>
      <w:pPr>
        <w:pStyle w:val="Heading1"/>
      </w:pPr>
      <w:r>
        <w:t xml:space="preserve">Capítulo 3. Objetivos</w:t>
      </w:r>
    </w:p>
    <w:bookmarkStart w:id="379" w:name="_Toc00900143"/>
    <w:p>
      <w:pPr>
        <w:pStyle w:val="Heading2"/>
      </w:pPr>
      <w:r>
        <w:t xml:space="preserve">3.1 Objetivo general</w:t>
      </w:r>
    </w:p>
    <w:p>
      <w:pPr>
        <w:pStyle w:val="FirstParagraph"/>
      </w:pPr>
      <w:r>
        <w:t xml:space="preserve">El objetivo general sigue una fórmula de seis componentes: verbo, objeto, medio, finalidad, lugar y plazo. El verbo es «reducir» y el objeto es el error de medición de material particulado de una red de 100 nodos de bajo costo. El medio es la calibración dinámica en gateways, con operación de energía y enlace redundantes y custodia distribuida por tramos. La finalidad es asegurar el uso institucional de las mediciones en la gestión del riesgo. El lugar son los departamentos de Caldas, Cundinamarca y Valle del Cauca. El plazo es de 24 meses. La Tabla 3.1 reúne el enunciado completo y su desglose SMART. La sigla corresponde, en inglés, a cinco criterios: específico, medible, alcanzable, relevante y temporal. La redacción conserva las cifras y las causas del expediente y solo reordena sus componentes. Esa decisión evita introducir metas que el expediente no declara. La estructura sigue la práctica de la teoría del programa. Funnell y Rogers (2011) recomiendan que un objetivo exprese el cambio esperado y la cadena de supuestos que lo sostiene. Pawson y Tilley (1997) priorizan, en cambio, la explicación del mecanismo dentro de su contexto antes de fijar la meta. Las dos posiciones difieren en el punto de partida. La primera parte del resultado y la segunda parte del mecanismo. El objetivo general combina ambas. Reducir el error es un resultado que controla el equipo, y asegurar el uso depende de las instituciones. Por eso el segundo componente se acompaña de convenios y de compuertas.</w:t>
      </w:r>
    </w:p>
    <w:p>
      <w:pPr>
        <w:pStyle w:val="BodyText"/>
      </w:pPr>
      <w:r>
        <w:t xml:space="preserve">El objetivo general responde al problema central que el análisis estructural identifica como V06, el error de medición de los sensores ópticos sin verificar. En el escenario de trabajo S2 de la matriz de Vester (2007), V06 es una variable crítica con influencia 8 y dependencia 13. Esa posición indica que muchas variables convergen en ella. El metaproblema es que los sistemas de vigilancia de bajo costo desplegados en contextos de desastre entregan mediciones de calidad desconocida. La evidencia nacional ilustra su alcance: 90,8 % de las 5.076 estaciones de la red nacional propuesta serían sensores sin plan de calibración (Murad Pedraza et al., 2026, pp. 10-11 y 13). El porcentaje es un cálculo del analista (CALCULADO). Dos lecturas del problema compiten en la literatura. La primera lo define como un defecto técnico del sensor, corregible con calibración (Giordano et al., 2021). La segunda sostiene que la forma de representar un problema determina la solución que se elige (Bacchi, 2009). El objetivo general adopta ambas lecturas, porque reduce el error y asegura el uso. La decisión responde a la estructura del modelo. La baja confianza en el dato reduce el uso institucional. El menor uso reduce los recursos para sostener la red (relación V15 a V09 de S2, valor 2, hipótesis de influencia estructural). La conexión es verificable. La meta de desempeño responde al error de V06. La meta de uso responde a la adopción institucional de V15. Ambas metas se miden con indicadores distintos y con fuentes distintas. El proyecto no formula ninguna afirmación causal sobre la salud de la población.</w:t>
      </w:r>
    </w:p>
    <w:p>
      <w:pPr>
        <w:pStyle w:val="BodyText"/>
      </w:pPr>
      <w:r>
        <w:t xml:space="preserve">El indicador de verificación del objetivo general se compone de dos partes. La primera es el desempeño de los nodos frente a la referencia colocalizada. Se reportan el coeficiente de determinación (R²), el error cuadrático medio normalizado (NRMSE), la pendiente y el sesgo. Los umbrales provienen del protocolo de la Agencia de Protección Ambiental de Estados Unidos (EPA). Ese protocolo se aplica a sensores de PM2,5 en sitios fijos de uso informativo (EPA, 2021). Los valores son R² ≥ 0,70, NRMSE ≤ 30 %, pendiente entre 0,65 y 1,35 y sesgo entre −5,0 y 5,0 µg/m³ (PROPUESTO). La meta de error absoluto medio normalizado (NMAE) ≤ 15 % es aspiracional y no condiciona las compuertas. La segunda parte es el uso institucional. El indicador PERS-E01 fija una meta de 75 % o más de los comités focalizados al mes 24. Existen dos posiciones sobre cómo aceptar un sensor. La aceptación por umbral fijo ofrece una regla simple (EPA, 2021). La aceptación condicionada exige reportar el desempeño según las condiciones de colocalización y su deriva en el tiempo (Giordano et al., 2021; Malings et al., 2020). El proyecto combina ambas: aplica el umbral y reporta el desempeño por departamento. La línea base del error se mide en el tramo 1. El valor de 45 % que declara el expediente E3 carece de localizador y queda como NO_VERIFICADO. La verificación final corresponde a una evaluación externa independiente en el mes 24 y a un ensayo con laboratorio externo (líneas S07 y S08). La independencia reduce el riesgo de que el equipo ejecutor juzgue su propio desempeño.</w:t>
      </w:r>
    </w:p>
    <w:bookmarkEnd w:id="379"/>
    <w:bookmarkStart w:id="383" w:name="_Toc00900144"/>
    <w:p>
      <w:pPr>
        <w:pStyle w:val="Heading2"/>
      </w:pPr>
      <w:r>
        <w:t xml:space="preserve">3.2 Objetivos específicos</w:t>
      </w:r>
    </w:p>
    <w:p>
      <w:pPr>
        <w:pStyle w:val="FirstParagraph"/>
      </w:pPr>
      <w:r>
        <w:t xml:space="preserve">Los tres objetivos específicos derivan de las causas priorizadas con el método de Vester y de los supuestos críticos de la estrategia por tramos. Cada uno invierte una causa del árbol de problemas en un resultado verificable. La formulación del proyecto fija sus causas y sus metas, y esta sección precisa la redacción sin modificarlas. La lectura conjunta de los tres objetivos muestra una secuencia. Primero se obtiene una medición con error conocido. Después se sostiene la disponibilidad de la red que produce esa medición. Por último se logra que las instituciones usen el dato y asuman su custodia.</w:t>
      </w:r>
    </w:p>
    <w:p>
      <w:pPr>
        <w:pStyle w:val="BodyText"/>
      </w:pPr>
      <w:r>
        <w:t xml:space="preserve">El primer objetivo específico, OE1, corrige la interferencia de la humedad y de la fracción gruesa en las mediciones de PM2,5 y PM10. Esas siglas designan el material particulado con diámetro menor que 2,5 y que 10 µm. El mecanismo es la colocalización con equipos de referencia y un modelo de corrección que se aplica en los gateways. Las causas son V06, V02 y V03: el error de medición, la concentración de PM10 y la humedad relativa. En S2, V02 y V03 influyen sobre V06 con valor 3 cada una. La literatura respalda el mecanismo.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y 35 minutos de desfase. En una mina a cielo abierto, la correlación de las partículas con la humedad fue de 0,73 (Suresh et al., 2025, p. 30). Ningún estudio del corpus cubre sitios de remoción de escombros, por lo que el efecto allí es una hipótesis (INFERIDO). Existe un debate sobre el alcance de la corrección. Barkjohn et al. (2021) proponen una corrección única para todo un país. Giordano et al. (2021) advierten que la corrección depende de las condiciones en que se colocaliza. El proyecto adopta la segunda posición y reentrena el modelo por departamento. La meta es R² ≥ 0,70 y NRMSE ≤ 30 % frente a referencia en los tres tramos. Los umbrales se contrastan en el piloto del tramo 1 y se verifican al mes 24.</w:t>
      </w:r>
    </w:p>
    <w:p>
      <w:pPr>
        <w:pStyle w:val="BodyText"/>
      </w:pPr>
      <w:r>
        <w:t xml:space="preserve">El segundo objetivo específico, OE2, mantiene la disponibilidad de 100 nodos y 10 gateways ante polvo, humedad y fallas de energía o de enlace. El mecanismo combina una autonomía mínima de 14 días sin sol con un enlace alterno y un almacenamiento local de 7 días. La cadena causal va de V05 a V09. El volumen de escombros removido expone los cabezales al polvo y degrada la disponibilidad (valor 2 en S2). El protocolo LoRaWAN limita la capacidad de la red y el ciclo de trabajo de cada nodo (Adelantado et al., 2017). Por eso el nodo transmite lecturas compactas y el gateway concentra el procesamiento. La operación sostenida es una debilidad conocida. En Brasil, 96 de 570 estaciones figuraban como inactivas o sin estado, es decir, 16,8 % (Tavella et al., 2026, p. 6). La proporción es un cálculo del analista. No equivale a la meta del proyecto, porque mide una red nacional y no la disponibilidad mensual de nodos. Dos posiciones se contrastan en el diseño. Espinoza et al. (2026) describen un sistema de monitoreo de lahares de diseño simple que alcanzó el nivel de madurez 7. Haris et al. (2026) revisan la integración de sistemas heterogéneos en la gestión de desastres. El proyecto mantiene simple el nodo hoja y reserva la redundancia para el enlace del gateway. La meta es una disponibilidad mensual de nodos de 90 % o más y una pérdida de paquetes de 10 % o menos. El supuesto crítico SC-2 enuncia que la energía y el enlace se mantienen.</w:t>
      </w:r>
    </w:p>
    <w:p>
      <w:pPr>
        <w:pStyle w:val="BodyText"/>
      </w:pPr>
      <w:r>
        <w:t xml:space="preserve">El tercer objetivo específico, OE3, logra el uso del tablero y del protocolo de alerta. Los usuarios son los comités de gestión del riesgo. El objetivo exige umbrales validados localmente y custodia por componente. La causa es V15, la adopción institucional, una variable crítica de S2 con influencia 7 y dependencia 7. La teoría de la difusión de innovaciones explica la adopción por cinco atributos percibidos, entre ellos la ventaja relativa y la compatibilidad (Rogers, 2003). Los modelos de aceptación atribuyen el uso a la utilidad y a la facilidad de uso percibidas (Davis, 1989; Venkatesh et al., 2003). Esas teorías centran la decisión en la persona que adopta. La gobernanza institucional añade que las reglas en uso de cada organización condicionan la decisión (Ostrom, 2005). El objetivo recoge ambas posiciones: co-diseña los umbrales con los comités y firma convenios de custodia por tramo. La meta es que 75 % o más de los comités focalizados use el tablero en decisiones documentadas al mes 24. La focalización comprende 15 comités, 12 municipales y tres departamentales (SUPUESTO). La compuerta C1 exige que al menos 50 % de los comités del tramo 1 use el tablero. Los supuestos críticos SC-3 y SC-4 se refieren al uso institucional y a la custodia. El primero depende de que los comités sesionen con periodicidad. El segundo depende de que los custodios designen personal con permanencia, y el sistema de indicadores lo registra con riesgo alto. La formación de 60 personas o más y los convenios por tramo atienden ese riesgo.</w:t>
      </w:r>
    </w:p>
    <w:p>
      <w:pPr>
        <w:pStyle w:val="BodyText"/>
      </w:pPr>
      <w:r>
        <w:t xml:space="preserve">La Tabla 3.1 resume los criterios SMART de los tres objetivos y del objetivo general. Cada fila vincula el enunciado con un indicador medible, un sustento de alcance y un plazo. La columna «Naturaleza» distingue las cifras declaradas de las propuestas.</w:t>
      </w:r>
    </w:p>
    <w:p>
      <w:pPr>
        <w:pStyle w:val="TablaRotulo"/>
      </w:pPr>
      <w:bookmarkStart w:id="9271" w:name="rot_Tabla_3_1"/>
      <w:r>
        <w:rPr>
          <w:b/>
          <w:bCs/>
        </w:rPr>
        <w:t xml:space="preserve">Tabla 3.1</w:t>
      </w:r>
      <w:bookmarkEnd w:id="9271"/>
    </w:p>
    <w:p>
      <w:pPr>
        <w:pStyle w:val="TablaTitulo"/>
      </w:pPr>
      <w:r>
        <w:rPr>
          <w:i/>
          <w:iCs/>
        </w:rPr>
        <w:t xml:space="preserve">Objetivo general y objetivos específicos con criterios SMART</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92"/>
        <w:gridCol w:w="1254"/>
        <w:gridCol w:w="1254"/>
        <w:gridCol w:w="1320"/>
        <w:gridCol w:w="990"/>
        <w:gridCol w:w="1122"/>
        <w:gridCol w:w="1188"/>
      </w:tblGrid>
      <w:tr>
        <w:trPr>
          <w:cantSplit/>
          <w:tblHeader/>
        </w:trPr>
        <w:tc>
          <w:tcPr>
            <w:shd w:val="clear" w:color="auto" w:fill="00B050"/>
          </w:tcPr>
          <w:p>
            <w:pPr>
              <w:pStyle w:val="Tabla8"/>
              <w:jc w:val="center"/>
            </w:pPr>
            <w:r>
              <w:rPr>
                <w:b/>
                <w:color w:val="FFFFFF"/>
              </w:rPr>
              <w:t xml:space="preserve">Objetivo</w:t>
            </w:r>
          </w:p>
        </w:tc>
        <w:tc>
          <w:tcPr>
            <w:shd w:val="clear" w:color="auto" w:fill="00B050"/>
          </w:tcPr>
          <w:p>
            <w:pPr>
              <w:pStyle w:val="Tabla8"/>
              <w:jc w:val="center"/>
            </w:pPr>
            <w:r>
              <w:rPr>
                <w:b/>
                <w:color w:val="FFFFFF"/>
              </w:rPr>
              <w:t xml:space="preserve">Específico</w:t>
            </w:r>
          </w:p>
        </w:tc>
        <w:tc>
          <w:tcPr>
            <w:shd w:val="clear" w:color="auto" w:fill="00B050"/>
          </w:tcPr>
          <w:p>
            <w:pPr>
              <w:pStyle w:val="Tabla8"/>
              <w:jc w:val="center"/>
            </w:pPr>
            <w:r>
              <w:rPr>
                <w:b/>
                <w:color w:val="FFFFFF"/>
              </w:rPr>
              <w:t xml:space="preserve">Medible</w:t>
            </w:r>
          </w:p>
        </w:tc>
        <w:tc>
          <w:tcPr>
            <w:shd w:val="clear" w:color="auto" w:fill="00B050"/>
          </w:tcPr>
          <w:p>
            <w:pPr>
              <w:pStyle w:val="Tabla8"/>
              <w:jc w:val="center"/>
            </w:pPr>
            <w:r>
              <w:rPr>
                <w:b/>
                <w:color w:val="FFFFFF"/>
              </w:rPr>
              <w:t xml:space="preserve">Alcanzable</w:t>
            </w:r>
          </w:p>
        </w:tc>
        <w:tc>
          <w:tcPr>
            <w:shd w:val="clear" w:color="auto" w:fill="00B050"/>
          </w:tcPr>
          <w:p>
            <w:pPr>
              <w:pStyle w:val="Tabla8"/>
              <w:jc w:val="center"/>
            </w:pPr>
            <w:r>
              <w:rPr>
                <w:b/>
                <w:color w:val="FFFFFF"/>
              </w:rPr>
              <w:t xml:space="preserve">Relevante</w:t>
            </w:r>
          </w:p>
        </w:tc>
        <w:tc>
          <w:tcPr>
            <w:shd w:val="clear" w:color="auto" w:fill="00B050"/>
          </w:tcPr>
          <w:p>
            <w:pPr>
              <w:pStyle w:val="Tabla8"/>
              <w:jc w:val="center"/>
            </w:pPr>
            <w:r>
              <w:rPr>
                <w:b/>
                <w:color w:val="FFFFFF"/>
              </w:rPr>
              <w:t xml:space="preserve">Temporal</w:t>
            </w:r>
          </w:p>
        </w:tc>
        <w:tc>
          <w:tcPr>
            <w:shd w:val="clear" w:color="auto" w:fill="00B050"/>
          </w:tcPr>
          <w:p>
            <w:pPr>
              <w:pStyle w:val="Tabla8"/>
              <w:jc w:val="center"/>
            </w:pPr>
            <w:r>
              <w:rPr>
                <w:b/>
                <w:color w:val="FFFFFF"/>
              </w:rPr>
              <w:t xml:space="preserve">Naturaleza</w:t>
            </w:r>
          </w:p>
        </w:tc>
      </w:tr>
      <w:tr>
        <w:trPr>
          <w:cantSplit/>
        </w:trPr>
        <w:tc>
          <w:tcPr/>
          <w:p>
            <w:pPr>
              <w:pStyle w:val="Tabla8"/>
              <w:jc w:val="left"/>
            </w:pPr>
            <w:r>
              <w:t xml:space="preserve">Objetivo general</w:t>
            </w:r>
          </w:p>
        </w:tc>
        <w:tc>
          <w:tcPr/>
          <w:p>
            <w:pPr>
              <w:pStyle w:val="Tabla8"/>
              <w:jc w:val="left"/>
            </w:pPr>
            <w:r>
              <w:t xml:space="preserve">Reducir el error de medición de PM2,5 y PM10 de 100 nodos y asegurar su uso institucional, mediante calibración dinámica en gateways, energía y enlace redundantes y custodia por tramos</w:t>
            </w:r>
          </w:p>
        </w:tc>
        <w:tc>
          <w:tcPr/>
          <w:p>
            <w:pPr>
              <w:pStyle w:val="Tabla8"/>
              <w:jc w:val="left"/>
            </w:pPr>
            <w:r>
              <w:t xml:space="preserve">R² ≥ 0,70 y NRMSE ≤ 30 % frente a referencia; uso del tablero en ≥ 75 % de los comités</w:t>
            </w:r>
          </w:p>
        </w:tc>
        <w:tc>
          <w:tcPr/>
          <w:p>
            <w:pPr>
              <w:pStyle w:val="Tabla8"/>
              <w:jc w:val="left"/>
            </w:pPr>
            <w:r>
              <w:t xml:space="preserve">Tres tramos con compuertas C1 y C2; tres referencias gravimétricas</w:t>
            </w:r>
          </w:p>
        </w:tc>
        <w:tc>
          <w:tcPr/>
          <w:p>
            <w:pPr>
              <w:pStyle w:val="Tabla8"/>
              <w:jc w:val="left"/>
            </w:pPr>
            <w:r>
              <w:t xml:space="preserve">Problema central V06 (crítica; influencia 8, dependencia 13)</w:t>
            </w:r>
          </w:p>
        </w:tc>
        <w:tc>
          <w:tcPr/>
          <w:p>
            <w:pPr>
              <w:pStyle w:val="Tabla8"/>
              <w:jc w:val="left"/>
            </w:pPr>
            <w:r>
              <w:t xml:space="preserve">24 meses en Caldas, Cundinamarca y Valle del Cauca</w:t>
            </w:r>
          </w:p>
        </w:tc>
        <w:tc>
          <w:tcPr/>
          <w:p>
            <w:pPr>
              <w:pStyle w:val="Tabla8"/>
              <w:jc w:val="left"/>
            </w:pPr>
            <w:r>
              <w:t xml:space="preserve">PROPUESTO</w:t>
            </w:r>
          </w:p>
        </w:tc>
      </w:tr>
      <w:tr>
        <w:trPr>
          <w:cantSplit/>
        </w:trPr>
        <w:tc>
          <w:tcPr/>
          <w:p>
            <w:pPr>
              <w:pStyle w:val="Tabla8"/>
              <w:jc w:val="left"/>
            </w:pPr>
            <w:r>
              <w:t xml:space="preserve">OE1</w:t>
            </w:r>
          </w:p>
        </w:tc>
        <w:tc>
          <w:tcPr/>
          <w:p>
            <w:pPr>
              <w:pStyle w:val="Tabla8"/>
              <w:jc w:val="left"/>
            </w:pPr>
            <w:r>
              <w:t xml:space="preserve">Corregir la interferencia de humedad y de fracción gruesa con colocalización y un modelo aplicado en gateways</w:t>
            </w:r>
          </w:p>
        </w:tc>
        <w:tc>
          <w:tcPr/>
          <w:p>
            <w:pPr>
              <w:pStyle w:val="Tabla8"/>
              <w:jc w:val="left"/>
            </w:pPr>
            <w:r>
              <w:t xml:space="preserve">R² ≥ 0,70 y NRMSE ≤ 30 % en los tres tramos; ≥ 60.000 horas-nodo válidas</w:t>
            </w:r>
          </w:p>
        </w:tc>
        <w:tc>
          <w:tcPr/>
          <w:p>
            <w:pPr>
              <w:pStyle w:val="Tabla8"/>
              <w:jc w:val="left"/>
            </w:pPr>
            <w:r>
              <w:t xml:space="preserve">Evidencia de corrección con humedad (Barkjohn et al., 2021; Bang et al., 2026)</w:t>
            </w:r>
          </w:p>
        </w:tc>
        <w:tc>
          <w:tcPr/>
          <w:p>
            <w:pPr>
              <w:pStyle w:val="Tabla8"/>
              <w:jc w:val="left"/>
            </w:pPr>
            <w:r>
              <w:t xml:space="preserve">Causas V06, V02 y V03; supuesto SC-1</w:t>
            </w:r>
          </w:p>
        </w:tc>
        <w:tc>
          <w:tcPr/>
          <w:p>
            <w:pPr>
              <w:pStyle w:val="Tabla8"/>
              <w:jc w:val="left"/>
            </w:pPr>
            <w:r>
              <w:t xml:space="preserve">Contraste en el tramo 1 (mes 12); verificación al mes 24</w:t>
            </w:r>
          </w:p>
        </w:tc>
        <w:tc>
          <w:tcPr/>
          <w:p>
            <w:pPr>
              <w:pStyle w:val="Tabla8"/>
              <w:jc w:val="left"/>
            </w:pPr>
            <w:r>
              <w:t xml:space="preserve">PROPUESTO</w:t>
            </w:r>
          </w:p>
        </w:tc>
      </w:tr>
      <w:tr>
        <w:trPr>
          <w:cantSplit/>
        </w:trPr>
        <w:tc>
          <w:tcPr/>
          <w:p>
            <w:pPr>
              <w:pStyle w:val="Tabla8"/>
              <w:jc w:val="left"/>
            </w:pPr>
            <w:r>
              <w:t xml:space="preserve">OE2</w:t>
            </w:r>
          </w:p>
        </w:tc>
        <w:tc>
          <w:tcPr/>
          <w:p>
            <w:pPr>
              <w:pStyle w:val="Tabla8"/>
              <w:jc w:val="left"/>
            </w:pPr>
            <w:r>
              <w:t xml:space="preserve">Mantener la disponibilidad de 100 nodos y 10 gateways ante polvo, humedad y fallas</w:t>
            </w:r>
          </w:p>
        </w:tc>
        <w:tc>
          <w:tcPr/>
          <w:p>
            <w:pPr>
              <w:pStyle w:val="Tabla8"/>
              <w:jc w:val="left"/>
            </w:pPr>
            <w:r>
              <w:t xml:space="preserve">Disponibilidad mensual de nodos ≥ 90 %; pérdida de paquetes ≤ 10 %</w:t>
            </w:r>
          </w:p>
        </w:tc>
        <w:tc>
          <w:tcPr/>
          <w:p>
            <w:pPr>
              <w:pStyle w:val="Tabla8"/>
              <w:jc w:val="left"/>
            </w:pPr>
            <w:r>
              <w:t xml:space="preserve">Autonomía mínima de 14 días sin sol; almacenamiento local de 7 días</w:t>
            </w:r>
          </w:p>
        </w:tc>
        <w:tc>
          <w:tcPr/>
          <w:p>
            <w:pPr>
              <w:pStyle w:val="Tabla8"/>
              <w:jc w:val="left"/>
            </w:pPr>
            <w:r>
              <w:t xml:space="preserve">Causas V05 y V09; supuesto SC-2</w:t>
            </w:r>
          </w:p>
        </w:tc>
        <w:tc>
          <w:tcPr/>
          <w:p>
            <w:pPr>
              <w:pStyle w:val="Tabla8"/>
              <w:jc w:val="left"/>
            </w:pPr>
            <w:r>
              <w:t xml:space="preserve">Instalación por tramos hasta el mes 19; operación hasta el mes 24</w:t>
            </w:r>
          </w:p>
        </w:tc>
        <w:tc>
          <w:tcPr/>
          <w:p>
            <w:pPr>
              <w:pStyle w:val="Tabla8"/>
              <w:jc w:val="left"/>
            </w:pPr>
            <w:r>
              <w:t xml:space="preserve">PROPUESTO</w:t>
            </w:r>
          </w:p>
        </w:tc>
      </w:tr>
      <w:tr>
        <w:trPr>
          <w:cantSplit/>
        </w:trPr>
        <w:tc>
          <w:tcPr/>
          <w:p>
            <w:pPr>
              <w:pStyle w:val="Tabla8"/>
              <w:jc w:val="left"/>
            </w:pPr>
            <w:r>
              <w:t xml:space="preserve">OE3</w:t>
            </w:r>
          </w:p>
        </w:tc>
        <w:tc>
          <w:tcPr/>
          <w:p>
            <w:pPr>
              <w:pStyle w:val="Tabla8"/>
              <w:jc w:val="left"/>
            </w:pPr>
            <w:r>
              <w:t xml:space="preserve">Lograr el uso del tablero y del protocolo con co-diseño, formación y convenios por tramo</w:t>
            </w:r>
          </w:p>
        </w:tc>
        <w:tc>
          <w:tcPr/>
          <w:p>
            <w:pPr>
              <w:pStyle w:val="Tabla8"/>
              <w:jc w:val="left"/>
            </w:pPr>
            <w:r>
              <w:t xml:space="preserve">≥ 75 % de los comités focalizados usa el tablero en decisiones documentadas</w:t>
            </w:r>
          </w:p>
        </w:tc>
        <w:tc>
          <w:tcPr/>
          <w:p>
            <w:pPr>
              <w:pStyle w:val="Tabla8"/>
              <w:jc w:val="left"/>
            </w:pPr>
            <w:r>
              <w:t xml:space="preserve">15 comités focalizados (SUPUESTO); formación de ≥ 60 personas</w:t>
            </w:r>
          </w:p>
        </w:tc>
        <w:tc>
          <w:tcPr/>
          <w:p>
            <w:pPr>
              <w:pStyle w:val="Tabla8"/>
              <w:jc w:val="left"/>
            </w:pPr>
            <w:r>
              <w:t xml:space="preserve">Causa V15; supuestos SC-3 y SC-4</w:t>
            </w:r>
          </w:p>
        </w:tc>
        <w:tc>
          <w:tcPr/>
          <w:p>
            <w:pPr>
              <w:pStyle w:val="Tabla8"/>
              <w:jc w:val="left"/>
            </w:pPr>
            <w:r>
              <w:t xml:space="preserve">Compuerta C1 con ≥ 50 % (mes 12); meta final al mes 24</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(§3, §4 y §10). Las metas y los umbrales de desempeño son PROPUESTO (DEC-F04), igual que el desglose SMART; las causas provienen del análisis de Vester (INFERIDO). SC: supuesto crítico de la estrategia R4. Decimales con coma.</w:t>
      </w:r>
    </w:p>
    <w:p>
      <w:pPr>
        <w:pStyle w:val="BodyText"/>
      </w:pPr>
      <w:r>
        <w:t xml:space="preserve">La Tabla 3.1 muestra que los tres objetivos comparten un mismo orden lógico. Cada meta posee un plazo de verificación distinto. OE1 se contrasta en el mes 12 con la compuerta C1. OE2 se verifica en las compuertas C1 y C2 mediante la disponibilidad mensual. OE3 se mide primero con el umbral de 50 % de uso en el tramo 1. Después se mide con la meta de 75 % al mes 24. Esa escalera de plazos permite detener la ampliación si una meta intermedia falla. La decisión protege el presupuesto, porque cada compuerta libera la compra del tramo siguiente.</w:t>
      </w:r>
    </w:p>
    <w:p>
      <w:pPr>
        <w:pStyle w:val="BodyText"/>
      </w:pPr>
      <w:r>
        <w:t xml:space="preserve">La coherencia vertical exige que cada nivel explique el siguiente. Las actividades producen los entregables, los entregables sostienen los objetivos específicos y estos explican el objetivo general y el fin. La teoría del cambio formaliza esa cadena y sus supuestos (Weiss, 1995; Funnell y Rogers, 2011). Una posición alternativa propone evaluar la contribución de la intervención y no su atribución exclusiva, porque otros actores influyen en el resultado (Mayne, 2012). El proyecto adopta la segunda posición para el fin. El fin se formula con dos indicadores: la activación del protocolo y la continuidad de la red (PERS-S01 y PERS-S02). Ambos se miden de 6 a 12 meses después del cierre. No se atribuye al proyecto ningún cambio en la salud. La Tabla 3.2 traza cada causa priorizada hasta su objetivo y su indicador.</w:t>
      </w:r>
    </w:p>
    <w:p>
      <w:pPr>
        <w:pStyle w:val="TablaRotulo"/>
      </w:pPr>
      <w:bookmarkStart w:id="9272" w:name="rot_Tabla_3_2"/>
      <w:r>
        <w:rPr>
          <w:b/>
          <w:bCs/>
        </w:rPr>
        <w:t xml:space="preserve">Tabla 3.2</w:t>
      </w:r>
      <w:bookmarkEnd w:id="9272"/>
    </w:p>
    <w:p>
      <w:pPr>
        <w:pStyle w:val="TablaTitulo"/>
      </w:pPr>
      <w:r>
        <w:rPr>
          <w:i/>
          <w:iCs/>
        </w:rPr>
        <w:t xml:space="preserve">Trazabilidad de causa, objetivo e indicador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990"/>
        <w:gridCol w:w="990"/>
        <w:gridCol w:w="1518"/>
        <w:gridCol w:w="1518"/>
      </w:tblGrid>
      <w:tr>
        <w:trPr>
          <w:cantSplit/>
          <w:tblHeader/>
        </w:trPr>
        <w:tc>
          <w:tcPr>
            <w:shd w:val="clear" w:color="auto" w:fill="00B050"/>
          </w:tcPr>
          <w:p>
            <w:pPr>
              <w:pStyle w:val="Tabla9"/>
              <w:jc w:val="center"/>
            </w:pPr>
            <w:r>
              <w:rPr>
                <w:b/>
                <w:color w:val="FFFFFF"/>
              </w:rPr>
              <w:t xml:space="preserve">Causa priorizada (Vester, S2)</w:t>
            </w:r>
          </w:p>
        </w:tc>
        <w:tc>
          <w:tcPr>
            <w:shd w:val="clear" w:color="auto" w:fill="00B050"/>
          </w:tcPr>
          <w:p>
            <w:pPr>
              <w:pStyle w:val="Tabla9"/>
              <w:jc w:val="center"/>
            </w:pPr>
            <w:r>
              <w:rPr>
                <w:b/>
                <w:color w:val="FFFFFF"/>
              </w:rPr>
              <w:t xml:space="preserve">Clasificación</w:t>
            </w:r>
          </w:p>
        </w:tc>
        <w:tc>
          <w:tcPr>
            <w:shd w:val="clear" w:color="auto" w:fill="00B050"/>
          </w:tcPr>
          <w:p>
            <w:pPr>
              <w:pStyle w:val="Tabla9"/>
              <w:jc w:val="center"/>
            </w:pPr>
            <w:r>
              <w:rPr>
                <w:b/>
                <w:color w:val="FFFFFF"/>
              </w:rPr>
              <w:t xml:space="preserve">Supuesto crítico</w:t>
            </w:r>
          </w:p>
        </w:tc>
        <w:tc>
          <w:tcPr>
            <w:shd w:val="clear" w:color="auto" w:fill="00B050"/>
          </w:tcPr>
          <w:p>
            <w:pPr>
              <w:pStyle w:val="Tabla9"/>
              <w:jc w:val="center"/>
            </w:pPr>
            <w:r>
              <w:rPr>
                <w:b/>
                <w:color w:val="FFFFFF"/>
              </w:rPr>
              <w:t xml:space="preserve">Objetivo</w:t>
            </w:r>
          </w:p>
        </w:tc>
        <w:tc>
          <w:tcPr>
            <w:shd w:val="clear" w:color="auto" w:fill="00B050"/>
          </w:tcPr>
          <w:p>
            <w:pPr>
              <w:pStyle w:val="Tabla9"/>
              <w:jc w:val="center"/>
            </w:pPr>
            <w:r>
              <w:rPr>
                <w:b/>
                <w:color w:val="FFFFFF"/>
              </w:rPr>
              <w:t xml:space="preserve">Indicadores de verificación</w:t>
            </w:r>
          </w:p>
        </w:tc>
        <w:tc>
          <w:tcPr>
            <w:shd w:val="clear" w:color="auto" w:fill="00B050"/>
          </w:tcPr>
          <w:p>
            <w:pPr>
              <w:pStyle w:val="Tabla9"/>
              <w:jc w:val="center"/>
            </w:pPr>
            <w:r>
              <w:rPr>
                <w:b/>
                <w:color w:val="FFFFFF"/>
              </w:rPr>
              <w:t xml:space="preserve">Meta final</w:t>
            </w:r>
          </w:p>
        </w:tc>
      </w:tr>
      <w:tr>
        <w:trPr>
          <w:cantSplit/>
        </w:trPr>
        <w:tc>
          <w:tcPr/>
          <w:p>
            <w:pPr>
              <w:pStyle w:val="Tabla9"/>
              <w:jc w:val="left"/>
            </w:pPr>
            <w:r>
              <w:t xml:space="preserve">V06 Error de medición IoT sin verificar</w:t>
            </w:r>
          </w:p>
        </w:tc>
        <w:tc>
          <w:tcPr/>
          <w:p>
            <w:pPr>
              <w:pStyle w:val="Tabla9"/>
              <w:jc w:val="left"/>
            </w:pPr>
            <w:r>
              <w:t xml:space="preserve">Crítica; influencia 8, dependencia 13</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PERS-R02, PERS-R05, PERS-P02 y PERS-P03; NRMSE y R² frente a referencia</w:t>
            </w:r>
          </w:p>
        </w:tc>
        <w:tc>
          <w:tcPr/>
          <w:p>
            <w:pPr>
              <w:pStyle w:val="Tabla9"/>
              <w:jc w:val="left"/>
            </w:pPr>
            <w:r>
              <w:t xml:space="preserve">R² ≥ 0,70 y NRMSE ≤ 30 %</w:t>
            </w:r>
          </w:p>
        </w:tc>
      </w:tr>
      <w:tr>
        <w:trPr>
          <w:cantSplit/>
        </w:trPr>
        <w:tc>
          <w:tcPr/>
          <w:p>
            <w:pPr>
              <w:pStyle w:val="Tabla9"/>
              <w:jc w:val="left"/>
            </w:pPr>
            <w:r>
              <w:t xml:space="preserve">V02 Concentración de PM10 (fracción gruesa)</w:t>
            </w:r>
          </w:p>
        </w:tc>
        <w:tc>
          <w:tcPr/>
          <w:p>
            <w:pPr>
              <w:pStyle w:val="Tabla9"/>
              <w:jc w:val="left"/>
            </w:pPr>
            <w:r>
              <w:t xml:space="preserve">Crítica; influencia 7, dependencia 6</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PERS-R05 con cuatro rotaciones por departamento</w:t>
            </w:r>
          </w:p>
        </w:tc>
        <w:tc>
          <w:tcPr/>
          <w:p>
            <w:pPr>
              <w:pStyle w:val="Tabla9"/>
              <w:jc w:val="left"/>
            </w:pPr>
            <w:r>
              <w:t xml:space="preserve">≥ 60.000 horas-nodo y 4 rotaciones por departamento</w:t>
            </w:r>
          </w:p>
        </w:tc>
      </w:tr>
      <w:tr>
        <w:trPr>
          <w:cantSplit/>
        </w:trPr>
        <w:tc>
          <w:tcPr/>
          <w:p>
            <w:pPr>
              <w:pStyle w:val="Tabla9"/>
              <w:jc w:val="left"/>
            </w:pPr>
            <w:r>
              <w:t xml:space="preserve">V03 Humedad relativa</w:t>
            </w:r>
          </w:p>
        </w:tc>
        <w:tc>
          <w:tcPr/>
          <w:p>
            <w:pPr>
              <w:pStyle w:val="Tabla9"/>
              <w:jc w:val="left"/>
            </w:pPr>
            <w:r>
              <w:t xml:space="preserve">Activa; influencia 6, dependencia 0</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PERS-R02 con dos ciclos por tramo</w:t>
            </w:r>
          </w:p>
        </w:tc>
        <w:tc>
          <w:tcPr/>
          <w:p>
            <w:pPr>
              <w:pStyle w:val="Tabla9"/>
              <w:jc w:val="left"/>
            </w:pPr>
            <w:r>
              <w:t xml:space="preserve">6 ciclos de calibración</w:t>
            </w:r>
          </w:p>
        </w:tc>
      </w:tr>
      <w:tr>
        <w:trPr>
          <w:cantSplit/>
        </w:trPr>
        <w:tc>
          <w:tcPr/>
          <w:p>
            <w:pPr>
              <w:pStyle w:val="Tabla9"/>
              <w:jc w:val="left"/>
            </w:pPr>
            <w:r>
              <w:t xml:space="preserve">V07 Frecuencia de calibración</w:t>
            </w:r>
          </w:p>
        </w:tc>
        <w:tc>
          <w:tcPr/>
          <w:p>
            <w:pPr>
              <w:pStyle w:val="Tabla9"/>
              <w:jc w:val="left"/>
            </w:pPr>
            <w:r>
              <w:t xml:space="preserve">Frontera; influencia 5, dependencia 2</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PERS-R02</w:t>
            </w:r>
          </w:p>
        </w:tc>
        <w:tc>
          <w:tcPr/>
          <w:p>
            <w:pPr>
              <w:pStyle w:val="Tabla9"/>
              <w:jc w:val="left"/>
            </w:pPr>
            <w:r>
              <w:t xml:space="preserve">6 ciclos de calibración</w:t>
            </w:r>
          </w:p>
        </w:tc>
      </w:tr>
      <w:tr>
        <w:trPr>
          <w:cantSplit/>
        </w:trPr>
        <w:tc>
          <w:tcPr/>
          <w:p>
            <w:pPr>
              <w:pStyle w:val="Tabla9"/>
              <w:jc w:val="left"/>
            </w:pPr>
            <w:r>
              <w:t xml:space="preserve">V05 Volumen de escombros, con efecto en V09</w:t>
            </w:r>
          </w:p>
        </w:tc>
        <w:tc>
          <w:tcPr/>
          <w:p>
            <w:pPr>
              <w:pStyle w:val="Tabla9"/>
              <w:jc w:val="left"/>
            </w:pPr>
            <w:r>
              <w:t xml:space="preserve">Activa (V05); reactiva (V09)</w:t>
            </w:r>
          </w:p>
        </w:tc>
        <w:tc>
          <w:tcPr/>
          <w:p>
            <w:pPr>
              <w:pStyle w:val="Tabla9"/>
              <w:jc w:val="left"/>
            </w:pPr>
            <w:r>
              <w:t xml:space="preserve">SC-2</w:t>
            </w:r>
          </w:p>
        </w:tc>
        <w:tc>
          <w:tcPr/>
          <w:p>
            <w:pPr>
              <w:pStyle w:val="Tabla9"/>
              <w:jc w:val="left"/>
            </w:pPr>
            <w:r>
              <w:t xml:space="preserve">OE2</w:t>
            </w:r>
          </w:p>
        </w:tc>
        <w:tc>
          <w:tcPr/>
          <w:p>
            <w:pPr>
              <w:pStyle w:val="Tabla9"/>
              <w:jc w:val="left"/>
            </w:pPr>
            <w:r>
              <w:t xml:space="preserve">PERS-R01, PERS-R03 y PERS-P01; disponibilidad mensual de nodos</w:t>
            </w:r>
          </w:p>
        </w:tc>
        <w:tc>
          <w:tcPr/>
          <w:p>
            <w:pPr>
              <w:pStyle w:val="Tabla9"/>
              <w:jc w:val="left"/>
            </w:pPr>
            <w:r>
              <w:t xml:space="preserve">100 nodos y 10 gateways; disponibilidad ≥ 90 %</w:t>
            </w:r>
          </w:p>
        </w:tc>
      </w:tr>
      <w:tr>
        <w:trPr>
          <w:cantSplit/>
        </w:trPr>
        <w:tc>
          <w:tcPr/>
          <w:p>
            <w:pPr>
              <w:pStyle w:val="Tabla9"/>
              <w:jc w:val="left"/>
            </w:pPr>
            <w:r>
              <w:t xml:space="preserve">V15 Adopción institucional</w:t>
            </w:r>
          </w:p>
        </w:tc>
        <w:tc>
          <w:tcPr/>
          <w:p>
            <w:pPr>
              <w:pStyle w:val="Tabla9"/>
              <w:jc w:val="left"/>
            </w:pPr>
            <w:r>
              <w:t xml:space="preserve">Crítica; influencia 7, dependencia 7</w:t>
            </w:r>
          </w:p>
        </w:tc>
        <w:tc>
          <w:tcPr/>
          <w:p>
            <w:pPr>
              <w:pStyle w:val="Tabla9"/>
              <w:jc w:val="left"/>
            </w:pPr>
            <w:r>
              <w:t xml:space="preserve">SC-3 y SC-4</w:t>
            </w:r>
          </w:p>
        </w:tc>
        <w:tc>
          <w:tcPr/>
          <w:p>
            <w:pPr>
              <w:pStyle w:val="Tabla9"/>
              <w:jc w:val="left"/>
            </w:pPr>
            <w:r>
              <w:t xml:space="preserve">OE3</w:t>
            </w:r>
          </w:p>
        </w:tc>
        <w:tc>
          <w:tcPr/>
          <w:p>
            <w:pPr>
              <w:pStyle w:val="Tabla9"/>
              <w:jc w:val="left"/>
            </w:pPr>
            <w:r>
              <w:t xml:space="preserve">PERS-E01, PERS-E02, PERS-E03, PERS-P04, PERS-S01 y PERS-S02</w:t>
            </w:r>
          </w:p>
        </w:tc>
        <w:tc>
          <w:tcPr/>
          <w:p>
            <w:pPr>
              <w:pStyle w:val="Tabla9"/>
              <w:jc w:val="left"/>
            </w:pPr>
            <w:r>
              <w:t xml:space="preserve">≥ 75 % de uso al mes 24</w:t>
            </w:r>
          </w:p>
        </w:tc>
      </w:tr>
    </w:tbl>
    <w:p>
      <w:pPr>
        <w:pStyle w:val="TablaNota"/>
      </w:pPr>
      <w:r>
        <w:rPr>
          <w:i/>
          <w:iCs/>
        </w:rPr>
        <w:t xml:space="preserve">Nota.</w:t>
      </w:r>
      <w:r>
        <w:t xml:space="preserve"> </w:t>
      </w:r>
      <w:r>
        <w:t xml:space="preserve">Elaboración propia con datos de la ficha maestra (§8 y §10). Clasificación por mediana en el escenario S2 (INFERIDO). Las relaciones son hipótesis de influencia estructural. SC: supuesto crítico. Decimales con coma.</w:t>
      </w:r>
    </w:p>
    <w:p>
      <w:pPr>
        <w:pStyle w:val="BodyText"/>
      </w:pPr>
      <w:r>
        <w:t xml:space="preserve">La Tabla 3.2 confirma que ninguna causa priorizada queda sin objetivo y que ningún objetivo carece de indicador. También revela dos puntos de atención. La disponibilidad mensual de nodos y la pérdida de paquetes son metas de OE2, pero el sistema PERS no las recoge como indicadores propios. El proyecto las trata como métricas de compuerta y las verifica con el inventario y la plataforma. Además, la causa V07 se clasifica como frontera y no como crítica. Su inclusión en OE1 responde a que la frecuencia de calibración es una palanca de diseño. La Figura 3.1 organiza esta lógica como un árbol de objetivos.</w:t>
      </w:r>
    </w:p>
    <w:p>
      <w:pPr>
        <w:pStyle w:val="FiguraRotulo"/>
      </w:pPr>
      <w:bookmarkStart w:id="9507" w:name="rot_Figura_3_1"/>
      <w:r>
        <w:rPr>
          <w:b/>
          <w:bCs/>
        </w:rPr>
        <w:t xml:space="preserve">Figura 3.1</w:t>
      </w:r>
      <w:bookmarkEnd w:id="9507"/>
    </w:p>
    <w:p>
      <w:pPr>
        <w:pStyle w:val="FiguraTitulo"/>
      </w:pPr>
      <w:r>
        <w:rPr>
          <w:i/>
          <w:iCs/>
        </w:rPr>
        <w:t xml:space="preserve">Árbol de objetivos del proyecto</w:t>
      </w:r>
    </w:p>
    <w:p>
      <w:pPr>
        <w:pStyle w:val="BodyText"/>
      </w:pPr>
      <w:r>
        <w:drawing>
          <wp:inline>
            <wp:extent cx="5579999" cy="3917551"/>
            <wp:effectExtent b="0" l="0" r="0" t="0"/>
            <wp:docPr descr="" title="" id="381" name="Picture"/>
            <a:graphic>
              <a:graphicData uri="http://schemas.openxmlformats.org/drawingml/2006/picture">
                <pic:pic>
                  <pic:nvPicPr>
                    <pic:cNvPr descr="/tmp/claude-0/-home-user-docs/ddf38714-2a7e-502b-92b4-1008e2832422/scratchpad/proy/figs/out/c3_f01.png" id="382" name="Picture"/>
                    <pic:cNvPicPr>
                      <a:picLocks noChangeArrowheads="1" noChangeAspect="1"/>
                    </pic:cNvPicPr>
                  </pic:nvPicPr>
                  <pic:blipFill>
                    <a:blip r:embed="rId380"/>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(§3, §8 y §10). Causas según la matriz de Vester del escenario de trabajo S2. Software: Python 3 con matplotlib; script c3_figs.py; diagrama sin componente aleatorio. Los medios y productos corresponden a los indicadores PERS citados.</w:t>
      </w:r>
    </w:p>
    <w:p>
      <w:pPr>
        <w:pStyle w:val="BodyText"/>
      </w:pPr>
      <w:r>
        <w:t xml:space="preserve">La Figura 3.1 invierte el problema central en el objetivo general y sus causas en tres ramas de medios. Cada rama termina en productos con indicador PERS, y la franja inferior recuerda que las compuertas liberan las compras. La lectura de arriba abajo explica el fin y la de abajo arriba explica cómo se logra. Esa doble lectura es la prueba de coherencia vertical del capítulo.</w:t>
      </w:r>
    </w:p>
    <w:bookmarkEnd w:id="383"/>
    <w:bookmarkStart w:id="387" w:name="_Toc00900145"/>
    <w:p>
      <w:pPr>
        <w:pStyle w:val="Heading2"/>
      </w:pPr>
      <w:r>
        <w:t xml:space="preserve">3.3 Metas e indicadores asociados</w:t>
      </w:r>
    </w:p>
    <w:p>
      <w:pPr>
        <w:pStyle w:val="FirstParagraph"/>
      </w:pPr>
      <w:r>
        <w:t xml:space="preserve">Cada objetivo específico posee una meta principal y metas de apoyo. La meta de OE1 es la reducción verificada del error: R² ≥ 0,70 y NRMSE ≤ 30 % frente a referencia en los tres tramos. Sus metas de apoyo son seis ciclos de calibración, dos por tramo, y al menos 60.000 horas-nodo de colocalización válidas con cuatro rotaciones por departamento. El volumen de horas-nodo responde a la recomendación de colocalizar en condiciones representativas y durante periodos suficientes (Giordano et al., 2021). La meta de OE2 es la disponibilidad mensual de nodos de 90 % o más con pérdida de paquetes de 10 % o menos. Su meta de apoyo es instalar 100 nodos y 10 gateways. El tramo 1 recibe 30 nodos, el tramo 2 recibe 40 y el tramo 3 recibe 30. La meta de OE3 es el uso del tablero por 75 % o más de los comités focalizados. Sus metas de apoyo son 29 actividades de apropiación social, a saber, 20 talleres y nueve jornadas. También exige al menos 60 personas certificadas en custodia. Cada meta distingue lo que el proyecto controla de lo que no controla. El proyecto controla la corrección del error, la instalación y la formación, porque dependen de su equipo. No controla la decisión de un comité ni la partida de una alcaldía, porque dependen de terceros. Por eso las metas de OE3 se acompañan de convenios, y las de OE1 y OE2 se acompañan de verificación técnica independiente. La distinción atribuye al proyecto solo lo que puede explicar con su propia acción (Mayne, 2012).</w:t>
      </w:r>
    </w:p>
    <w:p>
      <w:pPr>
        <w:pStyle w:val="BodyText"/>
      </w:pPr>
      <w:r>
        <w:t xml:space="preserve">El indicador de verificación de cada meta se define en el sistema PERS de 15 indicadores. Cada indicador declara su fórmula, su unidad, su fuente, su responsable y su frecuencia. Por ejemplo, PERS-E01 divide los comités con al menos una decisión documentada por trimestre entre los comités focalizados y se verifica con las actas. PERS-E02 resta de uno el cociente entre la tasa de falsas alarmas del periodo y la tasa de línea base. PERS-R05 suma las horas con dato pareado que cumplen el control de calidad. Esas fórmulas evitan que un mismo indicador admita dos lecturas. Seis miden proceso y cuatro miden producto. Tres miden efecto y dos miden sostenibilidad, que corresponde al impacto. Los de impacto se miden de 6 a 12 meses después del cierre mediante una evaluación externa (DEC-F10). La Tabla 3.3 presenta la matriz de metas con línea base, metas intermedias y meta final. Las líneas base marcadas VACIO se miden en el tramo 1, porque el expediente no aporta un valor con localizador. Esa regla evita fijar una línea base sin fuente y mantiene la verificación del cambio.</w:t>
      </w:r>
    </w:p>
    <w:p>
      <w:pPr>
        <w:pStyle w:val="TablaRotulo"/>
      </w:pPr>
      <w:bookmarkStart w:id="9273" w:name="rot_Tabla_3_3"/>
      <w:r>
        <w:rPr>
          <w:b/>
          <w:bCs/>
        </w:rPr>
        <w:t xml:space="preserve">Tabla 3.3</w:t>
      </w:r>
      <w:bookmarkEnd w:id="9273"/>
    </w:p>
    <w:p>
      <w:pPr>
        <w:pStyle w:val="TablaTitulo"/>
      </w:pPr>
      <w:r>
        <w:rPr>
          <w:i/>
          <w:iCs/>
        </w:rPr>
        <w:t xml:space="preserve">Matriz de metas por objetivo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58"/>
        <w:gridCol w:w="1386"/>
        <w:gridCol w:w="858"/>
        <w:gridCol w:w="1056"/>
        <w:gridCol w:w="1386"/>
        <w:gridCol w:w="1122"/>
        <w:gridCol w:w="1254"/>
      </w:tblGrid>
      <w:tr>
        <w:trPr>
          <w:cantSplit/>
          <w:tblHeader/>
        </w:trPr>
        <w:tc>
          <w:tcPr>
            <w:shd w:val="clear" w:color="auto" w:fill="00B050"/>
          </w:tcPr>
          <w:p>
            <w:pPr>
              <w:pStyle w:val="Tabla8"/>
              <w:jc w:val="center"/>
            </w:pPr>
            <w:r>
              <w:rPr>
                <w:b/>
                <w:color w:val="FFFFFF"/>
              </w:rPr>
              <w:t xml:space="preserve">Objetivo</w:t>
            </w:r>
          </w:p>
        </w:tc>
        <w:tc>
          <w:tcPr>
            <w:shd w:val="clear" w:color="auto" w:fill="00B050"/>
          </w:tcPr>
          <w:p>
            <w:pPr>
              <w:pStyle w:val="Tabla8"/>
              <w:jc w:val="center"/>
            </w:pPr>
            <w:r>
              <w:rPr>
                <w:b/>
                <w:color w:val="FFFFFF"/>
              </w:rPr>
              <w:t xml:space="preserve">Indicador</w:t>
            </w:r>
          </w:p>
        </w:tc>
        <w:tc>
          <w:tcPr>
            <w:shd w:val="clear" w:color="auto" w:fill="00B050"/>
          </w:tcPr>
          <w:p>
            <w:pPr>
              <w:pStyle w:val="Tabla8"/>
              <w:jc w:val="center"/>
            </w:pPr>
            <w:r>
              <w:rPr>
                <w:b/>
                <w:color w:val="FFFFFF"/>
              </w:rPr>
              <w:t xml:space="preserve">Línea base</w:t>
            </w:r>
          </w:p>
        </w:tc>
        <w:tc>
          <w:tcPr>
            <w:shd w:val="clear" w:color="auto" w:fill="00B050"/>
          </w:tcPr>
          <w:p>
            <w:pPr>
              <w:pStyle w:val="Tabla8"/>
              <w:jc w:val="center"/>
            </w:pPr>
            <w:r>
              <w:rPr>
                <w:b/>
                <w:color w:val="FFFFFF"/>
              </w:rPr>
              <w:t xml:space="preserve">Meta intermedia 1 (tramo 1)</w:t>
            </w:r>
          </w:p>
        </w:tc>
        <w:tc>
          <w:tcPr>
            <w:shd w:val="clear" w:color="auto" w:fill="00B050"/>
          </w:tcPr>
          <w:p>
            <w:pPr>
              <w:pStyle w:val="Tabla8"/>
              <w:jc w:val="center"/>
            </w:pPr>
            <w:r>
              <w:rPr>
                <w:b/>
                <w:color w:val="FFFFFF"/>
              </w:rPr>
              <w:t xml:space="preserve">Meta intermedia 2 (tramos 2 y 3)</w:t>
            </w:r>
          </w:p>
        </w:tc>
        <w:tc>
          <w:tcPr>
            <w:shd w:val="clear" w:color="auto" w:fill="00B050"/>
          </w:tcPr>
          <w:p>
            <w:pPr>
              <w:pStyle w:val="Tabla8"/>
              <w:jc w:val="center"/>
            </w:pPr>
            <w:r>
              <w:rPr>
                <w:b/>
                <w:color w:val="FFFFFF"/>
              </w:rPr>
              <w:t xml:space="preserve">Meta final</w:t>
            </w:r>
          </w:p>
        </w:tc>
        <w:tc>
          <w:tcPr>
            <w:shd w:val="clear" w:color="auto" w:fill="00B050"/>
          </w:tcPr>
          <w:p>
            <w:pPr>
              <w:pStyle w:val="Tabla8"/>
              <w:jc w:val="center"/>
            </w:pPr>
            <w:r>
              <w:rPr>
                <w:b/>
                <w:color w:val="FFFFFF"/>
              </w:rPr>
              <w:t xml:space="preserve">Naturaleza de la línea base</w:t>
            </w:r>
          </w:p>
        </w:tc>
      </w:tr>
      <w:tr>
        <w:trPr>
          <w:cantSplit/>
        </w:trPr>
        <w:tc>
          <w:tcPr/>
          <w:p>
            <w:pPr>
              <w:pStyle w:val="Tabla8"/>
              <w:jc w:val="left"/>
            </w:pPr>
            <w:r>
              <w:t xml:space="preserve">OE1</w:t>
            </w:r>
          </w:p>
        </w:tc>
        <w:tc>
          <w:tcPr/>
          <w:p>
            <w:pPr>
              <w:pStyle w:val="Tabla8"/>
              <w:jc w:val="left"/>
            </w:pPr>
            <w:r>
              <w:t xml:space="preserve">NRMSE y R² frente a referencia</w:t>
            </w:r>
          </w:p>
        </w:tc>
        <w:tc>
          <w:tcPr/>
          <w:p>
            <w:pPr>
              <w:pStyle w:val="Tabla8"/>
              <w:jc w:val="left"/>
            </w:pPr>
            <w:r>
              <w:t xml:space="preserve">VACIO; se mide en el tramo 1</w:t>
            </w:r>
          </w:p>
        </w:tc>
        <w:tc>
          <w:tcPr/>
          <w:p>
            <w:pPr>
              <w:pStyle w:val="Tabla8"/>
              <w:jc w:val="left"/>
            </w:pPr>
            <w:r>
              <w:t xml:space="preserve">Línea base medida; contraste en C1</w:t>
            </w:r>
          </w:p>
        </w:tc>
        <w:tc>
          <w:tcPr/>
          <w:p>
            <w:pPr>
              <w:pStyle w:val="Tabla8"/>
              <w:jc w:val="left"/>
            </w:pPr>
            <w:r>
              <w:t xml:space="preserve">Verificación por departamento</w:t>
            </w:r>
          </w:p>
        </w:tc>
        <w:tc>
          <w:tcPr/>
          <w:p>
            <w:pPr>
              <w:pStyle w:val="Tabla8"/>
              <w:jc w:val="left"/>
            </w:pPr>
            <w:r>
              <w:t xml:space="preserve">R² ≥ 0,70 y NRMSE ≤ 30 % en los tres tramos</w:t>
            </w:r>
          </w:p>
        </w:tc>
        <w:tc>
          <w:tcPr/>
          <w:p>
            <w:pPr>
              <w:pStyle w:val="Tabla8"/>
              <w:jc w:val="left"/>
            </w:pPr>
            <w:r>
              <w:t xml:space="preserve">VACIO</w:t>
            </w:r>
          </w:p>
        </w:tc>
      </w:tr>
      <w:tr>
        <w:trPr>
          <w:cantSplit/>
        </w:trPr>
        <w:tc>
          <w:tcPr/>
          <w:p>
            <w:pPr>
              <w:pStyle w:val="Tabla8"/>
              <w:jc w:val="left"/>
            </w:pPr>
            <w:r>
              <w:t xml:space="preserve">OE1</w:t>
            </w:r>
          </w:p>
        </w:tc>
        <w:tc>
          <w:tcPr/>
          <w:p>
            <w:pPr>
              <w:pStyle w:val="Tabla8"/>
              <w:jc w:val="left"/>
            </w:pPr>
            <w:r>
              <w:t xml:space="preserve">PERS-R02 Ciclos de calibración</w:t>
            </w:r>
          </w:p>
        </w:tc>
        <w:tc>
          <w:tcPr/>
          <w:p>
            <w:pPr>
              <w:pStyle w:val="Tabla8"/>
              <w:jc w:val="left"/>
            </w:pPr>
            <w:r>
              <w:t xml:space="preserve">0</w:t>
            </w:r>
          </w:p>
        </w:tc>
        <w:tc>
          <w:tcPr/>
          <w:p>
            <w:pPr>
              <w:pStyle w:val="Tabla8"/>
              <w:jc w:val="left"/>
            </w:pPr>
            <w:r>
              <w:t xml:space="preserve">2 ciclos</w:t>
            </w:r>
          </w:p>
        </w:tc>
        <w:tc>
          <w:tcPr/>
          <w:p>
            <w:pPr>
              <w:pStyle w:val="Tabla8"/>
              <w:jc w:val="left"/>
            </w:pPr>
            <w:r>
              <w:t xml:space="preserve">4 ciclos acumulados</w:t>
            </w:r>
          </w:p>
        </w:tc>
        <w:tc>
          <w:tcPr/>
          <w:p>
            <w:pPr>
              <w:pStyle w:val="Tabla8"/>
              <w:jc w:val="left"/>
            </w:pPr>
            <w:r>
              <w:t xml:space="preserve">6 ciclos</w:t>
            </w:r>
          </w:p>
        </w:tc>
        <w:tc>
          <w:tcPr/>
          <w:p>
            <w:pPr>
              <w:pStyle w:val="Tabla8"/>
              <w:jc w:val="left"/>
            </w:pPr>
            <w:r>
              <w:t xml:space="preserve">CALCULADO</w:t>
            </w:r>
          </w:p>
        </w:tc>
      </w:tr>
      <w:tr>
        <w:trPr>
          <w:cantSplit/>
        </w:trPr>
        <w:tc>
          <w:tcPr/>
          <w:p>
            <w:pPr>
              <w:pStyle w:val="Tabla8"/>
              <w:jc w:val="left"/>
            </w:pPr>
            <w:r>
              <w:t xml:space="preserve">OE1</w:t>
            </w:r>
          </w:p>
        </w:tc>
        <w:tc>
          <w:tcPr/>
          <w:p>
            <w:pPr>
              <w:pStyle w:val="Tabla8"/>
              <w:jc w:val="left"/>
            </w:pPr>
            <w:r>
              <w:t xml:space="preserve">PERS-R05 Horas-nodo de colocalización válidas</w:t>
            </w:r>
          </w:p>
        </w:tc>
        <w:tc>
          <w:tcPr/>
          <w:p>
            <w:pPr>
              <w:pStyle w:val="Tabla8"/>
              <w:jc w:val="left"/>
            </w:pPr>
            <w:r>
              <w:t xml:space="preserve">0</w:t>
            </w:r>
          </w:p>
        </w:tc>
        <w:tc>
          <w:tcPr/>
          <w:p>
            <w:pPr>
              <w:pStyle w:val="Tabla8"/>
              <w:jc w:val="left"/>
            </w:pPr>
            <w:r>
              <w:t xml:space="preserve">≥ 60.000 horas-nodo</w:t>
            </w:r>
          </w:p>
        </w:tc>
        <w:tc>
          <w:tcPr/>
          <w:p>
            <w:pPr>
              <w:pStyle w:val="Tabla8"/>
              <w:jc w:val="left"/>
            </w:pPr>
            <w:r>
              <w:t xml:space="preserve">≥ 60.000 más rotaciones trimestrales</w:t>
            </w:r>
          </w:p>
        </w:tc>
        <w:tc>
          <w:tcPr/>
          <w:p>
            <w:pPr>
              <w:pStyle w:val="Tabla8"/>
              <w:jc w:val="left"/>
            </w:pPr>
            <w:r>
              <w:t xml:space="preserve">≥ 60.000 y 4 rotaciones por departamento</w:t>
            </w:r>
          </w:p>
        </w:tc>
        <w:tc>
          <w:tcPr/>
          <w:p>
            <w:pPr>
              <w:pStyle w:val="Tabla8"/>
              <w:jc w:val="left"/>
            </w:pPr>
            <w:r>
              <w:t xml:space="preserve">CALCULADO</w:t>
            </w:r>
          </w:p>
        </w:tc>
      </w:tr>
      <w:tr>
        <w:trPr>
          <w:cantSplit/>
        </w:trPr>
        <w:tc>
          <w:tcPr/>
          <w:p>
            <w:pPr>
              <w:pStyle w:val="Tabla8"/>
              <w:jc w:val="left"/>
            </w:pPr>
            <w:r>
              <w:t xml:space="preserve">OE1</w:t>
            </w:r>
          </w:p>
        </w:tc>
        <w:tc>
          <w:tcPr/>
          <w:p>
            <w:pPr>
              <w:pStyle w:val="Tabla8"/>
              <w:jc w:val="left"/>
            </w:pPr>
            <w:r>
              <w:t xml:space="preserve">PERS-P02 Software de corrección y gemelo digital registrado</w:t>
            </w:r>
          </w:p>
        </w:tc>
        <w:tc>
          <w:tcPr/>
          <w:p>
            <w:pPr>
              <w:pStyle w:val="Tabla8"/>
              <w:jc w:val="left"/>
            </w:pPr>
            <w:r>
              <w:t xml:space="preserve">0</w:t>
            </w:r>
          </w:p>
        </w:tc>
        <w:tc>
          <w:tcPr/>
          <w:p>
            <w:pPr>
              <w:pStyle w:val="Tabla8"/>
              <w:jc w:val="left"/>
            </w:pPr>
            <w:r>
              <w:t xml:space="preserve">0</w:t>
            </w:r>
          </w:p>
        </w:tc>
        <w:tc>
          <w:tcPr/>
          <w:p>
            <w:pPr>
              <w:pStyle w:val="Tabla8"/>
              <w:jc w:val="left"/>
            </w:pPr>
            <w:r>
              <w:t xml:space="preserve">1 solicitud radicada</w:t>
            </w:r>
          </w:p>
        </w:tc>
        <w:tc>
          <w:tcPr/>
          <w:p>
            <w:pPr>
              <w:pStyle w:val="Tabla8"/>
              <w:jc w:val="left"/>
            </w:pPr>
            <w:r>
              <w:t xml:space="preserve">1 registro vigente</w:t>
            </w:r>
          </w:p>
        </w:tc>
        <w:tc>
          <w:tcPr/>
          <w:p>
            <w:pPr>
              <w:pStyle w:val="Tabla8"/>
              <w:jc w:val="left"/>
            </w:pPr>
            <w:r>
              <w:t xml:space="preserve">CALCULADO</w:t>
            </w:r>
          </w:p>
        </w:tc>
      </w:tr>
      <w:tr>
        <w:trPr>
          <w:cantSplit/>
        </w:trPr>
        <w:tc>
          <w:tcPr/>
          <w:p>
            <w:pPr>
              <w:pStyle w:val="Tabla8"/>
              <w:jc w:val="left"/>
            </w:pPr>
            <w:r>
              <w:t xml:space="preserve">OE1</w:t>
            </w:r>
          </w:p>
        </w:tc>
        <w:tc>
          <w:tcPr/>
          <w:p>
            <w:pPr>
              <w:pStyle w:val="Tabla8"/>
              <w:jc w:val="left"/>
            </w:pPr>
            <w:r>
              <w:t xml:space="preserve">PERS-P03 Artículos en revistas Q1 o Q2</w:t>
            </w:r>
          </w:p>
        </w:tc>
        <w:tc>
          <w:tcPr/>
          <w:p>
            <w:pPr>
              <w:pStyle w:val="Tabla8"/>
              <w:jc w:val="left"/>
            </w:pPr>
            <w:r>
              <w:t xml:space="preserve">0</w:t>
            </w:r>
          </w:p>
        </w:tc>
        <w:tc>
          <w:tcPr/>
          <w:p>
            <w:pPr>
              <w:pStyle w:val="Tabla8"/>
              <w:jc w:val="left"/>
            </w:pPr>
            <w:r>
              <w:t xml:space="preserve">0</w:t>
            </w:r>
          </w:p>
        </w:tc>
        <w:tc>
          <w:tcPr/>
          <w:p>
            <w:pPr>
              <w:pStyle w:val="Tabla8"/>
              <w:jc w:val="left"/>
            </w:pPr>
            <w:r>
              <w:t xml:space="preserve">1 sometido</w:t>
            </w:r>
          </w:p>
        </w:tc>
        <w:tc>
          <w:tcPr/>
          <w:p>
            <w:pPr>
              <w:pStyle w:val="Tabla8"/>
              <w:jc w:val="left"/>
            </w:pPr>
            <w:r>
              <w:t xml:space="preserve">2 sometidos y al menos 1 aceptado al mes 24</w:t>
            </w:r>
          </w:p>
        </w:tc>
        <w:tc>
          <w:tcPr/>
          <w:p>
            <w:pPr>
              <w:pStyle w:val="Tabla8"/>
              <w:jc w:val="left"/>
            </w:pPr>
            <w:r>
              <w:t xml:space="preserve">CALCULADO</w:t>
            </w:r>
          </w:p>
        </w:tc>
      </w:tr>
      <w:tr>
        <w:trPr>
          <w:cantSplit/>
        </w:trPr>
        <w:tc>
          <w:tcPr/>
          <w:p>
            <w:pPr>
              <w:pStyle w:val="Tabla8"/>
              <w:jc w:val="left"/>
            </w:pPr>
            <w:r>
              <w:t xml:space="preserve">OE2</w:t>
            </w:r>
          </w:p>
        </w:tc>
        <w:tc>
          <w:tcPr/>
          <w:p>
            <w:pPr>
              <w:pStyle w:val="Tabla8"/>
              <w:jc w:val="left"/>
            </w:pPr>
            <w:r>
              <w:t xml:space="preserve">PERS-R01 Cumplimiento del despliegue por tramo</w:t>
            </w:r>
          </w:p>
        </w:tc>
        <w:tc>
          <w:tcPr/>
          <w:p>
            <w:pPr>
              <w:pStyle w:val="Tabla8"/>
              <w:jc w:val="left"/>
            </w:pPr>
            <w:r>
              <w:t xml:space="preserve">0</w:t>
            </w:r>
          </w:p>
        </w:tc>
        <w:tc>
          <w:tcPr/>
          <w:p>
            <w:pPr>
              <w:pStyle w:val="Tabla8"/>
              <w:jc w:val="left"/>
            </w:pPr>
            <w:r>
              <w:t xml:space="preserve">30 nodos</w:t>
            </w:r>
          </w:p>
        </w:tc>
        <w:tc>
          <w:tcPr/>
          <w:p>
            <w:pPr>
              <w:pStyle w:val="Tabla8"/>
              <w:jc w:val="left"/>
            </w:pPr>
            <w:r>
              <w:t xml:space="preserve">70 nodos adicionales</w:t>
            </w:r>
          </w:p>
        </w:tc>
        <w:tc>
          <w:tcPr/>
          <w:p>
            <w:pPr>
              <w:pStyle w:val="Tabla8"/>
              <w:jc w:val="left"/>
            </w:pPr>
            <w:r>
              <w:t xml:space="preserve">100 nodos y 10 gateways</w:t>
            </w:r>
          </w:p>
        </w:tc>
        <w:tc>
          <w:tcPr/>
          <w:p>
            <w:pPr>
              <w:pStyle w:val="Tabla8"/>
              <w:jc w:val="left"/>
            </w:pPr>
            <w:r>
              <w:t xml:space="preserve">CALCULADO</w:t>
            </w:r>
          </w:p>
        </w:tc>
      </w:tr>
      <w:tr>
        <w:trPr>
          <w:cantSplit/>
        </w:trPr>
        <w:tc>
          <w:tcPr/>
          <w:p>
            <w:pPr>
              <w:pStyle w:val="Tabla8"/>
              <w:jc w:val="left"/>
            </w:pPr>
            <w:r>
              <w:t xml:space="preserve">OE2</w:t>
            </w:r>
          </w:p>
        </w:tc>
        <w:tc>
          <w:tcPr/>
          <w:p>
            <w:pPr>
              <w:pStyle w:val="Tabla8"/>
              <w:jc w:val="left"/>
            </w:pPr>
            <w:r>
              <w:t xml:space="preserve">PERS-P01 Red de 100 nodos y 10 gateways operativa</w:t>
            </w:r>
          </w:p>
        </w:tc>
        <w:tc>
          <w:tcPr/>
          <w:p>
            <w:pPr>
              <w:pStyle w:val="Tabla8"/>
              <w:jc w:val="left"/>
            </w:pPr>
            <w:r>
              <w:t xml:space="preserve">0 y 0</w:t>
            </w:r>
          </w:p>
        </w:tc>
        <w:tc>
          <w:tcPr/>
          <w:p>
            <w:pPr>
              <w:pStyle w:val="Tabla8"/>
              <w:jc w:val="left"/>
            </w:pPr>
            <w:r>
              <w:t xml:space="preserve">30 nodos y 3 gateways al mes 12</w:t>
            </w:r>
          </w:p>
        </w:tc>
        <w:tc>
          <w:tcPr/>
          <w:p>
            <w:pPr>
              <w:pStyle w:val="Tabla8"/>
              <w:jc w:val="left"/>
            </w:pPr>
            <w:r>
              <w:t xml:space="preserve">70 y 7 al mes 17; 100 y 10 al mes 19</w:t>
            </w:r>
          </w:p>
        </w:tc>
        <w:tc>
          <w:tcPr/>
          <w:p>
            <w:pPr>
              <w:pStyle w:val="Tabla8"/>
              <w:jc w:val="left"/>
            </w:pPr>
            <w:r>
              <w:t xml:space="preserve">100 y 10 al mes 24</w:t>
            </w:r>
          </w:p>
        </w:tc>
        <w:tc>
          <w:tcPr/>
          <w:p>
            <w:pPr>
              <w:pStyle w:val="Tabla8"/>
              <w:jc w:val="left"/>
            </w:pPr>
            <w:r>
              <w:t xml:space="preserve">CALCULADO</w:t>
            </w:r>
          </w:p>
        </w:tc>
      </w:tr>
      <w:tr>
        <w:trPr>
          <w:cantSplit/>
        </w:trPr>
        <w:tc>
          <w:tcPr/>
          <w:p>
            <w:pPr>
              <w:pStyle w:val="Tabla8"/>
              <w:jc w:val="left"/>
            </w:pPr>
            <w:r>
              <w:t xml:space="preserve">OE2</w:t>
            </w:r>
          </w:p>
        </w:tc>
        <w:tc>
          <w:tcPr/>
          <w:p>
            <w:pPr>
              <w:pStyle w:val="Tabla8"/>
              <w:jc w:val="left"/>
            </w:pPr>
            <w:r>
              <w:t xml:space="preserve">PERS-R03 Disponibilidad de la plataforma en la nube</w:t>
            </w:r>
          </w:p>
        </w:tc>
        <w:tc>
          <w:tcPr/>
          <w:p>
            <w:pPr>
              <w:pStyle w:val="Tabla8"/>
              <w:jc w:val="left"/>
            </w:pPr>
            <w:r>
              <w:t xml:space="preserve">VACIO</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VACIO</w:t>
            </w:r>
          </w:p>
        </w:tc>
      </w:tr>
      <w:tr>
        <w:trPr>
          <w:cantSplit/>
        </w:trPr>
        <w:tc>
          <w:tcPr/>
          <w:p>
            <w:pPr>
              <w:pStyle w:val="Tabla8"/>
              <w:jc w:val="left"/>
            </w:pPr>
            <w:r>
              <w:t xml:space="preserve">OE2</w:t>
            </w:r>
          </w:p>
        </w:tc>
        <w:tc>
          <w:tcPr/>
          <w:p>
            <w:pPr>
              <w:pStyle w:val="Tabla8"/>
              <w:jc w:val="left"/>
            </w:pPr>
            <w:r>
              <w:t xml:space="preserve">Disponibilidad mensual de nodos y pérdida de paquetes</w:t>
            </w:r>
          </w:p>
        </w:tc>
        <w:tc>
          <w:tcPr/>
          <w:p>
            <w:pPr>
              <w:pStyle w:val="Tabla8"/>
              <w:jc w:val="left"/>
            </w:pPr>
            <w:r>
              <w:t xml:space="preserve">VACIO; se mide en el tramo 1</w:t>
            </w:r>
          </w:p>
        </w:tc>
        <w:tc>
          <w:tcPr/>
          <w:p>
            <w:pPr>
              <w:pStyle w:val="Tabla8"/>
              <w:jc w:val="left"/>
            </w:pPr>
            <w:r>
              <w:t xml:space="preserve">Línea base medida</w:t>
            </w:r>
          </w:p>
        </w:tc>
        <w:tc>
          <w:tcPr/>
          <w:p>
            <w:pPr>
              <w:pStyle w:val="Tabla8"/>
              <w:jc w:val="left"/>
            </w:pPr>
            <w:r>
              <w:t xml:space="preserve">Disponibilidad ≥ 90 % en C2</w:t>
            </w:r>
          </w:p>
        </w:tc>
        <w:tc>
          <w:tcPr/>
          <w:p>
            <w:pPr>
              <w:pStyle w:val="Tabla8"/>
              <w:jc w:val="left"/>
            </w:pPr>
            <w:r>
              <w:t xml:space="preserve">≥ 90 % y ≤ 10 %</w:t>
            </w:r>
          </w:p>
        </w:tc>
        <w:tc>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PERS-E01 Uso institucional del tablero y del protocolo</w:t>
            </w:r>
          </w:p>
        </w:tc>
        <w:tc>
          <w:tcPr/>
          <w:p>
            <w:pPr>
              <w:pStyle w:val="Tabla8"/>
              <w:jc w:val="left"/>
            </w:pPr>
            <w:r>
              <w:t xml:space="preserve">VACIO</w:t>
            </w:r>
          </w:p>
        </w:tc>
        <w:tc>
          <w:tcPr/>
          <w:p>
            <w:pPr>
              <w:pStyle w:val="Tabla8"/>
              <w:jc w:val="left"/>
            </w:pPr>
            <w:r>
              <w:t xml:space="preserve">≥ 50 % (piloto)</w:t>
            </w:r>
          </w:p>
        </w:tc>
        <w:tc>
          <w:tcPr/>
          <w:p>
            <w:pPr>
              <w:pStyle w:val="Tabla8"/>
              <w:jc w:val="left"/>
            </w:pPr>
            <w:r>
              <w:t xml:space="preserve">≥ 65 %</w:t>
            </w:r>
          </w:p>
        </w:tc>
        <w:tc>
          <w:tcPr/>
          <w:p>
            <w:pPr>
              <w:pStyle w:val="Tabla8"/>
              <w:jc w:val="left"/>
            </w:pPr>
            <w:r>
              <w:t xml:space="preserve">≥ 75 % al mes 24</w:t>
            </w:r>
          </w:p>
        </w:tc>
        <w:tc>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PERS-E02 Reducción relativa de falsas alarmas</w:t>
            </w:r>
          </w:p>
        </w:tc>
        <w:tc>
          <w:tcPr/>
          <w:p>
            <w:pPr>
              <w:pStyle w:val="Tabla8"/>
              <w:jc w:val="left"/>
            </w:pPr>
            <w:r>
              <w:t xml:space="preserve">Se mide en el tramo 1</w:t>
            </w:r>
          </w:p>
        </w:tc>
        <w:tc>
          <w:tcPr/>
          <w:p>
            <w:pPr>
              <w:pStyle w:val="Tabla8"/>
              <w:jc w:val="left"/>
            </w:pPr>
            <w:r>
              <w:t xml:space="preserve">Línea base medida</w:t>
            </w:r>
          </w:p>
        </w:tc>
        <w:tc>
          <w:tcPr/>
          <w:p>
            <w:pPr>
              <w:pStyle w:val="Tabla8"/>
              <w:jc w:val="left"/>
            </w:pPr>
            <w:r>
              <w:t xml:space="preserve">≥ 15 %</w:t>
            </w:r>
          </w:p>
        </w:tc>
        <w:tc>
          <w:tcPr/>
          <w:p>
            <w:pPr>
              <w:pStyle w:val="Tabla8"/>
              <w:jc w:val="left"/>
            </w:pPr>
            <w:r>
              <w:t xml:space="preserve">≥ 30 % de reducción relativa</w:t>
            </w:r>
          </w:p>
        </w:tc>
        <w:tc>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PERS-E03 Capacidad instalada en custodios</w:t>
            </w:r>
          </w:p>
        </w:tc>
        <w:tc>
          <w:tcPr/>
          <w:p>
            <w:pPr>
              <w:pStyle w:val="Tabla8"/>
              <w:jc w:val="left"/>
            </w:pPr>
            <w:r>
              <w:t xml:space="preserve">0</w:t>
            </w:r>
          </w:p>
        </w:tc>
        <w:tc>
          <w:tcPr/>
          <w:p>
            <w:pPr>
              <w:pStyle w:val="Tabla8"/>
              <w:jc w:val="left"/>
            </w:pPr>
            <w:r>
              <w:t xml:space="preserve">20 personas</w:t>
            </w:r>
          </w:p>
        </w:tc>
        <w:tc>
          <w:tcPr/>
          <w:p>
            <w:pPr>
              <w:pStyle w:val="Tabla8"/>
              <w:jc w:val="left"/>
            </w:pPr>
            <w:r>
              <w:t xml:space="preserve">40 personas</w:t>
            </w:r>
          </w:p>
        </w:tc>
        <w:tc>
          <w:tcPr/>
          <w:p>
            <w:pPr>
              <w:pStyle w:val="Tabla8"/>
              <w:jc w:val="left"/>
            </w:pPr>
            <w:r>
              <w:t xml:space="preserve">≥ 60 personas certificadas</w:t>
            </w:r>
          </w:p>
        </w:tc>
        <w:tc>
          <w:tcPr/>
          <w:p>
            <w:pPr>
              <w:pStyle w:val="Tabla8"/>
              <w:jc w:val="left"/>
            </w:pPr>
            <w:r>
              <w:t xml:space="preserve">CALCULADO</w:t>
            </w:r>
          </w:p>
        </w:tc>
      </w:tr>
      <w:tr>
        <w:trPr>
          <w:cantSplit/>
        </w:trPr>
        <w:tc>
          <w:tcPr/>
          <w:p>
            <w:pPr>
              <w:pStyle w:val="Tabla8"/>
              <w:jc w:val="left"/>
            </w:pPr>
            <w:r>
              <w:t xml:space="preserve">OE3</w:t>
            </w:r>
          </w:p>
        </w:tc>
        <w:tc>
          <w:tcPr/>
          <w:p>
            <w:pPr>
              <w:pStyle w:val="Tabla8"/>
              <w:jc w:val="left"/>
            </w:pPr>
            <w:r>
              <w:t xml:space="preserve">PERS-P04 Actividades de apropiación social</w:t>
            </w:r>
          </w:p>
        </w:tc>
        <w:tc>
          <w:tcPr/>
          <w:p>
            <w:pPr>
              <w:pStyle w:val="Tabla8"/>
              <w:jc w:val="left"/>
            </w:pPr>
            <w:r>
              <w:t xml:space="preserve">0</w:t>
            </w:r>
          </w:p>
        </w:tc>
        <w:tc>
          <w:tcPr/>
          <w:p>
            <w:pPr>
              <w:pStyle w:val="Tabla8"/>
              <w:jc w:val="left"/>
            </w:pPr>
            <w:r>
              <w:t xml:space="preserve">10 actividades</w:t>
            </w:r>
          </w:p>
        </w:tc>
        <w:tc>
          <w:tcPr/>
          <w:p>
            <w:pPr>
              <w:pStyle w:val="Tabla8"/>
              <w:jc w:val="left"/>
            </w:pPr>
            <w:r>
              <w:t xml:space="preserve">29 acumuladas</w:t>
            </w:r>
          </w:p>
        </w:tc>
        <w:tc>
          <w:tcPr/>
          <w:p>
            <w:pPr>
              <w:pStyle w:val="Tabla8"/>
              <w:jc w:val="left"/>
            </w:pPr>
            <w:r>
              <w:t xml:space="preserve">29 actividades (20 talleres y 9 jornadas)</w:t>
            </w:r>
          </w:p>
        </w:tc>
        <w:tc>
          <w:tcPr/>
          <w:p>
            <w:pPr>
              <w:pStyle w:val="Tabla8"/>
              <w:jc w:val="left"/>
            </w:pPr>
            <w:r>
              <w:t xml:space="preserve">CALCULADO</w:t>
            </w:r>
          </w:p>
        </w:tc>
      </w:tr>
      <w:tr>
        <w:trPr>
          <w:cantSplit/>
        </w:trPr>
        <w:tc>
          <w:tcPr/>
          <w:p>
            <w:pPr>
              <w:pStyle w:val="Tabla8"/>
              <w:jc w:val="left"/>
            </w:pPr>
            <w:r>
              <w:t xml:space="preserve">OE3</w:t>
            </w:r>
          </w:p>
        </w:tc>
        <w:tc>
          <w:tcPr/>
          <w:p>
            <w:pPr>
              <w:pStyle w:val="Tabla8"/>
              <w:jc w:val="left"/>
            </w:pPr>
            <w:r>
              <w:t xml:space="preserve">PERS-S01 Activación del protocolo ante superación de umbral</w:t>
            </w:r>
          </w:p>
        </w:tc>
        <w:tc>
          <w:tcPr/>
          <w:p>
            <w:pPr>
              <w:pStyle w:val="Tabla8"/>
              <w:jc w:val="left"/>
            </w:pPr>
            <w:r>
              <w:t xml:space="preserve">VACIO</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 80 % a los 12 meses posteriores al cierre</w:t>
            </w:r>
          </w:p>
        </w:tc>
        <w:tc>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PERS-S02 Continuidad de la red bajo custodia</w:t>
            </w:r>
          </w:p>
        </w:tc>
        <w:tc>
          <w:tcPr/>
          <w:p>
            <w:pPr>
              <w:pStyle w:val="Tabla8"/>
              <w:jc w:val="left"/>
            </w:pPr>
            <w:r>
              <w:t xml:space="preserve">VACIO</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 70 % a los 12 meses posteriores al cierre</w:t>
            </w:r>
          </w:p>
        </w:tc>
        <w:tc>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PERS-R04 Desviación de la ejecución presupuestal</w:t>
            </w:r>
          </w:p>
        </w:tc>
        <w:tc>
          <w:tcPr/>
          <w:p>
            <w:pPr>
              <w:pStyle w:val="Tabla8"/>
              <w:jc w:val="left"/>
            </w:pPr>
            <w:r>
              <w:t xml:space="preserve">0</w:t>
            </w:r>
          </w:p>
        </w:tc>
        <w:tc>
          <w:tcPr/>
          <w:p>
            <w:pPr>
              <w:pStyle w:val="Tabla8"/>
              <w:jc w:val="left"/>
            </w:pPr>
            <w:r>
              <w:t xml:space="preserve">Desviación absoluta ≤ 10 %</w:t>
            </w:r>
          </w:p>
        </w:tc>
        <w:tc>
          <w:tcPr/>
          <w:p>
            <w:pPr>
              <w:pStyle w:val="Tabla8"/>
              <w:jc w:val="left"/>
            </w:pPr>
            <w:r>
              <w:t xml:space="preserve">Desviación absoluta ≤ 10 %</w:t>
            </w:r>
          </w:p>
        </w:tc>
        <w:tc>
          <w:tcPr/>
          <w:p>
            <w:pPr>
              <w:pStyle w:val="Tabla8"/>
              <w:jc w:val="left"/>
            </w:pPr>
            <w:r>
              <w:t xml:space="preserve">Desviación absoluta ≤ 5 % al cierre</w:t>
            </w:r>
          </w:p>
        </w:tc>
        <w:tc>
          <w:tcPr/>
          <w:p>
            <w:pPr>
              <w:pStyle w:val="Tabla8"/>
              <w:jc w:val="left"/>
            </w:pPr>
            <w:r>
              <w:t xml:space="preserve">CALCULADO</w:t>
            </w:r>
          </w:p>
        </w:tc>
      </w:tr>
      <w:tr>
        <w:trPr>
          <w:cantSplit/>
        </w:trPr>
        <w:tc>
          <w:tcPr/>
          <w:p>
            <w:pPr>
              <w:pStyle w:val="Tabla8"/>
              <w:jc w:val="left"/>
            </w:pPr>
            <w:r>
              <w:t xml:space="preserve">OE3</w:t>
            </w:r>
          </w:p>
        </w:tc>
        <w:tc>
          <w:tcPr/>
          <w:p>
            <w:pPr>
              <w:pStyle w:val="Tabla8"/>
              <w:jc w:val="left"/>
            </w:pPr>
            <w:r>
              <w:t xml:space="preserve">PERS-R06 Cumplimiento de informes de seguimiento</w:t>
            </w:r>
          </w:p>
        </w:tc>
        <w:tc>
          <w:tcPr/>
          <w:p>
            <w:pPr>
              <w:pStyle w:val="Tabla8"/>
              <w:jc w:val="left"/>
            </w:pPr>
            <w:r>
              <w:t xml:space="preserve">0</w:t>
            </w:r>
          </w:p>
        </w:tc>
        <w:tc>
          <w:tcPr/>
          <w:p>
            <w:pPr>
              <w:pStyle w:val="Tabla8"/>
              <w:jc w:val="left"/>
            </w:pPr>
            <w:r>
              <w:t xml:space="preserve">100 %</w:t>
            </w:r>
          </w:p>
        </w:tc>
        <w:tc>
          <w:tcPr/>
          <w:p>
            <w:pPr>
              <w:pStyle w:val="Tabla8"/>
              <w:jc w:val="left"/>
            </w:pPr>
            <w:r>
              <w:t xml:space="preserve">100 %</w:t>
            </w:r>
          </w:p>
        </w:tc>
        <w:tc>
          <w:tcPr/>
          <w:p>
            <w:pPr>
              <w:pStyle w:val="Tabla8"/>
              <w:jc w:val="left"/>
            </w:pPr>
            <w:r>
              <w:t xml:space="preserve">100 %</w:t>
            </w:r>
          </w:p>
        </w:tc>
        <w:tc>
          <w:tcPr/>
          <w:p>
            <w:pPr>
              <w:pStyle w:val="Tabla8"/>
              <w:jc w:val="left"/>
            </w:pPr>
            <w:r>
              <w:t xml:space="preserve">CALCULADO</w:t>
            </w:r>
          </w:p>
        </w:tc>
      </w:tr>
    </w:tbl>
    <w:p>
      <w:pPr>
        <w:pStyle w:val="TablaNota"/>
      </w:pPr>
      <w:r>
        <w:rPr>
          <w:i/>
          <w:iCs/>
        </w:rPr>
        <w:t xml:space="preserve">Nota.</w:t>
      </w:r>
      <w:r>
        <w:t xml:space="preserve"> </w:t>
      </w:r>
      <w:r>
        <w:t xml:space="preserve">Elaboración propia con datos de la ficha maestra (§8) y del libro de indicadores PERS (indicadores.py). Las metas intermedias son PROPUESTO. Las líneas base VACIO se miden en el tramo 1 (DEC-F10). Decimales con coma.</w:t>
      </w:r>
    </w:p>
    <w:p>
      <w:pPr>
        <w:pStyle w:val="BodyText"/>
      </w:pPr>
      <w:r>
        <w:t xml:space="preserve">La Tabla 3.3 concentra las metas verificables del proyecto en una sola vista. Siete líneas base quedan como VACIO y exigen medición en el tramo 1. Esa carga de medición explica por qué el piloto de contraste precede a cualquier ampliación. Los indicadores de impacto carecen de meta intermedia, porque su medición ocurre después del cierre. Por ello el proyecto promete resultados técnicos, de adopción y de continuidad, y no efectos en salud.</w:t>
      </w:r>
    </w:p>
    <w:p>
      <w:pPr>
        <w:pStyle w:val="BodyText"/>
      </w:pPr>
      <w:r>
        <w:t xml:space="preserve">Cada indicador sigue tres reglas de línea base y de meta. La primera regla es que toda línea base de cero se calcula por construcción, porque el producto no existe antes del proyecto. La segunda es que toda línea base VACIO se mide con un protocolo declarado antes del tramo 1. La tercera es que toda meta de impacto se verifica con una fuente independiente del equipo ejecutor. Estas reglas responden a una debilidad de evaluación del informe de vigilancia tecnológica y bibliometría de 42 documentos (F-INF). Ninguno de los cinco documentos que describen alertas reporta detección, falsas alarmas ni anticipación (F-INF, §1.3, hallazgo 2). El proyecto cierra esa brecha con PERS-E02, que compara las falsas alarmas con una línea base propia.</w:t>
      </w:r>
    </w:p>
    <w:p>
      <w:pPr>
        <w:pStyle w:val="BodyText"/>
      </w:pPr>
      <w:r>
        <w:t xml:space="preserve">Los objetivos también se alinean con la Agenda 2030 para el Desarrollo Sostenible (ONU, 2015). La alineación es una decisión de formulación (PROPUESTO) y utiliza las metas solo en su forma general, sin numerarlas. El Objetivo de Desarrollo Sostenible (ODS) 3 incluye una meta sobre la reducción de enfermedades y muertes por contaminación del aire. El ODS 9 incluye metas sobre infraestructura fiable y resiliente y sobre capacidades científicas y tecnológicas. El ODS 11 incluye metas sobre la reducción de personas afectadas por desastres y sobre la atención a la calidad del aire. El ODS 13 incluye metas sobre resiliencia y capacidad institucional ante riesgos. El texto exacto de cada meta debe confirmarse en el documento oficial, que el banco de referencias registra como NO_VERIFICADO en esta corrida. La Figura 3.2 clasifica cada vínculo como directo o indirecto.</w:t>
      </w:r>
    </w:p>
    <w:p>
      <w:pPr>
        <w:pStyle w:val="FiguraRotulo"/>
      </w:pPr>
      <w:bookmarkStart w:id="9508" w:name="rot_Figura_3_2"/>
      <w:r>
        <w:rPr>
          <w:b/>
          <w:bCs/>
        </w:rPr>
        <w:t xml:space="preserve">Figura 3.2</w:t>
      </w:r>
      <w:bookmarkEnd w:id="9508"/>
    </w:p>
    <w:p>
      <w:pPr>
        <w:pStyle w:val="FiguraTitulo"/>
      </w:pPr>
      <w:r>
        <w:rPr>
          <w:i/>
          <w:iCs/>
        </w:rPr>
        <w:t xml:space="preserve">Contribución de los objetivos específicos a los ODS 3, 9, 11 y 13</w:t>
      </w:r>
    </w:p>
    <w:p>
      <w:pPr>
        <w:pStyle w:val="BodyText"/>
      </w:pPr>
      <w:r>
        <w:drawing>
          <wp:inline>
            <wp:extent cx="5579999" cy="3917551"/>
            <wp:effectExtent b="0" l="0" r="0" t="0"/>
            <wp:docPr descr="" title="" id="385" name="Picture"/>
            <a:graphic>
              <a:graphicData uri="http://schemas.openxmlformats.org/drawingml/2006/picture">
                <pic:pic>
                  <pic:nvPicPr>
                    <pic:cNvPr descr="/tmp/claude-0/-home-user-docs/ddf38714-2a7e-502b-92b4-1008e2832422/scratchpad/proy/figs/out/c3_f02.png" id="386" name="Picture"/>
                    <pic:cNvPicPr>
                      <a:picLocks noChangeArrowheads="1" noChangeAspect="1"/>
                    </pic:cNvPicPr>
                  </pic:nvPicPr>
                  <pic:blipFill>
                    <a:blip r:embed="rId384"/>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(§3) y de ONU (2015). Clasificación de la contribución: PROPUESTO. Directa: el producto del objetivo es el medio principal de la meta del ODS. Indirecta: el producto es un insumo de otra acción. Software: Python 3 con matplotlib; script c3_figs.py; diagrama sin componente aleatorio.</w:t>
      </w:r>
    </w:p>
    <w:p>
      <w:pPr>
        <w:pStyle w:val="BodyText"/>
      </w:pPr>
      <w:r>
        <w:t xml:space="preserve">La Figura 3.2 muestra dos contribuciones directas y seis indirectas. La red resiliente de OE2 contribuye de forma directa al ODS 9, y el uso institucional de OE3 contribuye de forma directa al ODS 11. La medición verificada de OE1 es un insumo de los ODS 3, 9 y 11 y no un efecto en sí. Esa distinción protege la coherencia del proyecto. El aporte a la salud es una posibilidad que depende de decisiones ajenas al proyecto. No es un resultado que el proyecto pueda prometer.</w:t>
      </w:r>
    </w:p>
    <w:bookmarkEnd w:id="387"/>
    <w:bookmarkEnd w:id="388"/>
    <w:bookmarkStart w:id="420" w:name="_Toc00900146"/>
    <w:p>
      <w:pPr>
        <w:pStyle w:val="Heading1"/>
      </w:pPr>
      <w:r>
        <w:t xml:space="preserve">Capítulo 4. Marco teórico y conceptual</w:t>
      </w:r>
    </w:p>
    <w:bookmarkStart w:id="400" w:name="_Toc00900147"/>
    <w:p>
      <w:pPr>
        <w:pStyle w:val="Heading2"/>
      </w:pPr>
      <w:r>
        <w:t xml:space="preserve">4.1 Fundamentos teóricos</w:t>
      </w:r>
    </w:p>
    <w:p>
      <w:pPr>
        <w:pStyle w:val="FirstParagraph"/>
      </w:pPr>
      <w:r>
        <w:t xml:space="preserve">El proyecto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sistema de sus propios errores. Los objetivos específicos OE1, OE2 y OE3, que formula el capítulo 3, orientan la lectura de cada teoría. Esta sección expone cada teoría con su autor seminal, sus postulados y su aplicación. Después integra las siete en una sola cadena de dependencia. Los indicadores PERS que cita el capítulo pertenecen al sistema integrado de 15 indicadores del proyecto. Sus niveles son proceso (R), producto (P), efecto (E) y sostenibilidad (S). La Tabla 4.2 sintetiza ese recorrido y la Figura 4.1 lo representa. Todas las obras citadas provienen del banco cerrado de referencias, cuyo estado de verificación es NO_VERIFICADO en esta corrida.</w:t>
      </w:r>
    </w:p>
    <w:bookmarkStart w:id="389" w:name="X9a952d124a938fbc7367ecf07d08a54bf87ad88"/>
    <w:p>
      <w:pPr>
        <w:pStyle w:val="Heading3"/>
      </w:pPr>
      <w:r>
        <w:t xml:space="preserve">4.1.1 Metrología y calibración de sensores de bajo costo</w:t>
      </w:r>
    </w:p>
    <w:p>
      <w:pPr>
        <w:pStyle w:val="FirstParagraph"/>
      </w:pPr>
      <w:r>
        <w:t xml:space="preserve">La calidad de un dato óptico depende de su calibración frente a una referencia en condiciones representativas. El proyecto mide material particulado con diámetro menor que 2,5 µm (PM2,5) y menor que 10 µm (PM10). Un contador óptico estima la masa de las partículas a partir de la luz que dispersan. Esa estimación no es una medición directa de masa. Su error varía con el tamaño, la composición y la humedad de las partículas. Kumar et al. (2015) describieron el auge de la medición de bajo costo en las ciudades y sus límites de calidad. Karagulian et al. (2019) revisaron el desempeño de estos sensores y hallaron que varía entre equipos y entre condiciones de evaluación. Crilley et al. (2018) evaluaron un contador óptico de bajo costo en aire ambiente frente a instrumentos de referencia. Morawska et al. (2018) examinaron las aplicaciones de la medición de bajo costo y su aptitud según el propósito de uso.</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incluyen el coeficiente de determinación (R²) y el error cuadrático medio normalizado (NRMSE). La Agencia de Protección Ambiental de Estados Unidos (EPA) fija metas para ellas (EPA, 2021). Tercero, el desempeño cambia en el tiempo y exige vigilancia (Malings et al., 2020). Barkjohn et al. (2021) desarrollaron una corrección lineal con humedad relativa para un sensor comercial en todo Estados Unidos. Magi et al. (2020) contrastaron un contador óptico con un monitor de atenuación beta equivalente. Castell et al. (2017) discutieron si las plataformas comerciales de bajo costo pueden contribuir al monitoreo oficial y a la estimación de la exposición.</w:t>
      </w:r>
    </w:p>
    <w:p>
      <w:pPr>
        <w:pStyle w:val="BodyText"/>
      </w:pPr>
      <w:r>
        <w:t xml:space="preserve">El debate central es el alcance de la corrección. Barkjohn et al. (2021) defienden una corrección única que reduce el sesgo de toda una red con un solo ajuste. Giordano et al. (2021) advierten que las condiciones de colocalización, su duración y el tipo de aerosol limitan la transferencia de una corrección a otro sitio. La primera posición reduce el costo de calibrar. La segunda protege contra errores en contextos atípicos. Un sitio de remoción de escombros es un contexto atípico, porque la fracción gruesa y el polvo difieren de los de una ciudad.</w:t>
      </w:r>
    </w:p>
    <w:p>
      <w:pPr>
        <w:pStyle w:val="BodyText"/>
      </w:pPr>
      <w:r>
        <w:t xml:space="preserve">Los datos propios ilustran el riesgo de transferir correcciones. En el escenario de trabajo S2 de la matriz de Vester, dos variables influyen sobre el error de medición (V06) con valor 3. Son la humedad relativa (V03) y el PM10 (V02). En una mina a cielo abierto, la correlación de las partículas con la humedad fue de 0,73 (Suresh et al., 2025, p. 30). En Seúl, una corrección con estación cercana y 35 minutos de desfase elevó el R² de menos de 0,2 a 0,81 (Bang et al., 2026, pp. 6-8). Los sitios de remoción de escombros carecen de estudios equivalentes. El proyecto dispone de tres referencias gravimétricas, una por departamento, y presupuesta 240 análisis gravimétricos y 1.200 filtros de membrana (líneas S01 y M01).</w:t>
      </w:r>
    </w:p>
    <w:p>
      <w:pPr>
        <w:pStyle w:val="BodyText"/>
      </w:pPr>
      <w:r>
        <w:t xml:space="preserve">La consecuencia metodológica es triple. El modelo de corrección incorpora humedad, temperatura y fracción gruesa como covariables. Se entrena y se reentrena por departamento, y no se importa de otro sitio. El desempeño se reporta con R², NRMSE, pendiente y sesgo frente a la referencia (EPA, 2021). La línea base del error se mide en el tramo 1, el piloto de contraste de los 12 primeros meses.</w:t>
      </w:r>
    </w:p>
    <w:bookmarkEnd w:id="389"/>
    <w:bookmarkStart w:id="390" w:name="_Toc00900148"/>
    <w:p>
      <w:pPr>
        <w:pStyle w:val="Heading3"/>
      </w:pPr>
      <w:r>
        <w:t xml:space="preserve">4.1.2 Computación en el borde, TinyML y LoRaWAN</w:t>
      </w:r>
    </w:p>
    <w:p>
      <w:pPr>
        <w:pStyle w:val="FirstParagraph"/>
      </w:pPr>
      <w:r>
        <w:t xml:space="preserve">Ubicar el cómputo cerca de la fuente de datos reduce la dependencia del enlace. Obliga además a repartir las tareas según los recursos de cada equipo. La computación en el borde procesa los datos en el extremo de la red, próximo al sensor (Shi et al., 2016). Esos autores identifican retos de programabilidad, de gestión de servicios y de seguridad. El aprendizaje automático en dispositivos de muy bajo consumo, conocido como TinyML, ejecuta modelos compactos en microcontroladores (Warden y Situnayake, 2019). David et al. (2021) presentan un entorno de inferencia diseñado para memoria limitada. LoRaWAN completa la arquitectura de comunicación. Es una red de área amplia y bajo consumo sobre la modulación LoRa, sigla del inglés Long Range. Adelantado et al. (2017) analizan sus límites de capacidad, de ciclo de trabajo y de escalamiento.</w:t>
      </w:r>
    </w:p>
    <w:p>
      <w:pPr>
        <w:pStyle w:val="BodyText"/>
      </w:pPr>
      <w:r>
        <w:t xml:space="preserve">Cuatro postulados sostienen el diseño. Primero, cada tarea se asigna al nivel que posee los datos y los recursos necesarios. Segundo, los modelos que corren en el borde deben ser compactos y acotados en memoria (David et al., 2021). Tercero, un enlace de bajo consumo transmite lecturas breves y poco frecuentes, y no flujos de alta tasa (Adelantado et al., 2017). Cuarto, procesar en el borde reduce la latencia y el tráfico hacia la nube (Shi et al., 2016). De estos postulados se deduce que el nodo debe enviar poco y que el equipo intermedio debe concentrar el cálculo.</w:t>
      </w:r>
    </w:p>
    <w:p>
      <w:pPr>
        <w:pStyle w:val="BodyText"/>
      </w:pPr>
      <w:r>
        <w:t xml:space="preserve">Existen tres posiciones sobre el lugar de la corrección. La primera sitúa la inferencia en el propio sensor con modelos compactos (Warden y Situnayake, 2019). La segunda la sitúa en un equipo intermedio con más recursos, el gateway (Shi et al., 2016). La tercera la centraliza en la nube, donde el modelo se gobierna en un solo lugar. Cada posición implica un costo. La corrección en el sensor obliga a reprogramar cada nodo cuando el modelo cambia. La corrección en la nube depende del enlace y concentra el riesgo en un punto. El expediente E3, base documental del proyecto, presentó cuatro versiones sobre el lugar de la corrección. La decisión de formulación DEC-F02 resuelve esa inconsistencia.</w:t>
      </w:r>
    </w:p>
    <w:p>
      <w:pPr>
        <w:pStyle w:val="BodyText"/>
      </w:pPr>
      <w:r>
        <w:t xml:space="preserve">El diseño del proyecto responde con dos capas. Los 100 nodos hoja miden PM2,5 y PM10 con temperatura y humedad y transmiten por LoRa. Los 10 gateways, uno por cada 10 nodos, aplican el modelo de corrección y reenvían por red celular. Un enlace satelital alterno y un almacenamiento local de 7 días protegen la continuidad. Los nodos operan con panel solar y batería con autonomía mínima de 14 días sin sol. La nube aloja el entrenamiento del modelo y el gemelo digital. La revisión del informe de vigilancia no halló los términos TinyML ni computación en el borde. La decisión se apoya, entonces, en literatura de dominio y no en el corpus (hallazgo de revisión de esta corrida).</w:t>
      </w:r>
    </w:p>
    <w:p>
      <w:pPr>
        <w:pStyle w:val="BodyText"/>
      </w:pPr>
      <w:r>
        <w:t xml:space="preserve">La consecuencia es una regla de diseño. La corrección se define en un solo lugar, el gateway (DEC-F02). Se retiran las versiones de corrección en el chip del sensor y en el microcontrolador de cada nodo. El proyecto toma de TinyML el criterio de modelos compactos con memoria acotada y lo aplica en el gateway (PROPUESTO). Dos riesgos se tratan con las metas de OE2. R-TEC-02 es el agotamiento de las baterías y R-TEC-03 es la pérdida del enlace celular. Las metas son la autonomía y el almacenamiento local.</w:t>
      </w:r>
    </w:p>
    <w:bookmarkEnd w:id="390"/>
    <w:bookmarkStart w:id="391" w:name="_Toc00900149"/>
    <w:p>
      <w:pPr>
        <w:pStyle w:val="Heading3"/>
      </w:pPr>
      <w:r>
        <w:t xml:space="preserve">4.1.3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Su propósito original era anticipar comportamientos emergentes no deseados en sistemas complejos. Tao et al. (2019) revisaron las aplicaciones industriales del concepto y las ubicaron en el diseño, la producción y el mantenimiento predictivo. La expansión de los usos se asocia con la dispersión de los significados.</w:t>
      </w:r>
    </w:p>
    <w:p>
      <w:pPr>
        <w:pStyle w:val="BodyText"/>
      </w:pPr>
      <w:r>
        <w:t xml:space="preserve">El informe de vigilancia tecnológica y bibliometría de 42 documentos (F-INF) halló el término en al menos 11 documentos con cinco acepciones. Son la simulación física calibrada y la réplica de lógica de control. Siguen la representación con hilo digital, el modelo sustituto de aprendizaje supervisado y el modelo de estado de un componente. Seis patentes emplean el término: Gumaste et al. (2021, pp. 11 y 17-18), Hurst et al. (2024, p. 10), Eckenrode y Stevenson (2025, pp. 23-24), Hale et al. (2025, p. 7), Røine (2024, p. 15) y Acosta y Horstmann (2026, pp. 24-26). También lo emplean dos artículos: Wei et al. (2026, p. 4) y Gallego-Cartagena et al. (2026, pp. 19-20). El informe no asigna cada documento a una acepción. La Tabla 4.1 presenta las cinco con la posición del proyecto.</w:t>
      </w:r>
    </w:p>
    <w:p>
      <w:pPr>
        <w:pStyle w:val="BodyText"/>
      </w:pPr>
      <w:r>
        <w:t xml:space="preserve">Dos posiciones se contrastan en la literatura. La posición estricta exige acoplamiento bidireccional: el modelo virtual recibe datos del sistema físico y devuelve decisiones que lo modifican (Grieves y Vickers, 2017). La posición amplia admite como gemelo cualquier modelo actualizado con datos del sistema, aunque no lo controle (Tao et al., 2019). La diferencia no es semántica. Determina la evidencia de desempeño que se exige y la validación que se reporta. En el corpus, la misma red de memoria de corto y largo plazo alcanza un R² de 0,70 en un estudio. En otro alcanza 0,156 y 0,193, a una hora en ambos casos (Huang et al., 2025; Wei et al., 2026). La divergencia indica que la arquitectura no basta para prever el desempeño.</w:t>
      </w:r>
    </w:p>
    <w:p>
      <w:pPr>
        <w:pStyle w:val="BodyText"/>
      </w:pPr>
      <w:r>
        <w:t xml:space="preserve">En el proyecto, el gemelo digital es el modelo de estimación espacial que aloja la nube. Recibe las mediciones corregidas de los gateways y estima la concentración entre nodos. Se vincula con dos variables del modelo causal: V10, la densidad del gemelo en nodos por kilómetro cuadrado, y V07, la frecuencia de calibración en ajustes por semana. El gemelo no actúa sobre el sistema físico. Entrega estimaciones al tablero y los comités deciden. Con la posición estricta, el proyecto no cumpliría el acoplamiento bidireccional. Con la posición amplia, sí lo cumpliría. El equipo incluye un analista de datos espaciales y gemelo digital (línea P12).</w:t>
      </w:r>
    </w:p>
    <w:p>
      <w:pPr>
        <w:pStyle w:val="BodyText"/>
      </w:pPr>
      <w:r>
        <w:t xml:space="preserve">La decisión de formulación es declarar la acepción adoptada. Es el modelo sustituto de aprendizaje supervisado, actualizado con datos corregidos (PROPUESTO). El gemelo se evalúa contra una línea base de persistencia. Cinco de nueve documentos de pronóstico del corpus carecen de ella (F-INF, §1.3, hallazgo 2). El software de corrección y el gemelo se registran ante la Dirección Nacional de Derecho de Autor (DNDA) como un solo producto (PERS-P02).</w:t>
      </w:r>
    </w:p>
    <w:p>
      <w:pPr>
        <w:pStyle w:val="BodyText"/>
      </w:pPr>
      <w:r>
        <w:t xml:space="preserve">La Tabla 4.1 resume las cinco acepciones y la posición del proyecto.</w:t>
      </w:r>
    </w:p>
    <w:p>
      <w:pPr>
        <w:pStyle w:val="TablaRotulo"/>
      </w:pPr>
      <w:bookmarkStart w:id="9274" w:name="rot_Tabla_4_1"/>
      <w:r>
        <w:rPr>
          <w:b/>
          <w:bCs/>
        </w:rPr>
        <w:t xml:space="preserve">Tabla 4.1</w:t>
      </w:r>
      <w:bookmarkEnd w:id="9274"/>
    </w:p>
    <w:p>
      <w:pPr>
        <w:pStyle w:val="TablaTitulo"/>
      </w:pPr>
      <w:r>
        <w:rPr>
          <w:i/>
          <w:iCs/>
        </w:rPr>
        <w:t xml:space="preserve">Acepciones del gemelo digital en el corpus y posición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1848"/>
        <w:gridCol w:w="1914"/>
        <w:gridCol w:w="2112"/>
      </w:tblGrid>
      <w:tr>
        <w:trPr>
          <w:cantSplit/>
          <w:tblHeader/>
        </w:trPr>
        <w:tc>
          <w:tcPr>
            <w:shd w:val="clear" w:color="auto" w:fill="00B050"/>
          </w:tcPr>
          <w:p>
            <w:pPr>
              <w:pStyle w:val="Tabla9"/>
              <w:jc w:val="center"/>
            </w:pPr>
            <w:r>
              <w:rPr>
                <w:b/>
                <w:color w:val="FFFFFF"/>
              </w:rPr>
              <w:t xml:space="preserve">Acepción</w:t>
            </w:r>
          </w:p>
        </w:tc>
        <w:tc>
          <w:tcPr>
            <w:shd w:val="clear" w:color="auto" w:fill="00B050"/>
          </w:tcPr>
          <w:p>
            <w:pPr>
              <w:pStyle w:val="Tabla9"/>
              <w:jc w:val="center"/>
            </w:pPr>
            <w:r>
              <w:rPr>
                <w:b/>
                <w:color w:val="FFFFFF"/>
              </w:rPr>
              <w:t xml:space="preserve">Descripción operativa</w:t>
            </w:r>
          </w:p>
        </w:tc>
        <w:tc>
          <w:tcPr>
            <w:shd w:val="clear" w:color="auto" w:fill="00B050"/>
          </w:tcPr>
          <w:p>
            <w:pPr>
              <w:pStyle w:val="Tabla9"/>
              <w:jc w:val="center"/>
            </w:pPr>
            <w:r>
              <w:rPr>
                <w:b/>
                <w:color w:val="FFFFFF"/>
              </w:rPr>
              <w:t xml:space="preserve">Dato que exige</w:t>
            </w:r>
          </w:p>
        </w:tc>
        <w:tc>
          <w:tcPr>
            <w:shd w:val="clear" w:color="auto" w:fill="00B050"/>
          </w:tcPr>
          <w:p>
            <w:pPr>
              <w:pStyle w:val="Tabla9"/>
              <w:jc w:val="center"/>
            </w:pPr>
            <w:r>
              <w:rPr>
                <w:b/>
                <w:color w:val="FFFFFF"/>
              </w:rPr>
              <w:t xml:space="preserve">Posición del proyecto</w:t>
            </w:r>
          </w:p>
        </w:tc>
      </w:tr>
      <w:tr>
        <w:trPr>
          <w:cantSplit/>
        </w:trPr>
        <w:tc>
          <w:tcPr/>
          <w:p>
            <w:pPr>
              <w:pStyle w:val="Tabla9"/>
              <w:jc w:val="left"/>
            </w:pPr>
            <w:r>
              <w:t xml:space="preserve">Simulación física calibrada</w:t>
            </w:r>
          </w:p>
        </w:tc>
        <w:tc>
          <w:tcPr/>
          <w:p>
            <w:pPr>
              <w:pStyle w:val="Tabla9"/>
              <w:jc w:val="left"/>
            </w:pPr>
            <w:r>
              <w:t xml:space="preserve">Modelo basado en leyes físicas, ajustado con mediciones</w:t>
            </w:r>
          </w:p>
        </w:tc>
        <w:tc>
          <w:tcPr/>
          <w:p>
            <w:pPr>
              <w:pStyle w:val="Tabla9"/>
              <w:jc w:val="left"/>
            </w:pPr>
            <w:r>
              <w:t xml:space="preserve">Viento, precipitación y condiciones de frontera</w:t>
            </w:r>
          </w:p>
        </w:tc>
        <w:tc>
          <w:tcPr/>
          <w:p>
            <w:pPr>
              <w:pStyle w:val="Tabla9"/>
              <w:jc w:val="left"/>
            </w:pPr>
            <w:r>
              <w:t xml:space="preserve">No adoptada: el modelo de 15 variables no incluye dirección del viento ni precipitación</w:t>
            </w:r>
          </w:p>
        </w:tc>
      </w:tr>
      <w:tr>
        <w:trPr>
          <w:cantSplit/>
        </w:trPr>
        <w:tc>
          <w:tcPr/>
          <w:p>
            <w:pPr>
              <w:pStyle w:val="Tabla9"/>
              <w:jc w:val="left"/>
            </w:pPr>
            <w:r>
              <w:t xml:space="preserve">Réplica de lógica de control</w:t>
            </w:r>
          </w:p>
        </w:tc>
        <w:tc>
          <w:tcPr/>
          <w:p>
            <w:pPr>
              <w:pStyle w:val="Tabla9"/>
              <w:jc w:val="left"/>
            </w:pPr>
            <w:r>
              <w:t xml:space="preserve">Copia del software que controla un equipo</w:t>
            </w:r>
          </w:p>
        </w:tc>
        <w:tc>
          <w:tcPr/>
          <w:p>
            <w:pPr>
              <w:pStyle w:val="Tabla9"/>
              <w:jc w:val="left"/>
            </w:pPr>
            <w:r>
              <w:t xml:space="preserve">Código y estados del controlador</w:t>
            </w:r>
          </w:p>
        </w:tc>
        <w:tc>
          <w:tcPr/>
          <w:p>
            <w:pPr>
              <w:pStyle w:val="Tabla9"/>
              <w:jc w:val="left"/>
            </w:pPr>
            <w:r>
              <w:t xml:space="preserve">No adoptada: el proyecto no controla un proceso físico</w:t>
            </w:r>
          </w:p>
        </w:tc>
      </w:tr>
      <w:tr>
        <w:trPr>
          <w:cantSplit/>
        </w:trPr>
        <w:tc>
          <w:tcPr/>
          <w:p>
            <w:pPr>
              <w:pStyle w:val="Tabla9"/>
              <w:jc w:val="left"/>
            </w:pPr>
            <w:r>
              <w:t xml:space="preserve">Representación con hilo digital</w:t>
            </w:r>
          </w:p>
        </w:tc>
        <w:tc>
          <w:tcPr/>
          <w:p>
            <w:pPr>
              <w:pStyle w:val="Tabla9"/>
              <w:jc w:val="left"/>
            </w:pPr>
            <w:r>
              <w:t xml:space="preserve">Registro enlazado del ciclo de vida de un activo</w:t>
            </w:r>
          </w:p>
        </w:tc>
        <w:tc>
          <w:tcPr/>
          <w:p>
            <w:pPr>
              <w:pStyle w:val="Tabla9"/>
              <w:jc w:val="left"/>
            </w:pPr>
            <w:r>
              <w:t xml:space="preserve">Trazabilidad por activo</w:t>
            </w:r>
          </w:p>
        </w:tc>
        <w:tc>
          <w:tcPr/>
          <w:p>
            <w:pPr>
              <w:pStyle w:val="Tabla9"/>
              <w:jc w:val="left"/>
            </w:pPr>
            <w:r>
              <w:t xml:space="preserve">Parcial: inventario con huella de configuración de nodos y gateways</w:t>
            </w:r>
          </w:p>
        </w:tc>
      </w:tr>
      <w:tr>
        <w:trPr>
          <w:cantSplit/>
        </w:trPr>
        <w:tc>
          <w:tcPr/>
          <w:p>
            <w:pPr>
              <w:pStyle w:val="Tabla9"/>
              <w:jc w:val="left"/>
            </w:pPr>
            <w:r>
              <w:t xml:space="preserve">Modelo sustituto de aprendizaje supervisado</w:t>
            </w:r>
          </w:p>
        </w:tc>
        <w:tc>
          <w:tcPr/>
          <w:p>
            <w:pPr>
              <w:pStyle w:val="Tabla9"/>
              <w:jc w:val="left"/>
            </w:pPr>
            <w:r>
              <w:t xml:space="preserve">Modelo entrenado que aproxima el estado a partir de datos</w:t>
            </w:r>
          </w:p>
        </w:tc>
        <w:tc>
          <w:tcPr/>
          <w:p>
            <w:pPr>
              <w:pStyle w:val="Tabla9"/>
              <w:jc w:val="left"/>
            </w:pPr>
            <w:r>
              <w:t xml:space="preserve">Series corregidas de los nodos y covariables</w:t>
            </w:r>
          </w:p>
        </w:tc>
        <w:tc>
          <w:tcPr/>
          <w:p>
            <w:pPr>
              <w:pStyle w:val="Tabla9"/>
              <w:jc w:val="left"/>
            </w:pPr>
            <w:r>
              <w:t xml:space="preserve">Adoptada: estimación espacial entre nodos, actualizada con datos corregidos</w:t>
            </w:r>
          </w:p>
        </w:tc>
      </w:tr>
      <w:tr>
        <w:trPr>
          <w:cantSplit/>
        </w:trPr>
        <w:tc>
          <w:tcPr/>
          <w:p>
            <w:pPr>
              <w:pStyle w:val="Tabla9"/>
              <w:jc w:val="left"/>
            </w:pPr>
            <w:r>
              <w:t xml:space="preserve">Modelo de estado de un componente</w:t>
            </w:r>
          </w:p>
        </w:tc>
        <w:tc>
          <w:tcPr/>
          <w:p>
            <w:pPr>
              <w:pStyle w:val="Tabla9"/>
              <w:jc w:val="left"/>
            </w:pPr>
            <w:r>
              <w:t xml:space="preserve">Estimación del estado de salud de un equipo</w:t>
            </w:r>
          </w:p>
        </w:tc>
        <w:tc>
          <w:tcPr/>
          <w:p>
            <w:pPr>
              <w:pStyle w:val="Tabla9"/>
              <w:jc w:val="left"/>
            </w:pPr>
            <w:r>
              <w:t xml:space="preserve">Telemetría del equipo</w:t>
            </w:r>
          </w:p>
        </w:tc>
        <w:tc>
          <w:tcPr/>
          <w:p>
            <w:pPr>
              <w:pStyle w:val="Tabla9"/>
              <w:jc w:val="left"/>
            </w:pPr>
            <w:r>
              <w:t xml:space="preserve">No adoptada como producto: la energía del nodo alimenta V09</w:t>
            </w:r>
          </w:p>
        </w:tc>
      </w:tr>
    </w:tbl>
    <w:p>
      <w:pPr>
        <w:pStyle w:val="TablaNota"/>
      </w:pPr>
      <w:r>
        <w:rPr>
          <w:i/>
          <w:iCs/>
        </w:rPr>
        <w:t xml:space="preserve">Nota.</w:t>
      </w:r>
      <w:r>
        <w:t xml:space="preserve"> </w:t>
      </w:r>
      <w:r>
        <w:t xml:space="preserve">Elaboración propia. Los nombres de las acepciones provienen de F-INF (§1.3, hallazgo 7); las descripciones y la posición del proyecto son PROPUESTO. Verificación de las fuentes: NO_VERIFICADO.</w:t>
      </w:r>
    </w:p>
    <w:p>
      <w:pPr>
        <w:pStyle w:val="BodyText"/>
      </w:pPr>
      <w:r>
        <w:t xml:space="preserve">La Tabla 4.1 muestra que el proyecto adopta una sola acepción de forma plena y una de forma parcial. Esa selección acota lo que el gemelo promete. Estima una variable ambiental entre nodos y no simula la dispersión física ni controla equipos. La acotación evita juzgar el gemelo con criterios que no le corresponden.</w:t>
      </w:r>
    </w:p>
    <w:bookmarkEnd w:id="391"/>
    <w:bookmarkStart w:id="392" w:name="_Toc00900150"/>
    <w:p>
      <w:pPr>
        <w:pStyle w:val="Heading3"/>
      </w:pPr>
      <w:r>
        <w:t xml:space="preserve">4.1.4 Gestión del riesgo y alerta temprana</w:t>
      </w:r>
    </w:p>
    <w:p>
      <w:pPr>
        <w:pStyle w:val="FirstParagraph"/>
      </w:pPr>
      <w:r>
        <w:t xml:space="preserve">La alerta temprana es un proceso que une conocimiento del riesgo, monitoreo, comunicación y respuesta, y no un instrumento aislado. La Ley 1523 de 2012 adopta la política nacional de gestión del riesgo de desastres. Además crea el Sistema Nacional de Gestión del Riesgo de Desastres (Congreso de la República, 2012a). La ley organiza la gestión en tres procesos: conocimiento del riesgo, reducción del riesgo y manejo del desastre. Asigna responsabilidades a las entidades territoriales. El Marco de Sendái 2015-2030 pertenece a la Oficina de las Naciones Unidas para la Reducción del Riesgo de Desastres (UNDRR). Fija prioridades de comprensión del riesgo, gobernanza, inversión en resiliencia y preparación (UNDRR, 2015). Incluye además una meta global sobre el acceso a sistemas de alerta temprana multiamenaza.</w:t>
      </w:r>
    </w:p>
    <w:p>
      <w:pPr>
        <w:pStyle w:val="BodyText"/>
      </w:pPr>
      <w:r>
        <w:t xml:space="preserve">La medición de material particulado alimenta la alerta mediante un índice de salud. Pope y Dockery (2006) sintetizaron la asociación epidemiológica entre el material particulado fino y los desenlaces de salud. Stieb et al. (2008) propusieron un índice de calidad del aire y salud (AQHI) multicontaminante y sin umbral, basado en asociaciones de corto plazo. Landrigan et al. (2004) documentaron las consecuencias ambientales y de salud del desastre del World Trade Center, un antecedente de exposición a polvo tras un colapso. Estos trabajos establecen asociación. No atribuyen al proyecto ningún efecto causal.</w:t>
      </w:r>
    </w:p>
    <w:p>
      <w:pPr>
        <w:pStyle w:val="BodyText"/>
      </w:pPr>
      <w:r>
        <w:t xml:space="preserve">Dos posiciones se contrastan sobre la forma de alertar. La primera usa umbrales de concentración fijados por norma. La segunda usa un índice que combina contaminantes (Stieb et al., 2008). La literatura sobre índices muestra una brecha de validación. De 53 estudios de AQHI, 88,7 % es de China, ninguno de América Latina y solo 9,4 % validó con partición de datos (Liao et al., 2026, pp. 6 y 8). Además, ninguno de los cinco documentos del corpus que describen alertas reporta detección, falsas alarmas ni anticipación (F-INF, §1.3, hallazgo 2). El Sistema de Alerta Temprana de Medellín y el Valle de Aburrá (SIATA) es el de mayor madurez del corpus. No evalúa sus alertas con un contrafactual (Ruiz-Carrascal et al., 2026, pp. 2, 5 y 7).</w:t>
      </w:r>
    </w:p>
    <w:p>
      <w:pPr>
        <w:pStyle w:val="BodyText"/>
      </w:pPr>
      <w:r>
        <w:t xml:space="preserve">El proyecto emite alertas desde el tablero del AQHI con umbrales validados localmente. La fórmula local del índice no figura en el expediente (VACIO) y se registra como [DATO_USUARIO: fórmula local del índice AQHI y sus umbrales]. La variable V11 mide el índice en una escala de 1 a 10. V12 mide las falsas alarmas en porcentaje. V13 mide la anticipación en horas. V13 carece de línea base en el corpus. El protocolo se articula con 15 comités de gestión del riesgo, 12 municipales y tres departamentales (SUPUESTO). Corresponden a los consejos que la Ley 1523 de 2012 establece. La Unidad Nacional para la Gestión del Riesgo de Desastres (UNGRD) integra la alianza prevista (SUPUESTO).</w:t>
      </w:r>
    </w:p>
    <w:p>
      <w:pPr>
        <w:pStyle w:val="BodyText"/>
      </w:pPr>
      <w:r>
        <w:t xml:space="preserve">La consecuencia metodológica es doble. El protocolo de alerta se co-diseña con los comités y sus umbrales se validan frente a la referencia en el tramo 1. La reducción relativa de falsas alarmas, con meta de 30 % o más, se mide contra esa línea base (PERS-E02). El proyecto no afirma efectos en salud. Sus resultados son técnicos, de adopción y de continuidad.</w:t>
      </w:r>
    </w:p>
    <w:bookmarkEnd w:id="392"/>
    <w:bookmarkStart w:id="393" w:name="_Toc00900151"/>
    <w:p>
      <w:pPr>
        <w:pStyle w:val="Heading3"/>
      </w:pPr>
      <w:r>
        <w:t xml:space="preserve">4.1.5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También distingue cinco etapas de decisión: conocimiento, persuasión, decisión, implementación y confirmación.</w:t>
      </w:r>
    </w:p>
    <w:p>
      <w:pPr>
        <w:pStyle w:val="BodyText"/>
      </w:pPr>
      <w:r>
        <w:t xml:space="preserve">Los modelos de aceptación tecnológica centran el análisis en la persona. Davis (1989) mostró que la utilidad percibida y la facilidad de uso percibida predicen la aceptación de una tecnología de la información. Venkatesh et al. (2003) unificaron ocho modelos previos en una teoría con cuatro determinantes: expectativa de desempeño, expectativa de esfuerzo, influencia social y condiciones facilitadoras. Ambos aportes explican por qué una herramienta técnicamente correcta puede quedar sin uso.</w:t>
      </w:r>
    </w:p>
    <w:p>
      <w:pPr>
        <w:pStyle w:val="BodyText"/>
      </w:pPr>
      <w:r>
        <w:t xml:space="preserve">Dos posiciones se contrastan. La perspectiva individual sostiene que la utilidad percibida explica el uso (Davis, 1989; Venkatesh et al., 2003). La perspectiva organizacional sostiene que el personal de servicio público ejerce discreción y adapta las herramientas a sus rutinas (Lipsky, 1980). La adopción depende entonces de las condiciones del cargo. Arnstein (1969) añade que la participación real exige poder de decisión y no solo consulta. Las dos perspectivas no se excluyen. Implican acciones distintas: capacitar a la persona o rediseñar la rutina.</w:t>
      </w:r>
    </w:p>
    <w:p>
      <w:pPr>
        <w:pStyle w:val="BodyText"/>
      </w:pPr>
      <w:r>
        <w:t xml:space="preserve">La variable V15 mide la adopción institucional como el uso efectivo del tablero por alcaldías y UNGRD, en porcentaje. En S2 es una variable crítica, con influencia 7 y dependencia 7. El indicador PERS-E01 define el uso como al menos una decisión documentada por trimestre basada en el tablero. La meta es 75 % o más de los comités focalizados al mes 24. La compuerta C1 es el punto de decisión del mes 12 sobre la ampliación al tramo 2. Exige que 50 % o más de los comités del tramo 1 use el tablero. El riesgo R-ORG-01 es que los comités no adopten el tablero ni el protocolo. Su nivel es ALTO, con un producto de probabilidad e impacto de 15. La focalización abarca 15 comités y 150 funcionarios beneficiarios directos, 10 por comité (SUPUESTO).</w:t>
      </w:r>
    </w:p>
    <w:p>
      <w:pPr>
        <w:pStyle w:val="BodyText"/>
      </w:pPr>
      <w:r>
        <w:t xml:space="preserve">El proyecto mide la adopción por decisiones documentadas. No la mide por accesos al tablero. Dedica 24 semanas al co-diseño de umbrales y protocolo con los comités (actividad A3.1) y 12 semanas a la puesta en uso (actividad A3.2). Diseña el tablero para reducir el esfuerzo percibido y lo prueba en el tramo 1 antes de ampliar (PROPUESTO).</w:t>
      </w:r>
    </w:p>
    <w:bookmarkEnd w:id="393"/>
    <w:bookmarkStart w:id="394" w:name="_Toc00900152"/>
    <w:p>
      <w:pPr>
        <w:pStyle w:val="Heading3"/>
      </w:pPr>
      <w:r>
        <w:t xml:space="preserve">4.1.6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formales o informales. Las distingue de las organizaciones, que actúan dentro de ellas. Sostiene que las instituciones reducen la incertidumbre y moldean los costos de transacción. Ostrom (2005) propone un marco de análisis institucional que describe las situaciones de acción y las reglas en uso que las configuran. Distingue siete tipos de reglas: de frontera, de posición, de elección, de información, de pago, de agregación y de alcance.</w:t>
      </w:r>
    </w:p>
    <w:p>
      <w:pPr>
        <w:pStyle w:val="BodyText"/>
      </w:pPr>
      <w:r>
        <w:t xml:space="preserve">Ostrom estudió la gestión de recursos de uso común. Mostró que las comunidades de usuarios pueden autoorganizarse cuando las reglas se ajustan a las condiciones locales (Ostrom, 2005). Una red de sensores comparte con un recurso común dos rasgos. El beneficio es colectivo y el mantenimiento exige contribuciones individuales. Esa analogía justifica aplicar el marco a la custodia de la red.</w:t>
      </w:r>
    </w:p>
    <w:p>
      <w:pPr>
        <w:pStyle w:val="BodyText"/>
      </w:pPr>
      <w:r>
        <w:t xml:space="preserve">Dos posiciones se contrastan sobre quién debe sostener un bien compartido. Ostrom (2005) sostiene que las reglas ajustadas por los propios usuarios son más ejecutables que las impuestas. North (1990) subraya que, sin reglas formales y mecanismos de cumplimiento, los costos de transacción impiden la cooperación estable. Scharpf (1997) añade que las instituciones condicionan las opciones de los actores, pero no determinan su conducta. Collingridge (1980) aporta un ángulo temporal. El control de una tecnología es fácil cuando aún se sabe poco y difícil cuando ya se sabe. Conviene entonces decidir de forma gradual y reversible.</w:t>
      </w:r>
    </w:p>
    <w:p>
      <w:pPr>
        <w:pStyle w:val="BodyText"/>
      </w:pPr>
      <w:r>
        <w:t xml:space="preserve">El proyecto aplica estas ideas con una custodia distribuida por componente y por tramo. Los convenios de cada tramo asignan quién opera los nodos, los gateways y la plataforma. La estrategia R3, que transfería la red a las alcaldías al mes 25 como receptor único, no se recomienda como diseño base. El presupuesto de formación y soporte a custodios suma tres tramos (línea S09). La meta PERS-E03 exige 60 personas o más certificadas y PERS-S02 exige una continuidad de 70 % o más a los 12 meses del cierre. Las alcaldías no aportan contrapartida (VACIO). El riesgo R-ORG-02, de que los custodios no asuman la operación, es de nivel ALTO con una probabilidad de 50 %.</w:t>
      </w:r>
    </w:p>
    <w:p>
      <w:pPr>
        <w:pStyle w:val="BodyText"/>
      </w:pPr>
      <w:r>
        <w:t xml:space="preserve">La consecuencia es que los convenios de custodia definen las siete clases de reglas de Ostrom antes de la transferencia. Precisan quién entra a la red, qué acciones puede ejecutar cada cargo, qué información se reporta y quién asume los costos. La compuerta C2 condiciona la consolidación del tramo 3 a que existan convenios de custodia con partida. El efecto es una transferencia gradual. Ocurre por tramos y no de una sola vez, conforme al criterio de decidir de forma reversible (Collingridge, 1980).</w:t>
      </w:r>
    </w:p>
    <w:bookmarkEnd w:id="394"/>
    <w:bookmarkStart w:id="395" w:name="_Toc00900153"/>
    <w:p>
      <w:pPr>
        <w:pStyle w:val="Heading3"/>
      </w:pPr>
      <w:r>
        <w:t xml:space="preserve">4.1.7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No cuestiona las variables que gobiernan su acción, como las metas, los valores y las reglas. En el bucle doble, cuestiona y modifica esas variables de gobierno. Argyris (1999) añade que las rutinas defensivas de las organizaciones bloquean el segundo tipo de aprendizaje.</w:t>
      </w:r>
    </w:p>
    <w:p>
      <w:pPr>
        <w:pStyle w:val="BodyText"/>
      </w:pPr>
      <w:r>
        <w:t xml:space="preserve">Dos posiciones se contrastan sobre la mejora continua. Deming (1986) propone reducir la variación de los procesos mediante ciclos de planificación, ejecución, verificación y actuación, lo que corresponde sobre todo al bucle simple. Argyris y Schön (1978) sostienen que ese ciclo no basta cuando las premisas de la acción son erróneas. Patton (2011) propone la evaluación del desarrollo para innovaciones en contextos complejos, donde las metas cambian durante la ejecución. El debate decide si la evaluación del proyecto solo verifica metas o también examina si las metas son las correctas.</w:t>
      </w:r>
    </w:p>
    <w:p>
      <w:pPr>
        <w:pStyle w:val="BodyText"/>
      </w:pPr>
      <w:r>
        <w:t xml:space="preserve">El proyecto incorpora ambos bucles. El reentrenamiento del modelo por departamento es de bucle simple, porque detecta un desvío del R² o del NRMSE y lo corrige. El diseño por tramos con compuertas habilita el bucle doble. En C1 se evalúa si el modelo cumple los umbrales y también si al menos 50 % de los comités usa el tablero. Un incumplimiento puede llevar a revisar los umbrales, la ubicación de los nodos o el protocolo. Se prevén seis ciclos de calibración, dos por tramo (PERS-R02), y dos evaluaciones externas independientes en los meses 12 y 24 (línea S07).</w:t>
      </w:r>
    </w:p>
    <w:p>
      <w:pPr>
        <w:pStyle w:val="BodyText"/>
      </w:pPr>
      <w:r>
        <w:t xml:space="preserve">La consecuencia metodológica es que el acta de cada compuerta registra dos tipos de decisión. Las decisiones de bucle simple corrigen parámetros del modelo o de la operación. Las decisiones de bucle doble modifican umbrales, convenios, ubicaciones o metas. Esa distinción evita que un incumplimiento de adopción se trate como un problema de calibración.</w:t>
      </w:r>
    </w:p>
    <w:bookmarkEnd w:id="395"/>
    <w:bookmarkStart w:id="399" w:name="_Toc00900154"/>
    <w:p>
      <w:pPr>
        <w:pStyle w:val="Heading3"/>
      </w:pPr>
      <w:r>
        <w:t xml:space="preserve">4.1.8 Integración teórica del proyecto</w:t>
      </w:r>
    </w:p>
    <w:p>
      <w:pPr>
        <w:pStyle w:val="FirstParagraph"/>
      </w:pPr>
      <w:r>
        <w:t xml:space="preserve">Las siete teorías forman una cadena de dependencia y no un inventario. La metrología asegura que el dato posea un error conocido. La computación en el borde decide dónde se corrige ese dato y con qué energía. El gemelo digital convierte datos puntuales en estimaciones espaciales.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Esa dependencia coincide con la estructura causal de S2, donde V06 recibe influencia de V01, V02, V03 y V07 y transmite a V11 y V12. Un ciclo cierra la secuencia: la baja confianza reduce el uso y el menor uso reduce los recursos de sostenimiento (hipótesis de influencia estructural). Por eso el proyecto no ordena sus objetivos por separado. OE1 asegura el dato, OE2 sostiene la red y OE3 asegura el uso y la custodia.</w:t>
      </w:r>
    </w:p>
    <w:p>
      <w:pPr>
        <w:pStyle w:val="BodyText"/>
      </w:pPr>
      <w:r>
        <w:t xml:space="preserve">El proyecto es una investigación de ciencia del diseño. Hevner et al. (2004) definen esta ciencia como la creación y la evaluación de artefactos que resuelven problemas organizacionales. El artefacto del proyecto es la red con su modelo de corrección, su gemelo y su tablero. La evaluación ocurre en el entorno operativo. La escala de niveles de madurez tecnológica (TRL, por sus siglas en inglés) de Mankins (1995) ubica el avance entre dos niveles. El nivel 4 es la validación de componentes en laboratorio. El nivel 7 es la demostración de un prototipo de sistema en entorno operativo (PROPUESTO). El nivel 8 queda condicionado a una evaluación independiente de desempeño (DEC-F05).</w:t>
      </w:r>
    </w:p>
    <w:p>
      <w:pPr>
        <w:pStyle w:val="BodyText"/>
      </w:pPr>
      <w:r>
        <w:t xml:space="preserve">La integración presenta límites. Las relaciones del modelo son hipótesis de influencia estructural y no efectos estimados. Ninguna de las 15 variables representa la hipótesis rival de una arquitectura dependiente de la nube. Las inferencias del análisis causal son hipótesis de interpretación sin efecto estimado (INFERIDO). La teoría guía el diseño, y la evidencia del tramo 1 decide si el diseño se mantiene.</w:t>
      </w:r>
    </w:p>
    <w:p>
      <w:pPr>
        <w:pStyle w:val="BodyText"/>
      </w:pPr>
      <w:r>
        <w:t xml:space="preserve">La Tabla 4.2 sintetiza las siete teorías y sus decisiones.</w:t>
      </w:r>
    </w:p>
    <w:p>
      <w:pPr>
        <w:pStyle w:val="TablaRotulo"/>
      </w:pPr>
      <w:bookmarkStart w:id="9275" w:name="rot_Tabla_4_2"/>
      <w:r>
        <w:rPr>
          <w:b/>
          <w:bCs/>
        </w:rPr>
        <w:t xml:space="preserve">Tabla 4.2</w:t>
      </w:r>
      <w:bookmarkEnd w:id="9275"/>
    </w:p>
    <w:p>
      <w:pPr>
        <w:pStyle w:val="TablaTitulo"/>
      </w:pPr>
      <w:r>
        <w:rPr>
          <w:i/>
          <w:iCs/>
        </w:rPr>
        <w:t xml:space="preserve">Síntesis de las teorías aplicables al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1650"/>
        <w:gridCol w:w="1782"/>
        <w:gridCol w:w="1584"/>
      </w:tblGrid>
      <w:tr>
        <w:trPr>
          <w:cantSplit/>
          <w:tblHeader/>
        </w:trPr>
        <w:tc>
          <w:tcPr>
            <w:shd w:val="clear" w:color="auto" w:fill="00B050"/>
          </w:tcPr>
          <w:p>
            <w:pPr>
              <w:pStyle w:val="Tabla9"/>
              <w:jc w:val="center"/>
            </w:pPr>
            <w:r>
              <w:rPr>
                <w:b/>
                <w:color w:val="FFFFFF"/>
              </w:rPr>
              <w:t xml:space="preserve">Teoría</w:t>
            </w:r>
          </w:p>
        </w:tc>
        <w:tc>
          <w:tcPr>
            <w:shd w:val="clear" w:color="auto" w:fill="00B050"/>
          </w:tcPr>
          <w:p>
            <w:pPr>
              <w:pStyle w:val="Tabla9"/>
              <w:jc w:val="center"/>
            </w:pPr>
            <w:r>
              <w:rPr>
                <w:b/>
                <w:color w:val="FFFFFF"/>
              </w:rPr>
              <w:t xml:space="preserve">Autores seminales</w:t>
            </w:r>
          </w:p>
        </w:tc>
        <w:tc>
          <w:tcPr>
            <w:shd w:val="clear" w:color="auto" w:fill="00B050"/>
          </w:tcPr>
          <w:p>
            <w:pPr>
              <w:pStyle w:val="Tabla9"/>
              <w:jc w:val="center"/>
            </w:pPr>
            <w:r>
              <w:rPr>
                <w:b/>
                <w:color w:val="FFFFFF"/>
              </w:rPr>
              <w:t xml:space="preserve">Postulado central</w:t>
            </w:r>
          </w:p>
        </w:tc>
        <w:tc>
          <w:tcPr>
            <w:shd w:val="clear" w:color="auto" w:fill="00B050"/>
          </w:tcPr>
          <w:p>
            <w:pPr>
              <w:pStyle w:val="Tabla9"/>
              <w:jc w:val="center"/>
            </w:pPr>
            <w:r>
              <w:rPr>
                <w:b/>
                <w:color w:val="FFFFFF"/>
              </w:rPr>
              <w:t xml:space="preserve">Aplicación en el proyecto</w:t>
            </w:r>
          </w:p>
        </w:tc>
        <w:tc>
          <w:tcPr>
            <w:shd w:val="clear" w:color="auto" w:fill="00B050"/>
          </w:tcPr>
          <w:p>
            <w:pPr>
              <w:pStyle w:val="Tabla9"/>
              <w:jc w:val="center"/>
            </w:pPr>
            <w:r>
              <w:rPr>
                <w:b/>
                <w:color w:val="FFFFFF"/>
              </w:rPr>
              <w:t xml:space="preserve">Decisión metodológica</w:t>
            </w:r>
          </w:p>
        </w:tc>
      </w:tr>
      <w:tr>
        <w:trPr>
          <w:cantSplit/>
        </w:trPr>
        <w:tc>
          <w:tcPr/>
          <w:p>
            <w:pPr>
              <w:pStyle w:val="Tabla9"/>
              <w:jc w:val="left"/>
            </w:pPr>
            <w:r>
              <w:t xml:space="preserve">Metrología y calibración de sensores de bajo costo</w:t>
            </w:r>
          </w:p>
        </w:tc>
        <w:tc>
          <w:tcPr/>
          <w:p>
            <w:pPr>
              <w:pStyle w:val="Tabla9"/>
              <w:jc w:val="left"/>
            </w:pPr>
            <w:r>
              <w:t xml:space="preserve">Giordano et al. (2021); Barkjohn et al. (2021); Jayaratne et al. (2018)</w:t>
            </w:r>
          </w:p>
        </w:tc>
        <w:tc>
          <w:tcPr/>
          <w:p>
            <w:pPr>
              <w:pStyle w:val="Tabla9"/>
              <w:jc w:val="left"/>
            </w:pPr>
            <w:r>
              <w:t xml:space="preserve">La lectura óptica exige corrección con referencia colocalizada y validación independiente</w:t>
            </w:r>
          </w:p>
        </w:tc>
        <w:tc>
          <w:tcPr/>
          <w:p>
            <w:pPr>
              <w:pStyle w:val="Tabla9"/>
              <w:jc w:val="left"/>
            </w:pPr>
            <w:r>
              <w:t xml:space="preserve">V06, V02 y V03; tres referencias gravimétricas; OE1</w:t>
            </w:r>
          </w:p>
        </w:tc>
        <w:tc>
          <w:tcPr/>
          <w:p>
            <w:pPr>
              <w:pStyle w:val="Tabla9"/>
              <w:jc w:val="left"/>
            </w:pPr>
            <w:r>
              <w:t xml:space="preserve">Reentrenar por departamento y reportar R², NRMSE, pendiente y sesgo</w:t>
            </w:r>
          </w:p>
        </w:tc>
      </w:tr>
      <w:tr>
        <w:trPr>
          <w:cantSplit/>
        </w:trPr>
        <w:tc>
          <w:tcPr/>
          <w:p>
            <w:pPr>
              <w:pStyle w:val="Tabla9"/>
              <w:jc w:val="left"/>
            </w:pPr>
            <w:r>
              <w:t xml:space="preserve">Computación en el borde, TinyML y LoRaWAN</w:t>
            </w:r>
          </w:p>
        </w:tc>
        <w:tc>
          <w:tcPr/>
          <w:p>
            <w:pPr>
              <w:pStyle w:val="Tabla9"/>
              <w:jc w:val="left"/>
            </w:pPr>
            <w:r>
              <w:t xml:space="preserve">Shi et al. (2016); Warden y Situnayake (2019); Adelantado et al. (2017)</w:t>
            </w:r>
          </w:p>
        </w:tc>
        <w:tc>
          <w:tcPr/>
          <w:p>
            <w:pPr>
              <w:pStyle w:val="Tabla9"/>
              <w:jc w:val="left"/>
            </w:pPr>
            <w:r>
              <w:t xml:space="preserve">Cada tarea corre en el nivel que posee los datos y los recursos</w:t>
            </w:r>
          </w:p>
        </w:tc>
        <w:tc>
          <w:tcPr/>
          <w:p>
            <w:pPr>
              <w:pStyle w:val="Tabla9"/>
              <w:jc w:val="left"/>
            </w:pPr>
            <w:r>
              <w:t xml:space="preserve">100 nodos hoja, 10 gateways y nube; OE2</w:t>
            </w:r>
          </w:p>
        </w:tc>
        <w:tc>
          <w:tcPr/>
          <w:p>
            <w:pPr>
              <w:pStyle w:val="Tabla9"/>
              <w:jc w:val="left"/>
            </w:pPr>
            <w:r>
              <w:t xml:space="preserve">Corregir en un solo lugar, el gateway</w:t>
            </w:r>
          </w:p>
        </w:tc>
      </w:tr>
      <w:tr>
        <w:trPr>
          <w:cantSplit/>
        </w:trPr>
        <w:tc>
          <w:tcPr/>
          <w:p>
            <w:pPr>
              <w:pStyle w:val="Tabla9"/>
              <w:jc w:val="left"/>
            </w:pPr>
            <w:r>
              <w:t xml:space="preserve">Gemelos digitales</w:t>
            </w:r>
          </w:p>
        </w:tc>
        <w:tc>
          <w:tcPr/>
          <w:p>
            <w:pPr>
              <w:pStyle w:val="Tabla9"/>
              <w:jc w:val="left"/>
            </w:pPr>
            <w:r>
              <w:t xml:space="preserve">Grieves y Vickers (2017); Tao et al. (2019)</w:t>
            </w:r>
          </w:p>
        </w:tc>
        <w:tc>
          <w:tcPr/>
          <w:p>
            <w:pPr>
              <w:pStyle w:val="Tabla9"/>
              <w:jc w:val="left"/>
            </w:pPr>
            <w:r>
              <w:t xml:space="preserve">El gemelo conecta un sistema físico con un modelo virtual actualizado con datos</w:t>
            </w:r>
          </w:p>
        </w:tc>
        <w:tc>
          <w:tcPr/>
          <w:p>
            <w:pPr>
              <w:pStyle w:val="Tabla9"/>
              <w:jc w:val="left"/>
            </w:pPr>
            <w:r>
              <w:t xml:space="preserve">V10 y V07; estimación espacial entre nodos</w:t>
            </w:r>
          </w:p>
        </w:tc>
        <w:tc>
          <w:tcPr/>
          <w:p>
            <w:pPr>
              <w:pStyle w:val="Tabla9"/>
              <w:jc w:val="left"/>
            </w:pPr>
            <w:r>
              <w:t xml:space="preserve">Declarar la acepción adoptada y evaluar contra persistencia</w:t>
            </w:r>
          </w:p>
        </w:tc>
      </w:tr>
      <w:tr>
        <w:trPr>
          <w:cantSplit/>
        </w:trPr>
        <w:tc>
          <w:tcPr/>
          <w:p>
            <w:pPr>
              <w:pStyle w:val="Tabla9"/>
              <w:jc w:val="left"/>
            </w:pPr>
            <w:r>
              <w:t xml:space="preserve">Gestión del riesgo y alerta temprana</w:t>
            </w:r>
          </w:p>
        </w:tc>
        <w:tc>
          <w:tcPr/>
          <w:p>
            <w:pPr>
              <w:pStyle w:val="Tabla9"/>
              <w:jc w:val="left"/>
            </w:pPr>
            <w:r>
              <w:t xml:space="preserve">Congreso de la República (2012a); UNDRR (2015); Stieb et al. (2008)</w:t>
            </w:r>
          </w:p>
        </w:tc>
        <w:tc>
          <w:tcPr/>
          <w:p>
            <w:pPr>
              <w:pStyle w:val="Tabla9"/>
              <w:jc w:val="left"/>
            </w:pPr>
            <w:r>
              <w:t xml:space="preserve">La alerta es un proceso de conocimiento, monitoreo, comunicación y respuesta</w:t>
            </w:r>
          </w:p>
        </w:tc>
        <w:tc>
          <w:tcPr/>
          <w:p>
            <w:pPr>
              <w:pStyle w:val="Tabla9"/>
              <w:jc w:val="left"/>
            </w:pPr>
            <w:r>
              <w:t xml:space="preserve">V11, V12 y V13; 15 comités; PERS-E02</w:t>
            </w:r>
          </w:p>
        </w:tc>
        <w:tc>
          <w:tcPr/>
          <w:p>
            <w:pPr>
              <w:pStyle w:val="Tabla9"/>
              <w:jc w:val="left"/>
            </w:pPr>
            <w:r>
              <w:t xml:space="preserve">Co-diseñar el protocolo y validar umbrales en el tramo 1</w:t>
            </w:r>
          </w:p>
        </w:tc>
      </w:tr>
      <w:tr>
        <w:trPr>
          <w:cantSplit/>
        </w:trPr>
        <w:tc>
          <w:tcPr/>
          <w:p>
            <w:pPr>
              <w:pStyle w:val="Tabla9"/>
              <w:jc w:val="left"/>
            </w:pPr>
            <w:r>
              <w:t xml:space="preserve">Difusión y adopción de innovaciones</w:t>
            </w:r>
          </w:p>
        </w:tc>
        <w:tc>
          <w:tcPr/>
          <w:p>
            <w:pPr>
              <w:pStyle w:val="Tabla9"/>
              <w:jc w:val="left"/>
            </w:pPr>
            <w:r>
              <w:t xml:space="preserve">Rogers (2003); Davis (1989); Venkatesh et al. (2003)</w:t>
            </w:r>
          </w:p>
        </w:tc>
        <w:tc>
          <w:tcPr/>
          <w:p>
            <w:pPr>
              <w:pStyle w:val="Tabla9"/>
              <w:jc w:val="left"/>
            </w:pPr>
            <w:r>
              <w:t xml:space="preserve">La adopción depende de atributos percibidos y de condiciones del contexto</w:t>
            </w:r>
          </w:p>
        </w:tc>
        <w:tc>
          <w:tcPr/>
          <w:p>
            <w:pPr>
              <w:pStyle w:val="Tabla9"/>
              <w:jc w:val="left"/>
            </w:pPr>
            <w:r>
              <w:t xml:space="preserve">V15; PERS-E01; OE3</w:t>
            </w:r>
          </w:p>
        </w:tc>
        <w:tc>
          <w:tcPr/>
          <w:p>
            <w:pPr>
              <w:pStyle w:val="Tabla9"/>
              <w:jc w:val="left"/>
            </w:pPr>
            <w:r>
              <w:t xml:space="preserve">Medir decisiones documentadas y probar el tablero en el tramo 1</w:t>
            </w:r>
          </w:p>
        </w:tc>
      </w:tr>
      <w:tr>
        <w:trPr>
          <w:cantSplit/>
        </w:trPr>
        <w:tc>
          <w:tcPr/>
          <w:p>
            <w:pPr>
              <w:pStyle w:val="Tabla9"/>
              <w:jc w:val="left"/>
            </w:pPr>
            <w:r>
              <w:t xml:space="preserve">Gobernanza de bienes comunes y custodia</w:t>
            </w:r>
          </w:p>
        </w:tc>
        <w:tc>
          <w:tcPr/>
          <w:p>
            <w:pPr>
              <w:pStyle w:val="Tabla9"/>
              <w:jc w:val="left"/>
            </w:pPr>
            <w:r>
              <w:t xml:space="preserve">Ostrom (2005); North (1990)</w:t>
            </w:r>
          </w:p>
        </w:tc>
        <w:tc>
          <w:tcPr/>
          <w:p>
            <w:pPr>
              <w:pStyle w:val="Tabla9"/>
              <w:jc w:val="left"/>
            </w:pPr>
            <w:r>
              <w:t xml:space="preserve">Las reglas en uso asignan derechos y obligaciones y sostienen el bien compartido</w:t>
            </w:r>
          </w:p>
        </w:tc>
        <w:tc>
          <w:tcPr/>
          <w:p>
            <w:pPr>
              <w:pStyle w:val="Tabla9"/>
              <w:jc w:val="left"/>
            </w:pPr>
            <w:r>
              <w:t xml:space="preserve">Convenios por tramo; PERS-E03 y PERS-S02</w:t>
            </w:r>
          </w:p>
        </w:tc>
        <w:tc>
          <w:tcPr/>
          <w:p>
            <w:pPr>
              <w:pStyle w:val="Tabla9"/>
              <w:jc w:val="left"/>
            </w:pPr>
            <w:r>
              <w:t xml:space="preserve">Definir las siete clases de reglas antes de transferir</w:t>
            </w:r>
          </w:p>
        </w:tc>
      </w:tr>
      <w:tr>
        <w:trPr>
          <w:cantSplit/>
        </w:trPr>
        <w:tc>
          <w:tcPr/>
          <w:p>
            <w:pPr>
              <w:pStyle w:val="Tabla9"/>
              <w:jc w:val="left"/>
            </w:pPr>
            <w:r>
              <w:t xml:space="preserve">Aprendizaje de doble bucle</w:t>
            </w:r>
          </w:p>
        </w:tc>
        <w:tc>
          <w:tcPr/>
          <w:p>
            <w:pPr>
              <w:pStyle w:val="Tabla9"/>
              <w:jc w:val="left"/>
            </w:pPr>
            <w:r>
              <w:t xml:space="preserve">Argyris y Schön (1978); Argyris (1999)</w:t>
            </w:r>
          </w:p>
        </w:tc>
        <w:tc>
          <w:tcPr/>
          <w:p>
            <w:pPr>
              <w:pStyle w:val="Tabla9"/>
              <w:jc w:val="left"/>
            </w:pPr>
            <w:r>
              <w:t xml:space="preserve">Aprender exige corregir errores y revisar las premisas que los producen</w:t>
            </w:r>
          </w:p>
        </w:tc>
        <w:tc>
          <w:tcPr/>
          <w:p>
            <w:pPr>
              <w:pStyle w:val="Tabla9"/>
              <w:jc w:val="left"/>
            </w:pPr>
            <w:r>
              <w:t xml:space="preserve">Compuertas C1 y C2; evaluaciones externas</w:t>
            </w:r>
          </w:p>
        </w:tc>
        <w:tc>
          <w:tcPr/>
          <w:p>
            <w:pPr>
              <w:pStyle w:val="Tabla9"/>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(todas NO_VERIFICADO en esta corrida). Los datos de aplicación provienen de la ficha maestra (§2, §3, §4 y §8). Naturaleza de las decisiones metodológicas: PROPUESTO.</w:t>
      </w:r>
    </w:p>
    <w:p>
      <w:pPr>
        <w:pStyle w:val="BodyText"/>
      </w:pPr>
      <w:r>
        <w:t xml:space="preserve">La Tabla 4.2 revela que cada teoría origina una decisión verificable y que ninguna decisión depende de una sola teoría. La corrección en el gateway, por ejemplo, combina metrología y computación en el borde. El uso del tablero combina adopción, riesgo y aprendizaje. Esa superposición reduce el riesgo de que un fallo de una teoría invalide el diseño completo.</w:t>
      </w:r>
    </w:p>
    <w:p>
      <w:pPr>
        <w:pStyle w:val="BodyText"/>
      </w:pPr>
      <w:r>
        <w:t xml:space="preserve">La Figura 4.1 representa la integración como una cadena de dos filas. La fila superior va de la medición verificada a la alerta. La inferior va del uso institucional a la revisión de las variables de gobierno.</w:t>
      </w:r>
    </w:p>
    <w:p>
      <w:pPr>
        <w:pStyle w:val="FiguraRotulo"/>
      </w:pPr>
      <w:bookmarkStart w:id="9509" w:name="rot_Figura_4_1"/>
      <w:r>
        <w:rPr>
          <w:b/>
          <w:bCs/>
        </w:rPr>
        <w:t xml:space="preserve">Figura 4.1</w:t>
      </w:r>
      <w:bookmarkEnd w:id="9509"/>
    </w:p>
    <w:p>
      <w:pPr>
        <w:pStyle w:val="FiguraTitulo"/>
      </w:pPr>
      <w:r>
        <w:rPr>
          <w:i/>
          <w:iCs/>
        </w:rPr>
        <w:t xml:space="preserve">Mapa conceptual de integración teórica del proyecto</w:t>
      </w:r>
    </w:p>
    <w:p>
      <w:pPr>
        <w:pStyle w:val="BodyText"/>
      </w:pPr>
      <w:r>
        <w:drawing>
          <wp:inline>
            <wp:extent cx="5579999" cy="3917551"/>
            <wp:effectExtent b="0" l="0" r="0" t="0"/>
            <wp:docPr descr="" title="" id="397" name="Picture"/>
            <a:graphic>
              <a:graphicData uri="http://schemas.openxmlformats.org/drawingml/2006/picture">
                <pic:pic>
                  <pic:nvPicPr>
                    <pic:cNvPr descr="/tmp/claude-0/-home-user-docs/ddf38714-2a7e-502b-92b4-1008e2832422/scratchpad/proy/figs/out/c4_f01.png" id="398" name="Picture"/>
                    <pic:cNvPicPr>
                      <a:picLocks noChangeArrowheads="1" noChangeAspect="1"/>
                    </pic:cNvPicPr>
                  </pic:nvPicPr>
                  <pic:blipFill>
                    <a:blip r:embed="rId396"/>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(§2, §3 y §10) y de las obras citadas en la sección 4.1. Software: Python 3 con matplotlib; script c4_figs.py; diagrama sin componente aleatorio.</w:t>
      </w:r>
    </w:p>
    <w:p>
      <w:pPr>
        <w:pStyle w:val="BodyText"/>
      </w:pPr>
      <w:r>
        <w:t xml:space="preserve">La Figura 4.1 muestra dos grupos de teorías. Las de la fila superior sostienen la producción del dato y de la alerta. Las de la fila inferior sostienen su uso y su continuidad. La flecha discontinua cierra el bucle de aprendizaje. Lo que las compuertas deciden vuelve a modificar la corrección y el diseño del tramo siguiente. Esa estructura orienta la metodología del proyecto y su sistema de indicadores.</w:t>
      </w:r>
    </w:p>
    <w:bookmarkEnd w:id="399"/>
    <w:bookmarkEnd w:id="400"/>
    <w:bookmarkStart w:id="407" w:name="_Toc00900155"/>
    <w:p>
      <w:pPr>
        <w:pStyle w:val="Heading2"/>
      </w:pPr>
      <w:r>
        <w:t xml:space="preserve">4.2 Marco conceptual</w:t>
      </w:r>
    </w:p>
    <w:p>
      <w:pPr>
        <w:pStyle w:val="FirstParagraph"/>
      </w:pPr>
      <w:r>
        <w:t xml:space="preserve">El marco conceptual fija el significado operativo de los términos que el documento usa y las relaciones que el análisis causal postula entre ellos. Se compone de tres partes. La primera define los conceptos clave con su fuente. La segunda describe la red de relaciones entre las 15 variables del modelo. La tercera operacionaliza cada variable y cada métrica de desempeño. Esa secuencia asegura que un mismo término designe el mismo objeto en los objetivos, la metodología y los indicadores.</w:t>
      </w:r>
    </w:p>
    <w:bookmarkStart w:id="401" w:name="Xf1d4fc25dc0fbfe0913f51d91e3e89007a68b22"/>
    <w:p>
      <w:pPr>
        <w:pStyle w:val="Heading3"/>
      </w:pPr>
      <w:r>
        <w:t xml:space="preserve">4.2.1 Definiciones operacionales de los conceptos clave</w:t>
      </w:r>
    </w:p>
    <w:p>
      <w:pPr>
        <w:pStyle w:val="FirstParagraph"/>
      </w:pPr>
      <w:r>
        <w:t xml:space="preserve">Una definición operacional enuncia cómo se mide o se reconoce un concepto, y no solo qué significa. El proyecto parte de dos fuentes. La primera es el diccionario de 15 variables del análisis de Vester, que conserva las definiciones del expediente E3 con observaciones de revisión. La segunda es la literatura de dominio del banco de referencias. La Tabla 4.3 reúne 40 términos con su definición, su fuente y su naturaleza según la norma NTC 1.1. Las definiciones de la literatura son DOCUMENTADO y NO_VERIFICADO en esta corrida. Las del expediente son DECLARADO. Las que aporta la formulación del proyecto son PROPUESTO.</w:t>
      </w:r>
    </w:p>
    <w:p>
      <w:pPr>
        <w:pStyle w:val="BodyText"/>
      </w:pPr>
      <w:r>
        <w:t xml:space="preserve">Dos debates afectan la definición de los términos centrales. El primero distingue «bajo costo» de «baja calidad». Kumar et al. (2015) presentan los sensores de bajo costo como una oportunidad para densificar la medición. Karagulian et al. (2019) muestran que su desempeño depende del sensor y de las condiciones de uso. El protocolo de la EPA (2021) resuelve la tensión con metas de desempeño por métrica y no por precio. El segundo debate separa calibración, corrección y validación. Giordano et al. (2021) tratan la calibración como un procedimiento que incluye la colocalización, el modelo y la validación con datos independientes. El proyecto usa «calibración dinámica» para el ajuste repetido de la corrección y «validación» para su contraste con datos no usados en el ajuste.</w:t>
      </w:r>
    </w:p>
    <w:p>
      <w:pPr>
        <w:pStyle w:val="BodyText"/>
      </w:pPr>
      <w:r>
        <w:t xml:space="preserve">La definición de las variables físicas exige un cuidado adicional. En el diccionario, V02 incluye por construcción la masa de V01. La revisión de solapamiento examinó los 105 pares posibles de variables. Encontró 101 pares únicos, un solapamiento definicional, dos ambigüedades condicionales y una dependencia funcional. El solapamiento corresponde al par V01 y V02. Por eso el proyecto define la fracción gruesa como PM10 menos PM2,5 y la usa como variable explicativa X2. La variable V02 conserva su definición original para mantener la trazabilidad con el expediente.</w:t>
      </w:r>
    </w:p>
    <w:p>
      <w:pPr>
        <w:pStyle w:val="BodyText"/>
      </w:pPr>
      <w:r>
        <w:t xml:space="preserve">La consecuencia metodológica es que todo capítulo posterior usa estas definiciones sin modificarlas. Cuando una definición del expediente resulta ambigua, la tabla registra la observación y el proyecto declara su decisión. Ningún término técnico se introduce sin fuente.</w:t>
      </w:r>
    </w:p>
    <w:p>
      <w:pPr>
        <w:pStyle w:val="TablaRotulo"/>
      </w:pPr>
      <w:bookmarkStart w:id="9276" w:name="rot_Tabla_4_3"/>
      <w:r>
        <w:rPr>
          <w:b/>
          <w:bCs/>
        </w:rPr>
        <w:t xml:space="preserve">Tabla 4.3</w:t>
      </w:r>
      <w:bookmarkEnd w:id="9276"/>
    </w:p>
    <w:p>
      <w:pPr>
        <w:pStyle w:val="TablaTitulo"/>
      </w:pPr>
      <w:r>
        <w:rPr>
          <w:i/>
          <w:iCs/>
        </w:rPr>
        <w:t xml:space="preserve">Glosario de términos técnicos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14"/>
        <w:gridCol w:w="2178"/>
        <w:gridCol w:w="1782"/>
        <w:gridCol w:w="2046"/>
      </w:tblGrid>
      <w:tr>
        <w:trPr>
          <w:cantSplit/>
          <w:tblHeader/>
        </w:trPr>
        <w:tc>
          <w:tcPr>
            <w:shd w:val="clear" w:color="auto" w:fill="00B050"/>
          </w:tcPr>
          <w:p>
            <w:pPr>
              <w:pStyle w:val="Tabla9"/>
              <w:jc w:val="center"/>
            </w:pPr>
            <w:r>
              <w:rPr>
                <w:b/>
                <w:color w:val="FFFFFF"/>
              </w:rPr>
              <w:t xml:space="preserve">Término</w:t>
            </w:r>
          </w:p>
        </w:tc>
        <w:tc>
          <w:tcPr>
            <w:shd w:val="clear" w:color="auto" w:fill="00B050"/>
          </w:tcPr>
          <w:p>
            <w:pPr>
              <w:pStyle w:val="Tabla9"/>
              <w:jc w:val="center"/>
            </w:pPr>
            <w:r>
              <w:rPr>
                <w:b/>
                <w:color w:val="FFFFFF"/>
              </w:rPr>
              <w:t xml:space="preserve">Definición operacional</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Adopción institucional (V15)</w:t>
            </w:r>
          </w:p>
        </w:tc>
        <w:tc>
          <w:tcPr/>
          <w:p>
            <w:pPr>
              <w:pStyle w:val="Tabla9"/>
              <w:jc w:val="left"/>
            </w:pPr>
            <w:r>
              <w:t xml:space="preserve">Uso efectivo del tablero por alcaldías y UNGRD, en porcentaje; se verifica con decisiones documentadas</w:t>
            </w:r>
          </w:p>
        </w:tc>
        <w:tc>
          <w:tcPr/>
          <w:p>
            <w:pPr>
              <w:pStyle w:val="Tabla9"/>
              <w:jc w:val="left"/>
            </w:pPr>
            <w:r>
              <w:t xml:space="preserve">Diccionario de variables, 4.4.2; Rogers (2003)</w:t>
            </w:r>
          </w:p>
        </w:tc>
        <w:tc>
          <w:tcPr/>
          <w:p>
            <w:pPr>
              <w:pStyle w:val="Tabla9"/>
              <w:jc w:val="left"/>
            </w:pPr>
            <w:r>
              <w:t xml:space="preserve">DECLARADO</w:t>
            </w:r>
          </w:p>
        </w:tc>
      </w:tr>
      <w:tr>
        <w:trPr>
          <w:cantSplit/>
        </w:trPr>
        <w:tc>
          <w:tcPr/>
          <w:p>
            <w:pPr>
              <w:pStyle w:val="Tabla9"/>
              <w:jc w:val="left"/>
            </w:pPr>
            <w:r>
              <w:t xml:space="preserve">Alerta temprana</w:t>
            </w:r>
          </w:p>
        </w:tc>
        <w:tc>
          <w:tcPr/>
          <w:p>
            <w:pPr>
              <w:pStyle w:val="Tabla9"/>
              <w:jc w:val="left"/>
            </w:pPr>
            <w:r>
              <w:t xml:space="preserve">Proceso que une conocimiento del riesgo, monitoreo, comunicación y respuesta para actuar antes del impacto</w:t>
            </w:r>
          </w:p>
        </w:tc>
        <w:tc>
          <w:tcPr/>
          <w:p>
            <w:pPr>
              <w:pStyle w:val="Tabla9"/>
              <w:jc w:val="left"/>
            </w:pPr>
            <w:r>
              <w:t xml:space="preserve">UNDRR (2015); Congreso de la República (2012a)</w:t>
            </w:r>
          </w:p>
        </w:tc>
        <w:tc>
          <w:tcPr/>
          <w:p>
            <w:pPr>
              <w:pStyle w:val="Tabla9"/>
              <w:jc w:val="left"/>
            </w:pPr>
            <w:r>
              <w:t xml:space="preserve">DOCUMENTADO</w:t>
            </w:r>
          </w:p>
        </w:tc>
      </w:tr>
      <w:tr>
        <w:trPr>
          <w:cantSplit/>
        </w:trPr>
        <w:tc>
          <w:tcPr/>
          <w:p>
            <w:pPr>
              <w:pStyle w:val="Tabla9"/>
              <w:jc w:val="left"/>
            </w:pPr>
            <w:r>
              <w:t xml:space="preserve">Anticipación (V13)</w:t>
            </w:r>
          </w:p>
        </w:tc>
        <w:tc>
          <w:tcPr/>
          <w:p>
            <w:pPr>
              <w:pStyle w:val="Tabla9"/>
              <w:jc w:val="left"/>
            </w:pPr>
            <w:r>
              <w:t xml:space="preserve">Tiempo de aviso preventivo antes del impacto, en horas; sin línea base en el corpus</w:t>
            </w:r>
          </w:p>
        </w:tc>
        <w:tc>
          <w:tcPr/>
          <w:p>
            <w:pPr>
              <w:pStyle w:val="Tabla9"/>
              <w:jc w:val="left"/>
            </w:pPr>
            <w:r>
              <w:t xml:space="preserve">Diccionario de variables, 4.4.2</w:t>
            </w:r>
          </w:p>
        </w:tc>
        <w:tc>
          <w:tcPr/>
          <w:p>
            <w:pPr>
              <w:pStyle w:val="Tabla9"/>
              <w:jc w:val="left"/>
            </w:pPr>
            <w:r>
              <w:t xml:space="preserve">DECLARADO</w:t>
            </w:r>
          </w:p>
        </w:tc>
      </w:tr>
      <w:tr>
        <w:trPr>
          <w:cantSplit/>
        </w:trPr>
        <w:tc>
          <w:tcPr/>
          <w:p>
            <w:pPr>
              <w:pStyle w:val="Tabla9"/>
              <w:jc w:val="left"/>
            </w:pPr>
            <w:r>
              <w:t xml:space="preserve">Aprendizaje de doble bucle</w:t>
            </w:r>
          </w:p>
        </w:tc>
        <w:tc>
          <w:tcPr/>
          <w:p>
            <w:pPr>
              <w:pStyle w:val="Tabla9"/>
              <w:jc w:val="left"/>
            </w:pPr>
            <w:r>
              <w:t xml:space="preserve">Aprendizaje que cuestiona y modifica las variables de gobierno de la acción, además de corregir errores</w:t>
            </w:r>
          </w:p>
        </w:tc>
        <w:tc>
          <w:tcPr/>
          <w:p>
            <w:pPr>
              <w:pStyle w:val="Tabla9"/>
              <w:jc w:val="left"/>
            </w:pPr>
            <w:r>
              <w:t xml:space="preserve">Argyris y Schön (1978)</w:t>
            </w:r>
          </w:p>
        </w:tc>
        <w:tc>
          <w:tcPr/>
          <w:p>
            <w:pPr>
              <w:pStyle w:val="Tabla9"/>
              <w:jc w:val="left"/>
            </w:pPr>
            <w:r>
              <w:t xml:space="preserve">DOCUMENTADO</w:t>
            </w:r>
          </w:p>
        </w:tc>
      </w:tr>
      <w:tr>
        <w:trPr>
          <w:cantSplit/>
        </w:trPr>
        <w:tc>
          <w:tcPr/>
          <w:p>
            <w:pPr>
              <w:pStyle w:val="Tabla9"/>
              <w:jc w:val="left"/>
            </w:pPr>
            <w:r>
              <w:t xml:space="preserve">AQHI (V11)</w:t>
            </w:r>
          </w:p>
        </w:tc>
        <w:tc>
          <w:tcPr/>
          <w:p>
            <w:pPr>
              <w:pStyle w:val="Tabla9"/>
              <w:jc w:val="left"/>
            </w:pPr>
            <w:r>
              <w:t xml:space="preserve">Índice de calidad del aire y salud: nivel de peligro de salud pública, en escala de 1 a 10; fórmula local VACIO</w:t>
            </w:r>
          </w:p>
        </w:tc>
        <w:tc>
          <w:tcPr/>
          <w:p>
            <w:pPr>
              <w:pStyle w:val="Tabla9"/>
              <w:jc w:val="left"/>
            </w:pPr>
            <w:r>
              <w:t xml:space="preserve">Diccionario de variables, 4.4.2; Stieb et al. (2008)</w:t>
            </w:r>
          </w:p>
        </w:tc>
        <w:tc>
          <w:tcPr/>
          <w:p>
            <w:pPr>
              <w:pStyle w:val="Tabla9"/>
              <w:jc w:val="left"/>
            </w:pPr>
            <w:r>
              <w:t xml:space="preserve">DECLARADO</w:t>
            </w:r>
          </w:p>
        </w:tc>
      </w:tr>
      <w:tr>
        <w:trPr>
          <w:cantSplit/>
        </w:trPr>
        <w:tc>
          <w:tcPr/>
          <w:p>
            <w:pPr>
              <w:pStyle w:val="Tabla9"/>
              <w:jc w:val="left"/>
            </w:pPr>
            <w:r>
              <w:t xml:space="preserve">Calibración dinámica</w:t>
            </w:r>
          </w:p>
        </w:tc>
        <w:tc>
          <w:tcPr/>
          <w:p>
            <w:pPr>
              <w:pStyle w:val="Tabla9"/>
              <w:jc w:val="left"/>
            </w:pPr>
            <w:r>
              <w:t xml:space="preserve">Ajuste repetido de la corrección de un sensor con datos pareados de una referencia a lo largo del tiempo</w:t>
            </w:r>
          </w:p>
        </w:tc>
        <w:tc>
          <w:tcPr/>
          <w:p>
            <w:pPr>
              <w:pStyle w:val="Tabla9"/>
              <w:jc w:val="left"/>
            </w:pPr>
            <w:r>
              <w:t xml:space="preserve">Giordano et al. (2021); Malings et al. (2020)</w:t>
            </w:r>
          </w:p>
        </w:tc>
        <w:tc>
          <w:tcPr/>
          <w:p>
            <w:pPr>
              <w:pStyle w:val="Tabla9"/>
              <w:jc w:val="left"/>
            </w:pPr>
            <w:r>
              <w:t xml:space="preserve">DOCUMENTADO</w:t>
            </w:r>
          </w:p>
        </w:tc>
      </w:tr>
      <w:tr>
        <w:trPr>
          <w:cantSplit/>
        </w:trPr>
        <w:tc>
          <w:tcPr/>
          <w:p>
            <w:pPr>
              <w:pStyle w:val="Tabla9"/>
              <w:jc w:val="left"/>
            </w:pPr>
            <w:r>
              <w:t xml:space="preserve">Co-diseño</w:t>
            </w:r>
          </w:p>
        </w:tc>
        <w:tc>
          <w:tcPr/>
          <w:p>
            <w:pPr>
              <w:pStyle w:val="Tabla9"/>
              <w:jc w:val="left"/>
            </w:pPr>
            <w:r>
              <w:t xml:space="preserve">Elaboración conjunta de umbrales y protocolos entre el equipo técnico y los comités usuarios</w:t>
            </w:r>
          </w:p>
        </w:tc>
        <w:tc>
          <w:tcPr/>
          <w:p>
            <w:pPr>
              <w:pStyle w:val="Tabla9"/>
              <w:jc w:val="left"/>
            </w:pPr>
            <w:r>
              <w:t xml:space="preserve">Arnstein (1969); ficha maestra §3</w:t>
            </w:r>
          </w:p>
        </w:tc>
        <w:tc>
          <w:tcPr/>
          <w:p>
            <w:pPr>
              <w:pStyle w:val="Tabla9"/>
              <w:jc w:val="left"/>
            </w:pPr>
            <w:r>
              <w:t xml:space="preserve">PROPUESTO</w:t>
            </w:r>
          </w:p>
        </w:tc>
      </w:tr>
      <w:tr>
        <w:trPr>
          <w:cantSplit/>
        </w:trPr>
        <w:tc>
          <w:tcPr/>
          <w:p>
            <w:pPr>
              <w:pStyle w:val="Tabla9"/>
              <w:jc w:val="left"/>
            </w:pPr>
            <w:r>
              <w:t xml:space="preserve">Colocalización</w:t>
            </w:r>
          </w:p>
        </w:tc>
        <w:tc>
          <w:tcPr/>
          <w:p>
            <w:pPr>
              <w:pStyle w:val="Tabla9"/>
              <w:jc w:val="left"/>
            </w:pPr>
            <w:r>
              <w:t xml:space="preserve">Operación simultánea de un sensor y un equipo de referencia en el mismo sitio para obtener datos pareados</w:t>
            </w:r>
          </w:p>
        </w:tc>
        <w:tc>
          <w:tcPr/>
          <w:p>
            <w:pPr>
              <w:pStyle w:val="Tabla9"/>
              <w:jc w:val="left"/>
            </w:pPr>
            <w:r>
              <w:t xml:space="preserve">Giordano et al. (2021)</w:t>
            </w:r>
          </w:p>
        </w:tc>
        <w:tc>
          <w:tcPr/>
          <w:p>
            <w:pPr>
              <w:pStyle w:val="Tabla9"/>
              <w:jc w:val="left"/>
            </w:pPr>
            <w:r>
              <w:t xml:space="preserve">DOCUMENTADO</w:t>
            </w:r>
          </w:p>
        </w:tc>
      </w:tr>
      <w:tr>
        <w:trPr>
          <w:cantSplit/>
        </w:trPr>
        <w:tc>
          <w:tcPr/>
          <w:p>
            <w:pPr>
              <w:pStyle w:val="Tabla9"/>
              <w:jc w:val="left"/>
            </w:pPr>
            <w:r>
              <w:t xml:space="preserve">Compuerta</w:t>
            </w:r>
          </w:p>
        </w:tc>
        <w:tc>
          <w:tcPr/>
          <w:p>
            <w:pPr>
              <w:pStyle w:val="Tabla9"/>
              <w:jc w:val="left"/>
            </w:pPr>
            <w:r>
              <w:t xml:space="preserve">Punto de decisión que condiciona la continuación y la compra de la etapa siguiente a criterios predefinidos</w:t>
            </w:r>
          </w:p>
        </w:tc>
        <w:tc>
          <w:tcPr/>
          <w:p>
            <w:pPr>
              <w:pStyle w:val="Tabla9"/>
              <w:jc w:val="left"/>
            </w:pPr>
            <w:r>
              <w:t xml:space="preserve">Cooper (2008); ficha maestra §4</w:t>
            </w:r>
          </w:p>
        </w:tc>
        <w:tc>
          <w:tcPr/>
          <w:p>
            <w:pPr>
              <w:pStyle w:val="Tabla9"/>
              <w:jc w:val="left"/>
            </w:pPr>
            <w:r>
              <w:t xml:space="preserve">PROPUESTO</w:t>
            </w:r>
          </w:p>
        </w:tc>
      </w:tr>
      <w:tr>
        <w:trPr>
          <w:cantSplit/>
        </w:trPr>
        <w:tc>
          <w:tcPr/>
          <w:p>
            <w:pPr>
              <w:pStyle w:val="Tabla9"/>
              <w:jc w:val="left"/>
            </w:pPr>
            <w:r>
              <w:t xml:space="preserve">Computación en el borde</w:t>
            </w:r>
          </w:p>
        </w:tc>
        <w:tc>
          <w:tcPr/>
          <w:p>
            <w:pPr>
              <w:pStyle w:val="Tabla9"/>
              <w:jc w:val="left"/>
            </w:pPr>
            <w:r>
              <w:t xml:space="preserve">Procesamiento de datos en el extremo de la red, próximo a la fuente y no en un centro de datos remoto</w:t>
            </w:r>
          </w:p>
        </w:tc>
        <w:tc>
          <w:tcPr/>
          <w:p>
            <w:pPr>
              <w:pStyle w:val="Tabla9"/>
              <w:jc w:val="left"/>
            </w:pPr>
            <w:r>
              <w:t xml:space="preserve">Shi et al. (2016)</w:t>
            </w:r>
          </w:p>
        </w:tc>
        <w:tc>
          <w:tcPr/>
          <w:p>
            <w:pPr>
              <w:pStyle w:val="Tabla9"/>
              <w:jc w:val="left"/>
            </w:pPr>
            <w:r>
              <w:t xml:space="preserve">DOCUMENTADO</w:t>
            </w:r>
          </w:p>
        </w:tc>
      </w:tr>
      <w:tr>
        <w:trPr>
          <w:cantSplit/>
        </w:trPr>
        <w:tc>
          <w:tcPr/>
          <w:p>
            <w:pPr>
              <w:pStyle w:val="Tabla9"/>
              <w:jc w:val="left"/>
            </w:pPr>
            <w:r>
              <w:t xml:space="preserve">Contrafactual</w:t>
            </w:r>
          </w:p>
        </w:tc>
        <w:tc>
          <w:tcPr/>
          <w:p>
            <w:pPr>
              <w:pStyle w:val="Tabla9"/>
              <w:jc w:val="left"/>
            </w:pPr>
            <w:r>
              <w:t xml:space="preserve">Escenario que describe lo que habría ocurrido sin la intervención y permite estimar su efecto</w:t>
            </w:r>
          </w:p>
        </w:tc>
        <w:tc>
          <w:tcPr/>
          <w:p>
            <w:pPr>
              <w:pStyle w:val="Tabla9"/>
              <w:jc w:val="left"/>
            </w:pPr>
            <w:r>
              <w:t xml:space="preserve">Gertler et al. (2016)</w:t>
            </w:r>
          </w:p>
        </w:tc>
        <w:tc>
          <w:tcPr/>
          <w:p>
            <w:pPr>
              <w:pStyle w:val="Tabla9"/>
              <w:jc w:val="left"/>
            </w:pPr>
            <w:r>
              <w:t xml:space="preserve">DOCUMENTADO</w:t>
            </w:r>
          </w:p>
        </w:tc>
      </w:tr>
      <w:tr>
        <w:trPr>
          <w:cantSplit/>
        </w:trPr>
        <w:tc>
          <w:tcPr/>
          <w:p>
            <w:pPr>
              <w:pStyle w:val="Tabla9"/>
              <w:jc w:val="left"/>
            </w:pPr>
            <w:r>
              <w:t xml:space="preserve">Custodia</w:t>
            </w:r>
          </w:p>
        </w:tc>
        <w:tc>
          <w:tcPr/>
          <w:p>
            <w:pPr>
              <w:pStyle w:val="Tabla9"/>
              <w:jc w:val="left"/>
            </w:pPr>
            <w:r>
              <w:t xml:space="preserve">Responsabilidad asignada por convenio para operar y mantener un componente de la red después del cierre</w:t>
            </w:r>
          </w:p>
        </w:tc>
        <w:tc>
          <w:tcPr/>
          <w:p>
            <w:pPr>
              <w:pStyle w:val="Tabla9"/>
              <w:jc w:val="left"/>
            </w:pPr>
            <w:r>
              <w:t xml:space="preserve">Ostrom (2005); ficha maestra §10</w:t>
            </w:r>
          </w:p>
        </w:tc>
        <w:tc>
          <w:tcPr/>
          <w:p>
            <w:pPr>
              <w:pStyle w:val="Tabla9"/>
              <w:jc w:val="left"/>
            </w:pPr>
            <w:r>
              <w:t xml:space="preserve">PROPUESTO</w:t>
            </w:r>
          </w:p>
        </w:tc>
      </w:tr>
      <w:tr>
        <w:trPr>
          <w:cantSplit/>
        </w:trPr>
        <w:tc>
          <w:tcPr/>
          <w:p>
            <w:pPr>
              <w:pStyle w:val="Tabla9"/>
              <w:jc w:val="left"/>
            </w:pPr>
            <w:r>
              <w:t xml:space="preserve">Densidad del gemelo (V10)</w:t>
            </w:r>
          </w:p>
        </w:tc>
        <w:tc>
          <w:tcPr/>
          <w:p>
            <w:pPr>
              <w:pStyle w:val="Tabla9"/>
              <w:jc w:val="left"/>
            </w:pPr>
            <w:r>
              <w:t xml:space="preserve">Resolución del mapa predictivo espacial, en nodos por kilómetro cuadrado</w:t>
            </w:r>
          </w:p>
        </w:tc>
        <w:tc>
          <w:tcPr/>
          <w:p>
            <w:pPr>
              <w:pStyle w:val="Tabla9"/>
              <w:jc w:val="left"/>
            </w:pPr>
            <w:r>
              <w:t xml:space="preserve">Diccionario de variables, 4.4.2</w:t>
            </w:r>
          </w:p>
        </w:tc>
        <w:tc>
          <w:tcPr/>
          <w:p>
            <w:pPr>
              <w:pStyle w:val="Tabla9"/>
              <w:jc w:val="left"/>
            </w:pPr>
            <w:r>
              <w:t xml:space="preserve">DECLARADO</w:t>
            </w:r>
          </w:p>
        </w:tc>
      </w:tr>
      <w:tr>
        <w:trPr>
          <w:cantSplit/>
        </w:trPr>
        <w:tc>
          <w:tcPr/>
          <w:p>
            <w:pPr>
              <w:pStyle w:val="Tabla9"/>
              <w:jc w:val="left"/>
            </w:pPr>
            <w:r>
              <w:t xml:space="preserve">Disponibilidad de nodos (V09)</w:t>
            </w:r>
          </w:p>
        </w:tc>
        <w:tc>
          <w:tcPr/>
          <w:p>
            <w:pPr>
              <w:pStyle w:val="Tabla9"/>
              <w:jc w:val="left"/>
            </w:pPr>
            <w:r>
              <w:t xml:space="preserve">Porcentaje de la red de sensores activa y con energía; meta mensual de 90 % o más</w:t>
            </w:r>
          </w:p>
        </w:tc>
        <w:tc>
          <w:tcPr/>
          <w:p>
            <w:pPr>
              <w:pStyle w:val="Tabla9"/>
              <w:jc w:val="left"/>
            </w:pPr>
            <w:r>
              <w:t xml:space="preserve">Diccionario de variables, 4.4.2; ficha maestra §3</w:t>
            </w:r>
          </w:p>
        </w:tc>
        <w:tc>
          <w:tcPr/>
          <w:p>
            <w:pPr>
              <w:pStyle w:val="Tabla9"/>
              <w:jc w:val="left"/>
            </w:pPr>
            <w:r>
              <w:t xml:space="preserve">DECLARADO</w:t>
            </w:r>
          </w:p>
        </w:tc>
      </w:tr>
      <w:tr>
        <w:trPr>
          <w:cantSplit/>
        </w:trPr>
        <w:tc>
          <w:tcPr/>
          <w:p>
            <w:pPr>
              <w:pStyle w:val="Tabla9"/>
              <w:jc w:val="left"/>
            </w:pPr>
            <w:r>
              <w:t xml:space="preserve">Error de medición IoT (V06)</w:t>
            </w:r>
          </w:p>
        </w:tc>
        <w:tc>
          <w:tcPr/>
          <w:p>
            <w:pPr>
              <w:pStyle w:val="Tabla9"/>
              <w:jc w:val="left"/>
            </w:pPr>
            <w:r>
              <w:t xml:space="preserve">Desfase metrológico del sensor de la red de internet de las cosas (IoT) respecto de la referencia; se expresa en el error absoluto medio normalizado (NMAE) y, para las compuertas, en el NRMSE</w:t>
            </w:r>
          </w:p>
        </w:tc>
        <w:tc>
          <w:tcPr/>
          <w:p>
            <w:pPr>
              <w:pStyle w:val="Tabla9"/>
              <w:jc w:val="left"/>
            </w:pPr>
            <w:r>
              <w:t xml:space="preserve">Diccionario de variables, 4.4.2; ficha maestra §10c</w:t>
            </w:r>
          </w:p>
        </w:tc>
        <w:tc>
          <w:tcPr/>
          <w:p>
            <w:pPr>
              <w:pStyle w:val="Tabla9"/>
              <w:jc w:val="left"/>
            </w:pPr>
            <w:r>
              <w:t xml:space="preserve">DECLARADO</w:t>
            </w:r>
          </w:p>
        </w:tc>
      </w:tr>
      <w:tr>
        <w:trPr>
          <w:cantSplit/>
        </w:trPr>
        <w:tc>
          <w:tcPr/>
          <w:p>
            <w:pPr>
              <w:pStyle w:val="Tabla9"/>
              <w:jc w:val="left"/>
            </w:pPr>
            <w:r>
              <w:t xml:space="preserve">Escombros, volumen (V05)</w:t>
            </w:r>
          </w:p>
        </w:tc>
        <w:tc>
          <w:tcPr/>
          <w:p>
            <w:pPr>
              <w:pStyle w:val="Tabla9"/>
              <w:jc w:val="left"/>
            </w:pPr>
            <w:r>
              <w:t xml:space="preserve">Residuos removidos tras el sismo, en toneladas por día</w:t>
            </w:r>
          </w:p>
        </w:tc>
        <w:tc>
          <w:tcPr/>
          <w:p>
            <w:pPr>
              <w:pStyle w:val="Tabla9"/>
              <w:jc w:val="left"/>
            </w:pPr>
            <w:r>
              <w:t xml:space="preserve">Diccionario de variables, 4.4.2</w:t>
            </w:r>
          </w:p>
        </w:tc>
        <w:tc>
          <w:tcPr/>
          <w:p>
            <w:pPr>
              <w:pStyle w:val="Tabla9"/>
              <w:jc w:val="left"/>
            </w:pPr>
            <w:r>
              <w:t xml:space="preserve">DECLARADO</w:t>
            </w:r>
          </w:p>
        </w:tc>
      </w:tr>
      <w:tr>
        <w:trPr>
          <w:cantSplit/>
        </w:trPr>
        <w:tc>
          <w:tcPr/>
          <w:p>
            <w:pPr>
              <w:pStyle w:val="Tabla9"/>
              <w:jc w:val="left"/>
            </w:pPr>
            <w:r>
              <w:t xml:space="preserve">Falsa alarma (V12)</w:t>
            </w:r>
          </w:p>
        </w:tc>
        <w:tc>
          <w:tcPr/>
          <w:p>
            <w:pPr>
              <w:pStyle w:val="Tabla9"/>
              <w:jc w:val="left"/>
            </w:pPr>
            <w:r>
              <w:t xml:space="preserve">Alerta emitida sin superación real del umbral, en porcentaje</w:t>
            </w:r>
          </w:p>
        </w:tc>
        <w:tc>
          <w:tcPr/>
          <w:p>
            <w:pPr>
              <w:pStyle w:val="Tabla9"/>
              <w:jc w:val="left"/>
            </w:pPr>
            <w:r>
              <w:t xml:space="preserve">Diccionario de variables, 4.4.2</w:t>
            </w:r>
          </w:p>
        </w:tc>
        <w:tc>
          <w:tcPr/>
          <w:p>
            <w:pPr>
              <w:pStyle w:val="Tabla9"/>
              <w:jc w:val="left"/>
            </w:pPr>
            <w:r>
              <w:t xml:space="preserve">DECLARADO</w:t>
            </w:r>
          </w:p>
        </w:tc>
      </w:tr>
      <w:tr>
        <w:trPr>
          <w:cantSplit/>
        </w:trPr>
        <w:tc>
          <w:tcPr/>
          <w:p>
            <w:pPr>
              <w:pStyle w:val="Tabla9"/>
              <w:jc w:val="left"/>
            </w:pPr>
            <w:r>
              <w:t xml:space="preserve">Fracción gruesa</w:t>
            </w:r>
          </w:p>
        </w:tc>
        <w:tc>
          <w:tcPr/>
          <w:p>
            <w:pPr>
              <w:pStyle w:val="Tabla9"/>
              <w:jc w:val="left"/>
            </w:pPr>
            <w:r>
              <w:t xml:space="preserve">Masa de partículas entre 2,5 y 10 µm, calculada como PM10 menos PM2,5</w:t>
            </w:r>
          </w:p>
        </w:tc>
        <w:tc>
          <w:tcPr/>
          <w:p>
            <w:pPr>
              <w:pStyle w:val="Tabla9"/>
              <w:jc w:val="left"/>
            </w:pPr>
            <w:r>
              <w:t xml:space="preserve">Diccionario de variables, 4.4.2 (observación de V02)</w:t>
            </w:r>
          </w:p>
        </w:tc>
        <w:tc>
          <w:tcPr/>
          <w:p>
            <w:pPr>
              <w:pStyle w:val="Tabla9"/>
              <w:jc w:val="left"/>
            </w:pPr>
            <w:r>
              <w:t xml:space="preserve">PROPUESTO</w:t>
            </w:r>
          </w:p>
        </w:tc>
      </w:tr>
      <w:tr>
        <w:trPr>
          <w:cantSplit/>
        </w:trPr>
        <w:tc>
          <w:tcPr/>
          <w:p>
            <w:pPr>
              <w:pStyle w:val="Tabla9"/>
              <w:jc w:val="left"/>
            </w:pPr>
            <w:r>
              <w:t xml:space="preserve">Frecuencia de calibración (V07)</w:t>
            </w:r>
          </w:p>
        </w:tc>
        <w:tc>
          <w:tcPr/>
          <w:p>
            <w:pPr>
              <w:pStyle w:val="Tabla9"/>
              <w:jc w:val="left"/>
            </w:pPr>
            <w:r>
              <w:t xml:space="preserve">Tasa de ajuste algorítmico, en ajustes por semana</w:t>
            </w:r>
          </w:p>
        </w:tc>
        <w:tc>
          <w:tcPr/>
          <w:p>
            <w:pPr>
              <w:pStyle w:val="Tabla9"/>
              <w:jc w:val="left"/>
            </w:pPr>
            <w:r>
              <w:t xml:space="preserve">Diccionario de variables, 4.4.2</w:t>
            </w:r>
          </w:p>
        </w:tc>
        <w:tc>
          <w:tcPr/>
          <w:p>
            <w:pPr>
              <w:pStyle w:val="Tabla9"/>
              <w:jc w:val="left"/>
            </w:pPr>
            <w:r>
              <w:t xml:space="preserve">DECLARADO</w:t>
            </w:r>
          </w:p>
        </w:tc>
      </w:tr>
      <w:tr>
        <w:trPr>
          <w:cantSplit/>
        </w:trPr>
        <w:tc>
          <w:tcPr/>
          <w:p>
            <w:pPr>
              <w:pStyle w:val="Tabla9"/>
              <w:jc w:val="left"/>
            </w:pPr>
            <w:r>
              <w:t xml:space="preserve">Gateway</w:t>
            </w:r>
          </w:p>
        </w:tc>
        <w:tc>
          <w:tcPr/>
          <w:p>
            <w:pPr>
              <w:pStyle w:val="Tabla9"/>
              <w:jc w:val="left"/>
            </w:pPr>
            <w:r>
              <w:t xml:space="preserve">Equipo que recibe por LoRa los datos de los nodos, aplica el modelo de corrección y reenvía por red celular</w:t>
            </w:r>
          </w:p>
        </w:tc>
        <w:tc>
          <w:tcPr/>
          <w:p>
            <w:pPr>
              <w:pStyle w:val="Tabla9"/>
              <w:jc w:val="left"/>
            </w:pPr>
            <w:r>
              <w:t xml:space="preserve">Ficha maestra §2; Adelantado et al. (2017)</w:t>
            </w:r>
          </w:p>
        </w:tc>
        <w:tc>
          <w:tcPr/>
          <w:p>
            <w:pPr>
              <w:pStyle w:val="Tabla9"/>
              <w:jc w:val="left"/>
            </w:pPr>
            <w:r>
              <w:t xml:space="preserve">PROPUESTO</w:t>
            </w:r>
          </w:p>
        </w:tc>
      </w:tr>
      <w:tr>
        <w:trPr>
          <w:cantSplit/>
        </w:trPr>
        <w:tc>
          <w:tcPr/>
          <w:p>
            <w:pPr>
              <w:pStyle w:val="Tabla9"/>
              <w:jc w:val="left"/>
            </w:pPr>
            <w:r>
              <w:t xml:space="preserve">Gemelo digital</w:t>
            </w:r>
          </w:p>
        </w:tc>
        <w:tc>
          <w:tcPr/>
          <w:p>
            <w:pPr>
              <w:pStyle w:val="Tabla9"/>
              <w:jc w:val="left"/>
            </w:pPr>
            <w:r>
              <w:t xml:space="preserve">En el proyecto, modelo sustituto de aprendizaje supervisado que estima la concentración entre nodos con datos corregidos</w:t>
            </w:r>
          </w:p>
        </w:tc>
        <w:tc>
          <w:tcPr/>
          <w:p>
            <w:pPr>
              <w:pStyle w:val="Tabla9"/>
              <w:jc w:val="left"/>
            </w:pPr>
            <w:r>
              <w:t xml:space="preserve">Grieves y Vickers (2017); Tao et al. (2019); sección 4.1.3</w:t>
            </w:r>
          </w:p>
        </w:tc>
        <w:tc>
          <w:tcPr/>
          <w:p>
            <w:pPr>
              <w:pStyle w:val="Tabla9"/>
              <w:jc w:val="left"/>
            </w:pPr>
            <w:r>
              <w:t xml:space="preserve">PROPUESTO</w:t>
            </w:r>
          </w:p>
        </w:tc>
      </w:tr>
      <w:tr>
        <w:trPr>
          <w:cantSplit/>
        </w:trPr>
        <w:tc>
          <w:tcPr/>
          <w:p>
            <w:pPr>
              <w:pStyle w:val="Tabla9"/>
              <w:jc w:val="left"/>
            </w:pPr>
            <w:r>
              <w:t xml:space="preserve">Gestión del riesgo de desastres</w:t>
            </w:r>
          </w:p>
        </w:tc>
        <w:tc>
          <w:tcPr/>
          <w:p>
            <w:pPr>
              <w:pStyle w:val="Tabla9"/>
              <w:jc w:val="left"/>
            </w:pPr>
            <w:r>
              <w:t xml:space="preserve">Proceso social de conocimiento, reducción y manejo del riesgo, según la política nacional</w:t>
            </w:r>
          </w:p>
        </w:tc>
        <w:tc>
          <w:tcPr/>
          <w:p>
            <w:pPr>
              <w:pStyle w:val="Tabla9"/>
              <w:jc w:val="left"/>
            </w:pPr>
            <w:r>
              <w:t xml:space="preserve">Congreso de la República (2012a)</w:t>
            </w:r>
          </w:p>
        </w:tc>
        <w:tc>
          <w:tcPr/>
          <w:p>
            <w:pPr>
              <w:pStyle w:val="Tabla9"/>
              <w:jc w:val="left"/>
            </w:pPr>
            <w:r>
              <w:t xml:space="preserve">DOCUMENTADO</w:t>
            </w:r>
          </w:p>
        </w:tc>
      </w:tr>
      <w:tr>
        <w:trPr>
          <w:cantSplit/>
        </w:trPr>
        <w:tc>
          <w:tcPr/>
          <w:p>
            <w:pPr>
              <w:pStyle w:val="Tabla9"/>
              <w:jc w:val="left"/>
            </w:pPr>
            <w:r>
              <w:t xml:space="preserve">Humedad relativa (V03)</w:t>
            </w:r>
          </w:p>
        </w:tc>
        <w:tc>
          <w:tcPr/>
          <w:p>
            <w:pPr>
              <w:pStyle w:val="Tabla9"/>
              <w:jc w:val="left"/>
            </w:pPr>
            <w:r>
              <w:t xml:space="preserve">Saturación de vapor de agua del aire, en porcentaje; altera la respuesta óptica del sensor</w:t>
            </w:r>
          </w:p>
        </w:tc>
        <w:tc>
          <w:tcPr/>
          <w:p>
            <w:pPr>
              <w:pStyle w:val="Tabla9"/>
              <w:jc w:val="left"/>
            </w:pPr>
            <w:r>
              <w:t xml:space="preserve">Diccionario de variables, 4.4.2; Jayaratne et al. (2018)</w:t>
            </w:r>
          </w:p>
        </w:tc>
        <w:tc>
          <w:tcPr/>
          <w:p>
            <w:pPr>
              <w:pStyle w:val="Tabla9"/>
              <w:jc w:val="left"/>
            </w:pPr>
            <w:r>
              <w:t xml:space="preserve">DECLARADO</w:t>
            </w:r>
          </w:p>
        </w:tc>
      </w:tr>
      <w:tr>
        <w:trPr>
          <w:cantSplit/>
        </w:trPr>
        <w:tc>
          <w:tcPr/>
          <w:p>
            <w:pPr>
              <w:pStyle w:val="Tabla9"/>
              <w:jc w:val="left"/>
            </w:pPr>
            <w:r>
              <w:t xml:space="preserve">Latencia de datos (V08)</w:t>
            </w:r>
          </w:p>
        </w:tc>
        <w:tc>
          <w:tcPr/>
          <w:p>
            <w:pPr>
              <w:pStyle w:val="Tabla9"/>
              <w:jc w:val="left"/>
            </w:pPr>
            <w:r>
              <w:t xml:space="preserve">Retraso en la transmisión a la nube central, en minutos</w:t>
            </w:r>
          </w:p>
        </w:tc>
        <w:tc>
          <w:tcPr/>
          <w:p>
            <w:pPr>
              <w:pStyle w:val="Tabla9"/>
              <w:jc w:val="left"/>
            </w:pPr>
            <w:r>
              <w:t xml:space="preserve">Diccionario de variables, 4.4.2</w:t>
            </w:r>
          </w:p>
        </w:tc>
        <w:tc>
          <w:tcPr/>
          <w:p>
            <w:pPr>
              <w:pStyle w:val="Tabla9"/>
              <w:jc w:val="left"/>
            </w:pPr>
            <w:r>
              <w:t xml:space="preserve">DECLARADO</w:t>
            </w:r>
          </w:p>
        </w:tc>
      </w:tr>
      <w:tr>
        <w:trPr>
          <w:cantSplit/>
        </w:trPr>
        <w:tc>
          <w:tcPr/>
          <w:p>
            <w:pPr>
              <w:pStyle w:val="Tabla9"/>
              <w:jc w:val="left"/>
            </w:pPr>
            <w:r>
              <w:t xml:space="preserve">Línea base</w:t>
            </w:r>
          </w:p>
        </w:tc>
        <w:tc>
          <w:tcPr/>
          <w:p>
            <w:pPr>
              <w:pStyle w:val="Tabla9"/>
              <w:jc w:val="left"/>
            </w:pPr>
            <w:r>
              <w:t xml:space="preserve">Valor inicial de un indicador antes de la intervención, que sirve de referencia para medir el cambio</w:t>
            </w:r>
          </w:p>
        </w:tc>
        <w:tc>
          <w:tcPr/>
          <w:p>
            <w:pPr>
              <w:pStyle w:val="Tabla9"/>
              <w:jc w:val="left"/>
            </w:pPr>
            <w:r>
              <w:t xml:space="preserve">Gertler et al. (2016)</w:t>
            </w:r>
          </w:p>
        </w:tc>
        <w:tc>
          <w:tcPr/>
          <w:p>
            <w:pPr>
              <w:pStyle w:val="Tabla9"/>
              <w:jc w:val="left"/>
            </w:pPr>
            <w:r>
              <w:t xml:space="preserve">DOCUMENTADO</w:t>
            </w:r>
          </w:p>
        </w:tc>
      </w:tr>
      <w:tr>
        <w:trPr>
          <w:cantSplit/>
        </w:trPr>
        <w:tc>
          <w:tcPr/>
          <w:p>
            <w:pPr>
              <w:pStyle w:val="Tabla9"/>
              <w:jc w:val="left"/>
            </w:pPr>
            <w:r>
              <w:t xml:space="preserve">Línea base de persistencia</w:t>
            </w:r>
          </w:p>
        </w:tc>
        <w:tc>
          <w:tcPr/>
          <w:p>
            <w:pPr>
              <w:pStyle w:val="Tabla9"/>
              <w:jc w:val="left"/>
            </w:pPr>
            <w:r>
              <w:t xml:space="preserve">Pronóstico que repite el último valor observado y sirve de referencia mínima para evaluar un modelo</w:t>
            </w:r>
          </w:p>
        </w:tc>
        <w:tc>
          <w:tcPr/>
          <w:p>
            <w:pPr>
              <w:pStyle w:val="Tabla9"/>
              <w:jc w:val="left"/>
            </w:pPr>
            <w:r>
              <w:t xml:space="preserve">F-INF (§1.3, hallazgo 2)</w:t>
            </w:r>
          </w:p>
        </w:tc>
        <w:tc>
          <w:tcPr/>
          <w:p>
            <w:pPr>
              <w:pStyle w:val="Tabla9"/>
              <w:jc w:val="left"/>
            </w:pPr>
            <w:r>
              <w:t xml:space="preserve">DECLARADO</w:t>
            </w:r>
          </w:p>
        </w:tc>
      </w:tr>
      <w:tr>
        <w:trPr>
          <w:cantSplit/>
        </w:trPr>
        <w:tc>
          <w:tcPr/>
          <w:p>
            <w:pPr>
              <w:pStyle w:val="Tabla9"/>
              <w:jc w:val="left"/>
            </w:pPr>
            <w:r>
              <w:t xml:space="preserve">LoRa y LoRaWAN</w:t>
            </w:r>
          </w:p>
        </w:tc>
        <w:tc>
          <w:tcPr/>
          <w:p>
            <w:pPr>
              <w:pStyle w:val="Tabla9"/>
              <w:jc w:val="left"/>
            </w:pPr>
            <w:r>
              <w:t xml:space="preserve">Modulación de largo alcance y bajo consumo (LoRa) y protocolo de red de área amplia que la usa (LoRaWAN)</w:t>
            </w:r>
          </w:p>
        </w:tc>
        <w:tc>
          <w:tcPr/>
          <w:p>
            <w:pPr>
              <w:pStyle w:val="Tabla9"/>
              <w:jc w:val="left"/>
            </w:pPr>
            <w:r>
              <w:t xml:space="preserve">Adelantado et al. (2017)</w:t>
            </w:r>
          </w:p>
        </w:tc>
        <w:tc>
          <w:tcPr/>
          <w:p>
            <w:pPr>
              <w:pStyle w:val="Tabla9"/>
              <w:jc w:val="left"/>
            </w:pPr>
            <w:r>
              <w:t xml:space="preserve">DOCUMENTADO</w:t>
            </w:r>
          </w:p>
        </w:tc>
      </w:tr>
      <w:tr>
        <w:trPr>
          <w:cantSplit/>
        </w:trPr>
        <w:tc>
          <w:tcPr/>
          <w:p>
            <w:pPr>
              <w:pStyle w:val="Tabla9"/>
              <w:jc w:val="left"/>
            </w:pPr>
            <w:r>
              <w:t xml:space="preserve">Material particulado (V01 y V02)</w:t>
            </w:r>
          </w:p>
        </w:tc>
        <w:tc>
          <w:tcPr/>
          <w:p>
            <w:pPr>
              <w:pStyle w:val="Tabla9"/>
              <w:jc w:val="left"/>
            </w:pPr>
            <w:r>
              <w:t xml:space="preserve">Masa de partículas con diámetro menor que 2,5 µm (V01) o que 10 µm (V02), en µg/m³</w:t>
            </w:r>
          </w:p>
        </w:tc>
        <w:tc>
          <w:tcPr/>
          <w:p>
            <w:pPr>
              <w:pStyle w:val="Tabla9"/>
              <w:jc w:val="left"/>
            </w:pPr>
            <w:r>
              <w:t xml:space="preserve">Diccionario de variables, 4.4.2</w:t>
            </w:r>
          </w:p>
        </w:tc>
        <w:tc>
          <w:tcPr/>
          <w:p>
            <w:pPr>
              <w:pStyle w:val="Tabla9"/>
              <w:jc w:val="left"/>
            </w:pPr>
            <w:r>
              <w:t xml:space="preserve">DECLARADO</w:t>
            </w:r>
          </w:p>
        </w:tc>
      </w:tr>
      <w:tr>
        <w:trPr>
          <w:cantSplit/>
        </w:trPr>
        <w:tc>
          <w:tcPr/>
          <w:p>
            <w:pPr>
              <w:pStyle w:val="Tabla9"/>
              <w:jc w:val="left"/>
            </w:pPr>
            <w:r>
              <w:t xml:space="preserve">Monitor de referencia gravimétrico</w:t>
            </w:r>
          </w:p>
        </w:tc>
        <w:tc>
          <w:tcPr/>
          <w:p>
            <w:pPr>
              <w:pStyle w:val="Tabla9"/>
              <w:jc w:val="left"/>
            </w:pPr>
            <w:r>
              <w:t xml:space="preserve">Equipo que determina la masa de partículas por pesaje de filtros y sirve de patrón para corregir los sensores</w:t>
            </w:r>
          </w:p>
        </w:tc>
        <w:tc>
          <w:tcPr/>
          <w:p>
            <w:pPr>
              <w:pStyle w:val="Tabla9"/>
              <w:jc w:val="left"/>
            </w:pPr>
            <w:r>
              <w:t xml:space="preserve">EPA (2021); ficha maestra §2</w:t>
            </w:r>
          </w:p>
        </w:tc>
        <w:tc>
          <w:tcPr/>
          <w:p>
            <w:pPr>
              <w:pStyle w:val="Tabla9"/>
              <w:jc w:val="left"/>
            </w:pPr>
            <w:r>
              <w:t xml:space="preserve">PROPUESTO</w:t>
            </w:r>
          </w:p>
        </w:tc>
      </w:tr>
      <w:tr>
        <w:trPr>
          <w:cantSplit/>
        </w:trPr>
        <w:tc>
          <w:tcPr/>
          <w:p>
            <w:pPr>
              <w:pStyle w:val="Tabla9"/>
              <w:jc w:val="left"/>
            </w:pPr>
            <w:r>
              <w:t xml:space="preserve">Nivel de madurez tecnológica (TRL)</w:t>
            </w:r>
          </w:p>
        </w:tc>
        <w:tc>
          <w:tcPr/>
          <w:p>
            <w:pPr>
              <w:pStyle w:val="Tabla9"/>
              <w:jc w:val="left"/>
            </w:pPr>
            <w:r>
              <w:t xml:space="preserve">Escala de 1 a 9 que mide el avance de una tecnología; el proyecto va del nivel 4 al 7</w:t>
            </w:r>
          </w:p>
        </w:tc>
        <w:tc>
          <w:tcPr/>
          <w:p>
            <w:pPr>
              <w:pStyle w:val="Tabla9"/>
              <w:jc w:val="left"/>
            </w:pPr>
            <w:r>
              <w:t xml:space="preserve">Mankins (1995); ficha maestra §1</w:t>
            </w:r>
          </w:p>
        </w:tc>
        <w:tc>
          <w:tcPr/>
          <w:p>
            <w:pPr>
              <w:pStyle w:val="Tabla9"/>
              <w:jc w:val="left"/>
            </w:pPr>
            <w:r>
              <w:t xml:space="preserve">PROPUESTO</w:t>
            </w:r>
          </w:p>
        </w:tc>
      </w:tr>
      <w:tr>
        <w:trPr>
          <w:cantSplit/>
        </w:trPr>
        <w:tc>
          <w:tcPr/>
          <w:p>
            <w:pPr>
              <w:pStyle w:val="Tabla9"/>
              <w:jc w:val="left"/>
            </w:pPr>
            <w:r>
              <w:t xml:space="preserve">NMAE</w:t>
            </w:r>
          </w:p>
        </w:tc>
        <w:tc>
          <w:tcPr/>
          <w:p>
            <w:pPr>
              <w:pStyle w:val="Tabla9"/>
              <w:jc w:val="left"/>
            </w:pPr>
            <w:r>
              <w:t xml:space="preserve">Error absoluto medio dividido por la media de la referencia, en porcentaje; meta aspiracional ≤ 15 %</w:t>
            </w:r>
          </w:p>
        </w:tc>
        <w:tc>
          <w:tcPr/>
          <w:p>
            <w:pPr>
              <w:pStyle w:val="Tabla9"/>
              <w:jc w:val="left"/>
            </w:pPr>
            <w:r>
              <w:t xml:space="preserve">Diccionario de variables, 4.4.2 (V06); ficha maestra §2</w:t>
            </w:r>
          </w:p>
        </w:tc>
        <w:tc>
          <w:tcPr/>
          <w:p>
            <w:pPr>
              <w:pStyle w:val="Tabla9"/>
              <w:jc w:val="left"/>
            </w:pPr>
            <w:r>
              <w:t xml:space="preserve">PROPUESTO</w:t>
            </w:r>
          </w:p>
        </w:tc>
      </w:tr>
      <w:tr>
        <w:trPr>
          <w:cantSplit/>
        </w:trPr>
        <w:tc>
          <w:tcPr/>
          <w:p>
            <w:pPr>
              <w:pStyle w:val="Tabla9"/>
              <w:jc w:val="left"/>
            </w:pPr>
            <w:r>
              <w:t xml:space="preserve">Nodo hoja</w:t>
            </w:r>
          </w:p>
        </w:tc>
        <w:tc>
          <w:tcPr/>
          <w:p>
            <w:pPr>
              <w:pStyle w:val="Tabla9"/>
              <w:jc w:val="left"/>
            </w:pPr>
            <w:r>
              <w:t xml:space="preserve">Equipo de medición con sensor óptico, temperatura, humedad, panel solar y batería, que transmite por LoRa</w:t>
            </w:r>
          </w:p>
        </w:tc>
        <w:tc>
          <w:tcPr/>
          <w:p>
            <w:pPr>
              <w:pStyle w:val="Tabla9"/>
              <w:jc w:val="left"/>
            </w:pPr>
            <w:r>
              <w:t xml:space="preserve">Ficha maestra §2</w:t>
            </w:r>
          </w:p>
        </w:tc>
        <w:tc>
          <w:tcPr/>
          <w:p>
            <w:pPr>
              <w:pStyle w:val="Tabla9"/>
              <w:jc w:val="left"/>
            </w:pPr>
            <w:r>
              <w:t xml:space="preserve">PROPUESTO</w:t>
            </w:r>
          </w:p>
        </w:tc>
      </w:tr>
      <w:tr>
        <w:trPr>
          <w:cantSplit/>
        </w:trPr>
        <w:tc>
          <w:tcPr/>
          <w:p>
            <w:pPr>
              <w:pStyle w:val="Tabla9"/>
              <w:jc w:val="left"/>
            </w:pPr>
            <w:r>
              <w:t xml:space="preserve">NRMSE</w:t>
            </w:r>
          </w:p>
        </w:tc>
        <w:tc>
          <w:tcPr/>
          <w:p>
            <w:pPr>
              <w:pStyle w:val="Tabla9"/>
              <w:jc w:val="left"/>
            </w:pPr>
            <w:r>
              <w:t xml:space="preserve">Raíz del error cuadrático medio dividida por la media de la referencia, en porcentaje; umbral ≤ 30 %</w:t>
            </w:r>
          </w:p>
        </w:tc>
        <w:tc>
          <w:tcPr/>
          <w:p>
            <w:pPr>
              <w:pStyle w:val="Tabla9"/>
              <w:jc w:val="left"/>
            </w:pPr>
            <w:r>
              <w:t xml:space="preserve">EPA (2021)</w:t>
            </w:r>
          </w:p>
        </w:tc>
        <w:tc>
          <w:tcPr/>
          <w:p>
            <w:pPr>
              <w:pStyle w:val="Tabla9"/>
              <w:jc w:val="left"/>
            </w:pPr>
            <w:r>
              <w:t xml:space="preserve">DOCUMENTADO</w:t>
            </w:r>
          </w:p>
        </w:tc>
      </w:tr>
      <w:tr>
        <w:trPr>
          <w:cantSplit/>
        </w:trPr>
        <w:tc>
          <w:tcPr/>
          <w:p>
            <w:pPr>
              <w:pStyle w:val="Tabla9"/>
              <w:jc w:val="left"/>
            </w:pPr>
            <w:r>
              <w:t xml:space="preserve">Pérdida de paquetes</w:t>
            </w:r>
          </w:p>
        </w:tc>
        <w:tc>
          <w:tcPr/>
          <w:p>
            <w:pPr>
              <w:pStyle w:val="Tabla9"/>
              <w:jc w:val="left"/>
            </w:pPr>
            <w:r>
              <w:t xml:space="preserve">Proporción de mensajes de los nodos que no llegan al gateway; meta ≤ 10 %</w:t>
            </w:r>
          </w:p>
        </w:tc>
        <w:tc>
          <w:tcPr/>
          <w:p>
            <w:pPr>
              <w:pStyle w:val="Tabla9"/>
              <w:jc w:val="left"/>
            </w:pPr>
            <w:r>
              <w:t xml:space="preserve">Ficha maestra §3 (OE2)</w:t>
            </w:r>
          </w:p>
        </w:tc>
        <w:tc>
          <w:tcPr/>
          <w:p>
            <w:pPr>
              <w:pStyle w:val="Tabla9"/>
              <w:jc w:val="left"/>
            </w:pPr>
            <w:r>
              <w:t xml:space="preserve">PROPUESTO</w:t>
            </w:r>
          </w:p>
        </w:tc>
      </w:tr>
      <w:tr>
        <w:trPr>
          <w:cantSplit/>
        </w:trPr>
        <w:tc>
          <w:tcPr/>
          <w:p>
            <w:pPr>
              <w:pStyle w:val="Tabla9"/>
              <w:jc w:val="left"/>
            </w:pPr>
            <w:r>
              <w:t xml:space="preserve">Personas alertadas (V14)</w:t>
            </w:r>
          </w:p>
        </w:tc>
        <w:tc>
          <w:tcPr/>
          <w:p>
            <w:pPr>
              <w:pStyle w:val="Tabla9"/>
              <w:jc w:val="left"/>
            </w:pPr>
            <w:r>
              <w:t xml:space="preserve">Población y operarios bajo protección efectiva, en conteo</w:t>
            </w:r>
          </w:p>
        </w:tc>
        <w:tc>
          <w:tcPr/>
          <w:p>
            <w:pPr>
              <w:pStyle w:val="Tabla9"/>
              <w:jc w:val="left"/>
            </w:pPr>
            <w:r>
              <w:t xml:space="preserve">Diccionario de variables, 4.4.2</w:t>
            </w:r>
          </w:p>
        </w:tc>
        <w:tc>
          <w:tcPr/>
          <w:p>
            <w:pPr>
              <w:pStyle w:val="Tabla9"/>
              <w:jc w:val="left"/>
            </w:pPr>
            <w:r>
              <w:t xml:space="preserve">DECLARADO</w:t>
            </w:r>
          </w:p>
        </w:tc>
      </w:tr>
      <w:tr>
        <w:trPr>
          <w:cantSplit/>
        </w:trPr>
        <w:tc>
          <w:tcPr/>
          <w:p>
            <w:pPr>
              <w:pStyle w:val="Tabla9"/>
              <w:jc w:val="left"/>
            </w:pPr>
            <w:r>
              <w:t xml:space="preserve">R²</w:t>
            </w:r>
          </w:p>
        </w:tc>
        <w:tc>
          <w:tcPr/>
          <w:p>
            <w:pPr>
              <w:pStyle w:val="Tabla9"/>
              <w:jc w:val="left"/>
            </w:pPr>
            <w:r>
              <w:t xml:space="preserve">Coeficiente de determinación de la regresión entre sensor y referencia; umbral ≥ 0,70</w:t>
            </w:r>
          </w:p>
        </w:tc>
        <w:tc>
          <w:tcPr/>
          <w:p>
            <w:pPr>
              <w:pStyle w:val="Tabla9"/>
              <w:jc w:val="left"/>
            </w:pPr>
            <w:r>
              <w:t xml:space="preserve">EPA (2021)</w:t>
            </w:r>
          </w:p>
        </w:tc>
        <w:tc>
          <w:tcPr/>
          <w:p>
            <w:pPr>
              <w:pStyle w:val="Tabla9"/>
              <w:jc w:val="left"/>
            </w:pPr>
            <w:r>
              <w:t xml:space="preserve">DOCUMENTADO</w:t>
            </w:r>
          </w:p>
        </w:tc>
      </w:tr>
      <w:tr>
        <w:trPr>
          <w:cantSplit/>
        </w:trPr>
        <w:tc>
          <w:tcPr/>
          <w:p>
            <w:pPr>
              <w:pStyle w:val="Tabla9"/>
              <w:jc w:val="left"/>
            </w:pPr>
            <w:r>
              <w:t xml:space="preserve">Sensor óptico de bajo costo</w:t>
            </w:r>
          </w:p>
        </w:tc>
        <w:tc>
          <w:tcPr/>
          <w:p>
            <w:pPr>
              <w:pStyle w:val="Tabla9"/>
              <w:jc w:val="left"/>
            </w:pPr>
            <w:r>
              <w:t xml:space="preserve">Dispositivo que estima la masa de partículas por dispersión de luz, sin certificación de referencia</w:t>
            </w:r>
          </w:p>
        </w:tc>
        <w:tc>
          <w:tcPr/>
          <w:p>
            <w:pPr>
              <w:pStyle w:val="Tabla9"/>
              <w:jc w:val="left"/>
            </w:pPr>
            <w:r>
              <w:t xml:space="preserve">Kumar et al. (2015); Crilley et al. (2018)</w:t>
            </w:r>
          </w:p>
        </w:tc>
        <w:tc>
          <w:tcPr/>
          <w:p>
            <w:pPr>
              <w:pStyle w:val="Tabla9"/>
              <w:jc w:val="left"/>
            </w:pPr>
            <w:r>
              <w:t xml:space="preserve">DOCUMENTADO</w:t>
            </w:r>
          </w:p>
        </w:tc>
      </w:tr>
      <w:tr>
        <w:trPr>
          <w:cantSplit/>
        </w:trPr>
        <w:tc>
          <w:tcPr/>
          <w:p>
            <w:pPr>
              <w:pStyle w:val="Tabla9"/>
              <w:jc w:val="left"/>
            </w:pPr>
            <w:r>
              <w:t xml:space="preserve">Sesgo y pendiente</w:t>
            </w:r>
          </w:p>
        </w:tc>
        <w:tc>
          <w:tcPr/>
          <w:p>
            <w:pPr>
              <w:pStyle w:val="Tabla9"/>
              <w:jc w:val="left"/>
            </w:pPr>
            <w:r>
              <w:t xml:space="preserve">Diferencia media entre sensor y referencia, entre −5,0 y 5,0 µg/m³, y razón entre sus escalas, entre 0,65 y 1,35</w:t>
            </w:r>
          </w:p>
        </w:tc>
        <w:tc>
          <w:tcPr/>
          <w:p>
            <w:pPr>
              <w:pStyle w:val="Tabla9"/>
              <w:jc w:val="left"/>
            </w:pPr>
            <w:r>
              <w:t xml:space="preserve">EPA (2021)</w:t>
            </w:r>
          </w:p>
        </w:tc>
        <w:tc>
          <w:tcPr/>
          <w:p>
            <w:pPr>
              <w:pStyle w:val="Tabla9"/>
              <w:jc w:val="left"/>
            </w:pPr>
            <w:r>
              <w:t xml:space="preserve">DOCUMENTADO</w:t>
            </w:r>
          </w:p>
        </w:tc>
      </w:tr>
      <w:tr>
        <w:trPr>
          <w:cantSplit/>
        </w:trPr>
        <w:tc>
          <w:tcPr/>
          <w:p>
            <w:pPr>
              <w:pStyle w:val="Tabla9"/>
              <w:jc w:val="left"/>
            </w:pPr>
            <w:r>
              <w:t xml:space="preserve">Tramo</w:t>
            </w:r>
          </w:p>
        </w:tc>
        <w:tc>
          <w:tcPr/>
          <w:p>
            <w:pPr>
              <w:pStyle w:val="Tabla9"/>
              <w:jc w:val="left"/>
            </w:pPr>
            <w:r>
              <w:t xml:space="preserve">Etapa de despliegue condicionado con nodos, gateways y compuerta propios</w:t>
            </w:r>
          </w:p>
        </w:tc>
        <w:tc>
          <w:tcPr/>
          <w:p>
            <w:pPr>
              <w:pStyle w:val="Tabla9"/>
              <w:jc w:val="left"/>
            </w:pPr>
            <w:r>
              <w:t xml:space="preserve">Ficha maestra §4; Collingridge (1980)</w:t>
            </w:r>
          </w:p>
        </w:tc>
        <w:tc>
          <w:tcPr/>
          <w:p>
            <w:pPr>
              <w:pStyle w:val="Tabla9"/>
              <w:jc w:val="left"/>
            </w:pPr>
            <w:r>
              <w:t xml:space="preserve">PROPUESTO</w:t>
            </w:r>
          </w:p>
        </w:tc>
      </w:tr>
      <w:tr>
        <w:trPr>
          <w:cantSplit/>
        </w:trPr>
        <w:tc>
          <w:tcPr/>
          <w:p>
            <w:pPr>
              <w:pStyle w:val="Tabla9"/>
              <w:jc w:val="left"/>
            </w:pPr>
            <w:r>
              <w:t xml:space="preserve">Velocidad del viento (V04)</w:t>
            </w:r>
          </w:p>
        </w:tc>
        <w:tc>
          <w:tcPr/>
          <w:p>
            <w:pPr>
              <w:pStyle w:val="Tabla9"/>
              <w:jc w:val="left"/>
            </w:pPr>
            <w:r>
              <w:t xml:space="preserve">Fuerza de dispersión eólica superficial, en m/s</w:t>
            </w:r>
          </w:p>
        </w:tc>
        <w:tc>
          <w:tcPr/>
          <w:p>
            <w:pPr>
              <w:pStyle w:val="Tabla9"/>
              <w:jc w:val="left"/>
            </w:pPr>
            <w:r>
              <w:t xml:space="preserve">Diccionario de variables, 4.4.2</w:t>
            </w:r>
          </w:p>
        </w:tc>
        <w:tc>
          <w:tcPr/>
          <w:p>
            <w:pPr>
              <w:pStyle w:val="Tabla9"/>
              <w:jc w:val="left"/>
            </w:pPr>
            <w:r>
              <w:t xml:space="preserve">DECLARADO</w:t>
            </w:r>
          </w:p>
        </w:tc>
      </w:tr>
    </w:tbl>
    <w:p>
      <w:pPr>
        <w:pStyle w:val="TablaNota"/>
      </w:pPr>
      <w:r>
        <w:rPr>
          <w:i/>
          <w:iCs/>
        </w:rPr>
        <w:t xml:space="preserve">Nota.</w:t>
      </w:r>
      <w:r>
        <w:t xml:space="preserve"> </w:t>
      </w:r>
      <w:r>
        <w:t xml:space="preserve">Elaboración propia con el diccionario de variables del análisis de Vester (4.4.2), la ficha maestra y obras del banco de referencias. Estado de verificación de las obras: NO_VERIFICADO. Decimales con coma.</w:t>
      </w:r>
    </w:p>
    <w:p>
      <w:pPr>
        <w:pStyle w:val="BodyText"/>
      </w:pPr>
      <w:r>
        <w:t xml:space="preserve">La Tabla 4.3 permite dos lecturas de control. Del total de 40 términos, 15 provienen del diccionario del expediente, lo que confirma que el modelo causal usa las mismas palabras que los objetivos. El resto proviene de la literatura o de la formulación, y cada caso queda identificado por su naturaleza. La Tabla 4.3 también expone los términos cuya definición exige una decisión del proyecto: fracción gruesa, gemelo digital y custodia.</w:t>
      </w:r>
    </w:p>
    <w:bookmarkEnd w:id="401"/>
    <w:bookmarkStart w:id="405" w:name="_Toc00900156"/>
    <w:p>
      <w:pPr>
        <w:pStyle w:val="Heading3"/>
      </w:pPr>
      <w:r>
        <w:t xml:space="preserve">4.2.2 Relaciones entre conceptos</w:t>
      </w:r>
    </w:p>
    <w:p>
      <w:pPr>
        <w:pStyle w:val="FirstParagraph"/>
      </w:pPr>
      <w:r>
        <w:t xml:space="preserve">Los conceptos del proyecto forman un sistema de influencias, y no una lista de componentes independientes. El análisis causal modela esas influencias con la matriz de Vester sobre 15 variables. Vester (2007) propone clasificar cada variable según su influencia sobre las demás y su dependencia de ellas. Godet (2001) añade el análisis de influencias indirectas, que revela variables ocultas por las potencias de la matriz. El escenario de trabajo S2 contiene 48 aristas con una suma de influencias igual a la suma de dependencias, de 78. La Figura 4.2 muestra las 23 relaciones de valor 3 o 2.</w:t>
      </w:r>
    </w:p>
    <w:p>
      <w:pPr>
        <w:pStyle w:val="BodyText"/>
      </w:pPr>
      <w:r>
        <w:t xml:space="preserve">El corte de clasificación se aplica con la mediana, que es 5 tanto en influencia como en dependencia. La escala de 0 a 3 es ordinal, y la mediana respeta ese nivel de medida (PROPUESTO). Con ese criterio, V02, V06 y V15 son críticas. V03, V04 y V05 son activas. V01, V07, V10, V11 y V12 quedan en la frontera. V09 y V14 son reactivas. V08 y V13 son autónomas relativas. El problema central es V06, con influencia 8 y dependencia 13, que se mantiene como variable crítica en los cinco escenarios evaluados. Sus causas directas son V03 (influencia 6, dependencia 0), V02 (7 y 6), V01 (6 y 5) y V07 (5 y 2). La causa indirecta es V05 (7 y 1).</w:t>
      </w:r>
    </w:p>
    <w:p>
      <w:pPr>
        <w:pStyle w:val="BodyText"/>
      </w:pPr>
      <w:r>
        <w:t xml:space="preserve">Dos posiciones se contrastan sobre cómo leer estas relaciones. La lectura estructural trata las relaciones como hipótesis de influencia que organizan el diseño (Vester, 2007). La lectura causal exige identificar el efecto con datos y diseño, y distingue asociación de causalidad (Pawson y Tilley, 1997; Befani y Mayne, 2014). El proyecto adopta la primera lectura para diseñar y la segunda para evaluar. Por ello ninguna relación del modelo se presenta como efecto estimado. El tramo 1 aporta los datos con los que se contrastan las relaciones más relevantes, en particular V03 a V06 y V02 a V06.</w:t>
      </w:r>
    </w:p>
    <w:p>
      <w:pPr>
        <w:pStyle w:val="BodyText"/>
      </w:pPr>
      <w:r>
        <w:t xml:space="preserve">El modelo contiene un ciclo que motiva la custodia. V15 aparece en 140 de los 144 ciclos simples del escenario S2. Las potencias de la matriz no se estabilizan hasta k igual a 10. Esa estructura sugiere que el uso institucional alimenta la disponibilidad de la red (INFERIDO). Sugiere también que la baja confianza en el dato reduce el uso. Una intervención sobre un solo extremo no basta. El proyecto actúa sobre el dato (OE1), sobre la red (OE2) y sobre el uso (OE3).</w:t>
      </w:r>
    </w:p>
    <w:p>
      <w:pPr>
        <w:pStyle w:val="BodyText"/>
      </w:pPr>
      <w:r>
        <w:t xml:space="preserve">La consecuencia metodológica es que el proyecto interviene sobre las variables que combinan alta influencia con posibilidad de decisión. La calibración colocalizada y la corrección en el gateway actúan sobre V06, V02, V03 y V07. La energía y el enlace redundantes actúan sobre la relación V05 a V09. El co-diseño actúa sobre V15. La Figura 4.2 presenta la red conceptual en la que se apoya esa selección.</w:t>
      </w:r>
    </w:p>
    <w:p>
      <w:pPr>
        <w:pStyle w:val="FiguraRotulo"/>
      </w:pPr>
      <w:bookmarkStart w:id="9510" w:name="rot_Figura_4_2"/>
      <w:r>
        <w:rPr>
          <w:b/>
          <w:bCs/>
        </w:rPr>
        <w:t xml:space="preserve">Figura 4.2</w:t>
      </w:r>
      <w:bookmarkEnd w:id="9510"/>
    </w:p>
    <w:p>
      <w:pPr>
        <w:pStyle w:val="FiguraTitulo"/>
      </w:pPr>
      <w:r>
        <w:rPr>
          <w:i/>
          <w:iCs/>
        </w:rPr>
        <w:t xml:space="preserve">Red conceptual de las 15 variables del modelo causal</w:t>
      </w:r>
    </w:p>
    <w:p>
      <w:pPr>
        <w:pStyle w:val="BodyText"/>
      </w:pPr>
      <w:r>
        <w:drawing>
          <wp:inline>
            <wp:extent cx="5579999" cy="3917551"/>
            <wp:effectExtent b="0" l="0" r="0" t="0"/>
            <wp:docPr descr="" title="" id="403" name="Picture"/>
            <a:graphic>
              <a:graphicData uri="http://schemas.openxmlformats.org/drawingml/2006/picture">
                <pic:pic>
                  <pic:nvPicPr>
                    <pic:cNvPr descr="/tmp/claude-0/-home-user-docs/ddf38714-2a7e-502b-92b4-1008e2832422/scratchpad/proy/figs/out/c4_f02.png" id="404" name="Picture"/>
                    <pic:cNvPicPr>
                      <a:picLocks noChangeArrowheads="1" noChangeAspect="1"/>
                    </pic:cNvPicPr>
                  </pic:nvPicPr>
                  <pic:blipFill>
                    <a:blip r:embed="rId402"/>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MID_S_TRABAJO_PROPUESTO.csv (escenario de trabajo S2, 48 aristas; se muestran las 23 aristas de valor 3 o 2). Posiciones de los nodos: recocido simulado que minimiza cruces, semilla 20261013. Software: Python 3 con matplotlib; script c4_figs.py. Las relaciones son hipótesis ordinales de influencia estructural.</w:t>
      </w:r>
    </w:p>
    <w:p>
      <w:pPr>
        <w:pStyle w:val="BodyText"/>
      </w:pPr>
      <w:r>
        <w:t xml:space="preserve">La Figura 4.2 confirma el papel central de V06. Esta variable recibe cuatro relaciones de valor 3 o 2 y emite dos. Las variables físicas (V01 a V05) entran al bloque técnico. Las variables de decisión (V11 a V15) cierran el ciclo hacia V09. La Figura 4.2 omite las 25 relaciones de valor 1, que el análisis conserva en la matriz formal.</w:t>
      </w:r>
    </w:p>
    <w:bookmarkEnd w:id="405"/>
    <w:bookmarkStart w:id="406" w:name="_Toc00900157"/>
    <w:p>
      <w:pPr>
        <w:pStyle w:val="Heading3"/>
      </w:pPr>
      <w:r>
        <w:t xml:space="preserve">4.2.3 Operacionalización de variables</w:t>
      </w:r>
    </w:p>
    <w:p>
      <w:pPr>
        <w:pStyle w:val="FirstParagraph"/>
      </w:pPr>
      <w:r>
        <w:t xml:space="preserve">Operacionalizar una variable significa asociarla con una unidad, un instrumento y una regla de cálculo. El proyecto aplica esa regla a las 15 variables del modelo y a las métricas de desempeño que gobiernan las compuertas. El problema formal define como variable dependiente Y el NRMSE de los nodos frente a la referencia colocalizada, que corresponde a V06. Hay tres variables independientes. X1 es la humedad relativa (V03). X2 es la fracción gruesa (V02 menos V01). X3 es la frecuencia y calidad de la calibración (V07). La disponibilidad de nodos (V09) actúa como moderadora. Los controles son la temperatura, la edad del cabezal y la distancia a la referencia. La Tabla 4.4 presenta las definiciones y las métricas.</w:t>
      </w:r>
    </w:p>
    <w:p>
      <w:pPr>
        <w:pStyle w:val="BodyText"/>
      </w:pPr>
      <w:r>
        <w:t xml:space="preserve">Esta operacionalización enfrenta tres tensiones. La primera es entre NMAE y NRMSE. El diccionario define V06 con el error absoluto medio normalizado (NMAE). Las compuertas usan el NRMSE por su anclaje en el protocolo de la EPA (2021). El proyecto reporta ambas métricas y asigna a NRMSE el papel de criterio de decisión, porque penaliza más los errores grandes. La segunda tensión es la ubicación de V07. El diccionario la define como ajuste del gemelo, mientras que la decisión DEC-F02 sitúa la corrección en el gateway. El proyecto interpreta V07 como la frecuencia de ajuste del modelo de corrección. La tercera es la ambigüedad de V10, que puede ser densidad nominal de diseño o resolución efectiva. El proyecto reporta ambas.</w:t>
      </w:r>
    </w:p>
    <w:p>
      <w:pPr>
        <w:pStyle w:val="BodyText"/>
      </w:pPr>
      <w:r>
        <w:t xml:space="preserve">Varias variables carecen de dato. V04 no incluye la dirección del viento y V03 no cuenta con una variable de precipitación. V11 depende de una fórmula local que no figura en el expediente. V13 no posee línea base en el corpus. V14 no separa la protección autónoma de la inducida por la alerta. El número de operarios de remoción en los sitios monitoreados es un dato que solo el usuario posee. Estas brechas se marcan en la tabla y no se rellenan con supuestos.</w:t>
      </w:r>
    </w:p>
    <w:p>
      <w:pPr>
        <w:pStyle w:val="BodyText"/>
      </w:pPr>
      <w:r>
        <w:t xml:space="preserve">La consecuencia metodológica es directa. Cada variable queda asociada con una fuente de dato verificable antes de iniciar el tramo 1. Las variables sin fuente se resuelven con marcadores del usuario o con mediciones del piloto. El modelo de 15 variables se ampliará a una matriz de 19 con los controles omitidos. La ampliación depende de que los datos del tramo 1 lo permitan (PROPUESTO).</w:t>
      </w:r>
    </w:p>
    <w:p>
      <w:pPr>
        <w:pStyle w:val="TablaRotulo"/>
      </w:pPr>
      <w:bookmarkStart w:id="9277" w:name="rot_Tabla_4_4"/>
      <w:r>
        <w:rPr>
          <w:b/>
          <w:bCs/>
        </w:rPr>
        <w:t xml:space="preserve">Tabla 4.4</w:t>
      </w:r>
      <w:bookmarkEnd w:id="9277"/>
    </w:p>
    <w:p>
      <w:pPr>
        <w:pStyle w:val="TablaTitulo"/>
      </w:pPr>
      <w:r>
        <w:rPr>
          <w:i/>
          <w:iCs/>
        </w:rPr>
        <w:t xml:space="preserve">Operacionalización de variables y métricas de desempeño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43"/>
        <w:gridCol w:w="1243"/>
        <w:gridCol w:w="1243"/>
        <w:gridCol w:w="1309"/>
        <w:gridCol w:w="1243"/>
        <w:gridCol w:w="1636"/>
      </w:tblGrid>
      <w:tr>
        <w:trPr>
          <w:cantSplit/>
          <w:tblHeader/>
        </w:trPr>
        <w:tc>
          <w:tcPr>
            <w:shd w:val="clear" w:color="auto" w:fill="00B050"/>
          </w:tcPr>
          <w:p>
            <w:pPr>
              <w:pStyle w:val="Tabla9"/>
              <w:jc w:val="center"/>
            </w:pPr>
            <w:r>
              <w:rPr>
                <w:b/>
                <w:color w:val="FFFFFF"/>
              </w:rPr>
              <w:t xml:space="preserve">Código</w:t>
            </w:r>
          </w:p>
        </w:tc>
        <w:tc>
          <w:tcPr>
            <w:shd w:val="clear" w:color="auto" w:fill="00B050"/>
          </w:tcPr>
          <w:p>
            <w:pPr>
              <w:pStyle w:val="Tabla9"/>
              <w:jc w:val="center"/>
            </w:pPr>
            <w:r>
              <w:rPr>
                <w:b/>
                <w:color w:val="FFFFFF"/>
              </w:rPr>
              <w:t xml:space="preserve">Variable o métrica</w:t>
            </w:r>
          </w:p>
        </w:tc>
        <w:tc>
          <w:tcPr>
            <w:shd w:val="clear" w:color="auto" w:fill="00B050"/>
          </w:tcPr>
          <w:p>
            <w:pPr>
              <w:pStyle w:val="Tabla9"/>
              <w:jc w:val="center"/>
            </w:pPr>
            <w:r>
              <w:rPr>
                <w:b/>
                <w:color w:val="FFFFFF"/>
              </w:rPr>
              <w:t xml:space="preserve">Definición operacional (unidad)</w:t>
            </w:r>
          </w:p>
        </w:tc>
        <w:tc>
          <w:tcPr>
            <w:shd w:val="clear" w:color="auto" w:fill="00B050"/>
          </w:tcPr>
          <w:p>
            <w:pPr>
              <w:pStyle w:val="Tabla9"/>
              <w:jc w:val="center"/>
            </w:pPr>
            <w:r>
              <w:rPr>
                <w:b/>
                <w:color w:val="FFFFFF"/>
              </w:rPr>
              <w:t xml:space="preserve">Sentido de aumento</w:t>
            </w:r>
          </w:p>
        </w:tc>
        <w:tc>
          <w:tcPr>
            <w:shd w:val="clear" w:color="auto" w:fill="00B050"/>
          </w:tcPr>
          <w:p>
            <w:pPr>
              <w:pStyle w:val="Tabla9"/>
              <w:jc w:val="center"/>
            </w:pPr>
            <w:r>
              <w:rPr>
                <w:b/>
                <w:color w:val="FFFFFF"/>
              </w:rPr>
              <w:t xml:space="preserve">Rol en el modelo y observación</w:t>
            </w:r>
          </w:p>
        </w:tc>
        <w:tc>
          <w:tcPr>
            <w:shd w:val="clear" w:color="auto" w:fill="00B050"/>
          </w:tcPr>
          <w:p>
            <w:pPr>
              <w:pStyle w:val="Tabla9"/>
              <w:jc w:val="center"/>
            </w:pPr>
            <w:r>
              <w:rPr>
                <w:b/>
                <w:color w:val="FFFFFF"/>
              </w:rPr>
              <w:t xml:space="preserve">Fuente del dato</w:t>
            </w:r>
          </w:p>
        </w:tc>
      </w:tr>
      <w:tr>
        <w:trPr>
          <w:cantSplit/>
        </w:trPr>
        <w:tc>
          <w:tcPr/>
          <w:p>
            <w:pPr>
              <w:pStyle w:val="Tabla9"/>
              <w:jc w:val="left"/>
            </w:pPr>
            <w:r>
              <w:t xml:space="preserve">V01</w:t>
            </w:r>
          </w:p>
        </w:tc>
        <w:tc>
          <w:tcPr/>
          <w:p>
            <w:pPr>
              <w:pStyle w:val="Tabla9"/>
              <w:jc w:val="left"/>
            </w:pPr>
            <w:r>
              <w:t xml:space="preserve">Concentración de PM2,5</w:t>
            </w:r>
          </w:p>
        </w:tc>
        <w:tc>
          <w:tcPr/>
          <w:p>
            <w:pPr>
              <w:pStyle w:val="Tabla9"/>
              <w:jc w:val="left"/>
            </w:pPr>
            <w:r>
              <w:t xml:space="preserve">Masa de partículas menores que 2,5 µm (µg/m³)</w:t>
            </w:r>
          </w:p>
        </w:tc>
        <w:tc>
          <w:tcPr/>
          <w:p>
            <w:pPr>
              <w:pStyle w:val="Tabla9"/>
              <w:jc w:val="left"/>
            </w:pPr>
            <w:r>
              <w:t xml:space="preserve">Mayor concentración</w:t>
            </w:r>
          </w:p>
        </w:tc>
        <w:tc>
          <w:tcPr/>
          <w:p>
            <w:pPr>
              <w:pStyle w:val="Tabla9"/>
              <w:jc w:val="left"/>
            </w:pPr>
            <w:r>
              <w:t xml:space="preserve">Incluida en V02 por tamaño; se usa para calcular X2</w:t>
            </w:r>
          </w:p>
        </w:tc>
        <w:tc>
          <w:tcPr/>
          <w:p>
            <w:pPr>
              <w:pStyle w:val="Tabla9"/>
              <w:jc w:val="left"/>
            </w:pPr>
            <w:r>
              <w:t xml:space="preserve">Nodo hoja y referencia gravimétrica</w:t>
            </w:r>
          </w:p>
        </w:tc>
      </w:tr>
      <w:tr>
        <w:trPr>
          <w:cantSplit/>
        </w:trPr>
        <w:tc>
          <w:tcPr/>
          <w:p>
            <w:pPr>
              <w:pStyle w:val="Tabla9"/>
              <w:jc w:val="left"/>
            </w:pPr>
            <w:r>
              <w:t xml:space="preserve">V02</w:t>
            </w:r>
          </w:p>
        </w:tc>
        <w:tc>
          <w:tcPr/>
          <w:p>
            <w:pPr>
              <w:pStyle w:val="Tabla9"/>
              <w:jc w:val="left"/>
            </w:pPr>
            <w:r>
              <w:t xml:space="preserve">Concentración de PM10</w:t>
            </w:r>
          </w:p>
        </w:tc>
        <w:tc>
          <w:tcPr/>
          <w:p>
            <w:pPr>
              <w:pStyle w:val="Tabla9"/>
              <w:jc w:val="left"/>
            </w:pPr>
            <w:r>
              <w:t xml:space="preserve">Masa de partículas menores que 10 µm (µg/m³)</w:t>
            </w:r>
          </w:p>
        </w:tc>
        <w:tc>
          <w:tcPr/>
          <w:p>
            <w:pPr>
              <w:pStyle w:val="Tabla9"/>
              <w:jc w:val="left"/>
            </w:pPr>
            <w:r>
              <w:t xml:space="preserve">Mayor concentración</w:t>
            </w:r>
          </w:p>
        </w:tc>
        <w:tc>
          <w:tcPr/>
          <w:p>
            <w:pPr>
              <w:pStyle w:val="Tabla9"/>
              <w:jc w:val="left"/>
            </w:pPr>
            <w:r>
              <w:t xml:space="preserve">Incluye V01; la fracción gruesa es X2</w:t>
            </w:r>
          </w:p>
        </w:tc>
        <w:tc>
          <w:tcPr/>
          <w:p>
            <w:pPr>
              <w:pStyle w:val="Tabla9"/>
              <w:jc w:val="left"/>
            </w:pPr>
            <w:r>
              <w:t xml:space="preserve">Nodo hoja y referencia gravimétrica</w:t>
            </w:r>
          </w:p>
        </w:tc>
      </w:tr>
      <w:tr>
        <w:trPr>
          <w:cantSplit/>
        </w:trPr>
        <w:tc>
          <w:tcPr/>
          <w:p>
            <w:pPr>
              <w:pStyle w:val="Tabla9"/>
              <w:jc w:val="left"/>
            </w:pPr>
            <w:r>
              <w:t xml:space="preserve">V03</w:t>
            </w:r>
          </w:p>
        </w:tc>
        <w:tc>
          <w:tcPr/>
          <w:p>
            <w:pPr>
              <w:pStyle w:val="Tabla9"/>
              <w:jc w:val="left"/>
            </w:pPr>
            <w:r>
              <w:t xml:space="preserve">Humedad relativa</w:t>
            </w:r>
          </w:p>
        </w:tc>
        <w:tc>
          <w:tcPr/>
          <w:p>
            <w:pPr>
              <w:pStyle w:val="Tabla9"/>
              <w:jc w:val="left"/>
            </w:pPr>
            <w:r>
              <w:t xml:space="preserve">Saturación de vapor de agua (%)</w:t>
            </w:r>
          </w:p>
        </w:tc>
        <w:tc>
          <w:tcPr/>
          <w:p>
            <w:pPr>
              <w:pStyle w:val="Tabla9"/>
              <w:jc w:val="left"/>
            </w:pPr>
            <w:r>
              <w:t xml:space="preserve">Mayor humedad</w:t>
            </w:r>
          </w:p>
        </w:tc>
        <w:tc>
          <w:tcPr/>
          <w:p>
            <w:pPr>
              <w:pStyle w:val="Tabla9"/>
              <w:jc w:val="left"/>
            </w:pPr>
            <w:r>
              <w:t xml:space="preserve">X1; exógena; sin variable de precipitación</w:t>
            </w:r>
          </w:p>
        </w:tc>
        <w:tc>
          <w:tcPr/>
          <w:p>
            <w:pPr>
              <w:pStyle w:val="Tabla9"/>
              <w:jc w:val="left"/>
            </w:pPr>
            <w:r>
              <w:t xml:space="preserve">Sensor de humedad del nodo</w:t>
            </w:r>
          </w:p>
        </w:tc>
      </w:tr>
      <w:tr>
        <w:trPr>
          <w:cantSplit/>
        </w:trPr>
        <w:tc>
          <w:tcPr/>
          <w:p>
            <w:pPr>
              <w:pStyle w:val="Tabla9"/>
              <w:jc w:val="left"/>
            </w:pPr>
            <w:r>
              <w:t xml:space="preserve">V04</w:t>
            </w:r>
          </w:p>
        </w:tc>
        <w:tc>
          <w:tcPr/>
          <w:p>
            <w:pPr>
              <w:pStyle w:val="Tabla9"/>
              <w:jc w:val="left"/>
            </w:pPr>
            <w:r>
              <w:t xml:space="preserve">Velocidad del viento</w:t>
            </w:r>
          </w:p>
        </w:tc>
        <w:tc>
          <w:tcPr/>
          <w:p>
            <w:pPr>
              <w:pStyle w:val="Tabla9"/>
              <w:jc w:val="left"/>
            </w:pPr>
            <w:r>
              <w:t xml:space="preserve">Fuerza de dispersión eólica superficial (m/s)</w:t>
            </w:r>
          </w:p>
        </w:tc>
        <w:tc>
          <w:tcPr/>
          <w:p>
            <w:pPr>
              <w:pStyle w:val="Tabla9"/>
              <w:jc w:val="left"/>
            </w:pPr>
            <w:r>
              <w:t xml:space="preserve">Mayor velocidad</w:t>
            </w:r>
          </w:p>
        </w:tc>
        <w:tc>
          <w:tcPr/>
          <w:p>
            <w:pPr>
              <w:pStyle w:val="Tabla9"/>
              <w:jc w:val="left"/>
            </w:pPr>
            <w:r>
              <w:t xml:space="preserve">Exógena; la dirección del viento no figura</w:t>
            </w:r>
          </w:p>
        </w:tc>
        <w:tc>
          <w:tcPr/>
          <w:p>
            <w:pPr>
              <w:pStyle w:val="Tabla9"/>
              <w:jc w:val="left"/>
            </w:pPr>
            <w:r>
              <w:t xml:space="preserve">[DATO_USUARIO: fuente de datos de viento]</w:t>
            </w:r>
          </w:p>
        </w:tc>
      </w:tr>
      <w:tr>
        <w:trPr>
          <w:cantSplit/>
        </w:trPr>
        <w:tc>
          <w:tcPr/>
          <w:p>
            <w:pPr>
              <w:pStyle w:val="Tabla9"/>
              <w:jc w:val="left"/>
            </w:pPr>
            <w:r>
              <w:t xml:space="preserve">V05</w:t>
            </w:r>
          </w:p>
        </w:tc>
        <w:tc>
          <w:tcPr/>
          <w:p>
            <w:pPr>
              <w:pStyle w:val="Tabla9"/>
              <w:jc w:val="left"/>
            </w:pPr>
            <w:r>
              <w:t xml:space="preserve">Volumen de escombros</w:t>
            </w:r>
          </w:p>
        </w:tc>
        <w:tc>
          <w:tcPr/>
          <w:p>
            <w:pPr>
              <w:pStyle w:val="Tabla9"/>
              <w:jc w:val="left"/>
            </w:pPr>
            <w:r>
              <w:t xml:space="preserve">Residuos removidos tras el sismo (t/día)</w:t>
            </w:r>
          </w:p>
        </w:tc>
        <w:tc>
          <w:tcPr/>
          <w:p>
            <w:pPr>
              <w:pStyle w:val="Tabla9"/>
              <w:jc w:val="left"/>
            </w:pPr>
            <w:r>
              <w:t xml:space="preserve">Mayor volumen removido</w:t>
            </w:r>
          </w:p>
        </w:tc>
        <w:tc>
          <w:tcPr/>
          <w:p>
            <w:pPr>
              <w:pStyle w:val="Tabla9"/>
              <w:jc w:val="left"/>
            </w:pPr>
            <w:r>
              <w:t xml:space="preserve">Actividad modificable por decisión institucional</w:t>
            </w:r>
          </w:p>
        </w:tc>
        <w:tc>
          <w:tcPr/>
          <w:p>
            <w:pPr>
              <w:pStyle w:val="Tabla9"/>
              <w:jc w:val="left"/>
            </w:pPr>
            <w:r>
              <w:t xml:space="preserve">[DATO_USUARIO: reportes de volumen removido]</w:t>
            </w:r>
          </w:p>
        </w:tc>
      </w:tr>
      <w:tr>
        <w:trPr>
          <w:cantSplit/>
        </w:trPr>
        <w:tc>
          <w:tcPr/>
          <w:p>
            <w:pPr>
              <w:pStyle w:val="Tabla9"/>
              <w:jc w:val="left"/>
            </w:pPr>
            <w:r>
              <w:t xml:space="preserve">V06</w:t>
            </w:r>
          </w:p>
        </w:tc>
        <w:tc>
          <w:tcPr/>
          <w:p>
            <w:pPr>
              <w:pStyle w:val="Tabla9"/>
              <w:jc w:val="left"/>
            </w:pPr>
            <w:r>
              <w:t xml:space="preserve">Error de medición IoT</w:t>
            </w:r>
          </w:p>
        </w:tc>
        <w:tc>
          <w:tcPr/>
          <w:p>
            <w:pPr>
              <w:pStyle w:val="Tabla9"/>
              <w:jc w:val="left"/>
            </w:pPr>
            <w:r>
              <w:t xml:space="preserve">Desfase metrológico del sensor (NMAE %)</w:t>
            </w:r>
          </w:p>
        </w:tc>
        <w:tc>
          <w:tcPr/>
          <w:p>
            <w:pPr>
              <w:pStyle w:val="Tabla9"/>
              <w:jc w:val="left"/>
            </w:pPr>
            <w:r>
              <w:t xml:space="preserve">Mayor error</w:t>
            </w:r>
          </w:p>
        </w:tc>
        <w:tc>
          <w:tcPr/>
          <w:p>
            <w:pPr>
              <w:pStyle w:val="Tabla9"/>
              <w:jc w:val="left"/>
            </w:pPr>
            <w:r>
              <w:t xml:space="preserve">Problema central; Y se mide con NRMSE</w:t>
            </w:r>
          </w:p>
        </w:tc>
        <w:tc>
          <w:tcPr/>
          <w:p>
            <w:pPr>
              <w:pStyle w:val="Tabla9"/>
              <w:jc w:val="left"/>
            </w:pPr>
            <w:r>
              <w:t xml:space="preserve">Datos pareados nodo y referencia</w:t>
            </w:r>
          </w:p>
        </w:tc>
      </w:tr>
      <w:tr>
        <w:trPr>
          <w:cantSplit/>
        </w:trPr>
        <w:tc>
          <w:tcPr/>
          <w:p>
            <w:pPr>
              <w:pStyle w:val="Tabla9"/>
              <w:jc w:val="left"/>
            </w:pPr>
            <w:r>
              <w:t xml:space="preserve">V07</w:t>
            </w:r>
          </w:p>
        </w:tc>
        <w:tc>
          <w:tcPr/>
          <w:p>
            <w:pPr>
              <w:pStyle w:val="Tabla9"/>
              <w:jc w:val="left"/>
            </w:pPr>
            <w:r>
              <w:t xml:space="preserve">Frecuencia de calibración</w:t>
            </w:r>
          </w:p>
        </w:tc>
        <w:tc>
          <w:tcPr/>
          <w:p>
            <w:pPr>
              <w:pStyle w:val="Tabla9"/>
              <w:jc w:val="left"/>
            </w:pPr>
            <w:r>
              <w:t xml:space="preserve">Tasa de ajuste algorítmico (ajustes/semana)</w:t>
            </w:r>
          </w:p>
        </w:tc>
        <w:tc>
          <w:tcPr/>
          <w:p>
            <w:pPr>
              <w:pStyle w:val="Tabla9"/>
              <w:jc w:val="left"/>
            </w:pPr>
            <w:r>
              <w:t xml:space="preserve">Más ajustes por semana</w:t>
            </w:r>
          </w:p>
        </w:tc>
        <w:tc>
          <w:tcPr/>
          <w:p>
            <w:pPr>
              <w:pStyle w:val="Tabla9"/>
              <w:jc w:val="left"/>
            </w:pPr>
            <w:r>
              <w:t xml:space="preserve">X3; palanca de diseño; ajuste del modelo de corrección</w:t>
            </w:r>
          </w:p>
        </w:tc>
        <w:tc>
          <w:tcPr/>
          <w:p>
            <w:pPr>
              <w:pStyle w:val="Tabla9"/>
              <w:jc w:val="left"/>
            </w:pPr>
            <w:r>
              <w:t xml:space="preserve">Registro de versiones del modelo (PERS-R02)</w:t>
            </w:r>
          </w:p>
        </w:tc>
      </w:tr>
      <w:tr>
        <w:trPr>
          <w:cantSplit/>
        </w:trPr>
        <w:tc>
          <w:tcPr/>
          <w:p>
            <w:pPr>
              <w:pStyle w:val="Tabla9"/>
              <w:jc w:val="left"/>
            </w:pPr>
            <w:r>
              <w:t xml:space="preserve">V08</w:t>
            </w:r>
          </w:p>
        </w:tc>
        <w:tc>
          <w:tcPr/>
          <w:p>
            <w:pPr>
              <w:pStyle w:val="Tabla9"/>
              <w:jc w:val="left"/>
            </w:pPr>
            <w:r>
              <w:t xml:space="preserve">Latencia de datos</w:t>
            </w:r>
          </w:p>
        </w:tc>
        <w:tc>
          <w:tcPr/>
          <w:p>
            <w:pPr>
              <w:pStyle w:val="Tabla9"/>
              <w:jc w:val="left"/>
            </w:pPr>
            <w:r>
              <w:t xml:space="preserve">Retraso de transmisión a la nube central (minutos)</w:t>
            </w:r>
          </w:p>
        </w:tc>
        <w:tc>
          <w:tcPr/>
          <w:p>
            <w:pPr>
              <w:pStyle w:val="Tabla9"/>
              <w:jc w:val="left"/>
            </w:pPr>
            <w:r>
              <w:t xml:space="preserve">Mayor retraso</w:t>
            </w:r>
          </w:p>
        </w:tc>
        <w:tc>
          <w:tcPr/>
          <w:p>
            <w:pPr>
              <w:pStyle w:val="Tabla9"/>
              <w:jc w:val="left"/>
            </w:pPr>
            <w:r>
              <w:t xml:space="preserve">No distingue retraso de red y desfase sensor y estación</w:t>
            </w:r>
          </w:p>
        </w:tc>
        <w:tc>
          <w:tcPr/>
          <w:p>
            <w:pPr>
              <w:pStyle w:val="Tabla9"/>
              <w:jc w:val="left"/>
            </w:pPr>
            <w:r>
              <w:t xml:space="preserve">Marcas de tiempo de la plataforma</w:t>
            </w:r>
          </w:p>
        </w:tc>
      </w:tr>
      <w:tr>
        <w:trPr>
          <w:cantSplit/>
        </w:trPr>
        <w:tc>
          <w:tcPr/>
          <w:p>
            <w:pPr>
              <w:pStyle w:val="Tabla9"/>
              <w:jc w:val="left"/>
            </w:pPr>
            <w:r>
              <w:t xml:space="preserve">V09</w:t>
            </w:r>
          </w:p>
        </w:tc>
        <w:tc>
          <w:tcPr/>
          <w:p>
            <w:pPr>
              <w:pStyle w:val="Tabla9"/>
              <w:jc w:val="left"/>
            </w:pPr>
            <w:r>
              <w:t xml:space="preserve">Disponibilidad de nodos</w:t>
            </w:r>
          </w:p>
        </w:tc>
        <w:tc>
          <w:tcPr/>
          <w:p>
            <w:pPr>
              <w:pStyle w:val="Tabla9"/>
              <w:jc w:val="left"/>
            </w:pPr>
            <w:r>
              <w:t xml:space="preserve">Porcentaje de la red activa y con energía (%)</w:t>
            </w:r>
          </w:p>
        </w:tc>
        <w:tc>
          <w:tcPr/>
          <w:p>
            <w:pPr>
              <w:pStyle w:val="Tabla9"/>
              <w:jc w:val="left"/>
            </w:pPr>
            <w:r>
              <w:t xml:space="preserve">Más nodos activos</w:t>
            </w:r>
          </w:p>
        </w:tc>
        <w:tc>
          <w:tcPr/>
          <w:p>
            <w:pPr>
              <w:pStyle w:val="Tabla9"/>
              <w:jc w:val="left"/>
            </w:pPr>
            <w:r>
              <w:t xml:space="preserve">Moderadora; meta mensual ≥ 90 %</w:t>
            </w:r>
          </w:p>
        </w:tc>
        <w:tc>
          <w:tcPr/>
          <w:p>
            <w:pPr>
              <w:pStyle w:val="Tabla9"/>
              <w:jc w:val="left"/>
            </w:pPr>
            <w:r>
              <w:t xml:space="preserve">Inventario y plataforma</w:t>
            </w:r>
          </w:p>
        </w:tc>
      </w:tr>
      <w:tr>
        <w:trPr>
          <w:cantSplit/>
        </w:trPr>
        <w:tc>
          <w:tcPr/>
          <w:p>
            <w:pPr>
              <w:pStyle w:val="Tabla9"/>
              <w:jc w:val="left"/>
            </w:pPr>
            <w:r>
              <w:t xml:space="preserve">V10</w:t>
            </w:r>
          </w:p>
        </w:tc>
        <w:tc>
          <w:tcPr/>
          <w:p>
            <w:pPr>
              <w:pStyle w:val="Tabla9"/>
              <w:jc w:val="left"/>
            </w:pPr>
            <w:r>
              <w:t xml:space="preserve">Densidad del gemelo</w:t>
            </w:r>
          </w:p>
        </w:tc>
        <w:tc>
          <w:tcPr/>
          <w:p>
            <w:pPr>
              <w:pStyle w:val="Tabla9"/>
              <w:jc w:val="left"/>
            </w:pPr>
            <w:r>
              <w:t xml:space="preserve">Resolución del mapa predictivo espacial (nodos/km²)</w:t>
            </w:r>
          </w:p>
        </w:tc>
        <w:tc>
          <w:tcPr/>
          <w:p>
            <w:pPr>
              <w:pStyle w:val="Tabla9"/>
              <w:jc w:val="left"/>
            </w:pPr>
            <w:r>
              <w:t xml:space="preserve">Mayor densidad</w:t>
            </w:r>
          </w:p>
        </w:tc>
        <w:tc>
          <w:tcPr/>
          <w:p>
            <w:pPr>
              <w:pStyle w:val="Tabla9"/>
              <w:jc w:val="left"/>
            </w:pPr>
            <w:r>
              <w:t xml:space="preserve">Ambigua entre densidad nominal y efectiva</w:t>
            </w:r>
          </w:p>
        </w:tc>
        <w:tc>
          <w:tcPr/>
          <w:p>
            <w:pPr>
              <w:pStyle w:val="Tabla9"/>
              <w:jc w:val="left"/>
            </w:pPr>
            <w:r>
              <w:t xml:space="preserve">Coordenadas de nodos y área cubierta</w:t>
            </w:r>
          </w:p>
        </w:tc>
      </w:tr>
      <w:tr>
        <w:trPr>
          <w:cantSplit/>
        </w:trPr>
        <w:tc>
          <w:tcPr/>
          <w:p>
            <w:pPr>
              <w:pStyle w:val="Tabla9"/>
              <w:jc w:val="left"/>
            </w:pPr>
            <w:r>
              <w:t xml:space="preserve">V11</w:t>
            </w:r>
          </w:p>
        </w:tc>
        <w:tc>
          <w:tcPr/>
          <w:p>
            <w:pPr>
              <w:pStyle w:val="Tabla9"/>
              <w:jc w:val="left"/>
            </w:pPr>
            <w:r>
              <w:t xml:space="preserve">Índice AQHI</w:t>
            </w:r>
          </w:p>
        </w:tc>
        <w:tc>
          <w:tcPr/>
          <w:p>
            <w:pPr>
              <w:pStyle w:val="Tabla9"/>
              <w:jc w:val="left"/>
            </w:pPr>
            <w:r>
              <w:t xml:space="preserve">Nivel de peligro de salud pública (escala 1 a 10)</w:t>
            </w:r>
          </w:p>
        </w:tc>
        <w:tc>
          <w:tcPr/>
          <w:p>
            <w:pPr>
              <w:pStyle w:val="Tabla9"/>
              <w:jc w:val="left"/>
            </w:pPr>
            <w:r>
              <w:t xml:space="preserve">Mayor peligro</w:t>
            </w:r>
          </w:p>
        </w:tc>
        <w:tc>
          <w:tcPr/>
          <w:p>
            <w:pPr>
              <w:pStyle w:val="Tabla9"/>
              <w:jc w:val="left"/>
            </w:pPr>
            <w:r>
              <w:t xml:space="preserve">Fórmula local VACIO</w:t>
            </w:r>
          </w:p>
        </w:tc>
        <w:tc>
          <w:tcPr/>
          <w:p>
            <w:pPr>
              <w:pStyle w:val="Tabla9"/>
              <w:jc w:val="left"/>
            </w:pPr>
            <w:r>
              <w:t xml:space="preserve">[DATO_USUARIO: fórmula local del índice AQHI]</w:t>
            </w:r>
          </w:p>
        </w:tc>
      </w:tr>
      <w:tr>
        <w:trPr>
          <w:cantSplit/>
        </w:trPr>
        <w:tc>
          <w:tcPr/>
          <w:p>
            <w:pPr>
              <w:pStyle w:val="Tabla9"/>
              <w:jc w:val="left"/>
            </w:pPr>
            <w:r>
              <w:t xml:space="preserve">V12</w:t>
            </w:r>
          </w:p>
        </w:tc>
        <w:tc>
          <w:tcPr/>
          <w:p>
            <w:pPr>
              <w:pStyle w:val="Tabla9"/>
              <w:jc w:val="left"/>
            </w:pPr>
            <w:r>
              <w:t xml:space="preserve">Falsas alarmas</w:t>
            </w:r>
          </w:p>
        </w:tc>
        <w:tc>
          <w:tcPr/>
          <w:p>
            <w:pPr>
              <w:pStyle w:val="Tabla9"/>
              <w:jc w:val="left"/>
            </w:pPr>
            <w:r>
              <w:t xml:space="preserve">Alertas sin superación real del umbral (%)</w:t>
            </w:r>
          </w:p>
        </w:tc>
        <w:tc>
          <w:tcPr/>
          <w:p>
            <w:pPr>
              <w:pStyle w:val="Tabla9"/>
              <w:jc w:val="left"/>
            </w:pPr>
            <w:r>
              <w:t xml:space="preserve">Más alertas sin superación</w:t>
            </w:r>
          </w:p>
        </w:tc>
        <w:tc>
          <w:tcPr/>
          <w:p>
            <w:pPr>
              <w:pStyle w:val="Tabla9"/>
              <w:jc w:val="left"/>
            </w:pPr>
            <w:r>
              <w:t xml:space="preserve">Línea base medida en el tramo 1</w:t>
            </w:r>
          </w:p>
        </w:tc>
        <w:tc>
          <w:tcPr/>
          <w:p>
            <w:pPr>
              <w:pStyle w:val="Tabla9"/>
              <w:jc w:val="left"/>
            </w:pPr>
            <w:r>
              <w:t xml:space="preserve">Registro de alertas y referencia</w:t>
            </w:r>
          </w:p>
        </w:tc>
      </w:tr>
      <w:tr>
        <w:trPr>
          <w:cantSplit/>
        </w:trPr>
        <w:tc>
          <w:tcPr/>
          <w:p>
            <w:pPr>
              <w:pStyle w:val="Tabla9"/>
              <w:jc w:val="left"/>
            </w:pPr>
            <w:r>
              <w:t xml:space="preserve">V13</w:t>
            </w:r>
          </w:p>
        </w:tc>
        <w:tc>
          <w:tcPr/>
          <w:p>
            <w:pPr>
              <w:pStyle w:val="Tabla9"/>
              <w:jc w:val="left"/>
            </w:pPr>
            <w:r>
              <w:t xml:space="preserve">Anticipación</w:t>
            </w:r>
          </w:p>
        </w:tc>
        <w:tc>
          <w:tcPr/>
          <w:p>
            <w:pPr>
              <w:pStyle w:val="Tabla9"/>
              <w:jc w:val="left"/>
            </w:pPr>
            <w:r>
              <w:t xml:space="preserve">Tiempo de aviso antes del impacto (horas)</w:t>
            </w:r>
          </w:p>
        </w:tc>
        <w:tc>
          <w:tcPr/>
          <w:p>
            <w:pPr>
              <w:pStyle w:val="Tabla9"/>
              <w:jc w:val="left"/>
            </w:pPr>
            <w:r>
              <w:t xml:space="preserve">Más horas de aviso</w:t>
            </w:r>
          </w:p>
        </w:tc>
        <w:tc>
          <w:tcPr/>
          <w:p>
            <w:pPr>
              <w:pStyle w:val="Tabla9"/>
              <w:jc w:val="left"/>
            </w:pPr>
            <w:r>
              <w:t xml:space="preserve">Sin línea base en el corpus</w:t>
            </w:r>
          </w:p>
        </w:tc>
        <w:tc>
          <w:tcPr/>
          <w:p>
            <w:pPr>
              <w:pStyle w:val="Tabla9"/>
              <w:jc w:val="left"/>
            </w:pPr>
            <w:r>
              <w:t xml:space="preserve">Registro de alertas y eventos</w:t>
            </w:r>
          </w:p>
        </w:tc>
      </w:tr>
      <w:tr>
        <w:trPr>
          <w:cantSplit/>
        </w:trPr>
        <w:tc>
          <w:tcPr/>
          <w:p>
            <w:pPr>
              <w:pStyle w:val="Tabla9"/>
              <w:jc w:val="left"/>
            </w:pPr>
            <w:r>
              <w:t xml:space="preserve">V14</w:t>
            </w:r>
          </w:p>
        </w:tc>
        <w:tc>
          <w:tcPr/>
          <w:p>
            <w:pPr>
              <w:pStyle w:val="Tabla9"/>
              <w:jc w:val="left"/>
            </w:pPr>
            <w:r>
              <w:t xml:space="preserve">Personas alertadas</w:t>
            </w:r>
          </w:p>
        </w:tc>
        <w:tc>
          <w:tcPr/>
          <w:p>
            <w:pPr>
              <w:pStyle w:val="Tabla9"/>
              <w:jc w:val="left"/>
            </w:pPr>
            <w:r>
              <w:t xml:space="preserve">Población y operarios bajo protección efectiva (conteo)</w:t>
            </w:r>
          </w:p>
        </w:tc>
        <w:tc>
          <w:tcPr/>
          <w:p>
            <w:pPr>
              <w:pStyle w:val="Tabla9"/>
              <w:jc w:val="left"/>
            </w:pPr>
            <w:r>
              <w:t xml:space="preserve">Más personas protegidas</w:t>
            </w:r>
          </w:p>
        </w:tc>
        <w:tc>
          <w:tcPr/>
          <w:p>
            <w:pPr>
              <w:pStyle w:val="Tabla9"/>
              <w:jc w:val="left"/>
            </w:pPr>
            <w:r>
              <w:t xml:space="preserve">No separa protección autónoma e inducida</w:t>
            </w:r>
          </w:p>
        </w:tc>
        <w:tc>
          <w:tcPr/>
          <w:p>
            <w:pPr>
              <w:pStyle w:val="Tabla9"/>
              <w:jc w:val="left"/>
            </w:pPr>
            <w:r>
              <w:t xml:space="preserve">[DATO_USUARIO: operarios de remoción en sitios monitoreados]</w:t>
            </w:r>
          </w:p>
        </w:tc>
      </w:tr>
      <w:tr>
        <w:trPr>
          <w:cantSplit/>
        </w:trPr>
        <w:tc>
          <w:tcPr/>
          <w:p>
            <w:pPr>
              <w:pStyle w:val="Tabla9"/>
              <w:jc w:val="left"/>
            </w:pPr>
            <w:r>
              <w:t xml:space="preserve">V15</w:t>
            </w:r>
          </w:p>
        </w:tc>
        <w:tc>
          <w:tcPr/>
          <w:p>
            <w:pPr>
              <w:pStyle w:val="Tabla9"/>
              <w:jc w:val="left"/>
            </w:pPr>
            <w:r>
              <w:t xml:space="preserve">Adopción institucional</w:t>
            </w:r>
          </w:p>
        </w:tc>
        <w:tc>
          <w:tcPr/>
          <w:p>
            <w:pPr>
              <w:pStyle w:val="Tabla9"/>
              <w:jc w:val="left"/>
            </w:pPr>
            <w:r>
              <w:t xml:space="preserve">Uso efectivo del tablero por alcaldías y UNGRD (%)</w:t>
            </w:r>
          </w:p>
        </w:tc>
        <w:tc>
          <w:tcPr/>
          <w:p>
            <w:pPr>
              <w:pStyle w:val="Tabla9"/>
              <w:jc w:val="left"/>
            </w:pPr>
            <w:r>
              <w:t xml:space="preserve">Mayor uso efectivo</w:t>
            </w:r>
          </w:p>
        </w:tc>
        <w:tc>
          <w:tcPr/>
          <w:p>
            <w:pPr>
              <w:pStyle w:val="Tabla9"/>
              <w:jc w:val="left"/>
            </w:pPr>
            <w:r>
              <w:t xml:space="preserve">Resultado institucional; PERS-E01</w:t>
            </w:r>
          </w:p>
        </w:tc>
        <w:tc>
          <w:tcPr/>
          <w:p>
            <w:pPr>
              <w:pStyle w:val="Tabla9"/>
              <w:jc w:val="left"/>
            </w:pPr>
            <w:r>
              <w:t xml:space="preserve">Actas de comités y registro del tablero</w:t>
            </w:r>
          </w:p>
        </w:tc>
      </w:tr>
      <w:tr>
        <w:trPr>
          <w:cantSplit/>
        </w:trPr>
        <w:tc>
          <w:tcPr/>
          <w:p>
            <w:pPr>
              <w:pStyle w:val="Tabla9"/>
              <w:jc w:val="left"/>
            </w:pPr>
            <w:r>
              <w:t xml:space="preserve">NRMSE</w:t>
            </w:r>
          </w:p>
        </w:tc>
        <w:tc>
          <w:tcPr/>
          <w:p>
            <w:pPr>
              <w:pStyle w:val="Tabla9"/>
              <w:jc w:val="left"/>
            </w:pPr>
            <w:r>
              <w:t xml:space="preserve">Error cuadrático medio normalizado</w:t>
            </w:r>
          </w:p>
        </w:tc>
        <w:tc>
          <w:tcPr/>
          <w:p>
            <w:pPr>
              <w:pStyle w:val="Tabla9"/>
              <w:jc w:val="left"/>
            </w:pPr>
            <w:r>
              <w:t xml:space="preserve">Raíz del error cuadrático medio dividida por la media de la referencia (%)</w:t>
            </w:r>
          </w:p>
        </w:tc>
        <w:tc>
          <w:tcPr/>
          <w:p>
            <w:pPr>
              <w:pStyle w:val="Tabla9"/>
              <w:jc w:val="left"/>
            </w:pPr>
            <w:r>
              <w:t xml:space="preserve">Mayor error</w:t>
            </w:r>
          </w:p>
        </w:tc>
        <w:tc>
          <w:tcPr/>
          <w:p>
            <w:pPr>
              <w:pStyle w:val="Tabla9"/>
              <w:jc w:val="left"/>
            </w:pPr>
            <w:r>
              <w:t xml:space="preserve">Criterio de compuerta; umbral ≤ 30 %</w:t>
            </w:r>
          </w:p>
        </w:tc>
        <w:tc>
          <w:tcPr/>
          <w:p>
            <w:pPr>
              <w:pStyle w:val="Tabla9"/>
              <w:jc w:val="left"/>
            </w:pPr>
            <w:r>
              <w:t xml:space="preserve">Datos pareados nodo y referencia (EPA, 2021)</w:t>
            </w:r>
          </w:p>
        </w:tc>
      </w:tr>
      <w:tr>
        <w:trPr>
          <w:cantSplit/>
        </w:trPr>
        <w:tc>
          <w:tcPr/>
          <w:p>
            <w:pPr>
              <w:pStyle w:val="Tabla9"/>
              <w:jc w:val="left"/>
            </w:pPr>
            <w:r>
              <w:t xml:space="preserve">R²</w:t>
            </w:r>
          </w:p>
        </w:tc>
        <w:tc>
          <w:tcPr/>
          <w:p>
            <w:pPr>
              <w:pStyle w:val="Tabla9"/>
              <w:jc w:val="left"/>
            </w:pPr>
            <w:r>
              <w:t xml:space="preserve">Coeficiente de determinación</w:t>
            </w:r>
          </w:p>
        </w:tc>
        <w:tc>
          <w:tcPr/>
          <w:p>
            <w:pPr>
              <w:pStyle w:val="Tabla9"/>
              <w:jc w:val="left"/>
            </w:pPr>
            <w:r>
              <w:t xml:space="preserve">Ajuste lineal entre nodo y referencia (adimensional)</w:t>
            </w:r>
          </w:p>
        </w:tc>
        <w:tc>
          <w:tcPr/>
          <w:p>
            <w:pPr>
              <w:pStyle w:val="Tabla9"/>
              <w:jc w:val="left"/>
            </w:pPr>
            <w:r>
              <w:t xml:space="preserve">Mejor ajuste</w:t>
            </w:r>
          </w:p>
        </w:tc>
        <w:tc>
          <w:tcPr/>
          <w:p>
            <w:pPr>
              <w:pStyle w:val="Tabla9"/>
              <w:jc w:val="left"/>
            </w:pPr>
            <w:r>
              <w:t xml:space="preserve">Criterio de compuerta; umbral ≥ 0,70</w:t>
            </w:r>
          </w:p>
        </w:tc>
        <w:tc>
          <w:tcPr/>
          <w:p>
            <w:pPr>
              <w:pStyle w:val="Tabla9"/>
              <w:jc w:val="left"/>
            </w:pPr>
            <w:r>
              <w:t xml:space="preserve">Datos pareados nodo y referencia (EPA, 2021)</w:t>
            </w:r>
          </w:p>
        </w:tc>
      </w:tr>
      <w:tr>
        <w:trPr>
          <w:cantSplit/>
        </w:trPr>
        <w:tc>
          <w:tcPr/>
          <w:p>
            <w:pPr>
              <w:pStyle w:val="Tabla9"/>
              <w:jc w:val="left"/>
            </w:pPr>
            <w:r>
              <w:t xml:space="preserve">Pendiente</w:t>
            </w:r>
          </w:p>
        </w:tc>
        <w:tc>
          <w:tcPr/>
          <w:p>
            <w:pPr>
              <w:pStyle w:val="Tabla9"/>
              <w:jc w:val="left"/>
            </w:pPr>
            <w:r>
              <w:t xml:space="preserve">Pendiente de la regresión</w:t>
            </w:r>
          </w:p>
        </w:tc>
        <w:tc>
          <w:tcPr/>
          <w:p>
            <w:pPr>
              <w:pStyle w:val="Tabla9"/>
              <w:jc w:val="left"/>
            </w:pPr>
            <w:r>
              <w:t xml:space="preserve">Razón entre las escalas de nodo y referencia (adimensional)</w:t>
            </w:r>
          </w:p>
        </w:tc>
        <w:tc>
          <w:tcPr/>
          <w:p>
            <w:pPr>
              <w:pStyle w:val="Tabla9"/>
              <w:jc w:val="left"/>
            </w:pPr>
            <w:r>
              <w:t xml:space="preserve">Mayor ganancia del sensor</w:t>
            </w:r>
          </w:p>
        </w:tc>
        <w:tc>
          <w:tcPr/>
          <w:p>
            <w:pPr>
              <w:pStyle w:val="Tabla9"/>
              <w:jc w:val="left"/>
            </w:pPr>
            <w:r>
              <w:t xml:space="preserve">Umbral entre 0,65 y 1,35</w:t>
            </w:r>
          </w:p>
        </w:tc>
        <w:tc>
          <w:tcPr/>
          <w:p>
            <w:pPr>
              <w:pStyle w:val="Tabla9"/>
              <w:jc w:val="left"/>
            </w:pPr>
            <w:r>
              <w:t xml:space="preserve">Datos pareados nodo y referencia (EPA, 2021)</w:t>
            </w:r>
          </w:p>
        </w:tc>
      </w:tr>
      <w:tr>
        <w:trPr>
          <w:cantSplit/>
        </w:trPr>
        <w:tc>
          <w:tcPr/>
          <w:p>
            <w:pPr>
              <w:pStyle w:val="Tabla9"/>
              <w:jc w:val="left"/>
            </w:pPr>
            <w:r>
              <w:t xml:space="preserve">Sesgo</w:t>
            </w:r>
          </w:p>
        </w:tc>
        <w:tc>
          <w:tcPr/>
          <w:p>
            <w:pPr>
              <w:pStyle w:val="Tabla9"/>
              <w:jc w:val="left"/>
            </w:pPr>
            <w:r>
              <w:t xml:space="preserve">Sesgo medio</w:t>
            </w:r>
          </w:p>
        </w:tc>
        <w:tc>
          <w:tcPr/>
          <w:p>
            <w:pPr>
              <w:pStyle w:val="Tabla9"/>
              <w:jc w:val="left"/>
            </w:pPr>
            <w:r>
              <w:t xml:space="preserve">Diferencia media entre nodo y referencia (µg/m³)</w:t>
            </w:r>
          </w:p>
        </w:tc>
        <w:tc>
          <w:tcPr/>
          <w:p>
            <w:pPr>
              <w:pStyle w:val="Tabla9"/>
              <w:jc w:val="left"/>
            </w:pPr>
            <w:r>
              <w:t xml:space="preserve">Mayor sobreestimación</w:t>
            </w:r>
          </w:p>
        </w:tc>
        <w:tc>
          <w:tcPr/>
          <w:p>
            <w:pPr>
              <w:pStyle w:val="Tabla9"/>
              <w:jc w:val="left"/>
            </w:pPr>
            <w:r>
              <w:t xml:space="preserve">Umbral entre −5,0 y 5,0 µg/m³</w:t>
            </w:r>
          </w:p>
        </w:tc>
        <w:tc>
          <w:tcPr/>
          <w:p>
            <w:pPr>
              <w:pStyle w:val="Tabla9"/>
              <w:jc w:val="left"/>
            </w:pPr>
            <w:r>
              <w:t xml:space="preserve">Datos pareados nodo y referencia (EPA, 2021)</w:t>
            </w:r>
          </w:p>
        </w:tc>
      </w:tr>
      <w:tr>
        <w:trPr>
          <w:cantSplit/>
        </w:trPr>
        <w:tc>
          <w:tcPr/>
          <w:p>
            <w:pPr>
              <w:pStyle w:val="Tabla9"/>
              <w:jc w:val="left"/>
            </w:pPr>
            <w:r>
              <w:t xml:space="preserve">NMAE</w:t>
            </w:r>
          </w:p>
        </w:tc>
        <w:tc>
          <w:tcPr/>
          <w:p>
            <w:pPr>
              <w:pStyle w:val="Tabla9"/>
              <w:jc w:val="left"/>
            </w:pPr>
            <w:r>
              <w:t xml:space="preserve">Error absoluto medio normalizado</w:t>
            </w:r>
          </w:p>
        </w:tc>
        <w:tc>
          <w:tcPr/>
          <w:p>
            <w:pPr>
              <w:pStyle w:val="Tabla9"/>
              <w:jc w:val="left"/>
            </w:pPr>
            <w:r>
              <w:t xml:space="preserve">Error absoluto medio dividido por la media de la referencia (%)</w:t>
            </w:r>
          </w:p>
        </w:tc>
        <w:tc>
          <w:tcPr/>
          <w:p>
            <w:pPr>
              <w:pStyle w:val="Tabla9"/>
              <w:jc w:val="left"/>
            </w:pPr>
            <w:r>
              <w:t xml:space="preserve">Mayor error</w:t>
            </w:r>
          </w:p>
        </w:tc>
        <w:tc>
          <w:tcPr/>
          <w:p>
            <w:pPr>
              <w:pStyle w:val="Tabla9"/>
              <w:jc w:val="left"/>
            </w:pPr>
            <w:r>
              <w:t xml:space="preserve">Meta aspiracional ≤ 15 %; no condiciona compuertas</w:t>
            </w:r>
          </w:p>
        </w:tc>
        <w:tc>
          <w:tcPr/>
          <w:p>
            <w:pPr>
              <w:pStyle w:val="Tabla9"/>
              <w:jc w:val="left"/>
            </w:pPr>
            <w:r>
              <w:t xml:space="preserve">Datos pareados nodo y referencia</w:t>
            </w:r>
          </w:p>
        </w:tc>
      </w:tr>
      <w:tr>
        <w:trPr>
          <w:cantSplit/>
        </w:trPr>
        <w:tc>
          <w:tcPr/>
          <w:p>
            <w:pPr>
              <w:pStyle w:val="Tabla9"/>
              <w:jc w:val="left"/>
            </w:pPr>
            <w:r>
              <w:t xml:space="preserve">Disponibilidad mensual</w:t>
            </w:r>
          </w:p>
        </w:tc>
        <w:tc>
          <w:tcPr/>
          <w:p>
            <w:pPr>
              <w:pStyle w:val="Tabla9"/>
              <w:jc w:val="left"/>
            </w:pPr>
            <w:r>
              <w:t xml:space="preserve">Disponibilidad de nodos por mes</w:t>
            </w:r>
          </w:p>
        </w:tc>
        <w:tc>
          <w:tcPr/>
          <w:p>
            <w:pPr>
              <w:pStyle w:val="Tabla9"/>
              <w:jc w:val="left"/>
            </w:pPr>
            <w:r>
              <w:t xml:space="preserve">Horas con dato y energía divididas por horas del mes (%)</w:t>
            </w:r>
          </w:p>
        </w:tc>
        <w:tc>
          <w:tcPr/>
          <w:p>
            <w:pPr>
              <w:pStyle w:val="Tabla9"/>
              <w:jc w:val="left"/>
            </w:pPr>
            <w:r>
              <w:t xml:space="preserve">Mayor disponibilidad</w:t>
            </w:r>
          </w:p>
        </w:tc>
        <w:tc>
          <w:tcPr/>
          <w:p>
            <w:pPr>
              <w:pStyle w:val="Tabla9"/>
              <w:jc w:val="left"/>
            </w:pPr>
            <w:r>
              <w:t xml:space="preserve">Meta de OE2 ≥ 90 %; criterio de C2</w:t>
            </w:r>
          </w:p>
        </w:tc>
        <w:tc>
          <w:tcPr/>
          <w:p>
            <w:pPr>
              <w:pStyle w:val="Tabla9"/>
              <w:jc w:val="left"/>
            </w:pPr>
            <w:r>
              <w:t xml:space="preserve">Plataforma e inventario</w:t>
            </w:r>
          </w:p>
        </w:tc>
      </w:tr>
      <w:tr>
        <w:trPr>
          <w:cantSplit/>
        </w:trPr>
        <w:tc>
          <w:tcPr/>
          <w:p>
            <w:pPr>
              <w:pStyle w:val="Tabla9"/>
              <w:jc w:val="left"/>
            </w:pPr>
            <w:r>
              <w:t xml:space="preserve">Pérdida de paquetes</w:t>
            </w:r>
          </w:p>
        </w:tc>
        <w:tc>
          <w:tcPr/>
          <w:p>
            <w:pPr>
              <w:pStyle w:val="Tabla9"/>
              <w:jc w:val="left"/>
            </w:pPr>
            <w:r>
              <w:t xml:space="preserve">Pérdida de mensajes nodo a gateway</w:t>
            </w:r>
          </w:p>
        </w:tc>
        <w:tc>
          <w:tcPr/>
          <w:p>
            <w:pPr>
              <w:pStyle w:val="Tabla9"/>
              <w:jc w:val="left"/>
            </w:pPr>
            <w:r>
              <w:t xml:space="preserve">Mensajes no recibidos divididos por mensajes enviados (%)</w:t>
            </w:r>
          </w:p>
        </w:tc>
        <w:tc>
          <w:tcPr/>
          <w:p>
            <w:pPr>
              <w:pStyle w:val="Tabla9"/>
              <w:jc w:val="left"/>
            </w:pPr>
            <w:r>
              <w:t xml:space="preserve">Mayor pérdida</w:t>
            </w:r>
          </w:p>
        </w:tc>
        <w:tc>
          <w:tcPr/>
          <w:p>
            <w:pPr>
              <w:pStyle w:val="Tabla9"/>
              <w:jc w:val="left"/>
            </w:pPr>
            <w:r>
              <w:t xml:space="preserve">Meta de OE2 ≤ 10 %</w:t>
            </w:r>
          </w:p>
        </w:tc>
        <w:tc>
          <w:tcPr/>
          <w:p>
            <w:pPr>
              <w:pStyle w:val="Tabla9"/>
              <w:jc w:val="left"/>
            </w:pPr>
            <w:r>
              <w:t xml:space="preserve">Registros del gateway</w:t>
            </w:r>
          </w:p>
        </w:tc>
      </w:tr>
    </w:tbl>
    <w:p>
      <w:pPr>
        <w:pStyle w:val="TablaNota"/>
      </w:pPr>
      <w:r>
        <w:rPr>
          <w:i/>
          <w:iCs/>
        </w:rPr>
        <w:t xml:space="preserve">Nota.</w:t>
      </w:r>
      <w:r>
        <w:t xml:space="preserve"> </w:t>
      </w:r>
      <w:r>
        <w:t xml:space="preserve">Elaboración propia con el diccionario de variables (4.4.2), la ficha maestra (§2, §3 y §10c) y EPA (2021). Definiciones de V01 a V15: DECLARADO (E3, con observaciones de revisión). Métricas y fuentes de dato: PROPUESTO. Decimales con coma.</w:t>
      </w:r>
    </w:p>
    <w:p>
      <w:pPr>
        <w:pStyle w:val="BodyText"/>
      </w:pPr>
      <w:r>
        <w:t xml:space="preserve">La Tabla 4.4 permite verificar que toda variable posee unidad, sentido de aumento y fuente. Cuatro variables dependen de datos que solo el usuario aporta. Las siete métricas comparten la misma base de datos pareados o la plataforma, de modo que el proyecto no necesita instrumentos adicionales para calcularlas. Esa economía de datos reduce el riesgo de que una métrica quede sin medir en una compuerta.</w:t>
      </w:r>
    </w:p>
    <w:bookmarkEnd w:id="406"/>
    <w:bookmarkEnd w:id="407"/>
    <w:bookmarkStart w:id="412" w:name="_Toc00900158"/>
    <w:p>
      <w:pPr>
        <w:pStyle w:val="Heading2"/>
      </w:pPr>
      <w:r>
        <w:t xml:space="preserve">4.3 Marco normativo y de política</w:t>
      </w:r>
    </w:p>
    <w:p>
      <w:pPr>
        <w:pStyle w:val="FirstParagraph"/>
      </w:pPr>
      <w:r>
        <w:t xml:space="preserve">El marco normativo identifica las normas y las políticas que condicionan el diseño del proyecto y asigna a cada una una función concreta. Esta sección usa solo las normas del banco cerrado de referencias, y todas conservan el estado NO_VERIFICADO en esta corrida. Los términos de referencia (TdR) de la convocatoria no se aportaron. Por eso toda condición que dependa de ellos se marca como dato del usuario. El Decreto 1414 de 2026, que el usuario declara como base de la Convocatoria de Emergencia (SGR_CONV56), tampoco se verificó. La Tabla 4.5 resume las normas, su función y su dependencia de los TdR.</w:t>
      </w:r>
    </w:p>
    <w:bookmarkStart w:id="408" w:name="_Toc00900159"/>
    <w:p>
      <w:pPr>
        <w:pStyle w:val="Heading3"/>
      </w:pPr>
      <w:r>
        <w:t xml:space="preserve">4.3.1 Normatividad internacional aplicable</w:t>
      </w:r>
    </w:p>
    <w:p>
      <w:pPr>
        <w:pStyle w:val="FirstParagraph"/>
      </w:pPr>
      <w:r>
        <w:t xml:space="preserve">Los instrumentos internacionales fijan referencias y no obligaciones directas para el proyecto. Las guías de calidad del aire de la Organización Mundial de la Salud (OMS) recomiendan niveles de referencia. Cubren el material particulado y otros contaminantes (OMS, 2021). Su publicación redefinió los umbrales de referencia que usa la literatura reciente (de Moura et al., 2025). El Marco de Sendái 2015-2030 orienta la gestión del riesgo de desastres y propone fortalecer los sistemas de alerta temprana (UNDRR, 2015). La Agenda 2030 pertenece a la Organización de las Naciones Unidas (ONU). Aporta los Objetivos de Desarrollo Sostenible (ODS) que el capítulo 3 usa como marco de contribución (ONU, 2015). La norma ISO 31000:2018, de la Organización Internacional de Normalización (ISO), ofrece directrices de gestión del riesgo. El proyecto las aplica a su registro de 12 riesgos (ISO, 2018). Los manuales de Frascati y de Oslo pertenecen a la Organización para la Cooperación y el Desarrollo Económicos (OCDE). Clasifican la investigación, el desarrollo y la innovación (OCDE, 2015; OCDE, 2018).</w:t>
      </w:r>
    </w:p>
    <w:p>
      <w:pPr>
        <w:pStyle w:val="BodyText"/>
      </w:pPr>
      <w:r>
        <w:t xml:space="preserve">El protocolo de la EPA ocupa un lugar particular. No es una norma colombiana. Define métricas y valores objetivo para sensores de PM2,5 en sitios fijos de uso informativo (EPA, 2021). El proyecto lo adopta como ancla técnica de sus umbrales de desempeño: R² ≥ 0,70, NRMSE ≤ 30 %, pendiente entre 0,65 y 1,35 y sesgo entre −5,0 y 5,0 µg/m³ (PROPUESTO). Existe una tensión entre dos usos posibles de estos referentes. Un uso regulatorio exige instrumentos equivalentes a los de referencia y declara cumplimiento de una norma. Un uso informativo acepta sensores con desempeño conocido y no declara cumplimiento. La tensión se resuelve por la función del dato: el proyecto no declara cumplimiento de ninguna norma con la red de bajo costo.</w:t>
      </w:r>
    </w:p>
    <w:p>
      <w:pPr>
        <w:pStyle w:val="BodyText"/>
      </w:pPr>
      <w:r>
        <w:t xml:space="preserve">Esa decisión produce una consecuencia práctica. Las tres referencias gravimétricas cumplen la función de contraste. La red de nodos cumple la función de vigilancia informativa y de apoyo a la alerta. Los umbrales de alerta no se copian de las guías de la OMS. Se co-diseñan con los comités y se validan localmente en el tramo 1 (OE3). La guía de la OMS sirve de contexto para interpretar los niveles medidos.</w:t>
      </w:r>
    </w:p>
    <w:bookmarkEnd w:id="408"/>
    <w:bookmarkStart w:id="409" w:name="_Toc00900160"/>
    <w:p>
      <w:pPr>
        <w:pStyle w:val="Heading3"/>
      </w:pPr>
      <w:r>
        <w:t xml:space="preserve">4.3.2 Normatividad nacional</w:t>
      </w:r>
    </w:p>
    <w:p>
      <w:pPr>
        <w:pStyle w:val="FirstParagraph"/>
      </w:pPr>
      <w:r>
        <w:t xml:space="preserve">La normatividad nacional define quién decide, quién financia y qué datos pueden tratarse. La Ley 1523 de 2012 crea el Sistema Nacional de Gestión del Riesgo de Desastres y sus consejos territoriales (Congreso de la República, 2012a). Esos consejos corresponden a los comités que usarán el tablero (SUPUESTO). La Ley 2056 de 2020 regula la organización y el funcionamiento del Sistema General de Regalías (SGR), fuente de la financiación (Congreso de la República, 2020). La Ley 1286 de 2009 fortalece el Sistema Nacional de Ciencia, Tecnología e Innovación (Congreso de la República, 2009). La Ley 1581 de 2012 dicta las disposiciones generales sobre protección de datos personales (Congreso de la República, 2012b). La Resolución 2254 de 2017 adopta la norma de calidad del aire ambiente (Ministerio de Ambiente y Desarrollo Sostenible, 2017). La Decisión 486 de la Comunidad Andina establece el régimen común de propiedad industrial (Comunidad Andina, 2000).</w:t>
      </w:r>
    </w:p>
    <w:p>
      <w:pPr>
        <w:pStyle w:val="BodyText"/>
      </w:pPr>
      <w:r>
        <w:t xml:space="preserve">La literatura de implementación ofrece dos posiciones sobre cómo una norma llega a la práctica. La posición descendente planifica desde la autoridad central. Espera que los niveles inferiores ejecuten. La posición ascendente parte del punto donde ocurre la acción (Elmore, 1979). Reconstruye hacia arriba las capacidades que esa acción exige. Lipsky (1980) refuerza la segunda al mostrar que el personal que atiende al público adapta las reglas a su rutina. La Ley 1523 de 2012 asigna responsabilidades a las entidades territoriales. El proyecto adopta la posición ascendente. Parte de los 15 comités focalizados y construye hacia atrás el tablero, el protocolo y la formación que ellos necesitan.</w:t>
      </w:r>
    </w:p>
    <w:p>
      <w:pPr>
        <w:pStyle w:val="BodyText"/>
      </w:pPr>
      <w:r>
        <w:t xml:space="preserve">Cada norma cumple una función verificable. La Ley 1523 de 2012 determina los usuarios del tablero. La Ley 2056 de 2020 y los TdR determinan los rubros admisibles, los topes y la contrapartida. El proyecto solicita la suma justificada y no el tope declarado de 14.000 millones de pesos colombianos (COP). La admisibilidad de la reserva de contingencia depende de los TdR. También depende de ellos el tope porcentual de administración [DATO_USUARIO: rubros admisibles, topes y requisitos de contrapartida de la convocatoria]. La Ley 1581 de 2012 aplica a los registros de consentimiento de participantes y a los datos de contacto de los funcionarios. Los datos ambientales de los nodos no son datos personales. La Resolución 2254 de 2017 fija el contexto de interpretación de los niveles de PM2,5 y PM10.</w:t>
      </w:r>
    </w:p>
    <w:p>
      <w:pPr>
        <w:pStyle w:val="BodyText"/>
      </w:pPr>
      <w:r>
        <w:t xml:space="preserve">La Decisión 486 exige una atención especial. El informe de vigilancia tecnológica y bibliometría de 42 documentos (F-INF) halló 10 solicitudes internacionales de patente que designan a Colombia. En siete, el plazo general de 30 meses para la fase nacional está vencido. Tres siguen abiertas, y la primera vence el 10 de diciembre de 2026 (cálculo del analista y conocimiento externo; F-INF, §1.3, hallazgo 6). Ninguna informa el estado de su fase nacional. La Superintendencia de Industria y Comercio (SIC) publica el procedimiento de consulta (SIC, 2026, pp. 2, 7 y 9). La libertad de operación del proyecto es, por ahora, desconocida. El presupuesto incluye 150 horas de consultoría jurídica en propiedad intelectual (línea S02). El riesgo R-JUR-01, de nivel MEDIO, recoge el efecto de una patente de terceros.</w:t>
      </w:r>
    </w:p>
    <w:bookmarkEnd w:id="409"/>
    <w:bookmarkStart w:id="410" w:name="_Toc00900161"/>
    <w:p>
      <w:pPr>
        <w:pStyle w:val="Heading3"/>
      </w:pPr>
      <w:r>
        <w:t xml:space="preserve">4.3.3 Políticas públicas relacionadas</w:t>
      </w:r>
    </w:p>
    <w:p>
      <w:pPr>
        <w:pStyle w:val="FirstParagraph"/>
      </w:pPr>
      <w:r>
        <w:t xml:space="preserve">Las políticas públicas explican por qué el problema merece atención. También indican desde qué ángulo se formula. El Departamento Nacional de Planeación (DNP) elaboró el Documento CONPES 3943 de 2018, del Consejo Nacional de Política Económica y Social (CONPES). Este establece la política para el mejoramiento de la calidad del aire (DNP, 2018). El Documento CONPES 4069 de 2021 fija la política nacional de ciencia, tecnología e innovación 2022-2031 (DNP, 2021). La Misión Internacional de Sabios propone orientar el país hacia una sociedad del conocimiento (Misión Internacional de Sabios, 2019). Las tres políticas sitúan el proyecto en dos agendas que rara vez se leen juntas: la calidad del aire y la capacidad científica.</w:t>
      </w:r>
    </w:p>
    <w:p>
      <w:pPr>
        <w:pStyle w:val="BodyText"/>
      </w:pPr>
      <w:r>
        <w:t xml:space="preserve">Bacchi (2009) sostiene que cada política representa el problema de una manera que condiciona las soluciones posibles. La política de calidad del aire representa el problema como un asunto de vigilancia y de gestión ambiental. La política de ciencia lo representa como un asunto de capacidades y de innovación. Dunn (2018) propone evaluar las alternativas con criterios explícitos y evidencia. El corpus ofrece datos para esa evaluación. Colombia reporta 209 estaciones, de las cuales 192 son fijas y 17 indicativas, y 154 integran un sistema de vigilancia (Murad Pedraza et al., 2026, pp. 5-6). De los 102 municipios obligados, 91 cuentan con infraestructura y 42 cumplen los mínimos (Murad Pedraza et al., 2026, pp. 7 y 17). Solo 28 de 1.122 municipios disponen de estaciones utilizables para estimar la carga de enfermedad (Rodríguez-Villamizar et al., 2022, pp. 3 y 6).</w:t>
      </w:r>
    </w:p>
    <w:p>
      <w:pPr>
        <w:pStyle w:val="BodyText"/>
      </w:pPr>
      <w:r>
        <w:t xml:space="preserve">Estas cifras indican una brecha de cobertura y de calidad del dato. También muestran que la expansión de sensores sin plan de calibración reproduce el problema que la política pretende resolver. El diseño nacional propuesto incluye 5.076 estaciones, de las cuales 4.608 son sensores (Murad Pedraza et al., 2026, p. 13). El proyecto responde con un piloto de contraste antes de ampliar, que sigue la lógica de condicionar la compra masiva a una fase de validación. La política de calidad del aire y la de ciencia convergen en esa decisión.</w:t>
      </w:r>
    </w:p>
    <w:bookmarkEnd w:id="410"/>
    <w:bookmarkStart w:id="411" w:name="_Toc00900162"/>
    <w:p>
      <w:pPr>
        <w:pStyle w:val="Heading3"/>
      </w:pPr>
      <w:r>
        <w:t xml:space="preserve">4.3.4 Alineación con planes de desarrollo</w:t>
      </w:r>
    </w:p>
    <w:p>
      <w:pPr>
        <w:pStyle w:val="FirstParagraph"/>
      </w:pPr>
      <w:r>
        <w:t xml:space="preserve">La alineación con los planes de desarrollo exige verificar compromisos y no solo coincidencias de lenguaje. La Ley 2294 de 2023 expide el Plan Nacional de Desarrollo 2022-2026 (Congreso de la República, 2023). El proyecto se alinea de forma general con sus propósitos de gestión del riesgo y de ciencia y tecnología. La alineación específica con los planes de desarrollo de Caldas, Cundinamarca y Valle del Cauca y de los 12 municipios focalizados no se pudo verificar. Faltan los planes, los CONPES citados y sus anexos. Su verificación queda pendiente [DATO_USUARIO: planes de desarrollo departamentales y municipales vigentes, con artículos, líneas base y metas].</w:t>
      </w:r>
    </w:p>
    <w:p>
      <w:pPr>
        <w:pStyle w:val="BodyText"/>
      </w:pPr>
      <w:r>
        <w:t xml:space="preserve">La decisión DEC-F12 registra las consecuencias. Los ocho puntos de la lista de articulación territorial quedan en estado NO_VERIFICADO. La regla del metaprompt exige regresar a la puerta de control inicial, llamada Gate 0, cuando esa lista no se verifica. El proyecto continúa por orden expresa del usuario del 13 de octubre de 2026, con la reserva R-ART registrada en el cierre. Dos posiciones se contrastan sobre qué significa alinearse. La primera lo entiende como correspondencia textual con las metas del plan. La segunda, que Bacchi (2009) respalda al cuestionar cómo cada documento representa el problema, exige examinar si el plan asigna recursos y responsables. Dunn (2018) añade la necesidad de contrastar con evidencia. El proyecto adopta la segunda posición.</w:t>
      </w:r>
    </w:p>
    <w:p>
      <w:pPr>
        <w:pStyle w:val="BodyText"/>
      </w:pPr>
      <w:r>
        <w:t xml:space="preserve">La consecuencia es operativa. El proyecto no afirma alineación específica con ningún plan territorial mientras los documentos no se verifiquen. Los convenios de custodia por tramo, que exigen partida presupuestal, convierten la alineación en un compromiso verificable en la compuerta C2. Las alcaldías no aportan contrapartida en esta formulación (VACIO). La verificación de los planes queda como condición previa a la presentación.</w:t>
      </w:r>
    </w:p>
    <w:p>
      <w:pPr>
        <w:pStyle w:val="TablaRotulo"/>
      </w:pPr>
      <w:bookmarkStart w:id="9278" w:name="rot_Tabla_4_5"/>
      <w:r>
        <w:rPr>
          <w:b/>
          <w:bCs/>
        </w:rPr>
        <w:t xml:space="preserve">Tabla 4.5</w:t>
      </w:r>
      <w:bookmarkEnd w:id="9278"/>
    </w:p>
    <w:p>
      <w:pPr>
        <w:pStyle w:val="TablaTitulo"/>
      </w:pPr>
      <w:r>
        <w:rPr>
          <w:i/>
          <w:iCs/>
        </w:rPr>
        <w:t xml:space="preserve">Marco normativo y de política aplicable al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64"/>
        <w:gridCol w:w="1331"/>
        <w:gridCol w:w="1397"/>
        <w:gridCol w:w="1863"/>
        <w:gridCol w:w="1863"/>
      </w:tblGrid>
      <w:tr>
        <w:trPr>
          <w:cantSplit/>
          <w:tblHeader/>
        </w:trPr>
        <w:tc>
          <w:tcPr>
            <w:shd w:val="clear" w:color="auto" w:fill="00B050"/>
          </w:tcPr>
          <w:p>
            <w:pPr>
              <w:pStyle w:val="Tabla9"/>
              <w:jc w:val="center"/>
            </w:pPr>
            <w:r>
              <w:rPr>
                <w:b/>
                <w:color w:val="FFFFFF"/>
              </w:rPr>
              <w:t xml:space="preserve">Norma o documento</w:t>
            </w:r>
          </w:p>
        </w:tc>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Función en el proyecto</w:t>
            </w:r>
          </w:p>
        </w:tc>
        <w:tc>
          <w:tcPr>
            <w:shd w:val="clear" w:color="auto" w:fill="00B050"/>
          </w:tcPr>
          <w:p>
            <w:pPr>
              <w:pStyle w:val="Tabla9"/>
              <w:jc w:val="center"/>
            </w:pPr>
            <w:r>
              <w:rPr>
                <w:b/>
                <w:color w:val="FFFFFF"/>
              </w:rPr>
              <w:t xml:space="preserve">Estado de verificación</w:t>
            </w:r>
          </w:p>
        </w:tc>
        <w:tc>
          <w:tcPr>
            <w:shd w:val="clear" w:color="auto" w:fill="00B050"/>
          </w:tcPr>
          <w:p>
            <w:pPr>
              <w:pStyle w:val="Tabla9"/>
              <w:jc w:val="center"/>
            </w:pPr>
            <w:r>
              <w:rPr>
                <w:b/>
                <w:color w:val="FFFFFF"/>
              </w:rPr>
              <w:t xml:space="preserve">Dependencia de los TdR</w:t>
            </w:r>
          </w:p>
        </w:tc>
      </w:tr>
      <w:tr>
        <w:trPr>
          <w:cantSplit/>
        </w:trPr>
        <w:tc>
          <w:tcPr/>
          <w:p>
            <w:pPr>
              <w:pStyle w:val="Tabla9"/>
              <w:jc w:val="left"/>
            </w:pPr>
            <w:r>
              <w:t xml:space="preserve">Decreto 1414 de 2026 (convocatoria SGR_CONV56)</w:t>
            </w:r>
          </w:p>
        </w:tc>
        <w:tc>
          <w:tcPr/>
          <w:p>
            <w:pPr>
              <w:pStyle w:val="Tabla9"/>
              <w:jc w:val="left"/>
            </w:pPr>
            <w:r>
              <w:t xml:space="preserve">Nacional</w:t>
            </w:r>
          </w:p>
        </w:tc>
        <w:tc>
          <w:tcPr/>
          <w:p>
            <w:pPr>
              <w:pStyle w:val="Tabla9"/>
              <w:jc w:val="left"/>
            </w:pPr>
            <w:r>
              <w:t xml:space="preserve">Base declarada de la convocatoria, del plazo y de la estructura de presentación</w:t>
            </w:r>
          </w:p>
        </w:tc>
        <w:tc>
          <w:tcPr/>
          <w:p>
            <w:pPr>
              <w:pStyle w:val="Tabla9"/>
              <w:jc w:val="left"/>
            </w:pPr>
            <w:r>
              <w:t xml:space="preserve">NO_VERIFICADO</w:t>
            </w:r>
          </w:p>
        </w:tc>
        <w:tc>
          <w:tcPr/>
          <w:p>
            <w:pPr>
              <w:pStyle w:val="Tabla9"/>
              <w:jc w:val="left"/>
            </w:pPr>
            <w:r>
              <w:t xml:space="preserve">[DATO_USUARIO: términos de referencia, anexos y criterios de evaluación]</w:t>
            </w:r>
          </w:p>
        </w:tc>
      </w:tr>
      <w:tr>
        <w:trPr>
          <w:cantSplit/>
        </w:trPr>
        <w:tc>
          <w:tcPr/>
          <w:p>
            <w:pPr>
              <w:pStyle w:val="Tabla9"/>
              <w:jc w:val="left"/>
            </w:pPr>
            <w:r>
              <w:t xml:space="preserve">Ley 2056 de 2020 (Congreso de la República, 2020)</w:t>
            </w:r>
          </w:p>
        </w:tc>
        <w:tc>
          <w:tcPr/>
          <w:p>
            <w:pPr>
              <w:pStyle w:val="Tabla9"/>
              <w:jc w:val="left"/>
            </w:pPr>
            <w:r>
              <w:t xml:space="preserve">Nacional</w:t>
            </w:r>
          </w:p>
        </w:tc>
        <w:tc>
          <w:tcPr/>
          <w:p>
            <w:pPr>
              <w:pStyle w:val="Tabla9"/>
              <w:jc w:val="left"/>
            </w:pPr>
            <w:r>
              <w:t xml:space="preserve">Regula el SGR, fuente de la financiación</w:t>
            </w:r>
          </w:p>
        </w:tc>
        <w:tc>
          <w:tcPr/>
          <w:p>
            <w:pPr>
              <w:pStyle w:val="Tabla9"/>
              <w:jc w:val="left"/>
            </w:pPr>
            <w:r>
              <w:t xml:space="preserve">NO_VERIFICADO</w:t>
            </w:r>
          </w:p>
        </w:tc>
        <w:tc>
          <w:tcPr/>
          <w:p>
            <w:pPr>
              <w:pStyle w:val="Tabla9"/>
              <w:jc w:val="left"/>
            </w:pPr>
            <w:r>
              <w:t xml:space="preserve">[DATO_USUARIO: rubros admisibles, topes y contrapartida]</w:t>
            </w:r>
          </w:p>
        </w:tc>
      </w:tr>
      <w:tr>
        <w:trPr>
          <w:cantSplit/>
        </w:trPr>
        <w:tc>
          <w:tcPr/>
          <w:p>
            <w:pPr>
              <w:pStyle w:val="Tabla9"/>
              <w:jc w:val="left"/>
            </w:pPr>
            <w:r>
              <w:t xml:space="preserve">Ley 1286 de 2009 (Congreso de la República, 2009)</w:t>
            </w:r>
          </w:p>
        </w:tc>
        <w:tc>
          <w:tcPr/>
          <w:p>
            <w:pPr>
              <w:pStyle w:val="Tabla9"/>
              <w:jc w:val="left"/>
            </w:pPr>
            <w:r>
              <w:t xml:space="preserve">Nacional</w:t>
            </w:r>
          </w:p>
        </w:tc>
        <w:tc>
          <w:tcPr/>
          <w:p>
            <w:pPr>
              <w:pStyle w:val="Tabla9"/>
              <w:jc w:val="left"/>
            </w:pPr>
            <w:r>
              <w:t xml:space="preserve">Marco del sistema de ciencia, tecnología e innovación</w:t>
            </w:r>
          </w:p>
        </w:tc>
        <w:tc>
          <w:tcPr/>
          <w:p>
            <w:pPr>
              <w:pStyle w:val="Tabla9"/>
              <w:jc w:val="left"/>
            </w:pPr>
            <w:r>
              <w:t xml:space="preserve">NO_VERIFICADO</w:t>
            </w:r>
          </w:p>
        </w:tc>
        <w:tc>
          <w:tcPr/>
          <w:p>
            <w:pPr>
              <w:pStyle w:val="Tabla9"/>
              <w:jc w:val="left"/>
            </w:pPr>
            <w:r>
              <w:t xml:space="preserve">[DATO_USUARIO: requisitos de elegibilidad por tipología]</w:t>
            </w:r>
          </w:p>
        </w:tc>
      </w:tr>
      <w:tr>
        <w:trPr>
          <w:cantSplit/>
        </w:trPr>
        <w:tc>
          <w:tcPr/>
          <w:p>
            <w:pPr>
              <w:pStyle w:val="Tabla9"/>
              <w:jc w:val="left"/>
            </w:pPr>
            <w:r>
              <w:t xml:space="preserve">Ley 1523 de 2012 (Congreso de la República, 2012a)</w:t>
            </w:r>
          </w:p>
        </w:tc>
        <w:tc>
          <w:tcPr/>
          <w:p>
            <w:pPr>
              <w:pStyle w:val="Tabla9"/>
              <w:jc w:val="left"/>
            </w:pPr>
            <w:r>
              <w:t xml:space="preserve">Nacional</w:t>
            </w:r>
          </w:p>
        </w:tc>
        <w:tc>
          <w:tcPr/>
          <w:p>
            <w:pPr>
              <w:pStyle w:val="Tabla9"/>
              <w:jc w:val="left"/>
            </w:pPr>
            <w:r>
              <w:t xml:space="preserve">Define el sistema de gestión del riesgo y los comités usuarios del tablero</w:t>
            </w:r>
          </w:p>
        </w:tc>
        <w:tc>
          <w:tcPr/>
          <w:p>
            <w:pPr>
              <w:pStyle w:val="Tabla9"/>
              <w:jc w:val="left"/>
            </w:pPr>
            <w:r>
              <w:t xml:space="preserve">NO_VERIFICADO</w:t>
            </w:r>
          </w:p>
        </w:tc>
        <w:tc>
          <w:tcPr/>
          <w:p>
            <w:pPr>
              <w:pStyle w:val="Tabla9"/>
              <w:jc w:val="left"/>
            </w:pPr>
            <w:r>
              <w:t xml:space="preserve">[DATO_USUARIO: entidades vinculadas por convenio]</w:t>
            </w:r>
          </w:p>
        </w:tc>
      </w:tr>
      <w:tr>
        <w:trPr>
          <w:cantSplit/>
        </w:trPr>
        <w:tc>
          <w:tcPr/>
          <w:p>
            <w:pPr>
              <w:pStyle w:val="Tabla9"/>
              <w:jc w:val="left"/>
            </w:pPr>
            <w:r>
              <w:t xml:space="preserve">Ley 1581 de 2012 (Congreso de la República, 2012b)</w:t>
            </w:r>
          </w:p>
        </w:tc>
        <w:tc>
          <w:tcPr/>
          <w:p>
            <w:pPr>
              <w:pStyle w:val="Tabla9"/>
              <w:jc w:val="left"/>
            </w:pPr>
            <w:r>
              <w:t xml:space="preserve">Nacional</w:t>
            </w:r>
          </w:p>
        </w:tc>
        <w:tc>
          <w:tcPr/>
          <w:p>
            <w:pPr>
              <w:pStyle w:val="Tabla9"/>
              <w:jc w:val="left"/>
            </w:pPr>
            <w:r>
              <w:t xml:space="preserve">Protección de los datos personales de participantes y funcionarios</w:t>
            </w:r>
          </w:p>
        </w:tc>
        <w:tc>
          <w:tcPr/>
          <w:p>
            <w:pPr>
              <w:pStyle w:val="Tabla9"/>
              <w:jc w:val="left"/>
            </w:pPr>
            <w:r>
              <w:t xml:space="preserve">NO_VERIFICADO</w:t>
            </w:r>
          </w:p>
        </w:tc>
        <w:tc>
          <w:tcPr/>
          <w:p>
            <w:pPr>
              <w:pStyle w:val="Tabla9"/>
              <w:jc w:val="left"/>
            </w:pPr>
            <w:r>
              <w:t xml:space="preserve">NO_APLICA</w:t>
            </w:r>
          </w:p>
        </w:tc>
      </w:tr>
      <w:tr>
        <w:trPr>
          <w:cantSplit/>
        </w:trPr>
        <w:tc>
          <w:tcPr/>
          <w:p>
            <w:pPr>
              <w:pStyle w:val="Tabla9"/>
              <w:jc w:val="left"/>
            </w:pPr>
            <w:r>
              <w:t xml:space="preserve">Ley 2294 de 2023 (Congreso de la República, 2023)</w:t>
            </w:r>
          </w:p>
        </w:tc>
        <w:tc>
          <w:tcPr/>
          <w:p>
            <w:pPr>
              <w:pStyle w:val="Tabla9"/>
              <w:jc w:val="left"/>
            </w:pPr>
            <w:r>
              <w:t xml:space="preserve">Nacional</w:t>
            </w:r>
          </w:p>
        </w:tc>
        <w:tc>
          <w:tcPr/>
          <w:p>
            <w:pPr>
              <w:pStyle w:val="Tabla9"/>
              <w:jc w:val="left"/>
            </w:pPr>
            <w:r>
              <w:t xml:space="preserve">Plan Nacional de Desarrollo 2022-2026; marco de alineación general</w:t>
            </w:r>
          </w:p>
        </w:tc>
        <w:tc>
          <w:tcPr/>
          <w:p>
            <w:pPr>
              <w:pStyle w:val="Tabla9"/>
              <w:jc w:val="left"/>
            </w:pPr>
            <w:r>
              <w:t xml:space="preserve">NO_VERIFICADO</w:t>
            </w:r>
          </w:p>
        </w:tc>
        <w:tc>
          <w:tcPr/>
          <w:p>
            <w:pPr>
              <w:pStyle w:val="Tabla9"/>
              <w:jc w:val="left"/>
            </w:pPr>
            <w:r>
              <w:t xml:space="preserve">[DATO_USUARIO: ejes y metas que la convocatoria exige citar]</w:t>
            </w:r>
          </w:p>
        </w:tc>
      </w:tr>
      <w:tr>
        <w:trPr>
          <w:cantSplit/>
        </w:trPr>
        <w:tc>
          <w:tcPr/>
          <w:p>
            <w:pPr>
              <w:pStyle w:val="Tabla9"/>
              <w:jc w:val="left"/>
            </w:pPr>
            <w:r>
              <w:t xml:space="preserve">Resolución 2254 de 2017 (Ministerio de Ambiente y Desarrollo Sostenible, 2017)</w:t>
            </w:r>
          </w:p>
        </w:tc>
        <w:tc>
          <w:tcPr/>
          <w:p>
            <w:pPr>
              <w:pStyle w:val="Tabla9"/>
              <w:jc w:val="left"/>
            </w:pPr>
            <w:r>
              <w:t xml:space="preserve">Nacional</w:t>
            </w:r>
          </w:p>
        </w:tc>
        <w:tc>
          <w:tcPr/>
          <w:p>
            <w:pPr>
              <w:pStyle w:val="Tabla9"/>
              <w:jc w:val="left"/>
            </w:pPr>
            <w:r>
              <w:t xml:space="preserve">Norma de calidad del aire ambiente; contexto de interpretación de niveles</w:t>
            </w:r>
          </w:p>
        </w:tc>
        <w:tc>
          <w:tcPr/>
          <w:p>
            <w:pPr>
              <w:pStyle w:val="Tabla9"/>
              <w:jc w:val="left"/>
            </w:pPr>
            <w:r>
              <w:t xml:space="preserve">NO_VERIFICADO</w:t>
            </w:r>
          </w:p>
        </w:tc>
        <w:tc>
          <w:tcPr/>
          <w:p>
            <w:pPr>
              <w:pStyle w:val="Tabla9"/>
              <w:jc w:val="left"/>
            </w:pPr>
            <w:r>
              <w:t xml:space="preserve">NO_APLICA</w:t>
            </w:r>
          </w:p>
        </w:tc>
      </w:tr>
      <w:tr>
        <w:trPr>
          <w:cantSplit/>
        </w:trPr>
        <w:tc>
          <w:tcPr/>
          <w:p>
            <w:pPr>
              <w:pStyle w:val="Tabla9"/>
              <w:jc w:val="left"/>
            </w:pPr>
            <w:r>
              <w:t xml:space="preserve">Documento CONPES 3943 de 2018 (DNP, 2018)</w:t>
            </w:r>
          </w:p>
        </w:tc>
        <w:tc>
          <w:tcPr/>
          <w:p>
            <w:pPr>
              <w:pStyle w:val="Tabla9"/>
              <w:jc w:val="left"/>
            </w:pPr>
            <w:r>
              <w:t xml:space="preserve">Política nacional</w:t>
            </w:r>
          </w:p>
        </w:tc>
        <w:tc>
          <w:tcPr/>
          <w:p>
            <w:pPr>
              <w:pStyle w:val="Tabla9"/>
              <w:jc w:val="left"/>
            </w:pPr>
            <w:r>
              <w:t xml:space="preserve">Política de calidad del aire; pertinencia del problema</w:t>
            </w:r>
          </w:p>
        </w:tc>
        <w:tc>
          <w:tcPr/>
          <w:p>
            <w:pPr>
              <w:pStyle w:val="Tabla9"/>
              <w:jc w:val="left"/>
            </w:pPr>
            <w:r>
              <w:t xml:space="preserve">NO_VERIFICADO</w:t>
            </w:r>
          </w:p>
        </w:tc>
        <w:tc>
          <w:tcPr/>
          <w:p>
            <w:pPr>
              <w:pStyle w:val="Tabla9"/>
              <w:jc w:val="left"/>
            </w:pPr>
            <w:r>
              <w:t xml:space="preserve">[DATO_USUARIO: acciones del documento que la convocatoria exige vincular]</w:t>
            </w:r>
          </w:p>
        </w:tc>
      </w:tr>
      <w:tr>
        <w:trPr>
          <w:cantSplit/>
        </w:trPr>
        <w:tc>
          <w:tcPr/>
          <w:p>
            <w:pPr>
              <w:pStyle w:val="Tabla9"/>
              <w:jc w:val="left"/>
            </w:pPr>
            <w:r>
              <w:t xml:space="preserve">Documento CONPES 4069 de 2021 (DNP, 2021)</w:t>
            </w:r>
          </w:p>
        </w:tc>
        <w:tc>
          <w:tcPr/>
          <w:p>
            <w:pPr>
              <w:pStyle w:val="Tabla9"/>
              <w:jc w:val="left"/>
            </w:pPr>
            <w:r>
              <w:t xml:space="preserve">Política nacional</w:t>
            </w:r>
          </w:p>
        </w:tc>
        <w:tc>
          <w:tcPr/>
          <w:p>
            <w:pPr>
              <w:pStyle w:val="Tabla9"/>
              <w:jc w:val="left"/>
            </w:pPr>
            <w:r>
              <w:t xml:space="preserve">Política de ciencia, tecnología e innovación; pertinencia de la solución</w:t>
            </w:r>
          </w:p>
        </w:tc>
        <w:tc>
          <w:tcPr/>
          <w:p>
            <w:pPr>
              <w:pStyle w:val="Tabla9"/>
              <w:jc w:val="left"/>
            </w:pPr>
            <w:r>
              <w:t xml:space="preserve">NO_VERIFICADO</w:t>
            </w:r>
          </w:p>
        </w:tc>
        <w:tc>
          <w:tcPr/>
          <w:p>
            <w:pPr>
              <w:pStyle w:val="Tabla9"/>
              <w:jc w:val="left"/>
            </w:pPr>
            <w:r>
              <w:t xml:space="preserve">[DATO_USUARIO: líneas de política que la convocatoria exige vincular]</w:t>
            </w:r>
          </w:p>
        </w:tc>
      </w:tr>
      <w:tr>
        <w:trPr>
          <w:cantSplit/>
        </w:trPr>
        <w:tc>
          <w:tcPr/>
          <w:p>
            <w:pPr>
              <w:pStyle w:val="Tabla9"/>
              <w:jc w:val="left"/>
            </w:pPr>
            <w:r>
              <w:t xml:space="preserve">Misión Internacional de Sabios (2019)</w:t>
            </w:r>
          </w:p>
        </w:tc>
        <w:tc>
          <w:tcPr/>
          <w:p>
            <w:pPr>
              <w:pStyle w:val="Tabla9"/>
              <w:jc w:val="left"/>
            </w:pPr>
            <w:r>
              <w:t xml:space="preserve">Política nacional</w:t>
            </w:r>
          </w:p>
        </w:tc>
        <w:tc>
          <w:tcPr/>
          <w:p>
            <w:pPr>
              <w:pStyle w:val="Tabla9"/>
              <w:jc w:val="left"/>
            </w:pPr>
            <w:r>
              <w:t xml:space="preserve">Orientación hacia la sociedad del conocimiento</w:t>
            </w:r>
          </w:p>
        </w:tc>
        <w:tc>
          <w:tcPr/>
          <w:p>
            <w:pPr>
              <w:pStyle w:val="Tabla9"/>
              <w:jc w:val="left"/>
            </w:pPr>
            <w:r>
              <w:t xml:space="preserve">NO_VERIFICADO</w:t>
            </w:r>
          </w:p>
        </w:tc>
        <w:tc>
          <w:tcPr/>
          <w:p>
            <w:pPr>
              <w:pStyle w:val="Tabla9"/>
              <w:jc w:val="left"/>
            </w:pPr>
            <w:r>
              <w:t xml:space="preserve">NO_APLICA</w:t>
            </w:r>
          </w:p>
        </w:tc>
      </w:tr>
      <w:tr>
        <w:trPr>
          <w:cantSplit/>
        </w:trPr>
        <w:tc>
          <w:tcPr/>
          <w:p>
            <w:pPr>
              <w:pStyle w:val="Tabla9"/>
              <w:jc w:val="left"/>
            </w:pPr>
            <w:r>
              <w:t xml:space="preserve">Decisión 486 de 2000 (Comunidad Andina, 2000)</w:t>
            </w:r>
          </w:p>
        </w:tc>
        <w:tc>
          <w:tcPr/>
          <w:p>
            <w:pPr>
              <w:pStyle w:val="Tabla9"/>
              <w:jc w:val="left"/>
            </w:pPr>
            <w:r>
              <w:t xml:space="preserve">Regional</w:t>
            </w:r>
          </w:p>
        </w:tc>
        <w:tc>
          <w:tcPr/>
          <w:p>
            <w:pPr>
              <w:pStyle w:val="Tabla9"/>
              <w:jc w:val="left"/>
            </w:pPr>
            <w:r>
              <w:t xml:space="preserve">Régimen de propiedad industrial; libertad de operación</w:t>
            </w:r>
          </w:p>
        </w:tc>
        <w:tc>
          <w:tcPr/>
          <w:p>
            <w:pPr>
              <w:pStyle w:val="Tabla9"/>
              <w:jc w:val="left"/>
            </w:pPr>
            <w:r>
              <w:t xml:space="preserve">NO_VERIFICADO</w:t>
            </w:r>
          </w:p>
        </w:tc>
        <w:tc>
          <w:tcPr/>
          <w:p>
            <w:pPr>
              <w:pStyle w:val="Tabla9"/>
              <w:jc w:val="left"/>
            </w:pPr>
            <w:r>
              <w:t xml:space="preserve">[DATO_USUARIO: reglas de titularidad de los resultados]</w:t>
            </w:r>
          </w:p>
        </w:tc>
      </w:tr>
      <w:tr>
        <w:trPr>
          <w:cantSplit/>
        </w:trPr>
        <w:tc>
          <w:tcPr/>
          <w:p>
            <w:pPr>
              <w:pStyle w:val="Tabla9"/>
              <w:jc w:val="left"/>
            </w:pPr>
            <w:r>
              <w:t xml:space="preserve">Planes de desarrollo departamentales y municipales</w:t>
            </w:r>
          </w:p>
        </w:tc>
        <w:tc>
          <w:tcPr/>
          <w:p>
            <w:pPr>
              <w:pStyle w:val="Tabla9"/>
              <w:jc w:val="left"/>
            </w:pPr>
            <w:r>
              <w:t xml:space="preserve">Territorial</w:t>
            </w:r>
          </w:p>
        </w:tc>
        <w:tc>
          <w:tcPr/>
          <w:p>
            <w:pPr>
              <w:pStyle w:val="Tabla9"/>
              <w:jc w:val="left"/>
            </w:pPr>
            <w:r>
              <w:t xml:space="preserve">Alineación específica con 3 departamentos y 12 municipios</w:t>
            </w:r>
          </w:p>
        </w:tc>
        <w:tc>
          <w:tcPr/>
          <w:p>
            <w:pPr>
              <w:pStyle w:val="Tabla9"/>
              <w:jc w:val="left"/>
            </w:pPr>
            <w:r>
              <w:t xml:space="preserve">NO_VERIFICADO</w:t>
            </w:r>
          </w:p>
        </w:tc>
        <w:tc>
          <w:tcPr/>
          <w:p>
            <w:pPr>
              <w:pStyle w:val="Tabla9"/>
              <w:jc w:val="left"/>
            </w:pPr>
            <w:r>
              <w:t xml:space="preserve">[DATO_USUARIO: planes vigentes con artículos, líneas base y metas]</w:t>
            </w:r>
          </w:p>
        </w:tc>
      </w:tr>
      <w:tr>
        <w:trPr>
          <w:cantSplit/>
        </w:trPr>
        <w:tc>
          <w:tcPr/>
          <w:p>
            <w:pPr>
              <w:pStyle w:val="Tabla9"/>
              <w:jc w:val="left"/>
            </w:pPr>
            <w:r>
              <w:t xml:space="preserve">Marco de Sendái 2015-2030 (UNDRR, 2015)</w:t>
            </w:r>
          </w:p>
        </w:tc>
        <w:tc>
          <w:tcPr/>
          <w:p>
            <w:pPr>
              <w:pStyle w:val="Tabla9"/>
              <w:jc w:val="left"/>
            </w:pPr>
            <w:r>
              <w:t xml:space="preserve">Internacional</w:t>
            </w:r>
          </w:p>
        </w:tc>
        <w:tc>
          <w:tcPr/>
          <w:p>
            <w:pPr>
              <w:pStyle w:val="Tabla9"/>
              <w:jc w:val="left"/>
            </w:pPr>
            <w:r>
              <w:t xml:space="preserve">Prioridades de riesgo y meta de alerta temprana multiamenaza</w:t>
            </w:r>
          </w:p>
        </w:tc>
        <w:tc>
          <w:tcPr/>
          <w:p>
            <w:pPr>
              <w:pStyle w:val="Tabla9"/>
              <w:jc w:val="left"/>
            </w:pPr>
            <w:r>
              <w:t xml:space="preserve">NO_VERIFICADO</w:t>
            </w:r>
          </w:p>
        </w:tc>
        <w:tc>
          <w:tcPr/>
          <w:p>
            <w:pPr>
              <w:pStyle w:val="Tabla9"/>
              <w:jc w:val="left"/>
            </w:pPr>
            <w:r>
              <w:t xml:space="preserve">NO_APLICA</w:t>
            </w:r>
          </w:p>
        </w:tc>
      </w:tr>
      <w:tr>
        <w:trPr>
          <w:cantSplit/>
        </w:trPr>
        <w:tc>
          <w:tcPr/>
          <w:p>
            <w:pPr>
              <w:pStyle w:val="Tabla9"/>
              <w:jc w:val="left"/>
            </w:pPr>
            <w:r>
              <w:t xml:space="preserve">Agenda 2030 (ONU, 2015)</w:t>
            </w:r>
          </w:p>
        </w:tc>
        <w:tc>
          <w:tcPr/>
          <w:p>
            <w:pPr>
              <w:pStyle w:val="Tabla9"/>
              <w:jc w:val="left"/>
            </w:pPr>
            <w:r>
              <w:t xml:space="preserve">Internacional</w:t>
            </w:r>
          </w:p>
        </w:tc>
        <w:tc>
          <w:tcPr/>
          <w:p>
            <w:pPr>
              <w:pStyle w:val="Tabla9"/>
              <w:jc w:val="left"/>
            </w:pPr>
            <w:r>
              <w:t xml:space="preserve">Marco de contribución a los ODS 3, 9, 11 y 13</w:t>
            </w:r>
          </w:p>
        </w:tc>
        <w:tc>
          <w:tcPr/>
          <w:p>
            <w:pPr>
              <w:pStyle w:val="Tabla9"/>
              <w:jc w:val="left"/>
            </w:pPr>
            <w:r>
              <w:t xml:space="preserve">NO_VERIFICADO</w:t>
            </w:r>
          </w:p>
        </w:tc>
        <w:tc>
          <w:tcPr/>
          <w:p>
            <w:pPr>
              <w:pStyle w:val="Tabla9"/>
              <w:jc w:val="left"/>
            </w:pPr>
            <w:r>
              <w:t xml:space="preserve">[DATO_USUARIO: ODS que la convocatoria exige reportar]</w:t>
            </w:r>
          </w:p>
        </w:tc>
      </w:tr>
      <w:tr>
        <w:trPr>
          <w:cantSplit/>
        </w:trPr>
        <w:tc>
          <w:tcPr/>
          <w:p>
            <w:pPr>
              <w:pStyle w:val="Tabla9"/>
              <w:jc w:val="left"/>
            </w:pPr>
            <w:r>
              <w:t xml:space="preserve">Guías de calidad del aire de la OMS (OMS, 2021)</w:t>
            </w:r>
          </w:p>
        </w:tc>
        <w:tc>
          <w:tcPr/>
          <w:p>
            <w:pPr>
              <w:pStyle w:val="Tabla9"/>
              <w:jc w:val="left"/>
            </w:pPr>
            <w:r>
              <w:t xml:space="preserve">Internacional</w:t>
            </w:r>
          </w:p>
        </w:tc>
        <w:tc>
          <w:tcPr/>
          <w:p>
            <w:pPr>
              <w:pStyle w:val="Tabla9"/>
              <w:jc w:val="left"/>
            </w:pPr>
            <w:r>
              <w:t xml:space="preserve">Referencia de salud pública para interpretar niveles</w:t>
            </w:r>
          </w:p>
        </w:tc>
        <w:tc>
          <w:tcPr/>
          <w:p>
            <w:pPr>
              <w:pStyle w:val="Tabla9"/>
              <w:jc w:val="left"/>
            </w:pPr>
            <w:r>
              <w:t xml:space="preserve">NO_VERIFICADO</w:t>
            </w:r>
          </w:p>
        </w:tc>
        <w:tc>
          <w:tcPr/>
          <w:p>
            <w:pPr>
              <w:pStyle w:val="Tabla9"/>
              <w:jc w:val="left"/>
            </w:pPr>
            <w:r>
              <w:t xml:space="preserve">NO_APLICA</w:t>
            </w:r>
          </w:p>
        </w:tc>
      </w:tr>
      <w:tr>
        <w:trPr>
          <w:cantSplit/>
        </w:trPr>
        <w:tc>
          <w:tcPr/>
          <w:p>
            <w:pPr>
              <w:pStyle w:val="Tabla9"/>
              <w:jc w:val="left"/>
            </w:pPr>
            <w:r>
              <w:t xml:space="preserve">Protocolo de la EPA para sensores de PM2,5 (EPA, 2021)</w:t>
            </w:r>
          </w:p>
        </w:tc>
        <w:tc>
          <w:tcPr/>
          <w:p>
            <w:pPr>
              <w:pStyle w:val="Tabla9"/>
              <w:jc w:val="left"/>
            </w:pPr>
            <w:r>
              <w:t xml:space="preserve">Internacional técnico</w:t>
            </w:r>
          </w:p>
        </w:tc>
        <w:tc>
          <w:tcPr/>
          <w:p>
            <w:pPr>
              <w:pStyle w:val="Tabla9"/>
              <w:jc w:val="left"/>
            </w:pPr>
            <w:r>
              <w:t xml:space="preserve">Ancla de los umbrales R², NRMSE, pendiente y sesgo</w:t>
            </w:r>
          </w:p>
        </w:tc>
        <w:tc>
          <w:tcPr/>
          <w:p>
            <w:pPr>
              <w:pStyle w:val="Tabla9"/>
              <w:jc w:val="left"/>
            </w:pPr>
            <w:r>
              <w:t xml:space="preserve">NO_VERIFICADO</w:t>
            </w:r>
          </w:p>
        </w:tc>
        <w:tc>
          <w:tcPr/>
          <w:p>
            <w:pPr>
              <w:pStyle w:val="Tabla9"/>
              <w:jc w:val="left"/>
            </w:pPr>
            <w:r>
              <w:t xml:space="preserve">NO_APLICA</w:t>
            </w:r>
          </w:p>
        </w:tc>
      </w:tr>
      <w:tr>
        <w:trPr>
          <w:cantSplit/>
        </w:trPr>
        <w:tc>
          <w:tcPr/>
          <w:p>
            <w:pPr>
              <w:pStyle w:val="Tabla9"/>
              <w:jc w:val="left"/>
            </w:pPr>
            <w:r>
              <w:t xml:space="preserve">ISO 31000:2018 (ISO, 2018)</w:t>
            </w:r>
          </w:p>
        </w:tc>
        <w:tc>
          <w:tcPr/>
          <w:p>
            <w:pPr>
              <w:pStyle w:val="Tabla9"/>
              <w:jc w:val="left"/>
            </w:pPr>
            <w:r>
              <w:t xml:space="preserve">Internacional</w:t>
            </w:r>
          </w:p>
        </w:tc>
        <w:tc>
          <w:tcPr/>
          <w:p>
            <w:pPr>
              <w:pStyle w:val="Tabla9"/>
              <w:jc w:val="left"/>
            </w:pPr>
            <w:r>
              <w:t xml:space="preserve">Directrices para el registro de 12 riesgos y su valor esperado</w:t>
            </w:r>
          </w:p>
        </w:tc>
        <w:tc>
          <w:tcPr/>
          <w:p>
            <w:pPr>
              <w:pStyle w:val="Tabla9"/>
              <w:jc w:val="left"/>
            </w:pPr>
            <w:r>
              <w:t xml:space="preserve">NO_VERIFICADO</w:t>
            </w:r>
          </w:p>
        </w:tc>
        <w:tc>
          <w:tcPr/>
          <w:p>
            <w:pPr>
              <w:pStyle w:val="Tabla9"/>
              <w:jc w:val="left"/>
            </w:pPr>
            <w:r>
              <w:t xml:space="preserve">NO_APLICA</w:t>
            </w:r>
          </w:p>
        </w:tc>
      </w:tr>
      <w:tr>
        <w:trPr>
          <w:cantSplit/>
        </w:trPr>
        <w:tc>
          <w:tcPr/>
          <w:p>
            <w:pPr>
              <w:pStyle w:val="Tabla9"/>
              <w:jc w:val="left"/>
            </w:pPr>
            <w:r>
              <w:t xml:space="preserve">Manuales de Frascati y de Oslo (OCDE, 2015; OCDE, 2018)</w:t>
            </w:r>
          </w:p>
        </w:tc>
        <w:tc>
          <w:tcPr/>
          <w:p>
            <w:pPr>
              <w:pStyle w:val="Tabla9"/>
              <w:jc w:val="left"/>
            </w:pPr>
            <w:r>
              <w:t xml:space="preserve">Internacional</w:t>
            </w:r>
          </w:p>
        </w:tc>
        <w:tc>
          <w:tcPr/>
          <w:p>
            <w:pPr>
              <w:pStyle w:val="Tabla9"/>
              <w:jc w:val="left"/>
            </w:pPr>
            <w:r>
              <w:t xml:space="preserve">Clasificación de la investigación, el desarrollo y la innovación</w:t>
            </w:r>
          </w:p>
        </w:tc>
        <w:tc>
          <w:tcPr/>
          <w:p>
            <w:pPr>
              <w:pStyle w:val="Tabla9"/>
              <w:jc w:val="left"/>
            </w:pPr>
            <w:r>
              <w:t xml:space="preserve">NO_VERIFICADO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el banco de referencias y la ficha maestra (§1, §5 y §11, DEC-F01 y DEC-F12). Verificación: NO_VERIFICADO para todas las normas en esta corrida. El Decreto 1414 de 2026 es DECLARADO por el usuario. NO_APLICA indica que la norma no depende de los términos de referencia.</w:t>
      </w:r>
    </w:p>
    <w:p>
      <w:pPr>
        <w:pStyle w:val="BodyText"/>
      </w:pPr>
      <w:r>
        <w:t xml:space="preserve">La Tabla 4.5 muestra que 18 instrumentos orientan el proyecto y que ninguno se verificó. Además, 10 dependen de datos que aportan los términos de referencia o el usuario. Esa dependencia no impide diseñar, pero sí condiciona la presentación. Antes de radicar, el equipo debe verificar el texto de cada norma y completar los marcadores.</w:t>
      </w:r>
    </w:p>
    <w:bookmarkEnd w:id="411"/>
    <w:bookmarkEnd w:id="412"/>
    <w:bookmarkStart w:id="419" w:name="_Toc00900163"/>
    <w:p>
      <w:pPr>
        <w:pStyle w:val="Heading2"/>
      </w:pPr>
      <w:r>
        <w:t xml:space="preserve">4.4 Antecedentes y experiencias relevantes</w:t>
      </w:r>
    </w:p>
    <w:p>
      <w:pPr>
        <w:pStyle w:val="FirstParagraph"/>
      </w:pPr>
      <w:r>
        <w:t xml:space="preserve">Los antecedentes del proyecto provienen de un corpus de madurez baja y de unos pocos sistemas operativos. El informe de vigilancia tecnológica y bibliometría de 42 documentos (F-INF) reúne 26 artículos, 15 patentes y un informe institucional. De 41 documentos con nivel de madurez asignado, 34 están en el nivel 4 o por debajo. Solo dos alcanzan el nivel 7 o más. Esos dos son el sistema de alerta de SIATA (Ruiz-Carrascal et al., 2026) y el sistema de monitoreo de lahares de Arequipa (Espinoza et al., 2026). Esta sección analiza cinco antecedentes por su relación con el problema central. Son la red de SIATA, la red de Seúl, el monitoreo de Brasil, la red de una mina de carbón y el diseño nacional colombiano. La Figura 4.3 los ubica en el tiempo junto con el marco normativo y metrológico.</w:t>
      </w:r>
    </w:p>
    <w:bookmarkStart w:id="413" w:name="_Toc00900164"/>
    <w:p>
      <w:pPr>
        <w:pStyle w:val="Heading3"/>
      </w:pPr>
      <w:r>
        <w:t xml:space="preserve">4.4.1 Proyectos y diseños nacionales</w:t>
      </w:r>
    </w:p>
    <w:p>
      <w:pPr>
        <w:pStyle w:val="FirstParagraph"/>
      </w:pPr>
      <w:r>
        <w:t xml:space="preserve">El Sistema de Alerta Temprana de Medellín y el Valle de Aburrá (SIATA) es el sistema operativo de mayor madurez del corpus. El informe le asigna nivel de madurez 9. Opera una red de dos capas con 65 equipos acreditados y 450 sensores de bajo costo, para un total de 535 (Ruiz-Carrascal et al., 2026, p. 8). Integra 59 sistemas comunitarios de alerta (Ruiz-Carrascal et al., 2026, p. 7). Su inversión per cápita entre 2017 y 2024 fue de 1,63 dólares por habitante y año (Ruiz-Carrascal et al., 2026, p. 3). Los documentos no coinciden en el número de sensores, pues otro artículo reporta 300 (Ayala-Parra et al., 2026). SIATA no publica métricas de desempeño de su pronóstico (Ruiz-Carrascal et al., 2026, p. 10) ni evalúa sus alertas con un contrafactual (Ruiz-Carrascal et al., 2026, pp. 2, 5 y 7). La lección es doble. La combinación de referencia acreditada y sensores de bajo costo funciona como arquitectura operativa. La falta de evaluación de las alertas deja sin medir su beneficio.</w:t>
      </w:r>
    </w:p>
    <w:p>
      <w:pPr>
        <w:pStyle w:val="BodyText"/>
      </w:pPr>
      <w:r>
        <w:t xml:space="preserve">El diseño nacional de la red de vigilancia de calidad del aire plantea una expansión que contrasta con ese precedente. Colombia reporta 209 estaciones, de las cuales 192 son fijas y 17 indicativas, y 154 integran un sistema de vigilancia (Murad Pedraza et al., 2026, pp. 5-6). La red propuesta incluiría 5.076 estaciones. De ellas, 4.608 serían sensores (Murad Pedraza et al., 2026, p. 13). El cociente de 90,8 % es un cálculo del analista (CALCULADO). El costo estimado de adquisición es de 719,7 mil millones de pesos colombianos (Murad Pedraza et al., 2026, p. 15). La operación costaría cerca de 302 mil millones por año (CALCULADO). El documento presenta tres versiones de los totales de estaciones y dos del costo total. El diseño no incluye un plan de calibración para esos sensores (Murad Pedraza et al., 2026, pp. 10-11 y 13). El informe de vigilancia recomienda condicionar la compra masiva a una fase inicial de 12 meses. Esa fase valida el protocolo de calibración (F-INF, §1.4, decisión D-03). El tramo 1 del proyecto aplica esa lógica con 30 nodos y tres referencias antes de ampliar.</w:t>
      </w:r>
    </w:p>
    <w:p>
      <w:pPr>
        <w:pStyle w:val="BodyText"/>
      </w:pPr>
      <w:r>
        <w:t xml:space="preserve">La estimación de la carga de enfermedad completa el contexto nacional. Rodríguez-Villamizar et al. (2022, pp. 6 y 8) estimaron entre 142 y 34.341 muertes evitables entre 2014 y 2019 según la concentración de referencia, y 7.368 con otro producto satelital. La amplitud del rango muestra que la estimación depende de la concentración de referencia elegida. Una medición con error desconocido agrega otra fuente de incertidumbre a un cálculo ya sensible (INFERIDO). Los autores reportan que solo 28 de 1.122 municipios disponen de estaciones utilizables (Rodríguez-Villamizar et al., 2022, pp. 3 y 6). El proyecto no replica ese tipo de estimación ni afirma efectos en salud. Toma de él una lección de método: una estimación sensible exige insumos con error conocido.</w:t>
      </w:r>
    </w:p>
    <w:bookmarkEnd w:id="413"/>
    <w:bookmarkStart w:id="414" w:name="_Toc00900165"/>
    <w:p>
      <w:pPr>
        <w:pStyle w:val="Heading3"/>
      </w:pPr>
      <w:r>
        <w:t xml:space="preserve">4.4.2 Experiencias internacionales</w:t>
      </w:r>
    </w:p>
    <w:p>
      <w:pPr>
        <w:pStyle w:val="FirstParagraph"/>
      </w:pPr>
      <w:r>
        <w:t xml:space="preserve">La red de Seúl combina cobertura densa y corrección con referencia. La red S-Dot reúne 1.138 sitios (Bang et al., 2026, p. 4). Una corrección con la estación cercana y 35 minutos de desfase elevó el R² de menos de 0,2 a 0,81 (Bang et al., 2026, pp. 6-8). El desfase de 35 minutos es temporal entre el sensor y la estación, y no una latencia de red. El diseño de V08 no distingue ambos conceptos, y el proyecto los separa al medir cada uno por su cuenta (PROPUESTO). El estudio también advierte que la variabilidad espacial del PM2,5 reduce la utilidad de la referencia con la distancia (Bang et al., 2026, p. 4). El protocolo de alerta de Seúl se probó con un solo evento (Bang et al., 2026, p. 15). Esa limitación impide generalizar su desempeño. El proyecto responde con tres referencias y cuatro rotaciones por departamento, y con una evaluación en tres departamentos distintos.</w:t>
      </w:r>
    </w:p>
    <w:p>
      <w:pPr>
        <w:pStyle w:val="BodyText"/>
      </w:pPr>
      <w:r>
        <w:t xml:space="preserve">El monitoreo de Brasil muestra el costo de operar redes extensas. Entre 2022 y 2024, los monitores de bajo costo pasaron de 37 a 194, mientras los de referencia se mantuvieron entre 358 y 359 (Tavella et al., 2026, p. 6). La red suma 570 estaciones, y 96 de ellas, es decir 16,8 %, figuran como inactivas o sin estado (Tavella et al., 2026, p. 6). Los monitores de bajo costo se multiplicaron por más de cinco en el periodo (CALCULADO). La misma agenda de investigación y política propone un enfoque integrado y reconoce el riesgo compuesto de calor y humo (Tavella et al., 2026, pp. 8 y 11-12). La lección es que la densificación sin mantenimiento deja estaciones sin uso. El proyecto responde con una meta de disponibilidad mensual de 90 % o más y con repuestos y consumibles de mantenimiento presupuestados (línea M07).</w:t>
      </w:r>
    </w:p>
    <w:p>
      <w:pPr>
        <w:pStyle w:val="BodyText"/>
      </w:pPr>
      <w:r>
        <w:t xml:space="preserve">La red de una mina de carbón a cielo abierto es el antecedente más cercano en el tipo de sitio. Suresh et al. (2025) desplegaron monitores de bajo costo conectados y midieron un PM2,5 medio de 159,11 µg/m³ (p. 10). El cociente entre PM2,5 y PM10 fue de 0,88 (Suresh et al., 2025, p. 22). La correlación de las partículas con la humedad fue de 0,73 (Suresh et al., 2025, p. 30). El informe asigna a este despliegue el nivel de madurez 6. La mina comparte con un sitio de remoción de escombros la presencia de polvo y maquinaria. No comparte necesariamente su composición. El cociente de 0,88 indica un predominio de masa fina que no puede extrapolarse a los escombros. El proyecto mide ese cociente en el tramo 1 y no lo importa (VACIO).</w:t>
      </w:r>
    </w:p>
    <w:bookmarkEnd w:id="414"/>
    <w:bookmarkStart w:id="418" w:name="_Toc00900166"/>
    <w:p>
      <w:pPr>
        <w:pStyle w:val="Heading3"/>
      </w:pPr>
      <w:r>
        <w:t xml:space="preserve">4.4.3 Lecciones aprendidas</w:t>
      </w:r>
    </w:p>
    <w:p>
      <w:pPr>
        <w:pStyle w:val="FirstParagraph"/>
      </w:pPr>
      <w:r>
        <w:t xml:space="preserve">Los cinco antecedentes convergen en cinco lecciones. Primera, calibrar antes de escalar. Segunda, evaluar las alertas con una línea base. Tercera, planificar la operación y el mantenimiento desde el diseño. Cuarta, tratar la humedad y el tipo de sitio como fuentes de error local. Quinta, asegurar el uso y la custodia desde el inicio. Ninguno de los cinco antecedentes opera en sitios de remoción de escombros posterremoto, según la revisión del corpus (INFERIDO). Esa ausencia define el alcance del aporte del proyecto y sus límites de generalización. La Tabla 4.6 resume los antecedentes, la lección de cada uno y la decisión que origina.</w:t>
      </w:r>
    </w:p>
    <w:p>
      <w:pPr>
        <w:pStyle w:val="BodyText"/>
      </w:pPr>
      <w:r>
        <w:t xml:space="preserve">Dos posiciones se contrastan sobre cómo aprender en la práctica. Ries (2011) propone ciclos cortos de construir, medir y aprender, que priorizan la velocidad de la experimentación. Cooper (2008) propone un proceso por etapas con compuertas, que prioriza la decisión informada antes de comprometer recursos. Los antecedentes respaldan una combinación. Las redes que se expandieron sin plan de calibración acumulan sensores sin uso conocido, lo que favorece las compuertas. La falta de evaluación de las alertas favorece los ciclos de aprendizaje. El diseño por tramos adopta compuertas C1 y C2 y reentrenamientos por departamento.</w:t>
      </w:r>
    </w:p>
    <w:p>
      <w:pPr>
        <w:pStyle w:val="TablaRotulo"/>
      </w:pPr>
      <w:bookmarkStart w:id="9279" w:name="rot_Tabla_4_6"/>
      <w:r>
        <w:rPr>
          <w:b/>
          <w:bCs/>
        </w:rPr>
        <w:t xml:space="preserve">Tabla 4.6</w:t>
      </w:r>
      <w:bookmarkEnd w:id="9279"/>
    </w:p>
    <w:p>
      <w:pPr>
        <w:pStyle w:val="TablaTitulo"/>
      </w:pPr>
      <w:r>
        <w:rPr>
          <w:i/>
          <w:iCs/>
        </w:rPr>
        <w:t xml:space="preserve">Antecedentes, lecciones y decisiones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43"/>
        <w:gridCol w:w="2225"/>
        <w:gridCol w:w="1374"/>
        <w:gridCol w:w="1570"/>
        <w:gridCol w:w="1505"/>
      </w:tblGrid>
      <w:tr>
        <w:trPr>
          <w:cantSplit/>
          <w:tblHeader/>
        </w:trPr>
        <w:tc>
          <w:tcPr>
            <w:shd w:val="clear" w:color="auto" w:fill="00B050"/>
          </w:tcPr>
          <w:p>
            <w:pPr>
              <w:pStyle w:val="Tabla9"/>
              <w:jc w:val="center"/>
            </w:pPr>
            <w:r>
              <w:rPr>
                <w:b/>
                <w:color w:val="FFFFFF"/>
              </w:rPr>
              <w:t xml:space="preserve">Antecedente</w:t>
            </w:r>
          </w:p>
        </w:tc>
        <w:tc>
          <w:tcPr>
            <w:shd w:val="clear" w:color="auto" w:fill="00B050"/>
          </w:tcPr>
          <w:p>
            <w:pPr>
              <w:pStyle w:val="Tabla9"/>
              <w:jc w:val="center"/>
            </w:pPr>
            <w:r>
              <w:rPr>
                <w:b/>
                <w:color w:val="FFFFFF"/>
              </w:rPr>
              <w:t xml:space="preserve">Dato clave</w:t>
            </w:r>
          </w:p>
        </w:tc>
        <w:tc>
          <w:tcPr>
            <w:shd w:val="clear" w:color="auto" w:fill="00B050"/>
          </w:tcPr>
          <w:p>
            <w:pPr>
              <w:pStyle w:val="Tabla9"/>
              <w:jc w:val="center"/>
            </w:pPr>
            <w:r>
              <w:rPr>
                <w:b/>
                <w:color w:val="FFFFFF"/>
              </w:rPr>
              <w:t xml:space="preserve">Lección</w:t>
            </w:r>
          </w:p>
        </w:tc>
        <w:tc>
          <w:tcPr>
            <w:shd w:val="clear" w:color="auto" w:fill="00B050"/>
          </w:tcPr>
          <w:p>
            <w:pPr>
              <w:pStyle w:val="Tabla9"/>
              <w:jc w:val="center"/>
            </w:pPr>
            <w:r>
              <w:rPr>
                <w:b/>
                <w:color w:val="FFFFFF"/>
              </w:rPr>
              <w:t xml:space="preserve">Decisión del proyecto</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SIATA</w:t>
            </w:r>
          </w:p>
        </w:tc>
        <w:tc>
          <w:tcPr/>
          <w:p>
            <w:pPr>
              <w:pStyle w:val="Tabla9"/>
              <w:jc w:val="left"/>
            </w:pPr>
            <w:r>
              <w:t xml:space="preserve">65 equipos acreditados y 450 sensores; 59 sistemas comunitarios; sin evaluación de alertas (Ruiz-Carrascal et al., 2026, pp. 2, 5, 7 y 8)</w:t>
            </w:r>
          </w:p>
        </w:tc>
        <w:tc>
          <w:tcPr/>
          <w:p>
            <w:pPr>
              <w:pStyle w:val="Tabla9"/>
              <w:jc w:val="left"/>
            </w:pPr>
            <w:r>
              <w:t xml:space="preserve">La arquitectura de dos capas opera; la evaluación de alertas falta</w:t>
            </w:r>
          </w:p>
        </w:tc>
        <w:tc>
          <w:tcPr/>
          <w:p>
            <w:pPr>
              <w:pStyle w:val="Tabla9"/>
              <w:jc w:val="left"/>
            </w:pPr>
            <w:r>
              <w:t xml:space="preserve">Tres referencias y 100 nodos; falsas alarmas con línea base propia</w:t>
            </w:r>
          </w:p>
        </w:tc>
        <w:tc>
          <w:tcPr/>
          <w:p>
            <w:pPr>
              <w:pStyle w:val="Tabla9"/>
              <w:jc w:val="left"/>
            </w:pPr>
            <w:r>
              <w:t xml:space="preserve">PERS-E02</w:t>
            </w:r>
          </w:p>
        </w:tc>
      </w:tr>
      <w:tr>
        <w:trPr>
          <w:cantSplit/>
        </w:trPr>
        <w:tc>
          <w:tcPr/>
          <w:p>
            <w:pPr>
              <w:pStyle w:val="Tabla9"/>
              <w:jc w:val="left"/>
            </w:pPr>
            <w:r>
              <w:t xml:space="preserve">Diseño nacional</w:t>
            </w:r>
          </w:p>
        </w:tc>
        <w:tc>
          <w:tcPr/>
          <w:p>
            <w:pPr>
              <w:pStyle w:val="Tabla9"/>
              <w:jc w:val="left"/>
            </w:pPr>
            <w:r>
              <w:t xml:space="preserve">5.076 estaciones, 4.608 sensores; sin plan de calibración (Murad Pedraza et al., 2026, pp. 10-11 y 13)</w:t>
            </w:r>
          </w:p>
        </w:tc>
        <w:tc>
          <w:tcPr/>
          <w:p>
            <w:pPr>
              <w:pStyle w:val="Tabla9"/>
              <w:jc w:val="left"/>
            </w:pPr>
            <w:r>
              <w:t xml:space="preserve">Escalar sin calibrar genera sensores sin error conocido</w:t>
            </w:r>
          </w:p>
        </w:tc>
        <w:tc>
          <w:tcPr/>
          <w:p>
            <w:pPr>
              <w:pStyle w:val="Tabla9"/>
              <w:jc w:val="left"/>
            </w:pPr>
            <w:r>
              <w:t xml:space="preserve">Piloto de contraste en el tramo 1 antes de ampliar</w:t>
            </w:r>
          </w:p>
        </w:tc>
        <w:tc>
          <w:tcPr/>
          <w:p>
            <w:pPr>
              <w:pStyle w:val="Tabla9"/>
              <w:jc w:val="left"/>
            </w:pPr>
            <w:r>
              <w:t xml:space="preserve">Compuerta C1</w:t>
            </w:r>
          </w:p>
        </w:tc>
      </w:tr>
      <w:tr>
        <w:trPr>
          <w:cantSplit/>
        </w:trPr>
        <w:tc>
          <w:tcPr/>
          <w:p>
            <w:pPr>
              <w:pStyle w:val="Tabla9"/>
              <w:jc w:val="left"/>
            </w:pPr>
            <w:r>
              <w:t xml:space="preserve">Carga de enfermedad</w:t>
            </w:r>
          </w:p>
        </w:tc>
        <w:tc>
          <w:tcPr/>
          <w:p>
            <w:pPr>
              <w:pStyle w:val="Tabla9"/>
              <w:jc w:val="left"/>
            </w:pPr>
            <w:r>
              <w:t xml:space="preserve">142 a 34.341 muertes evitables según la referencia (Rodríguez-Villamizar et al., 2022, pp. 6 y 8)</w:t>
            </w:r>
          </w:p>
        </w:tc>
        <w:tc>
          <w:tcPr/>
          <w:p>
            <w:pPr>
              <w:pStyle w:val="Tabla9"/>
              <w:jc w:val="left"/>
            </w:pPr>
            <w:r>
              <w:t xml:space="preserve">La estimación es sensible a la referencia elegida y el error de medición se suma</w:t>
            </w:r>
          </w:p>
        </w:tc>
        <w:tc>
          <w:tcPr/>
          <w:p>
            <w:pPr>
              <w:pStyle w:val="Tabla9"/>
              <w:jc w:val="left"/>
            </w:pPr>
            <w:r>
              <w:t xml:space="preserve">Reportar el error de cada medición; sin afirmaciones de salud</w:t>
            </w:r>
          </w:p>
        </w:tc>
        <w:tc>
          <w:tcPr/>
          <w:p>
            <w:pPr>
              <w:pStyle w:val="Tabla9"/>
              <w:jc w:val="left"/>
            </w:pPr>
            <w:r>
              <w:t xml:space="preserve">PERS-R05; NRMSE y R²</w:t>
            </w:r>
          </w:p>
        </w:tc>
      </w:tr>
      <w:tr>
        <w:trPr>
          <w:cantSplit/>
        </w:trPr>
        <w:tc>
          <w:tcPr/>
          <w:p>
            <w:pPr>
              <w:pStyle w:val="Tabla9"/>
              <w:jc w:val="left"/>
            </w:pPr>
            <w:r>
              <w:t xml:space="preserve">Red de Seúl</w:t>
            </w:r>
          </w:p>
        </w:tc>
        <w:tc>
          <w:tcPr/>
          <w:p>
            <w:pPr>
              <w:pStyle w:val="Tabla9"/>
              <w:jc w:val="left"/>
            </w:pPr>
            <w:r>
              <w:t xml:space="preserve">R² de menos de 0,2 a 0,81 con estación cercana y 35 minutos (Bang et al., 2026, pp. 6-8)</w:t>
            </w:r>
          </w:p>
        </w:tc>
        <w:tc>
          <w:tcPr/>
          <w:p>
            <w:pPr>
              <w:pStyle w:val="Tabla9"/>
              <w:jc w:val="left"/>
            </w:pPr>
            <w:r>
              <w:t xml:space="preserve">La corrección con referencia y alineación temporal reduce el error</w:t>
            </w:r>
          </w:p>
        </w:tc>
        <w:tc>
          <w:tcPr/>
          <w:p>
            <w:pPr>
              <w:pStyle w:val="Tabla9"/>
              <w:jc w:val="left"/>
            </w:pPr>
            <w:r>
              <w:t xml:space="preserve">Corrección en el gateway con covariables; reentrenamiento por departamento</w:t>
            </w:r>
          </w:p>
        </w:tc>
        <w:tc>
          <w:tcPr/>
          <w:p>
            <w:pPr>
              <w:pStyle w:val="Tabla9"/>
              <w:jc w:val="left"/>
            </w:pPr>
            <w:r>
              <w:t xml:space="preserve">PERS-R02; NRMSE y R²</w:t>
            </w:r>
          </w:p>
        </w:tc>
      </w:tr>
      <w:tr>
        <w:trPr>
          <w:cantSplit/>
        </w:trPr>
        <w:tc>
          <w:tcPr/>
          <w:p>
            <w:pPr>
              <w:pStyle w:val="Tabla9"/>
              <w:jc w:val="left"/>
            </w:pPr>
            <w:r>
              <w:t xml:space="preserve">Brasil</w:t>
            </w:r>
          </w:p>
        </w:tc>
        <w:tc>
          <w:tcPr/>
          <w:p>
            <w:pPr>
              <w:pStyle w:val="Tabla9"/>
              <w:jc w:val="left"/>
            </w:pPr>
            <w:r>
              <w:t xml:space="preserve">96 de 570 estaciones inactivas o sin estado (Tavella et al., 2026, p. 6)</w:t>
            </w:r>
          </w:p>
        </w:tc>
        <w:tc>
          <w:tcPr/>
          <w:p>
            <w:pPr>
              <w:pStyle w:val="Tabla9"/>
              <w:jc w:val="left"/>
            </w:pPr>
            <w:r>
              <w:t xml:space="preserve">La densificación sin mantenimiento deja estaciones sin uso</w:t>
            </w:r>
          </w:p>
        </w:tc>
        <w:tc>
          <w:tcPr/>
          <w:p>
            <w:pPr>
              <w:pStyle w:val="Tabla9"/>
              <w:jc w:val="left"/>
            </w:pPr>
            <w:r>
              <w:t xml:space="preserve">Energía y enlace redundantes; repuestos presupuestados</w:t>
            </w:r>
          </w:p>
        </w:tc>
        <w:tc>
          <w:tcPr/>
          <w:p>
            <w:pPr>
              <w:pStyle w:val="Tabla9"/>
              <w:jc w:val="left"/>
            </w:pPr>
            <w:r>
              <w:t xml:space="preserve">Disponibilidad mensual ≥ 90 %</w:t>
            </w:r>
          </w:p>
        </w:tc>
      </w:tr>
      <w:tr>
        <w:trPr>
          <w:cantSplit/>
        </w:trPr>
        <w:tc>
          <w:tcPr/>
          <w:p>
            <w:pPr>
              <w:pStyle w:val="Tabla9"/>
              <w:jc w:val="left"/>
            </w:pPr>
            <w:r>
              <w:t xml:space="preserve">Mina de carbón</w:t>
            </w:r>
          </w:p>
        </w:tc>
        <w:tc>
          <w:tcPr/>
          <w:p>
            <w:pPr>
              <w:pStyle w:val="Tabla9"/>
              <w:jc w:val="left"/>
            </w:pPr>
            <w:r>
              <w:t xml:space="preserve">Correlación con la humedad de 0,73; cociente PM2,5 y PM10 de 0,88 (Suresh et al., 2025, pp. 22 y 30)</w:t>
            </w:r>
          </w:p>
        </w:tc>
        <w:tc>
          <w:tcPr/>
          <w:p>
            <w:pPr>
              <w:pStyle w:val="Tabla9"/>
              <w:jc w:val="left"/>
            </w:pPr>
            <w:r>
              <w:t xml:space="preserve">La humedad sesga; el sitio condiciona la composición</w:t>
            </w:r>
          </w:p>
        </w:tc>
        <w:tc>
          <w:tcPr/>
          <w:p>
            <w:pPr>
              <w:pStyle w:val="Tabla9"/>
              <w:jc w:val="left"/>
            </w:pPr>
            <w:r>
              <w:t xml:space="preserve">Medir el cociente y la humedad en el tramo 1; sin importar valores de otro sitio</w:t>
            </w:r>
          </w:p>
        </w:tc>
        <w:tc>
          <w:tcPr/>
          <w:p>
            <w:pPr>
              <w:pStyle w:val="Tabla9"/>
              <w:jc w:val="left"/>
            </w:pPr>
            <w:r>
              <w:t xml:space="preserve">PERS-R05</w:t>
            </w:r>
          </w:p>
        </w:tc>
      </w:tr>
    </w:tbl>
    <w:p>
      <w:pPr>
        <w:pStyle w:val="TablaNota"/>
      </w:pPr>
      <w:r>
        <w:rPr>
          <w:i/>
          <w:iCs/>
        </w:rPr>
        <w:t xml:space="preserve">Nota.</w:t>
      </w:r>
      <w:r>
        <w:t xml:space="preserve"> </w:t>
      </w:r>
      <w:r>
        <w:t xml:space="preserve">Elaboración propia con datos de F-INF y de las obras citadas; los porcentajes y cocientes derivados son CALCULADO. Las decisiones del proyecto son PROPUESTO. Verificación de las fuentes: NO_VERIFICADO.</w:t>
      </w:r>
    </w:p>
    <w:p>
      <w:pPr>
        <w:pStyle w:val="BodyText"/>
      </w:pPr>
      <w:r>
        <w:t xml:space="preserve">La Tabla 4.6 vincula cada antecedente con una decisión y con un indicador. Cada decisión remite a una verificación explícita. La necesidad de calibrar aparece en cuatro filas, lo que refuerza la prioridad del objetivo OE1. La necesidad de mantener aparece en la fila de Brasil y respalda la meta de disponibilidad de OE2. La necesidad de evaluar las alertas aparece en la fila de SIATA y respalda el indicador PERS-E02 de OE3.</w:t>
      </w:r>
    </w:p>
    <w:p>
      <w:pPr>
        <w:pStyle w:val="BodyText"/>
      </w:pPr>
      <w:r>
        <w:t xml:space="preserve">La Figura 4.3 sitúa los antecedentes en el tiempo. Muestra que la literatura metrológica se concentra entre 2015 y 2021 y que los casos de red se publican después.</w:t>
      </w:r>
    </w:p>
    <w:p>
      <w:pPr>
        <w:pStyle w:val="FiguraRotulo"/>
      </w:pPr>
      <w:bookmarkStart w:id="9511" w:name="rot_Figura_4_3"/>
      <w:r>
        <w:rPr>
          <w:b/>
          <w:bCs/>
        </w:rPr>
        <w:t xml:space="preserve">Figura 4.3</w:t>
      </w:r>
      <w:bookmarkEnd w:id="9511"/>
    </w:p>
    <w:p>
      <w:pPr>
        <w:pStyle w:val="FiguraTitulo"/>
      </w:pPr>
      <w:r>
        <w:rPr>
          <w:i/>
          <w:iCs/>
        </w:rPr>
        <w:t xml:space="preserve">Línea de tiempo de antecedentes, literatura metrológica y marco normativo, 2012 a 2026</w:t>
      </w:r>
    </w:p>
    <w:p>
      <w:pPr>
        <w:pStyle w:val="BodyText"/>
      </w:pPr>
      <w:r>
        <w:drawing>
          <wp:inline>
            <wp:extent cx="5579999" cy="3763832"/>
            <wp:effectExtent b="0" l="0" r="0" t="0"/>
            <wp:docPr descr="" title="" id="416" name="Picture"/>
            <a:graphic>
              <a:graphicData uri="http://schemas.openxmlformats.org/drawingml/2006/picture">
                <pic:pic>
                  <pic:nvPicPr>
                    <pic:cNvPr descr="/tmp/claude-0/-home-user-docs/ddf38714-2a7e-502b-92b4-1008e2832422/scratchpad/proy/figs/out/c4_f03.png" id="417" name="Picture"/>
                    <pic:cNvPicPr>
                      <a:picLocks noChangeArrowheads="1" noChangeAspect="1"/>
                    </pic:cNvPicPr>
                  </pic:nvPicPr>
                  <pic:blipFill>
                    <a:blip r:embed="rId415"/>
                    <a:stretch>
                      <a:fillRect/>
                    </a:stretch>
                  </pic:blipFill>
                  <pic:spPr bwMode="auto">
                    <a:xfrm>
                      <a:off x="0" y="0"/>
                      <a:ext cx="5579999" cy="376383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publicación o expedición de las obras del banco de referencias. Cada marcador representa una obra o un grupo de obras del mismo año. Software: Python 3 con matplotlib; script c4_figs.py; sin componente aleatorio.</w:t>
      </w:r>
    </w:p>
    <w:p>
      <w:pPr>
        <w:pStyle w:val="BodyText"/>
      </w:pPr>
      <w:r>
        <w:t xml:space="preserve">La Figura 4.3 revela una secuencia. Los criterios de desempeño de sensores se consolidan entre 2015 y 2021, y los cinco antecedentes de red se publican en 2025 y 2026. Esa cercanía temporal sugiere por qué la evidencia de campo sobre calibración es escasa (INFERIDO). También sugiere por qué los documentos que describen alertas no reportan detección ni falsas alarmas (F-INF, §1.3, hallazgo 2). El proyecto se ubica en esa brecha y la trata como hipótesis de trabajo.</w:t>
      </w:r>
    </w:p>
    <w:bookmarkEnd w:id="418"/>
    <w:bookmarkEnd w:id="419"/>
    <w:bookmarkEnd w:id="420"/>
    <w:bookmarkStart w:id="452" w:name="_Toc00900167"/>
    <w:p>
      <w:pPr>
        <w:pStyle w:val="Heading1"/>
      </w:pPr>
      <w:r>
        <w:t xml:space="preserve">Capítulo 5. Justificación y Pertinencia</w:t>
      </w:r>
    </w:p>
    <w:bookmarkStart w:id="424" w:name="X0994a9c77a50f6e9e124061c9295b3d221df8ee"/>
    <w:p>
      <w:pPr>
        <w:pStyle w:val="Heading2"/>
      </w:pPr>
      <w:r>
        <w:t xml:space="preserve">5.1 Contextualización e Identificación del Problema</w:t>
      </w:r>
    </w:p>
    <w:p>
      <w:pPr>
        <w:pStyle w:val="FirstParagraph"/>
      </w:pPr>
      <w:r>
        <w:t xml:space="preserve">Este capítulo justifica el proyecto con una arquitectura argumentativa de dos modelos. El modelo CARS (Create a Research Space) organiza el texto en tres movidas: establecer el territorio, crear el nicho y ocupar el nicho (Swales, 1990, 2004). El modelo de Toulmin ordena cada afirmación en conclusión, datos, garantía, respaldo, reservas y cualificador modal (Toulmin, 1958, 2003). Ambos modelos exigen que la persuasión descanse en evidencia. Por esa razón, el capítulo informa el estado de verificación de cada cifra y califica sus conclusiones con un grado de certeza explícito.</w:t>
      </w:r>
    </w:p>
    <w:bookmarkStart w:id="421" w:name="X0d8e3cbbb3aec2d97b4ecd8afc4ac2373f01c27"/>
    <w:p>
      <w:pPr>
        <w:pStyle w:val="Heading3"/>
      </w:pPr>
      <w:r>
        <w:t xml:space="preserve">5.1.1 Delimitación del tema y definición de la problemática</w:t>
      </w:r>
    </w:p>
    <w:p>
      <w:pPr>
        <w:pStyle w:val="FirstParagraph"/>
      </w:pPr>
      <w:r>
        <w:t xml:space="preserve">La primera movida del modelo CARS establece el territorio. Valida la importancia del campo con evidencia bibliográfica (Swales, 2004). El campo del proyecto es la vigilancia del material particulado en sitios de remoción de escombros posterremoto. Usa sensores de bajo costo conectados y corrige sus lecturas. La delimitación espacial comprende Caldas, Cundinamarca y Valle del Cauca (SUPUESTO). La delimitación temporal es una ejecución de 24 meses, con un seguimiento de 12 meses después del cierre (PROPUESTO). La literatura respalda la importancia del campo. Pope y Dockery (2006) asocian las partículas finas con mortalidad cardiopulmonar. Landrigan et al. (2004) revisan las consecuencias ambientales y sanitarias de un desastre urbano con derrumbe de edificaciones.</w:t>
      </w:r>
    </w:p>
    <w:p>
      <w:pPr>
        <w:pStyle w:val="BodyText"/>
      </w:pPr>
      <w:r>
        <w:t xml:space="preserve">Dos posiciones definen un campo de investigación aplicada. La primera lo define por el fenómeno. Considera la concentración de contaminantes y la carga de enfermedad, como proponen las guías globales de calidad del aire (OMS, 2021). La segunda lo define por el artefacto. Hevner et al. (2004) lo describen como un sistema diseñado para resolver un problema relevante y evaluado con rigor. El proyecto combina ambas posiciones. Usa la primera para situar la importancia del campo y la segunda para delimitar su aporte. El aporte es un artefacto, la red híbrida con corrección en el gateway, evaluado frente a una referencia colocalizada. No es un estudio de exposición ni de efectos en salud.</w:t>
      </w:r>
    </w:p>
    <w:p>
      <w:pPr>
        <w:pStyle w:val="BodyText"/>
      </w:pPr>
      <w:r>
        <w:t xml:space="preserve">La problemática específica es otra. Los comités de gestión del riesgo carecen de mediciones de PM2,5 y PM10 con error conocido en los sitios de remoción (SUPUESTO). La formulación formal toma como variable de resultado el NRMSE de los nodos frente a la referencia colocalizada. El capítulo uno desarrolla esa formulación. La consecuencia para la justificación es metodológica. Todo argumento de pertinencia se evalúa contra esa variable y no contra la exposición de la población.</w:t>
      </w:r>
    </w:p>
    <w:bookmarkEnd w:id="421"/>
    <w:bookmarkStart w:id="422" w:name="X92e98ddbd62df06b9217826bca70f7ee4a9f3c6"/>
    <w:p>
      <w:pPr>
        <w:pStyle w:val="Heading3"/>
      </w:pPr>
      <w:r>
        <w:t xml:space="preserve">5.1.2 Naturaleza y magnitud del problema: línea base</w:t>
      </w:r>
    </w:p>
    <w:p>
      <w:pPr>
        <w:pStyle w:val="FirstParagraph"/>
      </w:pPr>
      <w:r>
        <w:t xml:space="preserve">La línea base describe el valor actual de cada indicador antes de la intervención. El proyecto la separa en dos grupos. El primer grupo reúne los indicadores de ejecución. Su valor inicial es cero por construcción (CALCULADO), como en los nodos operativos o los ciclos de calibración. El segundo grupo reúne los indicadores de desempeño y de uso, cuyo valor inicial es VACIO porque solo se mide en el tramo 1. La Tabla 5.1 presenta ambos grupos con su meta, su brecha y su fuente. La separación evita un error frecuente: tratar una brecha de ejecución como si fuera una brecha de problema.</w:t>
      </w:r>
    </w:p>
    <w:p>
      <w:pPr>
        <w:pStyle w:val="TablaRotulo"/>
      </w:pPr>
      <w:bookmarkStart w:id="9280" w:name="rot_Tabla_5_1"/>
      <w:r>
        <w:rPr>
          <w:b/>
          <w:bCs/>
        </w:rPr>
        <w:t xml:space="preserve">Tabla 5.1</w:t>
      </w:r>
      <w:bookmarkEnd w:id="9280"/>
    </w:p>
    <w:p>
      <w:pPr>
        <w:pStyle w:val="TablaTitulo"/>
      </w:pPr>
      <w:r>
        <w:rPr>
          <w:i/>
          <w:iCs/>
        </w:rPr>
        <w:t xml:space="preserve">Línea base del problema: indicadores con valor actual, valor meta, brecha, fuente y año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20"/>
        <w:gridCol w:w="726"/>
        <w:gridCol w:w="1056"/>
        <w:gridCol w:w="1716"/>
        <w:gridCol w:w="1848"/>
        <w:gridCol w:w="1254"/>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Valor actual</w:t>
            </w:r>
          </w:p>
        </w:tc>
        <w:tc>
          <w:tcPr>
            <w:shd w:val="clear" w:color="auto" w:fill="00B050"/>
          </w:tcPr>
          <w:p>
            <w:pPr>
              <w:pStyle w:val="Tabla9"/>
              <w:jc w:val="center"/>
            </w:pPr>
            <w:r>
              <w:rPr>
                <w:b/>
                <w:color w:val="FFFFFF"/>
              </w:rPr>
              <w:t xml:space="preserve">Valor meta</w:t>
            </w:r>
          </w:p>
        </w:tc>
        <w:tc>
          <w:tcPr>
            <w:shd w:val="clear" w:color="auto" w:fill="00B050"/>
          </w:tcPr>
          <w:p>
            <w:pPr>
              <w:pStyle w:val="Tabla9"/>
              <w:jc w:val="center"/>
            </w:pPr>
            <w:r>
              <w:rPr>
                <w:b/>
                <w:color w:val="FFFFFF"/>
              </w:rPr>
              <w:t xml:space="preserve">Brecha</w:t>
            </w:r>
          </w:p>
        </w:tc>
        <w:tc>
          <w:tcPr>
            <w:shd w:val="clear" w:color="auto" w:fill="00B050"/>
          </w:tcPr>
          <w:p>
            <w:pPr>
              <w:pStyle w:val="Tabla9"/>
              <w:jc w:val="center"/>
            </w:pPr>
            <w:r>
              <w:rPr>
                <w:b/>
                <w:color w:val="FFFFFF"/>
              </w:rPr>
              <w:t xml:space="preserve">Fuente y año</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NRMSE de los nodos frente a la referencia</w:t>
            </w:r>
          </w:p>
        </w:tc>
        <w:tc>
          <w:tcPr/>
          <w:p>
            <w:pPr>
              <w:pStyle w:val="Tabla9"/>
              <w:jc w:val="left"/>
            </w:pPr>
            <w:r>
              <w:t xml:space="preserve">VACIO (se mide en el tramo 1)</w:t>
            </w:r>
          </w:p>
        </w:tc>
        <w:tc>
          <w:tcPr/>
          <w:p>
            <w:pPr>
              <w:pStyle w:val="Tabla9"/>
              <w:jc w:val="left"/>
            </w:pPr>
            <w:r>
              <w:t xml:space="preserve">≤ 30 % al mes 24</w:t>
            </w:r>
          </w:p>
        </w:tc>
        <w:tc>
          <w:tcPr/>
          <w:p>
            <w:pPr>
              <w:pStyle w:val="Tabla9"/>
              <w:jc w:val="left"/>
            </w:pPr>
            <w:r>
              <w:t xml:space="preserve">NO_CALCULABLE</w:t>
            </w:r>
          </w:p>
        </w:tc>
        <w:tc>
          <w:tcPr/>
          <w:p>
            <w:pPr>
              <w:pStyle w:val="Tabla9"/>
              <w:jc w:val="left"/>
            </w:pPr>
            <w:r>
              <w:t xml:space="preserve">Proyecto, 2026</w:t>
            </w:r>
          </w:p>
        </w:tc>
        <w:tc>
          <w:tcPr/>
          <w:p>
            <w:pPr>
              <w:pStyle w:val="Tabla9"/>
              <w:jc w:val="left"/>
            </w:pPr>
            <w:r>
              <w:t xml:space="preserve">PROPUESTO</w:t>
            </w:r>
          </w:p>
        </w:tc>
      </w:tr>
      <w:tr>
        <w:trPr>
          <w:cantSplit/>
        </w:trPr>
        <w:tc>
          <w:tcPr/>
          <w:p>
            <w:pPr>
              <w:pStyle w:val="Tabla9"/>
              <w:jc w:val="left"/>
            </w:pPr>
            <w:r>
              <w:t xml:space="preserve">R² de los nodos frente a la referencia</w:t>
            </w:r>
          </w:p>
        </w:tc>
        <w:tc>
          <w:tcPr/>
          <w:p>
            <w:pPr>
              <w:pStyle w:val="Tabla9"/>
              <w:jc w:val="left"/>
            </w:pPr>
            <w:r>
              <w:t xml:space="preserve">VACIO (se mide en el tramo 1)</w:t>
            </w:r>
          </w:p>
        </w:tc>
        <w:tc>
          <w:tcPr/>
          <w:p>
            <w:pPr>
              <w:pStyle w:val="Tabla9"/>
              <w:jc w:val="left"/>
            </w:pPr>
            <w:r>
              <w:t xml:space="preserve">≥ 0,70 al mes 24</w:t>
            </w:r>
          </w:p>
        </w:tc>
        <w:tc>
          <w:tcPr/>
          <w:p>
            <w:pPr>
              <w:pStyle w:val="Tabla9"/>
              <w:jc w:val="left"/>
            </w:pPr>
            <w:r>
              <w:t xml:space="preserve">NO_CALCULABLE</w:t>
            </w:r>
          </w:p>
        </w:tc>
        <w:tc>
          <w:tcPr/>
          <w:p>
            <w:pPr>
              <w:pStyle w:val="Tabla9"/>
              <w:jc w:val="left"/>
            </w:pPr>
            <w:r>
              <w:t xml:space="preserve">EPA (2021); proyecto, 2026</w:t>
            </w:r>
          </w:p>
        </w:tc>
        <w:tc>
          <w:tcPr/>
          <w:p>
            <w:pPr>
              <w:pStyle w:val="Tabla9"/>
              <w:jc w:val="left"/>
            </w:pPr>
            <w:r>
              <w:t xml:space="preserve">PROPUESTO</w:t>
            </w:r>
          </w:p>
        </w:tc>
      </w:tr>
      <w:tr>
        <w:trPr>
          <w:cantSplit/>
        </w:trPr>
        <w:tc>
          <w:tcPr/>
          <w:p>
            <w:pPr>
              <w:pStyle w:val="Tabla9"/>
              <w:jc w:val="left"/>
            </w:pPr>
            <w:r>
              <w:t xml:space="preserve">Disponibilidad mensual de nodos</w:t>
            </w:r>
          </w:p>
        </w:tc>
        <w:tc>
          <w:tcPr/>
          <w:p>
            <w:pPr>
              <w:pStyle w:val="Tabla9"/>
              <w:jc w:val="left"/>
            </w:pPr>
            <w:r>
              <w:t xml:space="preserve">VACIO</w:t>
            </w:r>
          </w:p>
        </w:tc>
        <w:tc>
          <w:tcPr/>
          <w:p>
            <w:pPr>
              <w:pStyle w:val="Tabla9"/>
              <w:jc w:val="left"/>
            </w:pPr>
            <w:r>
              <w:t xml:space="preserve">≥ 90 %</w:t>
            </w:r>
          </w:p>
        </w:tc>
        <w:tc>
          <w:tcPr/>
          <w:p>
            <w:pPr>
              <w:pStyle w:val="Tabla9"/>
              <w:jc w:val="left"/>
            </w:pPr>
            <w:r>
              <w:t xml:space="preserve">NO_CALCULABLE</w:t>
            </w:r>
          </w:p>
        </w:tc>
        <w:tc>
          <w:tcPr/>
          <w:p>
            <w:pPr>
              <w:pStyle w:val="Tabla9"/>
              <w:jc w:val="left"/>
            </w:pPr>
            <w:r>
              <w:t xml:space="preserve">Proyecto, 2026</w:t>
            </w:r>
          </w:p>
        </w:tc>
        <w:tc>
          <w:tcPr/>
          <w:p>
            <w:pPr>
              <w:pStyle w:val="Tabla9"/>
              <w:jc w:val="left"/>
            </w:pPr>
            <w:r>
              <w:t xml:space="preserve">PROPUESTO</w:t>
            </w:r>
          </w:p>
        </w:tc>
      </w:tr>
      <w:tr>
        <w:trPr>
          <w:cantSplit/>
        </w:trPr>
        <w:tc>
          <w:tcPr/>
          <w:p>
            <w:pPr>
              <w:pStyle w:val="Tabla9"/>
              <w:jc w:val="left"/>
            </w:pPr>
            <w:r>
              <w:t xml:space="preserve">Pérdida de paquetes</w:t>
            </w:r>
          </w:p>
        </w:tc>
        <w:tc>
          <w:tcPr/>
          <w:p>
            <w:pPr>
              <w:pStyle w:val="Tabla9"/>
              <w:jc w:val="left"/>
            </w:pPr>
            <w:r>
              <w:t xml:space="preserve">VACIO</w:t>
            </w:r>
          </w:p>
        </w:tc>
        <w:tc>
          <w:tcPr/>
          <w:p>
            <w:pPr>
              <w:pStyle w:val="Tabla9"/>
              <w:jc w:val="left"/>
            </w:pPr>
            <w:r>
              <w:t xml:space="preserve">≤ 10 %</w:t>
            </w:r>
          </w:p>
        </w:tc>
        <w:tc>
          <w:tcPr/>
          <w:p>
            <w:pPr>
              <w:pStyle w:val="Tabla9"/>
              <w:jc w:val="left"/>
            </w:pPr>
            <w:r>
              <w:t xml:space="preserve">NO_CALCULABLE</w:t>
            </w:r>
          </w:p>
        </w:tc>
        <w:tc>
          <w:tcPr/>
          <w:p>
            <w:pPr>
              <w:pStyle w:val="Tabla9"/>
              <w:jc w:val="left"/>
            </w:pPr>
            <w:r>
              <w:t xml:space="preserve">Proyecto, 2026</w:t>
            </w:r>
          </w:p>
        </w:tc>
        <w:tc>
          <w:tcPr/>
          <w:p>
            <w:pPr>
              <w:pStyle w:val="Tabla9"/>
              <w:jc w:val="left"/>
            </w:pPr>
            <w:r>
              <w:t xml:space="preserve">PROPUESTO</w:t>
            </w:r>
          </w:p>
        </w:tc>
      </w:tr>
      <w:tr>
        <w:trPr>
          <w:cantSplit/>
        </w:trPr>
        <w:tc>
          <w:tcPr/>
          <w:p>
            <w:pPr>
              <w:pStyle w:val="Tabla9"/>
              <w:jc w:val="left"/>
            </w:pPr>
            <w:r>
              <w:t xml:space="preserve">Nodos y gateways operativos</w:t>
            </w:r>
          </w:p>
        </w:tc>
        <w:tc>
          <w:tcPr/>
          <w:p>
            <w:pPr>
              <w:pStyle w:val="Tabla9"/>
              <w:jc w:val="left"/>
            </w:pPr>
            <w:r>
              <w:t xml:space="preserve">0 y 0</w:t>
            </w:r>
          </w:p>
        </w:tc>
        <w:tc>
          <w:tcPr/>
          <w:p>
            <w:pPr>
              <w:pStyle w:val="Tabla9"/>
              <w:jc w:val="left"/>
            </w:pPr>
            <w:r>
              <w:t xml:space="preserve">100 y 10 al mes 24</w:t>
            </w:r>
          </w:p>
        </w:tc>
        <w:tc>
          <w:tcPr/>
          <w:p>
            <w:pPr>
              <w:pStyle w:val="Tabla9"/>
              <w:jc w:val="left"/>
            </w:pPr>
            <w:r>
              <w:t xml:space="preserve">100 nodos y 10 gateways</w:t>
            </w:r>
          </w:p>
        </w:tc>
        <w:tc>
          <w:tcPr/>
          <w:p>
            <w:pPr>
              <w:pStyle w:val="Tabla9"/>
              <w:jc w:val="left"/>
            </w:pPr>
            <w:r>
              <w:t xml:space="preserve">Proyecto, PERS-P01, 2026</w:t>
            </w:r>
          </w:p>
        </w:tc>
        <w:tc>
          <w:tcPr/>
          <w:p>
            <w:pPr>
              <w:pStyle w:val="Tabla9"/>
              <w:jc w:val="left"/>
            </w:pPr>
            <w:r>
              <w:t xml:space="preserve">CALCULADO</w:t>
            </w:r>
          </w:p>
        </w:tc>
      </w:tr>
      <w:tr>
        <w:trPr>
          <w:cantSplit/>
        </w:trPr>
        <w:tc>
          <w:tcPr/>
          <w:p>
            <w:pPr>
              <w:pStyle w:val="Tabla9"/>
              <w:jc w:val="left"/>
            </w:pPr>
            <w:r>
              <w:t xml:space="preserve">Monitores de referencia colocalizados</w:t>
            </w:r>
          </w:p>
        </w:tc>
        <w:tc>
          <w:tcPr/>
          <w:p>
            <w:pPr>
              <w:pStyle w:val="Tabla9"/>
              <w:jc w:val="left"/>
            </w:pPr>
            <w:r>
              <w:t xml:space="preserve">0</w:t>
            </w:r>
          </w:p>
        </w:tc>
        <w:tc>
          <w:tcPr/>
          <w:p>
            <w:pPr>
              <w:pStyle w:val="Tabla9"/>
              <w:jc w:val="left"/>
            </w:pPr>
            <w:r>
              <w:t xml:space="preserve">3</w:t>
            </w:r>
          </w:p>
        </w:tc>
        <w:tc>
          <w:tcPr/>
          <w:p>
            <w:pPr>
              <w:pStyle w:val="Tabla9"/>
              <w:jc w:val="left"/>
            </w:pPr>
            <w:r>
              <w:t xml:space="preserve">3 monitores</w:t>
            </w:r>
          </w:p>
        </w:tc>
        <w:tc>
          <w:tcPr/>
          <w:p>
            <w:pPr>
              <w:pStyle w:val="Tabla9"/>
              <w:jc w:val="left"/>
            </w:pPr>
            <w:r>
              <w:t xml:space="preserve">Proyecto, 2026</w:t>
            </w:r>
          </w:p>
        </w:tc>
        <w:tc>
          <w:tcPr/>
          <w:p>
            <w:pPr>
              <w:pStyle w:val="Tabla9"/>
              <w:jc w:val="left"/>
            </w:pPr>
            <w:r>
              <w:t xml:space="preserve">CALCULADO</w:t>
            </w:r>
          </w:p>
        </w:tc>
      </w:tr>
      <w:tr>
        <w:trPr>
          <w:cantSplit/>
        </w:trPr>
        <w:tc>
          <w:tcPr/>
          <w:p>
            <w:pPr>
              <w:pStyle w:val="Tabla9"/>
              <w:jc w:val="left"/>
            </w:pPr>
            <w:r>
              <w:t xml:space="preserve">Ciclos de calibración ejecutados</w:t>
            </w:r>
          </w:p>
        </w:tc>
        <w:tc>
          <w:tcPr/>
          <w:p>
            <w:pPr>
              <w:pStyle w:val="Tabla9"/>
              <w:jc w:val="left"/>
            </w:pPr>
            <w:r>
              <w:t xml:space="preserve">0</w:t>
            </w:r>
          </w:p>
        </w:tc>
        <w:tc>
          <w:tcPr/>
          <w:p>
            <w:pPr>
              <w:pStyle w:val="Tabla9"/>
              <w:jc w:val="left"/>
            </w:pPr>
            <w:r>
              <w:t xml:space="preserve">6 (dos por tramo)</w:t>
            </w:r>
          </w:p>
        </w:tc>
        <w:tc>
          <w:tcPr/>
          <w:p>
            <w:pPr>
              <w:pStyle w:val="Tabla9"/>
              <w:jc w:val="left"/>
            </w:pPr>
            <w:r>
              <w:t xml:space="preserve">6 ciclos</w:t>
            </w:r>
          </w:p>
        </w:tc>
        <w:tc>
          <w:tcPr/>
          <w:p>
            <w:pPr>
              <w:pStyle w:val="Tabla9"/>
              <w:jc w:val="left"/>
            </w:pPr>
            <w:r>
              <w:t xml:space="preserve">Proyecto, PERS-R02, 2026</w:t>
            </w:r>
          </w:p>
        </w:tc>
        <w:tc>
          <w:tcPr/>
          <w:p>
            <w:pPr>
              <w:pStyle w:val="Tabla9"/>
              <w:jc w:val="left"/>
            </w:pPr>
            <w:r>
              <w:t xml:space="preserve">CALCULADO</w:t>
            </w:r>
          </w:p>
        </w:tc>
      </w:tr>
      <w:tr>
        <w:trPr>
          <w:cantSplit/>
        </w:trPr>
        <w:tc>
          <w:tcPr/>
          <w:p>
            <w:pPr>
              <w:pStyle w:val="Tabla9"/>
              <w:jc w:val="left"/>
            </w:pPr>
            <w:r>
              <w:t xml:space="preserve">Horas-nodo de colocalización válidas</w:t>
            </w:r>
          </w:p>
        </w:tc>
        <w:tc>
          <w:tcPr/>
          <w:p>
            <w:pPr>
              <w:pStyle w:val="Tabla9"/>
              <w:jc w:val="left"/>
            </w:pPr>
            <w:r>
              <w:t xml:space="preserve">0</w:t>
            </w:r>
          </w:p>
        </w:tc>
        <w:tc>
          <w:tcPr/>
          <w:p>
            <w:pPr>
              <w:pStyle w:val="Tabla9"/>
              <w:jc w:val="left"/>
            </w:pPr>
            <w:r>
              <w:t xml:space="preserve">≥ 60.000</w:t>
            </w:r>
          </w:p>
        </w:tc>
        <w:tc>
          <w:tcPr/>
          <w:p>
            <w:pPr>
              <w:pStyle w:val="Tabla9"/>
              <w:jc w:val="left"/>
            </w:pPr>
            <w:r>
              <w:t xml:space="preserve">60.000 horas-nodo</w:t>
            </w:r>
          </w:p>
        </w:tc>
        <w:tc>
          <w:tcPr/>
          <w:p>
            <w:pPr>
              <w:pStyle w:val="Tabla9"/>
              <w:jc w:val="left"/>
            </w:pPr>
            <w:r>
              <w:t xml:space="preserve">Proyecto, PERS-R05, 2026</w:t>
            </w:r>
          </w:p>
        </w:tc>
        <w:tc>
          <w:tcPr/>
          <w:p>
            <w:pPr>
              <w:pStyle w:val="Tabla9"/>
              <w:jc w:val="left"/>
            </w:pPr>
            <w:r>
              <w:t xml:space="preserve">CALCULADO</w:t>
            </w:r>
          </w:p>
        </w:tc>
      </w:tr>
      <w:tr>
        <w:trPr>
          <w:cantSplit/>
        </w:trPr>
        <w:tc>
          <w:tcPr/>
          <w:p>
            <w:pPr>
              <w:pStyle w:val="Tabla9"/>
              <w:jc w:val="left"/>
            </w:pPr>
            <w:r>
              <w:t xml:space="preserve">Uso institucional del tablero</w:t>
            </w:r>
          </w:p>
        </w:tc>
        <w:tc>
          <w:tcPr/>
          <w:p>
            <w:pPr>
              <w:pStyle w:val="Tabla9"/>
              <w:jc w:val="left"/>
            </w:pPr>
            <w:r>
              <w:t xml:space="preserve">VACIO</w:t>
            </w:r>
          </w:p>
        </w:tc>
        <w:tc>
          <w:tcPr/>
          <w:p>
            <w:pPr>
              <w:pStyle w:val="Tabla9"/>
              <w:jc w:val="left"/>
            </w:pPr>
            <w:r>
              <w:t xml:space="preserve">≥ 75 % de los comités al mes 24</w:t>
            </w:r>
          </w:p>
        </w:tc>
        <w:tc>
          <w:tcPr/>
          <w:p>
            <w:pPr>
              <w:pStyle w:val="Tabla9"/>
              <w:jc w:val="left"/>
            </w:pPr>
            <w:r>
              <w:t xml:space="preserve">NO_CALCULABLE</w:t>
            </w:r>
          </w:p>
        </w:tc>
        <w:tc>
          <w:tcPr/>
          <w:p>
            <w:pPr>
              <w:pStyle w:val="Tabla9"/>
              <w:jc w:val="left"/>
            </w:pPr>
            <w:r>
              <w:t xml:space="preserve">Proyecto, PERS-E01, 2026</w:t>
            </w:r>
          </w:p>
        </w:tc>
        <w:tc>
          <w:tcPr/>
          <w:p>
            <w:pPr>
              <w:pStyle w:val="Tabla9"/>
              <w:jc w:val="left"/>
            </w:pPr>
            <w:r>
              <w:t xml:space="preserve">PROPUESTO</w:t>
            </w:r>
          </w:p>
        </w:tc>
      </w:tr>
      <w:tr>
        <w:trPr>
          <w:cantSplit/>
        </w:trPr>
        <w:tc>
          <w:tcPr/>
          <w:p>
            <w:pPr>
              <w:pStyle w:val="Tabla9"/>
              <w:jc w:val="left"/>
            </w:pPr>
            <w:r>
              <w:t xml:space="preserve">Reducción relativa de falsas alarmas</w:t>
            </w:r>
          </w:p>
        </w:tc>
        <w:tc>
          <w:tcPr/>
          <w:p>
            <w:pPr>
              <w:pStyle w:val="Tabla9"/>
              <w:jc w:val="left"/>
            </w:pPr>
            <w:r>
              <w:t xml:space="preserve">VACIO (se mide en el tramo 1)</w:t>
            </w:r>
          </w:p>
        </w:tc>
        <w:tc>
          <w:tcPr/>
          <w:p>
            <w:pPr>
              <w:pStyle w:val="Tabla9"/>
              <w:jc w:val="left"/>
            </w:pPr>
            <w:r>
              <w:t xml:space="preserve">≥ 30 %</w:t>
            </w:r>
          </w:p>
        </w:tc>
        <w:tc>
          <w:tcPr/>
          <w:p>
            <w:pPr>
              <w:pStyle w:val="Tabla9"/>
              <w:jc w:val="left"/>
            </w:pPr>
            <w:r>
              <w:t xml:space="preserve">NO_CALCULABLE</w:t>
            </w:r>
          </w:p>
        </w:tc>
        <w:tc>
          <w:tcPr/>
          <w:p>
            <w:pPr>
              <w:pStyle w:val="Tabla9"/>
              <w:jc w:val="left"/>
            </w:pPr>
            <w:r>
              <w:t xml:space="preserve">Proyecto, PERS-E02, 2026</w:t>
            </w:r>
          </w:p>
        </w:tc>
        <w:tc>
          <w:tcPr/>
          <w:p>
            <w:pPr>
              <w:pStyle w:val="Tabla9"/>
              <w:jc w:val="left"/>
            </w:pPr>
            <w:r>
              <w:t xml:space="preserve">PROPUESTO</w:t>
            </w:r>
          </w:p>
        </w:tc>
      </w:tr>
      <w:tr>
        <w:trPr>
          <w:cantSplit/>
        </w:trPr>
        <w:tc>
          <w:tcPr/>
          <w:p>
            <w:pPr>
              <w:pStyle w:val="Tabla9"/>
              <w:jc w:val="left"/>
            </w:pPr>
            <w:r>
              <w:t xml:space="preserve">Activación del protocolo ante superación de umbral</w:t>
            </w:r>
          </w:p>
        </w:tc>
        <w:tc>
          <w:tcPr/>
          <w:p>
            <w:pPr>
              <w:pStyle w:val="Tabla9"/>
              <w:jc w:val="left"/>
            </w:pPr>
            <w:r>
              <w:t xml:space="preserve">VACIO</w:t>
            </w:r>
          </w:p>
        </w:tc>
        <w:tc>
          <w:tcPr/>
          <w:p>
            <w:pPr>
              <w:pStyle w:val="Tabla9"/>
              <w:jc w:val="left"/>
            </w:pPr>
            <w:r>
              <w:t xml:space="preserve">≥ 80 % a los 12 meses posteriores al cierre</w:t>
            </w:r>
          </w:p>
        </w:tc>
        <w:tc>
          <w:tcPr/>
          <w:p>
            <w:pPr>
              <w:pStyle w:val="Tabla9"/>
              <w:jc w:val="left"/>
            </w:pPr>
            <w:r>
              <w:t xml:space="preserve">NO_CALCULABLE</w:t>
            </w:r>
          </w:p>
        </w:tc>
        <w:tc>
          <w:tcPr/>
          <w:p>
            <w:pPr>
              <w:pStyle w:val="Tabla9"/>
              <w:jc w:val="left"/>
            </w:pPr>
            <w:r>
              <w:t xml:space="preserve">Proyecto, PERS-S01, 2026</w:t>
            </w:r>
          </w:p>
        </w:tc>
        <w:tc>
          <w:tcPr/>
          <w:p>
            <w:pPr>
              <w:pStyle w:val="Tabla9"/>
              <w:jc w:val="left"/>
            </w:pPr>
            <w:r>
              <w:t xml:space="preserve">PROPUESTO</w:t>
            </w:r>
          </w:p>
        </w:tc>
      </w:tr>
      <w:tr>
        <w:trPr>
          <w:cantSplit/>
        </w:trPr>
        <w:tc>
          <w:tcPr/>
          <w:p>
            <w:pPr>
              <w:pStyle w:val="Tabla9"/>
              <w:jc w:val="left"/>
            </w:pPr>
            <w:r>
              <w:t xml:space="preserve">Continuidad de la red bajo custodia</w:t>
            </w:r>
          </w:p>
        </w:tc>
        <w:tc>
          <w:tcPr/>
          <w:p>
            <w:pPr>
              <w:pStyle w:val="Tabla9"/>
              <w:jc w:val="left"/>
            </w:pPr>
            <w:r>
              <w:t xml:space="preserve">VACIO</w:t>
            </w:r>
          </w:p>
        </w:tc>
        <w:tc>
          <w:tcPr/>
          <w:p>
            <w:pPr>
              <w:pStyle w:val="Tabla9"/>
              <w:jc w:val="left"/>
            </w:pPr>
            <w:r>
              <w:t xml:space="preserve">≥ 70 % a los 12 meses posteriores al cierre</w:t>
            </w:r>
          </w:p>
        </w:tc>
        <w:tc>
          <w:tcPr/>
          <w:p>
            <w:pPr>
              <w:pStyle w:val="Tabla9"/>
              <w:jc w:val="left"/>
            </w:pPr>
            <w:r>
              <w:t xml:space="preserve">NO_CALCULABLE</w:t>
            </w:r>
          </w:p>
        </w:tc>
        <w:tc>
          <w:tcPr/>
          <w:p>
            <w:pPr>
              <w:pStyle w:val="Tabla9"/>
              <w:jc w:val="left"/>
            </w:pPr>
            <w:r>
              <w:t xml:space="preserve">Proyecto, PERS-S02, 2026</w:t>
            </w:r>
          </w:p>
        </w:tc>
        <w:tc>
          <w:tcPr/>
          <w:p>
            <w:pPr>
              <w:pStyle w:val="Tabla9"/>
              <w:jc w:val="left"/>
            </w:pPr>
            <w:r>
              <w:t xml:space="preserve">PROPUESTO</w:t>
            </w:r>
          </w:p>
        </w:tc>
      </w:tr>
      <w:tr>
        <w:trPr>
          <w:cantSplit/>
        </w:trPr>
        <w:tc>
          <w:tcPr/>
          <w:p>
            <w:pPr>
              <w:pStyle w:val="Tabla9"/>
              <w:jc w:val="left"/>
            </w:pPr>
            <w:r>
              <w:t xml:space="preserve">Estaciones propuestas sin plan de calibración (contexto)</w:t>
            </w:r>
          </w:p>
        </w:tc>
        <w:tc>
          <w:tcPr/>
          <w:p>
            <w:pPr>
              <w:pStyle w:val="Tabla9"/>
              <w:jc w:val="left"/>
            </w:pPr>
            <w:r>
              <w:t xml:space="preserve">90,8 % de 5.076</w:t>
            </w:r>
          </w:p>
        </w:tc>
        <w:tc>
          <w:tcPr/>
          <w:p>
            <w:pPr>
              <w:pStyle w:val="Tabla9"/>
              <w:jc w:val="left"/>
            </w:pPr>
            <w:r>
              <w:t xml:space="preserve">No aplica al proyecto</w:t>
            </w:r>
          </w:p>
        </w:tc>
        <w:tc>
          <w:tcPr/>
          <w:p>
            <w:pPr>
              <w:pStyle w:val="Tabla9"/>
              <w:jc w:val="left"/>
            </w:pPr>
            <w:r>
              <w:t xml:space="preserve">No aplica</w:t>
            </w:r>
          </w:p>
        </w:tc>
        <w:tc>
          <w:tcPr/>
          <w:p>
            <w:pPr>
              <w:pStyle w:val="Tabla9"/>
              <w:jc w:val="left"/>
            </w:pPr>
            <w:r>
              <w:t xml:space="preserve">Murad Pedraza et al. (2026, pp. 10-11 y 13)</w:t>
            </w:r>
          </w:p>
        </w:tc>
        <w:tc>
          <w:tcPr/>
          <w:p>
            <w:pPr>
              <w:pStyle w:val="Tabla9"/>
              <w:jc w:val="left"/>
            </w:pPr>
            <w:r>
              <w:t xml:space="preserve">CALCULADO por el analista de F-INF</w:t>
            </w:r>
          </w:p>
        </w:tc>
      </w:tr>
      <w:tr>
        <w:trPr>
          <w:cantSplit/>
        </w:trPr>
        <w:tc>
          <w:tcPr/>
          <w:p>
            <w:pPr>
              <w:pStyle w:val="Tabla9"/>
              <w:jc w:val="left"/>
            </w:pPr>
            <w:r>
              <w:t xml:space="preserve">Municipios con estaciones utilizables (contexto)</w:t>
            </w:r>
          </w:p>
        </w:tc>
        <w:tc>
          <w:tcPr/>
          <w:p>
            <w:pPr>
              <w:pStyle w:val="Tabla9"/>
              <w:jc w:val="left"/>
            </w:pPr>
            <w:r>
              <w:t xml:space="preserve">28 de 1.122</w:t>
            </w:r>
          </w:p>
        </w:tc>
        <w:tc>
          <w:tcPr/>
          <w:p>
            <w:pPr>
              <w:pStyle w:val="Tabla9"/>
              <w:jc w:val="left"/>
            </w:pPr>
            <w:r>
              <w:t xml:space="preserve">No aplica al proyecto</w:t>
            </w:r>
          </w:p>
        </w:tc>
        <w:tc>
          <w:tcPr/>
          <w:p>
            <w:pPr>
              <w:pStyle w:val="Tabla9"/>
              <w:jc w:val="left"/>
            </w:pPr>
            <w:r>
              <w:t xml:space="preserve">No aplica</w:t>
            </w:r>
          </w:p>
        </w:tc>
        <w:tc>
          <w:tcPr/>
          <w:p>
            <w:pPr>
              <w:pStyle w:val="Tabla9"/>
              <w:jc w:val="left"/>
            </w:pPr>
            <w:r>
              <w:t xml:space="preserve">Rodríguez-Villamizar et al. (2022, pp. 3 y 6)</w:t>
            </w:r>
          </w:p>
        </w:tc>
        <w:tc>
          <w:tcPr/>
          <w:p>
            <w:pPr>
              <w:pStyle w:val="Tabla9"/>
              <w:jc w:val="left"/>
            </w:pPr>
            <w:r>
              <w:t xml:space="preserve">DECLARADO (F-INF)</w:t>
            </w:r>
          </w:p>
        </w:tc>
      </w:tr>
    </w:tbl>
    <w:p>
      <w:pPr>
        <w:pStyle w:val="TablaNota"/>
      </w:pPr>
      <w:r>
        <w:rPr>
          <w:i/>
          <w:iCs/>
        </w:rPr>
        <w:t xml:space="preserve">Nota.</w:t>
      </w:r>
      <w:r>
        <w:t xml:space="preserve"> </w:t>
      </w:r>
      <w:r>
        <w:t xml:space="preserve">Elaboración propia con los indicadores PERS de la ficha maestra y con cifras de F-INF (DECLARADO; NO_VERIFICADO). NO_CALCULABLE indica que la brecha depende de una línea base que se mide en el tramo 1. Decimales con coma.</w:t>
      </w:r>
    </w:p>
    <w:p>
      <w:pPr>
        <w:pStyle w:val="BodyText"/>
      </w:pPr>
      <w:r>
        <w:t xml:space="preserve">La Tabla 5.1 contiene dos hallazgos. El primero es que la brecha solo es calculable para los indicadores de ejecución, y esa brecha mide esfuerzo y no problema. El segundo es que ninguno de los indicadores de desempeño, de uso o de impacto cuenta con valor actual. Existen dos maneras de construir una línea base en esa situación. La primera la estima con valores de otros contextos. La segunda la mide antes de intervenir. Gertler et al. (2016) sostienen que la evaluación de impacto exige datos de línea base del propio grupo intervenido. Pawson y Tilley (1997) añaden que los mecanismos dependen del contexto, de modo que un valor prestado puede inducir a error. El proyecto adopta la segunda manera y usa la primera solo como contexto.</w:t>
      </w:r>
    </w:p>
    <w:bookmarkEnd w:id="422"/>
    <w:bookmarkStart w:id="423" w:name="X5764d2d2cb83b24fde04c795510cf4cff87ccec"/>
    <w:p>
      <w:pPr>
        <w:pStyle w:val="Heading3"/>
      </w:pPr>
      <w:r>
        <w:t xml:space="preserve">5.1.3 Situación regional, nacional e internacional y tendencias</w:t>
      </w:r>
    </w:p>
    <w:p>
      <w:pPr>
        <w:pStyle w:val="FirstParagraph"/>
      </w:pPr>
      <w:r>
        <w:t xml:space="preserve">En el escenario internacional, las redes de sensores de bajo costo crecen y su calidad de dato se corrige con referencias cercanas. La red S-Dot de Seúl reúne 1.138 sitios. Su R² pasó de menos de 0,2 a 0,81 con la estación cercana y 35 minutos de desfase (Bang et al., 2026, pp. 4 y 6-8). En Brasil, los monitores de bajo costo pasaron de 37 a 194 entre 2022 y 2024. Además, 96 de 570 estaciones estaban inactivas o sin estado (Tavella et al., 2026, p. 6). Los estudios de índices de calidad del aire y salud suman 53. De ellos, 88,7 % es de China y ninguno es de América Latina. Solo 9,4 % validó con partición de datos (Liao et al., 2026, pp. 6 y 8).</w:t>
      </w:r>
    </w:p>
    <w:p>
      <w:pPr>
        <w:pStyle w:val="BodyText"/>
      </w:pPr>
      <w:r>
        <w:t xml:space="preserve">En el escenario nacional, Colombia reporta 209 estaciones y 154 integradas a un sistema de vigilancia (Murad Pedraza et al., 2026, pp. 5-6). Solo 28 de 1.122 municipios cuentan con estaciones utilizables para estimar la carga de enfermedad (Rodríguez-Villamizar et al., 2022, pp. 3 y 6). El diseño nacional propuesto prevé 5.076 estaciones, y F-INF calcula que 90,8 % serían sensores sin plan de calibración (Murad Pedraza et al., 2026, p. 13). SIATA opera 65 equipos acreditados y 450 sensores. Su inversión es de 1,63 dólares por habitante y año (Ruiz-Carrascal et al., 2026, pp. 3 y 8). Esa experiencia es la excepción operativa del corpus.</w:t>
      </w:r>
    </w:p>
    <w:p>
      <w:pPr>
        <w:pStyle w:val="BodyText"/>
      </w:pPr>
      <w:r>
        <w:t xml:space="preserve">En el escenario regional, 37 de 42 documentos de F-INF (88,1 %) señalan una cobertura ausente o parcial. Se refieren a Colombia, América Latina, el trópico o los Andes (F-INF, sección 5.3). Otras fuentes de partículas compiten con la remoción de escombros. Vélez-Pereira et al. (2025, p. 2) atribuyen a la biomasa 92,7 % del PM2,5 nacional de Chile. Ayala-Parra et al. (2026, pp. 7-10) describen que el episodio regional de 2022 elevó el PM2,5 en estaciones colombianas. Miraglia et al. (2025, p. 2) reportan que un evento de humo en São Paulo elevó el PM10 en 140,81 %. Estos datos limitan la atribución de cualquier exceso a una sola fuente.</w:t>
      </w:r>
    </w:p>
    <w:p>
      <w:pPr>
        <w:pStyle w:val="BodyText"/>
      </w:pPr>
      <w:r>
        <w:t xml:space="preserve">Las tendencias y las proyecciones exigen cautela. En el corpus, 26 de 42 documentos son de 2025 y 2026 (F-INF, sección 3.1). Sin embargo, el corpus es una muestra de conveniencia. Extrapolar su crecimiento carece de base (F-INF, sección 3.5). El proyecto no proyecta demanda ni mercado porque el corpus no contiene esos datos. La urgencia se funda en otra razón: la decisión de comprar sensores es difícil de revertir. F-INF asigna la prioridad más alta, 10 de 10, a un protocolo de calibración colocalizada antes de cualquier compra masiva (F-INF, sección 8.2). Collingridge (1980) explica por qué esa ventana importa: cuando la información llega tarde, el cambio resulta costoso.</w:t>
      </w:r>
    </w:p>
    <w:p>
      <w:pPr>
        <w:pStyle w:val="BodyText"/>
      </w:pPr>
      <w:r>
        <w:t xml:space="preserve">Una urgencia derivada de la saliencia del desastre sería una lectura distinta. Tversky y Kahneman (1974) muestran que la facilidad para recordar un suceso eleva la estimación de su frecuencia. Un sismo reciente puede sobrevalorar la urgencia de medir sin mejorar la calidad de la medición. El proyecto responde con una regla: la urgencia justifica el inicio, y las compuertas controlan la ampliación. Cada compra posterior depende de un resultado medido y no de la percepción de emergencia.</w:t>
      </w:r>
    </w:p>
    <w:bookmarkEnd w:id="423"/>
    <w:bookmarkEnd w:id="424"/>
    <w:bookmarkStart w:id="431" w:name="X229ef6ec35c8907a4528039f395d6b06690d6ad"/>
    <w:p>
      <w:pPr>
        <w:pStyle w:val="Heading2"/>
      </w:pPr>
      <w:r>
        <w:t xml:space="preserve">5.2 Vacío de Conocimiento: Construcción del Nicho (CARS)</w:t>
      </w:r>
    </w:p>
    <w:bookmarkStart w:id="425" w:name="_Toc00900168"/>
    <w:p>
      <w:pPr>
        <w:pStyle w:val="Heading3"/>
      </w:pPr>
      <w:r>
        <w:t xml:space="preserve">5.2.1 Segunda movida: declaración de la brecha</w:t>
      </w:r>
    </w:p>
    <w:p>
      <w:pPr>
        <w:pStyle w:val="FirstParagraph"/>
      </w:pPr>
      <w:r>
        <w:t xml:space="preserve">La segunda movida del modelo CARS crea el nicho. El autor adopta una postura crítica frente al estado del arte y señala vacíos, deficiencias o contradicciones (Swales, 1990). Esta sección contrasta lo que la literatura sí investigó con lo que no abordó. Lo investigado es considerable. Jayaratne et al. (2018), Barkjohn et al. (2021) y Malings et al. (2020) desarrollan correcciones de humedad y de variables meteorológicas para sensores ópticos. Castell et al. (2017) y Karagulian et al. (2019) revisan su desempeño. Giordano et al. (2021) resumen las guías de calibración. Lo no abordado es la combinación de esos métodos en sitios de remoción de escombros, con custodia institucional y uso verificado.</w:t>
      </w:r>
    </w:p>
    <w:p>
      <w:pPr>
        <w:pStyle w:val="BodyText"/>
      </w:pPr>
      <w:r>
        <w:t xml:space="preserve">Se requiere una advertencia de alcance. F-INF es un corpus de 42 documentos y no una revisión sistemática de toda la literatura. La ausencia de un asunto en el corpus no equivale a su ausencia en la literatura. Por esa razón, cada vacío de esta sección se enuncia como vacío del corpus y no como vacío del campo. Swales (1990) propone indicar un vacío o extender el conocimiento previo. Bacchi (2009) advierte que un vacío no es neutral, porque depende de cómo se representa el problema. El proyecto acepta ambas observaciones y declara su representación: el problema es la calidad desconocida del dato.</w:t>
      </w:r>
    </w:p>
    <w:p>
      <w:pPr>
        <w:pStyle w:val="BodyText"/>
      </w:pPr>
      <w:r>
        <w:t xml:space="preserve">Siete vacíos del corpus sostienen el nicho. El primero es la ausencia de datos de desempeño en sitios de remoción de escombros. El segundo es el plan de calibración a escala de red, ausente en 90,8 % de las estaciones propuestas. El tercero es la corrección en el gateway, que el corpus no incluye. El cuarto es la evaluación de alertas: ninguno de cinco documentos reporta falsas alarmas. El quinto es la validación local del índice, con 9,4 % de estudios validados. El sexto es la evidencia de uso institucional, ausente en 27 de 42 documentos (F-INF, sección 5.3). El séptimo es la cobertura territorial. La Tabla 5.2 ordena los siete vacíos en ocho filas, porque el primero se separa en sesgo por humedad y fracción gruesa del polvo. Cada fila contrasta lo que se sabe con el aporte del proyecto.</w:t>
      </w:r>
    </w:p>
    <w:p>
      <w:pPr>
        <w:pStyle w:val="TablaRotulo"/>
      </w:pPr>
      <w:bookmarkStart w:id="9281" w:name="rot_Tabla_5_2"/>
      <w:r>
        <w:rPr>
          <w:b/>
          <w:bCs/>
        </w:rPr>
        <w:t xml:space="preserve">Tabla 5.2</w:t>
      </w:r>
      <w:bookmarkEnd w:id="9281"/>
    </w:p>
    <w:p>
      <w:pPr>
        <w:pStyle w:val="TablaTitulo"/>
      </w:pPr>
      <w:r>
        <w:rPr>
          <w:i/>
          <w:iCs/>
        </w:rPr>
        <w:t xml:space="preserve">Matriz de brechas de conocimiento: qué se sabe, qué no se sabe y qué aporta este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22"/>
        <w:gridCol w:w="1518"/>
        <w:gridCol w:w="1122"/>
        <w:gridCol w:w="1254"/>
        <w:gridCol w:w="1320"/>
        <w:gridCol w:w="1584"/>
      </w:tblGrid>
      <w:tr>
        <w:trPr>
          <w:cantSplit/>
          <w:tblHeader/>
        </w:trPr>
        <w:tc>
          <w:tcPr>
            <w:shd w:val="clear" w:color="auto" w:fill="00B050"/>
          </w:tcPr>
          <w:p>
            <w:pPr>
              <w:pStyle w:val="Tabla9"/>
              <w:jc w:val="center"/>
            </w:pPr>
            <w:r>
              <w:rPr>
                <w:b/>
                <w:color w:val="FFFFFF"/>
              </w:rPr>
              <w:t xml:space="preserve">Brecha</w:t>
            </w:r>
          </w:p>
        </w:tc>
        <w:tc>
          <w:tcPr>
            <w:shd w:val="clear" w:color="auto" w:fill="00B050"/>
          </w:tcPr>
          <w:p>
            <w:pPr>
              <w:pStyle w:val="Tabla9"/>
              <w:jc w:val="center"/>
            </w:pPr>
            <w:r>
              <w:rPr>
                <w:b/>
                <w:color w:val="FFFFFF"/>
              </w:rPr>
              <w:t xml:space="preserve">Qué se sabe</w:t>
            </w:r>
          </w:p>
        </w:tc>
        <w:tc>
          <w:tcPr>
            <w:shd w:val="clear" w:color="auto" w:fill="00B050"/>
          </w:tcPr>
          <w:p>
            <w:pPr>
              <w:pStyle w:val="Tabla9"/>
              <w:jc w:val="center"/>
            </w:pPr>
            <w:r>
              <w:rPr>
                <w:b/>
                <w:color w:val="FFFFFF"/>
              </w:rPr>
              <w:t xml:space="preserve">Qué no se sabe</w:t>
            </w:r>
          </w:p>
        </w:tc>
        <w:tc>
          <w:tcPr>
            <w:shd w:val="clear" w:color="auto" w:fill="00B050"/>
          </w:tcPr>
          <w:p>
            <w:pPr>
              <w:pStyle w:val="Tabla9"/>
              <w:jc w:val="center"/>
            </w:pPr>
            <w:r>
              <w:rPr>
                <w:b/>
                <w:color w:val="FFFFFF"/>
              </w:rPr>
              <w:t xml:space="preserve">Qué aporta el proyecto</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Sesgo por humedad y fracción gruesa</w:t>
            </w:r>
          </w:p>
        </w:tc>
        <w:tc>
          <w:tcPr/>
          <w:p>
            <w:pPr>
              <w:pStyle w:val="Tabla9"/>
              <w:jc w:val="left"/>
            </w:pPr>
            <w:r>
              <w:t xml:space="preserve">Existen correcciones en otros contextos; en una mina la correlación partículas-humedad fue de 0,73</w:t>
            </w:r>
          </w:p>
        </w:tc>
        <w:tc>
          <w:tcPr/>
          <w:p>
            <w:pPr>
              <w:pStyle w:val="Tabla9"/>
              <w:jc w:val="left"/>
            </w:pPr>
            <w:r>
              <w:t xml:space="preserve">Desempeño en sitios de remoción de escombros en Colombia</w:t>
            </w:r>
          </w:p>
        </w:tc>
        <w:tc>
          <w:tcPr/>
          <w:p>
            <w:pPr>
              <w:pStyle w:val="Tabla9"/>
              <w:jc w:val="left"/>
            </w:pPr>
            <w:r>
              <w:t xml:space="preserve">Colocalización en tres departamentos y modelo con humedad, temperatura y fracción gruesa</w:t>
            </w:r>
          </w:p>
        </w:tc>
        <w:tc>
          <w:tcPr/>
          <w:p>
            <w:pPr>
              <w:pStyle w:val="Tabla9"/>
              <w:jc w:val="left"/>
            </w:pPr>
            <w:r>
              <w:t xml:space="preserve">Barkjohn et al. (2021); Suresh et al. (2025, p. 30)</w:t>
            </w:r>
          </w:p>
        </w:tc>
        <w:tc>
          <w:tcPr/>
          <w:p>
            <w:pPr>
              <w:pStyle w:val="Tabla9"/>
              <w:jc w:val="left"/>
            </w:pPr>
            <w:r>
              <w:t xml:space="preserve">NO_VERIFICADO</w:t>
            </w:r>
          </w:p>
        </w:tc>
      </w:tr>
      <w:tr>
        <w:trPr>
          <w:cantSplit/>
        </w:trPr>
        <w:tc>
          <w:tcPr/>
          <w:p>
            <w:pPr>
              <w:pStyle w:val="Tabla9"/>
              <w:jc w:val="left"/>
            </w:pPr>
            <w:r>
              <w:t xml:space="preserve">Fracción gruesa de los escombros</w:t>
            </w:r>
          </w:p>
        </w:tc>
        <w:tc>
          <w:tcPr/>
          <w:p>
            <w:pPr>
              <w:pStyle w:val="Tabla9"/>
              <w:jc w:val="left"/>
            </w:pPr>
            <w:r>
              <w:t xml:space="preserve">En una mina el cociente PM2,5/PM10 fue de 0,88</w:t>
            </w:r>
          </w:p>
        </w:tc>
        <w:tc>
          <w:tcPr/>
          <w:p>
            <w:pPr>
              <w:pStyle w:val="Tabla9"/>
              <w:jc w:val="left"/>
            </w:pPr>
            <w:r>
              <w:t xml:space="preserve">Composición y fracción gruesa del polvo de escombros: VACIO</w:t>
            </w:r>
          </w:p>
        </w:tc>
        <w:tc>
          <w:tcPr/>
          <w:p>
            <w:pPr>
              <w:pStyle w:val="Tabla9"/>
              <w:jc w:val="left"/>
            </w:pPr>
            <w:r>
              <w:t xml:space="preserve">Medición gravimétrica de PM2,5 y PM10 y variable X2</w:t>
            </w:r>
          </w:p>
        </w:tc>
        <w:tc>
          <w:tcPr/>
          <w:p>
            <w:pPr>
              <w:pStyle w:val="Tabla9"/>
              <w:jc w:val="left"/>
            </w:pPr>
            <w:r>
              <w:t xml:space="preserve">Suresh et al. (2025, p. 22)</w:t>
            </w:r>
          </w:p>
        </w:tc>
        <w:tc>
          <w:tcPr/>
          <w:p>
            <w:pPr>
              <w:pStyle w:val="Tabla9"/>
              <w:jc w:val="left"/>
            </w:pPr>
            <w:r>
              <w:t xml:space="preserve">NO_VERIFICADO</w:t>
            </w:r>
          </w:p>
        </w:tc>
      </w:tr>
      <w:tr>
        <w:trPr>
          <w:cantSplit/>
        </w:trPr>
        <w:tc>
          <w:tcPr/>
          <w:p>
            <w:pPr>
              <w:pStyle w:val="Tabla9"/>
              <w:jc w:val="left"/>
            </w:pPr>
            <w:r>
              <w:t xml:space="preserve">Calibración a escala de red</w:t>
            </w:r>
          </w:p>
        </w:tc>
        <w:tc>
          <w:tcPr/>
          <w:p>
            <w:pPr>
              <w:pStyle w:val="Tabla9"/>
              <w:jc w:val="left"/>
            </w:pPr>
            <w:r>
              <w:t xml:space="preserve">La colocalización con referencia es práctica de calibración; en Seúl el R² llegó a 0,81</w:t>
            </w:r>
          </w:p>
        </w:tc>
        <w:tc>
          <w:tcPr/>
          <w:p>
            <w:pPr>
              <w:pStyle w:val="Tabla9"/>
              <w:jc w:val="left"/>
            </w:pPr>
            <w:r>
              <w:t xml:space="preserve">90,8 % de las estaciones propuestas sin plan de calibración</w:t>
            </w:r>
          </w:p>
        </w:tc>
        <w:tc>
          <w:tcPr/>
          <w:p>
            <w:pPr>
              <w:pStyle w:val="Tabla9"/>
              <w:jc w:val="left"/>
            </w:pPr>
            <w:r>
              <w:t xml:space="preserve">Seis ciclos, tres referencias y banco de calibración</w:t>
            </w:r>
          </w:p>
        </w:tc>
        <w:tc>
          <w:tcPr/>
          <w:p>
            <w:pPr>
              <w:pStyle w:val="Tabla9"/>
              <w:jc w:val="left"/>
            </w:pPr>
            <w:r>
              <w:t xml:space="preserve">Giordano et al. (2021); Murad Pedraza et al. (2026, p. 13)</w:t>
            </w:r>
          </w:p>
        </w:tc>
        <w:tc>
          <w:tcPr/>
          <w:p>
            <w:pPr>
              <w:pStyle w:val="Tabla9"/>
              <w:jc w:val="left"/>
            </w:pPr>
            <w:r>
              <w:t xml:space="preserve">NO_VERIFICADO</w:t>
            </w:r>
          </w:p>
        </w:tc>
      </w:tr>
      <w:tr>
        <w:trPr>
          <w:cantSplit/>
        </w:trPr>
        <w:tc>
          <w:tcPr/>
          <w:p>
            <w:pPr>
              <w:pStyle w:val="Tabla9"/>
              <w:jc w:val="left"/>
            </w:pPr>
            <w:r>
              <w:t xml:space="preserve">Corrección en el gateway</w:t>
            </w:r>
          </w:p>
        </w:tc>
        <w:tc>
          <w:tcPr/>
          <w:p>
            <w:pPr>
              <w:pStyle w:val="Tabla9"/>
              <w:jc w:val="left"/>
            </w:pPr>
            <w:r>
              <w:t xml:space="preserve">Hay fundamentos del cómputo en el borde y límites del enlace de largo alcance</w:t>
            </w:r>
          </w:p>
        </w:tc>
        <w:tc>
          <w:tcPr/>
          <w:p>
            <w:pPr>
              <w:pStyle w:val="Tabla9"/>
              <w:jc w:val="left"/>
            </w:pPr>
            <w:r>
              <w:t xml:space="preserve">El corpus de F-INF no incluye correcciones en el borde para partículas</w:t>
            </w:r>
          </w:p>
        </w:tc>
        <w:tc>
          <w:tcPr/>
          <w:p>
            <w:pPr>
              <w:pStyle w:val="Tabla9"/>
              <w:jc w:val="left"/>
            </w:pPr>
            <w:r>
              <w:t xml:space="preserve">Piloto del tramo 1 que mide el desempeño de la corrección</w:t>
            </w:r>
          </w:p>
        </w:tc>
        <w:tc>
          <w:tcPr/>
          <w:p>
            <w:pPr>
              <w:pStyle w:val="Tabla9"/>
              <w:jc w:val="left"/>
            </w:pPr>
            <w:r>
              <w:t xml:space="preserve">Shi et al. (2016); Adelantado et al. (2017)</w:t>
            </w:r>
          </w:p>
        </w:tc>
        <w:tc>
          <w:tcPr/>
          <w:p>
            <w:pPr>
              <w:pStyle w:val="Tabla9"/>
              <w:jc w:val="left"/>
            </w:pPr>
            <w:r>
              <w:t xml:space="preserve">NO_VERIFICADO</w:t>
            </w:r>
          </w:p>
        </w:tc>
      </w:tr>
      <w:tr>
        <w:trPr>
          <w:cantSplit/>
        </w:trPr>
        <w:tc>
          <w:tcPr/>
          <w:p>
            <w:pPr>
              <w:pStyle w:val="Tabla9"/>
              <w:jc w:val="left"/>
            </w:pPr>
            <w:r>
              <w:t xml:space="preserve">Evaluación de alertas</w:t>
            </w:r>
          </w:p>
        </w:tc>
        <w:tc>
          <w:tcPr/>
          <w:p>
            <w:pPr>
              <w:pStyle w:val="Tabla9"/>
              <w:jc w:val="left"/>
            </w:pPr>
            <w:r>
              <w:t xml:space="preserve">SIATA opera alertas con participación comunitaria</w:t>
            </w:r>
          </w:p>
        </w:tc>
        <w:tc>
          <w:tcPr/>
          <w:p>
            <w:pPr>
              <w:pStyle w:val="Tabla9"/>
              <w:jc w:val="left"/>
            </w:pPr>
            <w:r>
              <w:t xml:space="preserve">Cero de cinco documentos de alerta reportan detección, falsas alarmas y anticipación</w:t>
            </w:r>
          </w:p>
        </w:tc>
        <w:tc>
          <w:tcPr/>
          <w:p>
            <w:pPr>
              <w:pStyle w:val="Tabla9"/>
              <w:jc w:val="left"/>
            </w:pPr>
            <w:r>
              <w:t xml:space="preserve">Medición de falsas alarmas en el tramo 1 (PERS-E02)</w:t>
            </w:r>
          </w:p>
        </w:tc>
        <w:tc>
          <w:tcPr/>
          <w:p>
            <w:pPr>
              <w:pStyle w:val="Tabla9"/>
              <w:jc w:val="left"/>
            </w:pPr>
            <w:r>
              <w:t xml:space="preserve">Ruiz-Carrascal et al. (2026, p. 7); F-INF, sección 1.3</w:t>
            </w:r>
          </w:p>
        </w:tc>
        <w:tc>
          <w:tcPr/>
          <w:p>
            <w:pPr>
              <w:pStyle w:val="Tabla9"/>
              <w:jc w:val="left"/>
            </w:pPr>
            <w:r>
              <w:t xml:space="preserve">NO_VERIFICADO</w:t>
            </w:r>
          </w:p>
        </w:tc>
      </w:tr>
      <w:tr>
        <w:trPr>
          <w:cantSplit/>
        </w:trPr>
        <w:tc>
          <w:tcPr/>
          <w:p>
            <w:pPr>
              <w:pStyle w:val="Tabla9"/>
              <w:jc w:val="left"/>
            </w:pPr>
            <w:r>
              <w:t xml:space="preserve">Índice local de calidad del aire y salud</w:t>
            </w:r>
          </w:p>
        </w:tc>
        <w:tc>
          <w:tcPr/>
          <w:p>
            <w:pPr>
              <w:pStyle w:val="Tabla9"/>
              <w:jc w:val="left"/>
            </w:pPr>
            <w:r>
              <w:t xml:space="preserve">El índice se construyó con asociaciones de series de tiempo</w:t>
            </w:r>
          </w:p>
        </w:tc>
        <w:tc>
          <w:tcPr/>
          <w:p>
            <w:pPr>
              <w:pStyle w:val="Tabla9"/>
              <w:jc w:val="left"/>
            </w:pPr>
            <w:r>
              <w:t xml:space="preserve">Solo 9,4 % validó con partición; ninguno es de América Latina</w:t>
            </w:r>
          </w:p>
        </w:tc>
        <w:tc>
          <w:tcPr/>
          <w:p>
            <w:pPr>
              <w:pStyle w:val="Tabla9"/>
              <w:jc w:val="left"/>
            </w:pPr>
            <w:r>
              <w:t xml:space="preserve">Umbrales validados localmente con los comités</w:t>
            </w:r>
          </w:p>
        </w:tc>
        <w:tc>
          <w:tcPr/>
          <w:p>
            <w:pPr>
              <w:pStyle w:val="Tabla9"/>
              <w:jc w:val="left"/>
            </w:pPr>
            <w:r>
              <w:t xml:space="preserve">Stieb et al. (2008); Liao et al. (2026, pp. 6 y 8)</w:t>
            </w:r>
          </w:p>
        </w:tc>
        <w:tc>
          <w:tcPr/>
          <w:p>
            <w:pPr>
              <w:pStyle w:val="Tabla9"/>
              <w:jc w:val="left"/>
            </w:pPr>
            <w:r>
              <w:t xml:space="preserve">NO_VERIFICADO</w:t>
            </w:r>
          </w:p>
        </w:tc>
      </w:tr>
      <w:tr>
        <w:trPr>
          <w:cantSplit/>
        </w:trPr>
        <w:tc>
          <w:tcPr/>
          <w:p>
            <w:pPr>
              <w:pStyle w:val="Tabla9"/>
              <w:jc w:val="left"/>
            </w:pPr>
            <w:r>
              <w:t xml:space="preserve">Uso institucional y custodia</w:t>
            </w:r>
          </w:p>
        </w:tc>
        <w:tc>
          <w:tcPr/>
          <w:p>
            <w:pPr>
              <w:pStyle w:val="Tabla9"/>
              <w:jc w:val="left"/>
            </w:pPr>
            <w:r>
              <w:t xml:space="preserve">Los modelos de aceptación explican el uso por utilidad y facilidad</w:t>
            </w:r>
          </w:p>
        </w:tc>
        <w:tc>
          <w:tcPr/>
          <w:p>
            <w:pPr>
              <w:pStyle w:val="Tabla9"/>
              <w:jc w:val="left"/>
            </w:pPr>
            <w:r>
              <w:t xml:space="preserve">27 de 42 documentos (64,3 %) sin evidencia del efecto de la intervención, la alerta o la acción</w:t>
            </w:r>
          </w:p>
        </w:tc>
        <w:tc>
          <w:tcPr/>
          <w:p>
            <w:pPr>
              <w:pStyle w:val="Tabla9"/>
              <w:jc w:val="left"/>
            </w:pPr>
            <w:r>
              <w:t xml:space="preserve">Medición del uso (PERS-E01) y custodia por convenios por tramo</w:t>
            </w:r>
          </w:p>
        </w:tc>
        <w:tc>
          <w:tcPr/>
          <w:p>
            <w:pPr>
              <w:pStyle w:val="Tabla9"/>
              <w:jc w:val="left"/>
            </w:pPr>
            <w:r>
              <w:t xml:space="preserve">Davis (1989); Venkatesh et al. (2003); F-INF, sección 5.3</w:t>
            </w:r>
          </w:p>
        </w:tc>
        <w:tc>
          <w:tcPr/>
          <w:p>
            <w:pPr>
              <w:pStyle w:val="Tabla9"/>
              <w:jc w:val="left"/>
            </w:pPr>
            <w:r>
              <w:t xml:space="preserve">NO_VERIFICADO</w:t>
            </w:r>
          </w:p>
        </w:tc>
      </w:tr>
      <w:tr>
        <w:trPr>
          <w:cantSplit/>
        </w:trPr>
        <w:tc>
          <w:tcPr/>
          <w:p>
            <w:pPr>
              <w:pStyle w:val="Tabla9"/>
              <w:jc w:val="left"/>
            </w:pPr>
            <w:r>
              <w:t xml:space="preserve">Cobertura territorial</w:t>
            </w:r>
          </w:p>
        </w:tc>
        <w:tc>
          <w:tcPr/>
          <w:p>
            <w:pPr>
              <w:pStyle w:val="Tabla9"/>
              <w:jc w:val="left"/>
            </w:pPr>
            <w:r>
              <w:t xml:space="preserve">Existen casos en Medellín, Seúl y Brasil</w:t>
            </w:r>
          </w:p>
        </w:tc>
        <w:tc>
          <w:tcPr/>
          <w:p>
            <w:pPr>
              <w:pStyle w:val="Tabla9"/>
              <w:jc w:val="left"/>
            </w:pPr>
            <w:r>
              <w:t xml:space="preserve">37 de 42 documentos (88,1 %) con cobertura de Colombia o de la región ausente o parcial</w:t>
            </w:r>
          </w:p>
        </w:tc>
        <w:tc>
          <w:tcPr/>
          <w:p>
            <w:pPr>
              <w:pStyle w:val="Tabla9"/>
              <w:jc w:val="left"/>
            </w:pPr>
            <w:r>
              <w:t xml:space="preserve">Tres departamentos con referencia en cada uno</w:t>
            </w:r>
          </w:p>
        </w:tc>
        <w:tc>
          <w:tcPr/>
          <w:p>
            <w:pPr>
              <w:pStyle w:val="Tabla9"/>
              <w:jc w:val="left"/>
            </w:pPr>
            <w:r>
              <w:t xml:space="preserve">F-INF, sección 5.3</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datos de F-INF (DECLARADO; NO_VERIFICADO) y literatura del banco de referencias. Los vacíos son vacíos del corpus de 42 documentos y no del campo. Decimales con coma.</w:t>
      </w:r>
    </w:p>
    <w:p>
      <w:pPr>
        <w:pStyle w:val="BodyText"/>
      </w:pPr>
      <w:r>
        <w:t xml:space="preserve">La Tabla 5.2 muestra una asimetría entre lo que se sabe y lo que se necesita. Las columnas de conocimiento previo se apoyan en estudios de otros contextos. Las columnas de vacío describen sitios, escalas y usos que esos estudios no cubren. Una brecha afecta de modo directo la honestidad del argumento. El corpus no respalda la corrección en el gateway. El respaldo de esa decisión de diseño es indirecto y procede de la literatura de cómputo en el borde (Shi et al., 2016; Warden y Situnayake, 2019; David et al., 2021). Por eso el proyecto la trata como hipótesis que el piloto debe contrastar.</w:t>
      </w:r>
    </w:p>
    <w:bookmarkEnd w:id="425"/>
    <w:bookmarkStart w:id="426" w:name="_Toc00900169"/>
    <w:p>
      <w:pPr>
        <w:pStyle w:val="Heading3"/>
      </w:pPr>
      <w:r>
        <w:t xml:space="preserve">5.2.2 Tercera movida: ocupación del nicho</w:t>
      </w:r>
    </w:p>
    <w:p>
      <w:pPr>
        <w:pStyle w:val="FirstParagraph"/>
      </w:pPr>
      <w:r>
        <w:t xml:space="preserve">La tercera movida ocupa el nicho. Presenta el proyecto como respuesta a los vacíos y establece la conexión directa con los objetivos (Swales, 2004). La respuesta consta de tres componentes. El primero es la medición verificada, con colocalización frente a tres monitores de referencia y un modelo de corrección aplicado en gateways. Responde a los tres primeros vacíos y corresponde al objetivo específico 1. El segundo es la disponibilidad de la red, con autonomía mínima de 14 días sin sol, enlace alterno y almacenamiento local de siete días. Corresponde al objetivo específico 2. El tercero es el uso institucional, con co-diseño, formación y convenios por tramo. Responde a los vacíos de alertas, de índice y de uso, y corresponde al objetivo específico 3.</w:t>
      </w:r>
    </w:p>
    <w:p>
      <w:pPr>
        <w:pStyle w:val="BodyText"/>
      </w:pPr>
      <w:r>
        <w:t xml:space="preserve">Una justificación persuasiva compara la propuesta con sus alternativas. La evaluación multicriterio del proyecto usa una suma ponderada con escala de uno a nueve y cuatro alternativas (Hwang y Yoon, 1981). La alternativa híbrida con corrección en gateway, despliegue por tramos y custodia distribuida obtuvo 5,81. La calibración centralizada en la nube obtuvo 5,15, el statu quo 4,48 y las estaciones fijas de referencia en los sitios 4,33. La alternativa ganadora no cambia en los cinco escenarios de sensibilidad de más o menos 10 % relativo (CALCULADO). Los puntajes son PROPUESTO y están sujetos a la ratificación de un panel evaluador.</w:t>
      </w:r>
    </w:p>
    <w:p>
      <w:pPr>
        <w:pStyle w:val="BodyText"/>
      </w:pPr>
      <w:r>
        <w:t xml:space="preserve">El lenguaje de la ocupación debe ser seguro sin ser absoluto. La superioridad técnica de la propuesta se afirma con el alcance que la evidencia permite. La propuesta es mejor que sus alternativas en el análisis multicriterio. El puntaje no se interpreta como probabilidad de éxito (decisión de formulación DEC-F09). La propuesta es plausible para el territorio, pero el piloto del tramo 1 lo verifica. Esta redacción evita la grandilocuencia vacía. Una escritura clara y sobria convence más a un evaluador experto que una afirmación sin soporte.</w:t>
      </w:r>
    </w:p>
    <w:bookmarkEnd w:id="426"/>
    <w:bookmarkStart w:id="430" w:name="_Toc00900170"/>
    <w:p>
      <w:pPr>
        <w:pStyle w:val="Heading3"/>
      </w:pPr>
      <w:r>
        <w:t xml:space="preserve">5.2.3 Estructura argumentativa de Toulmin</w:t>
      </w:r>
    </w:p>
    <w:p>
      <w:pPr>
        <w:pStyle w:val="FirstParagraph"/>
      </w:pPr>
      <w:r>
        <w:t xml:space="preserve">El modelo de Toulmin describe un argumento práctico con seis componentes. La conclusión es la tesis que se defiende. Los datos son las evidencias. La garantía es el razonamiento que conecta los datos con la conclusión. El respaldo sostiene la garantía. Las reservas reconocen los contraargumentos. El cualificador modal expresa el grado de certeza (Toulmin, 1958, 2003).</w:t>
      </w:r>
    </w:p>
    <w:p>
      <w:pPr>
        <w:pStyle w:val="BodyText"/>
      </w:pPr>
      <w:r>
        <w:t xml:space="preserve">Dos posiciones discuten el tipo de rigor que merece un argumento de este género. La Tabla 5.3 aplica el modelo a la justificación del proyecto. La primera exige validez deductiva, propia de la lógica formal. La segunda acepta que los argumentos prácticos son derrotables, dependen del campo y se evalúan por la calidad de su respaldo (Toulmin, 1958). La justificación del proyecto pertenece al segundo tipo. Sus conclusiones son defendibles, no demostrables, y por eso incluyen reservas y un cualificador. Esta clasificación impone una consecuencia: las reservas del argumento son tareas de verificación del proyecto, y no objeciones que se resuelven con retórica.</w:t>
      </w:r>
    </w:p>
    <w:p>
      <w:pPr>
        <w:pStyle w:val="TablaRotulo"/>
      </w:pPr>
      <w:bookmarkStart w:id="9282" w:name="rot_Tabla_5_3"/>
      <w:r>
        <w:rPr>
          <w:b/>
          <w:bCs/>
        </w:rPr>
        <w:t xml:space="preserve">Tabla 5.3</w:t>
      </w:r>
      <w:bookmarkEnd w:id="9282"/>
    </w:p>
    <w:p>
      <w:pPr>
        <w:pStyle w:val="TablaTitulo"/>
      </w:pPr>
      <w:r>
        <w:rPr>
          <w:i/>
          <w:iCs/>
        </w:rPr>
        <w:t xml:space="preserve">Estructura argumentativa de Toulmin de la justificación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97"/>
        <w:gridCol w:w="2196"/>
        <w:gridCol w:w="2262"/>
        <w:gridCol w:w="2063"/>
      </w:tblGrid>
      <w:tr>
        <w:trPr>
          <w:cantSplit/>
          <w:tblHeader/>
        </w:trPr>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Contenido en la justificación</w:t>
            </w:r>
          </w:p>
        </w:tc>
        <w:tc>
          <w:tcPr>
            <w:shd w:val="clear" w:color="auto" w:fill="00B050"/>
          </w:tcPr>
          <w:p>
            <w:pPr>
              <w:pStyle w:val="Tabla9"/>
              <w:jc w:val="center"/>
            </w:pPr>
            <w:r>
              <w:rPr>
                <w:b/>
                <w:color w:val="FFFFFF"/>
              </w:rPr>
              <w:t xml:space="preserve">Soporte</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Conclusión</w:t>
            </w:r>
          </w:p>
        </w:tc>
        <w:tc>
          <w:tcPr/>
          <w:p>
            <w:pPr>
              <w:pStyle w:val="Tabla9"/>
              <w:jc w:val="left"/>
            </w:pPr>
            <w:r>
              <w:t xml:space="preserve">El proyecto es pertinente porque verifica el error de medición de una red de bajo costo en sitios de remoción y condiciona su ampliación al desempeño y al uso institucional</w:t>
            </w:r>
          </w:p>
        </w:tc>
        <w:tc>
          <w:tcPr/>
          <w:p>
            <w:pPr>
              <w:pStyle w:val="Tabla9"/>
              <w:jc w:val="left"/>
            </w:pPr>
            <w:r>
              <w:t xml:space="preserve">Objetivo general y objetivos específicos</w:t>
            </w:r>
          </w:p>
        </w:tc>
        <w:tc>
          <w:tcPr/>
          <w:p>
            <w:pPr>
              <w:pStyle w:val="Tabla9"/>
              <w:jc w:val="left"/>
            </w:pPr>
            <w:r>
              <w:t xml:space="preserve">PROPUESTO</w:t>
            </w:r>
          </w:p>
        </w:tc>
      </w:tr>
      <w:tr>
        <w:trPr>
          <w:cantSplit/>
        </w:trPr>
        <w:tc>
          <w:tcPr/>
          <w:p>
            <w:pPr>
              <w:pStyle w:val="Tabla9"/>
              <w:jc w:val="left"/>
            </w:pPr>
            <w:r>
              <w:t xml:space="preserve">Datos</w:t>
            </w:r>
          </w:p>
        </w:tc>
        <w:tc>
          <w:tcPr/>
          <w:p>
            <w:pPr>
              <w:pStyle w:val="Tabla9"/>
              <w:jc w:val="left"/>
            </w:pPr>
            <w:r>
              <w:t xml:space="preserve">90,8 % de las estaciones propuestas sin plan de calibración; cero de cinco documentos de alerta con falsas alarmas; 9,4 % de índices validados; 28 de 1.122 municipios con estaciones utilizables</w:t>
            </w:r>
          </w:p>
        </w:tc>
        <w:tc>
          <w:tcPr/>
          <w:p>
            <w:pPr>
              <w:pStyle w:val="Tabla9"/>
              <w:jc w:val="left"/>
            </w:pPr>
            <w:r>
              <w:t xml:space="preserve">Murad Pedraza et al. (2026, p. 13); F-INF, sección 1.3; Liao et al. (2026, pp. 6 y 8); Rodríguez-Villamizar et al. (2022, pp. 3 y 6)</w:t>
            </w:r>
          </w:p>
        </w:tc>
        <w:tc>
          <w:tcPr/>
          <w:p>
            <w:pPr>
              <w:pStyle w:val="Tabla9"/>
              <w:jc w:val="left"/>
            </w:pPr>
            <w:r>
              <w:t xml:space="preserve">DECLARADO; NO_VERIFICADO</w:t>
            </w:r>
          </w:p>
        </w:tc>
      </w:tr>
      <w:tr>
        <w:trPr>
          <w:cantSplit/>
        </w:trPr>
        <w:tc>
          <w:tcPr/>
          <w:p>
            <w:pPr>
              <w:pStyle w:val="Tabla9"/>
              <w:jc w:val="left"/>
            </w:pPr>
            <w:r>
              <w:t xml:space="preserve">Garantía</w:t>
            </w:r>
          </w:p>
        </w:tc>
        <w:tc>
          <w:tcPr/>
          <w:p>
            <w:pPr>
              <w:pStyle w:val="Tabla9"/>
              <w:jc w:val="left"/>
            </w:pPr>
            <w:r>
              <w:t xml:space="preserve">Una medición sirve para decidir solo si su error es conocido y acotado frente a una referencia</w:t>
            </w:r>
          </w:p>
        </w:tc>
        <w:tc>
          <w:tcPr/>
          <w:p>
            <w:pPr>
              <w:pStyle w:val="Tabla9"/>
              <w:jc w:val="left"/>
            </w:pPr>
            <w:r>
              <w:t xml:space="preserve">Giordano et al. (2021); EPA (2021)</w:t>
            </w:r>
          </w:p>
        </w:tc>
        <w:tc>
          <w:tcPr/>
          <w:p>
            <w:pPr>
              <w:pStyle w:val="Tabla9"/>
              <w:jc w:val="left"/>
            </w:pPr>
            <w:r>
              <w:t xml:space="preserve">DOCUMENTADO; NO_VERIFICADO</w:t>
            </w:r>
          </w:p>
        </w:tc>
      </w:tr>
      <w:tr>
        <w:trPr>
          <w:cantSplit/>
        </w:trPr>
        <w:tc>
          <w:tcPr/>
          <w:p>
            <w:pPr>
              <w:pStyle w:val="Tabla9"/>
              <w:jc w:val="left"/>
            </w:pPr>
            <w:r>
              <w:t xml:space="preserve">Respaldo</w:t>
            </w:r>
          </w:p>
        </w:tc>
        <w:tc>
          <w:tcPr/>
          <w:p>
            <w:pPr>
              <w:pStyle w:val="Tabla9"/>
              <w:jc w:val="left"/>
            </w:pPr>
            <w:r>
              <w:t xml:space="preserve">Los umbrales de desempeño de la EPA para uso informativo; las correcciones de humedad y la colocalización documentadas en otros contextos</w:t>
            </w:r>
          </w:p>
        </w:tc>
        <w:tc>
          <w:tcPr/>
          <w:p>
            <w:pPr>
              <w:pStyle w:val="Tabla9"/>
              <w:jc w:val="left"/>
            </w:pPr>
            <w:r>
              <w:t xml:space="preserve">EPA (2021); Barkjohn et al. (2021); Bang et al. (2026, pp. 6-8)</w:t>
            </w:r>
          </w:p>
        </w:tc>
        <w:tc>
          <w:tcPr/>
          <w:p>
            <w:pPr>
              <w:pStyle w:val="Tabla9"/>
              <w:jc w:val="left"/>
            </w:pPr>
            <w:r>
              <w:t xml:space="preserve">DOCUMENTADO; NO_VERIFICADO</w:t>
            </w:r>
          </w:p>
        </w:tc>
      </w:tr>
      <w:tr>
        <w:trPr>
          <w:cantSplit/>
        </w:trPr>
        <w:tc>
          <w:tcPr/>
          <w:p>
            <w:pPr>
              <w:pStyle w:val="Tabla9"/>
              <w:jc w:val="left"/>
            </w:pPr>
            <w:r>
              <w:t xml:space="preserve">Reservas</w:t>
            </w:r>
          </w:p>
        </w:tc>
        <w:tc>
          <w:tcPr/>
          <w:p>
            <w:pPr>
              <w:pStyle w:val="Tabla9"/>
              <w:jc w:val="left"/>
            </w:pPr>
            <w:r>
              <w:t xml:space="preserve">El corpus no es una revisión sistemática; las correlaciones no son causalidad; el territorio es SUPUESTO; el corpus no respalda la corrección en gateway; las líneas base son VACIO; las cifras de F-INF son NO_VERIFICADO; el uso institucional depende de convenios sin firmar</w:t>
            </w:r>
          </w:p>
        </w:tc>
        <w:tc>
          <w:tcPr/>
          <w:p>
            <w:pPr>
              <w:pStyle w:val="Tabla9"/>
              <w:jc w:val="left"/>
            </w:pPr>
            <w:r>
              <w:t xml:space="preserve">F-INF, secciones 3.5 y 5.3; DEC-F12</w:t>
            </w:r>
          </w:p>
        </w:tc>
        <w:tc>
          <w:tcPr/>
          <w:p>
            <w:pPr>
              <w:pStyle w:val="Tabla9"/>
              <w:jc w:val="left"/>
            </w:pPr>
            <w:r>
              <w:t xml:space="preserve">INFERIDO</w:t>
            </w:r>
          </w:p>
        </w:tc>
      </w:tr>
      <w:tr>
        <w:trPr>
          <w:cantSplit/>
        </w:trPr>
        <w:tc>
          <w:tcPr/>
          <w:p>
            <w:pPr>
              <w:pStyle w:val="Tabla9"/>
              <w:jc w:val="left"/>
            </w:pPr>
            <w:r>
              <w:t xml:space="preserve">Cualificador modal</w:t>
            </w:r>
          </w:p>
        </w:tc>
        <w:tc>
          <w:tcPr/>
          <w:p>
            <w:pPr>
              <w:pStyle w:val="Tabla9"/>
              <w:jc w:val="left"/>
            </w:pPr>
            <w:r>
              <w:t xml:space="preserve">La pertinencia es plausible, con certeza condicionada a la medición del tramo 1 y a la compuerta C1</w:t>
            </w:r>
          </w:p>
        </w:tc>
        <w:tc>
          <w:tcPr/>
          <w:p>
            <w:pPr>
              <w:pStyle w:val="Tabla9"/>
              <w:jc w:val="left"/>
            </w:pPr>
            <w:r>
              <w:t xml:space="preserve">Compuertas C1 y C2</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el modelo de Toulmin (1958, 2003). Los estados siguen los ejes de naturaleza y verificación del proyecto. La certeza se reevalúa en cada compuerta.</w:t>
      </w:r>
    </w:p>
    <w:p>
      <w:pPr>
        <w:pStyle w:val="BodyText"/>
      </w:pPr>
      <w:r>
        <w:t xml:space="preserve">La Tabla 5.3 convierte la justificación en un conjunto de enunciados que un tercero puede refutar. Esa condición es deliberada. Las reservas son siete y cada una remite a una medición o a una decisión. La conclusión no depende de que las reservas desaparezcan, sino de que se declaren y se verifiquen en las compuertas. La Figura 5.1 resume la lógica de las tres movidas del modelo CARS: el territorio, el nicho y la ocupación.</w:t>
      </w:r>
    </w:p>
    <w:p>
      <w:pPr>
        <w:pStyle w:val="FiguraRotulo"/>
      </w:pPr>
      <w:bookmarkStart w:id="9512" w:name="rot_Figura_5_1"/>
      <w:r>
        <w:rPr>
          <w:b/>
          <w:bCs/>
        </w:rPr>
        <w:t xml:space="preserve">Figura 5.1</w:t>
      </w:r>
      <w:bookmarkEnd w:id="9512"/>
    </w:p>
    <w:p>
      <w:pPr>
        <w:pStyle w:val="FiguraTitulo"/>
      </w:pPr>
      <w:r>
        <w:rPr>
          <w:i/>
          <w:iCs/>
        </w:rPr>
        <w:t xml:space="preserve">Diagrama CARS del proyecto: territorio, nicho y ocupación</w:t>
      </w:r>
    </w:p>
    <w:p>
      <w:pPr>
        <w:pStyle w:val="BodyText"/>
      </w:pPr>
      <w:r>
        <w:drawing>
          <wp:inline>
            <wp:extent cx="5579999" cy="3455657"/>
            <wp:effectExtent b="0" l="0" r="0" t="0"/>
            <wp:docPr descr="" title="" id="428" name="Picture"/>
            <a:graphic>
              <a:graphicData uri="http://schemas.openxmlformats.org/drawingml/2006/picture">
                <pic:pic>
                  <pic:nvPicPr>
                    <pic:cNvPr descr="/tmp/claude-0/-home-user-docs/ddf38714-2a7e-502b-92b4-1008e2832422/scratchpad/proy/figs/out/c5_f01.png" id="429" name="Picture"/>
                    <pic:cNvPicPr>
                      <a:picLocks noChangeArrowheads="1" noChangeAspect="1"/>
                    </pic:cNvPicPr>
                  </pic:nvPicPr>
                  <pic:blipFill>
                    <a:blip r:embed="rId427"/>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Modelo CARS de Swales (1990, 2004). Cifras de F-INF con página (corpus de 42 documentos; DECLARADO; NO_VERIFICADO) y del proyecto (PROPUESTO). Elaboración propia con matplotlib 3.11.2 y estilo.py; tamaño de 10 × 7 pulgadas; sin semilla aleatoria; corte del 13 de octubre de 2026.</w:t>
      </w:r>
    </w:p>
    <w:bookmarkEnd w:id="430"/>
    <w:bookmarkEnd w:id="431"/>
    <w:bookmarkStart w:id="436" w:name="Xded02af714bfdf5f2de8c5b0100e8ad0831ebd9"/>
    <w:p>
      <w:pPr>
        <w:pStyle w:val="Heading2"/>
      </w:pPr>
      <w:r>
        <w:t xml:space="preserve">5.3 Alineación Estratégica con Políticas Públicas y Territoriales</w:t>
      </w:r>
    </w:p>
    <w:bookmarkStart w:id="432" w:name="Xe765528355330395498d46a815318e47694d8b1"/>
    <w:p>
      <w:pPr>
        <w:pStyle w:val="Heading3"/>
      </w:pPr>
      <w:r>
        <w:t xml:space="preserve">5.3.1 Articulación con el Plan Nacional de Desarrollo, las misiones y la Misión de Sabios</w:t>
      </w:r>
    </w:p>
    <w:p>
      <w:pPr>
        <w:pStyle w:val="FirstParagraph"/>
      </w:pPr>
      <w:r>
        <w:t xml:space="preserve">La articulación con la política nacional exige distinguir lo verificable de lo propuesto. El Plan Nacional de Desarrollo 2022-2026 se adoptó con la Ley 2294 de 2023 (Congreso de la República, 2023). El proyecto propone un vínculo con las transformaciones del plan que se relacionen con la gestión del riesgo y la acción climática (NO_VERIFICADO). La transformación, el catalizador y el artículo exactos son [DATO_USUARIO: transformación y artículo del Plan Nacional de Desarrollo]. Las políticas de investigación e innovación orientadas por misiones (PIIOM) no se aportaron. La misión y el objetivo estratégico son [DATO_USUARIO: misión PIIOM aplicable]. La Misión Internacional de Sabios formuló recomendaciones sobre la sociedad del conocimiento (Misión Internacional de Sabios, 2019). El foco aplicable es [DATO_USUARIO: foco y recomendación].</w:t>
      </w:r>
    </w:p>
    <w:p>
      <w:pPr>
        <w:pStyle w:val="BodyText"/>
      </w:pPr>
      <w:r>
        <w:t xml:space="preserve">Existen dos maneras de entender la alineación. La alineación descendente parte de los objetivos de la política y verifica que el proyecto los refleje. La alineación ascendente, o mapeo hacia atrás, parte de la conducta que se quiere cambiar en el nivel de ejecución. Reconstruye lo que cada nivel debe aportar (Elmore, 1979). La primera es fácil de declarar y difícil de verificar. La segunda es más exigente porque obliga a mostrar el cambio en quien decide. Lindblom (1959) advierte que las políticas avanzan por comparaciones sucesivas limitadas, de modo que la alineación perfecta rara vez existe. El proyecto adopta la alineación ascendente. Su prueba es el uso del tablero por los comités, medido por PERS-E01.</w:t>
      </w:r>
    </w:p>
    <w:p>
      <w:pPr>
        <w:pStyle w:val="BodyText"/>
      </w:pPr>
      <w:r>
        <w:t xml:space="preserve">La consecuencia es que todo vínculo del proyecto con el plan, con las misiones y con la Misión de Sabios es PROPUESTO y NO_VERIFICADO. El expediente E3 citó artículos, ejes y focos sin aportar los documentos. Esas citas no se reproducen. Cuando el usuario aporte los documentos, la tabla de articulación se completa y cada vínculo se reclasifica. Mientras tanto, la fortaleza de la justificación no depende de esas citas sino de los datos del problema.</w:t>
      </w:r>
    </w:p>
    <w:bookmarkEnd w:id="432"/>
    <w:bookmarkStart w:id="433" w:name="Xeb31050160340b00855743563b58325ac30f75f"/>
    <w:p>
      <w:pPr>
        <w:pStyle w:val="Heading3"/>
      </w:pPr>
      <w:r>
        <w:t xml:space="preserve">5.3.2 Articulación con documentos CONPES, normas y marco internacional</w:t>
      </w:r>
    </w:p>
    <w:p>
      <w:pPr>
        <w:pStyle w:val="FirstParagraph"/>
      </w:pPr>
      <w:r>
        <w:t xml:space="preserve">El marco normativo del proyecto se compone de leyes, documentos CONPES y compromisos internacionales. La Ley 1523 de 2012 organiza la gestión del riesgo en procesos de conocimiento, reducción y manejo (Congreso de la República, 2012a). La Ley 2056 de 2020 regula el Sistema General de Regalías (Congreso de la República, 2020). La Ley 1286 de 2009 fortalece el Sistema Nacional de Ciencia, Tecnología e Innovación (Congreso de la República, 2009). El documento CONPES 3943 formula la política de mejoramiento de la calidad del aire (DNP, 2018). El documento CONPES 4069 formula la política nacional de ciencia, tecnología e innovación 2022-2031 (DNP, 2021). La Resolución 2254 de 2017 adopta la norma de calidad del aire ambiente (Ministerio de Ambiente y Desarrollo Sostenible, 2017).</w:t>
      </w:r>
    </w:p>
    <w:p>
      <w:pPr>
        <w:pStyle w:val="BodyText"/>
      </w:pPr>
      <w:r>
        <w:t xml:space="preserve">El marco internacional aporta dos referencias. El Marco de Sendái para la reducción del riesgo de desastres 2015-2030 orienta la comprensión del riesgo y la preparación (UNDRR, 2015). La Agenda 2030 propone los Objetivos de Desarrollo Sostenible (ONU, 2015). El proyecto propone contribuir a las metas sobre salud ambiental, ciencia, ciudades, acción climática y alianzas. Las metas específicas son 3.9, 9.5, 11.5, 11.6, 13.1 y 17.17. La identificación de cada meta con su texto es NO_VERIFICADO porque el texto de la Agenda no se consultó en esta corrida.</w:t>
      </w:r>
    </w:p>
    <w:p>
      <w:pPr>
        <w:pStyle w:val="BodyText"/>
      </w:pPr>
      <w:r>
        <w:t xml:space="preserve">Dos lecturas contrastan el uso de la norma de calidad del aire. La primera trata el dato de sensores como sustituto de la medición regulatoria. La segunda lo trata como información suplementaria con desempeño declarado, como propone la Agencia de Protección Ambiental de los Estados Unidos (EPA, 2021) para sitios fijos. El proyecto adopta la segunda. Sus datos no sustituyen la medición regulatoria que fija la Resolución 2254 de 2017 y su desempeño se juzga con umbrales informativos. La consecuencia es una restricción de uso: el tablero muestra el error residual junto con cada valor. La Tabla 5.4 reúne los instrumentos, los indicadores y la contribución propuesta.</w:t>
      </w:r>
    </w:p>
    <w:p>
      <w:pPr>
        <w:pStyle w:val="TablaRotulo"/>
      </w:pPr>
      <w:bookmarkStart w:id="9283" w:name="rot_Tabla_5_4"/>
      <w:r>
        <w:rPr>
          <w:b/>
          <w:bCs/>
        </w:rPr>
        <w:t xml:space="preserve">Tabla 5.4</w:t>
      </w:r>
      <w:bookmarkEnd w:id="9283"/>
    </w:p>
    <w:p>
      <w:pPr>
        <w:pStyle w:val="TablaTitulo"/>
      </w:pPr>
      <w:r>
        <w:rPr>
          <w:i/>
          <w:iCs/>
        </w:rPr>
        <w:t xml:space="preserve">Matriz de articulación con políticas públicas: instrumento, artículo o sección, indicador y contribución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1980"/>
        <w:gridCol w:w="1254"/>
        <w:gridCol w:w="1386"/>
        <w:gridCol w:w="1914"/>
      </w:tblGrid>
      <w:tr>
        <w:trPr>
          <w:cantSplit/>
          <w:tblHeader/>
        </w:trPr>
        <w:tc>
          <w:tcPr>
            <w:shd w:val="clear" w:color="auto" w:fill="00B050"/>
          </w:tcPr>
          <w:p>
            <w:pPr>
              <w:pStyle w:val="Tabla9"/>
              <w:jc w:val="center"/>
            </w:pPr>
            <w:r>
              <w:rPr>
                <w:b/>
                <w:color w:val="FFFFFF"/>
              </w:rPr>
              <w:t xml:space="preserve">Instrumento</w:t>
            </w:r>
          </w:p>
        </w:tc>
        <w:tc>
          <w:tcPr>
            <w:shd w:val="clear" w:color="auto" w:fill="00B050"/>
          </w:tcPr>
          <w:p>
            <w:pPr>
              <w:pStyle w:val="Tabla9"/>
              <w:jc w:val="center"/>
            </w:pPr>
            <w:r>
              <w:rPr>
                <w:b/>
                <w:color w:val="FFFFFF"/>
              </w:rPr>
              <w:t xml:space="preserve">Artículo o sección</w:t>
            </w:r>
          </w:p>
        </w:tc>
        <w:tc>
          <w:tcPr>
            <w:shd w:val="clear" w:color="auto" w:fill="00B050"/>
          </w:tcPr>
          <w:p>
            <w:pPr>
              <w:pStyle w:val="Tabla9"/>
              <w:jc w:val="center"/>
            </w:pPr>
            <w:r>
              <w:rPr>
                <w:b/>
                <w:color w:val="FFFFFF"/>
              </w:rPr>
              <w:t xml:space="preserve">Indicador PERS</w:t>
            </w:r>
          </w:p>
        </w:tc>
        <w:tc>
          <w:tcPr>
            <w:shd w:val="clear" w:color="auto" w:fill="00B050"/>
          </w:tcPr>
          <w:p>
            <w:pPr>
              <w:pStyle w:val="Tabla9"/>
              <w:jc w:val="center"/>
            </w:pPr>
            <w:r>
              <w:rPr>
                <w:b/>
                <w:color w:val="FFFFFF"/>
              </w:rPr>
              <w:t xml:space="preserve">Contribución del proyecto</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Ley 1523 de 2012, gestión del riesgo</w:t>
            </w:r>
          </w:p>
        </w:tc>
        <w:tc>
          <w:tcPr/>
          <w:p>
            <w:pPr>
              <w:pStyle w:val="Tabla9"/>
              <w:jc w:val="left"/>
            </w:pPr>
            <w:r>
              <w:t xml:space="preserve">Procesos de conocimiento, reducción y manejo; artículos: [DATO_USUARIO: artículos aplicables]</w:t>
            </w:r>
          </w:p>
        </w:tc>
        <w:tc>
          <w:tcPr/>
          <w:p>
            <w:pPr>
              <w:pStyle w:val="Tabla9"/>
              <w:jc w:val="left"/>
            </w:pPr>
            <w:r>
              <w:t xml:space="preserve">PERS-E01 y PERS-S01</w:t>
            </w:r>
          </w:p>
        </w:tc>
        <w:tc>
          <w:tcPr/>
          <w:p>
            <w:pPr>
              <w:pStyle w:val="Tabla9"/>
              <w:jc w:val="left"/>
            </w:pPr>
            <w:r>
              <w:t xml:space="preserve">Mediciones con error conocido y protocolo de alerta co-diseñado para los comités</w:t>
            </w:r>
          </w:p>
        </w:tc>
        <w:tc>
          <w:tcPr/>
          <w:p>
            <w:pPr>
              <w:pStyle w:val="Tabla9"/>
              <w:jc w:val="left"/>
            </w:pPr>
            <w:r>
              <w:t xml:space="preserve">PROPUESTO; NO_VERIFICADO</w:t>
            </w:r>
          </w:p>
        </w:tc>
      </w:tr>
      <w:tr>
        <w:trPr>
          <w:cantSplit/>
        </w:trPr>
        <w:tc>
          <w:tcPr/>
          <w:p>
            <w:pPr>
              <w:pStyle w:val="Tabla9"/>
              <w:jc w:val="left"/>
            </w:pPr>
            <w:r>
              <w:t xml:space="preserve">Ley 2056 de 2020, Sistema General de Regalías</w:t>
            </w:r>
          </w:p>
        </w:tc>
        <w:tc>
          <w:tcPr/>
          <w:p>
            <w:pPr>
              <w:pStyle w:val="Tabla9"/>
              <w:jc w:val="left"/>
            </w:pPr>
            <w:r>
              <w:t xml:space="preserve">Régimen de proyectos de inversión: [DATO_USUARIO: artículos aplicables]</w:t>
            </w:r>
          </w:p>
        </w:tc>
        <w:tc>
          <w:tcPr/>
          <w:p>
            <w:pPr>
              <w:pStyle w:val="Tabla9"/>
              <w:jc w:val="left"/>
            </w:pPr>
            <w:r>
              <w:t xml:space="preserve">PERS-R04 y PERS-R06</w:t>
            </w:r>
          </w:p>
        </w:tc>
        <w:tc>
          <w:tcPr/>
          <w:p>
            <w:pPr>
              <w:pStyle w:val="Tabla9"/>
              <w:jc w:val="left"/>
            </w:pPr>
            <w:r>
              <w:t xml:space="preserve">Desviación presupuestal de 5 % o menos e informes completos</w:t>
            </w:r>
          </w:p>
        </w:tc>
        <w:tc>
          <w:tcPr/>
          <w:p>
            <w:pPr>
              <w:pStyle w:val="Tabla9"/>
              <w:jc w:val="left"/>
            </w:pPr>
            <w:r>
              <w:t xml:space="preserve">PROPUESTO; NO_VERIFICADO</w:t>
            </w:r>
          </w:p>
        </w:tc>
      </w:tr>
      <w:tr>
        <w:trPr>
          <w:cantSplit/>
        </w:trPr>
        <w:tc>
          <w:tcPr/>
          <w:p>
            <w:pPr>
              <w:pStyle w:val="Tabla9"/>
              <w:jc w:val="left"/>
            </w:pPr>
            <w:r>
              <w:t xml:space="preserve">Ley 1286 de 2009, ciencia, tecnología e innovación</w:t>
            </w:r>
          </w:p>
        </w:tc>
        <w:tc>
          <w:tcPr/>
          <w:p>
            <w:pPr>
              <w:pStyle w:val="Tabla9"/>
              <w:jc w:val="left"/>
            </w:pPr>
            <w:r>
              <w:t xml:space="preserve">[DATO_USUARIO: artículos aplicables]</w:t>
            </w:r>
          </w:p>
        </w:tc>
        <w:tc>
          <w:tcPr/>
          <w:p>
            <w:pPr>
              <w:pStyle w:val="Tabla9"/>
              <w:jc w:val="left"/>
            </w:pPr>
            <w:r>
              <w:t xml:space="preserve">PERS-P02 y PERS-P03</w:t>
            </w:r>
          </w:p>
        </w:tc>
        <w:tc>
          <w:tcPr/>
          <w:p>
            <w:pPr>
              <w:pStyle w:val="Tabla9"/>
              <w:jc w:val="left"/>
            </w:pPr>
            <w:r>
              <w:t xml:space="preserve">Software registrado y artículos sometidos</w:t>
            </w:r>
          </w:p>
        </w:tc>
        <w:tc>
          <w:tcPr/>
          <w:p>
            <w:pPr>
              <w:pStyle w:val="Tabla9"/>
              <w:jc w:val="left"/>
            </w:pPr>
            <w:r>
              <w:t xml:space="preserve">PROPUESTO; NO_VERIFICADO</w:t>
            </w:r>
          </w:p>
        </w:tc>
      </w:tr>
      <w:tr>
        <w:trPr>
          <w:cantSplit/>
        </w:trPr>
        <w:tc>
          <w:tcPr/>
          <w:p>
            <w:pPr>
              <w:pStyle w:val="Tabla9"/>
              <w:jc w:val="left"/>
            </w:pPr>
            <w:r>
              <w:t xml:space="preserve">Ley 2294 de 2023, Plan Nacional de Desarrollo</w:t>
            </w:r>
          </w:p>
        </w:tc>
        <w:tc>
          <w:tcPr/>
          <w:p>
            <w:pPr>
              <w:pStyle w:val="Tabla9"/>
              <w:jc w:val="left"/>
            </w:pPr>
            <w:r>
              <w:t xml:space="preserve">[DATO_USUARIO: transformación y artículo]</w:t>
            </w:r>
          </w:p>
        </w:tc>
        <w:tc>
          <w:tcPr/>
          <w:p>
            <w:pPr>
              <w:pStyle w:val="Tabla9"/>
              <w:jc w:val="left"/>
            </w:pPr>
            <w:r>
              <w:t xml:space="preserve">PERS-P01 y PERS-E01</w:t>
            </w:r>
          </w:p>
        </w:tc>
        <w:tc>
          <w:tcPr/>
          <w:p>
            <w:pPr>
              <w:pStyle w:val="Tabla9"/>
              <w:jc w:val="left"/>
            </w:pPr>
            <w:r>
              <w:t xml:space="preserve">Red de vigilancia para la gestión del riesgo con uso institucional</w:t>
            </w:r>
          </w:p>
        </w:tc>
        <w:tc>
          <w:tcPr/>
          <w:p>
            <w:pPr>
              <w:pStyle w:val="Tabla9"/>
              <w:jc w:val="left"/>
            </w:pPr>
            <w:r>
              <w:t xml:space="preserve">PROPUESTO; NO_VERIFICADO</w:t>
            </w:r>
          </w:p>
        </w:tc>
      </w:tr>
      <w:tr>
        <w:trPr>
          <w:cantSplit/>
        </w:trPr>
        <w:tc>
          <w:tcPr/>
          <w:p>
            <w:pPr>
              <w:pStyle w:val="Tabla9"/>
              <w:jc w:val="left"/>
            </w:pPr>
            <w:r>
              <w:t xml:space="preserve">Políticas de investigación e innovación orientadas por misiones</w:t>
            </w:r>
          </w:p>
        </w:tc>
        <w:tc>
          <w:tcPr/>
          <w:p>
            <w:pPr>
              <w:pStyle w:val="Tabla9"/>
              <w:jc w:val="left"/>
            </w:pPr>
            <w:r>
              <w:t xml:space="preserve">[DATO_USUARIO: misión y objetivo estratégico]</w:t>
            </w:r>
          </w:p>
        </w:tc>
        <w:tc>
          <w:tcPr/>
          <w:p>
            <w:pPr>
              <w:pStyle w:val="Tabla9"/>
              <w:jc w:val="left"/>
            </w:pPr>
            <w:r>
              <w:t xml:space="preserve">Sin vínculo definido</w:t>
            </w:r>
          </w:p>
        </w:tc>
        <w:tc>
          <w:tcPr/>
          <w:p>
            <w:pPr>
              <w:pStyle w:val="Tabla9"/>
              <w:jc w:val="left"/>
            </w:pPr>
            <w:r>
              <w:t xml:space="preserve">Documento no aportado</w:t>
            </w:r>
          </w:p>
        </w:tc>
        <w:tc>
          <w:tcPr/>
          <w:p>
            <w:pPr>
              <w:pStyle w:val="Tabla9"/>
              <w:jc w:val="left"/>
            </w:pPr>
            <w:r>
              <w:t xml:space="preserve">NO_VERIFICADO</w:t>
            </w:r>
          </w:p>
        </w:tc>
      </w:tr>
      <w:tr>
        <w:trPr>
          <w:cantSplit/>
        </w:trPr>
        <w:tc>
          <w:tcPr/>
          <w:p>
            <w:pPr>
              <w:pStyle w:val="Tabla9"/>
              <w:jc w:val="left"/>
            </w:pPr>
            <w:r>
              <w:t xml:space="preserve">Misión Internacional de Sabios, 2019</w:t>
            </w:r>
          </w:p>
        </w:tc>
        <w:tc>
          <w:tcPr/>
          <w:p>
            <w:pPr>
              <w:pStyle w:val="Tabla9"/>
              <w:jc w:val="left"/>
            </w:pPr>
            <w:r>
              <w:t xml:space="preserve">[DATO_USUARIO: foco y recomendación]</w:t>
            </w:r>
          </w:p>
        </w:tc>
        <w:tc>
          <w:tcPr/>
          <w:p>
            <w:pPr>
              <w:pStyle w:val="Tabla9"/>
              <w:jc w:val="left"/>
            </w:pPr>
            <w:r>
              <w:t xml:space="preserve">PERS-P02</w:t>
            </w:r>
          </w:p>
        </w:tc>
        <w:tc>
          <w:tcPr/>
          <w:p>
            <w:pPr>
              <w:pStyle w:val="Tabla9"/>
              <w:jc w:val="left"/>
            </w:pPr>
            <w:r>
              <w:t xml:space="preserve">Aplicación de tecnología digital a un problema ambiental</w:t>
            </w:r>
          </w:p>
        </w:tc>
        <w:tc>
          <w:tcPr/>
          <w:p>
            <w:pPr>
              <w:pStyle w:val="Tabla9"/>
              <w:jc w:val="left"/>
            </w:pPr>
            <w:r>
              <w:t xml:space="preserve">PROPUESTO; NO_VERIFICADO</w:t>
            </w:r>
          </w:p>
        </w:tc>
      </w:tr>
      <w:tr>
        <w:trPr>
          <w:cantSplit/>
        </w:trPr>
        <w:tc>
          <w:tcPr/>
          <w:p>
            <w:pPr>
              <w:pStyle w:val="Tabla9"/>
              <w:jc w:val="left"/>
            </w:pPr>
            <w:r>
              <w:t xml:space="preserve">Documento CONPES 3943 de 2018</w:t>
            </w:r>
          </w:p>
        </w:tc>
        <w:tc>
          <w:tcPr/>
          <w:p>
            <w:pPr>
              <w:pStyle w:val="Tabla9"/>
              <w:jc w:val="left"/>
            </w:pPr>
            <w:r>
              <w:t xml:space="preserve">[DATO_USUARIO: objetivo y acción]</w:t>
            </w:r>
          </w:p>
        </w:tc>
        <w:tc>
          <w:tcPr/>
          <w:p>
            <w:pPr>
              <w:pStyle w:val="Tabla9"/>
              <w:jc w:val="left"/>
            </w:pPr>
            <w:r>
              <w:t xml:space="preserve">PERS-P01 y PERS-R05</w:t>
            </w:r>
          </w:p>
        </w:tc>
        <w:tc>
          <w:tcPr/>
          <w:p>
            <w:pPr>
              <w:pStyle w:val="Tabla9"/>
              <w:jc w:val="left"/>
            </w:pPr>
            <w:r>
              <w:t xml:space="preserve">Información de calidad del aire en sitios sin referencia</w:t>
            </w:r>
          </w:p>
        </w:tc>
        <w:tc>
          <w:tcPr/>
          <w:p>
            <w:pPr>
              <w:pStyle w:val="Tabla9"/>
              <w:jc w:val="left"/>
            </w:pPr>
            <w:r>
              <w:t xml:space="preserve">PROPUESTO; NO_VERIFICADO</w:t>
            </w:r>
          </w:p>
        </w:tc>
      </w:tr>
      <w:tr>
        <w:trPr>
          <w:cantSplit/>
        </w:trPr>
        <w:tc>
          <w:tcPr/>
          <w:p>
            <w:pPr>
              <w:pStyle w:val="Tabla9"/>
              <w:jc w:val="left"/>
            </w:pPr>
            <w:r>
              <w:t xml:space="preserve">Documento CONPES 4069 de 2021</w:t>
            </w:r>
          </w:p>
        </w:tc>
        <w:tc>
          <w:tcPr/>
          <w:p>
            <w:pPr>
              <w:pStyle w:val="Tabla9"/>
              <w:jc w:val="left"/>
            </w:pPr>
            <w:r>
              <w:t xml:space="preserve">[DATO_USUARIO: objetivo y línea de acción]</w:t>
            </w:r>
          </w:p>
        </w:tc>
        <w:tc>
          <w:tcPr/>
          <w:p>
            <w:pPr>
              <w:pStyle w:val="Tabla9"/>
              <w:jc w:val="left"/>
            </w:pPr>
            <w:r>
              <w:t xml:space="preserve">PERS-P03 y PERS-E03</w:t>
            </w:r>
          </w:p>
        </w:tc>
        <w:tc>
          <w:tcPr/>
          <w:p>
            <w:pPr>
              <w:pStyle w:val="Tabla9"/>
              <w:jc w:val="left"/>
            </w:pPr>
            <w:r>
              <w:t xml:space="preserve">Capacidades regionales de ciencia, tecnología e innovación</w:t>
            </w:r>
          </w:p>
        </w:tc>
        <w:tc>
          <w:tcPr/>
          <w:p>
            <w:pPr>
              <w:pStyle w:val="Tabla9"/>
              <w:jc w:val="left"/>
            </w:pPr>
            <w:r>
              <w:t xml:space="preserve">PROPUESTO; NO_VERIFICADO</w:t>
            </w:r>
          </w:p>
        </w:tc>
      </w:tr>
      <w:tr>
        <w:trPr>
          <w:cantSplit/>
        </w:trPr>
        <w:tc>
          <w:tcPr/>
          <w:p>
            <w:pPr>
              <w:pStyle w:val="Tabla9"/>
              <w:jc w:val="left"/>
            </w:pPr>
            <w:r>
              <w:t xml:space="preserve">Resolución 2254 de 2017, calidad del aire</w:t>
            </w:r>
          </w:p>
        </w:tc>
        <w:tc>
          <w:tcPr/>
          <w:p>
            <w:pPr>
              <w:pStyle w:val="Tabla9"/>
              <w:jc w:val="left"/>
            </w:pPr>
            <w:r>
              <w:t xml:space="preserve">[DATO_USUARIO: artículos aplicables]</w:t>
            </w:r>
          </w:p>
        </w:tc>
        <w:tc>
          <w:tcPr/>
          <w:p>
            <w:pPr>
              <w:pStyle w:val="Tabla9"/>
              <w:jc w:val="left"/>
            </w:pPr>
            <w:r>
              <w:t xml:space="preserve">R² ≥ 0,70 y NRMSE ≤ 30 %</w:t>
            </w:r>
          </w:p>
        </w:tc>
        <w:tc>
          <w:tcPr/>
          <w:p>
            <w:pPr>
              <w:pStyle w:val="Tabla9"/>
              <w:jc w:val="left"/>
            </w:pPr>
            <w:r>
              <w:t xml:space="preserve">Datos informativos con desempeño declarado; sin sustituir la medición regulatoria</w:t>
            </w:r>
          </w:p>
        </w:tc>
        <w:tc>
          <w:tcPr/>
          <w:p>
            <w:pPr>
              <w:pStyle w:val="Tabla9"/>
              <w:jc w:val="left"/>
            </w:pPr>
            <w:r>
              <w:t xml:space="preserve">PROPUESTO; NO_VERIFICADO</w:t>
            </w:r>
          </w:p>
        </w:tc>
      </w:tr>
      <w:tr>
        <w:trPr>
          <w:cantSplit/>
        </w:trPr>
        <w:tc>
          <w:tcPr/>
          <w:p>
            <w:pPr>
              <w:pStyle w:val="Tabla9"/>
              <w:jc w:val="left"/>
            </w:pPr>
            <w:r>
              <w:t xml:space="preserve">Marco de Sendái 2015-2030</w:t>
            </w:r>
          </w:p>
        </w:tc>
        <w:tc>
          <w:tcPr/>
          <w:p>
            <w:pPr>
              <w:pStyle w:val="Tabla9"/>
              <w:jc w:val="left"/>
            </w:pPr>
            <w:r>
              <w:t xml:space="preserve">Prioridades de comprender el riesgo y de aumentar la preparación</w:t>
            </w:r>
          </w:p>
        </w:tc>
        <w:tc>
          <w:tcPr/>
          <w:p>
            <w:pPr>
              <w:pStyle w:val="Tabla9"/>
              <w:jc w:val="left"/>
            </w:pPr>
            <w:r>
              <w:t xml:space="preserve">PERS-E01 y PERS-S01</w:t>
            </w:r>
          </w:p>
        </w:tc>
        <w:tc>
          <w:tcPr/>
          <w:p>
            <w:pPr>
              <w:pStyle w:val="Tabla9"/>
              <w:jc w:val="left"/>
            </w:pPr>
            <w:r>
              <w:t xml:space="preserve">Información de la amenaza para la preparación de los comités</w:t>
            </w:r>
          </w:p>
        </w:tc>
        <w:tc>
          <w:tcPr/>
          <w:p>
            <w:pPr>
              <w:pStyle w:val="Tabla9"/>
              <w:jc w:val="left"/>
            </w:pPr>
            <w:r>
              <w:t xml:space="preserve">PROPUESTO; NO_VERIFICADO</w:t>
            </w:r>
          </w:p>
        </w:tc>
      </w:tr>
      <w:tr>
        <w:trPr>
          <w:cantSplit/>
        </w:trPr>
        <w:tc>
          <w:tcPr/>
          <w:p>
            <w:pPr>
              <w:pStyle w:val="Tabla9"/>
              <w:jc w:val="left"/>
            </w:pPr>
            <w:r>
              <w:t xml:space="preserve">Agenda 2030, ODS 3, 9, 11, 13 y 17</w:t>
            </w:r>
          </w:p>
        </w:tc>
        <w:tc>
          <w:tcPr/>
          <w:p>
            <w:pPr>
              <w:pStyle w:val="Tabla9"/>
              <w:jc w:val="left"/>
            </w:pPr>
            <w:r>
              <w:t xml:space="preserve">Metas 3.9, 9.5, 11.5, 11.6, 13.1 y 17.17</w:t>
            </w:r>
          </w:p>
        </w:tc>
        <w:tc>
          <w:tcPr/>
          <w:p>
            <w:pPr>
              <w:pStyle w:val="Tabla9"/>
              <w:jc w:val="left"/>
            </w:pPr>
            <w:r>
              <w:t xml:space="preserve">PERS-P03, PERS-E01 y PERS-S02</w:t>
            </w:r>
          </w:p>
        </w:tc>
        <w:tc>
          <w:tcPr/>
          <w:p>
            <w:pPr>
              <w:pStyle w:val="Tabla9"/>
              <w:jc w:val="left"/>
            </w:pPr>
            <w:r>
              <w:t xml:space="preserve">Medición ambiental verificada, ciencia aplicada y alianzas</w:t>
            </w:r>
          </w:p>
        </w:tc>
        <w:tc>
          <w:tcPr/>
          <w:p>
            <w:pPr>
              <w:pStyle w:val="Tabla9"/>
              <w:jc w:val="left"/>
            </w:pPr>
            <w:r>
              <w:t xml:space="preserve">PROPUESTO; NO_VERIFICADO</w:t>
            </w:r>
          </w:p>
        </w:tc>
      </w:tr>
    </w:tbl>
    <w:p>
      <w:pPr>
        <w:pStyle w:val="TablaNota"/>
      </w:pPr>
      <w:r>
        <w:rPr>
          <w:i/>
          <w:iCs/>
        </w:rPr>
        <w:t xml:space="preserve">Nota.</w:t>
      </w:r>
      <w:r>
        <w:t xml:space="preserve"> </w:t>
      </w:r>
      <w:r>
        <w:t xml:space="preserve">Elaboración propia con el banco de referencias y los indicadores PERS de la ficha maestra. Los planes de desarrollo, el Anexo 4 y los documentos CONPES citados en el expediente E3 no se aportaron. Cada vínculo es PROPUESTO y ninguno está verificado.</w:t>
      </w:r>
    </w:p>
    <w:p>
      <w:pPr>
        <w:pStyle w:val="BodyText"/>
      </w:pPr>
      <w:r>
        <w:t xml:space="preserve">La Tabla 5.4 contiene once instrumentos y ninguno verificado. La tabla es una hipótesis de articulación y no una certificación. Su valor es doble. Permite al usuario completar los artículos exactos sin rehacer el argumento. Permite al evaluador ver qué indicador del proyecto responde a cada instrumento. La reserva R-ART, registrada en el cierre del proyecto, conserva esta limitación hasta que se aporten los documentos (DEC-F12).</w:t>
      </w:r>
    </w:p>
    <w:bookmarkEnd w:id="433"/>
    <w:bookmarkStart w:id="434" w:name="X9d6b8e44d1a0fe373bf491b6bf12b4beebb55b4"/>
    <w:p>
      <w:pPr>
        <w:pStyle w:val="Heading3"/>
      </w:pPr>
      <w:r>
        <w:t xml:space="preserve">5.3.3 Demandas territoriales y planes de desarrollo</w:t>
      </w:r>
    </w:p>
    <w:p>
      <w:pPr>
        <w:pStyle w:val="FirstParagraph"/>
      </w:pPr>
      <w:r>
        <w:t xml:space="preserve">La articulación territorial exige tres datos que solo el usuario posee. El nivel nacional corresponde a la Unidad Nacional para la Gestión del Riesgo de Desastres (UNGRD). Los datos son el artículo del plan de desarrollo departamental, el indicador con su meta y el código de la demanda del Anexo 4. El expediente E3 citó artículos y códigos para los tres departamentos sin aportar los planes ni el anexo. El proyecto no los reproduce y los registra como [DATO_USUARIO]. La Tabla 5.5 deja los campos abiertos y propone el vínculo de cada departamento con el proyecto. El vínculo es una hipótesis. La medición verificada de PM2,5 y PM10 en los municipios focalizados sirve a cualquier plan con una meta de vigilancia o de gestión del riesgo.</w:t>
      </w:r>
    </w:p>
    <w:p>
      <w:pPr>
        <w:pStyle w:val="TablaRotulo"/>
      </w:pPr>
      <w:bookmarkStart w:id="9284" w:name="rot_Tabla_5_5"/>
      <w:r>
        <w:rPr>
          <w:b/>
          <w:bCs/>
        </w:rPr>
        <w:t xml:space="preserve">Tabla 5.5</w:t>
      </w:r>
      <w:bookmarkEnd w:id="9284"/>
    </w:p>
    <w:p>
      <w:pPr>
        <w:pStyle w:val="TablaTitulo"/>
      </w:pPr>
      <w:r>
        <w:rPr>
          <w:i/>
          <w:iCs/>
        </w:rPr>
        <w:t xml:space="preserve">Alineación con demandas territoriales: código de demanda del Anexo 4</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90"/>
        <w:gridCol w:w="1452"/>
        <w:gridCol w:w="1452"/>
        <w:gridCol w:w="1452"/>
        <w:gridCol w:w="1188"/>
        <w:gridCol w:w="1386"/>
      </w:tblGrid>
      <w:tr>
        <w:trPr>
          <w:cantSplit/>
          <w:tblHeader/>
        </w:trPr>
        <w:tc>
          <w:tcPr>
            <w:shd w:val="clear" w:color="auto" w:fill="00B050"/>
          </w:tcPr>
          <w:p>
            <w:pPr>
              <w:pStyle w:val="Tabla9"/>
              <w:jc w:val="center"/>
            </w:pPr>
            <w:r>
              <w:rPr>
                <w:b/>
                <w:color w:val="FFFFFF"/>
              </w:rPr>
              <w:t xml:space="preserve">Departamento</w:t>
            </w:r>
          </w:p>
        </w:tc>
        <w:tc>
          <w:tcPr>
            <w:shd w:val="clear" w:color="auto" w:fill="00B050"/>
          </w:tcPr>
          <w:p>
            <w:pPr>
              <w:pStyle w:val="Tabla9"/>
              <w:jc w:val="center"/>
            </w:pPr>
            <w:r>
              <w:rPr>
                <w:b/>
                <w:color w:val="FFFFFF"/>
              </w:rPr>
              <w:t xml:space="preserve">Plan de desarrollo: artículo o eje</w:t>
            </w:r>
          </w:p>
        </w:tc>
        <w:tc>
          <w:tcPr>
            <w:shd w:val="clear" w:color="auto" w:fill="00B050"/>
          </w:tcPr>
          <w:p>
            <w:pPr>
              <w:pStyle w:val="Tabla9"/>
              <w:jc w:val="center"/>
            </w:pPr>
            <w:r>
              <w:rPr>
                <w:b/>
                <w:color w:val="FFFFFF"/>
              </w:rPr>
              <w:t xml:space="preserve">Indicador y meta del plan</w:t>
            </w:r>
          </w:p>
        </w:tc>
        <w:tc>
          <w:tcPr>
            <w:shd w:val="clear" w:color="auto" w:fill="00B050"/>
          </w:tcPr>
          <w:p>
            <w:pPr>
              <w:pStyle w:val="Tabla9"/>
              <w:jc w:val="center"/>
            </w:pPr>
            <w:r>
              <w:rPr>
                <w:b/>
                <w:color w:val="FFFFFF"/>
              </w:rPr>
              <w:t xml:space="preserve">Código de demanda (Anexo 4)</w:t>
            </w:r>
          </w:p>
        </w:tc>
        <w:tc>
          <w:tcPr>
            <w:shd w:val="clear" w:color="auto" w:fill="00B050"/>
          </w:tcPr>
          <w:p>
            <w:pPr>
              <w:pStyle w:val="Tabla9"/>
              <w:jc w:val="center"/>
            </w:pPr>
            <w:r>
              <w:rPr>
                <w:b/>
                <w:color w:val="FFFFFF"/>
              </w:rPr>
              <w:t xml:space="preserve">Vínculo propuesto con el proyecto</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Caldas</w:t>
            </w:r>
          </w:p>
        </w:tc>
        <w:tc>
          <w:tcPr/>
          <w:p>
            <w:pPr>
              <w:pStyle w:val="Tabla9"/>
              <w:jc w:val="left"/>
            </w:pPr>
            <w:r>
              <w:t xml:space="preserve">[DATO_USUARIO: artículo o eje del plan]</w:t>
            </w:r>
          </w:p>
        </w:tc>
        <w:tc>
          <w:tcPr/>
          <w:p>
            <w:pPr>
              <w:pStyle w:val="Tabla9"/>
              <w:jc w:val="left"/>
            </w:pPr>
            <w:r>
              <w:t xml:space="preserve">[DATO_USUARIO: indicador y meta]</w:t>
            </w:r>
          </w:p>
        </w:tc>
        <w:tc>
          <w:tcPr/>
          <w:p>
            <w:pPr>
              <w:pStyle w:val="Tabla9"/>
              <w:jc w:val="left"/>
            </w:pPr>
            <w:r>
              <w:t xml:space="preserve">[DATO_USUARIO: código]</w:t>
            </w:r>
          </w:p>
        </w:tc>
        <w:tc>
          <w:tcPr/>
          <w:p>
            <w:pPr>
              <w:pStyle w:val="Tabla9"/>
              <w:jc w:val="left"/>
            </w:pPr>
            <w:r>
              <w:t xml:space="preserve">Nodos y tablero en cuatro municipios focalizados (PROPUESTO)</w:t>
            </w:r>
          </w:p>
        </w:tc>
        <w:tc>
          <w:tcPr/>
          <w:p>
            <w:pPr>
              <w:pStyle w:val="Tabla9"/>
              <w:jc w:val="left"/>
            </w:pPr>
            <w:r>
              <w:t xml:space="preserve">NO_VERIFICADO</w:t>
            </w:r>
          </w:p>
        </w:tc>
      </w:tr>
      <w:tr>
        <w:trPr>
          <w:cantSplit/>
        </w:trPr>
        <w:tc>
          <w:tcPr/>
          <w:p>
            <w:pPr>
              <w:pStyle w:val="Tabla9"/>
              <w:jc w:val="left"/>
            </w:pPr>
            <w:r>
              <w:t xml:space="preserve">Cundinamarca</w:t>
            </w:r>
          </w:p>
        </w:tc>
        <w:tc>
          <w:tcPr/>
          <w:p>
            <w:pPr>
              <w:pStyle w:val="Tabla9"/>
              <w:jc w:val="left"/>
            </w:pPr>
            <w:r>
              <w:t xml:space="preserve">[DATO_USUARIO: artículo o eje del plan]</w:t>
            </w:r>
          </w:p>
        </w:tc>
        <w:tc>
          <w:tcPr/>
          <w:p>
            <w:pPr>
              <w:pStyle w:val="Tabla9"/>
              <w:jc w:val="left"/>
            </w:pPr>
            <w:r>
              <w:t xml:space="preserve">[DATO_USUARIO: indicador y meta]</w:t>
            </w:r>
          </w:p>
        </w:tc>
        <w:tc>
          <w:tcPr/>
          <w:p>
            <w:pPr>
              <w:pStyle w:val="Tabla9"/>
              <w:jc w:val="left"/>
            </w:pPr>
            <w:r>
              <w:t xml:space="preserve">[DATO_USUARIO: código]</w:t>
            </w:r>
          </w:p>
        </w:tc>
        <w:tc>
          <w:tcPr/>
          <w:p>
            <w:pPr>
              <w:pStyle w:val="Tabla9"/>
              <w:jc w:val="left"/>
            </w:pPr>
            <w:r>
              <w:t xml:space="preserve">Nodos y tablero en cuatro municipios focalizados (PROPUESTO)</w:t>
            </w:r>
          </w:p>
        </w:tc>
        <w:tc>
          <w:tcPr/>
          <w:p>
            <w:pPr>
              <w:pStyle w:val="Tabla9"/>
              <w:jc w:val="left"/>
            </w:pPr>
            <w:r>
              <w:t xml:space="preserve">NO_VERIFICADO</w:t>
            </w:r>
          </w:p>
        </w:tc>
      </w:tr>
      <w:tr>
        <w:trPr>
          <w:cantSplit/>
        </w:trPr>
        <w:tc>
          <w:tcPr/>
          <w:p>
            <w:pPr>
              <w:pStyle w:val="Tabla9"/>
              <w:jc w:val="left"/>
            </w:pPr>
            <w:r>
              <w:t xml:space="preserve">Valle del Cauca</w:t>
            </w:r>
          </w:p>
        </w:tc>
        <w:tc>
          <w:tcPr/>
          <w:p>
            <w:pPr>
              <w:pStyle w:val="Tabla9"/>
              <w:jc w:val="left"/>
            </w:pPr>
            <w:r>
              <w:t xml:space="preserve">[DATO_USUARIO: artículo o eje del plan]</w:t>
            </w:r>
          </w:p>
        </w:tc>
        <w:tc>
          <w:tcPr/>
          <w:p>
            <w:pPr>
              <w:pStyle w:val="Tabla9"/>
              <w:jc w:val="left"/>
            </w:pPr>
            <w:r>
              <w:t xml:space="preserve">[DATO_USUARIO: indicador y meta]</w:t>
            </w:r>
          </w:p>
        </w:tc>
        <w:tc>
          <w:tcPr/>
          <w:p>
            <w:pPr>
              <w:pStyle w:val="Tabla9"/>
              <w:jc w:val="left"/>
            </w:pPr>
            <w:r>
              <w:t xml:space="preserve">[DATO_USUARIO: código]</w:t>
            </w:r>
          </w:p>
        </w:tc>
        <w:tc>
          <w:tcPr/>
          <w:p>
            <w:pPr>
              <w:pStyle w:val="Tabla9"/>
              <w:jc w:val="left"/>
            </w:pPr>
            <w:r>
              <w:t xml:space="preserve">Nodos y tablero en cuatro municipios focalizados (PROPUESTO)</w:t>
            </w:r>
          </w:p>
        </w:tc>
        <w:tc>
          <w:tcPr/>
          <w:p>
            <w:pPr>
              <w:pStyle w:val="Tabla9"/>
              <w:jc w:val="left"/>
            </w:pPr>
            <w:r>
              <w:t xml:space="preserve">NO_VERIFICADO</w:t>
            </w:r>
          </w:p>
        </w:tc>
      </w:tr>
      <w:tr>
        <w:trPr>
          <w:cantSplit/>
        </w:trPr>
        <w:tc>
          <w:tcPr/>
          <w:p>
            <w:pPr>
              <w:pStyle w:val="Tabla9"/>
              <w:jc w:val="left"/>
            </w:pPr>
            <w:r>
              <w:t xml:space="preserve">Nivel nacional</w:t>
            </w:r>
          </w:p>
        </w:tc>
        <w:tc>
          <w:tcPr/>
          <w:p>
            <w:pPr>
              <w:pStyle w:val="Tabla9"/>
              <w:jc w:val="left"/>
            </w:pPr>
            <w:r>
              <w:t xml:space="preserve">[DATO_USUARIO: instrumento de la UNGRD]</w:t>
            </w:r>
          </w:p>
        </w:tc>
        <w:tc>
          <w:tcPr/>
          <w:p>
            <w:pPr>
              <w:pStyle w:val="Tabla9"/>
              <w:jc w:val="left"/>
            </w:pPr>
            <w:r>
              <w:t xml:space="preserve">[DATO_USUARIO: indicador y meta]</w:t>
            </w:r>
          </w:p>
        </w:tc>
        <w:tc>
          <w:tcPr/>
          <w:p>
            <w:pPr>
              <w:pStyle w:val="Tabla9"/>
              <w:jc w:val="left"/>
            </w:pPr>
            <w:r>
              <w:t xml:space="preserve">No aplica</w:t>
            </w:r>
          </w:p>
        </w:tc>
        <w:tc>
          <w:tcPr/>
          <w:p>
            <w:pPr>
              <w:pStyle w:val="Tabla9"/>
              <w:jc w:val="left"/>
            </w:pPr>
            <w:r>
              <w:t xml:space="preserve">Protocolo de alerta articulado con la gestión nacional del riesgo (SUPUESTO)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Territorio y alianza: SUPUESTO por instrucción del usuario. Los planes de desarrollo y el Anexo 4 no se aportaron. Los códigos de demanda declarados en el expediente E3 no se reproducen.</w:t>
      </w:r>
    </w:p>
    <w:p>
      <w:pPr>
        <w:pStyle w:val="BodyText"/>
      </w:pPr>
      <w:r>
        <w:t xml:space="preserve">Los campos de la Tabla 5.5 permanecen abiertos hasta que el usuario aporte los documentos. Dos posiciones se contraponen sobre cómo se identifica una demanda territorial. La primera la toma de los documentos de planeación, que expresan prioridades formales. La segunda la construye con la comunidad, porque el conocimiento local no siempre figura en los planes (Callon, 1999). Arnstein (1969) ordena la participación en una escalera de grados, desde la manipulación hasta el control ciudadano. Funtowicz y Ravetz (1993) proponen ampliar la comunidad de pares cuando los problemas son inciertos y de alto riesgo. El proyecto prevé el co-diseño de los umbrales y del protocolo con los comités (actividad A3.1, semanas 12 a 36). El nivel de participación alcanzado se verifica con las actas y no se declara de antemano.</w:t>
      </w:r>
    </w:p>
    <w:p>
      <w:pPr>
        <w:pStyle w:val="BodyText"/>
      </w:pPr>
      <w:r>
        <w:t xml:space="preserve">La consecuencia es una condición de cierre. La compuerta C1 exige que al menos 50 % de los comités del tramo 1 use el tablero. El uso es una señal de que la demanda se atendió. Cuando se aporten los planes de desarrollo y el Anexo 4, la Tabla 5.5 se completa y se contrasta con las actas del co-diseño. Si las demandas formales y las demandas expresadas por los comités difieren, el proyecto registra la diferencia y la lleva a la compuerta.</w:t>
      </w:r>
    </w:p>
    <w:bookmarkEnd w:id="434"/>
    <w:bookmarkStart w:id="435" w:name="X3e9d9c3ca44980089f8638542f65a83f10448f2"/>
    <w:p>
      <w:pPr>
        <w:pStyle w:val="Heading3"/>
      </w:pPr>
      <w:r>
        <w:t xml:space="preserve">5.3.4 Justificación de hasta 3.500 caracteres para el aporte a políticas públicas</w:t>
      </w:r>
    </w:p>
    <w:p>
      <w:pPr>
        <w:pStyle w:val="FirstParagraph"/>
      </w:pPr>
      <w:r>
        <w:t xml:space="preserve">La sección de aporte a políticas públicas admite una justificación de hasta 3.500 caracteres. El bloque siguiente reúne 3.204 caracteres con espacios, sin contar este párrafo de presentación. Mantiene la separación entre lo propuesto y lo verificado. No afirma coincidencias con artículos que el usuario no aportó.</w:t>
      </w:r>
    </w:p>
    <w:p>
      <w:pPr>
        <w:pStyle w:val="BodyText"/>
      </w:pPr>
      <w:r>
        <w:t xml:space="preserve">El proyecto responde a una necesidad de información de la política de gestión del riesgo de desastres. El problema es de calidad del dato. La Ley 1523 de 2012 organiza esa gestión en procesos de conocimiento del riesgo, reducción del riesgo y manejo de desastres (Congreso de la República, 2012a). Después de un sismo, la remoción de escombros genera polvo cuya medición sustenta decisiones de protección. Hoy esas mediciones carecen de error conocido frente a una referencia en los sitios de remoción. En Colombia, solo 28 de 1.122 municipios cuentan con estaciones utilizables para estimar la carga de enfermedad (Rodríguez-Villamizar et al., 2022, pp. 3 y 6). Además, 90,8 % de las estaciones de la red nacional propuesta serían sensores sin plan de calibración (Murad Pedraza et al., 2026, pp. 10-11 y 13). El documento CONPES 3943 formula la política de mejoramiento de la calidad del aire (DNP, 2018), y su vínculo con las acciones de información es PROPUESTO.</w:t>
      </w:r>
    </w:p>
    <w:p>
      <w:pPr>
        <w:pStyle w:val="BodyText"/>
      </w:pPr>
      <w:r>
        <w:t xml:space="preserve">El aporte del proyecto es una red híbrida de 100 nodos y 10 gateways, colocalizada con tres monitores de referencia. La red corrige las lecturas en el gateway. Se juzga con umbrales de desempeño: R² de al menos 0,70 y NRMSE de 30 % o menos. El despliegue se ejecuta por tramos. Cada compuerta exige desempeño y uso institucional antes de liberar la compra siguiente. La focalización comprende 12 municipios de Caldas, Cundinamarca y Valle del Cauca y 15 comités de gestión del riesgo (SUPUESTO). Los comités reciben un tablero y un protocolo de alerta con umbrales validados localmente. La meta es que al menos 75 % de los comités focalizados use el tablero en decisiones documentadas al mes 24 (PERS-E01). Los indicadores de impacto miden dos resultados. El primero es la activación del protocolo, con meta de 80 %. El segundo es la continuidad de la red bajo custodia, con meta de 70 %. Ambos se miden a los 12 meses posteriores al cierre (PERS-S01 y PERS-S02).</w:t>
      </w:r>
    </w:p>
    <w:p>
      <w:pPr>
        <w:pStyle w:val="BodyText"/>
      </w:pPr>
      <w:r>
        <w:t xml:space="preserve">El vínculo con la política es PROPUESTO y NO_VERIFICADO. Para el conocimiento del riesgo, el proyecto aporta mediciones con error conocido. Para la reducción del riesgo, aporta umbrales validados con los comités. Para el manejo de desastres, aporta un protocolo de alerta. El proyecto contribuye también al régimen del Sistema General de Regalías (Congreso de la República, 2020). Contribuye a la política nacional de ciencia, tecnología e innovación (DNP, 2021) y al Marco de Sendái (UNDRR, 2015). Contribuye a las metas de salud, ciudades, acción climática y alianzas de la Agenda 2030 (ONU, 2015). El plan de desarrollo departamental, el Anexo 4 y los documentos CONPES citados en el expediente no se aportaron. Por esa razón, el proyecto no afirma coincidencias con artículos ni con metas territoriales. Los indicadores se verifican con actas de compuerta y con evaluaciones externas en los meses 12 y 24. El proyecto solicita COP 8.729.840.000 al Sistema General de Regalías, equivalentes a 62,4 % del tope declarado. Aporta además una contrapartida de COP 2.110.000.000 (DECLARADO). El proyecto no promete efectos en salud. Promete mediciones verificadas, uso institucional y continuidad, con líneas base que se miden en el primer tramo y metas sujetas a ratificación.</w:t>
      </w:r>
    </w:p>
    <w:bookmarkEnd w:id="435"/>
    <w:bookmarkEnd w:id="436"/>
    <w:bookmarkStart w:id="444" w:name="Xfe47ee2355e09b81c08e45c873afbdec7fdeb0c"/>
    <w:p>
      <w:pPr>
        <w:pStyle w:val="Heading2"/>
      </w:pPr>
      <w:r>
        <w:t xml:space="preserve">5.4 Relevancia, Beneficios e Impacto Potencial</w:t>
      </w:r>
    </w:p>
    <w:bookmarkStart w:id="437" w:name="_Toc00900171"/>
    <w:p>
      <w:pPr>
        <w:pStyle w:val="Heading3"/>
      </w:pPr>
      <w:r>
        <w:t xml:space="preserve">5.4.1 Pertinencia social y efectos potenciales</w:t>
      </w:r>
    </w:p>
    <w:p>
      <w:pPr>
        <w:pStyle w:val="FirstParagraph"/>
      </w:pPr>
      <w:r>
        <w:t xml:space="preserve">La pertinencia social evalúa los efectos potenciales, positivos y negativos, sobre la sociedad local, los sectores productivos y la cultura. El efecto positivo esperado es que los comités decidan con mediciones de error conocido. El proyecto prevé 150 funcionarios beneficiarios directos (SUPUESTO). Prevé también 5.000 cartillas del índice y del protocolo de alerta y 3.000 mascarillas N95 (DECLARADO). Los operarios de remoción de escombros son destinatarios indirectos, y su número es [DATO_USUARIO: operarios por sitio]. La población expuesta se beneficia solo si el protocolo se activa, de modo que el beneficio depende del uso y no de la medición.</w:t>
      </w:r>
    </w:p>
    <w:p>
      <w:pPr>
        <w:pStyle w:val="BodyText"/>
      </w:pPr>
      <w:r>
        <w:t xml:space="preserve">Existen efectos negativos posibles, y el proyecto los declara. El primero es la confianza indebida en lecturas corregidas, un caso de consecuencia no anticipada de una acción deliberada (Merton, 1936). El proyecto lo mitiga al mostrar el error residual junto con cada valor. El segundo es el aumento de la carga de trabajo de los comités, que deben interpretar un tablero nuevo. El tercero es el riesgo de robo o vandalismo de nodos en sitios de remoción, registrado con probabilidad de 40 % y mitigación (R-EXT-02). El cuarto es suspender una obra con una lectura que aún no cumple los umbrales. Ese efecto recae sobre el sector productivo de la remoción. El quinto es el tratamiento de datos personales de las personas participantes, que debe seguir la Ley 1581 de 2012 (Congreso de la República, 2012b; PROPUESTO).</w:t>
      </w:r>
    </w:p>
    <w:p>
      <w:pPr>
        <w:pStyle w:val="BodyText"/>
      </w:pPr>
      <w:r>
        <w:t xml:space="preserve">Dos posiciones contrastan el valor social de más datos. La posición tecnocrática sostiene que más datos mejoran las decisiones. La posición democrática sostiene que los datos cambian las decisiones solo si las comunidades los interpretan y los discuten (Callon, 1999; Funtowicz y Ravetz, 1993). El proyecto integra ambas: produce datos con error conocido y los entrega con formación, cartillas y talleres. La pertinencia social, por tanto, se mide por el uso documentado del tablero y no por el volumen de datos producidos.</w:t>
      </w:r>
    </w:p>
    <w:bookmarkEnd w:id="437"/>
    <w:bookmarkStart w:id="438" w:name="Xf2be6388f360950f80f72249f00a68e1cc9afd2"/>
    <w:p>
      <w:pPr>
        <w:pStyle w:val="Heading3"/>
      </w:pPr>
      <w:r>
        <w:t xml:space="preserve">5.4.2 Beneficios teóricos, metodológicos, prácticos y sociales</w:t>
      </w:r>
    </w:p>
    <w:p>
      <w:pPr>
        <w:pStyle w:val="FirstParagraph"/>
      </w:pPr>
      <w:r>
        <w:t xml:space="preserve">Los beneficios teóricos son modestos y específicos. El proyecto aportaría evidencia sobre el desempeño de sensores ópticos corregidos en sitios de remoción de escombros, un contexto ausente del corpus de F-INF. Aportaría también evidencia sobre la adopción institucional de un tablero de calidad del aire. El corpus carece de evidencia del efecto de la intervención, la alerta o la acción en 64,3 % de sus documentos (F-INF, sección 5.3). La declaración de la acepción de gemelo digital que se adopte contribuye a la taxonomía que F-INF recomienda (F-INF, decisión D-14). Estos beneficios son PROPUESTO y dependen de que el piloto produzca datos válidos.</w:t>
      </w:r>
    </w:p>
    <w:p>
      <w:pPr>
        <w:pStyle w:val="BodyText"/>
      </w:pPr>
      <w:r>
        <w:t xml:space="preserve">Los beneficios metodológicos son tres. El primero es un protocolo de colocalización con umbrales de desempeño. El segundo es un diseño de despliegue por tramos con compuertas. El tercero es un protocolo de custodia por componente. El protocolo de colocalización usa los umbrales de la EPA (2021) y las prácticas de calibración documentadas (Giordano et al., 2021; Malings et al., 2020). El diseño por tramos aplica la lógica de decisión por etapas, que condiciona cada inversión a un resultado (Cooper, 2008). La evaluación del proyecto aplica la teoría del programa, que explicita los supuestos entre actividades y efectos (Weiss, 1995; Funnell y Rogers, 2011). Los beneficios metodológicos son reutilizables si el protocolo se publica con sus datos.</w:t>
      </w:r>
    </w:p>
    <w:p>
      <w:pPr>
        <w:pStyle w:val="BodyText"/>
      </w:pPr>
      <w:r>
        <w:t xml:space="preserve">Los beneficios prácticos y sociales son tangibles y se cuantifican con los indicadores PERS. El beneficio práctico es una red operativa de 100 nodos y 10 gateways. Incluye un software de corrección y un gemelo digital registrados, y un tablero con protocolo de alerta. El beneficio social incluye 29 actividades de apropiación, 20 talleres y nueve jornadas, y al menos 60 personas certificadas en custodia. Estos beneficios son outputs y outcomes. No constituyen impacto, que corresponde al cambio sostenido que miden los indicadores S. La confusión entre ambos niveles es el error que el evaluador penaliza con mayor severidad.</w:t>
      </w:r>
    </w:p>
    <w:bookmarkEnd w:id="438"/>
    <w:bookmarkStart w:id="442" w:name="X52fa8923f690afcaeaaa2875c7f6c88e99db107"/>
    <w:p>
      <w:pPr>
        <w:pStyle w:val="Heading3"/>
      </w:pPr>
      <w:r>
        <w:t xml:space="preserve">5.4.3 Proyección de impacto según la taxonomía de productos, resultados e impactos</w:t>
      </w:r>
    </w:p>
    <w:p>
      <w:pPr>
        <w:pStyle w:val="FirstParagraph"/>
      </w:pPr>
      <w:r>
        <w:t xml:space="preserve">La taxonomía distingue tres niveles. Los outputs son los productos tangibles que agotan los objetivos específicos. Los outcomes son los efectos inmediatos en quienes reciben los productos, como la adopción o el uso. El impacto es el cambio estructural y sostenido a mediano y largo plazo (Gertler et al., 2016). El proyecto asigna sus 15 indicadores PERS a esos niveles. Los indicadores R y P son outputs: seis de proceso y cuatro de producto. Los indicadores E son outcomes: uso del tablero, reducción de falsas alarmas y capacidad instalada en custodios. Los indicadores S son impacto: activación del protocolo y continuidad de la red. La Figura 5.2 muestra la cadena de valor completa.</w:t>
      </w:r>
    </w:p>
    <w:p>
      <w:pPr>
        <w:pStyle w:val="BodyText"/>
      </w:pPr>
      <w:r>
        <w:t xml:space="preserve">Cada indicador de resultado y de impacto cumple los criterios SMART con una reserva. La sigla SMART agrupa cinco criterios: específico, medible, alcanzable, relevante y con plazo. El indicador PERS-E01 es específico, porque mide decisiones documentadas con el tablero. Es medible, con una meta de 75 % de los comités. Es alcanzable bajo un supuesto, el de 15 comités focalizados (SUPUESTO). Es relevante para el objetivo específico 3 y cuenta con plazo, el mes 24. Su reserva es que la línea base es VACIO. Los indicadores PERS-S01 y PERS-S02 cumplen los mismos criterios con plazo de 12 meses posteriores al cierre y con la misma reserva. Una evaluación externa independiente verifica ambos (DEC-F10).</w:t>
      </w:r>
    </w:p>
    <w:p>
      <w:pPr>
        <w:pStyle w:val="FiguraRotulo"/>
      </w:pPr>
      <w:bookmarkStart w:id="9513" w:name="rot_Figura_5_2"/>
      <w:r>
        <w:rPr>
          <w:b/>
          <w:bCs/>
        </w:rPr>
        <w:t xml:space="preserve">Figura 5.2</w:t>
      </w:r>
      <w:bookmarkEnd w:id="9513"/>
    </w:p>
    <w:p>
      <w:pPr>
        <w:pStyle w:val="FiguraTitulo"/>
      </w:pPr>
      <w:r>
        <w:rPr>
          <w:i/>
          <w:iCs/>
        </w:rPr>
        <w:t xml:space="preserve">Cadena de valor del proyecto: insumos, actividades, outputs, outcomes e impact</w:t>
      </w:r>
    </w:p>
    <w:p>
      <w:pPr>
        <w:pStyle w:val="BodyText"/>
      </w:pPr>
      <w:r>
        <w:drawing>
          <wp:inline>
            <wp:extent cx="5579999" cy="3455657"/>
            <wp:effectExtent b="0" l="0" r="0" t="0"/>
            <wp:docPr descr="" title="" id="440" name="Picture"/>
            <a:graphic>
              <a:graphicData uri="http://schemas.openxmlformats.org/drawingml/2006/picture">
                <pic:pic>
                  <pic:nvPicPr>
                    <pic:cNvPr descr="/tmp/claude-0/-home-user-docs/ddf38714-2a7e-502b-92b4-1008e2832422/scratchpad/proy/figs/out/c5_f02.png" id="441" name="Picture"/>
                    <pic:cNvPicPr>
                      <a:picLocks noChangeArrowheads="1" noChangeAspect="1"/>
                    </pic:cNvPicPr>
                  </pic:nvPicPr>
                  <pic:blipFill>
                    <a:blip r:embed="rId439"/>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Indicadores PERS de la ficha maestra, sección 8. Valores del presupuesto en millones de pesos colombianos (COP); contrapartida DECLARADO, con desglose de la institución de educación superior PROPUESTO. Elaboración propia con matplotlib 3.11.2 y estilo.py; tamaño de 10 × 7 pulgadas; sin semilla aleatoria; corte del 13 de octubre de 2026.</w:t>
      </w:r>
    </w:p>
    <w:p>
      <w:pPr>
        <w:pStyle w:val="BodyText"/>
      </w:pPr>
      <w:r>
        <w:t xml:space="preserve">El análisis costo-beneficio preliminar usa el presupuesto del proyecto y no monetiza beneficios sin fuente. Boardman et al. (2018) definen el análisis costo-beneficio como la comparación de costos y beneficios expresados en unidades monetarias. Esa comparación exige valores monetarios de los beneficios, y ninguna fuente los aporta. Un análisis de costo-efectividad exige una medida de efecto, y la línea base es VACIO. Por esa razón, los beneficios se rotulan NO_CALCULABLE y la razón beneficio-costo también. El análisis informa los costos por nivel y deja los beneficios descritos. El proyecto agrupa sus actividades en cuatro paquetes de trabajo (WP, por la sigla en inglés de work package). WP1 es la medición verificada, WP2 la red, la energía y la plataforma, WP3 el uso institucional y la custodia, y WP0 la gestión. La contrapartida proviene de la institución de educación superior (IES) ejecutora y de una empresa tecnológica. La Tabla 5.6 presenta ese resultado.</w:t>
      </w:r>
    </w:p>
    <w:p>
      <w:pPr>
        <w:pStyle w:val="TablaRotulo"/>
      </w:pPr>
      <w:bookmarkStart w:id="9285" w:name="rot_Tabla_5_6"/>
      <w:r>
        <w:rPr>
          <w:b/>
          <w:bCs/>
        </w:rPr>
        <w:t xml:space="preserve">Tabla 5.6</w:t>
      </w:r>
      <w:bookmarkEnd w:id="9285"/>
    </w:p>
    <w:p>
      <w:pPr>
        <w:pStyle w:val="TablaTitulo"/>
      </w:pPr>
      <w:r>
        <w:rPr>
          <w:i/>
          <w:iCs/>
        </w:rPr>
        <w:t xml:space="preserve">Análisis costo-beneficio preliminar con diferenciación output, outcome e impact</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60"/>
        <w:gridCol w:w="1188"/>
        <w:gridCol w:w="1122"/>
        <w:gridCol w:w="924"/>
        <w:gridCol w:w="1122"/>
        <w:gridCol w:w="1452"/>
        <w:gridCol w:w="1452"/>
      </w:tblGrid>
      <w:tr>
        <w:trPr>
          <w:cantSplit/>
          <w:tblHeader/>
        </w:trPr>
        <w:tc>
          <w:tcPr>
            <w:shd w:val="clear" w:color="auto" w:fill="00B050"/>
          </w:tcPr>
          <w:p>
            <w:pPr>
              <w:pStyle w:val="Tabla8"/>
              <w:jc w:val="center"/>
            </w:pPr>
            <w:r>
              <w:rPr>
                <w:b/>
                <w:color w:val="FFFFFF"/>
              </w:rPr>
              <w:t xml:space="preserve">Nivel</w:t>
            </w:r>
          </w:p>
        </w:tc>
        <w:tc>
          <w:tcPr>
            <w:shd w:val="clear" w:color="auto" w:fill="00B050"/>
          </w:tcPr>
          <w:p>
            <w:pPr>
              <w:pStyle w:val="Tabla8"/>
              <w:jc w:val="center"/>
            </w:pPr>
            <w:r>
              <w:rPr>
                <w:b/>
                <w:color w:val="FFFFFF"/>
              </w:rPr>
              <w:t xml:space="preserve">Concepto</w:t>
            </w:r>
          </w:p>
        </w:tc>
        <w:tc>
          <w:tcPr>
            <w:shd w:val="clear" w:color="auto" w:fill="00B050"/>
          </w:tcPr>
          <w:p>
            <w:pPr>
              <w:pStyle w:val="Tabla8"/>
              <w:jc w:val="center"/>
            </w:pPr>
            <w:r>
              <w:rPr>
                <w:b/>
                <w:color w:val="FFFFFF"/>
              </w:rPr>
              <w:t xml:space="preserve">Costo SGR asociado (COP)</w:t>
            </w:r>
          </w:p>
        </w:tc>
        <w:tc>
          <w:tcPr>
            <w:shd w:val="clear" w:color="auto" w:fill="00B050"/>
          </w:tcPr>
          <w:p>
            <w:pPr>
              <w:pStyle w:val="Tabla8"/>
              <w:jc w:val="center"/>
            </w:pPr>
            <w:r>
              <w:rPr>
                <w:b/>
                <w:color w:val="FFFFFF"/>
              </w:rPr>
              <w:t xml:space="preserve">Indicadores PERS</w:t>
            </w:r>
          </w:p>
        </w:tc>
        <w:tc>
          <w:tcPr>
            <w:shd w:val="clear" w:color="auto" w:fill="00B050"/>
          </w:tcPr>
          <w:p>
            <w:pPr>
              <w:pStyle w:val="Tabla8"/>
              <w:jc w:val="center"/>
            </w:pPr>
            <w:r>
              <w:rPr>
                <w:b/>
                <w:color w:val="FFFFFF"/>
              </w:rPr>
              <w:t xml:space="preserve">Beneficio</w:t>
            </w:r>
          </w:p>
        </w:tc>
        <w:tc>
          <w:tcPr>
            <w:shd w:val="clear" w:color="auto" w:fill="00B050"/>
          </w:tcPr>
          <w:p>
            <w:pPr>
              <w:pStyle w:val="Tabla8"/>
              <w:jc w:val="center"/>
            </w:pPr>
            <w:r>
              <w:rPr>
                <w:b/>
                <w:color w:val="FFFFFF"/>
              </w:rPr>
              <w:t xml:space="preserve">Valoración</w:t>
            </w:r>
          </w:p>
        </w:tc>
        <w:tc>
          <w:tcPr>
            <w:shd w:val="clear" w:color="auto" w:fill="00B050"/>
          </w:tcPr>
          <w:p>
            <w:pPr>
              <w:pStyle w:val="Tabla8"/>
              <w:jc w:val="center"/>
            </w:pPr>
            <w:r>
              <w:rPr>
                <w:b/>
                <w:color w:val="FFFFFF"/>
              </w:rPr>
              <w:t xml:space="preserve">Naturaleza</w:t>
            </w:r>
          </w:p>
        </w:tc>
      </w:tr>
      <w:tr>
        <w:trPr>
          <w:cantSplit/>
        </w:trPr>
        <w:tc>
          <w:tcPr/>
          <w:p>
            <w:pPr>
              <w:pStyle w:val="Tabla8"/>
              <w:jc w:val="left"/>
            </w:pPr>
            <w:r>
              <w:t xml:space="preserve">Insumo</w:t>
            </w:r>
          </w:p>
        </w:tc>
        <w:tc>
          <w:tcPr/>
          <w:p>
            <w:pPr>
              <w:pStyle w:val="Tabla8"/>
              <w:jc w:val="left"/>
            </w:pPr>
            <w:r>
              <w:t xml:space="preserve">Valor solicitado al SGR</w:t>
            </w:r>
          </w:p>
        </w:tc>
        <w:tc>
          <w:tcPr/>
          <w:p>
            <w:pPr>
              <w:pStyle w:val="Tabla8"/>
              <w:jc w:val="left"/>
            </w:pPr>
            <w:r>
              <w:t xml:space="preserve">8.729.840.000</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CALCULADO</w:t>
            </w:r>
          </w:p>
        </w:tc>
      </w:tr>
      <w:tr>
        <w:trPr>
          <w:cantSplit/>
        </w:trPr>
        <w:tc>
          <w:tcPr/>
          <w:p>
            <w:pPr>
              <w:pStyle w:val="Tabla8"/>
              <w:jc w:val="left"/>
            </w:pPr>
            <w:r>
              <w:t xml:space="preserve">Insumo</w:t>
            </w:r>
          </w:p>
        </w:tc>
        <w:tc>
          <w:tcPr/>
          <w:p>
            <w:pPr>
              <w:pStyle w:val="Tabla8"/>
              <w:jc w:val="left"/>
            </w:pPr>
            <w:r>
              <w:t xml:space="preserve">Contrapartida de la IES y de la empresa</w:t>
            </w:r>
          </w:p>
        </w:tc>
        <w:tc>
          <w:tcPr/>
          <w:p>
            <w:pPr>
              <w:pStyle w:val="Tabla8"/>
              <w:jc w:val="left"/>
            </w:pPr>
            <w:r>
              <w:t xml:space="preserve">2.110.000.000</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DECLARADO; desglose IES PROPUESTO</w:t>
            </w:r>
          </w:p>
        </w:tc>
      </w:tr>
      <w:tr>
        <w:trPr>
          <w:cantSplit/>
        </w:trPr>
        <w:tc>
          <w:tcPr/>
          <w:p>
            <w:pPr>
              <w:pStyle w:val="Tabla8"/>
              <w:jc w:val="left"/>
            </w:pPr>
            <w:r>
              <w:t xml:space="preserve">Insumo</w:t>
            </w:r>
          </w:p>
        </w:tc>
        <w:tc>
          <w:tcPr/>
          <w:p>
            <w:pPr>
              <w:pStyle w:val="Tabla8"/>
              <w:jc w:val="left"/>
            </w:pPr>
            <w:r>
              <w:t xml:space="preserve">Total del proyecto</w:t>
            </w:r>
          </w:p>
        </w:tc>
        <w:tc>
          <w:tcPr/>
          <w:p>
            <w:pPr>
              <w:pStyle w:val="Tabla8"/>
              <w:jc w:val="left"/>
            </w:pPr>
            <w:r>
              <w:t xml:space="preserve">10.839.840.000</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WP1: medición verificada (OE1)</w:t>
            </w:r>
          </w:p>
        </w:tc>
        <w:tc>
          <w:tcPr/>
          <w:p>
            <w:pPr>
              <w:pStyle w:val="Tabla8"/>
              <w:jc w:val="left"/>
            </w:pPr>
            <w:r>
              <w:t xml:space="preserve">1.732.280.000 (19,8 % del SGR)</w:t>
            </w:r>
          </w:p>
        </w:tc>
        <w:tc>
          <w:tcPr/>
          <w:p>
            <w:pPr>
              <w:pStyle w:val="Tabla8"/>
              <w:jc w:val="left"/>
            </w:pPr>
            <w:r>
              <w:t xml:space="preserve">PERS-R02, R05, P02 y P03</w:t>
            </w:r>
          </w:p>
        </w:tc>
        <w:tc>
          <w:tcPr/>
          <w:p>
            <w:pPr>
              <w:pStyle w:val="Tabla8"/>
              <w:jc w:val="left"/>
            </w:pPr>
            <w:r>
              <w:t xml:space="preserve">Datos de colocalización y modelo de corrección</w:t>
            </w:r>
          </w:p>
        </w:tc>
        <w:tc>
          <w:tcPr/>
          <w:p>
            <w:pPr>
              <w:pStyle w:val="Tabla8"/>
              <w:jc w:val="left"/>
            </w:pPr>
            <w:r>
              <w:t xml:space="preserve">NO_CALCULABLE</w:t>
            </w:r>
          </w:p>
        </w:tc>
        <w:tc>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WP2: red, energía y plataforma (OE2)</w:t>
            </w:r>
          </w:p>
        </w:tc>
        <w:tc>
          <w:tcPr/>
          <w:p>
            <w:pPr>
              <w:pStyle w:val="Tabla8"/>
              <w:jc w:val="left"/>
            </w:pPr>
            <w:r>
              <w:t xml:space="preserve">4.180.060.000 (47,9 % del SGR)</w:t>
            </w:r>
          </w:p>
        </w:tc>
        <w:tc>
          <w:tcPr/>
          <w:p>
            <w:pPr>
              <w:pStyle w:val="Tabla8"/>
              <w:jc w:val="left"/>
            </w:pPr>
            <w:r>
              <w:t xml:space="preserve">PERS-R01, R03 y P01</w:t>
            </w:r>
          </w:p>
        </w:tc>
        <w:tc>
          <w:tcPr/>
          <w:p>
            <w:pPr>
              <w:pStyle w:val="Tabla8"/>
              <w:jc w:val="left"/>
            </w:pPr>
            <w:r>
              <w:t xml:space="preserve">Red operativa de 100 nodos y 10 gateways</w:t>
            </w:r>
          </w:p>
        </w:tc>
        <w:tc>
          <w:tcPr/>
          <w:p>
            <w:pPr>
              <w:pStyle w:val="Tabla8"/>
              <w:jc w:val="left"/>
            </w:pPr>
            <w:r>
              <w:t xml:space="preserve">NO_CALCULABLE</w:t>
            </w:r>
          </w:p>
        </w:tc>
        <w:tc>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WP3: uso institucional y custodia (OE3)</w:t>
            </w:r>
          </w:p>
        </w:tc>
        <w:tc>
          <w:tcPr/>
          <w:p>
            <w:pPr>
              <w:pStyle w:val="Tabla8"/>
              <w:jc w:val="left"/>
            </w:pPr>
            <w:r>
              <w:t xml:space="preserve">1.381.500.000 (15,8 % del SGR)</w:t>
            </w:r>
          </w:p>
        </w:tc>
        <w:tc>
          <w:tcPr/>
          <w:p>
            <w:pPr>
              <w:pStyle w:val="Tabla8"/>
              <w:jc w:val="left"/>
            </w:pPr>
            <w:r>
              <w:t xml:space="preserve">PERS-P04</w:t>
            </w:r>
          </w:p>
        </w:tc>
        <w:tc>
          <w:tcPr/>
          <w:p>
            <w:pPr>
              <w:pStyle w:val="Tabla8"/>
              <w:jc w:val="left"/>
            </w:pPr>
            <w:r>
              <w:t xml:space="preserve">29 actividades de apropiación social</w:t>
            </w:r>
          </w:p>
        </w:tc>
        <w:tc>
          <w:tcPr/>
          <w:p>
            <w:pPr>
              <w:pStyle w:val="Tabla8"/>
              <w:jc w:val="left"/>
            </w:pPr>
            <w:r>
              <w:t xml:space="preserve">NO_CALCULABLE</w:t>
            </w:r>
          </w:p>
        </w:tc>
        <w:tc>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WP0: gestión, compuertas y reserva</w:t>
            </w:r>
          </w:p>
        </w:tc>
        <w:tc>
          <w:tcPr/>
          <w:p>
            <w:pPr>
              <w:pStyle w:val="Tabla8"/>
              <w:jc w:val="left"/>
            </w:pPr>
            <w:r>
              <w:t xml:space="preserve">1.436.000.000 (16,4 % del SGR)</w:t>
            </w:r>
          </w:p>
        </w:tc>
        <w:tc>
          <w:tcPr/>
          <w:p>
            <w:pPr>
              <w:pStyle w:val="Tabla8"/>
              <w:jc w:val="left"/>
            </w:pPr>
            <w:r>
              <w:t xml:space="preserve">PERS-R04 y R06</w:t>
            </w:r>
          </w:p>
        </w:tc>
        <w:tc>
          <w:tcPr/>
          <w:p>
            <w:pPr>
              <w:pStyle w:val="Tabla8"/>
              <w:jc w:val="left"/>
            </w:pPr>
            <w:r>
              <w:t xml:space="preserve">Ejecución controlada; reserva de COP 636.000.000</w:t>
            </w:r>
          </w:p>
        </w:tc>
        <w:tc>
          <w:tcPr/>
          <w:p>
            <w:pPr>
              <w:pStyle w:val="Tabla8"/>
              <w:jc w:val="left"/>
            </w:pPr>
            <w:r>
              <w:t xml:space="preserve">NO_CALCULABLE</w:t>
            </w:r>
          </w:p>
        </w:tc>
        <w:tc>
          <w:tcPr/>
          <w:p>
            <w:pPr>
              <w:pStyle w:val="Tabla8"/>
              <w:jc w:val="left"/>
            </w:pPr>
            <w:r>
              <w:t xml:space="preserve">CALCULADO</w:t>
            </w:r>
          </w:p>
        </w:tc>
      </w:tr>
      <w:tr>
        <w:trPr>
          <w:cantSplit/>
        </w:trPr>
        <w:tc>
          <w:tcPr/>
          <w:p>
            <w:pPr>
              <w:pStyle w:val="Tabla8"/>
              <w:jc w:val="left"/>
            </w:pPr>
            <w:r>
              <w:t xml:space="preserve">Outcome</w:t>
            </w:r>
          </w:p>
        </w:tc>
        <w:tc>
          <w:tcPr/>
          <w:p>
            <w:pPr>
              <w:pStyle w:val="Tabla8"/>
              <w:jc w:val="left"/>
            </w:pPr>
            <w:r>
              <w:t xml:space="preserve">Uso del tablero, falsas alarmas y capacidad</w:t>
            </w:r>
          </w:p>
        </w:tc>
        <w:tc>
          <w:tcPr/>
          <w:p>
            <w:pPr>
              <w:pStyle w:val="Tabla8"/>
              <w:jc w:val="left"/>
            </w:pPr>
            <w:r>
              <w:t xml:space="preserve">Costo incluido en WP3</w:t>
            </w:r>
          </w:p>
        </w:tc>
        <w:tc>
          <w:tcPr/>
          <w:p>
            <w:pPr>
              <w:pStyle w:val="Tabla8"/>
              <w:jc w:val="left"/>
            </w:pPr>
            <w:r>
              <w:t xml:space="preserve">PERS-E01, E02 y E03</w:t>
            </w:r>
          </w:p>
        </w:tc>
        <w:tc>
          <w:tcPr/>
          <w:p>
            <w:pPr>
              <w:pStyle w:val="Tabla8"/>
              <w:jc w:val="left"/>
            </w:pPr>
            <w:r>
              <w:t xml:space="preserve">Decisiones con datos de error conocido</w:t>
            </w:r>
          </w:p>
        </w:tc>
        <w:tc>
          <w:tcPr/>
          <w:p>
            <w:pPr>
              <w:pStyle w:val="Tabla8"/>
              <w:jc w:val="left"/>
            </w:pPr>
            <w:r>
              <w:t xml:space="preserve">NO_CALCULABLE</w:t>
            </w:r>
          </w:p>
        </w:tc>
        <w:tc>
          <w:tcPr/>
          <w:p>
            <w:pPr>
              <w:pStyle w:val="Tabla8"/>
              <w:jc w:val="left"/>
            </w:pPr>
            <w:r>
              <w:t xml:space="preserve">PROPUESTO</w:t>
            </w:r>
          </w:p>
        </w:tc>
      </w:tr>
      <w:tr>
        <w:trPr>
          <w:cantSplit/>
        </w:trPr>
        <w:tc>
          <w:tcPr/>
          <w:p>
            <w:pPr>
              <w:pStyle w:val="Tabla8"/>
              <w:jc w:val="left"/>
            </w:pPr>
            <w:r>
              <w:t xml:space="preserve">Impact</w:t>
            </w:r>
          </w:p>
        </w:tc>
        <w:tc>
          <w:tcPr/>
          <w:p>
            <w:pPr>
              <w:pStyle w:val="Tabla8"/>
              <w:jc w:val="left"/>
            </w:pPr>
            <w:r>
              <w:t xml:space="preserve">Activación del protocolo y continuidad</w:t>
            </w:r>
          </w:p>
        </w:tc>
        <w:tc>
          <w:tcPr/>
          <w:p>
            <w:pPr>
              <w:pStyle w:val="Tabla8"/>
              <w:jc w:val="left"/>
            </w:pPr>
            <w:r>
              <w:t xml:space="preserve">Sin partida posterior al cierre (VACIO)</w:t>
            </w:r>
          </w:p>
        </w:tc>
        <w:tc>
          <w:tcPr/>
          <w:p>
            <w:pPr>
              <w:pStyle w:val="Tabla8"/>
              <w:jc w:val="left"/>
            </w:pPr>
            <w:r>
              <w:t xml:space="preserve">PERS-S01 y S02</w:t>
            </w:r>
          </w:p>
        </w:tc>
        <w:tc>
          <w:tcPr/>
          <w:p>
            <w:pPr>
              <w:pStyle w:val="Tabla8"/>
              <w:jc w:val="left"/>
            </w:pPr>
            <w:r>
              <w:t xml:space="preserve">Continuidad de la red bajo custodia</w:t>
            </w:r>
          </w:p>
        </w:tc>
        <w:tc>
          <w:tcPr/>
          <w:p>
            <w:pPr>
              <w:pStyle w:val="Tabla8"/>
              <w:jc w:val="left"/>
            </w:pPr>
            <w:r>
              <w:t xml:space="preserve">NO_CALCULABLE</w:t>
            </w:r>
          </w:p>
        </w:tc>
        <w:tc>
          <w:tcPr/>
          <w:p>
            <w:pPr>
              <w:pStyle w:val="Tabla8"/>
              <w:jc w:val="left"/>
            </w:pPr>
            <w:r>
              <w:t xml:space="preserve">PROPUESTO</w:t>
            </w:r>
          </w:p>
        </w:tc>
      </w:tr>
      <w:tr>
        <w:trPr>
          <w:cantSplit/>
        </w:trPr>
        <w:tc>
          <w:tcPr/>
          <w:p>
            <w:pPr>
              <w:pStyle w:val="Tabla8"/>
              <w:jc w:val="left"/>
            </w:pPr>
            <w:r>
              <w:t xml:space="preserve">Razón</w:t>
            </w:r>
          </w:p>
        </w:tc>
        <w:tc>
          <w:tcPr/>
          <w:p>
            <w:pPr>
              <w:pStyle w:val="Tabla8"/>
              <w:jc w:val="left"/>
            </w:pPr>
            <w:r>
              <w:t xml:space="preserve">Beneficio-costo</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Sin beneficios monetizados</w:t>
            </w:r>
          </w:p>
        </w:tc>
        <w:tc>
          <w:tcPr/>
          <w:p>
            <w:pPr>
              <w:pStyle w:val="Tabla8"/>
              <w:jc w:val="left"/>
            </w:pPr>
            <w:r>
              <w:t xml:space="preserve">NO_CALCULABLE</w:t>
            </w:r>
          </w:p>
        </w:tc>
        <w:tc>
          <w:tcPr/>
          <w:p>
            <w:pPr>
              <w:pStyle w:val="Tabla8"/>
              <w:jc w:val="left"/>
            </w:pPr>
            <w:r>
              <w:t xml:space="preserve">NO_CALCULABLE</w:t>
            </w:r>
          </w:p>
        </w:tc>
      </w:tr>
    </w:tbl>
    <w:p>
      <w:pPr>
        <w:pStyle w:val="TablaNota"/>
      </w:pPr>
      <w:r>
        <w:rPr>
          <w:i/>
          <w:iCs/>
        </w:rPr>
        <w:t xml:space="preserve">Nota.</w:t>
      </w:r>
      <w:r>
        <w:t xml:space="preserve"> </w:t>
      </w:r>
      <w:r>
        <w:t xml:space="preserve">Elaboración propia con las líneas de presupuesto de la ficha maestra (sección 5) y su asignación a paquetes de trabajo (CALCULADO). Los porcentajes se calculan sobre COP 8.729.840.000. No se asigna valor monetario a ningún beneficio.</w:t>
      </w:r>
    </w:p>
    <w:p>
      <w:pPr>
        <w:pStyle w:val="BodyText"/>
      </w:pPr>
      <w:r>
        <w:t xml:space="preserve">La Tabla 5.6 deja tres resultados. El primero es la distribución del valor solicitado. La red, la energía y la plataforma concentran 47,9 %, y la medición verificada 19,8 %. El segundo es que la contrapartida de COP 2.110.000.000 se compone de aportes en especie y en efectivo con certificaciones pendientes. El tercero es que ningún valor de beneficio se monetiza. El proyecto solicita la suma justificada y no el tope, que equivale a 62,4 % del tope declarado (DEC-F06). La holgura de COP 5.270.160.000 se describe como opciones sin presupuestar. Ese tratamiento evita presentar como beneficio lo que solo es capacidad no usada.</w:t>
      </w:r>
    </w:p>
    <w:bookmarkEnd w:id="442"/>
    <w:bookmarkStart w:id="443" w:name="_Toc00900172"/>
    <w:p>
      <w:pPr>
        <w:pStyle w:val="Heading3"/>
      </w:pPr>
      <w:r>
        <w:t xml:space="preserve">5.4.4 Apropiación social prevista</w:t>
      </w:r>
    </w:p>
    <w:p>
      <w:pPr>
        <w:pStyle w:val="FirstParagraph"/>
      </w:pPr>
      <w:r>
        <w:t xml:space="preserve">La apropiación social describe cómo el conocimiento sale del entorno académico hacia la participación ciudadana y el intercambio de saberes. Es el puente hacia el uso. El proyecto la organiza en 29 actividades documentadas, 20 talleres y nueve jornadas, que se registran con los códigos ASC-PART, ASC-COM y ASC-CIRC (PERS-P04). El presupuesto asigna 5.000 cartillas y 20 kits de papelería para talleres de co-diseño. Asigna también 20 eventos de laboratorios ciudadanos y nueve eventos de ferias de apropiación. El costo SGR de esas líneas es una fracción del paquete WP3, que representa 15,8 % del valor solicitado.</w:t>
      </w:r>
    </w:p>
    <w:p>
      <w:pPr>
        <w:pStyle w:val="BodyText"/>
      </w:pPr>
      <w:r>
        <w:t xml:space="preserve">Dos concepciones de la apropiación compiten. La primera la entiende como transferencia unidireccional del conocimiento experto hacia la población. La segunda la entiende como diálogo en el que los participantes producen conocimiento (Freire, 2005; Callon, 1999). Arnstein (1969) aporta un criterio para distinguirlas, el grado de poder de decisión que reciben los participantes. El proyecto adopta la concepción dialógica en el co-diseño de umbrales y protocolo con los comités, y la concepción informativa en las cartillas. La mezcla es deliberada y se declara.</w:t>
      </w:r>
    </w:p>
    <w:p>
      <w:pPr>
        <w:pStyle w:val="BodyText"/>
      </w:pPr>
      <w:r>
        <w:t xml:space="preserve">La consecuencia es evaluar la apropiación con dos medidas. La primera es el número de actividades realizadas, que es un output. La segunda es el uso del tablero y del protocolo en decisiones documentadas, que es un outcome. Solo la segunda indica que el conocimiento circuló. El proyecto no confunde las dos, y reporta ambas con sus líneas base. El número de participantes por actividad es [DATO_USUARIO: asistentes esperados por actividad], porque ninguna fuente lo aporta.</w:t>
      </w:r>
    </w:p>
    <w:bookmarkEnd w:id="443"/>
    <w:bookmarkEnd w:id="444"/>
    <w:bookmarkStart w:id="450" w:name="_Toc00900173"/>
    <w:p>
      <w:pPr>
        <w:pStyle w:val="Heading2"/>
      </w:pPr>
      <w:r>
        <w:t xml:space="preserve">5.5 Pertinencia Institucional y Capacidades</w:t>
      </w:r>
    </w:p>
    <w:bookmarkStart w:id="445" w:name="X3f0564db44d4bfb4fbacecbca78c4ee00d5ae8d"/>
    <w:p>
      <w:pPr>
        <w:pStyle w:val="Heading3"/>
      </w:pPr>
      <w:r>
        <w:t xml:space="preserve">5.5.1 Capacidades requeridas y criterios de verificación</w:t>
      </w:r>
    </w:p>
    <w:p>
      <w:pPr>
        <w:pStyle w:val="FirstParagraph"/>
      </w:pPr>
      <w:r>
        <w:t xml:space="preserve">Esta sección describe las capacidades que el proyecto requiere y los criterios para verificarlas. No nombra entidades ni categorías de grupos, que son [DATO_USUARIO]. El usuario declaró una alianza supuesta entre una IES con acreditación de alta calidad, una empresa tecnológica, alcaldías y la UNGRD. La entidad ejecutora requiere capacidades de metrología y calibración, ciencia de datos, evaluación y gestión de proyectos de ciencia, tecnología e innovación. La empresa requiere ingeniería de sistemas conectados, firmware, plataforma y nube. Las alcaldías requieren capacidad de custodia y de uso del tablero.</w:t>
      </w:r>
    </w:p>
    <w:p>
      <w:pPr>
        <w:pStyle w:val="BodyText"/>
      </w:pPr>
      <w:r>
        <w:t xml:space="preserve">Se requiere un criterio de verificación para cada capacidad. La IES debe presentar una acreditación institucional vigente, proyectos previos con productos verificables y un laboratorio con trazabilidad metrológica. La empresa debe presentar un portafolio verificable de desarrollos y una operación de plataforma con disponibilidad de al menos 99,0 % (PERS-R03). Las alcaldías deben firmar convenios de custodia con partida, que la compuerta C2 exige. El expediente E3 declaró un requisito de experiencia previa de al menos dos proyectos. Declaró también la categoría de un grupo, sin aportar los términos de referencia. Ambos datos son NO_VERIFICADO y la categoría es [DATO_USUARIO: categoría y nombre del grupo].</w:t>
      </w:r>
    </w:p>
    <w:p>
      <w:pPr>
        <w:pStyle w:val="BodyText"/>
      </w:pPr>
      <w:r>
        <w:t xml:space="preserve">Dos teorías explican cómo las capacidades se combinan. La primera sostiene que una innovación genera valor solo si la entidad controla activos complementarios, como la manufactura, la comercialización o el servicio posventa (Teece, 1986). La segunda sostiene que las innovaciones se aprovechan mejor con flujos abiertos de conocimiento entre organizaciones (Chesbrough, 2003). La alianza propuesta combina ambas. La IES y la empresa aportan activos complementarios, y las alcaldías y la UNGRD abren el acceso a los usuarios. La consecuencia es que la pertinencia institucional se verifica por los convenios y no por la declaración de capacidades. La Tabla 5.7 resume los roles, las capacidades y los criterios.</w:t>
      </w:r>
    </w:p>
    <w:p>
      <w:pPr>
        <w:pStyle w:val="TablaRotulo"/>
      </w:pPr>
      <w:bookmarkStart w:id="9286" w:name="rot_Tabla_5_7"/>
      <w:r>
        <w:rPr>
          <w:b/>
          <w:bCs/>
        </w:rPr>
        <w:t xml:space="preserve">Tabla 5.7</w:t>
      </w:r>
      <w:bookmarkEnd w:id="9286"/>
    </w:p>
    <w:p>
      <w:pPr>
        <w:pStyle w:val="TablaTitulo"/>
      </w:pPr>
      <w:r>
        <w:rPr>
          <w:i/>
          <w:iCs/>
        </w:rPr>
        <w:t xml:space="preserve">Capacidades institucionales: entidad, experiencia, aportes y grupo de investigación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97"/>
        <w:gridCol w:w="931"/>
        <w:gridCol w:w="1397"/>
        <w:gridCol w:w="1397"/>
        <w:gridCol w:w="1397"/>
        <w:gridCol w:w="1397"/>
      </w:tblGrid>
      <w:tr>
        <w:trPr>
          <w:cantSplit/>
          <w:tblHeader/>
        </w:trPr>
        <w:tc>
          <w:tcPr>
            <w:shd w:val="clear" w:color="auto" w:fill="00B050"/>
          </w:tcPr>
          <w:p>
            <w:pPr>
              <w:pStyle w:val="Tabla9"/>
              <w:jc w:val="center"/>
            </w:pPr>
            <w:r>
              <w:rPr>
                <w:b/>
                <w:color w:val="FFFFFF"/>
              </w:rPr>
              <w:t xml:space="preserve">Entidad (rol genérico)</w:t>
            </w:r>
          </w:p>
        </w:tc>
        <w:tc>
          <w:tcPr>
            <w:shd w:val="clear" w:color="auto" w:fill="00B050"/>
          </w:tcPr>
          <w:p>
            <w:pPr>
              <w:pStyle w:val="Tabla9"/>
              <w:jc w:val="center"/>
            </w:pPr>
            <w:r>
              <w:rPr>
                <w:b/>
                <w:color w:val="FFFFFF"/>
              </w:rPr>
              <w:t xml:space="preserve">Capacidad requerida</w:t>
            </w:r>
          </w:p>
        </w:tc>
        <w:tc>
          <w:tcPr>
            <w:shd w:val="clear" w:color="auto" w:fill="00B050"/>
          </w:tcPr>
          <w:p>
            <w:pPr>
              <w:pStyle w:val="Tabla9"/>
              <w:jc w:val="center"/>
            </w:pPr>
            <w:r>
              <w:rPr>
                <w:b/>
                <w:color w:val="FFFFFF"/>
              </w:rPr>
              <w:t xml:space="preserve">Criterio de verificación</w:t>
            </w:r>
          </w:p>
        </w:tc>
        <w:tc>
          <w:tcPr>
            <w:shd w:val="clear" w:color="auto" w:fill="00B050"/>
          </w:tcPr>
          <w:p>
            <w:pPr>
              <w:pStyle w:val="Tabla9"/>
              <w:jc w:val="center"/>
            </w:pPr>
            <w:r>
              <w:rPr>
                <w:b/>
                <w:color w:val="FFFFFF"/>
              </w:rPr>
              <w:t xml:space="preserve">Aporte previsto</w:t>
            </w:r>
          </w:p>
        </w:tc>
        <w:tc>
          <w:tcPr>
            <w:shd w:val="clear" w:color="auto" w:fill="00B050"/>
          </w:tcPr>
          <w:p>
            <w:pPr>
              <w:pStyle w:val="Tabla9"/>
              <w:jc w:val="center"/>
            </w:pPr>
            <w:r>
              <w:rPr>
                <w:b/>
                <w:color w:val="FFFFFF"/>
              </w:rPr>
              <w:t xml:space="preserve">Grupo MinCiencias</w:t>
            </w:r>
          </w:p>
        </w:tc>
        <w:tc>
          <w:tcPr>
            <w:shd w:val="clear" w:color="auto" w:fill="00B050"/>
          </w:tcPr>
          <w:p>
            <w:pPr>
              <w:pStyle w:val="Tabla9"/>
              <w:jc w:val="center"/>
            </w:pPr>
            <w:r>
              <w:rPr>
                <w:b/>
                <w:color w:val="FFFFFF"/>
              </w:rPr>
              <w:t xml:space="preserve">Verificación</w:t>
            </w:r>
          </w:p>
        </w:tc>
      </w:tr>
      <w:tr>
        <w:trPr>
          <w:cantSplit/>
        </w:trPr>
        <w:tc>
          <w:tcPr/>
          <w:p>
            <w:pPr>
              <w:pStyle w:val="Tabla9"/>
              <w:jc w:val="left"/>
            </w:pPr>
            <w:r>
              <w:t xml:space="preserve">Entidad ejecutora: IES con acreditación de alta calidad [DATO_USUARIO: nombre]</w:t>
            </w:r>
          </w:p>
        </w:tc>
        <w:tc>
          <w:tcPr/>
          <w:p>
            <w:pPr>
              <w:pStyle w:val="Tabla9"/>
              <w:jc w:val="left"/>
            </w:pPr>
            <w:r>
              <w:t xml:space="preserve">Metrología, ciencia de datos, evaluación y gestión de proyectos</w:t>
            </w:r>
          </w:p>
        </w:tc>
        <w:tc>
          <w:tcPr/>
          <w:p>
            <w:pPr>
              <w:pStyle w:val="Tabla9"/>
              <w:jc w:val="left"/>
            </w:pPr>
            <w:r>
              <w:t xml:space="preserve">Acreditación vigente, proyectos previos y laboratorio con trazabilidad</w:t>
            </w:r>
          </w:p>
        </w:tc>
        <w:tc>
          <w:tcPr/>
          <w:p>
            <w:pPr>
              <w:pStyle w:val="Tabla9"/>
              <w:jc w:val="left"/>
            </w:pPr>
            <w:r>
              <w:t xml:space="preserve">COP 1.100.000.000 en especie; desglose PROPUESTO</w:t>
            </w:r>
          </w:p>
        </w:tc>
        <w:tc>
          <w:tcPr/>
          <w:p>
            <w:pPr>
              <w:pStyle w:val="Tabla9"/>
              <w:jc w:val="left"/>
            </w:pPr>
            <w:r>
              <w:t xml:space="preserve">[DATO_USUARIO: categoría y nombre del grupo]</w:t>
            </w:r>
          </w:p>
        </w:tc>
        <w:tc>
          <w:tcPr/>
          <w:p>
            <w:pPr>
              <w:pStyle w:val="Tabla9"/>
              <w:jc w:val="left"/>
            </w:pPr>
            <w:r>
              <w:t xml:space="preserve">NO_VERIFICADO</w:t>
            </w:r>
          </w:p>
        </w:tc>
      </w:tr>
      <w:tr>
        <w:trPr>
          <w:cantSplit/>
        </w:trPr>
        <w:tc>
          <w:tcPr/>
          <w:p>
            <w:pPr>
              <w:pStyle w:val="Tabla9"/>
              <w:jc w:val="left"/>
            </w:pPr>
            <w:r>
              <w:t xml:space="preserve">Empresa tecnológica [DATO_USUARIO: nombre]</w:t>
            </w:r>
          </w:p>
        </w:tc>
        <w:tc>
          <w:tcPr/>
          <w:p>
            <w:pPr>
              <w:pStyle w:val="Tabla9"/>
              <w:jc w:val="left"/>
            </w:pPr>
            <w:r>
              <w:t xml:space="preserve">Ingeniería IoT, firmware, plataforma y nube</w:t>
            </w:r>
          </w:p>
        </w:tc>
        <w:tc>
          <w:tcPr/>
          <w:p>
            <w:pPr>
              <w:pStyle w:val="Tabla9"/>
              <w:jc w:val="left"/>
            </w:pPr>
            <w:r>
              <w:t xml:space="preserve">Portafolio verificable; disponibilidad de la plataforma de 99,0 % o más</w:t>
            </w:r>
          </w:p>
        </w:tc>
        <w:tc>
          <w:tcPr/>
          <w:p>
            <w:pPr>
              <w:pStyle w:val="Tabla9"/>
              <w:jc w:val="left"/>
            </w:pPr>
            <w:r>
              <w:t xml:space="preserve">COP 210.000.000 en efectivo y COP 800.000.000 en especie</w:t>
            </w:r>
          </w:p>
        </w:tc>
        <w:tc>
          <w:tcPr/>
          <w:p>
            <w:pPr>
              <w:pStyle w:val="Tabla9"/>
              <w:jc w:val="left"/>
            </w:pPr>
            <w:r>
              <w:t xml:space="preserve">No aplica</w:t>
            </w:r>
          </w:p>
        </w:tc>
        <w:tc>
          <w:tcPr/>
          <w:p>
            <w:pPr>
              <w:pStyle w:val="Tabla9"/>
              <w:jc w:val="left"/>
            </w:pPr>
            <w:r>
              <w:t xml:space="preserve">NO_VERIFICADO</w:t>
            </w:r>
          </w:p>
        </w:tc>
      </w:tr>
      <w:tr>
        <w:trPr>
          <w:cantSplit/>
        </w:trPr>
        <w:tc>
          <w:tcPr/>
          <w:p>
            <w:pPr>
              <w:pStyle w:val="Tabla9"/>
              <w:jc w:val="left"/>
            </w:pPr>
            <w:r>
              <w:t xml:space="preserve">Alcaldías de los municipios focalizados [DATO_USUARIO: nombres]</w:t>
            </w:r>
          </w:p>
        </w:tc>
        <w:tc>
          <w:tcPr/>
          <w:p>
            <w:pPr>
              <w:pStyle w:val="Tabla9"/>
              <w:jc w:val="left"/>
            </w:pPr>
            <w:r>
              <w:t xml:space="preserve">Custodia y uso del tablero</w:t>
            </w:r>
          </w:p>
        </w:tc>
        <w:tc>
          <w:tcPr/>
          <w:p>
            <w:pPr>
              <w:pStyle w:val="Tabla9"/>
              <w:jc w:val="left"/>
            </w:pPr>
            <w:r>
              <w:t xml:space="preserve">Convenios de custodia con partida (compuerta C2)</w:t>
            </w:r>
          </w:p>
        </w:tc>
        <w:tc>
          <w:tcPr/>
          <w:p>
            <w:pPr>
              <w:pStyle w:val="Tabla9"/>
              <w:jc w:val="left"/>
            </w:pPr>
            <w:r>
              <w:t xml:space="preserve">Sin aporte (VACIO)</w:t>
            </w:r>
          </w:p>
        </w:tc>
        <w:tc>
          <w:tcPr/>
          <w:p>
            <w:pPr>
              <w:pStyle w:val="Tabla9"/>
              <w:jc w:val="left"/>
            </w:pPr>
            <w:r>
              <w:t xml:space="preserve">No aplica</w:t>
            </w:r>
          </w:p>
        </w:tc>
        <w:tc>
          <w:tcPr/>
          <w:p>
            <w:pPr>
              <w:pStyle w:val="Tabla9"/>
              <w:jc w:val="left"/>
            </w:pPr>
            <w:r>
              <w:t xml:space="preserve">NO_VERIFICADO</w:t>
            </w:r>
          </w:p>
        </w:tc>
      </w:tr>
      <w:tr>
        <w:trPr>
          <w:cantSplit/>
        </w:trPr>
        <w:tc>
          <w:tcPr/>
          <w:p>
            <w:pPr>
              <w:pStyle w:val="Tabla9"/>
              <w:jc w:val="left"/>
            </w:pPr>
            <w:r>
              <w:t xml:space="preserve">UNGRD</w:t>
            </w:r>
          </w:p>
        </w:tc>
        <w:tc>
          <w:tcPr/>
          <w:p>
            <w:pPr>
              <w:pStyle w:val="Tabla9"/>
              <w:jc w:val="left"/>
            </w:pPr>
            <w:r>
              <w:t xml:space="preserve">Articulación nacional del protocolo</w:t>
            </w:r>
          </w:p>
        </w:tc>
        <w:tc>
          <w:tcPr/>
          <w:p>
            <w:pPr>
              <w:pStyle w:val="Tabla9"/>
              <w:jc w:val="left"/>
            </w:pPr>
            <w:r>
              <w:t xml:space="preserve">[DATO_USUARIO: acta o carta de articulación]</w:t>
            </w:r>
          </w:p>
        </w:tc>
        <w:tc>
          <w:tcPr/>
          <w:p>
            <w:pPr>
              <w:pStyle w:val="Tabla9"/>
              <w:jc w:val="left"/>
            </w:pPr>
            <w:r>
              <w:t xml:space="preserve">Sin aporte financiero previsto</w:t>
            </w:r>
          </w:p>
        </w:tc>
        <w:tc>
          <w:tcPr/>
          <w:p>
            <w:pPr>
              <w:pStyle w:val="Tabla9"/>
              <w:jc w:val="left"/>
            </w:pPr>
            <w:r>
              <w:t xml:space="preserve">No aplica</w:t>
            </w:r>
          </w:p>
        </w:tc>
        <w:tc>
          <w:tcPr/>
          <w:p>
            <w:pPr>
              <w:pStyle w:val="Tabla9"/>
              <w:jc w:val="left"/>
            </w:pPr>
            <w:r>
              <w:t xml:space="preserve">NO_VERIFICADO</w:t>
            </w:r>
          </w:p>
        </w:tc>
      </w:tr>
      <w:tr>
        <w:trPr>
          <w:cantSplit/>
        </w:trPr>
        <w:tc>
          <w:tcPr/>
          <w:p>
            <w:pPr>
              <w:pStyle w:val="Tabla9"/>
              <w:jc w:val="left"/>
            </w:pPr>
            <w:r>
              <w:t xml:space="preserve">Comités de gestión del riesgo</w:t>
            </w:r>
          </w:p>
        </w:tc>
        <w:tc>
          <w:tcPr/>
          <w:p>
            <w:pPr>
              <w:pStyle w:val="Tabla9"/>
              <w:jc w:val="left"/>
            </w:pPr>
            <w:r>
              <w:t xml:space="preserve">Decisión con datos del tablero</w:t>
            </w:r>
          </w:p>
        </w:tc>
        <w:tc>
          <w:tcPr/>
          <w:p>
            <w:pPr>
              <w:pStyle w:val="Tabla9"/>
              <w:jc w:val="left"/>
            </w:pPr>
            <w:r>
              <w:t xml:space="preserve">Decisiones documentadas de al menos 75 % de los comités</w:t>
            </w:r>
          </w:p>
        </w:tc>
        <w:tc>
          <w:tcPr/>
          <w:p>
            <w:pPr>
              <w:pStyle w:val="Tabla9"/>
              <w:jc w:val="left"/>
            </w:pPr>
            <w:r>
              <w:t xml:space="preserve">Tiempo del personal [DATO_USUARIO: horas por comité]</w:t>
            </w:r>
          </w:p>
        </w:tc>
        <w:tc>
          <w:tcPr/>
          <w:p>
            <w:pPr>
              <w:pStyle w:val="Tabla9"/>
              <w:jc w:val="left"/>
            </w:pPr>
            <w:r>
              <w:t xml:space="preserve">No aplica</w:t>
            </w:r>
          </w:p>
        </w:tc>
        <w:tc>
          <w:tcPr/>
          <w:p>
            <w:pPr>
              <w:pStyle w:val="Tabla9"/>
              <w:jc w:val="left"/>
            </w:pPr>
            <w:r>
              <w:t xml:space="preserve">NO_VERIFICADO</w:t>
            </w:r>
          </w:p>
        </w:tc>
      </w:tr>
      <w:tr>
        <w:trPr>
          <w:cantSplit/>
        </w:trPr>
        <w:tc>
          <w:tcPr/>
          <w:p>
            <w:pPr>
              <w:pStyle w:val="Tabla9"/>
              <w:jc w:val="left"/>
            </w:pPr>
            <w:r>
              <w:t xml:space="preserve">Laboratorio acreditado de gravimetría [DATO_USUARIO: nombre]</w:t>
            </w:r>
          </w:p>
        </w:tc>
        <w:tc>
          <w:tcPr/>
          <w:p>
            <w:pPr>
              <w:pStyle w:val="Tabla9"/>
              <w:jc w:val="left"/>
            </w:pPr>
            <w:r>
              <w:t xml:space="preserve">Análisis gravimétrico de PM2,5 y PM10</w:t>
            </w:r>
          </w:p>
        </w:tc>
        <w:tc>
          <w:tcPr/>
          <w:p>
            <w:pPr>
              <w:pStyle w:val="Tabla9"/>
              <w:jc w:val="left"/>
            </w:pPr>
            <w:r>
              <w:t xml:space="preserve">Acreditación vigente y trazabilidad</w:t>
            </w:r>
          </w:p>
        </w:tc>
        <w:tc>
          <w:tcPr/>
          <w:p>
            <w:pPr>
              <w:pStyle w:val="Tabla9"/>
              <w:jc w:val="left"/>
            </w:pPr>
            <w:r>
              <w:t xml:space="preserve">COP 84.000.000 por 240 muestras</w:t>
            </w:r>
          </w:p>
        </w:tc>
        <w:tc>
          <w:tcPr/>
          <w:p>
            <w:pPr>
              <w:pStyle w:val="Tabla9"/>
              <w:jc w:val="left"/>
            </w:pPr>
            <w:r>
              <w:t xml:space="preserve">No aplica</w:t>
            </w:r>
          </w:p>
        </w:tc>
        <w:tc>
          <w:tcPr/>
          <w:p>
            <w:pPr>
              <w:pStyle w:val="Tabla9"/>
              <w:jc w:val="left"/>
            </w:pPr>
            <w:r>
              <w:t xml:space="preserve">NO_VERIFICADO</w:t>
            </w:r>
          </w:p>
        </w:tc>
      </w:tr>
      <w:tr>
        <w:trPr>
          <w:cantSplit/>
        </w:trPr>
        <w:tc>
          <w:tcPr/>
          <w:p>
            <w:pPr>
              <w:pStyle w:val="Tabla9"/>
              <w:jc w:val="left"/>
            </w:pPr>
            <w:r>
              <w:t xml:space="preserve">Evaluador externo independiente [DATO_USUARIO: nombre]</w:t>
            </w:r>
          </w:p>
        </w:tc>
        <w:tc>
          <w:tcPr/>
          <w:p>
            <w:pPr>
              <w:pStyle w:val="Tabla9"/>
              <w:jc w:val="left"/>
            </w:pPr>
            <w:r>
              <w:t xml:space="preserve">Evaluación en los meses 12 y 24</w:t>
            </w:r>
          </w:p>
        </w:tc>
        <w:tc>
          <w:tcPr/>
          <w:p>
            <w:pPr>
              <w:pStyle w:val="Tabla9"/>
              <w:jc w:val="left"/>
            </w:pPr>
            <w:r>
              <w:t xml:space="preserve">Independencia respecto del ejecutor y metodología publicada</w:t>
            </w:r>
          </w:p>
        </w:tc>
        <w:tc>
          <w:tcPr/>
          <w:p>
            <w:pPr>
              <w:pStyle w:val="Tabla9"/>
              <w:jc w:val="left"/>
            </w:pPr>
            <w:r>
              <w:t xml:space="preserve">COP 120.000.000 por dos evaluaciones</w:t>
            </w:r>
          </w:p>
        </w:tc>
        <w:tc>
          <w:tcPr/>
          <w:p>
            <w:pPr>
              <w:pStyle w:val="Tabla9"/>
              <w:jc w:val="left"/>
            </w:pPr>
            <w:r>
              <w:t xml:space="preserve">No aplica</w:t>
            </w:r>
          </w:p>
        </w:tc>
        <w:tc>
          <w:tcPr/>
          <w:p>
            <w:pPr>
              <w:pStyle w:val="Tabla9"/>
              <w:jc w:val="left"/>
            </w:pPr>
            <w:r>
              <w:t xml:space="preserve">NO_VERIFICADO</w:t>
            </w:r>
          </w:p>
        </w:tc>
      </w:tr>
      <w:tr>
        <w:trPr>
          <w:cantSplit/>
        </w:trPr>
        <w:tc>
          <w:tcPr/>
          <w:p>
            <w:pPr>
              <w:pStyle w:val="Tabla9"/>
              <w:jc w:val="left"/>
            </w:pPr>
            <w:r>
              <w:t xml:space="preserve">Laboratorio externo de ensayo [DATO_USUARIO: nombre]</w:t>
            </w:r>
          </w:p>
        </w:tc>
        <w:tc>
          <w:tcPr/>
          <w:p>
            <w:pPr>
              <w:pStyle w:val="Tabla9"/>
              <w:jc w:val="left"/>
            </w:pPr>
            <w:r>
              <w:t xml:space="preserve">Ensayo de desempeño en los meses 20 a 24</w:t>
            </w:r>
          </w:p>
        </w:tc>
        <w:tc>
          <w:tcPr/>
          <w:p>
            <w:pPr>
              <w:pStyle w:val="Tabla9"/>
              <w:jc w:val="left"/>
            </w:pPr>
            <w:r>
              <w:t xml:space="preserve">Acreditación vigente y protocolo de ensayo</w:t>
            </w:r>
          </w:p>
        </w:tc>
        <w:tc>
          <w:tcPr/>
          <w:p>
            <w:pPr>
              <w:pStyle w:val="Tabla9"/>
              <w:jc w:val="left"/>
            </w:pPr>
            <w:r>
              <w:t xml:space="preserve">COP 90.000.000 por una campaña</w:t>
            </w:r>
          </w:p>
        </w:tc>
        <w:tc>
          <w:tcPr/>
          <w:p>
            <w:pPr>
              <w:pStyle w:val="Tabla9"/>
              <w:jc w:val="left"/>
            </w:pPr>
            <w:r>
              <w:t xml:space="preserve">No aplica</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la ficha maestra del proyecto (contrapartida y líneas S01, S07 y S08). Alianza y territorio: SUPUESTO por instrucción del usuario. Los nombres de entidades y las categorías de grupos son [DATO_USUARIO]. Las certificaciones de contrapartida están pendientes.</w:t>
      </w:r>
    </w:p>
    <w:p>
      <w:pPr>
        <w:pStyle w:val="BodyText"/>
      </w:pPr>
      <w:r>
        <w:t xml:space="preserve">La Tabla 5.7 contiene ocho roles y una sola cifra de aporte comprometido por actor, la declarada en el expediente. Los aportes de los proveedores son valores del presupuesto, no compromisos de terceros. La categoría del grupo y los nombres de las entidades son vacíos que solo el usuario puede llenar. El proyecto no completa esos campos con supuestos, porque una categoría falsa invalidaría la propuesta ante el evaluador. La Figura 5.3 representa la alianza con sus roles y aportes.</w:t>
      </w:r>
    </w:p>
    <w:bookmarkEnd w:id="445"/>
    <w:bookmarkStart w:id="449" w:name="X08200962dfb3d0132f95159449b1347f2eae96b"/>
    <w:p>
      <w:pPr>
        <w:pStyle w:val="Heading3"/>
      </w:pPr>
      <w:r>
        <w:t xml:space="preserve">5.5.2 Complementariedad entre aliados y vocación regional</w:t>
      </w:r>
    </w:p>
    <w:p>
      <w:pPr>
        <w:pStyle w:val="FirstParagraph"/>
      </w:pPr>
      <w:r>
        <w:t xml:space="preserve">La complementariedad entre aliados se valida en la etapa de admisión (Gate 0). Esa validación no se aportó. La Figura 5.3 presenta la alianza con relaciones de dos clases. Las relaciones de línea continua cuentan con soporte en el presupuesto y en la contrapartida declarada. Las relaciones de línea discontinua son supuestos o aportes VACIO, como el aporte de las alcaldías. La contrapartida de la empresa, COP 210.000.000 en efectivo y COP 800.000.000 en especie, es DECLARADO. La contrapartida de la IES, COP 1.100.000.000 en especie, cuenta con un desglose PROPUESTO que reconstruye el valor declarado.</w:t>
      </w:r>
    </w:p>
    <w:p>
      <w:pPr>
        <w:pStyle w:val="FiguraRotulo"/>
      </w:pPr>
      <w:bookmarkStart w:id="9514" w:name="rot_Figura_5_3"/>
      <w:r>
        <w:rPr>
          <w:b/>
          <w:bCs/>
        </w:rPr>
        <w:t xml:space="preserve">Figura 5.3</w:t>
      </w:r>
      <w:bookmarkEnd w:id="9514"/>
    </w:p>
    <w:p>
      <w:pPr>
        <w:pStyle w:val="FiguraTitulo"/>
      </w:pPr>
      <w:r>
        <w:rPr>
          <w:i/>
          <w:iCs/>
        </w:rPr>
        <w:t xml:space="preserve">Mapa de alianzas estratégicas con roles y aportes</w:t>
      </w:r>
    </w:p>
    <w:p>
      <w:pPr>
        <w:pStyle w:val="BodyText"/>
      </w:pPr>
      <w:r>
        <w:drawing>
          <wp:inline>
            <wp:extent cx="5579999" cy="3455657"/>
            <wp:effectExtent b="0" l="0" r="0" t="0"/>
            <wp:docPr descr="" title="" id="447" name="Picture"/>
            <a:graphic>
              <a:graphicData uri="http://schemas.openxmlformats.org/drawingml/2006/picture">
                <pic:pic>
                  <pic:nvPicPr>
                    <pic:cNvPr descr="/tmp/claude-0/-home-user-docs/ddf38714-2a7e-502b-92b4-1008e2832422/scratchpad/proy/figs/out/c5_f03.png" id="448" name="Picture"/>
                    <pic:cNvPicPr>
                      <a:picLocks noChangeArrowheads="1" noChangeAspect="1"/>
                    </pic:cNvPicPr>
                  </pic:nvPicPr>
                  <pic:blipFill>
                    <a:blip r:embed="rId446"/>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Alianza y territorio: SUPUESTO por instrucción del usuario; nombres de entidades: [DATO_USUARIO]. Valores del presupuesto de la ficha maestra en millones de pesos colombianos (COP). Elaboración propia con matplotlib 3.11.2 y estilo.py; tamaño de 10 × 7 pulgadas; sin semilla aleatoria; corte del 13 de octubre de 2026.</w:t>
      </w:r>
    </w:p>
    <w:p>
      <w:pPr>
        <w:pStyle w:val="BodyText"/>
      </w:pPr>
      <w:r>
        <w:t xml:space="preserve">La vocación productiva regional es [DATO_USUARIO: vocación productiva regional]. La alineación con las líneas de los grupos vinculados es [DATO_USUARIO: líneas de investigación de los grupos]. Lo que el presupuesto sí documenta es capacidad regional creada. Contempla seis jóvenes investigadores, dos estudiantes de maestría, seis técnicos de campo departamentales y dos profesionales de apropiación social (DECLARADO y PROPUESTO). Esos perfiles permanecen en los departamentos después del cierre solo si los convenios de custodia los absorben, y esa condición es una incógnita (VACIO). La capacidad de absorción de los custodios es NO_CALCULABLE en esta etapa.</w:t>
      </w:r>
    </w:p>
    <w:p>
      <w:pPr>
        <w:pStyle w:val="BodyText"/>
      </w:pPr>
      <w:r>
        <w:t xml:space="preserve">El riesgo institucional principal es la custodia. El riesgo R-ORG-02 describe que los custodios no asuman la operación posterior al cierre. Su probabilidad es de 50 % y su valor monetario esperado es de COP 60.000.000 (CALCULADO). El riesgo R-ORG-01 describe la no adopción del tablero, con probabilidad de 40 %. Ambos se mitigan con la formación por tramo y con convenios con partida. La pertinencia institucional se verifica, por tanto, con el comportamiento de la alianza en las compuertas y no con la lista de capacidades declaradas.</w:t>
      </w:r>
    </w:p>
    <w:bookmarkEnd w:id="449"/>
    <w:bookmarkEnd w:id="450"/>
    <w:bookmarkStart w:id="451" w:name="_Toc00900174"/>
    <w:p>
      <w:pPr>
        <w:pStyle w:val="Heading2"/>
      </w:pPr>
      <w:r>
        <w:t xml:space="preserve">5.6 Validación de la Coherencia de la Tríada</w:t>
      </w:r>
    </w:p>
    <w:p>
      <w:pPr>
        <w:pStyle w:val="FirstParagraph"/>
      </w:pPr>
      <w:r>
        <w:t xml:space="preserve">La regla del método GENESIS-CTeI exige verificar cinco correspondencias binarias antes de aceptar la justificación. La regla de decisión es estricta: cinco de cinco aprueba y cualquier fallo activa una alerta con la correspondencia rota identificada por su letra. La Tabla 5.8 informa el resultado sin atenuarlo. Cuatro correspondencias cumplen, una de ellas con reserva. Una cumple de manera parcial y activa la alerta. El proyecto continúa por orden expresa del usuario, con la reserva registrada en el cierre (DEC-F12).</w:t>
      </w:r>
    </w:p>
    <w:p>
      <w:pPr>
        <w:pStyle w:val="TablaRotulo"/>
      </w:pPr>
      <w:bookmarkStart w:id="9287" w:name="rot_Tabla_5_8"/>
      <w:r>
        <w:rPr>
          <w:b/>
          <w:bCs/>
        </w:rPr>
        <w:t xml:space="preserve">Tabla 5.8</w:t>
      </w:r>
      <w:bookmarkEnd w:id="9287"/>
    </w:p>
    <w:p>
      <w:pPr>
        <w:pStyle w:val="TablaTitulo"/>
      </w:pPr>
      <w:r>
        <w:rPr>
          <w:i/>
          <w:iCs/>
        </w:rPr>
        <w:t xml:space="preserve">Validación de la coherencia de la tríada entre título, problema y objetivos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98"/>
        <w:gridCol w:w="2196"/>
        <w:gridCol w:w="1264"/>
        <w:gridCol w:w="1930"/>
        <w:gridCol w:w="1730"/>
      </w:tblGrid>
      <w:tr>
        <w:trPr>
          <w:cantSplit/>
          <w:tblHeader/>
        </w:trPr>
        <w:tc>
          <w:tcPr>
            <w:shd w:val="clear" w:color="auto" w:fill="00B050"/>
          </w:tcPr>
          <w:p>
            <w:pPr>
              <w:pStyle w:val="Tabla9"/>
              <w:jc w:val="center"/>
            </w:pPr>
            <w:r>
              <w:rPr>
                <w:b/>
                <w:color w:val="FFFFFF"/>
              </w:rPr>
              <w:t xml:space="preserve">Letra</w:t>
            </w:r>
          </w:p>
        </w:tc>
        <w:tc>
          <w:tcPr>
            <w:shd w:val="clear" w:color="auto" w:fill="00B050"/>
          </w:tcPr>
          <w:p>
            <w:pPr>
              <w:pStyle w:val="Tabla9"/>
              <w:jc w:val="center"/>
            </w:pPr>
            <w:r>
              <w:rPr>
                <w:b/>
                <w:color w:val="FFFFFF"/>
              </w:rPr>
              <w:t xml:space="preserve">Correspondencia verificable</w:t>
            </w:r>
          </w:p>
        </w:tc>
        <w:tc>
          <w:tcPr>
            <w:shd w:val="clear" w:color="auto" w:fill="00B050"/>
          </w:tcPr>
          <w:p>
            <w:pPr>
              <w:pStyle w:val="Tabla9"/>
              <w:jc w:val="center"/>
            </w:pPr>
            <w:r>
              <w:rPr>
                <w:b/>
                <w:color w:val="FFFFFF"/>
              </w:rPr>
              <w:t xml:space="preserve">Resultado</w:t>
            </w:r>
          </w:p>
        </w:tc>
        <w:tc>
          <w:tcPr>
            <w:shd w:val="clear" w:color="auto" w:fill="00B050"/>
          </w:tcPr>
          <w:p>
            <w:pPr>
              <w:pStyle w:val="Tabla9"/>
              <w:jc w:val="center"/>
            </w:pPr>
            <w:r>
              <w:rPr>
                <w:b/>
                <w:color w:val="FFFFFF"/>
              </w:rPr>
              <w:t xml:space="preserve">Evidencia</w:t>
            </w:r>
          </w:p>
        </w:tc>
        <w:tc>
          <w:tcPr>
            <w:shd w:val="clear" w:color="auto" w:fill="00B050"/>
          </w:tcPr>
          <w:p>
            <w:pPr>
              <w:pStyle w:val="Tabla9"/>
              <w:jc w:val="center"/>
            </w:pPr>
            <w:r>
              <w:rPr>
                <w:b/>
                <w:color w:val="FFFFFF"/>
              </w:rPr>
              <w:t xml:space="preserve">Alerta y ruta</w:t>
            </w:r>
          </w:p>
        </w:tc>
      </w:tr>
      <w:tr>
        <w:trPr>
          <w:cantSplit/>
        </w:trPr>
        <w:tc>
          <w:tcPr/>
          <w:p>
            <w:pPr>
              <w:pStyle w:val="Tabla9"/>
              <w:jc w:val="left"/>
            </w:pPr>
            <w:r>
              <w:t xml:space="preserve">a</w:t>
            </w:r>
          </w:p>
        </w:tc>
        <w:tc>
          <w:tcPr/>
          <w:p>
            <w:pPr>
              <w:pStyle w:val="Tabla9"/>
              <w:jc w:val="left"/>
            </w:pPr>
            <w:r>
              <w:t xml:space="preserve">El objeto del título aparece en el enunciado del problema sustantivo</w:t>
            </w:r>
          </w:p>
        </w:tc>
        <w:tc>
          <w:tcPr/>
          <w:p>
            <w:pPr>
              <w:pStyle w:val="Tabla9"/>
              <w:jc w:val="left"/>
            </w:pPr>
            <w:r>
              <w:t xml:space="preserve">Sí</w:t>
            </w:r>
          </w:p>
        </w:tc>
        <w:tc>
          <w:tcPr/>
          <w:p>
            <w:pPr>
              <w:pStyle w:val="Tabla9"/>
              <w:jc w:val="left"/>
            </w:pPr>
            <w:r>
              <w:t xml:space="preserve">El título nombra la gestión del riesgo por material particulado con red y gemelo digital; el problema sustantivo nombra las mediciones de PM2,5 y PM10 de los comités</w:t>
            </w:r>
          </w:p>
        </w:tc>
        <w:tc>
          <w:tcPr/>
          <w:p>
            <w:pPr>
              <w:pStyle w:val="Tabla9"/>
              <w:jc w:val="left"/>
            </w:pPr>
            <w:r>
              <w:t xml:space="preserve">Sin alerta</w:t>
            </w:r>
          </w:p>
        </w:tc>
      </w:tr>
      <w:tr>
        <w:trPr>
          <w:cantSplit/>
        </w:trPr>
        <w:tc>
          <w:tcPr/>
          <w:p>
            <w:pPr>
              <w:pStyle w:val="Tabla9"/>
              <w:jc w:val="left"/>
            </w:pPr>
            <w:r>
              <w:t xml:space="preserve">b</w:t>
            </w:r>
          </w:p>
        </w:tc>
        <w:tc>
          <w:tcPr/>
          <w:p>
            <w:pPr>
              <w:pStyle w:val="Tabla9"/>
              <w:jc w:val="left"/>
            </w:pPr>
            <w:r>
              <w:t xml:space="preserve">El verbo del objetivo general es la conversión positiva del problema central</w:t>
            </w:r>
          </w:p>
        </w:tc>
        <w:tc>
          <w:tcPr/>
          <w:p>
            <w:pPr>
              <w:pStyle w:val="Tabla9"/>
              <w:jc w:val="left"/>
            </w:pPr>
            <w:r>
              <w:t xml:space="preserve">Sí</w:t>
            </w:r>
          </w:p>
        </w:tc>
        <w:tc>
          <w:tcPr/>
          <w:p>
            <w:pPr>
              <w:pStyle w:val="Tabla9"/>
              <w:jc w:val="left"/>
            </w:pPr>
            <w:r>
              <w:t xml:space="preserve">El problema central es el error de medición sin verificar (V06); el objetivo general es reducirlo y asegurar su uso</w:t>
            </w:r>
          </w:p>
        </w:tc>
        <w:tc>
          <w:tcPr/>
          <w:p>
            <w:pPr>
              <w:pStyle w:val="Tabla9"/>
              <w:jc w:val="left"/>
            </w:pPr>
            <w:r>
              <w:t xml:space="preserve">Sin alerta</w:t>
            </w:r>
          </w:p>
        </w:tc>
      </w:tr>
      <w:tr>
        <w:trPr>
          <w:cantSplit/>
        </w:trPr>
        <w:tc>
          <w:tcPr/>
          <w:p>
            <w:pPr>
              <w:pStyle w:val="Tabla9"/>
              <w:jc w:val="left"/>
            </w:pPr>
            <w:r>
              <w:t xml:space="preserve">c</w:t>
            </w:r>
          </w:p>
        </w:tc>
        <w:tc>
          <w:tcPr/>
          <w:p>
            <w:pPr>
              <w:pStyle w:val="Tabla9"/>
              <w:jc w:val="left"/>
            </w:pPr>
            <w:r>
              <w:t xml:space="preserve">Cada objetivo específico nombra una causa priorizada del cuadrante I o II de Vester</w:t>
            </w:r>
          </w:p>
        </w:tc>
        <w:tc>
          <w:tcPr/>
          <w:p>
            <w:pPr>
              <w:pStyle w:val="Tabla9"/>
              <w:jc w:val="left"/>
            </w:pPr>
            <w:r>
              <w:t xml:space="preserve">Sí</w:t>
            </w:r>
          </w:p>
        </w:tc>
        <w:tc>
          <w:tcPr/>
          <w:p>
            <w:pPr>
              <w:pStyle w:val="Tabla9"/>
              <w:jc w:val="left"/>
            </w:pPr>
            <w:r>
              <w:t xml:space="preserve">OE1: V06 y V02 críticas y V03 activa; OE2: V05 activa; OE3: V15 crítica</w:t>
            </w:r>
          </w:p>
        </w:tc>
        <w:tc>
          <w:tcPr/>
          <w:p>
            <w:pPr>
              <w:pStyle w:val="Tabla9"/>
              <w:jc w:val="left"/>
            </w:pPr>
            <w:r>
              <w:t xml:space="preserve">Sin alerta</w:t>
            </w:r>
          </w:p>
        </w:tc>
      </w:tr>
      <w:tr>
        <w:trPr>
          <w:cantSplit/>
        </w:trPr>
        <w:tc>
          <w:tcPr/>
          <w:p>
            <w:pPr>
              <w:pStyle w:val="Tabla9"/>
              <w:jc w:val="left"/>
            </w:pPr>
            <w:r>
              <w:t xml:space="preserve">d</w:t>
            </w:r>
          </w:p>
        </w:tc>
        <w:tc>
          <w:tcPr/>
          <w:p>
            <w:pPr>
              <w:pStyle w:val="Tabla9"/>
              <w:jc w:val="left"/>
            </w:pPr>
            <w:r>
              <w:t xml:space="preserve">Cada indicador de impacto corresponde a una brecha cuantificada en la línea base</w:t>
            </w:r>
          </w:p>
        </w:tc>
        <w:tc>
          <w:tcPr/>
          <w:p>
            <w:pPr>
              <w:pStyle w:val="Tabla9"/>
              <w:jc w:val="left"/>
            </w:pPr>
            <w:r>
              <w:t xml:space="preserve">Parcial</w:t>
            </w:r>
          </w:p>
        </w:tc>
        <w:tc>
          <w:tcPr/>
          <w:p>
            <w:pPr>
              <w:pStyle w:val="Tabla9"/>
              <w:jc w:val="left"/>
            </w:pPr>
            <w:r>
              <w:t xml:space="preserve">Las líneas base de PERS-S01 y PERS-S02 son VACIO y se miden en el tramo 1</w:t>
            </w:r>
          </w:p>
        </w:tc>
        <w:tc>
          <w:tcPr/>
          <w:p>
            <w:pPr>
              <w:pStyle w:val="Tabla9"/>
              <w:jc w:val="left"/>
            </w:pPr>
            <w:r>
              <w:t xml:space="preserve">ALERTA en d. Ruta: medir ambas líneas base antes de la compuerta C1 y registrarlas en el acta</w:t>
            </w:r>
          </w:p>
        </w:tc>
      </w:tr>
      <w:tr>
        <w:trPr>
          <w:cantSplit/>
        </w:trPr>
        <w:tc>
          <w:tcPr/>
          <w:p>
            <w:pPr>
              <w:pStyle w:val="Tabla9"/>
              <w:jc w:val="left"/>
            </w:pPr>
            <w:r>
              <w:t xml:space="preserve">e</w:t>
            </w:r>
          </w:p>
        </w:tc>
        <w:tc>
          <w:tcPr/>
          <w:p>
            <w:pPr>
              <w:pStyle w:val="Tabla9"/>
              <w:jc w:val="left"/>
            </w:pPr>
            <w:r>
              <w:t xml:space="preserve">El territorio del título, del problema y de la localización coincide</w:t>
            </w:r>
          </w:p>
        </w:tc>
        <w:tc>
          <w:tcPr/>
          <w:p>
            <w:pPr>
              <w:pStyle w:val="Tabla9"/>
              <w:jc w:val="left"/>
            </w:pPr>
            <w:r>
              <w:t xml:space="preserve">Sí con reserva</w:t>
            </w:r>
          </w:p>
        </w:tc>
        <w:tc>
          <w:tcPr/>
          <w:p>
            <w:pPr>
              <w:pStyle w:val="Tabla9"/>
              <w:jc w:val="left"/>
            </w:pPr>
            <w:r>
              <w:t xml:space="preserve">Caldas, Cundinamarca y Valle del Cauca coinciden en el título, el problema y la localización; el territorio es SUPUESTO</w:t>
            </w:r>
          </w:p>
        </w:tc>
        <w:tc>
          <w:tcPr/>
          <w:p>
            <w:pPr>
              <w:pStyle w:val="Tabla9"/>
              <w:jc w:val="left"/>
            </w:pPr>
            <w:r>
              <w:t xml:space="preserve">Reserva R-ART. Ruta: confirmar el territorio con los términos de referencia</w:t>
            </w:r>
          </w:p>
        </w:tc>
      </w:tr>
    </w:tbl>
    <w:p>
      <w:pPr>
        <w:pStyle w:val="TablaNota"/>
      </w:pPr>
      <w:r>
        <w:rPr>
          <w:i/>
          <w:iCs/>
        </w:rPr>
        <w:t xml:space="preserve">Nota.</w:t>
      </w:r>
      <w:r>
        <w:t xml:space="preserve"> </w:t>
      </w:r>
      <w:r>
        <w:t xml:space="preserve">Elaboración propia con la regla de validación de la tríada del metaprompt. Resultado: cuatro de cinco correspondencias cumplen, una con reserva (e); una es parcial (d) y activa la ALERTA. La evaluación externa de los meses 12 y 24 revisa nuevamente la tríada.</w:t>
      </w:r>
    </w:p>
    <w:p>
      <w:pPr>
        <w:pStyle w:val="BodyText"/>
      </w:pPr>
      <w:r>
        <w:t xml:space="preserve">La alerta de la correspondencia d es real y no se resuelve con redacción. Los indicadores de impacto PERS-S01 y PERS-S02 no cuentan con brecha cuantificada porque su línea base es VACIO. La ruta es medirlos en el tramo 1, antes de la compuerta C1, y fijar entonces la meta definitiva. Si la medición no es posible, los dos indicadores quedan como metas condicionadas y la evaluación externa propone una reformulación. Esta ruta mantiene la coherencia sin inventar una cifra.</w:t>
      </w:r>
    </w:p>
    <w:p>
      <w:pPr>
        <w:pStyle w:val="BodyText"/>
      </w:pPr>
      <w:r>
        <w:t xml:space="preserve">La reserva de la correspondencia e es de otra naturaleza. El territorio coincide en el título, el problema y la localización, pero esa coincidencia es un supuesto del usuario. La ruta es confirmarlo con los términos de referencia cuando se aporten. Si el territorio cambia, la tríada se revalida desde el título. La coherencia de la tríada es, por tanto, verificable y condicional. El capítulo concluye así su argumento de justificación con sus límites expuestos y con una ruta de corrección para cada uno.</w:t>
      </w:r>
    </w:p>
    <w:bookmarkEnd w:id="451"/>
    <w:bookmarkEnd w:id="452"/>
    <w:bookmarkStart w:id="493" w:name="_Toc00900175"/>
    <w:p>
      <w:pPr>
        <w:pStyle w:val="Heading1"/>
      </w:pPr>
      <w:r>
        <w:t xml:space="preserve">Capítulo 6. Metodología</w:t>
      </w:r>
    </w:p>
    <w:p>
      <w:pPr>
        <w:pStyle w:val="FirstParagraph"/>
      </w:pPr>
      <w:r>
        <w:t xml:space="preserve">Este capítulo describe cómo el proyecto produce la evidencia que sustenta sus decisiones. Define el enfoque, las fases, las técnicas, la muestra, las reglas éticas y los mecanismos de aprendizaje. Las cifras proceden de la ficha maestra o de la simulación declarada en el apartado 6.3. El proyecto no promete efectos en salud. Promete mediciones verificadas frente a una referencia, uso institucional documentado y continuidad bajo custodia. La red final reúne 100 nodos y 10 gateways, desplegados en tres tramos durante 24 meses (104 semanas).</w:t>
      </w:r>
    </w:p>
    <w:p>
      <w:pPr>
        <w:pStyle w:val="BodyText"/>
      </w:pPr>
      <w:r>
        <w:t xml:space="preserve">El orden de las secciones sigue la ejecución. La sección 6.1 fija el enfoque y la 6.2 describe las cinco fases. La sección 6.3 detalla la medición y sus instrumentos. Las secciones 6.4 a 6.6 tratan la población, la ética y la captura de aprendizajes.</w:t>
      </w:r>
    </w:p>
    <w:bookmarkStart w:id="456" w:name="_Toc00900176"/>
    <w:p>
      <w:pPr>
        <w:pStyle w:val="Heading2"/>
      </w:pPr>
      <w:r>
        <w:t xml:space="preserve">6.1 Enfoque metodológico</w:t>
      </w:r>
    </w:p>
    <w:bookmarkStart w:id="453" w:name="_Toc00900177"/>
    <w:p>
      <w:pPr>
        <w:pStyle w:val="Heading3"/>
      </w:pPr>
      <w:r>
        <w:t xml:space="preserve">6.1.1 Tipo de investigación y desarrollo</w:t>
      </w:r>
    </w:p>
    <w:p>
      <w:pPr>
        <w:pStyle w:val="FirstParagraph"/>
      </w:pPr>
      <w:r>
        <w:t xml:space="preserve">El proyecto es una investigación aplicada con desarrollo tecnológico e innovación en ingeniería eléctrica, electrónica e informática. La OCDE (2015) separa dos categorías. La investigación aplicada busca conocimiento original para un fin práctico. El desarrollo experimental convierte ese conocimiento en productos o procesos nuevos o mejorados. El Manual de Oslo añade la innovación, definida como un producto o proceso nuevo o mejorado puesto a disposición de quienes lo usan (OCDE, 2018). El proyecto reúne las tres categorías en un solo artefacto. El artefacto comprende 100 nodos de medición, un modelo de corrección en los gateways, un gemelo digital, un tablero y un protocolo de alerta.</w:t>
      </w:r>
    </w:p>
    <w:p>
      <w:pPr>
        <w:pStyle w:val="BodyText"/>
      </w:pPr>
      <w:r>
        <w:t xml:space="preserve">Dos posiciones disputan cómo se valida un trabajo de este tipo. Hevner et al. (2004) sostienen que la ciencia del diseño crea artefactos y los evalúa con criterios de utilidad. Sus siete directrices van de la relevancia del problema a la comunicación de los resultados. La posición contraria exige un diseño con grupo de comparación antes de afirmar cualquier mejora atribuible a la intervención (Gertler et al., 2016). Simon (1973) respalda la primera posición, porque describe cómo los problemas mal estructurados se descomponen en subproblemas que se resuelven por etapas. La contaminación por material particulado posterremoto en tres departamentos es un problema de ese tipo, sin solución única verificable de una sola vez.</w:t>
      </w:r>
    </w:p>
    <w:p>
      <w:pPr>
        <w:pStyle w:val="BodyText"/>
      </w:pPr>
      <w:r>
        <w:t xml:space="preserve">El proyecto aplica la ciencia del diseño al artefacto técnico, que avanza del nivel de madurez tecnológica 4 al 7 (TRL, por Technology Readiness Level; Mankins, 1995). Reserva la lógica de evaluación causal para lo que no pretende afirmar. El objetivo específico OE1 se evalúa como desempeño del artefacto frente a la referencia. Los objetivos OE2 y OE3 se evalúan como disponibilidad y uso. La consecuencia es doble. Cada afirmación de este documento describe el artefacto o su adopción y nunca un efecto en la salud de la población. Además, las relaciones del análisis causal previo conservan el estatuto de hipótesis de influencia estructural (HIE).</w:t>
      </w:r>
    </w:p>
    <w:bookmarkEnd w:id="453"/>
    <w:bookmarkStart w:id="454" w:name="_Toc00900178"/>
    <w:p>
      <w:pPr>
        <w:pStyle w:val="Heading3"/>
      </w:pPr>
      <w:r>
        <w:t xml:space="preserve">6.1.2 Enfoque cuantitativo, cualitativo o mixto</w:t>
      </w:r>
    </w:p>
    <w:p>
      <w:pPr>
        <w:pStyle w:val="FirstParagraph"/>
      </w:pPr>
      <w:r>
        <w:t xml:space="preserve">El enfoque es mixto, con predominio cuantitativo en la medición y cualitativo en el uso institucional. La investigación cuantitativa estima parámetros y contrasta criterios predefinidos con datos numéricos. La cualitativa interpreta significados, prácticas y contextos. La evaluación realista sostiene que el método se elige según la pregunta y el contexto, no por adhesión a una tradición (Pawson y Tilley, 1997). Esa regla justifica la mezcla. La medición de PM2,5 y PM10 y la verificación gravimétrica son cuantitativas. El uso del tablero en los comités combina conteos de decisiones con la lectura de actas y entrevistas.</w:t>
      </w:r>
    </w:p>
    <w:p>
      <w:pPr>
        <w:pStyle w:val="BodyText"/>
      </w:pPr>
      <w:r>
        <w:t xml:space="preserve">La literatura ofrece dos posiciones sobre la evidencia aceptable en este campo. Giordano et al. (2021) y la EPA (2021) defienden métricas y umbrales explícitos para evaluar sensores de bajo costo. Esa posición impide ajustar el criterio a los resultados. Funtowicz y Ravetz (1993) describen una ciencia posnormal. En ella los hechos son inciertos, los valores están en disputa y la decisión es urgente. La evidencia técnica requiere entonces una comunidad ampliada de pares. Callon (1999) añade que el conocimiento de quienes no son especialistas aporta a la producción científica. El contexto posterremoto de Caldas, Cundinamarca y Valle del Cauca cumple las condiciones de urgencia e incertidumbre. Por eso los 15 comités (SUPUESTO) participan en el co-diseño de umbrales durante la actividad A3.1, de 24 semanas.</w:t>
      </w:r>
    </w:p>
    <w:p>
      <w:pPr>
        <w:pStyle w:val="BodyText"/>
      </w:pPr>
      <w:r>
        <w:t xml:space="preserve">Snowden y Boone (2007) ofrecen un criterio para repartir los métodos. En los dominios complicados, el análisis experto conduce a buenas prácticas. En los dominios complejos, conviene sondear, observar y responder. La corrección de sensores pertenece al primer dominio y la adopción institucional al segundo (Glouberman y Zimmerman, 2002). La regla de integración del proyecto se deriva de esa distinción. El criterio cuantitativo decide la compuerta técnica. La evidencia cualitativa explica los resultados y orienta los ajustes, pero no sustituye los umbrales.</w:t>
      </w:r>
    </w:p>
    <w:bookmarkEnd w:id="454"/>
    <w:bookmarkStart w:id="455" w:name="_Toc00900179"/>
    <w:p>
      <w:pPr>
        <w:pStyle w:val="Heading3"/>
      </w:pPr>
      <w:r>
        <w:t xml:space="preserve">6.1.3 Diseño metodológico</w:t>
      </w:r>
    </w:p>
    <w:p>
      <w:pPr>
        <w:pStyle w:val="FirstParagraph"/>
      </w:pPr>
      <w:r>
        <w:t xml:space="preserve">El diseño combina cuatro componentes. El primero es un despliegue por tramos con compuertas de decisión, derivado del modelo de etapas y compuertas (Cooper, 2008). El segundo es un piloto de contraste en el tramo 1. Este tramo contrasta el desempeño de los nodos con la referencia y con las metas antes de comprometer la compra siguiente. El tercero es una validación cruzada del modelo de corrección por departamento y por periodo. El cuarto es una evaluación antes-después, sin grupo de comparación, del uso institucional. Cada componente responde a un objetivo específico y a un riesgo de la ficha maestra.</w:t>
      </w:r>
    </w:p>
    <w:p>
      <w:pPr>
        <w:pStyle w:val="BodyText"/>
      </w:pPr>
      <w:r>
        <w:t xml:space="preserve">Los dos modelos de gestión que sustentan el diseño proponen lógicas distintas. Cooper (2008) organiza el trabajo en etapas separadas por compuertas, en las que se decide continuar, detener, esperar o repetir. Ries (2011) prioriza la velocidad del aprendizaje validado mediante el ciclo construir-medir-aprender y la decisión de pivotar o perseverar. Collingridge (1980) explica la tensión de fondo: al comienzo de una tecnología el cambio es barato y la información escasa, y al final ocurre lo contrario. El proyecto resuelve la tensión con compuertas de criterios numéricos fijados de antemano y con iteraciones libres dentro de cada tramo.</w:t>
      </w:r>
    </w:p>
    <w:p>
      <w:pPr>
        <w:pStyle w:val="BodyText"/>
      </w:pPr>
      <w:r>
        <w:t xml:space="preserve">La Tabla 6.1 resume el diseño en una ficha metodológica. Cada fila remite a un apartado de este capítulo y declara la naturaleza del dato. La ficha opera como contrato de evaluación, porque fija antes de la medición los umbrales, las muestras y el estatuto de las afirmaciones.</w:t>
      </w:r>
    </w:p>
    <w:p>
      <w:pPr>
        <w:pStyle w:val="TablaRotulo"/>
      </w:pPr>
      <w:bookmarkStart w:id="9288" w:name="rot_Tabla_6_1"/>
      <w:r>
        <w:rPr>
          <w:b/>
          <w:bCs/>
        </w:rPr>
        <w:t xml:space="preserve">Tabla 6.1</w:t>
      </w:r>
      <w:bookmarkEnd w:id="9288"/>
    </w:p>
    <w:p>
      <w:pPr>
        <w:pStyle w:val="TablaTitulo"/>
      </w:pPr>
      <w:r>
        <w:rPr>
          <w:i/>
          <w:iCs/>
        </w:rPr>
        <w:t xml:space="preserve">Ficha metodológica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3828"/>
        <w:gridCol w:w="2046"/>
      </w:tblGrid>
      <w:tr>
        <w:trPr>
          <w:cantSplit/>
          <w:tblHeader/>
        </w:trPr>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Decisión metodológica</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Tipo de investigación</w:t>
            </w:r>
          </w:p>
        </w:tc>
        <w:tc>
          <w:tcPr/>
          <w:p>
            <w:pPr>
              <w:pStyle w:val="Tabla9"/>
              <w:jc w:val="left"/>
            </w:pPr>
            <w:r>
              <w:t xml:space="preserve">Investigación aplicada, desarrollo tecnológico e innovación; área 1.2 de la OCDE</w:t>
            </w:r>
          </w:p>
        </w:tc>
        <w:tc>
          <w:tcPr/>
          <w:p>
            <w:pPr>
              <w:pStyle w:val="Tabla9"/>
              <w:jc w:val="left"/>
            </w:pPr>
            <w:r>
              <w:t xml:space="preserve">DECLARADO</w:t>
            </w:r>
          </w:p>
        </w:tc>
      </w:tr>
      <w:tr>
        <w:trPr>
          <w:cantSplit/>
        </w:trPr>
        <w:tc>
          <w:tcPr/>
          <w:p>
            <w:pPr>
              <w:pStyle w:val="Tabla9"/>
              <w:jc w:val="left"/>
            </w:pPr>
            <w:r>
              <w:t xml:space="preserve">Enfoque</w:t>
            </w:r>
          </w:p>
        </w:tc>
        <w:tc>
          <w:tcPr/>
          <w:p>
            <w:pPr>
              <w:pStyle w:val="Tabla9"/>
              <w:jc w:val="left"/>
            </w:pPr>
            <w:r>
              <w:t xml:space="preserve">Mixto: cuantitativo en medición (OE1 y OE2) y mixto en uso institucional (OE3)</w:t>
            </w:r>
          </w:p>
        </w:tc>
        <w:tc>
          <w:tcPr/>
          <w:p>
            <w:pPr>
              <w:pStyle w:val="Tabla9"/>
              <w:jc w:val="left"/>
            </w:pPr>
            <w:r>
              <w:t xml:space="preserve">PROPUESTO</w:t>
            </w:r>
          </w:p>
        </w:tc>
      </w:tr>
      <w:tr>
        <w:trPr>
          <w:cantSplit/>
        </w:trPr>
        <w:tc>
          <w:tcPr/>
          <w:p>
            <w:pPr>
              <w:pStyle w:val="Tabla9"/>
              <w:jc w:val="left"/>
            </w:pPr>
            <w:r>
              <w:t xml:space="preserve">Diseño</w:t>
            </w:r>
          </w:p>
        </w:tc>
        <w:tc>
          <w:tcPr/>
          <w:p>
            <w:pPr>
              <w:pStyle w:val="Tabla9"/>
              <w:jc w:val="left"/>
            </w:pPr>
            <w:r>
              <w:t xml:space="preserve">Ciencia del diseño con ciclo construir-medir-aprender y cinco fases</w:t>
            </w:r>
          </w:p>
        </w:tc>
        <w:tc>
          <w:tcPr/>
          <w:p>
            <w:pPr>
              <w:pStyle w:val="Tabla9"/>
              <w:jc w:val="left"/>
            </w:pPr>
            <w:r>
              <w:t xml:space="preserve">PROPUESTO</w:t>
            </w:r>
          </w:p>
        </w:tc>
      </w:tr>
      <w:tr>
        <w:trPr>
          <w:cantSplit/>
        </w:trPr>
        <w:tc>
          <w:tcPr/>
          <w:p>
            <w:pPr>
              <w:pStyle w:val="Tabla9"/>
              <w:jc w:val="left"/>
            </w:pPr>
            <w:r>
              <w:t xml:space="preserve">Despliegue</w:t>
            </w:r>
          </w:p>
        </w:tc>
        <w:tc>
          <w:tcPr/>
          <w:p>
            <w:pPr>
              <w:pStyle w:val="Tabla9"/>
              <w:jc w:val="left"/>
            </w:pPr>
            <w:r>
              <w:t xml:space="preserve">Tres tramos de 30, 40 y 30 nodos; compuertas C1 (mes 12), C2 (mes 17) y C3 (mes 24)</w:t>
            </w:r>
          </w:p>
        </w:tc>
        <w:tc>
          <w:tcPr/>
          <w:p>
            <w:pPr>
              <w:pStyle w:val="Tabla9"/>
              <w:jc w:val="left"/>
            </w:pPr>
            <w:r>
              <w:t xml:space="preserve">PROPUESTO</w:t>
            </w:r>
          </w:p>
        </w:tc>
      </w:tr>
      <w:tr>
        <w:trPr>
          <w:cantSplit/>
        </w:trPr>
        <w:tc>
          <w:tcPr/>
          <w:p>
            <w:pPr>
              <w:pStyle w:val="Tabla9"/>
              <w:jc w:val="left"/>
            </w:pPr>
            <w:r>
              <w:t xml:space="preserve">Madurez tecnológica</w:t>
            </w:r>
          </w:p>
        </w:tc>
        <w:tc>
          <w:tcPr/>
          <w:p>
            <w:pPr>
              <w:pStyle w:val="Tabla9"/>
              <w:jc w:val="left"/>
            </w:pPr>
            <w:r>
              <w:t xml:space="preserve">TRL 4 al inicio y TRL 7 al final; TRL 8 condicionado a evaluación independiente</w:t>
            </w:r>
          </w:p>
        </w:tc>
        <w:tc>
          <w:tcPr/>
          <w:p>
            <w:pPr>
              <w:pStyle w:val="Tabla9"/>
              <w:jc w:val="left"/>
            </w:pPr>
            <w:r>
              <w:t xml:space="preserve">PROPUESTO</w:t>
            </w:r>
          </w:p>
        </w:tc>
      </w:tr>
      <w:tr>
        <w:trPr>
          <w:cantSplit/>
        </w:trPr>
        <w:tc>
          <w:tcPr/>
          <w:p>
            <w:pPr>
              <w:pStyle w:val="Tabla9"/>
              <w:jc w:val="left"/>
            </w:pPr>
            <w:r>
              <w:t xml:space="preserve">Horizonte</w:t>
            </w:r>
          </w:p>
        </w:tc>
        <w:tc>
          <w:tcPr/>
          <w:p>
            <w:pPr>
              <w:pStyle w:val="Tabla9"/>
              <w:jc w:val="left"/>
            </w:pPr>
            <w:r>
              <w:t xml:space="preserve">24 meses (104 semanas); seguimiento posproyecto de 12 meses</w:t>
            </w:r>
          </w:p>
        </w:tc>
        <w:tc>
          <w:tcPr/>
          <w:p>
            <w:pPr>
              <w:pStyle w:val="Tabla9"/>
              <w:jc w:val="left"/>
            </w:pPr>
            <w:r>
              <w:t xml:space="preserve">DECLARADO; PROPUESTO</w:t>
            </w:r>
          </w:p>
        </w:tc>
      </w:tr>
      <w:tr>
        <w:trPr>
          <w:cantSplit/>
        </w:trPr>
        <w:tc>
          <w:tcPr/>
          <w:p>
            <w:pPr>
              <w:pStyle w:val="Tabla9"/>
              <w:jc w:val="left"/>
            </w:pPr>
            <w:r>
              <w:t xml:space="preserve">Variable de respuesta</w:t>
            </w:r>
          </w:p>
        </w:tc>
        <w:tc>
          <w:tcPr/>
          <w:p>
            <w:pPr>
              <w:pStyle w:val="Tabla9"/>
              <w:jc w:val="left"/>
            </w:pPr>
            <w:r>
              <w:t xml:space="preserve">NRMSE de los nodos frente a la referencia colocalizada; R², pendiente, sesgo y NMAE complementarios</w:t>
            </w:r>
          </w:p>
        </w:tc>
        <w:tc>
          <w:tcPr/>
          <w:p>
            <w:pPr>
              <w:pStyle w:val="Tabla9"/>
              <w:jc w:val="left"/>
            </w:pPr>
            <w:r>
              <w:t xml:space="preserve">PROPUESTO</w:t>
            </w:r>
          </w:p>
        </w:tc>
      </w:tr>
      <w:tr>
        <w:trPr>
          <w:cantSplit/>
        </w:trPr>
        <w:tc>
          <w:tcPr/>
          <w:p>
            <w:pPr>
              <w:pStyle w:val="Tabla9"/>
              <w:jc w:val="left"/>
            </w:pPr>
            <w:r>
              <w:t xml:space="preserve">Umbrales de aceptación</w:t>
            </w:r>
          </w:p>
        </w:tc>
        <w:tc>
          <w:tcPr/>
          <w:p>
            <w:pPr>
              <w:pStyle w:val="Tabla9"/>
              <w:jc w:val="left"/>
            </w:pPr>
            <w:r>
              <w:t xml:space="preserve">R² ≥ 0,70; NRMSE ≤ 30 %; pendiente de 0,65 a 1,35; sesgo de −5,0 a 5,0 µg/m³</w:t>
            </w:r>
          </w:p>
        </w:tc>
        <w:tc>
          <w:tcPr/>
          <w:p>
            <w:pPr>
              <w:pStyle w:val="Tabla9"/>
              <w:jc w:val="left"/>
            </w:pPr>
            <w:r>
              <w:t xml:space="preserve">PROPUESTO</w:t>
            </w:r>
          </w:p>
        </w:tc>
      </w:tr>
      <w:tr>
        <w:trPr>
          <w:cantSplit/>
        </w:trPr>
        <w:tc>
          <w:tcPr/>
          <w:p>
            <w:pPr>
              <w:pStyle w:val="Tabla9"/>
              <w:jc w:val="left"/>
            </w:pPr>
            <w:r>
              <w:t xml:space="preserve">Medición</w:t>
            </w:r>
          </w:p>
        </w:tc>
        <w:tc>
          <w:tcPr/>
          <w:p>
            <w:pPr>
              <w:pStyle w:val="Tabla9"/>
              <w:jc w:val="left"/>
            </w:pPr>
            <w:r>
              <w:t xml:space="preserve">Colocalización en 3 sitios con 10 nodos cada uno durante 16 semanas: 80.640 horas-nodo teóricas</w:t>
            </w:r>
          </w:p>
        </w:tc>
        <w:tc>
          <w:tcPr/>
          <w:p>
            <w:pPr>
              <w:pStyle w:val="Tabla9"/>
              <w:jc w:val="left"/>
            </w:pPr>
            <w:r>
              <w:t xml:space="preserve">CALCULADO</w:t>
            </w:r>
          </w:p>
        </w:tc>
      </w:tr>
      <w:tr>
        <w:trPr>
          <w:cantSplit/>
        </w:trPr>
        <w:tc>
          <w:tcPr/>
          <w:p>
            <w:pPr>
              <w:pStyle w:val="Tabla9"/>
              <w:jc w:val="left"/>
            </w:pPr>
            <w:r>
              <w:t xml:space="preserve">Validación del modelo</w:t>
            </w:r>
          </w:p>
        </w:tc>
        <w:tc>
          <w:tcPr/>
          <w:p>
            <w:pPr>
              <w:pStyle w:val="Tabla9"/>
              <w:jc w:val="left"/>
            </w:pPr>
            <w:r>
              <w:t xml:space="preserve">Tres modelos candidatos; validación cruzada por departamento y partición temporal</w:t>
            </w:r>
          </w:p>
        </w:tc>
        <w:tc>
          <w:tcPr/>
          <w:p>
            <w:pPr>
              <w:pStyle w:val="Tabla9"/>
              <w:jc w:val="left"/>
            </w:pPr>
            <w:r>
              <w:t xml:space="preserve">PROPUESTO</w:t>
            </w:r>
          </w:p>
        </w:tc>
      </w:tr>
      <w:tr>
        <w:trPr>
          <w:cantSplit/>
        </w:trPr>
        <w:tc>
          <w:tcPr/>
          <w:p>
            <w:pPr>
              <w:pStyle w:val="Tabla9"/>
              <w:jc w:val="left"/>
            </w:pPr>
            <w:r>
              <w:t xml:space="preserve">Verificación gravimétrica</w:t>
            </w:r>
          </w:p>
        </w:tc>
        <w:tc>
          <w:tcPr/>
          <w:p>
            <w:pPr>
              <w:pStyle w:val="Tabla9"/>
              <w:jc w:val="left"/>
            </w:pPr>
            <w:r>
              <w:t xml:space="preserve">240 muestras con filtros PTFE en laboratorio acreditado</w:t>
            </w:r>
          </w:p>
        </w:tc>
        <w:tc>
          <w:tcPr/>
          <w:p>
            <w:pPr>
              <w:pStyle w:val="Tabla9"/>
              <w:jc w:val="left"/>
            </w:pPr>
            <w:r>
              <w:t xml:space="preserve">DECLARADO</w:t>
            </w:r>
          </w:p>
        </w:tc>
      </w:tr>
      <w:tr>
        <w:trPr>
          <w:cantSplit/>
        </w:trPr>
        <w:tc>
          <w:tcPr/>
          <w:p>
            <w:pPr>
              <w:pStyle w:val="Tabla9"/>
              <w:jc w:val="left"/>
            </w:pPr>
            <w:r>
              <w:t xml:space="preserve">Población</w:t>
            </w:r>
          </w:p>
        </w:tc>
        <w:tc>
          <w:tcPr/>
          <w:p>
            <w:pPr>
              <w:pStyle w:val="Tabla9"/>
              <w:jc w:val="left"/>
            </w:pPr>
            <w:r>
              <w:t xml:space="preserve">12 municipios, 15 comités y 150 personas funcionarias</w:t>
            </w:r>
          </w:p>
        </w:tc>
        <w:tc>
          <w:tcPr/>
          <w:p>
            <w:pPr>
              <w:pStyle w:val="Tabla9"/>
              <w:jc w:val="left"/>
            </w:pPr>
            <w:r>
              <w:t xml:space="preserve">SUPUESTO</w:t>
            </w:r>
          </w:p>
        </w:tc>
      </w:tr>
      <w:tr>
        <w:trPr>
          <w:cantSplit/>
        </w:trPr>
        <w:tc>
          <w:tcPr/>
          <w:p>
            <w:pPr>
              <w:pStyle w:val="Tabla9"/>
              <w:jc w:val="left"/>
            </w:pPr>
            <w:r>
              <w:t xml:space="preserve">Evaluación de uso</w:t>
            </w:r>
          </w:p>
        </w:tc>
        <w:tc>
          <w:tcPr/>
          <w:p>
            <w:pPr>
              <w:pStyle w:val="Tabla9"/>
              <w:jc w:val="left"/>
            </w:pPr>
            <w:r>
              <w:t xml:space="preserve">Antes-después sin grupo de comparación; PERS-E01 trimestral; meta de 75 % al mes 24</w:t>
            </w:r>
          </w:p>
        </w:tc>
        <w:tc>
          <w:tcPr/>
          <w:p>
            <w:pPr>
              <w:pStyle w:val="Tabla9"/>
              <w:jc w:val="left"/>
            </w:pPr>
            <w:r>
              <w:t xml:space="preserve">PROPUESTO</w:t>
            </w:r>
          </w:p>
        </w:tc>
      </w:tr>
      <w:tr>
        <w:trPr>
          <w:cantSplit/>
        </w:trPr>
        <w:tc>
          <w:tcPr/>
          <w:p>
            <w:pPr>
              <w:pStyle w:val="Tabla9"/>
              <w:jc w:val="left"/>
            </w:pPr>
            <w:r>
              <w:t xml:space="preserve">Estatuto de las afirmaciones</w:t>
            </w:r>
          </w:p>
        </w:tc>
        <w:tc>
          <w:tcPr/>
          <w:p>
            <w:pPr>
              <w:pStyle w:val="Tabla9"/>
              <w:jc w:val="left"/>
            </w:pPr>
            <w:r>
              <w:t xml:space="preserve">Descriptivas y de desempeño; la atribución de efectos tiene estatuto HIE</w:t>
            </w:r>
          </w:p>
        </w:tc>
        <w:tc>
          <w:tcPr/>
          <w:p>
            <w:pPr>
              <w:pStyle w:val="Tabla9"/>
              <w:jc w:val="left"/>
            </w:pPr>
            <w:r>
              <w:t xml:space="preserve">PROPUESTO</w:t>
            </w:r>
          </w:p>
        </w:tc>
      </w:tr>
      <w:tr>
        <w:trPr>
          <w:cantSplit/>
        </w:trPr>
        <w:tc>
          <w:tcPr/>
          <w:p>
            <w:pPr>
              <w:pStyle w:val="Tabla9"/>
              <w:jc w:val="left"/>
            </w:pPr>
            <w:r>
              <w:t xml:space="preserve">Ética y datos</w:t>
            </w:r>
          </w:p>
        </w:tc>
        <w:tc>
          <w:tcPr/>
          <w:p>
            <w:pPr>
              <w:pStyle w:val="Tabla9"/>
              <w:jc w:val="left"/>
            </w:pPr>
            <w:r>
              <w:t xml:space="preserve">Ley 1581 de 2012; consentimiento informado; comité de ética [DATO_USUARIO: nombre del comité de ética y fecha del aval]</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(secciones 1 a 6) y de este capítulo. Decimales con coma; miles con punto. Naturaleza indicada por fila.</w:t>
      </w:r>
    </w:p>
    <w:p>
      <w:pPr>
        <w:pStyle w:val="BodyText"/>
      </w:pPr>
      <w:r>
        <w:t xml:space="preserve">La ficha obliga a tres decisiones que el resto del capítulo desarrolla. Los umbrales de aceptación no se modifican después de observar los datos. Los tamaños de muestra se derivan de la estructura de la colocalización y no de una potencia estadística supuesta. Las afirmaciones sobre efectos de la intervención en el uso institucional se rotulan como HIE, sin excepción.</w:t>
      </w:r>
    </w:p>
    <w:bookmarkEnd w:id="455"/>
    <w:bookmarkEnd w:id="456"/>
    <w:bookmarkStart w:id="468" w:name="X45af304d775aa0732e1186207906c9aa9074570"/>
    <w:p>
      <w:pPr>
        <w:pStyle w:val="Heading2"/>
      </w:pPr>
      <w:r>
        <w:t xml:space="preserve">6.2 Fases del proyecto: construir, medir y aprender</w:t>
      </w:r>
    </w:p>
    <w:p>
      <w:pPr>
        <w:pStyle w:val="FirstParagraph"/>
      </w:pPr>
      <w:r>
        <w:t xml:space="preserve">El proyecto ejecuta cinco fases. Las fases corresponden a los tramos y a las 17 actividades de la red CPM (método de la ruta crítica) de la ficha maestra. Las 17 actividades suman una ruta crítica de 104 semanas, igual a la duración del proyecto. Este capítulo no altera ninguna duración. La fase 1 diseña y planifica, la fase 2 construye y la fase 3 mide. La fase 4 aprende y decide, y la fase 5 escala.</w:t>
      </w:r>
    </w:p>
    <w:p>
      <w:pPr>
        <w:pStyle w:val="BodyText"/>
      </w:pPr>
      <w:r>
        <w:t xml:space="preserve">La correspondencia con las actividades es la siguiente. La fase 1 reúne A0.1, A1.1 y A2.1. La fase 2 reúne A1.2 y A2.2, a las que se suma A3.1, que comienza en la semana 12 y termina en la 36. La fase 3 reúne A1.3, A1.4 y la medición de C1. La fase 4 aplica los criterios de pivotar o perseverar de C1 y C2. La fase 5 reúne A2.3, A1.5, A3.2, C2, A2.4, A3.3, A1.6 y A3.4. La Tabla 6.2 detalla cada actividad con sus semanas, su entregable y su hito.</w:t>
      </w:r>
    </w:p>
    <w:p>
      <w:pPr>
        <w:pStyle w:val="TablaRotulo"/>
      </w:pPr>
      <w:bookmarkStart w:id="9289" w:name="rot_Tabla_6_2"/>
      <w:r>
        <w:rPr>
          <w:b/>
          <w:bCs/>
        </w:rPr>
        <w:t xml:space="preserve">Tabla 6.2</w:t>
      </w:r>
      <w:bookmarkEnd w:id="9289"/>
    </w:p>
    <w:p>
      <w:pPr>
        <w:pStyle w:val="TablaTitulo"/>
      </w:pPr>
      <w:r>
        <w:rPr>
          <w:i/>
          <w:iCs/>
        </w:rPr>
        <w:t xml:space="preserve">Matriz de fases, actividades y entregables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67"/>
        <w:gridCol w:w="2094"/>
        <w:gridCol w:w="1112"/>
        <w:gridCol w:w="2225"/>
        <w:gridCol w:w="720"/>
      </w:tblGrid>
      <w:tr>
        <w:trPr>
          <w:cantSplit/>
          <w:tblHeader/>
        </w:trPr>
        <w:tc>
          <w:tcPr>
            <w:shd w:val="clear" w:color="auto" w:fill="00B050"/>
          </w:tcPr>
          <w:p>
            <w:pPr>
              <w:pStyle w:val="Tabla9"/>
              <w:jc w:val="center"/>
            </w:pPr>
            <w:r>
              <w:rPr>
                <w:b/>
                <w:color w:val="FFFFFF"/>
              </w:rPr>
              <w:t xml:space="preserve">Fase</w:t>
            </w:r>
          </w:p>
        </w:tc>
        <w:tc>
          <w:tcPr>
            <w:shd w:val="clear" w:color="auto" w:fill="00B050"/>
          </w:tcPr>
          <w:p>
            <w:pPr>
              <w:pStyle w:val="Tabla9"/>
              <w:jc w:val="center"/>
            </w:pPr>
            <w:r>
              <w:rPr>
                <w:b/>
                <w:color w:val="FFFFFF"/>
              </w:rPr>
              <w:t xml:space="preserve">Actividad</w:t>
            </w:r>
          </w:p>
        </w:tc>
        <w:tc>
          <w:tcPr>
            <w:shd w:val="clear" w:color="auto" w:fill="00B050"/>
          </w:tcPr>
          <w:p>
            <w:pPr>
              <w:pStyle w:val="Tabla9"/>
              <w:jc w:val="center"/>
            </w:pPr>
            <w:r>
              <w:rPr>
                <w:b/>
                <w:color w:val="FFFFFF"/>
              </w:rPr>
              <w:t xml:space="preserve">Semanas</w:t>
            </w:r>
          </w:p>
        </w:tc>
        <w:tc>
          <w:tcPr>
            <w:shd w:val="clear" w:color="auto" w:fill="00B050"/>
          </w:tcPr>
          <w:p>
            <w:pPr>
              <w:pStyle w:val="Tabla9"/>
              <w:jc w:val="center"/>
            </w:pPr>
            <w:r>
              <w:rPr>
                <w:b/>
                <w:color w:val="FFFFFF"/>
              </w:rPr>
              <w:t xml:space="preserve">Entregable</w:t>
            </w:r>
          </w:p>
        </w:tc>
        <w:tc>
          <w:tcPr>
            <w:shd w:val="clear" w:color="auto" w:fill="00B050"/>
          </w:tcPr>
          <w:p>
            <w:pPr>
              <w:pStyle w:val="Tabla9"/>
              <w:jc w:val="center"/>
            </w:pPr>
            <w:r>
              <w:rPr>
                <w:b/>
                <w:color w:val="FFFFFF"/>
              </w:rPr>
              <w:t xml:space="preserve">Hito</w:t>
            </w:r>
          </w:p>
        </w:tc>
      </w:tr>
      <w:tr>
        <w:trPr>
          <w:cantSplit/>
        </w:trPr>
        <w:tc>
          <w:tcPr/>
          <w:p>
            <w:pPr>
              <w:pStyle w:val="Tabla9"/>
              <w:jc w:val="left"/>
            </w:pPr>
            <w:r>
              <w:t xml:space="preserve">1. Diseño y planificación</w:t>
            </w:r>
          </w:p>
        </w:tc>
        <w:tc>
          <w:tcPr/>
          <w:p>
            <w:pPr>
              <w:pStyle w:val="Tabla9"/>
              <w:jc w:val="left"/>
            </w:pPr>
            <w:r>
              <w:t xml:space="preserve">A0.1 Contratar equipo y firmar convenios de ejecución</w:t>
            </w:r>
          </w:p>
        </w:tc>
        <w:tc>
          <w:tcPr/>
          <w:p>
            <w:pPr>
              <w:pStyle w:val="Tabla9"/>
              <w:jc w:val="left"/>
            </w:pPr>
            <w:r>
              <w:t xml:space="preserve">0 a 8</w:t>
            </w:r>
          </w:p>
        </w:tc>
        <w:tc>
          <w:tcPr/>
          <w:p>
            <w:pPr>
              <w:pStyle w:val="Tabla9"/>
              <w:jc w:val="left"/>
            </w:pPr>
            <w:r>
              <w:t xml:space="preserve">Contratos, convenios y plan de trabajo aprobados</w:t>
            </w:r>
          </w:p>
        </w:tc>
        <w:tc>
          <w:tcPr/>
          <w:p>
            <w:pPr>
              <w:pStyle w:val="Tabla9"/>
              <w:jc w:val="left"/>
            </w:pPr>
            <w:r>
              <w:t xml:space="preserve">H0 (mes 2)</w:t>
            </w:r>
          </w:p>
        </w:tc>
      </w:tr>
      <w:tr>
        <w:trPr>
          <w:cantSplit/>
        </w:trPr>
        <w:tc>
          <w:tcPr/>
          <w:p>
            <w:pPr>
              <w:pStyle w:val="Tabla9"/>
              <w:jc w:val="left"/>
            </w:pPr>
            <w:r>
              <w:t xml:space="preserve">1. Diseño y planificación</w:t>
            </w:r>
          </w:p>
        </w:tc>
        <w:tc>
          <w:tcPr/>
          <w:p>
            <w:pPr>
              <w:pStyle w:val="Tabla9"/>
              <w:jc w:val="left"/>
            </w:pPr>
            <w:r>
              <w:t xml:space="preserve">A1.1 Seleccionar sitios y diseñar la colocalización</w:t>
            </w:r>
          </w:p>
        </w:tc>
        <w:tc>
          <w:tcPr/>
          <w:p>
            <w:pPr>
              <w:pStyle w:val="Tabla9"/>
              <w:jc w:val="left"/>
            </w:pPr>
            <w:r>
              <w:t xml:space="preserve">8 a 12</w:t>
            </w:r>
          </w:p>
        </w:tc>
        <w:tc>
          <w:tcPr/>
          <w:p>
            <w:pPr>
              <w:pStyle w:val="Tabla9"/>
              <w:jc w:val="left"/>
            </w:pPr>
            <w:r>
              <w:t xml:space="preserve">Criterios de sitio y plan de análisis preestablecido</w:t>
            </w:r>
          </w:p>
        </w:tc>
        <w:tc>
          <w:tcPr/>
          <w:p>
            <w:pPr>
              <w:pStyle w:val="Tabla9"/>
              <w:jc w:val="left"/>
            </w:pPr>
            <w:r>
              <w:t xml:space="preserve">H1 (mes 4)</w:t>
            </w:r>
          </w:p>
        </w:tc>
      </w:tr>
      <w:tr>
        <w:trPr>
          <w:cantSplit/>
        </w:trPr>
        <w:tc>
          <w:tcPr/>
          <w:p>
            <w:pPr>
              <w:pStyle w:val="Tabla9"/>
              <w:jc w:val="left"/>
            </w:pPr>
            <w:r>
              <w:t xml:space="preserve">1. Diseño y planificación</w:t>
            </w:r>
          </w:p>
        </w:tc>
        <w:tc>
          <w:tcPr/>
          <w:p>
            <w:pPr>
              <w:pStyle w:val="Tabla9"/>
              <w:jc w:val="left"/>
            </w:pPr>
            <w:r>
              <w:t xml:space="preserve">A2.1 Diseñar arquitectura de enlace y energía</w:t>
            </w:r>
          </w:p>
        </w:tc>
        <w:tc>
          <w:tcPr/>
          <w:p>
            <w:pPr>
              <w:pStyle w:val="Tabla9"/>
              <w:jc w:val="left"/>
            </w:pPr>
            <w:r>
              <w:t xml:space="preserve">8 a 14</w:t>
            </w:r>
          </w:p>
        </w:tc>
        <w:tc>
          <w:tcPr/>
          <w:p>
            <w:pPr>
              <w:pStyle w:val="Tabla9"/>
              <w:jc w:val="left"/>
            </w:pPr>
            <w:r>
              <w:t xml:space="preserve">Informe de cobertura, enlace y energía</w:t>
            </w:r>
          </w:p>
        </w:tc>
        <w:tc>
          <w:tcPr/>
          <w:p>
            <w:pPr>
              <w:pStyle w:val="Tabla9"/>
              <w:jc w:val="left"/>
            </w:pPr>
            <w:r>
              <w:t xml:space="preserve">H1 (mes 4)</w:t>
            </w:r>
          </w:p>
        </w:tc>
      </w:tr>
      <w:tr>
        <w:trPr>
          <w:cantSplit/>
        </w:trPr>
        <w:tc>
          <w:tcPr/>
          <w:p>
            <w:pPr>
              <w:pStyle w:val="Tabla9"/>
              <w:jc w:val="left"/>
            </w:pPr>
            <w:r>
              <w:t xml:space="preserve">2. Construir</w:t>
            </w:r>
          </w:p>
        </w:tc>
        <w:tc>
          <w:tcPr/>
          <w:p>
            <w:pPr>
              <w:pStyle w:val="Tabla9"/>
              <w:jc w:val="left"/>
            </w:pPr>
            <w:r>
              <w:t xml:space="preserve">A1.2 Adquirir y caracterizar lote 1 de nodos y referencias</w:t>
            </w:r>
          </w:p>
        </w:tc>
        <w:tc>
          <w:tcPr/>
          <w:p>
            <w:pPr>
              <w:pStyle w:val="Tabla9"/>
              <w:jc w:val="left"/>
            </w:pPr>
            <w:r>
              <w:t xml:space="preserve">14 a 24</w:t>
            </w:r>
          </w:p>
        </w:tc>
        <w:tc>
          <w:tcPr/>
          <w:p>
            <w:pPr>
              <w:pStyle w:val="Tabla9"/>
              <w:jc w:val="left"/>
            </w:pPr>
            <w:r>
              <w:t xml:space="preserve">Informe de caracterización en cámara de humedad</w:t>
            </w:r>
          </w:p>
        </w:tc>
        <w:tc>
          <w:tcPr/>
          <w:p>
            <w:pPr>
              <w:pStyle w:val="Tabla9"/>
              <w:jc w:val="left"/>
            </w:pPr>
            <w:r>
              <w:t xml:space="preserve">Sin hito</w:t>
            </w:r>
          </w:p>
        </w:tc>
      </w:tr>
      <w:tr>
        <w:trPr>
          <w:cantSplit/>
        </w:trPr>
        <w:tc>
          <w:tcPr/>
          <w:p>
            <w:pPr>
              <w:pStyle w:val="Tabla9"/>
              <w:jc w:val="left"/>
            </w:pPr>
            <w:r>
              <w:t xml:space="preserve">2. Construir</w:t>
            </w:r>
          </w:p>
        </w:tc>
        <w:tc>
          <w:tcPr/>
          <w:p>
            <w:pPr>
              <w:pStyle w:val="Tabla9"/>
              <w:jc w:val="left"/>
            </w:pPr>
            <w:r>
              <w:t xml:space="preserve">A2.2 Desarrollar firmware y plataforma base</w:t>
            </w:r>
          </w:p>
        </w:tc>
        <w:tc>
          <w:tcPr/>
          <w:p>
            <w:pPr>
              <w:pStyle w:val="Tabla9"/>
              <w:jc w:val="left"/>
            </w:pPr>
            <w:r>
              <w:t xml:space="preserve">14 a 24</w:t>
            </w:r>
          </w:p>
        </w:tc>
        <w:tc>
          <w:tcPr/>
          <w:p>
            <w:pPr>
              <w:pStyle w:val="Tabla9"/>
              <w:jc w:val="left"/>
            </w:pPr>
            <w:r>
              <w:t xml:space="preserve">Firmware versión 1, plataforma base y tablero mínimo</w:t>
            </w:r>
          </w:p>
        </w:tc>
        <w:tc>
          <w:tcPr/>
          <w:p>
            <w:pPr>
              <w:pStyle w:val="Tabla9"/>
              <w:jc w:val="left"/>
            </w:pPr>
            <w:r>
              <w:t xml:space="preserve">Sin hito</w:t>
            </w:r>
          </w:p>
        </w:tc>
      </w:tr>
      <w:tr>
        <w:trPr>
          <w:cantSplit/>
        </w:trPr>
        <w:tc>
          <w:tcPr/>
          <w:p>
            <w:pPr>
              <w:pStyle w:val="Tabla9"/>
              <w:jc w:val="left"/>
            </w:pPr>
            <w:r>
              <w:t xml:space="preserve">2. Construir</w:t>
            </w:r>
          </w:p>
        </w:tc>
        <w:tc>
          <w:tcPr/>
          <w:p>
            <w:pPr>
              <w:pStyle w:val="Tabla9"/>
              <w:jc w:val="left"/>
            </w:pPr>
            <w:r>
              <w:t xml:space="preserve">A3.1 Co-diseñar umbrales y protocolo de alerta con comités</w:t>
            </w:r>
          </w:p>
        </w:tc>
        <w:tc>
          <w:tcPr/>
          <w:p>
            <w:pPr>
              <w:pStyle w:val="Tabla9"/>
              <w:jc w:val="left"/>
            </w:pPr>
            <w:r>
              <w:t xml:space="preserve">12 a 36</w:t>
            </w:r>
          </w:p>
        </w:tc>
        <w:tc>
          <w:tcPr/>
          <w:p>
            <w:pPr>
              <w:pStyle w:val="Tabla9"/>
              <w:jc w:val="left"/>
            </w:pPr>
            <w:r>
              <w:t xml:space="preserve">Umbrales y protocolo de alerta acordados</w:t>
            </w:r>
          </w:p>
        </w:tc>
        <w:tc>
          <w:tcPr/>
          <w:p>
            <w:pPr>
              <w:pStyle w:val="Tabla9"/>
              <w:jc w:val="left"/>
            </w:pPr>
            <w:r>
              <w:t xml:space="preserve">Sin hito</w:t>
            </w:r>
          </w:p>
        </w:tc>
      </w:tr>
      <w:tr>
        <w:trPr>
          <w:cantSplit/>
        </w:trPr>
        <w:tc>
          <w:tcPr/>
          <w:p>
            <w:pPr>
              <w:pStyle w:val="Tabla9"/>
              <w:jc w:val="left"/>
            </w:pPr>
            <w:r>
              <w:t xml:space="preserve">3. Medir</w:t>
            </w:r>
          </w:p>
        </w:tc>
        <w:tc>
          <w:tcPr/>
          <w:p>
            <w:pPr>
              <w:pStyle w:val="Tabla9"/>
              <w:jc w:val="left"/>
            </w:pPr>
            <w:r>
              <w:t xml:space="preserve">A1.3 Colocalizar y calibrar en el piloto (tramo 1)</w:t>
            </w:r>
          </w:p>
        </w:tc>
        <w:tc>
          <w:tcPr/>
          <w:p>
            <w:pPr>
              <w:pStyle w:val="Tabla9"/>
              <w:jc w:val="left"/>
            </w:pPr>
            <w:r>
              <w:t xml:space="preserve">24 a 40</w:t>
            </w:r>
          </w:p>
        </w:tc>
        <w:tc>
          <w:tcPr/>
          <w:p>
            <w:pPr>
              <w:pStyle w:val="Tabla9"/>
              <w:jc w:val="left"/>
            </w:pPr>
            <w:r>
              <w:t xml:space="preserve">Base de datos de colocalización y línea base de error</w:t>
            </w:r>
          </w:p>
        </w:tc>
        <w:tc>
          <w:tcPr/>
          <w:p>
            <w:pPr>
              <w:pStyle w:val="Tabla9"/>
              <w:jc w:val="left"/>
            </w:pPr>
            <w:r>
              <w:t xml:space="preserve">H2 (mes 10)</w:t>
            </w:r>
          </w:p>
        </w:tc>
      </w:tr>
      <w:tr>
        <w:trPr>
          <w:cantSplit/>
        </w:trPr>
        <w:tc>
          <w:tcPr/>
          <w:p>
            <w:pPr>
              <w:pStyle w:val="Tabla9"/>
              <w:jc w:val="left"/>
            </w:pPr>
            <w:r>
              <w:t xml:space="preserve">3. Medir</w:t>
            </w:r>
          </w:p>
        </w:tc>
        <w:tc>
          <w:tcPr/>
          <w:p>
            <w:pPr>
              <w:pStyle w:val="Tabla9"/>
              <w:jc w:val="left"/>
            </w:pPr>
            <w:r>
              <w:t xml:space="preserve">A1.4 Entrenar y validar el modelo de corrección</w:t>
            </w:r>
          </w:p>
        </w:tc>
        <w:tc>
          <w:tcPr/>
          <w:p>
            <w:pPr>
              <w:pStyle w:val="Tabla9"/>
              <w:jc w:val="left"/>
            </w:pPr>
            <w:r>
              <w:t xml:space="preserve">40 a 48</w:t>
            </w:r>
          </w:p>
        </w:tc>
        <w:tc>
          <w:tcPr/>
          <w:p>
            <w:pPr>
              <w:pStyle w:val="Tabla9"/>
              <w:jc w:val="left"/>
            </w:pPr>
            <w:r>
              <w:t xml:space="preserve">Informe de validación con NRMSE y R²</w:t>
            </w:r>
          </w:p>
        </w:tc>
        <w:tc>
          <w:tcPr/>
          <w:p>
            <w:pPr>
              <w:pStyle w:val="Tabla9"/>
              <w:jc w:val="left"/>
            </w:pPr>
            <w:r>
              <w:t xml:space="preserve">Sin hito</w:t>
            </w:r>
          </w:p>
        </w:tc>
      </w:tr>
      <w:tr>
        <w:trPr>
          <w:cantSplit/>
        </w:trPr>
        <w:tc>
          <w:tcPr/>
          <w:p>
            <w:pPr>
              <w:pStyle w:val="Tabla9"/>
              <w:jc w:val="left"/>
            </w:pPr>
            <w:r>
              <w:t xml:space="preserve">3. Medir</w:t>
            </w:r>
          </w:p>
        </w:tc>
        <w:tc>
          <w:tcPr/>
          <w:p>
            <w:pPr>
              <w:pStyle w:val="Tabla9"/>
              <w:jc w:val="left"/>
            </w:pPr>
            <w:r>
              <w:t xml:space="preserve">C1 Compuerta C1: medición para la decisión de ampliación</w:t>
            </w:r>
          </w:p>
        </w:tc>
        <w:tc>
          <w:tcPr/>
          <w:p>
            <w:pPr>
              <w:pStyle w:val="Tabla9"/>
              <w:jc w:val="left"/>
            </w:pPr>
            <w:r>
              <w:t xml:space="preserve">48 a 50</w:t>
            </w:r>
          </w:p>
        </w:tc>
        <w:tc>
          <w:tcPr/>
          <w:p>
            <w:pPr>
              <w:pStyle w:val="Tabla9"/>
              <w:jc w:val="left"/>
            </w:pPr>
            <w:r>
              <w:t xml:space="preserve">Acta de compuerta con NRMSE y R² frente a referencia</w:t>
            </w:r>
          </w:p>
        </w:tc>
        <w:tc>
          <w:tcPr/>
          <w:p>
            <w:pPr>
              <w:pStyle w:val="Tabla9"/>
              <w:jc w:val="left"/>
            </w:pPr>
            <w:r>
              <w:t xml:space="preserve">H3 (mes 12)</w:t>
            </w:r>
          </w:p>
        </w:tc>
      </w:tr>
      <w:tr>
        <w:trPr>
          <w:cantSplit/>
        </w:trPr>
        <w:tc>
          <w:tcPr/>
          <w:p>
            <w:pPr>
              <w:pStyle w:val="Tabla9"/>
              <w:jc w:val="left"/>
            </w:pPr>
            <w:r>
              <w:t xml:space="preserve">4. Aprender y decidir</w:t>
            </w:r>
          </w:p>
        </w:tc>
        <w:tc>
          <w:tcPr/>
          <w:p>
            <w:pPr>
              <w:pStyle w:val="Tabla9"/>
              <w:jc w:val="left"/>
            </w:pPr>
            <w:r>
              <w:t xml:space="preserve">Criterios de pivotar o perseverar de C1 y C2</w:t>
            </w:r>
          </w:p>
        </w:tc>
        <w:tc>
          <w:tcPr/>
          <w:p>
            <w:pPr>
              <w:pStyle w:val="Tabla9"/>
              <w:jc w:val="left"/>
            </w:pPr>
            <w:r>
              <w:t xml:space="preserve">48 a 50 y 68 a 70</w:t>
            </w:r>
          </w:p>
        </w:tc>
        <w:tc>
          <w:tcPr/>
          <w:p>
            <w:pPr>
              <w:pStyle w:val="Tabla9"/>
              <w:jc w:val="left"/>
            </w:pPr>
            <w:r>
              <w:t xml:space="preserve">Registro de decisión con criterios y evidencia</w:t>
            </w:r>
          </w:p>
        </w:tc>
        <w:tc>
          <w:tcPr/>
          <w:p>
            <w:pPr>
              <w:pStyle w:val="Tabla9"/>
              <w:jc w:val="left"/>
            </w:pPr>
            <w:r>
              <w:t xml:space="preserve">H3 y H5</w:t>
            </w:r>
          </w:p>
        </w:tc>
      </w:tr>
      <w:tr>
        <w:trPr>
          <w:cantSplit/>
        </w:trPr>
        <w:tc>
          <w:tcPr/>
          <w:p>
            <w:pPr>
              <w:pStyle w:val="Tabla9"/>
              <w:jc w:val="left"/>
            </w:pPr>
            <w:r>
              <w:t xml:space="preserve">5. Escalamiento</w:t>
            </w:r>
          </w:p>
        </w:tc>
        <w:tc>
          <w:tcPr/>
          <w:p>
            <w:pPr>
              <w:pStyle w:val="Tabla9"/>
              <w:jc w:val="left"/>
            </w:pPr>
            <w:r>
              <w:t xml:space="preserve">A2.3 Instalar tramo 2 (40 nodos, 4 gateways)</w:t>
            </w:r>
          </w:p>
        </w:tc>
        <w:tc>
          <w:tcPr/>
          <w:p>
            <w:pPr>
              <w:pStyle w:val="Tabla9"/>
              <w:jc w:val="left"/>
            </w:pPr>
            <w:r>
              <w:t xml:space="preserve">50 a 62</w:t>
            </w:r>
          </w:p>
        </w:tc>
        <w:tc>
          <w:tcPr/>
          <w:p>
            <w:pPr>
              <w:pStyle w:val="Tabla9"/>
              <w:jc w:val="left"/>
            </w:pPr>
            <w:r>
              <w:t xml:space="preserve">Inventario del tramo 2 y ventanas de rotación</w:t>
            </w:r>
          </w:p>
        </w:tc>
        <w:tc>
          <w:tcPr/>
          <w:p>
            <w:pPr>
              <w:pStyle w:val="Tabla9"/>
              <w:jc w:val="left"/>
            </w:pPr>
            <w:r>
              <w:t xml:space="preserve">H4 (mes 16)</w:t>
            </w:r>
          </w:p>
        </w:tc>
      </w:tr>
      <w:tr>
        <w:trPr>
          <w:cantSplit/>
        </w:trPr>
        <w:tc>
          <w:tcPr/>
          <w:p>
            <w:pPr>
              <w:pStyle w:val="Tabla9"/>
              <w:jc w:val="left"/>
            </w:pPr>
            <w:r>
              <w:t xml:space="preserve">5. Escalamiento</w:t>
            </w:r>
          </w:p>
        </w:tc>
        <w:tc>
          <w:tcPr/>
          <w:p>
            <w:pPr>
              <w:pStyle w:val="Tabla9"/>
              <w:jc w:val="left"/>
            </w:pPr>
            <w:r>
              <w:t xml:space="preserve">A1.5 Reentrenar y verificar por departamento (tramo 2)</w:t>
            </w:r>
          </w:p>
        </w:tc>
        <w:tc>
          <w:tcPr/>
          <w:p>
            <w:pPr>
              <w:pStyle w:val="Tabla9"/>
              <w:jc w:val="left"/>
            </w:pPr>
            <w:r>
              <w:t xml:space="preserve">62 a 68</w:t>
            </w:r>
          </w:p>
        </w:tc>
        <w:tc>
          <w:tcPr/>
          <w:p>
            <w:pPr>
              <w:pStyle w:val="Tabla9"/>
              <w:jc w:val="left"/>
            </w:pPr>
            <w:r>
              <w:t xml:space="preserve">Informe de disponibilidad y desempeño del tramo 2</w:t>
            </w:r>
          </w:p>
        </w:tc>
        <w:tc>
          <w:tcPr/>
          <w:p>
            <w:pPr>
              <w:pStyle w:val="Tabla9"/>
              <w:jc w:val="left"/>
            </w:pPr>
            <w:r>
              <w:t xml:space="preserve">H4 (mes 16)</w:t>
            </w:r>
          </w:p>
        </w:tc>
      </w:tr>
      <w:tr>
        <w:trPr>
          <w:cantSplit/>
        </w:trPr>
        <w:tc>
          <w:tcPr/>
          <w:p>
            <w:pPr>
              <w:pStyle w:val="Tabla9"/>
              <w:jc w:val="left"/>
            </w:pPr>
            <w:r>
              <w:t xml:space="preserve">5. Escalamiento</w:t>
            </w:r>
          </w:p>
        </w:tc>
        <w:tc>
          <w:tcPr/>
          <w:p>
            <w:pPr>
              <w:pStyle w:val="Tabla9"/>
              <w:jc w:val="left"/>
            </w:pPr>
            <w:r>
              <w:t xml:space="preserve">A3.2 Poner en uso el tablero con los comités</w:t>
            </w:r>
          </w:p>
        </w:tc>
        <w:tc>
          <w:tcPr/>
          <w:p>
            <w:pPr>
              <w:pStyle w:val="Tabla9"/>
              <w:jc w:val="left"/>
            </w:pPr>
            <w:r>
              <w:t xml:space="preserve">50 a 62</w:t>
            </w:r>
          </w:p>
        </w:tc>
        <w:tc>
          <w:tcPr/>
          <w:p>
            <w:pPr>
              <w:pStyle w:val="Tabla9"/>
              <w:jc w:val="left"/>
            </w:pPr>
            <w:r>
              <w:t xml:space="preserve">Registro de uso y de decisiones de los comités</w:t>
            </w:r>
          </w:p>
        </w:tc>
        <w:tc>
          <w:tcPr/>
          <w:p>
            <w:pPr>
              <w:pStyle w:val="Tabla9"/>
              <w:jc w:val="left"/>
            </w:pPr>
            <w:r>
              <w:t xml:space="preserve">Sin hito</w:t>
            </w:r>
          </w:p>
        </w:tc>
      </w:tr>
      <w:tr>
        <w:trPr>
          <w:cantSplit/>
        </w:trPr>
        <w:tc>
          <w:tcPr/>
          <w:p>
            <w:pPr>
              <w:pStyle w:val="Tabla9"/>
              <w:jc w:val="left"/>
            </w:pPr>
            <w:r>
              <w:t xml:space="preserve">5. Escalamiento</w:t>
            </w:r>
          </w:p>
        </w:tc>
        <w:tc>
          <w:tcPr/>
          <w:p>
            <w:pPr>
              <w:pStyle w:val="Tabla9"/>
              <w:jc w:val="left"/>
            </w:pPr>
            <w:r>
              <w:t xml:space="preserve">C2 Compuerta C2: decisión de consolidación al tramo 3</w:t>
            </w:r>
          </w:p>
        </w:tc>
        <w:tc>
          <w:tcPr/>
          <w:p>
            <w:pPr>
              <w:pStyle w:val="Tabla9"/>
              <w:jc w:val="left"/>
            </w:pPr>
            <w:r>
              <w:t xml:space="preserve">68 a 70</w:t>
            </w:r>
          </w:p>
        </w:tc>
        <w:tc>
          <w:tcPr/>
          <w:p>
            <w:pPr>
              <w:pStyle w:val="Tabla9"/>
              <w:jc w:val="left"/>
            </w:pPr>
            <w:r>
              <w:t xml:space="preserve">Acta de compuerta con uso del tablero y convenios</w:t>
            </w:r>
          </w:p>
        </w:tc>
        <w:tc>
          <w:tcPr/>
          <w:p>
            <w:pPr>
              <w:pStyle w:val="Tabla9"/>
              <w:jc w:val="left"/>
            </w:pPr>
            <w:r>
              <w:t xml:space="preserve">H5 (mes 17)</w:t>
            </w:r>
          </w:p>
        </w:tc>
      </w:tr>
      <w:tr>
        <w:trPr>
          <w:cantSplit/>
        </w:trPr>
        <w:tc>
          <w:tcPr/>
          <w:p>
            <w:pPr>
              <w:pStyle w:val="Tabla9"/>
              <w:jc w:val="left"/>
            </w:pPr>
            <w:r>
              <w:t xml:space="preserve">5. Escalamiento</w:t>
            </w:r>
          </w:p>
        </w:tc>
        <w:tc>
          <w:tcPr/>
          <w:p>
            <w:pPr>
              <w:pStyle w:val="Tabla9"/>
              <w:jc w:val="left"/>
            </w:pPr>
            <w:r>
              <w:t xml:space="preserve">A2.4 Instalar tramo 3 (30 nodos, 3 gateways)</w:t>
            </w:r>
          </w:p>
        </w:tc>
        <w:tc>
          <w:tcPr/>
          <w:p>
            <w:pPr>
              <w:pStyle w:val="Tabla9"/>
              <w:jc w:val="left"/>
            </w:pPr>
            <w:r>
              <w:t xml:space="preserve">70 a 82</w:t>
            </w:r>
          </w:p>
        </w:tc>
        <w:tc>
          <w:tcPr/>
          <w:p>
            <w:pPr>
              <w:pStyle w:val="Tabla9"/>
              <w:jc w:val="left"/>
            </w:pPr>
            <w:r>
              <w:t xml:space="preserve">Inventario de 100 nodos y 10 gateways operativos</w:t>
            </w:r>
          </w:p>
        </w:tc>
        <w:tc>
          <w:tcPr/>
          <w:p>
            <w:pPr>
              <w:pStyle w:val="Tabla9"/>
              <w:jc w:val="left"/>
            </w:pPr>
            <w:r>
              <w:t xml:space="preserve">H6 (mes 19)</w:t>
            </w:r>
          </w:p>
        </w:tc>
      </w:tr>
      <w:tr>
        <w:trPr>
          <w:cantSplit/>
        </w:trPr>
        <w:tc>
          <w:tcPr/>
          <w:p>
            <w:pPr>
              <w:pStyle w:val="Tabla9"/>
              <w:jc w:val="left"/>
            </w:pPr>
            <w:r>
              <w:t xml:space="preserve">5. Escalamiento</w:t>
            </w:r>
          </w:p>
        </w:tc>
        <w:tc>
          <w:tcPr/>
          <w:p>
            <w:pPr>
              <w:pStyle w:val="Tabla9"/>
              <w:jc w:val="left"/>
            </w:pPr>
            <w:r>
              <w:t xml:space="preserve">A3.3 Formar custodios y firmar convenios por tramo</w:t>
            </w:r>
          </w:p>
        </w:tc>
        <w:tc>
          <w:tcPr/>
          <w:p>
            <w:pPr>
              <w:pStyle w:val="Tabla9"/>
              <w:jc w:val="left"/>
            </w:pPr>
            <w:r>
              <w:t xml:space="preserve">70 a 86</w:t>
            </w:r>
          </w:p>
        </w:tc>
        <w:tc>
          <w:tcPr/>
          <w:p>
            <w:pPr>
              <w:pStyle w:val="Tabla9"/>
              <w:jc w:val="left"/>
            </w:pPr>
            <w:r>
              <w:t xml:space="preserve">Certificaciones de custodios y convenios firmados</w:t>
            </w:r>
          </w:p>
        </w:tc>
        <w:tc>
          <w:tcPr/>
          <w:p>
            <w:pPr>
              <w:pStyle w:val="Tabla9"/>
              <w:jc w:val="left"/>
            </w:pPr>
            <w:r>
              <w:t xml:space="preserve">Sin hito</w:t>
            </w:r>
          </w:p>
        </w:tc>
      </w:tr>
      <w:tr>
        <w:trPr>
          <w:cantSplit/>
        </w:trPr>
        <w:tc>
          <w:tcPr/>
          <w:p>
            <w:pPr>
              <w:pStyle w:val="Tabla9"/>
              <w:jc w:val="left"/>
            </w:pPr>
            <w:r>
              <w:t xml:space="preserve">5. Escalamiento</w:t>
            </w:r>
          </w:p>
        </w:tc>
        <w:tc>
          <w:tcPr/>
          <w:p>
            <w:pPr>
              <w:pStyle w:val="Tabla9"/>
              <w:jc w:val="left"/>
            </w:pPr>
            <w:r>
              <w:t xml:space="preserve">A1.6 Verificar desempeño final y ensayo independiente</w:t>
            </w:r>
          </w:p>
        </w:tc>
        <w:tc>
          <w:tcPr/>
          <w:p>
            <w:pPr>
              <w:pStyle w:val="Tabla9"/>
              <w:jc w:val="left"/>
            </w:pPr>
            <w:r>
              <w:t xml:space="preserve">82 a 98</w:t>
            </w:r>
          </w:p>
        </w:tc>
        <w:tc>
          <w:tcPr/>
          <w:p>
            <w:pPr>
              <w:pStyle w:val="Tabla9"/>
              <w:jc w:val="left"/>
            </w:pPr>
            <w:r>
              <w:t xml:space="preserve">Informe de laboratorio externo y evaluación final</w:t>
            </w:r>
          </w:p>
        </w:tc>
        <w:tc>
          <w:tcPr/>
          <w:p>
            <w:pPr>
              <w:pStyle w:val="Tabla9"/>
              <w:jc w:val="left"/>
            </w:pPr>
            <w:r>
              <w:t xml:space="preserve">H7 (mes 23)</w:t>
            </w:r>
          </w:p>
        </w:tc>
      </w:tr>
      <w:tr>
        <w:trPr>
          <w:cantSplit/>
        </w:trPr>
        <w:tc>
          <w:tcPr/>
          <w:p>
            <w:pPr>
              <w:pStyle w:val="Tabla9"/>
              <w:jc w:val="left"/>
            </w:pPr>
            <w:r>
              <w:t xml:space="preserve">5. Escalamiento</w:t>
            </w:r>
          </w:p>
        </w:tc>
        <w:tc>
          <w:tcPr/>
          <w:p>
            <w:pPr>
              <w:pStyle w:val="Tabla9"/>
              <w:jc w:val="left"/>
            </w:pPr>
            <w:r>
              <w:t xml:space="preserve">A3.4 Transferir, cerrar y evaluar</w:t>
            </w:r>
          </w:p>
        </w:tc>
        <w:tc>
          <w:tcPr/>
          <w:p>
            <w:pPr>
              <w:pStyle w:val="Tabla9"/>
              <w:jc w:val="left"/>
            </w:pPr>
            <w:r>
              <w:t xml:space="preserve">98 a 104</w:t>
            </w:r>
          </w:p>
        </w:tc>
        <w:tc>
          <w:tcPr/>
          <w:p>
            <w:pPr>
              <w:pStyle w:val="Tabla9"/>
              <w:jc w:val="left"/>
            </w:pPr>
            <w:r>
              <w:t xml:space="preserve">Actas de entrega a custodios y cláusula de apertura</w:t>
            </w:r>
          </w:p>
        </w:tc>
        <w:tc>
          <w:tcPr/>
          <w:p>
            <w:pPr>
              <w:pStyle w:val="Tabla9"/>
              <w:jc w:val="left"/>
            </w:pPr>
            <w:r>
              <w:t xml:space="preserve">H8 (mes 24)</w:t>
            </w:r>
          </w:p>
        </w:tc>
      </w:tr>
    </w:tbl>
    <w:p>
      <w:pPr>
        <w:pStyle w:val="TablaNota"/>
      </w:pPr>
      <w:r>
        <w:rPr>
          <w:i/>
          <w:iCs/>
        </w:rPr>
        <w:t xml:space="preserve">Nota.</w:t>
      </w:r>
      <w:r>
        <w:t xml:space="preserve"> </w:t>
      </w:r>
      <w:r>
        <w:t xml:space="preserve">Elaboración propia con datos de la ficha maestra (sección 6: red CPM e hitos). Semanas e hitos: CALCULADO. Entregables sin hito en la ficha: PROPUESTO. La actividad A3.1 se asigna a la fase 2 y se extiende a la fase 3.</w:t>
      </w:r>
    </w:p>
    <w:p>
      <w:pPr>
        <w:pStyle w:val="BodyText"/>
      </w:pPr>
      <w:r>
        <w:t xml:space="preserve">La matriz muestra que cada fase cuenta con al menos un entregable verificable y que seis actividades carecen de hito propio en la ficha. Esas seis actividades dependen de entregables propuestos, que el proyecto verifica en la compuerta o en el cierre siguiente. El tramo 1 recorre las fases 1 a 4 en 50 semanas y constituye el primer ciclo completo. Los tramos 2 y 3 repiten construir y medir dentro de la fase 5, con una decisión en C2 y otra en el cierre. La Figura 6.1 representa esa estructura.</w:t>
      </w:r>
    </w:p>
    <w:p>
      <w:pPr>
        <w:pStyle w:val="FiguraRotulo"/>
      </w:pPr>
      <w:bookmarkStart w:id="9515" w:name="rot_Figura_6_1"/>
      <w:r>
        <w:rPr>
          <w:b/>
          <w:bCs/>
        </w:rPr>
        <w:t xml:space="preserve">Figura 6.1</w:t>
      </w:r>
      <w:bookmarkEnd w:id="9515"/>
    </w:p>
    <w:p>
      <w:pPr>
        <w:pStyle w:val="FiguraTitulo"/>
      </w:pPr>
      <w:r>
        <w:rPr>
          <w:i/>
          <w:iCs/>
        </w:rPr>
        <w:t xml:space="preserve">Diagrama de flujo metodológico: fases, tramos y compuertas</w:t>
      </w:r>
    </w:p>
    <w:p>
      <w:pPr>
        <w:pStyle w:val="BodyText"/>
      </w:pPr>
      <w:r>
        <w:drawing>
          <wp:inline>
            <wp:extent cx="5579999" cy="3918821"/>
            <wp:effectExtent b="0" l="0" r="0" t="0"/>
            <wp:docPr descr="" title="" id="458" name="Picture"/>
            <a:graphic>
              <a:graphicData uri="http://schemas.openxmlformats.org/drawingml/2006/picture">
                <pic:pic>
                  <pic:nvPicPr>
                    <pic:cNvPr descr="/tmp/claude-0/-home-user-docs/ddf38714-2a7e-502b-92b4-1008e2832422/scratchpad/proy/figs/out/c6_f01.png" id="459" name="Picture"/>
                    <pic:cNvPicPr>
                      <a:picLocks noChangeArrowheads="1" noChangeAspect="1"/>
                    </pic:cNvPicPr>
                  </pic:nvPicPr>
                  <pic:blipFill>
                    <a:blip r:embed="rId457"/>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(secciones 4 y 6: tramos, compuertas y red CPM). Semanas de la red CPM y meses del cronograma. Naturaleza: CALCULADO para semanas y compras, PROPUESTO para la agrupación en fases. Software: Python 3 y matplotlib; script c6_figs.py, sin semilla aleatoria.</w:t>
      </w:r>
    </w:p>
    <w:p>
      <w:pPr>
        <w:pStyle w:val="BodyText"/>
      </w:pPr>
      <w:r>
        <w:t xml:space="preserve">El diagrama permite leer tres reglas del diseño. Ninguna compra de tramo se libera sin compuerta. El pivote devuelve el trabajo a construir o a medir, no al diseño inicial. Las fases no son etapas aisladas, porque el aprendizaje de una repetición modifica el diseño de la siguiente.</w:t>
      </w:r>
    </w:p>
    <w:bookmarkStart w:id="460" w:name="_Toc00900180"/>
    <w:p>
      <w:pPr>
        <w:pStyle w:val="Heading3"/>
      </w:pPr>
      <w:r>
        <w:t xml:space="preserve">6.2.1 Fase 1: diseño y planificación</w:t>
      </w:r>
    </w:p>
    <w:p>
      <w:pPr>
        <w:pStyle w:val="FirstParagraph"/>
      </w:pPr>
      <w:r>
        <w:t xml:space="preserve">La fase 1 convierte la formulación en un plan ejecutable y fija las reglas de decisión antes de medir. Reúne las actividades A0.1, A1.1 y A2.1, que ocupan las semanas 0 a 14. La actividad A0.1 contrata al equipo y firma los convenios de ejecución. Dura 8 semanas. La actividad A1.1 selecciona los sitios y diseña la colocalización. Dura 4 semanas. La actividad A2.1 diseña la arquitectura de enlace y energía. Dura 6 semanas y pertenece a la ruta crítica. La planificación sigue la clasificación de la Guía del PMBOK, que reconoce enfoques de desarrollo predictivo, iterativo, incremental, ágil e híbrido (PMI, 2021).</w:t>
      </w:r>
    </w:p>
    <w:p>
      <w:pPr>
        <w:pStyle w:val="BodyText"/>
      </w:pPr>
      <w:r>
        <w:t xml:space="preserve">La literatura contrasta la planificación detallada con la planificación adaptativa. El enfoque predictivo fija alcance y plazo desde el inicio (PMI, 2021). Collingridge (1980) advierte que fijar todo al comienzo compromete recursos cuando la información es mínima. El proyecto adopta una posición intermedia. Planifica en detalle las fases 1 y 2, porque dependen de contratos y compras con plazos largos. Difiere las decisiones de los tramos 2 y 3 a las compuertas. Los hitos H0 (mes 2) y H1 (mes 4) verifican esa planificación con contratos, convenios, informe de sitios y estudio de cobertura, enlace y energía.</w:t>
      </w:r>
    </w:p>
    <w:p>
      <w:pPr>
        <w:pStyle w:val="BodyText"/>
      </w:pPr>
      <w:r>
        <w:t xml:space="preserve">La consecuencia metodológica es el registro previo del plan de análisis. Antes del primer dato, la actividad A1.1 documenta cuatro piezas. Son los criterios de selección de sitios, las definiciones de las métricas, las reglas de dato válido y los umbrales de la ficha. Ese documento se firma en el hito H1 y no cambia sin una decisión de compuerta registrada. La actividad A2.1 fija además las condiciones que determinan la disponibilidad. Son una autonomía de 14 días sin sol, un almacenamiento local de 7 días y un enlace celular con respaldo satelital. La gestión de riesgos sigue ISO 31000 (ISO, 2018) y se apoya en los 12 riesgos de la ficha maestra.</w:t>
      </w:r>
    </w:p>
    <w:bookmarkEnd w:id="460"/>
    <w:bookmarkStart w:id="461" w:name="_Toc00900181"/>
    <w:p>
      <w:pPr>
        <w:pStyle w:val="Heading3"/>
      </w:pPr>
      <w:r>
        <w:t xml:space="preserve">6.2.2 Fase 2: construir</w:t>
      </w:r>
    </w:p>
    <w:p>
      <w:pPr>
        <w:pStyle w:val="FirstParagraph"/>
      </w:pPr>
      <w:r>
        <w:t xml:space="preserve">La fase 2 construye el producto mínimo viable (MVP, por minimum viable product) del artefacto y lo caracteriza antes de instalarlo. Ries (2011) define ese producto como la versión que permite completar un ciclo construir-medir-aprender con el menor esfuerzo. En este proyecto el MVP reúne el lote 1, con 36 nodos y 4 gateways comprados, de los cuales operan 30 nodos y 3 gateways. Incluye además los tres monitores de referencia, el firmware y la plataforma base. La actividad A1.2 pertenece a la ruta crítica. Dura 10 semanas, entre las semanas 14 y 24. La actividad A2.2 desarrolla en paralelo el firmware, la plataforma y un tablero mínimo.</w:t>
      </w:r>
    </w:p>
    <w:p>
      <w:pPr>
        <w:pStyle w:val="BodyText"/>
      </w:pPr>
      <w:r>
        <w:t xml:space="preserve">La caracterización de laboratorio responde a la variable que más preocupa. Jayaratne et al. (2018) documentan la influencia de la humedad en un sensor de masa de partículas de bajo costo y el efecto de la niebla. Crilley et al. (2018) evaluaron un contador óptico de partículas de bajo costo en monitoreo ambiental. El proyecto adopta esa práctica. La actividad A1.2 usa el banco con cámara de humedad y generador de aerosol. Mide la respuesta de cada cabezal óptico y la variación entre unidades. La actividad A3.1 comienza en la semana 12, antes de que termine esta fase, porque el co-diseño con los comités requiere un prototipo observable.</w:t>
      </w:r>
    </w:p>
    <w:p>
      <w:pPr>
        <w:pStyle w:val="BodyText"/>
      </w:pPr>
      <w:r>
        <w:t xml:space="preserve">Existe una discusión sobre el significado de «mínimo» en un sistema que alimenta decisiones de riesgo. Ries (2011) busca aprender con el menor costo, aun con calidad provisional. Morawska et al. (2018) y Kumar et al. (2015) señalan que los datos de sensores de bajo costo requieren evaluación de calidad antes de decidir con ellos. El proyecto resuelve la discusión con un MVP mínimo en escala y no en rigor metrológico. Mantiene 30 nodos, pero caracteriza cada cabezal y exige una referencia colocalizada. Los entregables son cuatro. Incluyen el informe de caracterización del lote 1, el firmware versión 1, la plataforma base con tablero mínimo y el plan de talleres de co-diseño.</w:t>
      </w:r>
    </w:p>
    <w:bookmarkEnd w:id="461"/>
    <w:bookmarkStart w:id="462" w:name="_Toc00900182"/>
    <w:p>
      <w:pPr>
        <w:pStyle w:val="Heading3"/>
      </w:pPr>
      <w:r>
        <w:t xml:space="preserve">6.2.3 Fase 3: medir</w:t>
      </w:r>
    </w:p>
    <w:p>
      <w:pPr>
        <w:pStyle w:val="FirstParagraph"/>
      </w:pPr>
      <w:r>
        <w:t xml:space="preserve">La fase 3 mide el desempeño del artefacto frente a una referencia y produce la línea base de error. Comprende tres actividades. A1.3 dura 16 semanas (semanas 24 a 40). A1.4 dura 8 semanas (semanas 40 a 48). La medición de C1 ocupa 2 semanas (semanas 48 a 50). La actividad A1.3 colocaliza 30 nodos en tres sitios. La actividad A1.4 entrena y valida el modelo de corrección. El hito H2 (mes 10) entrega la base de datos de colocalización y la línea base de error. Esa línea base no se conoce todavía. El valor de NMAE superior a 45 % del expediente E3 carece de localizador y sigue NO_VERIFICADO.</w:t>
      </w:r>
    </w:p>
    <w:p>
      <w:pPr>
        <w:pStyle w:val="BodyText"/>
      </w:pPr>
      <w:r>
        <w:t xml:space="preserve">El corpus del informe de vigilancia muestra por qué la comparación con una referencia es el paso decisivo. En la red S-Dot de Seúl, una corrección con la estación cercana elevó el R² de menos de 0,2 a 0,81. La corrección incluyó un desfase de 35 minutos (Bang et al., 2026, pp. 6-8). La correlación de las partículas con la humedad fue de 0,73 en una mina a cielo abierto (Suresh et al., 2025, p. 30). Además, 90,8 % de las 5.076 estaciones de la red nacional propuesta serían sensores sin plan de calibración (Murad Pedraza et al., 2026, pp. 10-11 y 13). El porcentaje es un cálculo del informe de vigilancia.</w:t>
      </w:r>
    </w:p>
    <w:p>
      <w:pPr>
        <w:pStyle w:val="BodyText"/>
      </w:pPr>
      <w:r>
        <w:t xml:space="preserve">Dos posiciones disputan cómo se transfiere una corrección. La primera propone un modelo único para toda una región, como el que Barkjohn et al. (2021) desarrollaron con datos de Estados Unidos. La segunda propone una calibración sensible al contexto. Giordano et al. (2021) la presentan como práctica recomendada, y Malings et al. (2020) evalúan su estabilidad en el tiempo. El proyecto adopta una forma funcional común y contrasta los parámetros por departamento. La validación decide si basta un conjunto de parámetros en el gateway o si cada departamento necesita el suyo. La compuerta C1 se decide con datos de nodos y departamentos que el modelo no vio durante el entrenamiento. La sección 6.3 detalla el diseño de medición.</w:t>
      </w:r>
    </w:p>
    <w:bookmarkEnd w:id="462"/>
    <w:bookmarkStart w:id="463" w:name="_Toc00900183"/>
    <w:p>
      <w:pPr>
        <w:pStyle w:val="Heading3"/>
      </w:pPr>
      <w:r>
        <w:t xml:space="preserve">6.2.4 Fase 4: aprender y decidir</w:t>
      </w:r>
    </w:p>
    <w:p>
      <w:pPr>
        <w:pStyle w:val="FirstParagraph"/>
      </w:pPr>
      <w:r>
        <w:t xml:space="preserve">La fase 4 convierte los resultados de la medición en una decisión de continuidad. No posee actividad propia en la red CPM. Ocurre en las compuertas C1 (semanas 48 a 50) y C2 (semanas 68 a 70), de 2 semanas cada una. Ries (2011) llama a esa decisión pivotar o perseverar y la fundamenta en aprendizaje validado, es decir, en evidencia medida y no en opinión. Cooper (2008) describe decisiones equivalentes en las compuertas de su modelo: continuar, detener, esperar o repetir la etapa.</w:t>
      </w:r>
    </w:p>
    <w:p>
      <w:pPr>
        <w:pStyle w:val="BodyText"/>
      </w:pPr>
      <w:r>
        <w:t xml:space="preserve">Los criterios de la ficha son explícitos. La compuerta C1 amplía el despliegue al tramo 2 bajo dos condiciones. El modelo cumple R² ≥ 0,70 y NRMSE ≤ 30 % en el piloto. Además, al menos 50 % de los comités del tramo 1 usa el tablero. La compuerta C2 consolida el tramo 3 bajo tres condiciones. Los mismos umbrales se cumplen en los tres departamentos. La disponibilidad mensual es de 90 % o más. Existen convenios de custodia con partida. Cada compuerta libera la compra del tramo siguiente: 48 nodos y 4 gateways tras C1, y 36 nodos y 3 gateways tras C2. La compuerta C3 cierra y transfiere en el mes 24.</w:t>
      </w:r>
    </w:p>
    <w:p>
      <w:pPr>
        <w:pStyle w:val="BodyText"/>
      </w:pPr>
      <w:r>
        <w:t xml:space="preserve">La red CPM sitúa la puesta en uso del tablero (A3.2) después de C1, mientras que C1 exige uso de los comités del tramo 1. El capítulo resuelve esa diferencia con un uso piloto del tablero entre la semana 36, cuando termina A3.1, y la semana 48. La compuerta C1 evalúa ese uso piloto y la actividad A3.2 lo amplía después (PROPUESTO). Ninguna duración cambia con esta aclaración.</w:t>
      </w:r>
    </w:p>
    <w:p>
      <w:pPr>
        <w:pStyle w:val="BodyText"/>
      </w:pPr>
      <w:r>
        <w:t xml:space="preserve">La literatura discute qué tan rígida debe ser la regla de decisión. Lindblom (1959) defiende los avances incrementales y los ajustes sucesivos. Etzioni (1967) propone explorar de forma amplia y profundizar solo donde la señal lo exige. Simon (1955) recuerda que la racionalidad humana es limitada y que se decide con criterios de suficiencia. Los umbrales de la ficha combinan esas posiciones. Son rígidos para liberar la compra y se leen con intervalos de confianza para no tratar una estimación puntual como certeza.</w:t>
      </w:r>
    </w:p>
    <w:p>
      <w:pPr>
        <w:pStyle w:val="BodyText"/>
      </w:pPr>
      <w:r>
        <w:t xml:space="preserve">Cuando un criterio no se cumple, el proyecto pivota según la causa (PROPUESTO). Si falla el criterio técnico, el proyecto pasa al modelo candidato siguiente de la sección 6.3 y no libera la compra. También revisa el cabezal óptico y el protocolo de instalación. Si falla el criterio de uso, rediseña el protocolo de alerta con los comités y condiciona la compra a una nueva lectura. Si fallan los convenios de custodia en C2, refuerza la custodia o reduce el alcance del tramo 3. Cada desviación del cronograma se registra como cambio controlado. La sección 6.6 presenta la Figura 6.4 con esta lógica y sus umbrales.</w:t>
      </w:r>
    </w:p>
    <w:bookmarkEnd w:id="463"/>
    <w:bookmarkStart w:id="467" w:name="_Toc00900184"/>
    <w:p>
      <w:pPr>
        <w:pStyle w:val="Heading3"/>
      </w:pPr>
      <w:r>
        <w:t xml:space="preserve">6.2.5 Fase 5: escalamiento</w:t>
      </w:r>
    </w:p>
    <w:p>
      <w:pPr>
        <w:pStyle w:val="FirstParagraph"/>
      </w:pPr>
      <w:r>
        <w:t xml:space="preserve">La fase 5 escala la red de 30 a 100 nodos y de 3 a 10 gateways en dos repeticiones del ciclo construir-medir-aprender. Reúne las actividades A2.3, A1.5, A3.2, C2, A2.4, A3.3, A1.6 y A3.4, entre las semanas 50 y 104. La primera repetición instala el tramo 2 (A2.3, 12 semanas). Después reentrena y verifica por departamento (A1.5, 6 semanas) y decide en C2. La segunda repetición instala el tramo 3 (A2.4, 12 semanas) y forma custodios con convenios por tramo (A3.3, 16 semanas). Verifica el desempeño final con un ensayo independiente (A1.6, 16 semanas). El cierre ocurre en A3.4, que dura 6 semanas.</w:t>
      </w:r>
    </w:p>
    <w:p>
      <w:pPr>
        <w:pStyle w:val="BodyText"/>
      </w:pPr>
      <w:r>
        <w:t xml:space="preserve">Cinco hitos verifican los entregables de la fase. El hito H4 (mes 16) presenta el informe de disponibilidad y desempeño del tramo 2. El hito H5 (mes 17) corresponde al acta de C2. El hito H6 (mes 19) entrega el inventario de 100 nodos y 10 gateways operativos. El hito H7 (mes 23) reúne el informe del laboratorio externo y la evaluación externa. El hito H8 (mes 24) entrega las actas a los custodios y la cláusula de apertura firmada.</w:t>
      </w:r>
    </w:p>
    <w:p>
      <w:pPr>
        <w:pStyle w:val="BodyText"/>
      </w:pPr>
      <w:r>
        <w:t xml:space="preserve">El escalamiento admite dos lecturas. Una lo entiende como réplica fiel de la configuración validada. La otra lo entiende como adaptación al contexto local. Rogers (2003) muestra que quienes adoptan una innovación suelen reinventarla. Pawson y Tilley (1997) sostienen que los mecanismos de una intervención producen resultados distintos según el contexto. Glouberman y Zimmerman (2002) añaden que en los sistemas complejos una fórmula no se transfiere de un lugar a otro sin ajustes.</w:t>
      </w:r>
    </w:p>
    <w:p>
      <w:pPr>
        <w:pStyle w:val="BodyText"/>
      </w:pPr>
      <w:r>
        <w:t xml:space="preserve">El proyecto adopta una réplica con adaptación controlada. Cada tramo congela la versión del modelo y del firmware antes de instalarse. Registra cada cambio y verifica por departamento si el modelo conserva su desempeño. El protocolo de rotación de la sección 6.3 coloca grupos de nodos junto a las referencias durante las actividades A2.3 y A2.4. Así, la verificación usa datos que el entrenamiento no vio.</w:t>
      </w:r>
    </w:p>
    <w:p>
      <w:pPr>
        <w:pStyle w:val="BodyText"/>
      </w:pPr>
      <w:r>
        <w:t xml:space="preserve">La Figura 6.2 representa los tres tramos como ciclos sucesivos. Cada ciclo agrega nodos y gateways y eleva el nivel de madurez tecnológica. El proyecto parte de TRL 4 y llega a TRL 7. Mankins (1995) define el nivel 5 como validación de componentes en un entorno relevante. El nivel 6 es la demostración de un prototipo en un entorno relevante. El nivel 7 es la demostración de un prototipo del sistema en un entorno operativo. El capítulo propone situar el TRL 5 en C1, el TRL 6 en C2 y el TRL 7 al mes 24 (PROPUESTO).</w:t>
      </w:r>
    </w:p>
    <w:p>
      <w:pPr>
        <w:pStyle w:val="FiguraRotulo"/>
      </w:pPr>
      <w:bookmarkStart w:id="9516" w:name="rot_Figura_6_2"/>
      <w:r>
        <w:rPr>
          <w:b/>
          <w:bCs/>
        </w:rPr>
        <w:t xml:space="preserve">Figura 6.2</w:t>
      </w:r>
      <w:bookmarkEnd w:id="9516"/>
    </w:p>
    <w:p>
      <w:pPr>
        <w:pStyle w:val="FiguraTitulo"/>
      </w:pPr>
      <w:r>
        <w:rPr>
          <w:i/>
          <w:iCs/>
        </w:rPr>
        <w:t xml:space="preserve">Ciclo construir-medir-aprender aplicado a los tres tramos con compuertas</w:t>
      </w:r>
    </w:p>
    <w:p>
      <w:pPr>
        <w:pStyle w:val="BodyText"/>
      </w:pPr>
      <w:r>
        <w:drawing>
          <wp:inline>
            <wp:extent cx="5579999" cy="3905166"/>
            <wp:effectExtent b="0" l="0" r="0" t="0"/>
            <wp:docPr descr="" title="" id="465" name="Picture"/>
            <a:graphic>
              <a:graphicData uri="http://schemas.openxmlformats.org/drawingml/2006/picture">
                <pic:pic>
                  <pic:nvPicPr>
                    <pic:cNvPr descr="/tmp/claude-0/-home-user-docs/ddf38714-2a7e-502b-92b4-1008e2832422/scratchpad/proy/figs/out/c6_f02.png" id="466" name="Picture"/>
                    <pic:cNvPicPr>
                      <a:picLocks noChangeArrowheads="1" noChangeAspect="1"/>
                    </pic:cNvPicPr>
                  </pic:nvPicPr>
                  <pic:blipFill>
                    <a:blip r:embed="rId464"/>
                    <a:stretch>
                      <a:fillRect/>
                    </a:stretch>
                  </pic:blipFill>
                  <pic:spPr bwMode="auto">
                    <a:xfrm>
                      <a:off x="0" y="0"/>
                      <a:ext cx="5579999" cy="390516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(secciones 4 y 6). Nodos y gateways acumulados: CALCULADO. Niveles TRL 5 y 6: PROPUESTO; TRL inicial 4 y final 7 según la ficha. Software: Python 3 y matplotlib; script c6_figs.py, sin semilla aleatoria.</w:t>
      </w:r>
    </w:p>
    <w:p>
      <w:pPr>
        <w:pStyle w:val="BodyText"/>
      </w:pPr>
      <w:r>
        <w:t xml:space="preserve">La asignación de niveles es una propuesta, porque el expediente E3 declaraba TRL 8 y la ficha fija TRL 7 como nivel final. La evidencia de cada nivel es el acta de la compuerta correspondiente. El TRL 8 queda condicionado a una evaluación de desempeño independiente que el plazo de 24 meses no cubre.</w:t>
      </w:r>
    </w:p>
    <w:bookmarkEnd w:id="467"/>
    <w:bookmarkEnd w:id="468"/>
    <w:bookmarkStart w:id="472" w:name="_Toc00900185"/>
    <w:p>
      <w:pPr>
        <w:pStyle w:val="Heading2"/>
      </w:pPr>
      <w:r>
        <w:t xml:space="preserve">6.3 Técnicas e instrumentos</w:t>
      </w:r>
    </w:p>
    <w:bookmarkStart w:id="469" w:name="_Toc00900186"/>
    <w:p>
      <w:pPr>
        <w:pStyle w:val="Heading3"/>
      </w:pPr>
      <w:r>
        <w:t xml:space="preserve">6.3.1 Técnicas de recolección de datos</w:t>
      </w:r>
    </w:p>
    <w:p>
      <w:pPr>
        <w:pStyle w:val="FirstParagraph"/>
      </w:pPr>
      <w:r>
        <w:t xml:space="preserve">El proyecto recolecta datos con cuatro técnicas: medición colocalizada, verificación gravimétrica, registro automático de la plataforma y consulta a las personas que usan el tablero. La colocalización compara un sensor de bajo costo con un instrumento de referencia que mide la misma masa de aire. Es la técnica central de las guías de evaluación de sensores (EPA, 2021; Giordano et al., 2021). Karagulian et al. (2019) revisaron el desempeño de estos sensores por contaminante y por entorno. Castell et al. (2017) evaluaron si las plataformas comerciales de bajo costo sirven para estimar la exposición. Ambos trabajos describen un desempeño que varía con el sensor y con el entorno de despliegue.</w:t>
      </w:r>
    </w:p>
    <w:p>
      <w:pPr>
        <w:pStyle w:val="BodyText"/>
      </w:pPr>
      <w:r>
        <w:t xml:space="preserve">La Tabla 6.3 relaciona cada técnica con su instrumento y su variable. Añade un ítem de ejemplo y el momento de aplicación. Reúne las técnicas de medición y las de evaluación del uso institucional. El proyecto las analiza con la misma lógica de registro previo.</w:t>
      </w:r>
    </w:p>
    <w:p>
      <w:pPr>
        <w:pStyle w:val="TablaRotulo"/>
      </w:pPr>
      <w:bookmarkStart w:id="9290" w:name="rot_Tabla_6_3"/>
      <w:r>
        <w:rPr>
          <w:b/>
          <w:bCs/>
        </w:rPr>
        <w:t xml:space="preserve">Tabla 6.3</w:t>
      </w:r>
      <w:bookmarkEnd w:id="9290"/>
    </w:p>
    <w:p>
      <w:pPr>
        <w:pStyle w:val="TablaTitulo"/>
      </w:pPr>
      <w:r>
        <w:rPr>
          <w:i/>
          <w:iCs/>
        </w:rPr>
        <w:t xml:space="preserve">Matriz de técnicas e instrumentos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650"/>
        <w:gridCol w:w="1518"/>
        <w:gridCol w:w="1254"/>
      </w:tblGrid>
      <w:tr>
        <w:trPr>
          <w:cantSplit/>
          <w:tblHeader/>
        </w:trPr>
        <w:tc>
          <w:tcPr>
            <w:shd w:val="clear" w:color="auto" w:fill="00B050"/>
          </w:tcPr>
          <w:p>
            <w:pPr>
              <w:pStyle w:val="Tabla9"/>
              <w:jc w:val="center"/>
            </w:pPr>
            <w:r>
              <w:rPr>
                <w:b/>
                <w:color w:val="FFFFFF"/>
              </w:rPr>
              <w:t xml:space="preserve">Técnica</w:t>
            </w:r>
          </w:p>
        </w:tc>
        <w:tc>
          <w:tcPr>
            <w:shd w:val="clear" w:color="auto" w:fill="00B050"/>
          </w:tcPr>
          <w:p>
            <w:pPr>
              <w:pStyle w:val="Tabla9"/>
              <w:jc w:val="center"/>
            </w:pPr>
            <w:r>
              <w:rPr>
                <w:b/>
                <w:color w:val="FFFFFF"/>
              </w:rPr>
              <w:t xml:space="preserve">Instrumento</w:t>
            </w:r>
          </w:p>
        </w:tc>
        <w:tc>
          <w:tcPr>
            <w:shd w:val="clear" w:color="auto" w:fill="00B050"/>
          </w:tcPr>
          <w:p>
            <w:pPr>
              <w:pStyle w:val="Tabla9"/>
              <w:jc w:val="center"/>
            </w:pPr>
            <w:r>
              <w:rPr>
                <w:b/>
                <w:color w:val="FFFFFF"/>
              </w:rPr>
              <w:t xml:space="preserve">Variable o indicador</w:t>
            </w:r>
          </w:p>
        </w:tc>
        <w:tc>
          <w:tcPr>
            <w:shd w:val="clear" w:color="auto" w:fill="00B050"/>
          </w:tcPr>
          <w:p>
            <w:pPr>
              <w:pStyle w:val="Tabla9"/>
              <w:jc w:val="center"/>
            </w:pPr>
            <w:r>
              <w:rPr>
                <w:b/>
                <w:color w:val="FFFFFF"/>
              </w:rPr>
              <w:t xml:space="preserve">Ítem de ejemplo</w:t>
            </w:r>
          </w:p>
        </w:tc>
        <w:tc>
          <w:tcPr>
            <w:shd w:val="clear" w:color="auto" w:fill="00B050"/>
          </w:tcPr>
          <w:p>
            <w:pPr>
              <w:pStyle w:val="Tabla9"/>
              <w:jc w:val="center"/>
            </w:pPr>
            <w:r>
              <w:rPr>
                <w:b/>
                <w:color w:val="FFFFFF"/>
              </w:rPr>
              <w:t xml:space="preserve">Momento</w:t>
            </w:r>
          </w:p>
        </w:tc>
      </w:tr>
      <w:tr>
        <w:trPr>
          <w:cantSplit/>
        </w:trPr>
        <w:tc>
          <w:tcPr/>
          <w:p>
            <w:pPr>
              <w:pStyle w:val="Tabla9"/>
              <w:jc w:val="left"/>
            </w:pPr>
            <w:r>
              <w:t xml:space="preserve">Colocalización nodo-referencia</w:t>
            </w:r>
          </w:p>
        </w:tc>
        <w:tc>
          <w:tcPr/>
          <w:p>
            <w:pPr>
              <w:pStyle w:val="Tabla9"/>
              <w:jc w:val="left"/>
            </w:pPr>
            <w:r>
              <w:t xml:space="preserve">Base de datos de colocalización con control de calidad</w:t>
            </w:r>
          </w:p>
        </w:tc>
        <w:tc>
          <w:tcPr/>
          <w:p>
            <w:pPr>
              <w:pStyle w:val="Tabla9"/>
              <w:jc w:val="left"/>
            </w:pPr>
            <w:r>
              <w:t xml:space="preserve">R², NRMSE, pendiente, sesgo y NMAE por departamento</w:t>
            </w:r>
          </w:p>
        </w:tc>
        <w:tc>
          <w:tcPr/>
          <w:p>
            <w:pPr>
              <w:pStyle w:val="Tabla9"/>
              <w:jc w:val="left"/>
            </w:pPr>
            <w:r>
              <w:t xml:space="preserve">Regla de dato válido: día con al menos 18 de 24 horas con par válido</w:t>
            </w:r>
          </w:p>
        </w:tc>
        <w:tc>
          <w:tcPr/>
          <w:p>
            <w:pPr>
              <w:pStyle w:val="Tabla9"/>
              <w:jc w:val="left"/>
            </w:pPr>
            <w:r>
              <w:t xml:space="preserve">Continuo en A1.3 y en las rotaciones</w:t>
            </w:r>
          </w:p>
        </w:tc>
      </w:tr>
      <w:tr>
        <w:trPr>
          <w:cantSplit/>
        </w:trPr>
        <w:tc>
          <w:tcPr/>
          <w:p>
            <w:pPr>
              <w:pStyle w:val="Tabla9"/>
              <w:jc w:val="left"/>
            </w:pPr>
            <w:r>
              <w:t xml:space="preserve">Verificación gravimétrica</w:t>
            </w:r>
          </w:p>
        </w:tc>
        <w:tc>
          <w:tcPr/>
          <w:p>
            <w:pPr>
              <w:pStyle w:val="Tabla9"/>
              <w:jc w:val="left"/>
            </w:pPr>
            <w:r>
              <w:t xml:space="preserve">Protocolo de filtros PTFE con cadena de custodia</w:t>
            </w:r>
          </w:p>
        </w:tc>
        <w:tc>
          <w:tcPr/>
          <w:p>
            <w:pPr>
              <w:pStyle w:val="Tabla9"/>
              <w:jc w:val="left"/>
            </w:pPr>
            <w:r>
              <w:t xml:space="preserve">Concentración de 24 horas por filtro</w:t>
            </w:r>
          </w:p>
        </w:tc>
        <w:tc>
          <w:tcPr/>
          <w:p>
            <w:pPr>
              <w:pStyle w:val="Tabla9"/>
              <w:jc w:val="left"/>
            </w:pPr>
            <w:r>
              <w:t xml:space="preserve">¿El filtro conserva su rótulo, su sello y su registro de pesaje inicial?</w:t>
            </w:r>
          </w:p>
        </w:tc>
        <w:tc>
          <w:tcPr/>
          <w:p>
            <w:pPr>
              <w:pStyle w:val="Tabla9"/>
              <w:jc w:val="left"/>
            </w:pPr>
            <w:r>
              <w:t xml:space="preserve">Tramos 1, 2 y 3</w:t>
            </w:r>
          </w:p>
        </w:tc>
      </w:tr>
      <w:tr>
        <w:trPr>
          <w:cantSplit/>
        </w:trPr>
        <w:tc>
          <w:tcPr/>
          <w:p>
            <w:pPr>
              <w:pStyle w:val="Tabla9"/>
              <w:jc w:val="left"/>
            </w:pPr>
            <w:r>
              <w:t xml:space="preserve">Inspección de campo</w:t>
            </w:r>
          </w:p>
        </w:tc>
        <w:tc>
          <w:tcPr/>
          <w:p>
            <w:pPr>
              <w:pStyle w:val="Tabla9"/>
              <w:jc w:val="left"/>
            </w:pPr>
            <w:r>
              <w:t xml:space="preserve">Lista de cotejo de instalación y mantenimiento</w:t>
            </w:r>
          </w:p>
        </w:tc>
        <w:tc>
          <w:tcPr/>
          <w:p>
            <w:pPr>
              <w:pStyle w:val="Tabla9"/>
              <w:jc w:val="left"/>
            </w:pPr>
            <w:r>
              <w:t xml:space="preserve">Integridad del nodo, estado del cabezal y energía</w:t>
            </w:r>
          </w:p>
        </w:tc>
        <w:tc>
          <w:tcPr/>
          <w:p>
            <w:pPr>
              <w:pStyle w:val="Tabla9"/>
              <w:jc w:val="left"/>
            </w:pPr>
            <w:r>
              <w:t xml:space="preserve">¿El cabezal óptico está limpio y la toma de aire está libre?</w:t>
            </w:r>
          </w:p>
        </w:tc>
        <w:tc>
          <w:tcPr/>
          <w:p>
            <w:pPr>
              <w:pStyle w:val="Tabla9"/>
              <w:jc w:val="left"/>
            </w:pPr>
            <w:r>
              <w:t xml:space="preserve">Mensual</w:t>
            </w:r>
          </w:p>
        </w:tc>
      </w:tr>
      <w:tr>
        <w:trPr>
          <w:cantSplit/>
        </w:trPr>
        <w:tc>
          <w:tcPr/>
          <w:p>
            <w:pPr>
              <w:pStyle w:val="Tabla9"/>
              <w:jc w:val="left"/>
            </w:pPr>
            <w:r>
              <w:t xml:space="preserve">Registro automático</w:t>
            </w:r>
          </w:p>
        </w:tc>
        <w:tc>
          <w:tcPr/>
          <w:p>
            <w:pPr>
              <w:pStyle w:val="Tabla9"/>
              <w:jc w:val="left"/>
            </w:pPr>
            <w:r>
              <w:t xml:space="preserve">Registro de eventos de energía y de enlace de la plataforma</w:t>
            </w:r>
          </w:p>
        </w:tc>
        <w:tc>
          <w:tcPr/>
          <w:p>
            <w:pPr>
              <w:pStyle w:val="Tabla9"/>
              <w:jc w:val="left"/>
            </w:pPr>
            <w:r>
              <w:t xml:space="preserve">Disponibilidad mensual de nodos (meta ≥ 90 %) y pérdida de paquetes (meta ≤ 10 %)</w:t>
            </w:r>
          </w:p>
        </w:tc>
        <w:tc>
          <w:tcPr/>
          <w:p>
            <w:pPr>
              <w:pStyle w:val="Tabla9"/>
              <w:jc w:val="left"/>
            </w:pPr>
            <w:r>
              <w:t xml:space="preserve">Horas con paquete recibido ÷ horas esperadas por nodo</w:t>
            </w:r>
          </w:p>
        </w:tc>
        <w:tc>
          <w:tcPr/>
          <w:p>
            <w:pPr>
              <w:pStyle w:val="Tabla9"/>
              <w:jc w:val="left"/>
            </w:pPr>
            <w:r>
              <w:t xml:space="preserve">Continuo</w:t>
            </w:r>
          </w:p>
        </w:tc>
      </w:tr>
      <w:tr>
        <w:trPr>
          <w:cantSplit/>
        </w:trPr>
        <w:tc>
          <w:tcPr/>
          <w:p>
            <w:pPr>
              <w:pStyle w:val="Tabla9"/>
              <w:jc w:val="left"/>
            </w:pPr>
            <w:r>
              <w:t xml:space="preserve">Encuesta de uso y aceptación</w:t>
            </w:r>
          </w:p>
        </w:tc>
        <w:tc>
          <w:tcPr/>
          <w:p>
            <w:pPr>
              <w:pStyle w:val="Tabla9"/>
              <w:jc w:val="left"/>
            </w:pPr>
            <w:r>
              <w:t xml:space="preserve">Cuestionario con escala de 1 a 5</w:t>
            </w:r>
          </w:p>
        </w:tc>
        <w:tc>
          <w:tcPr/>
          <w:p>
            <w:pPr>
              <w:pStyle w:val="Tabla9"/>
              <w:jc w:val="left"/>
            </w:pPr>
            <w:r>
              <w:t xml:space="preserve">Utilidad percibida, facilidad de uso y condiciones facilitadoras</w:t>
            </w:r>
          </w:p>
        </w:tc>
        <w:tc>
          <w:tcPr/>
          <w:p>
            <w:pPr>
              <w:pStyle w:val="Tabla9"/>
              <w:jc w:val="left"/>
            </w:pPr>
            <w:r>
              <w:t xml:space="preserve">El tablero me ayuda a decidir cuándo emitir una alerta</w:t>
            </w:r>
          </w:p>
        </w:tc>
        <w:tc>
          <w:tcPr/>
          <w:p>
            <w:pPr>
              <w:pStyle w:val="Tabla9"/>
              <w:jc w:val="left"/>
            </w:pPr>
            <w:r>
              <w:t xml:space="preserve">Línea base, C1, C2 y mes 24</w:t>
            </w:r>
          </w:p>
        </w:tc>
      </w:tr>
      <w:tr>
        <w:trPr>
          <w:cantSplit/>
        </w:trPr>
        <w:tc>
          <w:tcPr/>
          <w:p>
            <w:pPr>
              <w:pStyle w:val="Tabla9"/>
              <w:jc w:val="left"/>
            </w:pPr>
            <w:r>
              <w:t xml:space="preserve">Revisión documental</w:t>
            </w:r>
          </w:p>
        </w:tc>
        <w:tc>
          <w:tcPr/>
          <w:p>
            <w:pPr>
              <w:pStyle w:val="Tabla9"/>
              <w:jc w:val="left"/>
            </w:pPr>
            <w:r>
              <w:t xml:space="preserve">Lista de cotejo de decisiones documentadas</w:t>
            </w:r>
          </w:p>
        </w:tc>
        <w:tc>
          <w:tcPr/>
          <w:p>
            <w:pPr>
              <w:pStyle w:val="Tabla9"/>
              <w:jc w:val="left"/>
            </w:pPr>
            <w:r>
              <w:t xml:space="preserve">PERS-E01: comités con decisión basada en el tablero por trimestre</w:t>
            </w:r>
          </w:p>
        </w:tc>
        <w:tc>
          <w:tcPr/>
          <w:p>
            <w:pPr>
              <w:pStyle w:val="Tabla9"/>
              <w:jc w:val="left"/>
            </w:pPr>
            <w:r>
              <w:t xml:space="preserve">¿El acta cita la lectura del tablero, el umbral y la medida adoptada?</w:t>
            </w:r>
          </w:p>
        </w:tc>
        <w:tc>
          <w:tcPr/>
          <w:p>
            <w:pPr>
              <w:pStyle w:val="Tabla9"/>
              <w:jc w:val="left"/>
            </w:pPr>
            <w:r>
              <w:t xml:space="preserve">Trimestral</w:t>
            </w:r>
          </w:p>
        </w:tc>
      </w:tr>
      <w:tr>
        <w:trPr>
          <w:cantSplit/>
        </w:trPr>
        <w:tc>
          <w:tcPr/>
          <w:p>
            <w:pPr>
              <w:pStyle w:val="Tabla9"/>
              <w:jc w:val="left"/>
            </w:pPr>
            <w:r>
              <w:t xml:space="preserve">Entrevista semiestructurada</w:t>
            </w:r>
          </w:p>
        </w:tc>
        <w:tc>
          <w:tcPr/>
          <w:p>
            <w:pPr>
              <w:pStyle w:val="Tabla9"/>
              <w:jc w:val="left"/>
            </w:pPr>
            <w:r>
              <w:t xml:space="preserve">Guion para presidencia y secretaría técnica de cada comité</w:t>
            </w:r>
          </w:p>
        </w:tc>
        <w:tc>
          <w:tcPr/>
          <w:p>
            <w:pPr>
              <w:pStyle w:val="Tabla9"/>
              <w:jc w:val="left"/>
            </w:pPr>
            <w:r>
              <w:t xml:space="preserve">Barreras y facilitadores del uso</w:t>
            </w:r>
          </w:p>
        </w:tc>
        <w:tc>
          <w:tcPr/>
          <w:p>
            <w:pPr>
              <w:pStyle w:val="Tabla9"/>
              <w:jc w:val="left"/>
            </w:pPr>
            <w:r>
              <w:t xml:space="preserve">¿Qué decisión tomó el comité con la última alerta y con qué datos?</w:t>
            </w:r>
          </w:p>
        </w:tc>
        <w:tc>
          <w:tcPr/>
          <w:p>
            <w:pPr>
              <w:pStyle w:val="Tabla9"/>
              <w:jc w:val="left"/>
            </w:pPr>
            <w:r>
              <w:t xml:space="preserve">C1, C2 y cierre</w:t>
            </w:r>
          </w:p>
        </w:tc>
      </w:tr>
      <w:tr>
        <w:trPr>
          <w:cantSplit/>
        </w:trPr>
        <w:tc>
          <w:tcPr/>
          <w:p>
            <w:pPr>
              <w:pStyle w:val="Tabla9"/>
              <w:jc w:val="left"/>
            </w:pPr>
            <w:r>
              <w:t xml:space="preserve">Evaluación práctica</w:t>
            </w:r>
          </w:p>
        </w:tc>
        <w:tc>
          <w:tcPr/>
          <w:p>
            <w:pPr>
              <w:pStyle w:val="Tabla9"/>
              <w:jc w:val="left"/>
            </w:pPr>
            <w:r>
              <w:t xml:space="preserve">Rúbrica de desempeño del personal custodio</w:t>
            </w:r>
          </w:p>
        </w:tc>
        <w:tc>
          <w:tcPr/>
          <w:p>
            <w:pPr>
              <w:pStyle w:val="Tabla9"/>
              <w:jc w:val="left"/>
            </w:pPr>
            <w:r>
              <w:t xml:space="preserve">PERS-E03: personas certificadas (meta ≥ 60)</w:t>
            </w:r>
          </w:p>
        </w:tc>
        <w:tc>
          <w:tcPr/>
          <w:p>
            <w:pPr>
              <w:pStyle w:val="Tabla9"/>
              <w:jc w:val="left"/>
            </w:pPr>
            <w:r>
              <w:t xml:space="preserve">Reemplaza el cabezal óptico y registra la configuración sin apoyo</w:t>
            </w:r>
          </w:p>
        </w:tc>
        <w:tc>
          <w:tcPr/>
          <w:p>
            <w:pPr>
              <w:pStyle w:val="Tabla9"/>
              <w:jc w:val="left"/>
            </w:pPr>
            <w:r>
              <w:t xml:space="preserve">Semestral</w:t>
            </w:r>
          </w:p>
        </w:tc>
      </w:tr>
      <w:tr>
        <w:trPr>
          <w:cantSplit/>
        </w:trPr>
        <w:tc>
          <w:tcPr/>
          <w:p>
            <w:pPr>
              <w:pStyle w:val="Tabla9"/>
              <w:jc w:val="left"/>
            </w:pPr>
            <w:r>
              <w:t xml:space="preserve">Registro de aprendizajes</w:t>
            </w:r>
          </w:p>
        </w:tc>
        <w:tc>
          <w:tcPr/>
          <w:p>
            <w:pPr>
              <w:pStyle w:val="Tabla9"/>
              <w:jc w:val="left"/>
            </w:pPr>
            <w:r>
              <w:t xml:space="preserve">Bitácora semanal con plantilla de 10 campos</w:t>
            </w:r>
          </w:p>
        </w:tc>
        <w:tc>
          <w:tcPr/>
          <w:p>
            <w:pPr>
              <w:pStyle w:val="Tabla9"/>
              <w:jc w:val="left"/>
            </w:pPr>
            <w:r>
              <w:t xml:space="preserve">Hallazgos, decisiones y acciones</w:t>
            </w:r>
          </w:p>
        </w:tc>
        <w:tc>
          <w:tcPr/>
          <w:p>
            <w:pPr>
              <w:pStyle w:val="Tabla9"/>
              <w:jc w:val="left"/>
            </w:pPr>
            <w:r>
              <w:t xml:space="preserve">¿Qué observación inesperada del campo cambia una decisión de la semana?</w:t>
            </w:r>
          </w:p>
        </w:tc>
        <w:tc>
          <w:tcPr/>
          <w:p>
            <w:pPr>
              <w:pStyle w:val="Tabla9"/>
              <w:jc w:val="left"/>
            </w:pPr>
            <w:r>
              <w:t xml:space="preserve">Semanal</w:t>
            </w:r>
          </w:p>
        </w:tc>
      </w:tr>
    </w:tbl>
    <w:p>
      <w:pPr>
        <w:pStyle w:val="TablaNota"/>
      </w:pPr>
      <w:r>
        <w:rPr>
          <w:i/>
          <w:iCs/>
        </w:rPr>
        <w:t xml:space="preserve">Nota.</w:t>
      </w:r>
      <w:r>
        <w:t xml:space="preserve"> </w:t>
      </w:r>
      <w:r>
        <w:t xml:space="preserve">Elaboración propia con metas de la ficha maestra (secciones 3 y 8). Instrumentos, ítems de ejemplo y momentos: PROPUESTO. Los ítems de ejemplo no constituyen la versión final de los instrumentos.</w:t>
      </w:r>
    </w:p>
    <w:p>
      <w:pPr>
        <w:pStyle w:val="BodyText"/>
      </w:pPr>
      <w:r>
        <w:t xml:space="preserve">La matriz asigna a cada indicador de la ficha una técnica verificable. Las cuatro primeras filas producen datos de máquina con control de calidad, y las demás producen registros de personas. Los ítems de ejemplo se afinan en la validación de instrumentos de la sección 6.3.3.</w:t>
      </w:r>
    </w:p>
    <w:p>
      <w:pPr>
        <w:pStyle w:val="BodyText"/>
      </w:pPr>
      <w:r>
        <w:rPr>
          <w:b/>
          <w:bCs/>
        </w:rPr>
        <w:t xml:space="preserve">Diseño de la colocalización.</w:t>
      </w:r>
      <w:r>
        <w:t xml:space="preserve"> </w:t>
      </w:r>
      <w:r>
        <w:t xml:space="preserve">La colocalización instala 10 nodos junto al monitor de referencia de cada departamento durante 16 semanas. Los tres sitios, uno por departamento, cubren los regímenes de humedad y de polvo de cada territorio. Los 30 nodos del tramo 1 quedan a la misma altura y con la misma exposición que la toma de la referencia. El protocolo de A1.1 fija la distancia horizontal máxima entre ambas tomas [DATO_USUARIO: distancia máxima, a definir con metrología]. Los monitores de referencia se adquieren entre los meses 4 y 6. Entregan la serie horaria con trazabilidad gravimétrica [DATO_USUARIO: especificación del monitor y su designación como método equivalente].</w:t>
      </w:r>
    </w:p>
    <w:p>
      <w:pPr>
        <w:pStyle w:val="BodyText"/>
      </w:pPr>
      <w:r>
        <w:t xml:space="preserve">La sincronización del tiempo es una condición del diseño. Bang et al. (2026, pp. 6-8) elevaron el R² de menos de 0,2 a 0,81 solo después de alinear las series con la estación cercana. El proyecto estima el desfase de cada par nodo-referencia por correlación cruzada y lo corrige antes de calcular las métricas. Cada gateway sincroniza el reloj de sus nodos, y la referencia registra su propia hora con el mismo patrón.</w:t>
      </w:r>
    </w:p>
    <w:p>
      <w:pPr>
        <w:pStyle w:val="BodyText"/>
      </w:pPr>
      <w:r>
        <w:rPr>
          <w:b/>
          <w:bCs/>
        </w:rPr>
        <w:t xml:space="preserve">Horas-nodo y pares disponibles.</w:t>
      </w:r>
      <w:r>
        <w:t xml:space="preserve"> </w:t>
      </w:r>
      <w:r>
        <w:t xml:space="preserve">La meta PERS-R05 exige al menos 60.000 horas-nodo de colocalización válidas. El diseño ofrece 80.640 horas-nodo teóricas, producto de 30 nodos, 16 semanas y 168 horas por semana. Con una completitud de 75 %, el resultado es de 60.480 horas-nodo, solo 480 por encima de la meta. La completitud mínima que cumple la meta es de 74,4 %. El margen equivale a 0,8 % de la meta y cualquier pérdida adicional lo agota.</w:t>
      </w:r>
    </w:p>
    <w:p>
      <w:pPr>
        <w:pStyle w:val="BodyText"/>
      </w:pPr>
      <w:r>
        <w:t xml:space="preserve">La cifra de 75 % es la completitud de los pares, no la del nodo. Si la referencia opera con 90 % de completitud, como supone PERS-R05, el nodo debe alcanzar 82,7 % o más. La meta de disponibilidad mensual de nodos de 90 % (OE2) permitiría 81 % de pares, que equivalen a 65.318 horas-nodo. En ese caso el control de calidad podría rechazar hasta 8,1 % de los pares sin comprometer la meta. Tavella et al. (2026, p. 6) reportan 96 de 570 estaciones de Brasil inactivas o sin estado (16,8 %). Las redes pierden disponibilidad.</w:t>
      </w:r>
    </w:p>
    <w:p>
      <w:pPr>
        <w:pStyle w:val="BodyText"/>
      </w:pPr>
      <w:r>
        <w:t xml:space="preserve">Las horas-nodo sobreestiman la información independiente. Los 10 nodos de un sitio miden el mismo aire y se comparan con la misma serie de referencia. La referencia aporta 2.688 horas, o 112 días, por sitio. Las horas contiguas repiten información, porque la concentración de partículas presenta autocorrelación alta. La Tabla 6.4 separa los pares nominales de la información efectiva.</w:t>
      </w:r>
    </w:p>
    <w:p>
      <w:pPr>
        <w:pStyle w:val="TablaRotulo"/>
      </w:pPr>
      <w:bookmarkStart w:id="9291" w:name="rot_Tabla_6_4"/>
      <w:r>
        <w:rPr>
          <w:b/>
          <w:bCs/>
        </w:rPr>
        <w:t xml:space="preserve">Tabla 6.4</w:t>
      </w:r>
      <w:bookmarkEnd w:id="9291"/>
    </w:p>
    <w:p>
      <w:pPr>
        <w:pStyle w:val="TablaTitulo"/>
      </w:pPr>
      <w:r>
        <w:rPr>
          <w:i/>
          <w:iCs/>
        </w:rPr>
        <w:t xml:space="preserve">Horas-nodo, pares y tamaño de muestra de la colocalización del tramo 1</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60"/>
        <w:gridCol w:w="1440"/>
        <w:gridCol w:w="2225"/>
        <w:gridCol w:w="2094"/>
      </w:tblGrid>
      <w:tr>
        <w:trPr>
          <w:cantSplit/>
          <w:tblHeader/>
        </w:trPr>
        <w:tc>
          <w:tcPr>
            <w:shd w:val="clear" w:color="auto" w:fill="00B050"/>
          </w:tcPr>
          <w:p>
            <w:pPr>
              <w:pStyle w:val="Tabla9"/>
              <w:jc w:val="center"/>
            </w:pPr>
            <w:r>
              <w:rPr>
                <w:b/>
                <w:color w:val="FFFFFF"/>
              </w:rPr>
              <w:t xml:space="preserve">Concepto</w:t>
            </w:r>
          </w:p>
        </w:tc>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Cálculo o fuente</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Horas-nodo teóricas</w:t>
            </w:r>
          </w:p>
        </w:tc>
        <w:tc>
          <w:tcPr/>
          <w:p>
            <w:pPr>
              <w:pStyle w:val="Tabla9"/>
              <w:jc w:val="left"/>
            </w:pPr>
            <w:r>
              <w:t xml:space="preserve">80.640</w:t>
            </w:r>
          </w:p>
        </w:tc>
        <w:tc>
          <w:tcPr/>
          <w:p>
            <w:pPr>
              <w:pStyle w:val="Tabla9"/>
              <w:jc w:val="left"/>
            </w:pPr>
            <w:r>
              <w:t xml:space="preserve">30 nodos × 16 semanas × 168 horas</w:t>
            </w:r>
          </w:p>
        </w:tc>
        <w:tc>
          <w:tcPr/>
          <w:p>
            <w:pPr>
              <w:pStyle w:val="Tabla9"/>
              <w:jc w:val="left"/>
            </w:pPr>
            <w:r>
              <w:t xml:space="preserve">CALCULADO</w:t>
            </w:r>
          </w:p>
        </w:tc>
      </w:tr>
      <w:tr>
        <w:trPr>
          <w:cantSplit/>
        </w:trPr>
        <w:tc>
          <w:tcPr/>
          <w:p>
            <w:pPr>
              <w:pStyle w:val="Tabla9"/>
              <w:jc w:val="left"/>
            </w:pPr>
            <w:r>
              <w:t xml:space="preserve">Horas-nodo con completitud de 75 %</w:t>
            </w:r>
          </w:p>
        </w:tc>
        <w:tc>
          <w:tcPr/>
          <w:p>
            <w:pPr>
              <w:pStyle w:val="Tabla9"/>
              <w:jc w:val="left"/>
            </w:pPr>
            <w:r>
              <w:t xml:space="preserve">60.480</w:t>
            </w:r>
          </w:p>
        </w:tc>
        <w:tc>
          <w:tcPr/>
          <w:p>
            <w:pPr>
              <w:pStyle w:val="Tabla9"/>
              <w:jc w:val="left"/>
            </w:pPr>
            <w:r>
              <w:t xml:space="preserve">80.640 × 0,75; margen de 480 horas sobre PERS-R05</w:t>
            </w:r>
          </w:p>
        </w:tc>
        <w:tc>
          <w:tcPr/>
          <w:p>
            <w:pPr>
              <w:pStyle w:val="Tabla9"/>
              <w:jc w:val="left"/>
            </w:pPr>
            <w:r>
              <w:t xml:space="preserve">CALCULADO</w:t>
            </w:r>
          </w:p>
        </w:tc>
      </w:tr>
      <w:tr>
        <w:trPr>
          <w:cantSplit/>
        </w:trPr>
        <w:tc>
          <w:tcPr/>
          <w:p>
            <w:pPr>
              <w:pStyle w:val="Tabla9"/>
              <w:jc w:val="left"/>
            </w:pPr>
            <w:r>
              <w:t xml:space="preserve">Completitud mínima para la meta</w:t>
            </w:r>
          </w:p>
        </w:tc>
        <w:tc>
          <w:tcPr/>
          <w:p>
            <w:pPr>
              <w:pStyle w:val="Tabla9"/>
              <w:jc w:val="left"/>
            </w:pPr>
            <w:r>
              <w:t xml:space="preserve">74,4 %</w:t>
            </w:r>
          </w:p>
        </w:tc>
        <w:tc>
          <w:tcPr/>
          <w:p>
            <w:pPr>
              <w:pStyle w:val="Tabla9"/>
              <w:jc w:val="left"/>
            </w:pPr>
            <w:r>
              <w:t xml:space="preserve">60.000 ÷ 80.640</w:t>
            </w:r>
          </w:p>
        </w:tc>
        <w:tc>
          <w:tcPr/>
          <w:p>
            <w:pPr>
              <w:pStyle w:val="Tabla9"/>
              <w:jc w:val="left"/>
            </w:pPr>
            <w:r>
              <w:t xml:space="preserve">CALCULADO</w:t>
            </w:r>
          </w:p>
        </w:tc>
      </w:tr>
      <w:tr>
        <w:trPr>
          <w:cantSplit/>
        </w:trPr>
        <w:tc>
          <w:tcPr/>
          <w:p>
            <w:pPr>
              <w:pStyle w:val="Tabla9"/>
              <w:jc w:val="left"/>
            </w:pPr>
            <w:r>
              <w:t xml:space="preserve">Completitud del nodo exigida con referencia al 90 %</w:t>
            </w:r>
          </w:p>
        </w:tc>
        <w:tc>
          <w:tcPr/>
          <w:p>
            <w:pPr>
              <w:pStyle w:val="Tabla9"/>
              <w:jc w:val="left"/>
            </w:pPr>
            <w:r>
              <w:t xml:space="preserve">82,7 %</w:t>
            </w:r>
          </w:p>
        </w:tc>
        <w:tc>
          <w:tcPr/>
          <w:p>
            <w:pPr>
              <w:pStyle w:val="Tabla9"/>
              <w:jc w:val="left"/>
            </w:pPr>
            <w:r>
              <w:t xml:space="preserve">74,4 % ÷ 0,90</w:t>
            </w:r>
          </w:p>
        </w:tc>
        <w:tc>
          <w:tcPr/>
          <w:p>
            <w:pPr>
              <w:pStyle w:val="Tabla9"/>
              <w:jc w:val="left"/>
            </w:pPr>
            <w:r>
              <w:t xml:space="preserve">CALCULADO</w:t>
            </w:r>
          </w:p>
        </w:tc>
      </w:tr>
      <w:tr>
        <w:trPr>
          <w:cantSplit/>
        </w:trPr>
        <w:tc>
          <w:tcPr/>
          <w:p>
            <w:pPr>
              <w:pStyle w:val="Tabla9"/>
              <w:jc w:val="left"/>
            </w:pPr>
            <w:r>
              <w:t xml:space="preserve">Pares con disponibilidad de 90 % en nodo y referencia</w:t>
            </w:r>
          </w:p>
        </w:tc>
        <w:tc>
          <w:tcPr/>
          <w:p>
            <w:pPr>
              <w:pStyle w:val="Tabla9"/>
              <w:jc w:val="left"/>
            </w:pPr>
            <w:r>
              <w:t xml:space="preserve">65.318 horas-nodo</w:t>
            </w:r>
          </w:p>
        </w:tc>
        <w:tc>
          <w:tcPr/>
          <w:p>
            <w:pPr>
              <w:pStyle w:val="Tabla9"/>
              <w:jc w:val="left"/>
            </w:pPr>
            <w:r>
              <w:t xml:space="preserve">80.640 × 0,81; rechazo máximo del control de calidad de 8,1 %</w:t>
            </w:r>
          </w:p>
        </w:tc>
        <w:tc>
          <w:tcPr/>
          <w:p>
            <w:pPr>
              <w:pStyle w:val="Tabla9"/>
              <w:jc w:val="left"/>
            </w:pPr>
            <w:r>
              <w:t xml:space="preserve">CALCULADO</w:t>
            </w:r>
          </w:p>
        </w:tc>
      </w:tr>
      <w:tr>
        <w:trPr>
          <w:cantSplit/>
        </w:trPr>
        <w:tc>
          <w:tcPr/>
          <w:p>
            <w:pPr>
              <w:pStyle w:val="Tabla9"/>
              <w:jc w:val="left"/>
            </w:pPr>
            <w:r>
              <w:t xml:space="preserve">Pares de 1 hora por nodo, por sitio y total (75 %)</w:t>
            </w:r>
          </w:p>
        </w:tc>
        <w:tc>
          <w:tcPr/>
          <w:p>
            <w:pPr>
              <w:pStyle w:val="Tabla9"/>
              <w:jc w:val="left"/>
            </w:pPr>
            <w:r>
              <w:t xml:space="preserve">2.016; 20.160; 60.480</w:t>
            </w:r>
          </w:p>
        </w:tc>
        <w:tc>
          <w:tcPr/>
          <w:p>
            <w:pPr>
              <w:pStyle w:val="Tabla9"/>
              <w:jc w:val="left"/>
            </w:pPr>
            <w:r>
              <w:t xml:space="preserve">2.688 horas × 10 nodos × 3 sitios × 0,75</w:t>
            </w:r>
          </w:p>
        </w:tc>
        <w:tc>
          <w:tcPr/>
          <w:p>
            <w:pPr>
              <w:pStyle w:val="Tabla9"/>
              <w:jc w:val="left"/>
            </w:pPr>
            <w:r>
              <w:t xml:space="preserve">CALCULADO</w:t>
            </w:r>
          </w:p>
        </w:tc>
      </w:tr>
      <w:tr>
        <w:trPr>
          <w:cantSplit/>
        </w:trPr>
        <w:tc>
          <w:tcPr/>
          <w:p>
            <w:pPr>
              <w:pStyle w:val="Tabla9"/>
              <w:jc w:val="left"/>
            </w:pPr>
            <w:r>
              <w:t xml:space="preserve">Días de referencia por sitio</w:t>
            </w:r>
          </w:p>
        </w:tc>
        <w:tc>
          <w:tcPr/>
          <w:p>
            <w:pPr>
              <w:pStyle w:val="Tabla9"/>
              <w:jc w:val="left"/>
            </w:pPr>
            <w:r>
              <w:t xml:space="preserve">112</w:t>
            </w:r>
          </w:p>
        </w:tc>
        <w:tc>
          <w:tcPr/>
          <w:p>
            <w:pPr>
              <w:pStyle w:val="Tabla9"/>
              <w:jc w:val="left"/>
            </w:pPr>
            <w:r>
              <w:t xml:space="preserve">16 semanas × 7 días; unidad de información a 24 horas</w:t>
            </w:r>
          </w:p>
        </w:tc>
        <w:tc>
          <w:tcPr/>
          <w:p>
            <w:pPr>
              <w:pStyle w:val="Tabla9"/>
              <w:jc w:val="left"/>
            </w:pPr>
            <w:r>
              <w:t xml:space="preserve">CALCULADO</w:t>
            </w:r>
          </w:p>
        </w:tc>
      </w:tr>
      <w:tr>
        <w:trPr>
          <w:cantSplit/>
        </w:trPr>
        <w:tc>
          <w:tcPr/>
          <w:p>
            <w:pPr>
              <w:pStyle w:val="Tabla9"/>
              <w:jc w:val="left"/>
            </w:pPr>
            <w:r>
              <w:t xml:space="preserve">Días-nodo válidos por sitio (regla de 18 de 24 horas)</w:t>
            </w:r>
          </w:p>
        </w:tc>
        <w:tc>
          <w:tcPr/>
          <w:p>
            <w:pPr>
              <w:pStyle w:val="Tabla9"/>
              <w:jc w:val="left"/>
            </w:pPr>
            <w:r>
              <w:t xml:space="preserve">756 (661 a 834)</w:t>
            </w:r>
          </w:p>
        </w:tc>
        <w:tc>
          <w:tcPr/>
          <w:p>
            <w:pPr>
              <w:pStyle w:val="Tabla9"/>
              <w:jc w:val="left"/>
            </w:pPr>
            <w:r>
              <w:t xml:space="preserve">Simulación: mediana y percentiles 2,5 y 97,5 de 1.000 réplicas</w:t>
            </w:r>
          </w:p>
        </w:tc>
        <w:tc>
          <w:tcPr/>
          <w:p>
            <w:pPr>
              <w:pStyle w:val="Tabla9"/>
              <w:jc w:val="left"/>
            </w:pPr>
            <w:r>
              <w:t xml:space="preserve">ILUSTRATIVO</w:t>
            </w:r>
          </w:p>
        </w:tc>
      </w:tr>
      <w:tr>
        <w:trPr>
          <w:cantSplit/>
        </w:trPr>
        <w:tc>
          <w:tcPr/>
          <w:p>
            <w:pPr>
              <w:pStyle w:val="Tabla9"/>
              <w:jc w:val="left"/>
            </w:pPr>
            <w:r>
              <w:t xml:space="preserve">Horas-nodo válidas simuladas</w:t>
            </w:r>
          </w:p>
        </w:tc>
        <w:tc>
          <w:tcPr/>
          <w:p>
            <w:pPr>
              <w:pStyle w:val="Tabla9"/>
              <w:jc w:val="left"/>
            </w:pPr>
            <w:r>
              <w:t xml:space="preserve">61.700 (58.300 a 64.600)</w:t>
            </w:r>
          </w:p>
        </w:tc>
        <w:tc>
          <w:tcPr/>
          <w:p>
            <w:pPr>
              <w:pStyle w:val="Tabla9"/>
              <w:jc w:val="left"/>
            </w:pPr>
            <w:r>
              <w:t xml:space="preserve">Nodo 85 % y referencia 90 %; la meta se cumple en 86 % a 88 % de las réplicas</w:t>
            </w:r>
          </w:p>
        </w:tc>
        <w:tc>
          <w:tcPr/>
          <w:p>
            <w:pPr>
              <w:pStyle w:val="Tabla9"/>
              <w:jc w:val="left"/>
            </w:pPr>
            <w:r>
              <w:t xml:space="preserve">ILUSTRATIVO</w:t>
            </w:r>
          </w:p>
        </w:tc>
      </w:tr>
      <w:tr>
        <w:trPr>
          <w:cantSplit/>
        </w:trPr>
        <w:tc>
          <w:tcPr/>
          <w:p>
            <w:pPr>
              <w:pStyle w:val="Tabla9"/>
              <w:jc w:val="left"/>
            </w:pPr>
            <w:r>
              <w:t xml:space="preserve">Observaciones independientes para un intervalo de ±0,05 en R² (R² de 0,80)</w:t>
            </w:r>
          </w:p>
        </w:tc>
        <w:tc>
          <w:tcPr/>
          <w:p>
            <w:pPr>
              <w:pStyle w:val="Tabla9"/>
              <w:jc w:val="left"/>
            </w:pPr>
            <w:r>
              <w:t xml:space="preserve">202</w:t>
            </w:r>
          </w:p>
        </w:tc>
        <w:tc>
          <w:tcPr/>
          <w:p>
            <w:pPr>
              <w:pStyle w:val="Tabla9"/>
              <w:jc w:val="left"/>
            </w:pPr>
            <w:r>
              <w:t xml:space="preserve">Transformación de Fisher</w:t>
            </w:r>
          </w:p>
        </w:tc>
        <w:tc>
          <w:tcPr/>
          <w:p>
            <w:pPr>
              <w:pStyle w:val="Tabla9"/>
              <w:jc w:val="left"/>
            </w:pPr>
            <w:r>
              <w:t xml:space="preserve">CALCULADO</w:t>
            </w:r>
          </w:p>
        </w:tc>
      </w:tr>
      <w:tr>
        <w:trPr>
          <w:cantSplit/>
        </w:trPr>
        <w:tc>
          <w:tcPr/>
          <w:p>
            <w:pPr>
              <w:pStyle w:val="Tabla9"/>
              <w:jc w:val="left"/>
            </w:pPr>
            <w:r>
              <w:t xml:space="preserve">Observaciones independientes para un intervalo de ±0,10 en la pendiente (R² de 0,80)</w:t>
            </w:r>
          </w:p>
        </w:tc>
        <w:tc>
          <w:tcPr/>
          <w:p>
            <w:pPr>
              <w:pStyle w:val="Tabla9"/>
              <w:jc w:val="left"/>
            </w:pPr>
            <w:r>
              <w:t xml:space="preserve">99</w:t>
            </w:r>
          </w:p>
        </w:tc>
        <w:tc>
          <w:tcPr/>
          <w:p>
            <w:pPr>
              <w:pStyle w:val="Tabla9"/>
              <w:jc w:val="left"/>
            </w:pPr>
            <w:r>
              <w:t xml:space="preserve">Error estándar de la pendiente</w:t>
            </w:r>
          </w:p>
        </w:tc>
        <w:tc>
          <w:tcPr/>
          <w:p>
            <w:pPr>
              <w:pStyle w:val="Tabla9"/>
              <w:jc w:val="left"/>
            </w:pPr>
            <w:r>
              <w:t xml:space="preserve">CALCULADO</w:t>
            </w:r>
          </w:p>
        </w:tc>
      </w:tr>
      <w:tr>
        <w:trPr>
          <w:cantSplit/>
        </w:trPr>
        <w:tc>
          <w:tcPr/>
          <w:p>
            <w:pPr>
              <w:pStyle w:val="Tabla9"/>
              <w:jc w:val="left"/>
            </w:pPr>
            <w:r>
              <w:t xml:space="preserve">Tamaño efectivo por sitio a 1 hora y a 24 horas</w:t>
            </w:r>
          </w:p>
        </w:tc>
        <w:tc>
          <w:tcPr/>
          <w:p>
            <w:pPr>
              <w:pStyle w:val="Tabla9"/>
              <w:jc w:val="left"/>
            </w:pPr>
            <w:r>
              <w:t xml:space="preserve">114 a 245; 36 a 64</w:t>
            </w:r>
          </w:p>
        </w:tc>
        <w:tc>
          <w:tcPr/>
          <w:p>
            <w:pPr>
              <w:pStyle w:val="Tabla9"/>
              <w:jc w:val="left"/>
            </w:pPr>
            <w:r>
              <w:t xml:space="preserve">Simulación: equivalente independiente según la varianza de la transformación de Fisher</w:t>
            </w:r>
          </w:p>
        </w:tc>
        <w:tc>
          <w:tcPr/>
          <w:p>
            <w:pPr>
              <w:pStyle w:val="Tabla9"/>
              <w:jc w:val="left"/>
            </w:pPr>
            <w:r>
              <w:t xml:space="preserve">ILUSTRATIVO</w:t>
            </w:r>
          </w:p>
        </w:tc>
      </w:tr>
    </w:tbl>
    <w:p>
      <w:pPr>
        <w:pStyle w:val="TablaNota"/>
      </w:pPr>
      <w:r>
        <w:rPr>
          <w:i/>
          <w:iCs/>
        </w:rPr>
        <w:t xml:space="preserve">Nota.</w:t>
      </w:r>
      <w:r>
        <w:t xml:space="preserve"> </w:t>
      </w:r>
      <w:r>
        <w:t xml:space="preserve">Elaboración propia con datos de la ficha maestra (secciones 4 y 8) y con el script c6_diseno_medicion.py (semilla 20261013, 1.000 réplicas por escenario). Los valores simulados son ILUSTRATIVOS y no predicen el desempeño real. Decimales con coma; miles con punto.</w:t>
      </w:r>
    </w:p>
    <w:p>
      <w:pPr>
        <w:pStyle w:val="BodyText"/>
      </w:pPr>
      <w:r>
        <w:t xml:space="preserve">La tabla muestra dos márgenes de naturaleza distinta. El margen de PERS-R05 es estrecho y se controla con el seguimiento semanal de las horas válidas acumuladas frente a una trayectoria de 75 %. El mantenimiento preventivo de las referencias, el stock de repuestos y los 20 nodos de reserva protegen esa trayectoria. El margen inferencial es una restricción distinta. El tamaño efectivo por sitio es de 114 a 245 a 1 hora y de 36 a 64 a 24 horas. Equivale a una fracción pequeña de los pares nominales. Por eso el proyecto lee las métricas con intervalos y no con los pares nominales.</w:t>
      </w:r>
    </w:p>
    <w:p>
      <w:pPr>
        <w:pStyle w:val="BodyText"/>
      </w:pPr>
      <w:r>
        <w:rPr>
          <w:b/>
          <w:bCs/>
        </w:rPr>
        <w:t xml:space="preserve">Incertidumbre esperable por simulación.</w:t>
      </w:r>
      <w:r>
        <w:t xml:space="preserve"> </w:t>
      </w:r>
      <w:r>
        <w:t xml:space="preserve">Una simulación estima el ancho de los intervalos que la colocalización permite esperar. Genera 1.000 campañas por escenario con la semilla 20261013 y valores ILUSTRATIVOS. Cada campaña reproduce tres departamentos con 10 nodos durante 2.688 horas. La concentración de referencia de PM2,5 es lognormal con media de 25 µg/m³, desviación logarítmica de 0,55 y autocorrelación horaria de 0,96. La humedad relativa media es de 70 % con ciclo diurno. La respuesta del nodo crece con la humedad según un coeficiente higroscópico de 0,15. Un ruido autocorrelacionado la perturba, con desviación logarítmica de 0,10, 0,20 o 0,30. La disponibilidad es de 85 % en el nodo y de 90 % en la referencia, con huecos de 12 y 24 horas en promedio.</w:t>
      </w:r>
    </w:p>
    <w:p>
      <w:pPr>
        <w:pStyle w:val="BodyText"/>
      </w:pPr>
      <w:r>
        <w:t xml:space="preserve">El corrector simulado es el modelo lineal con humedad, entrenado con dos departamentos y probado en el tercero. La simulación dimensiona la incertidumbre del estimador y no compara modelos. Cada campaña calcula R², pendiente y NRMSE a 1 hora y a 24 horas sobre los pares fuera de muestra. El bootstrap por semanas estima además el ancho del intervalo de confianza que una campaña reportaría. La Tabla 6.5 presenta el conjunto de los 30 nodos.</w:t>
      </w:r>
    </w:p>
    <w:p>
      <w:pPr>
        <w:pStyle w:val="TablaRotulo"/>
      </w:pPr>
      <w:bookmarkStart w:id="9292" w:name="rot_Tabla_6_5"/>
      <w:r>
        <w:rPr>
          <w:b/>
          <w:bCs/>
        </w:rPr>
        <w:t xml:space="preserve">Tabla 6.5</w:t>
      </w:r>
      <w:bookmarkEnd w:id="9292"/>
    </w:p>
    <w:p>
      <w:pPr>
        <w:pStyle w:val="TablaTitulo"/>
      </w:pPr>
      <w:r>
        <w:rPr>
          <w:i/>
          <w:iCs/>
        </w:rPr>
        <w:t xml:space="preserve">Intervalos esperables de las métricas de desempeño por simulación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20"/>
        <w:gridCol w:w="1056"/>
        <w:gridCol w:w="1188"/>
        <w:gridCol w:w="1188"/>
        <w:gridCol w:w="1188"/>
        <w:gridCol w:w="990"/>
        <w:gridCol w:w="990"/>
      </w:tblGrid>
      <w:tr>
        <w:trPr>
          <w:cantSplit/>
          <w:tblHeader/>
        </w:trPr>
        <w:tc>
          <w:tcPr>
            <w:shd w:val="clear" w:color="auto" w:fill="00B050"/>
          </w:tcPr>
          <w:p>
            <w:pPr>
              <w:pStyle w:val="Tabla8"/>
              <w:jc w:val="center"/>
            </w:pPr>
            <w:r>
              <w:rPr>
                <w:b/>
                <w:color w:val="FFFFFF"/>
              </w:rPr>
              <w:t xml:space="preserve">Ruido del nodo (desviación logarítmica)</w:t>
            </w:r>
          </w:p>
        </w:tc>
        <w:tc>
          <w:tcPr>
            <w:shd w:val="clear" w:color="auto" w:fill="00B050"/>
          </w:tcPr>
          <w:p>
            <w:pPr>
              <w:pStyle w:val="Tabla8"/>
              <w:jc w:val="center"/>
            </w:pPr>
            <w:r>
              <w:rPr>
                <w:b/>
                <w:color w:val="FFFFFF"/>
              </w:rPr>
              <w:t xml:space="preserve">Intervalo de promedio</w:t>
            </w:r>
          </w:p>
        </w:tc>
        <w:tc>
          <w:tcPr>
            <w:shd w:val="clear" w:color="auto" w:fill="00B050"/>
          </w:tcPr>
          <w:p>
            <w:pPr>
              <w:pStyle w:val="Tabla8"/>
              <w:jc w:val="center"/>
            </w:pPr>
            <w:r>
              <w:rPr>
                <w:b/>
                <w:color w:val="FFFFFF"/>
              </w:rPr>
              <w:t xml:space="preserve">R² (mediana y percentiles 2,5 a 97,5)</w:t>
            </w:r>
          </w:p>
        </w:tc>
        <w:tc>
          <w:tcPr>
            <w:shd w:val="clear" w:color="auto" w:fill="00B050"/>
          </w:tcPr>
          <w:p>
            <w:pPr>
              <w:pStyle w:val="Tabla8"/>
              <w:jc w:val="center"/>
            </w:pPr>
            <w:r>
              <w:rPr>
                <w:b/>
                <w:color w:val="FFFFFF"/>
              </w:rPr>
              <w:t xml:space="preserve">Pendiente (mediana y percentiles 2,5 a 97,5)</w:t>
            </w:r>
          </w:p>
        </w:tc>
        <w:tc>
          <w:tcPr>
            <w:shd w:val="clear" w:color="auto" w:fill="00B050"/>
          </w:tcPr>
          <w:p>
            <w:pPr>
              <w:pStyle w:val="Tabla8"/>
              <w:jc w:val="center"/>
            </w:pPr>
            <w:r>
              <w:rPr>
                <w:b/>
                <w:color w:val="FFFFFF"/>
              </w:rPr>
              <w:t xml:space="preserve">NRMSE (mediana y percentiles 2,5 a 97,5)</w:t>
            </w:r>
          </w:p>
        </w:tc>
        <w:tc>
          <w:tcPr>
            <w:shd w:val="clear" w:color="auto" w:fill="00B050"/>
          </w:tcPr>
          <w:p>
            <w:pPr>
              <w:pStyle w:val="Tabla8"/>
              <w:jc w:val="center"/>
            </w:pPr>
            <w:r>
              <w:rPr>
                <w:b/>
                <w:color w:val="FFFFFF"/>
              </w:rPr>
              <w:t xml:space="preserve">Réplicas con R² y NRMSE en el umbral</w:t>
            </w:r>
          </w:p>
        </w:tc>
        <w:tc>
          <w:tcPr>
            <w:shd w:val="clear" w:color="auto" w:fill="00B050"/>
          </w:tcPr>
          <w:p>
            <w:pPr>
              <w:pStyle w:val="Tabla8"/>
              <w:jc w:val="center"/>
            </w:pPr>
            <w:r>
              <w:rPr>
                <w:b/>
                <w:color w:val="FFFFFF"/>
              </w:rPr>
              <w:t xml:space="preserve">Réplicas con pendiente en rango</w:t>
            </w:r>
          </w:p>
        </w:tc>
      </w:tr>
      <w:tr>
        <w:trPr>
          <w:cantSplit/>
        </w:trPr>
        <w:tc>
          <w:tcPr/>
          <w:p>
            <w:pPr>
              <w:pStyle w:val="Tabla8"/>
              <w:jc w:val="left"/>
            </w:pPr>
            <w:r>
              <w:t xml:space="preserve">Bajo (0,10)</w:t>
            </w:r>
          </w:p>
        </w:tc>
        <w:tc>
          <w:tcPr/>
          <w:p>
            <w:pPr>
              <w:pStyle w:val="Tabla8"/>
              <w:jc w:val="left"/>
            </w:pPr>
            <w:r>
              <w:t xml:space="preserve">1 hora</w:t>
            </w:r>
          </w:p>
        </w:tc>
        <w:tc>
          <w:tcPr/>
          <w:p>
            <w:pPr>
              <w:pStyle w:val="Tabla8"/>
              <w:jc w:val="left"/>
            </w:pPr>
            <w:r>
              <w:t xml:space="preserve">0,888 (0,858 a 0,909)</w:t>
            </w:r>
          </w:p>
        </w:tc>
        <w:tc>
          <w:tcPr/>
          <w:p>
            <w:pPr>
              <w:pStyle w:val="Tabla8"/>
              <w:jc w:val="left"/>
            </w:pPr>
            <w:r>
              <w:t xml:space="preserve">0,897 (0,869 a 0,925)</w:t>
            </w:r>
          </w:p>
        </w:tc>
        <w:tc>
          <w:tcPr/>
          <w:p>
            <w:pPr>
              <w:pStyle w:val="Tabla8"/>
              <w:jc w:val="left"/>
            </w:pPr>
            <w:r>
              <w:t xml:space="preserve">20,1 % (18,3 a 22,8)</w:t>
            </w:r>
          </w:p>
        </w:tc>
        <w:tc>
          <w:tcPr/>
          <w:p>
            <w:pPr>
              <w:pStyle w:val="Tabla8"/>
              <w:jc w:val="left"/>
            </w:pPr>
            <w:r>
              <w:t xml:space="preserve">100,0 %</w:t>
            </w:r>
          </w:p>
        </w:tc>
        <w:tc>
          <w:tcPr/>
          <w:p>
            <w:pPr>
              <w:pStyle w:val="Tabla8"/>
              <w:jc w:val="left"/>
            </w:pPr>
            <w:r>
              <w:t xml:space="preserve">100,0 %</w:t>
            </w:r>
          </w:p>
        </w:tc>
      </w:tr>
      <w:tr>
        <w:trPr>
          <w:cantSplit/>
        </w:trPr>
        <w:tc>
          <w:tcPr/>
          <w:p>
            <w:pPr>
              <w:pStyle w:val="Tabla8"/>
              <w:jc w:val="left"/>
            </w:pPr>
            <w:r>
              <w:t xml:space="preserve">Bajo (0,10)</w:t>
            </w:r>
          </w:p>
        </w:tc>
        <w:tc>
          <w:tcPr/>
          <w:p>
            <w:pPr>
              <w:pStyle w:val="Tabla8"/>
              <w:jc w:val="left"/>
            </w:pPr>
            <w:r>
              <w:t xml:space="preserve">24 horas</w:t>
            </w:r>
          </w:p>
        </w:tc>
        <w:tc>
          <w:tcPr/>
          <w:p>
            <w:pPr>
              <w:pStyle w:val="Tabla8"/>
              <w:jc w:val="left"/>
            </w:pPr>
            <w:r>
              <w:t xml:space="preserve">0,928 (0,892 a 0,953)</w:t>
            </w:r>
          </w:p>
        </w:tc>
        <w:tc>
          <w:tcPr/>
          <w:p>
            <w:pPr>
              <w:pStyle w:val="Tabla8"/>
              <w:jc w:val="left"/>
            </w:pPr>
            <w:r>
              <w:t xml:space="preserve">0,904 (0,869 a 0,940)</w:t>
            </w:r>
          </w:p>
        </w:tc>
        <w:tc>
          <w:tcPr/>
          <w:p>
            <w:pPr>
              <w:pStyle w:val="Tabla8"/>
              <w:jc w:val="left"/>
            </w:pPr>
            <w:r>
              <w:t xml:space="preserve">13,5 % (11,3 a 16,2)</w:t>
            </w:r>
          </w:p>
        </w:tc>
        <w:tc>
          <w:tcPr/>
          <w:p>
            <w:pPr>
              <w:pStyle w:val="Tabla8"/>
              <w:jc w:val="left"/>
            </w:pPr>
            <w:r>
              <w:t xml:space="preserve">100,0 %</w:t>
            </w:r>
          </w:p>
        </w:tc>
        <w:tc>
          <w:tcPr/>
          <w:p>
            <w:pPr>
              <w:pStyle w:val="Tabla8"/>
              <w:jc w:val="left"/>
            </w:pPr>
            <w:r>
              <w:t xml:space="preserve">100,0 %</w:t>
            </w:r>
          </w:p>
        </w:tc>
      </w:tr>
      <w:tr>
        <w:trPr>
          <w:cantSplit/>
        </w:trPr>
        <w:tc>
          <w:tcPr/>
          <w:p>
            <w:pPr>
              <w:pStyle w:val="Tabla8"/>
              <w:jc w:val="left"/>
            </w:pPr>
            <w:r>
              <w:t xml:space="preserve">Medio (0,20)</w:t>
            </w:r>
          </w:p>
        </w:tc>
        <w:tc>
          <w:tcPr/>
          <w:p>
            <w:pPr>
              <w:pStyle w:val="Tabla8"/>
              <w:jc w:val="left"/>
            </w:pPr>
            <w:r>
              <w:t xml:space="preserve">1 hora</w:t>
            </w:r>
          </w:p>
        </w:tc>
        <w:tc>
          <w:tcPr/>
          <w:p>
            <w:pPr>
              <w:pStyle w:val="Tabla8"/>
              <w:jc w:val="left"/>
            </w:pPr>
            <w:r>
              <w:t xml:space="preserve">0,798 (0,762 a 0,827)</w:t>
            </w:r>
          </w:p>
        </w:tc>
        <w:tc>
          <w:tcPr/>
          <w:p>
            <w:pPr>
              <w:pStyle w:val="Tabla8"/>
              <w:jc w:val="left"/>
            </w:pPr>
            <w:r>
              <w:t xml:space="preserve">0,804 (0,771 a 0,836)</w:t>
            </w:r>
          </w:p>
        </w:tc>
        <w:tc>
          <w:tcPr/>
          <w:p>
            <w:pPr>
              <w:pStyle w:val="Tabla8"/>
              <w:jc w:val="left"/>
            </w:pPr>
            <w:r>
              <w:t xml:space="preserve">27,0 % (25,4 a 29,4)</w:t>
            </w:r>
          </w:p>
        </w:tc>
        <w:tc>
          <w:tcPr/>
          <w:p>
            <w:pPr>
              <w:pStyle w:val="Tabla8"/>
              <w:jc w:val="left"/>
            </w:pPr>
            <w:r>
              <w:t xml:space="preserve">98,7 %</w:t>
            </w:r>
          </w:p>
        </w:tc>
        <w:tc>
          <w:tcPr/>
          <w:p>
            <w:pPr>
              <w:pStyle w:val="Tabla8"/>
              <w:jc w:val="left"/>
            </w:pPr>
            <w:r>
              <w:t xml:space="preserve">100,0 %</w:t>
            </w:r>
          </w:p>
        </w:tc>
      </w:tr>
      <w:tr>
        <w:trPr>
          <w:cantSplit/>
        </w:trPr>
        <w:tc>
          <w:tcPr/>
          <w:p>
            <w:pPr>
              <w:pStyle w:val="Tabla8"/>
              <w:jc w:val="left"/>
            </w:pPr>
            <w:r>
              <w:t xml:space="preserve">Medio (0,20)</w:t>
            </w:r>
          </w:p>
        </w:tc>
        <w:tc>
          <w:tcPr/>
          <w:p>
            <w:pPr>
              <w:pStyle w:val="Tabla8"/>
              <w:jc w:val="left"/>
            </w:pPr>
            <w:r>
              <w:t xml:space="preserve">24 horas</w:t>
            </w:r>
          </w:p>
        </w:tc>
        <w:tc>
          <w:tcPr/>
          <w:p>
            <w:pPr>
              <w:pStyle w:val="Tabla8"/>
              <w:jc w:val="left"/>
            </w:pPr>
            <w:r>
              <w:t xml:space="preserve">0,910 (0,868 a 0,937)</w:t>
            </w:r>
          </w:p>
        </w:tc>
        <w:tc>
          <w:tcPr/>
          <w:p>
            <w:pPr>
              <w:pStyle w:val="Tabla8"/>
              <w:jc w:val="left"/>
            </w:pPr>
            <w:r>
              <w:t xml:space="preserve">0,809 (0,771 a 0,845)</w:t>
            </w:r>
          </w:p>
        </w:tc>
        <w:tc>
          <w:tcPr/>
          <w:p>
            <w:pPr>
              <w:pStyle w:val="Tabla8"/>
              <w:jc w:val="left"/>
            </w:pPr>
            <w:r>
              <w:t xml:space="preserve">15,9 % (14,1 a 18,7)</w:t>
            </w:r>
          </w:p>
        </w:tc>
        <w:tc>
          <w:tcPr/>
          <w:p>
            <w:pPr>
              <w:pStyle w:val="Tabla8"/>
              <w:jc w:val="left"/>
            </w:pPr>
            <w:r>
              <w:t xml:space="preserve">100,0 %</w:t>
            </w:r>
          </w:p>
        </w:tc>
        <w:tc>
          <w:tcPr/>
          <w:p>
            <w:pPr>
              <w:pStyle w:val="Tabla8"/>
              <w:jc w:val="left"/>
            </w:pPr>
            <w:r>
              <w:t xml:space="preserve">100,0 %</w:t>
            </w:r>
          </w:p>
        </w:tc>
      </w:tr>
      <w:tr>
        <w:trPr>
          <w:cantSplit/>
        </w:trPr>
        <w:tc>
          <w:tcPr/>
          <w:p>
            <w:pPr>
              <w:pStyle w:val="Tabla8"/>
              <w:jc w:val="left"/>
            </w:pPr>
            <w:r>
              <w:t xml:space="preserve">Alto (0,30)</w:t>
            </w:r>
          </w:p>
        </w:tc>
        <w:tc>
          <w:tcPr/>
          <w:p>
            <w:pPr>
              <w:pStyle w:val="Tabla8"/>
              <w:jc w:val="left"/>
            </w:pPr>
            <w:r>
              <w:t xml:space="preserve">1 hora</w:t>
            </w:r>
          </w:p>
        </w:tc>
        <w:tc>
          <w:tcPr/>
          <w:p>
            <w:pPr>
              <w:pStyle w:val="Tabla8"/>
              <w:jc w:val="left"/>
            </w:pPr>
            <w:r>
              <w:t xml:space="preserve">0,677 (0,638 a 0,718)</w:t>
            </w:r>
          </w:p>
        </w:tc>
        <w:tc>
          <w:tcPr/>
          <w:p>
            <w:pPr>
              <w:pStyle w:val="Tabla8"/>
              <w:jc w:val="left"/>
            </w:pPr>
            <w:r>
              <w:t xml:space="preserve">0,681 (0,642 a 0,721)</w:t>
            </w:r>
          </w:p>
        </w:tc>
        <w:tc>
          <w:tcPr/>
          <w:p>
            <w:pPr>
              <w:pStyle w:val="Tabla8"/>
              <w:jc w:val="left"/>
            </w:pPr>
            <w:r>
              <w:t xml:space="preserve">34,1 % (32,2 a 36,9)</w:t>
            </w:r>
          </w:p>
        </w:tc>
        <w:tc>
          <w:tcPr/>
          <w:p>
            <w:pPr>
              <w:pStyle w:val="Tabla8"/>
              <w:jc w:val="left"/>
            </w:pPr>
            <w:r>
              <w:t xml:space="preserve">0,0 %</w:t>
            </w:r>
          </w:p>
        </w:tc>
        <w:tc>
          <w:tcPr/>
          <w:p>
            <w:pPr>
              <w:pStyle w:val="Tabla8"/>
              <w:jc w:val="left"/>
            </w:pPr>
            <w:r>
              <w:t xml:space="preserve">94,5 %</w:t>
            </w:r>
          </w:p>
        </w:tc>
      </w:tr>
      <w:tr>
        <w:trPr>
          <w:cantSplit/>
        </w:trPr>
        <w:tc>
          <w:tcPr/>
          <w:p>
            <w:pPr>
              <w:pStyle w:val="Tabla8"/>
              <w:jc w:val="left"/>
            </w:pPr>
            <w:r>
              <w:t xml:space="preserve">Alto (0,30)</w:t>
            </w:r>
          </w:p>
        </w:tc>
        <w:tc>
          <w:tcPr/>
          <w:p>
            <w:pPr>
              <w:pStyle w:val="Tabla8"/>
              <w:jc w:val="left"/>
            </w:pPr>
            <w:r>
              <w:t xml:space="preserve">24 horas</w:t>
            </w:r>
          </w:p>
        </w:tc>
        <w:tc>
          <w:tcPr/>
          <w:p>
            <w:pPr>
              <w:pStyle w:val="Tabla8"/>
              <w:jc w:val="left"/>
            </w:pPr>
            <w:r>
              <w:t xml:space="preserve">0,879 (0,838 a 0,910)</w:t>
            </w:r>
          </w:p>
        </w:tc>
        <w:tc>
          <w:tcPr/>
          <w:p>
            <w:pPr>
              <w:pStyle w:val="Tabla8"/>
              <w:jc w:val="left"/>
            </w:pPr>
            <w:r>
              <w:t xml:space="preserve">0,685 (0,643 a 0,732)</w:t>
            </w:r>
          </w:p>
        </w:tc>
        <w:tc>
          <w:tcPr/>
          <w:p>
            <w:pPr>
              <w:pStyle w:val="Tabla8"/>
              <w:jc w:val="left"/>
            </w:pPr>
            <w:r>
              <w:t xml:space="preserve">20,2 % (18,6 a 23,0)</w:t>
            </w:r>
          </w:p>
        </w:tc>
        <w:tc>
          <w:tcPr/>
          <w:p>
            <w:pPr>
              <w:pStyle w:val="Tabla8"/>
              <w:jc w:val="left"/>
            </w:pPr>
            <w:r>
              <w:t xml:space="preserve">100,0 %</w:t>
            </w:r>
          </w:p>
        </w:tc>
        <w:tc>
          <w:tcPr/>
          <w:p>
            <w:pPr>
              <w:pStyle w:val="Tabla8"/>
              <w:jc w:val="left"/>
            </w:pPr>
            <w:r>
              <w:t xml:space="preserve">94,2 %</w:t>
            </w:r>
          </w:p>
        </w:tc>
      </w:tr>
    </w:tbl>
    <w:p>
      <w:pPr>
        <w:pStyle w:val="TablaNota"/>
      </w:pPr>
      <w:r>
        <w:rPr>
          <w:i/>
          <w:iCs/>
        </w:rPr>
        <w:t xml:space="preserve">Nota.</w:t>
      </w:r>
      <w:r>
        <w:t xml:space="preserve"> </w:t>
      </w:r>
      <w:r>
        <w:t xml:space="preserve">Elaboración propia con c6_diseno_medicion.py (semilla 20261013; 1.000 réplicas por escenario; 30 nodos en tres departamentos; corrector lineal con humedad, validación por departamento). Umbrales de la ficha: R² ≥ 0,70, NRMSE ≤ 30 % y pendiente de 0,65 a 1,35. Naturaleza: ILUSTRATIVO.</w:t>
      </w:r>
    </w:p>
    <w:p>
      <w:pPr>
        <w:pStyle w:val="BodyText"/>
      </w:pPr>
      <w:r>
        <w:t xml:space="preserve">La simulación entrega cuatro lecturas. La primera es el ancho de los intervalos. Con los 30 nodos, el semiancho bootstrap mediano va de 0,015 a 0,031 en R² y de 0,025 a 0,037 en la pendiente. Por departamento, con 10 nodos, el intervalo es más ancho. En el escenario medio a 24 horas, el R² presenta una mediana de 0,918 (0,857 a 0,953). La pendiente presenta una mediana de 0,811 (0,719 a 0,924). El diseño discrimina desempeños que difieren de los umbrales en más de 0,05 en R², pero no distingue valores que lo rodean.</w:t>
      </w:r>
    </w:p>
    <w:p>
      <w:pPr>
        <w:pStyle w:val="BodyText"/>
      </w:pPr>
      <w:r>
        <w:t xml:space="preserve">La segunda lectura concierne al intervalo de promedio. En el escenario de ruido alto, el R² de 1 hora es de 0,677 y el NRMSE de 34,1 %. Ninguna réplica cumple los umbrales. A 24 horas, el mismo escenario produce R² de 0,879 y NRMSE de 20,2 %, y todas las réplicas cumplen. Promediar elimina el ruido aleatorio y deja el sesgo sistemático. La OMS (2021) formula sus guías de PM2,5 y PM10 también como promedios de 24 horas. Por esa razón el criterio principal de las compuertas se evalúa a 24 horas. El de 1 hora se reporta como criterio secundario (PROPUESTO). Si un modelo cumple a 24 horas y no a 1 hora, el tablero restringe las alertas a los promedios de 24 horas. Los valores horarios se marcan como indicativos hasta la verificación de A1.5.</w:t>
      </w:r>
    </w:p>
    <w:p>
      <w:pPr>
        <w:pStyle w:val="BodyText"/>
      </w:pPr>
      <w:r>
        <w:t xml:space="preserve">La tercera lectura trata de la pendiente. La corrección por mínimos cuadrados contrae las predicciones hacia la media. Por eso la pendiente de la lectura corregida sobre la referencia se aproxima al R² del ajuste horario. En el escenario de ruido alto la pendiente de 24 horas es de 0,685. Además, 5,8 % de las réplicas queda bajo el límite de 0,65. La pendiente puede ser entonces el criterio más restrictivo, aunque la ficha no la incluya como condición de compuerta. La cuarta lectura se refiere al sesgo. Los percentiles 2,5 y 97,5 por departamento quedan entre −2,1 y 2,0 µg/m³, dentro del intervalo de −5,0 a 5,0. El NMAE aspiracional de 15 % se cumple a 24 horas en los tres escenarios. A 1 hora se cumple solo con ruido bajo.</w:t>
      </w:r>
    </w:p>
    <w:p>
      <w:pPr>
        <w:pStyle w:val="BodyText"/>
      </w:pPr>
      <w:r>
        <w:t xml:space="preserve">La simulación no incluye error de especificación del modelo, cambios en la composición del aerosol ni deriva temporal del sensor. Esos tres riesgos se tratan con la validación temporal, las muestras gravimétricas y las rotaciones. Los valores simulados orientan el tamaño de los intervalos y no sustituyen la medición del tramo 1. La simulación es una guía, no una predicción.</w:t>
      </w:r>
    </w:p>
    <w:p>
      <w:pPr>
        <w:pStyle w:val="BodyText"/>
      </w:pPr>
      <w:r>
        <w:rPr>
          <w:b/>
          <w:bCs/>
        </w:rPr>
        <w:t xml:space="preserve">Protocolo de rotación.</w:t>
      </w:r>
      <w:r>
        <w:t xml:space="preserve"> </w:t>
      </w:r>
      <w:r>
        <w:t xml:space="preserve">La rotación extiende la colocalización a los 70 nodos de los tramos 2 y 3 (PROPUESTO). Cada departamento realiza cuatro rotaciones, como exige PERS-R05. Cada rotación coloca siete nodos junto a la referencia durante 2 semanas, es decir, 336 horas. Los 28 cupos por departamento cubren los nodos que no participaron en el tramo 1. Son 23 en Caldas, 24 en Cundinamarca y 23 en Valle del Cauca. Dejan de cuatro a cinco cupos para repetir nodos con alerta de deriva. Las dos primeras rotaciones ocurren durante A2.3 y las dos últimas durante A2.4, a medida que llega cada lote.</w:t>
      </w:r>
    </w:p>
    <w:p>
      <w:pPr>
        <w:pStyle w:val="BodyText"/>
      </w:pPr>
      <w:r>
        <w:t xml:space="preserve">Los 20 nodos de reserva reemplazan a los nodos rotados en su sitio de operación. Así ningún sitio queda sin cobertura durante la ventana. Las ventanas de los tres departamentos se escalonan para no superar siete nodos de reserva simultáneos. En horas-nodo teóricas, cada departamento aporta 9.408 y los tres suman 28.224. Con una completitud de 75 %, la rotación agrega 21.168 horas-nodo válidas a las del tramo 1 (CALCULADO). Los datos de rotación no entrenan el modelo. Sirven para verificarlo con nodos que el entrenamiento no vio y para detectar deriva.</w:t>
      </w:r>
    </w:p>
    <w:p>
      <w:pPr>
        <w:pStyle w:val="BodyText"/>
      </w:pPr>
      <w:r>
        <w:rPr>
          <w:b/>
          <w:bCs/>
        </w:rPr>
        <w:t xml:space="preserve">Verificación gravimétrica.</w:t>
      </w:r>
      <w:r>
        <w:t xml:space="preserve"> </w:t>
      </w:r>
      <w:r>
        <w:t xml:space="preserve">La gravimetría ancla la serie de referencia y los nodos a una medición directa de masa. La línea S01 financia 240 muestras analizadas en un laboratorio acreditado. La línea M01 compra 1.200 filtros de membrana de politetrafluoroetileno (PTFE), es decir, cinco filtros por muestra analizada. La relación cubre blancos, duplicados y reposiciones (PROPUESTO). De las 240 muestras, 216 corresponden a aire ambiente y 24 a controles de calidad (PROPUESTO). Los controles son 12 blancos de campo y 12 duplicados. Cada departamento recibe 72 muestras de aire: 36 en el tramo 1, 12 en el tramo 2 y 24 en el tramo 3.</w:t>
      </w:r>
    </w:p>
    <w:p>
      <w:pPr>
        <w:pStyle w:val="BodyText"/>
      </w:pPr>
      <w:r>
        <w:t xml:space="preserve">Cada muestra integra 24 horas y se asigna por estratos de humedad relativa y de concentración. La asignación estratificada cubre el rango en que opera el modelo, no solo los días promedio. El protocolo exige cadena de custodia, acondicionamiento de los filtros antes y después del muestreo, y pesaje en el laboratorio acreditado. Con 36 pares por departamento en el tramo 1, un R² de 0,80 presenta un intervalo de confianza de 0,64 a 0,89. El cálculo usa la transformación de Fisher (CALCULADO). La gravimetría verifica la referencia y los nodos. No entrena el modelo, porque su tamaño no alcanza para estimar parámetros por departamento.</w:t>
      </w:r>
    </w:p>
    <w:p>
      <w:pPr>
        <w:pStyle w:val="BodyText"/>
      </w:pPr>
      <w:r>
        <w:rPr>
          <w:b/>
          <w:bCs/>
        </w:rPr>
        <w:t xml:space="preserve">Datos faltantes, valores atípicos y deriva.</w:t>
      </w:r>
      <w:r>
        <w:t xml:space="preserve"> </w:t>
      </w:r>
      <w:r>
        <w:t xml:space="preserve">El análisis distingue cuatro causas de dato faltante. Son la energía del nodo, el enlace del gateway con la nube, la falla de equipos y el enlace LoRa de largo alcance. El enlace LoRa limita la tasa de datos y el ciclo de trabajo de los nodos (Adelantado et al., 2017). El almacenamiento local de 7 días recupera los datos perdidos por caída del enlace con la nube. Esa causa no cuenta como faltante si la recuperación ocurre. Un par es válido si el nodo y la referencia reportan, el control de calidad lo acepta y la hora cuenta con humedad y temperatura. El análisis no imputa la referencia ni la variable de respuesta. Compara además la humedad de las horas válidas con la de las horas faltantes, porque la pérdida de datos puede depender de la humedad misma. Si la pérdida se asocia con humedad alta, se reporta como posible sesgo de selección (INFERIDO) y se repite la evaluación con ponderación por humedad.</w:t>
      </w:r>
    </w:p>
    <w:p>
      <w:pPr>
        <w:pStyle w:val="BodyText"/>
      </w:pPr>
      <w:r>
        <w:t xml:space="preserve">Los valores atípicos se marcan y no se eliminan. Cuatro reglas los detectan. La primera aplica límites físicos, como un PM2,5 mayor que el PM10. La segunda busca valores constantes durante varias horas. La tercera marca la desviación de un nodo respecto de la mediana de su sitio superior a tres desviaciones absolutas medianas. La cuarta usa las alarmas de la referencia. Un valor se excluye solo si existe una causa instrumental documentada. Los episodios de polvo intenso son datos genuinos del fenómeno de interés. Suresh et al. (2025, pp. 10, 22 y 30) midieron un PM2,5 medio de 159,11 µg/m³ en una mina a cielo abierto. Estos entornos pueden operar en rangos altos. El modelo solo se aplica dentro del rango de concentración y humedad de la colocalización. Fuera de ese rango, el gateway marca el dato como extrapolación.</w:t>
      </w:r>
    </w:p>
    <w:p>
      <w:pPr>
        <w:pStyle w:val="BodyText"/>
      </w:pPr>
      <w:r>
        <w:t xml:space="preserve">La deriva es el cambio gradual de la respuesta de un nodo. Tres controles la vigilan. El primero grafica la razón entre cada nodo y la mediana de su sitio con límites de control de tres desviaciones robustas (Deming, 1986). El segundo son las rotaciones, que comparan el nodo con la referencia. El tercero son las muestras gravimétricas. Un nodo entra en revisión si su razón sale de los límites. Se recalibra si, tras la rotación, su sesgo supera ±5,0 µg/m³ o su pendiente sale del intervalo de 0,65 a 1,35. La ficha prevé 150 cabezales ópticos para 120 nodos, es decir, 30 de repuesto para sustituir los cabezales con deriva no corregible.</w:t>
      </w:r>
    </w:p>
    <w:p>
      <w:pPr>
        <w:pStyle w:val="BodyText"/>
      </w:pPr>
      <w:r>
        <w:rPr>
          <w:b/>
          <w:bCs/>
        </w:rPr>
        <w:t xml:space="preserve">Evaluación del uso institucional.</w:t>
      </w:r>
      <w:r>
        <w:t xml:space="preserve"> </w:t>
      </w:r>
      <w:r>
        <w:t xml:space="preserve">El indicador PERS-E01 mide la proporción de comités focalizados con al menos una decisión documentada por trimestre basada en el tablero. La línea base está VACIA y se mide al inicio de A3.1, en la semana 12. Los cortes son trimestrales y suman ocho en 24 meses. La meta es de 75 % al mes 24, y C1 exige 50 % entre los comités del tramo 1. Las fuentes son las actas de los comités, el registro de uso del tablero, la encuesta de uso y aceptación, y las entrevistas. La comparación antes-después contrasta cada corte con la línea base y con el corte anterior.</w:t>
      </w:r>
    </w:p>
    <w:p>
      <w:pPr>
        <w:pStyle w:val="BodyText"/>
      </w:pPr>
      <w:r>
        <w:t xml:space="preserve">Esta evaluación no permite atribuir efectos al proyecto. Gertler et al. (2016) exigen un contrafactual para estimar el impacto de una intervención. El proyecto carece de grupo de comparación. La asignación de los comités a los tramos no es aleatoria. Además coinciden otros procesos, como los cambios de administración, las réplicas sísmicas y los programas de otras entidades. La entrada escalonada de los comités ofrece una comparación descriptiva, porque los del tramo 1 llevan más tiempo de exposición que los del tramo 2. Esa comparación no identifica efectos. Por eso toda atribución del cambio en el uso al proyecto recibe el estatuto HIE.</w:t>
      </w:r>
    </w:p>
    <w:p>
      <w:pPr>
        <w:pStyle w:val="BodyText"/>
      </w:pPr>
      <w:r>
        <w:t xml:space="preserve">Dos recursos mejoran la interpretación sin resolver la identificación. El análisis de contribución valora si la teoría del cambio es plausible y si existen explicaciones rivales (Mayne, 2012; Befani y Mayne, 2014). La evaluación realista examina qué mecanismos operan en cada contexto (Pawson y Tilley, 1997). Además, la meta de 75 % de 15 comités equivale a 12 comités, porque 11 comités son 73,3 %. Con 15 comités, el intervalo exacto de 95 % para 12 aciertos va de 51,9 % a 95,7 %. El indicador se decide por conteo y no por inferencia estadística.</w:t>
      </w:r>
    </w:p>
    <w:bookmarkEnd w:id="469"/>
    <w:bookmarkStart w:id="470" w:name="instrumentos"/>
    <w:p>
      <w:pPr>
        <w:pStyle w:val="Heading3"/>
      </w:pPr>
      <w:r>
        <w:t xml:space="preserve">6.3.2 Instrumentos</w:t>
      </w:r>
    </w:p>
    <w:p>
      <w:pPr>
        <w:pStyle w:val="FirstParagraph"/>
      </w:pPr>
      <w:r>
        <w:t xml:space="preserve">El proyecto usa cuatro tipos de instrumento: listas de cotejo, cuestionarios con escala, guiones de entrevista y rúbricas de desempeño. Cada tipo responde a un indicador de la ficha. Las listas de cotejo registran si una condición se cumple, con las opciones sí, no y no aplica. El cuestionario mide percepciones con una escala de 1 a 5. El guion de entrevista explora razones y barreras que el cuestionario no captura. La rúbrica gradúa el desempeño práctico del personal custodio. Rendón-Marín et al. (2024) aplicaron un cuestionario de conocimientos, actitudes y prácticas sobre contaminación del aire. Ese formato sirve de antecedente para el módulo de apropiación del tablero.</w:t>
      </w:r>
    </w:p>
    <w:p>
      <w:pPr>
        <w:pStyle w:val="BodyText"/>
      </w:pPr>
      <w:r>
        <w:t xml:space="preserve">Los constructos del cuestionario proceden de la literatura de aceptación de tecnología. Davis (1989) propone que la utilidad percibida y la facilidad de uso explican la aceptación de un sistema de información. Venkatesh et al. (2003) integran ocho modelos previos en una teoría unificada con cuatro determinantes: expectativa de desempeño, expectativa de esfuerzo, influencia social y condiciones facilitadoras. Rogers (2003) añade atributos de la innovación, como la ventaja relativa, la compatibilidad y la posibilidad de probarla. Esos modelos se desarrollaron para personas usuarias individuales. El uso del tablero ocurre, en cambio, en comités que deciden en grupo. La evaluación realista recomienda por eso medir también el contexto institucional (Pawson y Tilley, 1997).</w:t>
      </w:r>
    </w:p>
    <w:p>
      <w:pPr>
        <w:pStyle w:val="BodyText"/>
      </w:pPr>
      <w:r>
        <w:t xml:space="preserve">El proyecto combina ambas posiciones. El cuestionario individual adapta los constructos de Davis (1989) y de Venkatesh et al. (2003). La lista de cotejo de decisiones y la entrevista a la presidencia y a la secretaría técnica de cada comité captan el nivel institucional. Un ítem de utilidad percibida dice: «El tablero me ayuda a decidir cuándo emitir una alerta». Un ítem de facilidad de uso dice: «Leer el tablero me resulta sencillo». Un ítem de condiciones facilitadoras dice: «Mi comité dispone de tiempo y equipos para consultar el tablero en sus sesiones». Una lista de cotejo de instalación incluye: «El cerramiento conserva el sello contra polvo y agua». La unidad de decisión es el comité, con 15 comités. La unidad de encuesta es la persona, con 150 personas. Por eso los resultados se reportan por comité.</w:t>
      </w:r>
    </w:p>
    <w:bookmarkEnd w:id="470"/>
    <w:bookmarkStart w:id="471" w:name="X8f0fc81552057b3af36295bca015a934906edec"/>
    <w:p>
      <w:pPr>
        <w:pStyle w:val="Heading3"/>
      </w:pPr>
      <w:r>
        <w:t xml:space="preserve">6.3.3 Validación de instrumentos y del modelo de corrección</w:t>
      </w:r>
    </w:p>
    <w:p>
      <w:pPr>
        <w:pStyle w:val="FirstParagraph"/>
      </w:pPr>
      <w:r>
        <w:rPr>
          <w:b/>
          <w:bCs/>
        </w:rPr>
        <w:t xml:space="preserve">Modelos candidatos.</w:t>
      </w:r>
      <w:r>
        <w:t xml:space="preserve"> </w:t>
      </w:r>
      <w:r>
        <w:t xml:space="preserve">Tres modelos compiten en la actividad A1.4, uno por contaminante. El primero, M1, es lineal con humedad: explica la referencia con la lectura del nodo, la humedad relativa y su interacción. Barkjohn et al. (2021) desarrollaron una corrección de ese tipo para PM2,5 con datos de Estados Unidos. Malings et al. (2020) evaluaron correcciones y su desempeño a largo plazo. El segundo, M2, es no lineal con humedad y temperatura: agrega un término de crecimiento higroscópico y otro de temperatura. Crilley et al. (2018) y Jayaratne et al. (2018) describen cómo la humedad altera la respuesta de los sensores ópticos. El tercero, M3, es un conjunto de árboles potenciados ligeros, entrenado con un límite de árboles y de profundidad.</w:t>
      </w:r>
    </w:p>
    <w:p>
      <w:pPr>
        <w:pStyle w:val="BodyText"/>
      </w:pPr>
      <w:r>
        <w:t xml:space="preserve">Las revisiones del campo incluyen los árboles potenciados entre los métodos supervisados habituales (Essamlali et al., 2024; Nelson et al., 2026). Chang et al. (2023) los emplean en un marco de predicción de calidad del aire. La literatura se divide sobre la complejidad adecuada. Una posición favorece modelos simples y transparentes, como el caso de regresión logística para predecir material particulado en Chile (Vélez-Pereira et al., 2025). La otra favorece modelos flexibles con mayor capacidad de ajuste, que las revisiones recientes documentan (Nelson et al., 2026). El proyecto no elige por adelantado. La Tabla 6.6 resume los tres candidatos con su ventaja, su riesgo y su forma de despliegue.</w:t>
      </w:r>
    </w:p>
    <w:p>
      <w:pPr>
        <w:pStyle w:val="TablaRotulo"/>
      </w:pPr>
      <w:bookmarkStart w:id="9293" w:name="rot_Tabla_6_6"/>
      <w:r>
        <w:rPr>
          <w:b/>
          <w:bCs/>
        </w:rPr>
        <w:t xml:space="preserve">Tabla 6.6</w:t>
      </w:r>
      <w:bookmarkEnd w:id="9293"/>
    </w:p>
    <w:p>
      <w:pPr>
        <w:pStyle w:val="TablaTitulo"/>
      </w:pPr>
      <w:r>
        <w:rPr>
          <w:i/>
          <w:iCs/>
        </w:rPr>
        <w:t xml:space="preserve">Modelos candidatos de corrección y criterios de parsimonia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197"/>
        <w:gridCol w:w="1397"/>
        <w:gridCol w:w="1397"/>
        <w:gridCol w:w="1397"/>
      </w:tblGrid>
      <w:tr>
        <w:trPr>
          <w:cantSplit/>
          <w:tblHeader/>
        </w:trPr>
        <w:tc>
          <w:tcPr>
            <w:shd w:val="clear" w:color="auto" w:fill="00B050"/>
          </w:tcPr>
          <w:p>
            <w:pPr>
              <w:pStyle w:val="Tabla9"/>
              <w:jc w:val="center"/>
            </w:pPr>
            <w:r>
              <w:rPr>
                <w:b/>
                <w:color w:val="FFFFFF"/>
              </w:rPr>
              <w:t xml:space="preserve">Modelo</w:t>
            </w:r>
          </w:p>
        </w:tc>
        <w:tc>
          <w:tcPr>
            <w:shd w:val="clear" w:color="auto" w:fill="00B050"/>
          </w:tcPr>
          <w:p>
            <w:pPr>
              <w:pStyle w:val="Tabla9"/>
              <w:jc w:val="center"/>
            </w:pPr>
            <w:r>
              <w:rPr>
                <w:b/>
                <w:color w:val="FFFFFF"/>
              </w:rPr>
              <w:t xml:space="preserve">Estructura</w:t>
            </w:r>
          </w:p>
        </w:tc>
        <w:tc>
          <w:tcPr>
            <w:shd w:val="clear" w:color="auto" w:fill="00B050"/>
          </w:tcPr>
          <w:p>
            <w:pPr>
              <w:pStyle w:val="Tabla9"/>
              <w:jc w:val="center"/>
            </w:pPr>
            <w:r>
              <w:rPr>
                <w:b/>
                <w:color w:val="FFFFFF"/>
              </w:rPr>
              <w:t xml:space="preserve">Entradas</w:t>
            </w:r>
          </w:p>
        </w:tc>
        <w:tc>
          <w:tcPr>
            <w:shd w:val="clear" w:color="auto" w:fill="00B050"/>
          </w:tcPr>
          <w:p>
            <w:pPr>
              <w:pStyle w:val="Tabla9"/>
              <w:jc w:val="center"/>
            </w:pPr>
            <w:r>
              <w:rPr>
                <w:b/>
                <w:color w:val="FFFFFF"/>
              </w:rPr>
              <w:t xml:space="preserve">Ventaja principal</w:t>
            </w:r>
          </w:p>
        </w:tc>
        <w:tc>
          <w:tcPr>
            <w:shd w:val="clear" w:color="auto" w:fill="00B050"/>
          </w:tcPr>
          <w:p>
            <w:pPr>
              <w:pStyle w:val="Tabla9"/>
              <w:jc w:val="center"/>
            </w:pPr>
            <w:r>
              <w:rPr>
                <w:b/>
                <w:color w:val="FFFFFF"/>
              </w:rPr>
              <w:t xml:space="preserve">Riesgo principal</w:t>
            </w:r>
          </w:p>
        </w:tc>
        <w:tc>
          <w:tcPr>
            <w:shd w:val="clear" w:color="auto" w:fill="00B050"/>
          </w:tcPr>
          <w:p>
            <w:pPr>
              <w:pStyle w:val="Tabla9"/>
              <w:jc w:val="center"/>
            </w:pPr>
            <w:r>
              <w:rPr>
                <w:b/>
                <w:color w:val="FFFFFF"/>
              </w:rPr>
              <w:t xml:space="preserve">Despliegue en el gateway</w:t>
            </w:r>
          </w:p>
        </w:tc>
      </w:tr>
      <w:tr>
        <w:trPr>
          <w:cantSplit/>
        </w:trPr>
        <w:tc>
          <w:tcPr/>
          <w:p>
            <w:pPr>
              <w:pStyle w:val="Tabla9"/>
              <w:jc w:val="left"/>
            </w:pPr>
            <w:r>
              <w:t xml:space="preserve">M1 Lineal con humedad</w:t>
            </w:r>
          </w:p>
        </w:tc>
        <w:tc>
          <w:tcPr/>
          <w:p>
            <w:pPr>
              <w:pStyle w:val="Tabla9"/>
              <w:jc w:val="left"/>
            </w:pPr>
            <w:r>
              <w:t xml:space="preserve">Regresión lineal con interacción entre lectura y humedad</w:t>
            </w:r>
          </w:p>
        </w:tc>
        <w:tc>
          <w:tcPr/>
          <w:p>
            <w:pPr>
              <w:pStyle w:val="Tabla9"/>
              <w:jc w:val="left"/>
            </w:pPr>
            <w:r>
              <w:t xml:space="preserve">Lectura del nodo y humedad relativa</w:t>
            </w:r>
          </w:p>
        </w:tc>
        <w:tc>
          <w:tcPr/>
          <w:p>
            <w:pPr>
              <w:pStyle w:val="Tabla9"/>
              <w:jc w:val="left"/>
            </w:pPr>
            <w:r>
              <w:t xml:space="preserve">Pocos parámetros; auditable</w:t>
            </w:r>
          </w:p>
        </w:tc>
        <w:tc>
          <w:tcPr/>
          <w:p>
            <w:pPr>
              <w:pStyle w:val="Tabla9"/>
              <w:jc w:val="left"/>
            </w:pPr>
            <w:r>
              <w:t xml:space="preserve">No representa la saturación cerca de la humedad máxima</w:t>
            </w:r>
          </w:p>
        </w:tc>
        <w:tc>
          <w:tcPr/>
          <w:p>
            <w:pPr>
              <w:pStyle w:val="Tabla9"/>
              <w:jc w:val="left"/>
            </w:pPr>
            <w:r>
              <w:t xml:space="preserve">Cuatro coeficientes, comunes o por departamento</w:t>
            </w:r>
          </w:p>
        </w:tc>
      </w:tr>
      <w:tr>
        <w:trPr>
          <w:cantSplit/>
        </w:trPr>
        <w:tc>
          <w:tcPr/>
          <w:p>
            <w:pPr>
              <w:pStyle w:val="Tabla9"/>
              <w:jc w:val="left"/>
            </w:pPr>
            <w:r>
              <w:t xml:space="preserve">M2 No lineal con humedad y temperatura</w:t>
            </w:r>
          </w:p>
        </w:tc>
        <w:tc>
          <w:tcPr/>
          <w:p>
            <w:pPr>
              <w:pStyle w:val="Tabla9"/>
              <w:jc w:val="left"/>
            </w:pPr>
            <w:r>
              <w:t xml:space="preserve">Término higroscópico y término de temperatura; mínimos cuadrados no lineales</w:t>
            </w:r>
          </w:p>
        </w:tc>
        <w:tc>
          <w:tcPr/>
          <w:p>
            <w:pPr>
              <w:pStyle w:val="Tabla9"/>
              <w:jc w:val="left"/>
            </w:pPr>
            <w:r>
              <w:t xml:space="preserve">Lecturas de PM2,5 y PM10, humedad y temperatura</w:t>
            </w:r>
          </w:p>
        </w:tc>
        <w:tc>
          <w:tcPr/>
          <w:p>
            <w:pPr>
              <w:pStyle w:val="Tabla9"/>
              <w:jc w:val="left"/>
            </w:pPr>
            <w:r>
              <w:t xml:space="preserve">Parámetros con sentido físico</w:t>
            </w:r>
          </w:p>
        </w:tc>
        <w:tc>
          <w:tcPr/>
          <w:p>
            <w:pPr>
              <w:pStyle w:val="Tabla9"/>
              <w:jc w:val="left"/>
            </w:pPr>
            <w:r>
              <w:t xml:space="preserve">Ajuste inestable con pocos datos de humedad alta</w:t>
            </w:r>
          </w:p>
        </w:tc>
        <w:tc>
          <w:tcPr/>
          <w:p>
            <w:pPr>
              <w:pStyle w:val="Tabla9"/>
              <w:jc w:val="left"/>
            </w:pPr>
            <w:r>
              <w:t xml:space="preserve">Función cerrada con pocos parámetros</w:t>
            </w:r>
          </w:p>
        </w:tc>
      </w:tr>
      <w:tr>
        <w:trPr>
          <w:cantSplit/>
        </w:trPr>
        <w:tc>
          <w:tcPr/>
          <w:p>
            <w:pPr>
              <w:pStyle w:val="Tabla9"/>
              <w:jc w:val="left"/>
            </w:pPr>
            <w:r>
              <w:t xml:space="preserve">M3 Árboles potenciados ligeros</w:t>
            </w:r>
          </w:p>
        </w:tc>
        <w:tc>
          <w:tcPr/>
          <w:p>
            <w:pPr>
              <w:pStyle w:val="Tabla9"/>
              <w:jc w:val="left"/>
            </w:pPr>
            <w:r>
              <w:t xml:space="preserve">Conjunto de árboles poco profundos con límite de tamaño</w:t>
            </w:r>
          </w:p>
        </w:tc>
        <w:tc>
          <w:tcPr/>
          <w:p>
            <w:pPr>
              <w:pStyle w:val="Tabla9"/>
              <w:jc w:val="left"/>
            </w:pPr>
            <w:r>
              <w:t xml:space="preserve">Las entradas de M2 más la hora del día</w:t>
            </w:r>
          </w:p>
        </w:tc>
        <w:tc>
          <w:tcPr/>
          <w:p>
            <w:pPr>
              <w:pStyle w:val="Tabla9"/>
              <w:jc w:val="left"/>
            </w:pPr>
            <w:r>
              <w:t xml:space="preserve">Capta interacciones sin forma previa</w:t>
            </w:r>
          </w:p>
        </w:tc>
        <w:tc>
          <w:tcPr/>
          <w:p>
            <w:pPr>
              <w:pStyle w:val="Tabla9"/>
              <w:jc w:val="left"/>
            </w:pPr>
            <w:r>
              <w:t xml:space="preserve">Extrapola mal fuera del rango; menor transparencia</w:t>
            </w:r>
          </w:p>
        </w:tc>
        <w:tc>
          <w:tcPr/>
          <w:p>
            <w:pPr>
              <w:pStyle w:val="Tabla9"/>
              <w:jc w:val="left"/>
            </w:pPr>
            <w:r>
              <w:t xml:space="preserve">Tabla de árboles dentro del presupuesto de memoria</w:t>
            </w:r>
          </w:p>
        </w:tc>
      </w:tr>
    </w:tbl>
    <w:p>
      <w:pPr>
        <w:pStyle w:val="TablaNota"/>
      </w:pPr>
      <w:r>
        <w:rPr>
          <w:i/>
          <w:iCs/>
        </w:rPr>
        <w:t xml:space="preserve">Nota.</w:t>
      </w:r>
      <w:r>
        <w:t xml:space="preserve"> </w:t>
      </w:r>
      <w:r>
        <w:t xml:space="preserve">Elaboración propia. Naturaleza: PROPUESTO. La forma funcional definitiva de M2 y los límites de M3 se fijan en A1.4 con los datos del tramo 1. El presupuesto de cómputo del gateway: [DATO_USUARIO: capacidad de procesamiento y memoria del gateway].</w:t>
      </w:r>
    </w:p>
    <w:p>
      <w:pPr>
        <w:pStyle w:val="BodyText"/>
      </w:pPr>
      <w:r>
        <w:t xml:space="preserve">La tabla ordena los modelos de menor a mayor complejidad. Esa jerarquía alimenta el criterio de selección. M1 es el punto de partida, y un modelo más complejo solo se justifica si mejora de forma comprobable la validación fuera de muestra.</w:t>
      </w:r>
    </w:p>
    <w:p>
      <w:pPr>
        <w:pStyle w:val="BodyText"/>
      </w:pPr>
      <w:r>
        <w:rPr>
          <w:b/>
          <w:bCs/>
        </w:rPr>
        <w:t xml:space="preserve">Validación cruzada.</w:t>
      </w:r>
      <w:r>
        <w:t xml:space="preserve"> </w:t>
      </w:r>
      <w:r>
        <w:t xml:space="preserve">La validación combina dos particiones. La primera es por departamento: el modelo se entrena con dos departamentos y se prueba en el tercero, con tres pliegues. Esa partición evalúa la generalización espacial que describe el riesgo R-TEC-04, de nivel ALTO. La segunda es temporal: las semanas 1 a 11 se destinan al entrenamiento y las semanas 12 a 16 a la prueba (PROPUESTO). Las semanas completas conservan el ciclo diurno y semanal. Los hiperparámetros se ajustan solo dentro de los datos de entrenamiento, con bloques semanales, y la prueba nunca interviene en el ajuste.</w:t>
      </w:r>
    </w:p>
    <w:p>
      <w:pPr>
        <w:pStyle w:val="BodyText"/>
      </w:pPr>
      <w:r>
        <w:t xml:space="preserve">La partición de datos no es habitual en los estudios de índices de calidad del aire. Liao et al. (2026, pp. 6 y 8) encontraron que solo 9,4 % de 53 estudios de índices de calidad del aire y salud validó con partición de datos. Giordano et al. (2021) resumen los desafíos y las prácticas recomendadas para calibrar sensores de partículas. Una calibración evaluada con los mismos datos de ajuste sobrestima su desempeño. Por eso todas las métricas del proyecto se calculan fuera de muestra. El hito H3 exige el acta de C1 con esas métricas. El hito H7 exige el ensayo del laboratorio externo con datos que el modelo congelado no vio.</w:t>
      </w:r>
    </w:p>
    <w:p>
      <w:pPr>
        <w:pStyle w:val="BodyText"/>
      </w:pPr>
      <w:r>
        <w:rPr>
          <w:b/>
          <w:bCs/>
        </w:rPr>
        <w:t xml:space="preserve">Métricas y criterio de selección.</w:t>
      </w:r>
      <w:r>
        <w:t xml:space="preserve"> </w:t>
      </w:r>
      <w:r>
        <w:t xml:space="preserve">La Tabla 6.7 define las cinco métricas y su papel en la decisión. Las definiciones siguen la convención de la EPA (2021): la regresión usa la lectura corregida como variable de respuesta y la referencia como variable explicativa. El NRMSE y el NMAE normalizan por la media de la referencia. El sesgo es la media de la diferencia entre la lectura corregida y la referencia.</w:t>
      </w:r>
    </w:p>
    <w:p>
      <w:pPr>
        <w:pStyle w:val="TablaRotulo"/>
      </w:pPr>
      <w:bookmarkStart w:id="9294" w:name="rot_Tabla_6_7"/>
      <w:r>
        <w:rPr>
          <w:b/>
          <w:bCs/>
        </w:rPr>
        <w:t xml:space="preserve">Tabla 6.7</w:t>
      </w:r>
      <w:bookmarkEnd w:id="9294"/>
    </w:p>
    <w:p>
      <w:pPr>
        <w:pStyle w:val="TablaTitulo"/>
      </w:pPr>
      <w:r>
        <w:rPr>
          <w:i/>
          <w:iCs/>
        </w:rPr>
        <w:t xml:space="preserve">Métricas de desempeño, umbrales de aceptación y papel en la decisión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97"/>
        <w:gridCol w:w="2662"/>
        <w:gridCol w:w="1131"/>
        <w:gridCol w:w="2728"/>
      </w:tblGrid>
      <w:tr>
        <w:trPr>
          <w:cantSplit/>
          <w:tblHeader/>
        </w:trPr>
        <w:tc>
          <w:tcPr>
            <w:shd w:val="clear" w:color="auto" w:fill="00B050"/>
          </w:tcPr>
          <w:p>
            <w:pPr>
              <w:pStyle w:val="Tabla9"/>
              <w:jc w:val="center"/>
            </w:pPr>
            <w:r>
              <w:rPr>
                <w:b/>
                <w:color w:val="FFFFFF"/>
              </w:rPr>
              <w:t xml:space="preserve">Métrica</w:t>
            </w:r>
          </w:p>
        </w:tc>
        <w:tc>
          <w:tcPr>
            <w:shd w:val="clear" w:color="auto" w:fill="00B050"/>
          </w:tcPr>
          <w:p>
            <w:pPr>
              <w:pStyle w:val="Tabla9"/>
              <w:jc w:val="center"/>
            </w:pPr>
            <w:r>
              <w:rPr>
                <w:b/>
                <w:color w:val="FFFFFF"/>
              </w:rPr>
              <w:t xml:space="preserve">Definición</w:t>
            </w:r>
          </w:p>
        </w:tc>
        <w:tc>
          <w:tcPr>
            <w:shd w:val="clear" w:color="auto" w:fill="00B050"/>
          </w:tcPr>
          <w:p>
            <w:pPr>
              <w:pStyle w:val="Tabla9"/>
              <w:jc w:val="center"/>
            </w:pPr>
            <w:r>
              <w:rPr>
                <w:b/>
                <w:color w:val="FFFFFF"/>
              </w:rPr>
              <w:t xml:space="preserve">Umbral</w:t>
            </w:r>
          </w:p>
        </w:tc>
        <w:tc>
          <w:tcPr>
            <w:shd w:val="clear" w:color="auto" w:fill="00B050"/>
          </w:tcPr>
          <w:p>
            <w:pPr>
              <w:pStyle w:val="Tabla9"/>
              <w:jc w:val="center"/>
            </w:pPr>
            <w:r>
              <w:rPr>
                <w:b/>
                <w:color w:val="FFFFFF"/>
              </w:rPr>
              <w:t xml:space="preserve">Papel en la decisión</w:t>
            </w:r>
          </w:p>
        </w:tc>
      </w:tr>
      <w:tr>
        <w:trPr>
          <w:cantSplit/>
        </w:trPr>
        <w:tc>
          <w:tcPr/>
          <w:p>
            <w:pPr>
              <w:pStyle w:val="Tabla9"/>
              <w:jc w:val="left"/>
            </w:pPr>
            <w:r>
              <w:t xml:space="preserve">R²</w:t>
            </w:r>
          </w:p>
        </w:tc>
        <w:tc>
          <w:tcPr/>
          <w:p>
            <w:pPr>
              <w:pStyle w:val="Tabla9"/>
              <w:jc w:val="left"/>
            </w:pPr>
            <w:r>
              <w:t xml:space="preserve">Cuadrado de la correlación entre lectura corregida y referencia</w:t>
            </w:r>
          </w:p>
        </w:tc>
        <w:tc>
          <w:tcPr/>
          <w:p>
            <w:pPr>
              <w:pStyle w:val="Tabla9"/>
              <w:jc w:val="left"/>
            </w:pPr>
            <w:r>
              <w:t xml:space="preserve">≥ 0,70</w:t>
            </w:r>
          </w:p>
        </w:tc>
        <w:tc>
          <w:tcPr/>
          <w:p>
            <w:pPr>
              <w:pStyle w:val="Tabla9"/>
              <w:jc w:val="left"/>
            </w:pPr>
            <w:r>
              <w:t xml:space="preserve">Condiciona C1 y C2</w:t>
            </w:r>
          </w:p>
        </w:tc>
      </w:tr>
      <w:tr>
        <w:trPr>
          <w:cantSplit/>
        </w:trPr>
        <w:tc>
          <w:tcPr/>
          <w:p>
            <w:pPr>
              <w:pStyle w:val="Tabla9"/>
              <w:jc w:val="left"/>
            </w:pPr>
            <w:r>
              <w:t xml:space="preserve">NRMSE</w:t>
            </w:r>
          </w:p>
        </w:tc>
        <w:tc>
          <w:tcPr/>
          <w:p>
            <w:pPr>
              <w:pStyle w:val="Tabla9"/>
              <w:jc w:val="left"/>
            </w:pPr>
            <w:r>
              <w:t xml:space="preserve">Raíz del error cuadrático medio dividida por la media de la referencia</w:t>
            </w:r>
          </w:p>
        </w:tc>
        <w:tc>
          <w:tcPr/>
          <w:p>
            <w:pPr>
              <w:pStyle w:val="Tabla9"/>
              <w:jc w:val="left"/>
            </w:pPr>
            <w:r>
              <w:t xml:space="preserve">≤ 30 %</w:t>
            </w:r>
          </w:p>
        </w:tc>
        <w:tc>
          <w:tcPr/>
          <w:p>
            <w:pPr>
              <w:pStyle w:val="Tabla9"/>
              <w:jc w:val="left"/>
            </w:pPr>
            <w:r>
              <w:t xml:space="preserve">Condiciona C1 y C2</w:t>
            </w:r>
          </w:p>
        </w:tc>
      </w:tr>
      <w:tr>
        <w:trPr>
          <w:cantSplit/>
        </w:trPr>
        <w:tc>
          <w:tcPr/>
          <w:p>
            <w:pPr>
              <w:pStyle w:val="Tabla9"/>
              <w:jc w:val="left"/>
            </w:pPr>
            <w:r>
              <w:t xml:space="preserve">Pendiente</w:t>
            </w:r>
          </w:p>
        </w:tc>
        <w:tc>
          <w:tcPr/>
          <w:p>
            <w:pPr>
              <w:pStyle w:val="Tabla9"/>
              <w:jc w:val="left"/>
            </w:pPr>
            <w:r>
              <w:t xml:space="preserve">Pendiente de la regresión de la lectura corregida sobre la referencia</w:t>
            </w:r>
          </w:p>
        </w:tc>
        <w:tc>
          <w:tcPr/>
          <w:p>
            <w:pPr>
              <w:pStyle w:val="Tabla9"/>
              <w:jc w:val="left"/>
            </w:pPr>
            <w:r>
              <w:t xml:space="preserve">0,65 a 1,35</w:t>
            </w:r>
          </w:p>
        </w:tc>
        <w:tc>
          <w:tcPr/>
          <w:p>
            <w:pPr>
              <w:pStyle w:val="Tabla9"/>
              <w:jc w:val="left"/>
            </w:pPr>
            <w:r>
              <w:t xml:space="preserve">Se reporta; si falla, exige diagnóstico y verificación en A1.6</w:t>
            </w:r>
          </w:p>
        </w:tc>
      </w:tr>
      <w:tr>
        <w:trPr>
          <w:cantSplit/>
        </w:trPr>
        <w:tc>
          <w:tcPr/>
          <w:p>
            <w:pPr>
              <w:pStyle w:val="Tabla9"/>
              <w:jc w:val="left"/>
            </w:pPr>
            <w:r>
              <w:t xml:space="preserve">Sesgo</w:t>
            </w:r>
          </w:p>
        </w:tc>
        <w:tc>
          <w:tcPr/>
          <w:p>
            <w:pPr>
              <w:pStyle w:val="Tabla9"/>
              <w:jc w:val="left"/>
            </w:pPr>
            <w:r>
              <w:t xml:space="preserve">Media de la diferencia entre lectura corregida y referencia, en µg/m³</w:t>
            </w:r>
          </w:p>
        </w:tc>
        <w:tc>
          <w:tcPr/>
          <w:p>
            <w:pPr>
              <w:pStyle w:val="Tabla9"/>
              <w:jc w:val="left"/>
            </w:pPr>
            <w:r>
              <w:t xml:space="preserve">−5,0 a 5,0</w:t>
            </w:r>
          </w:p>
        </w:tc>
        <w:tc>
          <w:tcPr/>
          <w:p>
            <w:pPr>
              <w:pStyle w:val="Tabla9"/>
              <w:jc w:val="left"/>
            </w:pPr>
            <w:r>
              <w:t xml:space="preserve">Se reporta; si falla, exige diagnóstico y verificación en A1.6</w:t>
            </w:r>
          </w:p>
        </w:tc>
      </w:tr>
      <w:tr>
        <w:trPr>
          <w:cantSplit/>
        </w:trPr>
        <w:tc>
          <w:tcPr/>
          <w:p>
            <w:pPr>
              <w:pStyle w:val="Tabla9"/>
              <w:jc w:val="left"/>
            </w:pPr>
            <w:r>
              <w:t xml:space="preserve">NMAE</w:t>
            </w:r>
          </w:p>
        </w:tc>
        <w:tc>
          <w:tcPr/>
          <w:p>
            <w:pPr>
              <w:pStyle w:val="Tabla9"/>
              <w:jc w:val="left"/>
            </w:pPr>
            <w:r>
              <w:t xml:space="preserve">Error absoluto medio dividido por la media de la referencia</w:t>
            </w:r>
          </w:p>
        </w:tc>
        <w:tc>
          <w:tcPr/>
          <w:p>
            <w:pPr>
              <w:pStyle w:val="Tabla9"/>
              <w:jc w:val="left"/>
            </w:pPr>
            <w:r>
              <w:t xml:space="preserve">≤ 15 %</w:t>
            </w:r>
          </w:p>
        </w:tc>
        <w:tc>
          <w:tcPr/>
          <w:p>
            <w:pPr>
              <w:pStyle w:val="Tabla9"/>
              <w:jc w:val="left"/>
            </w:pPr>
            <w:r>
              <w:t xml:space="preserve">Aspiracional; no condiciona las compuertas</w:t>
            </w:r>
          </w:p>
        </w:tc>
      </w:tr>
    </w:tbl>
    <w:p>
      <w:pPr>
        <w:pStyle w:val="TablaNota"/>
      </w:pPr>
      <w:r>
        <w:rPr>
          <w:i/>
          <w:iCs/>
        </w:rPr>
        <w:t xml:space="preserve">Nota.</w:t>
      </w:r>
      <w:r>
        <w:t xml:space="preserve"> </w:t>
      </w:r>
      <w:r>
        <w:t xml:space="preserve">Elaboración propia con los umbrales de la ficha maestra (sección 2; ancla EPA, 2021). Naturaleza: PROPUESTO. Los umbrales aplican al promedio de 24 horas como criterio principal y al de 1 hora como criterio secundario.</w:t>
      </w:r>
    </w:p>
    <w:p>
      <w:pPr>
        <w:pStyle w:val="BodyText"/>
      </w:pPr>
      <w:r>
        <w:t xml:space="preserve">La tabla separa lo que decide de lo que se reporta. Solo R² y NRMSE condicionan las compuertas, como fija la ficha. La pendiente y el sesgo dependen de la corrección y, si fallan, activan un diagnóstico antes de la verificación final. El criterio de selección se aplica en tres pasos. Primero, se descartan los modelos que incumplen R² o NRMSE en la validación por departamento o en la temporal. Segundo, entre los restantes, se elige el modelo más simple cuyo NRMSE no supere en más de un error estándar el del mejor candidato. Tercero, se verifica que el modelo elegido sea ejecutable en el gateway.</w:t>
      </w:r>
    </w:p>
    <w:p>
      <w:pPr>
        <w:pStyle w:val="BodyText"/>
      </w:pPr>
      <w:r>
        <w:rPr>
          <w:b/>
          <w:bCs/>
        </w:rPr>
        <w:t xml:space="preserve">Parsimonia y despliegue en el gateway.</w:t>
      </w:r>
      <w:r>
        <w:t xml:space="preserve"> </w:t>
      </w:r>
      <w:r>
        <w:t xml:space="preserve">El gateway ejecuta el modelo y reenvía los datos corregidos por la red celular, con enlace satelital alterno. Shi et al. (2016) presentan la computación en el borde como respuesta a la latencia y al costo del ancho de banda. Warden y Situnayake (2019) describen las restricciones de memoria de los microcontroladores. Esas restricciones no determinan el modelo del proyecto, porque la corrección no corre en el nodo sino en el gateway. La parsimonia sigue siendo necesaria: el modelo debe caber en la memoria del gateway y responder dentro del intervalo de reporte. Cada versión del modelo se registra con su huella digital, y el gateway conserva la versión anterior para revertir la actualización.</w:t>
      </w:r>
    </w:p>
    <w:p>
      <w:pPr>
        <w:pStyle w:val="BodyText"/>
      </w:pPr>
      <w:r>
        <w:rPr>
          <w:b/>
          <w:bCs/>
        </w:rPr>
        <w:t xml:space="preserve">Validación de cuestionarios y listas de cotejo.</w:t>
      </w:r>
      <w:r>
        <w:t xml:space="preserve"> </w:t>
      </w:r>
      <w:r>
        <w:t xml:space="preserve">Los instrumentos de personas pasan por cuatro controles antes de aplicarse. El primero es la validez de contenido, con un panel de cinco personas expertas en gestión del riesgo y en calidad del aire (PROPUESTO). El segundo es una prueba cognitiva con personal de dos comités ajenos a la muestra [DATO_USUARIO: comités para la prueba piloto]. El tercero es la consistencia interna, con el coeficiente alfa de Cronbach y un valor mínimo de 0,70 tras la primera aplicación (PROPUESTO). El cuarto es la concordancia entre observadores, con el coeficiente kappa de Cohen sobre 20 % de las inspecciones de campo (PROPUESTO). Los cambios de redacción posteriores se registran y no alteran la comparabilidad de la línea base.</w:t>
      </w:r>
    </w:p>
    <w:p>
      <w:pPr>
        <w:pStyle w:val="BodyText"/>
      </w:pPr>
      <w:r>
        <w:rPr>
          <w:b/>
          <w:bCs/>
        </w:rPr>
        <w:t xml:space="preserve">Validación del gemelo digital.</w:t>
      </w:r>
      <w:r>
        <w:t xml:space="preserve"> </w:t>
      </w:r>
      <w:r>
        <w:t xml:space="preserve">El gemelo digital estima la concentración en puntos sin nodo. Su estimación espacial se valida por exclusión de un nodo a la vez: se compara la estimación con la lectura corregida del nodo excluido. Grieves y Vickers (2017) y Tao et al. (2019) describen el gemelo digital como una representación virtual contrastada con el sistema físico. La contrastación con lecturas corregidas es coherente con esa definición. El gemelo no alimenta el criterio técnico de C1, porque ese criterio se evalúa sobre las lecturas corregidas de los nodos.</w:t>
      </w:r>
    </w:p>
    <w:bookmarkEnd w:id="471"/>
    <w:bookmarkEnd w:id="472"/>
    <w:bookmarkStart w:id="476" w:name="_Toc00900187"/>
    <w:p>
      <w:pPr>
        <w:pStyle w:val="Heading2"/>
      </w:pPr>
      <w:r>
        <w:t xml:space="preserve">6.4 Población y muestra</w:t>
      </w:r>
    </w:p>
    <w:bookmarkStart w:id="473" w:name="_Toc00900188"/>
    <w:p>
      <w:pPr>
        <w:pStyle w:val="Heading3"/>
      </w:pPr>
      <w:r>
        <w:t xml:space="preserve">6.4.1 Población objetivo</w:t>
      </w:r>
    </w:p>
    <w:p>
      <w:pPr>
        <w:pStyle w:val="FirstParagraph"/>
      </w:pPr>
      <w:r>
        <w:t xml:space="preserve">La población objetivo reúne cuatro conjuntos de unidades con funciones distintas: territorios y sitios, equipos de medición, instancias institucionales y personas. La unidad de análisis es la entidad sobre la cual se concluye. La unidad de observación es la entidad donde se mide. En este proyecto ambas coinciden en los equipos y difieren en las instituciones. Las personas responden, pero la conclusión se formula sobre el comité. Mitchell et al. (1997) proponen identificar a los actores relevantes según su poder, su legitimidad y la urgencia de su demanda. Ostrom (2005) trata las reglas en uso de cada institución como unidad de análisis. Esa lectura respalda tomar el comité, y no la persona, como unidad de decisión.</w:t>
      </w:r>
    </w:p>
    <w:p>
      <w:pPr>
        <w:pStyle w:val="BodyText"/>
      </w:pPr>
      <w:r>
        <w:t xml:space="preserve">Dos posiciones orientan a quién se incluye. La primera prioriza a los actores con poder de decisión sobre el tablero, según el modelo de relevancia de Mitchell et al. (1997). La segunda incluye a las personas afectadas aunque carezcan de ese poder, como sostienen Arnstein (1969) y Freire (2005). El proyecto adopta una síntesis. Los 15 comités y las 150 personas funcionarias constituyen la población de decisión, y el personal operario de remoción se considera población beneficiaria. El número de operarios es un dato que solo el usuario posee [DATO_USUARIO: número de operarios en sitios monitoreados]. La Tabla 6.8 resume las poblaciones y las coberturas.</w:t>
      </w:r>
    </w:p>
    <w:p>
      <w:pPr>
        <w:pStyle w:val="TablaRotulo"/>
      </w:pPr>
      <w:bookmarkStart w:id="9295" w:name="rot_Tabla_6_8"/>
      <w:r>
        <w:rPr>
          <w:b/>
          <w:bCs/>
        </w:rPr>
        <w:t xml:space="preserve">Tabla 6.8</w:t>
      </w:r>
      <w:bookmarkEnd w:id="9295"/>
    </w:p>
    <w:p>
      <w:pPr>
        <w:pStyle w:val="TablaTitulo"/>
      </w:pPr>
      <w:r>
        <w:rPr>
          <w:i/>
          <w:iCs/>
        </w:rPr>
        <w:t xml:space="preserve">Caracterización de la población y de la muestra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97"/>
        <w:gridCol w:w="1863"/>
        <w:gridCol w:w="1863"/>
        <w:gridCol w:w="1397"/>
        <w:gridCol w:w="1397"/>
      </w:tblGrid>
      <w:tr>
        <w:trPr>
          <w:cantSplit/>
          <w:tblHeader/>
        </w:trPr>
        <w:tc>
          <w:tcPr>
            <w:shd w:val="clear" w:color="auto" w:fill="00B050"/>
          </w:tcPr>
          <w:p>
            <w:pPr>
              <w:pStyle w:val="Tabla9"/>
              <w:jc w:val="center"/>
            </w:pPr>
            <w:r>
              <w:rPr>
                <w:b/>
                <w:color w:val="FFFFFF"/>
              </w:rPr>
              <w:t xml:space="preserve">Unidad</w:t>
            </w:r>
          </w:p>
        </w:tc>
        <w:tc>
          <w:tcPr>
            <w:shd w:val="clear" w:color="auto" w:fill="00B050"/>
          </w:tcPr>
          <w:p>
            <w:pPr>
              <w:pStyle w:val="Tabla9"/>
              <w:jc w:val="center"/>
            </w:pPr>
            <w:r>
              <w:rPr>
                <w:b/>
                <w:color w:val="FFFFFF"/>
              </w:rPr>
              <w:t xml:space="preserve">Población</w:t>
            </w:r>
          </w:p>
        </w:tc>
        <w:tc>
          <w:tcPr>
            <w:shd w:val="clear" w:color="auto" w:fill="00B050"/>
          </w:tcPr>
          <w:p>
            <w:pPr>
              <w:pStyle w:val="Tabla9"/>
              <w:jc w:val="center"/>
            </w:pPr>
            <w:r>
              <w:rPr>
                <w:b/>
                <w:color w:val="FFFFFF"/>
              </w:rPr>
              <w:t xml:space="preserve">Muestra o cobertura</w:t>
            </w:r>
          </w:p>
        </w:tc>
        <w:tc>
          <w:tcPr>
            <w:shd w:val="clear" w:color="auto" w:fill="00B050"/>
          </w:tcPr>
          <w:p>
            <w:pPr>
              <w:pStyle w:val="Tabla9"/>
              <w:jc w:val="center"/>
            </w:pPr>
            <w:r>
              <w:rPr>
                <w:b/>
                <w:color w:val="FFFFFF"/>
              </w:rPr>
              <w:t xml:space="preserve">Selección</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Departamentos</w:t>
            </w:r>
          </w:p>
        </w:tc>
        <w:tc>
          <w:tcPr/>
          <w:p>
            <w:pPr>
              <w:pStyle w:val="Tabla9"/>
              <w:jc w:val="left"/>
            </w:pPr>
            <w:r>
              <w:t xml:space="preserve">3: Caldas, Cundinamarca y Valle del Cauca</w:t>
            </w:r>
          </w:p>
        </w:tc>
        <w:tc>
          <w:tcPr/>
          <w:p>
            <w:pPr>
              <w:pStyle w:val="Tabla9"/>
              <w:jc w:val="left"/>
            </w:pPr>
            <w:r>
              <w:t xml:space="preserve">3, en censo</w:t>
            </w:r>
          </w:p>
        </w:tc>
        <w:tc>
          <w:tcPr/>
          <w:p>
            <w:pPr>
              <w:pStyle w:val="Tabla9"/>
              <w:jc w:val="left"/>
            </w:pPr>
            <w:r>
              <w:t xml:space="preserve">Definidos por el alcance del proyecto</w:t>
            </w:r>
          </w:p>
        </w:tc>
        <w:tc>
          <w:tcPr/>
          <w:p>
            <w:pPr>
              <w:pStyle w:val="Tabla9"/>
              <w:jc w:val="left"/>
            </w:pPr>
            <w:r>
              <w:t xml:space="preserve">SUPUESTO</w:t>
            </w:r>
          </w:p>
        </w:tc>
      </w:tr>
      <w:tr>
        <w:trPr>
          <w:cantSplit/>
        </w:trPr>
        <w:tc>
          <w:tcPr/>
          <w:p>
            <w:pPr>
              <w:pStyle w:val="Tabla9"/>
              <w:jc w:val="left"/>
            </w:pPr>
            <w:r>
              <w:t xml:space="preserve">Municipios focalizados</w:t>
            </w:r>
          </w:p>
        </w:tc>
        <w:tc>
          <w:tcPr/>
          <w:p>
            <w:pPr>
              <w:pStyle w:val="Tabla9"/>
              <w:jc w:val="left"/>
            </w:pPr>
            <w:r>
              <w:t xml:space="preserve">12, con 4 por departamento</w:t>
            </w:r>
          </w:p>
        </w:tc>
        <w:tc>
          <w:tcPr/>
          <w:p>
            <w:pPr>
              <w:pStyle w:val="Tabla9"/>
              <w:jc w:val="left"/>
            </w:pPr>
            <w:r>
              <w:t xml:space="preserve">12, en censo [DATO_USUARIO: lista de municipios]</w:t>
            </w:r>
          </w:p>
        </w:tc>
        <w:tc>
          <w:tcPr/>
          <w:p>
            <w:pPr>
              <w:pStyle w:val="Tabla9"/>
              <w:jc w:val="left"/>
            </w:pPr>
            <w:r>
              <w:t xml:space="preserve">Intencional por presencia de remoción de escombros</w:t>
            </w:r>
          </w:p>
        </w:tc>
        <w:tc>
          <w:tcPr/>
          <w:p>
            <w:pPr>
              <w:pStyle w:val="Tabla9"/>
              <w:jc w:val="left"/>
            </w:pPr>
            <w:r>
              <w:t xml:space="preserve">SUPUESTO</w:t>
            </w:r>
          </w:p>
        </w:tc>
      </w:tr>
      <w:tr>
        <w:trPr>
          <w:cantSplit/>
        </w:trPr>
        <w:tc>
          <w:tcPr/>
          <w:p>
            <w:pPr>
              <w:pStyle w:val="Tabla9"/>
              <w:jc w:val="left"/>
            </w:pPr>
            <w:r>
              <w:t xml:space="preserve">Sitios de colocalización</w:t>
            </w:r>
          </w:p>
        </w:tc>
        <w:tc>
          <w:tcPr/>
          <w:p>
            <w:pPr>
              <w:pStyle w:val="Tabla9"/>
              <w:jc w:val="left"/>
            </w:pPr>
            <w:r>
              <w:t xml:space="preserve">3</w:t>
            </w:r>
          </w:p>
        </w:tc>
        <w:tc>
          <w:tcPr/>
          <w:p>
            <w:pPr>
              <w:pStyle w:val="Tabla9"/>
              <w:jc w:val="left"/>
            </w:pPr>
            <w:r>
              <w:t xml:space="preserve">3, uno por departamento, con referencia</w:t>
            </w:r>
          </w:p>
        </w:tc>
        <w:tc>
          <w:tcPr/>
          <w:p>
            <w:pPr>
              <w:pStyle w:val="Tabla9"/>
              <w:jc w:val="left"/>
            </w:pPr>
            <w:r>
              <w:t xml:space="preserve">Intencional por criterios de sitio</w:t>
            </w:r>
          </w:p>
        </w:tc>
        <w:tc>
          <w:tcPr/>
          <w:p>
            <w:pPr>
              <w:pStyle w:val="Tabla9"/>
              <w:jc w:val="left"/>
            </w:pPr>
            <w:r>
              <w:t xml:space="preserve">PROPUESTO</w:t>
            </w:r>
          </w:p>
        </w:tc>
      </w:tr>
      <w:tr>
        <w:trPr>
          <w:cantSplit/>
        </w:trPr>
        <w:tc>
          <w:tcPr/>
          <w:p>
            <w:pPr>
              <w:pStyle w:val="Tabla9"/>
              <w:jc w:val="left"/>
            </w:pPr>
            <w:r>
              <w:t xml:space="preserve">Nodos</w:t>
            </w:r>
          </w:p>
        </w:tc>
        <w:tc>
          <w:tcPr/>
          <w:p>
            <w:pPr>
              <w:pStyle w:val="Tabla9"/>
              <w:jc w:val="left"/>
            </w:pPr>
            <w:r>
              <w:t xml:space="preserve">100 operativos y 120 comprados</w:t>
            </w:r>
          </w:p>
        </w:tc>
        <w:tc>
          <w:tcPr/>
          <w:p>
            <w:pPr>
              <w:pStyle w:val="Tabla9"/>
              <w:jc w:val="left"/>
            </w:pPr>
            <w:r>
              <w:t xml:space="preserve">100, en censo; 30 en la colocalización inicial</w:t>
            </w:r>
          </w:p>
        </w:tc>
        <w:tc>
          <w:tcPr/>
          <w:p>
            <w:pPr>
              <w:pStyle w:val="Tabla9"/>
              <w:jc w:val="left"/>
            </w:pPr>
            <w:r>
              <w:t xml:space="preserve">Caldas 33, Cundinamarca 34, Valle del Cauca 33</w:t>
            </w:r>
          </w:p>
        </w:tc>
        <w:tc>
          <w:tcPr/>
          <w:p>
            <w:pPr>
              <w:pStyle w:val="Tabla9"/>
              <w:jc w:val="left"/>
            </w:pPr>
            <w:r>
              <w:t xml:space="preserve">PROPUESTO</w:t>
            </w:r>
          </w:p>
        </w:tc>
      </w:tr>
      <w:tr>
        <w:trPr>
          <w:cantSplit/>
        </w:trPr>
        <w:tc>
          <w:tcPr/>
          <w:p>
            <w:pPr>
              <w:pStyle w:val="Tabla9"/>
              <w:jc w:val="left"/>
            </w:pPr>
            <w:r>
              <w:t xml:space="preserve">Gateways</w:t>
            </w:r>
          </w:p>
        </w:tc>
        <w:tc>
          <w:tcPr/>
          <w:p>
            <w:pPr>
              <w:pStyle w:val="Tabla9"/>
              <w:jc w:val="left"/>
            </w:pPr>
            <w:r>
              <w:t xml:space="preserve">10 operativos y 11 comprados</w:t>
            </w:r>
          </w:p>
        </w:tc>
        <w:tc>
          <w:tcPr/>
          <w:p>
            <w:pPr>
              <w:pStyle w:val="Tabla9"/>
              <w:jc w:val="left"/>
            </w:pPr>
            <w:r>
              <w:t xml:space="preserve">10, en censo</w:t>
            </w:r>
          </w:p>
        </w:tc>
        <w:tc>
          <w:tcPr/>
          <w:p>
            <w:pPr>
              <w:pStyle w:val="Tabla9"/>
              <w:jc w:val="left"/>
            </w:pPr>
            <w:r>
              <w:t xml:space="preserve">Uno por cada 10 nodos</w:t>
            </w:r>
          </w:p>
        </w:tc>
        <w:tc>
          <w:tcPr/>
          <w:p>
            <w:pPr>
              <w:pStyle w:val="Tabla9"/>
              <w:jc w:val="left"/>
            </w:pPr>
            <w:r>
              <w:t xml:space="preserve">PROPUESTO</w:t>
            </w:r>
          </w:p>
        </w:tc>
      </w:tr>
      <w:tr>
        <w:trPr>
          <w:cantSplit/>
        </w:trPr>
        <w:tc>
          <w:tcPr/>
          <w:p>
            <w:pPr>
              <w:pStyle w:val="Tabla9"/>
              <w:jc w:val="left"/>
            </w:pPr>
            <w:r>
              <w:t xml:space="preserve">Monitores de referencia</w:t>
            </w:r>
          </w:p>
        </w:tc>
        <w:tc>
          <w:tcPr/>
          <w:p>
            <w:pPr>
              <w:pStyle w:val="Tabla9"/>
              <w:jc w:val="left"/>
            </w:pPr>
            <w:r>
              <w:t xml:space="preserve">3</w:t>
            </w:r>
          </w:p>
        </w:tc>
        <w:tc>
          <w:tcPr/>
          <w:p>
            <w:pPr>
              <w:pStyle w:val="Tabla9"/>
              <w:jc w:val="left"/>
            </w:pPr>
            <w:r>
              <w:t xml:space="preserve">3, uno por departamento</w:t>
            </w:r>
          </w:p>
        </w:tc>
        <w:tc>
          <w:tcPr/>
          <w:p>
            <w:pPr>
              <w:pStyle w:val="Tabla9"/>
              <w:jc w:val="left"/>
            </w:pPr>
            <w:r>
              <w:t xml:space="preserve">Colocalización en cada sitio</w:t>
            </w:r>
          </w:p>
        </w:tc>
        <w:tc>
          <w:tcPr/>
          <w:p>
            <w:pPr>
              <w:pStyle w:val="Tabla9"/>
              <w:jc w:val="left"/>
            </w:pPr>
            <w:r>
              <w:t xml:space="preserve">DECLARADO</w:t>
            </w:r>
          </w:p>
        </w:tc>
      </w:tr>
      <w:tr>
        <w:trPr>
          <w:cantSplit/>
        </w:trPr>
        <w:tc>
          <w:tcPr/>
          <w:p>
            <w:pPr>
              <w:pStyle w:val="Tabla9"/>
              <w:jc w:val="left"/>
            </w:pPr>
            <w:r>
              <w:t xml:space="preserve">Muestras gravimétricas</w:t>
            </w:r>
          </w:p>
        </w:tc>
        <w:tc>
          <w:tcPr/>
          <w:p>
            <w:pPr>
              <w:pStyle w:val="Tabla9"/>
              <w:jc w:val="left"/>
            </w:pPr>
            <w:r>
              <w:t xml:space="preserve">240</w:t>
            </w:r>
          </w:p>
        </w:tc>
        <w:tc>
          <w:tcPr/>
          <w:p>
            <w:pPr>
              <w:pStyle w:val="Tabla9"/>
              <w:jc w:val="left"/>
            </w:pPr>
            <w:r>
              <w:t xml:space="preserve">216 de aire y 24 de control</w:t>
            </w:r>
          </w:p>
        </w:tc>
        <w:tc>
          <w:tcPr/>
          <w:p>
            <w:pPr>
              <w:pStyle w:val="Tabla9"/>
              <w:jc w:val="left"/>
            </w:pPr>
            <w:r>
              <w:t xml:space="preserve">Estratificada por humedad y concentración</w:t>
            </w:r>
          </w:p>
        </w:tc>
        <w:tc>
          <w:tcPr/>
          <w:p>
            <w:pPr>
              <w:pStyle w:val="Tabla9"/>
              <w:jc w:val="left"/>
            </w:pPr>
            <w:r>
              <w:t xml:space="preserve">DECLARADO; PROPUESTO</w:t>
            </w:r>
          </w:p>
        </w:tc>
      </w:tr>
      <w:tr>
        <w:trPr>
          <w:cantSplit/>
        </w:trPr>
        <w:tc>
          <w:tcPr/>
          <w:p>
            <w:pPr>
              <w:pStyle w:val="Tabla9"/>
              <w:jc w:val="left"/>
            </w:pPr>
            <w:r>
              <w:t xml:space="preserve">Comités de gestión del riesgo</w:t>
            </w:r>
          </w:p>
        </w:tc>
        <w:tc>
          <w:tcPr/>
          <w:p>
            <w:pPr>
              <w:pStyle w:val="Tabla9"/>
              <w:jc w:val="left"/>
            </w:pPr>
            <w:r>
              <w:t xml:space="preserve">15: 12 municipales y 3 departamentales</w:t>
            </w:r>
          </w:p>
        </w:tc>
        <w:tc>
          <w:tcPr/>
          <w:p>
            <w:pPr>
              <w:pStyle w:val="Tabla9"/>
              <w:jc w:val="left"/>
            </w:pPr>
            <w:r>
              <w:t xml:space="preserve">15, en censo</w:t>
            </w:r>
          </w:p>
        </w:tc>
        <w:tc>
          <w:tcPr/>
          <w:p>
            <w:pPr>
              <w:pStyle w:val="Tabla9"/>
              <w:jc w:val="left"/>
            </w:pPr>
            <w:r>
              <w:t xml:space="preserve">Criterios de inclusión de la sección 6.4.2</w:t>
            </w:r>
          </w:p>
        </w:tc>
        <w:tc>
          <w:tcPr/>
          <w:p>
            <w:pPr>
              <w:pStyle w:val="Tabla9"/>
              <w:jc w:val="left"/>
            </w:pPr>
            <w:r>
              <w:t xml:space="preserve">SUPUESTO</w:t>
            </w:r>
          </w:p>
        </w:tc>
      </w:tr>
      <w:tr>
        <w:trPr>
          <w:cantSplit/>
        </w:trPr>
        <w:tc>
          <w:tcPr/>
          <w:p>
            <w:pPr>
              <w:pStyle w:val="Tabla9"/>
              <w:jc w:val="left"/>
            </w:pPr>
            <w:r>
              <w:t xml:space="preserve">Personal funcionario</w:t>
            </w:r>
          </w:p>
        </w:tc>
        <w:tc>
          <w:tcPr/>
          <w:p>
            <w:pPr>
              <w:pStyle w:val="Tabla9"/>
              <w:jc w:val="left"/>
            </w:pPr>
            <w:r>
              <w:t xml:space="preserve">150, con 10 por comité</w:t>
            </w:r>
          </w:p>
        </w:tc>
        <w:tc>
          <w:tcPr/>
          <w:p>
            <w:pPr>
              <w:pStyle w:val="Tabla9"/>
              <w:jc w:val="left"/>
            </w:pPr>
            <w:r>
              <w:t xml:space="preserve">150, en censo; respuesta esperada de 80 %</w:t>
            </w:r>
          </w:p>
        </w:tc>
        <w:tc>
          <w:tcPr/>
          <w:p>
            <w:pPr>
              <w:pStyle w:val="Tabla9"/>
              <w:jc w:val="left"/>
            </w:pPr>
            <w:r>
              <w:t xml:space="preserve">Designación del comité</w:t>
            </w:r>
          </w:p>
        </w:tc>
        <w:tc>
          <w:tcPr/>
          <w:p>
            <w:pPr>
              <w:pStyle w:val="Tabla9"/>
              <w:jc w:val="left"/>
            </w:pPr>
            <w:r>
              <w:t xml:space="preserve">SUPUESTO</w:t>
            </w:r>
          </w:p>
        </w:tc>
      </w:tr>
      <w:tr>
        <w:trPr>
          <w:cantSplit/>
        </w:trPr>
        <w:tc>
          <w:tcPr/>
          <w:p>
            <w:pPr>
              <w:pStyle w:val="Tabla9"/>
              <w:jc w:val="left"/>
            </w:pPr>
            <w:r>
              <w:t xml:space="preserve">Personal custodio</w:t>
            </w:r>
          </w:p>
        </w:tc>
        <w:tc>
          <w:tcPr/>
          <w:p>
            <w:pPr>
              <w:pStyle w:val="Tabla9"/>
              <w:jc w:val="left"/>
            </w:pPr>
            <w:r>
              <w:t xml:space="preserve">[DATO_USUARIO: personas designadas por los custodios]</w:t>
            </w:r>
          </w:p>
        </w:tc>
        <w:tc>
          <w:tcPr/>
          <w:p>
            <w:pPr>
              <w:pStyle w:val="Tabla9"/>
              <w:jc w:val="left"/>
            </w:pPr>
            <w:r>
              <w:t xml:space="preserve">Meta de 60 personas certificadas</w:t>
            </w:r>
          </w:p>
        </w:tc>
        <w:tc>
          <w:tcPr/>
          <w:p>
            <w:pPr>
              <w:pStyle w:val="Tabla9"/>
              <w:jc w:val="left"/>
            </w:pPr>
            <w:r>
              <w:t xml:space="preserve">Designación de los custodios</w:t>
            </w:r>
          </w:p>
        </w:tc>
        <w:tc>
          <w:tcPr/>
          <w:p>
            <w:pPr>
              <w:pStyle w:val="Tabla9"/>
              <w:jc w:val="left"/>
            </w:pPr>
            <w:r>
              <w:t xml:space="preserve">PROPUESTO</w:t>
            </w:r>
          </w:p>
        </w:tc>
      </w:tr>
      <w:tr>
        <w:trPr>
          <w:cantSplit/>
        </w:trPr>
        <w:tc>
          <w:tcPr/>
          <w:p>
            <w:pPr>
              <w:pStyle w:val="Tabla9"/>
              <w:jc w:val="left"/>
            </w:pPr>
            <w:r>
              <w:t xml:space="preserve">Personal operario de remoción</w:t>
            </w:r>
          </w:p>
        </w:tc>
        <w:tc>
          <w:tcPr/>
          <w:p>
            <w:pPr>
              <w:pStyle w:val="Tabla9"/>
              <w:jc w:val="left"/>
            </w:pPr>
            <w:r>
              <w:t xml:space="preserve">[DATO_USUARIO: número en sitios monitoreados]</w:t>
            </w:r>
          </w:p>
        </w:tc>
        <w:tc>
          <w:tcPr/>
          <w:p>
            <w:pPr>
              <w:pStyle w:val="Tabla9"/>
              <w:jc w:val="left"/>
            </w:pPr>
            <w:r>
              <w:t xml:space="preserve">Sin recolección de datos personales</w:t>
            </w:r>
          </w:p>
        </w:tc>
        <w:tc>
          <w:tcPr/>
          <w:p>
            <w:pPr>
              <w:pStyle w:val="Tabla9"/>
              <w:jc w:val="left"/>
            </w:pPr>
            <w:r>
              <w:t xml:space="preserve">Beneficiario de las alertas</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(secciones 4 y 5). Naturaleza indicada por fila; la lista de municipios y los totales del personal operario y custodio son datos que solo el usuario posee.</w:t>
      </w:r>
    </w:p>
    <w:p>
      <w:pPr>
        <w:pStyle w:val="BodyText"/>
      </w:pPr>
      <w:r>
        <w:t xml:space="preserve">La tabla muestra que el proyecto trabaja con censos en las unidades institucionales y con selección intencional en los sitios. Esa decisión responde al tamaño pequeño de las poblaciones y a la ausencia de un marco muestral de sitios de remoción de escombros. También delimita lo que el proyecto no recolecta. No recoge ningún dato personal de los operarios.</w:t>
      </w:r>
    </w:p>
    <w:bookmarkEnd w:id="473"/>
    <w:bookmarkStart w:id="474" w:name="_Toc00900189"/>
    <w:p>
      <w:pPr>
        <w:pStyle w:val="Heading3"/>
      </w:pPr>
      <w:r>
        <w:t xml:space="preserve">6.4.2 Criterios de inclusión y exclusión</w:t>
      </w:r>
    </w:p>
    <w:p>
      <w:pPr>
        <w:pStyle w:val="FirstParagraph"/>
      </w:pPr>
      <w:r>
        <w:t xml:space="preserve">Los criterios de inclusión y exclusión definen qué unidades entran en el estudio y por qué. El muestreo probabilístico permite generalizar a una población con marco conocido. Gertler et al. (2016) lo exigen para estimar impactos con asignación aleatoria. La población de sitios de remoción de escombros posterremoto carece de ese marco [DATO_USUARIO: inventario de sitios de remoción activos]. Su tamaño es desconocido. El muestreo intencional por contraste de contextos permite examinar mecanismos en entornos distintos (Pawson y Tilley, 1997). El proyecto aplica la segunda lógica, con criterios explícitos que se registran antes de la medición.</w:t>
      </w:r>
    </w:p>
    <w:p>
      <w:pPr>
        <w:pStyle w:val="BodyText"/>
      </w:pPr>
      <w:r>
        <w:t xml:space="preserve">Un sitio de colocalización se incluye si cumple seis condiciones. La primera es la remoción de escombros activa o programada. La segunda es el acceso vial en las ventanas secas. La tercera es una cobertura celular o satelital verificada en el estudio de cobertura. La cuarta es la viabilidad de la energía solar. La quinta es la autorización de la autoridad o de la persona propietaria. La sexta es la ausencia de amenaza inminente por deslizamiento (riesgo R-EXT-01). Se excluye si falla alguna condición. Los cuatro municipios de cada departamento se eligen entre los que presentan remoción de escombros. Se procura contrastar regímenes de humedad cuando existan (PROPUESTO).</w:t>
      </w:r>
    </w:p>
    <w:p>
      <w:pPr>
        <w:pStyle w:val="BodyText"/>
      </w:pPr>
      <w:r>
        <w:t xml:space="preserve">Un comité se incluye si cumple tres condiciones. Está constituido formalmente en el marco de la Ley 1523 de 2012 (Congreso de la República, 2012a). Sesiona al menos una vez por trimestre. Atiende un municipio o un departamento con sitio monitoreado. Se excluye si no acredita acto de constitución o si no registra sesiones en los 12 meses previos. Una persona funcionaria se incluye si el comité la designa, participa en decisiones o en apoyo técnico y firma el consentimiento informado. Se excluye si no firma o si carece de funciones en las decisiones del comité. El informe de sitios (hito H1) y el acta de selección de comités documentan cada decisión de inclusión.</w:t>
      </w:r>
    </w:p>
    <w:bookmarkEnd w:id="474"/>
    <w:bookmarkStart w:id="475" w:name="_Toc00900190"/>
    <w:p>
      <w:pPr>
        <w:pStyle w:val="Heading3"/>
      </w:pPr>
      <w:r>
        <w:t xml:space="preserve">6.4.3 Cálculo de la muestra</w:t>
      </w:r>
    </w:p>
    <w:p>
      <w:pPr>
        <w:pStyle w:val="FirstParagraph"/>
      </w:pPr>
      <w:r>
        <w:t xml:space="preserve">El cálculo de la muestra depende del propósito de cada medición. En la colocalización, el propósito es estimar métricas con una precisión conocida, no contrastar una hipótesis. Cada sitio aloja 10 nodos, el tamaño del grupo de un gateway. La sección 6.3.1 muestra que el número de pares nominales sobrestima la información independiente. Con una completitud de 75 % hay 60.480 pares, pero solo 112 días de referencia por sitio. En la gravimetría, las 240 muestras de la línea S01 son un dato de presupuesto. Su reparto por tramo se justifica por el uso. Las muestras anclan la referencia y verifican los nodos, pero no entrenan el modelo.</w:t>
      </w:r>
    </w:p>
    <w:p>
      <w:pPr>
        <w:pStyle w:val="BodyText"/>
      </w:pPr>
      <w:r>
        <w:t xml:space="preserve">En la encuesta, el cálculo usa una población finita de 150 personas. El cálculo usa p de 0,5, confianza de 95 % y corrección por población finita (CALCULADO). Con 120 respuestas, que equivalen a 80 %, el margen de error es de 4,0 %. Con 105 respuestas (70 %) es de 5,3 %. Con 90 respuestas (60 %) es de 6,6 %. Un censo elimina el error muestral, pero no el sesgo por no respuesta. Gertler et al. (2016) subrayan que los cálculos de potencia pertenecen a las evaluaciones de impacto con grupo de comparación. Este proyecto no estima impacto, de modo que no calcula potencia. Como los 150 cuestionarios se agrupan en 15 comités, los errores reales superan los márgenes citados y los resultados se reportan por comité.</w:t>
      </w:r>
    </w:p>
    <w:p>
      <w:pPr>
        <w:pStyle w:val="BodyText"/>
      </w:pPr>
      <w:r>
        <w:t xml:space="preserve">Para el indicador de uso, la población es de 15 comités y la muestra es el censo. La meta de 75 % equivale a 12 comités. El seguimiento de la respuesta es una obligación metodológica. Cada corte compara las personas que responden con las que no responden por comité y por departamento. Una diferencia sistemática se reporta como limitación de la lectura.</w:t>
      </w:r>
    </w:p>
    <w:bookmarkEnd w:id="475"/>
    <w:bookmarkEnd w:id="476"/>
    <w:bookmarkStart w:id="480" w:name="_Toc00900191"/>
    <w:p>
      <w:pPr>
        <w:pStyle w:val="Heading2"/>
      </w:pPr>
      <w:r>
        <w:t xml:space="preserve">6.5 Consideraciones éticas</w:t>
      </w:r>
    </w:p>
    <w:bookmarkStart w:id="477" w:name="_Toc00900192"/>
    <w:p>
      <w:pPr>
        <w:pStyle w:val="Heading3"/>
      </w:pPr>
      <w:r>
        <w:t xml:space="preserve">6.5.1 Comité de ética</w:t>
      </w:r>
    </w:p>
    <w:p>
      <w:pPr>
        <w:pStyle w:val="FirstParagraph"/>
      </w:pPr>
      <w:r>
        <w:t xml:space="preserve">El proyecto somete su protocolo a revisión ética antes de recolectar datos de personas. La revisión ética evalúa si los riesgos para las personas participantes son aceptables y si los beneficios justifican la intervención. El proyecto no recoge muestras biológicas ni datos de salud. Recoge mediciones ambientales y respuestas de personal funcionario, por lo que clasifica el riesgo como mínimo (PROPUESTO). Esa clasificación la confirma el comité de la entidad ejecutora [DATO_USUARIO: nombre del comité de ética de la entidad ejecutora y fecha del aval]. El aval se obtiene antes de que A3.1 comience, en la semana 12.</w:t>
      </w:r>
    </w:p>
    <w:p>
      <w:pPr>
        <w:pStyle w:val="BodyText"/>
      </w:pPr>
      <w:r>
        <w:t xml:space="preserve">Dos posiciones describen la función de la ética en proyectos con comunidades. La primera ve la revisión previa del protocolo como la garantía principal, porque fija reglas antes de actuar. La segunda ve la ética como un diálogo continuo con las personas afectadas (Freire, 2005; Callon, 1999). El proyecto combina ambas. El aval formal precede a la recolección, y los talleres de co-diseño con los comités funcionan como espacio de revisión continua. Los incidentes éticos se registran en la bitácora semanal y se tratan en la retrospectiva siguiente.</w:t>
      </w:r>
    </w:p>
    <w:p>
      <w:pPr>
        <w:pStyle w:val="BodyText"/>
      </w:pPr>
      <w:r>
        <w:t xml:space="preserve">Una obligación ética específica concierne a la comunicación de la incertidumbre. El tablero informa el error conocido de la medición y no presenta los valores corregidos como exactos. El protocolo de alerta apoya la decisión del comité y no la sustituye. Esa regla evita que una alerta automática reemplace el criterio de quienes conocen el territorio.</w:t>
      </w:r>
    </w:p>
    <w:bookmarkEnd w:id="477"/>
    <w:bookmarkStart w:id="478" w:name="_Toc00900193"/>
    <w:p>
      <w:pPr>
        <w:pStyle w:val="Heading3"/>
      </w:pPr>
      <w:r>
        <w:t xml:space="preserve">6.5.2 Consentimiento informado</w:t>
      </w:r>
    </w:p>
    <w:p>
      <w:pPr>
        <w:pStyle w:val="FirstParagraph"/>
      </w:pPr>
      <w:r>
        <w:t xml:space="preserve">El consentimiento informado es la autorización libre y previa de una persona para participar. Requiere conocimiento del propósito y de los riesgos. El proyecto lo solicita para la encuesta, las entrevistas, la grabación de sesiones y la participación en talleres y jornadas. El formulario indica el propósito, los datos que se recogen, el uso previsto, el carácter voluntario y el derecho a retirarse sin consecuencia alguna. Se firma por escrito o se registra en audio con el nombre de quien consiente. Los talleres de co-diseño y las jornadas (29 actividades en total) registran el consentimiento en la lista de asistencia.</w:t>
      </w:r>
    </w:p>
    <w:p>
      <w:pPr>
        <w:pStyle w:val="BodyText"/>
      </w:pPr>
      <w:r>
        <w:t xml:space="preserve">El consentimiento puede ser individual o institucional. El consentimiento individual protege la opinión personal. El consentimiento institucional autoriza el uso de documentos del comité, como las actas. El proyecto exige ambos. El comité o su secretaría técnica autoriza la revisión de sus actas. Cada persona consiente su cuestionario o su entrevista. La instalación de nodos en predios privados o públicos requiere además un acta de autorización de la persona propietaria o de la autoridad. Quien retira su consentimiento sale del análisis, y sus datos se eliminan salvo los agregados ya publicados.</w:t>
      </w:r>
    </w:p>
    <w:bookmarkEnd w:id="478"/>
    <w:bookmarkStart w:id="479" w:name="_Toc00900194"/>
    <w:p>
      <w:pPr>
        <w:pStyle w:val="Heading3"/>
      </w:pPr>
      <w:r>
        <w:t xml:space="preserve">6.5.3 Manejo de datos personales</w:t>
      </w:r>
    </w:p>
    <w:p>
      <w:pPr>
        <w:pStyle w:val="FirstParagraph"/>
      </w:pPr>
      <w:r>
        <w:t xml:space="preserve">El tratamiento de datos personales se rige por la Ley 1581 de 2012 (Congreso de la República, 2012b), que establece las disposiciones generales para su protección. El proyecto recoge nombres, cargos, datos de contacto, respuestas de cuestionarios, grabaciones de audio y registros fotográficos. Aplica cinco medidas. La primera es la minimización: no recoge documentos de identidad. La segunda es la seudonimización con códigos por comité y por persona, con la llave guardada aparte. La tercera es el control de acceso por rol. La cuarta es el cifrado en almacenamiento y en tránsito. La quinta es la conservación durante la ejecución y los 12 meses de seguimiento posproyecto, con eliminación posterior (PROPUESTO). El responsable del tratamiento es [DATO_USUARIO: entidad responsable del tratamiento de datos personales].</w:t>
      </w:r>
    </w:p>
    <w:p>
      <w:pPr>
        <w:pStyle w:val="BodyText"/>
      </w:pPr>
      <w:r>
        <w:t xml:space="preserve">La apertura de datos genera una tensión con esa protección. La ciencia posnormal supone una comunidad ampliada de pares que revisa la evidencia (Funtowicz y Ravetz, 1993), lo que favorece publicar los datos. La Ley 1581 exige proteger a las personas titulares y limitar el tratamiento a la finalidad autorizada (Congreso de la República, 2012b). El proyecto resuelve la tensión por tipo de dato. Los datos ambientales de los nodos se abren con la cláusula de apertura del hito H8. Sus coordenadas se publican al nivel del sitio y no del predio. Los datos de personas permanecen restringidos, y solo se publican resultados agregados por comité. La auditoría externa de ciberseguridad contratada para la plataforma verifica la protección de ambos tipos de dato.</w:t>
      </w:r>
    </w:p>
    <w:bookmarkEnd w:id="479"/>
    <w:bookmarkEnd w:id="480"/>
    <w:bookmarkStart w:id="492" w:name="_Toc00900195"/>
    <w:p>
      <w:pPr>
        <w:pStyle w:val="Heading2"/>
      </w:pPr>
      <w:r>
        <w:t xml:space="preserve">6.6 Mecanismos de captura de aprendizajes</w:t>
      </w:r>
    </w:p>
    <w:p>
      <w:pPr>
        <w:pStyle w:val="FirstParagraph"/>
      </w:pPr>
      <w:r>
        <w:t xml:space="preserve">El proyecto captura aprendizajes con cuatro mecanismos que operan durante las 104 semanas de ejecución. Son una bitácora semanal, una retrospectiva quincenal, un espacio de exploración libre y una sesión mensual de serendipia estructurada. Argyris y Schön (1978) distinguen dos tipos de aprendizaje. El de bucle simple corrige una acción sin cuestionar el supuesto que la origina. El de bucle doble cuestiona ese supuesto. La bitácora y la retrospectiva corrigen acciones. La exploración y la serendipia cuestionan supuestos. Patton (2011) sostiene que la evaluación del desarrollo, que acompaña a una innovación en tiempo real, requiere ese tipo de registro continuo.</w:t>
      </w:r>
    </w:p>
    <w:p>
      <w:pPr>
        <w:pStyle w:val="BodyText"/>
      </w:pPr>
      <w:r>
        <w:t xml:space="preserve">La Tabla 6.9 fija la frecuencia, la duración, los participantes y el producto de cada sesión. Reúne 104 cierres de bitácora, 52 retrospectivas y 24 sesiones de serendipia. Incluye ocho sesiones con comités y tres revisiones previas a compuerta. La Figura 6.3 muestra cómo fluyen los aprendizajes hasta la decisión.</w:t>
      </w:r>
    </w:p>
    <w:p>
      <w:pPr>
        <w:pStyle w:val="TablaRotulo"/>
      </w:pPr>
      <w:bookmarkStart w:id="9296" w:name="rot_Tabla_6_9"/>
      <w:r>
        <w:rPr>
          <w:b/>
          <w:bCs/>
        </w:rPr>
        <w:t xml:space="preserve">Tabla 6.9</w:t>
      </w:r>
      <w:bookmarkEnd w:id="9296"/>
    </w:p>
    <w:p>
      <w:pPr>
        <w:pStyle w:val="TablaTitulo"/>
      </w:pPr>
      <w:r>
        <w:rPr>
          <w:i/>
          <w:iCs/>
        </w:rPr>
        <w:t xml:space="preserve">Calendario de sesiones de aprendizaje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18"/>
        <w:gridCol w:w="1254"/>
        <w:gridCol w:w="1056"/>
        <w:gridCol w:w="1518"/>
        <w:gridCol w:w="1518"/>
        <w:gridCol w:w="1056"/>
      </w:tblGrid>
      <w:tr>
        <w:trPr>
          <w:cantSplit/>
          <w:tblHeader/>
        </w:trPr>
        <w:tc>
          <w:tcPr>
            <w:shd w:val="clear" w:color="auto" w:fill="00B050"/>
          </w:tcPr>
          <w:p>
            <w:pPr>
              <w:pStyle w:val="Tabla9"/>
              <w:jc w:val="center"/>
            </w:pPr>
            <w:r>
              <w:rPr>
                <w:b/>
                <w:color w:val="FFFFFF"/>
              </w:rPr>
              <w:t xml:space="preserve">Sesión</w:t>
            </w:r>
          </w:p>
        </w:tc>
        <w:tc>
          <w:tcPr>
            <w:shd w:val="clear" w:color="auto" w:fill="00B050"/>
          </w:tcPr>
          <w:p>
            <w:pPr>
              <w:pStyle w:val="Tabla9"/>
              <w:jc w:val="center"/>
            </w:pPr>
            <w:r>
              <w:rPr>
                <w:b/>
                <w:color w:val="FFFFFF"/>
              </w:rPr>
              <w:t xml:space="preserve">Frecuencia</w:t>
            </w:r>
          </w:p>
        </w:tc>
        <w:tc>
          <w:tcPr>
            <w:shd w:val="clear" w:color="auto" w:fill="00B050"/>
          </w:tcPr>
          <w:p>
            <w:pPr>
              <w:pStyle w:val="Tabla9"/>
              <w:jc w:val="center"/>
            </w:pPr>
            <w:r>
              <w:rPr>
                <w:b/>
                <w:color w:val="FFFFFF"/>
              </w:rPr>
              <w:t xml:space="preserve">Duración</w:t>
            </w:r>
          </w:p>
        </w:tc>
        <w:tc>
          <w:tcPr>
            <w:shd w:val="clear" w:color="auto" w:fill="00B050"/>
          </w:tcPr>
          <w:p>
            <w:pPr>
              <w:pStyle w:val="Tabla9"/>
              <w:jc w:val="center"/>
            </w:pPr>
            <w:r>
              <w:rPr>
                <w:b/>
                <w:color w:val="FFFFFF"/>
              </w:rPr>
              <w:t xml:space="preserve">Participantes</w:t>
            </w:r>
          </w:p>
        </w:tc>
        <w:tc>
          <w:tcPr>
            <w:shd w:val="clear" w:color="auto" w:fill="00B050"/>
          </w:tcPr>
          <w:p>
            <w:pPr>
              <w:pStyle w:val="Tabla9"/>
              <w:jc w:val="center"/>
            </w:pPr>
            <w:r>
              <w:rPr>
                <w:b/>
                <w:color w:val="FFFFFF"/>
              </w:rPr>
              <w:t xml:space="preserve">Producto</w:t>
            </w:r>
          </w:p>
        </w:tc>
        <w:tc>
          <w:tcPr>
            <w:shd w:val="clear" w:color="auto" w:fill="00B050"/>
          </w:tcPr>
          <w:p>
            <w:pPr>
              <w:pStyle w:val="Tabla9"/>
              <w:jc w:val="center"/>
            </w:pPr>
            <w:r>
              <w:rPr>
                <w:b/>
                <w:color w:val="FFFFFF"/>
              </w:rPr>
              <w:t xml:space="preserve">Sesiones en 104 semanas</w:t>
            </w:r>
          </w:p>
        </w:tc>
      </w:tr>
      <w:tr>
        <w:trPr>
          <w:cantSplit/>
        </w:trPr>
        <w:tc>
          <w:tcPr/>
          <w:p>
            <w:pPr>
              <w:pStyle w:val="Tabla9"/>
              <w:jc w:val="left"/>
            </w:pPr>
            <w:r>
              <w:t xml:space="preserve">Cierre de bitácora</w:t>
            </w:r>
          </w:p>
        </w:tc>
        <w:tc>
          <w:tcPr/>
          <w:p>
            <w:pPr>
              <w:pStyle w:val="Tabla9"/>
              <w:jc w:val="left"/>
            </w:pPr>
            <w:r>
              <w:t xml:space="preserve">Semanal</w:t>
            </w:r>
          </w:p>
        </w:tc>
        <w:tc>
          <w:tcPr/>
          <w:p>
            <w:pPr>
              <w:pStyle w:val="Tabla9"/>
              <w:jc w:val="left"/>
            </w:pPr>
            <w:r>
              <w:t xml:space="preserve">30 minutos</w:t>
            </w:r>
          </w:p>
        </w:tc>
        <w:tc>
          <w:tcPr/>
          <w:p>
            <w:pPr>
              <w:pStyle w:val="Tabla9"/>
              <w:jc w:val="left"/>
            </w:pPr>
            <w:r>
              <w:t xml:space="preserve">Cada equipo de paquete de trabajo</w:t>
            </w:r>
          </w:p>
        </w:tc>
        <w:tc>
          <w:tcPr/>
          <w:p>
            <w:pPr>
              <w:pStyle w:val="Tabla9"/>
              <w:jc w:val="left"/>
            </w:pPr>
            <w:r>
              <w:t xml:space="preserve">Entradas de la plantilla</w:t>
            </w:r>
          </w:p>
        </w:tc>
        <w:tc>
          <w:tcPr/>
          <w:p>
            <w:pPr>
              <w:pStyle w:val="Tabla9"/>
              <w:jc w:val="left"/>
            </w:pPr>
            <w:r>
              <w:t xml:space="preserve">104</w:t>
            </w:r>
          </w:p>
        </w:tc>
      </w:tr>
      <w:tr>
        <w:trPr>
          <w:cantSplit/>
        </w:trPr>
        <w:tc>
          <w:tcPr/>
          <w:p>
            <w:pPr>
              <w:pStyle w:val="Tabla9"/>
              <w:jc w:val="left"/>
            </w:pPr>
            <w:r>
              <w:t xml:space="preserve">Retrospectiva</w:t>
            </w:r>
          </w:p>
        </w:tc>
        <w:tc>
          <w:tcPr/>
          <w:p>
            <w:pPr>
              <w:pStyle w:val="Tabla9"/>
              <w:jc w:val="left"/>
            </w:pPr>
            <w:r>
              <w:t xml:space="preserve">Quincenal</w:t>
            </w:r>
          </w:p>
        </w:tc>
        <w:tc>
          <w:tcPr/>
          <w:p>
            <w:pPr>
              <w:pStyle w:val="Tabla9"/>
              <w:jc w:val="left"/>
            </w:pPr>
            <w:r>
              <w:t xml:space="preserve">90 minutos</w:t>
            </w:r>
          </w:p>
        </w:tc>
        <w:tc>
          <w:tcPr/>
          <w:p>
            <w:pPr>
              <w:pStyle w:val="Tabla9"/>
              <w:jc w:val="left"/>
            </w:pPr>
            <w:r>
              <w:t xml:space="preserve">Equipo técnico y de apropiación social</w:t>
            </w:r>
          </w:p>
        </w:tc>
        <w:tc>
          <w:tcPr/>
          <w:p>
            <w:pPr>
              <w:pStyle w:val="Tabla9"/>
              <w:jc w:val="left"/>
            </w:pPr>
            <w:r>
              <w:t xml:space="preserve">Hasta tres decisiones con responsable</w:t>
            </w:r>
          </w:p>
        </w:tc>
        <w:tc>
          <w:tcPr/>
          <w:p>
            <w:pPr>
              <w:pStyle w:val="Tabla9"/>
              <w:jc w:val="left"/>
            </w:pPr>
            <w:r>
              <w:t xml:space="preserve">52</w:t>
            </w:r>
          </w:p>
        </w:tc>
      </w:tr>
      <w:tr>
        <w:trPr>
          <w:cantSplit/>
        </w:trPr>
        <w:tc>
          <w:tcPr/>
          <w:p>
            <w:pPr>
              <w:pStyle w:val="Tabla9"/>
              <w:jc w:val="left"/>
            </w:pPr>
            <w:r>
              <w:t xml:space="preserve">Espacio de exploración</w:t>
            </w:r>
          </w:p>
        </w:tc>
        <w:tc>
          <w:tcPr/>
          <w:p>
            <w:pPr>
              <w:pStyle w:val="Tabla9"/>
              <w:jc w:val="left"/>
            </w:pPr>
            <w:r>
              <w:t xml:space="preserve">Un día por semana por persona</w:t>
            </w:r>
          </w:p>
        </w:tc>
        <w:tc>
          <w:tcPr/>
          <w:p>
            <w:pPr>
              <w:pStyle w:val="Tabla9"/>
              <w:jc w:val="left"/>
            </w:pPr>
            <w:r>
              <w:t xml:space="preserve">20 % del tiempo</w:t>
            </w:r>
          </w:p>
        </w:tc>
        <w:tc>
          <w:tcPr/>
          <w:p>
            <w:pPr>
              <w:pStyle w:val="Tabla9"/>
              <w:jc w:val="left"/>
            </w:pPr>
            <w:r>
              <w:t xml:space="preserve">Personal profesional de WP1 y WP2</w:t>
            </w:r>
          </w:p>
        </w:tc>
        <w:tc>
          <w:tcPr/>
          <w:p>
            <w:pPr>
              <w:pStyle w:val="Tabla9"/>
              <w:jc w:val="left"/>
            </w:pPr>
            <w:r>
              <w:t xml:space="preserve">Pregunta, resultado y entrada de bitácora</w:t>
            </w:r>
          </w:p>
        </w:tc>
        <w:tc>
          <w:tcPr/>
          <w:p>
            <w:pPr>
              <w:pStyle w:val="Tabla9"/>
              <w:jc w:val="left"/>
            </w:pPr>
            <w:r>
              <w:t xml:space="preserve">104 semanas</w:t>
            </w:r>
          </w:p>
        </w:tc>
      </w:tr>
      <w:tr>
        <w:trPr>
          <w:cantSplit/>
        </w:trPr>
        <w:tc>
          <w:tcPr/>
          <w:p>
            <w:pPr>
              <w:pStyle w:val="Tabla9"/>
              <w:jc w:val="left"/>
            </w:pPr>
            <w:r>
              <w:t xml:space="preserve">Serendipia estructurada</w:t>
            </w:r>
          </w:p>
        </w:tc>
        <w:tc>
          <w:tcPr/>
          <w:p>
            <w:pPr>
              <w:pStyle w:val="Tabla9"/>
              <w:jc w:val="left"/>
            </w:pPr>
            <w:r>
              <w:t xml:space="preserve">Mensual</w:t>
            </w:r>
          </w:p>
        </w:tc>
        <w:tc>
          <w:tcPr/>
          <w:p>
            <w:pPr>
              <w:pStyle w:val="Tabla9"/>
              <w:jc w:val="left"/>
            </w:pPr>
            <w:r>
              <w:t xml:space="preserve">120 minutos</w:t>
            </w:r>
          </w:p>
        </w:tc>
        <w:tc>
          <w:tcPr/>
          <w:p>
            <w:pPr>
              <w:pStyle w:val="Tabla9"/>
              <w:jc w:val="left"/>
            </w:pPr>
            <w:r>
              <w:t xml:space="preserve">Parejas de WP1 con WP3</w:t>
            </w:r>
          </w:p>
        </w:tc>
        <w:tc>
          <w:tcPr/>
          <w:p>
            <w:pPr>
              <w:pStyle w:val="Tabla9"/>
              <w:jc w:val="left"/>
            </w:pPr>
            <w:r>
              <w:t xml:space="preserve">Clasificación de hallazgos inesperados</w:t>
            </w:r>
          </w:p>
        </w:tc>
        <w:tc>
          <w:tcPr/>
          <w:p>
            <w:pPr>
              <w:pStyle w:val="Tabla9"/>
              <w:jc w:val="left"/>
            </w:pPr>
            <w:r>
              <w:t xml:space="preserve">24</w:t>
            </w:r>
          </w:p>
        </w:tc>
      </w:tr>
      <w:tr>
        <w:trPr>
          <w:cantSplit/>
        </w:trPr>
        <w:tc>
          <w:tcPr/>
          <w:p>
            <w:pPr>
              <w:pStyle w:val="Tabla9"/>
              <w:jc w:val="left"/>
            </w:pPr>
            <w:r>
              <w:t xml:space="preserve">Revisión previa a compuerta</w:t>
            </w:r>
          </w:p>
        </w:tc>
        <w:tc>
          <w:tcPr/>
          <w:p>
            <w:pPr>
              <w:pStyle w:val="Tabla9"/>
              <w:jc w:val="left"/>
            </w:pPr>
            <w:r>
              <w:t xml:space="preserve">Semanas 44 a 48, 64 a 68 y 94 a 98</w:t>
            </w:r>
          </w:p>
        </w:tc>
        <w:tc>
          <w:tcPr/>
          <w:p>
            <w:pPr>
              <w:pStyle w:val="Tabla9"/>
              <w:jc w:val="left"/>
            </w:pPr>
            <w:r>
              <w:t xml:space="preserve">1 jornada</w:t>
            </w:r>
          </w:p>
        </w:tc>
        <w:tc>
          <w:tcPr/>
          <w:p>
            <w:pPr>
              <w:pStyle w:val="Tabla9"/>
              <w:jc w:val="left"/>
            </w:pPr>
            <w:r>
              <w:t xml:space="preserve">Gerencia y jefaturas de WP</w:t>
            </w:r>
          </w:p>
        </w:tc>
        <w:tc>
          <w:tcPr/>
          <w:p>
            <w:pPr>
              <w:pStyle w:val="Tabla9"/>
              <w:jc w:val="left"/>
            </w:pPr>
            <w:r>
              <w:t xml:space="preserve">Lectura de criterios y ejercicio de premortem</w:t>
            </w:r>
          </w:p>
        </w:tc>
        <w:tc>
          <w:tcPr/>
          <w:p>
            <w:pPr>
              <w:pStyle w:val="Tabla9"/>
              <w:jc w:val="left"/>
            </w:pPr>
            <w:r>
              <w:t xml:space="preserve">3</w:t>
            </w:r>
          </w:p>
        </w:tc>
      </w:tr>
      <w:tr>
        <w:trPr>
          <w:cantSplit/>
        </w:trPr>
        <w:tc>
          <w:tcPr/>
          <w:p>
            <w:pPr>
              <w:pStyle w:val="Tabla9"/>
              <w:jc w:val="left"/>
            </w:pPr>
            <w:r>
              <w:t xml:space="preserve">Sesión con comités</w:t>
            </w:r>
          </w:p>
        </w:tc>
        <w:tc>
          <w:tcPr/>
          <w:p>
            <w:pPr>
              <w:pStyle w:val="Tabla9"/>
              <w:jc w:val="left"/>
            </w:pPr>
            <w:r>
              <w:t xml:space="preserve">Trimestral</w:t>
            </w:r>
          </w:p>
        </w:tc>
        <w:tc>
          <w:tcPr/>
          <w:p>
            <w:pPr>
              <w:pStyle w:val="Tabla9"/>
              <w:jc w:val="left"/>
            </w:pPr>
            <w:r>
              <w:t xml:space="preserve">120 minutos</w:t>
            </w:r>
          </w:p>
        </w:tc>
        <w:tc>
          <w:tcPr/>
          <w:p>
            <w:pPr>
              <w:pStyle w:val="Tabla9"/>
              <w:jc w:val="left"/>
            </w:pPr>
            <w:r>
              <w:t xml:space="preserve">Comités focalizados</w:t>
            </w:r>
          </w:p>
        </w:tc>
        <w:tc>
          <w:tcPr/>
          <w:p>
            <w:pPr>
              <w:pStyle w:val="Tabla9"/>
              <w:jc w:val="left"/>
            </w:pPr>
            <w:r>
              <w:t xml:space="preserve">Lectura conjunta del uso del tablero</w:t>
            </w:r>
          </w:p>
        </w:tc>
        <w:tc>
          <w:tcPr/>
          <w:p>
            <w:pPr>
              <w:pStyle w:val="Tabla9"/>
              <w:jc w:val="left"/>
            </w:pPr>
            <w:r>
              <w:t xml:space="preserve">8</w:t>
            </w:r>
          </w:p>
        </w:tc>
      </w:tr>
    </w:tbl>
    <w:p>
      <w:pPr>
        <w:pStyle w:val="TablaNota"/>
      </w:pPr>
      <w:r>
        <w:rPr>
          <w:i/>
          <w:iCs/>
        </w:rPr>
        <w:t xml:space="preserve">Nota.</w:t>
      </w:r>
      <w:r>
        <w:t xml:space="preserve"> </w:t>
      </w:r>
      <w:r>
        <w:t xml:space="preserve">Elaboración propia con la duración de 104 semanas de la ficha maestra (sección 6). Duraciones, participantes y productos: PROPUESTO. Los números resultan de dividir 104 semanas por la frecuencia, de 24 meses y de 8 trimestres.</w:t>
      </w:r>
    </w:p>
    <w:p>
      <w:pPr>
        <w:pStyle w:val="BodyText"/>
      </w:pPr>
      <w:r>
        <w:t xml:space="preserve">El calendario no agrega actividades a la ruta crítica, porque las sesiones son breves y se programan dentro de la jornada. La carga mayor es el espacio de exploración. La sección 6.6.3 la cuantifica. La frecuencia semanal se justifica por la naturaleza de la información. Los hallazgos de campo pierden detalle si se registran semanas después.</w:t>
      </w:r>
    </w:p>
    <w:p>
      <w:pPr>
        <w:pStyle w:val="FiguraRotulo"/>
      </w:pPr>
      <w:bookmarkStart w:id="9517" w:name="rot_Figura_6_3"/>
      <w:r>
        <w:rPr>
          <w:b/>
          <w:bCs/>
        </w:rPr>
        <w:t xml:space="preserve">Figura 6.3</w:t>
      </w:r>
      <w:bookmarkEnd w:id="9517"/>
    </w:p>
    <w:p>
      <w:pPr>
        <w:pStyle w:val="FiguraTitulo"/>
      </w:pPr>
      <w:r>
        <w:rPr>
          <w:i/>
          <w:iCs/>
        </w:rPr>
        <w:t xml:space="preserve">Flujo de captura de aprendizajes</w:t>
      </w:r>
    </w:p>
    <w:p>
      <w:pPr>
        <w:pStyle w:val="BodyText"/>
      </w:pPr>
      <w:r>
        <w:drawing>
          <wp:inline>
            <wp:extent cx="5579999" cy="3918821"/>
            <wp:effectExtent b="0" l="0" r="0" t="0"/>
            <wp:docPr descr="" title="" id="482" name="Picture"/>
            <a:graphic>
              <a:graphicData uri="http://schemas.openxmlformats.org/drawingml/2006/picture">
                <pic:pic>
                  <pic:nvPicPr>
                    <pic:cNvPr descr="/tmp/claude-0/-home-user-docs/ddf38714-2a7e-502b-92b4-1008e2832422/scratchpad/proy/figs/out/c6_f03.png" id="483" name="Picture"/>
                    <pic:cNvPicPr>
                      <a:picLocks noChangeArrowheads="1" noChangeAspect="1"/>
                    </pic:cNvPicPr>
                  </pic:nvPicPr>
                  <pic:blipFill>
                    <a:blip r:embed="rId481"/>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calendario de sesiones del capítulo y datos de la ficha maestra (104 semanas; compuertas C1 y C2). Cifras de sesiones: CALCULADO; fechas de revisión previa: PROPUESTO. Software: Python 3 y matplotlib; script c6_figs.py, sin semilla aleatoria.</w:t>
      </w:r>
    </w:p>
    <w:p>
      <w:pPr>
        <w:pStyle w:val="BodyText"/>
      </w:pPr>
      <w:r>
        <w:t xml:space="preserve">El flujo cierra el ciclo en la compuerta. Lo que no llega a la bitácora no llega a la decisión. Esa regla obliga a registrar incluso los hallazgos que contradicen el plan.</w:t>
      </w:r>
    </w:p>
    <w:bookmarkStart w:id="484" w:name="_Toc00900196"/>
    <w:p>
      <w:pPr>
        <w:pStyle w:val="Heading3"/>
      </w:pPr>
      <w:r>
        <w:t xml:space="preserve">6.6.1 Bitácora de aprendizajes emergentes</w:t>
      </w:r>
    </w:p>
    <w:p>
      <w:pPr>
        <w:pStyle w:val="FirstParagraph"/>
      </w:pPr>
      <w:r>
        <w:t xml:space="preserve">La bitácora de aprendizajes emergentes es un registro semanal y estructurado de observaciones, anomalías, hipótesis y decisiones de cada equipo. Argyris y Schön (1978) sostienen que una organización aprende cuando convierte la experiencia individual en memoria compartida. Sin ese registro, el conocimiento tácito de quien instala o repara un nodo se pierde. La pérdida ocurre cuando esa persona cambia de tarea. Patton (2011) recomienda recoger datos de desarrollo en tiempo real para adaptar la intervención. La bitácora aplica esa idea a las 17 actividades de la red.</w:t>
      </w:r>
    </w:p>
    <w:p>
      <w:pPr>
        <w:pStyle w:val="BodyText"/>
      </w:pPr>
      <w:r>
        <w:t xml:space="preserve">Dos posiciones discuten el grado de formalización. La primera defiende plantillas estrictas, porque aseguran que todas las observaciones sean comparables. La segunda advierte que la formalización excesiva reduce la reflexión, porque las personas llenan campos sin cuestionar el marco desde el cual observan (Schön y Rein, 1994). El proyecto adopta una plantilla breve de 10 campos. Cada entrada declara la naturaleza del dato, por ejemplo DOCUMENTADO o INFERIDO, y su implicación para una decisión. La Tabla 6.10 presenta la plantilla con ejemplos ILUSTRATIVOS.</w:t>
      </w:r>
    </w:p>
    <w:p>
      <w:pPr>
        <w:pStyle w:val="TablaRotulo"/>
      </w:pPr>
      <w:bookmarkStart w:id="9297" w:name="rot_Tabla_6_10"/>
      <w:r>
        <w:rPr>
          <w:b/>
          <w:bCs/>
        </w:rPr>
        <w:t xml:space="preserve">Tabla 6.10</w:t>
      </w:r>
      <w:bookmarkEnd w:id="9297"/>
    </w:p>
    <w:p>
      <w:pPr>
        <w:pStyle w:val="TablaTitulo"/>
      </w:pPr>
      <w:r>
        <w:rPr>
          <w:i/>
          <w:iCs/>
        </w:rPr>
        <w:t xml:space="preserve">Plantilla de bitácora de aprendizajes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3036"/>
        <w:gridCol w:w="2838"/>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Instrucción de diligenciamiento</w:t>
            </w:r>
          </w:p>
        </w:tc>
        <w:tc>
          <w:tcPr>
            <w:shd w:val="clear" w:color="auto" w:fill="00B050"/>
          </w:tcPr>
          <w:p>
            <w:pPr>
              <w:pStyle w:val="Tabla9"/>
              <w:jc w:val="center"/>
            </w:pPr>
            <w:r>
              <w:rPr>
                <w:b/>
                <w:color w:val="FFFFFF"/>
              </w:rPr>
              <w:t xml:space="preserve">Ejemplo ILUSTRATIVO</w:t>
            </w:r>
          </w:p>
        </w:tc>
      </w:tr>
      <w:tr>
        <w:trPr>
          <w:cantSplit/>
        </w:trPr>
        <w:tc>
          <w:tcPr/>
          <w:p>
            <w:pPr>
              <w:pStyle w:val="Tabla9"/>
              <w:jc w:val="left"/>
            </w:pPr>
            <w:r>
              <w:t xml:space="preserve">1. Semana y fecha</w:t>
            </w:r>
          </w:p>
        </w:tc>
        <w:tc>
          <w:tcPr/>
          <w:p>
            <w:pPr>
              <w:pStyle w:val="Tabla9"/>
              <w:jc w:val="left"/>
            </w:pPr>
            <w:r>
              <w:t xml:space="preserve">Número de semana de ejecución (0 a 104) y fecha</w:t>
            </w:r>
          </w:p>
        </w:tc>
        <w:tc>
          <w:tcPr/>
          <w:p>
            <w:pPr>
              <w:pStyle w:val="Tabla9"/>
              <w:jc w:val="left"/>
            </w:pPr>
            <w:r>
              <w:t xml:space="preserve">Semana 31, con fecha</w:t>
            </w:r>
          </w:p>
        </w:tc>
      </w:tr>
      <w:tr>
        <w:trPr>
          <w:cantSplit/>
        </w:trPr>
        <w:tc>
          <w:tcPr/>
          <w:p>
            <w:pPr>
              <w:pStyle w:val="Tabla9"/>
              <w:jc w:val="left"/>
            </w:pPr>
            <w:r>
              <w:t xml:space="preserve">2. Autoría y paquete de trabajo</w:t>
            </w:r>
          </w:p>
        </w:tc>
        <w:tc>
          <w:tcPr/>
          <w:p>
            <w:pPr>
              <w:pStyle w:val="Tabla9"/>
              <w:jc w:val="left"/>
            </w:pPr>
            <w:r>
              <w:t xml:space="preserve">Persona que registra y WP (WP0 a WP3)</w:t>
            </w:r>
          </w:p>
        </w:tc>
        <w:tc>
          <w:tcPr/>
          <w:p>
            <w:pPr>
              <w:pStyle w:val="Tabla9"/>
              <w:jc w:val="left"/>
            </w:pPr>
            <w:r>
              <w:t xml:space="preserve">WP1; especialista en metrología</w:t>
            </w:r>
          </w:p>
        </w:tc>
      </w:tr>
      <w:tr>
        <w:trPr>
          <w:cantSplit/>
        </w:trPr>
        <w:tc>
          <w:tcPr/>
          <w:p>
            <w:pPr>
              <w:pStyle w:val="Tabla9"/>
              <w:jc w:val="left"/>
            </w:pPr>
            <w:r>
              <w:t xml:space="preserve">3. Evento u observación</w:t>
            </w:r>
          </w:p>
        </w:tc>
        <w:tc>
          <w:tcPr/>
          <w:p>
            <w:pPr>
              <w:pStyle w:val="Tabla9"/>
              <w:jc w:val="left"/>
            </w:pPr>
            <w:r>
              <w:t xml:space="preserve">Descripción factual en una o dos oraciones</w:t>
            </w:r>
          </w:p>
        </w:tc>
        <w:tc>
          <w:tcPr/>
          <w:p>
            <w:pPr>
              <w:pStyle w:val="Tabla9"/>
              <w:jc w:val="left"/>
            </w:pPr>
            <w:r>
              <w:t xml:space="preserve">Un nodo reporta PM2,5 constante durante 9 horas</w:t>
            </w:r>
          </w:p>
        </w:tc>
      </w:tr>
      <w:tr>
        <w:trPr>
          <w:cantSplit/>
        </w:trPr>
        <w:tc>
          <w:tcPr/>
          <w:p>
            <w:pPr>
              <w:pStyle w:val="Tabla9"/>
              <w:jc w:val="left"/>
            </w:pPr>
            <w:r>
              <w:t xml:space="preserve">4. Tipo</w:t>
            </w:r>
          </w:p>
        </w:tc>
        <w:tc>
          <w:tcPr/>
          <w:p>
            <w:pPr>
              <w:pStyle w:val="Tabla9"/>
              <w:jc w:val="left"/>
            </w:pPr>
            <w:r>
              <w:t xml:space="preserve">Técnico, de datos, institucional, de proceso o inesperado</w:t>
            </w:r>
          </w:p>
        </w:tc>
        <w:tc>
          <w:tcPr/>
          <w:p>
            <w:pPr>
              <w:pStyle w:val="Tabla9"/>
              <w:jc w:val="left"/>
            </w:pPr>
            <w:r>
              <w:t xml:space="preserve">De datos</w:t>
            </w:r>
          </w:p>
        </w:tc>
      </w:tr>
      <w:tr>
        <w:trPr>
          <w:cantSplit/>
        </w:trPr>
        <w:tc>
          <w:tcPr/>
          <w:p>
            <w:pPr>
              <w:pStyle w:val="Tabla9"/>
              <w:jc w:val="left"/>
            </w:pPr>
            <w:r>
              <w:t xml:space="preserve">5. Evidencia</w:t>
            </w:r>
          </w:p>
        </w:tc>
        <w:tc>
          <w:tcPr/>
          <w:p>
            <w:pPr>
              <w:pStyle w:val="Tabla9"/>
              <w:jc w:val="left"/>
            </w:pPr>
            <w:r>
              <w:t xml:space="preserve">Archivo, registro o cita de acta que respalda la entrada</w:t>
            </w:r>
          </w:p>
        </w:tc>
        <w:tc>
          <w:tcPr/>
          <w:p>
            <w:pPr>
              <w:pStyle w:val="Tabla9"/>
              <w:jc w:val="left"/>
            </w:pPr>
            <w:r>
              <w:t xml:space="preserve">Registro de la plataforma del nodo</w:t>
            </w:r>
          </w:p>
        </w:tc>
      </w:tr>
      <w:tr>
        <w:trPr>
          <w:cantSplit/>
        </w:trPr>
        <w:tc>
          <w:tcPr/>
          <w:p>
            <w:pPr>
              <w:pStyle w:val="Tabla9"/>
              <w:jc w:val="left"/>
            </w:pPr>
            <w:r>
              <w:t xml:space="preserve">6. Hipótesis o explicación</w:t>
            </w:r>
          </w:p>
        </w:tc>
        <w:tc>
          <w:tcPr/>
          <w:p>
            <w:pPr>
              <w:pStyle w:val="Tabla9"/>
              <w:jc w:val="left"/>
            </w:pPr>
            <w:r>
              <w:t xml:space="preserve">Explicación tentativa con su naturaleza</w:t>
            </w:r>
          </w:p>
        </w:tc>
        <w:tc>
          <w:tcPr/>
          <w:p>
            <w:pPr>
              <w:pStyle w:val="Tabla9"/>
              <w:jc w:val="left"/>
            </w:pPr>
            <w:r>
              <w:t xml:space="preserve">Obstrucción de la toma por polvo (INFERIDO)</w:t>
            </w:r>
          </w:p>
        </w:tc>
      </w:tr>
      <w:tr>
        <w:trPr>
          <w:cantSplit/>
        </w:trPr>
        <w:tc>
          <w:tcPr/>
          <w:p>
            <w:pPr>
              <w:pStyle w:val="Tabla9"/>
              <w:jc w:val="left"/>
            </w:pPr>
            <w:r>
              <w:t xml:space="preserve">7. Implicación para la decisión</w:t>
            </w:r>
          </w:p>
        </w:tc>
        <w:tc>
          <w:tcPr/>
          <w:p>
            <w:pPr>
              <w:pStyle w:val="Tabla9"/>
              <w:jc w:val="left"/>
            </w:pPr>
            <w:r>
              <w:t xml:space="preserve">Métrica, umbral o compuerta que la entrada puede afectar</w:t>
            </w:r>
          </w:p>
        </w:tc>
        <w:tc>
          <w:tcPr/>
          <w:p>
            <w:pPr>
              <w:pStyle w:val="Tabla9"/>
              <w:jc w:val="left"/>
            </w:pPr>
            <w:r>
              <w:t xml:space="preserve">Puede reducir la completitud de PERS-R05</w:t>
            </w:r>
          </w:p>
        </w:tc>
      </w:tr>
      <w:tr>
        <w:trPr>
          <w:cantSplit/>
        </w:trPr>
        <w:tc>
          <w:tcPr/>
          <w:p>
            <w:pPr>
              <w:pStyle w:val="Tabla9"/>
              <w:jc w:val="left"/>
            </w:pPr>
            <w:r>
              <w:t xml:space="preserve">8. Acción propuesta</w:t>
            </w:r>
          </w:p>
        </w:tc>
        <w:tc>
          <w:tcPr/>
          <w:p>
            <w:pPr>
              <w:pStyle w:val="Tabla9"/>
              <w:jc w:val="left"/>
            </w:pPr>
            <w:r>
              <w:t xml:space="preserve">Acción concreta y verificable</w:t>
            </w:r>
          </w:p>
        </w:tc>
        <w:tc>
          <w:tcPr/>
          <w:p>
            <w:pPr>
              <w:pStyle w:val="Tabla9"/>
              <w:jc w:val="left"/>
            </w:pPr>
            <w:r>
              <w:t xml:space="preserve">Inspeccionar y limpiar el cabezal óptico</w:t>
            </w:r>
          </w:p>
        </w:tc>
      </w:tr>
      <w:tr>
        <w:trPr>
          <w:cantSplit/>
        </w:trPr>
        <w:tc>
          <w:tcPr/>
          <w:p>
            <w:pPr>
              <w:pStyle w:val="Tabla9"/>
              <w:jc w:val="left"/>
            </w:pPr>
            <w:r>
              <w:t xml:space="preserve">9. Responsable y fecha</w:t>
            </w:r>
          </w:p>
        </w:tc>
        <w:tc>
          <w:tcPr/>
          <w:p>
            <w:pPr>
              <w:pStyle w:val="Tabla9"/>
              <w:jc w:val="left"/>
            </w:pPr>
            <w:r>
              <w:t xml:space="preserve">Persona y fecha límite</w:t>
            </w:r>
          </w:p>
        </w:tc>
        <w:tc>
          <w:tcPr/>
          <w:p>
            <w:pPr>
              <w:pStyle w:val="Tabla9"/>
              <w:jc w:val="left"/>
            </w:pPr>
            <w:r>
              <w:t xml:space="preserve">Técnico departamental; semana siguiente</w:t>
            </w:r>
          </w:p>
        </w:tc>
      </w:tr>
      <w:tr>
        <w:trPr>
          <w:cantSplit/>
        </w:trPr>
        <w:tc>
          <w:tcPr/>
          <w:p>
            <w:pPr>
              <w:pStyle w:val="Tabla9"/>
              <w:jc w:val="left"/>
            </w:pPr>
            <w:r>
              <w:t xml:space="preserve">10. Estado y bucle</w:t>
            </w:r>
          </w:p>
        </w:tc>
        <w:tc>
          <w:tcPr/>
          <w:p>
            <w:pPr>
              <w:pStyle w:val="Tabla9"/>
              <w:jc w:val="left"/>
            </w:pPr>
            <w:r>
              <w:t xml:space="preserve">Abierta o cerrada; aprendizaje de bucle simple o doble</w:t>
            </w:r>
          </w:p>
        </w:tc>
        <w:tc>
          <w:tcPr/>
          <w:p>
            <w:pPr>
              <w:pStyle w:val="Tabla9"/>
              <w:jc w:val="left"/>
            </w:pPr>
            <w:r>
              <w:t xml:space="preserve">Cerrada; bucle simple</w:t>
            </w:r>
          </w:p>
        </w:tc>
      </w:tr>
    </w:tbl>
    <w:p>
      <w:pPr>
        <w:pStyle w:val="TablaNota"/>
      </w:pPr>
      <w:r>
        <w:rPr>
          <w:i/>
          <w:iCs/>
        </w:rPr>
        <w:t xml:space="preserve">Nota.</w:t>
      </w:r>
      <w:r>
        <w:t xml:space="preserve"> </w:t>
      </w:r>
      <w:r>
        <w:t xml:space="preserve">Elaboración propia. Plantilla de 10 campos: PROPUESTO. Los ejemplos son ILUSTRATIVOS y no corresponden a datos reales del proyecto.</w:t>
      </w:r>
    </w:p>
    <w:p>
      <w:pPr>
        <w:pStyle w:val="BodyText"/>
      </w:pPr>
      <w:r>
        <w:t xml:space="preserve">La plantilla separa lo observado de lo explicado. Los campos 3 a 5 registran hechos con su evidencia, y el campo 6 registra la hipótesis con su naturaleza. Esa separación evita que una explicación tentativa se archive como un hecho. El campo 7 conecta cada entrada con una decisión posible. Así la retrospectiva prioriza las entradas que afectan una métrica o una compuerta.</w:t>
      </w:r>
    </w:p>
    <w:bookmarkEnd w:id="484"/>
    <w:bookmarkStart w:id="485" w:name="_Toc00900197"/>
    <w:p>
      <w:pPr>
        <w:pStyle w:val="Heading3"/>
      </w:pPr>
      <w:r>
        <w:t xml:space="preserve">6.6.2 Sesiones de retrospectiva</w:t>
      </w:r>
    </w:p>
    <w:p>
      <w:pPr>
        <w:pStyle w:val="FirstParagraph"/>
      </w:pPr>
      <w:r>
        <w:t xml:space="preserve">La retrospectiva es una sesión quincenal en la que el equipo revisa las entradas de la bitácora y decide ajustes. En 104 semanas ocurren 52 sesiones. Argyris (1999) describe el aprendizaje organizacional como la detección y la corrección de errores. Las rutinas defensivas impiden ese proceso cuando el error amenaza a las personas. La retrospectiva crea un espacio periódico para nombrar errores sin atribuir culpas. Cada sesión termina con un máximo de tres decisiones, cada una con responsable y fecha.</w:t>
      </w:r>
    </w:p>
    <w:p>
      <w:pPr>
        <w:pStyle w:val="BodyText"/>
      </w:pPr>
      <w:r>
        <w:t xml:space="preserve">La discusión central trata de cómo evitar el consenso prematuro. Janis (1982) muestra que los grupos cohesionados tienden a suprimir la disidencia y a elegir decisiones débiles. Klein (2007) propone el premortem: el grupo imagina que el proyecto fracasó y explica por qué, lo que legitima la duda. Tversky y Kahneman (1974) describen el anclaje, sesgo por el cual un valor inicial condiciona las estimaciones posteriores. En este proyecto el valor de NMAE superior a 45 % del expediente E3 podría actuar como ancla. Ese valor carece de localizador y no está verificado. Por eso las retrospectivas comparan siempre con la línea base medida en el tramo 1.</w:t>
      </w:r>
    </w:p>
    <w:p>
      <w:pPr>
        <w:pStyle w:val="BodyText"/>
      </w:pPr>
      <w:r>
        <w:t xml:space="preserve">Las tres revisiones previas a compuerta usan el premortem con los 12 riesgos de la ficha como punto de partida. La retrospectiva anterior a C1 pregunta, por ejemplo, por qué el modelo podría no generalizar entre departamentos (riesgo R-TEC-04). La retrospectiva anterior a C2 pregunta por qué los custodios podrían no asumir la operación (riesgo R-ORG-02). Las respuestas se incorporan al informe de la compuerta.</w:t>
      </w:r>
    </w:p>
    <w:bookmarkEnd w:id="485"/>
    <w:bookmarkStart w:id="486" w:name="_Toc00900198"/>
    <w:p>
      <w:pPr>
        <w:pStyle w:val="Heading3"/>
      </w:pPr>
      <w:r>
        <w:t xml:space="preserve">6.6.3 Espacio de exploración libre</w:t>
      </w:r>
    </w:p>
    <w:p>
      <w:pPr>
        <w:pStyle w:val="FirstParagraph"/>
      </w:pPr>
      <w:r>
        <w:t xml:space="preserve">El espacio de exploración libre reserva 20 % del tiempo del personal técnico. Ese tiempo sirve para investigar preguntas que el plan no cubre y que se relacionan con los objetivos. El personal profesional de los paquetes WP1 y WP2 suma 336 persona-meses en las líneas P01 a P04, P07 a P09 y P12. El 20 % equivale a 67,2 persona-meses, o a un día por semana por persona (CALCULADO). Ries (2011) sostiene que el aprendizaje validado exige probar supuestos con experimentos pequeños. Merton (1936) recuerda que toda acción deliberada produce consecuencias no anticipadas, algunas valiosas. La exploración busca esas consecuencias de forma deliberada.</w:t>
      </w:r>
    </w:p>
    <w:p>
      <w:pPr>
        <w:pStyle w:val="BodyText"/>
      </w:pPr>
      <w:r>
        <w:t xml:space="preserve">Dos posiciones disputan el costo de la exploración. La gestión de proyectos tradicional protege el alcance y el plazo, y trata el tiempo no planificado como una desviación (PMI, 2021). La posición contraria sostiene que sin tiempo libre una organización solo repite lo que ya sabe (Argyris, 1999). El proyecto adopta una regla intermedia. La exploración posee un tope de 20 % y exige tres condiciones. Requiere una pregunta escrita, un plazo máximo y un registro del resultado en la bitácora. La exploración se suspende en las cuatro semanas previas a cada compuerta para el personal de la ruta crítica (PROPUESTO).</w:t>
      </w:r>
    </w:p>
    <w:p>
      <w:pPr>
        <w:pStyle w:val="BodyText"/>
      </w:pPr>
      <w:r>
        <w:t xml:space="preserve">Esta regla protege el cronograma sin renunciar al aprendizaje. Ninguna duración de la red CPM cambia. La holgura de A1.1, A3.1, A3.2 y A3.3 no se usa para exploración. Un resultado de exploración que modifique una decisión debe pasar por la retrospectiva y por la compuerta correspondiente. Así, la libertad de explorar no sustituye los criterios de decisión.</w:t>
      </w:r>
    </w:p>
    <w:bookmarkEnd w:id="486"/>
    <w:bookmarkStart w:id="487" w:name="_Toc00900199"/>
    <w:p>
      <w:pPr>
        <w:pStyle w:val="Heading3"/>
      </w:pPr>
      <w:r>
        <w:t xml:space="preserve">6.6.4 Serendipia estructurada</w:t>
      </w:r>
    </w:p>
    <w:p>
      <w:pPr>
        <w:pStyle w:val="FirstParagraph"/>
      </w:pPr>
      <w:r>
        <w:t xml:space="preserve">La serendipia estructurada es una sesión mensual en la que el proyecto revisa los hallazgos inesperados registrados en la bitácora. Hay 24 sesiones en los 24 meses. Un hallazgo es inesperado si contradice una expectativa del plan o aparece sin haberse buscado. Merton (1936) distingue entre los resultados buscados y las consecuencias no anticipadas de una acción deliberada. Schön y Rein (1994) explican que los hallazgos que no encajan en el marco vigente exigen reformularlo, y que esa reformulación requiere interlocutores con otra mirada.</w:t>
      </w:r>
    </w:p>
    <w:p>
      <w:pPr>
        <w:pStyle w:val="BodyText"/>
      </w:pPr>
      <w:r>
        <w:t xml:space="preserve">Dos posiciones dividen a la literatura sobre lo inesperado. Collingridge (1980) sostiene que las consecuencias de una tecnología no se pueden prever en sus etapas iniciales. Conviene entonces diseñar para corregir y no para predecir. Schön y Rein (1994) sostienen que la reflexión estructurada con perspectivas diversas permite aprovechar lo inesperado. El proyecto combina ambas. Conserva la capacidad de corrección mediante los tramos y las compuertas. Organiza la reflexión mediante parejas de personas de WP1 y WP3, una técnica y una institucional.</w:t>
      </w:r>
    </w:p>
    <w:p>
      <w:pPr>
        <w:pStyle w:val="BodyText"/>
      </w:pPr>
      <w:r>
        <w:t xml:space="preserve">Cada sesión clasifica los hallazgos en cuatro categorías: descartar, registrar, explorar y escalar. Se descarta el hallazgo sin evidencia o sin relación con los objetivos. Se registra el que aporta contexto pero no cambia decisiones. Se explora el que merece una pregunta con plazo dentro del espacio de exploración. Se escala a la retrospectiva el que puede afectar una métrica, un umbral o una compuerta. Un ejemplo ILUSTRATIVO es un uso del tablero por parte de la comunidad que ningún comité había previsto.</w:t>
      </w:r>
    </w:p>
    <w:bookmarkEnd w:id="487"/>
    <w:bookmarkStart w:id="491" w:name="_Toc00900200"/>
    <w:p>
      <w:pPr>
        <w:pStyle w:val="Heading3"/>
      </w:pPr>
      <w:r>
        <w:t xml:space="preserve">6.6.5 Del aprendizaje a la decisión</w:t>
      </w:r>
    </w:p>
    <w:p>
      <w:pPr>
        <w:pStyle w:val="FirstParagraph"/>
      </w:pPr>
      <w:r>
        <w:t xml:space="preserve">Los aprendizajes se convierten en decisiones solo a través de criterios fijados antes de medir. La Figura 6.4 resume los criterios de las compuertas C1 y C2 con los umbrales de la ficha. Los umbrales técnicos son R² ≥ 0,70 y NRMSE ≤ 30 %. Los demás son 50 % de uso en los comités del tramo 1, disponibilidad mensual de 90 % y convenios de custodia con partida. Cooper (2008) defiende que los criterios de compuerta sean explícitos y previos, para que la decisión no dependa de quien la presenta. Kahneman y Tversky (1979) describen la aversión a las pérdidas, que puede llevar a perseverar para no reconocer una inversión perdida.</w:t>
      </w:r>
    </w:p>
    <w:p>
      <w:pPr>
        <w:pStyle w:val="FiguraRotulo"/>
      </w:pPr>
      <w:bookmarkStart w:id="9518" w:name="rot_Figura_6_4"/>
      <w:r>
        <w:rPr>
          <w:b/>
          <w:bCs/>
        </w:rPr>
        <w:t xml:space="preserve">Figura 6.4</w:t>
      </w:r>
      <w:bookmarkEnd w:id="9518"/>
    </w:p>
    <w:p>
      <w:pPr>
        <w:pStyle w:val="FiguraTitulo"/>
      </w:pPr>
      <w:r>
        <w:rPr>
          <w:i/>
          <w:iCs/>
        </w:rPr>
        <w:t xml:space="preserve">Criterios de decisión pivotar o perseverar</w:t>
      </w:r>
    </w:p>
    <w:p>
      <w:pPr>
        <w:pStyle w:val="BodyText"/>
      </w:pPr>
      <w:r>
        <w:drawing>
          <wp:inline>
            <wp:extent cx="5579999" cy="3899343"/>
            <wp:effectExtent b="0" l="0" r="0" t="0"/>
            <wp:docPr descr="" title="" id="489" name="Picture"/>
            <a:graphic>
              <a:graphicData uri="http://schemas.openxmlformats.org/drawingml/2006/picture">
                <pic:pic>
                  <pic:nvPicPr>
                    <pic:cNvPr descr="/tmp/claude-0/-home-user-docs/ddf38714-2a7e-502b-92b4-1008e2832422/scratchpad/proy/figs/out/c6_f04.png" id="490" name="Picture"/>
                    <pic:cNvPicPr>
                      <a:picLocks noChangeArrowheads="1" noChangeAspect="1"/>
                    </pic:cNvPicPr>
                  </pic:nvPicPr>
                  <pic:blipFill>
                    <a:blip r:embed="rId488"/>
                    <a:stretch>
                      <a:fillRect/>
                    </a:stretch>
                  </pic:blipFill>
                  <pic:spPr bwMode="auto">
                    <a:xfrm>
                      <a:off x="0" y="0"/>
                      <a:ext cx="5579999" cy="38993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umbrales y las compras por tramo de la ficha maestra (secciones 2 y 4). Compuertas C1 y C2 con sus semanas de la red CPM. Lectura con intervalos y opciones de pivote: PROPUESTO. Software: Python 3 y matplotlib; script c6_figs.py, sin semilla aleatoria.</w:t>
      </w:r>
    </w:p>
    <w:p>
      <w:pPr>
        <w:pStyle w:val="BodyText"/>
      </w:pPr>
      <w:r>
        <w:t xml:space="preserve">La figura distingue entre perseverar y pivotar. Asocia cada decisión con una compra. Los aprendizajes de la bitácora, las retrospectivas, la exploración y la serendipia no modifican los umbrales. Modifican los modelos, los protocolos y el alcance que se presentan a la compuerta. Así, el proyecto aprende sin reabrir sus criterios y decide con una regla conocida desde el inicio.</w:t>
      </w:r>
    </w:p>
    <w:bookmarkEnd w:id="491"/>
    <w:bookmarkEnd w:id="492"/>
    <w:bookmarkEnd w:id="493"/>
    <w:bookmarkStart w:id="503" w:name="X673adc1df5c1818b4072fab21f81fdf4fec7f0d"/>
    <w:p>
      <w:pPr>
        <w:pStyle w:val="Heading1"/>
      </w:pPr>
      <w:r>
        <w:t xml:space="preserve">Capítulo 7. Estructura de Desglose del Trabajo (EDT/WBS)</w:t>
      </w:r>
    </w:p>
    <w:p>
      <w:pPr>
        <w:pStyle w:val="FirstParagraph"/>
      </w:pPr>
      <w:r>
        <w:t xml:space="preserve">Este capítulo descompone el proyecto en unidades de trabajo que pueden presupuestarse, programarse, asignarse y verificarse. La descomposición sigue cinco niveles: proyecto, fase, entregable, paquete de trabajo y actividad. Cada nivel hereda del anterior su alcance y no lo supera. El capítulo cierra con la matriz de responsabilidades (RACI) y el organigrama funcional. Los nombres de personas y entidades quedan por definir [DATO_USUARIO: nombres de entidad ejecutora, empresa tecnológica y equipo]. La alianza es un supuesto por instrucción del usuario.</w:t>
      </w:r>
    </w:p>
    <w:bookmarkStart w:id="497" w:name="_Toc00900201"/>
    <w:p>
      <w:pPr>
        <w:pStyle w:val="Heading2"/>
      </w:pPr>
      <w:r>
        <w:t xml:space="preserve">7.1 Estructura Jerárquica</w:t>
      </w:r>
    </w:p>
    <w:p>
      <w:pPr>
        <w:pStyle w:val="FirstParagraph"/>
      </w:pPr>
      <w:r>
        <w:t xml:space="preserve">La estructura jerárquica organiza el alcance completo del proyecto en niveles de detalle creciente. El Project Management Institute [PMI] (2021) define la EDT como una descomposición jerárquica del trabajo total. Ese trabajo lo ejecuta el equipo para lograr los objetivos y crear los entregables. La regla de cobertura total exige que la suma de los componentes de un nivel agote el alcance del nivel superior. Esa regla impide trabajo oculto y obliga a que cada línea del presupuesto tenga un destino. La Tabla 7.1 resume los cinco niveles, su cantidad y su regla de formación, y la Figura 7.1 los muestra completos.</w:t>
      </w:r>
    </w:p>
    <w:p>
      <w:pPr>
        <w:pStyle w:val="TablaRotulo"/>
      </w:pPr>
      <w:bookmarkStart w:id="9298" w:name="rot_Tabla_7_1"/>
      <w:r>
        <w:rPr>
          <w:b/>
          <w:bCs/>
        </w:rPr>
        <w:t xml:space="preserve">Tabla 7.1</w:t>
      </w:r>
      <w:bookmarkEnd w:id="9298"/>
    </w:p>
    <w:p>
      <w:pPr>
        <w:pStyle w:val="TablaTitulo"/>
      </w:pPr>
      <w:r>
        <w:rPr>
          <w:i/>
          <w:iCs/>
        </w:rPr>
        <w:t xml:space="preserve">Niveles de la EDT, cantidad de componentes y regla de formación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50"/>
        <w:gridCol w:w="1636"/>
        <w:gridCol w:w="1636"/>
        <w:gridCol w:w="2029"/>
        <w:gridCol w:w="1767"/>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Cantidad</w:t>
            </w:r>
          </w:p>
        </w:tc>
        <w:tc>
          <w:tcPr>
            <w:shd w:val="clear" w:color="auto" w:fill="00B050"/>
          </w:tcPr>
          <w:p>
            <w:pPr>
              <w:pStyle w:val="Tabla9"/>
              <w:jc w:val="center"/>
            </w:pPr>
            <w:r>
              <w:rPr>
                <w:b/>
                <w:color w:val="FFFFFF"/>
              </w:rPr>
              <w:t xml:space="preserve">Regla de formación</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1</w:t>
            </w:r>
          </w:p>
        </w:tc>
        <w:tc>
          <w:tcPr/>
          <w:p>
            <w:pPr>
              <w:pStyle w:val="Tabla9"/>
              <w:jc w:val="left"/>
            </w:pPr>
            <w:r>
              <w:t xml:space="preserve">Proyecto</w:t>
            </w:r>
          </w:p>
        </w:tc>
        <w:tc>
          <w:tcPr/>
          <w:p>
            <w:pPr>
              <w:pStyle w:val="Tabla9"/>
              <w:jc w:val="left"/>
            </w:pPr>
            <w:r>
              <w:t xml:space="preserve">1</w:t>
            </w:r>
          </w:p>
        </w:tc>
        <w:tc>
          <w:tcPr/>
          <w:p>
            <w:pPr>
              <w:pStyle w:val="Tabla9"/>
              <w:jc w:val="left"/>
            </w:pPr>
            <w:r>
              <w:t xml:space="preserve">Red IoT híbrida y gemelo digital de 24 meses y 104 semanas</w:t>
            </w:r>
          </w:p>
        </w:tc>
        <w:tc>
          <w:tcPr/>
          <w:p>
            <w:pPr>
              <w:pStyle w:val="Tabla9"/>
              <w:jc w:val="left"/>
            </w:pPr>
            <w:r>
              <w:t xml:space="preserve">DECLARADO</w:t>
            </w:r>
          </w:p>
        </w:tc>
      </w:tr>
      <w:tr>
        <w:trPr>
          <w:cantSplit/>
        </w:trPr>
        <w:tc>
          <w:tcPr/>
          <w:p>
            <w:pPr>
              <w:pStyle w:val="Tabla9"/>
              <w:jc w:val="left"/>
            </w:pPr>
            <w:r>
              <w:t xml:space="preserve">2</w:t>
            </w:r>
          </w:p>
        </w:tc>
        <w:tc>
          <w:tcPr/>
          <w:p>
            <w:pPr>
              <w:pStyle w:val="Tabla9"/>
              <w:jc w:val="left"/>
            </w:pPr>
            <w:r>
              <w:t xml:space="preserve">Fase (tramo de despliegue)</w:t>
            </w:r>
          </w:p>
        </w:tc>
        <w:tc>
          <w:tcPr/>
          <w:p>
            <w:pPr>
              <w:pStyle w:val="Tabla9"/>
              <w:jc w:val="left"/>
            </w:pPr>
            <w:r>
              <w:t xml:space="preserve">3</w:t>
            </w:r>
          </w:p>
        </w:tc>
        <w:tc>
          <w:tcPr/>
          <w:p>
            <w:pPr>
              <w:pStyle w:val="Tabla9"/>
              <w:jc w:val="left"/>
            </w:pPr>
            <w:r>
              <w:t xml:space="preserve">Un tramo por compuerta de decisión: C1, C2 y C3</w:t>
            </w:r>
          </w:p>
        </w:tc>
        <w:tc>
          <w:tcPr/>
          <w:p>
            <w:pPr>
              <w:pStyle w:val="Tabla9"/>
              <w:jc w:val="left"/>
            </w:pPr>
            <w:r>
              <w:t xml:space="preserve">PROPUESTO</w:t>
            </w:r>
          </w:p>
        </w:tc>
      </w:tr>
      <w:tr>
        <w:trPr>
          <w:cantSplit/>
        </w:trPr>
        <w:tc>
          <w:tcPr/>
          <w:p>
            <w:pPr>
              <w:pStyle w:val="Tabla9"/>
              <w:jc w:val="left"/>
            </w:pPr>
            <w:r>
              <w:t xml:space="preserve">3</w:t>
            </w:r>
          </w:p>
        </w:tc>
        <w:tc>
          <w:tcPr/>
          <w:p>
            <w:pPr>
              <w:pStyle w:val="Tabla9"/>
              <w:jc w:val="left"/>
            </w:pPr>
            <w:r>
              <w:t xml:space="preserve">Entregable (hito)</w:t>
            </w:r>
          </w:p>
        </w:tc>
        <w:tc>
          <w:tcPr/>
          <w:p>
            <w:pPr>
              <w:pStyle w:val="Tabla9"/>
              <w:jc w:val="left"/>
            </w:pPr>
            <w:r>
              <w:t xml:space="preserve">9</w:t>
            </w:r>
          </w:p>
        </w:tc>
        <w:tc>
          <w:tcPr/>
          <w:p>
            <w:pPr>
              <w:pStyle w:val="Tabla9"/>
              <w:jc w:val="left"/>
            </w:pPr>
            <w:r>
              <w:t xml:space="preserve">Un hito verificable por evidencia, H0 a H8, asignado a una fase</w:t>
            </w:r>
          </w:p>
        </w:tc>
        <w:tc>
          <w:tcPr/>
          <w:p>
            <w:pPr>
              <w:pStyle w:val="Tabla9"/>
              <w:jc w:val="left"/>
            </w:pPr>
            <w:r>
              <w:t xml:space="preserve">PROPUESTO</w:t>
            </w:r>
          </w:p>
        </w:tc>
      </w:tr>
      <w:tr>
        <w:trPr>
          <w:cantSplit/>
        </w:trPr>
        <w:tc>
          <w:tcPr/>
          <w:p>
            <w:pPr>
              <w:pStyle w:val="Tabla9"/>
              <w:jc w:val="left"/>
            </w:pPr>
            <w:r>
              <w:t xml:space="preserve">4</w:t>
            </w:r>
          </w:p>
        </w:tc>
        <w:tc>
          <w:tcPr/>
          <w:p>
            <w:pPr>
              <w:pStyle w:val="Tabla9"/>
              <w:jc w:val="left"/>
            </w:pPr>
            <w:r>
              <w:t xml:space="preserve">Paquete de trabajo (WP)</w:t>
            </w:r>
          </w:p>
        </w:tc>
        <w:tc>
          <w:tcPr/>
          <w:p>
            <w:pPr>
              <w:pStyle w:val="Tabla9"/>
              <w:jc w:val="left"/>
            </w:pPr>
            <w:r>
              <w:t xml:space="preserve">4 (16 segmentos por entregable)</w:t>
            </w:r>
          </w:p>
        </w:tc>
        <w:tc>
          <w:tcPr/>
          <w:p>
            <w:pPr>
              <w:pStyle w:val="Tabla9"/>
              <w:jc w:val="left"/>
            </w:pPr>
            <w:r>
              <w:t xml:space="preserve">Un paquete por objetivo específico y uno de gestión: WP0 a WP3</w:t>
            </w:r>
          </w:p>
        </w:tc>
        <w:tc>
          <w:tcPr/>
          <w:p>
            <w:pPr>
              <w:pStyle w:val="Tabla9"/>
              <w:jc w:val="left"/>
            </w:pPr>
            <w:r>
              <w:t xml:space="preserve">PROPUESTO</w:t>
            </w:r>
          </w:p>
        </w:tc>
      </w:tr>
      <w:tr>
        <w:trPr>
          <w:cantSplit/>
        </w:trPr>
        <w:tc>
          <w:tcPr/>
          <w:p>
            <w:pPr>
              <w:pStyle w:val="Tabla9"/>
              <w:jc w:val="left"/>
            </w:pPr>
            <w:r>
              <w:t xml:space="preserve">5</w:t>
            </w:r>
          </w:p>
        </w:tc>
        <w:tc>
          <w:tcPr/>
          <w:p>
            <w:pPr>
              <w:pStyle w:val="Tabla9"/>
              <w:jc w:val="left"/>
            </w:pPr>
            <w:r>
              <w:t xml:space="preserve">Actividad</w:t>
            </w:r>
          </w:p>
        </w:tc>
        <w:tc>
          <w:tcPr/>
          <w:p>
            <w:pPr>
              <w:pStyle w:val="Tabla9"/>
              <w:jc w:val="left"/>
            </w:pPr>
            <w:r>
              <w:t xml:space="preserve">17</w:t>
            </w:r>
          </w:p>
        </w:tc>
        <w:tc>
          <w:tcPr/>
          <w:p>
            <w:pPr>
              <w:pStyle w:val="Tabla9"/>
              <w:jc w:val="left"/>
            </w:pPr>
            <w:r>
              <w:t xml:space="preserve">Una actividad por nodo de la red CPM, con duración en semanas</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del libro maestro (maestro.py) y de las secciones 4.4-MDR y 4.5. Un segmento de paquete es la intersección de un entregable con un paquete de trabajo; hay 16 intersecciones no vacías. Decimales con coma.</w:t>
      </w:r>
    </w:p>
    <w:p>
      <w:pPr>
        <w:pStyle w:val="FiguraRotulo"/>
      </w:pPr>
      <w:bookmarkStart w:id="9519" w:name="rot_Figura_7_1"/>
      <w:r>
        <w:rPr>
          <w:b/>
          <w:bCs/>
        </w:rPr>
        <w:t xml:space="preserve">Figura 7.1</w:t>
      </w:r>
      <w:bookmarkEnd w:id="9519"/>
    </w:p>
    <w:p>
      <w:pPr>
        <w:pStyle w:val="FiguraTitulo"/>
      </w:pPr>
      <w:r>
        <w:rPr>
          <w:i/>
          <w:iCs/>
        </w:rPr>
        <w:t xml:space="preserve">La EDT descompone el proyecto en 3 fases, 9 entregables, 16 segmentos de paquete y 17 actividades</w:t>
      </w:r>
    </w:p>
    <w:p>
      <w:pPr>
        <w:pStyle w:val="BodyText"/>
      </w:pPr>
      <w:r>
        <w:drawing>
          <wp:inline>
            <wp:extent cx="5579999" cy="3743628"/>
            <wp:effectExtent b="0" l="0" r="0" t="0"/>
            <wp:docPr descr="" title="" id="495" name="Picture"/>
            <a:graphic>
              <a:graphicData uri="http://schemas.openxmlformats.org/drawingml/2006/picture">
                <pic:pic>
                  <pic:nvPicPr>
                    <pic:cNvPr descr="/tmp/claude-0/-home-user-docs/ddf38714-2a7e-502b-92b4-1008e2832422/scratchpad/proy/figs/out/c7_f01.png" id="496" name="Picture"/>
                    <pic:cNvPicPr>
                      <a:picLocks noChangeArrowheads="1" noChangeAspect="1"/>
                    </pic:cNvPicPr>
                  </pic:nvPicPr>
                  <pic:blipFill>
                    <a:blip r:embed="rId494"/>
                    <a:stretch>
                      <a:fillRect/>
                    </a:stretch>
                  </pic:blipFill>
                  <pic:spPr bwMode="auto">
                    <a:xfrm>
                      <a:off x="0" y="0"/>
                      <a:ext cx="5579999" cy="374362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(ACT, HITOS, TRAMOS). Cada actividad se asigna al primer hito alcanzable aguas abajo en la red. Borde grueso: ruta crítica. Python 3 y matplotlib; script c7_figs.py; sin semilla; corte del 13 de octubre de 2026.</w:t>
      </w:r>
    </w:p>
    <w:p>
      <w:pPr>
        <w:pStyle w:val="BodyText"/>
      </w:pPr>
      <w:r>
        <w:t xml:space="preserve">La descomposición responde a la estructura del problema que el proyecto atiende. Simon (1973) sostiene que los problemas mal estructurados se resuelven al dividirlos en subproblemas bien estructurados, cada uno con criterios propios de solución. El problema central de este proyecto, el error de medición sin verificar (V06), pertenece a esa clase. Sus causas son físicas, energéticas e institucionales a la vez. Por eso la EDT separa la medición verificada, la red y el uso institucional en paquetes distintos. Cada paquete tiene un criterio de éxito propio y una responsabilidad única. La contrapartida es que la separación oculta interacciones, como el efecto de la disponibilidad de nodos sobre la calibración. La matriz de la sección 7.3 asigna esas interacciones al rol consultado.</w:t>
      </w:r>
    </w:p>
    <w:p>
      <w:pPr>
        <w:pStyle w:val="BodyText"/>
      </w:pPr>
      <w:r>
        <w:rPr>
          <w:b/>
          <w:bCs/>
        </w:rPr>
        <w:t xml:space="preserve">Nivel 1: proyecto.</w:t>
      </w:r>
      <w:r>
        <w:t xml:space="preserve"> </w:t>
      </w:r>
      <w:r>
        <w:t xml:space="preserve">El nivel 1 contiene un solo componente y fija el alcance contractual. El proyecto entrega una red de 100 nodos y 10 gateways que mide material particulado con error conocido. Entrega también un uso institucional documentado de sus lecturas. No promete efectos en salud. Esa delimitación sigue la regla de coherencia de la ficha maestra y evita que un paquete de trabajo absorba compromisos que el diseño no sustenta. La duración total es de 24 meses, equivalentes a 104 semanas, y coincide con la ruta crítica de la red de actividades (Project Management Institute [PMI], 2021).</w:t>
      </w:r>
    </w:p>
    <w:p>
      <w:pPr>
        <w:pStyle w:val="BodyText"/>
      </w:pPr>
      <w:r>
        <w:rPr>
          <w:b/>
          <w:bCs/>
        </w:rPr>
        <w:t xml:space="preserve">Nivel 2: fases.</w:t>
      </w:r>
      <w:r>
        <w:t xml:space="preserve"> </w:t>
      </w:r>
      <w:r>
        <w:t xml:space="preserve">El nivel 2 adopta los tres tramos de despliegue como fases, y no las etapas clásicas de diseño, construcción y cierre. Dos posiciones compiten en este punto. Cooper (2008) propone un proceso por etapas y compuertas, en el que cada compuerta autoriza la inversión de la etapa siguiente. El PMI (2021) recomienda descomponer por entregables y deja las fases como agrupación posterior. El proyecto combina ambas: las fases siguen las compuertas C1, C2 y C3, y el nivel 3 conserva los entregables. La ventaja es que la compra de nodos y gateways de cada tramo queda atada a una decisión y no a una fecha.</w:t>
      </w:r>
    </w:p>
    <w:p>
      <w:pPr>
        <w:pStyle w:val="BodyText"/>
      </w:pPr>
      <w:r>
        <w:t xml:space="preserve">La progresión de madurez tecnológica refuerza la elección de las fases. Mankins (1995) definió los niveles de madurez tecnológica (TRL) como una escala de nueve grados para comparar tecnologías entre sí. El proyecto parte del TRL 4 y alcanza el TRL 7 (PROPUESTO). La fase 1 valida el modelo de corrección en el piloto. La fase 2 lo reentrena por departamento. La fase 3 lo demuestra en entorno operativo con 100 nodos. Esa secuencia convierte cada compuerta en una evidencia de madurez. El TRL 8 queda condicionado a una evaluación independiente que el plazo no cubre.</w:t>
      </w:r>
    </w:p>
    <w:p>
      <w:pPr>
        <w:pStyle w:val="BodyText"/>
      </w:pPr>
      <w:r>
        <w:rPr>
          <w:b/>
          <w:bCs/>
        </w:rPr>
        <w:t xml:space="preserve">Nivel 3: entregables.</w:t>
      </w:r>
      <w:r>
        <w:t xml:space="preserve"> </w:t>
      </w:r>
      <w:r>
        <w:t xml:space="preserve">El nivel 3 reúne nueve entregables, H0 a H8, que coinciden con los hitos del cronograma. Cada uno se identifica por una evidencia, y no por una actividad terminada. H3, por ejemplo, exige un acta de compuerta con el error normalizado (NRMSE) y el coeficiente de determinación (R²) frente a la referencia. Esa exigencia separa el entregable del esfuerzo, como lo separan los modelos lógicos de programa (Funnell y Rogers, 2011). La fase 1 contiene cuatro entregables, la fase 2 contiene dos y la fase 3 contiene tres.</w:t>
      </w:r>
    </w:p>
    <w:p>
      <w:pPr>
        <w:pStyle w:val="BodyText"/>
      </w:pPr>
      <w:r>
        <w:rPr>
          <w:b/>
          <w:bCs/>
        </w:rPr>
        <w:t xml:space="preserve">Nivel 4: paquetes de trabajo.</w:t>
      </w:r>
      <w:r>
        <w:t xml:space="preserve"> </w:t>
      </w:r>
      <w:r>
        <w:t xml:space="preserve">El nivel 4 define cuatro paquetes: WP0 de gestión, WP1 de medición verificada, WP2 de red, energía y plataforma, y WP3 de uso institucional, apropiación y custodia. Los tres últimos corresponden a los objetivos específicos OE1, OE2 y OE3. Esa correspondencia uno a uno permite medir el avance de cada objetivo con el presupuesto y con los indicadores de su paquete. La contrapartida es que ninguna actividad puede atender dos objetivos a la vez. El diseño acepta esa restricción porque simplifica la asignación de responsabilidades.</w:t>
      </w:r>
    </w:p>
    <w:p>
      <w:pPr>
        <w:pStyle w:val="BodyText"/>
      </w:pPr>
      <w:r>
        <w:rPr>
          <w:b/>
          <w:bCs/>
        </w:rPr>
        <w:t xml:space="preserve">Nivel 5: actividades.</w:t>
      </w:r>
      <w:r>
        <w:t xml:space="preserve"> </w:t>
      </w:r>
      <w:r>
        <w:t xml:space="preserve">El nivel 5 contiene 17 actividades, incluidas las compuertas C1 y C2 como actividades de dos semanas. Trece actividades forman la ruta crítica y cuatro tienen holgura de 2, 6 o 12 semanas. Las actividades de co-diseño y de formación (A3.1, A3.2 y A3.3) tienen la mayor holgura. Dependen de las compuertas y no del suministro de equipos. El capítulo 9 desarrolla esa red. La consecuencia metodológica es doble. Una demora en A1.3, la colocalización del piloto, retrasa todo el proyecto. Una demora en A3.1 consume holgura antes de afectar la compuerta C1.</w:t>
      </w:r>
    </w:p>
    <w:bookmarkEnd w:id="497"/>
    <w:bookmarkStart w:id="498" w:name="_Toc00900202"/>
    <w:p>
      <w:pPr>
        <w:pStyle w:val="Heading2"/>
      </w:pPr>
      <w:r>
        <w:t xml:space="preserve">7.2 Diccionario de la EDT</w:t>
      </w:r>
    </w:p>
    <w:p>
      <w:pPr>
        <w:pStyle w:val="FirstParagraph"/>
      </w:pPr>
      <w:r>
        <w:t xml:space="preserve">El diccionario describe cada paquete de trabajo con su alcance, sus entregables y sus criterios de aceptación. El diccionario complementa la EDT y evita la ambigüedad de los títulos breves (PMI, 2021). En este proyecto el diccionario cumple una segunda función: vincula cada paquete con su presupuesto y con los indicadores del sistema PERS. La Tabla 7.2 presenta los cuatro paquetes con el valor solicitado al Sistema General de Regalías (SGR), las persona-mes y los criterios de aceptación.</w:t>
      </w:r>
    </w:p>
    <w:p>
      <w:pPr>
        <w:pStyle w:val="TablaRotulo"/>
      </w:pPr>
      <w:bookmarkStart w:id="9299" w:name="rot_Tabla_7_2"/>
      <w:r>
        <w:rPr>
          <w:b/>
          <w:bCs/>
        </w:rPr>
        <w:t xml:space="preserve">Tabla 7.2</w:t>
      </w:r>
      <w:bookmarkEnd w:id="9299"/>
    </w:p>
    <w:p>
      <w:pPr>
        <w:pStyle w:val="TablaTitulo"/>
      </w:pPr>
      <w:r>
        <w:rPr>
          <w:i/>
          <w:iCs/>
        </w:rPr>
        <w:t xml:space="preserve">Diccionario de paquetes de trabajo con presupuesto SGR y criterios de aceptación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94"/>
        <w:gridCol w:w="1782"/>
        <w:gridCol w:w="1452"/>
        <w:gridCol w:w="924"/>
        <w:gridCol w:w="1386"/>
        <w:gridCol w:w="1782"/>
      </w:tblGrid>
      <w:tr>
        <w:trPr>
          <w:cantSplit/>
          <w:tblHeader/>
        </w:trPr>
        <w:tc>
          <w:tcPr>
            <w:shd w:val="clear" w:color="auto" w:fill="00B050"/>
          </w:tcPr>
          <w:p>
            <w:pPr>
              <w:pStyle w:val="Tabla9"/>
              <w:jc w:val="center"/>
            </w:pPr>
            <w:r>
              <w:rPr>
                <w:b/>
                <w:color w:val="FFFFFF"/>
              </w:rPr>
              <w:t xml:space="preserve">WP</w:t>
            </w:r>
          </w:p>
        </w:tc>
        <w:tc>
          <w:tcPr>
            <w:shd w:val="clear" w:color="auto" w:fill="00B050"/>
          </w:tcPr>
          <w:p>
            <w:pPr>
              <w:pStyle w:val="Tabla9"/>
              <w:jc w:val="center"/>
            </w:pPr>
            <w:r>
              <w:rPr>
                <w:b/>
                <w:color w:val="FFFFFF"/>
              </w:rPr>
              <w:t xml:space="preserve">Alcance</w:t>
            </w:r>
          </w:p>
        </w:tc>
        <w:tc>
          <w:tcPr>
            <w:shd w:val="clear" w:color="auto" w:fill="00B050"/>
          </w:tcPr>
          <w:p>
            <w:pPr>
              <w:pStyle w:val="Tabla9"/>
              <w:jc w:val="center"/>
            </w:pPr>
            <w:r>
              <w:rPr>
                <w:b/>
                <w:color w:val="FFFFFF"/>
              </w:rPr>
              <w:t xml:space="preserve">Entregables</w:t>
            </w:r>
          </w:p>
        </w:tc>
        <w:tc>
          <w:tcPr>
            <w:shd w:val="clear" w:color="auto" w:fill="00B050"/>
          </w:tcPr>
          <w:p>
            <w:pPr>
              <w:pStyle w:val="Tabla9"/>
              <w:jc w:val="center"/>
            </w:pPr>
            <w:r>
              <w:rPr>
                <w:b/>
                <w:color w:val="FFFFFF"/>
              </w:rPr>
              <w:t xml:space="preserve">Valor SGR</w:t>
            </w:r>
          </w:p>
        </w:tc>
        <w:tc>
          <w:tcPr>
            <w:shd w:val="clear" w:color="auto" w:fill="00B050"/>
          </w:tcPr>
          <w:p>
            <w:pPr>
              <w:pStyle w:val="Tabla9"/>
              <w:jc w:val="center"/>
            </w:pPr>
            <w:r>
              <w:rPr>
                <w:b/>
                <w:color w:val="FFFFFF"/>
              </w:rPr>
              <w:t xml:space="preserve">Cargos y persona-mes</w:t>
            </w:r>
          </w:p>
        </w:tc>
        <w:tc>
          <w:tcPr>
            <w:shd w:val="clear" w:color="auto" w:fill="00B050"/>
          </w:tcPr>
          <w:p>
            <w:pPr>
              <w:pStyle w:val="Tabla9"/>
              <w:jc w:val="center"/>
            </w:pPr>
            <w:r>
              <w:rPr>
                <w:b/>
                <w:color w:val="FFFFFF"/>
              </w:rPr>
              <w:t xml:space="preserve">Criterios de aceptación</w:t>
            </w:r>
          </w:p>
        </w:tc>
      </w:tr>
      <w:tr>
        <w:trPr>
          <w:cantSplit/>
        </w:trPr>
        <w:tc>
          <w:tcPr/>
          <w:p>
            <w:pPr>
              <w:pStyle w:val="Tabla9"/>
              <w:jc w:val="left"/>
            </w:pPr>
            <w:r>
              <w:t xml:space="preserve">WP0</w:t>
            </w:r>
          </w:p>
        </w:tc>
        <w:tc>
          <w:tcPr/>
          <w:p>
            <w:pPr>
              <w:pStyle w:val="Tabla9"/>
              <w:jc w:val="left"/>
            </w:pPr>
            <w:r>
              <w:t xml:space="preserve">Gestión, compuertas y cierre: contratación, seguimiento físico y financiero, actas de compuerta, evaluación externa y transferencia.</w:t>
            </w:r>
          </w:p>
        </w:tc>
        <w:tc>
          <w:tcPr/>
          <w:p>
            <w:pPr>
              <w:pStyle w:val="Tabla9"/>
              <w:jc w:val="left"/>
            </w:pPr>
            <w:r>
              <w:t xml:space="preserve">H0, H3 (C1), H5 (C2) y H8 (cierre)</w:t>
            </w:r>
          </w:p>
        </w:tc>
        <w:tc>
          <w:tcPr/>
          <w:p>
            <w:pPr>
              <w:pStyle w:val="Tabla9"/>
              <w:jc w:val="left"/>
            </w:pPr>
            <w:r>
              <w:t xml:space="preserve">1.436,0 M COP</w:t>
            </w:r>
          </w:p>
        </w:tc>
        <w:tc>
          <w:tcPr/>
          <w:p>
            <w:pPr>
              <w:pStyle w:val="Tabla9"/>
              <w:jc w:val="left"/>
            </w:pPr>
            <w:r>
              <w:t xml:space="preserve">1 cargos; 24 persona-mes</w:t>
            </w:r>
          </w:p>
        </w:tc>
        <w:tc>
          <w:tcPr/>
          <w:p>
            <w:pPr>
              <w:pStyle w:val="Tabla9"/>
              <w:jc w:val="left"/>
            </w:pPr>
            <w:r>
              <w:t xml:space="preserve">Informes mensuales entregados a tiempo (PERS-R06); desviación presupuestal de 10 % o menos y de 5 % o menos al cierre (PERS-R04); tres actas de compuerta firmadas.</w:t>
            </w:r>
          </w:p>
        </w:tc>
      </w:tr>
      <w:tr>
        <w:trPr>
          <w:cantSplit/>
        </w:trPr>
        <w:tc>
          <w:tcPr/>
          <w:p>
            <w:pPr>
              <w:pStyle w:val="Tabla9"/>
              <w:jc w:val="left"/>
            </w:pPr>
            <w:r>
              <w:t xml:space="preserve">WP1</w:t>
            </w:r>
          </w:p>
        </w:tc>
        <w:tc>
          <w:tcPr/>
          <w:p>
            <w:pPr>
              <w:pStyle w:val="Tabla9"/>
              <w:jc w:val="left"/>
            </w:pPr>
            <w:r>
              <w:t xml:space="preserve">Medición verificada (OE1): selección de sitios, colocalización con tres referencias gravimétricas, calibración, entrenamiento y validación del modelo de corrección.</w:t>
            </w:r>
          </w:p>
        </w:tc>
        <w:tc>
          <w:tcPr/>
          <w:p>
            <w:pPr>
              <w:pStyle w:val="Tabla9"/>
              <w:jc w:val="left"/>
            </w:pPr>
            <w:r>
              <w:t xml:space="preserve">H1, H2, H3, H4 y H7</w:t>
            </w:r>
          </w:p>
        </w:tc>
        <w:tc>
          <w:tcPr/>
          <w:p>
            <w:pPr>
              <w:pStyle w:val="Tabla9"/>
              <w:jc w:val="left"/>
            </w:pPr>
            <w:r>
              <w:t xml:space="preserve">1.732,3 M COP</w:t>
            </w:r>
          </w:p>
        </w:tc>
        <w:tc>
          <w:tcPr/>
          <w:p>
            <w:pPr>
              <w:pStyle w:val="Tabla9"/>
              <w:jc w:val="left"/>
            </w:pPr>
            <w:r>
              <w:t xml:space="preserve">10 cargos; 168 persona-mes</w:t>
            </w:r>
          </w:p>
        </w:tc>
        <w:tc>
          <w:tcPr/>
          <w:p>
            <w:pPr>
              <w:pStyle w:val="Tabla9"/>
              <w:jc w:val="left"/>
            </w:pPr>
            <w:r>
              <w:t xml:space="preserve">Línea base de error medida en el tramo 1; R² de 0,70 o más y NRMSE de 30 % o menos frente a la referencia; 60.000 horas-nodo válidas o más; seis ciclos de calibración.</w:t>
            </w:r>
          </w:p>
        </w:tc>
      </w:tr>
      <w:tr>
        <w:trPr>
          <w:cantSplit/>
        </w:trPr>
        <w:tc>
          <w:tcPr/>
          <w:p>
            <w:pPr>
              <w:pStyle w:val="Tabla9"/>
              <w:jc w:val="left"/>
            </w:pPr>
            <w:r>
              <w:t xml:space="preserve">WP2</w:t>
            </w:r>
          </w:p>
        </w:tc>
        <w:tc>
          <w:tcPr/>
          <w:p>
            <w:pPr>
              <w:pStyle w:val="Tabla9"/>
              <w:jc w:val="left"/>
            </w:pPr>
            <w:r>
              <w:t xml:space="preserve">Red, energía y plataforma (OE2): diseño de enlace y energía, firmware, instalación de 100 nodos y 10 gateways, nube y gemelo digital.</w:t>
            </w:r>
          </w:p>
        </w:tc>
        <w:tc>
          <w:tcPr/>
          <w:p>
            <w:pPr>
              <w:pStyle w:val="Tabla9"/>
              <w:jc w:val="left"/>
            </w:pPr>
            <w:r>
              <w:t xml:space="preserve">H1, H2, H4 y H6</w:t>
            </w:r>
          </w:p>
        </w:tc>
        <w:tc>
          <w:tcPr/>
          <w:p>
            <w:pPr>
              <w:pStyle w:val="Tabla9"/>
              <w:jc w:val="left"/>
            </w:pPr>
            <w:r>
              <w:t xml:space="preserve">4.180,1 M COP</w:t>
            </w:r>
          </w:p>
        </w:tc>
        <w:tc>
          <w:tcPr/>
          <w:p>
            <w:pPr>
              <w:pStyle w:val="Tabla9"/>
              <w:jc w:val="left"/>
            </w:pPr>
            <w:r>
              <w:t xml:space="preserve">13 cargos; 312 persona-mes</w:t>
            </w:r>
          </w:p>
        </w:tc>
        <w:tc>
          <w:tcPr/>
          <w:p>
            <w:pPr>
              <w:pStyle w:val="Tabla9"/>
              <w:jc w:val="left"/>
            </w:pPr>
            <w:r>
              <w:t xml:space="preserve">100 nodos y 10 gateways operativos; disponibilidad mensual de nodos de 90 % o más; pérdida de paquetes de 10 % o menos; autonomía de 14 días sin sol; almacenamiento local de 7 días.</w:t>
            </w:r>
          </w:p>
        </w:tc>
      </w:tr>
      <w:tr>
        <w:trPr>
          <w:cantSplit/>
        </w:trPr>
        <w:tc>
          <w:tcPr/>
          <w:p>
            <w:pPr>
              <w:pStyle w:val="Tabla9"/>
              <w:jc w:val="left"/>
            </w:pPr>
            <w:r>
              <w:t xml:space="preserve">WP3</w:t>
            </w:r>
          </w:p>
        </w:tc>
        <w:tc>
          <w:tcPr/>
          <w:p>
            <w:pPr>
              <w:pStyle w:val="Tabla9"/>
              <w:jc w:val="left"/>
            </w:pPr>
            <w:r>
              <w:t xml:space="preserve">Uso institucional, apropiación y custodia (OE3): co-diseño de umbrales, tablero, protocolo de alerta, formación de custodios y convenios por tramo.</w:t>
            </w:r>
          </w:p>
        </w:tc>
        <w:tc>
          <w:tcPr/>
          <w:p>
            <w:pPr>
              <w:pStyle w:val="Tabla9"/>
              <w:jc w:val="left"/>
            </w:pPr>
            <w:r>
              <w:t xml:space="preserve">H3, H5 y H8</w:t>
            </w:r>
          </w:p>
        </w:tc>
        <w:tc>
          <w:tcPr/>
          <w:p>
            <w:pPr>
              <w:pStyle w:val="Tabla9"/>
              <w:jc w:val="left"/>
            </w:pPr>
            <w:r>
              <w:t xml:space="preserve">1.381,5 M COP</w:t>
            </w:r>
          </w:p>
        </w:tc>
        <w:tc>
          <w:tcPr/>
          <w:p>
            <w:pPr>
              <w:pStyle w:val="Tabla9"/>
              <w:jc w:val="left"/>
            </w:pPr>
            <w:r>
              <w:t xml:space="preserve">5 cargos; 120 persona-mes</w:t>
            </w:r>
          </w:p>
        </w:tc>
        <w:tc>
          <w:tcPr/>
          <w:p>
            <w:pPr>
              <w:pStyle w:val="Tabla9"/>
              <w:jc w:val="left"/>
            </w:pPr>
            <w:r>
              <w:t xml:space="preserve">Uso del tablero por 75 % o más de los comités al mes 24; 29 actividades de apropiación documentadas; 60 personas certificadas o más; convenios de custodia con partida.</w:t>
            </w:r>
          </w:p>
        </w:tc>
      </w:tr>
    </w:tbl>
    <w:p>
      <w:pPr>
        <w:pStyle w:val="TablaNota"/>
      </w:pPr>
      <w:r>
        <w:rPr>
          <w:i/>
          <w:iCs/>
        </w:rPr>
        <w:t xml:space="preserve">Nota.</w:t>
      </w:r>
      <w:r>
        <w:t xml:space="preserve"> </w:t>
      </w:r>
      <w:r>
        <w:t xml:space="preserve">Elaboración propia con datos del libro maestro (líneas del presupuesto SGR por paquete) y de la ficha maestra §6 y §8. Los criterios de aceptación y la asignación de cargos son PROPUESTO; los valores monetarios son CALCULADOS. La suma de los cuatro paquetes es 8.729,8 M COP. Decimales con coma.</w:t>
      </w:r>
    </w:p>
    <w:p>
      <w:pPr>
        <w:pStyle w:val="BodyText"/>
      </w:pPr>
      <w:r>
        <w:t xml:space="preserve">El paquete WP2 concentra 4.425,6 millones de pesos colombianos (COP), es decir, 47,8 % del valor solicitado. Allí residen la compra de nodos, gateways y cabezales, la instalación y las instancias en la nube. El paquete WP1 suma 1.902,2 millones, el WP3 suma 1.393,5 millones y el WP0 suma 1.546,0 millones. Esta distribución sigue el orden de riesgo del registro. El riesgo extremo R-TEC-01 y los tres riesgos técnicos de nivel alto recaen sobre WP1 y WP2. La consecuencia es que los criterios de aceptación de WP1 y WP2 son los más exigentes y los únicos que condicionan las compuertas por desempeño.</w:t>
      </w:r>
    </w:p>
    <w:p>
      <w:pPr>
        <w:pStyle w:val="BodyText"/>
      </w:pPr>
      <w:r>
        <w:t xml:space="preserve">Los criterios de aceptación se redactan con umbrales medibles y con la fuente de verificación. Un criterio sin umbral no puede aprobarse ni rechazarse. Por esa razón el diccionario repite las metas del sistema PERS en lugar de parafrasearlas. Los umbrales de desempeño son R² de 0,70 o más y NRMSE de 30 % o menos. Toman como ancla los protocolos de la Agencia de Protección Ambiental de los Estados Unidos (U.S. Environmental Protection Agency [EPA], 2021) para uso informativo en sitio fijo. El umbral es una propuesta del equipo y requiere ratificación del panel evaluador (PROPUESTO, NO_VERIFICADO).</w:t>
      </w:r>
    </w:p>
    <w:p>
      <w:pPr>
        <w:pStyle w:val="BodyText"/>
      </w:pPr>
      <w:r>
        <w:t xml:space="preserve">Cada indicador de proceso y de producto del sistema PERS se asigna a un paquete de trabajo. WP1 responde por PERS-R02, PERS-R05, PERS-P02 y PERS-P03. WP2 responde por PERS-R01, PERS-R03 y PERS-P01. WP3 responde por PERS-P04 y por los indicadores de efecto y de sostenibilidad (PERS-E01 a PERS-E03, PERS-S01 y PERS-S02). WP0 responde por PERS-R04 y PERS-R06, aunque la ficha los vincule con OE3, porque miden gestión y no uso institucional. Esa asignación es PROPUESTO. Permite que la persona responsable de cada paquete reporte sus indicadores sin depender de otra y sin duplicar la medición (Funnell y Rogers, 2011).</w:t>
      </w:r>
    </w:p>
    <w:p>
      <w:pPr>
        <w:pStyle w:val="BodyText"/>
      </w:pPr>
      <w:r>
        <w:t xml:space="preserve">Dos posiciones sobre el nivel de detalle del diccionario merecen contraste. La primera, de orientación predictiva, defiende fijar criterios cerrados desde el inicio para evitar disputas en la entrega (PMI, 2021). La segunda, de orientación adaptativa, advierte que en tecnologías con incertidumbre los criterios deben revisarse con los datos del piloto (Collingridge, 1980). El proyecto adopta una solución mixta. Los criterios de WP1 y WP2 se fijan ahora. Los de WP3 sobre uso institucional se confirman en C1, cuando exista una línea base medida. Esa decisión reduce el riesgo de aprobar una meta que no se puede medir.</w:t>
      </w:r>
    </w:p>
    <w:p>
      <w:pPr>
        <w:pStyle w:val="BodyText"/>
      </w:pPr>
      <w:r>
        <w:t xml:space="preserve">La Tabla 7.3 cruza los nueve entregables con los paquetes que los producen. Cada fila indica el mes del hito, las actividades por paquete, la fase y la evidencia de verificación.</w:t>
      </w:r>
    </w:p>
    <w:p>
      <w:pPr>
        <w:pStyle w:val="TablaRotulo"/>
      </w:pPr>
      <w:bookmarkStart w:id="9300" w:name="rot_Tabla_7_3"/>
      <w:r>
        <w:rPr>
          <w:b/>
          <w:bCs/>
        </w:rPr>
        <w:t xml:space="preserve">Tabla 7.3</w:t>
      </w:r>
      <w:bookmarkEnd w:id="9300"/>
    </w:p>
    <w:p>
      <w:pPr>
        <w:pStyle w:val="TablaTitulo"/>
      </w:pPr>
      <w:r>
        <w:rPr>
          <w:i/>
          <w:iCs/>
        </w:rPr>
        <w:t xml:space="preserve">Matriz de entregables por paquete de trabajo, fase y evidencia de verificación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20"/>
        <w:gridCol w:w="2094"/>
        <w:gridCol w:w="589"/>
        <w:gridCol w:w="720"/>
        <w:gridCol w:w="1636"/>
        <w:gridCol w:w="2160"/>
      </w:tblGrid>
      <w:tr>
        <w:trPr>
          <w:cantSplit/>
          <w:tblHeader/>
        </w:trPr>
        <w:tc>
          <w:tcPr>
            <w:shd w:val="clear" w:color="auto" w:fill="00B050"/>
          </w:tcPr>
          <w:p>
            <w:pPr>
              <w:pStyle w:val="Tabla9"/>
              <w:jc w:val="center"/>
            </w:pPr>
            <w:r>
              <w:rPr>
                <w:b/>
                <w:color w:val="FFFFFF"/>
              </w:rPr>
              <w:t xml:space="preserve">Hito</w:t>
            </w:r>
          </w:p>
        </w:tc>
        <w:tc>
          <w:tcPr>
            <w:shd w:val="clear" w:color="auto" w:fill="00B050"/>
          </w:tcPr>
          <w:p>
            <w:pPr>
              <w:pStyle w:val="Tabla9"/>
              <w:jc w:val="center"/>
            </w:pPr>
            <w:r>
              <w:rPr>
                <w:b/>
                <w:color w:val="FFFFFF"/>
              </w:rPr>
              <w:t xml:space="preserve">Entregable</w:t>
            </w:r>
          </w:p>
        </w:tc>
        <w:tc>
          <w:tcPr>
            <w:shd w:val="clear" w:color="auto" w:fill="00B050"/>
          </w:tcPr>
          <w:p>
            <w:pPr>
              <w:pStyle w:val="Tabla9"/>
              <w:jc w:val="center"/>
            </w:pPr>
            <w:r>
              <w:rPr>
                <w:b/>
                <w:color w:val="FFFFFF"/>
              </w:rPr>
              <w:t xml:space="preserve">Mes</w:t>
            </w:r>
          </w:p>
        </w:tc>
        <w:tc>
          <w:tcPr>
            <w:shd w:val="clear" w:color="auto" w:fill="00B050"/>
          </w:tcPr>
          <w:p>
            <w:pPr>
              <w:pStyle w:val="Tabla9"/>
              <w:jc w:val="center"/>
            </w:pPr>
            <w:r>
              <w:rPr>
                <w:b/>
                <w:color w:val="FFFFFF"/>
              </w:rPr>
              <w:t xml:space="preserve">Fase</w:t>
            </w:r>
          </w:p>
        </w:tc>
        <w:tc>
          <w:tcPr>
            <w:shd w:val="clear" w:color="auto" w:fill="00B050"/>
          </w:tcPr>
          <w:p>
            <w:pPr>
              <w:pStyle w:val="Tabla9"/>
              <w:jc w:val="center"/>
            </w:pPr>
            <w:r>
              <w:rPr>
                <w:b/>
                <w:color w:val="FFFFFF"/>
              </w:rPr>
              <w:t xml:space="preserve">Actividades por paquete</w:t>
            </w:r>
          </w:p>
        </w:tc>
        <w:tc>
          <w:tcPr>
            <w:shd w:val="clear" w:color="auto" w:fill="00B050"/>
          </w:tcPr>
          <w:p>
            <w:pPr>
              <w:pStyle w:val="Tabla9"/>
              <w:jc w:val="center"/>
            </w:pPr>
            <w:r>
              <w:rPr>
                <w:b/>
                <w:color w:val="FFFFFF"/>
              </w:rPr>
              <w:t xml:space="preserve">Evidencia de verificación</w:t>
            </w:r>
          </w:p>
        </w:tc>
      </w:tr>
      <w:tr>
        <w:trPr>
          <w:cantSplit/>
        </w:trPr>
        <w:tc>
          <w:tcPr/>
          <w:p>
            <w:pPr>
              <w:pStyle w:val="Tabla9"/>
              <w:jc w:val="left"/>
            </w:pPr>
            <w:r>
              <w:t xml:space="preserve">H0</w:t>
            </w:r>
          </w:p>
        </w:tc>
        <w:tc>
          <w:tcPr/>
          <w:p>
            <w:pPr>
              <w:pStyle w:val="Tabla9"/>
              <w:jc w:val="left"/>
            </w:pPr>
            <w:r>
              <w:t xml:space="preserve">Acta de inicio y contratación completa</w:t>
            </w:r>
          </w:p>
        </w:tc>
        <w:tc>
          <w:tcPr/>
          <w:p>
            <w:pPr>
              <w:pStyle w:val="Tabla9"/>
              <w:jc w:val="left"/>
            </w:pPr>
            <w:r>
              <w:t xml:space="preserve">2</w:t>
            </w:r>
          </w:p>
        </w:tc>
        <w:tc>
          <w:tcPr/>
          <w:p>
            <w:pPr>
              <w:pStyle w:val="Tabla9"/>
              <w:jc w:val="left"/>
            </w:pPr>
            <w:r>
              <w:t xml:space="preserve">Fase 1</w:t>
            </w:r>
          </w:p>
        </w:tc>
        <w:tc>
          <w:tcPr/>
          <w:p>
            <w:pPr>
              <w:pStyle w:val="Tabla9"/>
              <w:jc w:val="left"/>
            </w:pPr>
            <w:r>
              <w:t xml:space="preserve">WP0: A0.1</w:t>
            </w:r>
          </w:p>
        </w:tc>
        <w:tc>
          <w:tcPr/>
          <w:p>
            <w:pPr>
              <w:pStyle w:val="Tabla9"/>
              <w:jc w:val="left"/>
            </w:pPr>
            <w:r>
              <w:t xml:space="preserve">Contratos, convenios y plan de trabajo aprobados</w:t>
            </w:r>
          </w:p>
        </w:tc>
      </w:tr>
      <w:tr>
        <w:trPr>
          <w:cantSplit/>
        </w:trPr>
        <w:tc>
          <w:tcPr/>
          <w:p>
            <w:pPr>
              <w:pStyle w:val="Tabla9"/>
              <w:jc w:val="left"/>
            </w:pPr>
            <w:r>
              <w:t xml:space="preserve">H1</w:t>
            </w:r>
          </w:p>
        </w:tc>
        <w:tc>
          <w:tcPr/>
          <w:p>
            <w:pPr>
              <w:pStyle w:val="Tabla9"/>
              <w:jc w:val="left"/>
            </w:pPr>
            <w:r>
              <w:t xml:space="preserve">Sitios del tramo 1 y diseño de enlace y energía listos</w:t>
            </w:r>
          </w:p>
        </w:tc>
        <w:tc>
          <w:tcPr/>
          <w:p>
            <w:pPr>
              <w:pStyle w:val="Tabla9"/>
              <w:jc w:val="left"/>
            </w:pPr>
            <w:r>
              <w:t xml:space="preserve">4</w:t>
            </w:r>
          </w:p>
        </w:tc>
        <w:tc>
          <w:tcPr/>
          <w:p>
            <w:pPr>
              <w:pStyle w:val="Tabla9"/>
              <w:jc w:val="left"/>
            </w:pPr>
            <w:r>
              <w:t xml:space="preserve">Fase 1</w:t>
            </w:r>
          </w:p>
        </w:tc>
        <w:tc>
          <w:tcPr/>
          <w:p>
            <w:pPr>
              <w:pStyle w:val="Tabla9"/>
              <w:jc w:val="left"/>
            </w:pPr>
            <w:r>
              <w:t xml:space="preserve">WP1: A1.1; WP2: A2.1</w:t>
            </w:r>
          </w:p>
        </w:tc>
        <w:tc>
          <w:tcPr/>
          <w:p>
            <w:pPr>
              <w:pStyle w:val="Tabla9"/>
              <w:jc w:val="left"/>
            </w:pPr>
            <w:r>
              <w:t xml:space="preserve">Informe de sitios, de cobertura y de energía</w:t>
            </w:r>
          </w:p>
        </w:tc>
      </w:tr>
      <w:tr>
        <w:trPr>
          <w:cantSplit/>
        </w:trPr>
        <w:tc>
          <w:tcPr/>
          <w:p>
            <w:pPr>
              <w:pStyle w:val="Tabla9"/>
              <w:jc w:val="left"/>
            </w:pPr>
            <w:r>
              <w:t xml:space="preserve">H2</w:t>
            </w:r>
          </w:p>
        </w:tc>
        <w:tc>
          <w:tcPr/>
          <w:p>
            <w:pPr>
              <w:pStyle w:val="Tabla9"/>
              <w:jc w:val="left"/>
            </w:pPr>
            <w:r>
              <w:t xml:space="preserve">Colocalización del tramo 1 finalizada</w:t>
            </w:r>
          </w:p>
        </w:tc>
        <w:tc>
          <w:tcPr/>
          <w:p>
            <w:pPr>
              <w:pStyle w:val="Tabla9"/>
              <w:jc w:val="left"/>
            </w:pPr>
            <w:r>
              <w:t xml:space="preserve">10</w:t>
            </w:r>
          </w:p>
        </w:tc>
        <w:tc>
          <w:tcPr/>
          <w:p>
            <w:pPr>
              <w:pStyle w:val="Tabla9"/>
              <w:jc w:val="left"/>
            </w:pPr>
            <w:r>
              <w:t xml:space="preserve">Fase 1</w:t>
            </w:r>
          </w:p>
        </w:tc>
        <w:tc>
          <w:tcPr/>
          <w:p>
            <w:pPr>
              <w:pStyle w:val="Tabla9"/>
              <w:jc w:val="left"/>
            </w:pPr>
            <w:r>
              <w:t xml:space="preserve">WP1: A1.2, A1.3; WP2: A2.2</w:t>
            </w:r>
          </w:p>
        </w:tc>
        <w:tc>
          <w:tcPr/>
          <w:p>
            <w:pPr>
              <w:pStyle w:val="Tabla9"/>
              <w:jc w:val="left"/>
            </w:pPr>
            <w:r>
              <w:t xml:space="preserve">Base de datos de colocalización y línea base de error medida</w:t>
            </w:r>
          </w:p>
        </w:tc>
      </w:tr>
      <w:tr>
        <w:trPr>
          <w:cantSplit/>
        </w:trPr>
        <w:tc>
          <w:tcPr/>
          <w:p>
            <w:pPr>
              <w:pStyle w:val="Tabla9"/>
              <w:jc w:val="left"/>
            </w:pPr>
            <w:r>
              <w:t xml:space="preserve">H3</w:t>
            </w:r>
          </w:p>
        </w:tc>
        <w:tc>
          <w:tcPr/>
          <w:p>
            <w:pPr>
              <w:pStyle w:val="Tabla9"/>
              <w:jc w:val="left"/>
            </w:pPr>
            <w:r>
              <w:t xml:space="preserve">Compuerta C1: modelo validado en el piloto</w:t>
            </w:r>
          </w:p>
        </w:tc>
        <w:tc>
          <w:tcPr/>
          <w:p>
            <w:pPr>
              <w:pStyle w:val="Tabla9"/>
              <w:jc w:val="left"/>
            </w:pPr>
            <w:r>
              <w:t xml:space="preserve">12</w:t>
            </w:r>
          </w:p>
        </w:tc>
        <w:tc>
          <w:tcPr/>
          <w:p>
            <w:pPr>
              <w:pStyle w:val="Tabla9"/>
              <w:jc w:val="left"/>
            </w:pPr>
            <w:r>
              <w:t xml:space="preserve">Fase 1</w:t>
            </w:r>
          </w:p>
        </w:tc>
        <w:tc>
          <w:tcPr/>
          <w:p>
            <w:pPr>
              <w:pStyle w:val="Tabla9"/>
              <w:jc w:val="left"/>
            </w:pPr>
            <w:r>
              <w:t xml:space="preserve">WP0: C1; WP1: A1.4; WP3: A3.1</w:t>
            </w:r>
          </w:p>
        </w:tc>
        <w:tc>
          <w:tcPr/>
          <w:p>
            <w:pPr>
              <w:pStyle w:val="Tabla9"/>
              <w:jc w:val="left"/>
            </w:pPr>
            <w:r>
              <w:t xml:space="preserve">Acta de compuerta con NRMSE y R² frente a referencia</w:t>
            </w:r>
          </w:p>
        </w:tc>
      </w:tr>
      <w:tr>
        <w:trPr>
          <w:cantSplit/>
        </w:trPr>
        <w:tc>
          <w:tcPr/>
          <w:p>
            <w:pPr>
              <w:pStyle w:val="Tabla9"/>
              <w:jc w:val="left"/>
            </w:pPr>
            <w:r>
              <w:t xml:space="preserve">H4</w:t>
            </w:r>
          </w:p>
        </w:tc>
        <w:tc>
          <w:tcPr/>
          <w:p>
            <w:pPr>
              <w:pStyle w:val="Tabla9"/>
              <w:jc w:val="left"/>
            </w:pPr>
            <w:r>
              <w:t xml:space="preserve">Tramo 2 instalado y verificado</w:t>
            </w:r>
          </w:p>
        </w:tc>
        <w:tc>
          <w:tcPr/>
          <w:p>
            <w:pPr>
              <w:pStyle w:val="Tabla9"/>
              <w:jc w:val="left"/>
            </w:pPr>
            <w:r>
              <w:t xml:space="preserve">16</w:t>
            </w:r>
          </w:p>
        </w:tc>
        <w:tc>
          <w:tcPr/>
          <w:p>
            <w:pPr>
              <w:pStyle w:val="Tabla9"/>
              <w:jc w:val="left"/>
            </w:pPr>
            <w:r>
              <w:t xml:space="preserve">Fase 2</w:t>
            </w:r>
          </w:p>
        </w:tc>
        <w:tc>
          <w:tcPr/>
          <w:p>
            <w:pPr>
              <w:pStyle w:val="Tabla9"/>
              <w:jc w:val="left"/>
            </w:pPr>
            <w:r>
              <w:t xml:space="preserve">WP1: A1.5; WP2: A2.3</w:t>
            </w:r>
          </w:p>
        </w:tc>
        <w:tc>
          <w:tcPr/>
          <w:p>
            <w:pPr>
              <w:pStyle w:val="Tabla9"/>
              <w:jc w:val="left"/>
            </w:pPr>
            <w:r>
              <w:t xml:space="preserve">Informe de disponibilidad y desempeño del tramo 2</w:t>
            </w:r>
          </w:p>
        </w:tc>
      </w:tr>
      <w:tr>
        <w:trPr>
          <w:cantSplit/>
        </w:trPr>
        <w:tc>
          <w:tcPr/>
          <w:p>
            <w:pPr>
              <w:pStyle w:val="Tabla9"/>
              <w:jc w:val="left"/>
            </w:pPr>
            <w:r>
              <w:t xml:space="preserve">H5</w:t>
            </w:r>
          </w:p>
        </w:tc>
        <w:tc>
          <w:tcPr/>
          <w:p>
            <w:pPr>
              <w:pStyle w:val="Tabla9"/>
              <w:jc w:val="left"/>
            </w:pPr>
            <w:r>
              <w:t xml:space="preserve">Compuerta C2: uso institucional y desempeño</w:t>
            </w:r>
          </w:p>
        </w:tc>
        <w:tc>
          <w:tcPr/>
          <w:p>
            <w:pPr>
              <w:pStyle w:val="Tabla9"/>
              <w:jc w:val="left"/>
            </w:pPr>
            <w:r>
              <w:t xml:space="preserve">17</w:t>
            </w:r>
          </w:p>
        </w:tc>
        <w:tc>
          <w:tcPr/>
          <w:p>
            <w:pPr>
              <w:pStyle w:val="Tabla9"/>
              <w:jc w:val="left"/>
            </w:pPr>
            <w:r>
              <w:t xml:space="preserve">Fase 2</w:t>
            </w:r>
          </w:p>
        </w:tc>
        <w:tc>
          <w:tcPr/>
          <w:p>
            <w:pPr>
              <w:pStyle w:val="Tabla9"/>
              <w:jc w:val="left"/>
            </w:pPr>
            <w:r>
              <w:t xml:space="preserve">WP0: C2; WP3: A3.2</w:t>
            </w:r>
          </w:p>
        </w:tc>
        <w:tc>
          <w:tcPr/>
          <w:p>
            <w:pPr>
              <w:pStyle w:val="Tabla9"/>
              <w:jc w:val="left"/>
            </w:pPr>
            <w:r>
              <w:t xml:space="preserve">Acta de compuerta con uso del tablero y convenios</w:t>
            </w:r>
          </w:p>
        </w:tc>
      </w:tr>
      <w:tr>
        <w:trPr>
          <w:cantSplit/>
        </w:trPr>
        <w:tc>
          <w:tcPr/>
          <w:p>
            <w:pPr>
              <w:pStyle w:val="Tabla9"/>
              <w:jc w:val="left"/>
            </w:pPr>
            <w:r>
              <w:t xml:space="preserve">H6</w:t>
            </w:r>
          </w:p>
        </w:tc>
        <w:tc>
          <w:tcPr/>
          <w:p>
            <w:pPr>
              <w:pStyle w:val="Tabla9"/>
              <w:jc w:val="left"/>
            </w:pPr>
            <w:r>
              <w:t xml:space="preserve">Tramo 3 instalado</w:t>
            </w:r>
          </w:p>
        </w:tc>
        <w:tc>
          <w:tcPr/>
          <w:p>
            <w:pPr>
              <w:pStyle w:val="Tabla9"/>
              <w:jc w:val="left"/>
            </w:pPr>
            <w:r>
              <w:t xml:space="preserve">19</w:t>
            </w:r>
          </w:p>
        </w:tc>
        <w:tc>
          <w:tcPr/>
          <w:p>
            <w:pPr>
              <w:pStyle w:val="Tabla9"/>
              <w:jc w:val="left"/>
            </w:pPr>
            <w:r>
              <w:t xml:space="preserve">Fase 3</w:t>
            </w:r>
          </w:p>
        </w:tc>
        <w:tc>
          <w:tcPr/>
          <w:p>
            <w:pPr>
              <w:pStyle w:val="Tabla9"/>
              <w:jc w:val="left"/>
            </w:pPr>
            <w:r>
              <w:t xml:space="preserve">WP2: A2.4</w:t>
            </w:r>
          </w:p>
        </w:tc>
        <w:tc>
          <w:tcPr/>
          <w:p>
            <w:pPr>
              <w:pStyle w:val="Tabla9"/>
              <w:jc w:val="left"/>
            </w:pPr>
            <w:r>
              <w:t xml:space="preserve">Inventario de 100 nodos y 10 gateways operativos</w:t>
            </w:r>
          </w:p>
        </w:tc>
      </w:tr>
      <w:tr>
        <w:trPr>
          <w:cantSplit/>
        </w:trPr>
        <w:tc>
          <w:tcPr/>
          <w:p>
            <w:pPr>
              <w:pStyle w:val="Tabla9"/>
              <w:jc w:val="left"/>
            </w:pPr>
            <w:r>
              <w:t xml:space="preserve">H7</w:t>
            </w:r>
          </w:p>
        </w:tc>
        <w:tc>
          <w:tcPr/>
          <w:p>
            <w:pPr>
              <w:pStyle w:val="Tabla9"/>
              <w:jc w:val="left"/>
            </w:pPr>
            <w:r>
              <w:t xml:space="preserve">Ensayo independiente y evaluación final</w:t>
            </w:r>
          </w:p>
        </w:tc>
        <w:tc>
          <w:tcPr/>
          <w:p>
            <w:pPr>
              <w:pStyle w:val="Tabla9"/>
              <w:jc w:val="left"/>
            </w:pPr>
            <w:r>
              <w:t xml:space="preserve">23</w:t>
            </w:r>
          </w:p>
        </w:tc>
        <w:tc>
          <w:tcPr/>
          <w:p>
            <w:pPr>
              <w:pStyle w:val="Tabla9"/>
              <w:jc w:val="left"/>
            </w:pPr>
            <w:r>
              <w:t xml:space="preserve">Fase 3</w:t>
            </w:r>
          </w:p>
        </w:tc>
        <w:tc>
          <w:tcPr/>
          <w:p>
            <w:pPr>
              <w:pStyle w:val="Tabla9"/>
              <w:jc w:val="left"/>
            </w:pPr>
            <w:r>
              <w:t xml:space="preserve">WP1: A1.6</w:t>
            </w:r>
          </w:p>
        </w:tc>
        <w:tc>
          <w:tcPr/>
          <w:p>
            <w:pPr>
              <w:pStyle w:val="Tabla9"/>
              <w:jc w:val="left"/>
            </w:pPr>
            <w:r>
              <w:t xml:space="preserve">Informe de laboratorio externo y evaluación externa</w:t>
            </w:r>
          </w:p>
        </w:tc>
      </w:tr>
      <w:tr>
        <w:trPr>
          <w:cantSplit/>
        </w:trPr>
        <w:tc>
          <w:tcPr/>
          <w:p>
            <w:pPr>
              <w:pStyle w:val="Tabla9"/>
              <w:jc w:val="left"/>
            </w:pPr>
            <w:r>
              <w:t xml:space="preserve">H8</w:t>
            </w:r>
          </w:p>
        </w:tc>
        <w:tc>
          <w:tcPr/>
          <w:p>
            <w:pPr>
              <w:pStyle w:val="Tabla9"/>
              <w:jc w:val="left"/>
            </w:pPr>
            <w:r>
              <w:t xml:space="preserve">Transferencia y cierre del tramo 3</w:t>
            </w:r>
          </w:p>
        </w:tc>
        <w:tc>
          <w:tcPr/>
          <w:p>
            <w:pPr>
              <w:pStyle w:val="Tabla9"/>
              <w:jc w:val="left"/>
            </w:pPr>
            <w:r>
              <w:t xml:space="preserve">24</w:t>
            </w:r>
          </w:p>
        </w:tc>
        <w:tc>
          <w:tcPr/>
          <w:p>
            <w:pPr>
              <w:pStyle w:val="Tabla9"/>
              <w:jc w:val="left"/>
            </w:pPr>
            <w:r>
              <w:t xml:space="preserve">Fase 3</w:t>
            </w:r>
          </w:p>
        </w:tc>
        <w:tc>
          <w:tcPr/>
          <w:p>
            <w:pPr>
              <w:pStyle w:val="Tabla9"/>
              <w:jc w:val="left"/>
            </w:pPr>
            <w:r>
              <w:t xml:space="preserve">WP0: A3.4; WP3: A3.3</w:t>
            </w:r>
          </w:p>
        </w:tc>
        <w:tc>
          <w:tcPr/>
          <w:p>
            <w:pPr>
              <w:pStyle w:val="Tabla9"/>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(HITOS y ACT). El mes de calendario resulta de dividir las semanas entre 52/12 y redondear hacia arriba. La asignación de actividades a entregables sigue la regla del primer hito alcanzable aguas abajo. Naturaleza: CALCULADO para meses y PROPUESTO para evidencias.</w:t>
      </w:r>
    </w:p>
    <w:p>
      <w:pPr>
        <w:pStyle w:val="BodyText"/>
      </w:pPr>
      <w:r>
        <w:t xml:space="preserve">La matriz muestra que seis entregables dependen de más de un paquete. H1, H2, H3, H4, H5 y H8 requieren coordinación entre dos o tres paquetes, y por tanto exigen una responsabilidad única de integración. La asignan la gerencia de proyecto y el comité directivo, como se detalla en la sección siguiente. La ruta crítica atraviesa WP0, WP1 y WP2, mientras WP3 aporta holgura. En consecuencia, el seguimiento semanal prioriza las actividades críticas y el mensual cubre las de holgura.</w:t>
      </w:r>
    </w:p>
    <w:p>
      <w:pPr>
        <w:pStyle w:val="BodyText"/>
      </w:pPr>
      <w:r>
        <w:t xml:space="preserve">El diccionario también resuelve un problema de trazabilidad presupuestal. Cada una de las 54 líneas del presupuesto SGR pertenece a un solo paquete, y cada paquete agrupa entre 7 y 23 líneas. La regla evita doble contabilización y permite reconstruir el valor de un entregable. El valor del piloto del tramo 1, por ejemplo, surge de sumar las líneas de WP1 y WP2 ejecutadas entre los meses 1 y 12. El capítulo 8 aplica esa regla en el flujo de caja y en la curva S.</w:t>
      </w:r>
    </w:p>
    <w:bookmarkEnd w:id="498"/>
    <w:bookmarkStart w:id="502" w:name="_Toc00900203"/>
    <w:p>
      <w:pPr>
        <w:pStyle w:val="Heading2"/>
      </w:pPr>
      <w:r>
        <w:t xml:space="preserve">7.3 Matriz de Responsabilidades (RACI)</w:t>
      </w:r>
    </w:p>
    <w:p>
      <w:pPr>
        <w:pStyle w:val="FirstParagraph"/>
      </w:pPr>
      <w:r>
        <w:t xml:space="preserve">La matriz RACI asigna a cada actividad un nivel de responsabilidad por rol. Las cuatro letras tienen un significado fijo. R designa al responsable, quien ejecuta. A designa al aprobador, quien responde por el resultado y firma. C designa al consultado, quien aporta antes de decidir. I designa al informado, quien recibe el resultado. La práctica habitual de la matriz exige un solo aprobador por actividad. El diseño respeta esa regla. Cuando el aprobador también ejecuta, la celda indica A/R. La Tabla 7.4 presenta la matriz para las 17 actividades de la EDT.</w:t>
      </w:r>
    </w:p>
    <w:p>
      <w:pPr>
        <w:pStyle w:val="TablaRotulo"/>
      </w:pPr>
      <w:bookmarkStart w:id="9301" w:name="rot_Tabla_7_4"/>
      <w:r>
        <w:rPr>
          <w:b/>
          <w:bCs/>
        </w:rPr>
        <w:t xml:space="preserve">Tabla 7.4</w:t>
      </w:r>
      <w:bookmarkEnd w:id="9301"/>
    </w:p>
    <w:p>
      <w:pPr>
        <w:pStyle w:val="TablaTitulo"/>
      </w:pPr>
      <w:r>
        <w:rPr>
          <w:i/>
          <w:iCs/>
        </w:rPr>
        <w:t xml:space="preserve">Matriz RACI por actividad y paquete de trabajo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80"/>
        <w:gridCol w:w="708"/>
        <w:gridCol w:w="579"/>
        <w:gridCol w:w="579"/>
        <w:gridCol w:w="579"/>
        <w:gridCol w:w="708"/>
        <w:gridCol w:w="708"/>
        <w:gridCol w:w="708"/>
        <w:gridCol w:w="579"/>
        <w:gridCol w:w="579"/>
        <w:gridCol w:w="708"/>
      </w:tblGrid>
      <w:tr>
        <w:trPr>
          <w:cantSplit/>
          <w:tblHeader/>
        </w:trPr>
        <w:tc>
          <w:tcPr>
            <w:shd w:val="clear" w:color="auto" w:fill="00B050"/>
          </w:tcPr>
          <w:p>
            <w:pPr>
              <w:pStyle w:val="Tabla7"/>
              <w:jc w:val="center"/>
            </w:pPr>
            <w:r>
              <w:rPr>
                <w:b/>
                <w:color w:val="FFFFFF"/>
              </w:rPr>
              <w:t xml:space="preserve">Actividad</w:t>
            </w:r>
          </w:p>
        </w:tc>
        <w:tc>
          <w:tcPr>
            <w:shd w:val="clear" w:color="auto" w:fill="00B050"/>
          </w:tcPr>
          <w:p>
            <w:pPr>
              <w:pStyle w:val="Tabla7"/>
              <w:jc w:val="center"/>
            </w:pPr>
            <w:r>
              <w:rPr>
                <w:b/>
                <w:color w:val="FFFFFF"/>
              </w:rPr>
              <w:t xml:space="preserve">WP</w:t>
            </w:r>
          </w:p>
        </w:tc>
        <w:tc>
          <w:tcPr>
            <w:shd w:val="clear" w:color="auto" w:fill="00B050"/>
          </w:tcPr>
          <w:p>
            <w:pPr>
              <w:pStyle w:val="Tabla7"/>
              <w:jc w:val="center"/>
            </w:pPr>
            <w:r>
              <w:rPr>
                <w:b/>
                <w:color w:val="FFFFFF"/>
              </w:rPr>
              <w:t xml:space="preserve">CD</w:t>
            </w:r>
          </w:p>
        </w:tc>
        <w:tc>
          <w:tcPr>
            <w:shd w:val="clear" w:color="auto" w:fill="00B050"/>
          </w:tcPr>
          <w:p>
            <w:pPr>
              <w:pStyle w:val="Tabla7"/>
              <w:jc w:val="center"/>
            </w:pPr>
            <w:r>
              <w:rPr>
                <w:b/>
                <w:color w:val="FFFFFF"/>
              </w:rPr>
              <w:t xml:space="preserve">GP</w:t>
            </w:r>
          </w:p>
        </w:tc>
        <w:tc>
          <w:tcPr>
            <w:shd w:val="clear" w:color="auto" w:fill="00B050"/>
          </w:tcPr>
          <w:p>
            <w:pPr>
              <w:pStyle w:val="Tabla7"/>
              <w:jc w:val="center"/>
            </w:pPr>
            <w:r>
              <w:rPr>
                <w:b/>
                <w:color w:val="FFFFFF"/>
              </w:rPr>
              <w:t xml:space="preserve">DC</w:t>
            </w:r>
          </w:p>
        </w:tc>
        <w:tc>
          <w:tcPr>
            <w:shd w:val="clear" w:color="auto" w:fill="00B050"/>
          </w:tcPr>
          <w:p>
            <w:pPr>
              <w:pStyle w:val="Tabla7"/>
              <w:jc w:val="center"/>
            </w:pPr>
            <w:r>
              <w:rPr>
                <w:b/>
                <w:color w:val="FFFFFF"/>
              </w:rPr>
              <w:t xml:space="preserve">MET</w:t>
            </w:r>
          </w:p>
        </w:tc>
        <w:tc>
          <w:tcPr>
            <w:shd w:val="clear" w:color="auto" w:fill="00B050"/>
          </w:tcPr>
          <w:p>
            <w:pPr>
              <w:pStyle w:val="Tabla7"/>
              <w:jc w:val="center"/>
            </w:pPr>
            <w:r>
              <w:rPr>
                <w:b/>
                <w:color w:val="FFFFFF"/>
              </w:rPr>
              <w:t xml:space="preserve">IOT</w:t>
            </w:r>
          </w:p>
        </w:tc>
        <w:tc>
          <w:tcPr>
            <w:shd w:val="clear" w:color="auto" w:fill="00B050"/>
          </w:tcPr>
          <w:p>
            <w:pPr>
              <w:pStyle w:val="Tabla7"/>
              <w:jc w:val="center"/>
            </w:pPr>
            <w:r>
              <w:rPr>
                <w:b/>
                <w:color w:val="FFFFFF"/>
              </w:rPr>
              <w:t xml:space="preserve">ASC</w:t>
            </w:r>
          </w:p>
        </w:tc>
        <w:tc>
          <w:tcPr>
            <w:shd w:val="clear" w:color="auto" w:fill="00B050"/>
          </w:tcPr>
          <w:p>
            <w:pPr>
              <w:pStyle w:val="Tabla7"/>
              <w:jc w:val="center"/>
            </w:pPr>
            <w:r>
              <w:rPr>
                <w:b/>
                <w:color w:val="FFFFFF"/>
              </w:rPr>
              <w:t xml:space="preserve">EV</w:t>
            </w:r>
          </w:p>
        </w:tc>
        <w:tc>
          <w:tcPr>
            <w:shd w:val="clear" w:color="auto" w:fill="00B050"/>
          </w:tcPr>
          <w:p>
            <w:pPr>
              <w:pStyle w:val="Tabla7"/>
              <w:jc w:val="center"/>
            </w:pPr>
            <w:r>
              <w:rPr>
                <w:b/>
                <w:color w:val="FFFFFF"/>
              </w:rPr>
              <w:t xml:space="preserve">US</w:t>
            </w:r>
          </w:p>
        </w:tc>
        <w:tc>
          <w:tcPr>
            <w:shd w:val="clear" w:color="auto" w:fill="00B050"/>
          </w:tcPr>
          <w:p>
            <w:pPr>
              <w:pStyle w:val="Tabla7"/>
              <w:jc w:val="center"/>
            </w:pPr>
            <w:r>
              <w:rPr>
                <w:b/>
                <w:color w:val="FFFFFF"/>
              </w:rPr>
              <w:t xml:space="preserve">FIN</w:t>
            </w:r>
          </w:p>
        </w:tc>
      </w:tr>
      <w:tr>
        <w:trPr>
          <w:cantSplit/>
        </w:trPr>
        <w:tc>
          <w:tcPr/>
          <w:p>
            <w:pPr>
              <w:pStyle w:val="Tabla7"/>
              <w:jc w:val="left"/>
            </w:pPr>
            <w:r>
              <w:t xml:space="preserve">A0.1 (crítica)</w:t>
            </w:r>
          </w:p>
        </w:tc>
        <w:tc>
          <w:tcPr/>
          <w:p>
            <w:pPr>
              <w:pStyle w:val="Tabla7"/>
              <w:jc w:val="left"/>
            </w:pPr>
            <w:r>
              <w:t xml:space="preserve">WP0</w:t>
            </w:r>
          </w:p>
        </w:tc>
        <w:tc>
          <w:tcPr/>
          <w:p>
            <w:pPr>
              <w:pStyle w:val="Tabla7"/>
              <w:jc w:val="left"/>
            </w:pPr>
            <w:r>
              <w:t xml:space="preserve">C</w:t>
            </w:r>
          </w:p>
        </w:tc>
        <w:tc>
          <w:tcPr/>
          <w:p>
            <w:pPr>
              <w:pStyle w:val="Tabla7"/>
              <w:jc w:val="left"/>
            </w:pPr>
            <w:r>
              <w:t xml:space="preserve">A/R</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c>
          <w:tcPr/>
          <w:p>
            <w:pPr>
              <w:pStyle w:val="Tabla7"/>
              <w:jc w:val="left"/>
            </w:pPr>
            <w:r>
              <w:t xml:space="preserve">R</w:t>
            </w:r>
          </w:p>
        </w:tc>
        <w:tc>
          <w:tcPr/>
          <w:p>
            <w:pPr>
              <w:pStyle w:val="Tabla7"/>
            </w:pPr>
          </w:p>
        </w:tc>
        <w:tc>
          <w:tcPr/>
          <w:p>
            <w:pPr>
              <w:pStyle w:val="Tabla7"/>
            </w:pPr>
          </w:p>
        </w:tc>
        <w:tc>
          <w:tcPr/>
          <w:p>
            <w:pPr>
              <w:pStyle w:val="Tabla7"/>
              <w:jc w:val="left"/>
            </w:pPr>
            <w:r>
              <w:t xml:space="preserve">I</w:t>
            </w:r>
          </w:p>
        </w:tc>
      </w:tr>
      <w:tr>
        <w:trPr>
          <w:cantSplit/>
        </w:trPr>
        <w:tc>
          <w:tcPr/>
          <w:p>
            <w:pPr>
              <w:pStyle w:val="Tabla7"/>
              <w:jc w:val="left"/>
            </w:pPr>
            <w:r>
              <w:t xml:space="preserve">A1.1</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pPr>
          </w:p>
        </w:tc>
        <w:tc>
          <w:tcPr/>
          <w:p>
            <w:pPr>
              <w:pStyle w:val="Tabla7"/>
              <w:jc w:val="left"/>
            </w:pPr>
            <w:r>
              <w:t xml:space="preserve">C</w:t>
            </w:r>
          </w:p>
        </w:tc>
        <w:tc>
          <w:tcPr/>
          <w:p>
            <w:pPr>
              <w:pStyle w:val="Tabla7"/>
            </w:pPr>
          </w:p>
        </w:tc>
      </w:tr>
      <w:tr>
        <w:trPr>
          <w:cantSplit/>
        </w:trPr>
        <w:tc>
          <w:tcPr/>
          <w:p>
            <w:pPr>
              <w:pStyle w:val="Tabla7"/>
              <w:jc w:val="left"/>
            </w:pPr>
            <w:r>
              <w:t xml:space="preserve">A2.1 (crítica)</w:t>
            </w:r>
          </w:p>
        </w:tc>
        <w:tc>
          <w:tcPr/>
          <w:p>
            <w:pPr>
              <w:pStyle w:val="Tabla7"/>
              <w:jc w:val="left"/>
            </w:pPr>
            <w:r>
              <w:t xml:space="preserve">WP2</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pPr>
          </w:p>
        </w:tc>
        <w:tc>
          <w:tcPr/>
          <w:p>
            <w:pPr>
              <w:pStyle w:val="Tabla7"/>
            </w:pPr>
          </w:p>
        </w:tc>
        <w:tc>
          <w:tcPr/>
          <w:p>
            <w:pPr>
              <w:pStyle w:val="Tabla7"/>
            </w:pPr>
          </w:p>
        </w:tc>
      </w:tr>
      <w:tr>
        <w:trPr>
          <w:cantSplit/>
        </w:trPr>
        <w:tc>
          <w:tcPr/>
          <w:p>
            <w:pPr>
              <w:pStyle w:val="Tabla7"/>
              <w:jc w:val="left"/>
            </w:pPr>
            <w:r>
              <w:t xml:space="preserve">A3.1</w:t>
            </w:r>
          </w:p>
        </w:tc>
        <w:tc>
          <w:tcPr/>
          <w:p>
            <w:pPr>
              <w:pStyle w:val="Tabla7"/>
              <w:jc w:val="left"/>
            </w:pPr>
            <w:r>
              <w:t xml:space="preserve">WP3</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jc w:val="left"/>
            </w:pPr>
            <w:r>
              <w:t xml:space="preserve">R</w:t>
            </w:r>
          </w:p>
        </w:tc>
        <w:tc>
          <w:tcPr/>
          <w:p>
            <w:pPr>
              <w:pStyle w:val="Tabla7"/>
            </w:pPr>
          </w:p>
        </w:tc>
      </w:tr>
      <w:tr>
        <w:trPr>
          <w:cantSplit/>
        </w:trPr>
        <w:tc>
          <w:tcPr/>
          <w:p>
            <w:pPr>
              <w:pStyle w:val="Tabla7"/>
              <w:jc w:val="left"/>
            </w:pPr>
            <w:r>
              <w:t xml:space="preserve">A1.2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pPr>
          </w:p>
        </w:tc>
        <w:tc>
          <w:tcPr/>
          <w:p>
            <w:pPr>
              <w:pStyle w:val="Tabla7"/>
            </w:pPr>
          </w:p>
        </w:tc>
        <w:tc>
          <w:tcPr/>
          <w:p>
            <w:pPr>
              <w:pStyle w:val="Tabla7"/>
            </w:pPr>
          </w:p>
        </w:tc>
        <w:tc>
          <w:tcPr/>
          <w:p>
            <w:pPr>
              <w:pStyle w:val="Tabla7"/>
            </w:pPr>
          </w:p>
        </w:tc>
      </w:tr>
      <w:tr>
        <w:trPr>
          <w:cantSplit/>
        </w:trPr>
        <w:tc>
          <w:tcPr/>
          <w:p>
            <w:pPr>
              <w:pStyle w:val="Tabla7"/>
              <w:jc w:val="left"/>
            </w:pPr>
            <w:r>
              <w:t xml:space="preserve">A2.2 (crítica)</w:t>
            </w:r>
          </w:p>
        </w:tc>
        <w:tc>
          <w:tcPr/>
          <w:p>
            <w:pPr>
              <w:pStyle w:val="Tabla7"/>
              <w:jc w:val="left"/>
            </w:pPr>
            <w:r>
              <w:t xml:space="preserve">WP2</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pPr>
          </w:p>
        </w:tc>
        <w:tc>
          <w:tcPr/>
          <w:p>
            <w:pPr>
              <w:pStyle w:val="Tabla7"/>
            </w:pPr>
          </w:p>
        </w:tc>
        <w:tc>
          <w:tcPr/>
          <w:p>
            <w:pPr>
              <w:pStyle w:val="Tabla7"/>
            </w:pPr>
          </w:p>
        </w:tc>
      </w:tr>
      <w:tr>
        <w:trPr>
          <w:cantSplit/>
        </w:trPr>
        <w:tc>
          <w:tcPr/>
          <w:p>
            <w:pPr>
              <w:pStyle w:val="Tabla7"/>
              <w:jc w:val="left"/>
            </w:pPr>
            <w:r>
              <w:t xml:space="preserve">A1.3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jc w:val="left"/>
            </w:pPr>
            <w:r>
              <w:t xml:space="preserve">C</w:t>
            </w:r>
          </w:p>
        </w:tc>
        <w:tc>
          <w:tcPr/>
          <w:p>
            <w:pPr>
              <w:pStyle w:val="Tabla7"/>
              <w:jc w:val="left"/>
            </w:pPr>
            <w:r>
              <w:t xml:space="preserve">I</w:t>
            </w:r>
          </w:p>
        </w:tc>
        <w:tc>
          <w:tcPr/>
          <w:p>
            <w:pPr>
              <w:pStyle w:val="Tabla7"/>
              <w:jc w:val="left"/>
            </w:pPr>
            <w:r>
              <w:t xml:space="preserve">C</w:t>
            </w:r>
          </w:p>
        </w:tc>
        <w:tc>
          <w:tcPr/>
          <w:p>
            <w:pPr>
              <w:pStyle w:val="Tabla7"/>
            </w:pPr>
          </w:p>
        </w:tc>
      </w:tr>
      <w:tr>
        <w:trPr>
          <w:cantSplit/>
        </w:trPr>
        <w:tc>
          <w:tcPr/>
          <w:p>
            <w:pPr>
              <w:pStyle w:val="Tabla7"/>
              <w:jc w:val="left"/>
            </w:pPr>
            <w:r>
              <w:t xml:space="preserve">A1.4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pPr>
          </w:p>
        </w:tc>
        <w:tc>
          <w:tcPr/>
          <w:p>
            <w:pPr>
              <w:pStyle w:val="Tabla7"/>
              <w:jc w:val="left"/>
            </w:pPr>
            <w:r>
              <w:t xml:space="preserve">I</w:t>
            </w:r>
          </w:p>
        </w:tc>
        <w:tc>
          <w:tcPr/>
          <w:p>
            <w:pPr>
              <w:pStyle w:val="Tabla7"/>
            </w:pPr>
          </w:p>
        </w:tc>
        <w:tc>
          <w:tcPr/>
          <w:p>
            <w:pPr>
              <w:pStyle w:val="Tabla7"/>
            </w:pPr>
          </w:p>
        </w:tc>
      </w:tr>
      <w:tr>
        <w:trPr>
          <w:cantSplit/>
        </w:trPr>
        <w:tc>
          <w:tcPr/>
          <w:p>
            <w:pPr>
              <w:pStyle w:val="Tabla7"/>
              <w:jc w:val="left"/>
            </w:pPr>
            <w:r>
              <w:t xml:space="preserve">C1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r>
      <w:tr>
        <w:trPr>
          <w:cantSplit/>
        </w:trPr>
        <w:tc>
          <w:tcPr/>
          <w:p>
            <w:pPr>
              <w:pStyle w:val="Tabla7"/>
              <w:jc w:val="left"/>
            </w:pPr>
            <w:r>
              <w:t xml:space="preserve">A2.3 (crítica)</w:t>
            </w:r>
          </w:p>
        </w:tc>
        <w:tc>
          <w:tcPr/>
          <w:p>
            <w:pPr>
              <w:pStyle w:val="Tabla7"/>
              <w:jc w:val="left"/>
            </w:pPr>
            <w:r>
              <w:t xml:space="preserve">WP2</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jc w:val="left"/>
            </w:pPr>
            <w:r>
              <w:t xml:space="preserve">C</w:t>
            </w:r>
          </w:p>
        </w:tc>
        <w:tc>
          <w:tcPr/>
          <w:p>
            <w:pPr>
              <w:pStyle w:val="Tabla7"/>
            </w:pPr>
          </w:p>
        </w:tc>
        <w:tc>
          <w:tcPr/>
          <w:p>
            <w:pPr>
              <w:pStyle w:val="Tabla7"/>
              <w:jc w:val="left"/>
            </w:pPr>
            <w:r>
              <w:t xml:space="preserve">I</w:t>
            </w:r>
          </w:p>
        </w:tc>
        <w:tc>
          <w:tcPr/>
          <w:p>
            <w:pPr>
              <w:pStyle w:val="Tabla7"/>
            </w:pPr>
          </w:p>
        </w:tc>
      </w:tr>
      <w:tr>
        <w:trPr>
          <w:cantSplit/>
        </w:trPr>
        <w:tc>
          <w:tcPr/>
          <w:p>
            <w:pPr>
              <w:pStyle w:val="Tabla7"/>
              <w:jc w:val="left"/>
            </w:pPr>
            <w:r>
              <w:t xml:space="preserve">A3.2</w:t>
            </w:r>
          </w:p>
        </w:tc>
        <w:tc>
          <w:tcPr/>
          <w:p>
            <w:pPr>
              <w:pStyle w:val="Tabla7"/>
              <w:jc w:val="left"/>
            </w:pPr>
            <w:r>
              <w:t xml:space="preserve">WP3</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jc w:val="left"/>
            </w:pPr>
            <w:r>
              <w:t xml:space="preserve">R</w:t>
            </w:r>
          </w:p>
        </w:tc>
        <w:tc>
          <w:tcPr/>
          <w:p>
            <w:pPr>
              <w:pStyle w:val="Tabla7"/>
            </w:pPr>
          </w:p>
        </w:tc>
      </w:tr>
      <w:tr>
        <w:trPr>
          <w:cantSplit/>
        </w:trPr>
        <w:tc>
          <w:tcPr/>
          <w:p>
            <w:pPr>
              <w:pStyle w:val="Tabla7"/>
              <w:jc w:val="left"/>
            </w:pPr>
            <w:r>
              <w:t xml:space="preserve">A1.5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pPr>
          </w:p>
        </w:tc>
        <w:tc>
          <w:tcPr/>
          <w:p>
            <w:pPr>
              <w:pStyle w:val="Tabla7"/>
            </w:pPr>
          </w:p>
        </w:tc>
        <w:tc>
          <w:tcPr/>
          <w:p>
            <w:pPr>
              <w:pStyle w:val="Tabla7"/>
            </w:pPr>
          </w:p>
        </w:tc>
        <w:tc>
          <w:tcPr/>
          <w:p>
            <w:pPr>
              <w:pStyle w:val="Tabla7"/>
            </w:pPr>
          </w:p>
        </w:tc>
      </w:tr>
      <w:tr>
        <w:trPr>
          <w:cantSplit/>
        </w:trPr>
        <w:tc>
          <w:tcPr/>
          <w:p>
            <w:pPr>
              <w:pStyle w:val="Tabla7"/>
              <w:jc w:val="left"/>
            </w:pPr>
            <w:r>
              <w:t xml:space="preserve">C2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r>
      <w:tr>
        <w:trPr>
          <w:cantSplit/>
        </w:trPr>
        <w:tc>
          <w:tcPr/>
          <w:p>
            <w:pPr>
              <w:pStyle w:val="Tabla7"/>
              <w:jc w:val="left"/>
            </w:pPr>
            <w:r>
              <w:t xml:space="preserve">A2.4 (crítica)</w:t>
            </w:r>
          </w:p>
        </w:tc>
        <w:tc>
          <w:tcPr/>
          <w:p>
            <w:pPr>
              <w:pStyle w:val="Tabla7"/>
              <w:jc w:val="left"/>
            </w:pPr>
            <w:r>
              <w:t xml:space="preserve">WP2</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jc w:val="left"/>
            </w:pPr>
            <w:r>
              <w:t xml:space="preserve">C</w:t>
            </w:r>
          </w:p>
        </w:tc>
        <w:tc>
          <w:tcPr/>
          <w:p>
            <w:pPr>
              <w:pStyle w:val="Tabla7"/>
            </w:pPr>
          </w:p>
        </w:tc>
        <w:tc>
          <w:tcPr/>
          <w:p>
            <w:pPr>
              <w:pStyle w:val="Tabla7"/>
              <w:jc w:val="left"/>
            </w:pPr>
            <w:r>
              <w:t xml:space="preserve">I</w:t>
            </w:r>
          </w:p>
        </w:tc>
        <w:tc>
          <w:tcPr/>
          <w:p>
            <w:pPr>
              <w:pStyle w:val="Tabla7"/>
            </w:pPr>
          </w:p>
        </w:tc>
      </w:tr>
      <w:tr>
        <w:trPr>
          <w:cantSplit/>
        </w:trPr>
        <w:tc>
          <w:tcPr/>
          <w:p>
            <w:pPr>
              <w:pStyle w:val="Tabla7"/>
              <w:jc w:val="left"/>
            </w:pPr>
            <w:r>
              <w:t xml:space="preserve">A3.3</w:t>
            </w:r>
          </w:p>
        </w:tc>
        <w:tc>
          <w:tcPr/>
          <w:p>
            <w:pPr>
              <w:pStyle w:val="Tabla7"/>
              <w:jc w:val="left"/>
            </w:pPr>
            <w:r>
              <w:t xml:space="preserve">WP3</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jc w:val="left"/>
            </w:pPr>
            <w:r>
              <w:t xml:space="preserve">R</w:t>
            </w:r>
          </w:p>
        </w:tc>
        <w:tc>
          <w:tcPr/>
          <w:p>
            <w:pPr>
              <w:pStyle w:val="Tabla7"/>
              <w:jc w:val="left"/>
            </w:pPr>
            <w:r>
              <w:t xml:space="preserve">I</w:t>
            </w:r>
          </w:p>
        </w:tc>
      </w:tr>
      <w:tr>
        <w:trPr>
          <w:cantSplit/>
        </w:trPr>
        <w:tc>
          <w:tcPr/>
          <w:p>
            <w:pPr>
              <w:pStyle w:val="Tabla7"/>
              <w:jc w:val="left"/>
            </w:pPr>
            <w:r>
              <w:t xml:space="preserve">A1.6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pPr>
          </w:p>
        </w:tc>
        <w:tc>
          <w:tcPr/>
          <w:p>
            <w:pPr>
              <w:pStyle w:val="Tabla7"/>
              <w:jc w:val="left"/>
            </w:pPr>
            <w:r>
              <w:t xml:space="preserve">C</w:t>
            </w:r>
          </w:p>
        </w:tc>
        <w:tc>
          <w:tcPr/>
          <w:p>
            <w:pPr>
              <w:pStyle w:val="Tabla7"/>
              <w:jc w:val="left"/>
            </w:pPr>
            <w:r>
              <w:t xml:space="preserve">I</w:t>
            </w:r>
          </w:p>
        </w:tc>
        <w:tc>
          <w:tcPr/>
          <w:p>
            <w:pPr>
              <w:pStyle w:val="Tabla7"/>
            </w:pPr>
          </w:p>
        </w:tc>
      </w:tr>
      <w:tr>
        <w:trPr>
          <w:cantSplit/>
        </w:trPr>
        <w:tc>
          <w:tcPr/>
          <w:p>
            <w:pPr>
              <w:pStyle w:val="Tabla7"/>
              <w:jc w:val="left"/>
            </w:pPr>
            <w:r>
              <w:t xml:space="preserve">A3.4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r>
    </w:tbl>
    <w:p>
      <w:pPr>
        <w:pStyle w:val="TablaNota"/>
      </w:pPr>
      <w:r>
        <w:rPr>
          <w:i/>
          <w:iCs/>
        </w:rPr>
        <w:t xml:space="preserve">Nota.</w:t>
      </w:r>
      <w:r>
        <w:t xml:space="preserve"> </w:t>
      </w:r>
      <w:r>
        <w:t xml:space="preserve">Elaboración propia. Roles (PROPUESTO): CD, comité directivo de la entidad ejecutora y la empresa tecnológica; GP, gerencia de proyecto (P06); DC, dirección científica; MET, medición y datos (P01, P02, P03, P07); IOT, red, software y campo (P04, P08, P09, P10, P12); ASC, apropiación, calidad del aire y custodia (P05, P11, P13, P14); EV, evaluación externa (S07); US, comités de gestión del riesgo; FIN, financiador. R: responsable; A: aprobador; C: consultado; I: informado; celda vacía: sin participación. Cada fila tiene un solo aprobador.</w:t>
      </w:r>
    </w:p>
    <w:p>
      <w:pPr>
        <w:pStyle w:val="BodyText"/>
      </w:pPr>
      <w:r>
        <w:t xml:space="preserve">La matriz concentra la aprobación en tres roles. La dirección científica aprueba las actividades de medición. La gerencia de proyecto aprueba las de red, uso y gestión. El comité directivo aprueba las compuertas y el cierre. Esa separación sigue la idea de que quien decide una compuerta no debe ser quien ejecuta la actividad evaluada. Los comités de gestión del riesgo figuran como responsables del co-diseño y del uso del tablero (A3.1, A3.2 y A3.3). El indicador de uso institucional depende de su participación efectiva. Mitchell et al. (1997) clasifican a los interesados según su poder, su legitimidad y su urgencia. Los comités combinan legitimidad y urgencia, porque usan las lecturas para decidir alertas.</w:t>
      </w:r>
    </w:p>
    <w:p>
      <w:pPr>
        <w:pStyle w:val="BodyText"/>
      </w:pPr>
      <w:r>
        <w:t xml:space="preserve">La asignación de responsabilidades admite dos lecturas. La lectura jerárquica concentra la decisión en pocos roles para acelerar las compuertas (PMI, 2021). La lectura policéntrica reparte la decisión entre quienes poseen la información local y mantiene reglas visibles para todos los participantes (Ostrom, 2005). El proyecto combina ambas lecturas. Las compuertas se deciden en un comité reducido, y el co-diseño del uso se decide con los comités de gestión del riesgo. La combinación responde a la naturaleza del riesgo organizacional R-ORG-01, la no adopción del tablero, que ninguna decisión jerárquica puede resolver por sí sola.</w:t>
      </w:r>
    </w:p>
    <w:p>
      <w:pPr>
        <w:pStyle w:val="BodyText"/>
      </w:pPr>
      <w:r>
        <w:t xml:space="preserve">El organigrama de la Figura 7.2 traduce la matriz en una estructura funcional. Un comité directivo preside la gerencia de proyecto y la dirección científica. Tres paquetes técnicos dependen de la gerencia. La evaluación externa independiente se ubica al margen de la línea jerárquica, de modo que su juicio no dependa de quien ejecuta. En total, el equipo suma 29 cargos y 624 persona-mes en cuatro paquetes. Los roles son PROPUESTO y los nombres de las personas y de las entidades permanecen sin definir.</w:t>
      </w:r>
    </w:p>
    <w:p>
      <w:pPr>
        <w:pStyle w:val="FiguraRotulo"/>
      </w:pPr>
      <w:bookmarkStart w:id="9520" w:name="rot_Figura_7_2"/>
      <w:r>
        <w:rPr>
          <w:b/>
          <w:bCs/>
        </w:rPr>
        <w:t xml:space="preserve">Figura 7.2</w:t>
      </w:r>
      <w:bookmarkEnd w:id="9520"/>
    </w:p>
    <w:p>
      <w:pPr>
        <w:pStyle w:val="FiguraTitulo"/>
      </w:pPr>
      <w:r>
        <w:rPr>
          <w:i/>
          <w:iCs/>
        </w:rPr>
        <w:t xml:space="preserve">El equipo del SGR suma 29 cargos y 624 persona-mes en tres líneas técnicas</w:t>
      </w:r>
    </w:p>
    <w:p>
      <w:pPr>
        <w:pStyle w:val="BodyText"/>
      </w:pPr>
      <w:r>
        <w:drawing>
          <wp:inline>
            <wp:extent cx="5579999" cy="3483105"/>
            <wp:effectExtent b="0" l="0" r="0" t="0"/>
            <wp:docPr descr="" title="" id="500" name="Picture"/>
            <a:graphic>
              <a:graphicData uri="http://schemas.openxmlformats.org/drawingml/2006/picture">
                <pic:pic>
                  <pic:nvPicPr>
                    <pic:cNvPr descr="/tmp/claude-0/-home-user-docs/ddf38714-2a7e-502b-92b4-1008e2832422/scratchpad/proy/figs/out/c7_f02.png" id="501" name="Picture"/>
                    <pic:cNvPicPr>
                      <a:picLocks noChangeArrowheads="1" noChangeAspect="1"/>
                    </pic:cNvPicPr>
                  </pic:nvPicPr>
                  <pic:blipFill>
                    <a:blip r:embed="rId499"/>
                    <a:stretch>
                      <a:fillRect/>
                    </a:stretch>
                  </pic:blipFill>
                  <pic:spPr bwMode="auto">
                    <a:xfrm>
                      <a:off x="0" y="0"/>
                      <a:ext cx="5579999" cy="348310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(líneas P01 a P14). Organigrama funcional; roles PROPUESTO; entidades SUPUESTO. Python 3 y matplotlib; script c7_figs.py; sin semilla; corte del 13 de octubre de 2026.</w:t>
      </w:r>
    </w:p>
    <w:p>
      <w:pPr>
        <w:pStyle w:val="BodyText"/>
      </w:pPr>
      <w:r>
        <w:t xml:space="preserve">La matriz presenta dos riesgos de diseño que el proyecto registra. El primero es la concentración de aprobación en el comité directivo para las compuertas y el cierre. Si el comité no se reúne en la semana prevista, la compuerta retrasa la compra del tramo siguiente. La mitigación es fijar en el acta de inicio el calendario de reuniones y un suplente por cada miembro. El segundo es la dependencia de los comités de gestión del riesgo, que son actores externos sin vínculo contractual. El capítulo 10 trata ambos y el capítulo 17 describe el equipo de trabajo. Las firmas de aprobación del organigrama se completan en el acta de inicio [DATO_USUARIO: nombres y cargos del comité directivo].</w:t>
      </w:r>
    </w:p>
    <w:bookmarkEnd w:id="502"/>
    <w:bookmarkEnd w:id="503"/>
    <w:bookmarkStart w:id="521" w:name="_Toc00900204"/>
    <w:p>
      <w:pPr>
        <w:pStyle w:val="Heading1"/>
      </w:pPr>
      <w:r>
        <w:t xml:space="preserve">Capítulo 8. Presupuesto Detallado</w:t>
      </w:r>
    </w:p>
    <w:p>
      <w:pPr>
        <w:pStyle w:val="FirstParagraph"/>
      </w:pPr>
      <w:r>
        <w:t xml:space="preserve">Este capítulo presenta el presupuesto del proyecto por fuente, por rubro y por mes. Todas las cifras provienen del libro maestro del proyecto y coinciden con la ficha maestra. El valor solicitado al Sistema General de Regalías (SGR) es de 8.729.840.000 COP. La contrapartida es de 2.110.000.000 COP y el total del proyecto es de 10.839.840.000 COP. Los términos de referencia no se aportaron, por lo que los rubros siguen la estructura del metaprompt (SUPUESTO). Los costos unitarios no están respaldados por cotizaciones, y el anexo C reserva el espacio para ellas [DATO_USUARIO: cotizaciones vigentes de equipos].</w:t>
      </w:r>
    </w:p>
    <w:bookmarkStart w:id="507" w:name="_Toc00900205"/>
    <w:p>
      <w:pPr>
        <w:pStyle w:val="Heading2"/>
      </w:pPr>
      <w:r>
        <w:t xml:space="preserve">8.1 Resumen Presupuestal</w:t>
      </w:r>
    </w:p>
    <w:p>
      <w:pPr>
        <w:pStyle w:val="FirstParagraph"/>
      </w:pPr>
      <w:r>
        <w:t xml:space="preserve">El presupuesto se construyó de abajo hacia arriba, actividad por actividad, y no desde el tope normativo. El expediente revisado declaraba un tope de 14.000.000.000 COP (DECLARADO, NO_VERIFICADO). La decisión DEC-F06 solicita la suma justificada, que equivale a 62,4 % del tope, y no el tope. La holgura de 5.270.160.000 COP no se presupuesta. Se describe como opciones de ampliación condicionadas a los términos de referencia: más nodos, un cuarto tramo o un año adicional de custodia. La Tabla 8.1 desglosa el total por fuente de financiación y la Figura 8.1 lo ilustra.</w:t>
      </w:r>
    </w:p>
    <w:p>
      <w:pPr>
        <w:pStyle w:val="TablaRotulo"/>
      </w:pPr>
      <w:bookmarkStart w:id="9302" w:name="rot_Tabla_8_1"/>
      <w:r>
        <w:rPr>
          <w:b/>
          <w:bCs/>
        </w:rPr>
        <w:t xml:space="preserve">Tabla 8.1</w:t>
      </w:r>
      <w:bookmarkEnd w:id="9302"/>
    </w:p>
    <w:p>
      <w:pPr>
        <w:pStyle w:val="TablaTitulo"/>
      </w:pPr>
      <w:r>
        <w:rPr>
          <w:i/>
          <w:iCs/>
        </w:rPr>
        <w:t xml:space="preserve">Resumen por fuente de financiación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650"/>
        <w:gridCol w:w="1782"/>
        <w:gridCol w:w="1650"/>
        <w:gridCol w:w="1254"/>
        <w:gridCol w:w="1584"/>
      </w:tblGrid>
      <w:tr>
        <w:trPr>
          <w:cantSplit/>
          <w:tblHeader/>
        </w:trPr>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Modalidad</w:t>
            </w:r>
          </w:p>
        </w:tc>
        <w:tc>
          <w:tcPr>
            <w:shd w:val="clear" w:color="auto" w:fill="00B050"/>
          </w:tcPr>
          <w:p>
            <w:pPr>
              <w:pStyle w:val="Tabla9"/>
              <w:jc w:val="center"/>
            </w:pPr>
            <w:r>
              <w:rPr>
                <w:b/>
                <w:color w:val="FFFFFF"/>
              </w:rPr>
              <w:t xml:space="preserve">Valor (COP)</w:t>
            </w:r>
          </w:p>
        </w:tc>
        <w:tc>
          <w:tcPr>
            <w:shd w:val="clear" w:color="auto" w:fill="00B050"/>
          </w:tcPr>
          <w:p>
            <w:pPr>
              <w:pStyle w:val="Tabla9"/>
              <w:jc w:val="center"/>
            </w:pPr>
            <w:r>
              <w:rPr>
                <w:b/>
                <w:color w:val="FFFFFF"/>
              </w:rPr>
              <w:t xml:space="preserve">Porcentaje del total</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SGR (MinCiencias)</w:t>
            </w:r>
          </w:p>
        </w:tc>
        <w:tc>
          <w:tcPr/>
          <w:p>
            <w:pPr>
              <w:pStyle w:val="Tabla9"/>
              <w:jc w:val="left"/>
            </w:pPr>
            <w:r>
              <w:t xml:space="preserve">Efectivo solicitado</w:t>
            </w:r>
          </w:p>
        </w:tc>
        <w:tc>
          <w:tcPr/>
          <w:p>
            <w:pPr>
              <w:pStyle w:val="Tabla9"/>
              <w:jc w:val="left"/>
            </w:pPr>
            <w:r>
              <w:t xml:space="preserve">$ 8.729.840.000</w:t>
            </w:r>
          </w:p>
        </w:tc>
        <w:tc>
          <w:tcPr/>
          <w:p>
            <w:pPr>
              <w:pStyle w:val="Tabla9"/>
              <w:jc w:val="left"/>
            </w:pPr>
            <w:r>
              <w:t xml:space="preserve">80,5 %</w:t>
            </w:r>
          </w:p>
        </w:tc>
        <w:tc>
          <w:tcPr/>
          <w:p>
            <w:pPr>
              <w:pStyle w:val="Tabla9"/>
              <w:jc w:val="left"/>
            </w:pPr>
            <w:r>
              <w:t xml:space="preserve">CALCULADO</w:t>
            </w:r>
          </w:p>
        </w:tc>
      </w:tr>
      <w:tr>
        <w:trPr>
          <w:cantSplit/>
        </w:trPr>
        <w:tc>
          <w:tcPr/>
          <w:p>
            <w:pPr>
              <w:pStyle w:val="Tabla9"/>
              <w:jc w:val="left"/>
            </w:pPr>
            <w:r>
              <w:t xml:space="preserve">Institución de educación superior ejecutora</w:t>
            </w:r>
          </w:p>
        </w:tc>
        <w:tc>
          <w:tcPr/>
          <w:p>
            <w:pPr>
              <w:pStyle w:val="Tabla9"/>
              <w:jc w:val="left"/>
            </w:pPr>
            <w:r>
              <w:t xml:space="preserve">Especie: personal e infraestructura</w:t>
            </w:r>
          </w:p>
        </w:tc>
        <w:tc>
          <w:tcPr/>
          <w:p>
            <w:pPr>
              <w:pStyle w:val="Tabla9"/>
              <w:jc w:val="left"/>
            </w:pPr>
            <w:r>
              <w:t xml:space="preserve">$ 1.100.000.000</w:t>
            </w:r>
          </w:p>
        </w:tc>
        <w:tc>
          <w:tcPr/>
          <w:p>
            <w:pPr>
              <w:pStyle w:val="Tabla9"/>
              <w:jc w:val="left"/>
            </w:pPr>
            <w:r>
              <w:t xml:space="preserve">10,1 %</w:t>
            </w:r>
          </w:p>
        </w:tc>
        <w:tc>
          <w:tcPr/>
          <w:p>
            <w:pPr>
              <w:pStyle w:val="Tabla9"/>
              <w:jc w:val="left"/>
            </w:pPr>
            <w:r>
              <w:t xml:space="preserve">DECLARADO</w:t>
            </w:r>
          </w:p>
        </w:tc>
      </w:tr>
      <w:tr>
        <w:trPr>
          <w:cantSplit/>
        </w:trPr>
        <w:tc>
          <w:tcPr/>
          <w:p>
            <w:pPr>
              <w:pStyle w:val="Tabla9"/>
              <w:jc w:val="left"/>
            </w:pPr>
            <w:r>
              <w:t xml:space="preserve">Empresa tecnológica aliada</w:t>
            </w:r>
          </w:p>
        </w:tc>
        <w:tc>
          <w:tcPr/>
          <w:p>
            <w:pPr>
              <w:pStyle w:val="Tabla9"/>
              <w:jc w:val="left"/>
            </w:pPr>
            <w:r>
              <w:t xml:space="preserve">Efectivo: logística y viáticos de emergencia</w:t>
            </w:r>
          </w:p>
        </w:tc>
        <w:tc>
          <w:tcPr/>
          <w:p>
            <w:pPr>
              <w:pStyle w:val="Tabla9"/>
              <w:jc w:val="left"/>
            </w:pPr>
            <w:r>
              <w:t xml:space="preserve">$ 210.000.000</w:t>
            </w:r>
          </w:p>
        </w:tc>
        <w:tc>
          <w:tcPr/>
          <w:p>
            <w:pPr>
              <w:pStyle w:val="Tabla9"/>
              <w:jc w:val="left"/>
            </w:pPr>
            <w:r>
              <w:t xml:space="preserve">1,9 %</w:t>
            </w:r>
          </w:p>
        </w:tc>
        <w:tc>
          <w:tcPr/>
          <w:p>
            <w:pPr>
              <w:pStyle w:val="Tabla9"/>
              <w:jc w:val="left"/>
            </w:pPr>
            <w:r>
              <w:t xml:space="preserve">DECLARADO</w:t>
            </w:r>
          </w:p>
        </w:tc>
      </w:tr>
      <w:tr>
        <w:trPr>
          <w:cantSplit/>
        </w:trPr>
        <w:tc>
          <w:tcPr/>
          <w:p>
            <w:pPr>
              <w:pStyle w:val="Tabla9"/>
              <w:jc w:val="left"/>
            </w:pPr>
            <w:r>
              <w:t xml:space="preserve">Empresa tecnológica aliada</w:t>
            </w:r>
          </w:p>
        </w:tc>
        <w:tc>
          <w:tcPr/>
          <w:p>
            <w:pPr>
              <w:pStyle w:val="Tabla9"/>
              <w:jc w:val="left"/>
            </w:pPr>
            <w:r>
              <w:t xml:space="preserve">Especie: infraestructura en la nube</w:t>
            </w:r>
          </w:p>
        </w:tc>
        <w:tc>
          <w:tcPr/>
          <w:p>
            <w:pPr>
              <w:pStyle w:val="Tabla9"/>
              <w:jc w:val="left"/>
            </w:pPr>
            <w:r>
              <w:t xml:space="preserve">$ 800.000.000</w:t>
            </w:r>
          </w:p>
        </w:tc>
        <w:tc>
          <w:tcPr/>
          <w:p>
            <w:pPr>
              <w:pStyle w:val="Tabla9"/>
              <w:jc w:val="left"/>
            </w:pPr>
            <w:r>
              <w:t xml:space="preserve">7,4 %</w:t>
            </w:r>
          </w:p>
        </w:tc>
        <w:tc>
          <w:tcPr/>
          <w:p>
            <w:pPr>
              <w:pStyle w:val="Tabla9"/>
              <w:jc w:val="left"/>
            </w:pPr>
            <w:r>
              <w:t xml:space="preserve">DECLARADO</w:t>
            </w:r>
          </w:p>
        </w:tc>
      </w:tr>
      <w:tr>
        <w:trPr>
          <w:cantSplit/>
        </w:trPr>
        <w:tc>
          <w:tcPr/>
          <w:p>
            <w:pPr>
              <w:pStyle w:val="Tabla9"/>
              <w:jc w:val="left"/>
            </w:pPr>
            <w:r>
              <w:t xml:space="preserve">Alcaldías de los municipios focalizados</w:t>
            </w:r>
          </w:p>
        </w:tc>
        <w:tc>
          <w:tcPr/>
          <w:p>
            <w:pPr>
              <w:pStyle w:val="Tabla9"/>
              <w:jc w:val="left"/>
            </w:pPr>
            <w:r>
              <w:t xml:space="preserve">Sin aporte</w:t>
            </w:r>
          </w:p>
        </w:tc>
        <w:tc>
          <w:tcPr/>
          <w:p>
            <w:pPr>
              <w:pStyle w:val="Tabla9"/>
              <w:jc w:val="left"/>
            </w:pPr>
            <w:r>
              <w:t xml:space="preserve">$ 0</w:t>
            </w:r>
          </w:p>
        </w:tc>
        <w:tc>
          <w:tcPr/>
          <w:p>
            <w:pPr>
              <w:pStyle w:val="Tabla9"/>
              <w:jc w:val="left"/>
            </w:pPr>
            <w:r>
              <w:t xml:space="preserve">0,0 %</w:t>
            </w:r>
          </w:p>
        </w:tc>
        <w:tc>
          <w:tcPr/>
          <w:p>
            <w:pPr>
              <w:pStyle w:val="Tabla9"/>
              <w:jc w:val="left"/>
            </w:pPr>
            <w:r>
              <w:t xml:space="preserve">VACIO</w:t>
            </w:r>
          </w:p>
        </w:tc>
      </w:tr>
      <w:tr>
        <w:trPr>
          <w:cantSplit/>
        </w:trPr>
        <w:tc>
          <w:tcPr/>
          <w:p>
            <w:pPr>
              <w:pStyle w:val="Tabla9"/>
              <w:jc w:val="left"/>
            </w:pPr>
            <w:r>
              <w:t xml:space="preserve">Total del proyecto</w:t>
            </w:r>
          </w:p>
        </w:tc>
        <w:tc>
          <w:tcPr/>
          <w:p>
            <w:pPr>
              <w:pStyle w:val="Tabla9"/>
            </w:pPr>
          </w:p>
        </w:tc>
        <w:tc>
          <w:tcPr/>
          <w:p>
            <w:pPr>
              <w:pStyle w:val="Tabla9"/>
              <w:jc w:val="left"/>
            </w:pPr>
            <w:r>
              <w:t xml:space="preserve">$ 10.839.840.000</w:t>
            </w:r>
          </w:p>
        </w:tc>
        <w:tc>
          <w:tcPr/>
          <w:p>
            <w:pPr>
              <w:pStyle w:val="Tabla9"/>
              <w:jc w:val="left"/>
            </w:pPr>
            <w:r>
              <w:t xml:space="preserve">100,0 %</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la ficha maestra §5. La contrapartida suma 2.110.000.000 COP (19,5 % del total). El desglose de la entidad ejecutora es PROPUESTO; las certificaciones de contrapartida están pendientes [DATO_USUARIO: certificaciones de la entidad ejecutora y de la empresa]. Decimales con coma.</w:t>
      </w:r>
    </w:p>
    <w:p>
      <w:pPr>
        <w:pStyle w:val="FiguraRotulo"/>
      </w:pPr>
      <w:bookmarkStart w:id="9521" w:name="rot_Figura_8_1"/>
      <w:r>
        <w:rPr>
          <w:b/>
          <w:bCs/>
        </w:rPr>
        <w:t xml:space="preserve">Figura 8.1</w:t>
      </w:r>
      <w:bookmarkEnd w:id="9521"/>
    </w:p>
    <w:p>
      <w:pPr>
        <w:pStyle w:val="FiguraTitulo"/>
      </w:pPr>
      <w:r>
        <w:rPr>
          <w:i/>
          <w:iCs/>
        </w:rPr>
        <w:t xml:space="preserve">El SGR financia 80,5 % del proyecto y el personal absorbe 50,2 % de lo solicitado</w:t>
      </w:r>
    </w:p>
    <w:p>
      <w:pPr>
        <w:pStyle w:val="BodyText"/>
      </w:pPr>
      <w:r>
        <w:drawing>
          <wp:inline>
            <wp:extent cx="5579999" cy="3169063"/>
            <wp:effectExtent b="0" l="0" r="0" t="0"/>
            <wp:docPr descr="" title="" id="505" name="Picture"/>
            <a:graphic>
              <a:graphicData uri="http://schemas.openxmlformats.org/drawingml/2006/picture">
                <pic:pic>
                  <pic:nvPicPr>
                    <pic:cNvPr descr="/tmp/claude-0/-home-user-docs/ddf38714-2a7e-502b-92b4-1008e2832422/scratchpad/proy/figs/out/c8_f01.png" id="506" name="Picture"/>
                    <pic:cNvPicPr>
                      <a:picLocks noChangeArrowheads="1" noChangeAspect="1"/>
                    </pic:cNvPicPr>
                  </pic:nvPicPr>
                  <pic:blipFill>
                    <a:blip r:embed="rId504"/>
                    <a:stretch>
                      <a:fillRect/>
                    </a:stretch>
                  </pic:blipFill>
                  <pic:spPr bwMode="auto">
                    <a:xfrm>
                      <a:off x="0" y="0"/>
                      <a:ext cx="5579999" cy="316906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(BUDGET y CONTRA). Izquierda: fuentes del total del proyecto; derecha: rubros del valor solicitado al SGR. Cada sector lleva trama y etiqueta directa. Python 3 y matplotlib; script c8_figs.py; sin semilla; corte del 13 de octubre de 2026.</w:t>
      </w:r>
    </w:p>
    <w:p>
      <w:pPr>
        <w:pStyle w:val="BodyText"/>
      </w:pPr>
      <w:r>
        <w:t xml:space="preserve">La contrapartida cubre 19,5 % del total y no incluye aportes de las alcaldías. La exigencia de cofinanciación depende de los términos de referencia y del régimen del SGR (Congreso de la República, 2020), y ninguno de los dos se verificó. El aporte en especie de la empresa, 800 millones de pesos colombianos (COP), corresponde a infraestructura en la nube. Su valoración depende de una certificación contable que aún no existe. El riesgo R-FIN-02 describe esa dependencia, con probabilidad de 25 % y valor monetario esperado de 20,0 millones de COP.</w:t>
      </w:r>
    </w:p>
    <w:p>
      <w:pPr>
        <w:pStyle w:val="BodyText"/>
      </w:pPr>
      <w:r>
        <w:t xml:space="preserve">Dos posiciones compiten sobre el nivel de la solicitud. La primera sostiene que un proyecto debe pedir el máximo permitido para absorber imprevistos. La segunda exige que cada peso solicitado tenga un beneficio marginal esperado mayor que su costo (Boardman et al., 2018). El proyecto adopta la segunda. Incluye una reserva de contingencia de 636.000.000 COP. Esa reserva equivale a la suma de los valores monetarios esperados de los 12 riesgos identificados, y no a un porcentaje arbitrario. El Project Management Institute [PMI] (2021) distingue la reserva para riesgos identificados de la reserva de gestión para riesgos desconocidos. Esta formulación solo constituye la primera, y la admisibilidad del rubro depende de los términos de referencia (VACIO).</w:t>
      </w:r>
    </w:p>
    <w:p>
      <w:pPr>
        <w:pStyle w:val="BodyText"/>
      </w:pPr>
      <w:r>
        <w:t xml:space="preserve">La Tabla 8.2 distribuye el valor solicitado por rubro y separa lo declarado en el expediente revisado de lo propuesto en esta formulación. Los valores declarados suman 3.542,7 millones de COP (40,6 %). Los valores propuestos y calculados suman 5.187,1 millones (59,4 %). Esa proporción muestra que la mayor parte del presupuesto requiere ratificación por cotización.</w:t>
      </w:r>
    </w:p>
    <w:p>
      <w:pPr>
        <w:pStyle w:val="TablaRotulo"/>
      </w:pPr>
      <w:bookmarkStart w:id="9303" w:name="rot_Tabla_8_2"/>
      <w:r>
        <w:rPr>
          <w:b/>
          <w:bCs/>
        </w:rPr>
        <w:t xml:space="preserve">Tabla 8.2</w:t>
      </w:r>
      <w:bookmarkEnd w:id="9303"/>
    </w:p>
    <w:p>
      <w:pPr>
        <w:pStyle w:val="TablaTitulo"/>
      </w:pPr>
      <w:r>
        <w:rPr>
          <w:i/>
          <w:iCs/>
        </w:rPr>
        <w:t xml:space="preserve">Distribución del valor solicitado al SGR por rubro y naturaleza del dato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97"/>
        <w:gridCol w:w="931"/>
        <w:gridCol w:w="1264"/>
        <w:gridCol w:w="1397"/>
        <w:gridCol w:w="1331"/>
        <w:gridCol w:w="1397"/>
      </w:tblGrid>
      <w:tr>
        <w:trPr>
          <w:cantSplit/>
          <w:tblHeader/>
        </w:trPr>
        <w:tc>
          <w:tcPr>
            <w:shd w:val="clear" w:color="auto" w:fill="00B050"/>
          </w:tcPr>
          <w:p>
            <w:pPr>
              <w:pStyle w:val="Tabla9"/>
              <w:jc w:val="center"/>
            </w:pPr>
            <w:r>
              <w:rPr>
                <w:b/>
                <w:color w:val="FFFFFF"/>
              </w:rPr>
              <w:t xml:space="preserve">Rubro</w:t>
            </w:r>
          </w:p>
        </w:tc>
        <w:tc>
          <w:tcPr>
            <w:shd w:val="clear" w:color="auto" w:fill="00B050"/>
          </w:tcPr>
          <w:p>
            <w:pPr>
              <w:pStyle w:val="Tabla9"/>
              <w:jc w:val="center"/>
            </w:pPr>
            <w:r>
              <w:rPr>
                <w:b/>
                <w:color w:val="FFFFFF"/>
              </w:rPr>
              <w:t xml:space="preserve">Líneas</w:t>
            </w:r>
          </w:p>
        </w:tc>
        <w:tc>
          <w:tcPr>
            <w:shd w:val="clear" w:color="auto" w:fill="00B050"/>
          </w:tcPr>
          <w:p>
            <w:pPr>
              <w:pStyle w:val="Tabla9"/>
              <w:jc w:val="center"/>
            </w:pPr>
            <w:r>
              <w:rPr>
                <w:b/>
                <w:color w:val="FFFFFF"/>
              </w:rPr>
              <w:t xml:space="preserve">Valor (millones de COP)</w:t>
            </w:r>
          </w:p>
        </w:tc>
        <w:tc>
          <w:tcPr>
            <w:shd w:val="clear" w:color="auto" w:fill="00B050"/>
          </w:tcPr>
          <w:p>
            <w:pPr>
              <w:pStyle w:val="Tabla9"/>
              <w:jc w:val="center"/>
            </w:pPr>
            <w:r>
              <w:rPr>
                <w:b/>
                <w:color w:val="FFFFFF"/>
              </w:rPr>
              <w:t xml:space="preserve">Porcentaje del SGR</w:t>
            </w:r>
          </w:p>
        </w:tc>
        <w:tc>
          <w:tcPr>
            <w:shd w:val="clear" w:color="auto" w:fill="00B050"/>
          </w:tcPr>
          <w:p>
            <w:pPr>
              <w:pStyle w:val="Tabla9"/>
              <w:jc w:val="center"/>
            </w:pPr>
            <w:r>
              <w:rPr>
                <w:b/>
                <w:color w:val="FFFFFF"/>
              </w:rPr>
              <w:t xml:space="preserve">Declarado (millones de COP)</w:t>
            </w:r>
          </w:p>
        </w:tc>
        <w:tc>
          <w:tcPr>
            <w:shd w:val="clear" w:color="auto" w:fill="00B050"/>
          </w:tcPr>
          <w:p>
            <w:pPr>
              <w:pStyle w:val="Tabla9"/>
              <w:jc w:val="center"/>
            </w:pPr>
            <w:r>
              <w:rPr>
                <w:b/>
                <w:color w:val="FFFFFF"/>
              </w:rPr>
              <w:t xml:space="preserve">Propuesto o calculado (millones de COP)</w:t>
            </w:r>
          </w:p>
        </w:tc>
      </w:tr>
      <w:tr>
        <w:trPr>
          <w:cantSplit/>
        </w:trPr>
        <w:tc>
          <w:tcPr/>
          <w:p>
            <w:pPr>
              <w:pStyle w:val="Tabla9"/>
              <w:jc w:val="left"/>
            </w:pPr>
            <w:r>
              <w:t xml:space="preserve">Personal</w:t>
            </w:r>
          </w:p>
        </w:tc>
        <w:tc>
          <w:tcPr/>
          <w:p>
            <w:pPr>
              <w:pStyle w:val="Tabla9"/>
              <w:jc w:val="left"/>
            </w:pPr>
            <w:r>
              <w:t xml:space="preserve">14</w:t>
            </w:r>
          </w:p>
        </w:tc>
        <w:tc>
          <w:tcPr/>
          <w:p>
            <w:pPr>
              <w:pStyle w:val="Tabla9"/>
              <w:jc w:val="left"/>
            </w:pPr>
            <w:r>
              <w:t xml:space="preserve">4.382,9</w:t>
            </w:r>
          </w:p>
        </w:tc>
        <w:tc>
          <w:tcPr/>
          <w:p>
            <w:pPr>
              <w:pStyle w:val="Tabla9"/>
              <w:jc w:val="left"/>
            </w:pPr>
            <w:r>
              <w:t xml:space="preserve">50,2 %</w:t>
            </w:r>
          </w:p>
        </w:tc>
        <w:tc>
          <w:tcPr/>
          <w:p>
            <w:pPr>
              <w:pStyle w:val="Tabla9"/>
              <w:jc w:val="left"/>
            </w:pPr>
            <w:r>
              <w:t xml:space="preserve">1.528,8</w:t>
            </w:r>
          </w:p>
        </w:tc>
        <w:tc>
          <w:tcPr/>
          <w:p>
            <w:pPr>
              <w:pStyle w:val="Tabla9"/>
              <w:jc w:val="left"/>
            </w:pPr>
            <w:r>
              <w:t xml:space="preserve">2.854,1</w:t>
            </w:r>
          </w:p>
        </w:tc>
      </w:tr>
      <w:tr>
        <w:trPr>
          <w:cantSplit/>
        </w:trPr>
        <w:tc>
          <w:tcPr/>
          <w:p>
            <w:pPr>
              <w:pStyle w:val="Tabla9"/>
              <w:jc w:val="left"/>
            </w:pPr>
            <w:r>
              <w:t xml:space="preserve">Equipos y software</w:t>
            </w:r>
          </w:p>
        </w:tc>
        <w:tc>
          <w:tcPr/>
          <w:p>
            <w:pPr>
              <w:pStyle w:val="Tabla9"/>
              <w:jc w:val="left"/>
            </w:pPr>
            <w:r>
              <w:t xml:space="preserve">12</w:t>
            </w:r>
          </w:p>
        </w:tc>
        <w:tc>
          <w:tcPr/>
          <w:p>
            <w:pPr>
              <w:pStyle w:val="Tabla9"/>
              <w:jc w:val="left"/>
            </w:pPr>
            <w:r>
              <w:t xml:space="preserve">1.885,6</w:t>
            </w:r>
          </w:p>
        </w:tc>
        <w:tc>
          <w:tcPr/>
          <w:p>
            <w:pPr>
              <w:pStyle w:val="Tabla9"/>
              <w:jc w:val="left"/>
            </w:pPr>
            <w:r>
              <w:t xml:space="preserve">21,6 %</w:t>
            </w:r>
          </w:p>
        </w:tc>
        <w:tc>
          <w:tcPr/>
          <w:p>
            <w:pPr>
              <w:pStyle w:val="Tabla9"/>
              <w:jc w:val="left"/>
            </w:pPr>
            <w:r>
              <w:t xml:space="preserve">1.200,0</w:t>
            </w:r>
          </w:p>
        </w:tc>
        <w:tc>
          <w:tcPr/>
          <w:p>
            <w:pPr>
              <w:pStyle w:val="Tabla9"/>
              <w:jc w:val="left"/>
            </w:pPr>
            <w:r>
              <w:t xml:space="preserve">685,6</w:t>
            </w:r>
          </w:p>
        </w:tc>
      </w:tr>
      <w:tr>
        <w:trPr>
          <w:cantSplit/>
        </w:trPr>
        <w:tc>
          <w:tcPr/>
          <w:p>
            <w:pPr>
              <w:pStyle w:val="Tabla9"/>
              <w:jc w:val="left"/>
            </w:pPr>
            <w:r>
              <w:t xml:space="preserve">Materiales e insumos</w:t>
            </w:r>
          </w:p>
        </w:tc>
        <w:tc>
          <w:tcPr/>
          <w:p>
            <w:pPr>
              <w:pStyle w:val="Tabla9"/>
              <w:jc w:val="left"/>
            </w:pPr>
            <w:r>
              <w:t xml:space="preserve">7</w:t>
            </w:r>
          </w:p>
        </w:tc>
        <w:tc>
          <w:tcPr/>
          <w:p>
            <w:pPr>
              <w:pStyle w:val="Tabla9"/>
              <w:jc w:val="left"/>
            </w:pPr>
            <w:r>
              <w:t xml:space="preserve">242,9</w:t>
            </w:r>
          </w:p>
        </w:tc>
        <w:tc>
          <w:tcPr/>
          <w:p>
            <w:pPr>
              <w:pStyle w:val="Tabla9"/>
              <w:jc w:val="left"/>
            </w:pPr>
            <w:r>
              <w:t xml:space="preserve">2,8 %</w:t>
            </w:r>
          </w:p>
        </w:tc>
        <w:tc>
          <w:tcPr/>
          <w:p>
            <w:pPr>
              <w:pStyle w:val="Tabla9"/>
              <w:jc w:val="left"/>
            </w:pPr>
            <w:r>
              <w:t xml:space="preserve">140,9</w:t>
            </w:r>
          </w:p>
        </w:tc>
        <w:tc>
          <w:tcPr/>
          <w:p>
            <w:pPr>
              <w:pStyle w:val="Tabla9"/>
              <w:jc w:val="left"/>
            </w:pPr>
            <w:r>
              <w:t xml:space="preserve">102,0</w:t>
            </w:r>
          </w:p>
        </w:tc>
      </w:tr>
      <w:tr>
        <w:trPr>
          <w:cantSplit/>
        </w:trPr>
        <w:tc>
          <w:tcPr/>
          <w:p>
            <w:pPr>
              <w:pStyle w:val="Tabla9"/>
              <w:jc w:val="left"/>
            </w:pPr>
            <w:r>
              <w:t xml:space="preserve">Servicios técnicos</w:t>
            </w:r>
          </w:p>
        </w:tc>
        <w:tc>
          <w:tcPr/>
          <w:p>
            <w:pPr>
              <w:pStyle w:val="Tabla9"/>
              <w:jc w:val="left"/>
            </w:pPr>
            <w:r>
              <w:t xml:space="preserve">10</w:t>
            </w:r>
          </w:p>
        </w:tc>
        <w:tc>
          <w:tcPr/>
          <w:p>
            <w:pPr>
              <w:pStyle w:val="Tabla9"/>
              <w:jc w:val="left"/>
            </w:pPr>
            <w:r>
              <w:t xml:space="preserve">846,0</w:t>
            </w:r>
          </w:p>
        </w:tc>
        <w:tc>
          <w:tcPr/>
          <w:p>
            <w:pPr>
              <w:pStyle w:val="Tabla9"/>
              <w:jc w:val="left"/>
            </w:pPr>
            <w:r>
              <w:t xml:space="preserve">9,7 %</w:t>
            </w:r>
          </w:p>
        </w:tc>
        <w:tc>
          <w:tcPr/>
          <w:p>
            <w:pPr>
              <w:pStyle w:val="Tabla9"/>
              <w:jc w:val="left"/>
            </w:pPr>
            <w:r>
              <w:t xml:space="preserve">159,0</w:t>
            </w:r>
          </w:p>
        </w:tc>
        <w:tc>
          <w:tcPr/>
          <w:p>
            <w:pPr>
              <w:pStyle w:val="Tabla9"/>
              <w:jc w:val="left"/>
            </w:pPr>
            <w:r>
              <w:t xml:space="preserve">687,0</w:t>
            </w:r>
          </w:p>
        </w:tc>
      </w:tr>
      <w:tr>
        <w:trPr>
          <w:cantSplit/>
        </w:trPr>
        <w:tc>
          <w:tcPr/>
          <w:p>
            <w:pPr>
              <w:pStyle w:val="Tabla9"/>
              <w:jc w:val="left"/>
            </w:pPr>
            <w:r>
              <w:t xml:space="preserve">Viajes y viáticos</w:t>
            </w:r>
          </w:p>
        </w:tc>
        <w:tc>
          <w:tcPr/>
          <w:p>
            <w:pPr>
              <w:pStyle w:val="Tabla9"/>
              <w:jc w:val="left"/>
            </w:pPr>
            <w:r>
              <w:t xml:space="preserve">5</w:t>
            </w:r>
          </w:p>
        </w:tc>
        <w:tc>
          <w:tcPr/>
          <w:p>
            <w:pPr>
              <w:pStyle w:val="Tabla9"/>
              <w:jc w:val="left"/>
            </w:pPr>
            <w:r>
              <w:t xml:space="preserve">204,5</w:t>
            </w:r>
          </w:p>
        </w:tc>
        <w:tc>
          <w:tcPr/>
          <w:p>
            <w:pPr>
              <w:pStyle w:val="Tabla9"/>
              <w:jc w:val="left"/>
            </w:pPr>
            <w:r>
              <w:t xml:space="preserve">2,3 %</w:t>
            </w:r>
          </w:p>
        </w:tc>
        <w:tc>
          <w:tcPr/>
          <w:p>
            <w:pPr>
              <w:pStyle w:val="Tabla9"/>
              <w:jc w:val="left"/>
            </w:pPr>
            <w:r>
              <w:t xml:space="preserve">42,0</w:t>
            </w:r>
          </w:p>
        </w:tc>
        <w:tc>
          <w:tcPr/>
          <w:p>
            <w:pPr>
              <w:pStyle w:val="Tabla9"/>
              <w:jc w:val="left"/>
            </w:pPr>
            <w:r>
              <w:t xml:space="preserve">162,5</w:t>
            </w:r>
          </w:p>
        </w:tc>
      </w:tr>
      <w:tr>
        <w:trPr>
          <w:cantSplit/>
        </w:trPr>
        <w:tc>
          <w:tcPr/>
          <w:p>
            <w:pPr>
              <w:pStyle w:val="Tabla9"/>
              <w:jc w:val="left"/>
            </w:pPr>
            <w:r>
              <w:t xml:space="preserve">Otros rubros</w:t>
            </w:r>
          </w:p>
        </w:tc>
        <w:tc>
          <w:tcPr/>
          <w:p>
            <w:pPr>
              <w:pStyle w:val="Tabla9"/>
              <w:jc w:val="left"/>
            </w:pPr>
            <w:r>
              <w:t xml:space="preserve">5</w:t>
            </w:r>
          </w:p>
        </w:tc>
        <w:tc>
          <w:tcPr/>
          <w:p>
            <w:pPr>
              <w:pStyle w:val="Tabla9"/>
              <w:jc w:val="left"/>
            </w:pPr>
            <w:r>
              <w:t xml:space="preserve">532,0</w:t>
            </w:r>
          </w:p>
        </w:tc>
        <w:tc>
          <w:tcPr/>
          <w:p>
            <w:pPr>
              <w:pStyle w:val="Tabla9"/>
              <w:jc w:val="left"/>
            </w:pPr>
            <w:r>
              <w:t xml:space="preserve">6,1 %</w:t>
            </w:r>
          </w:p>
        </w:tc>
        <w:tc>
          <w:tcPr/>
          <w:p>
            <w:pPr>
              <w:pStyle w:val="Tabla9"/>
              <w:jc w:val="left"/>
            </w:pPr>
            <w:r>
              <w:t xml:space="preserve">472,0</w:t>
            </w:r>
          </w:p>
        </w:tc>
        <w:tc>
          <w:tcPr/>
          <w:p>
            <w:pPr>
              <w:pStyle w:val="Tabla9"/>
              <w:jc w:val="left"/>
            </w:pPr>
            <w:r>
              <w:t xml:space="preserve">60,0</w:t>
            </w:r>
          </w:p>
        </w:tc>
      </w:tr>
      <w:tr>
        <w:trPr>
          <w:cantSplit/>
        </w:trPr>
        <w:tc>
          <w:tcPr/>
          <w:p>
            <w:pPr>
              <w:pStyle w:val="Tabla9"/>
              <w:jc w:val="left"/>
            </w:pPr>
            <w:r>
              <w:t xml:space="preserve">Reserva de contingencia</w:t>
            </w:r>
          </w:p>
        </w:tc>
        <w:tc>
          <w:tcPr/>
          <w:p>
            <w:pPr>
              <w:pStyle w:val="Tabla9"/>
              <w:jc w:val="left"/>
            </w:pPr>
            <w:r>
              <w:t xml:space="preserve">1</w:t>
            </w:r>
          </w:p>
        </w:tc>
        <w:tc>
          <w:tcPr/>
          <w:p>
            <w:pPr>
              <w:pStyle w:val="Tabla9"/>
              <w:jc w:val="left"/>
            </w:pPr>
            <w:r>
              <w:t xml:space="preserve">636,0</w:t>
            </w:r>
          </w:p>
        </w:tc>
        <w:tc>
          <w:tcPr/>
          <w:p>
            <w:pPr>
              <w:pStyle w:val="Tabla9"/>
              <w:jc w:val="left"/>
            </w:pPr>
            <w:r>
              <w:t xml:space="preserve">7,3 %</w:t>
            </w:r>
          </w:p>
        </w:tc>
        <w:tc>
          <w:tcPr/>
          <w:p>
            <w:pPr>
              <w:pStyle w:val="Tabla9"/>
              <w:jc w:val="left"/>
            </w:pPr>
            <w:r>
              <w:t xml:space="preserve">0,0</w:t>
            </w:r>
          </w:p>
        </w:tc>
        <w:tc>
          <w:tcPr/>
          <w:p>
            <w:pPr>
              <w:pStyle w:val="Tabla9"/>
              <w:jc w:val="left"/>
            </w:pPr>
            <w:r>
              <w:t xml:space="preserve">636,0</w:t>
            </w:r>
          </w:p>
        </w:tc>
      </w:tr>
      <w:tr>
        <w:trPr>
          <w:cantSplit/>
        </w:trPr>
        <w:tc>
          <w:tcPr/>
          <w:p>
            <w:pPr>
              <w:pStyle w:val="Tabla9"/>
              <w:jc w:val="left"/>
            </w:pPr>
            <w:r>
              <w:t xml:space="preserve">Total SGR</w:t>
            </w:r>
          </w:p>
        </w:tc>
        <w:tc>
          <w:tcPr/>
          <w:p>
            <w:pPr>
              <w:pStyle w:val="Tabla9"/>
              <w:jc w:val="left"/>
            </w:pPr>
            <w:r>
              <w:t xml:space="preserve">54</w:t>
            </w:r>
          </w:p>
        </w:tc>
        <w:tc>
          <w:tcPr/>
          <w:p>
            <w:pPr>
              <w:pStyle w:val="Tabla9"/>
              <w:jc w:val="left"/>
            </w:pPr>
            <w:r>
              <w:t xml:space="preserve">8.729,8</w:t>
            </w:r>
          </w:p>
        </w:tc>
        <w:tc>
          <w:tcPr/>
          <w:p>
            <w:pPr>
              <w:pStyle w:val="Tabla9"/>
              <w:jc w:val="left"/>
            </w:pPr>
            <w:r>
              <w:t xml:space="preserve">100,0 %</w:t>
            </w:r>
          </w:p>
        </w:tc>
        <w:tc>
          <w:tcPr/>
          <w:p>
            <w:pPr>
              <w:pStyle w:val="Tabla9"/>
              <w:jc w:val="left"/>
            </w:pPr>
            <w:r>
              <w:t xml:space="preserve">3.542,7</w:t>
            </w:r>
          </w:p>
        </w:tc>
        <w:tc>
          <w:tcPr/>
          <w:p>
            <w:pPr>
              <w:pStyle w:val="Tabla9"/>
              <w:jc w:val="left"/>
            </w:pPr>
            <w:r>
              <w:t xml:space="preserve">5.187,1</w:t>
            </w:r>
          </w:p>
        </w:tc>
      </w:tr>
    </w:tbl>
    <w:p>
      <w:pPr>
        <w:pStyle w:val="TablaNota"/>
      </w:pPr>
      <w:r>
        <w:rPr>
          <w:i/>
          <w:iCs/>
        </w:rPr>
        <w:t xml:space="preserve">Nota.</w:t>
      </w:r>
      <w:r>
        <w:t xml:space="preserve"> </w:t>
      </w:r>
      <w:r>
        <w:t xml:space="preserve">Elaboración propia con datos de maestro.py. Declarado: valores del expediente E3. Propuesto o calculado: valores de esta formulación y la reserva de contingencia. Los porcentajes suman 100,0 % con redondeo. Decimales con coma.</w:t>
      </w:r>
    </w:p>
    <w:p>
      <w:pPr>
        <w:pStyle w:val="BodyText"/>
      </w:pPr>
      <w:r>
        <w:t xml:space="preserve">La consecuencia metodológica es doble. Primero, la reserva y el personal propuesto concentran la incertidumbre de costo. Segundo, la ratificación del panel evaluador debe priorizar los rubros de personal y de equipos, que reúnen 69,4 % del valor solicitado. Las secciones siguientes detallan cada rubro con su justificación.</w:t>
      </w:r>
    </w:p>
    <w:bookmarkEnd w:id="507"/>
    <w:bookmarkStart w:id="508" w:name="personal"/>
    <w:p>
      <w:pPr>
        <w:pStyle w:val="Heading2"/>
      </w:pPr>
      <w:r>
        <w:t xml:space="preserve">8.2 Personal</w:t>
      </w:r>
    </w:p>
    <w:p>
      <w:pPr>
        <w:pStyle w:val="FirstParagraph"/>
      </w:pPr>
      <w:r>
        <w:t xml:space="preserve">El rubro de personal suma 4.382,9 millones de COP, que equivalen a 50,2 % del valor solicitado. Incluye 14 líneas, 29 cargos y 624 persona-mes. Las líneas P01 a P06 son valores heredados del expediente revisado (1.528,8 millones). Las líneas P07 a P14 son propuestas de esta formulación (2.854,1 millones, 65,1 % del rubro). Esa composición exige ratificar las escalas de pago. Ninguna se verificó contra una tabla institucional [DATO_USUARIO: escala salarial y carga prestacional de la entidad ejecutora].</w:t>
      </w:r>
    </w:p>
    <w:p>
      <w:pPr>
        <w:pStyle w:val="BodyText"/>
      </w:pPr>
      <w:r>
        <w:t xml:space="preserve">La estructura de cargos sigue los cuatro paquetes de trabajo. WP1 reúne 10 cargos para la medición verificada: seis jóvenes investigadores, dos estudiantes de maestría, un científico de datos senior y un especialista en metrología. WP2 reúne 13 cargos para la red, el software y el campo, incluidos seis técnicos departamentales. WP3 reúne cinco cargos para la apropiación, la calidad del aire y los convenios. WP0 tiene un cargo de gerencia. La investigación principal y los coinvestigadores no cargan al SGR, porque la entidad ejecutora los aporta como contrapartida en especie.</w:t>
      </w:r>
    </w:p>
    <w:p>
      <w:pPr>
        <w:pStyle w:val="BodyText"/>
      </w:pPr>
      <w:r>
        <w:t xml:space="preserve">La Tabla 8.3 detalla las 14 líneas de personal. Cada línea indica cantidad, costo unitario, paquete de trabajo y meses de dedicación.</w:t>
      </w:r>
    </w:p>
    <w:p>
      <w:pPr>
        <w:pStyle w:val="TablaRotulo"/>
      </w:pPr>
      <w:bookmarkStart w:id="9304" w:name="rot_Tabla_8_3"/>
      <w:r>
        <w:rPr>
          <w:b/>
          <w:bCs/>
        </w:rPr>
        <w:t xml:space="preserve">Tabla 8.3</w:t>
      </w:r>
      <w:bookmarkEnd w:id="9304"/>
    </w:p>
    <w:p>
      <w:pPr>
        <w:pStyle w:val="TablaTitulo"/>
      </w:pPr>
      <w:r>
        <w:rPr>
          <w:i/>
          <w:iCs/>
        </w:rPr>
        <w:t xml:space="preserve">Presupuesto de personal detallado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32"/>
        <w:gridCol w:w="1264"/>
        <w:gridCol w:w="931"/>
        <w:gridCol w:w="865"/>
        <w:gridCol w:w="1131"/>
        <w:gridCol w:w="1131"/>
        <w:gridCol w:w="399"/>
        <w:gridCol w:w="532"/>
        <w:gridCol w:w="1131"/>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Concepto</w:t>
            </w:r>
          </w:p>
        </w:tc>
        <w:tc>
          <w:tcPr>
            <w:shd w:val="clear" w:color="auto" w:fill="00B050"/>
          </w:tcPr>
          <w:p>
            <w:pPr>
              <w:pStyle w:val="Tabla8"/>
              <w:jc w:val="center"/>
            </w:pPr>
            <w:r>
              <w:rPr>
                <w:b/>
                <w:color w:val="FFFFFF"/>
              </w:rPr>
              <w:t xml:space="preserve">Cantidad y unidad</w:t>
            </w:r>
          </w:p>
        </w:tc>
        <w:tc>
          <w:tcPr>
            <w:shd w:val="clear" w:color="auto" w:fill="00B050"/>
          </w:tcPr>
          <w:p>
            <w:pPr>
              <w:pStyle w:val="Tabla8"/>
              <w:jc w:val="center"/>
            </w:pPr>
            <w:r>
              <w:rPr>
                <w:b/>
                <w:color w:val="FFFFFF"/>
              </w:rPr>
              <w:t xml:space="preserve">Costo unitario (COP)</w:t>
            </w:r>
          </w:p>
        </w:tc>
        <w:tc>
          <w:tcPr>
            <w:shd w:val="clear" w:color="auto" w:fill="00B050"/>
          </w:tcPr>
          <w:p>
            <w:pPr>
              <w:pStyle w:val="Tabla8"/>
              <w:jc w:val="center"/>
            </w:pPr>
            <w:r>
              <w:rPr>
                <w:b/>
                <w:color w:val="FFFFFF"/>
              </w:rPr>
              <w:t xml:space="preserve">Total (COP)</w:t>
            </w:r>
          </w:p>
        </w:tc>
        <w:tc>
          <w:tcPr>
            <w:shd w:val="clear" w:color="auto" w:fill="00B050"/>
          </w:tcPr>
          <w:p>
            <w:pPr>
              <w:pStyle w:val="Tabla8"/>
              <w:jc w:val="center"/>
            </w:pPr>
            <w:r>
              <w:rPr>
                <w:b/>
                <w:color w:val="FFFFFF"/>
              </w:rPr>
              <w:t xml:space="preserve">Naturaleza</w:t>
            </w:r>
          </w:p>
        </w:tc>
        <w:tc>
          <w:tcPr>
            <w:shd w:val="clear" w:color="auto" w:fill="00B050"/>
          </w:tcPr>
          <w:p>
            <w:pPr>
              <w:pStyle w:val="Tabla8"/>
              <w:jc w:val="center"/>
            </w:pPr>
            <w:r>
              <w:rPr>
                <w:b/>
                <w:color w:val="FFFFFF"/>
              </w:rPr>
              <w:t xml:space="preserve">WP</w:t>
            </w:r>
          </w:p>
        </w:tc>
        <w:tc>
          <w:tcPr>
            <w:shd w:val="clear" w:color="auto" w:fill="00B050"/>
          </w:tcPr>
          <w:p>
            <w:pPr>
              <w:pStyle w:val="Tabla8"/>
              <w:jc w:val="center"/>
            </w:pPr>
            <w:r>
              <w:rPr>
                <w:b/>
                <w:color w:val="FFFFFF"/>
              </w:rPr>
              <w:t xml:space="preserve">Meses</w:t>
            </w:r>
          </w:p>
        </w:tc>
        <w:tc>
          <w:tcPr>
            <w:shd w:val="clear" w:color="auto" w:fill="00B050"/>
          </w:tcPr>
          <w:p>
            <w:pPr>
              <w:pStyle w:val="Tabla8"/>
              <w:jc w:val="center"/>
            </w:pPr>
            <w:r>
              <w:rPr>
                <w:b/>
                <w:color w:val="FFFFFF"/>
              </w:rPr>
              <w:t xml:space="preserve">Justificación</w:t>
            </w:r>
          </w:p>
        </w:tc>
      </w:tr>
      <w:tr>
        <w:trPr>
          <w:cantSplit/>
        </w:trPr>
        <w:tc>
          <w:tcPr/>
          <w:p>
            <w:pPr>
              <w:pStyle w:val="Tabla8"/>
              <w:jc w:val="left"/>
            </w:pPr>
            <w:r>
              <w:t xml:space="preserve">P01</w:t>
            </w:r>
          </w:p>
        </w:tc>
        <w:tc>
          <w:tcPr/>
          <w:p>
            <w:pPr>
              <w:pStyle w:val="Tabla8"/>
              <w:jc w:val="left"/>
            </w:pPr>
            <w:r>
              <w:t xml:space="preserve">Jóvenes investigadores (6)</w:t>
            </w:r>
          </w:p>
        </w:tc>
        <w:tc>
          <w:tcPr/>
          <w:p>
            <w:pPr>
              <w:pStyle w:val="Tabla8"/>
              <w:jc w:val="left"/>
            </w:pPr>
            <w:r>
              <w:t xml:space="preserve">72 persona-mes</w:t>
            </w:r>
          </w:p>
        </w:tc>
        <w:tc>
          <w:tcPr/>
          <w:p>
            <w:pPr>
              <w:pStyle w:val="Tabla8"/>
              <w:jc w:val="left"/>
            </w:pPr>
            <w:r>
              <w:t xml:space="preserve">$ 2.000.000</w:t>
            </w:r>
          </w:p>
        </w:tc>
        <w:tc>
          <w:tcPr/>
          <w:p>
            <w:pPr>
              <w:pStyle w:val="Tabla8"/>
              <w:jc w:val="left"/>
            </w:pPr>
            <w:r>
              <w:t xml:space="preserve">$ 144.000.000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1–12</w:t>
            </w:r>
          </w:p>
        </w:tc>
        <w:tc>
          <w:tcPr/>
          <w:p>
            <w:pPr>
              <w:pStyle w:val="Tabla8"/>
              <w:jc w:val="left"/>
            </w:pPr>
            <w:r>
              <w:t xml:space="preserve">Requisito de formación de talento; valor del expediente E3 tabla del expediente E3.</w:t>
            </w:r>
          </w:p>
        </w:tc>
      </w:tr>
      <w:tr>
        <w:trPr>
          <w:cantSplit/>
        </w:trPr>
        <w:tc>
          <w:tcPr/>
          <w:p>
            <w:pPr>
              <w:pStyle w:val="Tabla8"/>
              <w:jc w:val="left"/>
            </w:pPr>
            <w:r>
              <w:t xml:space="preserve">P02</w:t>
            </w:r>
          </w:p>
        </w:tc>
        <w:tc>
          <w:tcPr/>
          <w:p>
            <w:pPr>
              <w:pStyle w:val="Tabla8"/>
              <w:jc w:val="left"/>
            </w:pPr>
            <w:r>
              <w:t xml:space="preserve">Estudiantes de maestría (2)</w:t>
            </w:r>
          </w:p>
        </w:tc>
        <w:tc>
          <w:tcPr/>
          <w:p>
            <w:pPr>
              <w:pStyle w:val="Tabla8"/>
              <w:jc w:val="left"/>
            </w:pPr>
            <w:r>
              <w:t xml:space="preserve">48 persona-mes</w:t>
            </w:r>
          </w:p>
        </w:tc>
        <w:tc>
          <w:tcPr/>
          <w:p>
            <w:pPr>
              <w:pStyle w:val="Tabla8"/>
              <w:jc w:val="left"/>
            </w:pPr>
            <w:r>
              <w:t xml:space="preserve">$ 6.350.000</w:t>
            </w:r>
          </w:p>
        </w:tc>
        <w:tc>
          <w:tcPr/>
          <w:p>
            <w:pPr>
              <w:pStyle w:val="Tabla8"/>
              <w:jc w:val="left"/>
            </w:pPr>
            <w:r>
              <w:t xml:space="preserve">$ 304.800.000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1–24</w:t>
            </w:r>
          </w:p>
        </w:tc>
        <w:tc>
          <w:tcPr/>
          <w:p>
            <w:pPr>
              <w:pStyle w:val="Tabla8"/>
              <w:jc w:val="left"/>
            </w:pPr>
            <w:r>
              <w:t xml:space="preserve">Sostenimiento y matrícula; valor del expediente E3.</w:t>
            </w:r>
          </w:p>
        </w:tc>
      </w:tr>
      <w:tr>
        <w:trPr>
          <w:cantSplit/>
        </w:trPr>
        <w:tc>
          <w:tcPr/>
          <w:p>
            <w:pPr>
              <w:pStyle w:val="Tabla8"/>
              <w:jc w:val="left"/>
            </w:pPr>
            <w:r>
              <w:t xml:space="preserve">P03</w:t>
            </w:r>
          </w:p>
        </w:tc>
        <w:tc>
          <w:tcPr/>
          <w:p>
            <w:pPr>
              <w:pStyle w:val="Tabla8"/>
              <w:jc w:val="left"/>
            </w:pPr>
            <w:r>
              <w:t xml:space="preserve">Doctor en estancia posdoctoral con perfil de ciencia de datos (1)</w:t>
            </w:r>
          </w:p>
        </w:tc>
        <w:tc>
          <w:tcPr/>
          <w:p>
            <w:pPr>
              <w:pStyle w:val="Tabla8"/>
              <w:jc w:val="left"/>
            </w:pPr>
            <w:r>
              <w:t xml:space="preserve">24 persona-mes</w:t>
            </w:r>
          </w:p>
        </w:tc>
        <w:tc>
          <w:tcPr/>
          <w:p>
            <w:pPr>
              <w:pStyle w:val="Tabla8"/>
              <w:jc w:val="left"/>
            </w:pPr>
            <w:r>
              <w:t xml:space="preserve">$ 12.920.000</w:t>
            </w:r>
          </w:p>
        </w:tc>
        <w:tc>
          <w:tcPr/>
          <w:p>
            <w:pPr>
              <w:pStyle w:val="Tabla8"/>
              <w:jc w:val="left"/>
            </w:pPr>
            <w:r>
              <w:t xml:space="preserve">$ 310.080.000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1–24</w:t>
            </w:r>
          </w:p>
        </w:tc>
        <w:tc>
          <w:tcPr/>
          <w:p>
            <w:pPr>
              <w:pStyle w:val="Tabla8"/>
              <w:jc w:val="left"/>
            </w:pPr>
            <w:r>
              <w:t xml:space="preserve">Perfil exigido por el numeral 9 de los TdR; apoyo mensual fijado en el numeral 14.4; modelo de corrección y validación.</w:t>
            </w:r>
          </w:p>
        </w:tc>
      </w:tr>
      <w:tr>
        <w:trPr>
          <w:cantSplit/>
        </w:trPr>
        <w:tc>
          <w:tcPr/>
          <w:p>
            <w:pPr>
              <w:pStyle w:val="Tabla8"/>
              <w:jc w:val="left"/>
            </w:pPr>
            <w:r>
              <w:t xml:space="preserve">P04</w:t>
            </w:r>
          </w:p>
        </w:tc>
        <w:tc>
          <w:tcPr/>
          <w:p>
            <w:pPr>
              <w:pStyle w:val="Tabla8"/>
              <w:jc w:val="left"/>
            </w:pPr>
            <w:r>
              <w:t xml:space="preserve">Ingenieros IoT y de campo (3)</w:t>
            </w:r>
          </w:p>
        </w:tc>
        <w:tc>
          <w:tcPr/>
          <w:p>
            <w:pPr>
              <w:pStyle w:val="Tabla8"/>
              <w:jc w:val="left"/>
            </w:pPr>
            <w:r>
              <w:t xml:space="preserve">72 persona-mes</w:t>
            </w:r>
          </w:p>
        </w:tc>
        <w:tc>
          <w:tcPr/>
          <w:p>
            <w:pPr>
              <w:pStyle w:val="Tabla8"/>
              <w:jc w:val="left"/>
            </w:pPr>
            <w:r>
              <w:t xml:space="preserve">$ 9.000.000</w:t>
            </w:r>
          </w:p>
        </w:tc>
        <w:tc>
          <w:tcPr/>
          <w:p>
            <w:pPr>
              <w:pStyle w:val="Tabla8"/>
              <w:jc w:val="left"/>
            </w:pPr>
            <w:r>
              <w:t xml:space="preserve">$ 648.000.000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Instalación y operación de la red; valor E3.</w:t>
            </w:r>
          </w:p>
        </w:tc>
      </w:tr>
      <w:tr>
        <w:trPr>
          <w:cantSplit/>
        </w:trPr>
        <w:tc>
          <w:tcPr/>
          <w:p>
            <w:pPr>
              <w:pStyle w:val="Tabla8"/>
              <w:jc w:val="left"/>
            </w:pPr>
            <w:r>
              <w:t xml:space="preserve">P05</w:t>
            </w:r>
          </w:p>
        </w:tc>
        <w:tc>
          <w:tcPr/>
          <w:p>
            <w:pPr>
              <w:pStyle w:val="Tabla8"/>
              <w:jc w:val="left"/>
            </w:pPr>
            <w:r>
              <w:t xml:space="preserve">Coordinación de apropiación social (1)</w:t>
            </w:r>
          </w:p>
        </w:tc>
        <w:tc>
          <w:tcPr/>
          <w:p>
            <w:pPr>
              <w:pStyle w:val="Tabla8"/>
              <w:jc w:val="left"/>
            </w:pPr>
            <w:r>
              <w:t xml:space="preserve">24 persona-mes</w:t>
            </w:r>
          </w:p>
        </w:tc>
        <w:tc>
          <w:tcPr/>
          <w:p>
            <w:pPr>
              <w:pStyle w:val="Tabla8"/>
              <w:jc w:val="left"/>
            </w:pPr>
            <w:r>
              <w:t xml:space="preserve">$ 8.000.000</w:t>
            </w:r>
          </w:p>
        </w:tc>
        <w:tc>
          <w:tcPr/>
          <w:p>
            <w:pPr>
              <w:pStyle w:val="Tabla8"/>
              <w:jc w:val="left"/>
            </w:pPr>
            <w:r>
              <w:t xml:space="preserve">$ 192.000.000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1–24</w:t>
            </w:r>
          </w:p>
        </w:tc>
        <w:tc>
          <w:tcPr/>
          <w:p>
            <w:pPr>
              <w:pStyle w:val="Tabla8"/>
              <w:jc w:val="left"/>
            </w:pPr>
            <w:r>
              <w:t xml:space="preserve">Escalera ASC niveles 1 a 4; valor E3.</w:t>
            </w:r>
          </w:p>
        </w:tc>
      </w:tr>
      <w:tr>
        <w:trPr>
          <w:cantSplit/>
        </w:trPr>
        <w:tc>
          <w:tcPr/>
          <w:p>
            <w:pPr>
              <w:pStyle w:val="Tabla8"/>
              <w:jc w:val="left"/>
            </w:pPr>
            <w:r>
              <w:t xml:space="preserve">P06</w:t>
            </w:r>
          </w:p>
        </w:tc>
        <w:tc>
          <w:tcPr/>
          <w:p>
            <w:pPr>
              <w:pStyle w:val="Tabla8"/>
              <w:jc w:val="left"/>
            </w:pPr>
            <w:r>
              <w:t xml:space="preserve">Gerencia de proyecto (1)</w:t>
            </w:r>
          </w:p>
        </w:tc>
        <w:tc>
          <w:tcPr/>
          <w:p>
            <w:pPr>
              <w:pStyle w:val="Tabla8"/>
              <w:jc w:val="left"/>
            </w:pPr>
            <w:r>
              <w:t xml:space="preserve">24 persona-mes</w:t>
            </w:r>
          </w:p>
        </w:tc>
        <w:tc>
          <w:tcPr/>
          <w:p>
            <w:pPr>
              <w:pStyle w:val="Tabla8"/>
              <w:jc w:val="left"/>
            </w:pPr>
            <w:r>
              <w:t xml:space="preserve">$ 10.000.000</w:t>
            </w:r>
          </w:p>
        </w:tc>
        <w:tc>
          <w:tcPr/>
          <w:p>
            <w:pPr>
              <w:pStyle w:val="Tabla8"/>
              <w:jc w:val="left"/>
            </w:pPr>
            <w:r>
              <w:t xml:space="preserve">$ 240.000.000</w:t>
            </w:r>
          </w:p>
        </w:tc>
        <w:tc>
          <w:tcPr/>
          <w:p>
            <w:pPr>
              <w:pStyle w:val="Tabla8"/>
              <w:jc w:val="left"/>
            </w:pPr>
            <w:r>
              <w:t xml:space="preserve">DECLARADO</w:t>
            </w:r>
          </w:p>
        </w:tc>
        <w:tc>
          <w:tcPr/>
          <w:p>
            <w:pPr>
              <w:pStyle w:val="Tabla8"/>
              <w:jc w:val="left"/>
            </w:pPr>
            <w:r>
              <w:t xml:space="preserve">WP0</w:t>
            </w:r>
          </w:p>
        </w:tc>
        <w:tc>
          <w:tcPr/>
          <w:p>
            <w:pPr>
              <w:pStyle w:val="Tabla8"/>
              <w:jc w:val="left"/>
            </w:pPr>
            <w:r>
              <w:t xml:space="preserve">1–24</w:t>
            </w:r>
          </w:p>
        </w:tc>
        <w:tc>
          <w:tcPr/>
          <w:p>
            <w:pPr>
              <w:pStyle w:val="Tabla8"/>
              <w:jc w:val="left"/>
            </w:pPr>
            <w:r>
              <w:t xml:space="preserve">Seguimiento físico y financiero; valor E3.</w:t>
            </w:r>
          </w:p>
        </w:tc>
      </w:tr>
      <w:tr>
        <w:trPr>
          <w:cantSplit/>
        </w:trPr>
        <w:tc>
          <w:tcPr/>
          <w:p>
            <w:pPr>
              <w:pStyle w:val="Tabla8"/>
              <w:jc w:val="left"/>
            </w:pPr>
            <w:r>
              <w:t xml:space="preserve">P07</w:t>
            </w:r>
          </w:p>
        </w:tc>
        <w:tc>
          <w:tcPr/>
          <w:p>
            <w:pPr>
              <w:pStyle w:val="Tabla8"/>
              <w:jc w:val="left"/>
            </w:pPr>
            <w:r>
              <w:t xml:space="preserve">Especialista en metrología y calibración (1)</w:t>
            </w:r>
          </w:p>
        </w:tc>
        <w:tc>
          <w:tcPr/>
          <w:p>
            <w:pPr>
              <w:pStyle w:val="Tabla8"/>
              <w:jc w:val="left"/>
            </w:pPr>
            <w:r>
              <w:t xml:space="preserve">24 persona-mes</w:t>
            </w:r>
          </w:p>
        </w:tc>
        <w:tc>
          <w:tcPr/>
          <w:p>
            <w:pPr>
              <w:pStyle w:val="Tabla8"/>
              <w:jc w:val="left"/>
            </w:pPr>
            <w:r>
              <w:t xml:space="preserve">$ 12.000.000</w:t>
            </w:r>
          </w:p>
        </w:tc>
        <w:tc>
          <w:tcPr/>
          <w:p>
            <w:pPr>
              <w:pStyle w:val="Tabla8"/>
              <w:jc w:val="left"/>
            </w:pPr>
            <w:r>
              <w:t xml:space="preserve">$ 288.000.000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1–24</w:t>
            </w:r>
          </w:p>
        </w:tc>
        <w:tc>
          <w:tcPr/>
          <w:p>
            <w:pPr>
              <w:pStyle w:val="Tabla8"/>
              <w:jc w:val="left"/>
            </w:pPr>
            <w:r>
              <w:t xml:space="preserve">Responsable de la trazabilidad frente a la referencia gravimétrica.</w:t>
            </w:r>
          </w:p>
        </w:tc>
      </w:tr>
      <w:tr>
        <w:trPr>
          <w:cantSplit/>
        </w:trPr>
        <w:tc>
          <w:tcPr/>
          <w:p>
            <w:pPr>
              <w:pStyle w:val="Tabla8"/>
              <w:jc w:val="left"/>
            </w:pPr>
            <w:r>
              <w:t xml:space="preserve">P08</w:t>
            </w:r>
          </w:p>
        </w:tc>
        <w:tc>
          <w:tcPr/>
          <w:p>
            <w:pPr>
              <w:pStyle w:val="Tabla8"/>
              <w:jc w:val="left"/>
            </w:pPr>
            <w:r>
              <w:t xml:space="preserve">Ingenieros de software y nube (2)</w:t>
            </w:r>
          </w:p>
        </w:tc>
        <w:tc>
          <w:tcPr/>
          <w:p>
            <w:pPr>
              <w:pStyle w:val="Tabla8"/>
              <w:jc w:val="left"/>
            </w:pPr>
            <w:r>
              <w:t xml:space="preserve">48 persona-mes</w:t>
            </w:r>
          </w:p>
        </w:tc>
        <w:tc>
          <w:tcPr/>
          <w:p>
            <w:pPr>
              <w:pStyle w:val="Tabla8"/>
              <w:jc w:val="left"/>
            </w:pPr>
            <w:r>
              <w:t xml:space="preserve">$ 9.500.000</w:t>
            </w:r>
          </w:p>
        </w:tc>
        <w:tc>
          <w:tcPr/>
          <w:p>
            <w:pPr>
              <w:pStyle w:val="Tabla8"/>
              <w:jc w:val="left"/>
            </w:pPr>
            <w:r>
              <w:t xml:space="preserve">$ 456.000.000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Plataforma, gemelo digital y tablero.</w:t>
            </w:r>
          </w:p>
        </w:tc>
      </w:tr>
      <w:tr>
        <w:trPr>
          <w:cantSplit/>
        </w:trPr>
        <w:tc>
          <w:tcPr/>
          <w:p>
            <w:pPr>
              <w:pStyle w:val="Tabla8"/>
              <w:jc w:val="left"/>
            </w:pPr>
            <w:r>
              <w:t xml:space="preserve">P09</w:t>
            </w:r>
          </w:p>
        </w:tc>
        <w:tc>
          <w:tcPr/>
          <w:p>
            <w:pPr>
              <w:pStyle w:val="Tabla8"/>
              <w:jc w:val="left"/>
            </w:pPr>
            <w:r>
              <w:t xml:space="preserve">Ingeniero de firmware y energía (1)</w:t>
            </w:r>
          </w:p>
        </w:tc>
        <w:tc>
          <w:tcPr/>
          <w:p>
            <w:pPr>
              <w:pStyle w:val="Tabla8"/>
              <w:jc w:val="left"/>
            </w:pPr>
            <w:r>
              <w:t xml:space="preserve">24 persona-mes</w:t>
            </w:r>
          </w:p>
        </w:tc>
        <w:tc>
          <w:tcPr/>
          <w:p>
            <w:pPr>
              <w:pStyle w:val="Tabla8"/>
              <w:jc w:val="left"/>
            </w:pPr>
            <w:r>
              <w:t xml:space="preserve">$ 9.000.000</w:t>
            </w:r>
          </w:p>
        </w:tc>
        <w:tc>
          <w:tcPr/>
          <w:p>
            <w:pPr>
              <w:pStyle w:val="Tabla8"/>
              <w:jc w:val="left"/>
            </w:pPr>
            <w:r>
              <w:t xml:space="preserve">$ 216.000.000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Autonomía de 14 días y modo de bajo consumo.</w:t>
            </w:r>
          </w:p>
        </w:tc>
      </w:tr>
      <w:tr>
        <w:trPr>
          <w:cantSplit/>
        </w:trPr>
        <w:tc>
          <w:tcPr/>
          <w:p>
            <w:pPr>
              <w:pStyle w:val="Tabla8"/>
              <w:jc w:val="left"/>
            </w:pPr>
            <w:r>
              <w:t xml:space="preserve">P10</w:t>
            </w:r>
          </w:p>
        </w:tc>
        <w:tc>
          <w:tcPr/>
          <w:p>
            <w:pPr>
              <w:pStyle w:val="Tabla8"/>
              <w:jc w:val="left"/>
            </w:pPr>
            <w:r>
              <w:t xml:space="preserve">Técnicos de campo departamentales (6)</w:t>
            </w:r>
          </w:p>
        </w:tc>
        <w:tc>
          <w:tcPr/>
          <w:p>
            <w:pPr>
              <w:pStyle w:val="Tabla8"/>
              <w:jc w:val="left"/>
            </w:pPr>
            <w:r>
              <w:t xml:space="preserve">144 persona-mes</w:t>
            </w:r>
          </w:p>
        </w:tc>
        <w:tc>
          <w:tcPr/>
          <w:p>
            <w:pPr>
              <w:pStyle w:val="Tabla8"/>
              <w:jc w:val="left"/>
            </w:pPr>
            <w:r>
              <w:t xml:space="preserve">$ 4.500.000</w:t>
            </w:r>
          </w:p>
        </w:tc>
        <w:tc>
          <w:tcPr/>
          <w:p>
            <w:pPr>
              <w:pStyle w:val="Tabla8"/>
              <w:jc w:val="left"/>
            </w:pPr>
            <w:r>
              <w:t xml:space="preserve">$ 648.000.000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Dos por departamento; mantenimiento y reposición.</w:t>
            </w:r>
          </w:p>
        </w:tc>
      </w:tr>
      <w:tr>
        <w:trPr>
          <w:cantSplit/>
        </w:trPr>
        <w:tc>
          <w:tcPr/>
          <w:p>
            <w:pPr>
              <w:pStyle w:val="Tabla8"/>
              <w:jc w:val="left"/>
            </w:pPr>
            <w:r>
              <w:t xml:space="preserve">P11</w:t>
            </w:r>
          </w:p>
        </w:tc>
        <w:tc>
          <w:tcPr/>
          <w:p>
            <w:pPr>
              <w:pStyle w:val="Tabla8"/>
              <w:jc w:val="left"/>
            </w:pPr>
            <w:r>
              <w:t xml:space="preserve">Profesionales de apropiación social (2)</w:t>
            </w:r>
          </w:p>
        </w:tc>
        <w:tc>
          <w:tcPr/>
          <w:p>
            <w:pPr>
              <w:pStyle w:val="Tabla8"/>
              <w:jc w:val="left"/>
            </w:pPr>
            <w:r>
              <w:t xml:space="preserve">48 persona-mes</w:t>
            </w:r>
          </w:p>
        </w:tc>
        <w:tc>
          <w:tcPr/>
          <w:p>
            <w:pPr>
              <w:pStyle w:val="Tabla8"/>
              <w:jc w:val="left"/>
            </w:pPr>
            <w:r>
              <w:t xml:space="preserve">$ 6.000.000</w:t>
            </w:r>
          </w:p>
        </w:tc>
        <w:tc>
          <w:tcPr/>
          <w:p>
            <w:pPr>
              <w:pStyle w:val="Tabla8"/>
              <w:jc w:val="left"/>
            </w:pPr>
            <w:r>
              <w:t xml:space="preserve">$ 288.000.000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1–24</w:t>
            </w:r>
          </w:p>
        </w:tc>
        <w:tc>
          <w:tcPr/>
          <w:p>
            <w:pPr>
              <w:pStyle w:val="Tabla8"/>
              <w:jc w:val="left"/>
            </w:pPr>
            <w:r>
              <w:t xml:space="preserve">Co-diseño con comités y comunidades.</w:t>
            </w:r>
          </w:p>
        </w:tc>
      </w:tr>
      <w:tr>
        <w:trPr>
          <w:cantSplit/>
        </w:trPr>
        <w:tc>
          <w:tcPr/>
          <w:p>
            <w:pPr>
              <w:pStyle w:val="Tabla8"/>
              <w:jc w:val="left"/>
            </w:pPr>
            <w:r>
              <w:t xml:space="preserve">P12</w:t>
            </w:r>
          </w:p>
        </w:tc>
        <w:tc>
          <w:tcPr/>
          <w:p>
            <w:pPr>
              <w:pStyle w:val="Tabla8"/>
              <w:jc w:val="left"/>
            </w:pPr>
            <w:r>
              <w:t xml:space="preserve">Analista de datos espaciales y gemelo digital (1)</w:t>
            </w:r>
          </w:p>
        </w:tc>
        <w:tc>
          <w:tcPr/>
          <w:p>
            <w:pPr>
              <w:pStyle w:val="Tabla8"/>
              <w:jc w:val="left"/>
            </w:pPr>
            <w:r>
              <w:t xml:space="preserve">24 persona-mes</w:t>
            </w:r>
          </w:p>
        </w:tc>
        <w:tc>
          <w:tcPr/>
          <w:p>
            <w:pPr>
              <w:pStyle w:val="Tabla8"/>
              <w:jc w:val="left"/>
            </w:pPr>
            <w:r>
              <w:t xml:space="preserve">$ 10.000.000</w:t>
            </w:r>
          </w:p>
        </w:tc>
        <w:tc>
          <w:tcPr/>
          <w:p>
            <w:pPr>
              <w:pStyle w:val="Tabla8"/>
              <w:jc w:val="left"/>
            </w:pPr>
            <w:r>
              <w:t xml:space="preserve">$ 240.000.000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Modelo de estimación espacial y validación.</w:t>
            </w:r>
          </w:p>
        </w:tc>
      </w:tr>
      <w:tr>
        <w:trPr>
          <w:cantSplit/>
        </w:trPr>
        <w:tc>
          <w:tcPr/>
          <w:p>
            <w:pPr>
              <w:pStyle w:val="Tabla8"/>
              <w:jc w:val="left"/>
            </w:pPr>
            <w:r>
              <w:t xml:space="preserve">P13</w:t>
            </w:r>
          </w:p>
        </w:tc>
        <w:tc>
          <w:tcPr/>
          <w:p>
            <w:pPr>
              <w:pStyle w:val="Tabla8"/>
              <w:jc w:val="left"/>
            </w:pPr>
            <w:r>
              <w:t xml:space="preserve">Profesional en calidad del aire y salud ambiental (1)</w:t>
            </w:r>
          </w:p>
        </w:tc>
        <w:tc>
          <w:tcPr/>
          <w:p>
            <w:pPr>
              <w:pStyle w:val="Tabla8"/>
              <w:jc w:val="left"/>
            </w:pPr>
            <w:r>
              <w:t xml:space="preserve">24 persona-mes</w:t>
            </w:r>
          </w:p>
        </w:tc>
        <w:tc>
          <w:tcPr/>
          <w:p>
            <w:pPr>
              <w:pStyle w:val="Tabla8"/>
              <w:jc w:val="left"/>
            </w:pPr>
            <w:r>
              <w:t xml:space="preserve">$ 10.000.000</w:t>
            </w:r>
          </w:p>
        </w:tc>
        <w:tc>
          <w:tcPr/>
          <w:p>
            <w:pPr>
              <w:pStyle w:val="Tabla8"/>
              <w:jc w:val="left"/>
            </w:pPr>
            <w:r>
              <w:t xml:space="preserve">$ 240.000.000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1–24</w:t>
            </w:r>
          </w:p>
        </w:tc>
        <w:tc>
          <w:tcPr/>
          <w:p>
            <w:pPr>
              <w:pStyle w:val="Tabla8"/>
              <w:jc w:val="left"/>
            </w:pPr>
            <w:r>
              <w:t xml:space="preserve">Umbrales locales del índice y protocolo de alerta.</w:t>
            </w:r>
          </w:p>
        </w:tc>
      </w:tr>
      <w:tr>
        <w:trPr>
          <w:cantSplit/>
        </w:trPr>
        <w:tc>
          <w:tcPr/>
          <w:p>
            <w:pPr>
              <w:pStyle w:val="Tabla8"/>
              <w:jc w:val="left"/>
            </w:pPr>
            <w:r>
              <w:t xml:space="preserve">P14</w:t>
            </w:r>
          </w:p>
        </w:tc>
        <w:tc>
          <w:tcPr/>
          <w:p>
            <w:pPr>
              <w:pStyle w:val="Tabla8"/>
              <w:jc w:val="left"/>
            </w:pPr>
            <w:r>
              <w:t xml:space="preserve">Profesional de convenios y custodia (1)</w:t>
            </w:r>
          </w:p>
        </w:tc>
        <w:tc>
          <w:tcPr/>
          <w:p>
            <w:pPr>
              <w:pStyle w:val="Tabla8"/>
              <w:jc w:val="left"/>
            </w:pPr>
            <w:r>
              <w:t xml:space="preserve">24 persona-mes</w:t>
            </w:r>
          </w:p>
        </w:tc>
        <w:tc>
          <w:tcPr/>
          <w:p>
            <w:pPr>
              <w:pStyle w:val="Tabla8"/>
              <w:jc w:val="left"/>
            </w:pPr>
            <w:r>
              <w:t xml:space="preserve">$ 7.000.000</w:t>
            </w:r>
          </w:p>
        </w:tc>
        <w:tc>
          <w:tcPr/>
          <w:p>
            <w:pPr>
              <w:pStyle w:val="Tabla8"/>
              <w:jc w:val="left"/>
            </w:pPr>
            <w:r>
              <w:t xml:space="preserve">$ 168.000.000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1–24</w:t>
            </w:r>
          </w:p>
        </w:tc>
        <w:tc>
          <w:tcPr/>
          <w:p>
            <w:pPr>
              <w:pStyle w:val="Tabla8"/>
              <w:jc w:val="left"/>
            </w:pPr>
            <w:r>
              <w:t xml:space="preserve">Convenios por tramo, cláusula de apertura y propiedad intelectual.</w:t>
            </w:r>
          </w:p>
        </w:tc>
      </w:tr>
      <w:tr>
        <w:trPr>
          <w:cantSplit/>
        </w:trPr>
        <w:tc>
          <w:tcPr/>
          <w:p>
            <w:pPr>
              <w:pStyle w:val="Tabla8"/>
              <w:jc w:val="left"/>
            </w:pPr>
            <w:r>
              <w:t xml:space="preserve">Total</w:t>
            </w:r>
          </w:p>
        </w:tc>
        <w:tc>
          <w:tcPr/>
          <w:p>
            <w:pPr>
              <w:pStyle w:val="Tabla8"/>
              <w:jc w:val="left"/>
            </w:pPr>
            <w:r>
              <w:t xml:space="preserve">Subtotal de personal</w:t>
            </w:r>
          </w:p>
        </w:tc>
        <w:tc>
          <w:tcPr/>
          <w:p>
            <w:pPr>
              <w:pStyle w:val="Tabla8"/>
            </w:pPr>
          </w:p>
        </w:tc>
        <w:tc>
          <w:tcPr/>
          <w:p>
            <w:pPr>
              <w:pStyle w:val="Tabla8"/>
            </w:pPr>
          </w:p>
        </w:tc>
        <w:tc>
          <w:tcPr/>
          <w:p>
            <w:pPr>
              <w:pStyle w:val="Tabla8"/>
              <w:jc w:val="left"/>
            </w:pPr>
            <w:r>
              <w:t xml:space="preserve">$ 4.382.880.000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50,2 %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Las líneas de jóvenes investigadores y de estudiantes de maestría atienden un doble propósito. Proveen capacidad de trabajo y forman talento, que es un resultado del sistema nacional de ciencia, tecnología e innovación (Congreso de la República, 2009). Los jóvenes investigadores se concentran en los meses 1 a 12, porque su trabajo principal es la colocalización del piloto. Los estudiantes de maestría permanecen 24 meses y pueden producir una tesis asociada al segundo artículo. El costo mensual de la maestría, de 6.350.000 COP, incluye matrícula y sostenimiento según el expediente revisado.</w:t>
      </w:r>
    </w:p>
    <w:p>
      <w:pPr>
        <w:pStyle w:val="BodyText"/>
      </w:pPr>
      <w:r>
        <w:t xml:space="preserve">La contrapartida de personal merece atención aparte, porque su certificación determina la viabilidad del aporte. La Tabla 8.4 presenta las seis líneas de contrapartida. Las tres primeras corresponden a la dedicación del equipo investigador de la entidad ejecutora, que suma 800.000.000 COP. La cuarta valora el uso de laboratorios por 300.000.000 COP. Las dos últimas son aportes de la empresa tecnológica. Ningún valor está certificado todavía.</w:t>
      </w:r>
    </w:p>
    <w:p>
      <w:pPr>
        <w:pStyle w:val="TablaRotulo"/>
      </w:pPr>
      <w:bookmarkStart w:id="9305" w:name="rot_Tabla_8_4"/>
      <w:r>
        <w:rPr>
          <w:b/>
          <w:bCs/>
        </w:rPr>
        <w:t xml:space="preserve">Tabla 8.4</w:t>
      </w:r>
      <w:bookmarkEnd w:id="9305"/>
    </w:p>
    <w:p>
      <w:pPr>
        <w:pStyle w:val="TablaTitulo"/>
      </w:pPr>
      <w:r>
        <w:rPr>
          <w:i/>
          <w:iCs/>
        </w:rPr>
        <w:t xml:space="preserve">Contrapartida por línea, fuente y naturaleza del dato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20"/>
        <w:gridCol w:w="1832"/>
        <w:gridCol w:w="850"/>
        <w:gridCol w:w="1440"/>
        <w:gridCol w:w="1505"/>
        <w:gridCol w:w="1570"/>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Aporte</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Total (COP)</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Observación</w:t>
            </w:r>
          </w:p>
        </w:tc>
      </w:tr>
      <w:tr>
        <w:trPr>
          <w:cantSplit/>
        </w:trPr>
        <w:tc>
          <w:tcPr/>
          <w:p>
            <w:pPr>
              <w:pStyle w:val="Tabla9"/>
              <w:jc w:val="left"/>
            </w:pPr>
            <w:r>
              <w:t xml:space="preserve">C01</w:t>
            </w:r>
          </w:p>
        </w:tc>
        <w:tc>
          <w:tcPr/>
          <w:p>
            <w:pPr>
              <w:pStyle w:val="Tabla9"/>
              <w:jc w:val="left"/>
            </w:pPr>
            <w:r>
              <w:t xml:space="preserve">Investigador principal, 50 % durante 24 meses</w:t>
            </w:r>
          </w:p>
        </w:tc>
        <w:tc>
          <w:tcPr/>
          <w:p>
            <w:pPr>
              <w:pStyle w:val="Tabla9"/>
              <w:jc w:val="left"/>
            </w:pPr>
            <w:r>
              <w:t xml:space="preserve">IES</w:t>
            </w:r>
          </w:p>
        </w:tc>
        <w:tc>
          <w:tcPr/>
          <w:p>
            <w:pPr>
              <w:pStyle w:val="Tabla9"/>
              <w:jc w:val="left"/>
            </w:pPr>
            <w:r>
              <w:t xml:space="preserve">$ 350.000.000</w:t>
            </w:r>
          </w:p>
        </w:tc>
        <w:tc>
          <w:tcPr/>
          <w:p>
            <w:pPr>
              <w:pStyle w:val="Tabla9"/>
              <w:jc w:val="left"/>
            </w:pPr>
            <w:r>
              <w:t xml:space="preserve">DECLARADO</w:t>
            </w:r>
          </w:p>
        </w:tc>
        <w:tc>
          <w:tcPr/>
          <w:p>
            <w:pPr>
              <w:pStyle w:val="Tabla9"/>
              <w:jc w:val="left"/>
            </w:pPr>
            <w:r>
              <w:t xml:space="preserve">Valor E3, tabla del expediente E3; certificación de la IES pendiente.</w:t>
            </w:r>
          </w:p>
        </w:tc>
      </w:tr>
      <w:tr>
        <w:trPr>
          <w:cantSplit/>
        </w:trPr>
        <w:tc>
          <w:tcPr/>
          <w:p>
            <w:pPr>
              <w:pStyle w:val="Tabla9"/>
              <w:jc w:val="left"/>
            </w:pPr>
            <w:r>
              <w:t xml:space="preserve">C02</w:t>
            </w:r>
          </w:p>
        </w:tc>
        <w:tc>
          <w:tcPr/>
          <w:p>
            <w:pPr>
              <w:pStyle w:val="Tabla9"/>
              <w:jc w:val="left"/>
            </w:pPr>
            <w:r>
              <w:t xml:space="preserve">Coinvestigador técnico, 30 % durante 24 meses</w:t>
            </w:r>
          </w:p>
        </w:tc>
        <w:tc>
          <w:tcPr/>
          <w:p>
            <w:pPr>
              <w:pStyle w:val="Tabla9"/>
              <w:jc w:val="left"/>
            </w:pPr>
            <w:r>
              <w:t xml:space="preserve">IES</w:t>
            </w:r>
          </w:p>
        </w:tc>
        <w:tc>
          <w:tcPr/>
          <w:p>
            <w:pPr>
              <w:pStyle w:val="Tabla9"/>
              <w:jc w:val="left"/>
            </w:pPr>
            <w:r>
              <w:t xml:space="preserve">$ 250.000.000</w:t>
            </w:r>
          </w:p>
        </w:tc>
        <w:tc>
          <w:tcPr/>
          <w:p>
            <w:pPr>
              <w:pStyle w:val="Tabla9"/>
              <w:jc w:val="left"/>
            </w:pPr>
            <w:r>
              <w:t xml:space="preserve">DECLARADO</w:t>
            </w:r>
          </w:p>
        </w:tc>
        <w:tc>
          <w:tcPr/>
          <w:p>
            <w:pPr>
              <w:pStyle w:val="Tabla9"/>
              <w:jc w:val="left"/>
            </w:pPr>
            <w:r>
              <w:t xml:space="preserve">Valor E3, tabla del expediente E3.</w:t>
            </w:r>
          </w:p>
        </w:tc>
      </w:tr>
      <w:tr>
        <w:trPr>
          <w:cantSplit/>
        </w:trPr>
        <w:tc>
          <w:tcPr/>
          <w:p>
            <w:pPr>
              <w:pStyle w:val="Tabla9"/>
              <w:jc w:val="left"/>
            </w:pPr>
            <w:r>
              <w:t xml:space="preserve">C03</w:t>
            </w:r>
          </w:p>
        </w:tc>
        <w:tc>
          <w:tcPr/>
          <w:p>
            <w:pPr>
              <w:pStyle w:val="Tabla9"/>
              <w:jc w:val="left"/>
            </w:pPr>
            <w:r>
              <w:t xml:space="preserve">Coinvestigadores de ambiente y ciencias sociales, 20 %</w:t>
            </w:r>
          </w:p>
        </w:tc>
        <w:tc>
          <w:tcPr/>
          <w:p>
            <w:pPr>
              <w:pStyle w:val="Tabla9"/>
              <w:jc w:val="left"/>
            </w:pPr>
            <w:r>
              <w:t xml:space="preserve">IES</w:t>
            </w:r>
          </w:p>
        </w:tc>
        <w:tc>
          <w:tcPr/>
          <w:p>
            <w:pPr>
              <w:pStyle w:val="Tabla9"/>
              <w:jc w:val="left"/>
            </w:pPr>
            <w:r>
              <w:t xml:space="preserve">$ 200.000.000</w:t>
            </w:r>
          </w:p>
        </w:tc>
        <w:tc>
          <w:tcPr/>
          <w:p>
            <w:pPr>
              <w:pStyle w:val="Tabla9"/>
              <w:jc w:val="left"/>
            </w:pPr>
            <w:r>
              <w:t xml:space="preserve">PROPUESTO</w:t>
            </w:r>
          </w:p>
        </w:tc>
        <w:tc>
          <w:tcPr/>
          <w:p>
            <w:pPr>
              <w:pStyle w:val="Tabla9"/>
              <w:jc w:val="left"/>
            </w:pPr>
            <w:r>
              <w:t xml:space="preserve">Dos personas; valor sujeto a certificación de la IES.</w:t>
            </w:r>
          </w:p>
        </w:tc>
      </w:tr>
      <w:tr>
        <w:trPr>
          <w:cantSplit/>
        </w:trPr>
        <w:tc>
          <w:tcPr/>
          <w:p>
            <w:pPr>
              <w:pStyle w:val="Tabla9"/>
              <w:jc w:val="left"/>
            </w:pPr>
            <w:r>
              <w:t xml:space="preserve">C04</w:t>
            </w:r>
          </w:p>
        </w:tc>
        <w:tc>
          <w:tcPr/>
          <w:p>
            <w:pPr>
              <w:pStyle w:val="Tabla9"/>
              <w:jc w:val="left"/>
            </w:pPr>
            <w:r>
              <w:t xml:space="preserve">Uso de laboratorios y equipos de la IES</w:t>
            </w:r>
          </w:p>
        </w:tc>
        <w:tc>
          <w:tcPr/>
          <w:p>
            <w:pPr>
              <w:pStyle w:val="Tabla9"/>
              <w:jc w:val="left"/>
            </w:pPr>
            <w:r>
              <w:t xml:space="preserve">IES</w:t>
            </w:r>
          </w:p>
        </w:tc>
        <w:tc>
          <w:tcPr/>
          <w:p>
            <w:pPr>
              <w:pStyle w:val="Tabla9"/>
              <w:jc w:val="left"/>
            </w:pPr>
            <w:r>
              <w:t xml:space="preserve">$ 300.000.000</w:t>
            </w:r>
          </w:p>
        </w:tc>
        <w:tc>
          <w:tcPr/>
          <w:p>
            <w:pPr>
              <w:pStyle w:val="Tabla9"/>
              <w:jc w:val="left"/>
            </w:pPr>
            <w:r>
              <w:t xml:space="preserve">PROPUESTO</w:t>
            </w:r>
          </w:p>
        </w:tc>
        <w:tc>
          <w:tcPr/>
          <w:p>
            <w:pPr>
              <w:pStyle w:val="Tabla9"/>
              <w:jc w:val="left"/>
            </w:pPr>
            <w:r>
              <w:t xml:space="preserve">Laboratorio de calibración óptica; valor sujeto a certificación.</w:t>
            </w:r>
          </w:p>
        </w:tc>
      </w:tr>
      <w:tr>
        <w:trPr>
          <w:cantSplit/>
        </w:trPr>
        <w:tc>
          <w:tcPr/>
          <w:p>
            <w:pPr>
              <w:pStyle w:val="Tabla9"/>
              <w:jc w:val="left"/>
            </w:pPr>
            <w:r>
              <w:t xml:space="preserve">C05</w:t>
            </w:r>
          </w:p>
        </w:tc>
        <w:tc>
          <w:tcPr/>
          <w:p>
            <w:pPr>
              <w:pStyle w:val="Tabla9"/>
              <w:jc w:val="left"/>
            </w:pPr>
            <w:r>
              <w:t xml:space="preserve">Aporte de la empresa tecnológica: logística y viáticos de emergencia</w:t>
            </w:r>
          </w:p>
        </w:tc>
        <w:tc>
          <w:tcPr/>
          <w:p>
            <w:pPr>
              <w:pStyle w:val="Tabla9"/>
              <w:jc w:val="left"/>
            </w:pPr>
            <w:r>
              <w:t xml:space="preserve">EMP</w:t>
            </w:r>
          </w:p>
        </w:tc>
        <w:tc>
          <w:tcPr/>
          <w:p>
            <w:pPr>
              <w:pStyle w:val="Tabla9"/>
              <w:jc w:val="left"/>
            </w:pPr>
            <w:r>
              <w:t xml:space="preserve">$ 210.000.000</w:t>
            </w:r>
          </w:p>
        </w:tc>
        <w:tc>
          <w:tcPr/>
          <w:p>
            <w:pPr>
              <w:pStyle w:val="Tabla9"/>
              <w:jc w:val="left"/>
            </w:pPr>
            <w:r>
              <w:t xml:space="preserve">DECLARADO</w:t>
            </w:r>
          </w:p>
        </w:tc>
        <w:tc>
          <w:tcPr/>
          <w:p>
            <w:pPr>
              <w:pStyle w:val="Tabla9"/>
              <w:jc w:val="left"/>
            </w:pPr>
            <w:r>
              <w:t xml:space="preserve">Valor E3, tabla del expediente E3.</w:t>
            </w:r>
          </w:p>
        </w:tc>
      </w:tr>
      <w:tr>
        <w:trPr>
          <w:cantSplit/>
        </w:trPr>
        <w:tc>
          <w:tcPr/>
          <w:p>
            <w:pPr>
              <w:pStyle w:val="Tabla9"/>
              <w:jc w:val="left"/>
            </w:pPr>
            <w:r>
              <w:t xml:space="preserve">C06</w:t>
            </w:r>
          </w:p>
        </w:tc>
        <w:tc>
          <w:tcPr/>
          <w:p>
            <w:pPr>
              <w:pStyle w:val="Tabla9"/>
              <w:jc w:val="left"/>
            </w:pPr>
            <w:r>
              <w:t xml:space="preserve">Infraestructura en la nube de la empresa</w:t>
            </w:r>
          </w:p>
        </w:tc>
        <w:tc>
          <w:tcPr/>
          <w:p>
            <w:pPr>
              <w:pStyle w:val="Tabla9"/>
              <w:jc w:val="left"/>
            </w:pPr>
            <w:r>
              <w:t xml:space="preserve">EMP</w:t>
            </w:r>
          </w:p>
        </w:tc>
        <w:tc>
          <w:tcPr/>
          <w:p>
            <w:pPr>
              <w:pStyle w:val="Tabla9"/>
              <w:jc w:val="left"/>
            </w:pPr>
            <w:r>
              <w:t xml:space="preserve">$ 800.000.000</w:t>
            </w:r>
          </w:p>
        </w:tc>
        <w:tc>
          <w:tcPr/>
          <w:p>
            <w:pPr>
              <w:pStyle w:val="Tabla9"/>
              <w:jc w:val="left"/>
            </w:pPr>
            <w:r>
              <w:t xml:space="preserve">DECLARADO</w:t>
            </w:r>
          </w:p>
        </w:tc>
        <w:tc>
          <w:tcPr/>
          <w:p>
            <w:pPr>
              <w:pStyle w:val="Tabla9"/>
              <w:jc w:val="left"/>
            </w:pPr>
            <w:r>
              <w:t xml:space="preserve">Valor E3, tabla del expediente E3.</w:t>
            </w:r>
          </w:p>
        </w:tc>
      </w:tr>
      <w:tr>
        <w:trPr>
          <w:cantSplit/>
        </w:trPr>
        <w:tc>
          <w:tcPr/>
          <w:p>
            <w:pPr>
              <w:pStyle w:val="Tabla9"/>
              <w:jc w:val="left"/>
            </w:pPr>
            <w:r>
              <w:t xml:space="preserve">Total</w:t>
            </w:r>
          </w:p>
        </w:tc>
        <w:tc>
          <w:tcPr/>
          <w:p>
            <w:pPr>
              <w:pStyle w:val="Tabla9"/>
              <w:jc w:val="left"/>
            </w:pPr>
            <w:r>
              <w:t xml:space="preserve">Contrapartida del proyecto</w:t>
            </w:r>
          </w:p>
        </w:tc>
        <w:tc>
          <w:tcPr/>
          <w:p>
            <w:pPr>
              <w:pStyle w:val="Tabla9"/>
              <w:jc w:val="left"/>
            </w:pPr>
            <w:r>
              <w:t xml:space="preserve">IES y empresa</w:t>
            </w:r>
          </w:p>
        </w:tc>
        <w:tc>
          <w:tcPr/>
          <w:p>
            <w:pPr>
              <w:pStyle w:val="Tabla9"/>
              <w:jc w:val="left"/>
            </w:pPr>
            <w:r>
              <w:t xml:space="preserve">$ 2.110.000.000</w:t>
            </w:r>
          </w:p>
        </w:tc>
        <w:tc>
          <w:tcPr/>
          <w:p>
            <w:pPr>
              <w:pStyle w:val="Tabla9"/>
              <w:jc w:val="left"/>
            </w:pPr>
            <w:r>
              <w:t xml:space="preserve">CALCULADO</w:t>
            </w:r>
          </w:p>
        </w:tc>
        <w:tc>
          <w:tcPr/>
          <w:p>
            <w:pPr>
              <w:pStyle w:val="Tabla9"/>
              <w:jc w:val="left"/>
            </w:pPr>
            <w:r>
              <w:t xml:space="preserve">19,5 % del total del proyecto</w:t>
            </w:r>
          </w:p>
        </w:tc>
      </w:tr>
    </w:tbl>
    <w:p>
      <w:pPr>
        <w:pStyle w:val="TablaNota"/>
      </w:pPr>
      <w:r>
        <w:rPr>
          <w:i/>
          <w:iCs/>
        </w:rPr>
        <w:t xml:space="preserve">Nota.</w:t>
      </w:r>
      <w:r>
        <w:t xml:space="preserve"> </w:t>
      </w:r>
      <w:r>
        <w:t xml:space="preserve">Elaboración propia con datos de maestro.py (CONTRA) y de la ficha maestra §5. IES: institución de educación superior ejecutora; EMP: empresa tecnológica aliada. Las certificaciones de las dos entidades están pendientes [DATO_USUARIO: certificados de aporte en especie]. Decimales con coma y miles con punto.</w:t>
      </w:r>
    </w:p>
    <w:p>
      <w:pPr>
        <w:pStyle w:val="BodyText"/>
      </w:pPr>
      <w:r>
        <w:t xml:space="preserve">El valor de la dedicación de personal propio se estima como porcentaje de una remuneración mensual de referencia. Esa convención es habitual en proyectos con financiación pública, pero exige un certificado de la dirección financiera de cada entidad. Sin certificado, el aporte en especie se rechaza en la evaluación de viabilidad. Por esa razón la mitigación del riesgo R-FIN-02 exige certificar los aportes antes del acta de inicio.</w:t>
      </w:r>
    </w:p>
    <w:bookmarkEnd w:id="508"/>
    <w:bookmarkStart w:id="509" w:name="_Toc00900206"/>
    <w:p>
      <w:pPr>
        <w:pStyle w:val="Heading2"/>
      </w:pPr>
      <w:r>
        <w:t xml:space="preserve">8.3 Equipos y Software</w:t>
      </w:r>
    </w:p>
    <w:p>
      <w:pPr>
        <w:pStyle w:val="FirstParagraph"/>
      </w:pPr>
      <w:r>
        <w:t xml:space="preserve">El rubro de equipos y software suma 1.885,6 millones de COP, que equivalen a 21,6 % del valor solicitado. Incluye 12 líneas. Cinco de ellas son valores del expediente revisado y siete son propuestas de esta formulación. La Tabla 8.5 presenta cada línea con su justificación técnica. La compra de nodos, cabezales y gateways se programa por tramo y no en bloque, y la Tabla 8.6 muestra el valor liberado por cada compuerta.</w:t>
      </w:r>
    </w:p>
    <w:p>
      <w:pPr>
        <w:pStyle w:val="TablaRotulo"/>
      </w:pPr>
      <w:bookmarkStart w:id="9306" w:name="rot_Tabla_8_5"/>
      <w:r>
        <w:rPr>
          <w:b/>
          <w:bCs/>
        </w:rPr>
        <w:t xml:space="preserve">Tabla 8.5</w:t>
      </w:r>
      <w:bookmarkEnd w:id="9306"/>
    </w:p>
    <w:p>
      <w:pPr>
        <w:pStyle w:val="TablaTitulo"/>
      </w:pPr>
      <w:r>
        <w:rPr>
          <w:i/>
          <w:iCs/>
        </w:rPr>
        <w:t xml:space="preserve">Presupuesto de equipos y software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32"/>
        <w:gridCol w:w="1264"/>
        <w:gridCol w:w="732"/>
        <w:gridCol w:w="931"/>
        <w:gridCol w:w="1131"/>
        <w:gridCol w:w="1131"/>
        <w:gridCol w:w="399"/>
        <w:gridCol w:w="532"/>
        <w:gridCol w:w="1264"/>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Concepto</w:t>
            </w:r>
          </w:p>
        </w:tc>
        <w:tc>
          <w:tcPr>
            <w:shd w:val="clear" w:color="auto" w:fill="00B050"/>
          </w:tcPr>
          <w:p>
            <w:pPr>
              <w:pStyle w:val="Tabla8"/>
              <w:jc w:val="center"/>
            </w:pPr>
            <w:r>
              <w:rPr>
                <w:b/>
                <w:color w:val="FFFFFF"/>
              </w:rPr>
              <w:t xml:space="preserve">Cantidad y unidad</w:t>
            </w:r>
          </w:p>
        </w:tc>
        <w:tc>
          <w:tcPr>
            <w:shd w:val="clear" w:color="auto" w:fill="00B050"/>
          </w:tcPr>
          <w:p>
            <w:pPr>
              <w:pStyle w:val="Tabla8"/>
              <w:jc w:val="center"/>
            </w:pPr>
            <w:r>
              <w:rPr>
                <w:b/>
                <w:color w:val="FFFFFF"/>
              </w:rPr>
              <w:t xml:space="preserve">Costo unitario (COP)</w:t>
            </w:r>
          </w:p>
        </w:tc>
        <w:tc>
          <w:tcPr>
            <w:shd w:val="clear" w:color="auto" w:fill="00B050"/>
          </w:tcPr>
          <w:p>
            <w:pPr>
              <w:pStyle w:val="Tabla8"/>
              <w:jc w:val="center"/>
            </w:pPr>
            <w:r>
              <w:rPr>
                <w:b/>
                <w:color w:val="FFFFFF"/>
              </w:rPr>
              <w:t xml:space="preserve">Total (COP)</w:t>
            </w:r>
          </w:p>
        </w:tc>
        <w:tc>
          <w:tcPr>
            <w:shd w:val="clear" w:color="auto" w:fill="00B050"/>
          </w:tcPr>
          <w:p>
            <w:pPr>
              <w:pStyle w:val="Tabla8"/>
              <w:jc w:val="center"/>
            </w:pPr>
            <w:r>
              <w:rPr>
                <w:b/>
                <w:color w:val="FFFFFF"/>
              </w:rPr>
              <w:t xml:space="preserve">Naturaleza</w:t>
            </w:r>
          </w:p>
        </w:tc>
        <w:tc>
          <w:tcPr>
            <w:shd w:val="clear" w:color="auto" w:fill="00B050"/>
          </w:tcPr>
          <w:p>
            <w:pPr>
              <w:pStyle w:val="Tabla8"/>
              <w:jc w:val="center"/>
            </w:pPr>
            <w:r>
              <w:rPr>
                <w:b/>
                <w:color w:val="FFFFFF"/>
              </w:rPr>
              <w:t xml:space="preserve">WP</w:t>
            </w:r>
          </w:p>
        </w:tc>
        <w:tc>
          <w:tcPr>
            <w:shd w:val="clear" w:color="auto" w:fill="00B050"/>
          </w:tcPr>
          <w:p>
            <w:pPr>
              <w:pStyle w:val="Tabla8"/>
              <w:jc w:val="center"/>
            </w:pPr>
            <w:r>
              <w:rPr>
                <w:b/>
                <w:color w:val="FFFFFF"/>
              </w:rPr>
              <w:t xml:space="preserve">Meses</w:t>
            </w:r>
          </w:p>
        </w:tc>
        <w:tc>
          <w:tcPr>
            <w:shd w:val="clear" w:color="auto" w:fill="00B050"/>
          </w:tcPr>
          <w:p>
            <w:pPr>
              <w:pStyle w:val="Tabla8"/>
              <w:jc w:val="center"/>
            </w:pPr>
            <w:r>
              <w:rPr>
                <w:b/>
                <w:color w:val="FFFFFF"/>
              </w:rPr>
              <w:t xml:space="preserve">Justificación</w:t>
            </w:r>
          </w:p>
        </w:tc>
      </w:tr>
      <w:tr>
        <w:trPr>
          <w:cantSplit/>
        </w:trPr>
        <w:tc>
          <w:tcPr/>
          <w:p>
            <w:pPr>
              <w:pStyle w:val="Tabla8"/>
              <w:jc w:val="left"/>
            </w:pPr>
            <w:r>
              <w:t xml:space="preserve">E01</w:t>
            </w:r>
          </w:p>
        </w:tc>
        <w:tc>
          <w:tcPr/>
          <w:p>
            <w:pPr>
              <w:pStyle w:val="Tabla8"/>
              <w:jc w:val="left"/>
            </w:pPr>
            <w:r>
              <w:t xml:space="preserve">Nodos IoT de medición (100 + 20 de reserva)</w:t>
            </w:r>
          </w:p>
        </w:tc>
        <w:tc>
          <w:tcPr/>
          <w:p>
            <w:pPr>
              <w:pStyle w:val="Tabla8"/>
              <w:jc w:val="left"/>
            </w:pPr>
            <w:r>
              <w:t xml:space="preserve">120 unidad</w:t>
            </w:r>
          </w:p>
        </w:tc>
        <w:tc>
          <w:tcPr/>
          <w:p>
            <w:pPr>
              <w:pStyle w:val="Tabla8"/>
              <w:jc w:val="left"/>
            </w:pPr>
            <w:r>
              <w:t xml:space="preserve">$ 4.500.000</w:t>
            </w:r>
          </w:p>
        </w:tc>
        <w:tc>
          <w:tcPr/>
          <w:p>
            <w:pPr>
              <w:pStyle w:val="Tabla8"/>
              <w:jc w:val="left"/>
            </w:pPr>
            <w:r>
              <w:t xml:space="preserve">$ 540.000.000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Compra por tramo: 36, 48 y 36 unidades; valor E3.</w:t>
            </w:r>
          </w:p>
        </w:tc>
      </w:tr>
      <w:tr>
        <w:trPr>
          <w:cantSplit/>
        </w:trPr>
        <w:tc>
          <w:tcPr/>
          <w:p>
            <w:pPr>
              <w:pStyle w:val="Tabla8"/>
              <w:jc w:val="left"/>
            </w:pPr>
            <w:r>
              <w:t xml:space="preserve">E02</w:t>
            </w:r>
          </w:p>
        </w:tc>
        <w:tc>
          <w:tcPr/>
          <w:p>
            <w:pPr>
              <w:pStyle w:val="Tabla8"/>
              <w:jc w:val="left"/>
            </w:pPr>
            <w:r>
              <w:t xml:space="preserve">Cabezales ópticos de partículas</w:t>
            </w:r>
          </w:p>
        </w:tc>
        <w:tc>
          <w:tcPr/>
          <w:p>
            <w:pPr>
              <w:pStyle w:val="Tabla8"/>
              <w:jc w:val="left"/>
            </w:pPr>
            <w:r>
              <w:t xml:space="preserve">150 unidad</w:t>
            </w:r>
          </w:p>
        </w:tc>
        <w:tc>
          <w:tcPr/>
          <w:p>
            <w:pPr>
              <w:pStyle w:val="Tabla8"/>
              <w:jc w:val="left"/>
            </w:pPr>
            <w:r>
              <w:t xml:space="preserve">$ 1.200.000</w:t>
            </w:r>
          </w:p>
        </w:tc>
        <w:tc>
          <w:tcPr/>
          <w:p>
            <w:pPr>
              <w:pStyle w:val="Tabla8"/>
              <w:jc w:val="left"/>
            </w:pPr>
            <w:r>
              <w:t xml:space="preserve">$ 180.000.000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Reposición por desgaste higroscópico; valor E3.</w:t>
            </w:r>
          </w:p>
        </w:tc>
      </w:tr>
      <w:tr>
        <w:trPr>
          <w:cantSplit/>
        </w:trPr>
        <w:tc>
          <w:tcPr/>
          <w:p>
            <w:pPr>
              <w:pStyle w:val="Tabla8"/>
              <w:jc w:val="left"/>
            </w:pPr>
            <w:r>
              <w:t xml:space="preserve">E03</w:t>
            </w:r>
          </w:p>
        </w:tc>
        <w:tc>
          <w:tcPr/>
          <w:p>
            <w:pPr>
              <w:pStyle w:val="Tabla8"/>
              <w:jc w:val="left"/>
            </w:pPr>
            <w:r>
              <w:t xml:space="preserve">Monitores gravimétricos de referencia</w:t>
            </w:r>
          </w:p>
        </w:tc>
        <w:tc>
          <w:tcPr/>
          <w:p>
            <w:pPr>
              <w:pStyle w:val="Tabla8"/>
              <w:jc w:val="left"/>
            </w:pPr>
            <w:r>
              <w:t xml:space="preserve">3 unidad</w:t>
            </w:r>
          </w:p>
        </w:tc>
        <w:tc>
          <w:tcPr/>
          <w:p>
            <w:pPr>
              <w:pStyle w:val="Tabla8"/>
              <w:jc w:val="left"/>
            </w:pPr>
            <w:r>
              <w:t xml:space="preserve">$ 85.000.000</w:t>
            </w:r>
          </w:p>
        </w:tc>
        <w:tc>
          <w:tcPr/>
          <w:p>
            <w:pPr>
              <w:pStyle w:val="Tabla8"/>
              <w:jc w:val="left"/>
            </w:pPr>
            <w:r>
              <w:t xml:space="preserve">$ 255.000.000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4–6</w:t>
            </w:r>
          </w:p>
        </w:tc>
        <w:tc>
          <w:tcPr/>
          <w:p>
            <w:pPr>
              <w:pStyle w:val="Tabla8"/>
              <w:jc w:val="left"/>
            </w:pPr>
            <w:r>
              <w:t xml:space="preserve">Uno por departamento para colocalización; valor E3.</w:t>
            </w:r>
          </w:p>
        </w:tc>
      </w:tr>
      <w:tr>
        <w:trPr>
          <w:cantSplit/>
        </w:trPr>
        <w:tc>
          <w:tcPr/>
          <w:p>
            <w:pPr>
              <w:pStyle w:val="Tabla8"/>
              <w:jc w:val="left"/>
            </w:pPr>
            <w:r>
              <w:t xml:space="preserve">E04</w:t>
            </w:r>
          </w:p>
        </w:tc>
        <w:tc>
          <w:tcPr/>
          <w:p>
            <w:pPr>
              <w:pStyle w:val="Tabla8"/>
              <w:jc w:val="left"/>
            </w:pPr>
            <w:r>
              <w:t xml:space="preserve">Gateways con energía solar y respaldo (10 + 1 de reserva)</w:t>
            </w:r>
          </w:p>
        </w:tc>
        <w:tc>
          <w:tcPr/>
          <w:p>
            <w:pPr>
              <w:pStyle w:val="Tabla8"/>
              <w:jc w:val="left"/>
            </w:pPr>
            <w:r>
              <w:t xml:space="preserve">11 unidad</w:t>
            </w:r>
          </w:p>
        </w:tc>
        <w:tc>
          <w:tcPr/>
          <w:p>
            <w:pPr>
              <w:pStyle w:val="Tabla8"/>
              <w:jc w:val="left"/>
            </w:pPr>
            <w:r>
              <w:t xml:space="preserve">$ 28.000.000</w:t>
            </w:r>
          </w:p>
        </w:tc>
        <w:tc>
          <w:tcPr/>
          <w:p>
            <w:pPr>
              <w:pStyle w:val="Tabla8"/>
              <w:jc w:val="left"/>
            </w:pPr>
            <w:r>
              <w:t xml:space="preserve">$ 308.000.000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Aplican el modelo de corrección; compra por tramo: 4, 4 y 3.</w:t>
            </w:r>
          </w:p>
        </w:tc>
      </w:tr>
      <w:tr>
        <w:trPr>
          <w:cantSplit/>
        </w:trPr>
        <w:tc>
          <w:tcPr/>
          <w:p>
            <w:pPr>
              <w:pStyle w:val="Tabla8"/>
              <w:jc w:val="left"/>
            </w:pPr>
            <w:r>
              <w:t xml:space="preserve">E05</w:t>
            </w:r>
          </w:p>
        </w:tc>
        <w:tc>
          <w:tcPr/>
          <w:p>
            <w:pPr>
              <w:pStyle w:val="Tabla8"/>
              <w:jc w:val="left"/>
            </w:pPr>
            <w:r>
              <w:t xml:space="preserve">Kits de energía solar y batería para nodos</w:t>
            </w:r>
          </w:p>
        </w:tc>
        <w:tc>
          <w:tcPr/>
          <w:p>
            <w:pPr>
              <w:pStyle w:val="Tabla8"/>
              <w:jc w:val="left"/>
            </w:pPr>
            <w:r>
              <w:t xml:space="preserve">120 unidad</w:t>
            </w:r>
          </w:p>
        </w:tc>
        <w:tc>
          <w:tcPr/>
          <w:p>
            <w:pPr>
              <w:pStyle w:val="Tabla8"/>
              <w:jc w:val="left"/>
            </w:pPr>
            <w:r>
              <w:t xml:space="preserve">$ 650.000</w:t>
            </w:r>
          </w:p>
        </w:tc>
        <w:tc>
          <w:tcPr/>
          <w:p>
            <w:pPr>
              <w:pStyle w:val="Tabla8"/>
              <w:jc w:val="left"/>
            </w:pPr>
            <w:r>
              <w:t xml:space="preserve">$ 78.000.000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Autonomía de 14 días sin sol.</w:t>
            </w:r>
          </w:p>
        </w:tc>
      </w:tr>
      <w:tr>
        <w:trPr>
          <w:cantSplit/>
        </w:trPr>
        <w:tc>
          <w:tcPr/>
          <w:p>
            <w:pPr>
              <w:pStyle w:val="Tabla8"/>
              <w:jc w:val="left"/>
            </w:pPr>
            <w:r>
              <w:t xml:space="preserve">E06</w:t>
            </w:r>
          </w:p>
        </w:tc>
        <w:tc>
          <w:tcPr/>
          <w:p>
            <w:pPr>
              <w:pStyle w:val="Tabla8"/>
              <w:jc w:val="left"/>
            </w:pPr>
            <w:r>
              <w:t xml:space="preserve">Módulos de enlace satelital de respaldo</w:t>
            </w:r>
          </w:p>
        </w:tc>
        <w:tc>
          <w:tcPr/>
          <w:p>
            <w:pPr>
              <w:pStyle w:val="Tabla8"/>
              <w:jc w:val="left"/>
            </w:pPr>
            <w:r>
              <w:t xml:space="preserve">10 unidad</w:t>
            </w:r>
          </w:p>
        </w:tc>
        <w:tc>
          <w:tcPr/>
          <w:p>
            <w:pPr>
              <w:pStyle w:val="Tabla8"/>
              <w:jc w:val="left"/>
            </w:pPr>
            <w:r>
              <w:t xml:space="preserve">$ 3.500.000</w:t>
            </w:r>
          </w:p>
        </w:tc>
        <w:tc>
          <w:tcPr/>
          <w:p>
            <w:pPr>
              <w:pStyle w:val="Tabla8"/>
              <w:jc w:val="left"/>
            </w:pPr>
            <w:r>
              <w:t xml:space="preserve">$ 35.000.000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Enlace alterno ante falla celular.</w:t>
            </w:r>
          </w:p>
        </w:tc>
      </w:tr>
      <w:tr>
        <w:trPr>
          <w:cantSplit/>
        </w:trPr>
        <w:tc>
          <w:tcPr/>
          <w:p>
            <w:pPr>
              <w:pStyle w:val="Tabla8"/>
              <w:jc w:val="left"/>
            </w:pPr>
            <w:r>
              <w:t xml:space="preserve">E07</w:t>
            </w:r>
          </w:p>
        </w:tc>
        <w:tc>
          <w:tcPr/>
          <w:p>
            <w:pPr>
              <w:pStyle w:val="Tabla8"/>
              <w:jc w:val="left"/>
            </w:pPr>
            <w:r>
              <w:t xml:space="preserve">Banco de calibración de laboratorio (cámara de humedad y generador de aerosol)</w:t>
            </w:r>
          </w:p>
        </w:tc>
        <w:tc>
          <w:tcPr/>
          <w:p>
            <w:pPr>
              <w:pStyle w:val="Tabla8"/>
              <w:jc w:val="left"/>
            </w:pPr>
            <w:r>
              <w:t xml:space="preserve">1 unidad</w:t>
            </w:r>
          </w:p>
        </w:tc>
        <w:tc>
          <w:tcPr/>
          <w:p>
            <w:pPr>
              <w:pStyle w:val="Tabla8"/>
              <w:jc w:val="left"/>
            </w:pPr>
            <w:r>
              <w:t xml:space="preserve">$ 150.000.000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3–5</w:t>
            </w:r>
          </w:p>
        </w:tc>
        <w:tc>
          <w:tcPr/>
          <w:p>
            <w:pPr>
              <w:pStyle w:val="Tabla8"/>
              <w:jc w:val="left"/>
            </w:pPr>
            <w:r>
              <w:t xml:space="preserve">Caracterización previa de cada lote de cabezales.</w:t>
            </w:r>
          </w:p>
        </w:tc>
      </w:tr>
      <w:tr>
        <w:trPr>
          <w:cantSplit/>
        </w:trPr>
        <w:tc>
          <w:tcPr/>
          <w:p>
            <w:pPr>
              <w:pStyle w:val="Tabla8"/>
              <w:jc w:val="left"/>
            </w:pPr>
            <w:r>
              <w:t xml:space="preserve">E08</w:t>
            </w:r>
          </w:p>
        </w:tc>
        <w:tc>
          <w:tcPr/>
          <w:p>
            <w:pPr>
              <w:pStyle w:val="Tabla8"/>
              <w:jc w:val="left"/>
            </w:pPr>
            <w:r>
              <w:t xml:space="preserve">Estaciones de trabajo para entrenamiento de modelos</w:t>
            </w:r>
          </w:p>
        </w:tc>
        <w:tc>
          <w:tcPr/>
          <w:p>
            <w:pPr>
              <w:pStyle w:val="Tabla8"/>
              <w:jc w:val="left"/>
            </w:pPr>
            <w:r>
              <w:t xml:space="preserve">2 unidad</w:t>
            </w:r>
          </w:p>
        </w:tc>
        <w:tc>
          <w:tcPr/>
          <w:p>
            <w:pPr>
              <w:pStyle w:val="Tabla8"/>
              <w:jc w:val="left"/>
            </w:pPr>
            <w:r>
              <w:t xml:space="preserve">$ 25.000.000</w:t>
            </w:r>
          </w:p>
        </w:tc>
        <w:tc>
          <w:tcPr/>
          <w:p>
            <w:pPr>
              <w:pStyle w:val="Tabla8"/>
              <w:jc w:val="left"/>
            </w:pPr>
            <w:r>
              <w:t xml:space="preserve">$ 50.000.000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1–3</w:t>
            </w:r>
          </w:p>
        </w:tc>
        <w:tc>
          <w:tcPr/>
          <w:p>
            <w:pPr>
              <w:pStyle w:val="Tabla8"/>
              <w:jc w:val="left"/>
            </w:pPr>
            <w:r>
              <w:t xml:space="preserve">Entrenamiento y validación del modelo de corrección.</w:t>
            </w:r>
          </w:p>
        </w:tc>
      </w:tr>
      <w:tr>
        <w:trPr>
          <w:cantSplit/>
        </w:trPr>
        <w:tc>
          <w:tcPr/>
          <w:p>
            <w:pPr>
              <w:pStyle w:val="Tabla8"/>
              <w:jc w:val="left"/>
            </w:pPr>
            <w:r>
              <w:t xml:space="preserve">E09</w:t>
            </w:r>
          </w:p>
        </w:tc>
        <w:tc>
          <w:tcPr/>
          <w:p>
            <w:pPr>
              <w:pStyle w:val="Tabla8"/>
              <w:jc w:val="left"/>
            </w:pPr>
            <w:r>
              <w:t xml:space="preserve">Equipos de campo e instrumentación (lote)</w:t>
            </w:r>
          </w:p>
        </w:tc>
        <w:tc>
          <w:tcPr/>
          <w:p>
            <w:pPr>
              <w:pStyle w:val="Tabla8"/>
              <w:jc w:val="left"/>
            </w:pPr>
            <w:r>
              <w:t xml:space="preserve">1 lote</w:t>
            </w:r>
          </w:p>
        </w:tc>
        <w:tc>
          <w:tcPr/>
          <w:p>
            <w:pPr>
              <w:pStyle w:val="Tabla8"/>
              <w:jc w:val="left"/>
            </w:pPr>
            <w:r>
              <w:t xml:space="preserve">$ 30.000.000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1–3</w:t>
            </w:r>
          </w:p>
        </w:tc>
        <w:tc>
          <w:tcPr/>
          <w:p>
            <w:pPr>
              <w:pStyle w:val="Tabla8"/>
              <w:jc w:val="left"/>
            </w:pPr>
            <w:r>
              <w:t xml:space="preserve">Herramientas, medidores y repuestos de uso general.</w:t>
            </w:r>
          </w:p>
        </w:tc>
      </w:tr>
      <w:tr>
        <w:trPr>
          <w:cantSplit/>
        </w:trPr>
        <w:tc>
          <w:tcPr/>
          <w:p>
            <w:pPr>
              <w:pStyle w:val="Tabla8"/>
              <w:jc w:val="left"/>
            </w:pPr>
            <w:r>
              <w:t xml:space="preserve">E10</w:t>
            </w:r>
          </w:p>
        </w:tc>
        <w:tc>
          <w:tcPr/>
          <w:p>
            <w:pPr>
              <w:pStyle w:val="Tabla8"/>
              <w:jc w:val="left"/>
            </w:pPr>
            <w:r>
              <w:t xml:space="preserve">Instancias en la nube reservadas (24 meses)</w:t>
            </w:r>
          </w:p>
        </w:tc>
        <w:tc>
          <w:tcPr/>
          <w:p>
            <w:pPr>
              <w:pStyle w:val="Tabla8"/>
              <w:jc w:val="left"/>
            </w:pPr>
            <w:r>
              <w:t xml:space="preserve">1 clúster</w:t>
            </w:r>
          </w:p>
        </w:tc>
        <w:tc>
          <w:tcPr/>
          <w:p>
            <w:pPr>
              <w:pStyle w:val="Tabla8"/>
              <w:jc w:val="left"/>
            </w:pPr>
            <w:r>
              <w:t xml:space="preserve">$ 180.000.000</w:t>
            </w:r>
          </w:p>
        </w:tc>
        <w:tc>
          <w:tcPr/>
          <w:p>
            <w:pPr>
              <w:pStyle w:val="Tabla8"/>
              <w:jc w:val="left"/>
            </w:pPr>
            <w:r>
              <w:t xml:space="preserve">$ 180.000.000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Gemelo digital, base de datos y tablero; valor E3.</w:t>
            </w:r>
          </w:p>
        </w:tc>
      </w:tr>
      <w:tr>
        <w:trPr>
          <w:cantSplit/>
        </w:trPr>
        <w:tc>
          <w:tcPr/>
          <w:p>
            <w:pPr>
              <w:pStyle w:val="Tabla8"/>
              <w:jc w:val="left"/>
            </w:pPr>
            <w:r>
              <w:t xml:space="preserve">E11</w:t>
            </w:r>
          </w:p>
        </w:tc>
        <w:tc>
          <w:tcPr/>
          <w:p>
            <w:pPr>
              <w:pStyle w:val="Tabla8"/>
              <w:jc w:val="left"/>
            </w:pPr>
            <w:r>
              <w:t xml:space="preserve">Software de analítica y repositorios</w:t>
            </w:r>
          </w:p>
        </w:tc>
        <w:tc>
          <w:tcPr/>
          <w:p>
            <w:pPr>
              <w:pStyle w:val="Tabla8"/>
              <w:jc w:val="left"/>
            </w:pPr>
            <w:r>
              <w:t xml:space="preserve">1 paquete</w:t>
            </w:r>
          </w:p>
        </w:tc>
        <w:tc>
          <w:tcPr/>
          <w:p>
            <w:pPr>
              <w:pStyle w:val="Tabla8"/>
              <w:jc w:val="left"/>
            </w:pPr>
            <w:r>
              <w:t xml:space="preserve">$ 45.000.000</w:t>
            </w:r>
          </w:p>
        </w:tc>
        <w:tc>
          <w:tcPr/>
          <w:p>
            <w:pPr>
              <w:pStyle w:val="Tabla8"/>
              <w:jc w:val="left"/>
            </w:pPr>
            <w:r>
              <w:t xml:space="preserve">$ 45.000.000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Entorno seguro de desarrollo y control de versiones; valor E3.</w:t>
            </w:r>
          </w:p>
        </w:tc>
      </w:tr>
      <w:tr>
        <w:trPr>
          <w:cantSplit/>
        </w:trPr>
        <w:tc>
          <w:tcPr/>
          <w:p>
            <w:pPr>
              <w:pStyle w:val="Tabla8"/>
              <w:jc w:val="left"/>
            </w:pPr>
            <w:r>
              <w:t xml:space="preserve">E12</w:t>
            </w:r>
          </w:p>
        </w:tc>
        <w:tc>
          <w:tcPr/>
          <w:p>
            <w:pPr>
              <w:pStyle w:val="Tabla8"/>
              <w:jc w:val="left"/>
            </w:pPr>
            <w:r>
              <w:t xml:space="preserve">Planes de datos celulares M2M para gateways (12 SIM, 24 meses)</w:t>
            </w:r>
          </w:p>
        </w:tc>
        <w:tc>
          <w:tcPr/>
          <w:p>
            <w:pPr>
              <w:pStyle w:val="Tabla8"/>
              <w:jc w:val="left"/>
            </w:pPr>
            <w:r>
              <w:t xml:space="preserve">288 SIM-mes</w:t>
            </w:r>
          </w:p>
        </w:tc>
        <w:tc>
          <w:tcPr/>
          <w:p>
            <w:pPr>
              <w:pStyle w:val="Tabla8"/>
              <w:jc w:val="left"/>
            </w:pPr>
            <w:r>
              <w:t xml:space="preserve">$ 120.000</w:t>
            </w:r>
          </w:p>
        </w:tc>
        <w:tc>
          <w:tcPr/>
          <w:p>
            <w:pPr>
              <w:pStyle w:val="Tabla8"/>
              <w:jc w:val="left"/>
            </w:pPr>
            <w:r>
              <w:t xml:space="preserve">$ 34.560.000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Solo los gateways transmiten por red celular.</w:t>
            </w:r>
          </w:p>
        </w:tc>
      </w:tr>
      <w:tr>
        <w:trPr>
          <w:cantSplit/>
        </w:trPr>
        <w:tc>
          <w:tcPr/>
          <w:p>
            <w:pPr>
              <w:pStyle w:val="Tabla8"/>
              <w:jc w:val="left"/>
            </w:pPr>
            <w:r>
              <w:t xml:space="preserve">Total</w:t>
            </w:r>
          </w:p>
        </w:tc>
        <w:tc>
          <w:tcPr/>
          <w:p>
            <w:pPr>
              <w:pStyle w:val="Tabla8"/>
              <w:jc w:val="left"/>
            </w:pPr>
            <w:r>
              <w:t xml:space="preserve">Subtotal de equipos y software</w:t>
            </w:r>
          </w:p>
        </w:tc>
        <w:tc>
          <w:tcPr/>
          <w:p>
            <w:pPr>
              <w:pStyle w:val="Tabla8"/>
            </w:pPr>
          </w:p>
        </w:tc>
        <w:tc>
          <w:tcPr/>
          <w:p>
            <w:pPr>
              <w:pStyle w:val="Tabla8"/>
            </w:pPr>
          </w:p>
        </w:tc>
        <w:tc>
          <w:tcPr/>
          <w:p>
            <w:pPr>
              <w:pStyle w:val="Tabla8"/>
              <w:jc w:val="left"/>
            </w:pPr>
            <w:r>
              <w:t xml:space="preserve">$ 1.885.560.000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21,6 %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 justificación técnica descansa en tres decisiones de diseño. La primera es el uso de sensores ópticos de bajo costo para PM2,5 y PM10. Esos sensores responden a la humedad relativa y a la fracción gruesa (Jayaratne et al., 2018; Malings et al., 2020), y su desempeño depende del sitio (Giordano et al., 2021). La segunda decisión es la colocalización con tres monitores gravimétricos de referencia, uno por departamento. Ese diseño sigue los protocolos de desempeño para sensores de partículas finas (U.S. Environmental Protection Agency [EPA], 2021). La tercera es la corrección en el gateway, que desplaza el cómputo hacia el borde de la red (Shi et al., 2016).</w:t>
      </w:r>
    </w:p>
    <w:p>
      <w:pPr>
        <w:pStyle w:val="BodyText"/>
      </w:pPr>
      <w:r>
        <w:t xml:space="preserve">La arquitectura de comunicación explica las líneas de gateways, satélite y datos celulares. Los nodos hoja transmiten por LoRa, una tecnología de largo alcance y bajo consumo (Adelantado et al., 2017). Cada gateway reenvía por red celular y cuenta con un enlace satelital alterno y almacenamiento local de siete días. El costo de esa redundancia, 35.000.000 COP en módulos y 55.000.000 COP en planes satelitales, equivale a 1,0 % del valor solicitado. La redundancia responde al riesgo R-TEC-03, la falla de la red celular en el sitio, que tiene probabilidad de 40 %.</w:t>
      </w:r>
    </w:p>
    <w:p>
      <w:pPr>
        <w:pStyle w:val="BodyText"/>
      </w:pPr>
      <w:r>
        <w:t xml:space="preserve">La línea E10 financia las instancias en la nube que alojan el gemelo digital. Un gemelo digital es una representación computacional que se actualiza con datos del sistema físico y permite simular su estado (Grieves y Vickers, 2017; Tao et al., 2019). En este proyecto estima la distribución espacial de PM2,5 y PM10 entre los nodos. El aporte en especie de la empresa, 800.000.000 COP en infraestructura en la nube, complementa la línea E10 y no la sustituye. La separación entre ambas debe constar en el convenio para evitar que el mismo servicio se cuente dos veces.</w:t>
      </w:r>
    </w:p>
    <w:p>
      <w:pPr>
        <w:pStyle w:val="TablaRotulo"/>
      </w:pPr>
      <w:bookmarkStart w:id="9307" w:name="rot_Tabla_8_6"/>
      <w:r>
        <w:rPr>
          <w:b/>
          <w:bCs/>
        </w:rPr>
        <w:t xml:space="preserve">Tabla 8.6</w:t>
      </w:r>
      <w:bookmarkEnd w:id="9307"/>
    </w:p>
    <w:p>
      <w:pPr>
        <w:pStyle w:val="TablaTitulo"/>
      </w:pPr>
      <w:r>
        <w:rPr>
          <w:i/>
          <w:iCs/>
        </w:rPr>
        <w:t xml:space="preserve">Compras de nodos, gateways y cabezales por tramo y compuerta que las libera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50"/>
        <w:gridCol w:w="916"/>
        <w:gridCol w:w="785"/>
        <w:gridCol w:w="1112"/>
        <w:gridCol w:w="1243"/>
        <w:gridCol w:w="1309"/>
        <w:gridCol w:w="1701"/>
      </w:tblGrid>
      <w:tr>
        <w:trPr>
          <w:cantSplit/>
          <w:tblHeader/>
        </w:trPr>
        <w:tc>
          <w:tcPr>
            <w:shd w:val="clear" w:color="auto" w:fill="00B050"/>
          </w:tcPr>
          <w:p>
            <w:pPr>
              <w:pStyle w:val="Tabla8"/>
              <w:jc w:val="center"/>
            </w:pPr>
            <w:r>
              <w:rPr>
                <w:b/>
                <w:color w:val="FFFFFF"/>
              </w:rPr>
              <w:t xml:space="preserve">Tramo</w:t>
            </w:r>
          </w:p>
        </w:tc>
        <w:tc>
          <w:tcPr>
            <w:shd w:val="clear" w:color="auto" w:fill="00B050"/>
          </w:tcPr>
          <w:p>
            <w:pPr>
              <w:pStyle w:val="Tabla8"/>
              <w:jc w:val="center"/>
            </w:pPr>
            <w:r>
              <w:rPr>
                <w:b/>
                <w:color w:val="FFFFFF"/>
              </w:rPr>
              <w:t xml:space="preserve">Mes de compra</w:t>
            </w:r>
          </w:p>
        </w:tc>
        <w:tc>
          <w:tcPr>
            <w:shd w:val="clear" w:color="auto" w:fill="00B050"/>
          </w:tcPr>
          <w:p>
            <w:pPr>
              <w:pStyle w:val="Tabla8"/>
              <w:jc w:val="center"/>
            </w:pPr>
            <w:r>
              <w:rPr>
                <w:b/>
                <w:color w:val="FFFFFF"/>
              </w:rPr>
              <w:t xml:space="preserve">Nodos</w:t>
            </w:r>
          </w:p>
        </w:tc>
        <w:tc>
          <w:tcPr>
            <w:shd w:val="clear" w:color="auto" w:fill="00B050"/>
          </w:tcPr>
          <w:p>
            <w:pPr>
              <w:pStyle w:val="Tabla8"/>
              <w:jc w:val="center"/>
            </w:pPr>
            <w:r>
              <w:rPr>
                <w:b/>
                <w:color w:val="FFFFFF"/>
              </w:rPr>
              <w:t xml:space="preserve">Gateways</w:t>
            </w:r>
          </w:p>
        </w:tc>
        <w:tc>
          <w:tcPr>
            <w:shd w:val="clear" w:color="auto" w:fill="00B050"/>
          </w:tcPr>
          <w:p>
            <w:pPr>
              <w:pStyle w:val="Tabla8"/>
              <w:jc w:val="center"/>
            </w:pPr>
            <w:r>
              <w:rPr>
                <w:b/>
                <w:color w:val="FFFFFF"/>
              </w:rPr>
              <w:t xml:space="preserve">Cabezales</w:t>
            </w:r>
          </w:p>
        </w:tc>
        <w:tc>
          <w:tcPr>
            <w:shd w:val="clear" w:color="auto" w:fill="00B050"/>
          </w:tcPr>
          <w:p>
            <w:pPr>
              <w:pStyle w:val="Tabla8"/>
              <w:jc w:val="center"/>
            </w:pPr>
            <w:r>
              <w:rPr>
                <w:b/>
                <w:color w:val="FFFFFF"/>
              </w:rPr>
              <w:t xml:space="preserve">Valor (millones de COP)</w:t>
            </w:r>
          </w:p>
        </w:tc>
        <w:tc>
          <w:tcPr>
            <w:shd w:val="clear" w:color="auto" w:fill="00B050"/>
          </w:tcPr>
          <w:p>
            <w:pPr>
              <w:pStyle w:val="Tabla8"/>
              <w:jc w:val="center"/>
            </w:pPr>
            <w:r>
              <w:rPr>
                <w:b/>
                <w:color w:val="FFFFFF"/>
              </w:rPr>
              <w:t xml:space="preserve">Decisión que libera la compra</w:t>
            </w:r>
          </w:p>
        </w:tc>
      </w:tr>
      <w:tr>
        <w:trPr>
          <w:cantSplit/>
        </w:trPr>
        <w:tc>
          <w:tcPr/>
          <w:p>
            <w:pPr>
              <w:pStyle w:val="Tabla8"/>
              <w:jc w:val="left"/>
            </w:pPr>
            <w:r>
              <w:t xml:space="preserve">Tramo 1</w:t>
            </w:r>
          </w:p>
        </w:tc>
        <w:tc>
          <w:tcPr/>
          <w:p>
            <w:pPr>
              <w:pStyle w:val="Tabla8"/>
              <w:jc w:val="left"/>
            </w:pPr>
            <w:r>
              <w:t xml:space="preserve">5</w:t>
            </w:r>
          </w:p>
        </w:tc>
        <w:tc>
          <w:tcPr/>
          <w:p>
            <w:pPr>
              <w:pStyle w:val="Tabla8"/>
              <w:jc w:val="left"/>
            </w:pPr>
            <w:r>
              <w:t xml:space="preserve">36</w:t>
            </w:r>
          </w:p>
        </w:tc>
        <w:tc>
          <w:tcPr/>
          <w:p>
            <w:pPr>
              <w:pStyle w:val="Tabla8"/>
              <w:jc w:val="left"/>
            </w:pPr>
            <w:r>
              <w:t xml:space="preserve">4</w:t>
            </w:r>
          </w:p>
        </w:tc>
        <w:tc>
          <w:tcPr/>
          <w:p>
            <w:pPr>
              <w:pStyle w:val="Tabla8"/>
              <w:jc w:val="left"/>
            </w:pPr>
            <w:r>
              <w:t xml:space="preserve">50</w:t>
            </w:r>
          </w:p>
        </w:tc>
        <w:tc>
          <w:tcPr/>
          <w:p>
            <w:pPr>
              <w:pStyle w:val="Tabla8"/>
              <w:jc w:val="left"/>
            </w:pPr>
            <w:r>
              <w:t xml:space="preserve">334,0</w:t>
            </w:r>
          </w:p>
        </w:tc>
        <w:tc>
          <w:tcPr/>
          <w:p>
            <w:pPr>
              <w:pStyle w:val="Tabla8"/>
              <w:jc w:val="left"/>
            </w:pPr>
            <w:r>
              <w:t xml:space="preserve">Acta de inicio y contratación (H0)</w:t>
            </w:r>
          </w:p>
        </w:tc>
      </w:tr>
      <w:tr>
        <w:trPr>
          <w:cantSplit/>
        </w:trPr>
        <w:tc>
          <w:tcPr/>
          <w:p>
            <w:pPr>
              <w:pStyle w:val="Tabla8"/>
              <w:jc w:val="left"/>
            </w:pPr>
            <w:r>
              <w:t xml:space="preserve">Tramo 2</w:t>
            </w:r>
          </w:p>
        </w:tc>
        <w:tc>
          <w:tcPr/>
          <w:p>
            <w:pPr>
              <w:pStyle w:val="Tabla8"/>
              <w:jc w:val="left"/>
            </w:pPr>
            <w:r>
              <w:t xml:space="preserve">13</w:t>
            </w:r>
          </w:p>
        </w:tc>
        <w:tc>
          <w:tcPr/>
          <w:p>
            <w:pPr>
              <w:pStyle w:val="Tabla8"/>
              <w:jc w:val="left"/>
            </w:pPr>
            <w:r>
              <w:t xml:space="preserve">48</w:t>
            </w:r>
          </w:p>
        </w:tc>
        <w:tc>
          <w:tcPr/>
          <w:p>
            <w:pPr>
              <w:pStyle w:val="Tabla8"/>
              <w:jc w:val="left"/>
            </w:pPr>
            <w:r>
              <w:t xml:space="preserve">4</w:t>
            </w:r>
          </w:p>
        </w:tc>
        <w:tc>
          <w:tcPr/>
          <w:p>
            <w:pPr>
              <w:pStyle w:val="Tabla8"/>
              <w:jc w:val="left"/>
            </w:pPr>
            <w:r>
              <w:t xml:space="preserve">50</w:t>
            </w:r>
          </w:p>
        </w:tc>
        <w:tc>
          <w:tcPr/>
          <w:p>
            <w:pPr>
              <w:pStyle w:val="Tabla8"/>
              <w:jc w:val="left"/>
            </w:pPr>
            <w:r>
              <w:t xml:space="preserve">388,0</w:t>
            </w:r>
          </w:p>
        </w:tc>
        <w:tc>
          <w:tcPr/>
          <w:p>
            <w:pPr>
              <w:pStyle w:val="Tabla8"/>
              <w:jc w:val="left"/>
            </w:pPr>
            <w:r>
              <w:t xml:space="preserve">Compuerta C1 (mes 12)</w:t>
            </w:r>
          </w:p>
        </w:tc>
      </w:tr>
      <w:tr>
        <w:trPr>
          <w:cantSplit/>
        </w:trPr>
        <w:tc>
          <w:tcPr/>
          <w:p>
            <w:pPr>
              <w:pStyle w:val="Tabla8"/>
              <w:jc w:val="left"/>
            </w:pPr>
            <w:r>
              <w:t xml:space="preserve">Tramo 3</w:t>
            </w:r>
          </w:p>
        </w:tc>
        <w:tc>
          <w:tcPr/>
          <w:p>
            <w:pPr>
              <w:pStyle w:val="Tabla8"/>
              <w:jc w:val="left"/>
            </w:pPr>
            <w:r>
              <w:t xml:space="preserve">18</w:t>
            </w:r>
          </w:p>
        </w:tc>
        <w:tc>
          <w:tcPr/>
          <w:p>
            <w:pPr>
              <w:pStyle w:val="Tabla8"/>
              <w:jc w:val="left"/>
            </w:pPr>
            <w:r>
              <w:t xml:space="preserve">36</w:t>
            </w:r>
          </w:p>
        </w:tc>
        <w:tc>
          <w:tcPr/>
          <w:p>
            <w:pPr>
              <w:pStyle w:val="Tabla8"/>
              <w:jc w:val="left"/>
            </w:pPr>
            <w:r>
              <w:t xml:space="preserve">3</w:t>
            </w:r>
          </w:p>
        </w:tc>
        <w:tc>
          <w:tcPr/>
          <w:p>
            <w:pPr>
              <w:pStyle w:val="Tabla8"/>
              <w:jc w:val="left"/>
            </w:pPr>
            <w:r>
              <w:t xml:space="preserve">50</w:t>
            </w:r>
          </w:p>
        </w:tc>
        <w:tc>
          <w:tcPr/>
          <w:p>
            <w:pPr>
              <w:pStyle w:val="Tabla8"/>
              <w:jc w:val="left"/>
            </w:pPr>
            <w:r>
              <w:t xml:space="preserve">306,0</w:t>
            </w:r>
          </w:p>
        </w:tc>
        <w:tc>
          <w:tcPr/>
          <w:p>
            <w:pPr>
              <w:pStyle w:val="Tabla8"/>
              <w:jc w:val="left"/>
            </w:pPr>
            <w:r>
              <w:t xml:space="preserve">Compuerta C2 (mes 17)</w:t>
            </w:r>
          </w:p>
        </w:tc>
      </w:tr>
      <w:tr>
        <w:trPr>
          <w:cantSplit/>
        </w:trPr>
        <w:tc>
          <w:tcPr/>
          <w:p>
            <w:pPr>
              <w:pStyle w:val="Tabla8"/>
              <w:jc w:val="left"/>
            </w:pPr>
            <w:r>
              <w:t xml:space="preserve">Total</w:t>
            </w:r>
          </w:p>
        </w:tc>
        <w:tc>
          <w:tcPr/>
          <w:p>
            <w:pPr>
              <w:pStyle w:val="Tabla8"/>
            </w:pPr>
          </w:p>
        </w:tc>
        <w:tc>
          <w:tcPr/>
          <w:p>
            <w:pPr>
              <w:pStyle w:val="Tabla8"/>
              <w:jc w:val="left"/>
            </w:pPr>
            <w:r>
              <w:t xml:space="preserve">120</w:t>
            </w:r>
          </w:p>
        </w:tc>
        <w:tc>
          <w:tcPr/>
          <w:p>
            <w:pPr>
              <w:pStyle w:val="Tabla8"/>
              <w:jc w:val="left"/>
            </w:pPr>
            <w:r>
              <w:t xml:space="preserve">11</w:t>
            </w:r>
          </w:p>
        </w:tc>
        <w:tc>
          <w:tcPr/>
          <w:p>
            <w:pPr>
              <w:pStyle w:val="Tabla8"/>
              <w:jc w:val="left"/>
            </w:pPr>
            <w:r>
              <w:t xml:space="preserve">150</w:t>
            </w:r>
          </w:p>
        </w:tc>
        <w:tc>
          <w:tcPr/>
          <w:p>
            <w:pPr>
              <w:pStyle w:val="Tabla8"/>
              <w:jc w:val="left"/>
            </w:pPr>
            <w:r>
              <w:t xml:space="preserve">1.028,0</w:t>
            </w:r>
          </w:p>
        </w:tc>
        <w:tc>
          <w:tcPr/>
          <w:p>
            <w:pPr>
              <w:pStyle w:val="Tabla8"/>
            </w:pPr>
          </w:p>
        </w:tc>
      </w:tr>
    </w:tbl>
    <w:p>
      <w:pPr>
        <w:pStyle w:val="TablaNota"/>
      </w:pPr>
      <w:r>
        <w:rPr>
          <w:i/>
          <w:iCs/>
        </w:rPr>
        <w:t xml:space="preserve">Nota.</w:t>
      </w:r>
      <w:r>
        <w:t xml:space="preserve"> </w:t>
      </w:r>
      <w:r>
        <w:t xml:space="preserve">Elaboración propia con datos de maestro.py (TRAMOS y líneas E01, E02 y E04). Costos unitarios: nodo 4,5 millones; cabezal 1,2 millones; gateway 28,0 millones de COP. Se compran 120 nodos para operar 100, y 11 gateways para operar 10. Decimales con coma.</w:t>
      </w:r>
    </w:p>
    <w:p>
      <w:pPr>
        <w:pStyle w:val="BodyText"/>
      </w:pPr>
      <w:r>
        <w:t xml:space="preserve">La Tabla 8.6 muestra que el proyecto compromete 334,0 millones de COP en equipos del tramo 1 antes de cualquier evidencia de desempeño. Libera 388,0 y 306,0 millones solo tras las compuertas C1 y C2. Esa estructura limita la exposición ante un fallo del modelo de corrección. Si C1 no se aprueba, el proyecto detiene 694,0 millones de COP en compras. Esa suma equivale a 67,5 % de las compras de nodos, cabezales y gateways. Collingridge (1980) describe el dilema: la tecnología es fácil de cambiar al inicio, cuando se sabe poco de ella. La compra por tramos conserva esa facilidad el mayor tiempo posible.</w:t>
      </w:r>
    </w:p>
    <w:bookmarkEnd w:id="509"/>
    <w:bookmarkStart w:id="510" w:name="_Toc00900207"/>
    <w:p>
      <w:pPr>
        <w:pStyle w:val="Heading2"/>
      </w:pPr>
      <w:r>
        <w:t xml:space="preserve">8.4 Materiales e Insumos</w:t>
      </w:r>
    </w:p>
    <w:p>
      <w:pPr>
        <w:pStyle w:val="FirstParagraph"/>
      </w:pPr>
      <w:r>
        <w:t xml:space="preserve">El rubro de materiales e insumos suma 242,9 millones de COP, que equivalen a 2,8 % del valor solicitado. Incluye siete líneas. Cinco son valores del expediente revisado y dos son propuestas. La línea M02 sustituye los gases patrón que el expediente incluía, porque los gases patrón calibran analizadores de gases y no sensores de material particulado. El polvo de ensayo normalizado y los consumibles del banco de calibración cumplen la función correcta. La Tabla 8.7 presenta las líneas.</w:t>
      </w:r>
    </w:p>
    <w:p>
      <w:pPr>
        <w:pStyle w:val="TablaRotulo"/>
      </w:pPr>
      <w:bookmarkStart w:id="9308" w:name="rot_Tabla_8_7"/>
      <w:r>
        <w:rPr>
          <w:b/>
          <w:bCs/>
        </w:rPr>
        <w:t xml:space="preserve">Tabla 8.7</w:t>
      </w:r>
      <w:bookmarkEnd w:id="9308"/>
    </w:p>
    <w:p>
      <w:pPr>
        <w:pStyle w:val="TablaTitulo"/>
      </w:pPr>
      <w:r>
        <w:rPr>
          <w:i/>
          <w:iCs/>
        </w:rPr>
        <w:t xml:space="preserve">Presupuesto de materiales e insumos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94"/>
        <w:gridCol w:w="1188"/>
        <w:gridCol w:w="792"/>
        <w:gridCol w:w="924"/>
        <w:gridCol w:w="990"/>
        <w:gridCol w:w="1188"/>
        <w:gridCol w:w="462"/>
        <w:gridCol w:w="594"/>
        <w:gridCol w:w="1188"/>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Concepto</w:t>
            </w:r>
          </w:p>
        </w:tc>
        <w:tc>
          <w:tcPr>
            <w:shd w:val="clear" w:color="auto" w:fill="00B050"/>
          </w:tcPr>
          <w:p>
            <w:pPr>
              <w:pStyle w:val="Tabla8"/>
              <w:jc w:val="center"/>
            </w:pPr>
            <w:r>
              <w:rPr>
                <w:b/>
                <w:color w:val="FFFFFF"/>
              </w:rPr>
              <w:t xml:space="preserve">Cantidad y unidad</w:t>
            </w:r>
          </w:p>
        </w:tc>
        <w:tc>
          <w:tcPr>
            <w:shd w:val="clear" w:color="auto" w:fill="00B050"/>
          </w:tcPr>
          <w:p>
            <w:pPr>
              <w:pStyle w:val="Tabla8"/>
              <w:jc w:val="center"/>
            </w:pPr>
            <w:r>
              <w:rPr>
                <w:b/>
                <w:color w:val="FFFFFF"/>
              </w:rPr>
              <w:t xml:space="preserve">Costo unitario (COP)</w:t>
            </w:r>
          </w:p>
        </w:tc>
        <w:tc>
          <w:tcPr>
            <w:shd w:val="clear" w:color="auto" w:fill="00B050"/>
          </w:tcPr>
          <w:p>
            <w:pPr>
              <w:pStyle w:val="Tabla8"/>
              <w:jc w:val="center"/>
            </w:pPr>
            <w:r>
              <w:rPr>
                <w:b/>
                <w:color w:val="FFFFFF"/>
              </w:rPr>
              <w:t xml:space="preserve">Total (COP)</w:t>
            </w:r>
          </w:p>
        </w:tc>
        <w:tc>
          <w:tcPr>
            <w:shd w:val="clear" w:color="auto" w:fill="00B050"/>
          </w:tcPr>
          <w:p>
            <w:pPr>
              <w:pStyle w:val="Tabla8"/>
              <w:jc w:val="center"/>
            </w:pPr>
            <w:r>
              <w:rPr>
                <w:b/>
                <w:color w:val="FFFFFF"/>
              </w:rPr>
              <w:t xml:space="preserve">Naturaleza</w:t>
            </w:r>
          </w:p>
        </w:tc>
        <w:tc>
          <w:tcPr>
            <w:shd w:val="clear" w:color="auto" w:fill="00B050"/>
          </w:tcPr>
          <w:p>
            <w:pPr>
              <w:pStyle w:val="Tabla8"/>
              <w:jc w:val="center"/>
            </w:pPr>
            <w:r>
              <w:rPr>
                <w:b/>
                <w:color w:val="FFFFFF"/>
              </w:rPr>
              <w:t xml:space="preserve">WP</w:t>
            </w:r>
          </w:p>
        </w:tc>
        <w:tc>
          <w:tcPr>
            <w:shd w:val="clear" w:color="auto" w:fill="00B050"/>
          </w:tcPr>
          <w:p>
            <w:pPr>
              <w:pStyle w:val="Tabla8"/>
              <w:jc w:val="center"/>
            </w:pPr>
            <w:r>
              <w:rPr>
                <w:b/>
                <w:color w:val="FFFFFF"/>
              </w:rPr>
              <w:t xml:space="preserve">Meses</w:t>
            </w:r>
          </w:p>
        </w:tc>
        <w:tc>
          <w:tcPr>
            <w:shd w:val="clear" w:color="auto" w:fill="00B050"/>
          </w:tcPr>
          <w:p>
            <w:pPr>
              <w:pStyle w:val="Tabla8"/>
              <w:jc w:val="center"/>
            </w:pPr>
            <w:r>
              <w:rPr>
                <w:b/>
                <w:color w:val="FFFFFF"/>
              </w:rPr>
              <w:t xml:space="preserve">Justificación</w:t>
            </w:r>
          </w:p>
        </w:tc>
      </w:tr>
      <w:tr>
        <w:trPr>
          <w:cantSplit/>
        </w:trPr>
        <w:tc>
          <w:tcPr/>
          <w:p>
            <w:pPr>
              <w:pStyle w:val="Tabla8"/>
              <w:jc w:val="left"/>
            </w:pPr>
            <w:r>
              <w:t xml:space="preserve">M01</w:t>
            </w:r>
          </w:p>
        </w:tc>
        <w:tc>
          <w:tcPr/>
          <w:p>
            <w:pPr>
              <w:pStyle w:val="Tabla8"/>
              <w:jc w:val="left"/>
            </w:pPr>
            <w:r>
              <w:t xml:space="preserve">Filtros de membrana PTFE para gravimetría</w:t>
            </w:r>
          </w:p>
        </w:tc>
        <w:tc>
          <w:tcPr/>
          <w:p>
            <w:pPr>
              <w:pStyle w:val="Tabla8"/>
              <w:jc w:val="left"/>
            </w:pPr>
            <w:r>
              <w:t xml:space="preserve">1.200 unidad</w:t>
            </w:r>
          </w:p>
        </w:tc>
        <w:tc>
          <w:tcPr/>
          <w:p>
            <w:pPr>
              <w:pStyle w:val="Tabla8"/>
              <w:jc w:val="left"/>
            </w:pPr>
            <w:r>
              <w:t xml:space="preserve">$ 12.000</w:t>
            </w:r>
          </w:p>
        </w:tc>
        <w:tc>
          <w:tcPr/>
          <w:p>
            <w:pPr>
              <w:pStyle w:val="Tabla8"/>
              <w:jc w:val="left"/>
            </w:pPr>
            <w:r>
              <w:t xml:space="preserve">$ 14.400.000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3–24</w:t>
            </w:r>
          </w:p>
        </w:tc>
        <w:tc>
          <w:tcPr/>
          <w:p>
            <w:pPr>
              <w:pStyle w:val="Tabla8"/>
              <w:jc w:val="left"/>
            </w:pPr>
            <w:r>
              <w:t xml:space="preserve">Validación gravimétrica; valor E3.</w:t>
            </w:r>
          </w:p>
        </w:tc>
      </w:tr>
      <w:tr>
        <w:trPr>
          <w:cantSplit/>
        </w:trPr>
        <w:tc>
          <w:tcPr/>
          <w:p>
            <w:pPr>
              <w:pStyle w:val="Tabla8"/>
              <w:jc w:val="left"/>
            </w:pPr>
            <w:r>
              <w:t xml:space="preserve">M02</w:t>
            </w:r>
          </w:p>
        </w:tc>
        <w:tc>
          <w:tcPr/>
          <w:p>
            <w:pPr>
              <w:pStyle w:val="Tabla8"/>
              <w:jc w:val="left"/>
            </w:pPr>
            <w:r>
              <w:t xml:space="preserve">Polvo de ensayo normalizado y consumibles del banco de calibración</w:t>
            </w:r>
          </w:p>
        </w:tc>
        <w:tc>
          <w:tcPr/>
          <w:p>
            <w:pPr>
              <w:pStyle w:val="Tabla8"/>
              <w:jc w:val="left"/>
            </w:pPr>
            <w:r>
              <w:t xml:space="preserve">15 lote</w:t>
            </w:r>
          </w:p>
        </w:tc>
        <w:tc>
          <w:tcPr/>
          <w:p>
            <w:pPr>
              <w:pStyle w:val="Tabla8"/>
              <w:jc w:val="left"/>
            </w:pPr>
            <w:r>
              <w:t xml:space="preserve">$ 2.800.000</w:t>
            </w:r>
          </w:p>
        </w:tc>
        <w:tc>
          <w:tcPr/>
          <w:p>
            <w:pPr>
              <w:pStyle w:val="Tabla8"/>
              <w:jc w:val="left"/>
            </w:pPr>
            <w:r>
              <w:t xml:space="preserve">$ 42.000.000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1–24</w:t>
            </w:r>
          </w:p>
        </w:tc>
        <w:tc>
          <w:tcPr/>
          <w:p>
            <w:pPr>
              <w:pStyle w:val="Tabla8"/>
              <w:jc w:val="left"/>
            </w:pPr>
            <w:r>
              <w:t xml:space="preserve">Sustituye los gases patrón del expediente E3, que no aplican a partículas.</w:t>
            </w:r>
          </w:p>
        </w:tc>
      </w:tr>
      <w:tr>
        <w:trPr>
          <w:cantSplit/>
        </w:trPr>
        <w:tc>
          <w:tcPr/>
          <w:p>
            <w:pPr>
              <w:pStyle w:val="Tabla8"/>
              <w:jc w:val="left"/>
            </w:pPr>
            <w:r>
              <w:t xml:space="preserve">M03</w:t>
            </w:r>
          </w:p>
        </w:tc>
        <w:tc>
          <w:tcPr/>
          <w:p>
            <w:pPr>
              <w:pStyle w:val="Tabla8"/>
              <w:jc w:val="left"/>
            </w:pPr>
            <w:r>
              <w:t xml:space="preserve">Cerramientos NEMA 4X y mástiles para nodos</w:t>
            </w:r>
          </w:p>
        </w:tc>
        <w:tc>
          <w:tcPr/>
          <w:p>
            <w:pPr>
              <w:pStyle w:val="Tabla8"/>
              <w:jc w:val="left"/>
            </w:pPr>
            <w:r>
              <w:t xml:space="preserve">120 unidad</w:t>
            </w:r>
          </w:p>
        </w:tc>
        <w:tc>
          <w:tcPr/>
          <w:p>
            <w:pPr>
              <w:pStyle w:val="Tabla8"/>
              <w:jc w:val="left"/>
            </w:pPr>
            <w:r>
              <w:t xml:space="preserve">$ 350.000</w:t>
            </w:r>
          </w:p>
        </w:tc>
        <w:tc>
          <w:tcPr/>
          <w:p>
            <w:pPr>
              <w:pStyle w:val="Tabla8"/>
              <w:jc w:val="left"/>
            </w:pPr>
            <w:r>
              <w:t xml:space="preserve">$ 42.000.000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Protección contra intemperie; valor E3.</w:t>
            </w:r>
          </w:p>
        </w:tc>
      </w:tr>
      <w:tr>
        <w:trPr>
          <w:cantSplit/>
        </w:trPr>
        <w:tc>
          <w:tcPr/>
          <w:p>
            <w:pPr>
              <w:pStyle w:val="Tabla8"/>
              <w:jc w:val="left"/>
            </w:pPr>
            <w:r>
              <w:t xml:space="preserve">M04</w:t>
            </w:r>
          </w:p>
        </w:tc>
        <w:tc>
          <w:tcPr/>
          <w:p>
            <w:pPr>
              <w:pStyle w:val="Tabla8"/>
              <w:jc w:val="left"/>
            </w:pPr>
            <w:r>
              <w:t xml:space="preserve">Cartillas impresas del índice y del protocolo de alerta</w:t>
            </w:r>
          </w:p>
        </w:tc>
        <w:tc>
          <w:tcPr/>
          <w:p>
            <w:pPr>
              <w:pStyle w:val="Tabla8"/>
              <w:jc w:val="left"/>
            </w:pPr>
            <w:r>
              <w:t xml:space="preserve">5.000 unidad</w:t>
            </w:r>
          </w:p>
        </w:tc>
        <w:tc>
          <w:tcPr/>
          <w:p>
            <w:pPr>
              <w:pStyle w:val="Tabla8"/>
              <w:jc w:val="left"/>
            </w:pPr>
            <w:r>
              <w:t xml:space="preserve">$ 8.500</w:t>
            </w:r>
          </w:p>
        </w:tc>
        <w:tc>
          <w:tcPr/>
          <w:p>
            <w:pPr>
              <w:pStyle w:val="Tabla8"/>
              <w:jc w:val="left"/>
            </w:pPr>
            <w:r>
              <w:t xml:space="preserve">$ 42.500.000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3–24</w:t>
            </w:r>
          </w:p>
        </w:tc>
        <w:tc>
          <w:tcPr/>
          <w:p>
            <w:pPr>
              <w:pStyle w:val="Tabla8"/>
              <w:jc w:val="left"/>
            </w:pPr>
            <w:r>
              <w:t xml:space="preserve">Población sin acceso a internet; valor E3.</w:t>
            </w:r>
          </w:p>
        </w:tc>
      </w:tr>
      <w:tr>
        <w:trPr>
          <w:cantSplit/>
        </w:trPr>
        <w:tc>
          <w:tcPr/>
          <w:p>
            <w:pPr>
              <w:pStyle w:val="Tabla8"/>
              <w:jc w:val="left"/>
            </w:pPr>
            <w:r>
              <w:t xml:space="preserve">M05</w:t>
            </w:r>
          </w:p>
        </w:tc>
        <w:tc>
          <w:tcPr/>
          <w:p>
            <w:pPr>
              <w:pStyle w:val="Tabla8"/>
              <w:jc w:val="left"/>
            </w:pPr>
            <w:r>
              <w:t xml:space="preserve">Kits de papelería para talleres de co-diseño</w:t>
            </w:r>
          </w:p>
        </w:tc>
        <w:tc>
          <w:tcPr/>
          <w:p>
            <w:pPr>
              <w:pStyle w:val="Tabla8"/>
              <w:jc w:val="left"/>
            </w:pPr>
            <w:r>
              <w:t xml:space="preserve">20 kit</w:t>
            </w:r>
          </w:p>
        </w:tc>
        <w:tc>
          <w:tcPr/>
          <w:p>
            <w:pPr>
              <w:pStyle w:val="Tabla8"/>
              <w:jc w:val="left"/>
            </w:pPr>
            <w:r>
              <w:t xml:space="preserve">$ 1.500.000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2–24</w:t>
            </w:r>
          </w:p>
        </w:tc>
        <w:tc>
          <w:tcPr/>
          <w:p>
            <w:pPr>
              <w:pStyle w:val="Tabla8"/>
              <w:jc w:val="left"/>
            </w:pPr>
            <w:r>
              <w:t xml:space="preserve">Mesas de co-creación; valor E3.</w:t>
            </w:r>
          </w:p>
        </w:tc>
      </w:tr>
      <w:tr>
        <w:trPr>
          <w:cantSplit/>
        </w:trPr>
        <w:tc>
          <w:tcPr/>
          <w:p>
            <w:pPr>
              <w:pStyle w:val="Tabla8"/>
              <w:jc w:val="left"/>
            </w:pPr>
            <w:r>
              <w:t xml:space="preserve">M06</w:t>
            </w:r>
          </w:p>
        </w:tc>
        <w:tc>
          <w:tcPr/>
          <w:p>
            <w:pPr>
              <w:pStyle w:val="Tabla8"/>
              <w:jc w:val="left"/>
            </w:pPr>
            <w:r>
              <w:t xml:space="preserve">Elementos de protección personal (mascarillas N95)</w:t>
            </w:r>
          </w:p>
        </w:tc>
        <w:tc>
          <w:tcPr/>
          <w:p>
            <w:pPr>
              <w:pStyle w:val="Tabla8"/>
              <w:jc w:val="left"/>
            </w:pPr>
            <w:r>
              <w:t xml:space="preserve">3.000 unidad</w:t>
            </w:r>
          </w:p>
        </w:tc>
        <w:tc>
          <w:tcPr/>
          <w:p>
            <w:pPr>
              <w:pStyle w:val="Tabla8"/>
              <w:jc w:val="left"/>
            </w:pPr>
            <w:r>
              <w:t xml:space="preserve">$ 4.000</w:t>
            </w:r>
          </w:p>
        </w:tc>
        <w:tc>
          <w:tcPr/>
          <w:p>
            <w:pPr>
              <w:pStyle w:val="Tabla8"/>
              <w:jc w:val="left"/>
            </w:pPr>
            <w:r>
              <w:t xml:space="preserve">$ 12.000.000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1–24</w:t>
            </w:r>
          </w:p>
        </w:tc>
        <w:tc>
          <w:tcPr/>
          <w:p>
            <w:pPr>
              <w:pStyle w:val="Tabla8"/>
              <w:jc w:val="left"/>
            </w:pPr>
            <w:r>
              <w:t xml:space="preserve">Bioseguridad en campo; valor E3.</w:t>
            </w:r>
          </w:p>
        </w:tc>
      </w:tr>
      <w:tr>
        <w:trPr>
          <w:cantSplit/>
        </w:trPr>
        <w:tc>
          <w:tcPr/>
          <w:p>
            <w:pPr>
              <w:pStyle w:val="Tabla8"/>
              <w:jc w:val="left"/>
            </w:pPr>
            <w:r>
              <w:t xml:space="preserve">M07</w:t>
            </w:r>
          </w:p>
        </w:tc>
        <w:tc>
          <w:tcPr/>
          <w:p>
            <w:pPr>
              <w:pStyle w:val="Tabla8"/>
              <w:jc w:val="left"/>
            </w:pPr>
            <w:r>
              <w:t xml:space="preserve">Repuestos y consumibles de mantenimiento (baterías, cables, conectores)</w:t>
            </w:r>
          </w:p>
        </w:tc>
        <w:tc>
          <w:tcPr/>
          <w:p>
            <w:pPr>
              <w:pStyle w:val="Tabla8"/>
              <w:jc w:val="left"/>
            </w:pPr>
            <w:r>
              <w:t xml:space="preserve">1 lote</w:t>
            </w:r>
          </w:p>
        </w:tc>
        <w:tc>
          <w:tcPr/>
          <w:p>
            <w:pPr>
              <w:pStyle w:val="Tabla8"/>
              <w:jc w:val="left"/>
            </w:pPr>
            <w:r>
              <w:t xml:space="preserve">$ 60.000.000</w:t>
            </w:r>
          </w:p>
        </w:tc>
        <w:tc>
          <w:tcPr/>
          <w:p>
            <w:pPr>
              <w:pStyle w:val="Tabla8"/>
              <w:jc w:val="left"/>
            </w:pPr>
            <w:r>
              <w:t xml:space="preserve">$ 60.000.000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Existencias de reposición en cada departamento.</w:t>
            </w:r>
          </w:p>
        </w:tc>
      </w:tr>
      <w:tr>
        <w:trPr>
          <w:cantSplit/>
        </w:trPr>
        <w:tc>
          <w:tcPr/>
          <w:p>
            <w:pPr>
              <w:pStyle w:val="Tabla8"/>
              <w:jc w:val="left"/>
            </w:pPr>
            <w:r>
              <w:t xml:space="preserve">Total</w:t>
            </w:r>
          </w:p>
        </w:tc>
        <w:tc>
          <w:tcPr/>
          <w:p>
            <w:pPr>
              <w:pStyle w:val="Tabla8"/>
              <w:jc w:val="left"/>
            </w:pPr>
            <w:r>
              <w:t xml:space="preserve">Subtotal de materiales e insumos</w:t>
            </w:r>
          </w:p>
        </w:tc>
        <w:tc>
          <w:tcPr/>
          <w:p>
            <w:pPr>
              <w:pStyle w:val="Tabla8"/>
            </w:pPr>
          </w:p>
        </w:tc>
        <w:tc>
          <w:tcPr/>
          <w:p>
            <w:pPr>
              <w:pStyle w:val="Tabla8"/>
            </w:pPr>
          </w:p>
        </w:tc>
        <w:tc>
          <w:tcPr/>
          <w:p>
            <w:pPr>
              <w:pStyle w:val="Tabla8"/>
              <w:jc w:val="left"/>
            </w:pPr>
            <w:r>
              <w:t xml:space="preserve">$ 242.900.000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2,8 %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Los filtros de membrana de politetrafluoroetileno (PTFE) permiten la medición gravimétrica de referencia. Se programan 1.200 unidades para 240 análisis de laboratorio acreditado (línea S01 del rubro de servicios). Resultan cinco filtros por muestra analizada, entre pesajes, blancos y repeticiones. Esa proporción es PROPUESTO. Las cartillas impresas, 5.000 unidades, atienden a población sin acceso a internet en los municipios focalizados. Cada cartilla cuesta 8.500 COP y presenta el índice y el protocolo de alerta.</w:t>
      </w:r>
    </w:p>
    <w:p>
      <w:pPr>
        <w:pStyle w:val="BodyText"/>
      </w:pPr>
      <w:r>
        <w:t xml:space="preserve">Las mascarillas N95 protegen al personal de campo y a los asistentes a talleres, y cumplen una función de bioseguridad. La Organización Mundial de la Salud (OMS, 2021) fija guías de calidad del aire para PM2,5 y PM10. Esas guías justifican proteger a quien trabaja en sitios de remoción. El proyecto no afirma, sin embargo, que las mascarillas reduzcan un efecto en salud medido. Son una medida de precaución para el equipo. La consecuencia es que el indicador de impacto del proyecto no depende de ellas.</w:t>
      </w:r>
    </w:p>
    <w:bookmarkEnd w:id="510"/>
    <w:bookmarkStart w:id="511" w:name="_Toc00900208"/>
    <w:p>
      <w:pPr>
        <w:pStyle w:val="Heading2"/>
      </w:pPr>
      <w:r>
        <w:t xml:space="preserve">8.5 Servicios Técnicos</w:t>
      </w:r>
    </w:p>
    <w:p>
      <w:pPr>
        <w:pStyle w:val="FirstParagraph"/>
      </w:pPr>
      <w:r>
        <w:t xml:space="preserve">El rubro de servicios técnicos suma 846,0 millones de COP, que equivalen a 9,7 % del valor solicitado. Incluye 11 líneas. Cuatro de ellas verifican el desempeño o auditan el sistema. Son el análisis gravimétrico, la evaluación externa independiente, el ensayo con laboratorio externo y la auditoría de ciberseguridad. La Tabla 8.8 presenta el detalle.</w:t>
      </w:r>
    </w:p>
    <w:p>
      <w:pPr>
        <w:pStyle w:val="TablaRotulo"/>
      </w:pPr>
      <w:bookmarkStart w:id="9309" w:name="rot_Tabla_8_8"/>
      <w:r>
        <w:rPr>
          <w:b/>
          <w:bCs/>
        </w:rPr>
        <w:t xml:space="preserve">Tabla 8.8</w:t>
      </w:r>
      <w:bookmarkEnd w:id="9309"/>
    </w:p>
    <w:p>
      <w:pPr>
        <w:pStyle w:val="TablaTitulo"/>
      </w:pPr>
      <w:r>
        <w:rPr>
          <w:i/>
          <w:iCs/>
        </w:rPr>
        <w:t xml:space="preserve">Presupuesto de servicios técnicos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23"/>
        <w:gridCol w:w="1243"/>
        <w:gridCol w:w="916"/>
        <w:gridCol w:w="916"/>
        <w:gridCol w:w="981"/>
        <w:gridCol w:w="1178"/>
        <w:gridCol w:w="458"/>
        <w:gridCol w:w="523"/>
        <w:gridCol w:w="1178"/>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Concepto</w:t>
            </w:r>
          </w:p>
        </w:tc>
        <w:tc>
          <w:tcPr>
            <w:shd w:val="clear" w:color="auto" w:fill="00B050"/>
          </w:tcPr>
          <w:p>
            <w:pPr>
              <w:pStyle w:val="Tabla8"/>
              <w:jc w:val="center"/>
            </w:pPr>
            <w:r>
              <w:rPr>
                <w:b/>
                <w:color w:val="FFFFFF"/>
              </w:rPr>
              <w:t xml:space="preserve">Cantidad y unidad</w:t>
            </w:r>
          </w:p>
        </w:tc>
        <w:tc>
          <w:tcPr>
            <w:shd w:val="clear" w:color="auto" w:fill="00B050"/>
          </w:tcPr>
          <w:p>
            <w:pPr>
              <w:pStyle w:val="Tabla8"/>
              <w:jc w:val="center"/>
            </w:pPr>
            <w:r>
              <w:rPr>
                <w:b/>
                <w:color w:val="FFFFFF"/>
              </w:rPr>
              <w:t xml:space="preserve">Costo unitario (COP)</w:t>
            </w:r>
          </w:p>
        </w:tc>
        <w:tc>
          <w:tcPr>
            <w:shd w:val="clear" w:color="auto" w:fill="00B050"/>
          </w:tcPr>
          <w:p>
            <w:pPr>
              <w:pStyle w:val="Tabla8"/>
              <w:jc w:val="center"/>
            </w:pPr>
            <w:r>
              <w:rPr>
                <w:b/>
                <w:color w:val="FFFFFF"/>
              </w:rPr>
              <w:t xml:space="preserve">Total (COP)</w:t>
            </w:r>
          </w:p>
        </w:tc>
        <w:tc>
          <w:tcPr>
            <w:shd w:val="clear" w:color="auto" w:fill="00B050"/>
          </w:tcPr>
          <w:p>
            <w:pPr>
              <w:pStyle w:val="Tabla8"/>
              <w:jc w:val="center"/>
            </w:pPr>
            <w:r>
              <w:rPr>
                <w:b/>
                <w:color w:val="FFFFFF"/>
              </w:rPr>
              <w:t xml:space="preserve">Naturaleza</w:t>
            </w:r>
          </w:p>
        </w:tc>
        <w:tc>
          <w:tcPr>
            <w:shd w:val="clear" w:color="auto" w:fill="00B050"/>
          </w:tcPr>
          <w:p>
            <w:pPr>
              <w:pStyle w:val="Tabla8"/>
              <w:jc w:val="center"/>
            </w:pPr>
            <w:r>
              <w:rPr>
                <w:b/>
                <w:color w:val="FFFFFF"/>
              </w:rPr>
              <w:t xml:space="preserve">WP</w:t>
            </w:r>
          </w:p>
        </w:tc>
        <w:tc>
          <w:tcPr>
            <w:shd w:val="clear" w:color="auto" w:fill="00B050"/>
          </w:tcPr>
          <w:p>
            <w:pPr>
              <w:pStyle w:val="Tabla8"/>
              <w:jc w:val="center"/>
            </w:pPr>
            <w:r>
              <w:rPr>
                <w:b/>
                <w:color w:val="FFFFFF"/>
              </w:rPr>
              <w:t xml:space="preserve">Meses</w:t>
            </w:r>
          </w:p>
        </w:tc>
        <w:tc>
          <w:tcPr>
            <w:shd w:val="clear" w:color="auto" w:fill="00B050"/>
          </w:tcPr>
          <w:p>
            <w:pPr>
              <w:pStyle w:val="Tabla8"/>
              <w:jc w:val="center"/>
            </w:pPr>
            <w:r>
              <w:rPr>
                <w:b/>
                <w:color w:val="FFFFFF"/>
              </w:rPr>
              <w:t xml:space="preserve">Justificación</w:t>
            </w:r>
          </w:p>
        </w:tc>
      </w:tr>
      <w:tr>
        <w:trPr>
          <w:cantSplit/>
        </w:trPr>
        <w:tc>
          <w:tcPr/>
          <w:p>
            <w:pPr>
              <w:pStyle w:val="Tabla8"/>
              <w:jc w:val="left"/>
            </w:pPr>
            <w:r>
              <w:t xml:space="preserve">S01</w:t>
            </w:r>
          </w:p>
        </w:tc>
        <w:tc>
          <w:tcPr/>
          <w:p>
            <w:pPr>
              <w:pStyle w:val="Tabla8"/>
              <w:jc w:val="left"/>
            </w:pPr>
            <w:r>
              <w:t xml:space="preserve">Análisis gravimétrico en laboratorio acreditado</w:t>
            </w:r>
          </w:p>
        </w:tc>
        <w:tc>
          <w:tcPr/>
          <w:p>
            <w:pPr>
              <w:pStyle w:val="Tabla8"/>
              <w:jc w:val="left"/>
            </w:pPr>
            <w:r>
              <w:t xml:space="preserve">240 muestra</w:t>
            </w:r>
          </w:p>
        </w:tc>
        <w:tc>
          <w:tcPr/>
          <w:p>
            <w:pPr>
              <w:pStyle w:val="Tabla8"/>
              <w:jc w:val="left"/>
            </w:pPr>
            <w:r>
              <w:t xml:space="preserve">$ 350.000</w:t>
            </w:r>
          </w:p>
        </w:tc>
        <w:tc>
          <w:tcPr/>
          <w:p>
            <w:pPr>
              <w:pStyle w:val="Tabla8"/>
              <w:jc w:val="left"/>
            </w:pPr>
            <w:r>
              <w:t xml:space="preserve">$ 84.000.000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3–24</w:t>
            </w:r>
          </w:p>
        </w:tc>
        <w:tc>
          <w:tcPr/>
          <w:p>
            <w:pPr>
              <w:pStyle w:val="Tabla8"/>
              <w:jc w:val="left"/>
            </w:pPr>
            <w:r>
              <w:t xml:space="preserve">Lectura certificada de filtros; valor E3.</w:t>
            </w:r>
          </w:p>
        </w:tc>
      </w:tr>
      <w:tr>
        <w:trPr>
          <w:cantSplit/>
        </w:trPr>
        <w:tc>
          <w:tcPr/>
          <w:p>
            <w:pPr>
              <w:pStyle w:val="Tabla8"/>
              <w:jc w:val="left"/>
            </w:pPr>
            <w:r>
              <w:t xml:space="preserve">S02</w:t>
            </w:r>
          </w:p>
        </w:tc>
        <w:tc>
          <w:tcPr/>
          <w:p>
            <w:pPr>
              <w:pStyle w:val="Tabla8"/>
              <w:jc w:val="left"/>
            </w:pPr>
            <w:r>
              <w:t xml:space="preserve">Consultoría jurídica en propiedad intelectual y libertad de operación</w:t>
            </w:r>
          </w:p>
        </w:tc>
        <w:tc>
          <w:tcPr/>
          <w:p>
            <w:pPr>
              <w:pStyle w:val="Tabla8"/>
              <w:jc w:val="left"/>
            </w:pPr>
            <w:r>
              <w:t xml:space="preserve">150 hora</w:t>
            </w:r>
          </w:p>
        </w:tc>
        <w:tc>
          <w:tcPr/>
          <w:p>
            <w:pPr>
              <w:pStyle w:val="Tabla8"/>
              <w:jc w:val="left"/>
            </w:pPr>
            <w:r>
              <w:t xml:space="preserve">$ 300.000</w:t>
            </w:r>
          </w:p>
        </w:tc>
        <w:tc>
          <w:tcPr/>
          <w:p>
            <w:pPr>
              <w:pStyle w:val="Tabla8"/>
              <w:jc w:val="left"/>
            </w:pPr>
            <w:r>
              <w:t xml:space="preserve">$ 45.000.000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1–24</w:t>
            </w:r>
          </w:p>
        </w:tc>
        <w:tc>
          <w:tcPr/>
          <w:p>
            <w:pPr>
              <w:pStyle w:val="Tabla8"/>
              <w:jc w:val="left"/>
            </w:pPr>
            <w:r>
              <w:t xml:space="preserve">Solicitudes PCT con Colombia designada; valor E3.</w:t>
            </w:r>
          </w:p>
        </w:tc>
      </w:tr>
      <w:tr>
        <w:trPr>
          <w:cantSplit/>
        </w:trPr>
        <w:tc>
          <w:tcPr/>
          <w:p>
            <w:pPr>
              <w:pStyle w:val="Tabla8"/>
              <w:jc w:val="left"/>
            </w:pPr>
            <w:r>
              <w:t xml:space="preserve">S03</w:t>
            </w:r>
          </w:p>
        </w:tc>
        <w:tc>
          <w:tcPr/>
          <w:p>
            <w:pPr>
              <w:pStyle w:val="Tabla8"/>
              <w:jc w:val="left"/>
            </w:pPr>
            <w:r>
              <w:t xml:space="preserve">Auditoría externa de ciberseguridad</w:t>
            </w:r>
          </w:p>
        </w:tc>
        <w:tc>
          <w:tcPr/>
          <w:p>
            <w:pPr>
              <w:pStyle w:val="Tabla8"/>
              <w:jc w:val="left"/>
            </w:pPr>
            <w:r>
              <w:t xml:space="preserve">2 servicio</w:t>
            </w:r>
          </w:p>
        </w:tc>
        <w:tc>
          <w:tcPr/>
          <w:p>
            <w:pPr>
              <w:pStyle w:val="Tabla8"/>
              <w:jc w:val="left"/>
            </w:pPr>
            <w:r>
              <w:t xml:space="preserve">$ 15.000.000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8–24</w:t>
            </w:r>
          </w:p>
        </w:tc>
        <w:tc>
          <w:tcPr/>
          <w:p>
            <w:pPr>
              <w:pStyle w:val="Tabla8"/>
              <w:jc w:val="left"/>
            </w:pPr>
            <w:r>
              <w:t xml:space="preserve">Dos pruebas de penetración; valor E3.</w:t>
            </w:r>
          </w:p>
        </w:tc>
      </w:tr>
      <w:tr>
        <w:trPr>
          <w:cantSplit/>
        </w:trPr>
        <w:tc>
          <w:tcPr/>
          <w:p>
            <w:pPr>
              <w:pStyle w:val="Tabla8"/>
              <w:jc w:val="left"/>
            </w:pPr>
            <w:r>
              <w:t xml:space="preserve">S05</w:t>
            </w:r>
          </w:p>
        </w:tc>
        <w:tc>
          <w:tcPr/>
          <w:p>
            <w:pPr>
              <w:pStyle w:val="Tabla8"/>
              <w:jc w:val="left"/>
            </w:pPr>
            <w:r>
              <w:t xml:space="preserve">Instalación en sitio, mástiles y obra menor (100 nodos y 10 gateways)</w:t>
            </w:r>
          </w:p>
        </w:tc>
        <w:tc>
          <w:tcPr/>
          <w:p>
            <w:pPr>
              <w:pStyle w:val="Tabla8"/>
              <w:jc w:val="left"/>
            </w:pPr>
            <w:r>
              <w:t xml:space="preserve">110 sitio</w:t>
            </w:r>
          </w:p>
        </w:tc>
        <w:tc>
          <w:tcPr/>
          <w:p>
            <w:pPr>
              <w:pStyle w:val="Tabla8"/>
              <w:jc w:val="left"/>
            </w:pPr>
            <w:r>
              <w:t xml:space="preserve">$ 1.200.000</w:t>
            </w:r>
          </w:p>
        </w:tc>
        <w:tc>
          <w:tcPr/>
          <w:p>
            <w:pPr>
              <w:pStyle w:val="Tabla8"/>
              <w:jc w:val="left"/>
            </w:pPr>
            <w:r>
              <w:t xml:space="preserve">$ 132.000.000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Ejecución por tramo.</w:t>
            </w:r>
          </w:p>
        </w:tc>
      </w:tr>
      <w:tr>
        <w:trPr>
          <w:cantSplit/>
        </w:trPr>
        <w:tc>
          <w:tcPr/>
          <w:p>
            <w:pPr>
              <w:pStyle w:val="Tabla8"/>
              <w:jc w:val="left"/>
            </w:pPr>
            <w:r>
              <w:t xml:space="preserve">S06</w:t>
            </w:r>
          </w:p>
        </w:tc>
        <w:tc>
          <w:tcPr/>
          <w:p>
            <w:pPr>
              <w:pStyle w:val="Tabla8"/>
              <w:jc w:val="left"/>
            </w:pPr>
            <w:r>
              <w:t xml:space="preserve">Estudio de cobertura y de enlace en tres departamentos</w:t>
            </w:r>
          </w:p>
        </w:tc>
        <w:tc>
          <w:tcPr/>
          <w:p>
            <w:pPr>
              <w:pStyle w:val="Tabla8"/>
              <w:jc w:val="left"/>
            </w:pPr>
            <w:r>
              <w:t xml:space="preserve">3 estudio</w:t>
            </w:r>
          </w:p>
        </w:tc>
        <w:tc>
          <w:tcPr/>
          <w:p>
            <w:pPr>
              <w:pStyle w:val="Tabla8"/>
              <w:jc w:val="left"/>
            </w:pPr>
            <w:r>
              <w:t xml:space="preserve">$ 20.000.000</w:t>
            </w:r>
          </w:p>
        </w:tc>
        <w:tc>
          <w:tcPr/>
          <w:p>
            <w:pPr>
              <w:pStyle w:val="Tabla8"/>
              <w:jc w:val="left"/>
            </w:pPr>
            <w:r>
              <w:t xml:space="preserve">$ 60.000.000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1–4</w:t>
            </w:r>
          </w:p>
        </w:tc>
        <w:tc>
          <w:tcPr/>
          <w:p>
            <w:pPr>
              <w:pStyle w:val="Tabla8"/>
              <w:jc w:val="left"/>
            </w:pPr>
            <w:r>
              <w:t xml:space="preserve">Presupuesto de enlace de los gateways.</w:t>
            </w:r>
          </w:p>
        </w:tc>
      </w:tr>
      <w:tr>
        <w:trPr>
          <w:cantSplit/>
        </w:trPr>
        <w:tc>
          <w:tcPr/>
          <w:p>
            <w:pPr>
              <w:pStyle w:val="Tabla8"/>
              <w:jc w:val="left"/>
            </w:pPr>
            <w:r>
              <w:t xml:space="preserve">S07</w:t>
            </w:r>
          </w:p>
        </w:tc>
        <w:tc>
          <w:tcPr/>
          <w:p>
            <w:pPr>
              <w:pStyle w:val="Tabla8"/>
              <w:jc w:val="left"/>
            </w:pPr>
            <w:r>
              <w:t xml:space="preserve">Evaluación externa independiente (meses 12 y 24)</w:t>
            </w:r>
          </w:p>
        </w:tc>
        <w:tc>
          <w:tcPr/>
          <w:p>
            <w:pPr>
              <w:pStyle w:val="Tabla8"/>
              <w:jc w:val="left"/>
            </w:pPr>
            <w:r>
              <w:t xml:space="preserve">2 evaluación</w:t>
            </w:r>
          </w:p>
        </w:tc>
        <w:tc>
          <w:tcPr/>
          <w:p>
            <w:pPr>
              <w:pStyle w:val="Tabla8"/>
              <w:jc w:val="left"/>
            </w:pPr>
            <w:r>
              <w:t xml:space="preserve">$ 60.000.000</w:t>
            </w:r>
          </w:p>
        </w:tc>
        <w:tc>
          <w:tcPr/>
          <w:p>
            <w:pPr>
              <w:pStyle w:val="Tabla8"/>
              <w:jc w:val="left"/>
            </w:pPr>
            <w:r>
              <w:t xml:space="preserve">$ 120.000.000</w:t>
            </w:r>
          </w:p>
        </w:tc>
        <w:tc>
          <w:tcPr/>
          <w:p>
            <w:pPr>
              <w:pStyle w:val="Tabla8"/>
              <w:jc w:val="left"/>
            </w:pPr>
            <w:r>
              <w:t xml:space="preserve">PROPUESTO</w:t>
            </w:r>
          </w:p>
        </w:tc>
        <w:tc>
          <w:tcPr/>
          <w:p>
            <w:pPr>
              <w:pStyle w:val="Tabla8"/>
              <w:jc w:val="left"/>
            </w:pPr>
            <w:r>
              <w:t xml:space="preserve">WP0</w:t>
            </w:r>
          </w:p>
        </w:tc>
        <w:tc>
          <w:tcPr/>
          <w:p>
            <w:pPr>
              <w:pStyle w:val="Tabla8"/>
              <w:jc w:val="left"/>
            </w:pPr>
            <w:r>
              <w:t xml:space="preserve">12–24</w:t>
            </w:r>
          </w:p>
        </w:tc>
        <w:tc>
          <w:tcPr/>
          <w:p>
            <w:pPr>
              <w:pStyle w:val="Tabla8"/>
              <w:jc w:val="left"/>
            </w:pPr>
            <w:r>
              <w:t xml:space="preserve">Verificación de resultados frente a la línea base.</w:t>
            </w:r>
          </w:p>
        </w:tc>
      </w:tr>
      <w:tr>
        <w:trPr>
          <w:cantSplit/>
        </w:trPr>
        <w:tc>
          <w:tcPr/>
          <w:p>
            <w:pPr>
              <w:pStyle w:val="Tabla8"/>
              <w:jc w:val="left"/>
            </w:pPr>
            <w:r>
              <w:t xml:space="preserve">S08</w:t>
            </w:r>
          </w:p>
        </w:tc>
        <w:tc>
          <w:tcPr/>
          <w:p>
            <w:pPr>
              <w:pStyle w:val="Tabla8"/>
              <w:jc w:val="left"/>
            </w:pPr>
            <w:r>
              <w:t xml:space="preserve">Ensayo de desempeño con laboratorio externo</w:t>
            </w:r>
          </w:p>
        </w:tc>
        <w:tc>
          <w:tcPr/>
          <w:p>
            <w:pPr>
              <w:pStyle w:val="Tabla8"/>
              <w:jc w:val="left"/>
            </w:pPr>
            <w:r>
              <w:t xml:space="preserve">1 campaña</w:t>
            </w:r>
          </w:p>
        </w:tc>
        <w:tc>
          <w:tcPr/>
          <w:p>
            <w:pPr>
              <w:pStyle w:val="Tabla8"/>
              <w:jc w:val="left"/>
            </w:pPr>
            <w:r>
              <w:t xml:space="preserve">$ 90.000.000</w:t>
            </w:r>
          </w:p>
        </w:tc>
        <w:tc>
          <w:tcPr/>
          <w:p>
            <w:pPr>
              <w:pStyle w:val="Tabla8"/>
              <w:jc w:val="left"/>
            </w:pPr>
            <w:r>
              <w:t xml:space="preserve">$ 90.000.000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20–24</w:t>
            </w:r>
          </w:p>
        </w:tc>
        <w:tc>
          <w:tcPr/>
          <w:p>
            <w:pPr>
              <w:pStyle w:val="Tabla8"/>
              <w:jc w:val="left"/>
            </w:pPr>
            <w:r>
              <w:t xml:space="preserve">Verificación independiente del cumplimiento de los umbrales.</w:t>
            </w:r>
          </w:p>
        </w:tc>
      </w:tr>
      <w:tr>
        <w:trPr>
          <w:cantSplit/>
        </w:trPr>
        <w:tc>
          <w:tcPr/>
          <w:p>
            <w:pPr>
              <w:pStyle w:val="Tabla8"/>
              <w:jc w:val="left"/>
            </w:pPr>
            <w:r>
              <w:t xml:space="preserve">S09</w:t>
            </w:r>
          </w:p>
        </w:tc>
        <w:tc>
          <w:tcPr/>
          <w:p>
            <w:pPr>
              <w:pStyle w:val="Tabla8"/>
              <w:jc w:val="left"/>
            </w:pPr>
            <w:r>
              <w:t xml:space="preserve">Formación y soporte a custodios por tramo</w:t>
            </w:r>
          </w:p>
        </w:tc>
        <w:tc>
          <w:tcPr/>
          <w:p>
            <w:pPr>
              <w:pStyle w:val="Tabla8"/>
              <w:jc w:val="left"/>
            </w:pPr>
            <w:r>
              <w:t xml:space="preserve">3 tramo</w:t>
            </w:r>
          </w:p>
        </w:tc>
        <w:tc>
          <w:tcPr/>
          <w:p>
            <w:pPr>
              <w:pStyle w:val="Tabla8"/>
              <w:jc w:val="left"/>
            </w:pPr>
            <w:r>
              <w:t xml:space="preserve">$ 50.000.000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6–24</w:t>
            </w:r>
          </w:p>
        </w:tc>
        <w:tc>
          <w:tcPr/>
          <w:p>
            <w:pPr>
              <w:pStyle w:val="Tabla8"/>
              <w:jc w:val="left"/>
            </w:pPr>
            <w:r>
              <w:t xml:space="preserve">Capacidad de absorción de los custodios.</w:t>
            </w:r>
          </w:p>
        </w:tc>
      </w:tr>
      <w:tr>
        <w:trPr>
          <w:cantSplit/>
        </w:trPr>
        <w:tc>
          <w:tcPr/>
          <w:p>
            <w:pPr>
              <w:pStyle w:val="Tabla8"/>
              <w:jc w:val="left"/>
            </w:pPr>
            <w:r>
              <w:t xml:space="preserve">S10</w:t>
            </w:r>
          </w:p>
        </w:tc>
        <w:tc>
          <w:tcPr/>
          <w:p>
            <w:pPr>
              <w:pStyle w:val="Tabla8"/>
              <w:jc w:val="left"/>
            </w:pPr>
            <w:r>
              <w:t xml:space="preserve">Planes de enlace satelital de respaldo (10 módulos, 22 meses)</w:t>
            </w:r>
          </w:p>
        </w:tc>
        <w:tc>
          <w:tcPr/>
          <w:p>
            <w:pPr>
              <w:pStyle w:val="Tabla8"/>
              <w:jc w:val="left"/>
            </w:pPr>
            <w:r>
              <w:t xml:space="preserve">220 módulo-mes</w:t>
            </w:r>
          </w:p>
        </w:tc>
        <w:tc>
          <w:tcPr/>
          <w:p>
            <w:pPr>
              <w:pStyle w:val="Tabla8"/>
              <w:jc w:val="left"/>
            </w:pPr>
            <w:r>
              <w:t xml:space="preserve">$ 250.000</w:t>
            </w:r>
          </w:p>
        </w:tc>
        <w:tc>
          <w:tcPr/>
          <w:p>
            <w:pPr>
              <w:pStyle w:val="Tabla8"/>
              <w:jc w:val="left"/>
            </w:pPr>
            <w:r>
              <w:t xml:space="preserve">$ 55.000.000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Datos de respaldo.</w:t>
            </w:r>
          </w:p>
        </w:tc>
      </w:tr>
      <w:tr>
        <w:trPr>
          <w:cantSplit/>
        </w:trPr>
        <w:tc>
          <w:tcPr/>
          <w:p>
            <w:pPr>
              <w:pStyle w:val="Tabla8"/>
              <w:jc w:val="left"/>
            </w:pPr>
            <w:r>
              <w:t xml:space="preserve">S11</w:t>
            </w:r>
          </w:p>
        </w:tc>
        <w:tc>
          <w:tcPr/>
          <w:p>
            <w:pPr>
              <w:pStyle w:val="Tabla8"/>
              <w:jc w:val="left"/>
            </w:pPr>
            <w:r>
              <w:t xml:space="preserve">Importación y nacionalización de equipos</w:t>
            </w:r>
          </w:p>
        </w:tc>
        <w:tc>
          <w:tcPr/>
          <w:p>
            <w:pPr>
              <w:pStyle w:val="Tabla8"/>
              <w:jc w:val="left"/>
            </w:pPr>
            <w:r>
              <w:t xml:space="preserve">1 servicio</w:t>
            </w:r>
          </w:p>
        </w:tc>
        <w:tc>
          <w:tcPr/>
          <w:p>
            <w:pPr>
              <w:pStyle w:val="Tabla8"/>
              <w:jc w:val="left"/>
            </w:pPr>
            <w:r>
              <w:t xml:space="preserve">$ 80.000.000</w:t>
            </w:r>
          </w:p>
        </w:tc>
        <w:tc>
          <w:tcPr/>
          <w:p>
            <w:pPr>
              <w:pStyle w:val="Tabla8"/>
              <w:jc w:val="left"/>
            </w:pPr>
            <w:r>
              <w:t xml:space="preserve">$ 80.000.000</w:t>
            </w:r>
          </w:p>
        </w:tc>
        <w:tc>
          <w:tcPr/>
          <w:p>
            <w:pPr>
              <w:pStyle w:val="Tabla8"/>
              <w:jc w:val="left"/>
            </w:pPr>
            <w:r>
              <w:t xml:space="preserve">PROPUESTO</w:t>
            </w:r>
          </w:p>
        </w:tc>
        <w:tc>
          <w:tcPr/>
          <w:p>
            <w:pPr>
              <w:pStyle w:val="Tabla8"/>
              <w:jc w:val="left"/>
            </w:pPr>
            <w:r>
              <w:t xml:space="preserve">WP0</w:t>
            </w:r>
          </w:p>
        </w:tc>
        <w:tc>
          <w:tcPr/>
          <w:p>
            <w:pPr>
              <w:pStyle w:val="Tabla8"/>
              <w:jc w:val="left"/>
            </w:pPr>
            <w:r>
              <w:t xml:space="preserve">1–18</w:t>
            </w:r>
          </w:p>
        </w:tc>
        <w:tc>
          <w:tcPr/>
          <w:p>
            <w:pPr>
              <w:pStyle w:val="Tabla8"/>
              <w:jc w:val="left"/>
            </w:pPr>
            <w:r>
              <w:t xml:space="preserve">Tres lotes de importación.</w:t>
            </w:r>
          </w:p>
        </w:tc>
      </w:tr>
      <w:tr>
        <w:trPr>
          <w:cantSplit/>
        </w:trPr>
        <w:tc>
          <w:tcPr/>
          <w:p>
            <w:pPr>
              <w:pStyle w:val="Tabla8"/>
              <w:jc w:val="left"/>
            </w:pPr>
            <w:r>
              <w:t xml:space="preserve">Total</w:t>
            </w:r>
          </w:p>
        </w:tc>
        <w:tc>
          <w:tcPr/>
          <w:p>
            <w:pPr>
              <w:pStyle w:val="Tabla8"/>
              <w:jc w:val="left"/>
            </w:pPr>
            <w:r>
              <w:t xml:space="preserve">Subtotal de servicios técnicos</w:t>
            </w:r>
          </w:p>
        </w:tc>
        <w:tc>
          <w:tcPr/>
          <w:p>
            <w:pPr>
              <w:pStyle w:val="Tabla8"/>
            </w:pPr>
          </w:p>
        </w:tc>
        <w:tc>
          <w:tcPr/>
          <w:p>
            <w:pPr>
              <w:pStyle w:val="Tabla8"/>
            </w:pPr>
          </w:p>
        </w:tc>
        <w:tc>
          <w:tcPr/>
          <w:p>
            <w:pPr>
              <w:pStyle w:val="Tabla8"/>
              <w:jc w:val="left"/>
            </w:pPr>
            <w:r>
              <w:t xml:space="preserve">$ 846.000.000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9,7 %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Las líneas de verificación externa cumplen una función de control que la ejecución interna no puede cumplir. La evaluación externa de los meses 12 y 24 y el ensayo con laboratorio externo suman 210.000.000 COP. Estos servicios producen la evidencia independiente que respalda las compuertas y la afirmación de desempeño. Patton (2011) propone la evaluación orientada al desarrollo para proyectos de innovación con incertidumbre. Esa lógica sustenta la evaluación del mes 12, antes de la compuerta C1.</w:t>
      </w:r>
    </w:p>
    <w:p>
      <w:pPr>
        <w:pStyle w:val="BodyText"/>
      </w:pPr>
      <w:r>
        <w:t xml:space="preserve">La consultoría jurídica en propiedad intelectual, con 150 horas por 45.000.000 COP, atiende el riesgo R-JUR-01. El análisis de libertad de operación examina si solicitudes de patente de terceros afectan el diseño. La Decisión 486 regula el régimen común de propiedad industrial y sustenta ese análisis en Colombia (Comunidad Andina, 2000). La auditoría de ciberseguridad cubre dos pruebas de penetración. Debe también verificar el cumplimiento de la Ley 1581 de 2012 sobre protección de datos personales (Congreso de la República, 2012b). Las lecturas pueden asociarse con ubicaciones de viviendas y trabajadores.</w:t>
      </w:r>
    </w:p>
    <w:p>
      <w:pPr>
        <w:pStyle w:val="BodyText"/>
      </w:pPr>
      <w:r>
        <w:t xml:space="preserve">La línea S11, importación y nacionalización, suma 80.000.000 COP y atiende tres lotes. El riesgo financiero R-FIN-01, la devaluación del peso, tiene el mayor valor monetario esperado del registro, 165,0 millones de COP. La mitigación combina compra por tramos, cobertura cambiaria y cotizaciones vigentes. Las líneas E01 a E04 suman 1.283,0 millones de COP. Si se importaran en su totalidad (SUPUESTO), una devaluación de 10 % las encarecería en 128,3 millones. La reserva cubre esa cifra solo en parte.</w:t>
      </w:r>
    </w:p>
    <w:bookmarkEnd w:id="511"/>
    <w:bookmarkStart w:id="512" w:name="_Toc00900209"/>
    <w:p>
      <w:pPr>
        <w:pStyle w:val="Heading2"/>
      </w:pPr>
      <w:r>
        <w:t xml:space="preserve">8.6 Viajes y Viáticos</w:t>
      </w:r>
    </w:p>
    <w:p>
      <w:pPr>
        <w:pStyle w:val="FirstParagraph"/>
      </w:pPr>
      <w:r>
        <w:t xml:space="preserve">El rubro de viajes y viáticos suma 204,5 millones de COP, que equivalen a 2,3 % del valor solicitado. Incluye cinco líneas. Tres de ellas, propuestas por esta formulación, cubren el trabajo de campo en tres departamentos: tiquetes, viáticos y vehículos 4x4. Su valor suma 408,0 millones de COP. El expediente revisado asignaba menos recursos a este rubro. La ampliación obedece a que la red cubre Caldas, Cundinamarca y Valle del Cauca. La Tabla 8.9 detalla las líneas.</w:t>
      </w:r>
    </w:p>
    <w:p>
      <w:pPr>
        <w:pStyle w:val="TablaRotulo"/>
      </w:pPr>
      <w:bookmarkStart w:id="9310" w:name="rot_Tabla_8_9"/>
      <w:r>
        <w:rPr>
          <w:b/>
          <w:bCs/>
        </w:rPr>
        <w:t xml:space="preserve">Tabla 8.9</w:t>
      </w:r>
      <w:bookmarkEnd w:id="9310"/>
    </w:p>
    <w:p>
      <w:pPr>
        <w:pStyle w:val="TablaTitulo"/>
      </w:pPr>
      <w:r>
        <w:rPr>
          <w:i/>
          <w:iCs/>
        </w:rPr>
        <w:t xml:space="preserve">Presupuesto de viajes y viáticos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23"/>
        <w:gridCol w:w="1178"/>
        <w:gridCol w:w="981"/>
        <w:gridCol w:w="916"/>
        <w:gridCol w:w="981"/>
        <w:gridCol w:w="1178"/>
        <w:gridCol w:w="458"/>
        <w:gridCol w:w="523"/>
        <w:gridCol w:w="1178"/>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Concepto</w:t>
            </w:r>
          </w:p>
        </w:tc>
        <w:tc>
          <w:tcPr>
            <w:shd w:val="clear" w:color="auto" w:fill="00B050"/>
          </w:tcPr>
          <w:p>
            <w:pPr>
              <w:pStyle w:val="Tabla8"/>
              <w:jc w:val="center"/>
            </w:pPr>
            <w:r>
              <w:rPr>
                <w:b/>
                <w:color w:val="FFFFFF"/>
              </w:rPr>
              <w:t xml:space="preserve">Cantidad y unidad</w:t>
            </w:r>
          </w:p>
        </w:tc>
        <w:tc>
          <w:tcPr>
            <w:shd w:val="clear" w:color="auto" w:fill="00B050"/>
          </w:tcPr>
          <w:p>
            <w:pPr>
              <w:pStyle w:val="Tabla8"/>
              <w:jc w:val="center"/>
            </w:pPr>
            <w:r>
              <w:rPr>
                <w:b/>
                <w:color w:val="FFFFFF"/>
              </w:rPr>
              <w:t xml:space="preserve">Costo unitario (COP)</w:t>
            </w:r>
          </w:p>
        </w:tc>
        <w:tc>
          <w:tcPr>
            <w:shd w:val="clear" w:color="auto" w:fill="00B050"/>
          </w:tcPr>
          <w:p>
            <w:pPr>
              <w:pStyle w:val="Tabla8"/>
              <w:jc w:val="center"/>
            </w:pPr>
            <w:r>
              <w:rPr>
                <w:b/>
                <w:color w:val="FFFFFF"/>
              </w:rPr>
              <w:t xml:space="preserve">Total (COP)</w:t>
            </w:r>
          </w:p>
        </w:tc>
        <w:tc>
          <w:tcPr>
            <w:shd w:val="clear" w:color="auto" w:fill="00B050"/>
          </w:tcPr>
          <w:p>
            <w:pPr>
              <w:pStyle w:val="Tabla8"/>
              <w:jc w:val="center"/>
            </w:pPr>
            <w:r>
              <w:rPr>
                <w:b/>
                <w:color w:val="FFFFFF"/>
              </w:rPr>
              <w:t xml:space="preserve">Naturaleza</w:t>
            </w:r>
          </w:p>
        </w:tc>
        <w:tc>
          <w:tcPr>
            <w:shd w:val="clear" w:color="auto" w:fill="00B050"/>
          </w:tcPr>
          <w:p>
            <w:pPr>
              <w:pStyle w:val="Tabla8"/>
              <w:jc w:val="center"/>
            </w:pPr>
            <w:r>
              <w:rPr>
                <w:b/>
                <w:color w:val="FFFFFF"/>
              </w:rPr>
              <w:t xml:space="preserve">WP</w:t>
            </w:r>
          </w:p>
        </w:tc>
        <w:tc>
          <w:tcPr>
            <w:shd w:val="clear" w:color="auto" w:fill="00B050"/>
          </w:tcPr>
          <w:p>
            <w:pPr>
              <w:pStyle w:val="Tabla8"/>
              <w:jc w:val="center"/>
            </w:pPr>
            <w:r>
              <w:rPr>
                <w:b/>
                <w:color w:val="FFFFFF"/>
              </w:rPr>
              <w:t xml:space="preserve">Meses</w:t>
            </w:r>
          </w:p>
        </w:tc>
        <w:tc>
          <w:tcPr>
            <w:shd w:val="clear" w:color="auto" w:fill="00B050"/>
          </w:tcPr>
          <w:p>
            <w:pPr>
              <w:pStyle w:val="Tabla8"/>
              <w:jc w:val="center"/>
            </w:pPr>
            <w:r>
              <w:rPr>
                <w:b/>
                <w:color w:val="FFFFFF"/>
              </w:rPr>
              <w:t xml:space="preserve">Justificación</w:t>
            </w:r>
          </w:p>
        </w:tc>
      </w:tr>
      <w:tr>
        <w:trPr>
          <w:cantSplit/>
        </w:trPr>
        <w:tc>
          <w:tcPr/>
          <w:p>
            <w:pPr>
              <w:pStyle w:val="Tabla8"/>
              <w:jc w:val="left"/>
            </w:pPr>
            <w:r>
              <w:t xml:space="preserve">V01</w:t>
            </w:r>
          </w:p>
        </w:tc>
        <w:tc>
          <w:tcPr/>
          <w:p>
            <w:pPr>
              <w:pStyle w:val="Tabla8"/>
              <w:jc w:val="left"/>
            </w:pPr>
            <w:r>
              <w:t xml:space="preserve">Tiquetes aéreos nacionales</w:t>
            </w:r>
          </w:p>
        </w:tc>
        <w:tc>
          <w:tcPr/>
          <w:p>
            <w:pPr>
              <w:pStyle w:val="Tabla8"/>
              <w:jc w:val="left"/>
            </w:pPr>
            <w:r>
              <w:t xml:space="preserve">50 trayecto</w:t>
            </w:r>
          </w:p>
        </w:tc>
        <w:tc>
          <w:tcPr/>
          <w:p>
            <w:pPr>
              <w:pStyle w:val="Tabla8"/>
              <w:jc w:val="left"/>
            </w:pPr>
            <w:r>
              <w:t xml:space="preserve">$ 600.000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Reducido para respetar el tope de movilidad de 2 % del valor SGR; técnicos residentes en cada departamento.</w:t>
            </w:r>
          </w:p>
        </w:tc>
      </w:tr>
      <w:tr>
        <w:trPr>
          <w:cantSplit/>
        </w:trPr>
        <w:tc>
          <w:tcPr/>
          <w:p>
            <w:pPr>
              <w:pStyle w:val="Tabla8"/>
              <w:jc w:val="left"/>
            </w:pPr>
            <w:r>
              <w:t xml:space="preserve">V02</w:t>
            </w:r>
          </w:p>
        </w:tc>
        <w:tc>
          <w:tcPr/>
          <w:p>
            <w:pPr>
              <w:pStyle w:val="Tabla8"/>
              <w:jc w:val="left"/>
            </w:pPr>
            <w:r>
              <w:t xml:space="preserve">Viáticos de alojamiento y manutención</w:t>
            </w:r>
          </w:p>
        </w:tc>
        <w:tc>
          <w:tcPr/>
          <w:p>
            <w:pPr>
              <w:pStyle w:val="Tabla8"/>
              <w:jc w:val="left"/>
            </w:pPr>
            <w:r>
              <w:t xml:space="preserve">250 día-persona</w:t>
            </w:r>
          </w:p>
        </w:tc>
        <w:tc>
          <w:tcPr/>
          <w:p>
            <w:pPr>
              <w:pStyle w:val="Tabla8"/>
              <w:jc w:val="left"/>
            </w:pPr>
            <w:r>
              <w:t xml:space="preserve">$ 350.000</w:t>
            </w:r>
          </w:p>
        </w:tc>
        <w:tc>
          <w:tcPr/>
          <w:p>
            <w:pPr>
              <w:pStyle w:val="Tabla8"/>
              <w:jc w:val="left"/>
            </w:pPr>
            <w:r>
              <w:t xml:space="preserve">$ 87.500.000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Instalación, mantenimiento y talleres; el complemento lo cubre la logística de emergencia de la empresa (C05).</w:t>
            </w:r>
          </w:p>
        </w:tc>
      </w:tr>
      <w:tr>
        <w:trPr>
          <w:cantSplit/>
        </w:trPr>
        <w:tc>
          <w:tcPr/>
          <w:p>
            <w:pPr>
              <w:pStyle w:val="Tabla8"/>
              <w:jc w:val="left"/>
            </w:pPr>
            <w:r>
              <w:t xml:space="preserve">V03</w:t>
            </w:r>
          </w:p>
        </w:tc>
        <w:tc>
          <w:tcPr/>
          <w:p>
            <w:pPr>
              <w:pStyle w:val="Tabla8"/>
              <w:jc w:val="left"/>
            </w:pPr>
            <w:r>
              <w:t xml:space="preserve">Arrendamiento de vehículos 4x4</w:t>
            </w:r>
          </w:p>
        </w:tc>
        <w:tc>
          <w:tcPr/>
          <w:p>
            <w:pPr>
              <w:pStyle w:val="Tabla8"/>
              <w:jc w:val="left"/>
            </w:pPr>
            <w:r>
              <w:t xml:space="preserve">100 día</w:t>
            </w:r>
          </w:p>
        </w:tc>
        <w:tc>
          <w:tcPr/>
          <w:p>
            <w:pPr>
              <w:pStyle w:val="Tabla8"/>
              <w:jc w:val="left"/>
            </w:pPr>
            <w:r>
              <w:t xml:space="preserve">$ 450.000</w:t>
            </w:r>
          </w:p>
        </w:tc>
        <w:tc>
          <w:tcPr/>
          <w:p>
            <w:pPr>
              <w:pStyle w:val="Tabla8"/>
              <w:jc w:val="left"/>
            </w:pPr>
            <w:r>
              <w:t xml:space="preserve">$ 45.000.000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Acceso a sitios sin vía pavimentada; arrendamiento, no compra.</w:t>
            </w:r>
          </w:p>
        </w:tc>
      </w:tr>
      <w:tr>
        <w:trPr>
          <w:cantSplit/>
        </w:trPr>
        <w:tc>
          <w:tcPr/>
          <w:p>
            <w:pPr>
              <w:pStyle w:val="Tabla8"/>
              <w:jc w:val="left"/>
            </w:pPr>
            <w:r>
              <w:t xml:space="preserve">V04</w:t>
            </w:r>
          </w:p>
        </w:tc>
        <w:tc>
          <w:tcPr/>
          <w:p>
            <w:pPr>
              <w:pStyle w:val="Tabla8"/>
              <w:jc w:val="left"/>
            </w:pPr>
            <w:r>
              <w:t xml:space="preserve">Viaje internacional para divulgación científica</w:t>
            </w:r>
          </w:p>
        </w:tc>
        <w:tc>
          <w:tcPr/>
          <w:p>
            <w:pPr>
              <w:pStyle w:val="Tabla8"/>
              <w:jc w:val="left"/>
            </w:pPr>
            <w:r>
              <w:t xml:space="preserve">1 viaje</w:t>
            </w:r>
          </w:p>
        </w:tc>
        <w:tc>
          <w:tcPr/>
          <w:p>
            <w:pPr>
              <w:pStyle w:val="Tabla8"/>
              <w:jc w:val="left"/>
            </w:pPr>
            <w:r>
              <w:t xml:space="preserve">$ 12.000.000</w:t>
            </w:r>
          </w:p>
        </w:tc>
        <w:tc>
          <w:tcPr/>
          <w:p>
            <w:pPr>
              <w:pStyle w:val="Tabla8"/>
              <w:jc w:val="left"/>
            </w:pPr>
            <w:r>
              <w:t xml:space="preserve">$ 12.000.000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14–24</w:t>
            </w:r>
          </w:p>
        </w:tc>
        <w:tc>
          <w:tcPr/>
          <w:p>
            <w:pPr>
              <w:pStyle w:val="Tabla8"/>
              <w:jc w:val="left"/>
            </w:pPr>
            <w:r>
              <w:t xml:space="preserve">Presentación de resultados; valor E3; reducido de 2 a 1 viaje por el tope de movilidad.</w:t>
            </w:r>
          </w:p>
        </w:tc>
      </w:tr>
      <w:tr>
        <w:trPr>
          <w:cantSplit/>
        </w:trPr>
        <w:tc>
          <w:tcPr/>
          <w:p>
            <w:pPr>
              <w:pStyle w:val="Tabla8"/>
              <w:jc w:val="left"/>
            </w:pPr>
            <w:r>
              <w:t xml:space="preserve">V05</w:t>
            </w:r>
          </w:p>
        </w:tc>
        <w:tc>
          <w:tcPr/>
          <w:p>
            <w:pPr>
              <w:pStyle w:val="Tabla8"/>
              <w:jc w:val="left"/>
            </w:pPr>
            <w:r>
              <w:t xml:space="preserve">Alimentación de laboratorios ciudadanos</w:t>
            </w:r>
          </w:p>
        </w:tc>
        <w:tc>
          <w:tcPr/>
          <w:p>
            <w:pPr>
              <w:pStyle w:val="Tabla8"/>
              <w:jc w:val="left"/>
            </w:pPr>
            <w:r>
              <w:t xml:space="preserve">20 evento</w:t>
            </w:r>
          </w:p>
        </w:tc>
        <w:tc>
          <w:tcPr/>
          <w:p>
            <w:pPr>
              <w:pStyle w:val="Tabla8"/>
              <w:jc w:val="left"/>
            </w:pPr>
            <w:r>
              <w:t xml:space="preserve">$ 1.500.000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2–24</w:t>
            </w:r>
          </w:p>
        </w:tc>
        <w:tc>
          <w:tcPr/>
          <w:p>
            <w:pPr>
              <w:pStyle w:val="Tabla8"/>
              <w:jc w:val="left"/>
            </w:pPr>
            <w:r>
              <w:t xml:space="preserve">Participación comunitaria; valor E3.</w:t>
            </w:r>
          </w:p>
        </w:tc>
      </w:tr>
      <w:tr>
        <w:trPr>
          <w:cantSplit/>
        </w:trPr>
        <w:tc>
          <w:tcPr/>
          <w:p>
            <w:pPr>
              <w:pStyle w:val="Tabla8"/>
              <w:jc w:val="left"/>
            </w:pPr>
            <w:r>
              <w:t xml:space="preserve">Total</w:t>
            </w:r>
          </w:p>
        </w:tc>
        <w:tc>
          <w:tcPr/>
          <w:p>
            <w:pPr>
              <w:pStyle w:val="Tabla8"/>
              <w:jc w:val="left"/>
            </w:pPr>
            <w:r>
              <w:t xml:space="preserve">Subtotal de viajes y viáticos</w:t>
            </w:r>
          </w:p>
        </w:tc>
        <w:tc>
          <w:tcPr/>
          <w:p>
            <w:pPr>
              <w:pStyle w:val="Tabla8"/>
            </w:pPr>
          </w:p>
        </w:tc>
        <w:tc>
          <w:tcPr/>
          <w:p>
            <w:pPr>
              <w:pStyle w:val="Tabla8"/>
            </w:pPr>
          </w:p>
        </w:tc>
        <w:tc>
          <w:tcPr/>
          <w:p>
            <w:pPr>
              <w:pStyle w:val="Tabla8"/>
              <w:jc w:val="left"/>
            </w:pPr>
            <w:r>
              <w:t xml:space="preserve">$ 204.500.000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2,3 %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El trabajo de campo comprende instalación, mantenimiento, colocalización y talleres en 12 municipios, cuatro por departamento [DATO_USUARIO: lista de municipios]. Los 600 días-persona de viáticos equivalen a 25 días-persona por mes durante 24 meses. Esa cifra es una estimación gruesa, porque la carga real depende del calendario de instalación. La programación de viajes debe revisarse con el cronograma de cada tramo.</w:t>
      </w:r>
    </w:p>
    <w:p>
      <w:pPr>
        <w:pStyle w:val="BodyText"/>
      </w:pPr>
      <w:r>
        <w:t xml:space="preserve">Las dos líneas del expediente revisado, el viaje internacional de divulgación y la alimentación de laboratorios ciudadanos, suman 54,0 millones de COP. El viaje internacional de divulgación sustenta el producto de nuevo conocimiento. La alimentación de laboratorios ciudadanos apoya la participación de las comunidades. Su vínculo con la escalera de participación de Arnstein (1969) se desarrolla en el capítulo 16. El proyecto no presupuesta viajes fuera de esas dos líneas.</w:t>
      </w:r>
    </w:p>
    <w:bookmarkEnd w:id="512"/>
    <w:bookmarkStart w:id="513" w:name="_Toc00900210"/>
    <w:p>
      <w:pPr>
        <w:pStyle w:val="Heading2"/>
      </w:pPr>
      <w:r>
        <w:t xml:space="preserve">8.7 Otros Rubros</w:t>
      </w:r>
    </w:p>
    <w:p>
      <w:pPr>
        <w:pStyle w:val="FirstParagraph"/>
      </w:pPr>
      <w:r>
        <w:t xml:space="preserve">El rubro de otros rubros suma 532,0 millones de COP, que equivalen a 6,1 % del valor solicitado. Incluye seis líneas que no encajan en los rubros anteriores: publicaciones, eventos, propiedad intelectual, pólizas y administración. La Tabla 8.10 las presenta.</w:t>
      </w:r>
    </w:p>
    <w:p>
      <w:pPr>
        <w:pStyle w:val="TablaRotulo"/>
      </w:pPr>
      <w:bookmarkStart w:id="9311" w:name="rot_Tabla_8_10"/>
      <w:r>
        <w:rPr>
          <w:b/>
          <w:bCs/>
        </w:rPr>
        <w:t xml:space="preserve">Tabla 8.10</w:t>
      </w:r>
      <w:bookmarkEnd w:id="9311"/>
    </w:p>
    <w:p>
      <w:pPr>
        <w:pStyle w:val="TablaTitulo"/>
      </w:pPr>
      <w:r>
        <w:rPr>
          <w:i/>
          <w:iCs/>
        </w:rPr>
        <w:t xml:space="preserve">Presupuesto de otros rubros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28"/>
        <w:gridCol w:w="1254"/>
        <w:gridCol w:w="792"/>
        <w:gridCol w:w="924"/>
        <w:gridCol w:w="990"/>
        <w:gridCol w:w="1188"/>
        <w:gridCol w:w="462"/>
        <w:gridCol w:w="528"/>
        <w:gridCol w:w="1254"/>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Concepto</w:t>
            </w:r>
          </w:p>
        </w:tc>
        <w:tc>
          <w:tcPr>
            <w:shd w:val="clear" w:color="auto" w:fill="00B050"/>
          </w:tcPr>
          <w:p>
            <w:pPr>
              <w:pStyle w:val="Tabla8"/>
              <w:jc w:val="center"/>
            </w:pPr>
            <w:r>
              <w:rPr>
                <w:b/>
                <w:color w:val="FFFFFF"/>
              </w:rPr>
              <w:t xml:space="preserve">Cantidad y unidad</w:t>
            </w:r>
          </w:p>
        </w:tc>
        <w:tc>
          <w:tcPr>
            <w:shd w:val="clear" w:color="auto" w:fill="00B050"/>
          </w:tcPr>
          <w:p>
            <w:pPr>
              <w:pStyle w:val="Tabla8"/>
              <w:jc w:val="center"/>
            </w:pPr>
            <w:r>
              <w:rPr>
                <w:b/>
                <w:color w:val="FFFFFF"/>
              </w:rPr>
              <w:t xml:space="preserve">Costo unitario (COP)</w:t>
            </w:r>
          </w:p>
        </w:tc>
        <w:tc>
          <w:tcPr>
            <w:shd w:val="clear" w:color="auto" w:fill="00B050"/>
          </w:tcPr>
          <w:p>
            <w:pPr>
              <w:pStyle w:val="Tabla8"/>
              <w:jc w:val="center"/>
            </w:pPr>
            <w:r>
              <w:rPr>
                <w:b/>
                <w:color w:val="FFFFFF"/>
              </w:rPr>
              <w:t xml:space="preserve">Total (COP)</w:t>
            </w:r>
          </w:p>
        </w:tc>
        <w:tc>
          <w:tcPr>
            <w:shd w:val="clear" w:color="auto" w:fill="00B050"/>
          </w:tcPr>
          <w:p>
            <w:pPr>
              <w:pStyle w:val="Tabla8"/>
              <w:jc w:val="center"/>
            </w:pPr>
            <w:r>
              <w:rPr>
                <w:b/>
                <w:color w:val="FFFFFF"/>
              </w:rPr>
              <w:t xml:space="preserve">Naturaleza</w:t>
            </w:r>
          </w:p>
        </w:tc>
        <w:tc>
          <w:tcPr>
            <w:shd w:val="clear" w:color="auto" w:fill="00B050"/>
          </w:tcPr>
          <w:p>
            <w:pPr>
              <w:pStyle w:val="Tabla8"/>
              <w:jc w:val="center"/>
            </w:pPr>
            <w:r>
              <w:rPr>
                <w:b/>
                <w:color w:val="FFFFFF"/>
              </w:rPr>
              <w:t xml:space="preserve">WP</w:t>
            </w:r>
          </w:p>
        </w:tc>
        <w:tc>
          <w:tcPr>
            <w:shd w:val="clear" w:color="auto" w:fill="00B050"/>
          </w:tcPr>
          <w:p>
            <w:pPr>
              <w:pStyle w:val="Tabla8"/>
              <w:jc w:val="center"/>
            </w:pPr>
            <w:r>
              <w:rPr>
                <w:b/>
                <w:color w:val="FFFFFF"/>
              </w:rPr>
              <w:t xml:space="preserve">Meses</w:t>
            </w:r>
          </w:p>
        </w:tc>
        <w:tc>
          <w:tcPr>
            <w:shd w:val="clear" w:color="auto" w:fill="00B050"/>
          </w:tcPr>
          <w:p>
            <w:pPr>
              <w:pStyle w:val="Tabla8"/>
              <w:jc w:val="center"/>
            </w:pPr>
            <w:r>
              <w:rPr>
                <w:b/>
                <w:color w:val="FFFFFF"/>
              </w:rPr>
              <w:t xml:space="preserve">Justificación</w:t>
            </w:r>
          </w:p>
        </w:tc>
      </w:tr>
      <w:tr>
        <w:trPr>
          <w:cantSplit/>
        </w:trPr>
        <w:tc>
          <w:tcPr/>
          <w:p>
            <w:pPr>
              <w:pStyle w:val="Tabla8"/>
              <w:jc w:val="left"/>
            </w:pPr>
            <w:r>
              <w:t xml:space="preserve">O01</w:t>
            </w:r>
          </w:p>
        </w:tc>
        <w:tc>
          <w:tcPr/>
          <w:p>
            <w:pPr>
              <w:pStyle w:val="Tabla8"/>
              <w:jc w:val="left"/>
            </w:pPr>
            <w:r>
              <w:t xml:space="preserve">Cargos de procesamiento de artículos de acceso abierto</w:t>
            </w:r>
          </w:p>
        </w:tc>
        <w:tc>
          <w:tcPr/>
          <w:p>
            <w:pPr>
              <w:pStyle w:val="Tabla8"/>
              <w:jc w:val="left"/>
            </w:pPr>
            <w:r>
              <w:t xml:space="preserve">2 artículo</w:t>
            </w:r>
          </w:p>
        </w:tc>
        <w:tc>
          <w:tcPr/>
          <w:p>
            <w:pPr>
              <w:pStyle w:val="Tabla8"/>
              <w:jc w:val="left"/>
            </w:pPr>
            <w:r>
              <w:t xml:space="preserve">$ 12.500.000</w:t>
            </w:r>
          </w:p>
        </w:tc>
        <w:tc>
          <w:tcPr/>
          <w:p>
            <w:pPr>
              <w:pStyle w:val="Tabla8"/>
              <w:jc w:val="left"/>
            </w:pPr>
            <w:r>
              <w:t xml:space="preserve">$ 25.000.000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14–24</w:t>
            </w:r>
          </w:p>
        </w:tc>
        <w:tc>
          <w:tcPr/>
          <w:p>
            <w:pPr>
              <w:pStyle w:val="Tabla8"/>
              <w:jc w:val="left"/>
            </w:pPr>
            <w:r>
              <w:t xml:space="preserve">Dos artículos Q1 o Q2; valor E3 (sin duplicar en servicios).</w:t>
            </w:r>
          </w:p>
        </w:tc>
      </w:tr>
      <w:tr>
        <w:trPr>
          <w:cantSplit/>
        </w:trPr>
        <w:tc>
          <w:tcPr/>
          <w:p>
            <w:pPr>
              <w:pStyle w:val="Tabla8"/>
              <w:jc w:val="left"/>
            </w:pPr>
            <w:r>
              <w:t xml:space="preserve">O02</w:t>
            </w:r>
          </w:p>
        </w:tc>
        <w:tc>
          <w:tcPr/>
          <w:p>
            <w:pPr>
              <w:pStyle w:val="Tabla8"/>
              <w:jc w:val="left"/>
            </w:pPr>
            <w:r>
              <w:t xml:space="preserve">Logística de ferias y laboratorios de apropiación</w:t>
            </w:r>
          </w:p>
        </w:tc>
        <w:tc>
          <w:tcPr/>
          <w:p>
            <w:pPr>
              <w:pStyle w:val="Tabla8"/>
              <w:jc w:val="left"/>
            </w:pPr>
            <w:r>
              <w:t xml:space="preserve">9 evento</w:t>
            </w:r>
          </w:p>
        </w:tc>
        <w:tc>
          <w:tcPr/>
          <w:p>
            <w:pPr>
              <w:pStyle w:val="Tabla8"/>
              <w:jc w:val="left"/>
            </w:pPr>
            <w:r>
              <w:t xml:space="preserve">$ 8.000.000</w:t>
            </w:r>
          </w:p>
        </w:tc>
        <w:tc>
          <w:tcPr/>
          <w:p>
            <w:pPr>
              <w:pStyle w:val="Tabla8"/>
              <w:jc w:val="left"/>
            </w:pPr>
            <w:r>
              <w:t xml:space="preserve">$ 72.000.000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4–24</w:t>
            </w:r>
          </w:p>
        </w:tc>
        <w:tc>
          <w:tcPr/>
          <w:p>
            <w:pPr>
              <w:pStyle w:val="Tabla8"/>
              <w:jc w:val="left"/>
            </w:pPr>
            <w:r>
              <w:t xml:space="preserve">Espacios, pantallas y moderación; valor E3.</w:t>
            </w:r>
          </w:p>
        </w:tc>
      </w:tr>
      <w:tr>
        <w:trPr>
          <w:cantSplit/>
        </w:trPr>
        <w:tc>
          <w:tcPr/>
          <w:p>
            <w:pPr>
              <w:pStyle w:val="Tabla8"/>
              <w:jc w:val="left"/>
            </w:pPr>
            <w:r>
              <w:t xml:space="preserve">O03</w:t>
            </w:r>
          </w:p>
        </w:tc>
        <w:tc>
          <w:tcPr/>
          <w:p>
            <w:pPr>
              <w:pStyle w:val="Tabla8"/>
              <w:jc w:val="left"/>
            </w:pPr>
            <w:r>
              <w:t xml:space="preserve">Registro ante la DNDA y asesoría de propiedad intelectual</w:t>
            </w:r>
          </w:p>
        </w:tc>
        <w:tc>
          <w:tcPr/>
          <w:p>
            <w:pPr>
              <w:pStyle w:val="Tabla8"/>
              <w:jc w:val="left"/>
            </w:pPr>
            <w:r>
              <w:t xml:space="preserve">1 paquete</w:t>
            </w:r>
          </w:p>
        </w:tc>
        <w:tc>
          <w:tcPr/>
          <w:p>
            <w:pPr>
              <w:pStyle w:val="Tabla8"/>
              <w:jc w:val="left"/>
            </w:pPr>
            <w:r>
              <w:t xml:space="preserve">$ 15.000.000</w:t>
            </w:r>
          </w:p>
        </w:tc>
        <w:tc>
          <w:tcPr/>
          <w:p>
            <w:pPr>
              <w:pStyle w:val="Tabla8"/>
              <w:jc w:val="left"/>
            </w:pPr>
            <w:r>
              <w:t xml:space="preserve">$ 15.000.000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12–24</w:t>
            </w:r>
          </w:p>
        </w:tc>
        <w:tc>
          <w:tcPr/>
          <w:p>
            <w:pPr>
              <w:pStyle w:val="Tabla8"/>
              <w:jc w:val="left"/>
            </w:pPr>
            <w:r>
              <w:t xml:space="preserve">Registro del software; valor E3.</w:t>
            </w:r>
          </w:p>
        </w:tc>
      </w:tr>
      <w:tr>
        <w:trPr>
          <w:cantSplit/>
        </w:trPr>
        <w:tc>
          <w:tcPr/>
          <w:p>
            <w:pPr>
              <w:pStyle w:val="Tabla8"/>
              <w:jc w:val="left"/>
            </w:pPr>
            <w:r>
              <w:t xml:space="preserve">O05</w:t>
            </w:r>
          </w:p>
        </w:tc>
        <w:tc>
          <w:tcPr/>
          <w:p>
            <w:pPr>
              <w:pStyle w:val="Tabla8"/>
              <w:jc w:val="left"/>
            </w:pPr>
            <w:r>
              <w:t xml:space="preserve">Administración (revisoría y plataforma de seguimiento)</w:t>
            </w:r>
          </w:p>
        </w:tc>
        <w:tc>
          <w:tcPr/>
          <w:p>
            <w:pPr>
              <w:pStyle w:val="Tabla8"/>
              <w:jc w:val="left"/>
            </w:pPr>
            <w:r>
              <w:t xml:space="preserve">24 mes</w:t>
            </w:r>
          </w:p>
        </w:tc>
        <w:tc>
          <w:tcPr/>
          <w:p>
            <w:pPr>
              <w:pStyle w:val="Tabla8"/>
              <w:jc w:val="left"/>
            </w:pPr>
            <w:r>
              <w:t xml:space="preserve">$ 15.000.000</w:t>
            </w:r>
          </w:p>
        </w:tc>
        <w:tc>
          <w:tcPr/>
          <w:p>
            <w:pPr>
              <w:pStyle w:val="Tabla8"/>
              <w:jc w:val="left"/>
            </w:pPr>
            <w:r>
              <w:t xml:space="preserve">$ 360.000.000</w:t>
            </w:r>
          </w:p>
        </w:tc>
        <w:tc>
          <w:tcPr/>
          <w:p>
            <w:pPr>
              <w:pStyle w:val="Tabla8"/>
              <w:jc w:val="left"/>
            </w:pPr>
            <w:r>
              <w:t xml:space="preserve">DECLARADO</w:t>
            </w:r>
          </w:p>
        </w:tc>
        <w:tc>
          <w:tcPr/>
          <w:p>
            <w:pPr>
              <w:pStyle w:val="Tabla8"/>
              <w:jc w:val="left"/>
            </w:pPr>
            <w:r>
              <w:t xml:space="preserve">WP0</w:t>
            </w:r>
          </w:p>
        </w:tc>
        <w:tc>
          <w:tcPr/>
          <w:p>
            <w:pPr>
              <w:pStyle w:val="Tabla8"/>
              <w:jc w:val="left"/>
            </w:pPr>
            <w:r>
              <w:t xml:space="preserve">1–24</w:t>
            </w:r>
          </w:p>
        </w:tc>
        <w:tc>
          <w:tcPr/>
          <w:p>
            <w:pPr>
              <w:pStyle w:val="Tabla8"/>
              <w:jc w:val="left"/>
            </w:pPr>
            <w:r>
              <w:t xml:space="preserve">Valor E3; el tope porcentual de administración no se verificó.</w:t>
            </w:r>
          </w:p>
        </w:tc>
      </w:tr>
      <w:tr>
        <w:trPr>
          <w:cantSplit/>
        </w:trPr>
        <w:tc>
          <w:tcPr/>
          <w:p>
            <w:pPr>
              <w:pStyle w:val="Tabla8"/>
              <w:jc w:val="left"/>
            </w:pPr>
            <w:r>
              <w:t xml:space="preserve">O06</w:t>
            </w:r>
          </w:p>
        </w:tc>
        <w:tc>
          <w:tcPr/>
          <w:p>
            <w:pPr>
              <w:pStyle w:val="Tabla8"/>
              <w:jc w:val="left"/>
            </w:pPr>
            <w:r>
              <w:t xml:space="preserve">Publicaciones de divulgación y eventos de socialización</w:t>
            </w:r>
          </w:p>
        </w:tc>
        <w:tc>
          <w:tcPr/>
          <w:p>
            <w:pPr>
              <w:pStyle w:val="Tabla8"/>
              <w:jc w:val="left"/>
            </w:pPr>
            <w:r>
              <w:t xml:space="preserve">1 paquete</w:t>
            </w:r>
          </w:p>
        </w:tc>
        <w:tc>
          <w:tcPr/>
          <w:p>
            <w:pPr>
              <w:pStyle w:val="Tabla8"/>
              <w:jc w:val="left"/>
            </w:pPr>
            <w:r>
              <w:t xml:space="preserve">$ 60.000.000</w:t>
            </w:r>
          </w:p>
        </w:tc>
        <w:tc>
          <w:tcPr/>
          <w:p>
            <w:pPr>
              <w:pStyle w:val="Tabla8"/>
              <w:jc w:val="left"/>
            </w:pPr>
            <w:r>
              <w:t xml:space="preserve">$ 60.000.000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6–24</w:t>
            </w:r>
          </w:p>
        </w:tc>
        <w:tc>
          <w:tcPr/>
          <w:p>
            <w:pPr>
              <w:pStyle w:val="Tabla8"/>
              <w:jc w:val="left"/>
            </w:pPr>
            <w:r>
              <w:t xml:space="preserve">Piezas audiovisuales y jornadas de cierre.</w:t>
            </w:r>
          </w:p>
        </w:tc>
      </w:tr>
      <w:tr>
        <w:trPr>
          <w:cantSplit/>
        </w:trPr>
        <w:tc>
          <w:tcPr/>
          <w:p>
            <w:pPr>
              <w:pStyle w:val="Tabla8"/>
              <w:jc w:val="left"/>
            </w:pPr>
            <w:r>
              <w:t xml:space="preserve">Total</w:t>
            </w:r>
          </w:p>
        </w:tc>
        <w:tc>
          <w:tcPr/>
          <w:p>
            <w:pPr>
              <w:pStyle w:val="Tabla8"/>
              <w:jc w:val="left"/>
            </w:pPr>
            <w:r>
              <w:t xml:space="preserve">Subtotal de otros rubros</w:t>
            </w:r>
          </w:p>
        </w:tc>
        <w:tc>
          <w:tcPr/>
          <w:p>
            <w:pPr>
              <w:pStyle w:val="Tabla8"/>
            </w:pPr>
          </w:p>
        </w:tc>
        <w:tc>
          <w:tcPr/>
          <w:p>
            <w:pPr>
              <w:pStyle w:val="Tabla8"/>
            </w:pPr>
          </w:p>
        </w:tc>
        <w:tc>
          <w:tcPr/>
          <w:p>
            <w:pPr>
              <w:pStyle w:val="Tabla8"/>
              <w:jc w:val="left"/>
            </w:pPr>
            <w:r>
              <w:t xml:space="preserve">$ 532.000.000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6,1 %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 administración suma 360.000.000 COP, que equivalen a 4,1 % del valor solicitado. El expediente revisado declaraba un tope porcentual de 5 %, que no se verificó. Si el tope existe y se mantiene, el proyecto queda por debajo. Si los términos de referencia fijan un tope menor, la línea O05 debe recalcularse. Los seguros y las garantías del proyecto no se financian con el SGR, porque la convocatoria excluye los seguros. Los asume la entidad ejecutora. La Ley 2056 de 2020 regula la organización y el funcionamiento del SGR (Congreso de la República, 2020).</w:t>
      </w:r>
    </w:p>
    <w:p>
      <w:pPr>
        <w:pStyle w:val="BodyText"/>
      </w:pPr>
      <w:r>
        <w:t xml:space="preserve">Las líneas O01, O03 y O06 apoyan la propiedad intelectual y la divulgación. Teece (1986) argumenta que el valor de una innovación depende de los activos complementarios y de los regímenes de apropiación. El registro del software ante la Dirección Nacional de Derecho de Autor (15.000.000 COP) protege el modelo de corrección y el gemelo digital. El acceso abierto de los artículos (25.000.000 COP) difunde el protocolo de calibración. Esa combinación es deliberada. Protege el software que la entidad ejecutora debe sostener y abre el conocimiento que otras redes pueden reutilizar.</w:t>
      </w:r>
    </w:p>
    <w:bookmarkEnd w:id="513"/>
    <w:bookmarkStart w:id="520" w:name="_Toc00900211"/>
    <w:p>
      <w:pPr>
        <w:pStyle w:val="Heading2"/>
      </w:pPr>
      <w:r>
        <w:t xml:space="preserve">8.8 Flujo de Caja</w:t>
      </w:r>
    </w:p>
    <w:p>
      <w:pPr>
        <w:pStyle w:val="FirstParagraph"/>
      </w:pPr>
      <w:r>
        <w:t xml:space="preserve">El flujo de caja distribuye el presupuesto en el tiempo según el calendario de cada línea. Las líneas de personal y de servicios se reparten de forma uniforme entre su mes inicial y su mes final. Las compras de nodos, cabezales y gateways se concentran en los meses 5, 13 y 18, que corresponden a los tres tramos. La Tabla 8.11 presenta el flujo por trimestre y la Figura 8.2 muestra la ejecución acumulada.</w:t>
      </w:r>
    </w:p>
    <w:p>
      <w:pPr>
        <w:pStyle w:val="TablaRotulo"/>
      </w:pPr>
      <w:bookmarkStart w:id="9312" w:name="rot_Tabla_8_11"/>
      <w:r>
        <w:rPr>
          <w:b/>
          <w:bCs/>
        </w:rPr>
        <w:t xml:space="preserve">Tabla 8.11</w:t>
      </w:r>
      <w:bookmarkEnd w:id="9312"/>
    </w:p>
    <w:p>
      <w:pPr>
        <w:pStyle w:val="TablaTitulo"/>
      </w:pPr>
      <w:r>
        <w:rPr>
          <w:i/>
          <w:iCs/>
        </w:rPr>
        <w:t xml:space="preserve">Flujo de caja trimestral del SGR y de la contrapartida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70"/>
        <w:gridCol w:w="1440"/>
        <w:gridCol w:w="2029"/>
        <w:gridCol w:w="1505"/>
        <w:gridCol w:w="1374"/>
      </w:tblGrid>
      <w:tr>
        <w:trPr>
          <w:cantSplit/>
          <w:tblHeader/>
        </w:trPr>
        <w:tc>
          <w:tcPr>
            <w:shd w:val="clear" w:color="auto" w:fill="00B050"/>
          </w:tcPr>
          <w:p>
            <w:pPr>
              <w:pStyle w:val="Tabla9"/>
              <w:jc w:val="center"/>
            </w:pPr>
            <w:r>
              <w:rPr>
                <w:b/>
                <w:color w:val="FFFFFF"/>
              </w:rPr>
              <w:t xml:space="preserve">Trimestre</w:t>
            </w:r>
          </w:p>
        </w:tc>
        <w:tc>
          <w:tcPr>
            <w:shd w:val="clear" w:color="auto" w:fill="00B050"/>
          </w:tcPr>
          <w:p>
            <w:pPr>
              <w:pStyle w:val="Tabla9"/>
              <w:jc w:val="center"/>
            </w:pPr>
            <w:r>
              <w:rPr>
                <w:b/>
                <w:color w:val="FFFFFF"/>
              </w:rPr>
              <w:t xml:space="preserve">SGR (millones de COP)</w:t>
            </w:r>
          </w:p>
        </w:tc>
        <w:tc>
          <w:tcPr>
            <w:shd w:val="clear" w:color="auto" w:fill="00B050"/>
          </w:tcPr>
          <w:p>
            <w:pPr>
              <w:pStyle w:val="Tabla9"/>
              <w:jc w:val="center"/>
            </w:pPr>
            <w:r>
              <w:rPr>
                <w:b/>
                <w:color w:val="FFFFFF"/>
              </w:rPr>
              <w:t xml:space="preserve">Contrapartida (millones de COP)</w:t>
            </w:r>
          </w:p>
        </w:tc>
        <w:tc>
          <w:tcPr>
            <w:shd w:val="clear" w:color="auto" w:fill="00B050"/>
          </w:tcPr>
          <w:p>
            <w:pPr>
              <w:pStyle w:val="Tabla9"/>
              <w:jc w:val="center"/>
            </w:pPr>
            <w:r>
              <w:rPr>
                <w:b/>
                <w:color w:val="FFFFFF"/>
              </w:rPr>
              <w:t xml:space="preserve">Total (millones de COP)</w:t>
            </w:r>
          </w:p>
        </w:tc>
        <w:tc>
          <w:tcPr>
            <w:shd w:val="clear" w:color="auto" w:fill="00B050"/>
          </w:tcPr>
          <w:p>
            <w:pPr>
              <w:pStyle w:val="Tabla9"/>
              <w:jc w:val="center"/>
            </w:pPr>
            <w:r>
              <w:rPr>
                <w:b/>
                <w:color w:val="FFFFFF"/>
              </w:rPr>
              <w:t xml:space="preserve">SGR acumulado</w:t>
            </w:r>
          </w:p>
        </w:tc>
      </w:tr>
      <w:tr>
        <w:trPr>
          <w:cantSplit/>
        </w:trPr>
        <w:tc>
          <w:tcPr/>
          <w:p>
            <w:pPr>
              <w:pStyle w:val="Tabla9"/>
              <w:jc w:val="left"/>
            </w:pPr>
            <w:r>
              <w:t xml:space="preserve">T1 (meses 1 a 3)</w:t>
            </w:r>
          </w:p>
        </w:tc>
        <w:tc>
          <w:tcPr/>
          <w:p>
            <w:pPr>
              <w:pStyle w:val="Tabla9"/>
              <w:jc w:val="left"/>
            </w:pPr>
            <w:r>
              <w:t xml:space="preserve">983,3</w:t>
            </w:r>
          </w:p>
        </w:tc>
        <w:tc>
          <w:tcPr/>
          <w:p>
            <w:pPr>
              <w:pStyle w:val="Tabla9"/>
              <w:jc w:val="left"/>
            </w:pPr>
            <w:r>
              <w:t xml:space="preserve">263,7</w:t>
            </w:r>
          </w:p>
        </w:tc>
        <w:tc>
          <w:tcPr/>
          <w:p>
            <w:pPr>
              <w:pStyle w:val="Tabla9"/>
              <w:jc w:val="left"/>
            </w:pPr>
            <w:r>
              <w:t xml:space="preserve">1.247,0</w:t>
            </w:r>
          </w:p>
        </w:tc>
        <w:tc>
          <w:tcPr/>
          <w:p>
            <w:pPr>
              <w:pStyle w:val="Tabla9"/>
              <w:jc w:val="left"/>
            </w:pPr>
            <w:r>
              <w:t xml:space="preserve">11,3 %</w:t>
            </w:r>
          </w:p>
        </w:tc>
      </w:tr>
      <w:tr>
        <w:trPr>
          <w:cantSplit/>
        </w:trPr>
        <w:tc>
          <w:tcPr/>
          <w:p>
            <w:pPr>
              <w:pStyle w:val="Tabla9"/>
              <w:jc w:val="left"/>
            </w:pPr>
            <w:r>
              <w:t xml:space="preserve">T2 (meses 4 a 6)</w:t>
            </w:r>
          </w:p>
        </w:tc>
        <w:tc>
          <w:tcPr/>
          <w:p>
            <w:pPr>
              <w:pStyle w:val="Tabla9"/>
              <w:jc w:val="left"/>
            </w:pPr>
            <w:r>
              <w:t xml:space="preserve">1.574,7</w:t>
            </w:r>
          </w:p>
        </w:tc>
        <w:tc>
          <w:tcPr/>
          <w:p>
            <w:pPr>
              <w:pStyle w:val="Tabla9"/>
              <w:jc w:val="left"/>
            </w:pPr>
            <w:r>
              <w:t xml:space="preserve">263,7</w:t>
            </w:r>
          </w:p>
        </w:tc>
        <w:tc>
          <w:tcPr/>
          <w:p>
            <w:pPr>
              <w:pStyle w:val="Tabla9"/>
              <w:jc w:val="left"/>
            </w:pPr>
            <w:r>
              <w:t xml:space="preserve">1.838,4</w:t>
            </w:r>
          </w:p>
        </w:tc>
        <w:tc>
          <w:tcPr/>
          <w:p>
            <w:pPr>
              <w:pStyle w:val="Tabla9"/>
              <w:jc w:val="left"/>
            </w:pPr>
            <w:r>
              <w:t xml:space="preserve">29,3 %</w:t>
            </w:r>
          </w:p>
        </w:tc>
      </w:tr>
      <w:tr>
        <w:trPr>
          <w:cantSplit/>
        </w:trPr>
        <w:tc>
          <w:tcPr/>
          <w:p>
            <w:pPr>
              <w:pStyle w:val="Tabla9"/>
              <w:jc w:val="left"/>
            </w:pPr>
            <w:r>
              <w:t xml:space="preserve">T3 (meses 7 a 9)</w:t>
            </w:r>
          </w:p>
        </w:tc>
        <w:tc>
          <w:tcPr/>
          <w:p>
            <w:pPr>
              <w:pStyle w:val="Tabla9"/>
              <w:jc w:val="left"/>
            </w:pPr>
            <w:r>
              <w:t xml:space="preserve">896,3</w:t>
            </w:r>
          </w:p>
        </w:tc>
        <w:tc>
          <w:tcPr/>
          <w:p>
            <w:pPr>
              <w:pStyle w:val="Tabla9"/>
              <w:jc w:val="left"/>
            </w:pPr>
            <w:r>
              <w:t xml:space="preserve">263,7</w:t>
            </w:r>
          </w:p>
        </w:tc>
        <w:tc>
          <w:tcPr/>
          <w:p>
            <w:pPr>
              <w:pStyle w:val="Tabla9"/>
              <w:jc w:val="left"/>
            </w:pPr>
            <w:r>
              <w:t xml:space="preserve">1.160,0</w:t>
            </w:r>
          </w:p>
        </w:tc>
        <w:tc>
          <w:tcPr/>
          <w:p>
            <w:pPr>
              <w:pStyle w:val="Tabla9"/>
              <w:jc w:val="left"/>
            </w:pPr>
            <w:r>
              <w:t xml:space="preserve">39,6 %</w:t>
            </w:r>
          </w:p>
        </w:tc>
      </w:tr>
      <w:tr>
        <w:trPr>
          <w:cantSplit/>
        </w:trPr>
        <w:tc>
          <w:tcPr/>
          <w:p>
            <w:pPr>
              <w:pStyle w:val="Tabla9"/>
              <w:jc w:val="left"/>
            </w:pPr>
            <w:r>
              <w:t xml:space="preserve">T4 (meses 10 a 12)</w:t>
            </w:r>
          </w:p>
        </w:tc>
        <w:tc>
          <w:tcPr/>
          <w:p>
            <w:pPr>
              <w:pStyle w:val="Tabla9"/>
              <w:jc w:val="left"/>
            </w:pPr>
            <w:r>
              <w:t xml:space="preserve">908,4</w:t>
            </w:r>
          </w:p>
        </w:tc>
        <w:tc>
          <w:tcPr/>
          <w:p>
            <w:pPr>
              <w:pStyle w:val="Tabla9"/>
              <w:jc w:val="left"/>
            </w:pPr>
            <w:r>
              <w:t xml:space="preserve">263,7</w:t>
            </w:r>
          </w:p>
        </w:tc>
        <w:tc>
          <w:tcPr/>
          <w:p>
            <w:pPr>
              <w:pStyle w:val="Tabla9"/>
              <w:jc w:val="left"/>
            </w:pPr>
            <w:r>
              <w:t xml:space="preserve">1.172,2</w:t>
            </w:r>
          </w:p>
        </w:tc>
        <w:tc>
          <w:tcPr/>
          <w:p>
            <w:pPr>
              <w:pStyle w:val="Tabla9"/>
              <w:jc w:val="left"/>
            </w:pPr>
            <w:r>
              <w:t xml:space="preserve">50,0 %</w:t>
            </w:r>
          </w:p>
        </w:tc>
      </w:tr>
      <w:tr>
        <w:trPr>
          <w:cantSplit/>
        </w:trPr>
        <w:tc>
          <w:tcPr/>
          <w:p>
            <w:pPr>
              <w:pStyle w:val="Tabla9"/>
              <w:jc w:val="left"/>
            </w:pPr>
            <w:r>
              <w:t xml:space="preserve">T5 (meses 13 a 15)</w:t>
            </w:r>
          </w:p>
        </w:tc>
        <w:tc>
          <w:tcPr/>
          <w:p>
            <w:pPr>
              <w:pStyle w:val="Tabla9"/>
              <w:jc w:val="left"/>
            </w:pPr>
            <w:r>
              <w:t xml:space="preserve">1.287,9</w:t>
            </w:r>
          </w:p>
        </w:tc>
        <w:tc>
          <w:tcPr/>
          <w:p>
            <w:pPr>
              <w:pStyle w:val="Tabla9"/>
              <w:jc w:val="left"/>
            </w:pPr>
            <w:r>
              <w:t xml:space="preserve">263,7</w:t>
            </w:r>
          </w:p>
        </w:tc>
        <w:tc>
          <w:tcPr/>
          <w:p>
            <w:pPr>
              <w:pStyle w:val="Tabla9"/>
              <w:jc w:val="left"/>
            </w:pPr>
            <w:r>
              <w:t xml:space="preserve">1.551,7</w:t>
            </w:r>
          </w:p>
        </w:tc>
        <w:tc>
          <w:tcPr/>
          <w:p>
            <w:pPr>
              <w:pStyle w:val="Tabla9"/>
              <w:jc w:val="left"/>
            </w:pPr>
            <w:r>
              <w:t xml:space="preserve">64,7 %</w:t>
            </w:r>
          </w:p>
        </w:tc>
      </w:tr>
      <w:tr>
        <w:trPr>
          <w:cantSplit/>
        </w:trPr>
        <w:tc>
          <w:tcPr/>
          <w:p>
            <w:pPr>
              <w:pStyle w:val="Tabla9"/>
              <w:jc w:val="left"/>
            </w:pPr>
            <w:r>
              <w:t xml:space="preserve">T6 (meses 16 a 18)</w:t>
            </w:r>
          </w:p>
        </w:tc>
        <w:tc>
          <w:tcPr/>
          <w:p>
            <w:pPr>
              <w:pStyle w:val="Tabla9"/>
              <w:jc w:val="left"/>
            </w:pPr>
            <w:r>
              <w:t xml:space="preserve">1.209,3</w:t>
            </w:r>
          </w:p>
        </w:tc>
        <w:tc>
          <w:tcPr/>
          <w:p>
            <w:pPr>
              <w:pStyle w:val="Tabla9"/>
              <w:jc w:val="left"/>
            </w:pPr>
            <w:r>
              <w:t xml:space="preserve">263,7</w:t>
            </w:r>
          </w:p>
        </w:tc>
        <w:tc>
          <w:tcPr/>
          <w:p>
            <w:pPr>
              <w:pStyle w:val="Tabla9"/>
              <w:jc w:val="left"/>
            </w:pPr>
            <w:r>
              <w:t xml:space="preserve">1.473,1</w:t>
            </w:r>
          </w:p>
        </w:tc>
        <w:tc>
          <w:tcPr/>
          <w:p>
            <w:pPr>
              <w:pStyle w:val="Tabla9"/>
              <w:jc w:val="left"/>
            </w:pPr>
            <w:r>
              <w:t xml:space="preserve">78,6 %</w:t>
            </w:r>
          </w:p>
        </w:tc>
      </w:tr>
      <w:tr>
        <w:trPr>
          <w:cantSplit/>
        </w:trPr>
        <w:tc>
          <w:tcPr/>
          <w:p>
            <w:pPr>
              <w:pStyle w:val="Tabla9"/>
              <w:jc w:val="left"/>
            </w:pPr>
            <w:r>
              <w:t xml:space="preserve">T7 (meses 19 a 21)</w:t>
            </w:r>
          </w:p>
        </w:tc>
        <w:tc>
          <w:tcPr/>
          <w:p>
            <w:pPr>
              <w:pStyle w:val="Tabla9"/>
              <w:jc w:val="left"/>
            </w:pPr>
            <w:r>
              <w:t xml:space="preserve">926,0</w:t>
            </w:r>
          </w:p>
        </w:tc>
        <w:tc>
          <w:tcPr/>
          <w:p>
            <w:pPr>
              <w:pStyle w:val="Tabla9"/>
              <w:jc w:val="left"/>
            </w:pPr>
            <w:r>
              <w:t xml:space="preserve">263,7</w:t>
            </w:r>
          </w:p>
        </w:tc>
        <w:tc>
          <w:tcPr/>
          <w:p>
            <w:pPr>
              <w:pStyle w:val="Tabla9"/>
              <w:jc w:val="left"/>
            </w:pPr>
            <w:r>
              <w:t xml:space="preserve">1.189,7</w:t>
            </w:r>
          </w:p>
        </w:tc>
        <w:tc>
          <w:tcPr/>
          <w:p>
            <w:pPr>
              <w:pStyle w:val="Tabla9"/>
              <w:jc w:val="left"/>
            </w:pPr>
            <w:r>
              <w:t xml:space="preserve">89,2 %</w:t>
            </w:r>
          </w:p>
        </w:tc>
      </w:tr>
      <w:tr>
        <w:trPr>
          <w:cantSplit/>
        </w:trPr>
        <w:tc>
          <w:tcPr/>
          <w:p>
            <w:pPr>
              <w:pStyle w:val="Tabla9"/>
              <w:jc w:val="left"/>
            </w:pPr>
            <w:r>
              <w:t xml:space="preserve">T8 (meses 22 a 24)</w:t>
            </w:r>
          </w:p>
        </w:tc>
        <w:tc>
          <w:tcPr/>
          <w:p>
            <w:pPr>
              <w:pStyle w:val="Tabla9"/>
              <w:jc w:val="left"/>
            </w:pPr>
            <w:r>
              <w:t xml:space="preserve">944,0</w:t>
            </w:r>
          </w:p>
        </w:tc>
        <w:tc>
          <w:tcPr/>
          <w:p>
            <w:pPr>
              <w:pStyle w:val="Tabla9"/>
              <w:jc w:val="left"/>
            </w:pPr>
            <w:r>
              <w:t xml:space="preserve">263,7</w:t>
            </w:r>
          </w:p>
        </w:tc>
        <w:tc>
          <w:tcPr/>
          <w:p>
            <w:pPr>
              <w:pStyle w:val="Tabla9"/>
              <w:jc w:val="left"/>
            </w:pPr>
            <w:r>
              <w:t xml:space="preserve">1.207,7</w:t>
            </w:r>
          </w:p>
        </w:tc>
        <w:tc>
          <w:tcPr/>
          <w:p>
            <w:pPr>
              <w:pStyle w:val="Tabla9"/>
              <w:jc w:val="left"/>
            </w:pPr>
            <w:r>
              <w:t xml:space="preserve">100,0 %</w:t>
            </w:r>
          </w:p>
        </w:tc>
      </w:tr>
      <w:tr>
        <w:trPr>
          <w:cantSplit/>
        </w:trPr>
        <w:tc>
          <w:tcPr/>
          <w:p>
            <w:pPr>
              <w:pStyle w:val="Tabla9"/>
              <w:jc w:val="left"/>
            </w:pPr>
            <w:r>
              <w:t xml:space="preserve">Total</w:t>
            </w:r>
          </w:p>
        </w:tc>
        <w:tc>
          <w:tcPr/>
          <w:p>
            <w:pPr>
              <w:pStyle w:val="Tabla9"/>
              <w:jc w:val="left"/>
            </w:pPr>
            <w:r>
              <w:t xml:space="preserve">8.729,8</w:t>
            </w:r>
          </w:p>
        </w:tc>
        <w:tc>
          <w:tcPr/>
          <w:p>
            <w:pPr>
              <w:pStyle w:val="Tabla9"/>
              <w:jc w:val="left"/>
            </w:pPr>
            <w:r>
              <w:t xml:space="preserve">2.110,0</w:t>
            </w:r>
          </w:p>
        </w:tc>
        <w:tc>
          <w:tcPr/>
          <w:p>
            <w:pPr>
              <w:pStyle w:val="Tabla9"/>
              <w:jc w:val="left"/>
            </w:pPr>
            <w:r>
              <w:t xml:space="preserve">10.839,8</w:t>
            </w:r>
          </w:p>
        </w:tc>
        <w:tc>
          <w:tcPr/>
          <w:p>
            <w:pPr>
              <w:pStyle w:val="Tabla9"/>
              <w:jc w:val="left"/>
            </w:pPr>
            <w:r>
              <w:t xml:space="preserve">100,0 %</w:t>
            </w:r>
          </w:p>
        </w:tc>
      </w:tr>
    </w:tbl>
    <w:p>
      <w:pPr>
        <w:pStyle w:val="TablaNota"/>
      </w:pPr>
      <w:r>
        <w:rPr>
          <w:i/>
          <w:iCs/>
        </w:rPr>
        <w:t xml:space="preserve">Nota.</w:t>
      </w:r>
      <w:r>
        <w:t xml:space="preserve"> </w:t>
      </w:r>
      <w:r>
        <w:t xml:space="preserve">Elaboración propia con datos de maestro.py (flujo_sgr y flujo_contra). La contrapartida se distribuye de forma uniforme en 24 meses. El flujo semestral del SGR es 2.557,9; 1.804,7; 2.497,2 y 1.869,9 millones de COP. Naturaleza: CALCULADO. Decimales con coma.</w:t>
      </w:r>
    </w:p>
    <w:p>
      <w:pPr>
        <w:pStyle w:val="FiguraRotulo"/>
      </w:pPr>
      <w:bookmarkStart w:id="9522" w:name="rot_Figura_8_2"/>
      <w:r>
        <w:rPr>
          <w:b/>
          <w:bCs/>
        </w:rPr>
        <w:t xml:space="preserve">Figura 8.2</w:t>
      </w:r>
      <w:bookmarkEnd w:id="9522"/>
    </w:p>
    <w:p>
      <w:pPr>
        <w:pStyle w:val="FiguraTitulo"/>
      </w:pPr>
      <w:r>
        <w:rPr>
          <w:i/>
          <w:iCs/>
        </w:rPr>
        <w:t xml:space="preserve">El SGR se ejecuta 49,9 % hasta la compuerta C1 y 71,5 % hasta C2</w:t>
      </w:r>
    </w:p>
    <w:p>
      <w:pPr>
        <w:pStyle w:val="BodyText"/>
      </w:pPr>
      <w:r>
        <w:drawing>
          <wp:inline>
            <wp:extent cx="5579999" cy="3489115"/>
            <wp:effectExtent b="0" l="0" r="0" t="0"/>
            <wp:docPr descr="" title="" id="515" name="Picture"/>
            <a:graphic>
              <a:graphicData uri="http://schemas.openxmlformats.org/drawingml/2006/picture">
                <pic:pic>
                  <pic:nvPicPr>
                    <pic:cNvPr descr="/tmp/claude-0/-home-user-docs/ddf38714-2a7e-502b-92b4-1008e2832422/scratchpad/proy/figs/out/c8_f02.png" id="516" name="Picture"/>
                    <pic:cNvPicPr>
                      <a:picLocks noChangeArrowheads="1" noChangeAspect="1"/>
                    </pic:cNvPicPr>
                  </pic:nvPicPr>
                  <pic:blipFill>
                    <a:blip r:embed="rId514"/>
                    <a:stretch>
                      <a:fillRect/>
                    </a:stretch>
                  </pic:blipFill>
                  <pic:spPr bwMode="auto">
                    <a:xfrm>
                      <a:off x="0" y="0"/>
                      <a:ext cx="5579999" cy="34891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(flujo_sgr y flujo_contra). Ejecución acumulada mensual en porcentaje del valor de cada fuente; líneas verticales: compuertas C1 (mes 12) y C2 (mes 17). Python 3 y matplotlib; script c8_figs.py; sin semilla; corte del 13 de octubre de 2026.</w:t>
      </w:r>
    </w:p>
    <w:p>
      <w:pPr>
        <w:pStyle w:val="BodyText"/>
      </w:pPr>
      <w:r>
        <w:t xml:space="preserve">La curva de ejecución del SGR alcanza 49,9 % en el mes 12 y 71,5 % en el mes 17. La compra del tramo 2 en el mes 13 produce un salto de 7,6 puntos porcentuales. La del tramo 3 en el mes 18 produce un salto de 6,8 puntos. La contrapartida avanza de forma lineal. El desembolso concentra por tanto casi la mitad de los recursos antes de la primera compuerta de decisión. Esa concentración proviene de personal y servicios iniciales, que no dependen de las compuertas, y de la compra del tramo 1.</w:t>
      </w:r>
    </w:p>
    <w:p>
      <w:pPr>
        <w:pStyle w:val="BodyText"/>
      </w:pPr>
      <w:r>
        <w:t xml:space="preserve">La Figura 8.3 presenta el desembolso mensual del SGR por grupo de rubros. Los tres picos de los meses 5, 13 y 18 alcanzan 777,4; 707,6 y 630,1 millones de COP. Corresponden a las compras de cada tramo. El resto de los meses oscila entre 320 y 460 millones, con un núcleo estable de personal. La tabla de desembolsos condicionados fija qué sucede con cada pico si una compuerta no se aprueba.</w:t>
      </w:r>
    </w:p>
    <w:p>
      <w:pPr>
        <w:pStyle w:val="FiguraRotulo"/>
      </w:pPr>
      <w:bookmarkStart w:id="9523" w:name="rot_Figura_8_3"/>
      <w:r>
        <w:rPr>
          <w:b/>
          <w:bCs/>
        </w:rPr>
        <w:t xml:space="preserve">Figura 8.3</w:t>
      </w:r>
      <w:bookmarkEnd w:id="9523"/>
    </w:p>
    <w:p>
      <w:pPr>
        <w:pStyle w:val="FiguraTitulo"/>
      </w:pPr>
      <w:r>
        <w:rPr>
          <w:i/>
          <w:iCs/>
        </w:rPr>
        <w:t xml:space="preserve">Tres picos de desembolso coinciden con las compras de los tramos 1, 2 y 3 (meses 5, 13 y 18)</w:t>
      </w:r>
    </w:p>
    <w:p>
      <w:pPr>
        <w:pStyle w:val="BodyText"/>
      </w:pPr>
      <w:r>
        <w:drawing>
          <wp:inline>
            <wp:extent cx="5579999" cy="3224429"/>
            <wp:effectExtent b="0" l="0" r="0" t="0"/>
            <wp:docPr descr="" title="" id="518" name="Picture"/>
            <a:graphic>
              <a:graphicData uri="http://schemas.openxmlformats.org/drawingml/2006/picture">
                <pic:pic>
                  <pic:nvPicPr>
                    <pic:cNvPr descr="/tmp/claude-0/-home-user-docs/ddf38714-2a7e-502b-92b4-1008e2832422/scratchpad/proy/figs/out/c8_f03.png" id="519" name="Picture"/>
                    <pic:cNvPicPr>
                      <a:picLocks noChangeArrowheads="1" noChangeAspect="1"/>
                    </pic:cNvPicPr>
                  </pic:nvPicPr>
                  <pic:blipFill>
                    <a:blip r:embed="rId517"/>
                    <a:stretch>
                      <a:fillRect/>
                    </a:stretch>
                  </pic:blipFill>
                  <pic:spPr bwMode="auto">
                    <a:xfrm>
                      <a:off x="0" y="0"/>
                      <a:ext cx="5579999" cy="322442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(flujo_sgr). Desembolso mensual del SGR por grupo de rubros, en millones de COP; trama y etiqueta directa en los picos. Python 3 y matplotlib; script c8_figs.py; sin semilla; corte del 13 de octubre de 2026.</w:t>
      </w:r>
    </w:p>
    <w:p>
      <w:pPr>
        <w:pStyle w:val="BodyText"/>
      </w:pPr>
      <w:r>
        <w:t xml:space="preserve">La Tabla 8.12 traduce el flujo en hitos de desembolso. Cada hito indica el mes, el valor acumulado liberado y la condición de liberación. El financiador define el esquema real de desembolsos, que los términos de referencia no precisan [DATO_USUARIO: esquema de desembolsos del financiador].</w:t>
      </w:r>
    </w:p>
    <w:p>
      <w:pPr>
        <w:pStyle w:val="TablaRotulo"/>
      </w:pPr>
      <w:bookmarkStart w:id="9313" w:name="rot_Tabla_8_12"/>
      <w:r>
        <w:rPr>
          <w:b/>
          <w:bCs/>
        </w:rPr>
        <w:t xml:space="preserve">Tabla 8.12</w:t>
      </w:r>
      <w:bookmarkEnd w:id="9313"/>
    </w:p>
    <w:p>
      <w:pPr>
        <w:pStyle w:val="TablaTitulo"/>
      </w:pPr>
      <w:r>
        <w:rPr>
          <w:i/>
          <w:iCs/>
        </w:rPr>
        <w:t xml:space="preserve">Hitos de desembolso del SGR y condición de liberación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14"/>
        <w:gridCol w:w="594"/>
        <w:gridCol w:w="1452"/>
        <w:gridCol w:w="1518"/>
        <w:gridCol w:w="2442"/>
      </w:tblGrid>
      <w:tr>
        <w:trPr>
          <w:cantSplit/>
          <w:tblHeader/>
        </w:trPr>
        <w:tc>
          <w:tcPr>
            <w:shd w:val="clear" w:color="auto" w:fill="00B050"/>
          </w:tcPr>
          <w:p>
            <w:pPr>
              <w:pStyle w:val="Tabla9"/>
              <w:jc w:val="center"/>
            </w:pPr>
            <w:r>
              <w:rPr>
                <w:b/>
                <w:color w:val="FFFFFF"/>
              </w:rPr>
              <w:t xml:space="preserve">Hito de desembolso</w:t>
            </w:r>
          </w:p>
        </w:tc>
        <w:tc>
          <w:tcPr>
            <w:shd w:val="clear" w:color="auto" w:fill="00B050"/>
          </w:tcPr>
          <w:p>
            <w:pPr>
              <w:pStyle w:val="Tabla9"/>
              <w:jc w:val="center"/>
            </w:pPr>
            <w:r>
              <w:rPr>
                <w:b/>
                <w:color w:val="FFFFFF"/>
              </w:rPr>
              <w:t xml:space="preserve">Mes</w:t>
            </w:r>
          </w:p>
        </w:tc>
        <w:tc>
          <w:tcPr>
            <w:shd w:val="clear" w:color="auto" w:fill="00B050"/>
          </w:tcPr>
          <w:p>
            <w:pPr>
              <w:pStyle w:val="Tabla9"/>
              <w:jc w:val="center"/>
            </w:pPr>
            <w:r>
              <w:rPr>
                <w:b/>
                <w:color w:val="FFFFFF"/>
              </w:rPr>
              <w:t xml:space="preserve">SGR acumulado (millones de COP)</w:t>
            </w:r>
          </w:p>
        </w:tc>
        <w:tc>
          <w:tcPr>
            <w:shd w:val="clear" w:color="auto" w:fill="00B050"/>
          </w:tcPr>
          <w:p>
            <w:pPr>
              <w:pStyle w:val="Tabla9"/>
              <w:jc w:val="center"/>
            </w:pPr>
            <w:r>
              <w:rPr>
                <w:b/>
                <w:color w:val="FFFFFF"/>
              </w:rPr>
              <w:t xml:space="preserve">Porcentaje del SGR</w:t>
            </w:r>
          </w:p>
        </w:tc>
        <w:tc>
          <w:tcPr>
            <w:shd w:val="clear" w:color="auto" w:fill="00B050"/>
          </w:tcPr>
          <w:p>
            <w:pPr>
              <w:pStyle w:val="Tabla9"/>
              <w:jc w:val="center"/>
            </w:pPr>
            <w:r>
              <w:rPr>
                <w:b/>
                <w:color w:val="FFFFFF"/>
              </w:rPr>
              <w:t xml:space="preserve">Condición de liberación</w:t>
            </w:r>
          </w:p>
        </w:tc>
      </w:tr>
      <w:tr>
        <w:trPr>
          <w:cantSplit/>
        </w:trPr>
        <w:tc>
          <w:tcPr/>
          <w:p>
            <w:pPr>
              <w:pStyle w:val="Tabla9"/>
              <w:jc w:val="left"/>
            </w:pPr>
            <w:r>
              <w:t xml:space="preserve">Anticipo y acta de inicio (H0)</w:t>
            </w:r>
          </w:p>
        </w:tc>
        <w:tc>
          <w:tcPr/>
          <w:p>
            <w:pPr>
              <w:pStyle w:val="Tabla9"/>
              <w:jc w:val="left"/>
            </w:pPr>
            <w:r>
              <w:t xml:space="preserve">2</w:t>
            </w:r>
          </w:p>
        </w:tc>
        <w:tc>
          <w:tcPr/>
          <w:p>
            <w:pPr>
              <w:pStyle w:val="Tabla9"/>
              <w:jc w:val="left"/>
            </w:pPr>
            <w:r>
              <w:t xml:space="preserve">608,5</w:t>
            </w:r>
          </w:p>
        </w:tc>
        <w:tc>
          <w:tcPr/>
          <w:p>
            <w:pPr>
              <w:pStyle w:val="Tabla9"/>
              <w:jc w:val="left"/>
            </w:pPr>
            <w:r>
              <w:t xml:space="preserve">7,0 %</w:t>
            </w:r>
          </w:p>
        </w:tc>
        <w:tc>
          <w:tcPr/>
          <w:p>
            <w:pPr>
              <w:pStyle w:val="Tabla9"/>
              <w:jc w:val="left"/>
            </w:pPr>
            <w:r>
              <w:t xml:space="preserve">Contratos, convenios y plan de trabajo aprobados</w:t>
            </w:r>
          </w:p>
        </w:tc>
      </w:tr>
      <w:tr>
        <w:trPr>
          <w:cantSplit/>
        </w:trPr>
        <w:tc>
          <w:tcPr/>
          <w:p>
            <w:pPr>
              <w:pStyle w:val="Tabla9"/>
              <w:jc w:val="left"/>
            </w:pPr>
            <w:r>
              <w:t xml:space="preserve">Compra del tramo 1</w:t>
            </w:r>
          </w:p>
        </w:tc>
        <w:tc>
          <w:tcPr/>
          <w:p>
            <w:pPr>
              <w:pStyle w:val="Tabla9"/>
              <w:jc w:val="left"/>
            </w:pPr>
            <w:r>
              <w:t xml:space="preserve">5</w:t>
            </w:r>
          </w:p>
        </w:tc>
        <w:tc>
          <w:tcPr/>
          <w:p>
            <w:pPr>
              <w:pStyle w:val="Tabla9"/>
              <w:jc w:val="left"/>
            </w:pPr>
            <w:r>
              <w:t xml:space="preserve">2.175,3</w:t>
            </w:r>
          </w:p>
        </w:tc>
        <w:tc>
          <w:tcPr/>
          <w:p>
            <w:pPr>
              <w:pStyle w:val="Tabla9"/>
              <w:jc w:val="left"/>
            </w:pPr>
            <w:r>
              <w:t xml:space="preserve">24,9 %</w:t>
            </w:r>
          </w:p>
        </w:tc>
        <w:tc>
          <w:tcPr/>
          <w:p>
            <w:pPr>
              <w:pStyle w:val="Tabla9"/>
              <w:jc w:val="left"/>
            </w:pPr>
            <w:r>
              <w:t xml:space="preserve">Diseño de enlace y energía listo (H1); pólizas vigentes</w:t>
            </w:r>
          </w:p>
        </w:tc>
      </w:tr>
      <w:tr>
        <w:trPr>
          <w:cantSplit/>
        </w:trPr>
        <w:tc>
          <w:tcPr/>
          <w:p>
            <w:pPr>
              <w:pStyle w:val="Tabla9"/>
              <w:jc w:val="left"/>
            </w:pPr>
            <w:r>
              <w:t xml:space="preserve">Compuerta C1 (H3)</w:t>
            </w:r>
          </w:p>
        </w:tc>
        <w:tc>
          <w:tcPr/>
          <w:p>
            <w:pPr>
              <w:pStyle w:val="Tabla9"/>
              <w:jc w:val="left"/>
            </w:pPr>
            <w:r>
              <w:t xml:space="preserve">12</w:t>
            </w:r>
          </w:p>
        </w:tc>
        <w:tc>
          <w:tcPr/>
          <w:p>
            <w:pPr>
              <w:pStyle w:val="Tabla9"/>
              <w:jc w:val="left"/>
            </w:pPr>
            <w:r>
              <w:t xml:space="preserve">4.362,7</w:t>
            </w:r>
          </w:p>
        </w:tc>
        <w:tc>
          <w:tcPr/>
          <w:p>
            <w:pPr>
              <w:pStyle w:val="Tabla9"/>
              <w:jc w:val="left"/>
            </w:pPr>
            <w:r>
              <w:t xml:space="preserve">50,0 %</w:t>
            </w:r>
          </w:p>
        </w:tc>
        <w:tc>
          <w:tcPr/>
          <w:p>
            <w:pPr>
              <w:pStyle w:val="Tabla9"/>
              <w:jc w:val="left"/>
            </w:pPr>
            <w:r>
              <w:t xml:space="preserve">Modelo validado: R² de 0,70 o más y NRMSE de 30 % o menos; 50 % o más de los comités usa el tablero</w:t>
            </w:r>
          </w:p>
        </w:tc>
      </w:tr>
      <w:tr>
        <w:trPr>
          <w:cantSplit/>
        </w:trPr>
        <w:tc>
          <w:tcPr/>
          <w:p>
            <w:pPr>
              <w:pStyle w:val="Tabla9"/>
              <w:jc w:val="left"/>
            </w:pPr>
            <w:r>
              <w:t xml:space="preserve">Compra del tramo 2</w:t>
            </w:r>
          </w:p>
        </w:tc>
        <w:tc>
          <w:tcPr/>
          <w:p>
            <w:pPr>
              <w:pStyle w:val="Tabla9"/>
              <w:jc w:val="left"/>
            </w:pPr>
            <w:r>
              <w:t xml:space="preserve">13</w:t>
            </w:r>
          </w:p>
        </w:tc>
        <w:tc>
          <w:tcPr/>
          <w:p>
            <w:pPr>
              <w:pStyle w:val="Tabla9"/>
              <w:jc w:val="left"/>
            </w:pPr>
            <w:r>
              <w:t xml:space="preserve">5.048,4</w:t>
            </w:r>
          </w:p>
        </w:tc>
        <w:tc>
          <w:tcPr/>
          <w:p>
            <w:pPr>
              <w:pStyle w:val="Tabla9"/>
              <w:jc w:val="left"/>
            </w:pPr>
            <w:r>
              <w:t xml:space="preserve">57,8 %</w:t>
            </w:r>
          </w:p>
        </w:tc>
        <w:tc>
          <w:tcPr/>
          <w:p>
            <w:pPr>
              <w:pStyle w:val="Tabla9"/>
              <w:jc w:val="left"/>
            </w:pPr>
            <w:r>
              <w:t xml:space="preserve">C1 aprobada: 388,0 millones de COP en nodos, gateways y cabezales</w:t>
            </w:r>
          </w:p>
        </w:tc>
      </w:tr>
      <w:tr>
        <w:trPr>
          <w:cantSplit/>
        </w:trPr>
        <w:tc>
          <w:tcPr/>
          <w:p>
            <w:pPr>
              <w:pStyle w:val="Tabla9"/>
              <w:jc w:val="left"/>
            </w:pPr>
            <w:r>
              <w:t xml:space="preserve">Compuerta C2 (H5)</w:t>
            </w:r>
          </w:p>
        </w:tc>
        <w:tc>
          <w:tcPr/>
          <w:p>
            <w:pPr>
              <w:pStyle w:val="Tabla9"/>
              <w:jc w:val="left"/>
            </w:pPr>
            <w:r>
              <w:t xml:space="preserve">17</w:t>
            </w:r>
          </w:p>
        </w:tc>
        <w:tc>
          <w:tcPr/>
          <w:p>
            <w:pPr>
              <w:pStyle w:val="Tabla9"/>
              <w:jc w:val="left"/>
            </w:pPr>
            <w:r>
              <w:t xml:space="preserve">6.252,8</w:t>
            </w:r>
          </w:p>
        </w:tc>
        <w:tc>
          <w:tcPr/>
          <w:p>
            <w:pPr>
              <w:pStyle w:val="Tabla9"/>
              <w:jc w:val="left"/>
            </w:pPr>
            <w:r>
              <w:t xml:space="preserve">71,6 %</w:t>
            </w:r>
          </w:p>
        </w:tc>
        <w:tc>
          <w:tcPr/>
          <w:p>
            <w:pPr>
              <w:pStyle w:val="Tabla9"/>
              <w:jc w:val="left"/>
            </w:pPr>
            <w:r>
              <w:t xml:space="preserve">Umbrales en tres departamentos, disponibilidad de 90 % o más y convenios de custodia con partida</w:t>
            </w:r>
          </w:p>
        </w:tc>
      </w:tr>
      <w:tr>
        <w:trPr>
          <w:cantSplit/>
        </w:trPr>
        <w:tc>
          <w:tcPr/>
          <w:p>
            <w:pPr>
              <w:pStyle w:val="Tabla9"/>
              <w:jc w:val="left"/>
            </w:pPr>
            <w:r>
              <w:t xml:space="preserve">Compra del tramo 3</w:t>
            </w:r>
          </w:p>
        </w:tc>
        <w:tc>
          <w:tcPr/>
          <w:p>
            <w:pPr>
              <w:pStyle w:val="Tabla9"/>
              <w:jc w:val="left"/>
            </w:pPr>
            <w:r>
              <w:t xml:space="preserve">18</w:t>
            </w:r>
          </w:p>
        </w:tc>
        <w:tc>
          <w:tcPr/>
          <w:p>
            <w:pPr>
              <w:pStyle w:val="Tabla9"/>
              <w:jc w:val="left"/>
            </w:pPr>
            <w:r>
              <w:t xml:space="preserve">6.859,9</w:t>
            </w:r>
          </w:p>
        </w:tc>
        <w:tc>
          <w:tcPr/>
          <w:p>
            <w:pPr>
              <w:pStyle w:val="Tabla9"/>
              <w:jc w:val="left"/>
            </w:pPr>
            <w:r>
              <w:t xml:space="preserve">78,6 %</w:t>
            </w:r>
          </w:p>
        </w:tc>
        <w:tc>
          <w:tcPr/>
          <w:p>
            <w:pPr>
              <w:pStyle w:val="Tabla9"/>
              <w:jc w:val="left"/>
            </w:pPr>
            <w:r>
              <w:t xml:space="preserve">C2 aprobada: 306,0 millones de COP en nodos, gateways y cabezales</w:t>
            </w:r>
          </w:p>
        </w:tc>
      </w:tr>
      <w:tr>
        <w:trPr>
          <w:cantSplit/>
        </w:trPr>
        <w:tc>
          <w:tcPr/>
          <w:p>
            <w:pPr>
              <w:pStyle w:val="Tabla9"/>
              <w:jc w:val="left"/>
            </w:pPr>
            <w:r>
              <w:t xml:space="preserve">Cierre y transferencia (H8)</w:t>
            </w:r>
          </w:p>
        </w:tc>
        <w:tc>
          <w:tcPr/>
          <w:p>
            <w:pPr>
              <w:pStyle w:val="Tabla9"/>
              <w:jc w:val="left"/>
            </w:pPr>
            <w:r>
              <w:t xml:space="preserve">24</w:t>
            </w:r>
          </w:p>
        </w:tc>
        <w:tc>
          <w:tcPr/>
          <w:p>
            <w:pPr>
              <w:pStyle w:val="Tabla9"/>
              <w:jc w:val="left"/>
            </w:pPr>
            <w:r>
              <w:t xml:space="preserve">8.729,8</w:t>
            </w:r>
          </w:p>
        </w:tc>
        <w:tc>
          <w:tcPr/>
          <w:p>
            <w:pPr>
              <w:pStyle w:val="Tabla9"/>
              <w:jc w:val="left"/>
            </w:pPr>
            <w:r>
              <w:t xml:space="preserve">100,0 %</w:t>
            </w:r>
          </w:p>
        </w:tc>
        <w:tc>
          <w:tcPr/>
          <w:p>
            <w:pPr>
              <w:pStyle w:val="Tabla9"/>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y de la ficha maestra §4 y §6. Los valores acumulados son CALCULADOS al cierre de cada mes. Las condiciones de liberación son PROPUESTO y se ajustan al esquema que fije el financiador. Decimales con coma.</w:t>
      </w:r>
    </w:p>
    <w:p>
      <w:pPr>
        <w:pStyle w:val="BodyText"/>
      </w:pPr>
      <w:r>
        <w:t xml:space="preserve">El esquema propuesto vincula los desembolsos con evidencias y no con fechas. Cooper (2008) describe este diseño como compuertas con criterios explícitos que autorizan la inversión de la etapa siguiente. El proyecto adopta tres compuertas y cada una libera una compra. La contrapartida es administrativa: el financiador debe aceptar un desembolso condicionado, y el cronograma debe absorber dos semanas de decisión por compuerta. La ruta crítica incluye esas dos semanas. El capítulo 21 resume el presupuesto para el acta de constitución.</w:t>
      </w:r>
    </w:p>
    <w:bookmarkEnd w:id="520"/>
    <w:bookmarkEnd w:id="521"/>
    <w:bookmarkStart w:id="532" w:name="_Toc00900212"/>
    <w:p>
      <w:pPr>
        <w:pStyle w:val="Heading1"/>
      </w:pPr>
      <w:r>
        <w:t xml:space="preserve">Capítulo 9. Cronograma</w:t>
      </w:r>
    </w:p>
    <w:p>
      <w:pPr>
        <w:pStyle w:val="FirstParagraph"/>
      </w:pPr>
      <w:r>
        <w:t xml:space="preserve">Este capítulo programa las 17 actividades de la estructura de desglose del trabajo en una red de precedencias. El cálculo usa el método de la ruta crítica (CPM) sobre duraciones en semanas. La duración total es de 104 semanas, equivalentes a 24 meses, y coincide con la ruta crítica. El capítulo presenta el diagrama de Gantt, la matriz de hitos y la ruta crítica con sus holguras. Presenta también las sesiones de revisión que sostienen las decisiones de pivote o perseverancia. Todas las duraciones son PROPUESTO. Ninguna se verificó con términos de referencia, que no se aportaron.</w:t>
      </w:r>
    </w:p>
    <w:bookmarkStart w:id="525" w:name="_Toc00900213"/>
    <w:p>
      <w:pPr>
        <w:pStyle w:val="Heading2"/>
      </w:pPr>
      <w:r>
        <w:t xml:space="preserve">9.1 Cronograma General (Gantt)</w:t>
      </w:r>
    </w:p>
    <w:p>
      <w:pPr>
        <w:pStyle w:val="FirstParagraph"/>
      </w:pPr>
      <w:r>
        <w:t xml:space="preserve">El cronograma organiza el trabajo en tres fases que coinciden con los tramos de despliegue. La fase 1 abarca las semanas 0 a 50 y termina en la compuerta C1. La fase 2 abarca las semanas 50 a 70 y termina en la compuerta C2. La fase 3 abarca las semanas 70 a 104 y termina con el cierre y la transferencia. El Project Management Institute [PMI] (2021) define el cronograma como un modelo que vincula actividades, duraciones, dependencias y restricciones. La Figura 9.1 presenta el diagrama de Gantt con las 17 actividades, los nueve hitos y las holguras.</w:t>
      </w:r>
    </w:p>
    <w:p>
      <w:pPr>
        <w:pStyle w:val="FiguraRotulo"/>
      </w:pPr>
      <w:bookmarkStart w:id="9524" w:name="rot_Figura_9_1"/>
      <w:r>
        <w:rPr>
          <w:b/>
          <w:bCs/>
        </w:rPr>
        <w:t xml:space="preserve">Figura 9.1</w:t>
      </w:r>
      <w:bookmarkEnd w:id="9524"/>
    </w:p>
    <w:p>
      <w:pPr>
        <w:pStyle w:val="FiguraTitulo"/>
      </w:pPr>
      <w:r>
        <w:rPr>
          <w:i/>
          <w:iCs/>
        </w:rPr>
        <w:t xml:space="preserve">Una ruta crítica de 13 actividades ocupa las 104 semanas; 4 actividades tienen holgura</w:t>
      </w:r>
    </w:p>
    <w:p>
      <w:pPr>
        <w:pStyle w:val="BodyText"/>
      </w:pPr>
      <w:r>
        <w:drawing>
          <wp:inline>
            <wp:extent cx="5579999" cy="3979534"/>
            <wp:effectExtent b="0" l="0" r="0" t="0"/>
            <wp:docPr descr="" title="" id="523" name="Picture"/>
            <a:graphic>
              <a:graphicData uri="http://schemas.openxmlformats.org/drawingml/2006/picture">
                <pic:pic>
                  <pic:nvPicPr>
                    <pic:cNvPr descr="/tmp/claude-0/-home-user-docs/ddf38714-2a7e-502b-92b4-1008e2832422/scratchpad/proy/figs/out/c9_f01.png" id="524" name="Picture"/>
                    <pic:cNvPicPr>
                      <a:picLocks noChangeArrowheads="1" noChangeAspect="1"/>
                    </pic:cNvPicPr>
                  </pic:nvPicPr>
                  <pic:blipFill>
                    <a:blip r:embed="rId522"/>
                    <a:stretch>
                      <a:fillRect/>
                    </a:stretch>
                  </pic:blipFill>
                  <pic:spPr bwMode="auto">
                    <a:xfrm>
                      <a:off x="0" y="0"/>
                      <a:ext cx="5579999" cy="397953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(red ACT calculada por CPM). Semanas desde el inicio en el eje inferior y meses de calendario en el eje superior; trama punteada: holgura. Python 3 y matplotlib; script c9_figs.py; sin semilla; corte del 13 de octubre de 2026.</w:t>
      </w:r>
    </w:p>
    <w:p>
      <w:pPr>
        <w:pStyle w:val="BodyText"/>
      </w:pPr>
      <w:r>
        <w:t xml:space="preserve">La red tiene un diseño deliberadamente secuencial en su tronco. La contratación (A0.1, ocho semanas) precede al diseño de enlace y energía (A2.1, seis semanas). Después, la adquisición del lote 1 (A1.2) y el desarrollo de firmware (A2.2) corren en paralelo durante diez semanas. La colocalización del piloto (A1.3) dura 16 semanas, el entrenamiento del modelo (A1.4) dura ocho, y la compuerta C1 consume dos. Esa secuencia suma 50 semanas y condiciona la ampliación al tramo 2. El diseño favorece la evidencia sobre la velocidad, como en los procesos de etapas y compuertas (Cooper, 2008). Ninguna compra de tramo posterior se adelanta a una decisión.</w:t>
      </w:r>
    </w:p>
    <w:p>
      <w:pPr>
        <w:pStyle w:val="BodyText"/>
      </w:pPr>
      <w:r>
        <w:t xml:space="preserve">Dos posiciones compiten sobre cómo programar un proyecto con incertidumbre técnica (Collingridge, 1980). La posición predictiva fija el plan completo desde el inicio y mide la desviación frente a él (PMI, 2021). La posición adaptativa recomienda ciclos cortos de construcción, medición y aprendizaje, con decisiones de pivote según los datos (Ries, 2011). El proyecto adopta una síntesis. El tronco de 104 semanas es predictivo, porque la compra de equipos importados exige plazos firmes. Las decisiones de las compuertas son adaptativas, porque dependen de datos que solo existen tras el piloto. La consecuencia es que el plan acepta modificaciones en cada compuerta, pero no entre ellas.</w:t>
      </w:r>
    </w:p>
    <w:p>
      <w:pPr>
        <w:pStyle w:val="BodyText"/>
      </w:pPr>
      <w:r>
        <w:t xml:space="preserve">Las dependencias siguen la lógica de fin a inicio. Cada actividad comienza cuando termina su predecesora, sin adelantos ni retrasos programados. La única excepción de paralelismo es la pareja A1.2 y A2.2. La actividad A3.1, el co-diseño de umbrales con los comités, dura 24 semanas. Comienza en la semana 12, cuando termina la selección de sitios (A1.1). Debe terminar antes de la compuerta C1, porque el criterio de uso del tablero de C1 exige que los comités conozcan los umbrales. Su holgura de 12 semanas protege esa condición.</w:t>
      </w:r>
    </w:p>
    <w:p>
      <w:pPr>
        <w:pStyle w:val="BodyText"/>
      </w:pPr>
      <w:r>
        <w:t xml:space="preserve">La estimación de las duraciones exige una cautela explícita. Las duraciones de la red son estimaciones de esta formulación, y ninguna proviene de datos del proyecto. Tversky y Kahneman (1974) documentaron que las personas estiman con anclaje en valores iniciales y subestiman la incertidumbre. La mitigación consiste en contrastar cada duración con la experiencia del equipo. Cada duración se recalibra en la compuerta C1, con los datos de las primeras 50 semanas. Las actividades A1.3, A1.4 y A2.3 suman 36 semanas de la ruta crítica y concentran la incertidumbre técnica. Reciben la primera revisión.</w:t>
      </w:r>
    </w:p>
    <w:p>
      <w:pPr>
        <w:pStyle w:val="BodyText"/>
      </w:pPr>
      <w:r>
        <w:t xml:space="preserve">Los hitos del cronograma son nueve y se denominan H0 a H8. H0 ocurre en el mes 2 con la contratación completa. H3 y H5 son las compuertas C1 y C2, en los meses 12 y 17. H8 cierra el proyecto en el mes 24. El mes de cada hito resulta de dividir las semanas entre 52/12 y redondear hacia arriba. Esa convención asigna cada hito al mes en que termina. Un hito puede ocurrir hasta cuatro semanas antes del cierre de ese mes. El acta de inicio debe fijar las fechas exactas [DATO_USUARIO: fecha del acta de inicio].</w:t>
      </w:r>
    </w:p>
    <w:bookmarkEnd w:id="525"/>
    <w:bookmarkStart w:id="526" w:name="_Toc00900214"/>
    <w:p>
      <w:pPr>
        <w:pStyle w:val="Heading2"/>
      </w:pPr>
      <w:r>
        <w:t xml:space="preserve">9.2 Hitos y Entregables</w:t>
      </w:r>
    </w:p>
    <w:p>
      <w:pPr>
        <w:pStyle w:val="FirstParagraph"/>
      </w:pPr>
      <w:r>
        <w:t xml:space="preserve">Cada hito se verifica con una evidencia definida antes de la ejecución. Funnell y Rogers (2011) recomiendan separar el producto verificable del esfuerzo que lo genera, y el cronograma sigue ese criterio. Un hito no se declara cumplido porque la actividad termine, sino porque la evidencia exista. La Tabla 9.1 presenta la matriz de nueve hitos con su semana, su mes, las actividades que lo cierran, el aprobador y el criterio de verificación.</w:t>
      </w:r>
    </w:p>
    <w:p>
      <w:pPr>
        <w:pStyle w:val="TablaRotulo"/>
      </w:pPr>
      <w:bookmarkStart w:id="9314" w:name="rot_Tabla_9_1"/>
      <w:r>
        <w:rPr>
          <w:b/>
          <w:bCs/>
        </w:rPr>
        <w:t xml:space="preserve">Tabla 9.1</w:t>
      </w:r>
      <w:bookmarkEnd w:id="9314"/>
    </w:p>
    <w:p>
      <w:pPr>
        <w:pStyle w:val="TablaTitulo"/>
      </w:pPr>
      <w:r>
        <w:rPr>
          <w:i/>
          <w:iCs/>
        </w:rPr>
        <w:t xml:space="preserve">Matriz de hitos y entregables con criterio de verificación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94"/>
        <w:gridCol w:w="1716"/>
        <w:gridCol w:w="858"/>
        <w:gridCol w:w="528"/>
        <w:gridCol w:w="1320"/>
        <w:gridCol w:w="1254"/>
        <w:gridCol w:w="1650"/>
      </w:tblGrid>
      <w:tr>
        <w:trPr>
          <w:cantSplit/>
          <w:tblHeader/>
        </w:trPr>
        <w:tc>
          <w:tcPr>
            <w:shd w:val="clear" w:color="auto" w:fill="00B050"/>
          </w:tcPr>
          <w:p>
            <w:pPr>
              <w:pStyle w:val="Tabla8"/>
              <w:jc w:val="center"/>
            </w:pPr>
            <w:r>
              <w:rPr>
                <w:b/>
                <w:color w:val="FFFFFF"/>
              </w:rPr>
              <w:t xml:space="preserve">Hito</w:t>
            </w:r>
          </w:p>
        </w:tc>
        <w:tc>
          <w:tcPr>
            <w:shd w:val="clear" w:color="auto" w:fill="00B050"/>
          </w:tcPr>
          <w:p>
            <w:pPr>
              <w:pStyle w:val="Tabla8"/>
              <w:jc w:val="center"/>
            </w:pPr>
            <w:r>
              <w:rPr>
                <w:b/>
                <w:color w:val="FFFFFF"/>
              </w:rPr>
              <w:t xml:space="preserve">Entregable</w:t>
            </w:r>
          </w:p>
        </w:tc>
        <w:tc>
          <w:tcPr>
            <w:shd w:val="clear" w:color="auto" w:fill="00B050"/>
          </w:tcPr>
          <w:p>
            <w:pPr>
              <w:pStyle w:val="Tabla8"/>
              <w:jc w:val="center"/>
            </w:pPr>
            <w:r>
              <w:rPr>
                <w:b/>
                <w:color w:val="FFFFFF"/>
              </w:rPr>
              <w:t xml:space="preserve">Semana</w:t>
            </w:r>
          </w:p>
        </w:tc>
        <w:tc>
          <w:tcPr>
            <w:shd w:val="clear" w:color="auto" w:fill="00B050"/>
          </w:tcPr>
          <w:p>
            <w:pPr>
              <w:pStyle w:val="Tabla8"/>
              <w:jc w:val="center"/>
            </w:pPr>
            <w:r>
              <w:rPr>
                <w:b/>
                <w:color w:val="FFFFFF"/>
              </w:rPr>
              <w:t xml:space="preserve">Mes</w:t>
            </w:r>
          </w:p>
        </w:tc>
        <w:tc>
          <w:tcPr>
            <w:shd w:val="clear" w:color="auto" w:fill="00B050"/>
          </w:tcPr>
          <w:p>
            <w:pPr>
              <w:pStyle w:val="Tabla8"/>
              <w:jc w:val="center"/>
            </w:pPr>
            <w:r>
              <w:rPr>
                <w:b/>
                <w:color w:val="FFFFFF"/>
              </w:rPr>
              <w:t xml:space="preserve">Actividades que lo cierran</w:t>
            </w:r>
          </w:p>
        </w:tc>
        <w:tc>
          <w:tcPr>
            <w:shd w:val="clear" w:color="auto" w:fill="00B050"/>
          </w:tcPr>
          <w:p>
            <w:pPr>
              <w:pStyle w:val="Tabla8"/>
              <w:jc w:val="center"/>
            </w:pPr>
            <w:r>
              <w:rPr>
                <w:b/>
                <w:color w:val="FFFFFF"/>
              </w:rPr>
              <w:t xml:space="preserve">Aprobador</w:t>
            </w:r>
          </w:p>
        </w:tc>
        <w:tc>
          <w:tcPr>
            <w:shd w:val="clear" w:color="auto" w:fill="00B050"/>
          </w:tcPr>
          <w:p>
            <w:pPr>
              <w:pStyle w:val="Tabla8"/>
              <w:jc w:val="center"/>
            </w:pPr>
            <w:r>
              <w:rPr>
                <w:b/>
                <w:color w:val="FFFFFF"/>
              </w:rPr>
              <w:t xml:space="preserve">Criterio de verificación</w:t>
            </w:r>
          </w:p>
        </w:tc>
      </w:tr>
      <w:tr>
        <w:trPr>
          <w:cantSplit/>
        </w:trPr>
        <w:tc>
          <w:tcPr/>
          <w:p>
            <w:pPr>
              <w:pStyle w:val="Tabla8"/>
              <w:jc w:val="left"/>
            </w:pPr>
            <w:r>
              <w:t xml:space="preserve">H0</w:t>
            </w:r>
          </w:p>
        </w:tc>
        <w:tc>
          <w:tcPr/>
          <w:p>
            <w:pPr>
              <w:pStyle w:val="Tabla8"/>
              <w:jc w:val="left"/>
            </w:pPr>
            <w:r>
              <w:t xml:space="preserve">Acta de inicio y contratación completa</w:t>
            </w:r>
          </w:p>
        </w:tc>
        <w:tc>
          <w:tcPr/>
          <w:p>
            <w:pPr>
              <w:pStyle w:val="Tabla8"/>
              <w:jc w:val="left"/>
            </w:pPr>
            <w:r>
              <w:t xml:space="preserve">8</w:t>
            </w:r>
          </w:p>
        </w:tc>
        <w:tc>
          <w:tcPr/>
          <w:p>
            <w:pPr>
              <w:pStyle w:val="Tabla8"/>
              <w:jc w:val="left"/>
            </w:pPr>
            <w:r>
              <w:t xml:space="preserve">2</w:t>
            </w:r>
          </w:p>
        </w:tc>
        <w:tc>
          <w:tcPr/>
          <w:p>
            <w:pPr>
              <w:pStyle w:val="Tabla8"/>
              <w:jc w:val="left"/>
            </w:pPr>
            <w:r>
              <w:t xml:space="preserve">A0.1</w:t>
            </w:r>
          </w:p>
        </w:tc>
        <w:tc>
          <w:tcPr/>
          <w:p>
            <w:pPr>
              <w:pStyle w:val="Tabla8"/>
              <w:jc w:val="left"/>
            </w:pPr>
            <w:r>
              <w:t xml:space="preserve">Gerencia de proyecto</w:t>
            </w:r>
          </w:p>
        </w:tc>
        <w:tc>
          <w:tcPr/>
          <w:p>
            <w:pPr>
              <w:pStyle w:val="Tabla8"/>
              <w:jc w:val="left"/>
            </w:pPr>
            <w:r>
              <w:t xml:space="preserve">Contratos, convenios y plan de trabajo aprobados</w:t>
            </w:r>
          </w:p>
        </w:tc>
      </w:tr>
      <w:tr>
        <w:trPr>
          <w:cantSplit/>
        </w:trPr>
        <w:tc>
          <w:tcPr/>
          <w:p>
            <w:pPr>
              <w:pStyle w:val="Tabla8"/>
              <w:jc w:val="left"/>
            </w:pPr>
            <w:r>
              <w:t xml:space="preserve">H1</w:t>
            </w:r>
          </w:p>
        </w:tc>
        <w:tc>
          <w:tcPr/>
          <w:p>
            <w:pPr>
              <w:pStyle w:val="Tabla8"/>
              <w:jc w:val="left"/>
            </w:pPr>
            <w:r>
              <w:t xml:space="preserve">Sitios del tramo 1 y diseño de enlace y energía listos</w:t>
            </w:r>
          </w:p>
        </w:tc>
        <w:tc>
          <w:tcPr/>
          <w:p>
            <w:pPr>
              <w:pStyle w:val="Tabla8"/>
              <w:jc w:val="left"/>
            </w:pPr>
            <w:r>
              <w:t xml:space="preserve">14</w:t>
            </w:r>
          </w:p>
        </w:tc>
        <w:tc>
          <w:tcPr/>
          <w:p>
            <w:pPr>
              <w:pStyle w:val="Tabla8"/>
              <w:jc w:val="left"/>
            </w:pPr>
            <w:r>
              <w:t xml:space="preserve">4</w:t>
            </w:r>
          </w:p>
        </w:tc>
        <w:tc>
          <w:tcPr/>
          <w:p>
            <w:pPr>
              <w:pStyle w:val="Tabla8"/>
              <w:jc w:val="left"/>
            </w:pPr>
            <w:r>
              <w:t xml:space="preserve">A1.1, A2.1</w:t>
            </w:r>
          </w:p>
        </w:tc>
        <w:tc>
          <w:tcPr/>
          <w:p>
            <w:pPr>
              <w:pStyle w:val="Tabla8"/>
              <w:jc w:val="left"/>
            </w:pPr>
            <w:r>
              <w:t xml:space="preserve">Gerencia de proyecto y dirección científica</w:t>
            </w:r>
          </w:p>
        </w:tc>
        <w:tc>
          <w:tcPr/>
          <w:p>
            <w:pPr>
              <w:pStyle w:val="Tabla8"/>
              <w:jc w:val="left"/>
            </w:pPr>
            <w:r>
              <w:t xml:space="preserve">Informe de sitios, de cobertura y de energía</w:t>
            </w:r>
          </w:p>
        </w:tc>
      </w:tr>
      <w:tr>
        <w:trPr>
          <w:cantSplit/>
        </w:trPr>
        <w:tc>
          <w:tcPr/>
          <w:p>
            <w:pPr>
              <w:pStyle w:val="Tabla8"/>
              <w:jc w:val="left"/>
            </w:pPr>
            <w:r>
              <w:t xml:space="preserve">H2</w:t>
            </w:r>
          </w:p>
        </w:tc>
        <w:tc>
          <w:tcPr/>
          <w:p>
            <w:pPr>
              <w:pStyle w:val="Tabla8"/>
              <w:jc w:val="left"/>
            </w:pPr>
            <w:r>
              <w:t xml:space="preserve">Colocalización del tramo 1 finalizada</w:t>
            </w:r>
          </w:p>
        </w:tc>
        <w:tc>
          <w:tcPr/>
          <w:p>
            <w:pPr>
              <w:pStyle w:val="Tabla8"/>
              <w:jc w:val="left"/>
            </w:pPr>
            <w:r>
              <w:t xml:space="preserve">40</w:t>
            </w:r>
          </w:p>
        </w:tc>
        <w:tc>
          <w:tcPr/>
          <w:p>
            <w:pPr>
              <w:pStyle w:val="Tabla8"/>
              <w:jc w:val="left"/>
            </w:pPr>
            <w:r>
              <w:t xml:space="preserve">10</w:t>
            </w:r>
          </w:p>
        </w:tc>
        <w:tc>
          <w:tcPr/>
          <w:p>
            <w:pPr>
              <w:pStyle w:val="Tabla8"/>
              <w:jc w:val="left"/>
            </w:pPr>
            <w:r>
              <w:t xml:space="preserve">A1.3</w:t>
            </w:r>
          </w:p>
        </w:tc>
        <w:tc>
          <w:tcPr/>
          <w:p>
            <w:pPr>
              <w:pStyle w:val="Tabla8"/>
              <w:jc w:val="left"/>
            </w:pPr>
            <w:r>
              <w:t xml:space="preserve">Dirección científica</w:t>
            </w:r>
          </w:p>
        </w:tc>
        <w:tc>
          <w:tcPr/>
          <w:p>
            <w:pPr>
              <w:pStyle w:val="Tabla8"/>
              <w:jc w:val="left"/>
            </w:pPr>
            <w:r>
              <w:t xml:space="preserve">Base de datos de colocalización y línea base de error medida</w:t>
            </w:r>
          </w:p>
        </w:tc>
      </w:tr>
      <w:tr>
        <w:trPr>
          <w:cantSplit/>
        </w:trPr>
        <w:tc>
          <w:tcPr/>
          <w:p>
            <w:pPr>
              <w:pStyle w:val="Tabla8"/>
              <w:jc w:val="left"/>
            </w:pPr>
            <w:r>
              <w:t xml:space="preserve">H3</w:t>
            </w:r>
          </w:p>
        </w:tc>
        <w:tc>
          <w:tcPr/>
          <w:p>
            <w:pPr>
              <w:pStyle w:val="Tabla8"/>
              <w:jc w:val="left"/>
            </w:pPr>
            <w:r>
              <w:t xml:space="preserve">Compuerta C1: modelo validado en el piloto</w:t>
            </w:r>
          </w:p>
        </w:tc>
        <w:tc>
          <w:tcPr/>
          <w:p>
            <w:pPr>
              <w:pStyle w:val="Tabla8"/>
              <w:jc w:val="left"/>
            </w:pPr>
            <w:r>
              <w:t xml:space="preserve">50</w:t>
            </w:r>
          </w:p>
        </w:tc>
        <w:tc>
          <w:tcPr/>
          <w:p>
            <w:pPr>
              <w:pStyle w:val="Tabla8"/>
              <w:jc w:val="left"/>
            </w:pPr>
            <w:r>
              <w:t xml:space="preserve">12</w:t>
            </w:r>
          </w:p>
        </w:tc>
        <w:tc>
          <w:tcPr/>
          <w:p>
            <w:pPr>
              <w:pStyle w:val="Tabla8"/>
              <w:jc w:val="left"/>
            </w:pPr>
            <w:r>
              <w:t xml:space="preserve">C1</w:t>
            </w:r>
          </w:p>
        </w:tc>
        <w:tc>
          <w:tcPr/>
          <w:p>
            <w:pPr>
              <w:pStyle w:val="Tabla8"/>
              <w:jc w:val="left"/>
            </w:pPr>
            <w:r>
              <w:t xml:space="preserve">Comité directivo</w:t>
            </w:r>
          </w:p>
        </w:tc>
        <w:tc>
          <w:tcPr/>
          <w:p>
            <w:pPr>
              <w:pStyle w:val="Tabla8"/>
              <w:jc w:val="left"/>
            </w:pPr>
            <w:r>
              <w:t xml:space="preserve">Acta de compuerta con NRMSE y R² frente a referencia</w:t>
            </w:r>
          </w:p>
        </w:tc>
      </w:tr>
      <w:tr>
        <w:trPr>
          <w:cantSplit/>
        </w:trPr>
        <w:tc>
          <w:tcPr/>
          <w:p>
            <w:pPr>
              <w:pStyle w:val="Tabla8"/>
              <w:jc w:val="left"/>
            </w:pPr>
            <w:r>
              <w:t xml:space="preserve">H4</w:t>
            </w:r>
          </w:p>
        </w:tc>
        <w:tc>
          <w:tcPr/>
          <w:p>
            <w:pPr>
              <w:pStyle w:val="Tabla8"/>
              <w:jc w:val="left"/>
            </w:pPr>
            <w:r>
              <w:t xml:space="preserve">Tramo 2 instalado y verificado</w:t>
            </w:r>
          </w:p>
        </w:tc>
        <w:tc>
          <w:tcPr/>
          <w:p>
            <w:pPr>
              <w:pStyle w:val="Tabla8"/>
              <w:jc w:val="left"/>
            </w:pPr>
            <w:r>
              <w:t xml:space="preserve">68</w:t>
            </w:r>
          </w:p>
        </w:tc>
        <w:tc>
          <w:tcPr/>
          <w:p>
            <w:pPr>
              <w:pStyle w:val="Tabla8"/>
              <w:jc w:val="left"/>
            </w:pPr>
            <w:r>
              <w:t xml:space="preserve">16</w:t>
            </w:r>
          </w:p>
        </w:tc>
        <w:tc>
          <w:tcPr/>
          <w:p>
            <w:pPr>
              <w:pStyle w:val="Tabla8"/>
              <w:jc w:val="left"/>
            </w:pPr>
            <w:r>
              <w:t xml:space="preserve">A1.5</w:t>
            </w:r>
          </w:p>
        </w:tc>
        <w:tc>
          <w:tcPr/>
          <w:p>
            <w:pPr>
              <w:pStyle w:val="Tabla8"/>
              <w:jc w:val="left"/>
            </w:pPr>
            <w:r>
              <w:t xml:space="preserve">Gerencia de proyecto</w:t>
            </w:r>
          </w:p>
        </w:tc>
        <w:tc>
          <w:tcPr/>
          <w:p>
            <w:pPr>
              <w:pStyle w:val="Tabla8"/>
              <w:jc w:val="left"/>
            </w:pPr>
            <w:r>
              <w:t xml:space="preserve">Informe de disponibilidad y desempeño del tramo 2</w:t>
            </w:r>
          </w:p>
        </w:tc>
      </w:tr>
      <w:tr>
        <w:trPr>
          <w:cantSplit/>
        </w:trPr>
        <w:tc>
          <w:tcPr/>
          <w:p>
            <w:pPr>
              <w:pStyle w:val="Tabla8"/>
              <w:jc w:val="left"/>
            </w:pPr>
            <w:r>
              <w:t xml:space="preserve">H5</w:t>
            </w:r>
          </w:p>
        </w:tc>
        <w:tc>
          <w:tcPr/>
          <w:p>
            <w:pPr>
              <w:pStyle w:val="Tabla8"/>
              <w:jc w:val="left"/>
            </w:pPr>
            <w:r>
              <w:t xml:space="preserve">Compuerta C2: uso institucional y desempeño</w:t>
            </w:r>
          </w:p>
        </w:tc>
        <w:tc>
          <w:tcPr/>
          <w:p>
            <w:pPr>
              <w:pStyle w:val="Tabla8"/>
              <w:jc w:val="left"/>
            </w:pPr>
            <w:r>
              <w:t xml:space="preserve">70</w:t>
            </w:r>
          </w:p>
        </w:tc>
        <w:tc>
          <w:tcPr/>
          <w:p>
            <w:pPr>
              <w:pStyle w:val="Tabla8"/>
              <w:jc w:val="left"/>
            </w:pPr>
            <w:r>
              <w:t xml:space="preserve">17</w:t>
            </w:r>
          </w:p>
        </w:tc>
        <w:tc>
          <w:tcPr/>
          <w:p>
            <w:pPr>
              <w:pStyle w:val="Tabla8"/>
              <w:jc w:val="left"/>
            </w:pPr>
            <w:r>
              <w:t xml:space="preserve">C2</w:t>
            </w:r>
          </w:p>
        </w:tc>
        <w:tc>
          <w:tcPr/>
          <w:p>
            <w:pPr>
              <w:pStyle w:val="Tabla8"/>
              <w:jc w:val="left"/>
            </w:pPr>
            <w:r>
              <w:t xml:space="preserve">Comité directivo</w:t>
            </w:r>
          </w:p>
        </w:tc>
        <w:tc>
          <w:tcPr/>
          <w:p>
            <w:pPr>
              <w:pStyle w:val="Tabla8"/>
              <w:jc w:val="left"/>
            </w:pPr>
            <w:r>
              <w:t xml:space="preserve">Acta de compuerta con uso del tablero y convenios</w:t>
            </w:r>
          </w:p>
        </w:tc>
      </w:tr>
      <w:tr>
        <w:trPr>
          <w:cantSplit/>
        </w:trPr>
        <w:tc>
          <w:tcPr/>
          <w:p>
            <w:pPr>
              <w:pStyle w:val="Tabla8"/>
              <w:jc w:val="left"/>
            </w:pPr>
            <w:r>
              <w:t xml:space="preserve">H6</w:t>
            </w:r>
          </w:p>
        </w:tc>
        <w:tc>
          <w:tcPr/>
          <w:p>
            <w:pPr>
              <w:pStyle w:val="Tabla8"/>
              <w:jc w:val="left"/>
            </w:pPr>
            <w:r>
              <w:t xml:space="preserve">Tramo 3 instalado</w:t>
            </w:r>
          </w:p>
        </w:tc>
        <w:tc>
          <w:tcPr/>
          <w:p>
            <w:pPr>
              <w:pStyle w:val="Tabla8"/>
              <w:jc w:val="left"/>
            </w:pPr>
            <w:r>
              <w:t xml:space="preserve">82</w:t>
            </w:r>
          </w:p>
        </w:tc>
        <w:tc>
          <w:tcPr/>
          <w:p>
            <w:pPr>
              <w:pStyle w:val="Tabla8"/>
              <w:jc w:val="left"/>
            </w:pPr>
            <w:r>
              <w:t xml:space="preserve">19</w:t>
            </w:r>
          </w:p>
        </w:tc>
        <w:tc>
          <w:tcPr/>
          <w:p>
            <w:pPr>
              <w:pStyle w:val="Tabla8"/>
              <w:jc w:val="left"/>
            </w:pPr>
            <w:r>
              <w:t xml:space="preserve">A2.4</w:t>
            </w:r>
          </w:p>
        </w:tc>
        <w:tc>
          <w:tcPr/>
          <w:p>
            <w:pPr>
              <w:pStyle w:val="Tabla8"/>
              <w:jc w:val="left"/>
            </w:pPr>
            <w:r>
              <w:t xml:space="preserve">Gerencia de proyecto</w:t>
            </w:r>
          </w:p>
        </w:tc>
        <w:tc>
          <w:tcPr/>
          <w:p>
            <w:pPr>
              <w:pStyle w:val="Tabla8"/>
              <w:jc w:val="left"/>
            </w:pPr>
            <w:r>
              <w:t xml:space="preserve">Inventario de 100 nodos y 10 gateways operativos</w:t>
            </w:r>
          </w:p>
        </w:tc>
      </w:tr>
      <w:tr>
        <w:trPr>
          <w:cantSplit/>
        </w:trPr>
        <w:tc>
          <w:tcPr/>
          <w:p>
            <w:pPr>
              <w:pStyle w:val="Tabla8"/>
              <w:jc w:val="left"/>
            </w:pPr>
            <w:r>
              <w:t xml:space="preserve">H7</w:t>
            </w:r>
          </w:p>
        </w:tc>
        <w:tc>
          <w:tcPr/>
          <w:p>
            <w:pPr>
              <w:pStyle w:val="Tabla8"/>
              <w:jc w:val="left"/>
            </w:pPr>
            <w:r>
              <w:t xml:space="preserve">Ensayo independiente y evaluación final</w:t>
            </w:r>
          </w:p>
        </w:tc>
        <w:tc>
          <w:tcPr/>
          <w:p>
            <w:pPr>
              <w:pStyle w:val="Tabla8"/>
              <w:jc w:val="left"/>
            </w:pPr>
            <w:r>
              <w:t xml:space="preserve">98</w:t>
            </w:r>
          </w:p>
        </w:tc>
        <w:tc>
          <w:tcPr/>
          <w:p>
            <w:pPr>
              <w:pStyle w:val="Tabla8"/>
              <w:jc w:val="left"/>
            </w:pPr>
            <w:r>
              <w:t xml:space="preserve">23</w:t>
            </w:r>
          </w:p>
        </w:tc>
        <w:tc>
          <w:tcPr/>
          <w:p>
            <w:pPr>
              <w:pStyle w:val="Tabla8"/>
              <w:jc w:val="left"/>
            </w:pPr>
            <w:r>
              <w:t xml:space="preserve">A1.6</w:t>
            </w:r>
          </w:p>
        </w:tc>
        <w:tc>
          <w:tcPr/>
          <w:p>
            <w:pPr>
              <w:pStyle w:val="Tabla8"/>
              <w:jc w:val="left"/>
            </w:pPr>
            <w:r>
              <w:t xml:space="preserve">Dirección científica</w:t>
            </w:r>
          </w:p>
        </w:tc>
        <w:tc>
          <w:tcPr/>
          <w:p>
            <w:pPr>
              <w:pStyle w:val="Tabla8"/>
              <w:jc w:val="left"/>
            </w:pPr>
            <w:r>
              <w:t xml:space="preserve">Informe de laboratorio externo y evaluación externa</w:t>
            </w:r>
          </w:p>
        </w:tc>
      </w:tr>
      <w:tr>
        <w:trPr>
          <w:cantSplit/>
        </w:trPr>
        <w:tc>
          <w:tcPr/>
          <w:p>
            <w:pPr>
              <w:pStyle w:val="Tabla8"/>
              <w:jc w:val="left"/>
            </w:pPr>
            <w:r>
              <w:t xml:space="preserve">H8</w:t>
            </w:r>
          </w:p>
        </w:tc>
        <w:tc>
          <w:tcPr/>
          <w:p>
            <w:pPr>
              <w:pStyle w:val="Tabla8"/>
              <w:jc w:val="left"/>
            </w:pPr>
            <w:r>
              <w:t xml:space="preserve">Transferencia y cierre del tramo 3</w:t>
            </w:r>
          </w:p>
        </w:tc>
        <w:tc>
          <w:tcPr/>
          <w:p>
            <w:pPr>
              <w:pStyle w:val="Tabla8"/>
              <w:jc w:val="left"/>
            </w:pPr>
            <w:r>
              <w:t xml:space="preserve">104</w:t>
            </w:r>
          </w:p>
        </w:tc>
        <w:tc>
          <w:tcPr/>
          <w:p>
            <w:pPr>
              <w:pStyle w:val="Tabla8"/>
              <w:jc w:val="left"/>
            </w:pPr>
            <w:r>
              <w:t xml:space="preserve">24</w:t>
            </w:r>
          </w:p>
        </w:tc>
        <w:tc>
          <w:tcPr/>
          <w:p>
            <w:pPr>
              <w:pStyle w:val="Tabla8"/>
              <w:jc w:val="left"/>
            </w:pPr>
            <w:r>
              <w:t xml:space="preserve">A3.4</w:t>
            </w:r>
          </w:p>
        </w:tc>
        <w:tc>
          <w:tcPr/>
          <w:p>
            <w:pPr>
              <w:pStyle w:val="Tabla8"/>
              <w:jc w:val="left"/>
            </w:pPr>
            <w:r>
              <w:t xml:space="preserve">Comité directivo</w:t>
            </w:r>
          </w:p>
        </w:tc>
        <w:tc>
          <w:tcPr/>
          <w:p>
            <w:pPr>
              <w:pStyle w:val="Tabla8"/>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(HITOS y ACT). La semana es el fin temprano de la actividad que define el hito. El aprobador es PROPUESTO y sigue la matriz RACI del capítulo 7. Decimales con coma.</w:t>
      </w:r>
    </w:p>
    <w:p>
      <w:pPr>
        <w:pStyle w:val="BodyText"/>
      </w:pPr>
      <w:r>
        <w:t xml:space="preserve">La matriz distingue tres tipos de hito. Los hitos de preparación (H0, H1 y H6) acreditan que existen contratos, sitios o inventario. Los hitos de desempeño (H2, H4 y H7) acreditan mediciones frente a la referencia. Los hitos de decisión (H3, H5 y H8) acreditan que el comité directivo autorizó el paso siguiente. Solo los hitos de decisión liberan compras (Cooper, 2008). Esa asimetría es intencional: protege el presupuesto de desembolsos sin evidencia. La contrapartida es que tres decisiones concentran la responsabilidad del proyecto.</w:t>
      </w:r>
    </w:p>
    <w:p>
      <w:pPr>
        <w:pStyle w:val="BodyText"/>
      </w:pPr>
      <w:r>
        <w:t xml:space="preserve">La madurez tecnológica añade un criterio de lectura. H2 y H4 verifican el desempeño en un entorno relevante, que corresponde a los niveles 5 y 6 de madurez tecnológica. H6 y H7 verifican la demostración en entorno operativo, que corresponde al nivel 7 (Mankins, 1995). El proyecto parte del nivel 4 y no promete el nivel 8, que exige una calificación independiente fuera del plazo. Esa correspondencia es PROPUESTO y debe confirmarse con la evaluación externa del mes 12.</w:t>
      </w:r>
    </w:p>
    <w:p>
      <w:pPr>
        <w:pStyle w:val="BodyText"/>
      </w:pPr>
      <w:r>
        <w:t xml:space="preserve">La Tabla 9.2 convierte los hitos y los indicadores en un calendario de entregas al financiador y a los comités. Incluye los informes periódicos del sistema de indicadores PERS, las evaluaciones externas, el ensayo independiente y las mediciones posteriores al cierre. La frecuencia de cada informe sigue la ficha del indicador. El calendario real depende de los términos de referencia [DATO_USUARIO: calendario de informes exigido por el financiador].</w:t>
      </w:r>
    </w:p>
    <w:p>
      <w:pPr>
        <w:pStyle w:val="TablaRotulo"/>
      </w:pPr>
      <w:bookmarkStart w:id="9315" w:name="rot_Tabla_9_2"/>
      <w:r>
        <w:rPr>
          <w:b/>
          <w:bCs/>
        </w:rPr>
        <w:t xml:space="preserve">Tabla 9.2</w:t>
      </w:r>
      <w:bookmarkEnd w:id="9315"/>
    </w:p>
    <w:p>
      <w:pPr>
        <w:pStyle w:val="TablaTitulo"/>
      </w:pPr>
      <w:r>
        <w:rPr>
          <w:i/>
          <w:iCs/>
        </w:rPr>
        <w:t xml:space="preserve">Calendario de entregas e informes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636"/>
        <w:gridCol w:w="1309"/>
        <w:gridCol w:w="1112"/>
        <w:gridCol w:w="785"/>
        <w:gridCol w:w="1440"/>
        <w:gridCol w:w="1636"/>
      </w:tblGrid>
      <w:tr>
        <w:trPr>
          <w:cantSplit/>
          <w:tblHeader/>
        </w:trPr>
        <w:tc>
          <w:tcPr>
            <w:shd w:val="clear" w:color="auto" w:fill="00B050"/>
          </w:tcPr>
          <w:p>
            <w:pPr>
              <w:pStyle w:val="Tabla9"/>
              <w:jc w:val="center"/>
            </w:pPr>
            <w:r>
              <w:rPr>
                <w:b/>
                <w:color w:val="FFFFFF"/>
              </w:rPr>
              <w:t xml:space="preserve">Entrega</w:t>
            </w:r>
          </w:p>
        </w:tc>
        <w:tc>
          <w:tcPr>
            <w:shd w:val="clear" w:color="auto" w:fill="00B050"/>
          </w:tcPr>
          <w:p>
            <w:pPr>
              <w:pStyle w:val="Tabla9"/>
              <w:jc w:val="center"/>
            </w:pPr>
            <w:r>
              <w:rPr>
                <w:b/>
                <w:color w:val="FFFFFF"/>
              </w:rPr>
              <w:t xml:space="preserve">Frecuencia</w:t>
            </w:r>
          </w:p>
        </w:tc>
        <w:tc>
          <w:tcPr>
            <w:shd w:val="clear" w:color="auto" w:fill="00B050"/>
          </w:tcPr>
          <w:p>
            <w:pPr>
              <w:pStyle w:val="Tabla9"/>
              <w:jc w:val="center"/>
            </w:pPr>
            <w:r>
              <w:rPr>
                <w:b/>
                <w:color w:val="FFFFFF"/>
              </w:rPr>
              <w:t xml:space="preserve">Cantidad</w:t>
            </w:r>
          </w:p>
        </w:tc>
        <w:tc>
          <w:tcPr>
            <w:shd w:val="clear" w:color="auto" w:fill="00B050"/>
          </w:tcPr>
          <w:p>
            <w:pPr>
              <w:pStyle w:val="Tabla9"/>
              <w:jc w:val="center"/>
            </w:pPr>
            <w:r>
              <w:rPr>
                <w:b/>
                <w:color w:val="FFFFFF"/>
              </w:rPr>
              <w:t xml:space="preserve">Meses</w:t>
            </w:r>
          </w:p>
        </w:tc>
        <w:tc>
          <w:tcPr>
            <w:shd w:val="clear" w:color="auto" w:fill="00B050"/>
          </w:tcPr>
          <w:p>
            <w:pPr>
              <w:pStyle w:val="Tabla9"/>
              <w:jc w:val="center"/>
            </w:pPr>
            <w:r>
              <w:rPr>
                <w:b/>
                <w:color w:val="FFFFFF"/>
              </w:rPr>
              <w:t xml:space="preserve">Responsable</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Informe mensual de seguimiento (PERS-R01 a R06)</w:t>
            </w:r>
          </w:p>
        </w:tc>
        <w:tc>
          <w:tcPr/>
          <w:p>
            <w:pPr>
              <w:pStyle w:val="Tabla9"/>
              <w:jc w:val="left"/>
            </w:pPr>
            <w:r>
              <w:t xml:space="preserve">Mensual</w:t>
            </w:r>
          </w:p>
        </w:tc>
        <w:tc>
          <w:tcPr/>
          <w:p>
            <w:pPr>
              <w:pStyle w:val="Tabla9"/>
              <w:jc w:val="left"/>
            </w:pPr>
            <w:r>
              <w:t xml:space="preserve">24</w:t>
            </w:r>
          </w:p>
        </w:tc>
        <w:tc>
          <w:tcPr/>
          <w:p>
            <w:pPr>
              <w:pStyle w:val="Tabla9"/>
              <w:jc w:val="left"/>
            </w:pPr>
            <w:r>
              <w:t xml:space="preserve">Meses 1 a 24</w:t>
            </w:r>
          </w:p>
        </w:tc>
        <w:tc>
          <w:tcPr/>
          <w:p>
            <w:pPr>
              <w:pStyle w:val="Tabla9"/>
              <w:jc w:val="left"/>
            </w:pPr>
            <w:r>
              <w:t xml:space="preserve">Gerencia de proyecto</w:t>
            </w:r>
          </w:p>
        </w:tc>
        <w:tc>
          <w:tcPr/>
          <w:p>
            <w:pPr>
              <w:pStyle w:val="Tabla9"/>
              <w:jc w:val="left"/>
            </w:pPr>
            <w:r>
              <w:t xml:space="preserve">PROPUESTO</w:t>
            </w:r>
          </w:p>
        </w:tc>
      </w:tr>
      <w:tr>
        <w:trPr>
          <w:cantSplit/>
        </w:trPr>
        <w:tc>
          <w:tcPr/>
          <w:p>
            <w:pPr>
              <w:pStyle w:val="Tabla9"/>
              <w:jc w:val="left"/>
            </w:pPr>
            <w:r>
              <w:t xml:space="preserve">Informe trimestral de producto y efecto (PERS-P01 a P04, E01, E02)</w:t>
            </w:r>
          </w:p>
        </w:tc>
        <w:tc>
          <w:tcPr/>
          <w:p>
            <w:pPr>
              <w:pStyle w:val="Tabla9"/>
              <w:jc w:val="left"/>
            </w:pPr>
            <w:r>
              <w:t xml:space="preserve">Trimestral</w:t>
            </w:r>
          </w:p>
        </w:tc>
        <w:tc>
          <w:tcPr/>
          <w:p>
            <w:pPr>
              <w:pStyle w:val="Tabla9"/>
              <w:jc w:val="left"/>
            </w:pPr>
            <w:r>
              <w:t xml:space="preserve">8</w:t>
            </w:r>
          </w:p>
        </w:tc>
        <w:tc>
          <w:tcPr/>
          <w:p>
            <w:pPr>
              <w:pStyle w:val="Tabla9"/>
              <w:jc w:val="left"/>
            </w:pPr>
            <w:r>
              <w:t xml:space="preserve">Meses 3, 6, 9, 12, 15, 18, 21 y 24</w:t>
            </w:r>
          </w:p>
        </w:tc>
        <w:tc>
          <w:tcPr/>
          <w:p>
            <w:pPr>
              <w:pStyle w:val="Tabla9"/>
              <w:jc w:val="left"/>
            </w:pPr>
            <w:r>
              <w:t xml:space="preserve">Gerencia de proyecto</w:t>
            </w:r>
          </w:p>
        </w:tc>
        <w:tc>
          <w:tcPr/>
          <w:p>
            <w:pPr>
              <w:pStyle w:val="Tabla9"/>
              <w:jc w:val="left"/>
            </w:pPr>
            <w:r>
              <w:t xml:space="preserve">PROPUESTO</w:t>
            </w:r>
          </w:p>
        </w:tc>
      </w:tr>
      <w:tr>
        <w:trPr>
          <w:cantSplit/>
        </w:trPr>
        <w:tc>
          <w:tcPr/>
          <w:p>
            <w:pPr>
              <w:pStyle w:val="Tabla9"/>
              <w:jc w:val="left"/>
            </w:pPr>
            <w:r>
              <w:t xml:space="preserve">Informe semestral de capacidad instalada (PERS-E03)</w:t>
            </w:r>
          </w:p>
        </w:tc>
        <w:tc>
          <w:tcPr/>
          <w:p>
            <w:pPr>
              <w:pStyle w:val="Tabla9"/>
              <w:jc w:val="left"/>
            </w:pPr>
            <w:r>
              <w:t xml:space="preserve">Semestral</w:t>
            </w:r>
          </w:p>
        </w:tc>
        <w:tc>
          <w:tcPr/>
          <w:p>
            <w:pPr>
              <w:pStyle w:val="Tabla9"/>
              <w:jc w:val="left"/>
            </w:pPr>
            <w:r>
              <w:t xml:space="preserve">4</w:t>
            </w:r>
          </w:p>
        </w:tc>
        <w:tc>
          <w:tcPr/>
          <w:p>
            <w:pPr>
              <w:pStyle w:val="Tabla9"/>
              <w:jc w:val="left"/>
            </w:pPr>
            <w:r>
              <w:t xml:space="preserve">Meses 6, 12, 18 y 24</w:t>
            </w:r>
          </w:p>
        </w:tc>
        <w:tc>
          <w:tcPr/>
          <w:p>
            <w:pPr>
              <w:pStyle w:val="Tabla9"/>
              <w:jc w:val="left"/>
            </w:pPr>
            <w:r>
              <w:t xml:space="preserve">Profesional de convenios y custodia</w:t>
            </w:r>
          </w:p>
        </w:tc>
        <w:tc>
          <w:tcPr/>
          <w:p>
            <w:pPr>
              <w:pStyle w:val="Tabla9"/>
              <w:jc w:val="left"/>
            </w:pPr>
            <w:r>
              <w:t xml:space="preserve">PROPUESTO</w:t>
            </w:r>
          </w:p>
        </w:tc>
      </w:tr>
      <w:tr>
        <w:trPr>
          <w:cantSplit/>
        </w:trPr>
        <w:tc>
          <w:tcPr/>
          <w:p>
            <w:pPr>
              <w:pStyle w:val="Tabla9"/>
              <w:jc w:val="left"/>
            </w:pPr>
            <w:r>
              <w:t xml:space="preserve">Acta de compuerta C1</w:t>
            </w:r>
          </w:p>
        </w:tc>
        <w:tc>
          <w:tcPr/>
          <w:p>
            <w:pPr>
              <w:pStyle w:val="Tabla9"/>
              <w:jc w:val="left"/>
            </w:pPr>
            <w:r>
              <w:t xml:space="preserve">Una vez</w:t>
            </w:r>
          </w:p>
        </w:tc>
        <w:tc>
          <w:tcPr/>
          <w:p>
            <w:pPr>
              <w:pStyle w:val="Tabla9"/>
              <w:jc w:val="left"/>
            </w:pPr>
            <w:r>
              <w:t xml:space="preserve">1</w:t>
            </w:r>
          </w:p>
        </w:tc>
        <w:tc>
          <w:tcPr/>
          <w:p>
            <w:pPr>
              <w:pStyle w:val="Tabla9"/>
              <w:jc w:val="left"/>
            </w:pPr>
            <w:r>
              <w:t xml:space="preserve">Mes 12</w:t>
            </w:r>
          </w:p>
        </w:tc>
        <w:tc>
          <w:tcPr/>
          <w:p>
            <w:pPr>
              <w:pStyle w:val="Tabla9"/>
              <w:jc w:val="left"/>
            </w:pPr>
            <w:r>
              <w:t xml:space="preserve">Comité directivo</w:t>
            </w:r>
          </w:p>
        </w:tc>
        <w:tc>
          <w:tcPr/>
          <w:p>
            <w:pPr>
              <w:pStyle w:val="Tabla9"/>
              <w:jc w:val="left"/>
            </w:pPr>
            <w:r>
              <w:t xml:space="preserve">PROPUESTO</w:t>
            </w:r>
          </w:p>
        </w:tc>
      </w:tr>
      <w:tr>
        <w:trPr>
          <w:cantSplit/>
        </w:trPr>
        <w:tc>
          <w:tcPr/>
          <w:p>
            <w:pPr>
              <w:pStyle w:val="Tabla9"/>
              <w:jc w:val="left"/>
            </w:pPr>
            <w:r>
              <w:t xml:space="preserve">Acta de compuerta C2</w:t>
            </w:r>
          </w:p>
        </w:tc>
        <w:tc>
          <w:tcPr/>
          <w:p>
            <w:pPr>
              <w:pStyle w:val="Tabla9"/>
              <w:jc w:val="left"/>
            </w:pPr>
            <w:r>
              <w:t xml:space="preserve">Una vez</w:t>
            </w:r>
          </w:p>
        </w:tc>
        <w:tc>
          <w:tcPr/>
          <w:p>
            <w:pPr>
              <w:pStyle w:val="Tabla9"/>
              <w:jc w:val="left"/>
            </w:pPr>
            <w:r>
              <w:t xml:space="preserve">1</w:t>
            </w:r>
          </w:p>
        </w:tc>
        <w:tc>
          <w:tcPr/>
          <w:p>
            <w:pPr>
              <w:pStyle w:val="Tabla9"/>
              <w:jc w:val="left"/>
            </w:pPr>
            <w:r>
              <w:t xml:space="preserve">Mes 17</w:t>
            </w:r>
          </w:p>
        </w:tc>
        <w:tc>
          <w:tcPr/>
          <w:p>
            <w:pPr>
              <w:pStyle w:val="Tabla9"/>
              <w:jc w:val="left"/>
            </w:pPr>
            <w:r>
              <w:t xml:space="preserve">Comité directivo</w:t>
            </w:r>
          </w:p>
        </w:tc>
        <w:tc>
          <w:tcPr/>
          <w:p>
            <w:pPr>
              <w:pStyle w:val="Tabla9"/>
              <w:jc w:val="left"/>
            </w:pPr>
            <w:r>
              <w:t xml:space="preserve">PROPUESTO</w:t>
            </w:r>
          </w:p>
        </w:tc>
      </w:tr>
      <w:tr>
        <w:trPr>
          <w:cantSplit/>
        </w:trPr>
        <w:tc>
          <w:tcPr/>
          <w:p>
            <w:pPr>
              <w:pStyle w:val="Tabla9"/>
              <w:jc w:val="left"/>
            </w:pPr>
            <w:r>
              <w:t xml:space="preserve">Evaluación externa independiente (línea S07)</w:t>
            </w:r>
          </w:p>
        </w:tc>
        <w:tc>
          <w:tcPr/>
          <w:p>
            <w:pPr>
              <w:pStyle w:val="Tabla9"/>
              <w:jc w:val="left"/>
            </w:pPr>
            <w:r>
              <w:t xml:space="preserve">Dos veces</w:t>
            </w:r>
          </w:p>
        </w:tc>
        <w:tc>
          <w:tcPr/>
          <w:p>
            <w:pPr>
              <w:pStyle w:val="Tabla9"/>
              <w:jc w:val="left"/>
            </w:pPr>
            <w:r>
              <w:t xml:space="preserve">2</w:t>
            </w:r>
          </w:p>
        </w:tc>
        <w:tc>
          <w:tcPr/>
          <w:p>
            <w:pPr>
              <w:pStyle w:val="Tabla9"/>
              <w:jc w:val="left"/>
            </w:pPr>
            <w:r>
              <w:t xml:space="preserve">Meses 12 y 24</w:t>
            </w:r>
          </w:p>
        </w:tc>
        <w:tc>
          <w:tcPr/>
          <w:p>
            <w:pPr>
              <w:pStyle w:val="Tabla9"/>
              <w:jc w:val="left"/>
            </w:pPr>
            <w:r>
              <w:t xml:space="preserve">Evaluador externo</w:t>
            </w:r>
          </w:p>
        </w:tc>
        <w:tc>
          <w:tcPr/>
          <w:p>
            <w:pPr>
              <w:pStyle w:val="Tabla9"/>
              <w:jc w:val="left"/>
            </w:pPr>
            <w:r>
              <w:t xml:space="preserve">PROPUESTO</w:t>
            </w:r>
          </w:p>
        </w:tc>
      </w:tr>
      <w:tr>
        <w:trPr>
          <w:cantSplit/>
        </w:trPr>
        <w:tc>
          <w:tcPr/>
          <w:p>
            <w:pPr>
              <w:pStyle w:val="Tabla9"/>
              <w:jc w:val="left"/>
            </w:pPr>
            <w:r>
              <w:t xml:space="preserve">Ensayo de desempeño con laboratorio externo (línea S08)</w:t>
            </w:r>
          </w:p>
        </w:tc>
        <w:tc>
          <w:tcPr/>
          <w:p>
            <w:pPr>
              <w:pStyle w:val="Tabla9"/>
              <w:jc w:val="left"/>
            </w:pPr>
            <w:r>
              <w:t xml:space="preserve">Una campaña</w:t>
            </w:r>
          </w:p>
        </w:tc>
        <w:tc>
          <w:tcPr/>
          <w:p>
            <w:pPr>
              <w:pStyle w:val="Tabla9"/>
              <w:jc w:val="left"/>
            </w:pPr>
            <w:r>
              <w:t xml:space="preserve">1</w:t>
            </w:r>
          </w:p>
        </w:tc>
        <w:tc>
          <w:tcPr/>
          <w:p>
            <w:pPr>
              <w:pStyle w:val="Tabla9"/>
              <w:jc w:val="left"/>
            </w:pPr>
            <w:r>
              <w:t xml:space="preserve">Meses 20 a 24</w:t>
            </w:r>
          </w:p>
        </w:tc>
        <w:tc>
          <w:tcPr/>
          <w:p>
            <w:pPr>
              <w:pStyle w:val="Tabla9"/>
              <w:jc w:val="left"/>
            </w:pPr>
            <w:r>
              <w:t xml:space="preserve">Laboratorio externo</w:t>
            </w:r>
          </w:p>
        </w:tc>
        <w:tc>
          <w:tcPr/>
          <w:p>
            <w:pPr>
              <w:pStyle w:val="Tabla9"/>
              <w:jc w:val="left"/>
            </w:pPr>
            <w:r>
              <w:t xml:space="preserve">PROPUESTO</w:t>
            </w:r>
          </w:p>
        </w:tc>
      </w:tr>
      <w:tr>
        <w:trPr>
          <w:cantSplit/>
        </w:trPr>
        <w:tc>
          <w:tcPr/>
          <w:p>
            <w:pPr>
              <w:pStyle w:val="Tabla9"/>
              <w:jc w:val="left"/>
            </w:pPr>
            <w:r>
              <w:t xml:space="preserve">Acta de entrega a custodios y cierre (C3)</w:t>
            </w:r>
          </w:p>
        </w:tc>
        <w:tc>
          <w:tcPr/>
          <w:p>
            <w:pPr>
              <w:pStyle w:val="Tabla9"/>
              <w:jc w:val="left"/>
            </w:pPr>
            <w:r>
              <w:t xml:space="preserve">Una vez</w:t>
            </w:r>
          </w:p>
        </w:tc>
        <w:tc>
          <w:tcPr/>
          <w:p>
            <w:pPr>
              <w:pStyle w:val="Tabla9"/>
              <w:jc w:val="left"/>
            </w:pPr>
            <w:r>
              <w:t xml:space="preserve">1</w:t>
            </w:r>
          </w:p>
        </w:tc>
        <w:tc>
          <w:tcPr/>
          <w:p>
            <w:pPr>
              <w:pStyle w:val="Tabla9"/>
              <w:jc w:val="left"/>
            </w:pPr>
            <w:r>
              <w:t xml:space="preserve">Mes 24</w:t>
            </w:r>
          </w:p>
        </w:tc>
        <w:tc>
          <w:tcPr/>
          <w:p>
            <w:pPr>
              <w:pStyle w:val="Tabla9"/>
              <w:jc w:val="left"/>
            </w:pPr>
            <w:r>
              <w:t xml:space="preserve">Comité directivo</w:t>
            </w:r>
          </w:p>
        </w:tc>
        <w:tc>
          <w:tcPr/>
          <w:p>
            <w:pPr>
              <w:pStyle w:val="Tabla9"/>
              <w:jc w:val="left"/>
            </w:pPr>
            <w:r>
              <w:t xml:space="preserve">PROPUESTO</w:t>
            </w:r>
          </w:p>
        </w:tc>
      </w:tr>
      <w:tr>
        <w:trPr>
          <w:cantSplit/>
        </w:trPr>
        <w:tc>
          <w:tcPr/>
          <w:p>
            <w:pPr>
              <w:pStyle w:val="Tabla9"/>
              <w:jc w:val="left"/>
            </w:pPr>
            <w:r>
              <w:t xml:space="preserve">Medición posproyecto de PERS-S01 y PERS-S02</w:t>
            </w:r>
          </w:p>
        </w:tc>
        <w:tc>
          <w:tcPr/>
          <w:p>
            <w:pPr>
              <w:pStyle w:val="Tabla9"/>
              <w:jc w:val="left"/>
            </w:pPr>
            <w:r>
              <w:t xml:space="preserve">Anual</w:t>
            </w:r>
          </w:p>
        </w:tc>
        <w:tc>
          <w:tcPr/>
          <w:p>
            <w:pPr>
              <w:pStyle w:val="Tabla9"/>
              <w:jc w:val="left"/>
            </w:pPr>
            <w:r>
              <w:t xml:space="preserve">2</w:t>
            </w:r>
          </w:p>
        </w:tc>
        <w:tc>
          <w:tcPr/>
          <w:p>
            <w:pPr>
              <w:pStyle w:val="Tabla9"/>
              <w:jc w:val="left"/>
            </w:pPr>
            <w:r>
              <w:t xml:space="preserve">Meses 30 y 36</w:t>
            </w:r>
          </w:p>
        </w:tc>
        <w:tc>
          <w:tcPr/>
          <w:p>
            <w:pPr>
              <w:pStyle w:val="Tabla9"/>
              <w:jc w:val="left"/>
            </w:pPr>
            <w:r>
              <w:t xml:space="preserve">Evaluador externo</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§6 y §8 y del capítulo 12. Las mediciones de los meses 30 y 36 ocurren después del cierre y no se financian con el presupuesto SGR. Naturaleza: PROPUESTO. Decimales con coma.</w:t>
      </w:r>
    </w:p>
    <w:p>
      <w:pPr>
        <w:pStyle w:val="BodyText"/>
      </w:pPr>
      <w:r>
        <w:t xml:space="preserve">El calendario suma 24 informes mensuales, ocho trimestrales y cuatro semestrales durante la ejecución. Esa carga equivale a 36 entregas periódicas en 24 meses, además de las actas y las evaluaciones. La carga de reporte consume tiempo de la gerencia y de los profesionales de convenios (PMI, 2021). El presupuesto asigna un cargo de gerencia (línea P06) y uno de convenios y custodia (línea P14). Si los términos de referencia exigen una frecuencia mayor, la gerencia necesita apoyo adicional que el presupuesto no incluye.</w:t>
      </w:r>
    </w:p>
    <w:bookmarkEnd w:id="526"/>
    <w:bookmarkStart w:id="530" w:name="_Toc00900215"/>
    <w:p>
      <w:pPr>
        <w:pStyle w:val="Heading2"/>
      </w:pPr>
      <w:r>
        <w:t xml:space="preserve">9.3 Ruta Crítica</w:t>
      </w:r>
    </w:p>
    <w:p>
      <w:pPr>
        <w:pStyle w:val="FirstParagraph"/>
      </w:pPr>
      <w:r>
        <w:t xml:space="preserve">La ruta crítica es la secuencia más larga de actividades dependientes y fija la duración mínima del proyecto (PMI, 2021). En esta red suma 104 semanas y comprende 13 de las 17 actividades. Dos ramas críticas corren en paralelo entre las semanas 14 y 24: la adquisición del lote 1 (A1.2) y el desarrollo de firmware (A2.2). Las dos duran diez semanas y no tienen holgura. La Tabla 9.3 presenta el cálculo completo y la Figura 9.2 muestra el diagrama de red.</w:t>
      </w:r>
    </w:p>
    <w:p>
      <w:pPr>
        <w:pStyle w:val="TablaRotulo"/>
      </w:pPr>
      <w:bookmarkStart w:id="9316" w:name="rot_Tabla_9_3"/>
      <w:r>
        <w:rPr>
          <w:b/>
          <w:bCs/>
        </w:rPr>
        <w:t xml:space="preserve">Tabla 9.3</w:t>
      </w:r>
      <w:bookmarkEnd w:id="9316"/>
    </w:p>
    <w:p>
      <w:pPr>
        <w:pStyle w:val="TablaTitulo"/>
      </w:pPr>
      <w:r>
        <w:rPr>
          <w:i/>
          <w:iCs/>
        </w:rPr>
        <w:t xml:space="preserve">Análisis de ruta crítica por actividad</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28"/>
        <w:gridCol w:w="1320"/>
        <w:gridCol w:w="528"/>
        <w:gridCol w:w="858"/>
        <w:gridCol w:w="858"/>
        <w:gridCol w:w="858"/>
        <w:gridCol w:w="726"/>
        <w:gridCol w:w="660"/>
        <w:gridCol w:w="792"/>
        <w:gridCol w:w="792"/>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Actividad</w:t>
            </w:r>
          </w:p>
        </w:tc>
        <w:tc>
          <w:tcPr>
            <w:shd w:val="clear" w:color="auto" w:fill="00B050"/>
          </w:tcPr>
          <w:p>
            <w:pPr>
              <w:pStyle w:val="Tabla8"/>
              <w:jc w:val="center"/>
            </w:pPr>
            <w:r>
              <w:rPr>
                <w:b/>
                <w:color w:val="FFFFFF"/>
              </w:rPr>
              <w:t xml:space="preserve">WP</w:t>
            </w:r>
          </w:p>
        </w:tc>
        <w:tc>
          <w:tcPr>
            <w:shd w:val="clear" w:color="auto" w:fill="00B050"/>
          </w:tcPr>
          <w:p>
            <w:pPr>
              <w:pStyle w:val="Tabla8"/>
              <w:jc w:val="center"/>
            </w:pPr>
            <w:r>
              <w:rPr>
                <w:b/>
                <w:color w:val="FFFFFF"/>
              </w:rPr>
              <w:t xml:space="preserve">Duración (sem.)</w:t>
            </w:r>
          </w:p>
        </w:tc>
        <w:tc>
          <w:tcPr>
            <w:shd w:val="clear" w:color="auto" w:fill="00B050"/>
          </w:tcPr>
          <w:p>
            <w:pPr>
              <w:pStyle w:val="Tabla8"/>
              <w:jc w:val="center"/>
            </w:pPr>
            <w:r>
              <w:rPr>
                <w:b/>
                <w:color w:val="FFFFFF"/>
              </w:rPr>
              <w:t xml:space="preserve">Inicio temprano</w:t>
            </w:r>
          </w:p>
        </w:tc>
        <w:tc>
          <w:tcPr>
            <w:shd w:val="clear" w:color="auto" w:fill="00B050"/>
          </w:tcPr>
          <w:p>
            <w:pPr>
              <w:pStyle w:val="Tabla8"/>
              <w:jc w:val="center"/>
            </w:pPr>
            <w:r>
              <w:rPr>
                <w:b/>
                <w:color w:val="FFFFFF"/>
              </w:rPr>
              <w:t xml:space="preserve">Fin temprano</w:t>
            </w:r>
          </w:p>
        </w:tc>
        <w:tc>
          <w:tcPr>
            <w:shd w:val="clear" w:color="auto" w:fill="00B050"/>
          </w:tcPr>
          <w:p>
            <w:pPr>
              <w:pStyle w:val="Tabla8"/>
              <w:jc w:val="center"/>
            </w:pPr>
            <w:r>
              <w:rPr>
                <w:b/>
                <w:color w:val="FFFFFF"/>
              </w:rPr>
              <w:t xml:space="preserve">Inicio tardío</w:t>
            </w:r>
          </w:p>
        </w:tc>
        <w:tc>
          <w:tcPr>
            <w:shd w:val="clear" w:color="auto" w:fill="00B050"/>
          </w:tcPr>
          <w:p>
            <w:pPr>
              <w:pStyle w:val="Tabla8"/>
              <w:jc w:val="center"/>
            </w:pPr>
            <w:r>
              <w:rPr>
                <w:b/>
                <w:color w:val="FFFFFF"/>
              </w:rPr>
              <w:t xml:space="preserve">Fin tardío</w:t>
            </w:r>
          </w:p>
        </w:tc>
        <w:tc>
          <w:tcPr>
            <w:shd w:val="clear" w:color="auto" w:fill="00B050"/>
          </w:tcPr>
          <w:p>
            <w:pPr>
              <w:pStyle w:val="Tabla8"/>
              <w:jc w:val="center"/>
            </w:pPr>
            <w:r>
              <w:rPr>
                <w:b/>
                <w:color w:val="FFFFFF"/>
              </w:rPr>
              <w:t xml:space="preserve">Holgura (sem.)</w:t>
            </w:r>
          </w:p>
        </w:tc>
        <w:tc>
          <w:tcPr>
            <w:shd w:val="clear" w:color="auto" w:fill="00B050"/>
          </w:tcPr>
          <w:p>
            <w:pPr>
              <w:pStyle w:val="Tabla8"/>
              <w:jc w:val="center"/>
            </w:pPr>
            <w:r>
              <w:rPr>
                <w:b/>
                <w:color w:val="FFFFFF"/>
              </w:rPr>
              <w:t xml:space="preserve">Crítica</w:t>
            </w:r>
          </w:p>
        </w:tc>
      </w:tr>
      <w:tr>
        <w:trPr>
          <w:cantSplit/>
        </w:trPr>
        <w:tc>
          <w:tcPr/>
          <w:p>
            <w:pPr>
              <w:pStyle w:val="Tabla8"/>
              <w:jc w:val="left"/>
            </w:pPr>
            <w:r>
              <w:t xml:space="preserve">A0.1</w:t>
            </w:r>
          </w:p>
        </w:tc>
        <w:tc>
          <w:tcPr/>
          <w:p>
            <w:pPr>
              <w:pStyle w:val="Tabla8"/>
              <w:jc w:val="left"/>
            </w:pPr>
            <w:r>
              <w:t xml:space="preserve">Contratar equipo y firmar convenios de ejecución</w:t>
            </w:r>
          </w:p>
        </w:tc>
        <w:tc>
          <w:tcPr/>
          <w:p>
            <w:pPr>
              <w:pStyle w:val="Tabla8"/>
              <w:jc w:val="left"/>
            </w:pPr>
            <w:r>
              <w:t xml:space="preserve">WP0</w:t>
            </w:r>
          </w:p>
        </w:tc>
        <w:tc>
          <w:tcPr/>
          <w:p>
            <w:pPr>
              <w:pStyle w:val="Tabla8"/>
              <w:jc w:val="left"/>
            </w:pPr>
            <w:r>
              <w:t xml:space="preserve">8</w:t>
            </w:r>
          </w:p>
        </w:tc>
        <w:tc>
          <w:tcPr/>
          <w:p>
            <w:pPr>
              <w:pStyle w:val="Tabla8"/>
              <w:jc w:val="left"/>
            </w:pPr>
            <w:r>
              <w:t xml:space="preserve">0</w:t>
            </w:r>
          </w:p>
        </w:tc>
        <w:tc>
          <w:tcPr/>
          <w:p>
            <w:pPr>
              <w:pStyle w:val="Tabla8"/>
              <w:jc w:val="left"/>
            </w:pPr>
            <w:r>
              <w:t xml:space="preserve">8</w:t>
            </w:r>
          </w:p>
        </w:tc>
        <w:tc>
          <w:tcPr/>
          <w:p>
            <w:pPr>
              <w:pStyle w:val="Tabla8"/>
              <w:jc w:val="left"/>
            </w:pPr>
            <w:r>
              <w:t xml:space="preserve">0</w:t>
            </w:r>
          </w:p>
        </w:tc>
        <w:tc>
          <w:tcPr/>
          <w:p>
            <w:pPr>
              <w:pStyle w:val="Tabla8"/>
              <w:jc w:val="left"/>
            </w:pPr>
            <w:r>
              <w:t xml:space="preserve">8</w:t>
            </w:r>
          </w:p>
        </w:tc>
        <w:tc>
          <w:tcPr/>
          <w:p>
            <w:pPr>
              <w:pStyle w:val="Tabla8"/>
              <w:jc w:val="left"/>
            </w:pPr>
            <w:r>
              <w:t xml:space="preserve">0</w:t>
            </w:r>
          </w:p>
        </w:tc>
        <w:tc>
          <w:tcPr/>
          <w:p>
            <w:pPr>
              <w:pStyle w:val="Tabla8"/>
              <w:jc w:val="left"/>
            </w:pPr>
            <w:r>
              <w:t xml:space="preserve">Sí</w:t>
            </w:r>
          </w:p>
        </w:tc>
      </w:tr>
      <w:tr>
        <w:trPr>
          <w:cantSplit/>
        </w:trPr>
        <w:tc>
          <w:tcPr/>
          <w:p>
            <w:pPr>
              <w:pStyle w:val="Tabla8"/>
              <w:jc w:val="left"/>
            </w:pPr>
            <w:r>
              <w:t xml:space="preserve">A1.1</w:t>
            </w:r>
          </w:p>
        </w:tc>
        <w:tc>
          <w:tcPr/>
          <w:p>
            <w:pPr>
              <w:pStyle w:val="Tabla8"/>
              <w:jc w:val="left"/>
            </w:pPr>
            <w:r>
              <w:t xml:space="preserve">Seleccionar sitios y diseñar la colocalización</w:t>
            </w:r>
          </w:p>
        </w:tc>
        <w:tc>
          <w:tcPr/>
          <w:p>
            <w:pPr>
              <w:pStyle w:val="Tabla8"/>
              <w:jc w:val="left"/>
            </w:pPr>
            <w:r>
              <w:t xml:space="preserve">WP1</w:t>
            </w:r>
          </w:p>
        </w:tc>
        <w:tc>
          <w:tcPr/>
          <w:p>
            <w:pPr>
              <w:pStyle w:val="Tabla8"/>
              <w:jc w:val="left"/>
            </w:pPr>
            <w:r>
              <w:t xml:space="preserve">4</w:t>
            </w:r>
          </w:p>
        </w:tc>
        <w:tc>
          <w:tcPr/>
          <w:p>
            <w:pPr>
              <w:pStyle w:val="Tabla8"/>
              <w:jc w:val="left"/>
            </w:pPr>
            <w:r>
              <w:t xml:space="preserve">8</w:t>
            </w:r>
          </w:p>
        </w:tc>
        <w:tc>
          <w:tcPr/>
          <w:p>
            <w:pPr>
              <w:pStyle w:val="Tabla8"/>
              <w:jc w:val="left"/>
            </w:pPr>
            <w:r>
              <w:t xml:space="preserve">12</w:t>
            </w:r>
          </w:p>
        </w:tc>
        <w:tc>
          <w:tcPr/>
          <w:p>
            <w:pPr>
              <w:pStyle w:val="Tabla8"/>
              <w:jc w:val="left"/>
            </w:pPr>
            <w:r>
              <w:t xml:space="preserve">10</w:t>
            </w:r>
          </w:p>
        </w:tc>
        <w:tc>
          <w:tcPr/>
          <w:p>
            <w:pPr>
              <w:pStyle w:val="Tabla8"/>
              <w:jc w:val="left"/>
            </w:pPr>
            <w:r>
              <w:t xml:space="preserve">14</w:t>
            </w:r>
          </w:p>
        </w:tc>
        <w:tc>
          <w:tcPr/>
          <w:p>
            <w:pPr>
              <w:pStyle w:val="Tabla8"/>
              <w:jc w:val="left"/>
            </w:pPr>
            <w:r>
              <w:t xml:space="preserve">2</w:t>
            </w:r>
          </w:p>
        </w:tc>
        <w:tc>
          <w:tcPr/>
          <w:p>
            <w:pPr>
              <w:pStyle w:val="Tabla8"/>
              <w:jc w:val="left"/>
            </w:pPr>
            <w:r>
              <w:t xml:space="preserve">No</w:t>
            </w:r>
          </w:p>
        </w:tc>
      </w:tr>
      <w:tr>
        <w:trPr>
          <w:cantSplit/>
        </w:trPr>
        <w:tc>
          <w:tcPr/>
          <w:p>
            <w:pPr>
              <w:pStyle w:val="Tabla8"/>
              <w:jc w:val="left"/>
            </w:pPr>
            <w:r>
              <w:t xml:space="preserve">A2.1</w:t>
            </w:r>
          </w:p>
        </w:tc>
        <w:tc>
          <w:tcPr/>
          <w:p>
            <w:pPr>
              <w:pStyle w:val="Tabla8"/>
              <w:jc w:val="left"/>
            </w:pPr>
            <w:r>
              <w:t xml:space="preserve">Diseñar arquitectura de enlace y energía</w:t>
            </w:r>
          </w:p>
        </w:tc>
        <w:tc>
          <w:tcPr/>
          <w:p>
            <w:pPr>
              <w:pStyle w:val="Tabla8"/>
              <w:jc w:val="left"/>
            </w:pPr>
            <w:r>
              <w:t xml:space="preserve">WP2</w:t>
            </w:r>
          </w:p>
        </w:tc>
        <w:tc>
          <w:tcPr/>
          <w:p>
            <w:pPr>
              <w:pStyle w:val="Tabla8"/>
              <w:jc w:val="left"/>
            </w:pPr>
            <w:r>
              <w:t xml:space="preserve">6</w:t>
            </w:r>
          </w:p>
        </w:tc>
        <w:tc>
          <w:tcPr/>
          <w:p>
            <w:pPr>
              <w:pStyle w:val="Tabla8"/>
              <w:jc w:val="left"/>
            </w:pPr>
            <w:r>
              <w:t xml:space="preserve">8</w:t>
            </w:r>
          </w:p>
        </w:tc>
        <w:tc>
          <w:tcPr/>
          <w:p>
            <w:pPr>
              <w:pStyle w:val="Tabla8"/>
              <w:jc w:val="left"/>
            </w:pPr>
            <w:r>
              <w:t xml:space="preserve">14</w:t>
            </w:r>
          </w:p>
        </w:tc>
        <w:tc>
          <w:tcPr/>
          <w:p>
            <w:pPr>
              <w:pStyle w:val="Tabla8"/>
              <w:jc w:val="left"/>
            </w:pPr>
            <w:r>
              <w:t xml:space="preserve">8</w:t>
            </w:r>
          </w:p>
        </w:tc>
        <w:tc>
          <w:tcPr/>
          <w:p>
            <w:pPr>
              <w:pStyle w:val="Tabla8"/>
              <w:jc w:val="left"/>
            </w:pPr>
            <w:r>
              <w:t xml:space="preserve">14</w:t>
            </w:r>
          </w:p>
        </w:tc>
        <w:tc>
          <w:tcPr/>
          <w:p>
            <w:pPr>
              <w:pStyle w:val="Tabla8"/>
              <w:jc w:val="left"/>
            </w:pPr>
            <w:r>
              <w:t xml:space="preserve">0</w:t>
            </w:r>
          </w:p>
        </w:tc>
        <w:tc>
          <w:tcPr/>
          <w:p>
            <w:pPr>
              <w:pStyle w:val="Tabla8"/>
              <w:jc w:val="left"/>
            </w:pPr>
            <w:r>
              <w:t xml:space="preserve">Sí</w:t>
            </w:r>
          </w:p>
        </w:tc>
      </w:tr>
      <w:tr>
        <w:trPr>
          <w:cantSplit/>
        </w:trPr>
        <w:tc>
          <w:tcPr/>
          <w:p>
            <w:pPr>
              <w:pStyle w:val="Tabla8"/>
              <w:jc w:val="left"/>
            </w:pPr>
            <w:r>
              <w:t xml:space="preserve">A3.1</w:t>
            </w:r>
          </w:p>
        </w:tc>
        <w:tc>
          <w:tcPr/>
          <w:p>
            <w:pPr>
              <w:pStyle w:val="Tabla8"/>
              <w:jc w:val="left"/>
            </w:pPr>
            <w:r>
              <w:t xml:space="preserve">Co-diseñar umbrales y protocolo de alerta con comités</w:t>
            </w:r>
          </w:p>
        </w:tc>
        <w:tc>
          <w:tcPr/>
          <w:p>
            <w:pPr>
              <w:pStyle w:val="Tabla8"/>
              <w:jc w:val="left"/>
            </w:pPr>
            <w:r>
              <w:t xml:space="preserve">WP3</w:t>
            </w:r>
          </w:p>
        </w:tc>
        <w:tc>
          <w:tcPr/>
          <w:p>
            <w:pPr>
              <w:pStyle w:val="Tabla8"/>
              <w:jc w:val="left"/>
            </w:pPr>
            <w:r>
              <w:t xml:space="preserve">24</w:t>
            </w:r>
          </w:p>
        </w:tc>
        <w:tc>
          <w:tcPr/>
          <w:p>
            <w:pPr>
              <w:pStyle w:val="Tabla8"/>
              <w:jc w:val="left"/>
            </w:pPr>
            <w:r>
              <w:t xml:space="preserve">12</w:t>
            </w:r>
          </w:p>
        </w:tc>
        <w:tc>
          <w:tcPr/>
          <w:p>
            <w:pPr>
              <w:pStyle w:val="Tabla8"/>
              <w:jc w:val="left"/>
            </w:pPr>
            <w:r>
              <w:t xml:space="preserve">36</w:t>
            </w:r>
          </w:p>
        </w:tc>
        <w:tc>
          <w:tcPr/>
          <w:p>
            <w:pPr>
              <w:pStyle w:val="Tabla8"/>
              <w:jc w:val="left"/>
            </w:pPr>
            <w:r>
              <w:t xml:space="preserve">24</w:t>
            </w:r>
          </w:p>
        </w:tc>
        <w:tc>
          <w:tcPr/>
          <w:p>
            <w:pPr>
              <w:pStyle w:val="Tabla8"/>
              <w:jc w:val="left"/>
            </w:pPr>
            <w:r>
              <w:t xml:space="preserve">48</w:t>
            </w:r>
          </w:p>
        </w:tc>
        <w:tc>
          <w:tcPr/>
          <w:p>
            <w:pPr>
              <w:pStyle w:val="Tabla8"/>
              <w:jc w:val="left"/>
            </w:pPr>
            <w:r>
              <w:t xml:space="preserve">12</w:t>
            </w:r>
          </w:p>
        </w:tc>
        <w:tc>
          <w:tcPr/>
          <w:p>
            <w:pPr>
              <w:pStyle w:val="Tabla8"/>
              <w:jc w:val="left"/>
            </w:pPr>
            <w:r>
              <w:t xml:space="preserve">No</w:t>
            </w:r>
          </w:p>
        </w:tc>
      </w:tr>
      <w:tr>
        <w:trPr>
          <w:cantSplit/>
        </w:trPr>
        <w:tc>
          <w:tcPr/>
          <w:p>
            <w:pPr>
              <w:pStyle w:val="Tabla8"/>
              <w:jc w:val="left"/>
            </w:pPr>
            <w:r>
              <w:t xml:space="preserve">A1.2</w:t>
            </w:r>
          </w:p>
        </w:tc>
        <w:tc>
          <w:tcPr/>
          <w:p>
            <w:pPr>
              <w:pStyle w:val="Tabla8"/>
              <w:jc w:val="left"/>
            </w:pPr>
            <w:r>
              <w:t xml:space="preserve">Adquirir y caracterizar lote 1 de nodos y referencias</w:t>
            </w:r>
          </w:p>
        </w:tc>
        <w:tc>
          <w:tcPr/>
          <w:p>
            <w:pPr>
              <w:pStyle w:val="Tabla8"/>
              <w:jc w:val="left"/>
            </w:pPr>
            <w:r>
              <w:t xml:space="preserve">WP1</w:t>
            </w:r>
          </w:p>
        </w:tc>
        <w:tc>
          <w:tcPr/>
          <w:p>
            <w:pPr>
              <w:pStyle w:val="Tabla8"/>
              <w:jc w:val="left"/>
            </w:pPr>
            <w:r>
              <w:t xml:space="preserve">10</w:t>
            </w:r>
          </w:p>
        </w:tc>
        <w:tc>
          <w:tcPr/>
          <w:p>
            <w:pPr>
              <w:pStyle w:val="Tabla8"/>
              <w:jc w:val="left"/>
            </w:pPr>
            <w:r>
              <w:t xml:space="preserve">14</w:t>
            </w:r>
          </w:p>
        </w:tc>
        <w:tc>
          <w:tcPr/>
          <w:p>
            <w:pPr>
              <w:pStyle w:val="Tabla8"/>
              <w:jc w:val="left"/>
            </w:pPr>
            <w:r>
              <w:t xml:space="preserve">24</w:t>
            </w:r>
          </w:p>
        </w:tc>
        <w:tc>
          <w:tcPr/>
          <w:p>
            <w:pPr>
              <w:pStyle w:val="Tabla8"/>
              <w:jc w:val="left"/>
            </w:pPr>
            <w:r>
              <w:t xml:space="preserve">14</w:t>
            </w:r>
          </w:p>
        </w:tc>
        <w:tc>
          <w:tcPr/>
          <w:p>
            <w:pPr>
              <w:pStyle w:val="Tabla8"/>
              <w:jc w:val="left"/>
            </w:pPr>
            <w:r>
              <w:t xml:space="preserve">24</w:t>
            </w:r>
          </w:p>
        </w:tc>
        <w:tc>
          <w:tcPr/>
          <w:p>
            <w:pPr>
              <w:pStyle w:val="Tabla8"/>
              <w:jc w:val="left"/>
            </w:pPr>
            <w:r>
              <w:t xml:space="preserve">0</w:t>
            </w:r>
          </w:p>
        </w:tc>
        <w:tc>
          <w:tcPr/>
          <w:p>
            <w:pPr>
              <w:pStyle w:val="Tabla8"/>
              <w:jc w:val="left"/>
            </w:pPr>
            <w:r>
              <w:t xml:space="preserve">Sí</w:t>
            </w:r>
          </w:p>
        </w:tc>
      </w:tr>
      <w:tr>
        <w:trPr>
          <w:cantSplit/>
        </w:trPr>
        <w:tc>
          <w:tcPr/>
          <w:p>
            <w:pPr>
              <w:pStyle w:val="Tabla8"/>
              <w:jc w:val="left"/>
            </w:pPr>
            <w:r>
              <w:t xml:space="preserve">A2.2</w:t>
            </w:r>
          </w:p>
        </w:tc>
        <w:tc>
          <w:tcPr/>
          <w:p>
            <w:pPr>
              <w:pStyle w:val="Tabla8"/>
              <w:jc w:val="left"/>
            </w:pPr>
            <w:r>
              <w:t xml:space="preserve">Desarrollar firmware y plataforma base</w:t>
            </w:r>
          </w:p>
        </w:tc>
        <w:tc>
          <w:tcPr/>
          <w:p>
            <w:pPr>
              <w:pStyle w:val="Tabla8"/>
              <w:jc w:val="left"/>
            </w:pPr>
            <w:r>
              <w:t xml:space="preserve">WP2</w:t>
            </w:r>
          </w:p>
        </w:tc>
        <w:tc>
          <w:tcPr/>
          <w:p>
            <w:pPr>
              <w:pStyle w:val="Tabla8"/>
              <w:jc w:val="left"/>
            </w:pPr>
            <w:r>
              <w:t xml:space="preserve">10</w:t>
            </w:r>
          </w:p>
        </w:tc>
        <w:tc>
          <w:tcPr/>
          <w:p>
            <w:pPr>
              <w:pStyle w:val="Tabla8"/>
              <w:jc w:val="left"/>
            </w:pPr>
            <w:r>
              <w:t xml:space="preserve">14</w:t>
            </w:r>
          </w:p>
        </w:tc>
        <w:tc>
          <w:tcPr/>
          <w:p>
            <w:pPr>
              <w:pStyle w:val="Tabla8"/>
              <w:jc w:val="left"/>
            </w:pPr>
            <w:r>
              <w:t xml:space="preserve">24</w:t>
            </w:r>
          </w:p>
        </w:tc>
        <w:tc>
          <w:tcPr/>
          <w:p>
            <w:pPr>
              <w:pStyle w:val="Tabla8"/>
              <w:jc w:val="left"/>
            </w:pPr>
            <w:r>
              <w:t xml:space="preserve">14</w:t>
            </w:r>
          </w:p>
        </w:tc>
        <w:tc>
          <w:tcPr/>
          <w:p>
            <w:pPr>
              <w:pStyle w:val="Tabla8"/>
              <w:jc w:val="left"/>
            </w:pPr>
            <w:r>
              <w:t xml:space="preserve">24</w:t>
            </w:r>
          </w:p>
        </w:tc>
        <w:tc>
          <w:tcPr/>
          <w:p>
            <w:pPr>
              <w:pStyle w:val="Tabla8"/>
              <w:jc w:val="left"/>
            </w:pPr>
            <w:r>
              <w:t xml:space="preserve">0</w:t>
            </w:r>
          </w:p>
        </w:tc>
        <w:tc>
          <w:tcPr/>
          <w:p>
            <w:pPr>
              <w:pStyle w:val="Tabla8"/>
              <w:jc w:val="left"/>
            </w:pPr>
            <w:r>
              <w:t xml:space="preserve">Sí</w:t>
            </w:r>
          </w:p>
        </w:tc>
      </w:tr>
      <w:tr>
        <w:trPr>
          <w:cantSplit/>
        </w:trPr>
        <w:tc>
          <w:tcPr/>
          <w:p>
            <w:pPr>
              <w:pStyle w:val="Tabla8"/>
              <w:jc w:val="left"/>
            </w:pPr>
            <w:r>
              <w:t xml:space="preserve">A1.3</w:t>
            </w:r>
          </w:p>
        </w:tc>
        <w:tc>
          <w:tcPr/>
          <w:p>
            <w:pPr>
              <w:pStyle w:val="Tabla8"/>
              <w:jc w:val="left"/>
            </w:pPr>
            <w:r>
              <w:t xml:space="preserve">Colocalizar y calibrar en el piloto (tramo 1)</w:t>
            </w:r>
          </w:p>
        </w:tc>
        <w:tc>
          <w:tcPr/>
          <w:p>
            <w:pPr>
              <w:pStyle w:val="Tabla8"/>
              <w:jc w:val="left"/>
            </w:pPr>
            <w:r>
              <w:t xml:space="preserve">WP1</w:t>
            </w:r>
          </w:p>
        </w:tc>
        <w:tc>
          <w:tcPr/>
          <w:p>
            <w:pPr>
              <w:pStyle w:val="Tabla8"/>
              <w:jc w:val="left"/>
            </w:pPr>
            <w:r>
              <w:t xml:space="preserve">16</w:t>
            </w:r>
          </w:p>
        </w:tc>
        <w:tc>
          <w:tcPr/>
          <w:p>
            <w:pPr>
              <w:pStyle w:val="Tabla8"/>
              <w:jc w:val="left"/>
            </w:pPr>
            <w:r>
              <w:t xml:space="preserve">24</w:t>
            </w:r>
          </w:p>
        </w:tc>
        <w:tc>
          <w:tcPr/>
          <w:p>
            <w:pPr>
              <w:pStyle w:val="Tabla8"/>
              <w:jc w:val="left"/>
            </w:pPr>
            <w:r>
              <w:t xml:space="preserve">40</w:t>
            </w:r>
          </w:p>
        </w:tc>
        <w:tc>
          <w:tcPr/>
          <w:p>
            <w:pPr>
              <w:pStyle w:val="Tabla8"/>
              <w:jc w:val="left"/>
            </w:pPr>
            <w:r>
              <w:t xml:space="preserve">24</w:t>
            </w:r>
          </w:p>
        </w:tc>
        <w:tc>
          <w:tcPr/>
          <w:p>
            <w:pPr>
              <w:pStyle w:val="Tabla8"/>
              <w:jc w:val="left"/>
            </w:pPr>
            <w:r>
              <w:t xml:space="preserve">40</w:t>
            </w:r>
          </w:p>
        </w:tc>
        <w:tc>
          <w:tcPr/>
          <w:p>
            <w:pPr>
              <w:pStyle w:val="Tabla8"/>
              <w:jc w:val="left"/>
            </w:pPr>
            <w:r>
              <w:t xml:space="preserve">0</w:t>
            </w:r>
          </w:p>
        </w:tc>
        <w:tc>
          <w:tcPr/>
          <w:p>
            <w:pPr>
              <w:pStyle w:val="Tabla8"/>
              <w:jc w:val="left"/>
            </w:pPr>
            <w:r>
              <w:t xml:space="preserve">Sí</w:t>
            </w:r>
          </w:p>
        </w:tc>
      </w:tr>
      <w:tr>
        <w:trPr>
          <w:cantSplit/>
        </w:trPr>
        <w:tc>
          <w:tcPr/>
          <w:p>
            <w:pPr>
              <w:pStyle w:val="Tabla8"/>
              <w:jc w:val="left"/>
            </w:pPr>
            <w:r>
              <w:t xml:space="preserve">A1.4</w:t>
            </w:r>
          </w:p>
        </w:tc>
        <w:tc>
          <w:tcPr/>
          <w:p>
            <w:pPr>
              <w:pStyle w:val="Tabla8"/>
              <w:jc w:val="left"/>
            </w:pPr>
            <w:r>
              <w:t xml:space="preserve">Entrenar y validar el modelo de corrección</w:t>
            </w:r>
          </w:p>
        </w:tc>
        <w:tc>
          <w:tcPr/>
          <w:p>
            <w:pPr>
              <w:pStyle w:val="Tabla8"/>
              <w:jc w:val="left"/>
            </w:pPr>
            <w:r>
              <w:t xml:space="preserve">WP1</w:t>
            </w:r>
          </w:p>
        </w:tc>
        <w:tc>
          <w:tcPr/>
          <w:p>
            <w:pPr>
              <w:pStyle w:val="Tabla8"/>
              <w:jc w:val="left"/>
            </w:pPr>
            <w:r>
              <w:t xml:space="preserve">8</w:t>
            </w:r>
          </w:p>
        </w:tc>
        <w:tc>
          <w:tcPr/>
          <w:p>
            <w:pPr>
              <w:pStyle w:val="Tabla8"/>
              <w:jc w:val="left"/>
            </w:pPr>
            <w:r>
              <w:t xml:space="preserve">40</w:t>
            </w:r>
          </w:p>
        </w:tc>
        <w:tc>
          <w:tcPr/>
          <w:p>
            <w:pPr>
              <w:pStyle w:val="Tabla8"/>
              <w:jc w:val="left"/>
            </w:pPr>
            <w:r>
              <w:t xml:space="preserve">48</w:t>
            </w:r>
          </w:p>
        </w:tc>
        <w:tc>
          <w:tcPr/>
          <w:p>
            <w:pPr>
              <w:pStyle w:val="Tabla8"/>
              <w:jc w:val="left"/>
            </w:pPr>
            <w:r>
              <w:t xml:space="preserve">40</w:t>
            </w:r>
          </w:p>
        </w:tc>
        <w:tc>
          <w:tcPr/>
          <w:p>
            <w:pPr>
              <w:pStyle w:val="Tabla8"/>
              <w:jc w:val="left"/>
            </w:pPr>
            <w:r>
              <w:t xml:space="preserve">48</w:t>
            </w:r>
          </w:p>
        </w:tc>
        <w:tc>
          <w:tcPr/>
          <w:p>
            <w:pPr>
              <w:pStyle w:val="Tabla8"/>
              <w:jc w:val="left"/>
            </w:pPr>
            <w:r>
              <w:t xml:space="preserve">0</w:t>
            </w:r>
          </w:p>
        </w:tc>
        <w:tc>
          <w:tcPr/>
          <w:p>
            <w:pPr>
              <w:pStyle w:val="Tabla8"/>
              <w:jc w:val="left"/>
            </w:pPr>
            <w:r>
              <w:t xml:space="preserve">Sí</w:t>
            </w:r>
          </w:p>
        </w:tc>
      </w:tr>
      <w:tr>
        <w:trPr>
          <w:cantSplit/>
        </w:trPr>
        <w:tc>
          <w:tcPr/>
          <w:p>
            <w:pPr>
              <w:pStyle w:val="Tabla8"/>
              <w:jc w:val="left"/>
            </w:pPr>
            <w:r>
              <w:t xml:space="preserve">C1</w:t>
            </w:r>
          </w:p>
        </w:tc>
        <w:tc>
          <w:tcPr/>
          <w:p>
            <w:pPr>
              <w:pStyle w:val="Tabla8"/>
              <w:jc w:val="left"/>
            </w:pPr>
            <w:r>
              <w:t xml:space="preserve">Compuerta C1: decisión de ampliación al tramo 2</w:t>
            </w:r>
          </w:p>
        </w:tc>
        <w:tc>
          <w:tcPr/>
          <w:p>
            <w:pPr>
              <w:pStyle w:val="Tabla8"/>
              <w:jc w:val="left"/>
            </w:pPr>
            <w:r>
              <w:t xml:space="preserve">WP0</w:t>
            </w:r>
          </w:p>
        </w:tc>
        <w:tc>
          <w:tcPr/>
          <w:p>
            <w:pPr>
              <w:pStyle w:val="Tabla8"/>
              <w:jc w:val="left"/>
            </w:pPr>
            <w:r>
              <w:t xml:space="preserve">2</w:t>
            </w:r>
          </w:p>
        </w:tc>
        <w:tc>
          <w:tcPr/>
          <w:p>
            <w:pPr>
              <w:pStyle w:val="Tabla8"/>
              <w:jc w:val="left"/>
            </w:pPr>
            <w:r>
              <w:t xml:space="preserve">48</w:t>
            </w:r>
          </w:p>
        </w:tc>
        <w:tc>
          <w:tcPr/>
          <w:p>
            <w:pPr>
              <w:pStyle w:val="Tabla8"/>
              <w:jc w:val="left"/>
            </w:pPr>
            <w:r>
              <w:t xml:space="preserve">50</w:t>
            </w:r>
          </w:p>
        </w:tc>
        <w:tc>
          <w:tcPr/>
          <w:p>
            <w:pPr>
              <w:pStyle w:val="Tabla8"/>
              <w:jc w:val="left"/>
            </w:pPr>
            <w:r>
              <w:t xml:space="preserve">48</w:t>
            </w:r>
          </w:p>
        </w:tc>
        <w:tc>
          <w:tcPr/>
          <w:p>
            <w:pPr>
              <w:pStyle w:val="Tabla8"/>
              <w:jc w:val="left"/>
            </w:pPr>
            <w:r>
              <w:t xml:space="preserve">50</w:t>
            </w:r>
          </w:p>
        </w:tc>
        <w:tc>
          <w:tcPr/>
          <w:p>
            <w:pPr>
              <w:pStyle w:val="Tabla8"/>
              <w:jc w:val="left"/>
            </w:pPr>
            <w:r>
              <w:t xml:space="preserve">0</w:t>
            </w:r>
          </w:p>
        </w:tc>
        <w:tc>
          <w:tcPr/>
          <w:p>
            <w:pPr>
              <w:pStyle w:val="Tabla8"/>
              <w:jc w:val="left"/>
            </w:pPr>
            <w:r>
              <w:t xml:space="preserve">Sí</w:t>
            </w:r>
          </w:p>
        </w:tc>
      </w:tr>
      <w:tr>
        <w:trPr>
          <w:cantSplit/>
        </w:trPr>
        <w:tc>
          <w:tcPr/>
          <w:p>
            <w:pPr>
              <w:pStyle w:val="Tabla8"/>
              <w:jc w:val="left"/>
            </w:pPr>
            <w:r>
              <w:t xml:space="preserve">A2.3</w:t>
            </w:r>
          </w:p>
        </w:tc>
        <w:tc>
          <w:tcPr/>
          <w:p>
            <w:pPr>
              <w:pStyle w:val="Tabla8"/>
              <w:jc w:val="left"/>
            </w:pPr>
            <w:r>
              <w:t xml:space="preserve">Instalar tramo 2 (40 nodos, 4 gateways)</w:t>
            </w:r>
          </w:p>
        </w:tc>
        <w:tc>
          <w:tcPr/>
          <w:p>
            <w:pPr>
              <w:pStyle w:val="Tabla8"/>
              <w:jc w:val="left"/>
            </w:pPr>
            <w:r>
              <w:t xml:space="preserve">WP2</w:t>
            </w:r>
          </w:p>
        </w:tc>
        <w:tc>
          <w:tcPr/>
          <w:p>
            <w:pPr>
              <w:pStyle w:val="Tabla8"/>
              <w:jc w:val="left"/>
            </w:pPr>
            <w:r>
              <w:t xml:space="preserve">12</w:t>
            </w:r>
          </w:p>
        </w:tc>
        <w:tc>
          <w:tcPr/>
          <w:p>
            <w:pPr>
              <w:pStyle w:val="Tabla8"/>
              <w:jc w:val="left"/>
            </w:pPr>
            <w:r>
              <w:t xml:space="preserve">50</w:t>
            </w:r>
          </w:p>
        </w:tc>
        <w:tc>
          <w:tcPr/>
          <w:p>
            <w:pPr>
              <w:pStyle w:val="Tabla8"/>
              <w:jc w:val="left"/>
            </w:pPr>
            <w:r>
              <w:t xml:space="preserve">62</w:t>
            </w:r>
          </w:p>
        </w:tc>
        <w:tc>
          <w:tcPr/>
          <w:p>
            <w:pPr>
              <w:pStyle w:val="Tabla8"/>
              <w:jc w:val="left"/>
            </w:pPr>
            <w:r>
              <w:t xml:space="preserve">50</w:t>
            </w:r>
          </w:p>
        </w:tc>
        <w:tc>
          <w:tcPr/>
          <w:p>
            <w:pPr>
              <w:pStyle w:val="Tabla8"/>
              <w:jc w:val="left"/>
            </w:pPr>
            <w:r>
              <w:t xml:space="preserve">62</w:t>
            </w:r>
          </w:p>
        </w:tc>
        <w:tc>
          <w:tcPr/>
          <w:p>
            <w:pPr>
              <w:pStyle w:val="Tabla8"/>
              <w:jc w:val="left"/>
            </w:pPr>
            <w:r>
              <w:t xml:space="preserve">0</w:t>
            </w:r>
          </w:p>
        </w:tc>
        <w:tc>
          <w:tcPr/>
          <w:p>
            <w:pPr>
              <w:pStyle w:val="Tabla8"/>
              <w:jc w:val="left"/>
            </w:pPr>
            <w:r>
              <w:t xml:space="preserve">Sí</w:t>
            </w:r>
          </w:p>
        </w:tc>
      </w:tr>
      <w:tr>
        <w:trPr>
          <w:cantSplit/>
        </w:trPr>
        <w:tc>
          <w:tcPr/>
          <w:p>
            <w:pPr>
              <w:pStyle w:val="Tabla8"/>
              <w:jc w:val="left"/>
            </w:pPr>
            <w:r>
              <w:t xml:space="preserve">A3.2</w:t>
            </w:r>
          </w:p>
        </w:tc>
        <w:tc>
          <w:tcPr/>
          <w:p>
            <w:pPr>
              <w:pStyle w:val="Tabla8"/>
              <w:jc w:val="left"/>
            </w:pPr>
            <w:r>
              <w:t xml:space="preserve">Poner en uso el tablero con los comités</w:t>
            </w:r>
          </w:p>
        </w:tc>
        <w:tc>
          <w:tcPr/>
          <w:p>
            <w:pPr>
              <w:pStyle w:val="Tabla8"/>
              <w:jc w:val="left"/>
            </w:pPr>
            <w:r>
              <w:t xml:space="preserve">WP3</w:t>
            </w:r>
          </w:p>
        </w:tc>
        <w:tc>
          <w:tcPr/>
          <w:p>
            <w:pPr>
              <w:pStyle w:val="Tabla8"/>
              <w:jc w:val="left"/>
            </w:pPr>
            <w:r>
              <w:t xml:space="preserve">12</w:t>
            </w:r>
          </w:p>
        </w:tc>
        <w:tc>
          <w:tcPr/>
          <w:p>
            <w:pPr>
              <w:pStyle w:val="Tabla8"/>
              <w:jc w:val="left"/>
            </w:pPr>
            <w:r>
              <w:t xml:space="preserve">50</w:t>
            </w:r>
          </w:p>
        </w:tc>
        <w:tc>
          <w:tcPr/>
          <w:p>
            <w:pPr>
              <w:pStyle w:val="Tabla8"/>
              <w:jc w:val="left"/>
            </w:pPr>
            <w:r>
              <w:t xml:space="preserve">62</w:t>
            </w:r>
          </w:p>
        </w:tc>
        <w:tc>
          <w:tcPr/>
          <w:p>
            <w:pPr>
              <w:pStyle w:val="Tabla8"/>
              <w:jc w:val="left"/>
            </w:pPr>
            <w:r>
              <w:t xml:space="preserve">56</w:t>
            </w:r>
          </w:p>
        </w:tc>
        <w:tc>
          <w:tcPr/>
          <w:p>
            <w:pPr>
              <w:pStyle w:val="Tabla8"/>
              <w:jc w:val="left"/>
            </w:pPr>
            <w:r>
              <w:t xml:space="preserve">68</w:t>
            </w:r>
          </w:p>
        </w:tc>
        <w:tc>
          <w:tcPr/>
          <w:p>
            <w:pPr>
              <w:pStyle w:val="Tabla8"/>
              <w:jc w:val="left"/>
            </w:pPr>
            <w:r>
              <w:t xml:space="preserve">6</w:t>
            </w:r>
          </w:p>
        </w:tc>
        <w:tc>
          <w:tcPr/>
          <w:p>
            <w:pPr>
              <w:pStyle w:val="Tabla8"/>
              <w:jc w:val="left"/>
            </w:pPr>
            <w:r>
              <w:t xml:space="preserve">No</w:t>
            </w:r>
          </w:p>
        </w:tc>
      </w:tr>
      <w:tr>
        <w:trPr>
          <w:cantSplit/>
        </w:trPr>
        <w:tc>
          <w:tcPr/>
          <w:p>
            <w:pPr>
              <w:pStyle w:val="Tabla8"/>
              <w:jc w:val="left"/>
            </w:pPr>
            <w:r>
              <w:t xml:space="preserve">A1.5</w:t>
            </w:r>
          </w:p>
        </w:tc>
        <w:tc>
          <w:tcPr/>
          <w:p>
            <w:pPr>
              <w:pStyle w:val="Tabla8"/>
              <w:jc w:val="left"/>
            </w:pPr>
            <w:r>
              <w:t xml:space="preserve">Reentrenar y verificar por departamento (tramo 2)</w:t>
            </w:r>
          </w:p>
        </w:tc>
        <w:tc>
          <w:tcPr/>
          <w:p>
            <w:pPr>
              <w:pStyle w:val="Tabla8"/>
              <w:jc w:val="left"/>
            </w:pPr>
            <w:r>
              <w:t xml:space="preserve">WP1</w:t>
            </w:r>
          </w:p>
        </w:tc>
        <w:tc>
          <w:tcPr/>
          <w:p>
            <w:pPr>
              <w:pStyle w:val="Tabla8"/>
              <w:jc w:val="left"/>
            </w:pPr>
            <w:r>
              <w:t xml:space="preserve">6</w:t>
            </w:r>
          </w:p>
        </w:tc>
        <w:tc>
          <w:tcPr/>
          <w:p>
            <w:pPr>
              <w:pStyle w:val="Tabla8"/>
              <w:jc w:val="left"/>
            </w:pPr>
            <w:r>
              <w:t xml:space="preserve">62</w:t>
            </w:r>
          </w:p>
        </w:tc>
        <w:tc>
          <w:tcPr/>
          <w:p>
            <w:pPr>
              <w:pStyle w:val="Tabla8"/>
              <w:jc w:val="left"/>
            </w:pPr>
            <w:r>
              <w:t xml:space="preserve">68</w:t>
            </w:r>
          </w:p>
        </w:tc>
        <w:tc>
          <w:tcPr/>
          <w:p>
            <w:pPr>
              <w:pStyle w:val="Tabla8"/>
              <w:jc w:val="left"/>
            </w:pPr>
            <w:r>
              <w:t xml:space="preserve">62</w:t>
            </w:r>
          </w:p>
        </w:tc>
        <w:tc>
          <w:tcPr/>
          <w:p>
            <w:pPr>
              <w:pStyle w:val="Tabla8"/>
              <w:jc w:val="left"/>
            </w:pPr>
            <w:r>
              <w:t xml:space="preserve">68</w:t>
            </w:r>
          </w:p>
        </w:tc>
        <w:tc>
          <w:tcPr/>
          <w:p>
            <w:pPr>
              <w:pStyle w:val="Tabla8"/>
              <w:jc w:val="left"/>
            </w:pPr>
            <w:r>
              <w:t xml:space="preserve">0</w:t>
            </w:r>
          </w:p>
        </w:tc>
        <w:tc>
          <w:tcPr/>
          <w:p>
            <w:pPr>
              <w:pStyle w:val="Tabla8"/>
              <w:jc w:val="left"/>
            </w:pPr>
            <w:r>
              <w:t xml:space="preserve">Sí</w:t>
            </w:r>
          </w:p>
        </w:tc>
      </w:tr>
      <w:tr>
        <w:trPr>
          <w:cantSplit/>
        </w:trPr>
        <w:tc>
          <w:tcPr/>
          <w:p>
            <w:pPr>
              <w:pStyle w:val="Tabla8"/>
              <w:jc w:val="left"/>
            </w:pPr>
            <w:r>
              <w:t xml:space="preserve">C2</w:t>
            </w:r>
          </w:p>
        </w:tc>
        <w:tc>
          <w:tcPr/>
          <w:p>
            <w:pPr>
              <w:pStyle w:val="Tabla8"/>
              <w:jc w:val="left"/>
            </w:pPr>
            <w:r>
              <w:t xml:space="preserve">Compuerta C2: decisión de consolidación al tramo 3</w:t>
            </w:r>
          </w:p>
        </w:tc>
        <w:tc>
          <w:tcPr/>
          <w:p>
            <w:pPr>
              <w:pStyle w:val="Tabla8"/>
              <w:jc w:val="left"/>
            </w:pPr>
            <w:r>
              <w:t xml:space="preserve">WP0</w:t>
            </w:r>
          </w:p>
        </w:tc>
        <w:tc>
          <w:tcPr/>
          <w:p>
            <w:pPr>
              <w:pStyle w:val="Tabla8"/>
              <w:jc w:val="left"/>
            </w:pPr>
            <w:r>
              <w:t xml:space="preserve">2</w:t>
            </w:r>
          </w:p>
        </w:tc>
        <w:tc>
          <w:tcPr/>
          <w:p>
            <w:pPr>
              <w:pStyle w:val="Tabla8"/>
              <w:jc w:val="left"/>
            </w:pPr>
            <w:r>
              <w:t xml:space="preserve">68</w:t>
            </w:r>
          </w:p>
        </w:tc>
        <w:tc>
          <w:tcPr/>
          <w:p>
            <w:pPr>
              <w:pStyle w:val="Tabla8"/>
              <w:jc w:val="left"/>
            </w:pPr>
            <w:r>
              <w:t xml:space="preserve">70</w:t>
            </w:r>
          </w:p>
        </w:tc>
        <w:tc>
          <w:tcPr/>
          <w:p>
            <w:pPr>
              <w:pStyle w:val="Tabla8"/>
              <w:jc w:val="left"/>
            </w:pPr>
            <w:r>
              <w:t xml:space="preserve">68</w:t>
            </w:r>
          </w:p>
        </w:tc>
        <w:tc>
          <w:tcPr/>
          <w:p>
            <w:pPr>
              <w:pStyle w:val="Tabla8"/>
              <w:jc w:val="left"/>
            </w:pPr>
            <w:r>
              <w:t xml:space="preserve">70</w:t>
            </w:r>
          </w:p>
        </w:tc>
        <w:tc>
          <w:tcPr/>
          <w:p>
            <w:pPr>
              <w:pStyle w:val="Tabla8"/>
              <w:jc w:val="left"/>
            </w:pPr>
            <w:r>
              <w:t xml:space="preserve">0</w:t>
            </w:r>
          </w:p>
        </w:tc>
        <w:tc>
          <w:tcPr/>
          <w:p>
            <w:pPr>
              <w:pStyle w:val="Tabla8"/>
              <w:jc w:val="left"/>
            </w:pPr>
            <w:r>
              <w:t xml:space="preserve">Sí</w:t>
            </w:r>
          </w:p>
        </w:tc>
      </w:tr>
      <w:tr>
        <w:trPr>
          <w:cantSplit/>
        </w:trPr>
        <w:tc>
          <w:tcPr/>
          <w:p>
            <w:pPr>
              <w:pStyle w:val="Tabla8"/>
              <w:jc w:val="left"/>
            </w:pPr>
            <w:r>
              <w:t xml:space="preserve">A2.4</w:t>
            </w:r>
          </w:p>
        </w:tc>
        <w:tc>
          <w:tcPr/>
          <w:p>
            <w:pPr>
              <w:pStyle w:val="Tabla8"/>
              <w:jc w:val="left"/>
            </w:pPr>
            <w:r>
              <w:t xml:space="preserve">Instalar tramo 3 (30 nodos, 3 gateways)</w:t>
            </w:r>
          </w:p>
        </w:tc>
        <w:tc>
          <w:tcPr/>
          <w:p>
            <w:pPr>
              <w:pStyle w:val="Tabla8"/>
              <w:jc w:val="left"/>
            </w:pPr>
            <w:r>
              <w:t xml:space="preserve">WP2</w:t>
            </w:r>
          </w:p>
        </w:tc>
        <w:tc>
          <w:tcPr/>
          <w:p>
            <w:pPr>
              <w:pStyle w:val="Tabla8"/>
              <w:jc w:val="left"/>
            </w:pPr>
            <w:r>
              <w:t xml:space="preserve">12</w:t>
            </w:r>
          </w:p>
        </w:tc>
        <w:tc>
          <w:tcPr/>
          <w:p>
            <w:pPr>
              <w:pStyle w:val="Tabla8"/>
              <w:jc w:val="left"/>
            </w:pPr>
            <w:r>
              <w:t xml:space="preserve">70</w:t>
            </w:r>
          </w:p>
        </w:tc>
        <w:tc>
          <w:tcPr/>
          <w:p>
            <w:pPr>
              <w:pStyle w:val="Tabla8"/>
              <w:jc w:val="left"/>
            </w:pPr>
            <w:r>
              <w:t xml:space="preserve">82</w:t>
            </w:r>
          </w:p>
        </w:tc>
        <w:tc>
          <w:tcPr/>
          <w:p>
            <w:pPr>
              <w:pStyle w:val="Tabla8"/>
              <w:jc w:val="left"/>
            </w:pPr>
            <w:r>
              <w:t xml:space="preserve">70</w:t>
            </w:r>
          </w:p>
        </w:tc>
        <w:tc>
          <w:tcPr/>
          <w:p>
            <w:pPr>
              <w:pStyle w:val="Tabla8"/>
              <w:jc w:val="left"/>
            </w:pPr>
            <w:r>
              <w:t xml:space="preserve">82</w:t>
            </w:r>
          </w:p>
        </w:tc>
        <w:tc>
          <w:tcPr/>
          <w:p>
            <w:pPr>
              <w:pStyle w:val="Tabla8"/>
              <w:jc w:val="left"/>
            </w:pPr>
            <w:r>
              <w:t xml:space="preserve">0</w:t>
            </w:r>
          </w:p>
        </w:tc>
        <w:tc>
          <w:tcPr/>
          <w:p>
            <w:pPr>
              <w:pStyle w:val="Tabla8"/>
              <w:jc w:val="left"/>
            </w:pPr>
            <w:r>
              <w:t xml:space="preserve">Sí</w:t>
            </w:r>
          </w:p>
        </w:tc>
      </w:tr>
      <w:tr>
        <w:trPr>
          <w:cantSplit/>
        </w:trPr>
        <w:tc>
          <w:tcPr/>
          <w:p>
            <w:pPr>
              <w:pStyle w:val="Tabla8"/>
              <w:jc w:val="left"/>
            </w:pPr>
            <w:r>
              <w:t xml:space="preserve">A3.3</w:t>
            </w:r>
          </w:p>
        </w:tc>
        <w:tc>
          <w:tcPr/>
          <w:p>
            <w:pPr>
              <w:pStyle w:val="Tabla8"/>
              <w:jc w:val="left"/>
            </w:pPr>
            <w:r>
              <w:t xml:space="preserve">Formar custodios y firmar convenios por tramo</w:t>
            </w:r>
          </w:p>
        </w:tc>
        <w:tc>
          <w:tcPr/>
          <w:p>
            <w:pPr>
              <w:pStyle w:val="Tabla8"/>
              <w:jc w:val="left"/>
            </w:pPr>
            <w:r>
              <w:t xml:space="preserve">WP3</w:t>
            </w:r>
          </w:p>
        </w:tc>
        <w:tc>
          <w:tcPr/>
          <w:p>
            <w:pPr>
              <w:pStyle w:val="Tabla8"/>
              <w:jc w:val="left"/>
            </w:pPr>
            <w:r>
              <w:t xml:space="preserve">16</w:t>
            </w:r>
          </w:p>
        </w:tc>
        <w:tc>
          <w:tcPr/>
          <w:p>
            <w:pPr>
              <w:pStyle w:val="Tabla8"/>
              <w:jc w:val="left"/>
            </w:pPr>
            <w:r>
              <w:t xml:space="preserve">70</w:t>
            </w:r>
          </w:p>
        </w:tc>
        <w:tc>
          <w:tcPr/>
          <w:p>
            <w:pPr>
              <w:pStyle w:val="Tabla8"/>
              <w:jc w:val="left"/>
            </w:pPr>
            <w:r>
              <w:t xml:space="preserve">86</w:t>
            </w:r>
          </w:p>
        </w:tc>
        <w:tc>
          <w:tcPr/>
          <w:p>
            <w:pPr>
              <w:pStyle w:val="Tabla8"/>
              <w:jc w:val="left"/>
            </w:pPr>
            <w:r>
              <w:t xml:space="preserve">82</w:t>
            </w:r>
          </w:p>
        </w:tc>
        <w:tc>
          <w:tcPr/>
          <w:p>
            <w:pPr>
              <w:pStyle w:val="Tabla8"/>
              <w:jc w:val="left"/>
            </w:pPr>
            <w:r>
              <w:t xml:space="preserve">98</w:t>
            </w:r>
          </w:p>
        </w:tc>
        <w:tc>
          <w:tcPr/>
          <w:p>
            <w:pPr>
              <w:pStyle w:val="Tabla8"/>
              <w:jc w:val="left"/>
            </w:pPr>
            <w:r>
              <w:t xml:space="preserve">12</w:t>
            </w:r>
          </w:p>
        </w:tc>
        <w:tc>
          <w:tcPr/>
          <w:p>
            <w:pPr>
              <w:pStyle w:val="Tabla8"/>
              <w:jc w:val="left"/>
            </w:pPr>
            <w:r>
              <w:t xml:space="preserve">No</w:t>
            </w:r>
          </w:p>
        </w:tc>
      </w:tr>
      <w:tr>
        <w:trPr>
          <w:cantSplit/>
        </w:trPr>
        <w:tc>
          <w:tcPr/>
          <w:p>
            <w:pPr>
              <w:pStyle w:val="Tabla8"/>
              <w:jc w:val="left"/>
            </w:pPr>
            <w:r>
              <w:t xml:space="preserve">A1.6</w:t>
            </w:r>
          </w:p>
        </w:tc>
        <w:tc>
          <w:tcPr/>
          <w:p>
            <w:pPr>
              <w:pStyle w:val="Tabla8"/>
              <w:jc w:val="left"/>
            </w:pPr>
            <w:r>
              <w:t xml:space="preserve">Verificar desempeño final y ensayo independiente</w:t>
            </w:r>
          </w:p>
        </w:tc>
        <w:tc>
          <w:tcPr/>
          <w:p>
            <w:pPr>
              <w:pStyle w:val="Tabla8"/>
              <w:jc w:val="left"/>
            </w:pPr>
            <w:r>
              <w:t xml:space="preserve">WP1</w:t>
            </w:r>
          </w:p>
        </w:tc>
        <w:tc>
          <w:tcPr/>
          <w:p>
            <w:pPr>
              <w:pStyle w:val="Tabla8"/>
              <w:jc w:val="left"/>
            </w:pPr>
            <w:r>
              <w:t xml:space="preserve">16</w:t>
            </w:r>
          </w:p>
        </w:tc>
        <w:tc>
          <w:tcPr/>
          <w:p>
            <w:pPr>
              <w:pStyle w:val="Tabla8"/>
              <w:jc w:val="left"/>
            </w:pPr>
            <w:r>
              <w:t xml:space="preserve">82</w:t>
            </w:r>
          </w:p>
        </w:tc>
        <w:tc>
          <w:tcPr/>
          <w:p>
            <w:pPr>
              <w:pStyle w:val="Tabla8"/>
              <w:jc w:val="left"/>
            </w:pPr>
            <w:r>
              <w:t xml:space="preserve">98</w:t>
            </w:r>
          </w:p>
        </w:tc>
        <w:tc>
          <w:tcPr/>
          <w:p>
            <w:pPr>
              <w:pStyle w:val="Tabla8"/>
              <w:jc w:val="left"/>
            </w:pPr>
            <w:r>
              <w:t xml:space="preserve">82</w:t>
            </w:r>
          </w:p>
        </w:tc>
        <w:tc>
          <w:tcPr/>
          <w:p>
            <w:pPr>
              <w:pStyle w:val="Tabla8"/>
              <w:jc w:val="left"/>
            </w:pPr>
            <w:r>
              <w:t xml:space="preserve">98</w:t>
            </w:r>
          </w:p>
        </w:tc>
        <w:tc>
          <w:tcPr/>
          <w:p>
            <w:pPr>
              <w:pStyle w:val="Tabla8"/>
              <w:jc w:val="left"/>
            </w:pPr>
            <w:r>
              <w:t xml:space="preserve">0</w:t>
            </w:r>
          </w:p>
        </w:tc>
        <w:tc>
          <w:tcPr/>
          <w:p>
            <w:pPr>
              <w:pStyle w:val="Tabla8"/>
              <w:jc w:val="left"/>
            </w:pPr>
            <w:r>
              <w:t xml:space="preserve">Sí</w:t>
            </w:r>
          </w:p>
        </w:tc>
      </w:tr>
      <w:tr>
        <w:trPr>
          <w:cantSplit/>
        </w:trPr>
        <w:tc>
          <w:tcPr/>
          <w:p>
            <w:pPr>
              <w:pStyle w:val="Tabla8"/>
              <w:jc w:val="left"/>
            </w:pPr>
            <w:r>
              <w:t xml:space="preserve">A3.4</w:t>
            </w:r>
          </w:p>
        </w:tc>
        <w:tc>
          <w:tcPr/>
          <w:p>
            <w:pPr>
              <w:pStyle w:val="Tabla8"/>
              <w:jc w:val="left"/>
            </w:pPr>
            <w:r>
              <w:t xml:space="preserve">Transferir, cerrar y evaluar</w:t>
            </w:r>
          </w:p>
        </w:tc>
        <w:tc>
          <w:tcPr/>
          <w:p>
            <w:pPr>
              <w:pStyle w:val="Tabla8"/>
              <w:jc w:val="left"/>
            </w:pPr>
            <w:r>
              <w:t xml:space="preserve">WP0</w:t>
            </w:r>
          </w:p>
        </w:tc>
        <w:tc>
          <w:tcPr/>
          <w:p>
            <w:pPr>
              <w:pStyle w:val="Tabla8"/>
              <w:jc w:val="left"/>
            </w:pPr>
            <w:r>
              <w:t xml:space="preserve">6</w:t>
            </w:r>
          </w:p>
        </w:tc>
        <w:tc>
          <w:tcPr/>
          <w:p>
            <w:pPr>
              <w:pStyle w:val="Tabla8"/>
              <w:jc w:val="left"/>
            </w:pPr>
            <w:r>
              <w:t xml:space="preserve">98</w:t>
            </w:r>
          </w:p>
        </w:tc>
        <w:tc>
          <w:tcPr/>
          <w:p>
            <w:pPr>
              <w:pStyle w:val="Tabla8"/>
              <w:jc w:val="left"/>
            </w:pPr>
            <w:r>
              <w:t xml:space="preserve">104</w:t>
            </w:r>
          </w:p>
        </w:tc>
        <w:tc>
          <w:tcPr/>
          <w:p>
            <w:pPr>
              <w:pStyle w:val="Tabla8"/>
              <w:jc w:val="left"/>
            </w:pPr>
            <w:r>
              <w:t xml:space="preserve">98</w:t>
            </w:r>
          </w:p>
        </w:tc>
        <w:tc>
          <w:tcPr/>
          <w:p>
            <w:pPr>
              <w:pStyle w:val="Tabla8"/>
              <w:jc w:val="left"/>
            </w:pPr>
            <w:r>
              <w:t xml:space="preserve">104</w:t>
            </w:r>
          </w:p>
        </w:tc>
        <w:tc>
          <w:tcPr/>
          <w:p>
            <w:pPr>
              <w:pStyle w:val="Tabla8"/>
              <w:jc w:val="left"/>
            </w:pPr>
            <w:r>
              <w:t xml:space="preserve">0</w:t>
            </w:r>
          </w:p>
        </w:tc>
        <w:tc>
          <w:tcPr/>
          <w:p>
            <w:pPr>
              <w:pStyle w:val="Tabla8"/>
              <w:jc w:val="left"/>
            </w:pPr>
            <w:r>
              <w:t xml:space="preserve">Sí</w:t>
            </w:r>
          </w:p>
        </w:tc>
      </w:tr>
    </w:tbl>
    <w:p>
      <w:pPr>
        <w:pStyle w:val="TablaNota"/>
      </w:pPr>
      <w:r>
        <w:rPr>
          <w:i/>
          <w:iCs/>
        </w:rPr>
        <w:t xml:space="preserve">Nota.</w:t>
      </w:r>
      <w:r>
        <w:t xml:space="preserve"> </w:t>
      </w:r>
      <w:r>
        <w:t xml:space="preserve">Elaboración propia con datos de maestro.py (función cpm). Duraciones en semanas, PROPUESTO. Inicio y fin tempranos y tardíos, holgura y ruta crítica, CALCULADO por pasada hacia adelante y hacia atrás. Una actividad es crítica si su holgura total es cero. Decimales con coma.</w:t>
      </w:r>
    </w:p>
    <w:p>
      <w:pPr>
        <w:pStyle w:val="FiguraRotulo"/>
      </w:pPr>
      <w:bookmarkStart w:id="9525" w:name="rot_Figura_9_2"/>
      <w:r>
        <w:rPr>
          <w:b/>
          <w:bCs/>
        </w:rPr>
        <w:t xml:space="preserve">Figura 9.2</w:t>
      </w:r>
      <w:bookmarkEnd w:id="9525"/>
    </w:p>
    <w:p>
      <w:pPr>
        <w:pStyle w:val="FiguraTitulo"/>
      </w:pPr>
      <w:r>
        <w:rPr>
          <w:i/>
          <w:iCs/>
        </w:rPr>
        <w:t xml:space="preserve">13 de 17 actividades forman la ruta crítica; las demás tienen holguras de 2 a 12 semanas</w:t>
      </w:r>
    </w:p>
    <w:p>
      <w:pPr>
        <w:pStyle w:val="BodyText"/>
      </w:pPr>
      <w:r>
        <w:drawing>
          <wp:inline>
            <wp:extent cx="5579999" cy="2827668"/>
            <wp:effectExtent b="0" l="0" r="0" t="0"/>
            <wp:docPr descr="" title="" id="528" name="Picture"/>
            <a:graphic>
              <a:graphicData uri="http://schemas.openxmlformats.org/drawingml/2006/picture">
                <pic:pic>
                  <pic:nvPicPr>
                    <pic:cNvPr descr="/tmp/claude-0/-home-user-docs/ddf38714-2a7e-502b-92b4-1008e2832422/scratchpad/proy/figs/out/c9_f02.png" id="529" name="Picture"/>
                    <pic:cNvPicPr>
                      <a:picLocks noChangeArrowheads="1" noChangeAspect="1"/>
                    </pic:cNvPicPr>
                  </pic:nvPicPr>
                  <pic:blipFill>
                    <a:blip r:embed="rId527"/>
                    <a:stretch>
                      <a:fillRect/>
                    </a:stretch>
                  </pic:blipFill>
                  <pic:spPr bwMode="auto">
                    <a:xfrm>
                      <a:off x="0" y="0"/>
                      <a:ext cx="5579999" cy="282766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(red ACT). ES y EF: inicio y fin tempranos; LS y LF: inicio y fin tardíos; H: holgura, en semanas. Línea continua gruesa: dependencia crítica. Python 3 y matplotlib; script c9_figs.py; sin semilla; corte del 13 de octubre de 2026.</w:t>
      </w:r>
    </w:p>
    <w:p>
      <w:pPr>
        <w:pStyle w:val="BodyText"/>
      </w:pPr>
      <w:r>
        <w:t xml:space="preserve">Cuatro actividades tienen holgura: A1.1 con dos semanas, A3.2 con seis, y A3.1 y A3.3 con doce cada una. Las tres últimas pertenecen al paquete de uso institucional (WP3). Esa distribución indica que el proyecto absorbe retrasos de apropiación social sin afectar el plazo, pero no retrasos de medición, de red o de gestión. Por consiguiente, tres riesgos amenazan más el cronograma. Son R-TEC-01 (saturación de cabezales), R-EXT-01 (bloqueos viales) y R-FIN-01 (devaluación, que alarga la compra). Los tres están en nivel alto o extremo.</w:t>
      </w:r>
    </w:p>
    <w:p>
      <w:pPr>
        <w:pStyle w:val="BodyText"/>
      </w:pPr>
      <w:r>
        <w:t xml:space="preserve">El cálculo de la ruta crítica supone recursos suficientes para ejecutar en paralelo las actividades independientes. El PMI (2021) advierte que la nivelación de recursos puede alterar la ruta. En esta red el supuesto se cumple, porque las actividades paralelas usan cargos distintos. A1.2 emplea al equipo de medición (WP1). A2.2 emplea al equipo de red y plataforma (WP2). A3.1 emplea al equipo de apropiación (WP3). Ningún cargo figura en dos actividades simultáneas, y por tanto la nivelación no modifica la duración.</w:t>
      </w:r>
    </w:p>
    <w:p>
      <w:pPr>
        <w:pStyle w:val="BodyText"/>
      </w:pPr>
      <w:r>
        <w:t xml:space="preserve">El cronograma no incluye una reserva de plazo explícita. Esa ausencia constituye una debilidad que el equipo reconoce. La duración de 104 semanas es la suma exacta de la ruta crítica. Cualquier retraso de una actividad crítica se traslada al cierre. Un ejemplo ilustra el efecto. La decisión DEC-F08 fija hasta 12 semanas de importación por lote. Si el pedido del lote 1 se emite en la semana 12, el equipo llega en la semana 24, cuando termina A1.2. Cualquier demora de aduana desplaza A1.3 y todo lo posterior.</w:t>
      </w:r>
    </w:p>
    <w:p>
      <w:pPr>
        <w:pStyle w:val="BodyText"/>
      </w:pPr>
      <w:r>
        <w:t xml:space="preserve">Tres estrategias mitigan ese riesgo. La primera es emitir el pedido del lote 1 antes de A1.2, con una orden condicionada a la firma del contrato. Así el plazo de importación se solapa con A2.1. La segunda es instalar los tramos 2 y 3 en ventanas secas. Esa medida reduce la probabilidad del riesgo de bloqueos viales (Organización Internacional de Normalización [ISO], 2018). La tercera es mantener los 20 nodos de reserva y el gateway adicional en bodega regional. Así una falla no espera una importación. Ninguna de las tres estrategias agrega semanas al plan. Un análisis previo al hecho (Klein, 2007) debe confirmar estos supuestos antes del acta de inicio.</w:t>
      </w:r>
    </w:p>
    <w:p>
      <w:pPr>
        <w:pStyle w:val="BodyText"/>
      </w:pPr>
      <w:r>
        <w:t xml:space="preserve">La ruta crítica también permite priorizar el seguimiento. El equipo revisa semanalmente las 13 actividades críticas y mensualmente las cuatro con holgura. Si una actividad no crítica consume más de la mitad de su holgura, el equipo la reclasifica como vigilada. Por ejemplo, si A3.1 termina después de la semana 42, ha consumido más de la mitad de su holgura y se informa a la gerencia. La regla es PROPUESTO y se ajusta con los primeros tres meses de datos reales.</w:t>
      </w:r>
    </w:p>
    <w:bookmarkEnd w:id="530"/>
    <w:bookmarkStart w:id="531" w:name="_Toc00900216"/>
    <w:p>
      <w:pPr>
        <w:pStyle w:val="Heading2"/>
      </w:pPr>
      <w:r>
        <w:t xml:space="preserve">9.4 Sesiones de Revisión y Aprendizaje</w:t>
      </w:r>
    </w:p>
    <w:p>
      <w:pPr>
        <w:pStyle w:val="FirstParagraph"/>
      </w:pPr>
      <w:r>
        <w:t xml:space="preserve">Las sesiones de revisión convierten el cronograma en un instrumento de aprendizaje y no solo de control. El proyecto programa tres tipos de sesión. Las retrospectivas quincenales reúnen al equipo operativo, 52 en las 104 semanas, y examinan qué funcionó, qué falló y qué se ajusta (Ries, 2011). Las revisiones de fase ocurren en las semanas 48, 68 y 104, antes de cada compuerta, con la gerencia y la dirección científica. Los puntos de decisión pivote o perseverancia ocurren en C1, C2 y C3 con el comité directivo y el financiador.</w:t>
      </w:r>
    </w:p>
    <w:p>
      <w:pPr>
        <w:pStyle w:val="BodyText"/>
      </w:pPr>
      <w:r>
        <w:t xml:space="preserve">El fundamento teórico distingue dos niveles de aprendizaje. Argyris y Schön (1978) llaman aprendizaje de lazo simple al ajuste de acciones dentro de metas dadas. Llaman aprendizaje de lazo doble al cuestionamiento de las metas y los supuestos. Las retrospectivas quincenales pertenecen al primer nivel. Las revisiones de fase y las compuertas pertenecen al segundo, porque pueden cambiar el diseño. La mejora continua que Deming (1986) propone exige ambos niveles. Una retrospectiva que corrige la rutina no basta si el supuesto sobre la generalización del modelo entre departamentos (R-TEC-04) es falso.</w:t>
      </w:r>
    </w:p>
    <w:p>
      <w:pPr>
        <w:pStyle w:val="BodyText"/>
      </w:pPr>
      <w:r>
        <w:t xml:space="preserve">Cada sesión deja un registro con tres campos: decisión, supuesto afectado y dato que la sustenta. Las lecciones aprendidas se incorporan al registro de riesgos y al diccionario de la EDT. Las compuertas usan las preguntas de alineación del capítulo 10 y el árbol de decisión pivote o perseverancia. Si el modelo no cumple los umbrales en C1, el comité puede detener el tramo 2, revisar el método o reforzar el co-diseño. Esas tres respuestas son PROPUESTO y provienen del análisis de decisión de la sección 4.4-MDR.</w:t>
      </w:r>
    </w:p>
    <w:bookmarkEnd w:id="531"/>
    <w:bookmarkEnd w:id="532"/>
    <w:bookmarkStart w:id="547" w:name="_Toc00900217"/>
    <w:p>
      <w:pPr>
        <w:pStyle w:val="Heading1"/>
      </w:pPr>
      <w:r>
        <w:t xml:space="preserve">Capítulo 10. Gestión de Riesgos</w:t>
      </w:r>
    </w:p>
    <w:p>
      <w:pPr>
        <w:pStyle w:val="FirstParagraph"/>
      </w:pPr>
      <w:r>
        <w:t xml:space="preserve">Este capítulo identifica, mide y trata los riesgos que pueden impedir los resultados del proyecto. El registro contiene 12 riesgos en seis categorías. Cada riesgo recibe una probabilidad, un impacto, un valor monetario esperado (EMV), una respuesta y un disparador observable. La suma de los valores esperados fija la reserva de contingencia de 636.000.000 COP del capítulo 8. La probabilidad y el impacto son estimaciones propuestas por esta formulación (PROPUESTO, NO_VERIFICADO). El producto, el nivel y el valor esperado son cálculos sobre esas estimaciones. El capítulo sigue el proceso de la norma ISO 31000: identificar, analizar, evaluar y tratar (Organización Internacional de Normalización [ISO], 2018).</w:t>
      </w:r>
    </w:p>
    <w:bookmarkStart w:id="533" w:name="_Toc00900218"/>
    <w:p>
      <w:pPr>
        <w:pStyle w:val="Heading2"/>
      </w:pPr>
      <w:r>
        <w:t xml:space="preserve">10.1 Identificación de Riesgos</w:t>
      </w:r>
    </w:p>
    <w:p>
      <w:pPr>
        <w:pStyle w:val="FirstParagraph"/>
      </w:pPr>
      <w:r>
        <w:t xml:space="preserve">La identificación combina tres fuentes. La primera es el análisis estructural de las 15 variables del problema, que señala qué variables se vinculan con cada riesgo. La segunda es el ejercicio previo al hecho de la sección 4.4-MDR.12. Ese ejercicio supone el fracaso de la decisión de despliegue por tramos y busca sus causas (Klein, 2007). La tercera es la literatura sobre sensores de bajo costo, que documenta fallas por humedad, deriva y dependencia del sitio (Jayaratne et al., 2018; Giordano et al., 2021). Los riesgos resultantes se agrupan en categorías técnica, organizacional, externa, financiera, jurídica y de datos. La Tabla 10.1 presenta el registro.</w:t>
      </w:r>
    </w:p>
    <w:p>
      <w:pPr>
        <w:pStyle w:val="TablaRotulo"/>
      </w:pPr>
      <w:bookmarkStart w:id="9317" w:name="rot_Tabla_10_1"/>
      <w:r>
        <w:rPr>
          <w:b/>
          <w:bCs/>
        </w:rPr>
        <w:t xml:space="preserve">Tabla 10.1</w:t>
      </w:r>
      <w:bookmarkEnd w:id="9317"/>
    </w:p>
    <w:p>
      <w:pPr>
        <w:pStyle w:val="TablaTitulo"/>
      </w:pPr>
      <w:r>
        <w:rPr>
          <w:i/>
          <w:iCs/>
        </w:rPr>
        <w:t xml:space="preserve">Registro de riesgos identificados con variable causal y disparador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64"/>
        <w:gridCol w:w="1796"/>
        <w:gridCol w:w="1863"/>
        <w:gridCol w:w="1131"/>
        <w:gridCol w:w="1863"/>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Categoría</w:t>
            </w:r>
          </w:p>
        </w:tc>
        <w:tc>
          <w:tcPr>
            <w:shd w:val="clear" w:color="auto" w:fill="00B050"/>
          </w:tcPr>
          <w:p>
            <w:pPr>
              <w:pStyle w:val="Tabla9"/>
              <w:jc w:val="center"/>
            </w:pPr>
            <w:r>
              <w:rPr>
                <w:b/>
                <w:color w:val="FFFFFF"/>
              </w:rPr>
              <w:t xml:space="preserve">Riesgo</w:t>
            </w:r>
          </w:p>
        </w:tc>
        <w:tc>
          <w:tcPr>
            <w:shd w:val="clear" w:color="auto" w:fill="00B050"/>
          </w:tcPr>
          <w:p>
            <w:pPr>
              <w:pStyle w:val="Tabla9"/>
              <w:jc w:val="center"/>
            </w:pPr>
            <w:r>
              <w:rPr>
                <w:b/>
                <w:color w:val="FFFFFF"/>
              </w:rPr>
              <w:t xml:space="preserve">Variable causal</w:t>
            </w:r>
          </w:p>
        </w:tc>
        <w:tc>
          <w:tcPr>
            <w:shd w:val="clear" w:color="auto" w:fill="00B050"/>
          </w:tcPr>
          <w:p>
            <w:pPr>
              <w:pStyle w:val="Tabla9"/>
              <w:jc w:val="center"/>
            </w:pPr>
            <w:r>
              <w:rPr>
                <w:b/>
                <w:color w:val="FFFFFF"/>
              </w:rPr>
              <w:t xml:space="preserve">Disparador observable</w:t>
            </w:r>
          </w:p>
        </w:tc>
      </w:tr>
      <w:tr>
        <w:trPr>
          <w:cantSplit/>
        </w:trPr>
        <w:tc>
          <w:tcPr/>
          <w:p>
            <w:pPr>
              <w:pStyle w:val="Tabla9"/>
              <w:jc w:val="left"/>
            </w:pPr>
            <w:r>
              <w:t xml:space="preserve">R-TEC-01</w:t>
            </w:r>
          </w:p>
        </w:tc>
        <w:tc>
          <w:tcPr/>
          <w:p>
            <w:pPr>
              <w:pStyle w:val="Tabla9"/>
              <w:jc w:val="left"/>
            </w:pPr>
            <w:r>
              <w:t xml:space="preserve">Técnico</w:t>
            </w:r>
          </w:p>
        </w:tc>
        <w:tc>
          <w:tcPr/>
          <w:p>
            <w:pPr>
              <w:pStyle w:val="Tabla9"/>
              <w:jc w:val="left"/>
            </w:pPr>
            <w:r>
              <w:t xml:space="preserve">La humedad y el polvo saturan los cabezales ópticos y sesgan PM2,5 y PM10.</w:t>
            </w:r>
          </w:p>
        </w:tc>
        <w:tc>
          <w:tcPr/>
          <w:p>
            <w:pPr>
              <w:pStyle w:val="Tabla9"/>
              <w:jc w:val="left"/>
            </w:pPr>
            <w:r>
              <w:t xml:space="preserve">V03, V02</w:t>
            </w:r>
          </w:p>
        </w:tc>
        <w:tc>
          <w:tcPr/>
          <w:p>
            <w:pPr>
              <w:pStyle w:val="Tabla9"/>
              <w:jc w:val="left"/>
            </w:pPr>
            <w:r>
              <w:t xml:space="preserve">NRMSE &gt; 30 % en dos verificaciones consecutivas</w:t>
            </w:r>
          </w:p>
        </w:tc>
      </w:tr>
      <w:tr>
        <w:trPr>
          <w:cantSplit/>
        </w:trPr>
        <w:tc>
          <w:tcPr/>
          <w:p>
            <w:pPr>
              <w:pStyle w:val="Tabla9"/>
              <w:jc w:val="left"/>
            </w:pPr>
            <w:r>
              <w:t xml:space="preserve">R-TEC-02</w:t>
            </w:r>
          </w:p>
        </w:tc>
        <w:tc>
          <w:tcPr/>
          <w:p>
            <w:pPr>
              <w:pStyle w:val="Tabla9"/>
              <w:jc w:val="left"/>
            </w:pPr>
            <w:r>
              <w:t xml:space="preserve">Técnico</w:t>
            </w:r>
          </w:p>
        </w:tc>
        <w:tc>
          <w:tcPr/>
          <w:p>
            <w:pPr>
              <w:pStyle w:val="Tabla9"/>
              <w:jc w:val="left"/>
            </w:pPr>
            <w:r>
              <w:t xml:space="preserve">Las baterías se agotan antes de 14 días sin sol y los nodos dejan de transmitir.</w:t>
            </w:r>
          </w:p>
        </w:tc>
        <w:tc>
          <w:tcPr/>
          <w:p>
            <w:pPr>
              <w:pStyle w:val="Tabla9"/>
              <w:jc w:val="left"/>
            </w:pPr>
            <w:r>
              <w:t xml:space="preserve">V05, V09</w:t>
            </w:r>
          </w:p>
        </w:tc>
        <w:tc>
          <w:tcPr/>
          <w:p>
            <w:pPr>
              <w:pStyle w:val="Tabla9"/>
              <w:jc w:val="left"/>
            </w:pPr>
            <w:r>
              <w:t xml:space="preserve">Disponibilidad mensual &lt; 90 %</w:t>
            </w:r>
          </w:p>
        </w:tc>
      </w:tr>
      <w:tr>
        <w:trPr>
          <w:cantSplit/>
        </w:trPr>
        <w:tc>
          <w:tcPr/>
          <w:p>
            <w:pPr>
              <w:pStyle w:val="Tabla9"/>
              <w:jc w:val="left"/>
            </w:pPr>
            <w:r>
              <w:t xml:space="preserve">R-TEC-03</w:t>
            </w:r>
          </w:p>
        </w:tc>
        <w:tc>
          <w:tcPr/>
          <w:p>
            <w:pPr>
              <w:pStyle w:val="Tabla9"/>
              <w:jc w:val="left"/>
            </w:pPr>
            <w:r>
              <w:t xml:space="preserve">Técnico</w:t>
            </w:r>
          </w:p>
        </w:tc>
        <w:tc>
          <w:tcPr/>
          <w:p>
            <w:pPr>
              <w:pStyle w:val="Tabla9"/>
              <w:jc w:val="left"/>
            </w:pPr>
            <w:r>
              <w:t xml:space="preserve">La red celular falla en el sitio y los gateways pierden el enlace con la nube.</w:t>
            </w:r>
          </w:p>
        </w:tc>
        <w:tc>
          <w:tcPr/>
          <w:p>
            <w:pPr>
              <w:pStyle w:val="Tabla9"/>
              <w:jc w:val="left"/>
            </w:pPr>
            <w:r>
              <w:t xml:space="preserve">V08</w:t>
            </w:r>
          </w:p>
        </w:tc>
        <w:tc>
          <w:tcPr/>
          <w:p>
            <w:pPr>
              <w:pStyle w:val="Tabla9"/>
              <w:jc w:val="left"/>
            </w:pPr>
            <w:r>
              <w:t xml:space="preserve">Pérdida de paquetes &gt; 10 % durante 72 horas</w:t>
            </w:r>
          </w:p>
        </w:tc>
      </w:tr>
      <w:tr>
        <w:trPr>
          <w:cantSplit/>
        </w:trPr>
        <w:tc>
          <w:tcPr/>
          <w:p>
            <w:pPr>
              <w:pStyle w:val="Tabla9"/>
              <w:jc w:val="left"/>
            </w:pPr>
            <w:r>
              <w:t xml:space="preserve">R-TEC-04</w:t>
            </w:r>
          </w:p>
        </w:tc>
        <w:tc>
          <w:tcPr/>
          <w:p>
            <w:pPr>
              <w:pStyle w:val="Tabla9"/>
              <w:jc w:val="left"/>
            </w:pPr>
            <w:r>
              <w:t xml:space="preserve">Técnico</w:t>
            </w:r>
          </w:p>
        </w:tc>
        <w:tc>
          <w:tcPr/>
          <w:p>
            <w:pPr>
              <w:pStyle w:val="Tabla9"/>
              <w:jc w:val="left"/>
            </w:pPr>
            <w:r>
              <w:t xml:space="preserve">El modelo de corrección no generaliza entre departamentos.</w:t>
            </w:r>
          </w:p>
        </w:tc>
        <w:tc>
          <w:tcPr/>
          <w:p>
            <w:pPr>
              <w:pStyle w:val="Tabla9"/>
              <w:jc w:val="left"/>
            </w:pPr>
            <w:r>
              <w:t xml:space="preserve">V07, V06</w:t>
            </w:r>
          </w:p>
        </w:tc>
        <w:tc>
          <w:tcPr/>
          <w:p>
            <w:pPr>
              <w:pStyle w:val="Tabla9"/>
              <w:jc w:val="left"/>
            </w:pPr>
            <w:r>
              <w:t xml:space="preserve">R² &lt; 0,70 en el conjunto de validación externo</w:t>
            </w:r>
          </w:p>
        </w:tc>
      </w:tr>
      <w:tr>
        <w:trPr>
          <w:cantSplit/>
        </w:trPr>
        <w:tc>
          <w:tcPr/>
          <w:p>
            <w:pPr>
              <w:pStyle w:val="Tabla9"/>
              <w:jc w:val="left"/>
            </w:pPr>
            <w:r>
              <w:t xml:space="preserve">R-ORG-01</w:t>
            </w:r>
          </w:p>
        </w:tc>
        <w:tc>
          <w:tcPr/>
          <w:p>
            <w:pPr>
              <w:pStyle w:val="Tabla9"/>
              <w:jc w:val="left"/>
            </w:pPr>
            <w:r>
              <w:t xml:space="preserve">Organizacional</w:t>
            </w:r>
          </w:p>
        </w:tc>
        <w:tc>
          <w:tcPr/>
          <w:p>
            <w:pPr>
              <w:pStyle w:val="Tabla9"/>
              <w:jc w:val="left"/>
            </w:pPr>
            <w:r>
              <w:t xml:space="preserve">Los comités de gestión del riesgo no adoptan el tablero ni el protocolo.</w:t>
            </w:r>
          </w:p>
        </w:tc>
        <w:tc>
          <w:tcPr/>
          <w:p>
            <w:pPr>
              <w:pStyle w:val="Tabla9"/>
              <w:jc w:val="left"/>
            </w:pPr>
            <w:r>
              <w:t xml:space="preserve">V15</w:t>
            </w:r>
          </w:p>
        </w:tc>
        <w:tc>
          <w:tcPr/>
          <w:p>
            <w:pPr>
              <w:pStyle w:val="Tabla9"/>
              <w:jc w:val="left"/>
            </w:pPr>
            <w:r>
              <w:t xml:space="preserve">Menos de 50 % de uso en el tramo 1</w:t>
            </w:r>
          </w:p>
        </w:tc>
      </w:tr>
      <w:tr>
        <w:trPr>
          <w:cantSplit/>
        </w:trPr>
        <w:tc>
          <w:tcPr/>
          <w:p>
            <w:pPr>
              <w:pStyle w:val="Tabla9"/>
              <w:jc w:val="left"/>
            </w:pPr>
            <w:r>
              <w:t xml:space="preserve">R-ORG-02</w:t>
            </w:r>
          </w:p>
        </w:tc>
        <w:tc>
          <w:tcPr/>
          <w:p>
            <w:pPr>
              <w:pStyle w:val="Tabla9"/>
              <w:jc w:val="left"/>
            </w:pPr>
            <w:r>
              <w:t xml:space="preserve">Organizacional</w:t>
            </w:r>
          </w:p>
        </w:tc>
        <w:tc>
          <w:tcPr/>
          <w:p>
            <w:pPr>
              <w:pStyle w:val="Tabla9"/>
              <w:jc w:val="left"/>
            </w:pPr>
            <w:r>
              <w:t xml:space="preserve">Los custodios no asumen la operación en el posproyecto.</w:t>
            </w:r>
          </w:p>
        </w:tc>
        <w:tc>
          <w:tcPr/>
          <w:p>
            <w:pPr>
              <w:pStyle w:val="Tabla9"/>
              <w:jc w:val="left"/>
            </w:pPr>
            <w:r>
              <w:t xml:space="preserve">V15</w:t>
            </w:r>
          </w:p>
        </w:tc>
        <w:tc>
          <w:tcPr/>
          <w:p>
            <w:pPr>
              <w:pStyle w:val="Tabla9"/>
              <w:jc w:val="left"/>
            </w:pPr>
            <w:r>
              <w:t xml:space="preserve">Convenio sin partida al cierre del tramo 2</w:t>
            </w:r>
          </w:p>
        </w:tc>
      </w:tr>
      <w:tr>
        <w:trPr>
          <w:cantSplit/>
        </w:trPr>
        <w:tc>
          <w:tcPr/>
          <w:p>
            <w:pPr>
              <w:pStyle w:val="Tabla9"/>
              <w:jc w:val="left"/>
            </w:pPr>
            <w:r>
              <w:t xml:space="preserve">R-EXT-01</w:t>
            </w:r>
          </w:p>
        </w:tc>
        <w:tc>
          <w:tcPr/>
          <w:p>
            <w:pPr>
              <w:pStyle w:val="Tabla9"/>
              <w:jc w:val="left"/>
            </w:pPr>
            <w:r>
              <w:t xml:space="preserve">Externo</w:t>
            </w:r>
          </w:p>
        </w:tc>
        <w:tc>
          <w:tcPr/>
          <w:p>
            <w:pPr>
              <w:pStyle w:val="Tabla9"/>
              <w:jc w:val="left"/>
            </w:pPr>
            <w:r>
              <w:t xml:space="preserve">Deslizamientos o réplicas bloquean vías y retrasan la instalación.</w:t>
            </w:r>
          </w:p>
        </w:tc>
        <w:tc>
          <w:tcPr/>
          <w:p>
            <w:pPr>
              <w:pStyle w:val="Tabla9"/>
              <w:jc w:val="left"/>
            </w:pPr>
            <w:r>
              <w:t xml:space="preserve">V05</w:t>
            </w:r>
          </w:p>
        </w:tc>
        <w:tc>
          <w:tcPr/>
          <w:p>
            <w:pPr>
              <w:pStyle w:val="Tabla9"/>
              <w:jc w:val="left"/>
            </w:pPr>
            <w:r>
              <w:t xml:space="preserve">Retraso de instalación &gt; 3 semanas</w:t>
            </w:r>
          </w:p>
        </w:tc>
      </w:tr>
      <w:tr>
        <w:trPr>
          <w:cantSplit/>
        </w:trPr>
        <w:tc>
          <w:tcPr/>
          <w:p>
            <w:pPr>
              <w:pStyle w:val="Tabla9"/>
              <w:jc w:val="left"/>
            </w:pPr>
            <w:r>
              <w:t xml:space="preserve">R-EXT-02</w:t>
            </w:r>
          </w:p>
        </w:tc>
        <w:tc>
          <w:tcPr/>
          <w:p>
            <w:pPr>
              <w:pStyle w:val="Tabla9"/>
              <w:jc w:val="left"/>
            </w:pPr>
            <w:r>
              <w:t xml:space="preserve">Externo</w:t>
            </w:r>
          </w:p>
        </w:tc>
        <w:tc>
          <w:tcPr/>
          <w:p>
            <w:pPr>
              <w:pStyle w:val="Tabla9"/>
              <w:jc w:val="left"/>
            </w:pPr>
            <w:r>
              <w:t xml:space="preserve">Robo o vandalismo de nodos en sitios de remoción.</w:t>
            </w:r>
          </w:p>
        </w:tc>
        <w:tc>
          <w:tcPr/>
          <w:p>
            <w:pPr>
              <w:pStyle w:val="Tabla9"/>
              <w:jc w:val="left"/>
            </w:pPr>
            <w:r>
              <w:t xml:space="preserve">V09</w:t>
            </w:r>
          </w:p>
        </w:tc>
        <w:tc>
          <w:tcPr/>
          <w:p>
            <w:pPr>
              <w:pStyle w:val="Tabla9"/>
              <w:jc w:val="left"/>
            </w:pPr>
            <w:r>
              <w:t xml:space="preserve">Dos o más nodos perdidos en un mes</w:t>
            </w:r>
          </w:p>
        </w:tc>
      </w:tr>
      <w:tr>
        <w:trPr>
          <w:cantSplit/>
        </w:trPr>
        <w:tc>
          <w:tcPr/>
          <w:p>
            <w:pPr>
              <w:pStyle w:val="Tabla9"/>
              <w:jc w:val="left"/>
            </w:pPr>
            <w:r>
              <w:t xml:space="preserve">R-FIN-01</w:t>
            </w:r>
          </w:p>
        </w:tc>
        <w:tc>
          <w:tcPr/>
          <w:p>
            <w:pPr>
              <w:pStyle w:val="Tabla9"/>
              <w:jc w:val="left"/>
            </w:pPr>
            <w:r>
              <w:t xml:space="preserve">Financiero</w:t>
            </w:r>
          </w:p>
        </w:tc>
        <w:tc>
          <w:tcPr/>
          <w:p>
            <w:pPr>
              <w:pStyle w:val="Tabla9"/>
              <w:jc w:val="left"/>
            </w:pPr>
            <w:r>
              <w:t xml:space="preserve">La devaluación del peso encarece los equipos importados.</w:t>
            </w:r>
          </w:p>
        </w:tc>
        <w:tc>
          <w:tcPr/>
          <w:p>
            <w:pPr>
              <w:pStyle w:val="Tabla9"/>
              <w:jc w:val="left"/>
            </w:pPr>
            <w:r>
              <w:t xml:space="preserve">—</w:t>
            </w:r>
          </w:p>
        </w:tc>
        <w:tc>
          <w:tcPr/>
          <w:p>
            <w:pPr>
              <w:pStyle w:val="Tabla9"/>
              <w:jc w:val="left"/>
            </w:pPr>
            <w:r>
              <w:t xml:space="preserve">TRM supera en 10 % la de la cotización</w:t>
            </w:r>
          </w:p>
        </w:tc>
      </w:tr>
      <w:tr>
        <w:trPr>
          <w:cantSplit/>
        </w:trPr>
        <w:tc>
          <w:tcPr/>
          <w:p>
            <w:pPr>
              <w:pStyle w:val="Tabla9"/>
              <w:jc w:val="left"/>
            </w:pPr>
            <w:r>
              <w:t xml:space="preserve">R-FIN-02</w:t>
            </w:r>
          </w:p>
        </w:tc>
        <w:tc>
          <w:tcPr/>
          <w:p>
            <w:pPr>
              <w:pStyle w:val="Tabla9"/>
              <w:jc w:val="left"/>
            </w:pPr>
            <w:r>
              <w:t xml:space="preserve">Financiero</w:t>
            </w:r>
          </w:p>
        </w:tc>
        <w:tc>
          <w:tcPr/>
          <w:p>
            <w:pPr>
              <w:pStyle w:val="Tabla9"/>
              <w:jc w:val="left"/>
            </w:pPr>
            <w:r>
              <w:t xml:space="preserve">La contrapartida en especie no se certifica a tiempo.</w:t>
            </w:r>
          </w:p>
        </w:tc>
        <w:tc>
          <w:tcPr/>
          <w:p>
            <w:pPr>
              <w:pStyle w:val="Tabla9"/>
              <w:jc w:val="left"/>
            </w:pPr>
            <w:r>
              <w:t xml:space="preserve">—</w:t>
            </w:r>
          </w:p>
        </w:tc>
        <w:tc>
          <w:tcPr/>
          <w:p>
            <w:pPr>
              <w:pStyle w:val="Tabla9"/>
              <w:jc w:val="left"/>
            </w:pPr>
            <w:r>
              <w:t xml:space="preserve">Certificación pendiente al mes 2</w:t>
            </w:r>
          </w:p>
        </w:tc>
      </w:tr>
      <w:tr>
        <w:trPr>
          <w:cantSplit/>
        </w:trPr>
        <w:tc>
          <w:tcPr/>
          <w:p>
            <w:pPr>
              <w:pStyle w:val="Tabla9"/>
              <w:jc w:val="left"/>
            </w:pPr>
            <w:r>
              <w:t xml:space="preserve">R-JUR-01</w:t>
            </w:r>
          </w:p>
        </w:tc>
        <w:tc>
          <w:tcPr/>
          <w:p>
            <w:pPr>
              <w:pStyle w:val="Tabla9"/>
              <w:jc w:val="left"/>
            </w:pPr>
            <w:r>
              <w:t xml:space="preserve">Jurídico</w:t>
            </w:r>
          </w:p>
        </w:tc>
        <w:tc>
          <w:tcPr/>
          <w:p>
            <w:pPr>
              <w:pStyle w:val="Tabla9"/>
              <w:jc w:val="left"/>
            </w:pPr>
            <w:r>
              <w:t xml:space="preserve">Una solicitud de patente de terceros afecta la libertad de operación.</w:t>
            </w:r>
          </w:p>
        </w:tc>
        <w:tc>
          <w:tcPr/>
          <w:p>
            <w:pPr>
              <w:pStyle w:val="Tabla9"/>
              <w:jc w:val="left"/>
            </w:pPr>
            <w:r>
              <w:t xml:space="preserve">—</w:t>
            </w:r>
          </w:p>
        </w:tc>
        <w:tc>
          <w:tcPr/>
          <w:p>
            <w:pPr>
              <w:pStyle w:val="Tabla9"/>
              <w:jc w:val="left"/>
            </w:pPr>
            <w:r>
              <w:t xml:space="preserve">Solicitud con fase nacional abierta que reivindique el método</w:t>
            </w:r>
          </w:p>
        </w:tc>
      </w:tr>
      <w:tr>
        <w:trPr>
          <w:cantSplit/>
        </w:trPr>
        <w:tc>
          <w:tcPr/>
          <w:p>
            <w:pPr>
              <w:pStyle w:val="Tabla9"/>
              <w:jc w:val="left"/>
            </w:pPr>
            <w:r>
              <w:t xml:space="preserve">R-DAT-01</w:t>
            </w:r>
          </w:p>
        </w:tc>
        <w:tc>
          <w:tcPr/>
          <w:p>
            <w:pPr>
              <w:pStyle w:val="Tabla9"/>
              <w:jc w:val="left"/>
            </w:pPr>
            <w:r>
              <w:t xml:space="preserve">Datos</w:t>
            </w:r>
          </w:p>
        </w:tc>
        <w:tc>
          <w:tcPr/>
          <w:p>
            <w:pPr>
              <w:pStyle w:val="Tabla9"/>
              <w:jc w:val="left"/>
            </w:pPr>
            <w:r>
              <w:t xml:space="preserve">Un incidente de ciberseguridad compromete la plataforma.</w:t>
            </w:r>
          </w:p>
        </w:tc>
        <w:tc>
          <w:tcPr/>
          <w:p>
            <w:pPr>
              <w:pStyle w:val="Tabla9"/>
              <w:jc w:val="left"/>
            </w:pPr>
            <w:r>
              <w:t xml:space="preserve">V15</w:t>
            </w:r>
          </w:p>
        </w:tc>
        <w:tc>
          <w:tcPr/>
          <w:p>
            <w:pPr>
              <w:pStyle w:val="Tabla9"/>
              <w:jc w:val="left"/>
            </w:pPr>
            <w:r>
              <w:t xml:space="preserve">Hallazgo crítico en la auditoría</w:t>
            </w:r>
          </w:p>
        </w:tc>
      </w:tr>
    </w:tbl>
    <w:p>
      <w:pPr>
        <w:pStyle w:val="TablaNota"/>
      </w:pPr>
      <w:r>
        <w:rPr>
          <w:i/>
          <w:iCs/>
        </w:rPr>
        <w:t xml:space="preserve">Nota.</w:t>
      </w:r>
      <w:r>
        <w:t xml:space="preserve"> </w:t>
      </w:r>
      <w:r>
        <w:t xml:space="preserve">Elaboración propia con datos de maestro.py (RIESGOS) y de la ficha maestra §7. Las variables V02, V03, V05, V06, V07, V08, V09 y V15 provienen del análisis estructural de la sección 4.4. El guion indica ausencia de variable asociada. La identificación es PROPUESTO. Decimales con coma.</w:t>
      </w:r>
    </w:p>
    <w:p>
      <w:pPr>
        <w:pStyle w:val="BodyText"/>
      </w:pPr>
      <w:r>
        <w:t xml:space="preserve">Cuatro supuestos críticos organizan el registro. El supuesto SC-1 sostiene que la corrección local reduce el error de medición. El supuesto SC-2 sostiene que los nodos conservan energía y enlace. El supuesto SC-3 sostiene que los comités usan el tablero. El supuesto SC-4 sostiene que los custodios asumen la operación. Cada riesgo técnico amenaza SC-1 o SC-2. Los riesgos organizacionales amenazan SC-3 o SC-4. Esa correspondencia evita una lista dispersa y permite que cada compuerta evalúe un conjunto acotado de amenazas.</w:t>
      </w:r>
    </w:p>
    <w:p>
      <w:pPr>
        <w:pStyle w:val="BodyText"/>
      </w:pPr>
      <w:r>
        <w:t xml:space="preserve">Dos posiciones compiten sobre cómo identificar riesgos. La primera exige un inventario exhaustivo, que reduce la probabilidad de omitir una amenaza (ISO, 2018). La segunda advierte que los inventarios largos diluyen la atención y recomienda concentrarse en los supuestos que sostienen la decisión (Klein, 2007). El proyecto adopta una síntesis. Registra 12 riesgos con disparador observable, y mantiene la revisión por supuesto crítico en cada compuerta. Merton (1936) recuerda que las acciones con propósito producen consecuencias no anticipadas. Por ello el registro se revisa cada trimestre y admite riesgos nuevos.</w:t>
      </w:r>
    </w:p>
    <w:p>
      <w:pPr>
        <w:pStyle w:val="BodyText"/>
      </w:pPr>
      <w:r>
        <w:t xml:space="preserve">El registro presenta tres limitaciones. Primero, ningún riesgo se calibró con datos del territorio, porque el proyecto aún no mide. Segundo, el registro omite riesgos de seguridad personal del equipo de campo en zonas de remoción. Los términos de referencia o las políticas de la entidad ejecutora deben fijarlos [DATO_USUARIO: política de seguridad de campo]. Tercero, el registro no incluye riesgos del financiador, como cambios de política. Esas omisiones se declaran y no se rellenan con conjeturas.</w:t>
      </w:r>
    </w:p>
    <w:bookmarkEnd w:id="533"/>
    <w:bookmarkStart w:id="537" w:name="_Toc00900219"/>
    <w:p>
      <w:pPr>
        <w:pStyle w:val="Heading2"/>
      </w:pPr>
      <w:r>
        <w:t xml:space="preserve">10.2 Análisis Cualitativo</w:t>
      </w:r>
    </w:p>
    <w:p>
      <w:pPr>
        <w:pStyle w:val="FirstParagraph"/>
      </w:pPr>
      <w:r>
        <w:t xml:space="preserve">El análisis cualitativo clasifica cada riesgo por probabilidad (P) e impacto (I) en una escala ordinal de 1 a 5. El nivel resulta del producto P×I. El nivel es extremo desde 20, alto de 12 a 19, medio de 6 a 11 y bajo por debajo de 6. Los umbrales son PROPUESTO. El registro contiene 1 riesgo extremo, 7 riesgos altos, 4 medios y 0 bajos. La Tabla 10.2 ubica los riesgos en la matriz de 5 por 5 y la Figura 10.1 la presenta como mapa de calor.</w:t>
      </w:r>
    </w:p>
    <w:p>
      <w:pPr>
        <w:pStyle w:val="TablaRotulo"/>
      </w:pPr>
      <w:bookmarkStart w:id="9318" w:name="rot_Tabla_10_2"/>
      <w:r>
        <w:rPr>
          <w:b/>
          <w:bCs/>
        </w:rPr>
        <w:t xml:space="preserve">Tabla 10.2</w:t>
      </w:r>
      <w:bookmarkEnd w:id="9318"/>
    </w:p>
    <w:p>
      <w:pPr>
        <w:pStyle w:val="TablaTitulo"/>
      </w:pPr>
      <w:r>
        <w:rPr>
          <w:i/>
          <w:iCs/>
        </w:rPr>
        <w:t xml:space="preserve">Matriz de probabilidad e impacto con los riesgos ubicados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96"/>
        <w:gridCol w:w="998"/>
        <w:gridCol w:w="1064"/>
        <w:gridCol w:w="1264"/>
        <w:gridCol w:w="1530"/>
        <w:gridCol w:w="1264"/>
      </w:tblGrid>
      <w:tr>
        <w:trPr>
          <w:cantSplit/>
          <w:tblHeader/>
        </w:trPr>
        <w:tc>
          <w:tcPr>
            <w:shd w:val="clear" w:color="auto" w:fill="00B050"/>
          </w:tcPr>
          <w:p>
            <w:pPr>
              <w:pStyle w:val="Tabla9"/>
              <w:jc w:val="center"/>
            </w:pPr>
            <w:r>
              <w:rPr>
                <w:b/>
                <w:color w:val="FFFFFF"/>
              </w:rPr>
              <w:t xml:space="preserve">Probabilidad</w:t>
            </w:r>
          </w:p>
        </w:tc>
        <w:tc>
          <w:tcPr>
            <w:shd w:val="clear" w:color="auto" w:fill="00B050"/>
          </w:tcPr>
          <w:p>
            <w:pPr>
              <w:pStyle w:val="Tabla9"/>
              <w:jc w:val="center"/>
            </w:pPr>
            <w:r>
              <w:rPr>
                <w:b/>
                <w:color w:val="FFFFFF"/>
              </w:rPr>
              <w:t xml:space="preserve">I = 1 (muy bajo)</w:t>
            </w:r>
          </w:p>
        </w:tc>
        <w:tc>
          <w:tcPr>
            <w:shd w:val="clear" w:color="auto" w:fill="00B050"/>
          </w:tcPr>
          <w:p>
            <w:pPr>
              <w:pStyle w:val="Tabla9"/>
              <w:jc w:val="center"/>
            </w:pPr>
            <w:r>
              <w:rPr>
                <w:b/>
                <w:color w:val="FFFFFF"/>
              </w:rPr>
              <w:t xml:space="preserve">I = 2 (bajo)</w:t>
            </w:r>
          </w:p>
        </w:tc>
        <w:tc>
          <w:tcPr>
            <w:shd w:val="clear" w:color="auto" w:fill="00B050"/>
          </w:tcPr>
          <w:p>
            <w:pPr>
              <w:pStyle w:val="Tabla9"/>
              <w:jc w:val="center"/>
            </w:pPr>
            <w:r>
              <w:rPr>
                <w:b/>
                <w:color w:val="FFFFFF"/>
              </w:rPr>
              <w:t xml:space="preserve">I = 3 (medio)</w:t>
            </w:r>
          </w:p>
        </w:tc>
        <w:tc>
          <w:tcPr>
            <w:shd w:val="clear" w:color="auto" w:fill="00B050"/>
          </w:tcPr>
          <w:p>
            <w:pPr>
              <w:pStyle w:val="Tabla9"/>
              <w:jc w:val="center"/>
            </w:pPr>
            <w:r>
              <w:rPr>
                <w:b/>
                <w:color w:val="FFFFFF"/>
              </w:rPr>
              <w:t xml:space="preserve">I = 4 (alto)</w:t>
            </w:r>
          </w:p>
        </w:tc>
        <w:tc>
          <w:tcPr>
            <w:shd w:val="clear" w:color="auto" w:fill="00B050"/>
          </w:tcPr>
          <w:p>
            <w:pPr>
              <w:pStyle w:val="Tabla9"/>
              <w:jc w:val="center"/>
            </w:pPr>
            <w:r>
              <w:rPr>
                <w:b/>
                <w:color w:val="FFFFFF"/>
              </w:rPr>
              <w:t xml:space="preserve">I = 5 (muy alto)</w:t>
            </w:r>
          </w:p>
        </w:tc>
      </w:tr>
      <w:tr>
        <w:trPr>
          <w:cantSplit/>
        </w:trPr>
        <w:tc>
          <w:tcPr/>
          <w:p>
            <w:pPr>
              <w:pStyle w:val="Tabla9"/>
              <w:jc w:val="left"/>
            </w:pPr>
            <w:r>
              <w:t xml:space="preserve">P = 5</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r>
        <w:trPr>
          <w:cantSplit/>
        </w:trPr>
        <w:tc>
          <w:tcPr/>
          <w:p>
            <w:pPr>
              <w:pStyle w:val="Tabla9"/>
              <w:jc w:val="left"/>
            </w:pPr>
            <w:r>
              <w:t xml:space="preserve">P = 4</w:t>
            </w:r>
          </w:p>
        </w:tc>
        <w:tc>
          <w:tcPr/>
          <w:p>
            <w:pPr>
              <w:pStyle w:val="Tabla9"/>
              <w:jc w:val="left"/>
            </w:pPr>
            <w:r>
              <w:t xml:space="preserve">—</w:t>
            </w:r>
          </w:p>
        </w:tc>
        <w:tc>
          <w:tcPr/>
          <w:p>
            <w:pPr>
              <w:pStyle w:val="Tabla9"/>
              <w:jc w:val="left"/>
            </w:pPr>
            <w:r>
              <w:t xml:space="preserve">—</w:t>
            </w:r>
          </w:p>
        </w:tc>
        <w:tc>
          <w:tcPr/>
          <w:p>
            <w:pPr>
              <w:pStyle w:val="Tabla9"/>
              <w:jc w:val="left"/>
            </w:pPr>
            <w:r>
              <w:t xml:space="preserve">EXT-01</w:t>
            </w:r>
          </w:p>
        </w:tc>
        <w:tc>
          <w:tcPr/>
          <w:p>
            <w:pPr>
              <w:pStyle w:val="Tabla9"/>
              <w:jc w:val="left"/>
            </w:pPr>
            <w:r>
              <w:t xml:space="preserve">ORG-02, FIN-01</w:t>
            </w:r>
          </w:p>
        </w:tc>
        <w:tc>
          <w:tcPr/>
          <w:p>
            <w:pPr>
              <w:pStyle w:val="Tabla9"/>
              <w:jc w:val="left"/>
            </w:pPr>
            <w:r>
              <w:t xml:space="preserve">TEC-01</w:t>
            </w:r>
          </w:p>
        </w:tc>
      </w:tr>
      <w:tr>
        <w:trPr>
          <w:cantSplit/>
        </w:trPr>
        <w:tc>
          <w:tcPr/>
          <w:p>
            <w:pPr>
              <w:pStyle w:val="Tabla9"/>
              <w:jc w:val="left"/>
            </w:pPr>
            <w:r>
              <w:t xml:space="preserve">P = 3</w:t>
            </w:r>
          </w:p>
        </w:tc>
        <w:tc>
          <w:tcPr/>
          <w:p>
            <w:pPr>
              <w:pStyle w:val="Tabla9"/>
              <w:jc w:val="left"/>
            </w:pPr>
            <w:r>
              <w:t xml:space="preserve">—</w:t>
            </w:r>
          </w:p>
        </w:tc>
        <w:tc>
          <w:tcPr/>
          <w:p>
            <w:pPr>
              <w:pStyle w:val="Tabla9"/>
              <w:jc w:val="left"/>
            </w:pPr>
            <w:r>
              <w:t xml:space="preserve">—</w:t>
            </w:r>
          </w:p>
        </w:tc>
        <w:tc>
          <w:tcPr/>
          <w:p>
            <w:pPr>
              <w:pStyle w:val="Tabla9"/>
              <w:jc w:val="left"/>
            </w:pPr>
            <w:r>
              <w:t xml:space="preserve">EXT-02</w:t>
            </w:r>
          </w:p>
        </w:tc>
        <w:tc>
          <w:tcPr/>
          <w:p>
            <w:pPr>
              <w:pStyle w:val="Tabla9"/>
              <w:jc w:val="left"/>
            </w:pPr>
            <w:r>
              <w:t xml:space="preserve">TEC-02, TEC-03, TEC-04</w:t>
            </w:r>
          </w:p>
        </w:tc>
        <w:tc>
          <w:tcPr/>
          <w:p>
            <w:pPr>
              <w:pStyle w:val="Tabla9"/>
              <w:jc w:val="left"/>
            </w:pPr>
            <w:r>
              <w:t xml:space="preserve">ORG-01</w:t>
            </w:r>
          </w:p>
        </w:tc>
      </w:tr>
      <w:tr>
        <w:trPr>
          <w:cantSplit/>
        </w:trPr>
        <w:tc>
          <w:tcPr/>
          <w:p>
            <w:pPr>
              <w:pStyle w:val="Tabla9"/>
              <w:jc w:val="left"/>
            </w:pPr>
            <w:r>
              <w:t xml:space="preserve">P = 2</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FIN-02, JUR-01, DAT-01</w:t>
            </w:r>
          </w:p>
        </w:tc>
        <w:tc>
          <w:tcPr/>
          <w:p>
            <w:pPr>
              <w:pStyle w:val="Tabla9"/>
              <w:jc w:val="left"/>
            </w:pPr>
            <w:r>
              <w:t xml:space="preserve">—</w:t>
            </w:r>
          </w:p>
        </w:tc>
      </w:tr>
      <w:tr>
        <w:trPr>
          <w:cantSplit/>
        </w:trPr>
        <w:tc>
          <w:tcPr/>
          <w:p>
            <w:pPr>
              <w:pStyle w:val="Tabla9"/>
              <w:jc w:val="left"/>
            </w:pPr>
            <w:r>
              <w:t xml:space="preserve">P = 1</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bl>
    <w:p>
      <w:pPr>
        <w:pStyle w:val="TablaNota"/>
      </w:pPr>
      <w:r>
        <w:rPr>
          <w:i/>
          <w:iCs/>
        </w:rPr>
        <w:t xml:space="preserve">Nota.</w:t>
      </w:r>
      <w:r>
        <w:t xml:space="preserve"> </w:t>
      </w:r>
      <w:r>
        <w:t xml:space="preserve">Elaboración propia con datos de maestro.py (RIESGOS). Cada celda lista los identificadores sin el prefijo R-; TEC: técnico; ORG: organizacional; EXT: externo; FIN: financiero; JUR: jurídico; DAT: datos. Nivel = P × I: extremo (20 a 25), alto (12 a 19), medio (6 a 11), bajo (1 a 5). La ubicación es PROPUESTO.</w:t>
      </w:r>
    </w:p>
    <w:p>
      <w:pPr>
        <w:pStyle w:val="FiguraRotulo"/>
      </w:pPr>
      <w:bookmarkStart w:id="9526" w:name="rot_Figura_10_1"/>
      <w:r>
        <w:rPr>
          <w:b/>
          <w:bCs/>
        </w:rPr>
        <w:t xml:space="preserve">Figura 10.1</w:t>
      </w:r>
      <w:bookmarkEnd w:id="9526"/>
    </w:p>
    <w:p>
      <w:pPr>
        <w:pStyle w:val="FiguraTitulo"/>
      </w:pPr>
      <w:r>
        <w:rPr>
          <w:i/>
          <w:iCs/>
        </w:rPr>
        <w:t xml:space="preserve">1 riesgo extremo y 7 altos concentran el registro; ninguno queda en nivel bajo</w:t>
      </w:r>
    </w:p>
    <w:p>
      <w:pPr>
        <w:pStyle w:val="BodyText"/>
      </w:pPr>
      <w:r>
        <w:drawing>
          <wp:inline>
            <wp:extent cx="5579999" cy="3607523"/>
            <wp:effectExtent b="0" l="0" r="0" t="0"/>
            <wp:docPr descr="" title="" id="535" name="Picture"/>
            <a:graphic>
              <a:graphicData uri="http://schemas.openxmlformats.org/drawingml/2006/picture">
                <pic:pic>
                  <pic:nvPicPr>
                    <pic:cNvPr descr="/tmp/claude-0/-home-user-docs/ddf38714-2a7e-502b-92b4-1008e2832422/scratchpad/proy/figs/out/c10_f01.png" id="536" name="Picture"/>
                    <pic:cNvPicPr>
                      <a:picLocks noChangeArrowheads="1" noChangeAspect="1"/>
                    </pic:cNvPicPr>
                  </pic:nvPicPr>
                  <pic:blipFill>
                    <a:blip r:embed="rId534"/>
                    <a:stretch>
                      <a:fillRect/>
                    </a:stretch>
                  </pic:blipFill>
                  <pic:spPr bwMode="auto">
                    <a:xfrm>
                      <a:off x="0" y="0"/>
                      <a:ext cx="5579999" cy="360752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(RIESGOS). Matriz de 5 por 5 con nivel = P × I (escala de 1 a 5, PROPUESTO); trama y etiqueta según nivel. Python 3 y matplotlib; script c10_figs.py; sin semilla; corte del 13 de octubre de 2026.</w:t>
      </w:r>
    </w:p>
    <w:p>
      <w:pPr>
        <w:pStyle w:val="BodyText"/>
      </w:pPr>
      <w:r>
        <w:t xml:space="preserve">El riesgo R-TEC-01 es el único extremo. Describe la saturación de los cabezales ópticos por humedad y polvo, con probabilidad de 60 % e impacto de 250 millones de COP. Afecta directamente la variable central del problema, el error de medición sin verificar (V06). Los siete riesgos altos incluyen tres técnicos, dos organizacionales, uno externo y uno financiero. Los riesgos organizacionales R-ORG-01 y R-ORG-02 tienen impacto alto o muy alto sobre el uso y la custodia. Ningún riesgo es bajo, lo que sugiere que la escala puede estar sesgada hacia el pesimismo o que el proyecto es genuinamente arriesgado.</w:t>
      </w:r>
    </w:p>
    <w:p>
      <w:pPr>
        <w:pStyle w:val="BodyText"/>
      </w:pPr>
      <w:r>
        <w:t xml:space="preserve">Las escalas ordinales tienen límites conocidos. Multiplicar rangos ordinales produce un índice que ordena, pero no mide. Tversky y Kahneman (1974) documentaron que la estimación subjetiva de probabilidades se ancla en valores salientes y subestima la incertidumbre. Por esa razón el proyecto no usa el nivel para calcular la reserva. La reserva descansa en el valor esperado. El nivel solo decide quién responde. Ese uso es compatible con la crítica y mantiene la utilidad de la matriz como lenguaje común del equipo.</w:t>
      </w:r>
    </w:p>
    <w:p>
      <w:pPr>
        <w:pStyle w:val="BodyText"/>
      </w:pPr>
      <w:r>
        <w:t xml:space="preserve">El seguimiento de cada riesgo usa su disparador observable y no la percepción del responsable. El disparador de R-TEC-01 es un NRMSE superior a 30 % en dos verificaciones consecutivas. El de R-TEC-02 es una disponibilidad mensual inferior a 90 %. El de R-ORG-01 es un uso inferior a 50 % en el tramo 1. Esos valores coinciden con los umbrales de los indicadores PERS, de modo que el seguimiento del riesgo y el del desempeño usan la misma medición. La ISO (2018) recomienda integrar la gestión del riesgo en los procesos de gobierno y de seguimiento. El proyecto cumple esa recomendación al registrar el estado de cada disparador en el informe mensual.</w:t>
      </w:r>
    </w:p>
    <w:bookmarkEnd w:id="537"/>
    <w:bookmarkStart w:id="538" w:name="_Toc00900220"/>
    <w:p>
      <w:pPr>
        <w:pStyle w:val="Heading2"/>
      </w:pPr>
      <w:r>
        <w:t xml:space="preserve">10.3 Análisis Cuantitativo</w:t>
      </w:r>
    </w:p>
    <w:p>
      <w:pPr>
        <w:pStyle w:val="FirstParagraph"/>
      </w:pPr>
      <w:r>
        <w:t xml:space="preserve">El análisis cuantitativo calcula el valor monetario esperado de cada riesgo. El EMV es el producto de la probabilidad por el impacto en millones de COP (Raiffa, 1968). La suma de los 12 valores es de 636,5 millones de COP, y la reserva de contingencia redondea esa suma a 636,0 millones. La Tabla 10.3 presenta el cálculo con la participación de cada riesgo.</w:t>
      </w:r>
    </w:p>
    <w:p>
      <w:pPr>
        <w:pStyle w:val="TablaRotulo"/>
      </w:pPr>
      <w:bookmarkStart w:id="9319" w:name="rot_Tabla_10_3"/>
      <w:r>
        <w:rPr>
          <w:b/>
          <w:bCs/>
        </w:rPr>
        <w:t xml:space="preserve">Tabla 10.3</w:t>
      </w:r>
      <w:bookmarkEnd w:id="9319"/>
    </w:p>
    <w:p>
      <w:pPr>
        <w:pStyle w:val="TablaTitulo"/>
      </w:pPr>
      <w:r>
        <w:rPr>
          <w:i/>
          <w:iCs/>
        </w:rPr>
        <w:t xml:space="preserve">Análisis cuantitativo de los riesgos por valor monetario esperado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54"/>
        <w:gridCol w:w="1320"/>
        <w:gridCol w:w="1518"/>
        <w:gridCol w:w="1122"/>
        <w:gridCol w:w="1122"/>
        <w:gridCol w:w="1584"/>
      </w:tblGrid>
      <w:tr>
        <w:trPr>
          <w:cantSplit/>
          <w:tblHeader/>
        </w:trPr>
        <w:tc>
          <w:tcPr>
            <w:shd w:val="clear" w:color="auto" w:fill="00B050"/>
          </w:tcPr>
          <w:p>
            <w:pPr>
              <w:pStyle w:val="Tabla9"/>
              <w:jc w:val="center"/>
            </w:pPr>
            <w:r>
              <w:rPr>
                <w:b/>
                <w:color w:val="FFFFFF"/>
              </w:rPr>
              <w:t xml:space="preserve">Riesgo</w:t>
            </w:r>
          </w:p>
        </w:tc>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Probabilidad</w:t>
            </w:r>
          </w:p>
        </w:tc>
        <w:tc>
          <w:tcPr>
            <w:shd w:val="clear" w:color="auto" w:fill="00B050"/>
          </w:tcPr>
          <w:p>
            <w:pPr>
              <w:pStyle w:val="Tabla9"/>
              <w:jc w:val="center"/>
            </w:pPr>
            <w:r>
              <w:rPr>
                <w:b/>
                <w:color w:val="FFFFFF"/>
              </w:rPr>
              <w:t xml:space="preserve">Impacto (millones de COP)</w:t>
            </w:r>
          </w:p>
        </w:tc>
        <w:tc>
          <w:tcPr>
            <w:shd w:val="clear" w:color="auto" w:fill="00B050"/>
          </w:tcPr>
          <w:p>
            <w:pPr>
              <w:pStyle w:val="Tabla9"/>
              <w:jc w:val="center"/>
            </w:pPr>
            <w:r>
              <w:rPr>
                <w:b/>
                <w:color w:val="FFFFFF"/>
              </w:rPr>
              <w:t xml:space="preserve">EMV (millones de COP)</w:t>
            </w:r>
          </w:p>
        </w:tc>
        <w:tc>
          <w:tcPr>
            <w:shd w:val="clear" w:color="auto" w:fill="00B050"/>
          </w:tcPr>
          <w:p>
            <w:pPr>
              <w:pStyle w:val="Tabla9"/>
              <w:jc w:val="center"/>
            </w:pPr>
            <w:r>
              <w:rPr>
                <w:b/>
                <w:color w:val="FFFFFF"/>
              </w:rPr>
              <w:t xml:space="preserve">Participación del EMV</w:t>
            </w:r>
          </w:p>
        </w:tc>
      </w:tr>
      <w:tr>
        <w:trPr>
          <w:cantSplit/>
        </w:trPr>
        <w:tc>
          <w:tcPr/>
          <w:p>
            <w:pPr>
              <w:pStyle w:val="Tabla9"/>
              <w:jc w:val="left"/>
            </w:pPr>
            <w:r>
              <w:t xml:space="preserve">R-FIN-01</w:t>
            </w:r>
          </w:p>
        </w:tc>
        <w:tc>
          <w:tcPr/>
          <w:p>
            <w:pPr>
              <w:pStyle w:val="Tabla9"/>
              <w:jc w:val="left"/>
            </w:pPr>
            <w:r>
              <w:t xml:space="preserve">ALTO</w:t>
            </w:r>
          </w:p>
        </w:tc>
        <w:tc>
          <w:tcPr/>
          <w:p>
            <w:pPr>
              <w:pStyle w:val="Tabla9"/>
              <w:jc w:val="left"/>
            </w:pPr>
            <w:r>
              <w:t xml:space="preserve">55 %</w:t>
            </w:r>
          </w:p>
        </w:tc>
        <w:tc>
          <w:tcPr/>
          <w:p>
            <w:pPr>
              <w:pStyle w:val="Tabla9"/>
              <w:jc w:val="left"/>
            </w:pPr>
            <w:r>
              <w:t xml:space="preserve">300,0</w:t>
            </w:r>
          </w:p>
        </w:tc>
        <w:tc>
          <w:tcPr/>
          <w:p>
            <w:pPr>
              <w:pStyle w:val="Tabla9"/>
              <w:jc w:val="left"/>
            </w:pPr>
            <w:r>
              <w:t xml:space="preserve">165,0</w:t>
            </w:r>
          </w:p>
        </w:tc>
        <w:tc>
          <w:tcPr/>
          <w:p>
            <w:pPr>
              <w:pStyle w:val="Tabla9"/>
              <w:jc w:val="left"/>
            </w:pPr>
            <w:r>
              <w:t xml:space="preserve">25,9 %</w:t>
            </w:r>
          </w:p>
        </w:tc>
      </w:tr>
      <w:tr>
        <w:trPr>
          <w:cantSplit/>
        </w:trPr>
        <w:tc>
          <w:tcPr/>
          <w:p>
            <w:pPr>
              <w:pStyle w:val="Tabla9"/>
              <w:jc w:val="left"/>
            </w:pPr>
            <w:r>
              <w:t xml:space="preserve">R-TEC-01</w:t>
            </w:r>
          </w:p>
        </w:tc>
        <w:tc>
          <w:tcPr/>
          <w:p>
            <w:pPr>
              <w:pStyle w:val="Tabla9"/>
              <w:jc w:val="left"/>
            </w:pPr>
            <w:r>
              <w:t xml:space="preserve">EXTREMO</w:t>
            </w:r>
          </w:p>
        </w:tc>
        <w:tc>
          <w:tcPr/>
          <w:p>
            <w:pPr>
              <w:pStyle w:val="Tabla9"/>
              <w:jc w:val="left"/>
            </w:pPr>
            <w:r>
              <w:t xml:space="preserve">60 %</w:t>
            </w:r>
          </w:p>
        </w:tc>
        <w:tc>
          <w:tcPr/>
          <w:p>
            <w:pPr>
              <w:pStyle w:val="Tabla9"/>
              <w:jc w:val="left"/>
            </w:pPr>
            <w:r>
              <w:t xml:space="preserve">250,0</w:t>
            </w:r>
          </w:p>
        </w:tc>
        <w:tc>
          <w:tcPr/>
          <w:p>
            <w:pPr>
              <w:pStyle w:val="Tabla9"/>
              <w:jc w:val="left"/>
            </w:pPr>
            <w:r>
              <w:t xml:space="preserve">150,0</w:t>
            </w:r>
          </w:p>
        </w:tc>
        <w:tc>
          <w:tcPr/>
          <w:p>
            <w:pPr>
              <w:pStyle w:val="Tabla9"/>
              <w:jc w:val="left"/>
            </w:pPr>
            <w:r>
              <w:t xml:space="preserve">23,6 %</w:t>
            </w:r>
          </w:p>
        </w:tc>
      </w:tr>
      <w:tr>
        <w:trPr>
          <w:cantSplit/>
        </w:trPr>
        <w:tc>
          <w:tcPr/>
          <w:p>
            <w:pPr>
              <w:pStyle w:val="Tabla9"/>
              <w:jc w:val="left"/>
            </w:pPr>
            <w:r>
              <w:t xml:space="preserve">R-ORG-02</w:t>
            </w:r>
          </w:p>
        </w:tc>
        <w:tc>
          <w:tcPr/>
          <w:p>
            <w:pPr>
              <w:pStyle w:val="Tabla9"/>
              <w:jc w:val="left"/>
            </w:pPr>
            <w:r>
              <w:t xml:space="preserve">ALTO</w:t>
            </w:r>
          </w:p>
        </w:tc>
        <w:tc>
          <w:tcPr/>
          <w:p>
            <w:pPr>
              <w:pStyle w:val="Tabla9"/>
              <w:jc w:val="left"/>
            </w:pPr>
            <w:r>
              <w:t xml:space="preserve">50 %</w:t>
            </w:r>
          </w:p>
        </w:tc>
        <w:tc>
          <w:tcPr/>
          <w:p>
            <w:pPr>
              <w:pStyle w:val="Tabla9"/>
              <w:jc w:val="left"/>
            </w:pPr>
            <w:r>
              <w:t xml:space="preserve">120,0</w:t>
            </w:r>
          </w:p>
        </w:tc>
        <w:tc>
          <w:tcPr/>
          <w:p>
            <w:pPr>
              <w:pStyle w:val="Tabla9"/>
              <w:jc w:val="left"/>
            </w:pPr>
            <w:r>
              <w:t xml:space="preserve">60,0</w:t>
            </w:r>
          </w:p>
        </w:tc>
        <w:tc>
          <w:tcPr/>
          <w:p>
            <w:pPr>
              <w:pStyle w:val="Tabla9"/>
              <w:jc w:val="left"/>
            </w:pPr>
            <w:r>
              <w:t xml:space="preserve">9,4 %</w:t>
            </w:r>
          </w:p>
        </w:tc>
      </w:tr>
      <w:tr>
        <w:trPr>
          <w:cantSplit/>
        </w:trPr>
        <w:tc>
          <w:tcPr/>
          <w:p>
            <w:pPr>
              <w:pStyle w:val="Tabla9"/>
              <w:jc w:val="left"/>
            </w:pPr>
            <w:r>
              <w:t xml:space="preserve">R-EXT-01</w:t>
            </w:r>
          </w:p>
        </w:tc>
        <w:tc>
          <w:tcPr/>
          <w:p>
            <w:pPr>
              <w:pStyle w:val="Tabla9"/>
              <w:jc w:val="left"/>
            </w:pPr>
            <w:r>
              <w:t xml:space="preserve">ALTO</w:t>
            </w:r>
          </w:p>
        </w:tc>
        <w:tc>
          <w:tcPr/>
          <w:p>
            <w:pPr>
              <w:pStyle w:val="Tabla9"/>
              <w:jc w:val="left"/>
            </w:pPr>
            <w:r>
              <w:t xml:space="preserve">50 %</w:t>
            </w:r>
          </w:p>
        </w:tc>
        <w:tc>
          <w:tcPr/>
          <w:p>
            <w:pPr>
              <w:pStyle w:val="Tabla9"/>
              <w:jc w:val="left"/>
            </w:pPr>
            <w:r>
              <w:t xml:space="preserve">120,0</w:t>
            </w:r>
          </w:p>
        </w:tc>
        <w:tc>
          <w:tcPr/>
          <w:p>
            <w:pPr>
              <w:pStyle w:val="Tabla9"/>
              <w:jc w:val="left"/>
            </w:pPr>
            <w:r>
              <w:t xml:space="preserve">60,0</w:t>
            </w:r>
          </w:p>
        </w:tc>
        <w:tc>
          <w:tcPr/>
          <w:p>
            <w:pPr>
              <w:pStyle w:val="Tabla9"/>
              <w:jc w:val="left"/>
            </w:pPr>
            <w:r>
              <w:t xml:space="preserve">9,4 %</w:t>
            </w:r>
          </w:p>
        </w:tc>
      </w:tr>
      <w:tr>
        <w:trPr>
          <w:cantSplit/>
        </w:trPr>
        <w:tc>
          <w:tcPr/>
          <w:p>
            <w:pPr>
              <w:pStyle w:val="Tabla9"/>
              <w:jc w:val="left"/>
            </w:pPr>
            <w:r>
              <w:t xml:space="preserve">R-ORG-01</w:t>
            </w:r>
          </w:p>
        </w:tc>
        <w:tc>
          <w:tcPr/>
          <w:p>
            <w:pPr>
              <w:pStyle w:val="Tabla9"/>
              <w:jc w:val="left"/>
            </w:pPr>
            <w:r>
              <w:t xml:space="preserve">ALTO</w:t>
            </w:r>
          </w:p>
        </w:tc>
        <w:tc>
          <w:tcPr/>
          <w:p>
            <w:pPr>
              <w:pStyle w:val="Tabla9"/>
              <w:jc w:val="left"/>
            </w:pPr>
            <w:r>
              <w:t xml:space="preserve">40 %</w:t>
            </w:r>
          </w:p>
        </w:tc>
        <w:tc>
          <w:tcPr/>
          <w:p>
            <w:pPr>
              <w:pStyle w:val="Tabla9"/>
              <w:jc w:val="left"/>
            </w:pPr>
            <w:r>
              <w:t xml:space="preserve">90,0</w:t>
            </w:r>
          </w:p>
        </w:tc>
        <w:tc>
          <w:tcPr/>
          <w:p>
            <w:pPr>
              <w:pStyle w:val="Tabla9"/>
              <w:jc w:val="left"/>
            </w:pPr>
            <w:r>
              <w:t xml:space="preserve">36,0</w:t>
            </w:r>
          </w:p>
        </w:tc>
        <w:tc>
          <w:tcPr/>
          <w:p>
            <w:pPr>
              <w:pStyle w:val="Tabla9"/>
              <w:jc w:val="left"/>
            </w:pPr>
            <w:r>
              <w:t xml:space="preserve">5,7 %</w:t>
            </w:r>
          </w:p>
        </w:tc>
      </w:tr>
      <w:tr>
        <w:trPr>
          <w:cantSplit/>
        </w:trPr>
        <w:tc>
          <w:tcPr/>
          <w:p>
            <w:pPr>
              <w:pStyle w:val="Tabla9"/>
              <w:jc w:val="left"/>
            </w:pPr>
            <w:r>
              <w:t xml:space="preserve">R-TEC-04</w:t>
            </w:r>
          </w:p>
        </w:tc>
        <w:tc>
          <w:tcPr/>
          <w:p>
            <w:pPr>
              <w:pStyle w:val="Tabla9"/>
              <w:jc w:val="left"/>
            </w:pPr>
            <w:r>
              <w:t xml:space="preserve">ALTO</w:t>
            </w:r>
          </w:p>
        </w:tc>
        <w:tc>
          <w:tcPr/>
          <w:p>
            <w:pPr>
              <w:pStyle w:val="Tabla9"/>
              <w:jc w:val="left"/>
            </w:pPr>
            <w:r>
              <w:t xml:space="preserve">35 %</w:t>
            </w:r>
          </w:p>
        </w:tc>
        <w:tc>
          <w:tcPr/>
          <w:p>
            <w:pPr>
              <w:pStyle w:val="Tabla9"/>
              <w:jc w:val="left"/>
            </w:pPr>
            <w:r>
              <w:t xml:space="preserve">90,0</w:t>
            </w:r>
          </w:p>
        </w:tc>
        <w:tc>
          <w:tcPr/>
          <w:p>
            <w:pPr>
              <w:pStyle w:val="Tabla9"/>
              <w:jc w:val="left"/>
            </w:pPr>
            <w:r>
              <w:t xml:space="preserve">31,5</w:t>
            </w:r>
          </w:p>
        </w:tc>
        <w:tc>
          <w:tcPr/>
          <w:p>
            <w:pPr>
              <w:pStyle w:val="Tabla9"/>
              <w:jc w:val="left"/>
            </w:pPr>
            <w:r>
              <w:t xml:space="preserve">4,9 %</w:t>
            </w:r>
          </w:p>
        </w:tc>
      </w:tr>
      <w:tr>
        <w:trPr>
          <w:cantSplit/>
        </w:trPr>
        <w:tc>
          <w:tcPr/>
          <w:p>
            <w:pPr>
              <w:pStyle w:val="Tabla9"/>
              <w:jc w:val="left"/>
            </w:pPr>
            <w:r>
              <w:t xml:space="preserve">R-TEC-03</w:t>
            </w:r>
          </w:p>
        </w:tc>
        <w:tc>
          <w:tcPr/>
          <w:p>
            <w:pPr>
              <w:pStyle w:val="Tabla9"/>
              <w:jc w:val="left"/>
            </w:pPr>
            <w:r>
              <w:t xml:space="preserve">ALTO</w:t>
            </w:r>
          </w:p>
        </w:tc>
        <w:tc>
          <w:tcPr/>
          <w:p>
            <w:pPr>
              <w:pStyle w:val="Tabla9"/>
              <w:jc w:val="left"/>
            </w:pPr>
            <w:r>
              <w:t xml:space="preserve">40 %</w:t>
            </w:r>
          </w:p>
        </w:tc>
        <w:tc>
          <w:tcPr/>
          <w:p>
            <w:pPr>
              <w:pStyle w:val="Tabla9"/>
              <w:jc w:val="left"/>
            </w:pPr>
            <w:r>
              <w:t xml:space="preserve">70,0</w:t>
            </w:r>
          </w:p>
        </w:tc>
        <w:tc>
          <w:tcPr/>
          <w:p>
            <w:pPr>
              <w:pStyle w:val="Tabla9"/>
              <w:jc w:val="left"/>
            </w:pPr>
            <w:r>
              <w:t xml:space="preserve">28,0</w:t>
            </w:r>
          </w:p>
        </w:tc>
        <w:tc>
          <w:tcPr/>
          <w:p>
            <w:pPr>
              <w:pStyle w:val="Tabla9"/>
              <w:jc w:val="left"/>
            </w:pPr>
            <w:r>
              <w:t xml:space="preserve">4,4 %</w:t>
            </w:r>
          </w:p>
        </w:tc>
      </w:tr>
      <w:tr>
        <w:trPr>
          <w:cantSplit/>
        </w:trPr>
        <w:tc>
          <w:tcPr/>
          <w:p>
            <w:pPr>
              <w:pStyle w:val="Tabla9"/>
              <w:jc w:val="left"/>
            </w:pPr>
            <w:r>
              <w:t xml:space="preserve">R-TEC-02</w:t>
            </w:r>
          </w:p>
        </w:tc>
        <w:tc>
          <w:tcPr/>
          <w:p>
            <w:pPr>
              <w:pStyle w:val="Tabla9"/>
              <w:jc w:val="left"/>
            </w:pPr>
            <w:r>
              <w:t xml:space="preserve">ALTO</w:t>
            </w:r>
          </w:p>
        </w:tc>
        <w:tc>
          <w:tcPr/>
          <w:p>
            <w:pPr>
              <w:pStyle w:val="Tabla9"/>
              <w:jc w:val="left"/>
            </w:pPr>
            <w:r>
              <w:t xml:space="preserve">30 %</w:t>
            </w:r>
          </w:p>
        </w:tc>
        <w:tc>
          <w:tcPr/>
          <w:p>
            <w:pPr>
              <w:pStyle w:val="Tabla9"/>
              <w:jc w:val="left"/>
            </w:pPr>
            <w:r>
              <w:t xml:space="preserve">80,0</w:t>
            </w:r>
          </w:p>
        </w:tc>
        <w:tc>
          <w:tcPr/>
          <w:p>
            <w:pPr>
              <w:pStyle w:val="Tabla9"/>
              <w:jc w:val="left"/>
            </w:pPr>
            <w:r>
              <w:t xml:space="preserve">24,0</w:t>
            </w:r>
          </w:p>
        </w:tc>
        <w:tc>
          <w:tcPr/>
          <w:p>
            <w:pPr>
              <w:pStyle w:val="Tabla9"/>
              <w:jc w:val="left"/>
            </w:pPr>
            <w:r>
              <w:t xml:space="preserve">3,8 %</w:t>
            </w:r>
          </w:p>
        </w:tc>
      </w:tr>
      <w:tr>
        <w:trPr>
          <w:cantSplit/>
        </w:trPr>
        <w:tc>
          <w:tcPr/>
          <w:p>
            <w:pPr>
              <w:pStyle w:val="Tabla9"/>
              <w:jc w:val="left"/>
            </w:pPr>
            <w:r>
              <w:t xml:space="preserve">R-EXT-02</w:t>
            </w:r>
          </w:p>
        </w:tc>
        <w:tc>
          <w:tcPr/>
          <w:p>
            <w:pPr>
              <w:pStyle w:val="Tabla9"/>
              <w:jc w:val="left"/>
            </w:pPr>
            <w:r>
              <w:t xml:space="preserve">MEDIO</w:t>
            </w:r>
          </w:p>
        </w:tc>
        <w:tc>
          <w:tcPr/>
          <w:p>
            <w:pPr>
              <w:pStyle w:val="Tabla9"/>
              <w:jc w:val="left"/>
            </w:pPr>
            <w:r>
              <w:t xml:space="preserve">40 %</w:t>
            </w:r>
          </w:p>
        </w:tc>
        <w:tc>
          <w:tcPr/>
          <w:p>
            <w:pPr>
              <w:pStyle w:val="Tabla9"/>
              <w:jc w:val="left"/>
            </w:pPr>
            <w:r>
              <w:t xml:space="preserve">60,0</w:t>
            </w:r>
          </w:p>
        </w:tc>
        <w:tc>
          <w:tcPr/>
          <w:p>
            <w:pPr>
              <w:pStyle w:val="Tabla9"/>
              <w:jc w:val="left"/>
            </w:pPr>
            <w:r>
              <w:t xml:space="preserve">24,0</w:t>
            </w:r>
          </w:p>
        </w:tc>
        <w:tc>
          <w:tcPr/>
          <w:p>
            <w:pPr>
              <w:pStyle w:val="Tabla9"/>
              <w:jc w:val="left"/>
            </w:pPr>
            <w:r>
              <w:t xml:space="preserve">3,8 %</w:t>
            </w:r>
          </w:p>
        </w:tc>
      </w:tr>
      <w:tr>
        <w:trPr>
          <w:cantSplit/>
        </w:trPr>
        <w:tc>
          <w:tcPr/>
          <w:p>
            <w:pPr>
              <w:pStyle w:val="Tabla9"/>
              <w:jc w:val="left"/>
            </w:pPr>
            <w:r>
              <w:t xml:space="preserve">R-FIN-02</w:t>
            </w:r>
          </w:p>
        </w:tc>
        <w:tc>
          <w:tcPr/>
          <w:p>
            <w:pPr>
              <w:pStyle w:val="Tabla9"/>
              <w:jc w:val="left"/>
            </w:pPr>
            <w:r>
              <w:t xml:space="preserve">MEDIO</w:t>
            </w:r>
          </w:p>
        </w:tc>
        <w:tc>
          <w:tcPr/>
          <w:p>
            <w:pPr>
              <w:pStyle w:val="Tabla9"/>
              <w:jc w:val="left"/>
            </w:pPr>
            <w:r>
              <w:t xml:space="preserve">25 %</w:t>
            </w:r>
          </w:p>
        </w:tc>
        <w:tc>
          <w:tcPr/>
          <w:p>
            <w:pPr>
              <w:pStyle w:val="Tabla9"/>
              <w:jc w:val="left"/>
            </w:pPr>
            <w:r>
              <w:t xml:space="preserve">80,0</w:t>
            </w:r>
          </w:p>
        </w:tc>
        <w:tc>
          <w:tcPr/>
          <w:p>
            <w:pPr>
              <w:pStyle w:val="Tabla9"/>
              <w:jc w:val="left"/>
            </w:pPr>
            <w:r>
              <w:t xml:space="preserve">20,0</w:t>
            </w:r>
          </w:p>
        </w:tc>
        <w:tc>
          <w:tcPr/>
          <w:p>
            <w:pPr>
              <w:pStyle w:val="Tabla9"/>
              <w:jc w:val="left"/>
            </w:pPr>
            <w:r>
              <w:t xml:space="preserve">3,1 %</w:t>
            </w:r>
          </w:p>
        </w:tc>
      </w:tr>
      <w:tr>
        <w:trPr>
          <w:cantSplit/>
        </w:trPr>
        <w:tc>
          <w:tcPr/>
          <w:p>
            <w:pPr>
              <w:pStyle w:val="Tabla9"/>
              <w:jc w:val="left"/>
            </w:pPr>
            <w:r>
              <w:t xml:space="preserve">R-JUR-01</w:t>
            </w:r>
          </w:p>
        </w:tc>
        <w:tc>
          <w:tcPr/>
          <w:p>
            <w:pPr>
              <w:pStyle w:val="Tabla9"/>
              <w:jc w:val="left"/>
            </w:pPr>
            <w:r>
              <w:t xml:space="preserve">MEDIO</w:t>
            </w:r>
          </w:p>
        </w:tc>
        <w:tc>
          <w:tcPr/>
          <w:p>
            <w:pPr>
              <w:pStyle w:val="Tabla9"/>
              <w:jc w:val="left"/>
            </w:pPr>
            <w:r>
              <w:t xml:space="preserve">20 %</w:t>
            </w:r>
          </w:p>
        </w:tc>
        <w:tc>
          <w:tcPr/>
          <w:p>
            <w:pPr>
              <w:pStyle w:val="Tabla9"/>
              <w:jc w:val="left"/>
            </w:pPr>
            <w:r>
              <w:t xml:space="preserve">100,0</w:t>
            </w:r>
          </w:p>
        </w:tc>
        <w:tc>
          <w:tcPr/>
          <w:p>
            <w:pPr>
              <w:pStyle w:val="Tabla9"/>
              <w:jc w:val="left"/>
            </w:pPr>
            <w:r>
              <w:t xml:space="preserve">20,0</w:t>
            </w:r>
          </w:p>
        </w:tc>
        <w:tc>
          <w:tcPr/>
          <w:p>
            <w:pPr>
              <w:pStyle w:val="Tabla9"/>
              <w:jc w:val="left"/>
            </w:pPr>
            <w:r>
              <w:t xml:space="preserve">3,1 %</w:t>
            </w:r>
          </w:p>
        </w:tc>
      </w:tr>
      <w:tr>
        <w:trPr>
          <w:cantSplit/>
        </w:trPr>
        <w:tc>
          <w:tcPr/>
          <w:p>
            <w:pPr>
              <w:pStyle w:val="Tabla9"/>
              <w:jc w:val="left"/>
            </w:pPr>
            <w:r>
              <w:t xml:space="preserve">R-DAT-01</w:t>
            </w:r>
          </w:p>
        </w:tc>
        <w:tc>
          <w:tcPr/>
          <w:p>
            <w:pPr>
              <w:pStyle w:val="Tabla9"/>
              <w:jc w:val="left"/>
            </w:pPr>
            <w:r>
              <w:t xml:space="preserve">MEDIO</w:t>
            </w:r>
          </w:p>
        </w:tc>
        <w:tc>
          <w:tcPr/>
          <w:p>
            <w:pPr>
              <w:pStyle w:val="Tabla9"/>
              <w:jc w:val="left"/>
            </w:pPr>
            <w:r>
              <w:t xml:space="preserve">20 %</w:t>
            </w:r>
          </w:p>
        </w:tc>
        <w:tc>
          <w:tcPr/>
          <w:p>
            <w:pPr>
              <w:pStyle w:val="Tabla9"/>
              <w:jc w:val="left"/>
            </w:pPr>
            <w:r>
              <w:t xml:space="preserve">90,0</w:t>
            </w:r>
          </w:p>
        </w:tc>
        <w:tc>
          <w:tcPr/>
          <w:p>
            <w:pPr>
              <w:pStyle w:val="Tabla9"/>
              <w:jc w:val="left"/>
            </w:pPr>
            <w:r>
              <w:t xml:space="preserve">18,0</w:t>
            </w:r>
          </w:p>
        </w:tc>
        <w:tc>
          <w:tcPr/>
          <w:p>
            <w:pPr>
              <w:pStyle w:val="Tabla9"/>
              <w:jc w:val="left"/>
            </w:pPr>
            <w:r>
              <w:t xml:space="preserve">2,8 %</w:t>
            </w:r>
          </w:p>
        </w:tc>
      </w:tr>
      <w:tr>
        <w:trPr>
          <w:cantSplit/>
        </w:trPr>
        <w:tc>
          <w:tcPr/>
          <w:p>
            <w:pPr>
              <w:pStyle w:val="Tabla9"/>
              <w:jc w:val="left"/>
            </w:pPr>
            <w:r>
              <w:t xml:space="preserve">Total</w:t>
            </w:r>
          </w:p>
        </w:tc>
        <w:tc>
          <w:tcPr/>
          <w:p>
            <w:pPr>
              <w:pStyle w:val="Tabla9"/>
            </w:pPr>
          </w:p>
        </w:tc>
        <w:tc>
          <w:tcPr/>
          <w:p>
            <w:pPr>
              <w:pStyle w:val="Tabla9"/>
            </w:pPr>
          </w:p>
        </w:tc>
        <w:tc>
          <w:tcPr/>
          <w:p>
            <w:pPr>
              <w:pStyle w:val="Tabla9"/>
              <w:jc w:val="left"/>
            </w:pPr>
            <w:r>
              <w:t xml:space="preserve">1.450,0</w:t>
            </w:r>
          </w:p>
        </w:tc>
        <w:tc>
          <w:tcPr/>
          <w:p>
            <w:pPr>
              <w:pStyle w:val="Tabla9"/>
              <w:jc w:val="left"/>
            </w:pPr>
            <w:r>
              <w:t xml:space="preserve">636,5</w:t>
            </w:r>
          </w:p>
        </w:tc>
        <w:tc>
          <w:tcPr/>
          <w:p>
            <w:pPr>
              <w:pStyle w:val="Tabla9"/>
              <w:jc w:val="left"/>
            </w:pPr>
            <w:r>
              <w:t xml:space="preserve">100,0 %</w:t>
            </w:r>
          </w:p>
        </w:tc>
      </w:tr>
    </w:tbl>
    <w:p>
      <w:pPr>
        <w:pStyle w:val="TablaNota"/>
      </w:pPr>
      <w:r>
        <w:rPr>
          <w:i/>
          <w:iCs/>
        </w:rPr>
        <w:t xml:space="preserve">Nota.</w:t>
      </w:r>
      <w:r>
        <w:t xml:space="preserve"> </w:t>
      </w:r>
      <w:r>
        <w:t xml:space="preserve">Elaboración propia con datos de maestro.py (RIESGOS). Probabilidad e impacto: PROPUESTO, NO_VERIFICADO. EMV: CALCULADO como probabilidad por impacto. La reserva de contingencia del capítulo 8 es la suma redondeada a millones: 636,0 millones de COP. Decimales con coma.</w:t>
      </w:r>
    </w:p>
    <w:p>
      <w:pPr>
        <w:pStyle w:val="BodyText"/>
      </w:pPr>
      <w:r>
        <w:t xml:space="preserve">Dos riesgos concentran la mitad del valor esperado. R-FIN-01, la devaluación del peso, aporta 165,0 millones, y R-TEC-01, la saturación de cabezales, aporta 150,0 millones. Juntos suman 315,0 millones, es decir, 49,5 % de la reserva. Por categoría, los riesgos técnicos suman 233,5 millones, los financieros 185,0, los organizacionales 96,0, los externos 84,0, los jurídicos 20,0 y los de datos 18,0. La reserva debe vigilarse con prioridad sobre estos dos riesgos.</w:t>
      </w:r>
    </w:p>
    <w:p>
      <w:pPr>
        <w:pStyle w:val="BodyText"/>
      </w:pPr>
      <w:r>
        <w:t xml:space="preserve">La reserva equivale al valor esperado y no a una cota de la pérdida. Si los 12 riesgos fueran independientes (SUPUESTO), la pérdida total tendría media de 636,5 millones y desviación estándar de 236,1 millones. La probabilidad de que la pérdida supere la reserva sería de 50,6 %. Un cálculo exacto sobre las 4.096 combinaciones posibles da los cuantiles de la Tabla 10.4. Esos valores no son pronósticos. Muestran qué tan amplia es la incertidumbre que la reserva no cubre.</w:t>
      </w:r>
    </w:p>
    <w:p>
      <w:pPr>
        <w:pStyle w:val="TablaRotulo"/>
      </w:pPr>
      <w:bookmarkStart w:id="9320" w:name="rot_Tabla_10_4"/>
      <w:r>
        <w:rPr>
          <w:b/>
          <w:bCs/>
        </w:rPr>
        <w:t xml:space="preserve">Tabla 10.4</w:t>
      </w:r>
      <w:bookmarkEnd w:id="9320"/>
    </w:p>
    <w:p>
      <w:pPr>
        <w:pStyle w:val="TablaTitulo"/>
      </w:pPr>
      <w:r>
        <w:rPr>
          <w:i/>
          <w:iCs/>
        </w:rPr>
        <w:t xml:space="preserve">Distribución de la pérdida total por riesgos bajo independencia, en millones de COP</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462"/>
        <w:gridCol w:w="1064"/>
        <w:gridCol w:w="1863"/>
        <w:gridCol w:w="2529"/>
      </w:tblGrid>
      <w:tr>
        <w:trPr>
          <w:cantSplit/>
          <w:tblHeader/>
        </w:trPr>
        <w:tc>
          <w:tcPr>
            <w:shd w:val="clear" w:color="auto" w:fill="00B050"/>
          </w:tcPr>
          <w:p>
            <w:pPr>
              <w:pStyle w:val="Tabla9"/>
              <w:jc w:val="center"/>
            </w:pPr>
            <w:r>
              <w:rPr>
                <w:b/>
                <w:color w:val="FFFFFF"/>
              </w:rPr>
              <w:t xml:space="preserve">Estadístico</w:t>
            </w:r>
          </w:p>
        </w:tc>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Observación</w:t>
            </w:r>
          </w:p>
        </w:tc>
      </w:tr>
      <w:tr>
        <w:trPr>
          <w:cantSplit/>
        </w:trPr>
        <w:tc>
          <w:tcPr/>
          <w:p>
            <w:pPr>
              <w:pStyle w:val="Tabla9"/>
              <w:jc w:val="left"/>
            </w:pPr>
            <w:r>
              <w:t xml:space="preserve">Pérdida esperada</w:t>
            </w:r>
          </w:p>
        </w:tc>
        <w:tc>
          <w:tcPr/>
          <w:p>
            <w:pPr>
              <w:pStyle w:val="Tabla9"/>
              <w:jc w:val="left"/>
            </w:pPr>
            <w:r>
              <w:t xml:space="preserve">636,5</w:t>
            </w:r>
          </w:p>
        </w:tc>
        <w:tc>
          <w:tcPr/>
          <w:p>
            <w:pPr>
              <w:pStyle w:val="Tabla9"/>
              <w:jc w:val="left"/>
            </w:pPr>
            <w:r>
              <w:t xml:space="preserve">CALCULADO</w:t>
            </w:r>
          </w:p>
        </w:tc>
        <w:tc>
          <w:tcPr/>
          <w:p>
            <w:pPr>
              <w:pStyle w:val="Tabla9"/>
              <w:jc w:val="left"/>
            </w:pPr>
            <w:r>
              <w:t xml:space="preserve">Igual a la suma de los EMV</w:t>
            </w:r>
          </w:p>
        </w:tc>
      </w:tr>
      <w:tr>
        <w:trPr>
          <w:cantSplit/>
        </w:trPr>
        <w:tc>
          <w:tcPr/>
          <w:p>
            <w:pPr>
              <w:pStyle w:val="Tabla9"/>
              <w:jc w:val="left"/>
            </w:pPr>
            <w:r>
              <w:t xml:space="preserve">Desviación estándar</w:t>
            </w:r>
          </w:p>
        </w:tc>
        <w:tc>
          <w:tcPr/>
          <w:p>
            <w:pPr>
              <w:pStyle w:val="Tabla9"/>
              <w:jc w:val="left"/>
            </w:pPr>
            <w:r>
              <w:t xml:space="preserve">236,1</w:t>
            </w:r>
          </w:p>
        </w:tc>
        <w:tc>
          <w:tcPr/>
          <w:p>
            <w:pPr>
              <w:pStyle w:val="Tabla9"/>
              <w:jc w:val="left"/>
            </w:pPr>
            <w:r>
              <w:t xml:space="preserve">CALCULADO</w:t>
            </w:r>
          </w:p>
        </w:tc>
        <w:tc>
          <w:tcPr/>
          <w:p>
            <w:pPr>
              <w:pStyle w:val="Tabla9"/>
              <w:jc w:val="left"/>
            </w:pPr>
            <w:r>
              <w:t xml:space="preserve">Bajo independencia de los 12 riesgos (SUPUESTO)</w:t>
            </w:r>
          </w:p>
        </w:tc>
      </w:tr>
      <w:tr>
        <w:trPr>
          <w:cantSplit/>
        </w:trPr>
        <w:tc>
          <w:tcPr/>
          <w:p>
            <w:pPr>
              <w:pStyle w:val="Tabla9"/>
              <w:jc w:val="left"/>
            </w:pPr>
            <w:r>
              <w:t xml:space="preserve">Probabilidad de ninguna materialización</w:t>
            </w:r>
          </w:p>
        </w:tc>
        <w:tc>
          <w:tcPr/>
          <w:p>
            <w:pPr>
              <w:pStyle w:val="Tabla9"/>
              <w:jc w:val="left"/>
            </w:pPr>
            <w:r>
              <w:t xml:space="preserve">0,21 %</w:t>
            </w:r>
          </w:p>
        </w:tc>
        <w:tc>
          <w:tcPr/>
          <w:p>
            <w:pPr>
              <w:pStyle w:val="Tabla9"/>
              <w:jc w:val="left"/>
            </w:pPr>
            <w:r>
              <w:t xml:space="preserve">CALCULADO</w:t>
            </w:r>
          </w:p>
        </w:tc>
        <w:tc>
          <w:tcPr/>
          <w:p>
            <w:pPr>
              <w:pStyle w:val="Tabla9"/>
              <w:jc w:val="left"/>
            </w:pPr>
            <w:r>
              <w:t xml:space="preserve">Producto de los complementos de las 12 probabilidades</w:t>
            </w:r>
          </w:p>
        </w:tc>
      </w:tr>
      <w:tr>
        <w:trPr>
          <w:cantSplit/>
        </w:trPr>
        <w:tc>
          <w:tcPr/>
          <w:p>
            <w:pPr>
              <w:pStyle w:val="Tabla9"/>
              <w:jc w:val="left"/>
            </w:pPr>
            <w:r>
              <w:t xml:space="preserve">Probabilidad de que la pérdida supere la reserva</w:t>
            </w:r>
          </w:p>
        </w:tc>
        <w:tc>
          <w:tcPr/>
          <w:p>
            <w:pPr>
              <w:pStyle w:val="Tabla9"/>
              <w:jc w:val="left"/>
            </w:pPr>
            <w:r>
              <w:t xml:space="preserve">50,6 %</w:t>
            </w:r>
          </w:p>
        </w:tc>
        <w:tc>
          <w:tcPr/>
          <w:p>
            <w:pPr>
              <w:pStyle w:val="Tabla9"/>
              <w:jc w:val="left"/>
            </w:pPr>
            <w:r>
              <w:t xml:space="preserve">CALCULADO</w:t>
            </w:r>
          </w:p>
        </w:tc>
        <w:tc>
          <w:tcPr/>
          <w:p>
            <w:pPr>
              <w:pStyle w:val="Tabla9"/>
              <w:jc w:val="left"/>
            </w:pPr>
            <w:r>
              <w:t xml:space="preserve">Reserva de 636,0 millones de COP</w:t>
            </w:r>
          </w:p>
        </w:tc>
      </w:tr>
      <w:tr>
        <w:trPr>
          <w:cantSplit/>
        </w:trPr>
        <w:tc>
          <w:tcPr/>
          <w:p>
            <w:pPr>
              <w:pStyle w:val="Tabla9"/>
              <w:jc w:val="left"/>
            </w:pPr>
            <w:r>
              <w:t xml:space="preserve">Percentil 50</w:t>
            </w:r>
          </w:p>
        </w:tc>
        <w:tc>
          <w:tcPr/>
          <w:p>
            <w:pPr>
              <w:pStyle w:val="Tabla9"/>
              <w:jc w:val="left"/>
            </w:pPr>
            <w:r>
              <w:t xml:space="preserve">640,0</w:t>
            </w:r>
          </w:p>
        </w:tc>
        <w:tc>
          <w:tcPr/>
          <w:p>
            <w:pPr>
              <w:pStyle w:val="Tabla9"/>
              <w:jc w:val="left"/>
            </w:pPr>
            <w:r>
              <w:t xml:space="preserve">CALCULADO</w:t>
            </w:r>
          </w:p>
        </w:tc>
        <w:tc>
          <w:tcPr/>
          <w:p>
            <w:pPr>
              <w:pStyle w:val="Tabla9"/>
              <w:jc w:val="left"/>
            </w:pPr>
            <w:r>
              <w:t xml:space="preserve">Mediana de la pérdida total</w:t>
            </w:r>
          </w:p>
        </w:tc>
      </w:tr>
      <w:tr>
        <w:trPr>
          <w:cantSplit/>
        </w:trPr>
        <w:tc>
          <w:tcPr/>
          <w:p>
            <w:pPr>
              <w:pStyle w:val="Tabla9"/>
              <w:jc w:val="left"/>
            </w:pPr>
            <w:r>
              <w:t xml:space="preserve">Percentil 80</w:t>
            </w:r>
          </w:p>
        </w:tc>
        <w:tc>
          <w:tcPr/>
          <w:p>
            <w:pPr>
              <w:pStyle w:val="Tabla9"/>
              <w:jc w:val="left"/>
            </w:pPr>
            <w:r>
              <w:t xml:space="preserve">850,0</w:t>
            </w:r>
          </w:p>
        </w:tc>
        <w:tc>
          <w:tcPr/>
          <w:p>
            <w:pPr>
              <w:pStyle w:val="Tabla9"/>
              <w:jc w:val="left"/>
            </w:pPr>
            <w:r>
              <w:t xml:space="preserve">CALCULADO</w:t>
            </w:r>
          </w:p>
        </w:tc>
        <w:tc>
          <w:tcPr/>
          <w:p>
            <w:pPr>
              <w:pStyle w:val="Tabla9"/>
              <w:jc w:val="left"/>
            </w:pPr>
            <w:r>
              <w:t xml:space="preserve">Primer valor con probabilidad acumulada de 80 % o más</w:t>
            </w:r>
          </w:p>
        </w:tc>
      </w:tr>
      <w:tr>
        <w:trPr>
          <w:cantSplit/>
        </w:trPr>
        <w:tc>
          <w:tcPr/>
          <w:p>
            <w:pPr>
              <w:pStyle w:val="Tabla9"/>
              <w:jc w:val="left"/>
            </w:pPr>
            <w:r>
              <w:t xml:space="preserve">Percentil 90</w:t>
            </w:r>
          </w:p>
        </w:tc>
        <w:tc>
          <w:tcPr/>
          <w:p>
            <w:pPr>
              <w:pStyle w:val="Tabla9"/>
              <w:jc w:val="left"/>
            </w:pPr>
            <w:r>
              <w:t xml:space="preserve">940,0</w:t>
            </w:r>
          </w:p>
        </w:tc>
        <w:tc>
          <w:tcPr/>
          <w:p>
            <w:pPr>
              <w:pStyle w:val="Tabla9"/>
              <w:jc w:val="left"/>
            </w:pPr>
            <w:r>
              <w:t xml:space="preserve">CALCULADO</w:t>
            </w:r>
          </w:p>
        </w:tc>
        <w:tc>
          <w:tcPr/>
          <w:p>
            <w:pPr>
              <w:pStyle w:val="Tabla9"/>
              <w:jc w:val="left"/>
            </w:pPr>
            <w:r>
              <w:t xml:space="preserve">Primer valor con probabilidad acumulada de 90 % o más</w:t>
            </w:r>
          </w:p>
        </w:tc>
      </w:tr>
      <w:tr>
        <w:trPr>
          <w:cantSplit/>
        </w:trPr>
        <w:tc>
          <w:tcPr/>
          <w:p>
            <w:pPr>
              <w:pStyle w:val="Tabla9"/>
              <w:jc w:val="left"/>
            </w:pPr>
            <w:r>
              <w:t xml:space="preserve">Percentil 95</w:t>
            </w:r>
          </w:p>
        </w:tc>
        <w:tc>
          <w:tcPr/>
          <w:p>
            <w:pPr>
              <w:pStyle w:val="Tabla9"/>
              <w:jc w:val="left"/>
            </w:pPr>
            <w:r>
              <w:t xml:space="preserve">1.020,0</w:t>
            </w:r>
          </w:p>
        </w:tc>
        <w:tc>
          <w:tcPr/>
          <w:p>
            <w:pPr>
              <w:pStyle w:val="Tabla9"/>
              <w:jc w:val="left"/>
            </w:pPr>
            <w:r>
              <w:t xml:space="preserve">CALCULADO</w:t>
            </w:r>
          </w:p>
        </w:tc>
        <w:tc>
          <w:tcPr/>
          <w:p>
            <w:pPr>
              <w:pStyle w:val="Tabla9"/>
              <w:jc w:val="left"/>
            </w:pPr>
            <w:r>
              <w:t xml:space="preserve">Primer valor con probabilidad acumulada de 95 % o más</w:t>
            </w:r>
          </w:p>
        </w:tc>
      </w:tr>
      <w:tr>
        <w:trPr>
          <w:cantSplit/>
        </w:trPr>
        <w:tc>
          <w:tcPr/>
          <w:p>
            <w:pPr>
              <w:pStyle w:val="Tabla9"/>
              <w:jc w:val="left"/>
            </w:pPr>
            <w:r>
              <w:t xml:space="preserve">Suma de los 12 impactos</w:t>
            </w:r>
          </w:p>
        </w:tc>
        <w:tc>
          <w:tcPr/>
          <w:p>
            <w:pPr>
              <w:pStyle w:val="Tabla9"/>
              <w:jc w:val="left"/>
            </w:pPr>
            <w:r>
              <w:t xml:space="preserve">1.450,0</w:t>
            </w:r>
          </w:p>
        </w:tc>
        <w:tc>
          <w:tcPr/>
          <w:p>
            <w:pPr>
              <w:pStyle w:val="Tabla9"/>
              <w:jc w:val="left"/>
            </w:pPr>
            <w:r>
              <w:t xml:space="preserve">CALCULADO</w:t>
            </w:r>
          </w:p>
        </w:tc>
        <w:tc>
          <w:tcPr/>
          <w:p>
            <w:pPr>
              <w:pStyle w:val="Tabla9"/>
              <w:jc w:val="left"/>
            </w:pPr>
            <w:r>
              <w:t xml:space="preserve">Pérdida si todos los riesgos se materializaran</w:t>
            </w:r>
          </w:p>
        </w:tc>
      </w:tr>
    </w:tbl>
    <w:p>
      <w:pPr>
        <w:pStyle w:val="TablaNota"/>
      </w:pPr>
      <w:r>
        <w:rPr>
          <w:i/>
          <w:iCs/>
        </w:rPr>
        <w:t xml:space="preserve">Nota.</w:t>
      </w:r>
      <w:r>
        <w:t xml:space="preserve"> </w:t>
      </w:r>
      <w:r>
        <w:t xml:space="preserve">Elaboración propia con datos de maestro.py (RIESGOS); enumeración exacta de las 4.096 combinaciones de ocurrencia con probabilidades PROPUESTO. La independencia entre riesgos es un SUPUESTO que no se verificó. Decimales con coma.</w:t>
      </w:r>
    </w:p>
    <w:p>
      <w:pPr>
        <w:pStyle w:val="BodyText"/>
      </w:pPr>
      <w:r>
        <w:t xml:space="preserve">El percentil 80 de la pérdida es de 850,0 millones de COP y el percentil 95 es de 1.020,0 millones. La reserva cubre entonces 43,9 % de la suma de los impactos y 75 % del percentil 80. El supuesto de independencia probablemente subestima la cola. R-TEC-01 y R-TEC-04 comparten la variable V06, y una falla de humedad puede propagarse a ambos. La correlación positiva amplía la dispersión. La conclusión es que la reserva sirve para el escenario esperado, y no para un escenario adverso.</w:t>
      </w:r>
    </w:p>
    <w:p>
      <w:pPr>
        <w:pStyle w:val="BodyText"/>
      </w:pPr>
      <w:r>
        <w:t xml:space="preserve">Tres opciones permiten tratar esa brecha. La primera acepta que, en la mitad de los casos, las pérdidas superarán la reserva. Las absorben el cronograma y la holgura no solicitada, de 5.270.160.000 COP bajo el tope declarado. La segunda solicita una reserva mayor, si los términos de referencia la admiten, y la decisión DEC-F06 no la adopta. La tercera reduce la exposición con compra por tramos y cobertura cambiaria, que atacan los dos riesgos de mayor valor esperado. El proyecto adopta la tercera y deja la segunda como opción condicionada, a decidir con el financiador.</w:t>
      </w:r>
    </w:p>
    <w:bookmarkEnd w:id="538"/>
    <w:bookmarkStart w:id="542" w:name="_Toc00900221"/>
    <w:p>
      <w:pPr>
        <w:pStyle w:val="Heading2"/>
      </w:pPr>
      <w:r>
        <w:t xml:space="preserve">10.4 Plan de Respuesta</w:t>
      </w:r>
    </w:p>
    <w:p>
      <w:pPr>
        <w:pStyle w:val="FirstParagraph"/>
      </w:pPr>
      <w:r>
        <w:t xml:space="preserve">El plan de respuesta asigna a cada riesgo una estrategia, una acción específica, un responsable y un disparador. La norma ISO 31000 distingue cuatro opciones de tratamiento: evitar, transferir, mitigar y aceptar (ISO, 2018). El plan usa 9 riesgos con estrategia de mitigación, uno con aceptación y mitigación, uno con transferencia y mitigación, y uno con evitación. Ningún riesgo se trata solo con aceptación pasiva. La Tabla 10.5 presenta el plan y la Figura 10.2 muestra el flujo de escalamiento.</w:t>
      </w:r>
    </w:p>
    <w:p>
      <w:pPr>
        <w:pStyle w:val="TablaRotulo"/>
      </w:pPr>
      <w:bookmarkStart w:id="9321" w:name="rot_Tabla_10_5"/>
      <w:r>
        <w:rPr>
          <w:b/>
          <w:bCs/>
        </w:rPr>
        <w:t xml:space="preserve">Tabla 10.5</w:t>
      </w:r>
      <w:bookmarkEnd w:id="9321"/>
    </w:p>
    <w:p>
      <w:pPr>
        <w:pStyle w:val="TablaTitulo"/>
      </w:pPr>
      <w:r>
        <w:rPr>
          <w:i/>
          <w:iCs/>
        </w:rPr>
        <w:t xml:space="preserve">Plan de respuesta a riesgos con responsable, disparador y reserva asignada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12"/>
        <w:gridCol w:w="1178"/>
        <w:gridCol w:w="1636"/>
        <w:gridCol w:w="1374"/>
        <w:gridCol w:w="1570"/>
        <w:gridCol w:w="1047"/>
      </w:tblGrid>
      <w:tr>
        <w:trPr>
          <w:cantSplit/>
          <w:tblHeader/>
        </w:trPr>
        <w:tc>
          <w:tcPr>
            <w:shd w:val="clear" w:color="auto" w:fill="00B050"/>
          </w:tcPr>
          <w:p>
            <w:pPr>
              <w:pStyle w:val="Tabla9"/>
              <w:jc w:val="center"/>
            </w:pPr>
            <w:r>
              <w:rPr>
                <w:b/>
                <w:color w:val="FFFFFF"/>
              </w:rPr>
              <w:t xml:space="preserve">Riesgo</w:t>
            </w:r>
          </w:p>
        </w:tc>
        <w:tc>
          <w:tcPr>
            <w:shd w:val="clear" w:color="auto" w:fill="00B050"/>
          </w:tcPr>
          <w:p>
            <w:pPr>
              <w:pStyle w:val="Tabla9"/>
              <w:jc w:val="center"/>
            </w:pPr>
            <w:r>
              <w:rPr>
                <w:b/>
                <w:color w:val="FFFFFF"/>
              </w:rPr>
              <w:t xml:space="preserve">Estrategia</w:t>
            </w:r>
          </w:p>
        </w:tc>
        <w:tc>
          <w:tcPr>
            <w:shd w:val="clear" w:color="auto" w:fill="00B050"/>
          </w:tcPr>
          <w:p>
            <w:pPr>
              <w:pStyle w:val="Tabla9"/>
              <w:jc w:val="center"/>
            </w:pPr>
            <w:r>
              <w:rPr>
                <w:b/>
                <w:color w:val="FFFFFF"/>
              </w:rPr>
              <w:t xml:space="preserve">Acción específica</w:t>
            </w:r>
          </w:p>
        </w:tc>
        <w:tc>
          <w:tcPr>
            <w:shd w:val="clear" w:color="auto" w:fill="00B050"/>
          </w:tcPr>
          <w:p>
            <w:pPr>
              <w:pStyle w:val="Tabla9"/>
              <w:jc w:val="center"/>
            </w:pPr>
            <w:r>
              <w:rPr>
                <w:b/>
                <w:color w:val="FFFFFF"/>
              </w:rPr>
              <w:t xml:space="preserve">Responsable</w:t>
            </w:r>
          </w:p>
        </w:tc>
        <w:tc>
          <w:tcPr>
            <w:shd w:val="clear" w:color="auto" w:fill="00B050"/>
          </w:tcPr>
          <w:p>
            <w:pPr>
              <w:pStyle w:val="Tabla9"/>
              <w:jc w:val="center"/>
            </w:pPr>
            <w:r>
              <w:rPr>
                <w:b/>
                <w:color w:val="FFFFFF"/>
              </w:rPr>
              <w:t xml:space="preserve">Disparador de activación</w:t>
            </w:r>
          </w:p>
        </w:tc>
        <w:tc>
          <w:tcPr>
            <w:shd w:val="clear" w:color="auto" w:fill="00B050"/>
          </w:tcPr>
          <w:p>
            <w:pPr>
              <w:pStyle w:val="Tabla9"/>
              <w:jc w:val="center"/>
            </w:pPr>
            <w:r>
              <w:rPr>
                <w:b/>
                <w:color w:val="FFFFFF"/>
              </w:rPr>
              <w:t xml:space="preserve">Reserva (millones de COP)</w:t>
            </w:r>
          </w:p>
        </w:tc>
      </w:tr>
      <w:tr>
        <w:trPr>
          <w:cantSplit/>
        </w:trPr>
        <w:tc>
          <w:tcPr/>
          <w:p>
            <w:pPr>
              <w:pStyle w:val="Tabla9"/>
              <w:jc w:val="left"/>
            </w:pPr>
            <w:r>
              <w:t xml:space="preserve">R-TEC-01</w:t>
            </w:r>
          </w:p>
        </w:tc>
        <w:tc>
          <w:tcPr/>
          <w:p>
            <w:pPr>
              <w:pStyle w:val="Tabla9"/>
              <w:jc w:val="left"/>
            </w:pPr>
            <w:r>
              <w:t xml:space="preserve">Mitigar</w:t>
            </w:r>
          </w:p>
        </w:tc>
        <w:tc>
          <w:tcPr/>
          <w:p>
            <w:pPr>
              <w:pStyle w:val="Tabla9"/>
              <w:jc w:val="left"/>
            </w:pPr>
            <w:r>
              <w:t xml:space="preserve">Modelo de corrección por humedad, banco de calibración y reposición de cabezales.</w:t>
            </w:r>
          </w:p>
        </w:tc>
        <w:tc>
          <w:tcPr/>
          <w:p>
            <w:pPr>
              <w:pStyle w:val="Tabla9"/>
              <w:jc w:val="left"/>
            </w:pPr>
            <w:r>
              <w:t xml:space="preserve">Especialista en metrología</w:t>
            </w:r>
          </w:p>
        </w:tc>
        <w:tc>
          <w:tcPr/>
          <w:p>
            <w:pPr>
              <w:pStyle w:val="Tabla9"/>
              <w:jc w:val="left"/>
            </w:pPr>
            <w:r>
              <w:t xml:space="preserve">NRMSE &gt; 30 % en dos verificaciones consecutivas</w:t>
            </w:r>
          </w:p>
        </w:tc>
        <w:tc>
          <w:tcPr/>
          <w:p>
            <w:pPr>
              <w:pStyle w:val="Tabla9"/>
              <w:jc w:val="left"/>
            </w:pPr>
            <w:r>
              <w:t xml:space="preserve">150,0</w:t>
            </w:r>
          </w:p>
        </w:tc>
      </w:tr>
      <w:tr>
        <w:trPr>
          <w:cantSplit/>
        </w:trPr>
        <w:tc>
          <w:tcPr/>
          <w:p>
            <w:pPr>
              <w:pStyle w:val="Tabla9"/>
              <w:jc w:val="left"/>
            </w:pPr>
            <w:r>
              <w:t xml:space="preserve">R-TEC-02</w:t>
            </w:r>
          </w:p>
        </w:tc>
        <w:tc>
          <w:tcPr/>
          <w:p>
            <w:pPr>
              <w:pStyle w:val="Tabla9"/>
              <w:jc w:val="left"/>
            </w:pPr>
            <w:r>
              <w:t xml:space="preserve">Mitigar</w:t>
            </w:r>
          </w:p>
        </w:tc>
        <w:tc>
          <w:tcPr/>
          <w:p>
            <w:pPr>
              <w:pStyle w:val="Tabla9"/>
              <w:jc w:val="left"/>
            </w:pPr>
            <w:r>
              <w:t xml:space="preserve">Kits solares dimensionados, modo de bajo consumo y repuestos de batería.</w:t>
            </w:r>
          </w:p>
        </w:tc>
        <w:tc>
          <w:tcPr/>
          <w:p>
            <w:pPr>
              <w:pStyle w:val="Tabla9"/>
              <w:jc w:val="left"/>
            </w:pPr>
            <w:r>
              <w:t xml:space="preserve">Ingeniero de firmware</w:t>
            </w:r>
          </w:p>
        </w:tc>
        <w:tc>
          <w:tcPr/>
          <w:p>
            <w:pPr>
              <w:pStyle w:val="Tabla9"/>
              <w:jc w:val="left"/>
            </w:pPr>
            <w:r>
              <w:t xml:space="preserve">Disponibilidad mensual &lt; 90 %</w:t>
            </w:r>
          </w:p>
        </w:tc>
        <w:tc>
          <w:tcPr/>
          <w:p>
            <w:pPr>
              <w:pStyle w:val="Tabla9"/>
              <w:jc w:val="left"/>
            </w:pPr>
            <w:r>
              <w:t xml:space="preserve">24,0</w:t>
            </w:r>
          </w:p>
        </w:tc>
      </w:tr>
      <w:tr>
        <w:trPr>
          <w:cantSplit/>
        </w:trPr>
        <w:tc>
          <w:tcPr/>
          <w:p>
            <w:pPr>
              <w:pStyle w:val="Tabla9"/>
              <w:jc w:val="left"/>
            </w:pPr>
            <w:r>
              <w:t xml:space="preserve">R-TEC-03</w:t>
            </w:r>
          </w:p>
        </w:tc>
        <w:tc>
          <w:tcPr/>
          <w:p>
            <w:pPr>
              <w:pStyle w:val="Tabla9"/>
              <w:jc w:val="left"/>
            </w:pPr>
            <w:r>
              <w:t xml:space="preserve">Mitigar</w:t>
            </w:r>
          </w:p>
        </w:tc>
        <w:tc>
          <w:tcPr/>
          <w:p>
            <w:pPr>
              <w:pStyle w:val="Tabla9"/>
              <w:jc w:val="left"/>
            </w:pPr>
            <w:r>
              <w:t xml:space="preserve">Enlace satelital de respaldo y almacenamiento local de 7 días.</w:t>
            </w:r>
          </w:p>
        </w:tc>
        <w:tc>
          <w:tcPr/>
          <w:p>
            <w:pPr>
              <w:pStyle w:val="Tabla9"/>
              <w:jc w:val="left"/>
            </w:pPr>
            <w:r>
              <w:t xml:space="preserve">Ingenieros IoT</w:t>
            </w:r>
          </w:p>
        </w:tc>
        <w:tc>
          <w:tcPr/>
          <w:p>
            <w:pPr>
              <w:pStyle w:val="Tabla9"/>
              <w:jc w:val="left"/>
            </w:pPr>
            <w:r>
              <w:t xml:space="preserve">Pérdida de paquetes &gt; 10 % durante 72 horas</w:t>
            </w:r>
          </w:p>
        </w:tc>
        <w:tc>
          <w:tcPr/>
          <w:p>
            <w:pPr>
              <w:pStyle w:val="Tabla9"/>
              <w:jc w:val="left"/>
            </w:pPr>
            <w:r>
              <w:t xml:space="preserve">28,0</w:t>
            </w:r>
          </w:p>
        </w:tc>
      </w:tr>
      <w:tr>
        <w:trPr>
          <w:cantSplit/>
        </w:trPr>
        <w:tc>
          <w:tcPr/>
          <w:p>
            <w:pPr>
              <w:pStyle w:val="Tabla9"/>
              <w:jc w:val="left"/>
            </w:pPr>
            <w:r>
              <w:t xml:space="preserve">R-TEC-04</w:t>
            </w:r>
          </w:p>
        </w:tc>
        <w:tc>
          <w:tcPr/>
          <w:p>
            <w:pPr>
              <w:pStyle w:val="Tabla9"/>
              <w:jc w:val="left"/>
            </w:pPr>
            <w:r>
              <w:t xml:space="preserve">Mitigar</w:t>
            </w:r>
          </w:p>
        </w:tc>
        <w:tc>
          <w:tcPr/>
          <w:p>
            <w:pPr>
              <w:pStyle w:val="Tabla9"/>
              <w:jc w:val="left"/>
            </w:pPr>
            <w:r>
              <w:t xml:space="preserve">Validación cruzada por departamento y reentrenamiento por tramo.</w:t>
            </w:r>
          </w:p>
        </w:tc>
        <w:tc>
          <w:tcPr/>
          <w:p>
            <w:pPr>
              <w:pStyle w:val="Tabla9"/>
              <w:jc w:val="left"/>
            </w:pPr>
            <w:r>
              <w:t xml:space="preserve">Científico de datos</w:t>
            </w:r>
          </w:p>
        </w:tc>
        <w:tc>
          <w:tcPr/>
          <w:p>
            <w:pPr>
              <w:pStyle w:val="Tabla9"/>
              <w:jc w:val="left"/>
            </w:pPr>
            <w:r>
              <w:t xml:space="preserve">R² &lt; 0,70 en el conjunto de validación externo</w:t>
            </w:r>
          </w:p>
        </w:tc>
        <w:tc>
          <w:tcPr/>
          <w:p>
            <w:pPr>
              <w:pStyle w:val="Tabla9"/>
              <w:jc w:val="left"/>
            </w:pPr>
            <w:r>
              <w:t xml:space="preserve">31,5</w:t>
            </w:r>
          </w:p>
        </w:tc>
      </w:tr>
      <w:tr>
        <w:trPr>
          <w:cantSplit/>
        </w:trPr>
        <w:tc>
          <w:tcPr/>
          <w:p>
            <w:pPr>
              <w:pStyle w:val="Tabla9"/>
              <w:jc w:val="left"/>
            </w:pPr>
            <w:r>
              <w:t xml:space="preserve">R-ORG-01</w:t>
            </w:r>
          </w:p>
        </w:tc>
        <w:tc>
          <w:tcPr/>
          <w:p>
            <w:pPr>
              <w:pStyle w:val="Tabla9"/>
              <w:jc w:val="left"/>
            </w:pPr>
            <w:r>
              <w:t xml:space="preserve">Mitigar</w:t>
            </w:r>
          </w:p>
        </w:tc>
        <w:tc>
          <w:tcPr/>
          <w:p>
            <w:pPr>
              <w:pStyle w:val="Tabla9"/>
              <w:jc w:val="left"/>
            </w:pPr>
            <w:r>
              <w:t xml:space="preserve">Co-diseño de umbrales, formación por comité y uso piloto con registro de decisiones.</w:t>
            </w:r>
          </w:p>
        </w:tc>
        <w:tc>
          <w:tcPr/>
          <w:p>
            <w:pPr>
              <w:pStyle w:val="Tabla9"/>
              <w:jc w:val="left"/>
            </w:pPr>
            <w:r>
              <w:t xml:space="preserve">Coordinación de apropiación</w:t>
            </w:r>
          </w:p>
        </w:tc>
        <w:tc>
          <w:tcPr/>
          <w:p>
            <w:pPr>
              <w:pStyle w:val="Tabla9"/>
              <w:jc w:val="left"/>
            </w:pPr>
            <w:r>
              <w:t xml:space="preserve">Menos de 50 % de uso en el tramo 1</w:t>
            </w:r>
          </w:p>
        </w:tc>
        <w:tc>
          <w:tcPr/>
          <w:p>
            <w:pPr>
              <w:pStyle w:val="Tabla9"/>
              <w:jc w:val="left"/>
            </w:pPr>
            <w:r>
              <w:t xml:space="preserve">36,0</w:t>
            </w:r>
          </w:p>
        </w:tc>
      </w:tr>
      <w:tr>
        <w:trPr>
          <w:cantSplit/>
        </w:trPr>
        <w:tc>
          <w:tcPr/>
          <w:p>
            <w:pPr>
              <w:pStyle w:val="Tabla9"/>
              <w:jc w:val="left"/>
            </w:pPr>
            <w:r>
              <w:t xml:space="preserve">R-ORG-02</w:t>
            </w:r>
          </w:p>
        </w:tc>
        <w:tc>
          <w:tcPr/>
          <w:p>
            <w:pPr>
              <w:pStyle w:val="Tabla9"/>
              <w:jc w:val="left"/>
            </w:pPr>
            <w:r>
              <w:t xml:space="preserve">Mitigar</w:t>
            </w:r>
          </w:p>
        </w:tc>
        <w:tc>
          <w:tcPr/>
          <w:p>
            <w:pPr>
              <w:pStyle w:val="Tabla9"/>
              <w:jc w:val="left"/>
            </w:pPr>
            <w:r>
              <w:t xml:space="preserve">Convenios por tramo, formación de custodios y cláusula de apertura.</w:t>
            </w:r>
          </w:p>
        </w:tc>
        <w:tc>
          <w:tcPr/>
          <w:p>
            <w:pPr>
              <w:pStyle w:val="Tabla9"/>
              <w:jc w:val="left"/>
            </w:pPr>
            <w:r>
              <w:t xml:space="preserve">Profesional de convenios</w:t>
            </w:r>
          </w:p>
        </w:tc>
        <w:tc>
          <w:tcPr/>
          <w:p>
            <w:pPr>
              <w:pStyle w:val="Tabla9"/>
              <w:jc w:val="left"/>
            </w:pPr>
            <w:r>
              <w:t xml:space="preserve">Convenio sin partida al cierre del tramo 2</w:t>
            </w:r>
          </w:p>
        </w:tc>
        <w:tc>
          <w:tcPr/>
          <w:p>
            <w:pPr>
              <w:pStyle w:val="Tabla9"/>
              <w:jc w:val="left"/>
            </w:pPr>
            <w:r>
              <w:t xml:space="preserve">60,0</w:t>
            </w:r>
          </w:p>
        </w:tc>
      </w:tr>
      <w:tr>
        <w:trPr>
          <w:cantSplit/>
        </w:trPr>
        <w:tc>
          <w:tcPr/>
          <w:p>
            <w:pPr>
              <w:pStyle w:val="Tabla9"/>
              <w:jc w:val="left"/>
            </w:pPr>
            <w:r>
              <w:t xml:space="preserve">R-EXT-01</w:t>
            </w:r>
          </w:p>
        </w:tc>
        <w:tc>
          <w:tcPr/>
          <w:p>
            <w:pPr>
              <w:pStyle w:val="Tabla9"/>
              <w:jc w:val="left"/>
            </w:pPr>
            <w:r>
              <w:t xml:space="preserve">Aceptar y mitigar</w:t>
            </w:r>
          </w:p>
        </w:tc>
        <w:tc>
          <w:tcPr/>
          <w:p>
            <w:pPr>
              <w:pStyle w:val="Tabla9"/>
              <w:jc w:val="left"/>
            </w:pPr>
            <w:r>
              <w:t xml:space="preserve">Instalación en ventanas secas, técnicos locales y holgura en el cronograma.</w:t>
            </w:r>
          </w:p>
        </w:tc>
        <w:tc>
          <w:tcPr/>
          <w:p>
            <w:pPr>
              <w:pStyle w:val="Tabla9"/>
              <w:jc w:val="left"/>
            </w:pPr>
            <w:r>
              <w:t xml:space="preserve">Gerencia de proyecto</w:t>
            </w:r>
          </w:p>
        </w:tc>
        <w:tc>
          <w:tcPr/>
          <w:p>
            <w:pPr>
              <w:pStyle w:val="Tabla9"/>
              <w:jc w:val="left"/>
            </w:pPr>
            <w:r>
              <w:t xml:space="preserve">Retraso de instalación &gt; 3 semanas</w:t>
            </w:r>
          </w:p>
        </w:tc>
        <w:tc>
          <w:tcPr/>
          <w:p>
            <w:pPr>
              <w:pStyle w:val="Tabla9"/>
              <w:jc w:val="left"/>
            </w:pPr>
            <w:r>
              <w:t xml:space="preserve">60,0</w:t>
            </w:r>
          </w:p>
        </w:tc>
      </w:tr>
      <w:tr>
        <w:trPr>
          <w:cantSplit/>
        </w:trPr>
        <w:tc>
          <w:tcPr/>
          <w:p>
            <w:pPr>
              <w:pStyle w:val="Tabla9"/>
              <w:jc w:val="left"/>
            </w:pPr>
            <w:r>
              <w:t xml:space="preserve">R-EXT-02</w:t>
            </w:r>
          </w:p>
        </w:tc>
        <w:tc>
          <w:tcPr/>
          <w:p>
            <w:pPr>
              <w:pStyle w:val="Tabla9"/>
              <w:jc w:val="left"/>
            </w:pPr>
            <w:r>
              <w:t xml:space="preserve">Transferir y mitigar</w:t>
            </w:r>
          </w:p>
        </w:tc>
        <w:tc>
          <w:tcPr/>
          <w:p>
            <w:pPr>
              <w:pStyle w:val="Tabla9"/>
              <w:jc w:val="left"/>
            </w:pPr>
            <w:r>
              <w:t xml:space="preserve">Cerramientos, custodia local por sitio y seguro de equipos de la entidad ejecutora, fuera del presupuesto SGR.</w:t>
            </w:r>
          </w:p>
        </w:tc>
        <w:tc>
          <w:tcPr/>
          <w:p>
            <w:pPr>
              <w:pStyle w:val="Tabla9"/>
              <w:jc w:val="left"/>
            </w:pPr>
            <w:r>
              <w:t xml:space="preserve">Técnicos de campo</w:t>
            </w:r>
          </w:p>
        </w:tc>
        <w:tc>
          <w:tcPr/>
          <w:p>
            <w:pPr>
              <w:pStyle w:val="Tabla9"/>
              <w:jc w:val="left"/>
            </w:pPr>
            <w:r>
              <w:t xml:space="preserve">Dos o más nodos perdidos en un mes</w:t>
            </w:r>
          </w:p>
        </w:tc>
        <w:tc>
          <w:tcPr/>
          <w:p>
            <w:pPr>
              <w:pStyle w:val="Tabla9"/>
              <w:jc w:val="left"/>
            </w:pPr>
            <w:r>
              <w:t xml:space="preserve">24,0</w:t>
            </w:r>
          </w:p>
        </w:tc>
      </w:tr>
      <w:tr>
        <w:trPr>
          <w:cantSplit/>
        </w:trPr>
        <w:tc>
          <w:tcPr/>
          <w:p>
            <w:pPr>
              <w:pStyle w:val="Tabla9"/>
              <w:jc w:val="left"/>
            </w:pPr>
            <w:r>
              <w:t xml:space="preserve">R-FIN-01</w:t>
            </w:r>
          </w:p>
        </w:tc>
        <w:tc>
          <w:tcPr/>
          <w:p>
            <w:pPr>
              <w:pStyle w:val="Tabla9"/>
              <w:jc w:val="left"/>
            </w:pPr>
            <w:r>
              <w:t xml:space="preserve">Mitigar</w:t>
            </w:r>
          </w:p>
        </w:tc>
        <w:tc>
          <w:tcPr/>
          <w:p>
            <w:pPr>
              <w:pStyle w:val="Tabla9"/>
              <w:jc w:val="left"/>
            </w:pPr>
            <w:r>
              <w:t xml:space="preserve">Compra por tramo con cobertura cambiaria y cotizaciones vigentes.</w:t>
            </w:r>
          </w:p>
        </w:tc>
        <w:tc>
          <w:tcPr/>
          <w:p>
            <w:pPr>
              <w:pStyle w:val="Tabla9"/>
              <w:jc w:val="left"/>
            </w:pPr>
            <w:r>
              <w:t xml:space="preserve">Gerencia de proyecto</w:t>
            </w:r>
          </w:p>
        </w:tc>
        <w:tc>
          <w:tcPr/>
          <w:p>
            <w:pPr>
              <w:pStyle w:val="Tabla9"/>
              <w:jc w:val="left"/>
            </w:pPr>
            <w:r>
              <w:t xml:space="preserve">TRM supera en 10 % la de la cotización</w:t>
            </w:r>
          </w:p>
        </w:tc>
        <w:tc>
          <w:tcPr/>
          <w:p>
            <w:pPr>
              <w:pStyle w:val="Tabla9"/>
              <w:jc w:val="left"/>
            </w:pPr>
            <w:r>
              <w:t xml:space="preserve">165,0</w:t>
            </w:r>
          </w:p>
        </w:tc>
      </w:tr>
      <w:tr>
        <w:trPr>
          <w:cantSplit/>
        </w:trPr>
        <w:tc>
          <w:tcPr/>
          <w:p>
            <w:pPr>
              <w:pStyle w:val="Tabla9"/>
              <w:jc w:val="left"/>
            </w:pPr>
            <w:r>
              <w:t xml:space="preserve">R-FIN-02</w:t>
            </w:r>
          </w:p>
        </w:tc>
        <w:tc>
          <w:tcPr/>
          <w:p>
            <w:pPr>
              <w:pStyle w:val="Tabla9"/>
              <w:jc w:val="left"/>
            </w:pPr>
            <w:r>
              <w:t xml:space="preserve">Evitar</w:t>
            </w:r>
          </w:p>
        </w:tc>
        <w:tc>
          <w:tcPr/>
          <w:p>
            <w:pPr>
              <w:pStyle w:val="Tabla9"/>
              <w:jc w:val="left"/>
            </w:pPr>
            <w:r>
              <w:t xml:space="preserve">Certificación de la IES y de la empresa antes del acta de inicio.</w:t>
            </w:r>
          </w:p>
        </w:tc>
        <w:tc>
          <w:tcPr/>
          <w:p>
            <w:pPr>
              <w:pStyle w:val="Tabla9"/>
              <w:jc w:val="left"/>
            </w:pPr>
            <w:r>
              <w:t xml:space="preserve">Gerencia de proyecto</w:t>
            </w:r>
          </w:p>
        </w:tc>
        <w:tc>
          <w:tcPr/>
          <w:p>
            <w:pPr>
              <w:pStyle w:val="Tabla9"/>
              <w:jc w:val="left"/>
            </w:pPr>
            <w:r>
              <w:t xml:space="preserve">Certificación pendiente al mes 2</w:t>
            </w:r>
          </w:p>
        </w:tc>
        <w:tc>
          <w:tcPr/>
          <w:p>
            <w:pPr>
              <w:pStyle w:val="Tabla9"/>
              <w:jc w:val="left"/>
            </w:pPr>
            <w:r>
              <w:t xml:space="preserve">20,0</w:t>
            </w:r>
          </w:p>
        </w:tc>
      </w:tr>
      <w:tr>
        <w:trPr>
          <w:cantSplit/>
        </w:trPr>
        <w:tc>
          <w:tcPr/>
          <w:p>
            <w:pPr>
              <w:pStyle w:val="Tabla9"/>
              <w:jc w:val="left"/>
            </w:pPr>
            <w:r>
              <w:t xml:space="preserve">R-JUR-01</w:t>
            </w:r>
          </w:p>
        </w:tc>
        <w:tc>
          <w:tcPr/>
          <w:p>
            <w:pPr>
              <w:pStyle w:val="Tabla9"/>
              <w:jc w:val="left"/>
            </w:pPr>
            <w:r>
              <w:t xml:space="preserve">Mitigar</w:t>
            </w:r>
          </w:p>
        </w:tc>
        <w:tc>
          <w:tcPr/>
          <w:p>
            <w:pPr>
              <w:pStyle w:val="Tabla9"/>
              <w:jc w:val="left"/>
            </w:pPr>
            <w:r>
              <w:t xml:space="preserve">Análisis de libertad de operación y diseño alternativo del módulo afectado.</w:t>
            </w:r>
          </w:p>
        </w:tc>
        <w:tc>
          <w:tcPr/>
          <w:p>
            <w:pPr>
              <w:pStyle w:val="Tabla9"/>
              <w:jc w:val="left"/>
            </w:pPr>
            <w:r>
              <w:t xml:space="preserve">Consultoría en propiedad intelectual</w:t>
            </w:r>
          </w:p>
        </w:tc>
        <w:tc>
          <w:tcPr/>
          <w:p>
            <w:pPr>
              <w:pStyle w:val="Tabla9"/>
              <w:jc w:val="left"/>
            </w:pPr>
            <w:r>
              <w:t xml:space="preserve">Solicitud con fase nacional abierta que reivindique el método</w:t>
            </w:r>
          </w:p>
        </w:tc>
        <w:tc>
          <w:tcPr/>
          <w:p>
            <w:pPr>
              <w:pStyle w:val="Tabla9"/>
              <w:jc w:val="left"/>
            </w:pPr>
            <w:r>
              <w:t xml:space="preserve">20,0</w:t>
            </w:r>
          </w:p>
        </w:tc>
      </w:tr>
      <w:tr>
        <w:trPr>
          <w:cantSplit/>
        </w:trPr>
        <w:tc>
          <w:tcPr/>
          <w:p>
            <w:pPr>
              <w:pStyle w:val="Tabla9"/>
              <w:jc w:val="left"/>
            </w:pPr>
            <w:r>
              <w:t xml:space="preserve">R-DAT-01</w:t>
            </w:r>
          </w:p>
        </w:tc>
        <w:tc>
          <w:tcPr/>
          <w:p>
            <w:pPr>
              <w:pStyle w:val="Tabla9"/>
              <w:jc w:val="left"/>
            </w:pPr>
            <w:r>
              <w:t xml:space="preserve">Mitigar</w:t>
            </w:r>
          </w:p>
        </w:tc>
        <w:tc>
          <w:tcPr/>
          <w:p>
            <w:pPr>
              <w:pStyle w:val="Tabla9"/>
              <w:jc w:val="left"/>
            </w:pPr>
            <w:r>
              <w:t xml:space="preserve">Pruebas de penetración, segmentación y copias de respaldo.</w:t>
            </w:r>
          </w:p>
        </w:tc>
        <w:tc>
          <w:tcPr/>
          <w:p>
            <w:pPr>
              <w:pStyle w:val="Tabla9"/>
              <w:jc w:val="left"/>
            </w:pPr>
            <w:r>
              <w:t xml:space="preserve">Ingenieros de software</w:t>
            </w:r>
          </w:p>
        </w:tc>
        <w:tc>
          <w:tcPr/>
          <w:p>
            <w:pPr>
              <w:pStyle w:val="Tabla9"/>
              <w:jc w:val="left"/>
            </w:pPr>
            <w:r>
              <w:t xml:space="preserve">Hallazgo crítico en la auditoría</w:t>
            </w:r>
          </w:p>
        </w:tc>
        <w:tc>
          <w:tcPr/>
          <w:p>
            <w:pPr>
              <w:pStyle w:val="Tabla9"/>
              <w:jc w:val="left"/>
            </w:pPr>
            <w:r>
              <w:t xml:space="preserve">18,0</w:t>
            </w:r>
          </w:p>
        </w:tc>
      </w:tr>
    </w:tbl>
    <w:p>
      <w:pPr>
        <w:pStyle w:val="TablaNota"/>
      </w:pPr>
      <w:r>
        <w:rPr>
          <w:i/>
          <w:iCs/>
        </w:rPr>
        <w:t xml:space="preserve">Nota.</w:t>
      </w:r>
      <w:r>
        <w:t xml:space="preserve"> </w:t>
      </w:r>
      <w:r>
        <w:t xml:space="preserve">Elaboración propia con datos de maestro.py (RIESGOS). La reserva asignada es el EMV de cada riesgo. Las estrategias, acciones y responsables son PROPUESTO. Los cargos corresponden a las líneas de personal del capítulo 8. Decimales con coma.</w:t>
      </w:r>
    </w:p>
    <w:p>
      <w:pPr>
        <w:pStyle w:val="FiguraRotulo"/>
      </w:pPr>
      <w:bookmarkStart w:id="9527" w:name="rot_Figura_10_2"/>
      <w:r>
        <w:rPr>
          <w:b/>
          <w:bCs/>
        </w:rPr>
        <w:t xml:space="preserve">Figura 10.2</w:t>
      </w:r>
      <w:bookmarkEnd w:id="9527"/>
    </w:p>
    <w:p>
      <w:pPr>
        <w:pStyle w:val="FiguraTitulo"/>
      </w:pPr>
      <w:r>
        <w:rPr>
          <w:i/>
          <w:iCs/>
        </w:rPr>
        <w:t xml:space="preserve">El nivel P × I fija quién decide: responsable, gerencia o comité directivo</w:t>
      </w:r>
    </w:p>
    <w:p>
      <w:pPr>
        <w:pStyle w:val="BodyText"/>
      </w:pPr>
      <w:r>
        <w:drawing>
          <wp:inline>
            <wp:extent cx="5579999" cy="3917551"/>
            <wp:effectExtent b="0" l="0" r="0" t="0"/>
            <wp:docPr descr="" title="" id="540" name="Picture"/>
            <a:graphic>
              <a:graphicData uri="http://schemas.openxmlformats.org/drawingml/2006/picture">
                <pic:pic>
                  <pic:nvPicPr>
                    <pic:cNvPr descr="/tmp/claude-0/-home-user-docs/ddf38714-2a7e-502b-92b4-1008e2832422/scratchpad/proy/figs/out/c10_f02.png" id="541" name="Picture"/>
                    <pic:cNvPicPr>
                      <a:picLocks noChangeArrowheads="1" noChangeAspect="1"/>
                    </pic:cNvPicPr>
                  </pic:nvPicPr>
                  <pic:blipFill>
                    <a:blip r:embed="rId539"/>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Flujo de escalamiento PROPUESTO con los niveles de la Figura 10.1; reserva de contingencia de 636,0 millones de COP. Python 3 y matplotlib; script c10_figs.py; sin semilla; corte del 13 de octubre de 2026.</w:t>
      </w:r>
    </w:p>
    <w:p>
      <w:pPr>
        <w:pStyle w:val="BodyText"/>
      </w:pPr>
      <w:r>
        <w:t xml:space="preserve">El escalamiento sigue el nivel del riesgo. Los cuatro riesgos de nivel medio los gestiona el responsable asignado, que informa en la retrospectiva quincenal. Los siete de nivel alto requieren aprobación de la gerencia de proyecto para usar la reserva. El único extremo, R-TEC-01, se decide en el comité directivo, que evalúa el pivote y comunica al financiador. Una pregunta de control complementa el flujo. Si el riesgo compromete una compuerta o supera la reserva, se activa la revisión de compuerta con el árbol de decisión.</w:t>
      </w:r>
    </w:p>
    <w:p>
      <w:pPr>
        <w:pStyle w:val="BodyText"/>
      </w:pPr>
      <w:r>
        <w:t xml:space="preserve">Las acciones más relevantes atacan las causas del análisis estructural. Para R-TEC-01, el modelo de corrección por humedad, el banco de calibración y la reposición de cabezales atacan la causa V03. Para R-TEC-02 y R-TEC-03, los kits solares y el enlace satelital protegen la disponibilidad. Para R-ORG-01 y R-ORG-02, el co-diseño y los convenios por tramo atacan V15, la adopción institucional. Casi todas las acciones tienen un costo presupuestado en alguna línea del capítulo 8, de modo que la mitigación no depende de la reserva. La cobertura cambiaria de R-FIN-01 es la excepción, porque ninguna línea la incluye.</w:t>
      </w:r>
    </w:p>
    <w:p>
      <w:pPr>
        <w:pStyle w:val="BodyText"/>
      </w:pPr>
      <w:r>
        <w:t xml:space="preserve">Una limitación del plan es que los responsables son cargos y no personas. La asignación nominal depende de la contratación, que ocurre en las primeras ocho semanas [DATO_USUARIO: nombres de los responsables de riesgo]. Hasta entonces, el plan es una propuesta. Otra limitación es el procedimiento para modificar el plan con el financiador. Depende de los términos de referencia [DATO_USUARIO: procedimiento de modificación del plan]. Sin ese procedimiento, el pivote de una compuerta puede exigir una adenda.</w:t>
      </w:r>
    </w:p>
    <w:bookmarkEnd w:id="542"/>
    <w:bookmarkStart w:id="546" w:name="_Toc00900222"/>
    <w:p>
      <w:pPr>
        <w:pStyle w:val="Heading2"/>
      </w:pPr>
      <w:r>
        <w:t xml:space="preserve">10.5 Verificación de Alineación Estratégica</w:t>
      </w:r>
    </w:p>
    <w:p>
      <w:pPr>
        <w:pStyle w:val="FirstParagraph"/>
      </w:pPr>
      <w:r>
        <w:t xml:space="preserve">La verificación de alineación pregunta, en cada hito, si el proyecto sigue sirviendo al propósito que lo justifica. Un proyecto puede cumplir cada actividad y, aun así, desviarse de su objetivo. Argyris y Schön (1978) llaman aprendizaje de lazo doble a la revisión de los supuestos que sostienen las metas. La Tabla 10.6 lista las preguntas por hito, el criterio de decisión y la evidencia requerida. Las preguntas se responden por escrito y quedan en el acta de cada compuerta.</w:t>
      </w:r>
    </w:p>
    <w:p>
      <w:pPr>
        <w:pStyle w:val="TablaRotulo"/>
      </w:pPr>
      <w:bookmarkStart w:id="9322" w:name="rot_Tabla_10_6"/>
      <w:r>
        <w:rPr>
          <w:b/>
          <w:bCs/>
        </w:rPr>
        <w:t xml:space="preserve">Tabla 10.6</w:t>
      </w:r>
      <w:bookmarkEnd w:id="9322"/>
    </w:p>
    <w:p>
      <w:pPr>
        <w:pStyle w:val="TablaTitulo"/>
      </w:pPr>
      <w:r>
        <w:rPr>
          <w:i/>
          <w:iCs/>
        </w:rPr>
        <w:t xml:space="preserve">Lista de verificación de alineación estratégica por hito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26"/>
        <w:gridCol w:w="2442"/>
        <w:gridCol w:w="2376"/>
        <w:gridCol w:w="2376"/>
      </w:tblGrid>
      <w:tr>
        <w:trPr>
          <w:cantSplit/>
          <w:tblHeader/>
        </w:trPr>
        <w:tc>
          <w:tcPr>
            <w:shd w:val="clear" w:color="auto" w:fill="00B050"/>
          </w:tcPr>
          <w:p>
            <w:pPr>
              <w:pStyle w:val="Tabla9"/>
              <w:jc w:val="center"/>
            </w:pPr>
            <w:r>
              <w:rPr>
                <w:b/>
                <w:color w:val="FFFFFF"/>
              </w:rPr>
              <w:t xml:space="preserve">Hito</w:t>
            </w:r>
          </w:p>
        </w:tc>
        <w:tc>
          <w:tcPr>
            <w:shd w:val="clear" w:color="auto" w:fill="00B050"/>
          </w:tcPr>
          <w:p>
            <w:pPr>
              <w:pStyle w:val="Tabla9"/>
              <w:jc w:val="center"/>
            </w:pPr>
            <w:r>
              <w:rPr>
                <w:b/>
                <w:color w:val="FFFFFF"/>
              </w:rPr>
              <w:t xml:space="preserve">Pregunta de alineación</w:t>
            </w:r>
          </w:p>
        </w:tc>
        <w:tc>
          <w:tcPr>
            <w:shd w:val="clear" w:color="auto" w:fill="00B050"/>
          </w:tcPr>
          <w:p>
            <w:pPr>
              <w:pStyle w:val="Tabla9"/>
              <w:jc w:val="center"/>
            </w:pPr>
            <w:r>
              <w:rPr>
                <w:b/>
                <w:color w:val="FFFFFF"/>
              </w:rPr>
              <w:t xml:space="preserve">Evidencia requerida</w:t>
            </w:r>
          </w:p>
        </w:tc>
        <w:tc>
          <w:tcPr>
            <w:shd w:val="clear" w:color="auto" w:fill="00B050"/>
          </w:tcPr>
          <w:p>
            <w:pPr>
              <w:pStyle w:val="Tabla9"/>
              <w:jc w:val="center"/>
            </w:pPr>
            <w:r>
              <w:rPr>
                <w:b/>
                <w:color w:val="FFFFFF"/>
              </w:rPr>
              <w:t xml:space="preserve">Respuesta si el criterio no se cumple</w:t>
            </w:r>
          </w:p>
        </w:tc>
      </w:tr>
      <w:tr>
        <w:trPr>
          <w:cantSplit/>
        </w:trPr>
        <w:tc>
          <w:tcPr/>
          <w:p>
            <w:pPr>
              <w:pStyle w:val="Tabla9"/>
              <w:jc w:val="left"/>
            </w:pPr>
            <w:r>
              <w:t xml:space="preserve">H1</w:t>
            </w:r>
          </w:p>
        </w:tc>
        <w:tc>
          <w:tcPr/>
          <w:p>
            <w:pPr>
              <w:pStyle w:val="Tabla9"/>
              <w:jc w:val="left"/>
            </w:pPr>
            <w:r>
              <w:t xml:space="preserve">¿Los sitios y el diseño de enlace y energía permiten cumplir la autonomía de 14 días y el almacenamiento de 7 días?</w:t>
            </w:r>
          </w:p>
        </w:tc>
        <w:tc>
          <w:tcPr/>
          <w:p>
            <w:pPr>
              <w:pStyle w:val="Tabla9"/>
              <w:jc w:val="left"/>
            </w:pPr>
            <w:r>
              <w:t xml:space="preserve">Informe de sitios, de cobertura y de energía sin brechas críticas</w:t>
            </w:r>
          </w:p>
        </w:tc>
        <w:tc>
          <w:tcPr/>
          <w:p>
            <w:pPr>
              <w:pStyle w:val="Tabla9"/>
              <w:jc w:val="left"/>
            </w:pPr>
            <w:r>
              <w:t xml:space="preserve">Rediseñar enlace o energía antes de comprar el lote 1</w:t>
            </w:r>
          </w:p>
        </w:tc>
      </w:tr>
      <w:tr>
        <w:trPr>
          <w:cantSplit/>
        </w:trPr>
        <w:tc>
          <w:tcPr/>
          <w:p>
            <w:pPr>
              <w:pStyle w:val="Tabla9"/>
              <w:jc w:val="left"/>
            </w:pPr>
            <w:r>
              <w:t xml:space="preserve">H2</w:t>
            </w:r>
          </w:p>
        </w:tc>
        <w:tc>
          <w:tcPr/>
          <w:p>
            <w:pPr>
              <w:pStyle w:val="Tabla9"/>
              <w:jc w:val="left"/>
            </w:pPr>
            <w:r>
              <w:t xml:space="preserve">¿La línea base de error se midió frente a la referencia en los tres departamentos?</w:t>
            </w:r>
          </w:p>
        </w:tc>
        <w:tc>
          <w:tcPr/>
          <w:p>
            <w:pPr>
              <w:pStyle w:val="Tabla9"/>
              <w:jc w:val="left"/>
            </w:pPr>
            <w:r>
              <w:t xml:space="preserve">Base de colocalización con 60.000 horas-nodo válidas o más</w:t>
            </w:r>
          </w:p>
        </w:tc>
        <w:tc>
          <w:tcPr/>
          <w:p>
            <w:pPr>
              <w:pStyle w:val="Tabla9"/>
              <w:jc w:val="left"/>
            </w:pPr>
            <w:r>
              <w:t xml:space="preserve">Ampliar la colocalización o reducir la meta de forma justificada</w:t>
            </w:r>
          </w:p>
        </w:tc>
      </w:tr>
      <w:tr>
        <w:trPr>
          <w:cantSplit/>
        </w:trPr>
        <w:tc>
          <w:tcPr/>
          <w:p>
            <w:pPr>
              <w:pStyle w:val="Tabla9"/>
              <w:jc w:val="left"/>
            </w:pPr>
            <w:r>
              <w:t xml:space="preserve">H3 (C1)</w:t>
            </w:r>
          </w:p>
        </w:tc>
        <w:tc>
          <w:tcPr/>
          <w:p>
            <w:pPr>
              <w:pStyle w:val="Tabla9"/>
              <w:jc w:val="left"/>
            </w:pPr>
            <w:r>
              <w:t xml:space="preserve">¿El modelo cumple R² de 0,70 o más y NRMSE de 30 % o menos, y 50 % o más de los comités usa el tablero?</w:t>
            </w:r>
          </w:p>
        </w:tc>
        <w:tc>
          <w:tcPr/>
          <w:p>
            <w:pPr>
              <w:pStyle w:val="Tabla9"/>
              <w:jc w:val="left"/>
            </w:pPr>
            <w:r>
              <w:t xml:space="preserve">Acta de compuerta con métricas de validación y actas de comité</w:t>
            </w:r>
          </w:p>
        </w:tc>
        <w:tc>
          <w:tcPr/>
          <w:p>
            <w:pPr>
              <w:pStyle w:val="Tabla9"/>
              <w:jc w:val="left"/>
            </w:pPr>
            <w:r>
              <w:t xml:space="preserve">Pivotar la medición o el uso; no liberar el tramo 2</w:t>
            </w:r>
          </w:p>
        </w:tc>
      </w:tr>
      <w:tr>
        <w:trPr>
          <w:cantSplit/>
        </w:trPr>
        <w:tc>
          <w:tcPr/>
          <w:p>
            <w:pPr>
              <w:pStyle w:val="Tabla9"/>
              <w:jc w:val="left"/>
            </w:pPr>
            <w:r>
              <w:t xml:space="preserve">H4</w:t>
            </w:r>
          </w:p>
        </w:tc>
        <w:tc>
          <w:tcPr/>
          <w:p>
            <w:pPr>
              <w:pStyle w:val="Tabla9"/>
              <w:jc w:val="left"/>
            </w:pPr>
            <w:r>
              <w:t xml:space="preserve">¿El modelo entrenado en un departamento generaliza a los otros dos?</w:t>
            </w:r>
          </w:p>
        </w:tc>
        <w:tc>
          <w:tcPr/>
          <w:p>
            <w:pPr>
              <w:pStyle w:val="Tabla9"/>
              <w:jc w:val="left"/>
            </w:pPr>
            <w:r>
              <w:t xml:space="preserve">Informe de desempeño por departamento del tramo 2</w:t>
            </w:r>
          </w:p>
        </w:tc>
        <w:tc>
          <w:tcPr/>
          <w:p>
            <w:pPr>
              <w:pStyle w:val="Tabla9"/>
              <w:jc w:val="left"/>
            </w:pPr>
            <w:r>
              <w:t xml:space="preserve">Reentrenar por departamento; reforzar energía y enlace</w:t>
            </w:r>
          </w:p>
        </w:tc>
      </w:tr>
      <w:tr>
        <w:trPr>
          <w:cantSplit/>
        </w:trPr>
        <w:tc>
          <w:tcPr/>
          <w:p>
            <w:pPr>
              <w:pStyle w:val="Tabla9"/>
              <w:jc w:val="left"/>
            </w:pPr>
            <w:r>
              <w:t xml:space="preserve">H5 (C2)</w:t>
            </w:r>
          </w:p>
        </w:tc>
        <w:tc>
          <w:tcPr/>
          <w:p>
            <w:pPr>
              <w:pStyle w:val="Tabla9"/>
              <w:jc w:val="left"/>
            </w:pPr>
            <w:r>
              <w:t xml:space="preserve">¿Se cumplen los umbrales en tres departamentos, con disponibilidad de 90 % o más y convenios de custodia con partida?</w:t>
            </w:r>
          </w:p>
        </w:tc>
        <w:tc>
          <w:tcPr/>
          <w:p>
            <w:pPr>
              <w:pStyle w:val="Tabla9"/>
              <w:jc w:val="left"/>
            </w:pPr>
            <w:r>
              <w:t xml:space="preserve">Acta de compuerta con convenios y partidas verificadas</w:t>
            </w:r>
          </w:p>
        </w:tc>
        <w:tc>
          <w:tcPr/>
          <w:p>
            <w:pPr>
              <w:pStyle w:val="Tabla9"/>
              <w:jc w:val="left"/>
            </w:pPr>
            <w:r>
              <w:t xml:space="preserve">Pivotar la custodia; cláusula de apertura por función; no liberar el tramo 3</w:t>
            </w:r>
          </w:p>
        </w:tc>
      </w:tr>
      <w:tr>
        <w:trPr>
          <w:cantSplit/>
        </w:trPr>
        <w:tc>
          <w:tcPr/>
          <w:p>
            <w:pPr>
              <w:pStyle w:val="Tabla9"/>
              <w:jc w:val="left"/>
            </w:pPr>
            <w:r>
              <w:t xml:space="preserve">H6</w:t>
            </w:r>
          </w:p>
        </w:tc>
        <w:tc>
          <w:tcPr/>
          <w:p>
            <w:pPr>
              <w:pStyle w:val="Tabla9"/>
              <w:jc w:val="left"/>
            </w:pPr>
            <w:r>
              <w:t xml:space="preserve">¿Las 100 unidades y los 10 gateways operan con disponibilidad mensual de 90 % o más?</w:t>
            </w:r>
          </w:p>
        </w:tc>
        <w:tc>
          <w:tcPr/>
          <w:p>
            <w:pPr>
              <w:pStyle w:val="Tabla9"/>
              <w:jc w:val="left"/>
            </w:pPr>
            <w:r>
              <w:t xml:space="preserve">Inventario de la red con huella de configuración</w:t>
            </w:r>
          </w:p>
        </w:tc>
        <w:tc>
          <w:tcPr/>
          <w:p>
            <w:pPr>
              <w:pStyle w:val="Tabla9"/>
              <w:jc w:val="left"/>
            </w:pPr>
            <w:r>
              <w:t xml:space="preserve">Reponer con reserva de 20 nodos y un gateway</w:t>
            </w:r>
          </w:p>
        </w:tc>
      </w:tr>
      <w:tr>
        <w:trPr>
          <w:cantSplit/>
        </w:trPr>
        <w:tc>
          <w:tcPr/>
          <w:p>
            <w:pPr>
              <w:pStyle w:val="Tabla9"/>
              <w:jc w:val="left"/>
            </w:pPr>
            <w:r>
              <w:t xml:space="preserve">H7</w:t>
            </w:r>
          </w:p>
        </w:tc>
        <w:tc>
          <w:tcPr/>
          <w:p>
            <w:pPr>
              <w:pStyle w:val="Tabla9"/>
              <w:jc w:val="left"/>
            </w:pPr>
            <w:r>
              <w:t xml:space="preserve">¿Un laboratorio externo confirma el desempeño frente a los umbrales?</w:t>
            </w:r>
          </w:p>
        </w:tc>
        <w:tc>
          <w:tcPr/>
          <w:p>
            <w:pPr>
              <w:pStyle w:val="Tabla9"/>
              <w:jc w:val="left"/>
            </w:pPr>
            <w:r>
              <w:t xml:space="preserve">Informe del ensayo independiente y evaluación externa final</w:t>
            </w:r>
          </w:p>
        </w:tc>
        <w:tc>
          <w:tcPr/>
          <w:p>
            <w:pPr>
              <w:pStyle w:val="Tabla9"/>
              <w:jc w:val="left"/>
            </w:pPr>
            <w:r>
              <w:t xml:space="preserve">Declarar el nivel de madurez alcanzado sin afirmar TRL 8</w:t>
            </w:r>
          </w:p>
        </w:tc>
      </w:tr>
      <w:tr>
        <w:trPr>
          <w:cantSplit/>
        </w:trPr>
        <w:tc>
          <w:tcPr/>
          <w:p>
            <w:pPr>
              <w:pStyle w:val="Tabla9"/>
              <w:jc w:val="left"/>
            </w:pPr>
            <w:r>
              <w:t xml:space="preserve">H8 (C3)</w:t>
            </w:r>
          </w:p>
        </w:tc>
        <w:tc>
          <w:tcPr/>
          <w:p>
            <w:pPr>
              <w:pStyle w:val="Tabla9"/>
              <w:jc w:val="left"/>
            </w:pPr>
            <w:r>
              <w:t xml:space="preserve">¿Los custodios tienen capacidad, partida y convenio para operar tras el cierre?</w:t>
            </w:r>
          </w:p>
        </w:tc>
        <w:tc>
          <w:tcPr/>
          <w:p>
            <w:pPr>
              <w:pStyle w:val="Tabla9"/>
              <w:jc w:val="left"/>
            </w:pPr>
            <w:r>
              <w:t xml:space="preserve">Actas de entrega y cláusula de apertura firmada</w:t>
            </w:r>
          </w:p>
        </w:tc>
        <w:tc>
          <w:tcPr/>
          <w:p>
            <w:pPr>
              <w:pStyle w:val="Tabla9"/>
              <w:jc w:val="left"/>
            </w:pPr>
            <w:r>
              <w:t xml:space="preserve">Activar la cláusula de apertura y liberar datos y código</w:t>
            </w:r>
          </w:p>
        </w:tc>
      </w:tr>
    </w:tbl>
    <w:p>
      <w:pPr>
        <w:pStyle w:val="TablaNota"/>
      </w:pPr>
      <w:r>
        <w:rPr>
          <w:i/>
          <w:iCs/>
        </w:rPr>
        <w:t xml:space="preserve">Nota.</w:t>
      </w:r>
      <w:r>
        <w:t xml:space="preserve"> </w:t>
      </w:r>
      <w:r>
        <w:t xml:space="preserve">Elaboración propia con datos de la ficha maestra §4, §6 y §8 y de la sección 4.4-MDR.12. Las preguntas, evidencias y respuestas son PROPUESTO. Los umbrales de desempeño tienen ancla externa en U.S. Environmental Protection Agency (2021) para uso informativo en sitio fijo y requieren ratificación. Decimales con coma.</w:t>
      </w:r>
    </w:p>
    <w:p>
      <w:pPr>
        <w:pStyle w:val="BodyText"/>
      </w:pPr>
      <w:r>
        <w:t xml:space="preserve">La alineación con el marco lógico completa la verificación. Cada pregunta de la lista se vincula con un nivel del marco lógico. Las de H1 y H2 corresponden a las actividades. Las de H4 y H6 corresponden a los componentes. Las de H3 y H5 corresponden al propósito. La de H8 corresponde al fin. Esa correspondencia permite detectar saltos lógicos entre niveles (Funnell y Rogers, 2011). Si el producto se entrega pero el efecto no ocurre, el equipo debe revisar el mecanismo de cambio y no solo la ejecución. El capítulo 12 desarrolla los indicadores que miden esos efectos y el capítulo 18 presenta el marco lógico.</w:t>
      </w:r>
    </w:p>
    <w:p>
      <w:pPr>
        <w:pStyle w:val="BodyText"/>
      </w:pPr>
      <w:r>
        <w:t xml:space="preserve">El mecanismo de revisión continua combina tres capas. La revisión trimestral del registro actualiza probabilidades e impactos con datos reales. La revisión de fase, antes de cada compuerta, cuestiona los supuestos críticos. La evaluación externa de los meses 12 y 24 aporta una mirada independiente. Ries (2011) define el pivote como una corrección de rumbo estructurada para probar una nueva hipótesis fundamental. El proyecto adopta esa definición. Pivotar la medición, el uso o la custodia es una respuesta legítima y no un fracaso.</w:t>
      </w:r>
    </w:p>
    <w:p>
      <w:pPr>
        <w:pStyle w:val="BodyText"/>
      </w:pPr>
      <w:r>
        <w:t xml:space="preserve">La Figura 10.3 formaliza los criterios de pivote o perseverancia de las compuertas C1 y C2. En C1, dos preguntas en secuencia determinan la decisión: el desempeño del modelo y el uso del tablero. Si ambas se cumplen, se libera la compra del tramo 2, por 388,0 millones de COP. En C2, dos preguntas determinan la liberación del tramo 3, por 306,0 millones. La primera exige desempeño en los tres departamentos con disponibilidad de 90 % o más. La segunda exige convenios de custodia con partida.</w:t>
      </w:r>
    </w:p>
    <w:p>
      <w:pPr>
        <w:pStyle w:val="FiguraRotulo"/>
      </w:pPr>
      <w:bookmarkStart w:id="9528" w:name="rot_Figura_10_3"/>
      <w:r>
        <w:rPr>
          <w:b/>
          <w:bCs/>
        </w:rPr>
        <w:t xml:space="preserve">Figura 10.3</w:t>
      </w:r>
      <w:bookmarkEnd w:id="9528"/>
    </w:p>
    <w:p>
      <w:pPr>
        <w:pStyle w:val="FiguraTitulo"/>
      </w:pPr>
      <w:r>
        <w:rPr>
          <w:i/>
          <w:iCs/>
        </w:rPr>
        <w:t xml:space="preserve">C1 y C2 liberan la compra del tramo siguiente solo si se cumplen todos los criterios</w:t>
      </w:r>
    </w:p>
    <w:p>
      <w:pPr>
        <w:pStyle w:val="BodyText"/>
      </w:pPr>
      <w:r>
        <w:drawing>
          <wp:inline>
            <wp:extent cx="5579999" cy="4136030"/>
            <wp:effectExtent b="0" l="0" r="0" t="0"/>
            <wp:docPr descr="" title="" id="544" name="Picture"/>
            <a:graphic>
              <a:graphicData uri="http://schemas.openxmlformats.org/drawingml/2006/picture">
                <pic:pic>
                  <pic:nvPicPr>
                    <pic:cNvPr descr="/tmp/claude-0/-home-user-docs/ddf38714-2a7e-502b-92b4-1008e2832422/scratchpad/proy/figs/out/c10_f03.png" id="545" name="Picture"/>
                    <pic:cNvPicPr>
                      <a:picLocks noChangeArrowheads="1" noChangeAspect="1"/>
                    </pic:cNvPicPr>
                  </pic:nvPicPr>
                  <pic:blipFill>
                    <a:blip r:embed="rId543"/>
                    <a:stretch>
                      <a:fillRect/>
                    </a:stretch>
                  </pic:blipFill>
                  <pic:spPr bwMode="auto">
                    <a:xfrm>
                      <a:off x="0" y="0"/>
                      <a:ext cx="5579999" cy="41360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umbrales de la ficha maestra (C1 y C2); respuestas de pivote PROPUESTO de la sección 4.4-MDR.12. Python 3 y matplotlib; script c10_figs.py; sin semilla; corte del 13 de octubre de 2026.</w:t>
      </w:r>
    </w:p>
    <w:p>
      <w:pPr>
        <w:pStyle w:val="BodyText"/>
      </w:pPr>
      <w:r>
        <w:t xml:space="preserve">El árbol obliga a elegir antes de conocer los datos. Esa elección previa protege contra la reinterpretación de los criterios después de ver los resultados. Cooper (2008) señala que las compuertas pierden valor cuando los criterios se relajan para no detener un proyecto. Collingridge (1980) recomienda mantener reversibles las decisiones tempranas. La compra por tramos cumple ambos consejos. Los criterios se fijan ahora, y las compras que no se liberan quedan sin ejecutar. El capítulo 21 resume los cinco riesgos de mayor valor esperado en el acta de constitución.</w:t>
      </w:r>
    </w:p>
    <w:bookmarkEnd w:id="546"/>
    <w:bookmarkEnd w:id="547"/>
    <w:bookmarkStart w:id="559" w:name="_Toc00900223"/>
    <w:p>
      <w:pPr>
        <w:pStyle w:val="Heading1"/>
      </w:pPr>
      <w:r>
        <w:t xml:space="preserve">Capítulo 11. Resultados Esperados</w:t>
      </w:r>
    </w:p>
    <w:p>
      <w:pPr>
        <w:pStyle w:val="FirstParagraph"/>
      </w:pPr>
      <w:r>
        <w:t xml:space="preserve">Este capítulo enumera los productos que el proyecto promete entregar y los clasifica con la tipología del Modelo de Medición de Grupos (MMG) de 2021. Cada cantidad coincide con un indicador de producto del sistema PERS (PERS-P01 a PERS-P04) o con el indicador de capacidad instalada PERS-E03. Cada producto remite a una línea del presupuesto. El proyecto no promete efectos en salud: promete mediciones verificadas, uso institucional y continuidad.</w:t>
      </w:r>
    </w:p>
    <w:p>
      <w:pPr>
        <w:pStyle w:val="BodyText"/>
      </w:pPr>
      <w:r>
        <w:t xml:space="preserve">La taxonomía de resultados separa el producto del efecto y del impacto. Un artículo aceptado o un taller realizado mide esfuerzo y no cambio. Por eso los productos de este capítulo se declaran como salidas verificables. Los efectos (PERS-E01 a PERS-E03) y los impactos (PERS-S01 y PERS-S02) se tratan en el capítulo 12. Los términos de referencia (TdR) no se aportaron; toda clasificación tipológica queda como PROPUESTO y NO_VERIFICADO.</w:t>
      </w:r>
    </w:p>
    <w:bookmarkStart w:id="548" w:name="_Toc00900224"/>
    <w:p>
      <w:pPr>
        <w:pStyle w:val="Heading2"/>
      </w:pPr>
      <w:r>
        <w:t xml:space="preserve">11.1 Productos de Nuevo Conocimiento</w:t>
      </w:r>
    </w:p>
    <w:p>
      <w:pPr>
        <w:pStyle w:val="FirstParagraph"/>
      </w:pPr>
      <w:r>
        <w:t xml:space="preserve">El proyecto compromete dos artículos científicos sometidos a revistas del primer o del segundo cuartil, y al menos uno aceptado al mes 24 (PERS-P03). La tipología propuesta es ART-A1 o ART-A2, según el cuartil de la revista elegida. La corrección de sensores ópticos de bajo costo es la línea de investigación con mayor respaldo en el corpus de vigilancia tecnológica. Jayaratne et al. (2018) documentaron la influencia de la humedad sobre un sensor de masa de partículas de bajo costo. Malings et al. (2020) evaluaron correcciones y el desempeño a largo plazo de sensores de masa de partículas finas. Bang et al. (2026, pp. 6-8) llevaron el coeficiente de determinación (R²) de menos de 0,2 a 0,81 con una estación cercana y 35 minutos de desfase. Suresh et al. (2025, p. 30) reportaron una correlación de 0,73 entre las partículas y la humedad en una mina a cielo abierto. Dos posiciones compiten en la calibración. La primera sostiene que una corrección multivariada con humedad se transfiere entre sitios (Barkjohn et al., 2021). La segunda advierte que el desempeño depende del sitio y recomienda la colocalización con equipos de referencia (Giordano et al., 2021). El proyecto adopta la segunda posición como hipótesis de trabajo y somete a prueba la primera. Mide la línea base de error en el tramo 1 y evalúa si el modelo entrenado en un departamento generaliza a los otros dos. El riesgo R-TEC-04, con probabilidad de 35 %, describe ese fallo. El primer artículo se redacta con los datos de la compuerta C1 (mes 12). El segundo se redacta con la verificación final del mes 24.</w:t>
      </w:r>
    </w:p>
    <w:p>
      <w:pPr>
        <w:pStyle w:val="BodyText"/>
      </w:pPr>
      <w:r>
        <w:t xml:space="preserve">El presupuesto cubre dos cargos de procesamiento de artículos de acceso abierto (línea O01). Cada cargo cuesta 12.500.000 COP y el total es de 25.000.000 COP. Los dos viajes internacionales de divulgación científica suman 24.000.000 COP (línea V04). El indicador supone tiempos editoriales compatibles con el cierre, y ese supuesto presenta riesgo medio. Por eso el compromiso separa lo controlable, dos artículos sometidos, de lo que depende de la revista, al menos uno aceptado. Ninguna revista se selecciona en esta formulación (VACIO).</w:t>
      </w:r>
    </w:p>
    <w:p>
      <w:pPr>
        <w:pStyle w:val="BodyText"/>
      </w:pPr>
      <w:r>
        <w:t xml:space="preserve">El proyecto no compromete libros ni capítulos de libro. La ficha de indicadores no incluye ese producto y el presupuesto no asigna una línea editorial para él. La tesis de las dos personas de maestría podría derivar en un capítulo, pero esa opción queda sin cantidad ni plazo (VACIO). Un libro permitiría integrar el protocolo de calibración con la experiencia de co-diseño, que un artículo fragmenta. Sin embargo, la revisión por pares de un artículo ofrece un control de calidad externo que los comités de gestión del riesgo pueden citar. El proyecto prioriza el artículo por esa razón y difiere cualquier libro hasta la evaluación final del mes 24.</w:t>
      </w:r>
    </w:p>
    <w:p>
      <w:pPr>
        <w:pStyle w:val="BodyText"/>
      </w:pPr>
      <w:r>
        <w:t xml:space="preserve">Los datos y el protocolo de colocalización constituyen un producto de conocimiento que la ficha no tipifica. La base de datos de colocalización debe acumular al menos 60.000 horas-nodo válidas y cuatro rotaciones por departamento (PERS-R05). El protocolo describe la selección de sitios, la colocalización con las tres referencias gravimétricas y el entrenamiento del modelo. El informe de vigilancia tecnológica identifica la calibración como cuello de botella transversal del campo. El 90,8 % de las 5.076 estaciones de la red nacional propuesta serían sensores sin plan de calibración (Murad Pedraza et al., 2026, pp. 10-11 y 13). La cifra es un cálculo del analista. Un protocolo publicado reduce ese cuello de botella para otras redes. Ambos productos se clasifican como insumos verificables y no como productos con código MMG (VACIO).</w:t>
      </w:r>
    </w:p>
    <w:p>
      <w:pPr>
        <w:pStyle w:val="BodyText"/>
      </w:pPr>
      <w:r>
        <w:t xml:space="preserve">La Tabla 11.1 resume los productos de nuevo conocimiento. Incluye cantidad, plazo, indicador y línea presupuestal.</w:t>
      </w:r>
    </w:p>
    <w:p>
      <w:pPr>
        <w:pStyle w:val="TablaRotulo"/>
      </w:pPr>
      <w:bookmarkStart w:id="9323" w:name="rot_Tabla_11_1"/>
      <w:r>
        <w:rPr>
          <w:b/>
          <w:bCs/>
        </w:rPr>
        <w:t xml:space="preserve">Tabla 11.1</w:t>
      </w:r>
      <w:bookmarkEnd w:id="9323"/>
    </w:p>
    <w:p>
      <w:pPr>
        <w:pStyle w:val="TablaTitulo"/>
      </w:pPr>
      <w:r>
        <w:rPr>
          <w:i/>
          <w:iCs/>
        </w:rPr>
        <w:t xml:space="preserve">Matriz de productos de nuevo conocimiento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1056"/>
        <w:gridCol w:w="1188"/>
        <w:gridCol w:w="1320"/>
        <w:gridCol w:w="1452"/>
      </w:tblGrid>
      <w:tr>
        <w:trPr>
          <w:cantSplit/>
          <w:tblHeader/>
        </w:trPr>
        <w:tc>
          <w:tcPr>
            <w:shd w:val="clear" w:color="auto" w:fill="00B050"/>
          </w:tcPr>
          <w:p>
            <w:pPr>
              <w:pStyle w:val="Tabla9"/>
              <w:jc w:val="center"/>
            </w:pPr>
            <w:r>
              <w:rPr>
                <w:b/>
                <w:color w:val="FFFFFF"/>
              </w:rPr>
              <w:t xml:space="preserve">Producto</w:t>
            </w:r>
          </w:p>
        </w:tc>
        <w:tc>
          <w:tcPr>
            <w:shd w:val="clear" w:color="auto" w:fill="00B050"/>
          </w:tcPr>
          <w:p>
            <w:pPr>
              <w:pStyle w:val="Tabla9"/>
              <w:jc w:val="center"/>
            </w:pPr>
            <w:r>
              <w:rPr>
                <w:b/>
                <w:color w:val="FFFFFF"/>
              </w:rPr>
              <w:t xml:space="preserve">Cantidad y plazo</w:t>
            </w:r>
          </w:p>
        </w:tc>
        <w:tc>
          <w:tcPr>
            <w:shd w:val="clear" w:color="auto" w:fill="00B050"/>
          </w:tcPr>
          <w:p>
            <w:pPr>
              <w:pStyle w:val="Tabla9"/>
              <w:jc w:val="center"/>
            </w:pPr>
            <w:r>
              <w:rPr>
                <w:b/>
                <w:color w:val="FFFFFF"/>
              </w:rPr>
              <w:t xml:space="preserve">Tipología MMG</w:t>
            </w:r>
          </w:p>
        </w:tc>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Línea presupuestal</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Artículo científico sometido</w:t>
            </w:r>
          </w:p>
        </w:tc>
        <w:tc>
          <w:tcPr/>
          <w:p>
            <w:pPr>
              <w:pStyle w:val="Tabla9"/>
              <w:jc w:val="left"/>
            </w:pPr>
            <w:r>
              <w:t xml:space="preserve">2 al mes 24; 1 al mes 17</w:t>
            </w:r>
          </w:p>
        </w:tc>
        <w:tc>
          <w:tcPr/>
          <w:p>
            <w:pPr>
              <w:pStyle w:val="Tabla9"/>
              <w:jc w:val="left"/>
            </w:pPr>
            <w:r>
              <w:t xml:space="preserve">ART-A1 o ART-A2</w:t>
            </w:r>
          </w:p>
        </w:tc>
        <w:tc>
          <w:tcPr/>
          <w:p>
            <w:pPr>
              <w:pStyle w:val="Tabla9"/>
              <w:jc w:val="left"/>
            </w:pPr>
            <w:r>
              <w:t xml:space="preserve">PERS-P03</w:t>
            </w:r>
          </w:p>
        </w:tc>
        <w:tc>
          <w:tcPr/>
          <w:p>
            <w:pPr>
              <w:pStyle w:val="Tabla9"/>
              <w:jc w:val="left"/>
            </w:pPr>
            <w:r>
              <w:t xml:space="preserve">O01: 25.000.000 COP</w:t>
            </w:r>
          </w:p>
        </w:tc>
        <w:tc>
          <w:tcPr/>
          <w:p>
            <w:pPr>
              <w:pStyle w:val="Tabla9"/>
              <w:jc w:val="left"/>
            </w:pPr>
            <w:r>
              <w:t xml:space="preserve">PROPUESTO</w:t>
            </w:r>
          </w:p>
        </w:tc>
      </w:tr>
      <w:tr>
        <w:trPr>
          <w:cantSplit/>
        </w:trPr>
        <w:tc>
          <w:tcPr/>
          <w:p>
            <w:pPr>
              <w:pStyle w:val="Tabla9"/>
              <w:jc w:val="left"/>
            </w:pPr>
            <w:r>
              <w:t xml:space="preserve">Artículo científico aceptado</w:t>
            </w:r>
          </w:p>
        </w:tc>
        <w:tc>
          <w:tcPr/>
          <w:p>
            <w:pPr>
              <w:pStyle w:val="Tabla9"/>
              <w:jc w:val="left"/>
            </w:pPr>
            <w:r>
              <w:t xml:space="preserve">Al menos 1 al mes 24</w:t>
            </w:r>
          </w:p>
        </w:tc>
        <w:tc>
          <w:tcPr/>
          <w:p>
            <w:pPr>
              <w:pStyle w:val="Tabla9"/>
              <w:jc w:val="left"/>
            </w:pPr>
            <w:r>
              <w:t xml:space="preserve">ART-A1 o ART-A2</w:t>
            </w:r>
          </w:p>
        </w:tc>
        <w:tc>
          <w:tcPr/>
          <w:p>
            <w:pPr>
              <w:pStyle w:val="Tabla9"/>
              <w:jc w:val="left"/>
            </w:pPr>
            <w:r>
              <w:t xml:space="preserve">PERS-P03</w:t>
            </w:r>
          </w:p>
        </w:tc>
        <w:tc>
          <w:tcPr/>
          <w:p>
            <w:pPr>
              <w:pStyle w:val="Tabla9"/>
              <w:jc w:val="left"/>
            </w:pPr>
            <w:r>
              <w:t xml:space="preserve">O01</w:t>
            </w:r>
          </w:p>
        </w:tc>
        <w:tc>
          <w:tcPr/>
          <w:p>
            <w:pPr>
              <w:pStyle w:val="Tabla9"/>
              <w:jc w:val="left"/>
            </w:pPr>
            <w:r>
              <w:t xml:space="preserve">PROPUESTO</w:t>
            </w:r>
          </w:p>
        </w:tc>
      </w:tr>
      <w:tr>
        <w:trPr>
          <w:cantSplit/>
        </w:trPr>
        <w:tc>
          <w:tcPr/>
          <w:p>
            <w:pPr>
              <w:pStyle w:val="Tabla9"/>
              <w:jc w:val="left"/>
            </w:pPr>
            <w:r>
              <w:t xml:space="preserve">Libro o capítulo de libro</w:t>
            </w:r>
          </w:p>
        </w:tc>
        <w:tc>
          <w:tcPr/>
          <w:p>
            <w:pPr>
              <w:pStyle w:val="Tabla9"/>
              <w:jc w:val="left"/>
            </w:pPr>
            <w:r>
              <w:t xml:space="preserve">0 comprometidos</w:t>
            </w:r>
          </w:p>
        </w:tc>
        <w:tc>
          <w:tcPr/>
          <w:p>
            <w:pPr>
              <w:pStyle w:val="Tabla9"/>
              <w:jc w:val="left"/>
            </w:pPr>
            <w:r>
              <w:t xml:space="preserve">Sin tipificar</w:t>
            </w:r>
          </w:p>
        </w:tc>
        <w:tc>
          <w:tcPr/>
          <w:p>
            <w:pPr>
              <w:pStyle w:val="Tabla9"/>
              <w:jc w:val="left"/>
            </w:pPr>
            <w:r>
              <w:t xml:space="preserve">Ninguno</w:t>
            </w:r>
          </w:p>
        </w:tc>
        <w:tc>
          <w:tcPr/>
          <w:p>
            <w:pPr>
              <w:pStyle w:val="Tabla9"/>
              <w:jc w:val="left"/>
            </w:pPr>
            <w:r>
              <w:t xml:space="preserve">Sin línea</w:t>
            </w:r>
          </w:p>
        </w:tc>
        <w:tc>
          <w:tcPr/>
          <w:p>
            <w:pPr>
              <w:pStyle w:val="Tabla9"/>
              <w:jc w:val="left"/>
            </w:pPr>
            <w:r>
              <w:t xml:space="preserve">VACIO</w:t>
            </w:r>
          </w:p>
        </w:tc>
      </w:tr>
      <w:tr>
        <w:trPr>
          <w:cantSplit/>
        </w:trPr>
        <w:tc>
          <w:tcPr/>
          <w:p>
            <w:pPr>
              <w:pStyle w:val="Tabla9"/>
              <w:jc w:val="left"/>
            </w:pPr>
            <w:r>
              <w:t xml:space="preserve">Base de datos de colocalización</w:t>
            </w:r>
          </w:p>
        </w:tc>
        <w:tc>
          <w:tcPr/>
          <w:p>
            <w:pPr>
              <w:pStyle w:val="Tabla9"/>
              <w:jc w:val="left"/>
            </w:pPr>
            <w:r>
              <w:t xml:space="preserve">60.000 horas-nodo y 4 rotaciones por departamento</w:t>
            </w:r>
          </w:p>
        </w:tc>
        <w:tc>
          <w:tcPr/>
          <w:p>
            <w:pPr>
              <w:pStyle w:val="Tabla9"/>
              <w:jc w:val="left"/>
            </w:pPr>
            <w:r>
              <w:t xml:space="preserve">Sin código MMG</w:t>
            </w:r>
          </w:p>
        </w:tc>
        <w:tc>
          <w:tcPr/>
          <w:p>
            <w:pPr>
              <w:pStyle w:val="Tabla9"/>
              <w:jc w:val="left"/>
            </w:pPr>
            <w:r>
              <w:t xml:space="preserve">PERS-R05</w:t>
            </w:r>
          </w:p>
        </w:tc>
        <w:tc>
          <w:tcPr/>
          <w:p>
            <w:pPr>
              <w:pStyle w:val="Tabla9"/>
              <w:jc w:val="left"/>
            </w:pPr>
            <w:r>
              <w:t xml:space="preserve">E03, M01 y S01: 353.400.000 COP</w:t>
            </w:r>
          </w:p>
        </w:tc>
        <w:tc>
          <w:tcPr/>
          <w:p>
            <w:pPr>
              <w:pStyle w:val="Tabla9"/>
              <w:jc w:val="left"/>
            </w:pPr>
            <w:r>
              <w:t xml:space="preserve">PROPUESTO</w:t>
            </w:r>
          </w:p>
        </w:tc>
      </w:tr>
      <w:tr>
        <w:trPr>
          <w:cantSplit/>
        </w:trPr>
        <w:tc>
          <w:tcPr/>
          <w:p>
            <w:pPr>
              <w:pStyle w:val="Tabla9"/>
              <w:jc w:val="left"/>
            </w:pPr>
            <w:r>
              <w:t xml:space="preserve">Protocolo de calibración y corrección</w:t>
            </w:r>
          </w:p>
        </w:tc>
        <w:tc>
          <w:tcPr/>
          <w:p>
            <w:pPr>
              <w:pStyle w:val="Tabla9"/>
              <w:jc w:val="left"/>
            </w:pPr>
            <w:r>
              <w:t xml:space="preserve">6 ciclos de calibración, 2 por tramo</w:t>
            </w:r>
          </w:p>
        </w:tc>
        <w:tc>
          <w:tcPr/>
          <w:p>
            <w:pPr>
              <w:pStyle w:val="Tabla9"/>
              <w:jc w:val="left"/>
            </w:pPr>
            <w:r>
              <w:t xml:space="preserve">Sin código MMG</w:t>
            </w:r>
          </w:p>
        </w:tc>
        <w:tc>
          <w:tcPr/>
          <w:p>
            <w:pPr>
              <w:pStyle w:val="Tabla9"/>
              <w:jc w:val="left"/>
            </w:pPr>
            <w:r>
              <w:t xml:space="preserve">PERS-R02</w:t>
            </w:r>
          </w:p>
        </w:tc>
        <w:tc>
          <w:tcPr/>
          <w:p>
            <w:pPr>
              <w:pStyle w:val="Tabla9"/>
              <w:jc w:val="left"/>
            </w:pPr>
            <w:r>
              <w:t xml:space="preserve">P07 y E07</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del proyecto y del sistema PERS. La suma de E03, M01 y S01 es CALCULADA (255.000.000 + 14.400.000 + 84.000.000 COP). Naturaleza de las metas: PROPUESTO; tipología sujeta a los TdR (NO_VERIFICADO).</w:t>
      </w:r>
    </w:p>
    <w:p>
      <w:pPr>
        <w:pStyle w:val="BodyText"/>
      </w:pPr>
      <w:r>
        <w:t xml:space="preserve">La matriz concentra la tipología MMG en dos filas. Las demás filas sirven de soporte técnico y no se cuentan como productos tipificados. Esa decisión evita inflar la cantidad de productos frente al criterio de fortalecimiento regional. Los dos artículos dependen del avance del modelo, de modo que el primer sometimiento se programa después de la compuerta C1.</w:t>
      </w:r>
    </w:p>
    <w:bookmarkEnd w:id="548"/>
    <w:bookmarkStart w:id="552" w:name="_Toc00900225"/>
    <w:p>
      <w:pPr>
        <w:pStyle w:val="Heading2"/>
      </w:pPr>
      <w:r>
        <w:t xml:space="preserve">11.2 Productos de Desarrollo Tecnológico</w:t>
      </w:r>
    </w:p>
    <w:p>
      <w:pPr>
        <w:pStyle w:val="FirstParagraph"/>
      </w:pPr>
      <w:r>
        <w:t xml:space="preserve">El producto tecnológico principal es la red operativa de 100 nodos y 10 gateways (PERS-P01), tipificada como prototipo funcional (PROT-FUNC). La meta se alcanza por tramos. Al mes 12 operan 30 nodos y 3 gateways. Al mes 17 operan 70 nodos y 7 gateways. Desde el mes 19 operan 100 nodos y 10 gateways. El nivel de preparación tecnológica (TRL) avanza de 4 a 7. Mankins (1995) describe el TRL 7 como la demostración de un prototipo en un entorno operativo. Describe el TRL 8 como un sistema completo y calificado. El proyecto fija el TRL 7 porque demuestra el sistema en entorno operativo sin calificación formal. El TRL 8 queda condicionado a una evaluación de desempeño independiente (DEC-F05). Dos lecturas del TRL coexisten. Una lo trata como medida de la tecnología aislada. La otra exige además integrar la tecnología con su contexto de uso. El informe de vigilancia tecnológica respalda la segunda lectura. Solo dos de 41 documentos del corpus alcanzan el TRL 7 o más (Ruiz-Carrascal et al., 2026; Espinoza et al., 2026). Uno es el Sistema de Alerta Temprana de Medellín y el Valle de Aburrá (SIATA). El otro es el sistema de lahares del Instituto Geofísico del Perú. SIATA opera 65 equipos acreditados y 450 sensores de bajo costo (Ruiz-Carrascal et al., 2026, p. 8). Por consiguiente, el TRL 7 del proyecto exige demostración en sitios reales de remoción y no en laboratorio. Las compuertas C1 y C2 verifican esa demostración antes de liberar cada compra.</w:t>
      </w:r>
    </w:p>
    <w:p>
      <w:pPr>
        <w:pStyle w:val="BodyText"/>
      </w:pPr>
      <w:r>
        <w:t xml:space="preserve">El software se registra ante la Dirección Nacional de Derecho de Autor (DNDA) con la tipología SW-REG. La meta es una solicitud radicada al mes 17 y un registro vigente al mes 24 (PERS-P02). El registro cubre el modelo de corrección, el firmware y el gemelo digital. Su titularidad depende del acuerdo entre las partes que describe el capítulo 15. Grieves y Vickers (2017) definen el gemelo digital como una réplica virtual que se mantiene sincronizada con el objeto físico. Tao et al. (2019) revisan sus aplicaciones industriales. Una posición exige flujo bidireccional entre el objeto y su réplica, con actuación sobre el objeto. Otra posición, frecuente en calidad del aire, usa el término para la estimación espacial y el pronóstico con datos de sensores (Wei et al., 2026). El gemelo digital del proyecto pertenece a la segunda posición. Estima la concentración en el espacio con datos de nodos corregidos. No actúa sobre la red (PROPUESTO). Esa definición determina el texto del registro, que describe funciones reales y no promete control.</w:t>
      </w:r>
    </w:p>
    <w:p>
      <w:pPr>
        <w:pStyle w:val="BodyText"/>
      </w:pPr>
      <w:r>
        <w:t xml:space="preserve">El proyecto no compromete diseños industriales. Los cerramientos NEMA 4X y los mástiles (línea M03) se adquieren y no se diseñan. Si el equipo modificara el cerramiento para reducir la deposición de polvo sobre el cabezal óptico, la consultoría jurídica evaluaría un registro de diseño. Esa posibilidad queda sin cantidad (VACIO).</w:t>
      </w:r>
    </w:p>
    <w:p>
      <w:pPr>
        <w:pStyle w:val="BodyText"/>
      </w:pPr>
      <w:r>
        <w:t xml:space="preserve">El proyecto tampoco compromete solicitudes de patente. La novedad de los conceptos generales es incierta. El corpus incluye solicitudes sobre sensores de partículas (Koppinen et al., 2019) y sobre el monitoreo de un parámetro del aire con un modelo entrenado (Ali et al., 2022). Una patente de invención exige novedad, nivel inventivo y aplicación industrial (Comunidad Andina, 2000). El método de corrección en el gateway podría cumplir esos requisitos solo si la búsqueda de anterioridades lo confirma. Hasta entonces el potencial patentable es VACIO. La consultoría de propiedad intelectual (línea S02) cubre 150 horas y 45.000.000 COP para resolver esa pregunta.</w:t>
      </w:r>
    </w:p>
    <w:p>
      <w:pPr>
        <w:pStyle w:val="BodyText"/>
      </w:pPr>
      <w:r>
        <w:t xml:space="preserve">La Tabla 11.2 presenta los productos tecnológicos. Incluye meta, tipología, verificación y línea presupuestal.</w:t>
      </w:r>
    </w:p>
    <w:p>
      <w:pPr>
        <w:pStyle w:val="TablaRotulo"/>
      </w:pPr>
      <w:bookmarkStart w:id="9324" w:name="rot_Tabla_11_2"/>
      <w:r>
        <w:rPr>
          <w:b/>
          <w:bCs/>
        </w:rPr>
        <w:t xml:space="preserve">Tabla 11.2</w:t>
      </w:r>
      <w:bookmarkEnd w:id="9324"/>
    </w:p>
    <w:p>
      <w:pPr>
        <w:pStyle w:val="TablaTitulo"/>
      </w:pPr>
      <w:r>
        <w:rPr>
          <w:i/>
          <w:iCs/>
        </w:rPr>
        <w:t xml:space="preserve">Matriz de productos tecnológicos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331"/>
        <w:gridCol w:w="1331"/>
        <w:gridCol w:w="1331"/>
        <w:gridCol w:w="1397"/>
      </w:tblGrid>
      <w:tr>
        <w:trPr>
          <w:cantSplit/>
          <w:tblHeader/>
        </w:trPr>
        <w:tc>
          <w:tcPr>
            <w:shd w:val="clear" w:color="auto" w:fill="00B050"/>
          </w:tcPr>
          <w:p>
            <w:pPr>
              <w:pStyle w:val="Tabla9"/>
              <w:jc w:val="center"/>
            </w:pPr>
            <w:r>
              <w:rPr>
                <w:b/>
                <w:color w:val="FFFFFF"/>
              </w:rPr>
              <w:t xml:space="preserve">Producto</w:t>
            </w:r>
          </w:p>
        </w:tc>
        <w:tc>
          <w:tcPr>
            <w:shd w:val="clear" w:color="auto" w:fill="00B050"/>
          </w:tcPr>
          <w:p>
            <w:pPr>
              <w:pStyle w:val="Tabla9"/>
              <w:jc w:val="center"/>
            </w:pPr>
            <w:r>
              <w:rPr>
                <w:b/>
                <w:color w:val="FFFFFF"/>
              </w:rPr>
              <w:t xml:space="preserve">Meta</w:t>
            </w:r>
          </w:p>
        </w:tc>
        <w:tc>
          <w:tcPr>
            <w:shd w:val="clear" w:color="auto" w:fill="00B050"/>
          </w:tcPr>
          <w:p>
            <w:pPr>
              <w:pStyle w:val="Tabla9"/>
              <w:jc w:val="center"/>
            </w:pPr>
            <w:r>
              <w:rPr>
                <w:b/>
                <w:color w:val="FFFFFF"/>
              </w:rPr>
              <w:t xml:space="preserve">Tipología MMG</w:t>
            </w:r>
          </w:p>
        </w:tc>
        <w:tc>
          <w:tcPr>
            <w:shd w:val="clear" w:color="auto" w:fill="00B050"/>
          </w:tcPr>
          <w:p>
            <w:pPr>
              <w:pStyle w:val="Tabla9"/>
              <w:jc w:val="center"/>
            </w:pPr>
            <w:r>
              <w:rPr>
                <w:b/>
                <w:color w:val="FFFFFF"/>
              </w:rPr>
              <w:t xml:space="preserve">Verificación</w:t>
            </w:r>
          </w:p>
        </w:tc>
        <w:tc>
          <w:tcPr>
            <w:shd w:val="clear" w:color="auto" w:fill="00B050"/>
          </w:tcPr>
          <w:p>
            <w:pPr>
              <w:pStyle w:val="Tabla9"/>
              <w:jc w:val="center"/>
            </w:pPr>
            <w:r>
              <w:rPr>
                <w:b/>
                <w:color w:val="FFFFFF"/>
              </w:rPr>
              <w:t xml:space="preserve">Línea presupuestal</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Red de nodos y gateways</w:t>
            </w:r>
          </w:p>
        </w:tc>
        <w:tc>
          <w:tcPr/>
          <w:p>
            <w:pPr>
              <w:pStyle w:val="Tabla9"/>
              <w:jc w:val="left"/>
            </w:pPr>
            <w:r>
              <w:t xml:space="preserve">100 nodos y 10 gateways; TRL 4 a 7</w:t>
            </w:r>
          </w:p>
        </w:tc>
        <w:tc>
          <w:tcPr/>
          <w:p>
            <w:pPr>
              <w:pStyle w:val="Tabla9"/>
              <w:jc w:val="left"/>
            </w:pPr>
            <w:r>
              <w:t xml:space="preserve">PROT-FUNC</w:t>
            </w:r>
          </w:p>
        </w:tc>
        <w:tc>
          <w:tcPr/>
          <w:p>
            <w:pPr>
              <w:pStyle w:val="Tabla9"/>
              <w:jc w:val="left"/>
            </w:pPr>
            <w:r>
              <w:t xml:space="preserve">Mes 12: 30 y 3; mes 17: 70 y 7; mes 19: 100 y 10</w:t>
            </w:r>
          </w:p>
        </w:tc>
        <w:tc>
          <w:tcPr/>
          <w:p>
            <w:pPr>
              <w:pStyle w:val="Tabla9"/>
              <w:jc w:val="left"/>
            </w:pPr>
            <w:r>
              <w:t xml:space="preserve">E01, E04, E05, E06, M03 y S05: 1.135.000.000 COP</w:t>
            </w:r>
          </w:p>
        </w:tc>
        <w:tc>
          <w:tcPr/>
          <w:p>
            <w:pPr>
              <w:pStyle w:val="Tabla9"/>
              <w:jc w:val="left"/>
            </w:pPr>
            <w:r>
              <w:t xml:space="preserve">PROPUESTO</w:t>
            </w:r>
          </w:p>
        </w:tc>
      </w:tr>
      <w:tr>
        <w:trPr>
          <w:cantSplit/>
        </w:trPr>
        <w:tc>
          <w:tcPr/>
          <w:p>
            <w:pPr>
              <w:pStyle w:val="Tabla9"/>
              <w:jc w:val="left"/>
            </w:pPr>
            <w:r>
              <w:t xml:space="preserve">Software de corrección, firmware y gemelo digital</w:t>
            </w:r>
          </w:p>
        </w:tc>
        <w:tc>
          <w:tcPr/>
          <w:p>
            <w:pPr>
              <w:pStyle w:val="Tabla9"/>
              <w:jc w:val="left"/>
            </w:pPr>
            <w:r>
              <w:t xml:space="preserve">1 solicitud al mes 17; 1 registro vigente al mes 24</w:t>
            </w:r>
          </w:p>
        </w:tc>
        <w:tc>
          <w:tcPr/>
          <w:p>
            <w:pPr>
              <w:pStyle w:val="Tabla9"/>
              <w:jc w:val="left"/>
            </w:pPr>
            <w:r>
              <w:t xml:space="preserve">SW-REG</w:t>
            </w:r>
          </w:p>
        </w:tc>
        <w:tc>
          <w:tcPr/>
          <w:p>
            <w:pPr>
              <w:pStyle w:val="Tabla9"/>
              <w:jc w:val="left"/>
            </w:pPr>
            <w:r>
              <w:t xml:space="preserve">Certificado de registro de la DNDA</w:t>
            </w:r>
          </w:p>
        </w:tc>
        <w:tc>
          <w:tcPr/>
          <w:p>
            <w:pPr>
              <w:pStyle w:val="Tabla9"/>
              <w:jc w:val="left"/>
            </w:pPr>
            <w:r>
              <w:t xml:space="preserve">O03 y S02: 60.000.000 COP</w:t>
            </w:r>
          </w:p>
        </w:tc>
        <w:tc>
          <w:tcPr/>
          <w:p>
            <w:pPr>
              <w:pStyle w:val="Tabla9"/>
              <w:jc w:val="left"/>
            </w:pPr>
            <w:r>
              <w:t xml:space="preserve">PROPUESTO</w:t>
            </w:r>
          </w:p>
        </w:tc>
      </w:tr>
      <w:tr>
        <w:trPr>
          <w:cantSplit/>
        </w:trPr>
        <w:tc>
          <w:tcPr/>
          <w:p>
            <w:pPr>
              <w:pStyle w:val="Tabla9"/>
              <w:jc w:val="left"/>
            </w:pPr>
            <w:r>
              <w:t xml:space="preserve">Tablero del AQHI y protocolo de alerta</w:t>
            </w:r>
          </w:p>
        </w:tc>
        <w:tc>
          <w:tcPr/>
          <w:p>
            <w:pPr>
              <w:pStyle w:val="Tabla9"/>
              <w:jc w:val="left"/>
            </w:pPr>
            <w:r>
              <w:t xml:space="preserve">Uso por al menos 75 % de los comités al mes 24</w:t>
            </w:r>
          </w:p>
        </w:tc>
        <w:tc>
          <w:tcPr/>
          <w:p>
            <w:pPr>
              <w:pStyle w:val="Tabla9"/>
              <w:jc w:val="left"/>
            </w:pPr>
            <w:r>
              <w:t xml:space="preserve">Sin código MMG</w:t>
            </w:r>
          </w:p>
        </w:tc>
        <w:tc>
          <w:tcPr/>
          <w:p>
            <w:pPr>
              <w:pStyle w:val="Tabla9"/>
              <w:jc w:val="left"/>
            </w:pPr>
            <w:r>
              <w:t xml:space="preserve">Actas de comité con referencia al tablero</w:t>
            </w:r>
          </w:p>
        </w:tc>
        <w:tc>
          <w:tcPr/>
          <w:p>
            <w:pPr>
              <w:pStyle w:val="Tabla9"/>
              <w:jc w:val="left"/>
            </w:pPr>
            <w:r>
              <w:t xml:space="preserve">P08 y P12</w:t>
            </w:r>
          </w:p>
        </w:tc>
        <w:tc>
          <w:tcPr/>
          <w:p>
            <w:pPr>
              <w:pStyle w:val="Tabla9"/>
              <w:jc w:val="left"/>
            </w:pPr>
            <w:r>
              <w:t xml:space="preserve">PROPUESTO</w:t>
            </w:r>
          </w:p>
        </w:tc>
      </w:tr>
      <w:tr>
        <w:trPr>
          <w:cantSplit/>
        </w:trPr>
        <w:tc>
          <w:tcPr/>
          <w:p>
            <w:pPr>
              <w:pStyle w:val="Tabla9"/>
              <w:jc w:val="left"/>
            </w:pPr>
            <w:r>
              <w:t xml:space="preserve">Diseño industrial</w:t>
            </w:r>
          </w:p>
        </w:tc>
        <w:tc>
          <w:tcPr/>
          <w:p>
            <w:pPr>
              <w:pStyle w:val="Tabla9"/>
              <w:jc w:val="left"/>
            </w:pPr>
            <w:r>
              <w:t xml:space="preserve">0 comprometidos</w:t>
            </w:r>
          </w:p>
        </w:tc>
        <w:tc>
          <w:tcPr/>
          <w:p>
            <w:pPr>
              <w:pStyle w:val="Tabla9"/>
              <w:jc w:val="left"/>
            </w:pPr>
            <w:r>
              <w:t xml:space="preserve">Sin tipificar</w:t>
            </w:r>
          </w:p>
        </w:tc>
        <w:tc>
          <w:tcPr/>
          <w:p>
            <w:pPr>
              <w:pStyle w:val="Tabla9"/>
              <w:jc w:val="left"/>
            </w:pPr>
            <w:r>
              <w:t xml:space="preserve">No aplica</w:t>
            </w:r>
          </w:p>
        </w:tc>
        <w:tc>
          <w:tcPr/>
          <w:p>
            <w:pPr>
              <w:pStyle w:val="Tabla9"/>
              <w:jc w:val="left"/>
            </w:pPr>
            <w:r>
              <w:t xml:space="preserve">M03, solo adquisición</w:t>
            </w:r>
          </w:p>
        </w:tc>
        <w:tc>
          <w:tcPr/>
          <w:p>
            <w:pPr>
              <w:pStyle w:val="Tabla9"/>
              <w:jc w:val="left"/>
            </w:pPr>
            <w:r>
              <w:t xml:space="preserve">VACIO</w:t>
            </w:r>
          </w:p>
        </w:tc>
      </w:tr>
      <w:tr>
        <w:trPr>
          <w:cantSplit/>
        </w:trPr>
        <w:tc>
          <w:tcPr/>
          <w:p>
            <w:pPr>
              <w:pStyle w:val="Tabla9"/>
              <w:jc w:val="left"/>
            </w:pPr>
            <w:r>
              <w:t xml:space="preserve">Patente de invención</w:t>
            </w:r>
          </w:p>
        </w:tc>
        <w:tc>
          <w:tcPr/>
          <w:p>
            <w:pPr>
              <w:pStyle w:val="Tabla9"/>
              <w:jc w:val="left"/>
            </w:pPr>
            <w:r>
              <w:t xml:space="preserve">0 solicitudes comprometidas</w:t>
            </w:r>
          </w:p>
        </w:tc>
        <w:tc>
          <w:tcPr/>
          <w:p>
            <w:pPr>
              <w:pStyle w:val="Tabla9"/>
              <w:jc w:val="left"/>
            </w:pPr>
            <w:r>
              <w:t xml:space="preserve">Sin tipificar</w:t>
            </w:r>
          </w:p>
        </w:tc>
        <w:tc>
          <w:tcPr/>
          <w:p>
            <w:pPr>
              <w:pStyle w:val="Tabla9"/>
              <w:jc w:val="left"/>
            </w:pPr>
            <w:r>
              <w:t xml:space="preserve">No aplica</w:t>
            </w:r>
          </w:p>
        </w:tc>
        <w:tc>
          <w:tcPr/>
          <w:p>
            <w:pPr>
              <w:pStyle w:val="Tabla9"/>
              <w:jc w:val="left"/>
            </w:pPr>
            <w:r>
              <w:t xml:space="preserve">S02: 45.000.000 COP</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del proyecto. La suma de la red es CALCULADA (540.000.000 + 308.000.000 + 78.000.000 + 35.000.000 + 42.000.000 + 132.000.000 COP). AQHI: índice de calidad del aire y salud. Naturaleza: PROPUESTO.</w:t>
      </w:r>
    </w:p>
    <w:p>
      <w:pPr>
        <w:pStyle w:val="BodyText"/>
      </w:pPr>
      <w:r>
        <w:t xml:space="preserve">La tabla asigna código MMG a dos de cinco productos. Son la red y el software. El tablero se mide como efecto de uso (PERS-E01) y no como producto tipificado. Las filas de diseño y de patente permanecen en cero comprometido, lo que evita prometer propiedad industrial sin análisis previo de libertad de operación.</w:t>
      </w:r>
    </w:p>
    <w:p>
      <w:pPr>
        <w:pStyle w:val="BodyText"/>
      </w:pPr>
      <w:r>
        <w:t xml:space="preserve">La Figura 11.1 ordena los hitos de cinco indicadores de producto. Abarca los 24 meses de ejecución.</w:t>
      </w:r>
    </w:p>
    <w:p>
      <w:pPr>
        <w:pStyle w:val="FiguraRotulo"/>
      </w:pPr>
      <w:bookmarkStart w:id="9529" w:name="rot_Figura_11_1"/>
      <w:r>
        <w:rPr>
          <w:b/>
          <w:bCs/>
        </w:rPr>
        <w:t xml:space="preserve">Figura 11.1</w:t>
      </w:r>
      <w:bookmarkEnd w:id="9529"/>
    </w:p>
    <w:p>
      <w:pPr>
        <w:pStyle w:val="FiguraTitulo"/>
      </w:pPr>
      <w:r>
        <w:rPr>
          <w:i/>
          <w:iCs/>
        </w:rPr>
        <w:t xml:space="preserve">Roadmap de desarrollo de productos</w:t>
      </w:r>
    </w:p>
    <w:p>
      <w:pPr>
        <w:pStyle w:val="BodyText"/>
      </w:pPr>
      <w:r>
        <w:drawing>
          <wp:inline>
            <wp:extent cx="5579999" cy="2971984"/>
            <wp:effectExtent b="0" l="0" r="0" t="0"/>
            <wp:docPr descr="" title="" id="550" name="Picture"/>
            <a:graphic>
              <a:graphicData uri="http://schemas.openxmlformats.org/drawingml/2006/picture">
                <pic:pic>
                  <pic:nvPicPr>
                    <pic:cNvPr descr="/tmp/claude-0/-home-user-docs/ddf38714-2a7e-502b-92b4-1008e2832422/scratchpad/proy/figs/out/c11_f01.png" id="551" name="Picture"/>
                    <pic:cNvPicPr>
                      <a:picLocks noChangeArrowheads="1" noChangeAspect="1"/>
                    </pic:cNvPicPr>
                  </pic:nvPicPr>
                  <pic:blipFill>
                    <a:blip r:embed="rId549"/>
                    <a:stretch>
                      <a:fillRect/>
                    </a:stretch>
                  </pic:blipFill>
                  <pic:spPr bwMode="auto">
                    <a:xfrm>
                      <a:off x="0" y="0"/>
                      <a:ext cx="5579999" cy="297198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los indicadores PERS-P01 a PERS-P04 y PERS-E03 (ficha maestra del proyecto). Meses 1 a 24; los hitos intermedios corresponden a las compuertas C1 (mes 12) y C2 (mes 17). Figura generada con matplotlib; sin semilla ni corpus. Naturaleza: PROPUESTO.</w:t>
      </w:r>
    </w:p>
    <w:p>
      <w:pPr>
        <w:pStyle w:val="BodyText"/>
      </w:pPr>
      <w:r>
        <w:t xml:space="preserve">El roadmap muestra que los cinco productos cierran sus metas finales entre los meses 19 y 24. Esa concentración eleva el riesgo de cierre. Por eso los hitos intermedios de los meses 12 y 17 fijan avances verificables y no solo la meta del mes 24.</w:t>
      </w:r>
    </w:p>
    <w:bookmarkEnd w:id="552"/>
    <w:bookmarkStart w:id="553" w:name="_Toc00900226"/>
    <w:p>
      <w:pPr>
        <w:pStyle w:val="Heading2"/>
      </w:pPr>
      <w:r>
        <w:t xml:space="preserve">11.3 Productos de Apropiación Social</w:t>
      </w:r>
    </w:p>
    <w:p>
      <w:pPr>
        <w:pStyle w:val="FirstParagraph"/>
      </w:pPr>
      <w:r>
        <w:t xml:space="preserve">El proyecto compromete 29 actividades de apropiación social documentadas. Son 20 talleres de co-diseño y 9 jornadas públicas (PERS-P04). Las jornadas corresponden a los niveles 1 y 2 de la Escalera de Apropiación Social del Conocimiento (ASC), que el capítulo 16 desarrolla. La logística de los nueve eventos de ferias y laboratorios de apropiación cuesta 72.000.000 COP, a razón de 8.000.000 COP por evento (línea O02). Callon (1999) distingue tres modelos de relación entre la ciencia y el público: la educación pública, el debate público y la coproducción de conocimiento. Las jornadas se ubican en los dos primeros modelos y los talleres en el tercero. Quienes defienden la educación pública suponen que informar corrige la desconfianza. El modelo de coproducción sostiene que el conocimiento local modifica el problema mismo. El proyecto combina ambos modelos porque los comités necesitan comprender primero qué mide el tablero y decidir después sus umbrales. Por consiguiente, las jornadas preceden a los talleres dentro del tramo 1.</w:t>
      </w:r>
    </w:p>
    <w:p>
      <w:pPr>
        <w:pStyle w:val="BodyText"/>
      </w:pPr>
      <w:r>
        <w:t xml:space="preserve">Los 20 talleres de co-diseño se ejecutan como laboratorios ciudadanos (PROPUESTO). Cada taller consume un kit de papelería de 1.500.000 COP (línea M05) y una alimentación de 1.500.000 COP (línea V05). El costo directo es de 3.000.000 COP por taller y de 60.000.000 COP en total. Cada taller produce un acta firmada por representantes comunitarios y exige consentimiento informado conforme a la Ley 1581 de 2012 (Congreso de la República, 2012b). Funtowicz y Ravetz (1993) describen una situación con evidencia incierta, valores en disputa y decisiones urgentes. En esa situación la calidad del conocimiento requiere una comunidad ampliada de pares. Los sitios de remoción posterremoto reúnen esas condiciones. Por eso los umbrales del tablero se validan localmente con los comités y con la comunidad, y no solo con el equipo técnico.</w:t>
      </w:r>
    </w:p>
    <w:p>
      <w:pPr>
        <w:pStyle w:val="BodyText"/>
      </w:pPr>
      <w:r>
        <w:t xml:space="preserve">El material de comunicación principal son 5.000 cartillas impresas del índice y del protocolo de alerta, (línea M04). El costo unitario es de 8.500 COP y el total de 42.500.000 COP. Las cartillas se tipifican como ASC-COM. Los videos, los pódcast y las infografías se producen dentro del paquete de publicaciones de divulgación y eventos de socialización (línea O06). El paquete cuesta 60.000.000 COP. La ficha no fija cantidades por pieza (VACIO). Las dos participaciones internacionales de divulgación científica (línea V04) se tipifican como ASC-CIRC (PROPUESTO). Rogers (2003) señala una división de funciones. Los medios de comunicación de masas dan a conocer una innovación. Los canales interpersonales pesan más en la decisión de adoptarla. Por consiguiente, la cartilla informa y el taller sustenta la decisión del comité.</w:t>
      </w:r>
    </w:p>
    <w:p>
      <w:pPr>
        <w:pStyle w:val="BodyText"/>
      </w:pPr>
      <w:r>
        <w:t xml:space="preserve">La Tabla 11.3 reúne los productos de apropiación. Incluye cantidad, tipología y costo directo.</w:t>
      </w:r>
    </w:p>
    <w:p>
      <w:pPr>
        <w:pStyle w:val="TablaRotulo"/>
      </w:pPr>
      <w:bookmarkStart w:id="9325" w:name="rot_Tabla_11_3"/>
      <w:r>
        <w:rPr>
          <w:b/>
          <w:bCs/>
        </w:rPr>
        <w:t xml:space="preserve">Tabla 11.3</w:t>
      </w:r>
      <w:bookmarkEnd w:id="9325"/>
    </w:p>
    <w:p>
      <w:pPr>
        <w:pStyle w:val="TablaTitulo"/>
      </w:pPr>
      <w:r>
        <w:rPr>
          <w:i/>
          <w:iCs/>
        </w:rPr>
        <w:t xml:space="preserve">Matriz de productos de apropiación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05"/>
        <w:gridCol w:w="916"/>
        <w:gridCol w:w="1178"/>
        <w:gridCol w:w="654"/>
        <w:gridCol w:w="1243"/>
        <w:gridCol w:w="1047"/>
        <w:gridCol w:w="1374"/>
      </w:tblGrid>
      <w:tr>
        <w:trPr>
          <w:cantSplit/>
          <w:tblHeader/>
        </w:trPr>
        <w:tc>
          <w:tcPr>
            <w:shd w:val="clear" w:color="auto" w:fill="00B050"/>
          </w:tcPr>
          <w:p>
            <w:pPr>
              <w:pStyle w:val="Tabla8"/>
              <w:jc w:val="center"/>
            </w:pPr>
            <w:r>
              <w:rPr>
                <w:b/>
                <w:color w:val="FFFFFF"/>
              </w:rPr>
              <w:t xml:space="preserve">Producto</w:t>
            </w:r>
          </w:p>
        </w:tc>
        <w:tc>
          <w:tcPr>
            <w:shd w:val="clear" w:color="auto" w:fill="00B050"/>
          </w:tcPr>
          <w:p>
            <w:pPr>
              <w:pStyle w:val="Tabla8"/>
              <w:jc w:val="center"/>
            </w:pPr>
            <w:r>
              <w:rPr>
                <w:b/>
                <w:color w:val="FFFFFF"/>
              </w:rPr>
              <w:t xml:space="preserve">Cantidad</w:t>
            </w:r>
          </w:p>
        </w:tc>
        <w:tc>
          <w:tcPr>
            <w:shd w:val="clear" w:color="auto" w:fill="00B050"/>
          </w:tcPr>
          <w:p>
            <w:pPr>
              <w:pStyle w:val="Tabla8"/>
              <w:jc w:val="center"/>
            </w:pPr>
            <w:r>
              <w:rPr>
                <w:b/>
                <w:color w:val="FFFFFF"/>
              </w:rPr>
              <w:t xml:space="preserve">Tipología MMG</w:t>
            </w:r>
          </w:p>
        </w:tc>
        <w:tc>
          <w:tcPr>
            <w:shd w:val="clear" w:color="auto" w:fill="00B050"/>
          </w:tcPr>
          <w:p>
            <w:pPr>
              <w:pStyle w:val="Tabla8"/>
              <w:jc w:val="center"/>
            </w:pPr>
            <w:r>
              <w:rPr>
                <w:b/>
                <w:color w:val="FFFFFF"/>
              </w:rPr>
              <w:t xml:space="preserve">Nivel ASC</w:t>
            </w:r>
          </w:p>
        </w:tc>
        <w:tc>
          <w:tcPr>
            <w:shd w:val="clear" w:color="auto" w:fill="00B050"/>
          </w:tcPr>
          <w:p>
            <w:pPr>
              <w:pStyle w:val="Tabla8"/>
              <w:jc w:val="center"/>
            </w:pPr>
            <w:r>
              <w:rPr>
                <w:b/>
                <w:color w:val="FFFFFF"/>
              </w:rPr>
              <w:t xml:space="preserve">Línea presupuestal</w:t>
            </w:r>
          </w:p>
        </w:tc>
        <w:tc>
          <w:tcPr>
            <w:shd w:val="clear" w:color="auto" w:fill="00B050"/>
          </w:tcPr>
          <w:p>
            <w:pPr>
              <w:pStyle w:val="Tabla8"/>
              <w:jc w:val="center"/>
            </w:pPr>
            <w:r>
              <w:rPr>
                <w:b/>
                <w:color w:val="FFFFFF"/>
              </w:rPr>
              <w:t xml:space="preserve">Costo directo (COP)</w:t>
            </w:r>
          </w:p>
        </w:tc>
        <w:tc>
          <w:tcPr>
            <w:shd w:val="clear" w:color="auto" w:fill="00B050"/>
          </w:tcPr>
          <w:p>
            <w:pPr>
              <w:pStyle w:val="Tabla8"/>
              <w:jc w:val="center"/>
            </w:pPr>
            <w:r>
              <w:rPr>
                <w:b/>
                <w:color w:val="FFFFFF"/>
              </w:rPr>
              <w:t xml:space="preserve">Naturaleza</w:t>
            </w:r>
          </w:p>
        </w:tc>
      </w:tr>
      <w:tr>
        <w:trPr>
          <w:cantSplit/>
        </w:trPr>
        <w:tc>
          <w:tcPr/>
          <w:p>
            <w:pPr>
              <w:pStyle w:val="Tabla8"/>
              <w:jc w:val="left"/>
            </w:pPr>
            <w:r>
              <w:t xml:space="preserve">Talleres de co-diseño</w:t>
            </w:r>
          </w:p>
        </w:tc>
        <w:tc>
          <w:tcPr/>
          <w:p>
            <w:pPr>
              <w:pStyle w:val="Tabla8"/>
              <w:jc w:val="left"/>
            </w:pPr>
            <w:r>
              <w:t xml:space="preserve">20</w:t>
            </w:r>
          </w:p>
        </w:tc>
        <w:tc>
          <w:tcPr/>
          <w:p>
            <w:pPr>
              <w:pStyle w:val="Tabla8"/>
              <w:jc w:val="left"/>
            </w:pPr>
            <w:r>
              <w:t xml:space="preserve">ASC-PART</w:t>
            </w:r>
          </w:p>
        </w:tc>
        <w:tc>
          <w:tcPr/>
          <w:p>
            <w:pPr>
              <w:pStyle w:val="Tabla8"/>
              <w:jc w:val="left"/>
            </w:pPr>
            <w:r>
              <w:t xml:space="preserve">3</w:t>
            </w:r>
          </w:p>
        </w:tc>
        <w:tc>
          <w:tcPr/>
          <w:p>
            <w:pPr>
              <w:pStyle w:val="Tabla8"/>
              <w:jc w:val="left"/>
            </w:pPr>
            <w:r>
              <w:t xml:space="preserve">M05 y V05</w:t>
            </w:r>
          </w:p>
        </w:tc>
        <w:tc>
          <w:tcPr/>
          <w:p>
            <w:pPr>
              <w:pStyle w:val="Tabla8"/>
              <w:jc w:val="left"/>
            </w:pPr>
            <w:r>
              <w:t xml:space="preserve">60.000.000</w:t>
            </w:r>
          </w:p>
        </w:tc>
        <w:tc>
          <w:tcPr/>
          <w:p>
            <w:pPr>
              <w:pStyle w:val="Tabla8"/>
              <w:jc w:val="left"/>
            </w:pPr>
            <w:r>
              <w:t xml:space="preserve">DECLARADO</w:t>
            </w:r>
          </w:p>
        </w:tc>
      </w:tr>
      <w:tr>
        <w:trPr>
          <w:cantSplit/>
        </w:trPr>
        <w:tc>
          <w:tcPr/>
          <w:p>
            <w:pPr>
              <w:pStyle w:val="Tabla8"/>
              <w:jc w:val="left"/>
            </w:pPr>
            <w:r>
              <w:t xml:space="preserve">Jornadas públicas</w:t>
            </w:r>
          </w:p>
        </w:tc>
        <w:tc>
          <w:tcPr/>
          <w:p>
            <w:pPr>
              <w:pStyle w:val="Tabla8"/>
              <w:jc w:val="left"/>
            </w:pPr>
            <w:r>
              <w:t xml:space="preserve">9</w:t>
            </w:r>
          </w:p>
        </w:tc>
        <w:tc>
          <w:tcPr/>
          <w:p>
            <w:pPr>
              <w:pStyle w:val="Tabla8"/>
              <w:jc w:val="left"/>
            </w:pPr>
            <w:r>
              <w:t xml:space="preserve">ASC-COM y ASC-PART</w:t>
            </w:r>
          </w:p>
        </w:tc>
        <w:tc>
          <w:tcPr/>
          <w:p>
            <w:pPr>
              <w:pStyle w:val="Tabla8"/>
              <w:jc w:val="left"/>
            </w:pPr>
            <w:r>
              <w:t xml:space="preserve">1 y 2</w:t>
            </w:r>
          </w:p>
        </w:tc>
        <w:tc>
          <w:tcPr/>
          <w:p>
            <w:pPr>
              <w:pStyle w:val="Tabla8"/>
              <w:jc w:val="left"/>
            </w:pPr>
            <w:r>
              <w:t xml:space="preserve">O02</w:t>
            </w:r>
          </w:p>
        </w:tc>
        <w:tc>
          <w:tcPr/>
          <w:p>
            <w:pPr>
              <w:pStyle w:val="Tabla8"/>
              <w:jc w:val="left"/>
            </w:pPr>
            <w:r>
              <w:t xml:space="preserve">72.000.000</w:t>
            </w:r>
          </w:p>
        </w:tc>
        <w:tc>
          <w:tcPr/>
          <w:p>
            <w:pPr>
              <w:pStyle w:val="Tabla8"/>
              <w:jc w:val="left"/>
            </w:pPr>
            <w:r>
              <w:t xml:space="preserve">DECLARADO</w:t>
            </w:r>
          </w:p>
        </w:tc>
      </w:tr>
      <w:tr>
        <w:trPr>
          <w:cantSplit/>
        </w:trPr>
        <w:tc>
          <w:tcPr/>
          <w:p>
            <w:pPr>
              <w:pStyle w:val="Tabla8"/>
              <w:jc w:val="left"/>
            </w:pPr>
            <w:r>
              <w:t xml:space="preserve">Cartillas impresas</w:t>
            </w:r>
          </w:p>
        </w:tc>
        <w:tc>
          <w:tcPr/>
          <w:p>
            <w:pPr>
              <w:pStyle w:val="Tabla8"/>
              <w:jc w:val="left"/>
            </w:pPr>
            <w:r>
              <w:t xml:space="preserve">5.000</w:t>
            </w:r>
          </w:p>
        </w:tc>
        <w:tc>
          <w:tcPr/>
          <w:p>
            <w:pPr>
              <w:pStyle w:val="Tabla8"/>
              <w:jc w:val="left"/>
            </w:pPr>
            <w:r>
              <w:t xml:space="preserve">ASC-COM</w:t>
            </w:r>
          </w:p>
        </w:tc>
        <w:tc>
          <w:tcPr/>
          <w:p>
            <w:pPr>
              <w:pStyle w:val="Tabla8"/>
              <w:jc w:val="left"/>
            </w:pPr>
            <w:r>
              <w:t xml:space="preserve">1</w:t>
            </w:r>
          </w:p>
        </w:tc>
        <w:tc>
          <w:tcPr/>
          <w:p>
            <w:pPr>
              <w:pStyle w:val="Tabla8"/>
              <w:jc w:val="left"/>
            </w:pPr>
            <w:r>
              <w:t xml:space="preserve">M04</w:t>
            </w:r>
          </w:p>
        </w:tc>
        <w:tc>
          <w:tcPr/>
          <w:p>
            <w:pPr>
              <w:pStyle w:val="Tabla8"/>
              <w:jc w:val="left"/>
            </w:pPr>
            <w:r>
              <w:t xml:space="preserve">42.500.000</w:t>
            </w:r>
          </w:p>
        </w:tc>
        <w:tc>
          <w:tcPr/>
          <w:p>
            <w:pPr>
              <w:pStyle w:val="Tabla8"/>
              <w:jc w:val="left"/>
            </w:pPr>
            <w:r>
              <w:t xml:space="preserve">DECLARADO</w:t>
            </w:r>
          </w:p>
        </w:tc>
      </w:tr>
      <w:tr>
        <w:trPr>
          <w:cantSplit/>
        </w:trPr>
        <w:tc>
          <w:tcPr/>
          <w:p>
            <w:pPr>
              <w:pStyle w:val="Tabla8"/>
              <w:jc w:val="left"/>
            </w:pPr>
            <w:r>
              <w:t xml:space="preserve">Videos, pódcast e infografías</w:t>
            </w:r>
          </w:p>
        </w:tc>
        <w:tc>
          <w:tcPr/>
          <w:p>
            <w:pPr>
              <w:pStyle w:val="Tabla8"/>
              <w:jc w:val="left"/>
            </w:pPr>
            <w:r>
              <w:t xml:space="preserve">Sin cantidad fijada</w:t>
            </w:r>
          </w:p>
        </w:tc>
        <w:tc>
          <w:tcPr/>
          <w:p>
            <w:pPr>
              <w:pStyle w:val="Tabla8"/>
              <w:jc w:val="left"/>
            </w:pPr>
            <w:r>
              <w:t xml:space="preserve">ASC-COM</w:t>
            </w:r>
          </w:p>
        </w:tc>
        <w:tc>
          <w:tcPr/>
          <w:p>
            <w:pPr>
              <w:pStyle w:val="Tabla8"/>
              <w:jc w:val="left"/>
            </w:pPr>
            <w:r>
              <w:t xml:space="preserve">1</w:t>
            </w:r>
          </w:p>
        </w:tc>
        <w:tc>
          <w:tcPr/>
          <w:p>
            <w:pPr>
              <w:pStyle w:val="Tabla8"/>
              <w:jc w:val="left"/>
            </w:pPr>
            <w:r>
              <w:t xml:space="preserve">O06</w:t>
            </w:r>
          </w:p>
        </w:tc>
        <w:tc>
          <w:tcPr/>
          <w:p>
            <w:pPr>
              <w:pStyle w:val="Tabla8"/>
              <w:jc w:val="left"/>
            </w:pPr>
            <w:r>
              <w:t xml:space="preserve">60.000.000 (paquete)</w:t>
            </w:r>
          </w:p>
        </w:tc>
        <w:tc>
          <w:tcPr/>
          <w:p>
            <w:pPr>
              <w:pStyle w:val="Tabla8"/>
              <w:jc w:val="left"/>
            </w:pPr>
            <w:r>
              <w:t xml:space="preserve">VACIO</w:t>
            </w:r>
          </w:p>
        </w:tc>
      </w:tr>
      <w:tr>
        <w:trPr>
          <w:cantSplit/>
        </w:trPr>
        <w:tc>
          <w:tcPr/>
          <w:p>
            <w:pPr>
              <w:pStyle w:val="Tabla8"/>
              <w:jc w:val="left"/>
            </w:pPr>
            <w:r>
              <w:t xml:space="preserve">Participaciones internacionales de divulgación</w:t>
            </w:r>
          </w:p>
        </w:tc>
        <w:tc>
          <w:tcPr/>
          <w:p>
            <w:pPr>
              <w:pStyle w:val="Tabla8"/>
              <w:jc w:val="left"/>
            </w:pPr>
            <w:r>
              <w:t xml:space="preserve">Hasta 2</w:t>
            </w:r>
          </w:p>
        </w:tc>
        <w:tc>
          <w:tcPr/>
          <w:p>
            <w:pPr>
              <w:pStyle w:val="Tabla8"/>
              <w:jc w:val="left"/>
            </w:pPr>
            <w:r>
              <w:t xml:space="preserve">ASC-CIRC</w:t>
            </w:r>
          </w:p>
        </w:tc>
        <w:tc>
          <w:tcPr/>
          <w:p>
            <w:pPr>
              <w:pStyle w:val="Tabla8"/>
              <w:jc w:val="left"/>
            </w:pPr>
            <w:r>
              <w:t xml:space="preserve">No aplica</w:t>
            </w:r>
          </w:p>
        </w:tc>
        <w:tc>
          <w:tcPr/>
          <w:p>
            <w:pPr>
              <w:pStyle w:val="Tabla8"/>
              <w:jc w:val="left"/>
            </w:pPr>
            <w:r>
              <w:t xml:space="preserve">V04</w:t>
            </w:r>
          </w:p>
        </w:tc>
        <w:tc>
          <w:tcPr/>
          <w:p>
            <w:pPr>
              <w:pStyle w:val="Tabla8"/>
              <w:jc w:val="left"/>
            </w:pPr>
            <w:r>
              <w:t xml:space="preserve">24.000.000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Cantidades y costos de las líneas M04, M05, O02, V04 y V05: DECLARADO (expediente E3). Tipología MMG y asignación de niveles: PROPUESTO. El paquete O06 incluye eventos de socialización.</w:t>
      </w:r>
    </w:p>
    <w:p>
      <w:pPr>
        <w:pStyle w:val="BodyText"/>
      </w:pPr>
      <w:r>
        <w:t xml:space="preserve">Las 29 actividades de PERS-P04 suman 132.000.000 COP de costo directo no personal. Ese valor es la suma de las líneas M05, V05 y O02 (CALCULADO). El costo unitario es de 3.000.000 COP por taller y de 8.000.000 COP por jornada. Los salarios del personal de apropiación social no se incluyen. Las líneas P05 y P11 suman 480.000.000 COP.</w:t>
      </w:r>
    </w:p>
    <w:bookmarkEnd w:id="553"/>
    <w:bookmarkStart w:id="557" w:name="_Toc00900227"/>
    <w:p>
      <w:pPr>
        <w:pStyle w:val="Heading2"/>
      </w:pPr>
      <w:r>
        <w:t xml:space="preserve">11.4 Formación de Capital Humano</w:t>
      </w:r>
    </w:p>
    <w:p>
      <w:pPr>
        <w:pStyle w:val="FirstParagraph"/>
      </w:pPr>
      <w:r>
        <w:t xml:space="preserve">El proyecto vincula seis plazas de joven investigador durante 12 meses y dos estudiantes de maestría durante 24 meses. Las líneas P01 y P02 presupuestan 72 y 48 personas-mes, equivalentes a 6 por 12 y a 2 por 24. El costo es de 144.000.000 COP para las plazas de joven investigador. Para la maestría es de 304.800.000 COP. Ambos valores resultan de 2.000.000 y 6.350.000 COP por persona-mes (CALCULADO). Ambos grupos se adscriben al paquete de trabajo WP1 de medición verificada. Shediac-Rizkallah y Bone (1998) identifican la capacitación del personal entre los determinantes de la continuidad de los programas comunitarios. Dos posiciones orientan la formación. La primera la entiende como transferencia de habilidades técnicas verificadas con una evaluación práctica. La segunda la entiende como aprendizaje organizacional de bucle doble, que revisa los supuestos y no solo las acciones (Argyris y Schön, 1978). El proyecto aplica la primera a la certificación de custodios y la segunda a la revisión de supuestos en cada compuerta. Las plazas de joven investigador terminan en el mes 12, antes de las compuertas C2 y C3. Por consiguiente, el conocimiento tácito del piloto debe quedar documentado en el protocolo de colocalización al cierre del tramo 1.</w:t>
      </w:r>
    </w:p>
    <w:p>
      <w:pPr>
        <w:pStyle w:val="BodyText"/>
      </w:pPr>
      <w:r>
        <w:t xml:space="preserve">El proyecto espera dos tesis de maestría, una por estudiante, defendidas al mes 24 (PROPUESTO). Las tesis se orientan al modelo de corrección y a la evaluación del gemelo digital, que son los dos componentes de mayor carga analítica. No se comprometen tesis de pregrado ni de doctorado. La ficha no las incluye. Los programas académicos de la entidad ejecutora no se conocen [DATO_USUARIO: programas de pregrado, maestría y doctorado vinculados al proyecto].</w:t>
      </w:r>
    </w:p>
    <w:p>
      <w:pPr>
        <w:pStyle w:val="BodyText"/>
      </w:pPr>
      <w:r>
        <w:t xml:space="preserve">La capacitación se mide con PERS-E03: al menos 60 personas certificadas por evaluación práctica en mantenimiento, lectura y operación. Las metas intermedias son 20 personas en el mes 12 y 40 en el mes 17. El presupuesto asigna 150.000.000 COP a la formación y el soporte de custodios (línea S09). Son tres tramos de 50.000.000 COP. Otros 168.000.000 COP corresponden al profesional de convenios y custodia (línea P14). La tipología es FORM (capacitación). La ficha supone 150 personas del servicio público como beneficiarias directas de los 15 comités focalizados (SUPUESTO). Las personas certificadas pertenecen a las entidades custodias y no necesariamente coinciden con ellas.</w:t>
      </w:r>
    </w:p>
    <w:p>
      <w:pPr>
        <w:pStyle w:val="BodyText"/>
      </w:pPr>
      <w:r>
        <w:t xml:space="preserve">La Tabla 11.4 detalla los productos de formación. Incluye duración, tipología y presupuesto.</w:t>
      </w:r>
    </w:p>
    <w:p>
      <w:pPr>
        <w:pStyle w:val="TablaRotulo"/>
      </w:pPr>
      <w:bookmarkStart w:id="9326" w:name="rot_Tabla_11_4"/>
      <w:r>
        <w:rPr>
          <w:b/>
          <w:bCs/>
        </w:rPr>
        <w:t xml:space="preserve">Tabla 11.4</w:t>
      </w:r>
      <w:bookmarkEnd w:id="9326"/>
    </w:p>
    <w:p>
      <w:pPr>
        <w:pStyle w:val="TablaTitulo"/>
      </w:pPr>
      <w:r>
        <w:rPr>
          <w:i/>
          <w:iCs/>
        </w:rPr>
        <w:t xml:space="preserve">Matriz de formación de talento humano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22"/>
        <w:gridCol w:w="1188"/>
        <w:gridCol w:w="858"/>
        <w:gridCol w:w="1320"/>
        <w:gridCol w:w="1122"/>
        <w:gridCol w:w="1056"/>
        <w:gridCol w:w="1254"/>
      </w:tblGrid>
      <w:tr>
        <w:trPr>
          <w:cantSplit/>
          <w:tblHeader/>
        </w:trPr>
        <w:tc>
          <w:tcPr>
            <w:shd w:val="clear" w:color="auto" w:fill="00B050"/>
          </w:tcPr>
          <w:p>
            <w:pPr>
              <w:pStyle w:val="Tabla8"/>
              <w:jc w:val="center"/>
            </w:pPr>
            <w:r>
              <w:rPr>
                <w:b/>
                <w:color w:val="FFFFFF"/>
              </w:rPr>
              <w:t xml:space="preserve">Producto</w:t>
            </w:r>
          </w:p>
        </w:tc>
        <w:tc>
          <w:tcPr>
            <w:shd w:val="clear" w:color="auto" w:fill="00B050"/>
          </w:tcPr>
          <w:p>
            <w:pPr>
              <w:pStyle w:val="Tabla8"/>
              <w:jc w:val="center"/>
            </w:pPr>
            <w:r>
              <w:rPr>
                <w:b/>
                <w:color w:val="FFFFFF"/>
              </w:rPr>
              <w:t xml:space="preserve">Cantidad</w:t>
            </w:r>
          </w:p>
        </w:tc>
        <w:tc>
          <w:tcPr>
            <w:shd w:val="clear" w:color="auto" w:fill="00B050"/>
          </w:tcPr>
          <w:p>
            <w:pPr>
              <w:pStyle w:val="Tabla8"/>
              <w:jc w:val="center"/>
            </w:pPr>
            <w:r>
              <w:rPr>
                <w:b/>
                <w:color w:val="FFFFFF"/>
              </w:rPr>
              <w:t xml:space="preserve">Duración o plazo</w:t>
            </w:r>
          </w:p>
        </w:tc>
        <w:tc>
          <w:tcPr>
            <w:shd w:val="clear" w:color="auto" w:fill="00B050"/>
          </w:tcPr>
          <w:p>
            <w:pPr>
              <w:pStyle w:val="Tabla8"/>
              <w:jc w:val="center"/>
            </w:pPr>
            <w:r>
              <w:rPr>
                <w:b/>
                <w:color w:val="FFFFFF"/>
              </w:rPr>
              <w:t xml:space="preserve">Tipología MMG</w:t>
            </w:r>
          </w:p>
        </w:tc>
        <w:tc>
          <w:tcPr>
            <w:shd w:val="clear" w:color="auto" w:fill="00B050"/>
          </w:tcPr>
          <w:p>
            <w:pPr>
              <w:pStyle w:val="Tabla8"/>
              <w:jc w:val="center"/>
            </w:pPr>
            <w:r>
              <w:rPr>
                <w:b/>
                <w:color w:val="FFFFFF"/>
              </w:rPr>
              <w:t xml:space="preserve">Línea presupuestal</w:t>
            </w:r>
          </w:p>
        </w:tc>
        <w:tc>
          <w:tcPr>
            <w:shd w:val="clear" w:color="auto" w:fill="00B050"/>
          </w:tcPr>
          <w:p>
            <w:pPr>
              <w:pStyle w:val="Tabla8"/>
              <w:jc w:val="center"/>
            </w:pPr>
            <w:r>
              <w:rPr>
                <w:b/>
                <w:color w:val="FFFFFF"/>
              </w:rPr>
              <w:t xml:space="preserve">Costo (COP)</w:t>
            </w:r>
          </w:p>
        </w:tc>
        <w:tc>
          <w:tcPr>
            <w:shd w:val="clear" w:color="auto" w:fill="00B050"/>
          </w:tcPr>
          <w:p>
            <w:pPr>
              <w:pStyle w:val="Tabla8"/>
              <w:jc w:val="center"/>
            </w:pPr>
            <w:r>
              <w:rPr>
                <w:b/>
                <w:color w:val="FFFFFF"/>
              </w:rPr>
              <w:t xml:space="preserve">Naturaleza</w:t>
            </w:r>
          </w:p>
        </w:tc>
      </w:tr>
      <w:tr>
        <w:trPr>
          <w:cantSplit/>
        </w:trPr>
        <w:tc>
          <w:tcPr/>
          <w:p>
            <w:pPr>
              <w:pStyle w:val="Tabla8"/>
              <w:jc w:val="left"/>
            </w:pPr>
            <w:r>
              <w:t xml:space="preserve">Plazas de joven investigador vinculadas</w:t>
            </w:r>
          </w:p>
        </w:tc>
        <w:tc>
          <w:tcPr/>
          <w:p>
            <w:pPr>
              <w:pStyle w:val="Tabla8"/>
              <w:jc w:val="left"/>
            </w:pPr>
            <w:r>
              <w:t xml:space="preserve">6</w:t>
            </w:r>
          </w:p>
        </w:tc>
        <w:tc>
          <w:tcPr/>
          <w:p>
            <w:pPr>
              <w:pStyle w:val="Tabla8"/>
              <w:jc w:val="left"/>
            </w:pPr>
            <w:r>
              <w:t xml:space="preserve">12 meses</w:t>
            </w:r>
          </w:p>
        </w:tc>
        <w:tc>
          <w:tcPr/>
          <w:p>
            <w:pPr>
              <w:pStyle w:val="Tabla8"/>
              <w:jc w:val="left"/>
            </w:pPr>
            <w:r>
              <w:t xml:space="preserve">FORM</w:t>
            </w:r>
          </w:p>
        </w:tc>
        <w:tc>
          <w:tcPr/>
          <w:p>
            <w:pPr>
              <w:pStyle w:val="Tabla8"/>
              <w:jc w:val="left"/>
            </w:pPr>
            <w:r>
              <w:t xml:space="preserve">P01</w:t>
            </w:r>
          </w:p>
        </w:tc>
        <w:tc>
          <w:tcPr/>
          <w:p>
            <w:pPr>
              <w:pStyle w:val="Tabla8"/>
              <w:jc w:val="left"/>
            </w:pPr>
            <w:r>
              <w:t xml:space="preserve">144.000.000</w:t>
            </w:r>
          </w:p>
        </w:tc>
        <w:tc>
          <w:tcPr/>
          <w:p>
            <w:pPr>
              <w:pStyle w:val="Tabla8"/>
              <w:jc w:val="left"/>
            </w:pPr>
            <w:r>
              <w:t xml:space="preserve">DECLARADO</w:t>
            </w:r>
          </w:p>
        </w:tc>
      </w:tr>
      <w:tr>
        <w:trPr>
          <w:cantSplit/>
        </w:trPr>
        <w:tc>
          <w:tcPr/>
          <w:p>
            <w:pPr>
              <w:pStyle w:val="Tabla8"/>
              <w:jc w:val="left"/>
            </w:pPr>
            <w:r>
              <w:t xml:space="preserve">Estudiantes de maestría vinculados</w:t>
            </w:r>
          </w:p>
        </w:tc>
        <w:tc>
          <w:tcPr/>
          <w:p>
            <w:pPr>
              <w:pStyle w:val="Tabla8"/>
              <w:jc w:val="left"/>
            </w:pPr>
            <w:r>
              <w:t xml:space="preserve">2</w:t>
            </w:r>
          </w:p>
        </w:tc>
        <w:tc>
          <w:tcPr/>
          <w:p>
            <w:pPr>
              <w:pStyle w:val="Tabla8"/>
              <w:jc w:val="left"/>
            </w:pPr>
            <w:r>
              <w:t xml:space="preserve">24 meses</w:t>
            </w:r>
          </w:p>
        </w:tc>
        <w:tc>
          <w:tcPr/>
          <w:p>
            <w:pPr>
              <w:pStyle w:val="Tabla8"/>
              <w:jc w:val="left"/>
            </w:pPr>
            <w:r>
              <w:t xml:space="preserve">FORM</w:t>
            </w:r>
          </w:p>
        </w:tc>
        <w:tc>
          <w:tcPr/>
          <w:p>
            <w:pPr>
              <w:pStyle w:val="Tabla8"/>
              <w:jc w:val="left"/>
            </w:pPr>
            <w:r>
              <w:t xml:space="preserve">P02</w:t>
            </w:r>
          </w:p>
        </w:tc>
        <w:tc>
          <w:tcPr/>
          <w:p>
            <w:pPr>
              <w:pStyle w:val="Tabla8"/>
              <w:jc w:val="left"/>
            </w:pPr>
            <w:r>
              <w:t xml:space="preserve">304.800.000</w:t>
            </w:r>
          </w:p>
        </w:tc>
        <w:tc>
          <w:tcPr/>
          <w:p>
            <w:pPr>
              <w:pStyle w:val="Tabla8"/>
              <w:jc w:val="left"/>
            </w:pPr>
            <w:r>
              <w:t xml:space="preserve">DECLARADO</w:t>
            </w:r>
          </w:p>
        </w:tc>
      </w:tr>
      <w:tr>
        <w:trPr>
          <w:cantSplit/>
        </w:trPr>
        <w:tc>
          <w:tcPr/>
          <w:p>
            <w:pPr>
              <w:pStyle w:val="Tabla8"/>
              <w:jc w:val="left"/>
            </w:pPr>
            <w:r>
              <w:t xml:space="preserve">Tesis de maestría</w:t>
            </w:r>
          </w:p>
        </w:tc>
        <w:tc>
          <w:tcPr/>
          <w:p>
            <w:pPr>
              <w:pStyle w:val="Tabla8"/>
              <w:jc w:val="left"/>
            </w:pPr>
            <w:r>
              <w:t xml:space="preserve">2</w:t>
            </w:r>
          </w:p>
        </w:tc>
        <w:tc>
          <w:tcPr/>
          <w:p>
            <w:pPr>
              <w:pStyle w:val="Tabla8"/>
              <w:jc w:val="left"/>
            </w:pPr>
            <w:r>
              <w:t xml:space="preserve">Defensa al mes 24</w:t>
            </w:r>
          </w:p>
        </w:tc>
        <w:tc>
          <w:tcPr/>
          <w:p>
            <w:pPr>
              <w:pStyle w:val="Tabla8"/>
              <w:jc w:val="left"/>
            </w:pPr>
            <w:r>
              <w:t xml:space="preserve">FORM</w:t>
            </w:r>
          </w:p>
        </w:tc>
        <w:tc>
          <w:tcPr/>
          <w:p>
            <w:pPr>
              <w:pStyle w:val="Tabla8"/>
              <w:jc w:val="left"/>
            </w:pPr>
            <w:r>
              <w:t xml:space="preserve">P02</w:t>
            </w:r>
          </w:p>
        </w:tc>
        <w:tc>
          <w:tcPr/>
          <w:p>
            <w:pPr>
              <w:pStyle w:val="Tabla8"/>
              <w:jc w:val="left"/>
            </w:pPr>
            <w:r>
              <w:t xml:space="preserve">Incluido en P02</w:t>
            </w:r>
          </w:p>
        </w:tc>
        <w:tc>
          <w:tcPr/>
          <w:p>
            <w:pPr>
              <w:pStyle w:val="Tabla8"/>
              <w:jc w:val="left"/>
            </w:pPr>
            <w:r>
              <w:t xml:space="preserve">PROPUESTO</w:t>
            </w:r>
          </w:p>
        </w:tc>
      </w:tr>
      <w:tr>
        <w:trPr>
          <w:cantSplit/>
        </w:trPr>
        <w:tc>
          <w:tcPr/>
          <w:p>
            <w:pPr>
              <w:pStyle w:val="Tabla8"/>
              <w:jc w:val="left"/>
            </w:pPr>
            <w:r>
              <w:t xml:space="preserve">Tesis de pregrado y de doctorado</w:t>
            </w:r>
          </w:p>
        </w:tc>
        <w:tc>
          <w:tcPr/>
          <w:p>
            <w:pPr>
              <w:pStyle w:val="Tabla8"/>
              <w:jc w:val="left"/>
            </w:pPr>
            <w:r>
              <w:t xml:space="preserve">0 comprometidas</w:t>
            </w:r>
          </w:p>
        </w:tc>
        <w:tc>
          <w:tcPr/>
          <w:p>
            <w:pPr>
              <w:pStyle w:val="Tabla8"/>
              <w:jc w:val="left"/>
            </w:pPr>
            <w:r>
              <w:t xml:space="preserve">Sin plazo</w:t>
            </w:r>
          </w:p>
        </w:tc>
        <w:tc>
          <w:tcPr/>
          <w:p>
            <w:pPr>
              <w:pStyle w:val="Tabla8"/>
              <w:jc w:val="left"/>
            </w:pPr>
            <w:r>
              <w:t xml:space="preserve">Sin tipificar</w:t>
            </w:r>
          </w:p>
        </w:tc>
        <w:tc>
          <w:tcPr/>
          <w:p>
            <w:pPr>
              <w:pStyle w:val="Tabla8"/>
              <w:jc w:val="left"/>
            </w:pPr>
            <w:r>
              <w:t xml:space="preserve">Sin línea</w:t>
            </w:r>
          </w:p>
        </w:tc>
        <w:tc>
          <w:tcPr/>
          <w:p>
            <w:pPr>
              <w:pStyle w:val="Tabla8"/>
              <w:jc w:val="left"/>
            </w:pPr>
            <w:r>
              <w:t xml:space="preserve">No aplica</w:t>
            </w:r>
          </w:p>
        </w:tc>
        <w:tc>
          <w:tcPr/>
          <w:p>
            <w:pPr>
              <w:pStyle w:val="Tabla8"/>
              <w:jc w:val="left"/>
            </w:pPr>
            <w:r>
              <w:t xml:space="preserve">VACIO</w:t>
            </w:r>
          </w:p>
        </w:tc>
      </w:tr>
      <w:tr>
        <w:trPr>
          <w:cantSplit/>
        </w:trPr>
        <w:tc>
          <w:tcPr/>
          <w:p>
            <w:pPr>
              <w:pStyle w:val="Tabla8"/>
              <w:jc w:val="left"/>
            </w:pPr>
            <w:r>
              <w:t xml:space="preserve">Personas certificadas en custodia</w:t>
            </w:r>
          </w:p>
        </w:tc>
        <w:tc>
          <w:tcPr/>
          <w:p>
            <w:pPr>
              <w:pStyle w:val="Tabla8"/>
              <w:jc w:val="left"/>
            </w:pPr>
            <w:r>
              <w:t xml:space="preserve">Al menos 60</w:t>
            </w:r>
          </w:p>
        </w:tc>
        <w:tc>
          <w:tcPr/>
          <w:p>
            <w:pPr>
              <w:pStyle w:val="Tabla8"/>
              <w:jc w:val="left"/>
            </w:pPr>
            <w:r>
              <w:t xml:space="preserve">20 al mes 12; 40 al mes 17; 60 al mes 24</w:t>
            </w:r>
          </w:p>
        </w:tc>
        <w:tc>
          <w:tcPr/>
          <w:p>
            <w:pPr>
              <w:pStyle w:val="Tabla8"/>
              <w:jc w:val="left"/>
            </w:pPr>
            <w:r>
              <w:t xml:space="preserve">FORM (capacitación)</w:t>
            </w:r>
          </w:p>
        </w:tc>
        <w:tc>
          <w:tcPr/>
          <w:p>
            <w:pPr>
              <w:pStyle w:val="Tabla8"/>
              <w:jc w:val="left"/>
            </w:pPr>
            <w:r>
              <w:t xml:space="preserve">S09</w:t>
            </w:r>
          </w:p>
        </w:tc>
        <w:tc>
          <w:tcPr/>
          <w:p>
            <w:pPr>
              <w:pStyle w:val="Tabla8"/>
              <w:jc w:val="left"/>
            </w:pPr>
            <w:r>
              <w:t xml:space="preserve">150.000.000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Costos de P01 y P02: DECLARADO (expediente E3) y CALCULADOS por persona-mes. La asignación de FORM a los estudiantes vinculados es PROPUESTO; la ficha la fija solo para PERS-E03.</w:t>
      </w:r>
    </w:p>
    <w:p>
      <w:pPr>
        <w:pStyle w:val="BodyText"/>
      </w:pPr>
      <w:r>
        <w:t xml:space="preserve">La matriz muestra que ocho personas reciben formación formal en el proyecto. Al menos 60 personas reciben formación práctica como custodia. Los dos grupos no se suman, porque pertenecen a poblaciones distintas. La Figura 11.2 presenta el flujo de vinculación de las personas estudiantes hacia los productos del paquete WP1.</w:t>
      </w:r>
    </w:p>
    <w:p>
      <w:pPr>
        <w:pStyle w:val="FiguraRotulo"/>
      </w:pPr>
      <w:bookmarkStart w:id="9530" w:name="rot_Figura_11_2"/>
      <w:r>
        <w:rPr>
          <w:b/>
          <w:bCs/>
        </w:rPr>
        <w:t xml:space="preserve">Figura 11.2</w:t>
      </w:r>
      <w:bookmarkEnd w:id="9530"/>
    </w:p>
    <w:p>
      <w:pPr>
        <w:pStyle w:val="FiguraTitulo"/>
      </w:pPr>
      <w:r>
        <w:rPr>
          <w:i/>
          <w:iCs/>
        </w:rPr>
        <w:t xml:space="preserve">Diagrama de vinculación de estudiantes</w:t>
      </w:r>
    </w:p>
    <w:p>
      <w:pPr>
        <w:pStyle w:val="BodyText"/>
      </w:pPr>
      <w:r>
        <w:drawing>
          <wp:inline>
            <wp:extent cx="5579999" cy="3918821"/>
            <wp:effectExtent b="0" l="0" r="0" t="0"/>
            <wp:docPr descr="" title="" id="555" name="Picture"/>
            <a:graphic>
              <a:graphicData uri="http://schemas.openxmlformats.org/drawingml/2006/picture">
                <pic:pic>
                  <pic:nvPicPr>
                    <pic:cNvPr descr="/tmp/claude-0/-home-user-docs/ddf38714-2a7e-502b-92b4-1008e2832422/scratchpad/proy/figs/out/c11_f02.png" id="556" name="Picture"/>
                    <pic:cNvPicPr>
                      <a:picLocks noChangeArrowheads="1" noChangeAspect="1"/>
                    </pic:cNvPicPr>
                  </pic:nvPicPr>
                  <pic:blipFill>
                    <a:blip r:embed="rId554"/>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las líneas P01 y P02 del presupuesto y del indicador PERS-E03 (ficha maestra del proyecto). La supervisión académica y la coautoría son PROPUESTO. Figura generada con matplotlib; sin semilla ni corpus.</w:t>
      </w:r>
    </w:p>
    <w:p>
      <w:pPr>
        <w:pStyle w:val="BodyText"/>
      </w:pPr>
      <w:r>
        <w:t xml:space="preserve">El diagrama deja una consecuencia operativa. Las seis plazas de joven investigador cubren solo el tramo 1, y las dos plazas de maestría cubren los tres tramos. Por eso la continuidad del análisis entre los meses 13 y 24 recae en las dos personas de maestría y en el personal contratado.</w:t>
      </w:r>
    </w:p>
    <w:bookmarkEnd w:id="557"/>
    <w:bookmarkStart w:id="558" w:name="_Toc00900228"/>
    <w:p>
      <w:pPr>
        <w:pStyle w:val="Heading2"/>
      </w:pPr>
      <w:r>
        <w:t xml:space="preserve">11.5 Tipología MinCiencias</w:t>
      </w:r>
    </w:p>
    <w:p>
      <w:pPr>
        <w:pStyle w:val="FirstParagraph"/>
      </w:pPr>
      <w:r>
        <w:t xml:space="preserve">La clasificación según la tipología oficial queda como PROPUESTO y NO_VERIFICADO, porque los TdR y el texto del MMG de 2021 no se aportaron. El capítulo usa los códigos que fija la ficha del proyecto: PROT-FUNC, SW-REG, ART-A1, ART-A2, ASC-PART, ASC-COM, ASC-CIRC y FORM. La Tabla 11.5 asocia cada familia de producto con su código, su cantidad y la evidencia que la verifica.</w:t>
      </w:r>
    </w:p>
    <w:p>
      <w:pPr>
        <w:pStyle w:val="TablaRotulo"/>
      </w:pPr>
      <w:bookmarkStart w:id="9327" w:name="rot_Tabla_11_5"/>
      <w:r>
        <w:rPr>
          <w:b/>
          <w:bCs/>
        </w:rPr>
        <w:t xml:space="preserve">Tabla 11.5</w:t>
      </w:r>
      <w:bookmarkEnd w:id="9327"/>
    </w:p>
    <w:p>
      <w:pPr>
        <w:pStyle w:val="TablaTitulo"/>
      </w:pPr>
      <w:r>
        <w:rPr>
          <w:i/>
          <w:iCs/>
        </w:rPr>
        <w:t xml:space="preserve">Clasificación propuesta de los productos según la tipología MMG</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84"/>
        <w:gridCol w:w="1386"/>
        <w:gridCol w:w="1584"/>
        <w:gridCol w:w="1716"/>
        <w:gridCol w:w="1650"/>
      </w:tblGrid>
      <w:tr>
        <w:trPr>
          <w:cantSplit/>
          <w:tblHeader/>
        </w:trPr>
        <w:tc>
          <w:tcPr>
            <w:shd w:val="clear" w:color="auto" w:fill="00B050"/>
          </w:tcPr>
          <w:p>
            <w:pPr>
              <w:pStyle w:val="Tabla9"/>
              <w:jc w:val="center"/>
            </w:pPr>
            <w:r>
              <w:rPr>
                <w:b/>
                <w:color w:val="FFFFFF"/>
              </w:rPr>
              <w:t xml:space="preserve">Código MMG</w:t>
            </w:r>
          </w:p>
        </w:tc>
        <w:tc>
          <w:tcPr>
            <w:shd w:val="clear" w:color="auto" w:fill="00B050"/>
          </w:tcPr>
          <w:p>
            <w:pPr>
              <w:pStyle w:val="Tabla9"/>
              <w:jc w:val="center"/>
            </w:pPr>
            <w:r>
              <w:rPr>
                <w:b/>
                <w:color w:val="FFFFFF"/>
              </w:rPr>
              <w:t xml:space="preserve">Familia de producto</w:t>
            </w:r>
          </w:p>
        </w:tc>
        <w:tc>
          <w:tcPr>
            <w:shd w:val="clear" w:color="auto" w:fill="00B050"/>
          </w:tcPr>
          <w:p>
            <w:pPr>
              <w:pStyle w:val="Tabla9"/>
              <w:jc w:val="center"/>
            </w:pPr>
            <w:r>
              <w:rPr>
                <w:b/>
                <w:color w:val="FFFFFF"/>
              </w:rPr>
              <w:t xml:space="preserve">Cantidad</w:t>
            </w:r>
          </w:p>
        </w:tc>
        <w:tc>
          <w:tcPr>
            <w:shd w:val="clear" w:color="auto" w:fill="00B050"/>
          </w:tcPr>
          <w:p>
            <w:pPr>
              <w:pStyle w:val="Tabla9"/>
              <w:jc w:val="center"/>
            </w:pPr>
            <w:r>
              <w:rPr>
                <w:b/>
                <w:color w:val="FFFFFF"/>
              </w:rPr>
              <w:t xml:space="preserve">Evidencia de verificación</w:t>
            </w:r>
          </w:p>
        </w:tc>
        <w:tc>
          <w:tcPr>
            <w:shd w:val="clear" w:color="auto" w:fill="00B050"/>
          </w:tcPr>
          <w:p>
            <w:pPr>
              <w:pStyle w:val="Tabla9"/>
              <w:jc w:val="center"/>
            </w:pPr>
            <w:r>
              <w:rPr>
                <w:b/>
                <w:color w:val="FFFFFF"/>
              </w:rPr>
              <w:t xml:space="preserve">Estado de la clasificación</w:t>
            </w:r>
          </w:p>
        </w:tc>
      </w:tr>
      <w:tr>
        <w:trPr>
          <w:cantSplit/>
        </w:trPr>
        <w:tc>
          <w:tcPr/>
          <w:p>
            <w:pPr>
              <w:pStyle w:val="Tabla9"/>
              <w:jc w:val="left"/>
            </w:pPr>
            <w:r>
              <w:t xml:space="preserve">PROT-FUNC</w:t>
            </w:r>
          </w:p>
        </w:tc>
        <w:tc>
          <w:tcPr/>
          <w:p>
            <w:pPr>
              <w:pStyle w:val="Tabla9"/>
              <w:jc w:val="left"/>
            </w:pPr>
            <w:r>
              <w:t xml:space="preserve">Red de nodos y gateways</w:t>
            </w:r>
          </w:p>
        </w:tc>
        <w:tc>
          <w:tcPr/>
          <w:p>
            <w:pPr>
              <w:pStyle w:val="Tabla9"/>
              <w:jc w:val="left"/>
            </w:pPr>
            <w:r>
              <w:t xml:space="preserve">1 red con 100 nodos y 10 gateways</w:t>
            </w:r>
          </w:p>
        </w:tc>
        <w:tc>
          <w:tcPr/>
          <w:p>
            <w:pPr>
              <w:pStyle w:val="Tabla9"/>
              <w:jc w:val="left"/>
            </w:pPr>
            <w:r>
              <w:t xml:space="preserve">Inventario con huella de configuración y registro fotográfico</w:t>
            </w:r>
          </w:p>
        </w:tc>
        <w:tc>
          <w:tcPr/>
          <w:p>
            <w:pPr>
              <w:pStyle w:val="Tabla9"/>
              <w:jc w:val="left"/>
            </w:pPr>
            <w:r>
              <w:t xml:space="preserve">PROPUESTO</w:t>
            </w:r>
          </w:p>
        </w:tc>
      </w:tr>
      <w:tr>
        <w:trPr>
          <w:cantSplit/>
        </w:trPr>
        <w:tc>
          <w:tcPr/>
          <w:p>
            <w:pPr>
              <w:pStyle w:val="Tabla9"/>
              <w:jc w:val="left"/>
            </w:pPr>
            <w:r>
              <w:t xml:space="preserve">SW-REG</w:t>
            </w:r>
          </w:p>
        </w:tc>
        <w:tc>
          <w:tcPr/>
          <w:p>
            <w:pPr>
              <w:pStyle w:val="Tabla9"/>
              <w:jc w:val="left"/>
            </w:pPr>
            <w:r>
              <w:t xml:space="preserve">Software de corrección, firmware y gemelo digital</w:t>
            </w:r>
          </w:p>
        </w:tc>
        <w:tc>
          <w:tcPr/>
          <w:p>
            <w:pPr>
              <w:pStyle w:val="Tabla9"/>
              <w:jc w:val="left"/>
            </w:pPr>
            <w:r>
              <w:t xml:space="preserve">1 registro vigente</w:t>
            </w:r>
          </w:p>
        </w:tc>
        <w:tc>
          <w:tcPr/>
          <w:p>
            <w:pPr>
              <w:pStyle w:val="Tabla9"/>
              <w:jc w:val="left"/>
            </w:pPr>
            <w:r>
              <w:t xml:space="preserve">Certificado de registro de la DNDA</w:t>
            </w:r>
          </w:p>
        </w:tc>
        <w:tc>
          <w:tcPr/>
          <w:p>
            <w:pPr>
              <w:pStyle w:val="Tabla9"/>
              <w:jc w:val="left"/>
            </w:pPr>
            <w:r>
              <w:t xml:space="preserve">PROPUESTO</w:t>
            </w:r>
          </w:p>
        </w:tc>
      </w:tr>
      <w:tr>
        <w:trPr>
          <w:cantSplit/>
        </w:trPr>
        <w:tc>
          <w:tcPr/>
          <w:p>
            <w:pPr>
              <w:pStyle w:val="Tabla9"/>
              <w:jc w:val="left"/>
            </w:pPr>
            <w:r>
              <w:t xml:space="preserve">ART-A1 y ART-A2</w:t>
            </w:r>
          </w:p>
        </w:tc>
        <w:tc>
          <w:tcPr/>
          <w:p>
            <w:pPr>
              <w:pStyle w:val="Tabla9"/>
              <w:jc w:val="left"/>
            </w:pPr>
            <w:r>
              <w:t xml:space="preserve">Artículos en revistas Q1 o Q2</w:t>
            </w:r>
          </w:p>
        </w:tc>
        <w:tc>
          <w:tcPr/>
          <w:p>
            <w:pPr>
              <w:pStyle w:val="Tabla9"/>
              <w:jc w:val="left"/>
            </w:pPr>
            <w:r>
              <w:t xml:space="preserve">2 sometidos y al menos 1 aceptado</w:t>
            </w:r>
          </w:p>
        </w:tc>
        <w:tc>
          <w:tcPr/>
          <w:p>
            <w:pPr>
              <w:pStyle w:val="Tabla9"/>
              <w:jc w:val="left"/>
            </w:pPr>
            <w:r>
              <w:t xml:space="preserve">Carta de aceptación y soporte de envío</w:t>
            </w:r>
          </w:p>
        </w:tc>
        <w:tc>
          <w:tcPr/>
          <w:p>
            <w:pPr>
              <w:pStyle w:val="Tabla9"/>
              <w:jc w:val="left"/>
            </w:pPr>
            <w:r>
              <w:t xml:space="preserve">PROPUESTO</w:t>
            </w:r>
          </w:p>
        </w:tc>
      </w:tr>
      <w:tr>
        <w:trPr>
          <w:cantSplit/>
        </w:trPr>
        <w:tc>
          <w:tcPr/>
          <w:p>
            <w:pPr>
              <w:pStyle w:val="Tabla9"/>
              <w:jc w:val="left"/>
            </w:pPr>
            <w:r>
              <w:t xml:space="preserve">ASC-PART, ASC-COM y ASC-CIRC</w:t>
            </w:r>
          </w:p>
        </w:tc>
        <w:tc>
          <w:tcPr/>
          <w:p>
            <w:pPr>
              <w:pStyle w:val="Tabla9"/>
              <w:jc w:val="left"/>
            </w:pPr>
            <w:r>
              <w:t xml:space="preserve">Talleres, jornadas, cartillas y circulación</w:t>
            </w:r>
          </w:p>
        </w:tc>
        <w:tc>
          <w:tcPr/>
          <w:p>
            <w:pPr>
              <w:pStyle w:val="Tabla9"/>
              <w:jc w:val="left"/>
            </w:pPr>
            <w:r>
              <w:t xml:space="preserve">29 actividades y 5.000 cartillas</w:t>
            </w:r>
          </w:p>
        </w:tc>
        <w:tc>
          <w:tcPr/>
          <w:p>
            <w:pPr>
              <w:pStyle w:val="Tabla9"/>
              <w:jc w:val="left"/>
            </w:pPr>
            <w:r>
              <w:t xml:space="preserve">Actas firmadas por representantes comunitarios</w:t>
            </w:r>
          </w:p>
        </w:tc>
        <w:tc>
          <w:tcPr/>
          <w:p>
            <w:pPr>
              <w:pStyle w:val="Tabla9"/>
              <w:jc w:val="left"/>
            </w:pPr>
            <w:r>
              <w:t xml:space="preserve">PROPUESTO</w:t>
            </w:r>
          </w:p>
        </w:tc>
      </w:tr>
      <w:tr>
        <w:trPr>
          <w:cantSplit/>
        </w:trPr>
        <w:tc>
          <w:tcPr/>
          <w:p>
            <w:pPr>
              <w:pStyle w:val="Tabla9"/>
              <w:jc w:val="left"/>
            </w:pPr>
            <w:r>
              <w:t xml:space="preserve">FORM</w:t>
            </w:r>
          </w:p>
        </w:tc>
        <w:tc>
          <w:tcPr/>
          <w:p>
            <w:pPr>
              <w:pStyle w:val="Tabla9"/>
              <w:jc w:val="left"/>
            </w:pPr>
            <w:r>
              <w:t xml:space="preserve">Formación de capital humano</w:t>
            </w:r>
          </w:p>
        </w:tc>
        <w:tc>
          <w:tcPr/>
          <w:p>
            <w:pPr>
              <w:pStyle w:val="Tabla9"/>
              <w:jc w:val="left"/>
            </w:pPr>
            <w:r>
              <w:t xml:space="preserve">8 vinculaciones y al menos 60 personas certificadas</w:t>
            </w:r>
          </w:p>
        </w:tc>
        <w:tc>
          <w:tcPr/>
          <w:p>
            <w:pPr>
              <w:pStyle w:val="Tabla9"/>
              <w:jc w:val="left"/>
            </w:pPr>
            <w:r>
              <w:t xml:space="preserve">Certificados y actas de evaluación práctica</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del proyecto y del sistema PERS. Clasificación sujeta a los TdR y al texto del MMG de 2021, que no se aportaron (NO_VERIFICADO).</w:t>
      </w:r>
    </w:p>
    <w:p>
      <w:pPr>
        <w:pStyle w:val="BodyText"/>
      </w:pPr>
      <w:r>
        <w:t xml:space="preserve">El proyecto no asigna cuartiles a revistas. Los códigos ART-A1 y ART-A2 corresponden al primero y al segundo cuartil de la clasificación que aplique el financiador. El cuartil de una revista varía con el año y con la base de consulta. Por eso la asignación se verifica al someter cada artículo y no antes (VACIO). Si ningún artículo aceptado cumple el cuartil exigido, la clasificación cambia y el indicador PERS-P03 no se cumple.</w:t>
      </w:r>
    </w:p>
    <w:p>
      <w:pPr>
        <w:pStyle w:val="BodyText"/>
      </w:pPr>
      <w:r>
        <w:t xml:space="preserve">La tabla agrupa cinco familias de producto y ninguna depende de una promesa de efecto. La clasificación se actualiza cuando el financiador entregue los TdR. Esa actualización puede mover productos entre códigos, pero no modifica las cantidades que sustentan los indicadores del capítulo 12.</w:t>
      </w:r>
    </w:p>
    <w:bookmarkEnd w:id="558"/>
    <w:bookmarkEnd w:id="559"/>
    <w:bookmarkStart w:id="581" w:name="Xd27d79a0eec597e8e5871d7c83fce1578f20a0e"/>
    <w:p>
      <w:pPr>
        <w:pStyle w:val="Heading1"/>
      </w:pPr>
      <w:r>
        <w:t xml:space="preserve">Capítulo 12. Indicadores PERS con Taxonomía Output-Outcome-Impact</w:t>
      </w:r>
    </w:p>
    <w:p>
      <w:pPr>
        <w:pStyle w:val="FirstParagraph"/>
      </w:pPr>
      <w:r>
        <w:t xml:space="preserve">Este capítulo presenta el sistema de 15 indicadores PERS del proyecto. La sigla PERS agrupa cuatro niveles: proceso (R), producto (P), efecto (E) y sostenibilidad (S). Seis indicadores miden proceso, cuatro miden producto, tres miden efecto y dos miden sostenibilidad. Cada indicador tiene una ficha técnica de 12 campos, una línea base con su naturaleza, tres metas y una fuente de verificación. El capítulo separa lo que el proyecto hace, lo que cambia en quienes reciben sus productos y lo que se sostiene después del cierre. Esa separación responde al error que más penalizan los evaluadores: presentar productos como impactos.</w:t>
      </w:r>
    </w:p>
    <w:p>
      <w:pPr>
        <w:pStyle w:val="BodyText"/>
      </w:pPr>
      <w:r>
        <w:t xml:space="preserve">Dos reglas gobiernan el capítulo. La primera es que ningún producto se declara como impacto. El indicador de impacto exige un cambio en las condiciones de una población, y el proyecto no promete efectos en salud. La segunda es que toda línea base desconocida se marca VACIO y se mide en el tramo 1. Cinco de los 15 indicadores tienen línea base VACIO. Los términos de referencia (TdR) y el texto del Modelo de Medición de Grupos (MMG) de 2021 no se aportaron. Toda clasificación tipológica queda como PROPUESTO y NO_VERIFICADO.</w:t>
      </w:r>
    </w:p>
    <w:bookmarkStart w:id="563" w:name="_Toc00900229"/>
    <w:p>
      <w:pPr>
        <w:pStyle w:val="Heading2"/>
      </w:pPr>
      <w:r>
        <w:t xml:space="preserve">12.1 Sistema Integrado de Indicadores PERS</w:t>
      </w:r>
    </w:p>
    <w:p>
      <w:pPr>
        <w:pStyle w:val="FirstParagraph"/>
      </w:pPr>
      <w:r>
        <w:t xml:space="preserve">El sistema PERS se articula con la teoría del cambio y con el marco lógico del proyecto. La teoría del cambio es el conjunto de hipótesis que explica cómo los productos producen cambios (Weiss, 1995). El capítulo 13 la desarrolla y el capítulo 18 la expresa como matriz de marco lógico. Los indicadores de proceso corresponden a las actividades del marco lógico. Los de producto corresponden a los componentes. Los de efecto corresponden al propósito. Los de sostenibilidad corresponden al fin. Funnell y Rogers (2011) describen los modelos lógicos como cadenas de resultados con indicadores y medios de verificación en cada nivel. El sistema PERS aplica ese esquema con 15 indicadores y 15 medios.</w:t>
      </w:r>
    </w:p>
    <w:p>
      <w:pPr>
        <w:pStyle w:val="BodyText"/>
      </w:pPr>
      <w:r>
        <w:t xml:space="preserve">La taxonomía de producto, resultado e impacto (Output, Outcome e Impact) asigna cada nivel PERS a un tipo de medición. Los niveles R y P son productos, es decir, lo que el proyecto hace y entrega. El nivel E son resultados, es decir, lo que cambia en los destinatarios inmediatos tras recibir los productos. El nivel S es impacto, entendido como una transformación sostenida de las condiciones que justifican el proyecto. La definición de impacto procede del metaprompt y no se verificó contra la fuente de MinCiencias que lo origina (NO_VERIFICADO). La Tabla 12.1 mapea los 15 indicadores con la taxonomía, el marco lógico y el criterio de evaluación.</w:t>
      </w:r>
    </w:p>
    <w:p>
      <w:pPr>
        <w:pStyle w:val="TablaRotulo"/>
      </w:pPr>
      <w:bookmarkStart w:id="9328" w:name="rot_Tabla_12_1"/>
      <w:r>
        <w:rPr>
          <w:b/>
          <w:bCs/>
        </w:rPr>
        <w:t xml:space="preserve">Tabla 12.1</w:t>
      </w:r>
      <w:bookmarkEnd w:id="9328"/>
    </w:p>
    <w:p>
      <w:pPr>
        <w:pStyle w:val="TablaTitulo"/>
      </w:pPr>
      <w:r>
        <w:rPr>
          <w:i/>
          <w:iCs/>
        </w:rPr>
        <w:t xml:space="preserve">Mapeo de los 15 indicadores PERS con la taxonomía MinCiencias, el marco lógico y el criterio SGR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54"/>
        <w:gridCol w:w="1716"/>
        <w:gridCol w:w="1188"/>
        <w:gridCol w:w="1386"/>
        <w:gridCol w:w="594"/>
        <w:gridCol w:w="1782"/>
      </w:tblGrid>
      <w:tr>
        <w:trPr>
          <w:cantSplit/>
          <w:tblHeader/>
        </w:trPr>
        <w:tc>
          <w:tcPr>
            <w:shd w:val="clear" w:color="auto" w:fill="00B050"/>
          </w:tcPr>
          <w:p>
            <w:pPr>
              <w:pStyle w:val="Tabla9"/>
              <w:jc w:val="center"/>
            </w:pPr>
            <w:r>
              <w:rPr>
                <w:b/>
                <w:color w:val="FFFFFF"/>
              </w:rPr>
              <w:t xml:space="preserve">Código</w:t>
            </w:r>
          </w:p>
        </w:tc>
        <w:tc>
          <w:tcPr>
            <w:shd w:val="clear" w:color="auto" w:fill="00B050"/>
          </w:tcPr>
          <w:p>
            <w:pPr>
              <w:pStyle w:val="Tabla9"/>
              <w:jc w:val="center"/>
            </w:pPr>
            <w:r>
              <w:rPr>
                <w:b/>
                <w:color w:val="FFFFFF"/>
              </w:rPr>
              <w:t xml:space="preserve">Nivel PERS</w:t>
            </w:r>
          </w:p>
        </w:tc>
        <w:tc>
          <w:tcPr>
            <w:shd w:val="clear" w:color="auto" w:fill="00B050"/>
          </w:tcPr>
          <w:p>
            <w:pPr>
              <w:pStyle w:val="Tabla9"/>
              <w:jc w:val="center"/>
            </w:pPr>
            <w:r>
              <w:rPr>
                <w:b/>
                <w:color w:val="FFFFFF"/>
              </w:rPr>
              <w:t xml:space="preserve">Taxonomía</w:t>
            </w:r>
          </w:p>
        </w:tc>
        <w:tc>
          <w:tcPr>
            <w:shd w:val="clear" w:color="auto" w:fill="00B050"/>
          </w:tcPr>
          <w:p>
            <w:pPr>
              <w:pStyle w:val="Tabla9"/>
              <w:jc w:val="center"/>
            </w:pPr>
            <w:r>
              <w:rPr>
                <w:b/>
                <w:color w:val="FFFFFF"/>
              </w:rPr>
              <w:t xml:space="preserve">Marco lógico</w:t>
            </w:r>
          </w:p>
        </w:tc>
        <w:tc>
          <w:tcPr>
            <w:shd w:val="clear" w:color="auto" w:fill="00B050"/>
          </w:tcPr>
          <w:p>
            <w:pPr>
              <w:pStyle w:val="Tabla9"/>
              <w:jc w:val="center"/>
            </w:pPr>
            <w:r>
              <w:rPr>
                <w:b/>
                <w:color w:val="FFFFFF"/>
              </w:rPr>
              <w:t xml:space="preserve">OE</w:t>
            </w:r>
          </w:p>
        </w:tc>
        <w:tc>
          <w:tcPr>
            <w:shd w:val="clear" w:color="auto" w:fill="00B050"/>
          </w:tcPr>
          <w:p>
            <w:pPr>
              <w:pStyle w:val="Tabla9"/>
              <w:jc w:val="center"/>
            </w:pPr>
            <w:r>
              <w:rPr>
                <w:b/>
                <w:color w:val="FFFFFF"/>
              </w:rPr>
              <w:t xml:space="preserve">Criterio SGR del metaprompt (peso)</w:t>
            </w:r>
          </w:p>
        </w:tc>
      </w:tr>
      <w:tr>
        <w:trPr>
          <w:cantSplit/>
        </w:trPr>
        <w:tc>
          <w:tcPr/>
          <w:p>
            <w:pPr>
              <w:pStyle w:val="Tabla9"/>
              <w:jc w:val="left"/>
            </w:pPr>
            <w:r>
              <w:t xml:space="preserve">PERS-R01</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OE2</w:t>
            </w:r>
          </w:p>
        </w:tc>
        <w:tc>
          <w:tcPr/>
          <w:p>
            <w:pPr>
              <w:pStyle w:val="Tabla9"/>
              <w:jc w:val="left"/>
            </w:pPr>
            <w:r>
              <w:t xml:space="preserve">Calidad técnica (20–25 %); Viabilidad presupuestal (10–15 %)</w:t>
            </w:r>
          </w:p>
        </w:tc>
      </w:tr>
      <w:tr>
        <w:trPr>
          <w:cantSplit/>
        </w:trPr>
        <w:tc>
          <w:tcPr/>
          <w:p>
            <w:pPr>
              <w:pStyle w:val="Tabla9"/>
              <w:jc w:val="left"/>
            </w:pPr>
            <w:r>
              <w:t xml:space="preserve">PERS-R02</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OE1</w:t>
            </w:r>
          </w:p>
        </w:tc>
        <w:tc>
          <w:tcPr/>
          <w:p>
            <w:pPr>
              <w:pStyle w:val="Tabla9"/>
              <w:jc w:val="left"/>
            </w:pPr>
            <w:r>
              <w:t xml:space="preserve">Calidad técnica (20–25 %); Viabilidad presupuestal (10–15 %)</w:t>
            </w:r>
          </w:p>
        </w:tc>
      </w:tr>
      <w:tr>
        <w:trPr>
          <w:cantSplit/>
        </w:trPr>
        <w:tc>
          <w:tcPr/>
          <w:p>
            <w:pPr>
              <w:pStyle w:val="Tabla9"/>
              <w:jc w:val="left"/>
            </w:pPr>
            <w:r>
              <w:t xml:space="preserve">PERS-R03</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OE2</w:t>
            </w:r>
          </w:p>
        </w:tc>
        <w:tc>
          <w:tcPr/>
          <w:p>
            <w:pPr>
              <w:pStyle w:val="Tabla9"/>
              <w:jc w:val="left"/>
            </w:pPr>
            <w:r>
              <w:t xml:space="preserve">Calidad técnica (20–25 %); Viabilidad presupuestal (10–15 %)</w:t>
            </w:r>
          </w:p>
        </w:tc>
      </w:tr>
      <w:tr>
        <w:trPr>
          <w:cantSplit/>
        </w:trPr>
        <w:tc>
          <w:tcPr/>
          <w:p>
            <w:pPr>
              <w:pStyle w:val="Tabla9"/>
              <w:jc w:val="left"/>
            </w:pPr>
            <w:r>
              <w:t xml:space="preserve">PERS-R04</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OE3</w:t>
            </w:r>
          </w:p>
        </w:tc>
        <w:tc>
          <w:tcPr/>
          <w:p>
            <w:pPr>
              <w:pStyle w:val="Tabla9"/>
              <w:jc w:val="left"/>
            </w:pPr>
            <w:r>
              <w:t xml:space="preserve">Calidad técnica (20–25 %); Viabilidad presupuestal (10–15 %)</w:t>
            </w:r>
          </w:p>
        </w:tc>
      </w:tr>
      <w:tr>
        <w:trPr>
          <w:cantSplit/>
        </w:trPr>
        <w:tc>
          <w:tcPr/>
          <w:p>
            <w:pPr>
              <w:pStyle w:val="Tabla9"/>
              <w:jc w:val="left"/>
            </w:pPr>
            <w:r>
              <w:t xml:space="preserve">PERS-R05</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OE1</w:t>
            </w:r>
          </w:p>
        </w:tc>
        <w:tc>
          <w:tcPr/>
          <w:p>
            <w:pPr>
              <w:pStyle w:val="Tabla9"/>
              <w:jc w:val="left"/>
            </w:pPr>
            <w:r>
              <w:t xml:space="preserve">Calidad técnica (20–25 %); Viabilidad presupuestal (10–15 %)</w:t>
            </w:r>
          </w:p>
        </w:tc>
      </w:tr>
      <w:tr>
        <w:trPr>
          <w:cantSplit/>
        </w:trPr>
        <w:tc>
          <w:tcPr/>
          <w:p>
            <w:pPr>
              <w:pStyle w:val="Tabla9"/>
              <w:jc w:val="left"/>
            </w:pPr>
            <w:r>
              <w:t xml:space="preserve">PERS-R06</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OE3</w:t>
            </w:r>
          </w:p>
        </w:tc>
        <w:tc>
          <w:tcPr/>
          <w:p>
            <w:pPr>
              <w:pStyle w:val="Tabla9"/>
              <w:jc w:val="left"/>
            </w:pPr>
            <w:r>
              <w:t xml:space="preserve">Calidad técnica (20–25 %); Viabilidad presupuestal (10–15 %)</w:t>
            </w:r>
          </w:p>
        </w:tc>
      </w:tr>
      <w:tr>
        <w:trPr>
          <w:cantSplit/>
        </w:trPr>
        <w:tc>
          <w:tcPr/>
          <w:p>
            <w:pPr>
              <w:pStyle w:val="Tabla9"/>
              <w:jc w:val="left"/>
            </w:pPr>
            <w:r>
              <w:t xml:space="preserve">PERS-P01</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OE2</w:t>
            </w:r>
          </w:p>
        </w:tc>
        <w:tc>
          <w:tcPr/>
          <w:p>
            <w:pPr>
              <w:pStyle w:val="Tabla9"/>
              <w:jc w:val="left"/>
            </w:pPr>
            <w:r>
              <w:t xml:space="preserve">Fortalecimiento CTeI regional (25–27 %); Viabilidad presupuestal (10–15 %)</w:t>
            </w:r>
          </w:p>
        </w:tc>
      </w:tr>
      <w:tr>
        <w:trPr>
          <w:cantSplit/>
        </w:trPr>
        <w:tc>
          <w:tcPr/>
          <w:p>
            <w:pPr>
              <w:pStyle w:val="Tabla9"/>
              <w:jc w:val="left"/>
            </w:pPr>
            <w:r>
              <w:t xml:space="preserve">PERS-P02</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OE1</w:t>
            </w:r>
          </w:p>
        </w:tc>
        <w:tc>
          <w:tcPr/>
          <w:p>
            <w:pPr>
              <w:pStyle w:val="Tabla9"/>
              <w:jc w:val="left"/>
            </w:pPr>
            <w:r>
              <w:t xml:space="preserve">Fortalecimiento CTeI regional (25–27 %); Viabilidad presupuestal (10–15 %)</w:t>
            </w:r>
          </w:p>
        </w:tc>
      </w:tr>
      <w:tr>
        <w:trPr>
          <w:cantSplit/>
        </w:trPr>
        <w:tc>
          <w:tcPr/>
          <w:p>
            <w:pPr>
              <w:pStyle w:val="Tabla9"/>
              <w:jc w:val="left"/>
            </w:pPr>
            <w:r>
              <w:t xml:space="preserve">PERS-P03</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OE1</w:t>
            </w:r>
          </w:p>
        </w:tc>
        <w:tc>
          <w:tcPr/>
          <w:p>
            <w:pPr>
              <w:pStyle w:val="Tabla9"/>
              <w:jc w:val="left"/>
            </w:pPr>
            <w:r>
              <w:t xml:space="preserve">Fortalecimiento CTeI regional (25–27 %); Viabilidad presupuestal (10–15 %)</w:t>
            </w:r>
          </w:p>
        </w:tc>
      </w:tr>
      <w:tr>
        <w:trPr>
          <w:cantSplit/>
        </w:trPr>
        <w:tc>
          <w:tcPr/>
          <w:p>
            <w:pPr>
              <w:pStyle w:val="Tabla9"/>
              <w:jc w:val="left"/>
            </w:pPr>
            <w:r>
              <w:t xml:space="preserve">PERS-P04</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OE3</w:t>
            </w:r>
          </w:p>
        </w:tc>
        <w:tc>
          <w:tcPr/>
          <w:p>
            <w:pPr>
              <w:pStyle w:val="Tabla9"/>
              <w:jc w:val="left"/>
            </w:pPr>
            <w:r>
              <w:t xml:space="preserve">Fortalecimiento CTeI regional (25–27 %); Viabilidad presupuestal (10–15 %)</w:t>
            </w:r>
          </w:p>
        </w:tc>
      </w:tr>
      <w:tr>
        <w:trPr>
          <w:cantSplit/>
        </w:trPr>
        <w:tc>
          <w:tcPr/>
          <w:p>
            <w:pPr>
              <w:pStyle w:val="Tabla9"/>
              <w:jc w:val="left"/>
            </w:pPr>
            <w:r>
              <w:t xml:space="preserve">PERS-E01</w:t>
            </w:r>
          </w:p>
        </w:tc>
        <w:tc>
          <w:tcPr/>
          <w:p>
            <w:pPr>
              <w:pStyle w:val="Tabla9"/>
              <w:jc w:val="left"/>
            </w:pPr>
            <w:r>
              <w:t xml:space="preserve">Efecto (E)</w:t>
            </w:r>
          </w:p>
        </w:tc>
        <w:tc>
          <w:tcPr/>
          <w:p>
            <w:pPr>
              <w:pStyle w:val="Tabla9"/>
              <w:jc w:val="left"/>
            </w:pPr>
            <w:r>
              <w:t xml:space="preserve">Outcome</w:t>
            </w:r>
          </w:p>
        </w:tc>
        <w:tc>
          <w:tcPr/>
          <w:p>
            <w:pPr>
              <w:pStyle w:val="Tabla9"/>
              <w:jc w:val="left"/>
            </w:pPr>
            <w:r>
              <w:t xml:space="preserve">Propósito</w:t>
            </w:r>
          </w:p>
        </w:tc>
        <w:tc>
          <w:tcPr/>
          <w:p>
            <w:pPr>
              <w:pStyle w:val="Tabla9"/>
              <w:jc w:val="left"/>
            </w:pPr>
            <w:r>
              <w:t xml:space="preserve">OE3</w:t>
            </w:r>
          </w:p>
        </w:tc>
        <w:tc>
          <w:tcPr/>
          <w:p>
            <w:pPr>
              <w:pStyle w:val="Tabla9"/>
              <w:jc w:val="left"/>
            </w:pPr>
            <w:r>
              <w:t xml:space="preserve">Impacto esperado (15–20 %)</w:t>
            </w:r>
          </w:p>
        </w:tc>
      </w:tr>
      <w:tr>
        <w:trPr>
          <w:cantSplit/>
        </w:trPr>
        <w:tc>
          <w:tcPr/>
          <w:p>
            <w:pPr>
              <w:pStyle w:val="Tabla9"/>
              <w:jc w:val="left"/>
            </w:pPr>
            <w:r>
              <w:t xml:space="preserve">PERS-E02</w:t>
            </w:r>
          </w:p>
        </w:tc>
        <w:tc>
          <w:tcPr/>
          <w:p>
            <w:pPr>
              <w:pStyle w:val="Tabla9"/>
              <w:jc w:val="left"/>
            </w:pPr>
            <w:r>
              <w:t xml:space="preserve">Efecto (E)</w:t>
            </w:r>
          </w:p>
        </w:tc>
        <w:tc>
          <w:tcPr/>
          <w:p>
            <w:pPr>
              <w:pStyle w:val="Tabla9"/>
              <w:jc w:val="left"/>
            </w:pPr>
            <w:r>
              <w:t xml:space="preserve">Outcome</w:t>
            </w:r>
          </w:p>
        </w:tc>
        <w:tc>
          <w:tcPr/>
          <w:p>
            <w:pPr>
              <w:pStyle w:val="Tabla9"/>
              <w:jc w:val="left"/>
            </w:pPr>
            <w:r>
              <w:t xml:space="preserve">Propósito</w:t>
            </w:r>
          </w:p>
        </w:tc>
        <w:tc>
          <w:tcPr/>
          <w:p>
            <w:pPr>
              <w:pStyle w:val="Tabla9"/>
              <w:jc w:val="left"/>
            </w:pPr>
            <w:r>
              <w:t xml:space="preserve">OE3</w:t>
            </w:r>
          </w:p>
        </w:tc>
        <w:tc>
          <w:tcPr/>
          <w:p>
            <w:pPr>
              <w:pStyle w:val="Tabla9"/>
              <w:jc w:val="left"/>
            </w:pPr>
            <w:r>
              <w:t xml:space="preserve">Impacto esperado (15–20 %)</w:t>
            </w:r>
          </w:p>
        </w:tc>
      </w:tr>
      <w:tr>
        <w:trPr>
          <w:cantSplit/>
        </w:trPr>
        <w:tc>
          <w:tcPr/>
          <w:p>
            <w:pPr>
              <w:pStyle w:val="Tabla9"/>
              <w:jc w:val="left"/>
            </w:pPr>
            <w:r>
              <w:t xml:space="preserve">PERS-E03</w:t>
            </w:r>
          </w:p>
        </w:tc>
        <w:tc>
          <w:tcPr/>
          <w:p>
            <w:pPr>
              <w:pStyle w:val="Tabla9"/>
              <w:jc w:val="left"/>
            </w:pPr>
            <w:r>
              <w:t xml:space="preserve">Efecto (E)</w:t>
            </w:r>
          </w:p>
        </w:tc>
        <w:tc>
          <w:tcPr/>
          <w:p>
            <w:pPr>
              <w:pStyle w:val="Tabla9"/>
              <w:jc w:val="left"/>
            </w:pPr>
            <w:r>
              <w:t xml:space="preserve">Outcome</w:t>
            </w:r>
          </w:p>
        </w:tc>
        <w:tc>
          <w:tcPr/>
          <w:p>
            <w:pPr>
              <w:pStyle w:val="Tabla9"/>
              <w:jc w:val="left"/>
            </w:pPr>
            <w:r>
              <w:t xml:space="preserve">Propósito</w:t>
            </w:r>
          </w:p>
        </w:tc>
        <w:tc>
          <w:tcPr/>
          <w:p>
            <w:pPr>
              <w:pStyle w:val="Tabla9"/>
              <w:jc w:val="left"/>
            </w:pPr>
            <w:r>
              <w:t xml:space="preserve">OE3</w:t>
            </w:r>
          </w:p>
        </w:tc>
        <w:tc>
          <w:tcPr/>
          <w:p>
            <w:pPr>
              <w:pStyle w:val="Tabla9"/>
              <w:jc w:val="left"/>
            </w:pPr>
            <w:r>
              <w:t xml:space="preserve">Impacto esperado (15–20 %)</w:t>
            </w:r>
          </w:p>
        </w:tc>
      </w:tr>
      <w:tr>
        <w:trPr>
          <w:cantSplit/>
        </w:trPr>
        <w:tc>
          <w:tcPr/>
          <w:p>
            <w:pPr>
              <w:pStyle w:val="Tabla9"/>
              <w:jc w:val="left"/>
            </w:pPr>
            <w:r>
              <w:t xml:space="preserve">PERS-S01</w:t>
            </w:r>
          </w:p>
        </w:tc>
        <w:tc>
          <w:tcPr/>
          <w:p>
            <w:pPr>
              <w:pStyle w:val="Tabla9"/>
              <w:jc w:val="left"/>
            </w:pPr>
            <w:r>
              <w:t xml:space="preserve">Sostenibilidad (S)</w:t>
            </w:r>
          </w:p>
        </w:tc>
        <w:tc>
          <w:tcPr/>
          <w:p>
            <w:pPr>
              <w:pStyle w:val="Tabla9"/>
              <w:jc w:val="left"/>
            </w:pPr>
            <w:r>
              <w:t xml:space="preserve">Impact</w:t>
            </w:r>
          </w:p>
        </w:tc>
        <w:tc>
          <w:tcPr/>
          <w:p>
            <w:pPr>
              <w:pStyle w:val="Tabla9"/>
              <w:jc w:val="left"/>
            </w:pPr>
            <w:r>
              <w:t xml:space="preserve">Fin</w:t>
            </w:r>
          </w:p>
        </w:tc>
        <w:tc>
          <w:tcPr/>
          <w:p>
            <w:pPr>
              <w:pStyle w:val="Tabla9"/>
              <w:jc w:val="left"/>
            </w:pPr>
            <w:r>
              <w:t xml:space="preserve">OE3</w:t>
            </w:r>
          </w:p>
        </w:tc>
        <w:tc>
          <w:tcPr/>
          <w:p>
            <w:pPr>
              <w:pStyle w:val="Tabla9"/>
              <w:jc w:val="left"/>
            </w:pPr>
            <w:r>
              <w:t xml:space="preserve">Pertinencia y articulación territorial (20–25 %); Impacto esperado (15–20 %)</w:t>
            </w:r>
          </w:p>
        </w:tc>
      </w:tr>
      <w:tr>
        <w:trPr>
          <w:cantSplit/>
        </w:trPr>
        <w:tc>
          <w:tcPr/>
          <w:p>
            <w:pPr>
              <w:pStyle w:val="Tabla9"/>
              <w:jc w:val="left"/>
            </w:pPr>
            <w:r>
              <w:t xml:space="preserve">PERS-S02</w:t>
            </w:r>
          </w:p>
        </w:tc>
        <w:tc>
          <w:tcPr/>
          <w:p>
            <w:pPr>
              <w:pStyle w:val="Tabla9"/>
              <w:jc w:val="left"/>
            </w:pPr>
            <w:r>
              <w:t xml:space="preserve">Sostenibilidad (S)</w:t>
            </w:r>
          </w:p>
        </w:tc>
        <w:tc>
          <w:tcPr/>
          <w:p>
            <w:pPr>
              <w:pStyle w:val="Tabla9"/>
              <w:jc w:val="left"/>
            </w:pPr>
            <w:r>
              <w:t xml:space="preserve">Impact</w:t>
            </w:r>
          </w:p>
        </w:tc>
        <w:tc>
          <w:tcPr/>
          <w:p>
            <w:pPr>
              <w:pStyle w:val="Tabla9"/>
              <w:jc w:val="left"/>
            </w:pPr>
            <w:r>
              <w:t xml:space="preserve">Fin</w:t>
            </w:r>
          </w:p>
        </w:tc>
        <w:tc>
          <w:tcPr/>
          <w:p>
            <w:pPr>
              <w:pStyle w:val="Tabla9"/>
              <w:jc w:val="left"/>
            </w:pPr>
            <w:r>
              <w:t xml:space="preserve">OE3</w:t>
            </w:r>
          </w:p>
        </w:tc>
        <w:tc>
          <w:tcPr/>
          <w:p>
            <w:pPr>
              <w:pStyle w:val="Tabla9"/>
              <w:jc w:val="left"/>
            </w:pPr>
            <w:r>
              <w:t xml:space="preserve">Pertinencia y articulación territorial (20–25 %); Impacto esperado (15–20 %)</w:t>
            </w:r>
          </w:p>
        </w:tc>
      </w:tr>
    </w:tbl>
    <w:p>
      <w:pPr>
        <w:pStyle w:val="TablaNota"/>
      </w:pPr>
      <w:r>
        <w:rPr>
          <w:i/>
          <w:iCs/>
        </w:rPr>
        <w:t xml:space="preserve">Nota.</w:t>
      </w:r>
      <w:r>
        <w:t xml:space="preserve"> </w:t>
      </w:r>
      <w:r>
        <w:t xml:space="preserve">Elaboración propia con datos de la ficha maestra del proyecto (indicadores PERS y marco lógico). Los criterios y los rangos de peso provienen del metaprompt GENESIS-CTeI y son SUPUESTO: los términos de referencia (TdR) no se aportaron (NO_VERIFICADO). SGR: Sistema General de Regalías. CTeI: ciencia, tecnología e innovación. OE: objetivo específico.</w:t>
      </w:r>
    </w:p>
    <w:p>
      <w:pPr>
        <w:pStyle w:val="BodyText"/>
      </w:pPr>
      <w:r>
        <w:t xml:space="preserve">La taxonomía exige una advertencia sobre el nivel S. Gertler et al. (2016) sostienen que atribuir un impacto exige un contrafactual, es decir, una estimación de lo que habría ocurrido sin la intervención. El proyecto no incluye un diseño contrafactual para la población expuesta. Por eso los dos indicadores S miden continuidad institucional y no cambio en salud. PERS-S01 mide la activación del protocolo ante una superación de umbral. PERS-S02 mide la continuidad de la red bajo custodia. Mayne (2012) propone el análisis de contribución para esos casos: un argumento verificable de que el proyecto contribuyó al cambio, sin atribuirle todo el efecto. El proyecto adopta esa posición y la rotula como impacto institucional.</w:t>
      </w:r>
    </w:p>
    <w:p>
      <w:pPr>
        <w:pStyle w:val="BodyText"/>
      </w:pPr>
      <w:r>
        <w:t xml:space="preserve">La validación bloqueante de la taxonomía comprueba cuatro condiciones antes de continuar. Cada producto debe tener al menos un efecto asociado. Cada efecto debe conectarse con al menos un impacto. Ningún producto puede clasificarse como impacto. Los impactos deben ser transformaciones medibles a mediano plazo y no actividades. El proyecto cumple las cuatro, con una salvedad. PERS-R04 y PERS-R06 son indicadores de control y no tienen un efecto propio. La ruta de PERS-P03 hacia el uso es una hipótesis débil. Funnell y Rogers (2011) aconsejan declarar esas rutas débiles y no ocultarlas, porque orientan la evaluación posterior. El paso 7 presenta la validación en detalle.</w:t>
      </w:r>
    </w:p>
    <w:p>
      <w:pPr>
        <w:pStyle w:val="BodyText"/>
      </w:pPr>
      <w:r>
        <w:t xml:space="preserve">La Figura 12.1 representa el sistema como cadena con un techo de rendición de cuentas. Bajo el techo quedan los 10 indicadores de producto y proceso, cuyas metas el proyecto compromete. Sobre el techo quedan los cinco indicadores de efecto y sostenibilidad, cuyas metas son de contribución y dependen de los supuestos SC-3 y SC-4. El techo no resta importancia a los indicadores superiores. Delimita qué puede prometer el equipo y qué debe intentar con apoyo de terceros. Esa distinción sigue el principio de la evaluación realista: un programa produce resultados mediante mecanismos que operan en contextos (Pawson y Tilley, 1997).</w:t>
      </w:r>
    </w:p>
    <w:p>
      <w:pPr>
        <w:pStyle w:val="FiguraRotulo"/>
      </w:pPr>
      <w:bookmarkStart w:id="9531" w:name="rot_Figura_12_1"/>
      <w:r>
        <w:rPr>
          <w:b/>
          <w:bCs/>
        </w:rPr>
        <w:t xml:space="preserve">Figura 12.1</w:t>
      </w:r>
      <w:bookmarkEnd w:id="9531"/>
    </w:p>
    <w:p>
      <w:pPr>
        <w:pStyle w:val="FiguraTitulo"/>
      </w:pPr>
      <w:r>
        <w:rPr>
          <w:i/>
          <w:iCs/>
        </w:rPr>
        <w:t xml:space="preserve">Diez outputs, tres outcomes y dos impactos: solo los outputs quedan bajo el techo</w:t>
      </w:r>
    </w:p>
    <w:p>
      <w:pPr>
        <w:pStyle w:val="BodyText"/>
      </w:pPr>
      <w:r>
        <w:drawing>
          <wp:inline>
            <wp:extent cx="5579999" cy="3917551"/>
            <wp:effectExtent b="0" l="0" r="0" t="0"/>
            <wp:docPr descr="" title="" id="561" name="Picture"/>
            <a:graphic>
              <a:graphicData uri="http://schemas.openxmlformats.org/drawingml/2006/picture">
                <pic:pic>
                  <pic:nvPicPr>
                    <pic:cNvPr descr="/tmp/claude-0/-home-user-docs/ddf38714-2a7e-502b-92b4-1008e2832422/scratchpad/proy/figs/out/c12_f01.png" id="562" name="Picture"/>
                    <pic:cNvPicPr>
                      <a:picLocks noChangeArrowheads="1" noChangeAspect="1"/>
                    </pic:cNvPicPr>
                  </pic:nvPicPr>
                  <pic:blipFill>
                    <a:blip r:embed="rId560"/>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(15 indicadores PERS). El techo separa las metas que el proyecto compromete de las metas de contribución condicionadas por los supuestos SC-3 y SC-4. Python 3 y matplotlib; script c12_figs.py; sin semilla; corte del 13 de octubre de 2026.</w:t>
      </w:r>
    </w:p>
    <w:p>
      <w:pPr>
        <w:pStyle w:val="BodyText"/>
      </w:pPr>
      <w:r>
        <w:t xml:space="preserve">La articulación con los criterios de evaluación de la convocatoria usa los pesos del metaprompt, que son un supuesto, porque los TdR no se aportaron. Los indicadores R se vinculan con la calidad técnica y con la viabilidad presupuestal. Los P se vinculan con el fortalecimiento regional de la ciencia, la tecnología y la innovación (CTeI). Los E se vinculan con el impacto esperado. Los S se vinculan con la pertinencia territorial y con el impacto esperado. La vinculación con las demandas territoriales del Anexo 4 queda sin verificar. El anexo no se aportó [DATO_USUARIO: código de la demanda territorial identificada en la admisión].</w:t>
      </w:r>
    </w:p>
    <w:bookmarkEnd w:id="563"/>
    <w:bookmarkStart w:id="564" w:name="Xb1f3f2819b97c854c3c0a57929875eca80b824a"/>
    <w:p>
      <w:pPr>
        <w:pStyle w:val="Heading2"/>
      </w:pPr>
      <w:r>
        <w:t xml:space="preserve">12.2 Indicadores de Proceso (R): Outputs de Gestión</w:t>
      </w:r>
    </w:p>
    <w:p>
      <w:pPr>
        <w:pStyle w:val="FirstParagraph"/>
      </w:pPr>
      <w:r>
        <w:t xml:space="preserve">Los seis indicadores de proceso miden el esfuerzo y la ejecución del proyecto. Son PERS-R01 a PERS-R06 y se miden cada mes. Todos son productos en la taxonomía, y por tanto no miden resultados ni impactos. Un evaluador no los acepta como evidencia de cambio. Son necesarios para controlar la ejecución, pero insuficientes para demostrar un cambio social. Las fichas completas ocupan la Tabla 12.2, la Tabla 12.3, la Tabla 12.4, la Tabla 12.5, la Tabla 12.6 y la Tabla 12.7.</w:t>
      </w:r>
    </w:p>
    <w:p>
      <w:pPr>
        <w:pStyle w:val="BodyText"/>
      </w:pPr>
      <w:r>
        <w:t xml:space="preserve">PERS-R01 mide el cumplimiento del despliegue por tramo. Compara los nodos instalados y operativos con los programados: 30, 40 y 30 nodos, y 3, 4 y 3 gateways. Su línea base es cero por definición. PERS-R02 cuenta seis ciclos de calibración, dos por tramo, y se verifica con un informe de validación firmado por la metrología. PERS-R03 mide la disponibilidad de la plataforma en la nube. Su meta de 99,0 % admite 7,2 horas de caída en un mes de 720 horas (CALCULADO). Su línea base es VACIO, porque la plataforma aún no existe.</w:t>
      </w:r>
    </w:p>
    <w:p>
      <w:pPr>
        <w:pStyle w:val="TablaRotulo"/>
      </w:pPr>
      <w:bookmarkStart w:id="9329" w:name="rot_Tabla_12_2"/>
      <w:r>
        <w:rPr>
          <w:b/>
          <w:bCs/>
        </w:rPr>
        <w:t xml:space="preserve">Tabla 12.2</w:t>
      </w:r>
      <w:bookmarkEnd w:id="9329"/>
    </w:p>
    <w:p>
      <w:pPr>
        <w:pStyle w:val="TablaTitulo"/>
      </w:pPr>
      <w:r>
        <w:rPr>
          <w:i/>
          <w:iCs/>
        </w:rPr>
        <w:t xml:space="preserve">Ficha técnica PERS-R01 con clasificación Output de gestión: Cumplimiento del despliegue por tramo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PERS-R01</w:t>
            </w:r>
          </w:p>
        </w:tc>
      </w:tr>
      <w:tr>
        <w:trPr>
          <w:cantSplit/>
        </w:trPr>
        <w:tc>
          <w:tcPr/>
          <w:p>
            <w:pPr>
              <w:pStyle w:val="Tabla9"/>
            </w:pPr>
          </w:p>
        </w:tc>
        <w:tc>
          <w:tcPr/>
          <w:p>
            <w:pPr>
              <w:pStyle w:val="Tabla9"/>
              <w:jc w:val="left"/>
            </w:pPr>
            <w:r>
              <w:t xml:space="preserve">Nombre</w:t>
            </w:r>
          </w:p>
        </w:tc>
        <w:tc>
          <w:tcPr/>
          <w:p>
            <w:pPr>
              <w:pStyle w:val="Tabla9"/>
              <w:jc w:val="left"/>
            </w:pPr>
            <w:r>
              <w:t xml:space="preserve">Cumplimiento del despliegue por tramo</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p>
            <w:pPr>
              <w:pStyle w:val="Tabla9"/>
            </w:pPr>
          </w:p>
        </w:tc>
        <w:tc>
          <w:tcPr/>
          <w:p>
            <w:pPr>
              <w:pStyle w:val="Tabla9"/>
              <w:jc w:val="left"/>
            </w:pPr>
            <w:r>
              <w:t xml:space="preserve">Objetivo asociado</w:t>
            </w:r>
          </w:p>
        </w:tc>
        <w:tc>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w:t>
            </w:r>
          </w:p>
        </w:tc>
      </w:tr>
      <w:tr>
        <w:trPr>
          <w:cantSplit/>
        </w:trPr>
        <w:tc>
          <w:tcPr/>
          <w:p>
            <w:pPr>
              <w:pStyle w:val="Tabla9"/>
            </w:pPr>
          </w:p>
        </w:tc>
        <w:tc>
          <w:tcPr/>
          <w:p>
            <w:pPr>
              <w:pStyle w:val="Tabla9"/>
              <w:jc w:val="left"/>
            </w:pPr>
            <w:r>
              <w:t xml:space="preserve">Actividad (ACT)</w:t>
            </w:r>
          </w:p>
        </w:tc>
        <w:tc>
          <w:tcPr/>
          <w:p>
            <w:pPr>
              <w:pStyle w:val="Tabla9"/>
              <w:jc w:val="left"/>
            </w:pPr>
            <w:r>
              <w:t xml:space="preserve">A1.2 (semanas 14 a 24), A2.3 (semanas 50 a 62) y A2.4 (semanas 70 a 82)</w:t>
            </w:r>
          </w:p>
        </w:tc>
      </w:tr>
      <w:tr>
        <w:trPr>
          <w:cantSplit/>
        </w:trPr>
        <w:tc>
          <w:tcPr/>
          <w:p>
            <w:pPr>
              <w:pStyle w:val="Tabla9"/>
            </w:pPr>
          </w:p>
        </w:tc>
        <w:tc>
          <w:tcPr/>
          <w:p>
            <w:pPr>
              <w:pStyle w:val="Tabla9"/>
              <w:jc w:val="left"/>
            </w:pPr>
            <w:r>
              <w:t xml:space="preserve">Hito</w:t>
            </w:r>
          </w:p>
        </w:tc>
        <w:tc>
          <w:tcPr/>
          <w:p>
            <w:pPr>
              <w:pStyle w:val="Tabla9"/>
              <w:jc w:val="left"/>
            </w:pPr>
            <w:r>
              <w:t xml:space="preserve">H4 (mes 16) y H6 (mes 19)</w:t>
            </w:r>
          </w:p>
        </w:tc>
      </w:tr>
      <w:tr>
        <w:trPr>
          <w:cantSplit/>
        </w:trPr>
        <w:tc>
          <w:tcPr/>
          <w:p>
            <w:pPr>
              <w:pStyle w:val="Tabla9"/>
            </w:pPr>
          </w:p>
        </w:tc>
        <w:tc>
          <w:tcPr/>
          <w:p>
            <w:pPr>
              <w:pStyle w:val="Tabla9"/>
              <w:jc w:val="left"/>
            </w:pPr>
            <w:r>
              <w:t xml:space="preserve">Rubro presupuestal</w:t>
            </w:r>
          </w:p>
        </w:tc>
        <w:tc>
          <w:tcPr/>
          <w:p>
            <w:pPr>
              <w:pStyle w:val="Tabla9"/>
              <w:jc w:val="left"/>
            </w:pPr>
            <w:r>
              <w:t xml:space="preserve">E01, E04 y S05: 980,0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nodos instalados y operativos frente a los programados en cada tramo. El total es de 100 nodos y 10 gateways.</w:t>
            </w:r>
          </w:p>
        </w:tc>
      </w:tr>
      <w:tr>
        <w:trPr>
          <w:cantSplit/>
        </w:trPr>
        <w:tc>
          <w:tcPr/>
          <w:p>
            <w:pPr>
              <w:pStyle w:val="Tabla9"/>
            </w:pPr>
          </w:p>
        </w:tc>
        <w:tc>
          <w:tcPr/>
          <w:p>
            <w:pPr>
              <w:pStyle w:val="Tabla9"/>
              <w:jc w:val="left"/>
            </w:pPr>
            <w:r>
              <w:t xml:space="preserve">Justificación</w:t>
            </w:r>
          </w:p>
        </w:tc>
        <w:tc>
          <w:tcPr/>
          <w:p>
            <w:pPr>
              <w:pStyle w:val="Tabla9"/>
              <w:jc w:val="left"/>
            </w:pPr>
            <w:r>
              <w:t xml:space="preserve">Controla el avance físico de la red, que condiciona los demás indicadores. Una instalación retrasada desplaza las compuertas C1 y C2.</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Nodos instalados y operativos ÷ nodos programados × 100</w:t>
            </w:r>
          </w:p>
        </w:tc>
      </w:tr>
      <w:tr>
        <w:trPr>
          <w:cantSplit/>
        </w:trPr>
        <w:tc>
          <w:tcPr/>
          <w:p>
            <w:pPr>
              <w:pStyle w:val="Tabla9"/>
            </w:pPr>
          </w:p>
        </w:tc>
        <w:tc>
          <w:tcPr/>
          <w:p>
            <w:pPr>
              <w:pStyle w:val="Tabla9"/>
              <w:jc w:val="left"/>
            </w:pPr>
            <w:r>
              <w:t xml:space="preserve">Variables</w:t>
            </w:r>
          </w:p>
        </w:tc>
        <w:tc>
          <w:tcPr/>
          <w:p>
            <w:pPr>
              <w:pStyle w:val="Tabla9"/>
              <w:jc w:val="left"/>
            </w:pPr>
            <w:r>
              <w:t xml:space="preserve">Numerador: nodos instalados y operativos. Denominador: nodos programados del tramo (30, 40 y 30). Factor: 100. Los gateways se cuentan igual (3, 4 y 3).</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30 nodos (100 % del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70 nodos adicionales (100 % de los tramos 2 y 3)</w:t>
            </w:r>
          </w:p>
        </w:tc>
      </w:tr>
      <w:tr>
        <w:trPr>
          <w:cantSplit/>
        </w:trPr>
        <w:tc>
          <w:tcPr/>
          <w:p>
            <w:pPr>
              <w:pStyle w:val="Tabla9"/>
            </w:pPr>
          </w:p>
        </w:tc>
        <w:tc>
          <w:tcPr/>
          <w:p>
            <w:pPr>
              <w:pStyle w:val="Tabla9"/>
              <w:jc w:val="left"/>
            </w:pPr>
            <w:r>
              <w:t xml:space="preserve">Meta final</w:t>
            </w:r>
          </w:p>
        </w:tc>
        <w:tc>
          <w:tcPr/>
          <w:p>
            <w:pPr>
              <w:pStyle w:val="Tabla9"/>
              <w:jc w:val="left"/>
            </w:pPr>
            <w:r>
              <w:t xml:space="preserve">100 nodos y 10 gateways (100 %)</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repite la programación por tramos. El tramo 1 compra 36 nodos y 4 gateways, el tramo 2 compra 48 y 4, y el tramo 3 compra 36 y 3, con 20 nodos y 1 gateway de reserva.</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Ingenieros IoT y de campo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Inventario de la plataforma y actas de instalación</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fotográfico y bitácoras de los técnicos departamentales</w:t>
            </w:r>
          </w:p>
        </w:tc>
      </w:tr>
      <w:tr>
        <w:trPr>
          <w:cantSplit/>
        </w:trPr>
        <w:tc>
          <w:tcPr/>
          <w:p>
            <w:pPr>
              <w:pStyle w:val="Tabla9"/>
            </w:pPr>
          </w:p>
        </w:tc>
        <w:tc>
          <w:tcPr/>
          <w:p>
            <w:pPr>
              <w:pStyle w:val="Tabla9"/>
              <w:jc w:val="left"/>
            </w:pPr>
            <w:r>
              <w:t xml:space="preserve">Instrumento</w:t>
            </w:r>
          </w:p>
        </w:tc>
        <w:tc>
          <w:tcPr/>
          <w:p>
            <w:pPr>
              <w:pStyle w:val="Tabla9"/>
              <w:jc w:val="left"/>
            </w:pPr>
            <w:r>
              <w:t xml:space="preserve">Acta de instalación con coordenadas y número de serie</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en la nube del proyecto (línea E10) con copia de las actas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Tramo, departamento (Caldas 33, Cundinamarca 34 y Valle del Cauca 33 nodos; PROPUESTO) y municipio</w:t>
            </w:r>
          </w:p>
        </w:tc>
      </w:tr>
      <w:tr>
        <w:trPr>
          <w:cantSplit/>
        </w:trPr>
        <w:tc>
          <w:tcPr/>
          <w:p>
            <w:pPr>
              <w:pStyle w:val="Tabla9"/>
            </w:pPr>
          </w:p>
        </w:tc>
        <w:tc>
          <w:tcPr/>
          <w:p>
            <w:pPr>
              <w:pStyle w:val="Tabla9"/>
              <w:jc w:val="left"/>
            </w:pPr>
            <w:r>
              <w:t xml:space="preserve">Temporal</w:t>
            </w:r>
          </w:p>
        </w:tc>
        <w:tc>
          <w:tcPr/>
          <w:p>
            <w:pPr>
              <w:pStyle w:val="Tabla9"/>
              <w:jc w:val="left"/>
            </w:pPr>
            <w:r>
              <w:t xml:space="preserve">Mensual y acumulado por tramo</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 (indicador de infraestructura)</w:t>
            </w:r>
          </w:p>
        </w:tc>
      </w:tr>
      <w:tr>
        <w:trPr>
          <w:cantSplit/>
        </w:trPr>
        <w:tc>
          <w:tcPr/>
          <w:p>
            <w:pPr>
              <w:pStyle w:val="Tabla9"/>
            </w:pPr>
          </w:p>
        </w:tc>
        <w:tc>
          <w:tcPr/>
          <w:p>
            <w:pPr>
              <w:pStyle w:val="Tabla9"/>
              <w:jc w:val="left"/>
            </w:pPr>
            <w:r>
              <w:t xml:space="preserve">Otras</w:t>
            </w:r>
          </w:p>
        </w:tc>
        <w:tc>
          <w:tcPr/>
          <w:p>
            <w:pPr>
              <w:pStyle w:val="Tabla9"/>
              <w:jc w:val="left"/>
            </w:pPr>
            <w:r>
              <w:t xml:space="preserve">Tipo de equipo (nodo o gateway) y estado (instalado u operativo)</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 nodo instalado puede no estar operativo. El indicador exige operación verificada en la plataforma.</w:t>
            </w:r>
          </w:p>
        </w:tc>
      </w:tr>
      <w:tr>
        <w:trPr>
          <w:cantSplit/>
        </w:trPr>
        <w:tc>
          <w:tcPr/>
          <w:p>
            <w:pPr>
              <w:pStyle w:val="Tabla9"/>
            </w:pPr>
          </w:p>
        </w:tc>
        <w:tc>
          <w:tcPr/>
          <w:p>
            <w:pPr>
              <w:pStyle w:val="Tabla9"/>
              <w:jc w:val="left"/>
            </w:pPr>
            <w:r>
              <w:t xml:space="preserve">Cobertura</w:t>
            </w:r>
          </w:p>
        </w:tc>
        <w:tc>
          <w:tcPr/>
          <w:p>
            <w:pPr>
              <w:pStyle w:val="Tabla9"/>
              <w:jc w:val="left"/>
            </w:pPr>
            <w:r>
              <w:t xml:space="preserve">No mide la calidad del dato, que corresponde a PERS-R05 y a las compuertas.</w:t>
            </w:r>
          </w:p>
        </w:tc>
      </w:tr>
      <w:tr>
        <w:trPr>
          <w:cantSplit/>
        </w:trPr>
        <w:tc>
          <w:tcPr/>
          <w:p>
            <w:pPr>
              <w:pStyle w:val="Tabla9"/>
            </w:pPr>
          </w:p>
        </w:tc>
        <w:tc>
          <w:tcPr/>
          <w:p>
            <w:pPr>
              <w:pStyle w:val="Tabla9"/>
              <w:jc w:val="left"/>
            </w:pPr>
            <w:r>
              <w:t xml:space="preserve">Mitigación</w:t>
            </w:r>
          </w:p>
        </w:tc>
        <w:tc>
          <w:tcPr/>
          <w:p>
            <w:pPr>
              <w:pStyle w:val="Tabla9"/>
              <w:jc w:val="left"/>
            </w:pPr>
            <w:r>
              <w:t xml:space="preserve">Cruce mensual entre inventario, actas y última transmisión recibida.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Acceso vial a los sitios en ventanas secas (R-EXT-01)</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Contratación completa en el mes 2 (H0) y compuertas aprobadas a tiempo</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Acceso vial a los sitios en ventanas secas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Acta de instalación con coordenadas y número de serie</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Acta firmada, registro fotográfico y extracto del inventario</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 con revisión de la evaluación externa (S07)</w:t>
            </w:r>
          </w:p>
        </w:tc>
      </w:tr>
      <w:tr>
        <w:trPr>
          <w:cantSplit/>
        </w:trPr>
        <w:tc>
          <w:tcPr/>
          <w:p>
            <w:pPr>
              <w:pStyle w:val="Tabla9"/>
            </w:pPr>
          </w:p>
        </w:tc>
        <w:tc>
          <w:tcPr/>
          <w:p>
            <w:pPr>
              <w:pStyle w:val="Tabla9"/>
              <w:jc w:val="left"/>
            </w:pPr>
            <w:r>
              <w:t xml:space="preserve">Periodicidad</w:t>
            </w:r>
          </w:p>
        </w:tc>
        <w:tc>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0" w:name="rot_Tabla_12_3"/>
      <w:r>
        <w:rPr>
          <w:b/>
          <w:bCs/>
        </w:rPr>
        <w:t xml:space="preserve">Tabla 12.3</w:t>
      </w:r>
      <w:bookmarkEnd w:id="9330"/>
    </w:p>
    <w:p>
      <w:pPr>
        <w:pStyle w:val="TablaTitulo"/>
      </w:pPr>
      <w:r>
        <w:rPr>
          <w:i/>
          <w:iCs/>
        </w:rPr>
        <w:t xml:space="preserve">Ficha técnica PERS-R02 con clasificación Output de gestión: Ciclos de calibración ejecutados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PERS-R02</w:t>
            </w:r>
          </w:p>
        </w:tc>
      </w:tr>
      <w:tr>
        <w:trPr>
          <w:cantSplit/>
        </w:trPr>
        <w:tc>
          <w:tcPr/>
          <w:p>
            <w:pPr>
              <w:pStyle w:val="Tabla9"/>
            </w:pPr>
          </w:p>
        </w:tc>
        <w:tc>
          <w:tcPr/>
          <w:p>
            <w:pPr>
              <w:pStyle w:val="Tabla9"/>
              <w:jc w:val="left"/>
            </w:pPr>
            <w:r>
              <w:t xml:space="preserve">Nombre</w:t>
            </w:r>
          </w:p>
        </w:tc>
        <w:tc>
          <w:tcPr/>
          <w:p>
            <w:pPr>
              <w:pStyle w:val="Tabla9"/>
              <w:jc w:val="left"/>
            </w:pPr>
            <w:r>
              <w:t xml:space="preserve">Ciclos de calibración ejecutados</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p>
            <w:pPr>
              <w:pStyle w:val="Tabla9"/>
            </w:pPr>
          </w:p>
        </w:tc>
        <w:tc>
          <w:tcPr/>
          <w:p>
            <w:pPr>
              <w:pStyle w:val="Tabla9"/>
              <w:jc w:val="left"/>
            </w:pPr>
            <w:r>
              <w:t xml:space="preserve">Objetivo asociado</w:t>
            </w:r>
          </w:p>
        </w:tc>
        <w:tc>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A1.4 (semanas 40 a 48), A1.5 (semanas 62 a 68) y A1.6 (semanas 82 a 98)</w:t>
            </w:r>
          </w:p>
        </w:tc>
      </w:tr>
      <w:tr>
        <w:trPr>
          <w:cantSplit/>
        </w:trPr>
        <w:tc>
          <w:tcPr/>
          <w:p>
            <w:pPr>
              <w:pStyle w:val="Tabla9"/>
            </w:pPr>
          </w:p>
        </w:tc>
        <w:tc>
          <w:tcPr/>
          <w:p>
            <w:pPr>
              <w:pStyle w:val="Tabla9"/>
              <w:jc w:val="left"/>
            </w:pPr>
            <w:r>
              <w:t xml:space="preserve">Hito</w:t>
            </w:r>
          </w:p>
        </w:tc>
        <w:tc>
          <w:tcPr/>
          <w:p>
            <w:pPr>
              <w:pStyle w:val="Tabla9"/>
              <w:jc w:val="left"/>
            </w:pPr>
            <w:r>
              <w:t xml:space="preserve">H3 (mes 12), H4 (mes 16) y H7 (mes 23)</w:t>
            </w:r>
          </w:p>
        </w:tc>
      </w:tr>
      <w:tr>
        <w:trPr>
          <w:cantSplit/>
        </w:trPr>
        <w:tc>
          <w:tcPr/>
          <w:p>
            <w:pPr>
              <w:pStyle w:val="Tabla9"/>
            </w:pPr>
          </w:p>
        </w:tc>
        <w:tc>
          <w:tcPr/>
          <w:p>
            <w:pPr>
              <w:pStyle w:val="Tabla9"/>
              <w:jc w:val="left"/>
            </w:pPr>
            <w:r>
              <w:t xml:space="preserve">Rubro presupuestal</w:t>
            </w:r>
          </w:p>
        </w:tc>
        <w:tc>
          <w:tcPr/>
          <w:p>
            <w:pPr>
              <w:pStyle w:val="Tabla9"/>
              <w:jc w:val="left"/>
            </w:pPr>
            <w:r>
              <w:t xml:space="preserve">P03, P07, E07, E08 y M02: 840,1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Cuenta los ciclos completos de entrenamiento, validación y despliegue del modelo de corrección que se aplica en los gateways.</w:t>
            </w:r>
          </w:p>
        </w:tc>
      </w:tr>
      <w:tr>
        <w:trPr>
          <w:cantSplit/>
        </w:trPr>
        <w:tc>
          <w:tcPr/>
          <w:p>
            <w:pPr>
              <w:pStyle w:val="Tabla9"/>
            </w:pPr>
          </w:p>
        </w:tc>
        <w:tc>
          <w:tcPr/>
          <w:p>
            <w:pPr>
              <w:pStyle w:val="Tabla9"/>
              <w:jc w:val="left"/>
            </w:pPr>
            <w:r>
              <w:t xml:space="preserve">Justificación</w:t>
            </w:r>
          </w:p>
        </w:tc>
        <w:tc>
          <w:tcPr/>
          <w:p>
            <w:pPr>
              <w:pStyle w:val="Tabla9"/>
              <w:jc w:val="left"/>
            </w:pPr>
            <w:r>
              <w:t xml:space="preserve">El modelo de corrección explica la reducción del error (SC-1). Sin ciclos completos no hay evidencia para decidir las compuertas.</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Número de ciclos completos de entrenamiento, validación y despliegue del modelo de corrección</w:t>
            </w:r>
          </w:p>
        </w:tc>
      </w:tr>
      <w:tr>
        <w:trPr>
          <w:cantSplit/>
        </w:trPr>
        <w:tc>
          <w:tcPr/>
          <w:p>
            <w:pPr>
              <w:pStyle w:val="Tabla9"/>
            </w:pPr>
          </w:p>
        </w:tc>
        <w:tc>
          <w:tcPr/>
          <w:p>
            <w:pPr>
              <w:pStyle w:val="Tabla9"/>
              <w:jc w:val="left"/>
            </w:pPr>
            <w:r>
              <w:t xml:space="preserve">Variables</w:t>
            </w:r>
          </w:p>
        </w:tc>
        <w:tc>
          <w:tcPr/>
          <w:p>
            <w:pPr>
              <w:pStyle w:val="Tabla9"/>
              <w:jc w:val="left"/>
            </w:pPr>
            <w:r>
              <w:t xml:space="preserve">Numerador: ciclos completos registrados. Denominador: no aplica (conteo). Factor: 6 ciclos, 2 por tramo.</w:t>
            </w:r>
          </w:p>
        </w:tc>
      </w:tr>
      <w:tr>
        <w:trPr>
          <w:cantSplit/>
        </w:trPr>
        <w:tc>
          <w:tcPr/>
          <w:p>
            <w:pPr>
              <w:pStyle w:val="Tabla9"/>
            </w:pPr>
          </w:p>
        </w:tc>
        <w:tc>
          <w:tcPr/>
          <w:p>
            <w:pPr>
              <w:pStyle w:val="Tabla9"/>
              <w:jc w:val="left"/>
            </w:pPr>
            <w:r>
              <w:t xml:space="preserve">Unidad</w:t>
            </w:r>
          </w:p>
        </w:tc>
        <w:tc>
          <w:tcPr/>
          <w:p>
            <w:pPr>
              <w:pStyle w:val="Tabla9"/>
              <w:jc w:val="left"/>
            </w:pPr>
            <w:r>
              <w:t xml:space="preserve">ciclos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2 ciclos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4 ciclos acumulados</w:t>
            </w:r>
          </w:p>
        </w:tc>
      </w:tr>
      <w:tr>
        <w:trPr>
          <w:cantSplit/>
        </w:trPr>
        <w:tc>
          <w:tcPr/>
          <w:p>
            <w:pPr>
              <w:pStyle w:val="Tabla9"/>
            </w:pPr>
          </w:p>
        </w:tc>
        <w:tc>
          <w:tcPr/>
          <w:p>
            <w:pPr>
              <w:pStyle w:val="Tabla9"/>
              <w:jc w:val="left"/>
            </w:pPr>
            <w:r>
              <w:t xml:space="preserve">Meta final</w:t>
            </w:r>
          </w:p>
        </w:tc>
        <w:tc>
          <w:tcPr/>
          <w:p>
            <w:pPr>
              <w:pStyle w:val="Tabla9"/>
              <w:jc w:val="left"/>
            </w:pPr>
            <w:r>
              <w:t xml:space="preserve">6 ciclos (2 por tramo)</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fija dos ciclos por tramo, y tres tramos suman seis. La composición de cada ciclo se define en el protocolo de calibración (PROPUESTO).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Científico de datos</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Registro de versiones del modelo</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Informes de validación con R², NRMSE, pendiente y sesgo frente a la referencia</w:t>
            </w:r>
          </w:p>
        </w:tc>
      </w:tr>
      <w:tr>
        <w:trPr>
          <w:cantSplit/>
        </w:trPr>
        <w:tc>
          <w:tcPr/>
          <w:p>
            <w:pPr>
              <w:pStyle w:val="Tabla9"/>
            </w:pPr>
          </w:p>
        </w:tc>
        <w:tc>
          <w:tcPr/>
          <w:p>
            <w:pPr>
              <w:pStyle w:val="Tabla9"/>
              <w:jc w:val="left"/>
            </w:pPr>
            <w:r>
              <w:t xml:space="preserve">Instrumento</w:t>
            </w:r>
          </w:p>
        </w:tc>
        <w:tc>
          <w:tcPr/>
          <w:p>
            <w:pPr>
              <w:pStyle w:val="Tabla9"/>
              <w:jc w:val="left"/>
            </w:pPr>
            <w:r>
              <w:t xml:space="preserve">Registro de versiones del modelo y del informe de validación</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Repositorio de código y modelos (línea E11)</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Tramo y departamento</w:t>
            </w:r>
          </w:p>
        </w:tc>
      </w:tr>
      <w:tr>
        <w:trPr>
          <w:cantSplit/>
        </w:trPr>
        <w:tc>
          <w:tcPr/>
          <w:p>
            <w:pPr>
              <w:pStyle w:val="Tabla9"/>
            </w:pPr>
          </w:p>
        </w:tc>
        <w:tc>
          <w:tcPr/>
          <w:p>
            <w:pPr>
              <w:pStyle w:val="Tabla9"/>
              <w:jc w:val="left"/>
            </w:pPr>
            <w:r>
              <w:t xml:space="preserve">Temporal</w:t>
            </w:r>
          </w:p>
        </w:tc>
        <w:tc>
          <w:tcPr/>
          <w:p>
            <w:pPr>
              <w:pStyle w:val="Tabla9"/>
              <w:jc w:val="left"/>
            </w:pPr>
            <w:r>
              <w:t xml:space="preserve">Por ciclo y acumulado</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Variable corregida: humedad, temperatura y fracción gruesa</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 ciclo completo no implica desempeño suficiente. El criterio de calidad son los umbrales R² ≥ 0,70, NRMSE ≤ 30 %, pendiente entre 0,65 y 1,35 y sesgo entre −5,0 y 5,0 µg/m³.</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cuenta ciclos y no mide el error, que se verifica en las compuertas C1 y C2.</w:t>
            </w:r>
          </w:p>
        </w:tc>
      </w:tr>
      <w:tr>
        <w:trPr>
          <w:cantSplit/>
        </w:trPr>
        <w:tc>
          <w:tcPr/>
          <w:p>
            <w:pPr>
              <w:pStyle w:val="Tabla9"/>
            </w:pPr>
          </w:p>
        </w:tc>
        <w:tc>
          <w:tcPr/>
          <w:p>
            <w:pPr>
              <w:pStyle w:val="Tabla9"/>
              <w:jc w:val="left"/>
            </w:pPr>
            <w:r>
              <w:t xml:space="preserve">Mitigación</w:t>
            </w:r>
          </w:p>
        </w:tc>
        <w:tc>
          <w:tcPr/>
          <w:p>
            <w:pPr>
              <w:pStyle w:val="Tabla9"/>
              <w:jc w:val="left"/>
            </w:pPr>
            <w:r>
              <w:t xml:space="preserve">Cada ciclo se cierra con un informe de validación firmado por la metrología.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Disponibilidad de datos pareados de las tres referencias</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Especialista en metrología y científico de datos contratados desde el mes 2 (H0)</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Datos de colocalización con completitud mayor o igual a 75 %</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Informe de validación firmado por la metrología</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Informe de validación firmado y entrada del registro de versiones</w:t>
            </w:r>
          </w:p>
        </w:tc>
      </w:tr>
      <w:tr>
        <w:trPr>
          <w:cantSplit/>
        </w:trPr>
        <w:tc>
          <w:tcPr/>
          <w:p>
            <w:pPr>
              <w:pStyle w:val="Tabla9"/>
            </w:pPr>
          </w:p>
        </w:tc>
        <w:tc>
          <w:tcPr/>
          <w:p>
            <w:pPr>
              <w:pStyle w:val="Tabla9"/>
              <w:jc w:val="left"/>
            </w:pPr>
            <w:r>
              <w:t xml:space="preserve">Responsable</w:t>
            </w:r>
          </w:p>
        </w:tc>
        <w:tc>
          <w:tcPr/>
          <w:p>
            <w:pPr>
              <w:pStyle w:val="Tabla9"/>
              <w:jc w:val="left"/>
            </w:pPr>
            <w:r>
              <w:t xml:space="preserve">Especialista en metrología</w:t>
            </w:r>
          </w:p>
        </w:tc>
      </w:tr>
      <w:tr>
        <w:trPr>
          <w:cantSplit/>
        </w:trPr>
        <w:tc>
          <w:tcPr/>
          <w:p>
            <w:pPr>
              <w:pStyle w:val="Tabla9"/>
            </w:pPr>
          </w:p>
        </w:tc>
        <w:tc>
          <w:tcPr/>
          <w:p>
            <w:pPr>
              <w:pStyle w:val="Tabla9"/>
              <w:jc w:val="left"/>
            </w:pPr>
            <w:r>
              <w:t xml:space="preserve">Periodicidad</w:t>
            </w:r>
          </w:p>
        </w:tc>
        <w:tc>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1" w:name="rot_Tabla_12_4"/>
      <w:r>
        <w:rPr>
          <w:b/>
          <w:bCs/>
        </w:rPr>
        <w:t xml:space="preserve">Tabla 12.4</w:t>
      </w:r>
      <w:bookmarkEnd w:id="9331"/>
    </w:p>
    <w:p>
      <w:pPr>
        <w:pStyle w:val="TablaTitulo"/>
      </w:pPr>
      <w:r>
        <w:rPr>
          <w:i/>
          <w:iCs/>
        </w:rPr>
        <w:t xml:space="preserve">Ficha técnica PERS-R03 con clasificación Output de gestión: Disponibilidad de la plataforma en la nube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PERS-R03</w:t>
            </w:r>
          </w:p>
        </w:tc>
      </w:tr>
      <w:tr>
        <w:trPr>
          <w:cantSplit/>
        </w:trPr>
        <w:tc>
          <w:tcPr/>
          <w:p>
            <w:pPr>
              <w:pStyle w:val="Tabla9"/>
            </w:pPr>
          </w:p>
        </w:tc>
        <w:tc>
          <w:tcPr/>
          <w:p>
            <w:pPr>
              <w:pStyle w:val="Tabla9"/>
              <w:jc w:val="left"/>
            </w:pPr>
            <w:r>
              <w:t xml:space="preserve">Nombre</w:t>
            </w:r>
          </w:p>
        </w:tc>
        <w:tc>
          <w:tcPr/>
          <w:p>
            <w:pPr>
              <w:pStyle w:val="Tabla9"/>
              <w:jc w:val="left"/>
            </w:pPr>
            <w:r>
              <w:t xml:space="preserve">Disponibilidad de la plataforma en la nube</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p>
            <w:pPr>
              <w:pStyle w:val="Tabla9"/>
            </w:pPr>
          </w:p>
        </w:tc>
        <w:tc>
          <w:tcPr/>
          <w:p>
            <w:pPr>
              <w:pStyle w:val="Tabla9"/>
              <w:jc w:val="left"/>
            </w:pPr>
            <w:r>
              <w:t xml:space="preserve">Objetivo asociado</w:t>
            </w:r>
          </w:p>
        </w:tc>
        <w:tc>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 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A2.1 (semanas 8 a 14) y A2.2 (semanas 14 a 24)</w:t>
            </w:r>
          </w:p>
        </w:tc>
      </w:tr>
      <w:tr>
        <w:trPr>
          <w:cantSplit/>
        </w:trPr>
        <w:tc>
          <w:tcPr/>
          <w:p>
            <w:pPr>
              <w:pStyle w:val="Tabla9"/>
            </w:pPr>
          </w:p>
        </w:tc>
        <w:tc>
          <w:tcPr/>
          <w:p>
            <w:pPr>
              <w:pStyle w:val="Tabla9"/>
              <w:jc w:val="left"/>
            </w:pPr>
            <w:r>
              <w:t xml:space="preserve">Hito</w:t>
            </w:r>
          </w:p>
        </w:tc>
        <w:tc>
          <w:tcPr/>
          <w:p>
            <w:pPr>
              <w:pStyle w:val="Tabla9"/>
              <w:jc w:val="left"/>
            </w:pPr>
            <w:r>
              <w:t xml:space="preserve">H2 (mes 10)</w:t>
            </w:r>
          </w:p>
        </w:tc>
      </w:tr>
      <w:tr>
        <w:trPr>
          <w:cantSplit/>
        </w:trPr>
        <w:tc>
          <w:tcPr/>
          <w:p>
            <w:pPr>
              <w:pStyle w:val="Tabla9"/>
            </w:pPr>
          </w:p>
        </w:tc>
        <w:tc>
          <w:tcPr/>
          <w:p>
            <w:pPr>
              <w:pStyle w:val="Tabla9"/>
              <w:jc w:val="left"/>
            </w:pPr>
            <w:r>
              <w:t xml:space="preserve">Rubro presupuestal</w:t>
            </w:r>
          </w:p>
        </w:tc>
        <w:tc>
          <w:tcPr/>
          <w:p>
            <w:pPr>
              <w:pStyle w:val="Tabla9"/>
              <w:jc w:val="left"/>
            </w:pPr>
            <w:r>
              <w:t xml:space="preserve">P08, E10 y E11: 681,0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el tiempo de servicio mensual de la plataforma que aloja el entrenamiento del modelo, el gemelo digital y el tablero.</w:t>
            </w:r>
          </w:p>
        </w:tc>
      </w:tr>
      <w:tr>
        <w:trPr>
          <w:cantSplit/>
        </w:trPr>
        <w:tc>
          <w:tcPr/>
          <w:p>
            <w:pPr>
              <w:pStyle w:val="Tabla9"/>
            </w:pPr>
          </w:p>
        </w:tc>
        <w:tc>
          <w:tcPr/>
          <w:p>
            <w:pPr>
              <w:pStyle w:val="Tabla9"/>
              <w:jc w:val="left"/>
            </w:pPr>
            <w:r>
              <w:t xml:space="preserve">Justificación</w:t>
            </w:r>
          </w:p>
        </w:tc>
        <w:tc>
          <w:tcPr/>
          <w:p>
            <w:pPr>
              <w:pStyle w:val="Tabla9"/>
              <w:jc w:val="left"/>
            </w:pPr>
            <w:r>
              <w:t xml:space="preserve">El tablero y el gemelo digital sostienen el uso institucional. Una plataforma caída interrumpe PERS-E01 aunque los nodos transmitan.</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Horas de servicio ÷ horas del mes × 100</w:t>
            </w:r>
          </w:p>
        </w:tc>
      </w:tr>
      <w:tr>
        <w:trPr>
          <w:cantSplit/>
        </w:trPr>
        <w:tc>
          <w:tcPr/>
          <w:p>
            <w:pPr>
              <w:pStyle w:val="Tabla9"/>
            </w:pPr>
          </w:p>
        </w:tc>
        <w:tc>
          <w:tcPr/>
          <w:p>
            <w:pPr>
              <w:pStyle w:val="Tabla9"/>
              <w:jc w:val="left"/>
            </w:pPr>
            <w:r>
              <w:t xml:space="preserve">Variables</w:t>
            </w:r>
          </w:p>
        </w:tc>
        <w:tc>
          <w:tcPr/>
          <w:p>
            <w:pPr>
              <w:pStyle w:val="Tabla9"/>
              <w:jc w:val="left"/>
            </w:pPr>
            <w:r>
              <w:t xml:space="preserve">Numerador: horas de servicio. Denominador: horas del mes.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Primer trimestre completo tras A2.2 (semana 24; PROPUESTO)</w:t>
            </w:r>
          </w:p>
        </w:tc>
      </w:tr>
      <w:tr>
        <w:trPr>
          <w:cantSplit/>
        </w:trPr>
        <w:tc>
          <w:tcPr/>
          <w:p>
            <w:pPr>
              <w:pStyle w:val="Tabla9"/>
            </w:pPr>
          </w:p>
        </w:tc>
        <w:tc>
          <w:tcPr/>
          <w:p>
            <w:pPr>
              <w:pStyle w:val="Tabla9"/>
              <w:jc w:val="left"/>
            </w:pPr>
            <w:r>
              <w:t xml:space="preserve">Fuente</w:t>
            </w:r>
          </w:p>
        </w:tc>
        <w:tc>
          <w:tcPr/>
          <w:p>
            <w:pPr>
              <w:pStyle w:val="Tabla9"/>
              <w:jc w:val="left"/>
            </w:pPr>
            <w:r>
              <w:t xml:space="preserve">Monitor de servicio de la plataforma</w:t>
            </w:r>
          </w:p>
        </w:tc>
      </w:tr>
      <w:tr>
        <w:trPr>
          <w:cantSplit/>
        </w:trPr>
        <w:tc>
          <w:tcPr/>
          <w:p>
            <w:pPr>
              <w:pStyle w:val="Tabla9"/>
            </w:pPr>
          </w:p>
        </w:tc>
        <w:tc>
          <w:tcPr/>
          <w:p>
            <w:pPr>
              <w:pStyle w:val="Tabla9"/>
              <w:jc w:val="left"/>
            </w:pPr>
            <w:r>
              <w:t xml:space="preserve">Metodología</w:t>
            </w:r>
          </w:p>
        </w:tc>
        <w:tc>
          <w:tcPr/>
          <w:p>
            <w:pPr>
              <w:pStyle w:val="Tabla9"/>
              <w:jc w:val="left"/>
            </w:pPr>
            <w:r>
              <w:t xml:space="preserve">Se mide desde la primera versión desplegada y se fija con el primer trimestre completo (PROPUESTO).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 99,0 %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99,0 %</w:t>
            </w:r>
          </w:p>
        </w:tc>
      </w:tr>
      <w:tr>
        <w:trPr>
          <w:cantSplit/>
        </w:trPr>
        <w:tc>
          <w:tcPr/>
          <w:p>
            <w:pPr>
              <w:pStyle w:val="Tabla9"/>
            </w:pPr>
          </w:p>
        </w:tc>
        <w:tc>
          <w:tcPr/>
          <w:p>
            <w:pPr>
              <w:pStyle w:val="Tabla9"/>
              <w:jc w:val="left"/>
            </w:pPr>
            <w:r>
              <w:t xml:space="preserve">Meta final</w:t>
            </w:r>
          </w:p>
        </w:tc>
        <w:tc>
          <w:tcPr/>
          <w:p>
            <w:pPr>
              <w:pStyle w:val="Tabla9"/>
              <w:jc w:val="left"/>
            </w:pPr>
            <w:r>
              <w:t xml:space="preserve">≥ 99,0 %</w:t>
            </w:r>
          </w:p>
        </w:tc>
      </w:tr>
      <w:tr>
        <w:trPr>
          <w:cantSplit/>
        </w:trPr>
        <w:tc>
          <w:tcPr/>
          <w:p>
            <w:pPr>
              <w:pStyle w:val="Tabla9"/>
            </w:pPr>
          </w:p>
        </w:tc>
        <w:tc>
          <w:tcPr/>
          <w:p>
            <w:pPr>
              <w:pStyle w:val="Tabla9"/>
              <w:jc w:val="left"/>
            </w:pPr>
            <w:r>
              <w:t xml:space="preserve">Justificación</w:t>
            </w:r>
          </w:p>
        </w:tc>
        <w:tc>
          <w:tcPr/>
          <w:p>
            <w:pPr>
              <w:pStyle w:val="Tabla9"/>
              <w:jc w:val="left"/>
            </w:pPr>
            <w:r>
              <w:t xml:space="preserve">Una meta de 99,0 % admite hasta 7,2 horas de indisponibilidad en un mes de 720 horas (CALCULADO). Es más exigente que la disponibilidad mensual de nodos de 90 % porque los gateways conservan 7 días de datos locales.</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Ingenieros de software y nube</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Ingenieros de software y nube</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Monitor de servicio de la plataforma</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Registros de incidentes y de mantenimiento</w:t>
            </w:r>
          </w:p>
        </w:tc>
      </w:tr>
      <w:tr>
        <w:trPr>
          <w:cantSplit/>
        </w:trPr>
        <w:tc>
          <w:tcPr/>
          <w:p>
            <w:pPr>
              <w:pStyle w:val="Tabla9"/>
            </w:pPr>
          </w:p>
        </w:tc>
        <w:tc>
          <w:tcPr/>
          <w:p>
            <w:pPr>
              <w:pStyle w:val="Tabla9"/>
              <w:jc w:val="left"/>
            </w:pPr>
            <w:r>
              <w:t xml:space="preserve">Instrumento</w:t>
            </w:r>
          </w:p>
        </w:tc>
        <w:tc>
          <w:tcPr/>
          <w:p>
            <w:pPr>
              <w:pStyle w:val="Tabla9"/>
              <w:jc w:val="left"/>
            </w:pPr>
            <w:r>
              <w:t xml:space="preserve">Monitor de servicio con sondeos periódicos</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Reportes del proveedor de nube (línea E10) y repositorio del proyecto</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No aplica (servicio único)</w:t>
            </w:r>
          </w:p>
        </w:tc>
      </w:tr>
      <w:tr>
        <w:trPr>
          <w:cantSplit/>
        </w:trPr>
        <w:tc>
          <w:tcPr/>
          <w:p>
            <w:pPr>
              <w:pStyle w:val="Tabla9"/>
            </w:pPr>
          </w:p>
        </w:tc>
        <w:tc>
          <w:tcPr/>
          <w:p>
            <w:pPr>
              <w:pStyle w:val="Tabla9"/>
              <w:jc w:val="left"/>
            </w:pPr>
            <w:r>
              <w:t xml:space="preserve">Temporal</w:t>
            </w:r>
          </w:p>
        </w:tc>
        <w:tc>
          <w:tcPr/>
          <w:p>
            <w:pPr>
              <w:pStyle w:val="Tabla9"/>
              <w:jc w:val="left"/>
            </w:pPr>
            <w:r>
              <w:t xml:space="preserve">Mensual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Componente: ingesta de datos, gemelo digital y tablero</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proveedor reporta su propia disponibilidad. La verificación independiente exige un monitor externo.</w:t>
            </w:r>
          </w:p>
        </w:tc>
      </w:tr>
      <w:tr>
        <w:trPr>
          <w:cantSplit/>
        </w:trPr>
        <w:tc>
          <w:tcPr/>
          <w:p>
            <w:pPr>
              <w:pStyle w:val="Tabla9"/>
            </w:pPr>
          </w:p>
        </w:tc>
        <w:tc>
          <w:tcPr/>
          <w:p>
            <w:pPr>
              <w:pStyle w:val="Tabla9"/>
              <w:jc w:val="left"/>
            </w:pPr>
            <w:r>
              <w:t xml:space="preserve">Cobertura</w:t>
            </w:r>
          </w:p>
        </w:tc>
        <w:tc>
          <w:tcPr/>
          <w:p>
            <w:pPr>
              <w:pStyle w:val="Tabla9"/>
              <w:jc w:val="left"/>
            </w:pPr>
            <w:r>
              <w:t xml:space="preserve">No mide la latencia ni la calidad del dato.</w:t>
            </w:r>
          </w:p>
        </w:tc>
      </w:tr>
      <w:tr>
        <w:trPr>
          <w:cantSplit/>
        </w:trPr>
        <w:tc>
          <w:tcPr/>
          <w:p>
            <w:pPr>
              <w:pStyle w:val="Tabla9"/>
            </w:pPr>
          </w:p>
        </w:tc>
        <w:tc>
          <w:tcPr/>
          <w:p>
            <w:pPr>
              <w:pStyle w:val="Tabla9"/>
              <w:jc w:val="left"/>
            </w:pPr>
            <w:r>
              <w:t xml:space="preserve">Mitigación</w:t>
            </w:r>
          </w:p>
        </w:tc>
        <w:tc>
          <w:tcPr/>
          <w:p>
            <w:pPr>
              <w:pStyle w:val="Tabla9"/>
              <w:jc w:val="left"/>
            </w:pPr>
            <w:r>
              <w:t xml:space="preserve">Monitor de servicio propio contrastado con el reporte del proveedor.</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Servicio de nube contratado con acuerdo de nivel de servicio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Contrato de nube vigente durante los 24 meses y contrapartida de infraestructura de la empresa (C06)</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Servicio contratado con acuerdo de nivel de servicio</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Bajo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Reporte mensual del proveedor de nube</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Reporte mensual de disponibilidad con registro de incidentes</w:t>
            </w:r>
          </w:p>
        </w:tc>
      </w:tr>
      <w:tr>
        <w:trPr>
          <w:cantSplit/>
        </w:trPr>
        <w:tc>
          <w:tcPr/>
          <w:p>
            <w:pPr>
              <w:pStyle w:val="Tabla9"/>
            </w:pPr>
          </w:p>
        </w:tc>
        <w:tc>
          <w:tcPr/>
          <w:p>
            <w:pPr>
              <w:pStyle w:val="Tabla9"/>
              <w:jc w:val="left"/>
            </w:pPr>
            <w:r>
              <w:t xml:space="preserve">Responsable</w:t>
            </w:r>
          </w:p>
        </w:tc>
        <w:tc>
          <w:tcPr/>
          <w:p>
            <w:pPr>
              <w:pStyle w:val="Tabla9"/>
              <w:jc w:val="left"/>
            </w:pPr>
            <w:r>
              <w:t xml:space="preserve">Ingenieros de software y nube, con revisión de la gerencia</w:t>
            </w:r>
          </w:p>
        </w:tc>
      </w:tr>
      <w:tr>
        <w:trPr>
          <w:cantSplit/>
        </w:trPr>
        <w:tc>
          <w:tcPr/>
          <w:p>
            <w:pPr>
              <w:pStyle w:val="Tabla9"/>
            </w:pPr>
          </w:p>
        </w:tc>
        <w:tc>
          <w:tcPr/>
          <w:p>
            <w:pPr>
              <w:pStyle w:val="Tabla9"/>
              <w:jc w:val="left"/>
            </w:pPr>
            <w:r>
              <w:t xml:space="preserve">Periodicidad</w:t>
            </w:r>
          </w:p>
        </w:tc>
        <w:tc>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PERS-R04 mide la desviación de la ejecución presupuestal. La meta de desviación absoluta de 5 % o menos al cierre equivale a 463,4 millones de COP (CALCULADO). PERS-R05 mide las horas-nodo de colocalización válidas. Una colocalización de 16 semanas con 30 nodos produce 80.640 horas posibles (16 por 168 por 30). La meta de 60.000 horas válidas exige una completitud de 74,4 %. Si la completitud real es de 75 %, el margen es de apenas 480 horas. Ese margen estrecho justifica el riesgo medio de la ficha y la rotación de nodos entre sitios. La literatura de calibración reporta que el desempeño de un sensor corregido depende del sitio y del periodo de colocalización (Giordano et al., 2021; Barkjohn et al., 2021).</w:t>
      </w:r>
    </w:p>
    <w:p>
      <w:pPr>
        <w:pStyle w:val="TablaRotulo"/>
      </w:pPr>
      <w:bookmarkStart w:id="9332" w:name="rot_Tabla_12_5"/>
      <w:r>
        <w:rPr>
          <w:b/>
          <w:bCs/>
        </w:rPr>
        <w:t xml:space="preserve">Tabla 12.5</w:t>
      </w:r>
      <w:bookmarkEnd w:id="9332"/>
    </w:p>
    <w:p>
      <w:pPr>
        <w:pStyle w:val="TablaTitulo"/>
      </w:pPr>
      <w:r>
        <w:rPr>
          <w:i/>
          <w:iCs/>
        </w:rPr>
        <w:t xml:space="preserve">Ficha técnica PERS-R04 con clasificación Output de gestión: Desviación de la ejecución presupuestal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PERS-R04</w:t>
            </w:r>
          </w:p>
        </w:tc>
      </w:tr>
      <w:tr>
        <w:trPr>
          <w:cantSplit/>
        </w:trPr>
        <w:tc>
          <w:tcPr/>
          <w:p>
            <w:pPr>
              <w:pStyle w:val="Tabla9"/>
            </w:pPr>
          </w:p>
        </w:tc>
        <w:tc>
          <w:tcPr/>
          <w:p>
            <w:pPr>
              <w:pStyle w:val="Tabla9"/>
              <w:jc w:val="left"/>
            </w:pPr>
            <w:r>
              <w:t xml:space="preserve">Nombre</w:t>
            </w:r>
          </w:p>
        </w:tc>
        <w:tc>
          <w:tcPr/>
          <w:p>
            <w:pPr>
              <w:pStyle w:val="Tabla9"/>
              <w:jc w:val="left"/>
            </w:pPr>
            <w:r>
              <w:t xml:space="preserve">Desviación de la ejecución presupuestal</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p>
            <w:pPr>
              <w:pStyle w:val="Tabla9"/>
            </w:pPr>
          </w:p>
        </w:tc>
        <w:tc>
          <w:tcPr/>
          <w:p>
            <w:pPr>
              <w:pStyle w:val="Tabla9"/>
              <w:jc w:val="left"/>
            </w:pPr>
            <w:r>
              <w:t xml:space="preserve">Objetivo asociado</w:t>
            </w:r>
          </w:p>
        </w:tc>
        <w:tc>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C2: red operativa con energía y enlace redundantes; 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A0.1 (semanas 0 a 8), C1 (semanas 48 a 50), C2 (semanas 68 a 70)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H0 (mes 2), H3 (mes 12), H5 (mes 17) y H8 (mes 24)</w:t>
            </w:r>
          </w:p>
        </w:tc>
      </w:tr>
      <w:tr>
        <w:trPr>
          <w:cantSplit/>
        </w:trPr>
        <w:tc>
          <w:tcPr/>
          <w:p>
            <w:pPr>
              <w:pStyle w:val="Tabla9"/>
            </w:pPr>
          </w:p>
        </w:tc>
        <w:tc>
          <w:tcPr/>
          <w:p>
            <w:pPr>
              <w:pStyle w:val="Tabla9"/>
              <w:jc w:val="left"/>
            </w:pPr>
            <w:r>
              <w:t xml:space="preserve">Rubro presupuestal</w:t>
            </w:r>
          </w:p>
        </w:tc>
        <w:tc>
          <w:tcPr/>
          <w:p>
            <w:pPr>
              <w:pStyle w:val="Tabla9"/>
              <w:jc w:val="left"/>
            </w:pPr>
            <w:r>
              <w:t xml:space="preserve">P06 y O05: 600,0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Compara la ejecución acumulada con la programación acumulada del presupuesto SGR de $ 8.729.840.000.</w:t>
            </w:r>
          </w:p>
        </w:tc>
      </w:tr>
      <w:tr>
        <w:trPr>
          <w:cantSplit/>
        </w:trPr>
        <w:tc>
          <w:tcPr/>
          <w:p>
            <w:pPr>
              <w:pStyle w:val="Tabla9"/>
            </w:pPr>
          </w:p>
        </w:tc>
        <w:tc>
          <w:tcPr/>
          <w:p>
            <w:pPr>
              <w:pStyle w:val="Tabla9"/>
              <w:jc w:val="left"/>
            </w:pPr>
            <w:r>
              <w:t xml:space="preserve">Justificación</w:t>
            </w:r>
          </w:p>
        </w:tc>
        <w:tc>
          <w:tcPr/>
          <w:p>
            <w:pPr>
              <w:pStyle w:val="Tabla9"/>
              <w:jc w:val="left"/>
            </w:pPr>
            <w:r>
              <w:t xml:space="preserve">Controla la viabilidad presupuestal y activa la reprogramación antes de que la desviación comprometa las compras por tramo.</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(Ejecución acumulada − programación acumulada) ÷ programación acumulada × 100</w:t>
            </w:r>
          </w:p>
        </w:tc>
      </w:tr>
      <w:tr>
        <w:trPr>
          <w:cantSplit/>
        </w:trPr>
        <w:tc>
          <w:tcPr/>
          <w:p>
            <w:pPr>
              <w:pStyle w:val="Tabla9"/>
            </w:pPr>
          </w:p>
        </w:tc>
        <w:tc>
          <w:tcPr/>
          <w:p>
            <w:pPr>
              <w:pStyle w:val="Tabla9"/>
              <w:jc w:val="left"/>
            </w:pPr>
            <w:r>
              <w:t xml:space="preserve">Variables</w:t>
            </w:r>
          </w:p>
        </w:tc>
        <w:tc>
          <w:tcPr/>
          <w:p>
            <w:pPr>
              <w:pStyle w:val="Tabla9"/>
              <w:jc w:val="left"/>
            </w:pPr>
            <w:r>
              <w:t xml:space="preserve">Numerador: ejecución acumulada menos programación acumulada. Denominador: programación acumulada.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|desviación| ≤ 10 %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|desviación| ≤ 10 %</w:t>
            </w:r>
          </w:p>
        </w:tc>
      </w:tr>
      <w:tr>
        <w:trPr>
          <w:cantSplit/>
        </w:trPr>
        <w:tc>
          <w:tcPr/>
          <w:p>
            <w:pPr>
              <w:pStyle w:val="Tabla9"/>
            </w:pPr>
          </w:p>
        </w:tc>
        <w:tc>
          <w:tcPr/>
          <w:p>
            <w:pPr>
              <w:pStyle w:val="Tabla9"/>
              <w:jc w:val="left"/>
            </w:pPr>
            <w:r>
              <w:t xml:space="preserve">Meta final</w:t>
            </w:r>
          </w:p>
        </w:tc>
        <w:tc>
          <w:tcPr/>
          <w:p>
            <w:pPr>
              <w:pStyle w:val="Tabla9"/>
              <w:jc w:val="left"/>
            </w:pPr>
            <w:r>
              <w:t xml:space="preserve">|desviación| ≤ 5 %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El límite de 5 % al cierre equivale a 436,5 millones de COP sobre el SGR solicitado (CALCULADO). La reserva de contingencia es de 636,0 millones de COP y su admisibilidad depende de los TdR (VACIO).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Gerencia de proyecto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Sistema de seguimiento presupuestal</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 financiero conciliado con el informe técnico</w:t>
            </w:r>
          </w:p>
        </w:tc>
      </w:tr>
      <w:tr>
        <w:trPr>
          <w:cantSplit/>
        </w:trPr>
        <w:tc>
          <w:tcPr/>
          <w:p>
            <w:pPr>
              <w:pStyle w:val="Tabla9"/>
            </w:pPr>
          </w:p>
        </w:tc>
        <w:tc>
          <w:tcPr/>
          <w:p>
            <w:pPr>
              <w:pStyle w:val="Tabla9"/>
              <w:jc w:val="left"/>
            </w:pPr>
            <w:r>
              <w:t xml:space="preserve">Instrumento</w:t>
            </w:r>
          </w:p>
        </w:tc>
        <w:tc>
          <w:tcPr/>
          <w:p>
            <w:pPr>
              <w:pStyle w:val="Tabla9"/>
              <w:jc w:val="left"/>
            </w:pPr>
            <w:r>
              <w:t xml:space="preserve">Sistema de seguimiento presupuestal (línea O05)</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de seguimiento y soportes contables de la entidad ejecutora</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Paquete de trabajo (WP0 a WP3) y rubro SGR</w:t>
            </w:r>
          </w:p>
        </w:tc>
      </w:tr>
      <w:tr>
        <w:trPr>
          <w:cantSplit/>
        </w:trPr>
        <w:tc>
          <w:tcPr/>
          <w:p>
            <w:pPr>
              <w:pStyle w:val="Tabla9"/>
            </w:pPr>
          </w:p>
        </w:tc>
        <w:tc>
          <w:tcPr/>
          <w:p>
            <w:pPr>
              <w:pStyle w:val="Tabla9"/>
              <w:jc w:val="left"/>
            </w:pPr>
            <w:r>
              <w:t xml:space="preserve">Temporal</w:t>
            </w:r>
          </w:p>
        </w:tc>
        <w:tc>
          <w:tcPr/>
          <w:p>
            <w:pPr>
              <w:pStyle w:val="Tabla9"/>
              <w:jc w:val="left"/>
            </w:pPr>
            <w:r>
              <w:t xml:space="preserve">Mensual y semestral (flujo programado de cuatro semestres)</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Fuente de financiación (SGR o contrapartida) y rubro (siete rubros SGR)</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La programación depende del flujo semestral, y las compras por tramo concentran el gasto en los meses 5, 13 y 18.</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no mide el valor entregado por cada peso ejecutado.</w:t>
            </w:r>
          </w:p>
        </w:tc>
      </w:tr>
      <w:tr>
        <w:trPr>
          <w:cantSplit/>
        </w:trPr>
        <w:tc>
          <w:tcPr/>
          <w:p>
            <w:pPr>
              <w:pStyle w:val="Tabla9"/>
            </w:pPr>
          </w:p>
        </w:tc>
        <w:tc>
          <w:tcPr/>
          <w:p>
            <w:pPr>
              <w:pStyle w:val="Tabla9"/>
              <w:jc w:val="left"/>
            </w:pPr>
            <w:r>
              <w:t xml:space="preserve">Mitigación</w:t>
            </w:r>
          </w:p>
        </w:tc>
        <w:tc>
          <w:tcPr/>
          <w:p>
            <w:pPr>
              <w:pStyle w:val="Tabla9"/>
              <w:jc w:val="left"/>
            </w:pPr>
            <w:r>
              <w:t xml:space="preserve">Reprogramación documentada en cada compuerta.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Tipo de cambio estable frente a las cotizaciones (R-FIN-01)</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Gerencia de proyecto y plataforma de seguimiento activas desde el mes 1</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Desembolsos oportunos por tramo</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Informe financiero conciliado con el técnico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Informe financiero conciliado y cuadro de ejecución por rubro</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 con revisión de la evaluación externa (S07)</w:t>
            </w:r>
          </w:p>
        </w:tc>
      </w:tr>
      <w:tr>
        <w:trPr>
          <w:cantSplit/>
        </w:trPr>
        <w:tc>
          <w:tcPr/>
          <w:p>
            <w:pPr>
              <w:pStyle w:val="Tabla9"/>
            </w:pPr>
          </w:p>
        </w:tc>
        <w:tc>
          <w:tcPr/>
          <w:p>
            <w:pPr>
              <w:pStyle w:val="Tabla9"/>
              <w:jc w:val="left"/>
            </w:pPr>
            <w:r>
              <w:t xml:space="preserve">Periodicidad</w:t>
            </w:r>
          </w:p>
        </w:tc>
        <w:tc>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3" w:name="rot_Tabla_12_6"/>
      <w:r>
        <w:rPr>
          <w:b/>
          <w:bCs/>
        </w:rPr>
        <w:t xml:space="preserve">Tabla 12.6</w:t>
      </w:r>
      <w:bookmarkEnd w:id="9333"/>
    </w:p>
    <w:p>
      <w:pPr>
        <w:pStyle w:val="TablaTitulo"/>
      </w:pPr>
      <w:r>
        <w:rPr>
          <w:i/>
          <w:iCs/>
        </w:rPr>
        <w:t xml:space="preserve">Ficha técnica PERS-R05 con clasificación Output de gestión: Horas-nodo de colocalización válidas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PERS-R05</w:t>
            </w:r>
          </w:p>
        </w:tc>
      </w:tr>
      <w:tr>
        <w:trPr>
          <w:cantSplit/>
        </w:trPr>
        <w:tc>
          <w:tcPr/>
          <w:p>
            <w:pPr>
              <w:pStyle w:val="Tabla9"/>
            </w:pPr>
          </w:p>
        </w:tc>
        <w:tc>
          <w:tcPr/>
          <w:p>
            <w:pPr>
              <w:pStyle w:val="Tabla9"/>
              <w:jc w:val="left"/>
            </w:pPr>
            <w:r>
              <w:t xml:space="preserve">Nombre</w:t>
            </w:r>
          </w:p>
        </w:tc>
        <w:tc>
          <w:tcPr/>
          <w:p>
            <w:pPr>
              <w:pStyle w:val="Tabla9"/>
              <w:jc w:val="left"/>
            </w:pPr>
            <w:r>
              <w:t xml:space="preserve">Horas-nodo de colocalización válidas</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p>
            <w:pPr>
              <w:pStyle w:val="Tabla9"/>
            </w:pPr>
          </w:p>
        </w:tc>
        <w:tc>
          <w:tcPr/>
          <w:p>
            <w:pPr>
              <w:pStyle w:val="Tabla9"/>
              <w:jc w:val="left"/>
            </w:pPr>
            <w:r>
              <w:t xml:space="preserve">Objetivo asociado</w:t>
            </w:r>
          </w:p>
        </w:tc>
        <w:tc>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A1.1 (semanas 8 a 12), A1.2 (semanas 14 a 24) y A1.3 (semanas 24 a 40)</w:t>
            </w:r>
          </w:p>
        </w:tc>
      </w:tr>
      <w:tr>
        <w:trPr>
          <w:cantSplit/>
        </w:trPr>
        <w:tc>
          <w:tcPr/>
          <w:p>
            <w:pPr>
              <w:pStyle w:val="Tabla9"/>
            </w:pPr>
          </w:p>
        </w:tc>
        <w:tc>
          <w:tcPr/>
          <w:p>
            <w:pPr>
              <w:pStyle w:val="Tabla9"/>
              <w:jc w:val="left"/>
            </w:pPr>
            <w:r>
              <w:t xml:space="preserve">Hito</w:t>
            </w:r>
          </w:p>
        </w:tc>
        <w:tc>
          <w:tcPr/>
          <w:p>
            <w:pPr>
              <w:pStyle w:val="Tabla9"/>
              <w:jc w:val="left"/>
            </w:pPr>
            <w:r>
              <w:t xml:space="preserve">H2 (mes 10)</w:t>
            </w:r>
          </w:p>
        </w:tc>
      </w:tr>
      <w:tr>
        <w:trPr>
          <w:cantSplit/>
        </w:trPr>
        <w:tc>
          <w:tcPr/>
          <w:p>
            <w:pPr>
              <w:pStyle w:val="Tabla9"/>
            </w:pPr>
          </w:p>
        </w:tc>
        <w:tc>
          <w:tcPr/>
          <w:p>
            <w:pPr>
              <w:pStyle w:val="Tabla9"/>
              <w:jc w:val="left"/>
            </w:pPr>
            <w:r>
              <w:t xml:space="preserve">Rubro presupuestal</w:t>
            </w:r>
          </w:p>
        </w:tc>
        <w:tc>
          <w:tcPr/>
          <w:p>
            <w:pPr>
              <w:pStyle w:val="Tabla9"/>
              <w:jc w:val="left"/>
            </w:pPr>
            <w:r>
              <w:t xml:space="preserve">P07, E03, M01 y S01: 641,4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Suma las horas con dato pareado entre un nodo y una referencia gravimétrica que cumplen el control de calidad.</w:t>
            </w:r>
          </w:p>
        </w:tc>
      </w:tr>
      <w:tr>
        <w:trPr>
          <w:cantSplit/>
        </w:trPr>
        <w:tc>
          <w:tcPr/>
          <w:p>
            <w:pPr>
              <w:pStyle w:val="Tabla9"/>
            </w:pPr>
          </w:p>
        </w:tc>
        <w:tc>
          <w:tcPr/>
          <w:p>
            <w:pPr>
              <w:pStyle w:val="Tabla9"/>
              <w:jc w:val="left"/>
            </w:pPr>
            <w:r>
              <w:t xml:space="preserve">Justificación</w:t>
            </w:r>
          </w:p>
        </w:tc>
        <w:tc>
          <w:tcPr/>
          <w:p>
            <w:pPr>
              <w:pStyle w:val="Tabla9"/>
              <w:jc w:val="left"/>
            </w:pPr>
            <w:r>
              <w:t xml:space="preserve">La colocalización alimenta el entrenamiento del modelo (SC-1). Sin horas suficientes y sin rotaciones, la corrección no generaliza entre departamentos (R-TEC-04).</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Suma de horas con dato pareado entre nodo y referencia que cumplen el control de calidad</w:t>
            </w:r>
          </w:p>
        </w:tc>
      </w:tr>
      <w:tr>
        <w:trPr>
          <w:cantSplit/>
        </w:trPr>
        <w:tc>
          <w:tcPr/>
          <w:p>
            <w:pPr>
              <w:pStyle w:val="Tabla9"/>
            </w:pPr>
          </w:p>
        </w:tc>
        <w:tc>
          <w:tcPr/>
          <w:p>
            <w:pPr>
              <w:pStyle w:val="Tabla9"/>
              <w:jc w:val="left"/>
            </w:pPr>
            <w:r>
              <w:t xml:space="preserve">Variables</w:t>
            </w:r>
          </w:p>
        </w:tc>
        <w:tc>
          <w:tcPr/>
          <w:p>
            <w:pPr>
              <w:pStyle w:val="Tabla9"/>
              <w:jc w:val="left"/>
            </w:pPr>
            <w:r>
              <w:t xml:space="preserve">Numerador: horas pareadas válidas por nodo. Denominador: no aplica (suma). Unidad: horas-nodo.</w:t>
            </w:r>
          </w:p>
        </w:tc>
      </w:tr>
      <w:tr>
        <w:trPr>
          <w:cantSplit/>
        </w:trPr>
        <w:tc>
          <w:tcPr/>
          <w:p>
            <w:pPr>
              <w:pStyle w:val="Tabla9"/>
            </w:pPr>
          </w:p>
        </w:tc>
        <w:tc>
          <w:tcPr/>
          <w:p>
            <w:pPr>
              <w:pStyle w:val="Tabla9"/>
              <w:jc w:val="left"/>
            </w:pPr>
            <w:r>
              <w:t xml:space="preserve">Unidad</w:t>
            </w:r>
          </w:p>
        </w:tc>
        <w:tc>
          <w:tcPr/>
          <w:p>
            <w:pPr>
              <w:pStyle w:val="Tabla9"/>
              <w:jc w:val="left"/>
            </w:pPr>
            <w:r>
              <w:t xml:space="preserve">horas-nodo</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 60.000 horas-nodo en el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60.000 + rotaciones trimestrales</w:t>
            </w:r>
          </w:p>
        </w:tc>
      </w:tr>
      <w:tr>
        <w:trPr>
          <w:cantSplit/>
        </w:trPr>
        <w:tc>
          <w:tcPr/>
          <w:p>
            <w:pPr>
              <w:pStyle w:val="Tabla9"/>
            </w:pPr>
          </w:p>
        </w:tc>
        <w:tc>
          <w:tcPr/>
          <w:p>
            <w:pPr>
              <w:pStyle w:val="Tabla9"/>
              <w:jc w:val="left"/>
            </w:pPr>
            <w:r>
              <w:t xml:space="preserve">Meta final</w:t>
            </w:r>
          </w:p>
        </w:tc>
        <w:tc>
          <w:tcPr/>
          <w:p>
            <w:pPr>
              <w:pStyle w:val="Tabla9"/>
              <w:jc w:val="left"/>
            </w:pPr>
            <w:r>
              <w:t xml:space="preserve">≥ 60.000 y 4 rotaciones por departamento</w:t>
            </w:r>
          </w:p>
        </w:tc>
      </w:tr>
      <w:tr>
        <w:trPr>
          <w:cantSplit/>
        </w:trPr>
        <w:tc>
          <w:tcPr/>
          <w:p>
            <w:pPr>
              <w:pStyle w:val="Tabla9"/>
            </w:pPr>
          </w:p>
        </w:tc>
        <w:tc>
          <w:tcPr/>
          <w:p>
            <w:pPr>
              <w:pStyle w:val="Tabla9"/>
              <w:jc w:val="left"/>
            </w:pPr>
            <w:r>
              <w:t xml:space="preserve">Justificación</w:t>
            </w:r>
          </w:p>
        </w:tc>
        <w:tc>
          <w:tcPr/>
          <w:p>
            <w:pPr>
              <w:pStyle w:val="Tabla9"/>
              <w:jc w:val="left"/>
            </w:pPr>
            <w:r>
              <w:t xml:space="preserve">Las 60.000 horas-nodo equivalen a 74,4 % de las 80.640 posibles si los 30 nodos del tramo 1 permanecen pareados durante las 16 semanas de A1.3 (CALCULADO; SUPUESTO de cálculo).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Especialista en metrología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Especialista en metrología</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Base de datos de colocalización</w:t>
            </w:r>
          </w:p>
        </w:tc>
      </w:tr>
      <w:tr>
        <w:trPr>
          <w:cantSplit/>
        </w:trPr>
        <w:tc>
          <w:tcPr/>
          <w:p>
            <w:pPr>
              <w:pStyle w:val="Tabla9"/>
            </w:pPr>
          </w:p>
        </w:tc>
        <w:tc>
          <w:tcPr/>
          <w:p>
            <w:pPr>
              <w:pStyle w:val="Tabla9"/>
              <w:jc w:val="left"/>
            </w:pPr>
            <w:r>
              <w:t xml:space="preserve">Fuente secundaria</w:t>
            </w:r>
          </w:p>
        </w:tc>
        <w:tc>
          <w:tcPr/>
          <w:p>
            <w:pPr>
              <w:pStyle w:val="Tabla9"/>
              <w:jc w:val="left"/>
            </w:pPr>
            <w:r>
              <w:t xml:space="preserve">Bitácora de la referencia y análisis gravimétricos de laboratorio acreditado (línea S01)</w:t>
            </w:r>
          </w:p>
        </w:tc>
      </w:tr>
      <w:tr>
        <w:trPr>
          <w:cantSplit/>
        </w:trPr>
        <w:tc>
          <w:tcPr/>
          <w:p>
            <w:pPr>
              <w:pStyle w:val="Tabla9"/>
            </w:pPr>
          </w:p>
        </w:tc>
        <w:tc>
          <w:tcPr/>
          <w:p>
            <w:pPr>
              <w:pStyle w:val="Tabla9"/>
              <w:jc w:val="left"/>
            </w:pPr>
            <w:r>
              <w:t xml:space="preserve">Instrumento</w:t>
            </w:r>
          </w:p>
        </w:tc>
        <w:tc>
          <w:tcPr/>
          <w:p>
            <w:pPr>
              <w:pStyle w:val="Tabla9"/>
              <w:jc w:val="left"/>
            </w:pPr>
            <w:r>
              <w:t xml:space="preserve">Tablero de calidad de datos con reglas de completitud y de rango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Base de datos de colocalización en la nube</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(una referencia por departamento) y tramo</w:t>
            </w:r>
          </w:p>
        </w:tc>
      </w:tr>
      <w:tr>
        <w:trPr>
          <w:cantSplit/>
        </w:trPr>
        <w:tc>
          <w:tcPr/>
          <w:p>
            <w:pPr>
              <w:pStyle w:val="Tabla9"/>
            </w:pPr>
          </w:p>
        </w:tc>
        <w:tc>
          <w:tcPr/>
          <w:p>
            <w:pPr>
              <w:pStyle w:val="Tabla9"/>
              <w:jc w:val="left"/>
            </w:pPr>
            <w:r>
              <w:t xml:space="preserve">Temporal</w:t>
            </w:r>
          </w:p>
        </w:tc>
        <w:tc>
          <w:tcPr/>
          <w:p>
            <w:pPr>
              <w:pStyle w:val="Tabla9"/>
              <w:jc w:val="left"/>
            </w:pPr>
            <w:r>
              <w:t xml:space="preserve">Mensual y por rotación (cuatro por departamento)</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Par nodo-referencia y contaminante (PM2,5 y PM10)</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hora válida depende de reglas de control de calidad que fija el protocolo. Sin ellas el conteo se infla.</w:t>
            </w:r>
          </w:p>
        </w:tc>
      </w:tr>
      <w:tr>
        <w:trPr>
          <w:cantSplit/>
        </w:trPr>
        <w:tc>
          <w:tcPr/>
          <w:p>
            <w:pPr>
              <w:pStyle w:val="Tabla9"/>
            </w:pPr>
          </w:p>
        </w:tc>
        <w:tc>
          <w:tcPr/>
          <w:p>
            <w:pPr>
              <w:pStyle w:val="Tabla9"/>
              <w:jc w:val="left"/>
            </w:pPr>
            <w:r>
              <w:t xml:space="preserve">Cobertura</w:t>
            </w:r>
          </w:p>
        </w:tc>
        <w:tc>
          <w:tcPr/>
          <w:p>
            <w:pPr>
              <w:pStyle w:val="Tabla9"/>
              <w:jc w:val="left"/>
            </w:pPr>
            <w:r>
              <w:t xml:space="preserve">Tres referencias cubren 100 nodos, de modo que la cobertura espacial de la colocalización es parcial.</w:t>
            </w:r>
          </w:p>
        </w:tc>
      </w:tr>
      <w:tr>
        <w:trPr>
          <w:cantSplit/>
        </w:trPr>
        <w:tc>
          <w:tcPr/>
          <w:p>
            <w:pPr>
              <w:pStyle w:val="Tabla9"/>
            </w:pPr>
          </w:p>
        </w:tc>
        <w:tc>
          <w:tcPr/>
          <w:p>
            <w:pPr>
              <w:pStyle w:val="Tabla9"/>
              <w:jc w:val="left"/>
            </w:pPr>
            <w:r>
              <w:t xml:space="preserve">Mitigación</w:t>
            </w:r>
          </w:p>
        </w:tc>
        <w:tc>
          <w:tcPr/>
          <w:p>
            <w:pPr>
              <w:pStyle w:val="Tabla9"/>
              <w:jc w:val="left"/>
            </w:pPr>
            <w:r>
              <w:t xml:space="preserve">Cuatro rotaciones por departamento y validación cruzada entre departamentos (R-TEC-04).</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Tres referencias operando con completitud mayor o igual a 90 %</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Referencias instaladas entre los meses 4 y 6 (línea E03)</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Tres referencias operando con completitud mayor o igual a 90 %</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Bitácora de la referencia y tablero de calidad de datos</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Bitácora de la referencia y reporte del tablero de calidad de datos</w:t>
            </w:r>
          </w:p>
        </w:tc>
      </w:tr>
      <w:tr>
        <w:trPr>
          <w:cantSplit/>
        </w:trPr>
        <w:tc>
          <w:tcPr/>
          <w:p>
            <w:pPr>
              <w:pStyle w:val="Tabla9"/>
            </w:pPr>
          </w:p>
        </w:tc>
        <w:tc>
          <w:tcPr/>
          <w:p>
            <w:pPr>
              <w:pStyle w:val="Tabla9"/>
              <w:jc w:val="left"/>
            </w:pPr>
            <w:r>
              <w:t xml:space="preserve">Responsable</w:t>
            </w:r>
          </w:p>
        </w:tc>
        <w:tc>
          <w:tcPr/>
          <w:p>
            <w:pPr>
              <w:pStyle w:val="Tabla9"/>
              <w:jc w:val="left"/>
            </w:pPr>
            <w:r>
              <w:t xml:space="preserve">Especialista en metrología</w:t>
            </w:r>
          </w:p>
        </w:tc>
      </w:tr>
      <w:tr>
        <w:trPr>
          <w:cantSplit/>
        </w:trPr>
        <w:tc>
          <w:tcPr/>
          <w:p>
            <w:pPr>
              <w:pStyle w:val="Tabla9"/>
            </w:pPr>
          </w:p>
        </w:tc>
        <w:tc>
          <w:tcPr/>
          <w:p>
            <w:pPr>
              <w:pStyle w:val="Tabla9"/>
              <w:jc w:val="left"/>
            </w:pPr>
            <w:r>
              <w:t xml:space="preserve">Periodicidad</w:t>
            </w:r>
          </w:p>
        </w:tc>
        <w:tc>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4" w:name="rot_Tabla_12_7"/>
      <w:r>
        <w:rPr>
          <w:b/>
          <w:bCs/>
        </w:rPr>
        <w:t xml:space="preserve">Tabla 12.7</w:t>
      </w:r>
      <w:bookmarkEnd w:id="9334"/>
    </w:p>
    <w:p>
      <w:pPr>
        <w:pStyle w:val="TablaTitulo"/>
      </w:pPr>
      <w:r>
        <w:rPr>
          <w:i/>
          <w:iCs/>
        </w:rPr>
        <w:t xml:space="preserve">Ficha técnica PERS-R06 con clasificación Output de gestión: Cumplimiento de informes de seguimiento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76"/>
        <w:gridCol w:w="3498"/>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PERS-R06</w:t>
            </w:r>
          </w:p>
        </w:tc>
      </w:tr>
      <w:tr>
        <w:trPr>
          <w:cantSplit/>
        </w:trPr>
        <w:tc>
          <w:tcPr/>
          <w:p>
            <w:pPr>
              <w:pStyle w:val="Tabla9"/>
            </w:pPr>
          </w:p>
        </w:tc>
        <w:tc>
          <w:tcPr/>
          <w:p>
            <w:pPr>
              <w:pStyle w:val="Tabla9"/>
              <w:jc w:val="left"/>
            </w:pPr>
            <w:r>
              <w:t xml:space="preserve">Nombre</w:t>
            </w:r>
          </w:p>
        </w:tc>
        <w:tc>
          <w:tcPr/>
          <w:p>
            <w:pPr>
              <w:pStyle w:val="Tabla9"/>
              <w:jc w:val="left"/>
            </w:pPr>
            <w:r>
              <w:t xml:space="preserve">Cumplimiento de informes de seguimiento</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p>
            <w:pPr>
              <w:pStyle w:val="Tabla9"/>
            </w:pPr>
          </w:p>
        </w:tc>
        <w:tc>
          <w:tcPr/>
          <w:p>
            <w:pPr>
              <w:pStyle w:val="Tabla9"/>
              <w:jc w:val="left"/>
            </w:pPr>
            <w:r>
              <w:t xml:space="preserve">Objetivo asociado</w:t>
            </w:r>
          </w:p>
        </w:tc>
        <w:tc>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C2: red operativa con energía y enlace redundantes; 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A0.1 (semanas 0 a 8)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H0 (mes 2) y H8 (mes 24)</w:t>
            </w:r>
          </w:p>
        </w:tc>
      </w:tr>
      <w:tr>
        <w:trPr>
          <w:cantSplit/>
        </w:trPr>
        <w:tc>
          <w:tcPr/>
          <w:p>
            <w:pPr>
              <w:pStyle w:val="Tabla9"/>
            </w:pPr>
          </w:p>
        </w:tc>
        <w:tc>
          <w:tcPr/>
          <w:p>
            <w:pPr>
              <w:pStyle w:val="Tabla9"/>
              <w:jc w:val="left"/>
            </w:pPr>
            <w:r>
              <w:t xml:space="preserve">Rubro presupuestal</w:t>
            </w:r>
          </w:p>
        </w:tc>
        <w:tc>
          <w:tcPr/>
          <w:p>
            <w:pPr>
              <w:pStyle w:val="Tabla9"/>
              <w:jc w:val="left"/>
            </w:pPr>
            <w:r>
              <w:t xml:space="preserve">P06: 240,0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informes técnicos y financieros entregados a tiempo frente a los exigidos.</w:t>
            </w:r>
          </w:p>
        </w:tc>
      </w:tr>
      <w:tr>
        <w:trPr>
          <w:cantSplit/>
        </w:trPr>
        <w:tc>
          <w:tcPr/>
          <w:p>
            <w:pPr>
              <w:pStyle w:val="Tabla9"/>
            </w:pPr>
          </w:p>
        </w:tc>
        <w:tc>
          <w:tcPr/>
          <w:p>
            <w:pPr>
              <w:pStyle w:val="Tabla9"/>
              <w:jc w:val="left"/>
            </w:pPr>
            <w:r>
              <w:t xml:space="preserve">Justificación</w:t>
            </w:r>
          </w:p>
        </w:tc>
        <w:tc>
          <w:tcPr/>
          <w:p>
            <w:pPr>
              <w:pStyle w:val="Tabla9"/>
              <w:jc w:val="left"/>
            </w:pPr>
            <w:r>
              <w:t xml:space="preserve">El cumplimiento de informes condiciona los desembolsos y la trazabilidad ante el financiador.</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Informes técnicos y financieros entregados a tiempo ÷ informes exigidos × 100</w:t>
            </w:r>
          </w:p>
        </w:tc>
      </w:tr>
      <w:tr>
        <w:trPr>
          <w:cantSplit/>
        </w:trPr>
        <w:tc>
          <w:tcPr/>
          <w:p>
            <w:pPr>
              <w:pStyle w:val="Tabla9"/>
            </w:pPr>
          </w:p>
        </w:tc>
        <w:tc>
          <w:tcPr/>
          <w:p>
            <w:pPr>
              <w:pStyle w:val="Tabla9"/>
              <w:jc w:val="left"/>
            </w:pPr>
            <w:r>
              <w:t xml:space="preserve">Variables</w:t>
            </w:r>
          </w:p>
        </w:tc>
        <w:tc>
          <w:tcPr/>
          <w:p>
            <w:pPr>
              <w:pStyle w:val="Tabla9"/>
              <w:jc w:val="left"/>
            </w:pPr>
            <w:r>
              <w:t xml:space="preserve">Numerador: informes entregados a tiempo. Denominador: informes exigidos.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informes entregados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100 %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100 %</w:t>
            </w:r>
          </w:p>
        </w:tc>
      </w:tr>
      <w:tr>
        <w:trPr>
          <w:cantSplit/>
        </w:trPr>
        <w:tc>
          <w:tcPr/>
          <w:p>
            <w:pPr>
              <w:pStyle w:val="Tabla9"/>
            </w:pPr>
          </w:p>
        </w:tc>
        <w:tc>
          <w:tcPr/>
          <w:p>
            <w:pPr>
              <w:pStyle w:val="Tabla9"/>
              <w:jc w:val="left"/>
            </w:pPr>
            <w:r>
              <w:t xml:space="preserve">Meta final</w:t>
            </w:r>
          </w:p>
        </w:tc>
        <w:tc>
          <w:tcPr/>
          <w:p>
            <w:pPr>
              <w:pStyle w:val="Tabla9"/>
              <w:jc w:val="left"/>
            </w:pPr>
            <w:r>
              <w:t xml:space="preserve">100 %</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es 100 % en los tres cortes. El número de informes exigidos depende de los TdR [DATO_USUARIO: calendario y número de informes exigidos].</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Gerencia de proyecto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Sistema de seguimiento del financiador</w:t>
            </w:r>
          </w:p>
        </w:tc>
      </w:tr>
      <w:tr>
        <w:trPr>
          <w:cantSplit/>
        </w:trPr>
        <w:tc>
          <w:tcPr/>
          <w:p>
            <w:pPr>
              <w:pStyle w:val="Tabla9"/>
            </w:pPr>
          </w:p>
        </w:tc>
        <w:tc>
          <w:tcPr/>
          <w:p>
            <w:pPr>
              <w:pStyle w:val="Tabla9"/>
              <w:jc w:val="left"/>
            </w:pPr>
            <w:r>
              <w:t xml:space="preserve">Fuente secundaria</w:t>
            </w:r>
          </w:p>
        </w:tc>
        <w:tc>
          <w:tcPr/>
          <w:p>
            <w:pPr>
              <w:pStyle w:val="Tabla9"/>
              <w:jc w:val="left"/>
            </w:pPr>
            <w:r>
              <w:t xml:space="preserve">Actas de compuerta e informes de la evaluación externa (línea S07)</w:t>
            </w:r>
          </w:p>
        </w:tc>
      </w:tr>
      <w:tr>
        <w:trPr>
          <w:cantSplit/>
        </w:trPr>
        <w:tc>
          <w:tcPr/>
          <w:p>
            <w:pPr>
              <w:pStyle w:val="Tabla9"/>
            </w:pPr>
          </w:p>
        </w:tc>
        <w:tc>
          <w:tcPr/>
          <w:p>
            <w:pPr>
              <w:pStyle w:val="Tabla9"/>
              <w:jc w:val="left"/>
            </w:pPr>
            <w:r>
              <w:t xml:space="preserve">Instrumento</w:t>
            </w:r>
          </w:p>
        </w:tc>
        <w:tc>
          <w:tcPr/>
          <w:p>
            <w:pPr>
              <w:pStyle w:val="Tabla9"/>
              <w:jc w:val="left"/>
            </w:pPr>
            <w:r>
              <w:t xml:space="preserve">Matriz de informes con fecha de vencimiento y radicado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Repositorio documental del proyecto</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Proyecto en conjunto</w:t>
            </w:r>
          </w:p>
        </w:tc>
      </w:tr>
      <w:tr>
        <w:trPr>
          <w:cantSplit/>
        </w:trPr>
        <w:tc>
          <w:tcPr/>
          <w:p>
            <w:pPr>
              <w:pStyle w:val="Tabla9"/>
            </w:pPr>
          </w:p>
        </w:tc>
        <w:tc>
          <w:tcPr/>
          <w:p>
            <w:pPr>
              <w:pStyle w:val="Tabla9"/>
              <w:jc w:val="left"/>
            </w:pPr>
            <w:r>
              <w:t xml:space="preserve">Temporal</w:t>
            </w:r>
          </w:p>
        </w:tc>
        <w:tc>
          <w:tcPr/>
          <w:p>
            <w:pPr>
              <w:pStyle w:val="Tabla9"/>
              <w:jc w:val="left"/>
            </w:pPr>
            <w:r>
              <w:t xml:space="preserve">Mensual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Tipo de informe: técnico o financiero</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Cumplir el plazo no mide la calidad del contenido.</w:t>
            </w:r>
          </w:p>
        </w:tc>
      </w:tr>
      <w:tr>
        <w:trPr>
          <w:cantSplit/>
        </w:trPr>
        <w:tc>
          <w:tcPr/>
          <w:p>
            <w:pPr>
              <w:pStyle w:val="Tabla9"/>
            </w:pPr>
          </w:p>
        </w:tc>
        <w:tc>
          <w:tcPr/>
          <w:p>
            <w:pPr>
              <w:pStyle w:val="Tabla9"/>
              <w:jc w:val="left"/>
            </w:pPr>
            <w:r>
              <w:t xml:space="preserve">Cobertura</w:t>
            </w:r>
          </w:p>
        </w:tc>
        <w:tc>
          <w:tcPr/>
          <w:p>
            <w:pPr>
              <w:pStyle w:val="Tabla9"/>
              <w:jc w:val="left"/>
            </w:pPr>
            <w:r>
              <w:t xml:space="preserve">El calendario exigido no se conoce (VACIO).</w:t>
            </w:r>
          </w:p>
        </w:tc>
      </w:tr>
      <w:tr>
        <w:trPr>
          <w:cantSplit/>
        </w:trPr>
        <w:tc>
          <w:tcPr/>
          <w:p>
            <w:pPr>
              <w:pStyle w:val="Tabla9"/>
            </w:pPr>
          </w:p>
        </w:tc>
        <w:tc>
          <w:tcPr/>
          <w:p>
            <w:pPr>
              <w:pStyle w:val="Tabla9"/>
              <w:jc w:val="left"/>
            </w:pPr>
            <w:r>
              <w:t xml:space="preserve">Mitigación</w:t>
            </w:r>
          </w:p>
        </w:tc>
        <w:tc>
          <w:tcPr/>
          <w:p>
            <w:pPr>
              <w:pStyle w:val="Tabla9"/>
              <w:jc w:val="left"/>
            </w:pPr>
            <w:r>
              <w:t xml:space="preserve">Revisión de contenido por la gerencia antes de radicar.</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Calendario de informes fijado por los TdR (VACIO)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Gerencia de proyecto vinculada desde el mes 1 (línea P06)</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Calendario de informes definido por los términos de referencia (VACIO)</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Bajo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Radicados de entrega</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Radicado de entrega y copia del informe</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w:t>
            </w:r>
          </w:p>
        </w:tc>
      </w:tr>
      <w:tr>
        <w:trPr>
          <w:cantSplit/>
        </w:trPr>
        <w:tc>
          <w:tcPr/>
          <w:p>
            <w:pPr>
              <w:pStyle w:val="Tabla9"/>
            </w:pPr>
          </w:p>
        </w:tc>
        <w:tc>
          <w:tcPr/>
          <w:p>
            <w:pPr>
              <w:pStyle w:val="Tabla9"/>
              <w:jc w:val="left"/>
            </w:pPr>
            <w:r>
              <w:t xml:space="preserve">Periodicidad</w:t>
            </w:r>
          </w:p>
        </w:tc>
        <w:tc>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Las líneas que sustentan los seis indicadores de proceso suman 3.624,4 millones de COP sin doble conteo (CALCULADO). Equivalen a 39,1 % del valor solicitado al SGR. Esa cifra indica que el control de la ejecución consume una parte considerable del presupuesto. El proyecto la reconoce como costo de la trazabilidad. El PMI (2021) vincula la calidad del seguimiento con la claridad de las métricas y de sus fuentes. Las fichas de proceso cumplen esa condición con fuente primaria, instrumento y ubicación de los datos.</w:t>
      </w:r>
    </w:p>
    <w:p>
      <w:pPr>
        <w:pStyle w:val="BodyText"/>
      </w:pPr>
      <w:r>
        <w:t xml:space="preserve">PERS-R06 mide el cumplimiento de los informes de seguimiento. Su meta es de 100 %, pero el calendario depende de los TdR [DATO_USUARIO: calendario de informes del financiador]. Los seis indicadores de proceso comparten una limitación. Miden que el proyecto actúa, y no que actúa bien. La calidad del trabajo se verifica en las compuertas con indicadores de producto. Por eso el semáforo ex ante de estos seis es en su mayoría amarillo, con riesgo medio, y solo PERS-R03 y PERS-R06 son verdes.</w:t>
      </w:r>
    </w:p>
    <w:p>
      <w:pPr>
        <w:pStyle w:val="BodyText"/>
      </w:pPr>
      <w:r>
        <w:t xml:space="preserve">Los indicadores de gestión tienen un riesgo propio de uso. Cuando se premia el cumplimiento formal, el equipo puede optimizar el indicador y descuidar el propósito que lo justifica. Merton (1936) describe ese tipo de consecuencias no anticipadas de la acción con propósito. El proyecto limita el riesgo de dos maneras. Cada indicador de proceso se acompaña de un indicador de producto que verifica el resultado de la actividad medida. Además, las compuertas evalúan desempeño y uso, y no solo cumplimiento de informes. La evaluación externa de los meses 12 y 24 revisa esa correspondencia con una mirada independiente (Patton, 2011).</w:t>
      </w:r>
    </w:p>
    <w:bookmarkEnd w:id="564"/>
    <w:bookmarkStart w:id="568" w:name="Xe2eb14ec04caeddb884f637cb0a6f7195a49eb2"/>
    <w:p>
      <w:pPr>
        <w:pStyle w:val="Heading2"/>
      </w:pPr>
      <w:r>
        <w:t xml:space="preserve">12.3 Indicadores de Producto (P): Outputs Tipificados MMG 2021</w:t>
      </w:r>
    </w:p>
    <w:p>
      <w:pPr>
        <w:pStyle w:val="FirstParagraph"/>
      </w:pPr>
      <w:r>
        <w:t xml:space="preserve">Los cuatro indicadores de producto miden lo que el proyecto entrega y lo tipifican con el MMG de 2021. PERS-P01 es la red de 100 nodos y 10 gateways, con tipo PROT-FUNC. PERS-P02 es el software de corrección y el gemelo digital registrado, con tipo SW-REG. PERS-P03 son los artículos científicos en revistas Q1 o Q2, con tipo ART-A1 o ART-A2. PERS-P04 son 29 actividades de apropiación social, con tipos ASC-PART, ASC-COM y ASC-CIRC. Las fichas están en la Tabla 12.8, la Tabla 12.9, la Tabla 12.10 y la Tabla 12.11.</w:t>
      </w:r>
    </w:p>
    <w:p>
      <w:pPr>
        <w:pStyle w:val="TablaRotulo"/>
      </w:pPr>
      <w:bookmarkStart w:id="9335" w:name="rot_Tabla_12_8"/>
      <w:r>
        <w:rPr>
          <w:b/>
          <w:bCs/>
        </w:rPr>
        <w:t xml:space="preserve">Tabla 12.8</w:t>
      </w:r>
      <w:bookmarkEnd w:id="9335"/>
    </w:p>
    <w:p>
      <w:pPr>
        <w:pStyle w:val="TablaTitulo"/>
      </w:pPr>
      <w:r>
        <w:rPr>
          <w:i/>
          <w:iCs/>
        </w:rPr>
        <w:t xml:space="preserve">Ficha técnica PERS-P01 con tipo MMG 2021 y clasificación Output: Red de 100 nodos y 10 gateways operativa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PERS-P01</w:t>
            </w:r>
          </w:p>
        </w:tc>
      </w:tr>
      <w:tr>
        <w:trPr>
          <w:cantSplit/>
        </w:trPr>
        <w:tc>
          <w:tcPr/>
          <w:p>
            <w:pPr>
              <w:pStyle w:val="Tabla9"/>
            </w:pPr>
          </w:p>
        </w:tc>
        <w:tc>
          <w:tcPr/>
          <w:p>
            <w:pPr>
              <w:pStyle w:val="Tabla9"/>
              <w:jc w:val="left"/>
            </w:pPr>
            <w:r>
              <w:t xml:space="preserve">Nombre</w:t>
            </w:r>
          </w:p>
        </w:tc>
        <w:tc>
          <w:tcPr/>
          <w:p>
            <w:pPr>
              <w:pStyle w:val="Tabla9"/>
              <w:jc w:val="left"/>
            </w:pPr>
            <w:r>
              <w:t xml:space="preserve">Red de 100 nodos y 10 gateways operativa</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p>
            <w:pPr>
              <w:pStyle w:val="Tabla9"/>
            </w:pPr>
          </w:p>
        </w:tc>
        <w:tc>
          <w:tcPr/>
          <w:p>
            <w:pPr>
              <w:pStyle w:val="Tabla9"/>
              <w:jc w:val="left"/>
            </w:pPr>
            <w:r>
              <w:t xml:space="preserve">Objetivo asociado</w:t>
            </w:r>
          </w:p>
        </w:tc>
        <w:tc>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Tipo MMG 2021</w:t>
            </w:r>
          </w:p>
        </w:tc>
        <w:tc>
          <w:tcPr/>
          <w:p>
            <w:pPr>
              <w:pStyle w:val="Tabla9"/>
              <w:jc w:val="left"/>
            </w:pPr>
            <w:r>
              <w:t xml:space="preserve">PROT-FUNC (PROPUESTO; NO_VERIFICADO)</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w:t>
            </w:r>
          </w:p>
        </w:tc>
      </w:tr>
      <w:tr>
        <w:trPr>
          <w:cantSplit/>
        </w:trPr>
        <w:tc>
          <w:tcPr/>
          <w:p>
            <w:pPr>
              <w:pStyle w:val="Tabla9"/>
            </w:pPr>
          </w:p>
        </w:tc>
        <w:tc>
          <w:tcPr/>
          <w:p>
            <w:pPr>
              <w:pStyle w:val="Tabla9"/>
              <w:jc w:val="left"/>
            </w:pPr>
            <w:r>
              <w:t xml:space="preserve">Actividad (ACT)</w:t>
            </w:r>
          </w:p>
        </w:tc>
        <w:tc>
          <w:tcPr/>
          <w:p>
            <w:pPr>
              <w:pStyle w:val="Tabla9"/>
              <w:jc w:val="left"/>
            </w:pPr>
            <w:r>
              <w:t xml:space="preserve">A1.2 (semanas 14 a 24), A2.3 (semanas 50 a 62) y A2.4 (semanas 70 a 82)</w:t>
            </w:r>
          </w:p>
        </w:tc>
      </w:tr>
      <w:tr>
        <w:trPr>
          <w:cantSplit/>
        </w:trPr>
        <w:tc>
          <w:tcPr/>
          <w:p>
            <w:pPr>
              <w:pStyle w:val="Tabla9"/>
            </w:pPr>
          </w:p>
        </w:tc>
        <w:tc>
          <w:tcPr/>
          <w:p>
            <w:pPr>
              <w:pStyle w:val="Tabla9"/>
              <w:jc w:val="left"/>
            </w:pPr>
            <w:r>
              <w:t xml:space="preserve">Hito</w:t>
            </w:r>
          </w:p>
        </w:tc>
        <w:tc>
          <w:tcPr/>
          <w:p>
            <w:pPr>
              <w:pStyle w:val="Tabla9"/>
              <w:jc w:val="left"/>
            </w:pPr>
            <w:r>
              <w:t xml:space="preserve">H4 (mes 16) y H6 (mes 19)</w:t>
            </w:r>
          </w:p>
        </w:tc>
      </w:tr>
      <w:tr>
        <w:trPr>
          <w:cantSplit/>
        </w:trPr>
        <w:tc>
          <w:tcPr/>
          <w:p>
            <w:pPr>
              <w:pStyle w:val="Tabla9"/>
            </w:pPr>
          </w:p>
        </w:tc>
        <w:tc>
          <w:tcPr/>
          <w:p>
            <w:pPr>
              <w:pStyle w:val="Tabla9"/>
              <w:jc w:val="left"/>
            </w:pPr>
            <w:r>
              <w:t xml:space="preserve">Rubro presupuestal</w:t>
            </w:r>
          </w:p>
        </w:tc>
        <w:tc>
          <w:tcPr/>
          <w:p>
            <w:pPr>
              <w:pStyle w:val="Tabla9"/>
              <w:jc w:val="left"/>
            </w:pPr>
            <w:r>
              <w:t xml:space="preserve">E01, E04, E05, E06, M03 y S05: 1.135,0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Cuenta los nodos operativos con disponibilidad mensual de al menos 90 % y los gateways con enlace principal o alterno activo.</w:t>
            </w:r>
          </w:p>
        </w:tc>
      </w:tr>
      <w:tr>
        <w:trPr>
          <w:cantSplit/>
        </w:trPr>
        <w:tc>
          <w:tcPr/>
          <w:p>
            <w:pPr>
              <w:pStyle w:val="Tabla9"/>
            </w:pPr>
          </w:p>
        </w:tc>
        <w:tc>
          <w:tcPr/>
          <w:p>
            <w:pPr>
              <w:pStyle w:val="Tabla9"/>
              <w:jc w:val="left"/>
            </w:pPr>
            <w:r>
              <w:t xml:space="preserve">Justificación</w:t>
            </w:r>
          </w:p>
        </w:tc>
        <w:tc>
          <w:tcPr/>
          <w:p>
            <w:pPr>
              <w:pStyle w:val="Tabla9"/>
              <w:jc w:val="left"/>
            </w:pPr>
            <w:r>
              <w:t xml:space="preserve">La red es el producto tecnológico principal (PROT-FUNC) y la fuente de datos del tablero. La disponibilidad mensual de 90 % es la meta de OE2.</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Nodos operativos con disponibilidad mensual ≥ 90 % y gateways con enlace principal o alterno activo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nodos con disponibilidad mensual mayor o igual a 90 % y gateways con enlace activo. Denominador: nodos y gateways programados. Factor: no aplica (conteo).</w:t>
            </w:r>
          </w:p>
        </w:tc>
      </w:tr>
      <w:tr>
        <w:trPr>
          <w:cantSplit/>
        </w:trPr>
        <w:tc>
          <w:tcPr/>
          <w:p>
            <w:pPr>
              <w:pStyle w:val="Tabla9"/>
            </w:pPr>
          </w:p>
        </w:tc>
        <w:tc>
          <w:tcPr/>
          <w:p>
            <w:pPr>
              <w:pStyle w:val="Tabla9"/>
              <w:jc w:val="left"/>
            </w:pPr>
            <w:r>
              <w:t xml:space="preserve">Unidad</w:t>
            </w:r>
          </w:p>
        </w:tc>
        <w:tc>
          <w:tcPr/>
          <w:p>
            <w:pPr>
              <w:pStyle w:val="Tabla9"/>
              <w:jc w:val="left"/>
            </w:pPr>
            <w:r>
              <w:t xml:space="preserve">nodos / gateways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 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nodos y cero gateways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30 / 3 al mes 12</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70 / 7 al mes 17 y 100 / 10 al mes 19</w:t>
            </w:r>
          </w:p>
        </w:tc>
      </w:tr>
      <w:tr>
        <w:trPr>
          <w:cantSplit/>
        </w:trPr>
        <w:tc>
          <w:tcPr/>
          <w:p>
            <w:pPr>
              <w:pStyle w:val="Tabla9"/>
            </w:pPr>
          </w:p>
        </w:tc>
        <w:tc>
          <w:tcPr/>
          <w:p>
            <w:pPr>
              <w:pStyle w:val="Tabla9"/>
              <w:jc w:val="left"/>
            </w:pPr>
            <w:r>
              <w:t xml:space="preserve">Meta final</w:t>
            </w:r>
          </w:p>
        </w:tc>
        <w:tc>
          <w:tcPr/>
          <w:p>
            <w:pPr>
              <w:pStyle w:val="Tabla9"/>
              <w:jc w:val="left"/>
            </w:pPr>
            <w:r>
              <w:t xml:space="preserve">100 / 10 al mes 24</w:t>
            </w:r>
          </w:p>
        </w:tc>
      </w:tr>
      <w:tr>
        <w:trPr>
          <w:cantSplit/>
        </w:trPr>
        <w:tc>
          <w:tcPr/>
          <w:p>
            <w:pPr>
              <w:pStyle w:val="Tabla9"/>
            </w:pPr>
          </w:p>
        </w:tc>
        <w:tc>
          <w:tcPr/>
          <w:p>
            <w:pPr>
              <w:pStyle w:val="Tabla9"/>
              <w:jc w:val="left"/>
            </w:pPr>
            <w:r>
              <w:t xml:space="preserve">Justificación</w:t>
            </w:r>
          </w:p>
        </w:tc>
        <w:tc>
          <w:tcPr/>
          <w:p>
            <w:pPr>
              <w:pStyle w:val="Tabla9"/>
              <w:jc w:val="left"/>
            </w:pPr>
            <w:r>
              <w:t xml:space="preserve">Los cortes siguen las compuertas: 30 nodos y 3 gateways al mes 12, 70 y 7 al mes 17, y 100 y 10 al mes 19, con sostenimiento hasta el mes 24.</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Ingenieros IoT y de campo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Plataforma e inventario</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de transmisión de la plataforma y bitácoras de mantenimiento</w:t>
            </w:r>
          </w:p>
        </w:tc>
      </w:tr>
      <w:tr>
        <w:trPr>
          <w:cantSplit/>
        </w:trPr>
        <w:tc>
          <w:tcPr/>
          <w:p>
            <w:pPr>
              <w:pStyle w:val="Tabla9"/>
            </w:pPr>
          </w:p>
        </w:tc>
        <w:tc>
          <w:tcPr/>
          <w:p>
            <w:pPr>
              <w:pStyle w:val="Tabla9"/>
              <w:jc w:val="left"/>
            </w:pPr>
            <w:r>
              <w:t xml:space="preserve">Instrumento</w:t>
            </w:r>
          </w:p>
        </w:tc>
        <w:tc>
          <w:tcPr/>
          <w:p>
            <w:pPr>
              <w:pStyle w:val="Tabla9"/>
              <w:jc w:val="left"/>
            </w:pPr>
            <w:r>
              <w:t xml:space="preserve">Cálculo mensual de disponibilidad por nodo con los paquetes recibidos</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Base de datos de la plataforma (línea E10)</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(33, 34 y 33 nodos; PROPUESTO), tramo y gateway</w:t>
            </w:r>
          </w:p>
        </w:tc>
      </w:tr>
      <w:tr>
        <w:trPr>
          <w:cantSplit/>
        </w:trPr>
        <w:tc>
          <w:tcPr/>
          <w:p>
            <w:pPr>
              <w:pStyle w:val="Tabla9"/>
            </w:pPr>
          </w:p>
        </w:tc>
        <w:tc>
          <w:tcPr/>
          <w:p>
            <w:pPr>
              <w:pStyle w:val="Tabla9"/>
              <w:jc w:val="left"/>
            </w:pPr>
            <w:r>
              <w:t xml:space="preserve">Temporal</w:t>
            </w:r>
          </w:p>
        </w:tc>
        <w:tc>
          <w:tcPr/>
          <w:p>
            <w:pPr>
              <w:pStyle w:val="Tabla9"/>
              <w:jc w:val="left"/>
            </w:pPr>
            <w:r>
              <w:t xml:space="preserve">Mensual con corte 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Causa de la falla: energía, enlace o equipo</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La disponibilidad se calcula con paquetes recibidos y puede subestimar la operación si el gateway guarda datos locales por 7 días.</w:t>
            </w:r>
          </w:p>
        </w:tc>
      </w:tr>
      <w:tr>
        <w:trPr>
          <w:cantSplit/>
        </w:trPr>
        <w:tc>
          <w:tcPr/>
          <w:p>
            <w:pPr>
              <w:pStyle w:val="Tabla9"/>
            </w:pPr>
          </w:p>
        </w:tc>
        <w:tc>
          <w:tcPr/>
          <w:p>
            <w:pPr>
              <w:pStyle w:val="Tabla9"/>
              <w:jc w:val="left"/>
            </w:pPr>
            <w:r>
              <w:t xml:space="preserve">Cobertura</w:t>
            </w:r>
          </w:p>
        </w:tc>
        <w:tc>
          <w:tcPr/>
          <w:p>
            <w:pPr>
              <w:pStyle w:val="Tabla9"/>
              <w:jc w:val="left"/>
            </w:pPr>
            <w:r>
              <w:t xml:space="preserve">Un nodo disponible puede medir con sesgo. La calidad del dato se verifica con PERS-R05 y las compuertas.</w:t>
            </w:r>
          </w:p>
        </w:tc>
      </w:tr>
      <w:tr>
        <w:trPr>
          <w:cantSplit/>
        </w:trPr>
        <w:tc>
          <w:tcPr/>
          <w:p>
            <w:pPr>
              <w:pStyle w:val="Tabla9"/>
            </w:pPr>
          </w:p>
        </w:tc>
        <w:tc>
          <w:tcPr/>
          <w:p>
            <w:pPr>
              <w:pStyle w:val="Tabla9"/>
              <w:jc w:val="left"/>
            </w:pPr>
            <w:r>
              <w:t xml:space="preserve">Mitigación</w:t>
            </w:r>
          </w:p>
        </w:tc>
        <w:tc>
          <w:tcPr/>
          <w:p>
            <w:pPr>
              <w:pStyle w:val="Tabla9"/>
              <w:jc w:val="left"/>
            </w:pPr>
            <w:r>
              <w:t xml:space="preserve">Reporte conjunto de disponibilidad y de pérdida de paquetes (meta de 10 % o menos).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Cobertura celular o satelital en los sitios de los gateways (estudio de la línea S06)</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Compuertas C1 y C2 aprobadas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Compuertas C1 y C2 aprobadas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Inventario con huella de configuración y registro fotográfico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Inventario con huella de configuración y registro fotográfico</w:t>
            </w:r>
          </w:p>
        </w:tc>
      </w:tr>
      <w:tr>
        <w:trPr>
          <w:cantSplit/>
        </w:trPr>
        <w:tc>
          <w:tcPr/>
          <w:p>
            <w:pPr>
              <w:pStyle w:val="Tabla9"/>
            </w:pPr>
          </w:p>
        </w:tc>
        <w:tc>
          <w:tcPr/>
          <w:p>
            <w:pPr>
              <w:pStyle w:val="Tabla9"/>
              <w:jc w:val="left"/>
            </w:pPr>
            <w:r>
              <w:t xml:space="preserve">Responsable</w:t>
            </w:r>
          </w:p>
        </w:tc>
        <w:tc>
          <w:tcPr/>
          <w:p>
            <w:pPr>
              <w:pStyle w:val="Tabla9"/>
              <w:jc w:val="left"/>
            </w:pPr>
            <w:r>
              <w:t xml:space="preserve">Ingenieros IoT y de campo, con revisión de la evaluación externa (S07)</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6" w:name="rot_Tabla_12_9"/>
      <w:r>
        <w:rPr>
          <w:b/>
          <w:bCs/>
        </w:rPr>
        <w:t xml:space="preserve">Tabla 12.9</w:t>
      </w:r>
      <w:bookmarkEnd w:id="9336"/>
    </w:p>
    <w:p>
      <w:pPr>
        <w:pStyle w:val="TablaTitulo"/>
      </w:pPr>
      <w:r>
        <w:rPr>
          <w:i/>
          <w:iCs/>
        </w:rPr>
        <w:t xml:space="preserve">Ficha técnica PERS-P02 con tipo MMG 2021 y clasificación Output: Software de corrección y gemelo digital registrado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PERS-P02</w:t>
            </w:r>
          </w:p>
        </w:tc>
      </w:tr>
      <w:tr>
        <w:trPr>
          <w:cantSplit/>
        </w:trPr>
        <w:tc>
          <w:tcPr/>
          <w:p>
            <w:pPr>
              <w:pStyle w:val="Tabla9"/>
            </w:pPr>
          </w:p>
        </w:tc>
        <w:tc>
          <w:tcPr/>
          <w:p>
            <w:pPr>
              <w:pStyle w:val="Tabla9"/>
              <w:jc w:val="left"/>
            </w:pPr>
            <w:r>
              <w:t xml:space="preserve">Nombre</w:t>
            </w:r>
          </w:p>
        </w:tc>
        <w:tc>
          <w:tcPr/>
          <w:p>
            <w:pPr>
              <w:pStyle w:val="Tabla9"/>
              <w:jc w:val="left"/>
            </w:pPr>
            <w:r>
              <w:t xml:space="preserve">Software de corrección y gemelo digital registrado</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p>
            <w:pPr>
              <w:pStyle w:val="Tabla9"/>
            </w:pPr>
          </w:p>
        </w:tc>
        <w:tc>
          <w:tcPr/>
          <w:p>
            <w:pPr>
              <w:pStyle w:val="Tabla9"/>
              <w:jc w:val="left"/>
            </w:pPr>
            <w:r>
              <w:t xml:space="preserve">Objetivo asociado</w:t>
            </w:r>
          </w:p>
        </w:tc>
        <w:tc>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Tipo MMG 2021</w:t>
            </w:r>
          </w:p>
        </w:tc>
        <w:tc>
          <w:tcPr/>
          <w:p>
            <w:pPr>
              <w:pStyle w:val="Tabla9"/>
              <w:jc w:val="left"/>
            </w:pPr>
            <w:r>
              <w:t xml:space="preserve">SW-REG (PROPUESTO; NO_VERIFICADO)</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A2.2 (semanas 14 a 24) y A1.4 (semanas 40 a 48)</w:t>
            </w:r>
          </w:p>
        </w:tc>
      </w:tr>
      <w:tr>
        <w:trPr>
          <w:cantSplit/>
        </w:trPr>
        <w:tc>
          <w:tcPr/>
          <w:p>
            <w:pPr>
              <w:pStyle w:val="Tabla9"/>
            </w:pPr>
          </w:p>
        </w:tc>
        <w:tc>
          <w:tcPr/>
          <w:p>
            <w:pPr>
              <w:pStyle w:val="Tabla9"/>
              <w:jc w:val="left"/>
            </w:pPr>
            <w:r>
              <w:t xml:space="preserve">Hito</w:t>
            </w:r>
          </w:p>
        </w:tc>
        <w:tc>
          <w:tcPr/>
          <w:p>
            <w:pPr>
              <w:pStyle w:val="Tabla9"/>
              <w:jc w:val="left"/>
            </w:pPr>
            <w:r>
              <w:t xml:space="preserve">H3 (mes 12)</w:t>
            </w:r>
          </w:p>
        </w:tc>
      </w:tr>
      <w:tr>
        <w:trPr>
          <w:cantSplit/>
        </w:trPr>
        <w:tc>
          <w:tcPr/>
          <w:p>
            <w:pPr>
              <w:pStyle w:val="Tabla9"/>
            </w:pPr>
          </w:p>
        </w:tc>
        <w:tc>
          <w:tcPr/>
          <w:p>
            <w:pPr>
              <w:pStyle w:val="Tabla9"/>
              <w:jc w:val="left"/>
            </w:pPr>
            <w:r>
              <w:t xml:space="preserve">Rubro presupuestal</w:t>
            </w:r>
          </w:p>
        </w:tc>
        <w:tc>
          <w:tcPr/>
          <w:p>
            <w:pPr>
              <w:pStyle w:val="Tabla9"/>
              <w:jc w:val="left"/>
            </w:pPr>
            <w:r>
              <w:t xml:space="preserve">O03 y S02: 60,0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Cuenta los registros de software ante la Dirección Nacional de Derecho de Autor (DNDA) del modelo de corrección, el firmware y el gemelo digital.</w:t>
            </w:r>
          </w:p>
        </w:tc>
      </w:tr>
      <w:tr>
        <w:trPr>
          <w:cantSplit/>
        </w:trPr>
        <w:tc>
          <w:tcPr/>
          <w:p>
            <w:pPr>
              <w:pStyle w:val="Tabla9"/>
            </w:pPr>
          </w:p>
        </w:tc>
        <w:tc>
          <w:tcPr/>
          <w:p>
            <w:pPr>
              <w:pStyle w:val="Tabla9"/>
              <w:jc w:val="left"/>
            </w:pPr>
            <w:r>
              <w:t xml:space="preserve">Justificación</w:t>
            </w:r>
          </w:p>
        </w:tc>
        <w:tc>
          <w:tcPr/>
          <w:p>
            <w:pPr>
              <w:pStyle w:val="Tabla9"/>
              <w:jc w:val="left"/>
            </w:pPr>
            <w:r>
              <w:t xml:space="preserve">El registro acredita la titularidad del activo de conocimiento y habilita la cláusula de apertura y la transferencia a los custodios.</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Registros de software ante la DNDA (modelo de corrección, firmware y gemelo digital)</w:t>
            </w:r>
          </w:p>
        </w:tc>
      </w:tr>
      <w:tr>
        <w:trPr>
          <w:cantSplit/>
        </w:trPr>
        <w:tc>
          <w:tcPr/>
          <w:p>
            <w:pPr>
              <w:pStyle w:val="Tabla9"/>
            </w:pPr>
          </w:p>
        </w:tc>
        <w:tc>
          <w:tcPr/>
          <w:p>
            <w:pPr>
              <w:pStyle w:val="Tabla9"/>
              <w:jc w:val="left"/>
            </w:pPr>
            <w:r>
              <w:t xml:space="preserve">Variables</w:t>
            </w:r>
          </w:p>
        </w:tc>
        <w:tc>
          <w:tcPr/>
          <w:p>
            <w:pPr>
              <w:pStyle w:val="Tabla9"/>
              <w:jc w:val="left"/>
            </w:pPr>
            <w:r>
              <w:t xml:space="preserve">Numerador: registros vigentes. Denominador: no aplica. Factor: 1 registro.</w:t>
            </w:r>
          </w:p>
        </w:tc>
      </w:tr>
      <w:tr>
        <w:trPr>
          <w:cantSplit/>
        </w:trPr>
        <w:tc>
          <w:tcPr/>
          <w:p>
            <w:pPr>
              <w:pStyle w:val="Tabla9"/>
            </w:pPr>
          </w:p>
        </w:tc>
        <w:tc>
          <w:tcPr/>
          <w:p>
            <w:pPr>
              <w:pStyle w:val="Tabla9"/>
              <w:jc w:val="left"/>
            </w:pPr>
            <w:r>
              <w:t xml:space="preserve">Unidad</w:t>
            </w:r>
          </w:p>
        </w:tc>
        <w:tc>
          <w:tcPr/>
          <w:p>
            <w:pPr>
              <w:pStyle w:val="Tabla9"/>
              <w:jc w:val="left"/>
            </w:pPr>
            <w:r>
              <w:t xml:space="preserve">registros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registros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0</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1 solicitud radicada</w:t>
            </w:r>
          </w:p>
        </w:tc>
      </w:tr>
      <w:tr>
        <w:trPr>
          <w:cantSplit/>
        </w:trPr>
        <w:tc>
          <w:tcPr/>
          <w:p>
            <w:pPr>
              <w:pStyle w:val="Tabla9"/>
            </w:pPr>
          </w:p>
        </w:tc>
        <w:tc>
          <w:tcPr/>
          <w:p>
            <w:pPr>
              <w:pStyle w:val="Tabla9"/>
              <w:jc w:val="left"/>
            </w:pPr>
            <w:r>
              <w:t xml:space="preserve">Meta final</w:t>
            </w:r>
          </w:p>
        </w:tc>
        <w:tc>
          <w:tcPr/>
          <w:p>
            <w:pPr>
              <w:pStyle w:val="Tabla9"/>
              <w:jc w:val="left"/>
            </w:pPr>
            <w:r>
              <w:t xml:space="preserve">1 registro vigente</w:t>
            </w:r>
          </w:p>
        </w:tc>
      </w:tr>
      <w:tr>
        <w:trPr>
          <w:cantSplit/>
        </w:trPr>
        <w:tc>
          <w:tcPr/>
          <w:p>
            <w:pPr>
              <w:pStyle w:val="Tabla9"/>
            </w:pPr>
          </w:p>
        </w:tc>
        <w:tc>
          <w:tcPr/>
          <w:p>
            <w:pPr>
              <w:pStyle w:val="Tabla9"/>
              <w:jc w:val="left"/>
            </w:pPr>
            <w:r>
              <w:t xml:space="preserve">Justificación</w:t>
            </w:r>
          </w:p>
        </w:tc>
        <w:tc>
          <w:tcPr/>
          <w:p>
            <w:pPr>
              <w:pStyle w:val="Tabla9"/>
              <w:jc w:val="left"/>
            </w:pPr>
            <w:r>
              <w:t xml:space="preserve">Una solicitud radicada al mes 17 y un registro vigente al mes 24. La partida O03 inicia en el mes 12, cuando la compuerta C1 valida el modelo.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de convenios y custodia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Profesional de convenios y custodia</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Certificado de la DNDA</w:t>
            </w:r>
          </w:p>
        </w:tc>
      </w:tr>
      <w:tr>
        <w:trPr>
          <w:cantSplit/>
        </w:trPr>
        <w:tc>
          <w:tcPr/>
          <w:p>
            <w:pPr>
              <w:pStyle w:val="Tabla9"/>
            </w:pPr>
          </w:p>
        </w:tc>
        <w:tc>
          <w:tcPr/>
          <w:p>
            <w:pPr>
              <w:pStyle w:val="Tabla9"/>
              <w:jc w:val="left"/>
            </w:pPr>
            <w:r>
              <w:t xml:space="preserve">Fuente secundaria</w:t>
            </w:r>
          </w:p>
        </w:tc>
        <w:tc>
          <w:tcPr/>
          <w:p>
            <w:pPr>
              <w:pStyle w:val="Tabla9"/>
              <w:jc w:val="left"/>
            </w:pPr>
            <w:r>
              <w:t xml:space="preserve">Acuerdo de titularidad entre las partes y repositorio de código</w:t>
            </w:r>
          </w:p>
        </w:tc>
      </w:tr>
      <w:tr>
        <w:trPr>
          <w:cantSplit/>
        </w:trPr>
        <w:tc>
          <w:tcPr/>
          <w:p>
            <w:pPr>
              <w:pStyle w:val="Tabla9"/>
            </w:pPr>
          </w:p>
        </w:tc>
        <w:tc>
          <w:tcPr/>
          <w:p>
            <w:pPr>
              <w:pStyle w:val="Tabla9"/>
              <w:jc w:val="left"/>
            </w:pPr>
            <w:r>
              <w:t xml:space="preserve">Instrumento</w:t>
            </w:r>
          </w:p>
        </w:tc>
        <w:tc>
          <w:tcPr/>
          <w:p>
            <w:pPr>
              <w:pStyle w:val="Tabla9"/>
              <w:jc w:val="left"/>
            </w:pPr>
            <w:r>
              <w:t xml:space="preserve">Formulario de registro de la DNDA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Archivo jurídico del proyecto y repositorio de código (línea E11)</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No aplica (registro nacional)</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Componente registrado: modelo de corrección, firmware o gemelo digital</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registro acredita la titularidad del código y no la novedad del método.</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cuenta un registro único aunque el software tenga tres componentes.</w:t>
            </w:r>
          </w:p>
        </w:tc>
      </w:tr>
      <w:tr>
        <w:trPr>
          <w:cantSplit/>
        </w:trPr>
        <w:tc>
          <w:tcPr/>
          <w:p>
            <w:pPr>
              <w:pStyle w:val="Tabla9"/>
            </w:pPr>
          </w:p>
        </w:tc>
        <w:tc>
          <w:tcPr/>
          <w:p>
            <w:pPr>
              <w:pStyle w:val="Tabla9"/>
              <w:jc w:val="left"/>
            </w:pPr>
            <w:r>
              <w:t xml:space="preserve">Mitigación</w:t>
            </w:r>
          </w:p>
        </w:tc>
        <w:tc>
          <w:tcPr/>
          <w:p>
            <w:pPr>
              <w:pStyle w:val="Tabla9"/>
              <w:jc w:val="left"/>
            </w:pPr>
            <w:r>
              <w:t xml:space="preserve">Acuerdo de titularidad firmado antes de radicar la solicitud.</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Trámite de la DNDA dentro del plazo del proyecto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Acuerdo de titularidad firmado entre las partes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Acuerdo de titularidad firmado entre las partes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Bajo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Certificado de registro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Certificado de registro y radicado de la solicitud</w:t>
            </w:r>
          </w:p>
        </w:tc>
      </w:tr>
      <w:tr>
        <w:trPr>
          <w:cantSplit/>
        </w:trPr>
        <w:tc>
          <w:tcPr/>
          <w:p>
            <w:pPr>
              <w:pStyle w:val="Tabla9"/>
            </w:pPr>
          </w:p>
        </w:tc>
        <w:tc>
          <w:tcPr/>
          <w:p>
            <w:pPr>
              <w:pStyle w:val="Tabla9"/>
              <w:jc w:val="left"/>
            </w:pPr>
            <w:r>
              <w:t xml:space="preserve">Responsable</w:t>
            </w:r>
          </w:p>
        </w:tc>
        <w:tc>
          <w:tcPr/>
          <w:p>
            <w:pPr>
              <w:pStyle w:val="Tabla9"/>
              <w:jc w:val="left"/>
            </w:pPr>
            <w:r>
              <w:t xml:space="preserve">Profesional de convenios y custodia</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7" w:name="rot_Tabla_12_10"/>
      <w:r>
        <w:rPr>
          <w:b/>
          <w:bCs/>
        </w:rPr>
        <w:t xml:space="preserve">Tabla 12.10</w:t>
      </w:r>
      <w:bookmarkEnd w:id="9337"/>
    </w:p>
    <w:p>
      <w:pPr>
        <w:pStyle w:val="TablaTitulo"/>
      </w:pPr>
      <w:r>
        <w:rPr>
          <w:i/>
          <w:iCs/>
        </w:rPr>
        <w:t xml:space="preserve">Ficha técnica PERS-P03 con tipo MMG 2021 y clasificación Output: Artículos científicos en revistas Q1 o Q2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PERS-P03</w:t>
            </w:r>
          </w:p>
        </w:tc>
      </w:tr>
      <w:tr>
        <w:trPr>
          <w:cantSplit/>
        </w:trPr>
        <w:tc>
          <w:tcPr/>
          <w:p>
            <w:pPr>
              <w:pStyle w:val="Tabla9"/>
            </w:pPr>
          </w:p>
        </w:tc>
        <w:tc>
          <w:tcPr/>
          <w:p>
            <w:pPr>
              <w:pStyle w:val="Tabla9"/>
              <w:jc w:val="left"/>
            </w:pPr>
            <w:r>
              <w:t xml:space="preserve">Nombre</w:t>
            </w:r>
          </w:p>
        </w:tc>
        <w:tc>
          <w:tcPr/>
          <w:p>
            <w:pPr>
              <w:pStyle w:val="Tabla9"/>
              <w:jc w:val="left"/>
            </w:pPr>
            <w:r>
              <w:t xml:space="preserve">Artículos científicos en revistas Q1 o Q2</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p>
            <w:pPr>
              <w:pStyle w:val="Tabla9"/>
            </w:pPr>
          </w:p>
        </w:tc>
        <w:tc>
          <w:tcPr/>
          <w:p>
            <w:pPr>
              <w:pStyle w:val="Tabla9"/>
              <w:jc w:val="left"/>
            </w:pPr>
            <w:r>
              <w:t xml:space="preserve">Objetivo asociado</w:t>
            </w:r>
          </w:p>
        </w:tc>
        <w:tc>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Tipo MMG 2021</w:t>
            </w:r>
          </w:p>
        </w:tc>
        <w:tc>
          <w:tcPr/>
          <w:p>
            <w:pPr>
              <w:pStyle w:val="Tabla9"/>
              <w:jc w:val="left"/>
            </w:pPr>
            <w:r>
              <w:t xml:space="preserve">ART-A1 / ART-A2 (PROPUESTO; NO_VERIFICADO)</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A1.4 (semanas 40 a 48) y A1.6 (semanas 82 a 98)</w:t>
            </w:r>
          </w:p>
        </w:tc>
      </w:tr>
      <w:tr>
        <w:trPr>
          <w:cantSplit/>
        </w:trPr>
        <w:tc>
          <w:tcPr/>
          <w:p>
            <w:pPr>
              <w:pStyle w:val="Tabla9"/>
            </w:pPr>
          </w:p>
        </w:tc>
        <w:tc>
          <w:tcPr/>
          <w:p>
            <w:pPr>
              <w:pStyle w:val="Tabla9"/>
              <w:jc w:val="left"/>
            </w:pPr>
            <w:r>
              <w:t xml:space="preserve">Hito</w:t>
            </w:r>
          </w:p>
        </w:tc>
        <w:tc>
          <w:tcPr/>
          <w:p>
            <w:pPr>
              <w:pStyle w:val="Tabla9"/>
              <w:jc w:val="left"/>
            </w:pPr>
            <w:r>
              <w:t xml:space="preserve">H3 (mes 12) y H7 (mes 23)</w:t>
            </w:r>
          </w:p>
        </w:tc>
      </w:tr>
      <w:tr>
        <w:trPr>
          <w:cantSplit/>
        </w:trPr>
        <w:tc>
          <w:tcPr/>
          <w:p>
            <w:pPr>
              <w:pStyle w:val="Tabla9"/>
            </w:pPr>
          </w:p>
        </w:tc>
        <w:tc>
          <w:tcPr/>
          <w:p>
            <w:pPr>
              <w:pStyle w:val="Tabla9"/>
              <w:jc w:val="left"/>
            </w:pPr>
            <w:r>
              <w:t xml:space="preserve">Rubro presupuestal</w:t>
            </w:r>
          </w:p>
        </w:tc>
        <w:tc>
          <w:tcPr/>
          <w:p>
            <w:pPr>
              <w:pStyle w:val="Tabla9"/>
              <w:jc w:val="left"/>
            </w:pPr>
            <w:r>
              <w:t xml:space="preserve">O01: 25,0 millones de COP (CALCULADO). El tiempo de autoría es contrapartida de la IES (C01 y C02)</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Cuenta los artículos sometidos y aceptados en revistas Q1 o Q2 con filiación del proyecto.</w:t>
            </w:r>
          </w:p>
        </w:tc>
      </w:tr>
      <w:tr>
        <w:trPr>
          <w:cantSplit/>
        </w:trPr>
        <w:tc>
          <w:tcPr/>
          <w:p>
            <w:pPr>
              <w:pStyle w:val="Tabla9"/>
            </w:pPr>
          </w:p>
        </w:tc>
        <w:tc>
          <w:tcPr/>
          <w:p>
            <w:pPr>
              <w:pStyle w:val="Tabla9"/>
              <w:jc w:val="left"/>
            </w:pPr>
            <w:r>
              <w:t xml:space="preserve">Justificación</w:t>
            </w:r>
          </w:p>
        </w:tc>
        <w:tc>
          <w:tcPr/>
          <w:p>
            <w:pPr>
              <w:pStyle w:val="Tabla9"/>
              <w:jc w:val="left"/>
            </w:pPr>
            <w:r>
              <w:t xml:space="preserve">La revisión por pares ofrece un control externo de la corrección y cumple el requisito de nuevo conocimiento de la tipificación MMG.</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Artículos sometidos y aceptados con filiación del proyecto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artículos sometidos y aceptados. Denominador: no aplica. Factor: meta de 2 sometidos y al menos 1 aceptado.</w:t>
            </w:r>
          </w:p>
        </w:tc>
      </w:tr>
      <w:tr>
        <w:trPr>
          <w:cantSplit/>
        </w:trPr>
        <w:tc>
          <w:tcPr/>
          <w:p>
            <w:pPr>
              <w:pStyle w:val="Tabla9"/>
            </w:pPr>
          </w:p>
        </w:tc>
        <w:tc>
          <w:tcPr/>
          <w:p>
            <w:pPr>
              <w:pStyle w:val="Tabla9"/>
              <w:jc w:val="left"/>
            </w:pPr>
            <w:r>
              <w:t xml:space="preserve">Unidad</w:t>
            </w:r>
          </w:p>
        </w:tc>
        <w:tc>
          <w:tcPr/>
          <w:p>
            <w:pPr>
              <w:pStyle w:val="Tabla9"/>
              <w:jc w:val="left"/>
            </w:pPr>
            <w:r>
              <w:t xml:space="preserve">artículos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artículos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0</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1 sometido</w:t>
            </w:r>
          </w:p>
        </w:tc>
      </w:tr>
      <w:tr>
        <w:trPr>
          <w:cantSplit/>
        </w:trPr>
        <w:tc>
          <w:tcPr/>
          <w:p>
            <w:pPr>
              <w:pStyle w:val="Tabla9"/>
            </w:pPr>
          </w:p>
        </w:tc>
        <w:tc>
          <w:tcPr/>
          <w:p>
            <w:pPr>
              <w:pStyle w:val="Tabla9"/>
              <w:jc w:val="left"/>
            </w:pPr>
            <w:r>
              <w:t xml:space="preserve">Meta final</w:t>
            </w:r>
          </w:p>
        </w:tc>
        <w:tc>
          <w:tcPr/>
          <w:p>
            <w:pPr>
              <w:pStyle w:val="Tabla9"/>
              <w:jc w:val="left"/>
            </w:pPr>
            <w:r>
              <w:t xml:space="preserve">2 sometidos y al menos 1 aceptado al mes 24</w:t>
            </w:r>
          </w:p>
        </w:tc>
      </w:tr>
      <w:tr>
        <w:trPr>
          <w:cantSplit/>
        </w:trPr>
        <w:tc>
          <w:tcPr/>
          <w:p>
            <w:pPr>
              <w:pStyle w:val="Tabla9"/>
            </w:pPr>
          </w:p>
        </w:tc>
        <w:tc>
          <w:tcPr/>
          <w:p>
            <w:pPr>
              <w:pStyle w:val="Tabla9"/>
              <w:jc w:val="left"/>
            </w:pPr>
            <w:r>
              <w:t xml:space="preserve">Justificación</w:t>
            </w:r>
          </w:p>
        </w:tc>
        <w:tc>
          <w:tcPr/>
          <w:p>
            <w:pPr>
              <w:pStyle w:val="Tabla9"/>
              <w:jc w:val="left"/>
            </w:pPr>
            <w:r>
              <w:t xml:space="preserve">El primer artículo usa los resultados del piloto validados en la compuerta C1 (mes 12). El segundo exige la verificación final (H7, mes 23), de modo que solo el primero puede aceptarse al mes 24 (INFERIDO).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Investigador principal</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Investigador principal</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Plataformas editoriales y CvLAC</w:t>
            </w:r>
          </w:p>
        </w:tc>
      </w:tr>
      <w:tr>
        <w:trPr>
          <w:cantSplit/>
        </w:trPr>
        <w:tc>
          <w:tcPr/>
          <w:p>
            <w:pPr>
              <w:pStyle w:val="Tabla9"/>
            </w:pPr>
          </w:p>
        </w:tc>
        <w:tc>
          <w:tcPr/>
          <w:p>
            <w:pPr>
              <w:pStyle w:val="Tabla9"/>
              <w:jc w:val="left"/>
            </w:pPr>
            <w:r>
              <w:t xml:space="preserve">Fuente secundaria</w:t>
            </w:r>
          </w:p>
        </w:tc>
        <w:tc>
          <w:tcPr/>
          <w:p>
            <w:pPr>
              <w:pStyle w:val="Tabla9"/>
              <w:jc w:val="left"/>
            </w:pPr>
            <w:r>
              <w:t xml:space="preserve">CvLAC y GrupLAC de las personas autoras</w:t>
            </w:r>
          </w:p>
        </w:tc>
      </w:tr>
      <w:tr>
        <w:trPr>
          <w:cantSplit/>
        </w:trPr>
        <w:tc>
          <w:tcPr/>
          <w:p>
            <w:pPr>
              <w:pStyle w:val="Tabla9"/>
            </w:pPr>
          </w:p>
        </w:tc>
        <w:tc>
          <w:tcPr/>
          <w:p>
            <w:pPr>
              <w:pStyle w:val="Tabla9"/>
              <w:jc w:val="left"/>
            </w:pPr>
            <w:r>
              <w:t xml:space="preserve">Instrumento</w:t>
            </w:r>
          </w:p>
        </w:tc>
        <w:tc>
          <w:tcPr/>
          <w:p>
            <w:pPr>
              <w:pStyle w:val="Tabla9"/>
              <w:jc w:val="left"/>
            </w:pPr>
            <w:r>
              <w:t xml:space="preserve">Matriz de seguimiento editorial</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Repositorio documental del proyecto</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No aplica</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y vinculación de las personas autoras</w:t>
            </w:r>
          </w:p>
        </w:tc>
      </w:tr>
      <w:tr>
        <w:trPr>
          <w:cantSplit/>
        </w:trPr>
        <w:tc>
          <w:tcPr/>
          <w:p>
            <w:pPr>
              <w:pStyle w:val="Tabla9"/>
            </w:pPr>
          </w:p>
        </w:tc>
        <w:tc>
          <w:tcPr/>
          <w:p>
            <w:pPr>
              <w:pStyle w:val="Tabla9"/>
              <w:jc w:val="left"/>
            </w:pPr>
            <w:r>
              <w:t xml:space="preserve">Otras</w:t>
            </w:r>
          </w:p>
        </w:tc>
        <w:tc>
          <w:tcPr/>
          <w:p>
            <w:pPr>
              <w:pStyle w:val="Tabla9"/>
              <w:jc w:val="left"/>
            </w:pPr>
            <w:r>
              <w:t xml:space="preserve">Cuartil de la revista al someter (Q1 o Q2)</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cuartil de una revista varía con el año y con la base de consulta.</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cuenta artículos y no su uso.</w:t>
            </w:r>
          </w:p>
        </w:tc>
      </w:tr>
      <w:tr>
        <w:trPr>
          <w:cantSplit/>
        </w:trPr>
        <w:tc>
          <w:tcPr/>
          <w:p>
            <w:pPr>
              <w:pStyle w:val="Tabla9"/>
            </w:pPr>
          </w:p>
        </w:tc>
        <w:tc>
          <w:tcPr/>
          <w:p>
            <w:pPr>
              <w:pStyle w:val="Tabla9"/>
              <w:jc w:val="left"/>
            </w:pPr>
            <w:r>
              <w:t xml:space="preserve">Mitigación</w:t>
            </w:r>
          </w:p>
        </w:tc>
        <w:tc>
          <w:tcPr/>
          <w:p>
            <w:pPr>
              <w:pStyle w:val="Tabla9"/>
              <w:jc w:val="left"/>
            </w:pPr>
            <w:r>
              <w:t xml:space="preserve">Verificar el cuartil al someter y conservar el soporte.</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Tiempos editoriales compatibles con el cierre</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Resultados del piloto disponibles tras C1 y tiempo del equipo investigador (contrapartida de la IES)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Tiempos editoriales compatibles con el cierre</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Carta de aceptación y soporte de envío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Carta de aceptación y soporte de envío</w:t>
            </w:r>
          </w:p>
        </w:tc>
      </w:tr>
      <w:tr>
        <w:trPr>
          <w:cantSplit/>
        </w:trPr>
        <w:tc>
          <w:tcPr/>
          <w:p>
            <w:pPr>
              <w:pStyle w:val="Tabla9"/>
            </w:pPr>
          </w:p>
        </w:tc>
        <w:tc>
          <w:tcPr/>
          <w:p>
            <w:pPr>
              <w:pStyle w:val="Tabla9"/>
              <w:jc w:val="left"/>
            </w:pPr>
            <w:r>
              <w:t xml:space="preserve">Responsable</w:t>
            </w:r>
          </w:p>
        </w:tc>
        <w:tc>
          <w:tcPr/>
          <w:p>
            <w:pPr>
              <w:pStyle w:val="Tabla9"/>
              <w:jc w:val="left"/>
            </w:pPr>
            <w:r>
              <w:t xml:space="preserve">Investigador principal</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8" w:name="rot_Tabla_12_11"/>
      <w:r>
        <w:rPr>
          <w:b/>
          <w:bCs/>
        </w:rPr>
        <w:t xml:space="preserve">Tabla 12.11</w:t>
      </w:r>
      <w:bookmarkEnd w:id="9338"/>
    </w:p>
    <w:p>
      <w:pPr>
        <w:pStyle w:val="TablaTitulo"/>
      </w:pPr>
      <w:r>
        <w:rPr>
          <w:i/>
          <w:iCs/>
        </w:rPr>
        <w:t xml:space="preserve">Ficha técnica PERS-P04 con tipo MMG 2021 y clasificación Output: Actividades de apropiación social documentadas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PERS-P04</w:t>
            </w:r>
          </w:p>
        </w:tc>
      </w:tr>
      <w:tr>
        <w:trPr>
          <w:cantSplit/>
        </w:trPr>
        <w:tc>
          <w:tcPr/>
          <w:p>
            <w:pPr>
              <w:pStyle w:val="Tabla9"/>
            </w:pPr>
          </w:p>
        </w:tc>
        <w:tc>
          <w:tcPr/>
          <w:p>
            <w:pPr>
              <w:pStyle w:val="Tabla9"/>
              <w:jc w:val="left"/>
            </w:pPr>
            <w:r>
              <w:t xml:space="preserve">Nombre</w:t>
            </w:r>
          </w:p>
        </w:tc>
        <w:tc>
          <w:tcPr/>
          <w:p>
            <w:pPr>
              <w:pStyle w:val="Tabla9"/>
              <w:jc w:val="left"/>
            </w:pPr>
            <w:r>
              <w:t xml:space="preserve">Actividades de apropiación social documentadas</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p>
            <w:pPr>
              <w:pStyle w:val="Tabla9"/>
            </w:pPr>
          </w:p>
        </w:tc>
        <w:tc>
          <w:tcPr/>
          <w:p>
            <w:pPr>
              <w:pStyle w:val="Tabla9"/>
              <w:jc w:val="left"/>
            </w:pPr>
            <w:r>
              <w:t xml:space="preserve">Objetivo asociado</w:t>
            </w:r>
          </w:p>
        </w:tc>
        <w:tc>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Tipo MMG 2021</w:t>
            </w:r>
          </w:p>
        </w:tc>
        <w:tc>
          <w:tcPr/>
          <w:p>
            <w:pPr>
              <w:pStyle w:val="Tabla9"/>
              <w:jc w:val="left"/>
            </w:pPr>
            <w:r>
              <w:t xml:space="preserve">ASC-PART / ASC-COM / ASC-CIRC (PROPUESTO; NO_VERIFICADO)</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A3.1 (semanas 12 a 36) y A3.2 (semanas 50 a 62)</w:t>
            </w:r>
          </w:p>
        </w:tc>
      </w:tr>
      <w:tr>
        <w:trPr>
          <w:cantSplit/>
        </w:trPr>
        <w:tc>
          <w:tcPr/>
          <w:p>
            <w:pPr>
              <w:pStyle w:val="Tabla9"/>
            </w:pPr>
          </w:p>
        </w:tc>
        <w:tc>
          <w:tcPr/>
          <w:p>
            <w:pPr>
              <w:pStyle w:val="Tabla9"/>
              <w:jc w:val="left"/>
            </w:pPr>
            <w:r>
              <w:t xml:space="preserve">Hito</w:t>
            </w:r>
          </w:p>
        </w:tc>
        <w:tc>
          <w:tcPr/>
          <w:p>
            <w:pPr>
              <w:pStyle w:val="Tabla9"/>
              <w:jc w:val="left"/>
            </w:pPr>
            <w:r>
              <w:t xml:space="preserve">H3 (mes 12) y H5 (mes 17)</w:t>
            </w:r>
          </w:p>
        </w:tc>
      </w:tr>
      <w:tr>
        <w:trPr>
          <w:cantSplit/>
        </w:trPr>
        <w:tc>
          <w:tcPr/>
          <w:p>
            <w:pPr>
              <w:pStyle w:val="Tabla9"/>
            </w:pPr>
          </w:p>
        </w:tc>
        <w:tc>
          <w:tcPr/>
          <w:p>
            <w:pPr>
              <w:pStyle w:val="Tabla9"/>
              <w:jc w:val="left"/>
            </w:pPr>
            <w:r>
              <w:t xml:space="preserve">Rubro presupuestal</w:t>
            </w:r>
          </w:p>
        </w:tc>
        <w:tc>
          <w:tcPr/>
          <w:p>
            <w:pPr>
              <w:pStyle w:val="Tabla9"/>
              <w:jc w:val="left"/>
            </w:pPr>
            <w:r>
              <w:t xml:space="preserve">M05, V05 y O02: 132,0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Cuenta las actividades de apropiación social documentadas: talleres de co-diseño (nivel 3) y jornadas públicas (niveles 1 y 2).</w:t>
            </w:r>
          </w:p>
        </w:tc>
      </w:tr>
      <w:tr>
        <w:trPr>
          <w:cantSplit/>
        </w:trPr>
        <w:tc>
          <w:tcPr/>
          <w:p>
            <w:pPr>
              <w:pStyle w:val="Tabla9"/>
            </w:pPr>
          </w:p>
        </w:tc>
        <w:tc>
          <w:tcPr/>
          <w:p>
            <w:pPr>
              <w:pStyle w:val="Tabla9"/>
              <w:jc w:val="left"/>
            </w:pPr>
            <w:r>
              <w:t xml:space="preserve">Justificación</w:t>
            </w:r>
          </w:p>
        </w:tc>
        <w:tc>
          <w:tcPr/>
          <w:p>
            <w:pPr>
              <w:pStyle w:val="Tabla9"/>
              <w:jc w:val="left"/>
            </w:pPr>
            <w:r>
              <w:t xml:space="preserve">El nivel 3 de la Escalera ASC es un compromiso mínimo del proyecto (tres actividades con acta) y sustenta los umbrales locales del tablero.</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Talleres de co-diseño (nivel 3) más jornadas públicas (niveles 1 y 2) con acta y lista de asistencia</w:t>
            </w:r>
          </w:p>
        </w:tc>
      </w:tr>
      <w:tr>
        <w:trPr>
          <w:cantSplit/>
        </w:trPr>
        <w:tc>
          <w:tcPr/>
          <w:p>
            <w:pPr>
              <w:pStyle w:val="Tabla9"/>
            </w:pPr>
          </w:p>
        </w:tc>
        <w:tc>
          <w:tcPr/>
          <w:p>
            <w:pPr>
              <w:pStyle w:val="Tabla9"/>
              <w:jc w:val="left"/>
            </w:pPr>
            <w:r>
              <w:t xml:space="preserve">Variables</w:t>
            </w:r>
          </w:p>
        </w:tc>
        <w:tc>
          <w:tcPr/>
          <w:p>
            <w:pPr>
              <w:pStyle w:val="Tabla9"/>
              <w:jc w:val="left"/>
            </w:pPr>
            <w:r>
              <w:t xml:space="preserve">Numerador: talleres y jornadas con acta y lista de asistencia. Denominador: no aplica. Factor: 29 actividades (20 talleres y 9 jornadas).</w:t>
            </w:r>
          </w:p>
        </w:tc>
      </w:tr>
      <w:tr>
        <w:trPr>
          <w:cantSplit/>
        </w:trPr>
        <w:tc>
          <w:tcPr/>
          <w:p>
            <w:pPr>
              <w:pStyle w:val="Tabla9"/>
            </w:pPr>
          </w:p>
        </w:tc>
        <w:tc>
          <w:tcPr/>
          <w:p>
            <w:pPr>
              <w:pStyle w:val="Tabla9"/>
              <w:jc w:val="left"/>
            </w:pPr>
            <w:r>
              <w:t xml:space="preserve">Unidad</w:t>
            </w:r>
          </w:p>
        </w:tc>
        <w:tc>
          <w:tcPr/>
          <w:p>
            <w:pPr>
              <w:pStyle w:val="Tabla9"/>
              <w:jc w:val="left"/>
            </w:pPr>
            <w:r>
              <w:t xml:space="preserve">actividades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actividades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10 actividades</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29 actividades acumuladas</w:t>
            </w:r>
          </w:p>
        </w:tc>
      </w:tr>
      <w:tr>
        <w:trPr>
          <w:cantSplit/>
        </w:trPr>
        <w:tc>
          <w:tcPr/>
          <w:p>
            <w:pPr>
              <w:pStyle w:val="Tabla9"/>
            </w:pPr>
          </w:p>
        </w:tc>
        <w:tc>
          <w:tcPr/>
          <w:p>
            <w:pPr>
              <w:pStyle w:val="Tabla9"/>
              <w:jc w:val="left"/>
            </w:pPr>
            <w:r>
              <w:t xml:space="preserve">Meta final</w:t>
            </w:r>
          </w:p>
        </w:tc>
        <w:tc>
          <w:tcPr/>
          <w:p>
            <w:pPr>
              <w:pStyle w:val="Tabla9"/>
              <w:jc w:val="left"/>
            </w:pPr>
            <w:r>
              <w:t xml:space="preserve">29 actividades (20 talleres y 9 jornadas)</w:t>
            </w:r>
          </w:p>
        </w:tc>
      </w:tr>
      <w:tr>
        <w:trPr>
          <w:cantSplit/>
        </w:trPr>
        <w:tc>
          <w:tcPr/>
          <w:p>
            <w:pPr>
              <w:pStyle w:val="Tabla9"/>
            </w:pPr>
          </w:p>
        </w:tc>
        <w:tc>
          <w:tcPr/>
          <w:p>
            <w:pPr>
              <w:pStyle w:val="Tabla9"/>
              <w:jc w:val="left"/>
            </w:pPr>
            <w:r>
              <w:t xml:space="preserve">Justificación</w:t>
            </w:r>
          </w:p>
        </w:tc>
        <w:tc>
          <w:tcPr/>
          <w:p>
            <w:pPr>
              <w:pStyle w:val="Tabla9"/>
              <w:jc w:val="left"/>
            </w:pPr>
            <w:r>
              <w:t xml:space="preserve">Los 20 talleres coinciden con 20 kits (M05) y 20 eventos (V05), y las 9 jornadas con 9 eventos (O02) (CALCULADO). La meta del mes 17 iguala la final, mientras las líneas O02 y V05 se extienden hasta el mes 24.</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Coordinación de apropiación social</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Coordinación de apropiación social</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Actas y listas de asistencia</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fotográfico y consentimientos informados</w:t>
            </w:r>
          </w:p>
        </w:tc>
      </w:tr>
      <w:tr>
        <w:trPr>
          <w:cantSplit/>
        </w:trPr>
        <w:tc>
          <w:tcPr/>
          <w:p>
            <w:pPr>
              <w:pStyle w:val="Tabla9"/>
            </w:pPr>
          </w:p>
        </w:tc>
        <w:tc>
          <w:tcPr/>
          <w:p>
            <w:pPr>
              <w:pStyle w:val="Tabla9"/>
              <w:jc w:val="left"/>
            </w:pPr>
            <w:r>
              <w:t xml:space="preserve">Instrumento</w:t>
            </w:r>
          </w:p>
        </w:tc>
        <w:tc>
          <w:tcPr/>
          <w:p>
            <w:pPr>
              <w:pStyle w:val="Tabla9"/>
              <w:jc w:val="left"/>
            </w:pPr>
            <w:r>
              <w:t xml:space="preserve">Acta firmada por representantes comunitarios y lista de asistencia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Archivo documental del proyecto con custodia de datos personales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y municipio focalizado (12 municipios, 4 por departamento; SUPUESTO)</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edad y pertenencia étnica de quienes participan, con consentimiento informado</w:t>
            </w:r>
          </w:p>
        </w:tc>
      </w:tr>
      <w:tr>
        <w:trPr>
          <w:cantSplit/>
        </w:trPr>
        <w:tc>
          <w:tcPr/>
          <w:p>
            <w:pPr>
              <w:pStyle w:val="Tabla9"/>
            </w:pPr>
          </w:p>
        </w:tc>
        <w:tc>
          <w:tcPr/>
          <w:p>
            <w:pPr>
              <w:pStyle w:val="Tabla9"/>
              <w:jc w:val="left"/>
            </w:pPr>
            <w:r>
              <w:t xml:space="preserve">Otras</w:t>
            </w:r>
          </w:p>
        </w:tc>
        <w:tc>
          <w:tcPr/>
          <w:p>
            <w:pPr>
              <w:pStyle w:val="Tabla9"/>
              <w:jc w:val="left"/>
            </w:pPr>
            <w:r>
              <w:t xml:space="preserve">Tipo de actividad (taller o jornada) y nivel de la Escalera ASC</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actividad documentada mide ejecución. La calidad de la participación no se infiere del conteo.</w:t>
            </w:r>
          </w:p>
        </w:tc>
      </w:tr>
      <w:tr>
        <w:trPr>
          <w:cantSplit/>
        </w:trPr>
        <w:tc>
          <w:tcPr/>
          <w:p>
            <w:pPr>
              <w:pStyle w:val="Tabla9"/>
            </w:pPr>
          </w:p>
        </w:tc>
        <w:tc>
          <w:tcPr/>
          <w:p>
            <w:pPr>
              <w:pStyle w:val="Tabla9"/>
              <w:jc w:val="left"/>
            </w:pPr>
            <w:r>
              <w:t xml:space="preserve">Cobertura</w:t>
            </w:r>
          </w:p>
        </w:tc>
        <w:tc>
          <w:tcPr/>
          <w:p>
            <w:pPr>
              <w:pStyle w:val="Tabla9"/>
              <w:jc w:val="left"/>
            </w:pPr>
            <w:r>
              <w:t xml:space="preserve">La asistencia puede no representar a la población expuesta ni al personal operativo de remoción.</w:t>
            </w:r>
          </w:p>
        </w:tc>
      </w:tr>
      <w:tr>
        <w:trPr>
          <w:cantSplit/>
        </w:trPr>
        <w:tc>
          <w:tcPr/>
          <w:p>
            <w:pPr>
              <w:pStyle w:val="Tabla9"/>
            </w:pPr>
          </w:p>
        </w:tc>
        <w:tc>
          <w:tcPr/>
          <w:p>
            <w:pPr>
              <w:pStyle w:val="Tabla9"/>
              <w:jc w:val="left"/>
            </w:pPr>
            <w:r>
              <w:t xml:space="preserve">Mitigación</w:t>
            </w:r>
          </w:p>
        </w:tc>
        <w:tc>
          <w:tcPr/>
          <w:p>
            <w:pPr>
              <w:pStyle w:val="Tabla9"/>
              <w:jc w:val="left"/>
            </w:pPr>
            <w:r>
              <w:t xml:space="preserve">Encuesta de satisfacción de participantes y registro de decisiones incorporadas.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Participación comunitaria con consentimiento informado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Coordinación de apropiación social contratada desde el mes 1 (línea P05)</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Participación comunitaria con consentimiento informado</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Actas firmadas por representantes comunitarios</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Acta firmada, lista de asistencia y registro fotográfico</w:t>
            </w:r>
          </w:p>
        </w:tc>
      </w:tr>
      <w:tr>
        <w:trPr>
          <w:cantSplit/>
        </w:trPr>
        <w:tc>
          <w:tcPr/>
          <w:p>
            <w:pPr>
              <w:pStyle w:val="Tabla9"/>
            </w:pPr>
          </w:p>
        </w:tc>
        <w:tc>
          <w:tcPr/>
          <w:p>
            <w:pPr>
              <w:pStyle w:val="Tabla9"/>
              <w:jc w:val="left"/>
            </w:pPr>
            <w:r>
              <w:t xml:space="preserve">Responsable</w:t>
            </w:r>
          </w:p>
        </w:tc>
        <w:tc>
          <w:tcPr/>
          <w:p>
            <w:pPr>
              <w:pStyle w:val="Tabla9"/>
              <w:jc w:val="left"/>
            </w:pPr>
            <w:r>
              <w:t xml:space="preserve">Coordinación de apropiación social</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tipificación MMG es una propuesta. Los códigos provienen de la tabla de referencia del metaprompt y no se verificaron contra el texto del modelo. La Tabla 12.12 lista cada código con su denominación y su criterio de verificación. Un producto solo cuenta si su evidencia puede cargarse en CvLAC o GrupLAC. Por eso cada fila exige un documento verificable: inventario con huella de configuración, certificado de registro de software, carta de aceptación o actas firmadas. El indicador PERS-E03 no es un producto, pero la ficha le asigna una tipología de formación que depende de la convocatoria.</w:t>
      </w:r>
    </w:p>
    <w:p>
      <w:pPr>
        <w:pStyle w:val="TablaRotulo"/>
      </w:pPr>
      <w:bookmarkStart w:id="9339" w:name="rot_Tabla_12_12"/>
      <w:r>
        <w:rPr>
          <w:b/>
          <w:bCs/>
        </w:rPr>
        <w:t xml:space="preserve">Tabla 12.12</w:t>
      </w:r>
      <w:bookmarkEnd w:id="9339"/>
    </w:p>
    <w:p>
      <w:pPr>
        <w:pStyle w:val="TablaTitulo"/>
      </w:pPr>
      <w:r>
        <w:rPr>
          <w:i/>
          <w:iCs/>
        </w:rPr>
        <w:t xml:space="preserve">Tipificación MMG 2021 de los productos PERS-P con código, denominación y criterio de verificación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056"/>
        <w:gridCol w:w="1914"/>
        <w:gridCol w:w="1452"/>
        <w:gridCol w:w="1650"/>
        <w:gridCol w:w="1848"/>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Código MMG 2021</w:t>
            </w:r>
          </w:p>
        </w:tc>
        <w:tc>
          <w:tcPr>
            <w:shd w:val="clear" w:color="auto" w:fill="00B050"/>
          </w:tcPr>
          <w:p>
            <w:pPr>
              <w:pStyle w:val="Tabla9"/>
              <w:jc w:val="center"/>
            </w:pPr>
            <w:r>
              <w:rPr>
                <w:b/>
                <w:color w:val="FFFFFF"/>
              </w:rPr>
              <w:t xml:space="preserve">Denominación en la tabla de referencia</w:t>
            </w:r>
          </w:p>
        </w:tc>
        <w:tc>
          <w:tcPr>
            <w:shd w:val="clear" w:color="auto" w:fill="00B050"/>
          </w:tcPr>
          <w:p>
            <w:pPr>
              <w:pStyle w:val="Tabla9"/>
              <w:jc w:val="center"/>
            </w:pPr>
            <w:r>
              <w:rPr>
                <w:b/>
                <w:color w:val="FFFFFF"/>
              </w:rPr>
              <w:t xml:space="preserve">Criterio de verificación</w:t>
            </w:r>
          </w:p>
        </w:tc>
        <w:tc>
          <w:tcPr>
            <w:shd w:val="clear" w:color="auto" w:fill="00B050"/>
          </w:tcPr>
          <w:p>
            <w:pPr>
              <w:pStyle w:val="Tabla9"/>
              <w:jc w:val="center"/>
            </w:pPr>
            <w:r>
              <w:rPr>
                <w:b/>
                <w:color w:val="FFFFFF"/>
              </w:rPr>
              <w:t xml:space="preserve">Estado del dato</w:t>
            </w:r>
          </w:p>
        </w:tc>
      </w:tr>
      <w:tr>
        <w:trPr>
          <w:cantSplit/>
        </w:trPr>
        <w:tc>
          <w:tcPr/>
          <w:p>
            <w:pPr>
              <w:pStyle w:val="Tabla9"/>
              <w:jc w:val="left"/>
            </w:pPr>
            <w:r>
              <w:t xml:space="preserve">PERS-P01</w:t>
            </w:r>
          </w:p>
        </w:tc>
        <w:tc>
          <w:tcPr/>
          <w:p>
            <w:pPr>
              <w:pStyle w:val="Tabla9"/>
              <w:jc w:val="left"/>
            </w:pPr>
            <w:r>
              <w:t xml:space="preserve">PROT-FUNC</w:t>
            </w:r>
          </w:p>
        </w:tc>
        <w:tc>
          <w:tcPr/>
          <w:p>
            <w:pPr>
              <w:pStyle w:val="Tabla9"/>
              <w:jc w:val="left"/>
            </w:pPr>
            <w:r>
              <w:t xml:space="preserve">Prototipo funcional</w:t>
            </w:r>
          </w:p>
        </w:tc>
        <w:tc>
          <w:tcPr/>
          <w:p>
            <w:pPr>
              <w:pStyle w:val="Tabla9"/>
              <w:jc w:val="left"/>
            </w:pPr>
            <w:r>
              <w:t xml:space="preserve">Inventario con huella de configuración y registro fotográfico. Reporte en CvLAC o GrupLAC (PROPUESTO).</w:t>
            </w:r>
          </w:p>
        </w:tc>
        <w:tc>
          <w:tcPr/>
          <w:p>
            <w:pPr>
              <w:pStyle w:val="Tabla9"/>
              <w:jc w:val="left"/>
            </w:pPr>
            <w:r>
              <w:t xml:space="preserve">PROPUESTO; NO_VERIFICADO</w:t>
            </w:r>
          </w:p>
        </w:tc>
      </w:tr>
      <w:tr>
        <w:trPr>
          <w:cantSplit/>
        </w:trPr>
        <w:tc>
          <w:tcPr/>
          <w:p>
            <w:pPr>
              <w:pStyle w:val="Tabla9"/>
              <w:jc w:val="left"/>
            </w:pPr>
            <w:r>
              <w:t xml:space="preserve">PERS-P02</w:t>
            </w:r>
          </w:p>
        </w:tc>
        <w:tc>
          <w:tcPr/>
          <w:p>
            <w:pPr>
              <w:pStyle w:val="Tabla9"/>
              <w:jc w:val="left"/>
            </w:pPr>
            <w:r>
              <w:t xml:space="preserve">SW-REG</w:t>
            </w:r>
          </w:p>
        </w:tc>
        <w:tc>
          <w:tcPr/>
          <w:p>
            <w:pPr>
              <w:pStyle w:val="Tabla9"/>
              <w:jc w:val="left"/>
            </w:pPr>
            <w:r>
              <w:t xml:space="preserve">Software registrado</w:t>
            </w:r>
          </w:p>
        </w:tc>
        <w:tc>
          <w:tcPr/>
          <w:p>
            <w:pPr>
              <w:pStyle w:val="Tabla9"/>
              <w:jc w:val="left"/>
            </w:pPr>
            <w:r>
              <w:t xml:space="preserve">Certificado de registro. Reporte en CvLAC o GrupLAC (PROPUESTO).</w:t>
            </w:r>
          </w:p>
        </w:tc>
        <w:tc>
          <w:tcPr/>
          <w:p>
            <w:pPr>
              <w:pStyle w:val="Tabla9"/>
              <w:jc w:val="left"/>
            </w:pPr>
            <w:r>
              <w:t xml:space="preserve">PROPUESTO; NO_VERIFICADO</w:t>
            </w:r>
          </w:p>
        </w:tc>
      </w:tr>
      <w:tr>
        <w:trPr>
          <w:cantSplit/>
        </w:trPr>
        <w:tc>
          <w:tcPr/>
          <w:p>
            <w:pPr>
              <w:pStyle w:val="Tabla9"/>
              <w:jc w:val="left"/>
            </w:pPr>
            <w:r>
              <w:t xml:space="preserve">PERS-P03</w:t>
            </w:r>
          </w:p>
        </w:tc>
        <w:tc>
          <w:tcPr/>
          <w:p>
            <w:pPr>
              <w:pStyle w:val="Tabla9"/>
              <w:jc w:val="left"/>
            </w:pPr>
            <w:r>
              <w:t xml:space="preserve">ART-A1</w:t>
            </w:r>
          </w:p>
        </w:tc>
        <w:tc>
          <w:tcPr/>
          <w:p>
            <w:pPr>
              <w:pStyle w:val="Tabla9"/>
              <w:jc w:val="left"/>
            </w:pPr>
            <w:r>
              <w:t xml:space="preserve">Artículo en revista A1 (Q1-Q2)</w:t>
            </w:r>
          </w:p>
        </w:tc>
        <w:tc>
          <w:tcPr/>
          <w:p>
            <w:pPr>
              <w:pStyle w:val="Tabla9"/>
              <w:jc w:val="left"/>
            </w:pPr>
            <w:r>
              <w:t xml:space="preserve">Carta de aceptación y soporte de envío. Reporte en CvLAC o GrupLAC (PROPUESTO).</w:t>
            </w:r>
          </w:p>
        </w:tc>
        <w:tc>
          <w:tcPr/>
          <w:p>
            <w:pPr>
              <w:pStyle w:val="Tabla9"/>
              <w:jc w:val="left"/>
            </w:pPr>
            <w:r>
              <w:t xml:space="preserve">PROPUESTO; NO_VERIFICADO</w:t>
            </w:r>
          </w:p>
        </w:tc>
      </w:tr>
      <w:tr>
        <w:trPr>
          <w:cantSplit/>
        </w:trPr>
        <w:tc>
          <w:tcPr/>
          <w:p>
            <w:pPr>
              <w:pStyle w:val="Tabla9"/>
              <w:jc w:val="left"/>
            </w:pPr>
            <w:r>
              <w:t xml:space="preserve">PERS-P03</w:t>
            </w:r>
          </w:p>
        </w:tc>
        <w:tc>
          <w:tcPr/>
          <w:p>
            <w:pPr>
              <w:pStyle w:val="Tabla9"/>
              <w:jc w:val="left"/>
            </w:pPr>
            <w:r>
              <w:t xml:space="preserve">ART-A2</w:t>
            </w:r>
          </w:p>
        </w:tc>
        <w:tc>
          <w:tcPr/>
          <w:p>
            <w:pPr>
              <w:pStyle w:val="Tabla9"/>
              <w:jc w:val="left"/>
            </w:pPr>
            <w:r>
              <w:t xml:space="preserve">Artículo en revista A2 (Q2-Q3)</w:t>
            </w:r>
          </w:p>
        </w:tc>
        <w:tc>
          <w:tcPr/>
          <w:p>
            <w:pPr>
              <w:pStyle w:val="Tabla9"/>
              <w:jc w:val="left"/>
            </w:pPr>
            <w:r>
              <w:t xml:space="preserve">Carta de aceptación y soporte de envío. Reporte en CvLAC o GrupLAC (PROPUESTO).</w:t>
            </w:r>
          </w:p>
        </w:tc>
        <w:tc>
          <w:tcPr/>
          <w:p>
            <w:pPr>
              <w:pStyle w:val="Tabla9"/>
              <w:jc w:val="left"/>
            </w:pPr>
            <w:r>
              <w:t xml:space="preserve">PROPUESTO; NO_VERIFICADO</w:t>
            </w:r>
          </w:p>
        </w:tc>
      </w:tr>
      <w:tr>
        <w:trPr>
          <w:cantSplit/>
        </w:trPr>
        <w:tc>
          <w:tcPr/>
          <w:p>
            <w:pPr>
              <w:pStyle w:val="Tabla9"/>
              <w:jc w:val="left"/>
            </w:pPr>
            <w:r>
              <w:t xml:space="preserve">PERS-P04</w:t>
            </w:r>
          </w:p>
        </w:tc>
        <w:tc>
          <w:tcPr/>
          <w:p>
            <w:pPr>
              <w:pStyle w:val="Tabla9"/>
              <w:jc w:val="left"/>
            </w:pPr>
            <w:r>
              <w:t xml:space="preserve">ASC-PART</w:t>
            </w:r>
          </w:p>
        </w:tc>
        <w:tc>
          <w:tcPr/>
          <w:p>
            <w:pPr>
              <w:pStyle w:val="Tabla9"/>
              <w:jc w:val="left"/>
            </w:pPr>
            <w:r>
              <w:t xml:space="preserve">Participación ciudadana en CTeI</w:t>
            </w:r>
          </w:p>
        </w:tc>
        <w:tc>
          <w:tcPr/>
          <w:p>
            <w:pPr>
              <w:pStyle w:val="Tabla9"/>
              <w:jc w:val="left"/>
            </w:pPr>
            <w:r>
              <w:t xml:space="preserve">Actas firmadas por representantes comunitarios. Reporte en CvLAC o GrupLAC (PROPUESTO).</w:t>
            </w:r>
          </w:p>
        </w:tc>
        <w:tc>
          <w:tcPr/>
          <w:p>
            <w:pPr>
              <w:pStyle w:val="Tabla9"/>
              <w:jc w:val="left"/>
            </w:pPr>
            <w:r>
              <w:t xml:space="preserve">PROPUESTO; NO_VERIFICADO</w:t>
            </w:r>
          </w:p>
        </w:tc>
      </w:tr>
      <w:tr>
        <w:trPr>
          <w:cantSplit/>
        </w:trPr>
        <w:tc>
          <w:tcPr/>
          <w:p>
            <w:pPr>
              <w:pStyle w:val="Tabla9"/>
              <w:jc w:val="left"/>
            </w:pPr>
            <w:r>
              <w:t xml:space="preserve">PERS-P04</w:t>
            </w:r>
          </w:p>
        </w:tc>
        <w:tc>
          <w:tcPr/>
          <w:p>
            <w:pPr>
              <w:pStyle w:val="Tabla9"/>
              <w:jc w:val="left"/>
            </w:pPr>
            <w:r>
              <w:t xml:space="preserve">ASC-COM</w:t>
            </w:r>
          </w:p>
        </w:tc>
        <w:tc>
          <w:tcPr/>
          <w:p>
            <w:pPr>
              <w:pStyle w:val="Tabla9"/>
              <w:jc w:val="left"/>
            </w:pPr>
            <w:r>
              <w:t xml:space="preserve">Comunicación social del conocimiento</w:t>
            </w:r>
          </w:p>
        </w:tc>
        <w:tc>
          <w:tcPr/>
          <w:p>
            <w:pPr>
              <w:pStyle w:val="Tabla9"/>
              <w:jc w:val="left"/>
            </w:pPr>
            <w:r>
              <w:t xml:space="preserve">Actas firmadas por representantes comunitarios. Reporte en CvLAC o GrupLAC (PROPUESTO).</w:t>
            </w:r>
          </w:p>
        </w:tc>
        <w:tc>
          <w:tcPr/>
          <w:p>
            <w:pPr>
              <w:pStyle w:val="Tabla9"/>
              <w:jc w:val="left"/>
            </w:pPr>
            <w:r>
              <w:t xml:space="preserve">PROPUESTO; NO_VERIFICADO</w:t>
            </w:r>
          </w:p>
        </w:tc>
      </w:tr>
      <w:tr>
        <w:trPr>
          <w:cantSplit/>
        </w:trPr>
        <w:tc>
          <w:tcPr/>
          <w:p>
            <w:pPr>
              <w:pStyle w:val="Tabla9"/>
              <w:jc w:val="left"/>
            </w:pPr>
            <w:r>
              <w:t xml:space="preserve">PERS-P04</w:t>
            </w:r>
          </w:p>
        </w:tc>
        <w:tc>
          <w:tcPr/>
          <w:p>
            <w:pPr>
              <w:pStyle w:val="Tabla9"/>
              <w:jc w:val="left"/>
            </w:pPr>
            <w:r>
              <w:t xml:space="preserve">ASC-CIRC</w:t>
            </w:r>
          </w:p>
        </w:tc>
        <w:tc>
          <w:tcPr/>
          <w:p>
            <w:pPr>
              <w:pStyle w:val="Tabla9"/>
              <w:jc w:val="left"/>
            </w:pPr>
            <w:r>
              <w:t xml:space="preserve">Circulación de conocimiento especializado</w:t>
            </w:r>
          </w:p>
        </w:tc>
        <w:tc>
          <w:tcPr/>
          <w:p>
            <w:pPr>
              <w:pStyle w:val="Tabla9"/>
              <w:jc w:val="left"/>
            </w:pPr>
            <w:r>
              <w:t xml:space="preserve">Actas firmadas por representantes comunitarios. Reporte en CvLAC o GrupLAC (PROPUESTO).</w:t>
            </w:r>
          </w:p>
        </w:tc>
        <w:tc>
          <w:tcPr/>
          <w:p>
            <w:pPr>
              <w:pStyle w:val="Tabla9"/>
              <w:jc w:val="left"/>
            </w:pPr>
            <w:r>
              <w:t xml:space="preserve">PROPUESTO; NO_VERIFICADO</w:t>
            </w:r>
          </w:p>
        </w:tc>
      </w:tr>
      <w:tr>
        <w:trPr>
          <w:cantSplit/>
        </w:trPr>
        <w:tc>
          <w:tcPr/>
          <w:p>
            <w:pPr>
              <w:pStyle w:val="Tabla9"/>
              <w:jc w:val="left"/>
            </w:pPr>
            <w:r>
              <w:t xml:space="preserve">PERS-E03</w:t>
            </w:r>
          </w:p>
        </w:tc>
        <w:tc>
          <w:tcPr/>
          <w:p>
            <w:pPr>
              <w:pStyle w:val="Tabla9"/>
              <w:jc w:val="left"/>
            </w:pPr>
            <w:r>
              <w:t xml:space="preserve">[DATO_USUARIO: código de tipología según la convocatoria vigente]</w:t>
            </w:r>
          </w:p>
        </w:tc>
        <w:tc>
          <w:tcPr/>
          <w:p>
            <w:pPr>
              <w:pStyle w:val="Tabla9"/>
              <w:jc w:val="left"/>
            </w:pPr>
            <w:r>
              <w:t xml:space="preserve">FORM (capacitación), denominación de la ficha maestra</w:t>
            </w:r>
          </w:p>
        </w:tc>
        <w:tc>
          <w:tcPr/>
          <w:p>
            <w:pPr>
              <w:pStyle w:val="Tabla9"/>
              <w:jc w:val="left"/>
            </w:pPr>
            <w:r>
              <w:t xml:space="preserve">Certificados y actas de evaluación práctica.</w:t>
            </w:r>
          </w:p>
        </w:tc>
        <w:tc>
          <w:tcPr/>
          <w:p>
            <w:pPr>
              <w:pStyle w:val="Tabla9"/>
              <w:jc w:val="left"/>
            </w:pPr>
            <w:r>
              <w:t xml:space="preserve">VACIO</w:t>
            </w:r>
          </w:p>
        </w:tc>
      </w:tr>
    </w:tbl>
    <w:p>
      <w:pPr>
        <w:pStyle w:val="TablaNota"/>
      </w:pPr>
      <w:r>
        <w:rPr>
          <w:i/>
          <w:iCs/>
        </w:rPr>
        <w:t xml:space="preserve">Nota.</w:t>
      </w:r>
      <w:r>
        <w:t xml:space="preserve"> </w:t>
      </w:r>
      <w:r>
        <w:t xml:space="preserve">Elaboración propia con los códigos de la ficha maestra y la tabla de referencia del metaprompt GENESIS-CTeI. MMG: Modelo de Medición de Grupos. La equivalencia de ART-A1 y ART-A2 con los cuartiles Q1 y Q2 depende de la clasificación de revistas vigente [DATO_USUARIO: clasificación de revistas de la convocatoria]. Los TdR y el texto del MMG 2021 no se aportaron (NO_VERIFICADO). El indicador PERS-E03 no es un producto P; se incluye porque la ficha le asigna FORM.</w:t>
      </w:r>
    </w:p>
    <w:p>
      <w:pPr>
        <w:pStyle w:val="BodyText"/>
      </w:pPr>
      <w:r>
        <w:t xml:space="preserve">El prototipo funcional PROT-FUNC corresponde, en la escala de madurez tecnológica, a un sistema demostrado en entorno operativo, es decir, al nivel 7 (Mankins, 1995). Esa correspondencia vincula el producto con la meta de madurez del proyecto, que parte del nivel 4. Si la evaluación independiente del mes 23 no confirma el desempeño, el producto se declara en el nivel 6. No se afirma el nivel 7. Ese tratamiento evita una promesa que el ensayo no respalda. El registro de software protege la expresión del código, pero no la idea del método. Por eso el protocolo de calibración se publica en acceso abierto (Teece, 1986).</w:t>
      </w:r>
    </w:p>
    <w:p>
      <w:pPr>
        <w:pStyle w:val="BodyText"/>
      </w:pPr>
      <w:r>
        <w:t xml:space="preserve">La tipificación plantea un debate sobre qué cuenta como producto de conocimiento. Una posición mide la cantidad de productos tipificados y premia la acumulación. La otra mide su calidad y su uso. La medición de la investigación y el desarrollo distingue los recursos invertidos, las actividades y los productos obtenidos (OCDE, 2015). El proyecto compromete cuatro productos y los vincula con indicadores de uso en el nivel de efecto. Ese diseño reduce el riesgo de acumular productos sin adopción. Dos artículos sometidos y uno aceptado es una meta modesta y verificable, que depende del tiempo editorial.</w:t>
      </w:r>
    </w:p>
    <w:p>
      <w:pPr>
        <w:pStyle w:val="BodyText"/>
      </w:pPr>
      <w:r>
        <w:t xml:space="preserve">La validación cruzada entre meta, recurso y cronograma comprueba que cada producto tenga presupuesto y plazo coherentes. La Tabla 12.13 cruza cada indicador P con sus líneas presupuestales, las actividades del cronograma y el plazo de las líneas. Ninguna fila activa la alerta bloqueante. PERS-P01 concentra 1.135,0 millones de COP, que cubren 120 nodos, 11 gateways y 110 sitios de instalación. PERS-P02 recibe 60,0 millones, PERS-P03 recibe 25,0 millones y PERS-P04 recibe 132,0 millones. Los montos no son aditivos, porque una línea puede servir a más de un indicador.</w:t>
      </w:r>
    </w:p>
    <w:p>
      <w:pPr>
        <w:pStyle w:val="TablaRotulo"/>
      </w:pPr>
      <w:bookmarkStart w:id="9340" w:name="rot_Tabla_12_13"/>
      <w:r>
        <w:rPr>
          <w:b/>
          <w:bCs/>
        </w:rPr>
        <w:t xml:space="preserve">Tabla 12.13</w:t>
      </w:r>
      <w:bookmarkEnd w:id="9340"/>
    </w:p>
    <w:p>
      <w:pPr>
        <w:pStyle w:val="TablaTitulo"/>
      </w:pPr>
      <w:r>
        <w:rPr>
          <w:i/>
          <w:iCs/>
        </w:rPr>
        <w:t xml:space="preserve">Validación cruzada meta-recurso-cronograma para los indicadores PERS-P</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064"/>
        <w:gridCol w:w="1131"/>
        <w:gridCol w:w="931"/>
        <w:gridCol w:w="1331"/>
        <w:gridCol w:w="1064"/>
        <w:gridCol w:w="665"/>
        <w:gridCol w:w="1730"/>
      </w:tblGrid>
      <w:tr>
        <w:trPr>
          <w:cantSplit/>
          <w:tblHeader/>
        </w:trPr>
        <w:tc>
          <w:tcPr>
            <w:shd w:val="clear" w:color="auto" w:fill="00B050"/>
          </w:tcPr>
          <w:p>
            <w:pPr>
              <w:pStyle w:val="Tabla8"/>
              <w:jc w:val="center"/>
            </w:pPr>
            <w:r>
              <w:rPr>
                <w:b/>
                <w:color w:val="FFFFFF"/>
              </w:rPr>
              <w:t xml:space="preserve">Indicador</w:t>
            </w:r>
          </w:p>
        </w:tc>
        <w:tc>
          <w:tcPr>
            <w:shd w:val="clear" w:color="auto" w:fill="00B050"/>
          </w:tcPr>
          <w:p>
            <w:pPr>
              <w:pStyle w:val="Tabla8"/>
              <w:jc w:val="center"/>
            </w:pPr>
            <w:r>
              <w:rPr>
                <w:b/>
                <w:color w:val="FFFFFF"/>
              </w:rPr>
              <w:t xml:space="preserve">Meta</w:t>
            </w:r>
          </w:p>
        </w:tc>
        <w:tc>
          <w:tcPr>
            <w:shd w:val="clear" w:color="auto" w:fill="00B050"/>
          </w:tcPr>
          <w:p>
            <w:pPr>
              <w:pStyle w:val="Tabla8"/>
              <w:jc w:val="center"/>
            </w:pPr>
            <w:r>
              <w:rPr>
                <w:b/>
                <w:color w:val="FFFFFF"/>
              </w:rPr>
              <w:t xml:space="preserve">Rubros asociados</w:t>
            </w:r>
          </w:p>
        </w:tc>
        <w:tc>
          <w:tcPr>
            <w:shd w:val="clear" w:color="auto" w:fill="00B050"/>
          </w:tcPr>
          <w:p>
            <w:pPr>
              <w:pStyle w:val="Tabla8"/>
              <w:jc w:val="center"/>
            </w:pPr>
            <w:r>
              <w:rPr>
                <w:b/>
                <w:color w:val="FFFFFF"/>
              </w:rPr>
              <w:t xml:space="preserve">Monto asignado (COP)</w:t>
            </w:r>
          </w:p>
        </w:tc>
        <w:tc>
          <w:tcPr>
            <w:shd w:val="clear" w:color="auto" w:fill="00B050"/>
          </w:tcPr>
          <w:p>
            <w:pPr>
              <w:pStyle w:val="Tabla8"/>
              <w:jc w:val="center"/>
            </w:pPr>
            <w:r>
              <w:rPr>
                <w:b/>
                <w:color w:val="FFFFFF"/>
              </w:rPr>
              <w:t xml:space="preserve">Actividad en cronograma</w:t>
            </w:r>
          </w:p>
        </w:tc>
        <w:tc>
          <w:tcPr>
            <w:shd w:val="clear" w:color="auto" w:fill="00B050"/>
          </w:tcPr>
          <w:p>
            <w:pPr>
              <w:pStyle w:val="Tabla8"/>
              <w:jc w:val="center"/>
            </w:pPr>
            <w:r>
              <w:rPr>
                <w:b/>
                <w:color w:val="FFFFFF"/>
              </w:rPr>
              <w:t xml:space="preserve">Plazo de las líneas</w:t>
            </w:r>
          </w:p>
        </w:tc>
        <w:tc>
          <w:tcPr>
            <w:shd w:val="clear" w:color="auto" w:fill="00B050"/>
          </w:tcPr>
          <w:p>
            <w:pPr>
              <w:pStyle w:val="Tabla8"/>
              <w:jc w:val="center"/>
            </w:pPr>
            <w:r>
              <w:rPr>
                <w:b/>
                <w:color w:val="FFFFFF"/>
              </w:rPr>
              <w:t xml:space="preserve">Coherencia</w:t>
            </w:r>
          </w:p>
        </w:tc>
      </w:tr>
      <w:tr>
        <w:trPr>
          <w:cantSplit/>
        </w:trPr>
        <w:tc>
          <w:tcPr/>
          <w:p>
            <w:pPr>
              <w:pStyle w:val="Tabla8"/>
              <w:jc w:val="left"/>
            </w:pPr>
            <w:r>
              <w:t xml:space="preserve">PERS-P01</w:t>
            </w:r>
          </w:p>
        </w:tc>
        <w:tc>
          <w:tcPr/>
          <w:p>
            <w:pPr>
              <w:pStyle w:val="Tabla8"/>
              <w:jc w:val="left"/>
            </w:pPr>
            <w:r>
              <w:t xml:space="preserve">100 nodos y 10 gateways</w:t>
            </w:r>
          </w:p>
        </w:tc>
        <w:tc>
          <w:tcPr/>
          <w:p>
            <w:pPr>
              <w:pStyle w:val="Tabla8"/>
              <w:jc w:val="left"/>
            </w:pPr>
            <w:r>
              <w:t xml:space="preserve">E01, E04, E05, E06, M03, S05</w:t>
            </w:r>
          </w:p>
        </w:tc>
        <w:tc>
          <w:tcPr/>
          <w:p>
            <w:pPr>
              <w:pStyle w:val="Tabla8"/>
              <w:jc w:val="left"/>
            </w:pPr>
            <w:r>
              <w:t xml:space="preserve">$ 1.135.000.000</w:t>
            </w:r>
          </w:p>
        </w:tc>
        <w:tc>
          <w:tcPr/>
          <w:p>
            <w:pPr>
              <w:pStyle w:val="Tabla8"/>
              <w:jc w:val="left"/>
            </w:pPr>
            <w:r>
              <w:t xml:space="preserve">A1.2, A2.3, A2.4</w:t>
            </w:r>
          </w:p>
        </w:tc>
        <w:tc>
          <w:tcPr/>
          <w:p>
            <w:pPr>
              <w:pStyle w:val="Tabla8"/>
              <w:jc w:val="left"/>
            </w:pPr>
            <w:r>
              <w:t xml:space="preserve">Meses 1 a 24</w:t>
            </w:r>
          </w:p>
        </w:tc>
        <w:tc>
          <w:tcPr/>
          <w:p>
            <w:pPr>
              <w:pStyle w:val="Tabla8"/>
              <w:jc w:val="left"/>
            </w:pPr>
            <w:r>
              <w:t xml:space="preserve">COHERENTE. 120 nodos, 11 gateways, 10 módulos y 110 sitios cubren la meta.</w:t>
            </w:r>
          </w:p>
        </w:tc>
      </w:tr>
      <w:tr>
        <w:trPr>
          <w:cantSplit/>
        </w:trPr>
        <w:tc>
          <w:tcPr/>
          <w:p>
            <w:pPr>
              <w:pStyle w:val="Tabla8"/>
              <w:jc w:val="left"/>
            </w:pPr>
            <w:r>
              <w:t xml:space="preserve">PERS-P02</w:t>
            </w:r>
          </w:p>
        </w:tc>
        <w:tc>
          <w:tcPr/>
          <w:p>
            <w:pPr>
              <w:pStyle w:val="Tabla8"/>
              <w:jc w:val="left"/>
            </w:pPr>
            <w:r>
              <w:t xml:space="preserve">1 registro vigente</w:t>
            </w:r>
          </w:p>
        </w:tc>
        <w:tc>
          <w:tcPr/>
          <w:p>
            <w:pPr>
              <w:pStyle w:val="Tabla8"/>
              <w:jc w:val="left"/>
            </w:pPr>
            <w:r>
              <w:t xml:space="preserve">O03, S02</w:t>
            </w:r>
          </w:p>
        </w:tc>
        <w:tc>
          <w:tcPr/>
          <w:p>
            <w:pPr>
              <w:pStyle w:val="Tabla8"/>
              <w:jc w:val="left"/>
            </w:pPr>
            <w:r>
              <w:t xml:space="preserve">$ 60.000.000</w:t>
            </w:r>
          </w:p>
        </w:tc>
        <w:tc>
          <w:tcPr/>
          <w:p>
            <w:pPr>
              <w:pStyle w:val="Tabla8"/>
              <w:jc w:val="left"/>
            </w:pPr>
            <w:r>
              <w:t xml:space="preserve">A2.2, A1.4</w:t>
            </w:r>
          </w:p>
        </w:tc>
        <w:tc>
          <w:tcPr/>
          <w:p>
            <w:pPr>
              <w:pStyle w:val="Tabla8"/>
              <w:jc w:val="left"/>
            </w:pPr>
            <w:r>
              <w:t xml:space="preserve">Meses 1 a 24</w:t>
            </w:r>
          </w:p>
        </w:tc>
        <w:tc>
          <w:tcPr/>
          <w:p>
            <w:pPr>
              <w:pStyle w:val="Tabla8"/>
              <w:jc w:val="left"/>
            </w:pPr>
            <w:r>
              <w:t xml:space="preserve">COHERENTE. O03 inicia en el mes 12, tras la validación de C1.</w:t>
            </w:r>
          </w:p>
        </w:tc>
      </w:tr>
      <w:tr>
        <w:trPr>
          <w:cantSplit/>
        </w:trPr>
        <w:tc>
          <w:tcPr/>
          <w:p>
            <w:pPr>
              <w:pStyle w:val="Tabla8"/>
              <w:jc w:val="left"/>
            </w:pPr>
            <w:r>
              <w:t xml:space="preserve">PERS-P03</w:t>
            </w:r>
          </w:p>
        </w:tc>
        <w:tc>
          <w:tcPr/>
          <w:p>
            <w:pPr>
              <w:pStyle w:val="Tabla8"/>
              <w:jc w:val="left"/>
            </w:pPr>
            <w:r>
              <w:t xml:space="preserve">2 sometidos y al menos 1 aceptado</w:t>
            </w:r>
          </w:p>
        </w:tc>
        <w:tc>
          <w:tcPr/>
          <w:p>
            <w:pPr>
              <w:pStyle w:val="Tabla8"/>
              <w:jc w:val="left"/>
            </w:pPr>
            <w:r>
              <w:t xml:space="preserve">O01</w:t>
            </w:r>
          </w:p>
        </w:tc>
        <w:tc>
          <w:tcPr/>
          <w:p>
            <w:pPr>
              <w:pStyle w:val="Tabla8"/>
              <w:jc w:val="left"/>
            </w:pPr>
            <w:r>
              <w:t xml:space="preserve">$ 25.000.000</w:t>
            </w:r>
          </w:p>
        </w:tc>
        <w:tc>
          <w:tcPr/>
          <w:p>
            <w:pPr>
              <w:pStyle w:val="Tabla8"/>
              <w:jc w:val="left"/>
            </w:pPr>
            <w:r>
              <w:t xml:space="preserve">A1.4, A1.6</w:t>
            </w:r>
          </w:p>
        </w:tc>
        <w:tc>
          <w:tcPr/>
          <w:p>
            <w:pPr>
              <w:pStyle w:val="Tabla8"/>
              <w:jc w:val="left"/>
            </w:pPr>
            <w:r>
              <w:t xml:space="preserve">Meses 14 a 24</w:t>
            </w:r>
          </w:p>
        </w:tc>
        <w:tc>
          <w:tcPr/>
          <w:p>
            <w:pPr>
              <w:pStyle w:val="Tabla8"/>
              <w:jc w:val="left"/>
            </w:pPr>
            <w:r>
              <w:t xml:space="preserve">COHERENTE CON OBSERVACIÓN. La autoría no tiene línea SGR; usa contrapartida.</w:t>
            </w:r>
          </w:p>
        </w:tc>
      </w:tr>
      <w:tr>
        <w:trPr>
          <w:cantSplit/>
        </w:trPr>
        <w:tc>
          <w:tcPr/>
          <w:p>
            <w:pPr>
              <w:pStyle w:val="Tabla8"/>
              <w:jc w:val="left"/>
            </w:pPr>
            <w:r>
              <w:t xml:space="preserve">PERS-P04</w:t>
            </w:r>
          </w:p>
        </w:tc>
        <w:tc>
          <w:tcPr/>
          <w:p>
            <w:pPr>
              <w:pStyle w:val="Tabla8"/>
              <w:jc w:val="left"/>
            </w:pPr>
            <w:r>
              <w:t xml:space="preserve">29 actividades</w:t>
            </w:r>
          </w:p>
        </w:tc>
        <w:tc>
          <w:tcPr/>
          <w:p>
            <w:pPr>
              <w:pStyle w:val="Tabla8"/>
              <w:jc w:val="left"/>
            </w:pPr>
            <w:r>
              <w:t xml:space="preserve">M05, V05, O02</w:t>
            </w:r>
          </w:p>
        </w:tc>
        <w:tc>
          <w:tcPr/>
          <w:p>
            <w:pPr>
              <w:pStyle w:val="Tabla8"/>
              <w:jc w:val="left"/>
            </w:pPr>
            <w:r>
              <w:t xml:space="preserve">$ 132.000.000</w:t>
            </w:r>
          </w:p>
        </w:tc>
        <w:tc>
          <w:tcPr/>
          <w:p>
            <w:pPr>
              <w:pStyle w:val="Tabla8"/>
              <w:jc w:val="left"/>
            </w:pPr>
            <w:r>
              <w:t xml:space="preserve">A3.1, A3.2</w:t>
            </w:r>
          </w:p>
        </w:tc>
        <w:tc>
          <w:tcPr/>
          <w:p>
            <w:pPr>
              <w:pStyle w:val="Tabla8"/>
              <w:jc w:val="left"/>
            </w:pPr>
            <w:r>
              <w:t xml:space="preserve">Meses 2 a 24</w:t>
            </w:r>
          </w:p>
        </w:tc>
        <w:tc>
          <w:tcPr/>
          <w:p>
            <w:pPr>
              <w:pStyle w:val="Tabla8"/>
              <w:jc w:val="left"/>
            </w:pPr>
            <w:r>
              <w:t xml:space="preserve">COHERENTE CON OBSERVACIÓN. La meta del mes 17 iguala la final.</w:t>
            </w:r>
          </w:p>
        </w:tc>
      </w:tr>
    </w:tbl>
    <w:p>
      <w:pPr>
        <w:pStyle w:val="TablaNota"/>
      </w:pPr>
      <w:r>
        <w:rPr>
          <w:i/>
          <w:iCs/>
        </w:rPr>
        <w:t xml:space="preserve">Nota.</w:t>
      </w:r>
      <w:r>
        <w:t xml:space="preserve"> </w:t>
      </w:r>
      <w:r>
        <w:t xml:space="preserve">Elaboración propia con datos de la ficha maestra del proyecto (presupuesto SGR y cronograma). Montos CALCULADOS como suma de las líneas indicadas; las líneas pueden servir a más de un indicador, de modo que los montos no son aditivos. La asignación de líneas a indicadores es PROPUESTO. Ninguna fila activa la alerta bloqueante de incoherencia. Naturaleza de las metas: CALCULADO y PROPUESTO.</w:t>
      </w:r>
    </w:p>
    <w:p>
      <w:pPr>
        <w:pStyle w:val="BodyText"/>
      </w:pPr>
      <w:r>
        <w:t xml:space="preserve">La Figura 12.2 presenta la matriz de productos por objetivo específico. OE1 aporta dos productos, el software y los artículos. OE2 aporta uno, la red. OE3 aporta uno, las actividades de apropiación. Esa distribución deja OE3 con un solo producto y ocho indicadores. La asimetría es deliberada: el objetivo de uso institucional se mide sobre todo por efectos y sostenibilidad, que dependen de la adopción. La consecuencia es que el cumplimiento de OE3 no puede declararse solo con los productos. Exige los indicadores de los niveles E y S.</w:t>
      </w:r>
    </w:p>
    <w:p>
      <w:pPr>
        <w:pStyle w:val="FiguraRotulo"/>
      </w:pPr>
      <w:bookmarkStart w:id="9532" w:name="rot_Figura_12_2"/>
      <w:r>
        <w:rPr>
          <w:b/>
          <w:bCs/>
        </w:rPr>
        <w:t xml:space="preserve">Figura 12.2</w:t>
      </w:r>
      <w:bookmarkEnd w:id="9532"/>
    </w:p>
    <w:p>
      <w:pPr>
        <w:pStyle w:val="FiguraTitulo"/>
      </w:pPr>
      <w:r>
        <w:rPr>
          <w:i/>
          <w:iCs/>
        </w:rPr>
        <w:t xml:space="preserve">Cuatro productos tipificados cubren los tres objetivos; OE1 aporta dos</w:t>
      </w:r>
    </w:p>
    <w:p>
      <w:pPr>
        <w:pStyle w:val="BodyText"/>
      </w:pPr>
      <w:r>
        <w:drawing>
          <wp:inline>
            <wp:extent cx="5579999" cy="2722196"/>
            <wp:effectExtent b="0" l="0" r="0" t="0"/>
            <wp:docPr descr="" title="" id="566" name="Picture"/>
            <a:graphic>
              <a:graphicData uri="http://schemas.openxmlformats.org/drawingml/2006/picture">
                <pic:pic>
                  <pic:nvPicPr>
                    <pic:cNvPr descr="/tmp/claude-0/-home-user-docs/ddf38714-2a7e-502b-92b4-1008e2832422/scratchpad/proy/figs/out/c12_f02.png" id="567" name="Picture"/>
                    <pic:cNvPicPr>
                      <a:picLocks noChangeArrowheads="1" noChangeAspect="1"/>
                    </pic:cNvPicPr>
                  </pic:nvPicPr>
                  <pic:blipFill>
                    <a:blip r:embed="rId565"/>
                    <a:stretch>
                      <a:fillRect/>
                    </a:stretch>
                  </pic:blipFill>
                  <pic:spPr bwMode="auto">
                    <a:xfrm>
                      <a:off x="0" y="0"/>
                      <a:ext cx="5579999" cy="27221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y de la validación cruzada de la tabla de metas, recursos y cronograma. Códigos MMG 2021 PROPUESTO; costo directo asociado CALCULADO. Python 3 y matplotlib; script c12_figs.py; sin semilla; corte del 13 de octubre de 2026.</w:t>
      </w:r>
    </w:p>
    <w:bookmarkEnd w:id="568"/>
    <w:bookmarkStart w:id="572" w:name="_Toc00900230"/>
    <w:p>
      <w:pPr>
        <w:pStyle w:val="Heading2"/>
      </w:pPr>
      <w:r>
        <w:t xml:space="preserve">12.4 Indicadores de Efecto (E): Outcomes</w:t>
      </w:r>
    </w:p>
    <w:p>
      <w:pPr>
        <w:pStyle w:val="FirstParagraph"/>
      </w:pPr>
      <w:r>
        <w:t xml:space="preserve">Los tres indicadores de efecto miden cambios en los destinatarios tras recibir los productos. Responden a una pregunta distinta de la de los productos: si los beneficiarios usan lo entregado y si cambiaron su comportamiento o su capacidad. PERS-E01 mide el uso institucional del tablero y del protocolo. PERS-E02 mide la reducción relativa de falsas alarmas. PERS-E03 mide la capacidad instalada en los custodios. Las fichas están en la Tabla 12.14, la Tabla 12.15 y la Tabla 12.16. Las tres tienen riesgo alto de incumplimiento. Dos tienen línea base VACIO.</w:t>
      </w:r>
    </w:p>
    <w:p>
      <w:pPr>
        <w:pStyle w:val="TablaRotulo"/>
      </w:pPr>
      <w:bookmarkStart w:id="9341" w:name="rot_Tabla_12_14"/>
      <w:r>
        <w:rPr>
          <w:b/>
          <w:bCs/>
        </w:rPr>
        <w:t xml:space="preserve">Tabla 12.14</w:t>
      </w:r>
      <w:bookmarkEnd w:id="9341"/>
    </w:p>
    <w:p>
      <w:pPr>
        <w:pStyle w:val="TablaTitulo"/>
      </w:pPr>
      <w:r>
        <w:rPr>
          <w:i/>
          <w:iCs/>
        </w:rPr>
        <w:t xml:space="preserve">Ficha técnica PERS-E01 con clasificación Outcome: Uso institucional del tablero y del protocolo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PERS-E01</w:t>
            </w:r>
          </w:p>
        </w:tc>
      </w:tr>
      <w:tr>
        <w:trPr>
          <w:cantSplit/>
        </w:trPr>
        <w:tc>
          <w:tcPr/>
          <w:p>
            <w:pPr>
              <w:pStyle w:val="Tabla9"/>
            </w:pPr>
          </w:p>
        </w:tc>
        <w:tc>
          <w:tcPr/>
          <w:p>
            <w:pPr>
              <w:pStyle w:val="Tabla9"/>
              <w:jc w:val="left"/>
            </w:pPr>
            <w:r>
              <w:t xml:space="preserve">Nombre</w:t>
            </w:r>
          </w:p>
        </w:tc>
        <w:tc>
          <w:tcPr/>
          <w:p>
            <w:pPr>
              <w:pStyle w:val="Tabla9"/>
              <w:jc w:val="left"/>
            </w:pPr>
            <w:r>
              <w:t xml:space="preserve">Uso institucional del tablero y del protocolo</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p>
            <w:pPr>
              <w:pStyle w:val="Tabla9"/>
            </w:pPr>
          </w:p>
        </w:tc>
        <w:tc>
          <w:tcPr/>
          <w:p>
            <w:pPr>
              <w:pStyle w:val="Tabla9"/>
              <w:jc w:val="left"/>
            </w:pPr>
            <w:r>
              <w:t xml:space="preserve">Objetivo asociado</w:t>
            </w:r>
          </w:p>
        </w:tc>
        <w:tc>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A3.1 (semanas 12 a 36) y A3.2 (semanas 50 a 62)</w:t>
            </w:r>
          </w:p>
        </w:tc>
      </w:tr>
      <w:tr>
        <w:trPr>
          <w:cantSplit/>
        </w:trPr>
        <w:tc>
          <w:tcPr/>
          <w:p>
            <w:pPr>
              <w:pStyle w:val="Tabla9"/>
            </w:pPr>
          </w:p>
        </w:tc>
        <w:tc>
          <w:tcPr/>
          <w:p>
            <w:pPr>
              <w:pStyle w:val="Tabla9"/>
              <w:jc w:val="left"/>
            </w:pPr>
            <w:r>
              <w:t xml:space="preserve">Hito</w:t>
            </w:r>
          </w:p>
        </w:tc>
        <w:tc>
          <w:tcPr/>
          <w:p>
            <w:pPr>
              <w:pStyle w:val="Tabla9"/>
              <w:jc w:val="left"/>
            </w:pPr>
            <w:r>
              <w:t xml:space="preserve">H3 (mes 12), H5 (mes 17) y H8 (mes 24)</w:t>
            </w:r>
          </w:p>
        </w:tc>
      </w:tr>
      <w:tr>
        <w:trPr>
          <w:cantSplit/>
        </w:trPr>
        <w:tc>
          <w:tcPr/>
          <w:p>
            <w:pPr>
              <w:pStyle w:val="Tabla9"/>
            </w:pPr>
          </w:p>
        </w:tc>
        <w:tc>
          <w:tcPr/>
          <w:p>
            <w:pPr>
              <w:pStyle w:val="Tabla9"/>
              <w:jc w:val="left"/>
            </w:pPr>
            <w:r>
              <w:t xml:space="preserve">Rubro presupuestal</w:t>
            </w:r>
          </w:p>
        </w:tc>
        <w:tc>
          <w:tcPr/>
          <w:p>
            <w:pPr>
              <w:pStyle w:val="Tabla9"/>
              <w:jc w:val="left"/>
            </w:pPr>
            <w:r>
              <w:t xml:space="preserve">P05, P11 y P13: 720,0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comités focalizados con al menos una decisión documentada por trimestre que se basa en el tablero.</w:t>
            </w:r>
          </w:p>
        </w:tc>
      </w:tr>
      <w:tr>
        <w:trPr>
          <w:cantSplit/>
        </w:trPr>
        <w:tc>
          <w:tcPr/>
          <w:p>
            <w:pPr>
              <w:pStyle w:val="Tabla9"/>
            </w:pPr>
          </w:p>
        </w:tc>
        <w:tc>
          <w:tcPr/>
          <w:p>
            <w:pPr>
              <w:pStyle w:val="Tabla9"/>
              <w:jc w:val="left"/>
            </w:pPr>
            <w:r>
              <w:t xml:space="preserve">Justificación</w:t>
            </w:r>
          </w:p>
        </w:tc>
        <w:tc>
          <w:tcPr/>
          <w:p>
            <w:pPr>
              <w:pStyle w:val="Tabla9"/>
              <w:jc w:val="left"/>
            </w:pPr>
            <w:r>
              <w:t xml:space="preserve">Responde si los comités usan el producto. Es la meta de OE3 y el criterio de uso de la compuerta C1 (50 % o más de los comités del tramo 1).</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Comités focalizados con al menos una decisión documentada por trimestre basada en el tablero ÷ comités focalizados × 100</w:t>
            </w:r>
          </w:p>
        </w:tc>
      </w:tr>
      <w:tr>
        <w:trPr>
          <w:cantSplit/>
        </w:trPr>
        <w:tc>
          <w:tcPr/>
          <w:p>
            <w:pPr>
              <w:pStyle w:val="Tabla9"/>
            </w:pPr>
          </w:p>
        </w:tc>
        <w:tc>
          <w:tcPr/>
          <w:p>
            <w:pPr>
              <w:pStyle w:val="Tabla9"/>
              <w:jc w:val="left"/>
            </w:pPr>
            <w:r>
              <w:t xml:space="preserve">Variables</w:t>
            </w:r>
          </w:p>
        </w:tc>
        <w:tc>
          <w:tcPr/>
          <w:p>
            <w:pPr>
              <w:pStyle w:val="Tabla9"/>
              <w:jc w:val="left"/>
            </w:pPr>
            <w:r>
              <w:t xml:space="preserve">Numerador: comités con decisión documentada en el trimestre. Denominador: comités focalizados (15: 12 municipales y 3 departamentales; SUPUESTO).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Antes de A3.2 (semana 50), durante el tramo 1</w:t>
            </w:r>
          </w:p>
        </w:tc>
      </w:tr>
      <w:tr>
        <w:trPr>
          <w:cantSplit/>
        </w:trPr>
        <w:tc>
          <w:tcPr/>
          <w:p>
            <w:pPr>
              <w:pStyle w:val="Tabla9"/>
            </w:pPr>
          </w:p>
        </w:tc>
        <w:tc>
          <w:tcPr/>
          <w:p>
            <w:pPr>
              <w:pStyle w:val="Tabla9"/>
              <w:jc w:val="left"/>
            </w:pPr>
            <w:r>
              <w:t xml:space="preserve">Fuente</w:t>
            </w:r>
          </w:p>
        </w:tc>
        <w:tc>
          <w:tcPr/>
          <w:p>
            <w:pPr>
              <w:pStyle w:val="Tabla9"/>
              <w:jc w:val="left"/>
            </w:pPr>
            <w:r>
              <w:t xml:space="preserve">Actas de los comités previas al uso del tablero</w:t>
            </w:r>
          </w:p>
        </w:tc>
      </w:tr>
      <w:tr>
        <w:trPr>
          <w:cantSplit/>
        </w:trPr>
        <w:tc>
          <w:tcPr/>
          <w:p>
            <w:pPr>
              <w:pStyle w:val="Tabla9"/>
            </w:pPr>
          </w:p>
        </w:tc>
        <w:tc>
          <w:tcPr/>
          <w:p>
            <w:pPr>
              <w:pStyle w:val="Tabla9"/>
              <w:jc w:val="left"/>
            </w:pPr>
            <w:r>
              <w:t xml:space="preserve">Metodología</w:t>
            </w:r>
          </w:p>
        </w:tc>
        <w:tc>
          <w:tcPr/>
          <w:p>
            <w:pPr>
              <w:pStyle w:val="Tabla9"/>
              <w:jc w:val="left"/>
            </w:pPr>
            <w:r>
              <w:t xml:space="preserve">Revisión de las actas de los trimestres previos al tablero para contar decisiones basadas en datos de calidad del aire (PROPUESTO).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 50 % (piloto)</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65 %</w:t>
            </w:r>
          </w:p>
        </w:tc>
      </w:tr>
      <w:tr>
        <w:trPr>
          <w:cantSplit/>
        </w:trPr>
        <w:tc>
          <w:tcPr/>
          <w:p>
            <w:pPr>
              <w:pStyle w:val="Tabla9"/>
            </w:pPr>
          </w:p>
        </w:tc>
        <w:tc>
          <w:tcPr/>
          <w:p>
            <w:pPr>
              <w:pStyle w:val="Tabla9"/>
              <w:jc w:val="left"/>
            </w:pPr>
            <w:r>
              <w:t xml:space="preserve">Meta final</w:t>
            </w:r>
          </w:p>
        </w:tc>
        <w:tc>
          <w:tcPr/>
          <w:p>
            <w:pPr>
              <w:pStyle w:val="Tabla9"/>
              <w:jc w:val="left"/>
            </w:pPr>
            <w:r>
              <w:t xml:space="preserve">≥ 75 % al mes 24</w:t>
            </w:r>
          </w:p>
        </w:tc>
      </w:tr>
      <w:tr>
        <w:trPr>
          <w:cantSplit/>
        </w:trPr>
        <w:tc>
          <w:tcPr/>
          <w:p>
            <w:pPr>
              <w:pStyle w:val="Tabla9"/>
            </w:pPr>
          </w:p>
        </w:tc>
        <w:tc>
          <w:tcPr/>
          <w:p>
            <w:pPr>
              <w:pStyle w:val="Tabla9"/>
              <w:jc w:val="left"/>
            </w:pPr>
            <w:r>
              <w:t xml:space="preserve">Justificación</w:t>
            </w:r>
          </w:p>
        </w:tc>
        <w:tc>
          <w:tcPr/>
          <w:p>
            <w:pPr>
              <w:pStyle w:val="Tabla9"/>
              <w:jc w:val="left"/>
            </w:pPr>
            <w:r>
              <w:t xml:space="preserve">El 65 % de 15 comités son 10 comités y el 75 % son 12 (CALCULADO con redondeo hacia arriba). Cada comité pesa 6,7 puntos porcentuales. El número de comités del tramo 1 es [DATO_USUARIO: comités del tramo 1].</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Coordinación de apropiación social</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Actas de los comités y registro de decisiones del tablero</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de consultas y decisiones del tablero</w:t>
            </w:r>
          </w:p>
        </w:tc>
      </w:tr>
      <w:tr>
        <w:trPr>
          <w:cantSplit/>
        </w:trPr>
        <w:tc>
          <w:tcPr/>
          <w:p>
            <w:pPr>
              <w:pStyle w:val="Tabla9"/>
            </w:pPr>
          </w:p>
        </w:tc>
        <w:tc>
          <w:tcPr/>
          <w:p>
            <w:pPr>
              <w:pStyle w:val="Tabla9"/>
              <w:jc w:val="left"/>
            </w:pPr>
            <w:r>
              <w:t xml:space="preserve">Instrumento</w:t>
            </w:r>
          </w:p>
        </w:tc>
        <w:tc>
          <w:tcPr/>
          <w:p>
            <w:pPr>
              <w:pStyle w:val="Tabla9"/>
              <w:jc w:val="left"/>
            </w:pPr>
            <w:r>
              <w:t xml:space="preserve">Matriz de revisión de actas con criterio de decisión basada en el tablero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Archivo de actas y registro del tablero</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Comité (municipal o departamental), municipio y departamento</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 se reporta el número de funcionarios participantes (150; SUPUESTO)</w:t>
            </w:r>
          </w:p>
        </w:tc>
      </w:tr>
      <w:tr>
        <w:trPr>
          <w:cantSplit/>
        </w:trPr>
        <w:tc>
          <w:tcPr/>
          <w:p>
            <w:pPr>
              <w:pStyle w:val="Tabla9"/>
            </w:pPr>
          </w:p>
        </w:tc>
        <w:tc>
          <w:tcPr/>
          <w:p>
            <w:pPr>
              <w:pStyle w:val="Tabla9"/>
              <w:jc w:val="left"/>
            </w:pPr>
            <w:r>
              <w:t xml:space="preserve">Otras</w:t>
            </w:r>
          </w:p>
        </w:tc>
        <w:tc>
          <w:tcPr/>
          <w:p>
            <w:pPr>
              <w:pStyle w:val="Tabla9"/>
              <w:jc w:val="left"/>
            </w:pPr>
            <w:r>
              <w:t xml:space="preserve">Tipo de decisión documentada: alerta, comunicación o medida de protección</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indicador mide decisiones documentadas y no su calidad ni su efecto sobre la exposición.</w:t>
            </w:r>
          </w:p>
        </w:tc>
      </w:tr>
      <w:tr>
        <w:trPr>
          <w:cantSplit/>
        </w:trPr>
        <w:tc>
          <w:tcPr/>
          <w:p>
            <w:pPr>
              <w:pStyle w:val="Tabla9"/>
            </w:pPr>
          </w:p>
        </w:tc>
        <w:tc>
          <w:tcPr/>
          <w:p>
            <w:pPr>
              <w:pStyle w:val="Tabla9"/>
              <w:jc w:val="left"/>
            </w:pPr>
            <w:r>
              <w:t xml:space="preserve">Cobertura</w:t>
            </w:r>
          </w:p>
        </w:tc>
        <w:tc>
          <w:tcPr/>
          <w:p>
            <w:pPr>
              <w:pStyle w:val="Tabla9"/>
              <w:jc w:val="left"/>
            </w:pPr>
            <w:r>
              <w:t xml:space="preserve">Un comité puede decidir sin dejar acta. El registro del tablero cubre ese vacío solo si el uso queda trazado.</w:t>
            </w:r>
          </w:p>
        </w:tc>
      </w:tr>
      <w:tr>
        <w:trPr>
          <w:cantSplit/>
        </w:trPr>
        <w:tc>
          <w:tcPr/>
          <w:p>
            <w:pPr>
              <w:pStyle w:val="Tabla9"/>
            </w:pPr>
          </w:p>
        </w:tc>
        <w:tc>
          <w:tcPr/>
          <w:p>
            <w:pPr>
              <w:pStyle w:val="Tabla9"/>
              <w:jc w:val="left"/>
            </w:pPr>
            <w:r>
              <w:t xml:space="preserve">Mitigación</w:t>
            </w:r>
          </w:p>
        </w:tc>
        <w:tc>
          <w:tcPr/>
          <w:p>
            <w:pPr>
              <w:pStyle w:val="Tabla9"/>
              <w:jc w:val="left"/>
            </w:pPr>
            <w:r>
              <w:t xml:space="preserve">Doble fuente: acta del comité y registro de consultas al tablero.</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Comités constituidos y con sesiones periódicas</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Designación de personal de los comités con permanencia durante los 24 meses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Comités constituidos y con sesiones periódicas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Acta del comité con referencia a la lectura del tablero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Acta del comité con referencia a la lectura del tablero</w:t>
            </w:r>
          </w:p>
        </w:tc>
      </w:tr>
      <w:tr>
        <w:trPr>
          <w:cantSplit/>
        </w:trPr>
        <w:tc>
          <w:tcPr/>
          <w:p>
            <w:pPr>
              <w:pStyle w:val="Tabla9"/>
            </w:pPr>
          </w:p>
        </w:tc>
        <w:tc>
          <w:tcPr/>
          <w:p>
            <w:pPr>
              <w:pStyle w:val="Tabla9"/>
              <w:jc w:val="left"/>
            </w:pPr>
            <w:r>
              <w:t xml:space="preserve">Responsable</w:t>
            </w:r>
          </w:p>
        </w:tc>
        <w:tc>
          <w:tcPr/>
          <w:p>
            <w:pPr>
              <w:pStyle w:val="Tabla9"/>
              <w:jc w:val="left"/>
            </w:pPr>
            <w:r>
              <w:t xml:space="preserve">Coordinación de apropiación social, con revisión de la evaluación externa (S07)</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42" w:name="rot_Tabla_12_15"/>
      <w:r>
        <w:rPr>
          <w:b/>
          <w:bCs/>
        </w:rPr>
        <w:t xml:space="preserve">Tabla 12.15</w:t>
      </w:r>
      <w:bookmarkEnd w:id="9342"/>
    </w:p>
    <w:p>
      <w:pPr>
        <w:pStyle w:val="TablaTitulo"/>
      </w:pPr>
      <w:r>
        <w:rPr>
          <w:i/>
          <w:iCs/>
        </w:rPr>
        <w:t xml:space="preserve">Ficha técnica PERS-E02 con clasificación Outcome: Reducción relativa de falsas alarmas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PERS-E02</w:t>
            </w:r>
          </w:p>
        </w:tc>
      </w:tr>
      <w:tr>
        <w:trPr>
          <w:cantSplit/>
        </w:trPr>
        <w:tc>
          <w:tcPr/>
          <w:p>
            <w:pPr>
              <w:pStyle w:val="Tabla9"/>
            </w:pPr>
          </w:p>
        </w:tc>
        <w:tc>
          <w:tcPr/>
          <w:p>
            <w:pPr>
              <w:pStyle w:val="Tabla9"/>
              <w:jc w:val="left"/>
            </w:pPr>
            <w:r>
              <w:t xml:space="preserve">Nombre</w:t>
            </w:r>
          </w:p>
        </w:tc>
        <w:tc>
          <w:tcPr/>
          <w:p>
            <w:pPr>
              <w:pStyle w:val="Tabla9"/>
              <w:jc w:val="left"/>
            </w:pPr>
            <w:r>
              <w:t xml:space="preserve">Reducción relativa de falsas alarmas</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p>
            <w:pPr>
              <w:pStyle w:val="Tabla9"/>
            </w:pPr>
          </w:p>
        </w:tc>
        <w:tc>
          <w:tcPr/>
          <w:p>
            <w:pPr>
              <w:pStyle w:val="Tabla9"/>
              <w:jc w:val="left"/>
            </w:pPr>
            <w:r>
              <w:t xml:space="preserve">Objetivo asociado</w:t>
            </w:r>
          </w:p>
        </w:tc>
        <w:tc>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A1.3 (semanas 24 a 40), A3.1 (semanas 12 a 36) y A3.2 (semanas 50 a 62)</w:t>
            </w:r>
          </w:p>
        </w:tc>
      </w:tr>
      <w:tr>
        <w:trPr>
          <w:cantSplit/>
        </w:trPr>
        <w:tc>
          <w:tcPr/>
          <w:p>
            <w:pPr>
              <w:pStyle w:val="Tabla9"/>
            </w:pPr>
          </w:p>
        </w:tc>
        <w:tc>
          <w:tcPr/>
          <w:p>
            <w:pPr>
              <w:pStyle w:val="Tabla9"/>
              <w:jc w:val="left"/>
            </w:pPr>
            <w:r>
              <w:t xml:space="preserve">Hito</w:t>
            </w:r>
          </w:p>
        </w:tc>
        <w:tc>
          <w:tcPr/>
          <w:p>
            <w:pPr>
              <w:pStyle w:val="Tabla9"/>
              <w:jc w:val="left"/>
            </w:pPr>
            <w:r>
              <w:t xml:space="preserve">H2 (mes 10), H3 (mes 12) y H5 (mes 17)</w:t>
            </w:r>
          </w:p>
        </w:tc>
      </w:tr>
      <w:tr>
        <w:trPr>
          <w:cantSplit/>
        </w:trPr>
        <w:tc>
          <w:tcPr/>
          <w:p>
            <w:pPr>
              <w:pStyle w:val="Tabla9"/>
            </w:pPr>
          </w:p>
        </w:tc>
        <w:tc>
          <w:tcPr/>
          <w:p>
            <w:pPr>
              <w:pStyle w:val="Tabla9"/>
              <w:jc w:val="left"/>
            </w:pPr>
            <w:r>
              <w:t xml:space="preserve">Rubro presupuestal</w:t>
            </w:r>
          </w:p>
        </w:tc>
        <w:tc>
          <w:tcPr/>
          <w:p>
            <w:pPr>
              <w:pStyle w:val="Tabla9"/>
              <w:jc w:val="left"/>
            </w:pPr>
            <w:r>
              <w:t xml:space="preserve">P12, P13 y E03: 735,0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reducción relativa de la tasa de falsas alarmas frente a la línea base que se mide en el tramo 1.</w:t>
            </w:r>
          </w:p>
        </w:tc>
      </w:tr>
      <w:tr>
        <w:trPr>
          <w:cantSplit/>
        </w:trPr>
        <w:tc>
          <w:tcPr/>
          <w:p>
            <w:pPr>
              <w:pStyle w:val="Tabla9"/>
            </w:pPr>
          </w:p>
        </w:tc>
        <w:tc>
          <w:tcPr/>
          <w:p>
            <w:pPr>
              <w:pStyle w:val="Tabla9"/>
              <w:jc w:val="left"/>
            </w:pPr>
            <w:r>
              <w:t xml:space="preserve">Justificación</w:t>
            </w:r>
          </w:p>
        </w:tc>
        <w:tc>
          <w:tcPr/>
          <w:p>
            <w:pPr>
              <w:pStyle w:val="Tabla9"/>
              <w:jc w:val="left"/>
            </w:pPr>
            <w:r>
              <w:t xml:space="preserve">Es el efecto técnico de la medición verificada sobre la calidad de las alertas. Sin línea base no existe comparación.</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1 − (tasa de falsas alarmas del periodo ÷ tasa de línea base medida en el tramo 1)</w:t>
            </w:r>
          </w:p>
        </w:tc>
      </w:tr>
      <w:tr>
        <w:trPr>
          <w:cantSplit/>
        </w:trPr>
        <w:tc>
          <w:tcPr/>
          <w:p>
            <w:pPr>
              <w:pStyle w:val="Tabla9"/>
            </w:pPr>
          </w:p>
        </w:tc>
        <w:tc>
          <w:tcPr/>
          <w:p>
            <w:pPr>
              <w:pStyle w:val="Tabla9"/>
              <w:jc w:val="left"/>
            </w:pPr>
            <w:r>
              <w:t xml:space="preserve">Variables</w:t>
            </w:r>
          </w:p>
        </w:tc>
        <w:tc>
          <w:tcPr/>
          <w:p>
            <w:pPr>
              <w:pStyle w:val="Tabla9"/>
              <w:jc w:val="left"/>
            </w:pPr>
            <w:r>
              <w:t xml:space="preserve">Numerador: tasa de falsas alarmas del periodo. Denominador: tasa de la línea base. Factor: 1 menos el cociente, por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Se mide en el tramo 1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6 a 10 (A1.3, semanas 24 a 40)</w:t>
            </w:r>
          </w:p>
        </w:tc>
      </w:tr>
      <w:tr>
        <w:trPr>
          <w:cantSplit/>
        </w:trPr>
        <w:tc>
          <w:tcPr/>
          <w:p>
            <w:pPr>
              <w:pStyle w:val="Tabla9"/>
            </w:pPr>
          </w:p>
        </w:tc>
        <w:tc>
          <w:tcPr/>
          <w:p>
            <w:pPr>
              <w:pStyle w:val="Tabla9"/>
              <w:jc w:val="left"/>
            </w:pPr>
            <w:r>
              <w:t xml:space="preserve">Fuente</w:t>
            </w:r>
          </w:p>
        </w:tc>
        <w:tc>
          <w:tcPr/>
          <w:p>
            <w:pPr>
              <w:pStyle w:val="Tabla9"/>
              <w:jc w:val="left"/>
            </w:pPr>
            <w:r>
              <w:t xml:space="preserve">Lecturas sin corrección frente a la referencia colocalizada</w:t>
            </w:r>
          </w:p>
        </w:tc>
      </w:tr>
      <w:tr>
        <w:trPr>
          <w:cantSplit/>
        </w:trPr>
        <w:tc>
          <w:tcPr/>
          <w:p>
            <w:pPr>
              <w:pStyle w:val="Tabla9"/>
            </w:pPr>
          </w:p>
        </w:tc>
        <w:tc>
          <w:tcPr/>
          <w:p>
            <w:pPr>
              <w:pStyle w:val="Tabla9"/>
              <w:jc w:val="left"/>
            </w:pPr>
            <w:r>
              <w:t xml:space="preserve">Metodología</w:t>
            </w:r>
          </w:p>
        </w:tc>
        <w:tc>
          <w:tcPr/>
          <w:p>
            <w:pPr>
              <w:pStyle w:val="Tabla9"/>
              <w:jc w:val="left"/>
            </w:pPr>
            <w:r>
              <w:t xml:space="preserve">Se cuentan las superaciones de umbral de las lecturas sin corrección que la referencia no confirma (PROPUESTO).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Línea base medida</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15 %</w:t>
            </w:r>
          </w:p>
        </w:tc>
      </w:tr>
      <w:tr>
        <w:trPr>
          <w:cantSplit/>
        </w:trPr>
        <w:tc>
          <w:tcPr/>
          <w:p>
            <w:pPr>
              <w:pStyle w:val="Tabla9"/>
            </w:pPr>
          </w:p>
        </w:tc>
        <w:tc>
          <w:tcPr/>
          <w:p>
            <w:pPr>
              <w:pStyle w:val="Tabla9"/>
              <w:jc w:val="left"/>
            </w:pPr>
            <w:r>
              <w:t xml:space="preserve">Meta final</w:t>
            </w:r>
          </w:p>
        </w:tc>
        <w:tc>
          <w:tcPr/>
          <w:p>
            <w:pPr>
              <w:pStyle w:val="Tabla9"/>
              <w:jc w:val="left"/>
            </w:pPr>
            <w:r>
              <w:t xml:space="preserve">≥ 30 % de reducción relativa</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es relativa: 15 % al mes 17 y 30 % al mes 24. No fija un valor absoluto de falsas alarmas porque la línea base no existe todavía (VACIO).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en calidad del aire</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Profesional en calidad del aire y salud ambiental</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Registro de alertas y verificación con referencia</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de alertas y verificación con referencia</w:t>
            </w:r>
          </w:p>
        </w:tc>
      </w:tr>
      <w:tr>
        <w:trPr>
          <w:cantSplit/>
        </w:trPr>
        <w:tc>
          <w:tcPr/>
          <w:p>
            <w:pPr>
              <w:pStyle w:val="Tabla9"/>
            </w:pPr>
          </w:p>
        </w:tc>
        <w:tc>
          <w:tcPr/>
          <w:p>
            <w:pPr>
              <w:pStyle w:val="Tabla9"/>
              <w:jc w:val="left"/>
            </w:pPr>
            <w:r>
              <w:t xml:space="preserve">Instrumento</w:t>
            </w:r>
          </w:p>
        </w:tc>
        <w:tc>
          <w:tcPr/>
          <w:p>
            <w:pPr>
              <w:pStyle w:val="Tabla9"/>
              <w:jc w:val="left"/>
            </w:pPr>
            <w:r>
              <w:t xml:space="preserve">Cruce entre alertas emitidas y mediciones de referencia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Base de datos de colocalización y registro de alertas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y sitio con referencia</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Contaminante (PM2,5 y PM10) y umbral del índice</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Verificar una falsa alarma exige una referencia en el sitio, y tres referencias no cubren los 100 nodos.</w:t>
            </w:r>
          </w:p>
        </w:tc>
      </w:tr>
      <w:tr>
        <w:trPr>
          <w:cantSplit/>
        </w:trPr>
        <w:tc>
          <w:tcPr/>
          <w:p>
            <w:pPr>
              <w:pStyle w:val="Tabla9"/>
            </w:pPr>
          </w:p>
        </w:tc>
        <w:tc>
          <w:tcPr/>
          <w:p>
            <w:pPr>
              <w:pStyle w:val="Tabla9"/>
              <w:jc w:val="left"/>
            </w:pPr>
            <w:r>
              <w:t xml:space="preserve">Cobertura</w:t>
            </w:r>
          </w:p>
        </w:tc>
        <w:tc>
          <w:tcPr/>
          <w:p>
            <w:pPr>
              <w:pStyle w:val="Tabla9"/>
              <w:jc w:val="left"/>
            </w:pPr>
            <w:r>
              <w:t xml:space="preserve">Fuera de los sitios con referencia, la reducción se estima con el gemelo digital y queda INFERIDA.</w:t>
            </w:r>
          </w:p>
        </w:tc>
      </w:tr>
      <w:tr>
        <w:trPr>
          <w:cantSplit/>
        </w:trPr>
        <w:tc>
          <w:tcPr/>
          <w:p>
            <w:pPr>
              <w:pStyle w:val="Tabla9"/>
            </w:pPr>
          </w:p>
        </w:tc>
        <w:tc>
          <w:tcPr/>
          <w:p>
            <w:pPr>
              <w:pStyle w:val="Tabla9"/>
              <w:jc w:val="left"/>
            </w:pPr>
            <w:r>
              <w:t xml:space="preserve">Mitigación</w:t>
            </w:r>
          </w:p>
        </w:tc>
        <w:tc>
          <w:tcPr/>
          <w:p>
            <w:pPr>
              <w:pStyle w:val="Tabla9"/>
              <w:jc w:val="left"/>
            </w:pPr>
            <w:r>
              <w:t xml:space="preserve">Muestreo rotativo de las referencias y validación del gemelo digital con las tres referencias.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Variabilidad meteorológica sin cambios de régimen entre la línea base y la medición</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Umbrales validados localmente en el co-diseño</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Umbrales validados localmente en el co-diseño</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Cruce entre alertas emitidas y mediciones de referencia</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Informe de cruce entre alertas y referencia</w:t>
            </w:r>
          </w:p>
        </w:tc>
      </w:tr>
      <w:tr>
        <w:trPr>
          <w:cantSplit/>
        </w:trPr>
        <w:tc>
          <w:tcPr/>
          <w:p>
            <w:pPr>
              <w:pStyle w:val="Tabla9"/>
            </w:pPr>
          </w:p>
        </w:tc>
        <w:tc>
          <w:tcPr/>
          <w:p>
            <w:pPr>
              <w:pStyle w:val="Tabla9"/>
              <w:jc w:val="left"/>
            </w:pPr>
            <w:r>
              <w:t xml:space="preserve">Responsable</w:t>
            </w:r>
          </w:p>
        </w:tc>
        <w:tc>
          <w:tcPr/>
          <w:p>
            <w:pPr>
              <w:pStyle w:val="Tabla9"/>
              <w:jc w:val="left"/>
            </w:pPr>
            <w:r>
              <w:t xml:space="preserve">Profesional en calidad del aire y salud ambiental</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43" w:name="rot_Tabla_12_16"/>
      <w:r>
        <w:rPr>
          <w:b/>
          <w:bCs/>
        </w:rPr>
        <w:t xml:space="preserve">Tabla 12.16</w:t>
      </w:r>
      <w:bookmarkEnd w:id="9343"/>
    </w:p>
    <w:p>
      <w:pPr>
        <w:pStyle w:val="TablaTitulo"/>
      </w:pPr>
      <w:r>
        <w:rPr>
          <w:i/>
          <w:iCs/>
        </w:rPr>
        <w:t xml:space="preserve">Ficha técnica PERS-E03 con clasificación Outcome: Capacidad instalada en custodios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PERS-E03</w:t>
            </w:r>
          </w:p>
        </w:tc>
      </w:tr>
      <w:tr>
        <w:trPr>
          <w:cantSplit/>
        </w:trPr>
        <w:tc>
          <w:tcPr/>
          <w:p>
            <w:pPr>
              <w:pStyle w:val="Tabla9"/>
            </w:pPr>
          </w:p>
        </w:tc>
        <w:tc>
          <w:tcPr/>
          <w:p>
            <w:pPr>
              <w:pStyle w:val="Tabla9"/>
              <w:jc w:val="left"/>
            </w:pPr>
            <w:r>
              <w:t xml:space="preserve">Nombre</w:t>
            </w:r>
          </w:p>
        </w:tc>
        <w:tc>
          <w:tcPr/>
          <w:p>
            <w:pPr>
              <w:pStyle w:val="Tabla9"/>
              <w:jc w:val="left"/>
            </w:pPr>
            <w:r>
              <w:t xml:space="preserve">Capacidad instalada en custodios</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p>
            <w:pPr>
              <w:pStyle w:val="Tabla9"/>
            </w:pPr>
          </w:p>
        </w:tc>
        <w:tc>
          <w:tcPr/>
          <w:p>
            <w:pPr>
              <w:pStyle w:val="Tabla9"/>
              <w:jc w:val="left"/>
            </w:pPr>
            <w:r>
              <w:t xml:space="preserve">Objetivo asociado</w:t>
            </w:r>
          </w:p>
        </w:tc>
        <w:tc>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Tipo MMG 2021</w:t>
            </w:r>
          </w:p>
        </w:tc>
        <w:tc>
          <w:tcPr/>
          <w:p>
            <w:pPr>
              <w:pStyle w:val="Tabla9"/>
              <w:jc w:val="left"/>
            </w:pPr>
            <w:r>
              <w:t xml:space="preserve">FORM (capacitación). [DATO_USUARIO: código de tipología según la convocatoria vigente]</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A3.3 (semanas 70 a 86)</w:t>
            </w:r>
          </w:p>
        </w:tc>
      </w:tr>
      <w:tr>
        <w:trPr>
          <w:cantSplit/>
        </w:trPr>
        <w:tc>
          <w:tcPr/>
          <w:p>
            <w:pPr>
              <w:pStyle w:val="Tabla9"/>
            </w:pPr>
          </w:p>
        </w:tc>
        <w:tc>
          <w:tcPr/>
          <w:p>
            <w:pPr>
              <w:pStyle w:val="Tabla9"/>
              <w:jc w:val="left"/>
            </w:pPr>
            <w:r>
              <w:t xml:space="preserve">Hito</w:t>
            </w:r>
          </w:p>
        </w:tc>
        <w:tc>
          <w:tcPr/>
          <w:p>
            <w:pPr>
              <w:pStyle w:val="Tabla9"/>
              <w:jc w:val="left"/>
            </w:pPr>
            <w:r>
              <w:t xml:space="preserve">H5 (mes 17) y H8 (mes 24)</w:t>
            </w:r>
          </w:p>
        </w:tc>
      </w:tr>
      <w:tr>
        <w:trPr>
          <w:cantSplit/>
        </w:trPr>
        <w:tc>
          <w:tcPr/>
          <w:p>
            <w:pPr>
              <w:pStyle w:val="Tabla9"/>
            </w:pPr>
          </w:p>
        </w:tc>
        <w:tc>
          <w:tcPr/>
          <w:p>
            <w:pPr>
              <w:pStyle w:val="Tabla9"/>
              <w:jc w:val="left"/>
            </w:pPr>
            <w:r>
              <w:t xml:space="preserve">Rubro presupuestal</w:t>
            </w:r>
          </w:p>
        </w:tc>
        <w:tc>
          <w:tcPr/>
          <w:p>
            <w:pPr>
              <w:pStyle w:val="Tabla9"/>
              <w:jc w:val="left"/>
            </w:pPr>
            <w:r>
              <w:t xml:space="preserve">S09 y P14: 318,0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las personas custodias que aprueban la evaluación práctica en mantenimiento, lectura y operación, en número y en proporción de las formadas.</w:t>
            </w:r>
          </w:p>
        </w:tc>
      </w:tr>
      <w:tr>
        <w:trPr>
          <w:cantSplit/>
        </w:trPr>
        <w:tc>
          <w:tcPr/>
          <w:p>
            <w:pPr>
              <w:pStyle w:val="Tabla9"/>
            </w:pPr>
          </w:p>
        </w:tc>
        <w:tc>
          <w:tcPr/>
          <w:p>
            <w:pPr>
              <w:pStyle w:val="Tabla9"/>
              <w:jc w:val="left"/>
            </w:pPr>
            <w:r>
              <w:t xml:space="preserve">Justificación</w:t>
            </w:r>
          </w:p>
        </w:tc>
        <w:tc>
          <w:tcPr/>
          <w:p>
            <w:pPr>
              <w:pStyle w:val="Tabla9"/>
              <w:jc w:val="left"/>
            </w:pPr>
            <w:r>
              <w:t xml:space="preserve">La continuidad después del mes 24 depende de competencias instaladas en los custodios (SC-4).</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Personas con evaluación práctica aprobada en mantenimiento, lectura y operación ÷ personas formadas × 100, y número absoluto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personas con evaluación práctica aprobada. Denominador: personas formadas. Factor: 100, y número absoluto.</w:t>
            </w:r>
          </w:p>
        </w:tc>
      </w:tr>
      <w:tr>
        <w:trPr>
          <w:cantSplit/>
        </w:trPr>
        <w:tc>
          <w:tcPr/>
          <w:p>
            <w:pPr>
              <w:pStyle w:val="Tabla9"/>
            </w:pPr>
          </w:p>
        </w:tc>
        <w:tc>
          <w:tcPr/>
          <w:p>
            <w:pPr>
              <w:pStyle w:val="Tabla9"/>
              <w:jc w:val="left"/>
            </w:pPr>
            <w:r>
              <w:t xml:space="preserve">Unidad</w:t>
            </w:r>
          </w:p>
        </w:tc>
        <w:tc>
          <w:tcPr/>
          <w:p>
            <w:pPr>
              <w:pStyle w:val="Tabla9"/>
              <w:jc w:val="left"/>
            </w:pPr>
            <w:r>
              <w:t xml:space="preserve">personas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personas certificadas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20 personas</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40 personas</w:t>
            </w:r>
          </w:p>
        </w:tc>
      </w:tr>
      <w:tr>
        <w:trPr>
          <w:cantSplit/>
        </w:trPr>
        <w:tc>
          <w:tcPr/>
          <w:p>
            <w:pPr>
              <w:pStyle w:val="Tabla9"/>
            </w:pPr>
          </w:p>
        </w:tc>
        <w:tc>
          <w:tcPr/>
          <w:p>
            <w:pPr>
              <w:pStyle w:val="Tabla9"/>
              <w:jc w:val="left"/>
            </w:pPr>
            <w:r>
              <w:t xml:space="preserve">Meta final</w:t>
            </w:r>
          </w:p>
        </w:tc>
        <w:tc>
          <w:tcPr/>
          <w:p>
            <w:pPr>
              <w:pStyle w:val="Tabla9"/>
              <w:jc w:val="left"/>
            </w:pPr>
            <w:r>
              <w:t xml:space="preserve">≥ 60 personas certificadas</w:t>
            </w:r>
          </w:p>
        </w:tc>
      </w:tr>
      <w:tr>
        <w:trPr>
          <w:cantSplit/>
        </w:trPr>
        <w:tc>
          <w:tcPr/>
          <w:p>
            <w:pPr>
              <w:pStyle w:val="Tabla9"/>
            </w:pPr>
          </w:p>
        </w:tc>
        <w:tc>
          <w:tcPr/>
          <w:p>
            <w:pPr>
              <w:pStyle w:val="Tabla9"/>
              <w:jc w:val="left"/>
            </w:pPr>
            <w:r>
              <w:t xml:space="preserve">Justificación</w:t>
            </w:r>
          </w:p>
        </w:tc>
        <w:tc>
          <w:tcPr/>
          <w:p>
            <w:pPr>
              <w:pStyle w:val="Tabla9"/>
              <w:jc w:val="left"/>
            </w:pPr>
            <w:r>
              <w:t xml:space="preserve">Las metas de 20, 40 y 60 personas equivalen a 20 por tramo. La formación cuesta 150,0 millones de COP en tres tramos de 50,0 millones (línea S09), es decir 2,5 millones de COP por persona certificada (CALCULADO).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Semestral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Semestral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de convenios y custodia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Profesional de convenios y custodia</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Registros de formación y evaluación práctica</w:t>
            </w:r>
          </w:p>
        </w:tc>
      </w:tr>
      <w:tr>
        <w:trPr>
          <w:cantSplit/>
        </w:trPr>
        <w:tc>
          <w:tcPr/>
          <w:p>
            <w:pPr>
              <w:pStyle w:val="Tabla9"/>
            </w:pPr>
          </w:p>
        </w:tc>
        <w:tc>
          <w:tcPr/>
          <w:p>
            <w:pPr>
              <w:pStyle w:val="Tabla9"/>
              <w:jc w:val="left"/>
            </w:pPr>
            <w:r>
              <w:t xml:space="preserve">Fuente secundaria</w:t>
            </w:r>
          </w:p>
        </w:tc>
        <w:tc>
          <w:tcPr/>
          <w:p>
            <w:pPr>
              <w:pStyle w:val="Tabla9"/>
              <w:jc w:val="left"/>
            </w:pPr>
            <w:r>
              <w:t xml:space="preserve">Planillas de formación y listas de asistencia</w:t>
            </w:r>
          </w:p>
        </w:tc>
      </w:tr>
      <w:tr>
        <w:trPr>
          <w:cantSplit/>
        </w:trPr>
        <w:tc>
          <w:tcPr/>
          <w:p>
            <w:pPr>
              <w:pStyle w:val="Tabla9"/>
            </w:pPr>
          </w:p>
        </w:tc>
        <w:tc>
          <w:tcPr/>
          <w:p>
            <w:pPr>
              <w:pStyle w:val="Tabla9"/>
              <w:jc w:val="left"/>
            </w:pPr>
            <w:r>
              <w:t xml:space="preserve">Instrumento</w:t>
            </w:r>
          </w:p>
        </w:tc>
        <w:tc>
          <w:tcPr/>
          <w:p>
            <w:pPr>
              <w:pStyle w:val="Tabla9"/>
              <w:jc w:val="left"/>
            </w:pPr>
            <w:r>
              <w:t xml:space="preserve">Evaluación práctica con lista de verificación</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Archivo de formación y base de datos de personas certificadas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Tramo, departamento y entidad custodia</w:t>
            </w:r>
          </w:p>
        </w:tc>
      </w:tr>
      <w:tr>
        <w:trPr>
          <w:cantSplit/>
        </w:trPr>
        <w:tc>
          <w:tcPr/>
          <w:p>
            <w:pPr>
              <w:pStyle w:val="Tabla9"/>
            </w:pPr>
          </w:p>
        </w:tc>
        <w:tc>
          <w:tcPr/>
          <w:p>
            <w:pPr>
              <w:pStyle w:val="Tabla9"/>
              <w:jc w:val="left"/>
            </w:pPr>
            <w:r>
              <w:t xml:space="preserve">Temporal</w:t>
            </w:r>
          </w:p>
        </w:tc>
        <w:tc>
          <w:tcPr/>
          <w:p>
            <w:pPr>
              <w:pStyle w:val="Tabla9"/>
              <w:jc w:val="left"/>
            </w:pPr>
            <w:r>
              <w:t xml:space="preserve">Semestral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y edad de las personas certificadas, con protección de datos personales</w:t>
            </w:r>
          </w:p>
        </w:tc>
      </w:tr>
      <w:tr>
        <w:trPr>
          <w:cantSplit/>
        </w:trPr>
        <w:tc>
          <w:tcPr/>
          <w:p>
            <w:pPr>
              <w:pStyle w:val="Tabla9"/>
            </w:pPr>
          </w:p>
        </w:tc>
        <w:tc>
          <w:tcPr/>
          <w:p>
            <w:pPr>
              <w:pStyle w:val="Tabla9"/>
              <w:jc w:val="left"/>
            </w:pPr>
            <w:r>
              <w:t xml:space="preserve">Otras</w:t>
            </w:r>
          </w:p>
        </w:tc>
        <w:tc>
          <w:tcPr/>
          <w:p>
            <w:pPr>
              <w:pStyle w:val="Tabla9"/>
              <w:jc w:val="left"/>
            </w:pPr>
            <w:r>
              <w:t xml:space="preserve">Competencia evaluada: mantenimiento, lectura u operación</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evaluación práctica aprobada acredita la competencia en ese momento y no su permanencia.</w:t>
            </w:r>
          </w:p>
        </w:tc>
      </w:tr>
      <w:tr>
        <w:trPr>
          <w:cantSplit/>
        </w:trPr>
        <w:tc>
          <w:tcPr/>
          <w:p>
            <w:pPr>
              <w:pStyle w:val="Tabla9"/>
            </w:pPr>
          </w:p>
        </w:tc>
        <w:tc>
          <w:tcPr/>
          <w:p>
            <w:pPr>
              <w:pStyle w:val="Tabla9"/>
              <w:jc w:val="left"/>
            </w:pPr>
            <w:r>
              <w:t xml:space="preserve">Cobertura</w:t>
            </w:r>
          </w:p>
        </w:tc>
        <w:tc>
          <w:tcPr/>
          <w:p>
            <w:pPr>
              <w:pStyle w:val="Tabla9"/>
              <w:jc w:val="left"/>
            </w:pPr>
            <w:r>
              <w:t xml:space="preserve">Las personas certificadas pueden salir de la entidad custodia.</w:t>
            </w:r>
          </w:p>
        </w:tc>
      </w:tr>
      <w:tr>
        <w:trPr>
          <w:cantSplit/>
        </w:trPr>
        <w:tc>
          <w:tcPr/>
          <w:p>
            <w:pPr>
              <w:pStyle w:val="Tabla9"/>
            </w:pPr>
          </w:p>
        </w:tc>
        <w:tc>
          <w:tcPr/>
          <w:p>
            <w:pPr>
              <w:pStyle w:val="Tabla9"/>
              <w:jc w:val="left"/>
            </w:pPr>
            <w:r>
              <w:t xml:space="preserve">Mitigación</w:t>
            </w:r>
          </w:p>
        </w:tc>
        <w:tc>
          <w:tcPr/>
          <w:p>
            <w:pPr>
              <w:pStyle w:val="Tabla9"/>
              <w:jc w:val="left"/>
            </w:pPr>
            <w:r>
              <w:t xml:space="preserve">Cláusulas de reposición y recertificación de personal en los convenios por tramo (PROPUESTO).</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Rotación del personal local acotada</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Custodios que designan personal con permanencia</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Custodios designan personal con permanencia</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Certificados y actas de evaluación práctica</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Certificados y actas de evaluación práctica</w:t>
            </w:r>
          </w:p>
        </w:tc>
      </w:tr>
      <w:tr>
        <w:trPr>
          <w:cantSplit/>
        </w:trPr>
        <w:tc>
          <w:tcPr/>
          <w:p>
            <w:pPr>
              <w:pStyle w:val="Tabla9"/>
            </w:pPr>
          </w:p>
        </w:tc>
        <w:tc>
          <w:tcPr/>
          <w:p>
            <w:pPr>
              <w:pStyle w:val="Tabla9"/>
              <w:jc w:val="left"/>
            </w:pPr>
            <w:r>
              <w:t xml:space="preserve">Responsable</w:t>
            </w:r>
          </w:p>
        </w:tc>
        <w:tc>
          <w:tcPr/>
          <w:p>
            <w:pPr>
              <w:pStyle w:val="Tabla9"/>
              <w:jc w:val="left"/>
            </w:pPr>
            <w:r>
              <w:t xml:space="preserve">Profesional de convenios y custodia</w:t>
            </w:r>
          </w:p>
        </w:tc>
      </w:tr>
      <w:tr>
        <w:trPr>
          <w:cantSplit/>
        </w:trPr>
        <w:tc>
          <w:tcPr/>
          <w:p>
            <w:pPr>
              <w:pStyle w:val="Tabla9"/>
            </w:pPr>
          </w:p>
        </w:tc>
        <w:tc>
          <w:tcPr/>
          <w:p>
            <w:pPr>
              <w:pStyle w:val="Tabla9"/>
              <w:jc w:val="left"/>
            </w:pPr>
            <w:r>
              <w:t xml:space="preserve">Periodicidad</w:t>
            </w:r>
          </w:p>
        </w:tc>
        <w:tc>
          <w:tcPr/>
          <w:p>
            <w:pPr>
              <w:pStyle w:val="Tabla9"/>
              <w:jc w:val="left"/>
            </w:pPr>
            <w:r>
              <w:t xml:space="preserve">Semestral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adopción es el mecanismo central de este nivel. Rogers (2003) describe la adopción de una innovación como un proceso en el que influyen la ventaja relativa, la compatibilidad y la complejidad percibidas. Davis (1989) y Venkatesh et al. (2003) identifican la utilidad percibida y la facilidad de uso como determinantes del uso de un sistema de información. El proyecto traduce esas ideas en dos acciones. El co-diseño de umbrales con los comités eleva la utilidad percibida. El uso piloto con registro de decisiones mide la adopción real. La meta de 75 % de uso al mes 24 equivale a 12 de los 15 comités. La meta de 50 % en el piloto equivale a 8 comités y la de 65 % equivale a 10.</w:t>
      </w:r>
    </w:p>
    <w:p>
      <w:pPr>
        <w:pStyle w:val="BodyText"/>
      </w:pPr>
      <w:r>
        <w:t xml:space="preserve">PERS-E02 exige una línea base que hoy no existe. La reducción relativa de falsas alarmas solo puede calcularse si se mide la tasa inicial en el tramo 1. Mientras tanto, la meta de 30 % de reducción es una aspiración y no un compromiso. PERS-E03 es el más concreto de los tres: 60 personas con evaluación práctica aprobada en mantenimiento, lectura y operación. El costo directo de formación (línea S09, 150,0 millones de COP) equivale a 2,5 millones de COP por persona certificada (CALCULADO). Ese costo no incluye el tiempo del personal que se forma, que aporta cada custodio.</w:t>
      </w:r>
    </w:p>
    <w:p>
      <w:pPr>
        <w:pStyle w:val="BodyText"/>
      </w:pPr>
      <w:r>
        <w:t xml:space="preserve">Los indicadores de efecto se conectan con la escalera de apropiación social del capítulo 16. Arnstein (1969) describe la participación ciudadana como una escalera de niveles, desde la información hasta el control. PERS-E01 y PERS-E02 se vinculan con los niveles 2 y 3, consulta y colaboración. PERS-E03 se vincula con el nivel 4, empoderamiento, porque forma a quienes operarán la red. La Figura 12.3 muestra tres rutas causales entre productos y efectos, cada una con su mecanismo y su supuesto crítico. Los mecanismos son INFERIDOS y no están probados. La ruta de los artículos hacia el uso es la más débil.</w:t>
      </w:r>
    </w:p>
    <w:p>
      <w:pPr>
        <w:pStyle w:val="FiguraRotulo"/>
      </w:pPr>
      <w:bookmarkStart w:id="9533" w:name="rot_Figura_12_3"/>
      <w:r>
        <w:rPr>
          <w:b/>
          <w:bCs/>
        </w:rPr>
        <w:t xml:space="preserve">Figura 12.3</w:t>
      </w:r>
      <w:bookmarkEnd w:id="9533"/>
    </w:p>
    <w:p>
      <w:pPr>
        <w:pStyle w:val="FiguraTitulo"/>
      </w:pPr>
      <w:r>
        <w:rPr>
          <w:i/>
          <w:iCs/>
        </w:rPr>
        <w:t xml:space="preserve">Tres rutas conectan productos y efectos; la de los artículos es la más débil</w:t>
      </w:r>
    </w:p>
    <w:p>
      <w:pPr>
        <w:pStyle w:val="BodyText"/>
      </w:pPr>
      <w:r>
        <w:drawing>
          <wp:inline>
            <wp:extent cx="5579999" cy="3967776"/>
            <wp:effectExtent b="0" l="0" r="0" t="0"/>
            <wp:docPr descr="" title="" id="570" name="Picture"/>
            <a:graphic>
              <a:graphicData uri="http://schemas.openxmlformats.org/drawingml/2006/picture">
                <pic:pic>
                  <pic:nvPicPr>
                    <pic:cNvPr descr="/tmp/claude-0/-home-user-docs/ddf38714-2a7e-502b-92b4-1008e2832422/scratchpad/proy/figs/out/c12_f03.png" id="571" name="Picture"/>
                    <pic:cNvPicPr>
                      <a:picLocks noChangeArrowheads="1" noChangeAspect="1"/>
                    </pic:cNvPicPr>
                  </pic:nvPicPr>
                  <pic:blipFill>
                    <a:blip r:embed="rId569"/>
                    <a:stretch>
                      <a:fillRect/>
                    </a:stretch>
                  </pic:blipFill>
                  <pic:spPr bwMode="auto">
                    <a:xfrm>
                      <a:off x="0" y="0"/>
                      <a:ext cx="5579999" cy="396777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Flujo causal de producto (PERS-P) a efecto (PERS-E) con mecanismo INFERIDO y supuesto crítico SC-1 a SC-4. Línea discontinua: hipótesis débil sin evidencia propia en el corpus (VACIO). Python 3 y matplotlib; script c12_figs.py; sin semilla; corte del 13 de octubre de 2026.</w:t>
      </w:r>
    </w:p>
    <w:p>
      <w:pPr>
        <w:pStyle w:val="BodyText"/>
      </w:pPr>
      <w:r>
        <w:t xml:space="preserve">La fórmula del indicador PERS-E02 requiere definir una falsa alarma. El proyecto la define como una alerta emitida cuando la referencia colocalizada no confirma la superación del umbral. La definición depende del índice de calidad del aire y salud que el tablero calcula. Stieb et al. (2008) propusieron un índice multicontaminante sin umbral como base de ese tipo de índices. La Organización Mundial de la Salud (OMS, 2021) fija las guías de PM2,5 y PM10 que sirven de referencia. La fórmula local y los umbrales se validan con los comités en el co-diseño (A3.1). Hasta entonces, el indicador no puede calcularse [DATO_USUARIO: fórmula local del índice y umbrales validados].</w:t>
      </w:r>
    </w:p>
    <w:p>
      <w:pPr>
        <w:pStyle w:val="BodyText"/>
      </w:pPr>
      <w:r>
        <w:t xml:space="preserve">La línea base obligatoria de cada indicador E se mide antes de la intervención. Para E01 y E02 se mide en el tramo 1, con los comités que participan en el piloto. Para E03 es cero por definición, pues nadie tiene aún la certificación del proyecto. Los instrumentos son actas de comité, registros de decisiones, registros de alertas y evaluaciones prácticas. Ninguno de esos instrumentos se diseñó todavía, y el anexo E reserva su espacio [DATO_USUARIO: instrumentos de recolección validados].</w:t>
      </w:r>
    </w:p>
    <w:bookmarkEnd w:id="572"/>
    <w:bookmarkStart w:id="573" w:name="_Toc00900231"/>
    <w:p>
      <w:pPr>
        <w:pStyle w:val="Heading2"/>
      </w:pPr>
      <w:r>
        <w:t xml:space="preserve">12.5 Indicadores de Sostenibilidad (S): Impact</w:t>
      </w:r>
    </w:p>
    <w:p>
      <w:pPr>
        <w:pStyle w:val="FirstParagraph"/>
      </w:pPr>
      <w:r>
        <w:t xml:space="preserve">Los dos indicadores de sostenibilidad miden el cambio sostenido después del cierre. PERS-S01 mide la activación del protocolo ante una superación de umbral. Su meta es de 80 % o más de los eventos confirmados, a los 12 meses posteriores al cierre. PERS-S02 mide la continuidad de la red bajo custodia, con meta de 70 % o más de los nodos entregados. Las fichas están en la Tabla 12.17 y la Tabla 12.18. Ambos indicadores tienen riesgo alto y línea base VACIO, y ambos se miden en los meses 30 a 36, fuera de la ejecución. El Marco de Sendái promueve los sistemas de alerta temprana y su uso en la toma de decisiones (Oficina de las Naciones Unidas para la Reducción del Riesgo de Desastres [UNDRR], 2015).</w:t>
      </w:r>
    </w:p>
    <w:p>
      <w:pPr>
        <w:pStyle w:val="TablaRotulo"/>
      </w:pPr>
      <w:bookmarkStart w:id="9344" w:name="rot_Tabla_12_17"/>
      <w:r>
        <w:rPr>
          <w:b/>
          <w:bCs/>
        </w:rPr>
        <w:t xml:space="preserve">Tabla 12.17</w:t>
      </w:r>
      <w:bookmarkEnd w:id="9344"/>
    </w:p>
    <w:p>
      <w:pPr>
        <w:pStyle w:val="TablaTitulo"/>
      </w:pPr>
      <w:r>
        <w:rPr>
          <w:i/>
          <w:iCs/>
        </w:rPr>
        <w:t xml:space="preserve">Ficha técnica PERS-S01 con clasificación Impact y vinculación con el PDD: Activación del protocolo ante superación de umbral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PERS-S01</w:t>
            </w:r>
          </w:p>
        </w:tc>
      </w:tr>
      <w:tr>
        <w:trPr>
          <w:cantSplit/>
        </w:trPr>
        <w:tc>
          <w:tcPr/>
          <w:p>
            <w:pPr>
              <w:pStyle w:val="Tabla9"/>
            </w:pPr>
          </w:p>
        </w:tc>
        <w:tc>
          <w:tcPr/>
          <w:p>
            <w:pPr>
              <w:pStyle w:val="Tabla9"/>
              <w:jc w:val="left"/>
            </w:pPr>
            <w:r>
              <w:t xml:space="preserve">Nombre</w:t>
            </w:r>
          </w:p>
        </w:tc>
        <w:tc>
          <w:tcPr/>
          <w:p>
            <w:pPr>
              <w:pStyle w:val="Tabla9"/>
              <w:jc w:val="left"/>
            </w:pPr>
            <w:r>
              <w:t xml:space="preserve">Activación del protocolo ante superación de umbral</w:t>
            </w:r>
          </w:p>
        </w:tc>
      </w:tr>
      <w:tr>
        <w:trPr>
          <w:cantSplit/>
        </w:trPr>
        <w:tc>
          <w:tcPr/>
          <w:p>
            <w:pPr>
              <w:pStyle w:val="Tabla9"/>
            </w:pPr>
          </w:p>
        </w:tc>
        <w:tc>
          <w:tcPr/>
          <w:p>
            <w:pPr>
              <w:pStyle w:val="Tabla9"/>
              <w:jc w:val="left"/>
            </w:pPr>
            <w:r>
              <w:t xml:space="preserve">Nivel PERS</w:t>
            </w:r>
          </w:p>
        </w:tc>
        <w:tc>
          <w:tcPr/>
          <w:p>
            <w:pPr>
              <w:pStyle w:val="Tabla9"/>
              <w:jc w:val="left"/>
            </w:pPr>
            <w:r>
              <w:t xml:space="preserve">Sostenibilidad (S)</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Impact. Impact institucional: mide continuidad y activación sostenidas, sin estimar exposición ni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Fin</w:t>
            </w:r>
          </w:p>
        </w:tc>
      </w:tr>
      <w:tr>
        <w:trPr>
          <w:cantSplit/>
        </w:trPr>
        <w:tc>
          <w:tcPr/>
          <w:p>
            <w:pPr>
              <w:pStyle w:val="Tabla9"/>
            </w:pPr>
          </w:p>
        </w:tc>
        <w:tc>
          <w:tcPr/>
          <w:p>
            <w:pPr>
              <w:pStyle w:val="Tabla9"/>
              <w:jc w:val="left"/>
            </w:pPr>
            <w:r>
              <w:t xml:space="preserve">Objetivo asociado</w:t>
            </w:r>
          </w:p>
        </w:tc>
        <w:tc>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A3.3 (semanas 70 a 86)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H8 (mes 24)</w:t>
            </w:r>
          </w:p>
        </w:tc>
      </w:tr>
      <w:tr>
        <w:trPr>
          <w:cantSplit/>
        </w:trPr>
        <w:tc>
          <w:tcPr/>
          <w:p>
            <w:pPr>
              <w:pStyle w:val="Tabla9"/>
            </w:pPr>
          </w:p>
        </w:tc>
        <w:tc>
          <w:tcPr/>
          <w:p>
            <w:pPr>
              <w:pStyle w:val="Tabla9"/>
              <w:jc w:val="left"/>
            </w:pPr>
            <w:r>
              <w:t xml:space="preserve">Rubro presupuestal</w:t>
            </w:r>
          </w:p>
        </w:tc>
        <w:tc>
          <w:tcPr/>
          <w:p>
            <w:pPr>
              <w:pStyle w:val="Tabla9"/>
              <w:jc w:val="left"/>
            </w:pPr>
            <w:r>
              <w:t xml:space="preserve">S07: 120,0 millones de COP (CALCULADO). La línea S07 cubre las evaluaciones de los meses 12 y 24; la medición del mes 36 no tiene línea (VACIO)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eventos de superación de umbral confirmados en los que se activó y registró una medida de protección.</w:t>
            </w:r>
          </w:p>
        </w:tc>
      </w:tr>
      <w:tr>
        <w:trPr>
          <w:cantSplit/>
        </w:trPr>
        <w:tc>
          <w:tcPr/>
          <w:p>
            <w:pPr>
              <w:pStyle w:val="Tabla9"/>
            </w:pPr>
          </w:p>
        </w:tc>
        <w:tc>
          <w:tcPr/>
          <w:p>
            <w:pPr>
              <w:pStyle w:val="Tabla9"/>
              <w:jc w:val="left"/>
            </w:pPr>
            <w:r>
              <w:t xml:space="preserve">Justificación</w:t>
            </w:r>
          </w:p>
        </w:tc>
        <w:tc>
          <w:tcPr/>
          <w:p>
            <w:pPr>
              <w:pStyle w:val="Tabla9"/>
              <w:jc w:val="left"/>
            </w:pPr>
            <w:r>
              <w:t xml:space="preserve">Es el cambio institucional sostenido que busca el proyecto: que una medición verificada produzca una acción registrada. No mide exposición ni salud.</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Eventos de superación de umbral con medida de protección activada y registrada ÷ eventos de superación confirmados × 100</w:t>
            </w:r>
          </w:p>
        </w:tc>
      </w:tr>
      <w:tr>
        <w:trPr>
          <w:cantSplit/>
        </w:trPr>
        <w:tc>
          <w:tcPr/>
          <w:p>
            <w:pPr>
              <w:pStyle w:val="Tabla9"/>
            </w:pPr>
          </w:p>
        </w:tc>
        <w:tc>
          <w:tcPr/>
          <w:p>
            <w:pPr>
              <w:pStyle w:val="Tabla9"/>
              <w:jc w:val="left"/>
            </w:pPr>
            <w:r>
              <w:t xml:space="preserve">Variables</w:t>
            </w:r>
          </w:p>
        </w:tc>
        <w:tc>
          <w:tcPr/>
          <w:p>
            <w:pPr>
              <w:pStyle w:val="Tabla9"/>
              <w:jc w:val="left"/>
            </w:pPr>
            <w:r>
              <w:t xml:space="preserve">Numerador: eventos con medida activada y registrada. Denominador: eventos de superación confirmados.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1 a 12 (tramo 1), con registro retrospectivo de eventos y medidas (PROPUESTO)</w:t>
            </w:r>
          </w:p>
        </w:tc>
      </w:tr>
      <w:tr>
        <w:trPr>
          <w:cantSplit/>
        </w:trPr>
        <w:tc>
          <w:tcPr/>
          <w:p>
            <w:pPr>
              <w:pStyle w:val="Tabla9"/>
            </w:pPr>
          </w:p>
        </w:tc>
        <w:tc>
          <w:tcPr/>
          <w:p>
            <w:pPr>
              <w:pStyle w:val="Tabla9"/>
              <w:jc w:val="left"/>
            </w:pPr>
            <w:r>
              <w:t xml:space="preserve">Fuente</w:t>
            </w:r>
          </w:p>
        </w:tc>
        <w:tc>
          <w:tcPr/>
          <w:p>
            <w:pPr>
              <w:pStyle w:val="Tabla9"/>
              <w:jc w:val="left"/>
            </w:pPr>
            <w:r>
              <w:t xml:space="preserve">Registros de los comités y de las secretarías de gestión del riesgo</w:t>
            </w:r>
          </w:p>
        </w:tc>
      </w:tr>
      <w:tr>
        <w:trPr>
          <w:cantSplit/>
        </w:trPr>
        <w:tc>
          <w:tcPr/>
          <w:p>
            <w:pPr>
              <w:pStyle w:val="Tabla9"/>
            </w:pPr>
          </w:p>
        </w:tc>
        <w:tc>
          <w:tcPr/>
          <w:p>
            <w:pPr>
              <w:pStyle w:val="Tabla9"/>
              <w:jc w:val="left"/>
            </w:pPr>
            <w:r>
              <w:t xml:space="preserve">Metodología</w:t>
            </w:r>
          </w:p>
        </w:tc>
        <w:tc>
          <w:tcPr/>
          <w:p>
            <w:pPr>
              <w:pStyle w:val="Tabla9"/>
              <w:jc w:val="left"/>
            </w:pPr>
            <w:r>
              <w:t xml:space="preserve">Conteo de eventos de superación y de medidas registradas antes del uso del protocolo (PROPUESTO).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No aplica (medición posproyecto)</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No aplica</w:t>
            </w:r>
          </w:p>
        </w:tc>
      </w:tr>
      <w:tr>
        <w:trPr>
          <w:cantSplit/>
        </w:trPr>
        <w:tc>
          <w:tcPr/>
          <w:p>
            <w:pPr>
              <w:pStyle w:val="Tabla9"/>
            </w:pPr>
          </w:p>
        </w:tc>
        <w:tc>
          <w:tcPr/>
          <w:p>
            <w:pPr>
              <w:pStyle w:val="Tabla9"/>
              <w:jc w:val="left"/>
            </w:pPr>
            <w:r>
              <w:t xml:space="preserve">Meta final</w:t>
            </w:r>
          </w:p>
        </w:tc>
        <w:tc>
          <w:tcPr/>
          <w:p>
            <w:pPr>
              <w:pStyle w:val="Tabla9"/>
              <w:jc w:val="left"/>
            </w:pPr>
            <w:r>
              <w:t xml:space="preserve">≥ 80 % a los 12 meses posteriores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se mide a los 12 meses posteriores al cierre, es decir, en el mes 36. Ese punto coincide con el límite inferior del horizonte de 1 a 5 años que fija el metaprompt para el impacto.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Anual, 6 a 12 meses tras el cierre</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Anual al financiador y a los custodios, con informe de la evaluación externa posproyecto</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Custodios y secretarías de gestión del riesgo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Evaluación externa posproyecto</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Registro de eventos y de medidas</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Informes de la evaluación externa posproyecto</w:t>
            </w:r>
          </w:p>
        </w:tc>
      </w:tr>
      <w:tr>
        <w:trPr>
          <w:cantSplit/>
        </w:trPr>
        <w:tc>
          <w:tcPr/>
          <w:p>
            <w:pPr>
              <w:pStyle w:val="Tabla9"/>
            </w:pPr>
          </w:p>
        </w:tc>
        <w:tc>
          <w:tcPr/>
          <w:p>
            <w:pPr>
              <w:pStyle w:val="Tabla9"/>
              <w:jc w:val="left"/>
            </w:pPr>
            <w:r>
              <w:t xml:space="preserve">Instrumento</w:t>
            </w:r>
          </w:p>
        </w:tc>
        <w:tc>
          <w:tcPr/>
          <w:p>
            <w:pPr>
              <w:pStyle w:val="Tabla9"/>
              <w:jc w:val="left"/>
            </w:pPr>
            <w:r>
              <w:t xml:space="preserve">Registro de eventos y de medidas con verificación frente a la referencia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entregada a los custodios, con respaldo del proyecto</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y municipio</w:t>
            </w:r>
          </w:p>
        </w:tc>
      </w:tr>
      <w:tr>
        <w:trPr>
          <w:cantSplit/>
        </w:trPr>
        <w:tc>
          <w:tcPr/>
          <w:p>
            <w:pPr>
              <w:pStyle w:val="Tabla9"/>
            </w:pPr>
          </w:p>
        </w:tc>
        <w:tc>
          <w:tcPr/>
          <w:p>
            <w:pPr>
              <w:pStyle w:val="Tabla9"/>
              <w:jc w:val="left"/>
            </w:pPr>
            <w:r>
              <w:t xml:space="preserve">Temporal</w:t>
            </w:r>
          </w:p>
        </w:tc>
        <w:tc>
          <w:tcPr/>
          <w:p>
            <w:pPr>
              <w:pStyle w:val="Tabla9"/>
              <w:jc w:val="left"/>
            </w:pPr>
            <w:r>
              <w:t xml:space="preserve">Anual, en los meses 30 y 36</w:t>
            </w:r>
          </w:p>
        </w:tc>
      </w:tr>
      <w:tr>
        <w:trPr>
          <w:cantSplit/>
        </w:trPr>
        <w:tc>
          <w:tcPr/>
          <w:p>
            <w:pPr>
              <w:pStyle w:val="Tabla9"/>
            </w:pPr>
          </w:p>
        </w:tc>
        <w:tc>
          <w:tcPr/>
          <w:p>
            <w:pPr>
              <w:pStyle w:val="Tabla9"/>
              <w:jc w:val="left"/>
            </w:pPr>
            <w:r>
              <w:t xml:space="preserve">Poblacional</w:t>
            </w:r>
          </w:p>
        </w:tc>
        <w:tc>
          <w:tcPr/>
          <w:p>
            <w:pPr>
              <w:pStyle w:val="Tabla9"/>
              <w:jc w:val="left"/>
            </w:pPr>
            <w:r>
              <w:t xml:space="preserve">No se desagrega por persona; el indicador no estima efectos en salud</w:t>
            </w:r>
          </w:p>
        </w:tc>
      </w:tr>
      <w:tr>
        <w:trPr>
          <w:cantSplit/>
        </w:trPr>
        <w:tc>
          <w:tcPr/>
          <w:p>
            <w:pPr>
              <w:pStyle w:val="Tabla9"/>
            </w:pPr>
          </w:p>
        </w:tc>
        <w:tc>
          <w:tcPr/>
          <w:p>
            <w:pPr>
              <w:pStyle w:val="Tabla9"/>
              <w:jc w:val="left"/>
            </w:pPr>
            <w:r>
              <w:t xml:space="preserve">Otras</w:t>
            </w:r>
          </w:p>
        </w:tc>
        <w:tc>
          <w:tcPr/>
          <w:p>
            <w:pPr>
              <w:pStyle w:val="Tabla9"/>
              <w:jc w:val="left"/>
            </w:pPr>
            <w:r>
              <w:t xml:space="preserve">Tipo de medida de protección y contaminante</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Confirmar un evento exige referencia. Con tres referencias, parte de los eventos se confirma con el gemelo digital (INFERIDO).</w:t>
            </w:r>
          </w:p>
        </w:tc>
      </w:tr>
      <w:tr>
        <w:trPr>
          <w:cantSplit/>
        </w:trPr>
        <w:tc>
          <w:tcPr/>
          <w:p>
            <w:pPr>
              <w:pStyle w:val="Tabla9"/>
            </w:pPr>
          </w:p>
        </w:tc>
        <w:tc>
          <w:tcPr/>
          <w:p>
            <w:pPr>
              <w:pStyle w:val="Tabla9"/>
              <w:jc w:val="left"/>
            </w:pPr>
            <w:r>
              <w:t xml:space="preserve">Cobertura</w:t>
            </w:r>
          </w:p>
        </w:tc>
        <w:tc>
          <w:tcPr/>
          <w:p>
            <w:pPr>
              <w:pStyle w:val="Tabla9"/>
              <w:jc w:val="left"/>
            </w:pPr>
            <w:r>
              <w:t xml:space="preserve">Sin custodia operativa no hay registro, de modo que el indicador depende de PERS-S02.</w:t>
            </w:r>
          </w:p>
        </w:tc>
      </w:tr>
      <w:tr>
        <w:trPr>
          <w:cantSplit/>
        </w:trPr>
        <w:tc>
          <w:tcPr/>
          <w:p>
            <w:pPr>
              <w:pStyle w:val="Tabla9"/>
            </w:pPr>
          </w:p>
        </w:tc>
        <w:tc>
          <w:tcPr/>
          <w:p>
            <w:pPr>
              <w:pStyle w:val="Tabla9"/>
              <w:jc w:val="left"/>
            </w:pPr>
            <w:r>
              <w:t xml:space="preserve">Mitigación</w:t>
            </w:r>
          </w:p>
        </w:tc>
        <w:tc>
          <w:tcPr/>
          <w:p>
            <w:pPr>
              <w:pStyle w:val="Tabla9"/>
              <w:jc w:val="left"/>
            </w:pPr>
            <w:r>
              <w:t xml:space="preserve">Evaluación externa con revisión de los registros de los comités.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Eventos de superación ocurren en la ventana de medición; si no ocurren, el indicador no es calculable</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Custodia operativa y datos disponibles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Custodia operativa y datos disponibles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Evaluación externa posproyecto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Informe de evaluación externa con la muestra de eventos revisada</w:t>
            </w:r>
          </w:p>
        </w:tc>
      </w:tr>
      <w:tr>
        <w:trPr>
          <w:cantSplit/>
        </w:trPr>
        <w:tc>
          <w:tcPr/>
          <w:p>
            <w:pPr>
              <w:pStyle w:val="Tabla9"/>
            </w:pPr>
          </w:p>
        </w:tc>
        <w:tc>
          <w:tcPr/>
          <w:p>
            <w:pPr>
              <w:pStyle w:val="Tabla9"/>
              <w:jc w:val="left"/>
            </w:pPr>
            <w:r>
              <w:t xml:space="preserve">Responsable</w:t>
            </w:r>
          </w:p>
        </w:tc>
        <w:tc>
          <w:tcPr/>
          <w:p>
            <w:pPr>
              <w:pStyle w:val="Tabla9"/>
              <w:jc w:val="left"/>
            </w:pPr>
            <w:r>
              <w:t xml:space="preserve">Evaluación externa posproyecto</w:t>
            </w:r>
          </w:p>
        </w:tc>
      </w:tr>
      <w:tr>
        <w:trPr>
          <w:cantSplit/>
        </w:trPr>
        <w:tc>
          <w:tcPr/>
          <w:p>
            <w:pPr>
              <w:pStyle w:val="Tabla9"/>
            </w:pPr>
          </w:p>
        </w:tc>
        <w:tc>
          <w:tcPr/>
          <w:p>
            <w:pPr>
              <w:pStyle w:val="Tabla9"/>
              <w:jc w:val="left"/>
            </w:pPr>
            <w:r>
              <w:t xml:space="preserve">Periodicidad</w:t>
            </w:r>
          </w:p>
        </w:tc>
        <w:tc>
          <w:tcPr/>
          <w:p>
            <w:pPr>
              <w:pStyle w:val="Tabla9"/>
              <w:jc w:val="left"/>
            </w:pPr>
            <w:r>
              <w:t xml:space="preserve">Anual, 6 a 12 meses tras el cierre</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45" w:name="rot_Tabla_12_18"/>
      <w:r>
        <w:rPr>
          <w:b/>
          <w:bCs/>
        </w:rPr>
        <w:t xml:space="preserve">Tabla 12.18</w:t>
      </w:r>
      <w:bookmarkEnd w:id="9345"/>
    </w:p>
    <w:p>
      <w:pPr>
        <w:pStyle w:val="TablaTitulo"/>
      </w:pPr>
      <w:r>
        <w:rPr>
          <w:i/>
          <w:iCs/>
        </w:rPr>
        <w:t xml:space="preserve">Ficha técnica PERS-S02 con clasificación Impact y vinculación con el PDD: Continuidad de la red bajo custodia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80"/>
        <w:gridCol w:w="2244"/>
        <w:gridCol w:w="3696"/>
      </w:tblGrid>
      <w:tr>
        <w:trPr>
          <w:cantSplit/>
          <w:tblHeader/>
        </w:trPr>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PERS-S02</w:t>
            </w:r>
          </w:p>
        </w:tc>
      </w:tr>
      <w:tr>
        <w:trPr>
          <w:cantSplit/>
        </w:trPr>
        <w:tc>
          <w:tcPr/>
          <w:p>
            <w:pPr>
              <w:pStyle w:val="Tabla9"/>
            </w:pPr>
          </w:p>
        </w:tc>
        <w:tc>
          <w:tcPr/>
          <w:p>
            <w:pPr>
              <w:pStyle w:val="Tabla9"/>
              <w:jc w:val="left"/>
            </w:pPr>
            <w:r>
              <w:t xml:space="preserve">Nombre</w:t>
            </w:r>
          </w:p>
        </w:tc>
        <w:tc>
          <w:tcPr/>
          <w:p>
            <w:pPr>
              <w:pStyle w:val="Tabla9"/>
              <w:jc w:val="left"/>
            </w:pPr>
            <w:r>
              <w:t xml:space="preserve">Continuidad de la red bajo custodia</w:t>
            </w:r>
          </w:p>
        </w:tc>
      </w:tr>
      <w:tr>
        <w:trPr>
          <w:cantSplit/>
        </w:trPr>
        <w:tc>
          <w:tcPr/>
          <w:p>
            <w:pPr>
              <w:pStyle w:val="Tabla9"/>
            </w:pPr>
          </w:p>
        </w:tc>
        <w:tc>
          <w:tcPr/>
          <w:p>
            <w:pPr>
              <w:pStyle w:val="Tabla9"/>
              <w:jc w:val="left"/>
            </w:pPr>
            <w:r>
              <w:t xml:space="preserve">Nivel PERS</w:t>
            </w:r>
          </w:p>
        </w:tc>
        <w:tc>
          <w:tcPr/>
          <w:p>
            <w:pPr>
              <w:pStyle w:val="Tabla9"/>
              <w:jc w:val="left"/>
            </w:pPr>
            <w:r>
              <w:t xml:space="preserve">Sostenibilidad (S)</w:t>
            </w:r>
          </w:p>
        </w:tc>
      </w:tr>
      <w:tr>
        <w:trPr>
          <w:cantSplit/>
        </w:trPr>
        <w:tc>
          <w:tcPr/>
          <w:p>
            <w:pPr>
              <w:pStyle w:val="Tabla9"/>
            </w:pPr>
          </w:p>
        </w:tc>
        <w:tc>
          <w:tcPr/>
          <w:p>
            <w:pPr>
              <w:pStyle w:val="Tabla9"/>
              <w:jc w:val="left"/>
            </w:pPr>
            <w:r>
              <w:t xml:space="preserve">Taxonomía MinCiencias</w:t>
            </w:r>
          </w:p>
        </w:tc>
        <w:tc>
          <w:tcPr/>
          <w:p>
            <w:pPr>
              <w:pStyle w:val="Tabla9"/>
              <w:jc w:val="left"/>
            </w:pPr>
            <w:r>
              <w:t xml:space="preserve">Impact. Impact institucional: mide continuidad y activación sostenidas, sin estimar exposición ni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Fin</w:t>
            </w:r>
          </w:p>
        </w:tc>
      </w:tr>
      <w:tr>
        <w:trPr>
          <w:cantSplit/>
        </w:trPr>
        <w:tc>
          <w:tcPr/>
          <w:p>
            <w:pPr>
              <w:pStyle w:val="Tabla9"/>
            </w:pPr>
          </w:p>
        </w:tc>
        <w:tc>
          <w:tcPr/>
          <w:p>
            <w:pPr>
              <w:pStyle w:val="Tabla9"/>
              <w:jc w:val="left"/>
            </w:pPr>
            <w:r>
              <w:t xml:space="preserve">Objetivo asociado</w:t>
            </w:r>
          </w:p>
        </w:tc>
        <w:tc>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 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A3.3 (semanas 70 a 86)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H8 (mes 24)</w:t>
            </w:r>
          </w:p>
        </w:tc>
      </w:tr>
      <w:tr>
        <w:trPr>
          <w:cantSplit/>
        </w:trPr>
        <w:tc>
          <w:tcPr/>
          <w:p>
            <w:pPr>
              <w:pStyle w:val="Tabla9"/>
            </w:pPr>
          </w:p>
        </w:tc>
        <w:tc>
          <w:tcPr/>
          <w:p>
            <w:pPr>
              <w:pStyle w:val="Tabla9"/>
              <w:jc w:val="left"/>
            </w:pPr>
            <w:r>
              <w:t xml:space="preserve">Rubro presupuestal</w:t>
            </w:r>
          </w:p>
        </w:tc>
        <w:tc>
          <w:tcPr/>
          <w:p>
            <w:pPr>
              <w:pStyle w:val="Tabla9"/>
              <w:jc w:val="left"/>
            </w:pPr>
            <w:r>
              <w:t xml:space="preserve">S09, P14 y S07: 438,0 millones de COP (CALCULADO). La línea S07 cubre las evaluaciones de los meses 12 y 24; la medición del mes 36 no tiene línea (VACIO)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nodos entregados que los custodios siguen operando con partida presupuestal y competencia a los 12 meses del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Es la prueba de continuidad. Un nodo sin operador pierde el aporte del proyecto después del mes 24 (R-ORG-02).</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Nodos operados por custodios con partida y competencia a los 12 meses del cierre ÷ nodos entregados × 100</w:t>
            </w:r>
          </w:p>
        </w:tc>
      </w:tr>
      <w:tr>
        <w:trPr>
          <w:cantSplit/>
        </w:trPr>
        <w:tc>
          <w:tcPr/>
          <w:p>
            <w:pPr>
              <w:pStyle w:val="Tabla9"/>
            </w:pPr>
          </w:p>
        </w:tc>
        <w:tc>
          <w:tcPr/>
          <w:p>
            <w:pPr>
              <w:pStyle w:val="Tabla9"/>
              <w:jc w:val="left"/>
            </w:pPr>
            <w:r>
              <w:t xml:space="preserve">Variables</w:t>
            </w:r>
          </w:p>
        </w:tc>
        <w:tc>
          <w:tcPr/>
          <w:p>
            <w:pPr>
              <w:pStyle w:val="Tabla9"/>
              <w:jc w:val="left"/>
            </w:pPr>
            <w:r>
              <w:t xml:space="preserve">Numerador: nodos operados por custodios con partida y competencia a los 12 meses. Denominador: nodos entregados.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6 a 12 (convenio del tramo 1; PROPUESTO)</w:t>
            </w:r>
          </w:p>
        </w:tc>
      </w:tr>
      <w:tr>
        <w:trPr>
          <w:cantSplit/>
        </w:trPr>
        <w:tc>
          <w:tcPr/>
          <w:p>
            <w:pPr>
              <w:pStyle w:val="Tabla9"/>
            </w:pPr>
          </w:p>
        </w:tc>
        <w:tc>
          <w:tcPr/>
          <w:p>
            <w:pPr>
              <w:pStyle w:val="Tabla9"/>
              <w:jc w:val="left"/>
            </w:pPr>
            <w:r>
              <w:t xml:space="preserve">Fuente</w:t>
            </w:r>
          </w:p>
        </w:tc>
        <w:tc>
          <w:tcPr/>
          <w:p>
            <w:pPr>
              <w:pStyle w:val="Tabla9"/>
              <w:jc w:val="left"/>
            </w:pPr>
            <w:r>
              <w:t xml:space="preserve">Convenios y presupuestos de los custodios del tramo 1</w:t>
            </w:r>
          </w:p>
        </w:tc>
      </w:tr>
      <w:tr>
        <w:trPr>
          <w:cantSplit/>
        </w:trPr>
        <w:tc>
          <w:tcPr/>
          <w:p>
            <w:pPr>
              <w:pStyle w:val="Tabla9"/>
            </w:pPr>
          </w:p>
        </w:tc>
        <w:tc>
          <w:tcPr/>
          <w:p>
            <w:pPr>
              <w:pStyle w:val="Tabla9"/>
              <w:jc w:val="left"/>
            </w:pPr>
            <w:r>
              <w:t xml:space="preserve">Metodología</w:t>
            </w:r>
          </w:p>
        </w:tc>
        <w:tc>
          <w:tcPr/>
          <w:p>
            <w:pPr>
              <w:pStyle w:val="Tabla9"/>
              <w:jc w:val="left"/>
            </w:pPr>
            <w:r>
              <w:t xml:space="preserve">Estado de los convenios y de las partidas del tramo 1 al cierre del tramo (PROPUESTO).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No aplica</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No aplica</w:t>
            </w:r>
          </w:p>
        </w:tc>
      </w:tr>
      <w:tr>
        <w:trPr>
          <w:cantSplit/>
        </w:trPr>
        <w:tc>
          <w:tcPr/>
          <w:p>
            <w:pPr>
              <w:pStyle w:val="Tabla9"/>
            </w:pPr>
          </w:p>
        </w:tc>
        <w:tc>
          <w:tcPr/>
          <w:p>
            <w:pPr>
              <w:pStyle w:val="Tabla9"/>
              <w:jc w:val="left"/>
            </w:pPr>
            <w:r>
              <w:t xml:space="preserve">Meta final</w:t>
            </w:r>
          </w:p>
        </w:tc>
        <w:tc>
          <w:tcPr/>
          <w:p>
            <w:pPr>
              <w:pStyle w:val="Tabla9"/>
              <w:jc w:val="left"/>
            </w:pPr>
            <w:r>
              <w:t xml:space="preserve">≥ 70 % a los 12 meses posteriores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El 70 % equivale a 70 de 100 nodos si se entregan 100 (CALCULADO). Por departamento equivale a 24 nodos de 33 en Caldas, 24 de 34 en Cundinamarca y 24 de 33 en Valle del Cauca.</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Anual, 12 meses tras el cierre</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Anual al financiador y a los custodios, con informe de la evaluación externa posproyecto</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de convenios y custodia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Evaluación externa posproyecto</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Convenios, presupuestos y plataforma</w:t>
            </w:r>
          </w:p>
        </w:tc>
      </w:tr>
      <w:tr>
        <w:trPr>
          <w:cantSplit/>
        </w:trPr>
        <w:tc>
          <w:tcPr/>
          <w:p>
            <w:pPr>
              <w:pStyle w:val="Tabla9"/>
            </w:pPr>
          </w:p>
        </w:tc>
        <w:tc>
          <w:tcPr/>
          <w:p>
            <w:pPr>
              <w:pStyle w:val="Tabla9"/>
              <w:jc w:val="left"/>
            </w:pPr>
            <w:r>
              <w:t xml:space="preserve">Fuente secundaria</w:t>
            </w:r>
          </w:p>
        </w:tc>
        <w:tc>
          <w:tcPr/>
          <w:p>
            <w:pPr>
              <w:pStyle w:val="Tabla9"/>
              <w:jc w:val="left"/>
            </w:pPr>
            <w:r>
              <w:t xml:space="preserve">Presupuestos de los custodios y actas de entrega (H8)</w:t>
            </w:r>
          </w:p>
        </w:tc>
      </w:tr>
      <w:tr>
        <w:trPr>
          <w:cantSplit/>
        </w:trPr>
        <w:tc>
          <w:tcPr/>
          <w:p>
            <w:pPr>
              <w:pStyle w:val="Tabla9"/>
            </w:pPr>
          </w:p>
        </w:tc>
        <w:tc>
          <w:tcPr/>
          <w:p>
            <w:pPr>
              <w:pStyle w:val="Tabla9"/>
              <w:jc w:val="left"/>
            </w:pPr>
            <w:r>
              <w:t xml:space="preserve">Instrumento</w:t>
            </w:r>
          </w:p>
        </w:tc>
        <w:tc>
          <w:tcPr/>
          <w:p>
            <w:pPr>
              <w:pStyle w:val="Tabla9"/>
              <w:jc w:val="left"/>
            </w:pPr>
            <w:r>
              <w:t xml:space="preserve">Verificación en sitio de una muestra de nodos y revisión de convenios</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y archivo de convenios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Tramo, departamento y entidad custodia</w:t>
            </w:r>
          </w:p>
        </w:tc>
      </w:tr>
      <w:tr>
        <w:trPr>
          <w:cantSplit/>
        </w:trPr>
        <w:tc>
          <w:tcPr/>
          <w:p>
            <w:pPr>
              <w:pStyle w:val="Tabla9"/>
            </w:pPr>
          </w:p>
        </w:tc>
        <w:tc>
          <w:tcPr/>
          <w:p>
            <w:pPr>
              <w:pStyle w:val="Tabla9"/>
              <w:jc w:val="left"/>
            </w:pPr>
            <w:r>
              <w:t xml:space="preserve">Temporal</w:t>
            </w:r>
          </w:p>
        </w:tc>
        <w:tc>
          <w:tcPr/>
          <w:p>
            <w:pPr>
              <w:pStyle w:val="Tabla9"/>
              <w:jc w:val="left"/>
            </w:pPr>
            <w:r>
              <w:t xml:space="preserve">Anual, en el mes 36</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Componente en custodia: nodos, gateways, plataforma o tablero</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partida aprobada no asegura el gasto efectivo.</w:t>
            </w:r>
          </w:p>
        </w:tc>
      </w:tr>
      <w:tr>
        <w:trPr>
          <w:cantSplit/>
        </w:trPr>
        <w:tc>
          <w:tcPr/>
          <w:p>
            <w:pPr>
              <w:pStyle w:val="Tabla9"/>
            </w:pPr>
          </w:p>
        </w:tc>
        <w:tc>
          <w:tcPr/>
          <w:p>
            <w:pPr>
              <w:pStyle w:val="Tabla9"/>
              <w:jc w:val="left"/>
            </w:pPr>
            <w:r>
              <w:t xml:space="preserve">Cobertura</w:t>
            </w:r>
          </w:p>
        </w:tc>
        <w:tc>
          <w:tcPr/>
          <w:p>
            <w:pPr>
              <w:pStyle w:val="Tabla9"/>
              <w:jc w:val="left"/>
            </w:pPr>
            <w:r>
              <w:t xml:space="preserve">El costo total de sostenimiento no es calculable (NO_CALCULABLE).</w:t>
            </w:r>
          </w:p>
        </w:tc>
      </w:tr>
      <w:tr>
        <w:trPr>
          <w:cantSplit/>
        </w:trPr>
        <w:tc>
          <w:tcPr/>
          <w:p>
            <w:pPr>
              <w:pStyle w:val="Tabla9"/>
            </w:pPr>
          </w:p>
        </w:tc>
        <w:tc>
          <w:tcPr/>
          <w:p>
            <w:pPr>
              <w:pStyle w:val="Tabla9"/>
              <w:jc w:val="left"/>
            </w:pPr>
            <w:r>
              <w:t xml:space="preserve">Mitigación</w:t>
            </w:r>
          </w:p>
        </w:tc>
        <w:tc>
          <w:tcPr/>
          <w:p>
            <w:pPr>
              <w:pStyle w:val="Tabla9"/>
              <w:jc w:val="left"/>
            </w:pPr>
            <w:r>
              <w:t xml:space="preserve">Cláusula de apertura y salida ordenada en los convenios.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Restricción fiscal de los custodios (R-ORG-02)</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Cláusula de apertura y financiación de los custodios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Cláusula de apertura y financiación de custodios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Evaluación externa posproyecto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Informe de evaluación externa con revisión de convenios y muestra de nodos</w:t>
            </w:r>
          </w:p>
        </w:tc>
      </w:tr>
      <w:tr>
        <w:trPr>
          <w:cantSplit/>
        </w:trPr>
        <w:tc>
          <w:tcPr/>
          <w:p>
            <w:pPr>
              <w:pStyle w:val="Tabla9"/>
            </w:pPr>
          </w:p>
        </w:tc>
        <w:tc>
          <w:tcPr/>
          <w:p>
            <w:pPr>
              <w:pStyle w:val="Tabla9"/>
              <w:jc w:val="left"/>
            </w:pPr>
            <w:r>
              <w:t xml:space="preserve">Responsable</w:t>
            </w:r>
          </w:p>
        </w:tc>
        <w:tc>
          <w:tcPr/>
          <w:p>
            <w:pPr>
              <w:pStyle w:val="Tabla9"/>
              <w:jc w:val="left"/>
            </w:pPr>
            <w:r>
              <w:t xml:space="preserve">Evaluación externa posproyecto</w:t>
            </w:r>
          </w:p>
        </w:tc>
      </w:tr>
      <w:tr>
        <w:trPr>
          <w:cantSplit/>
        </w:trPr>
        <w:tc>
          <w:tcPr/>
          <w:p>
            <w:pPr>
              <w:pStyle w:val="Tabla9"/>
            </w:pPr>
          </w:p>
        </w:tc>
        <w:tc>
          <w:tcPr/>
          <w:p>
            <w:pPr>
              <w:pStyle w:val="Tabla9"/>
              <w:jc w:val="left"/>
            </w:pPr>
            <w:r>
              <w:t xml:space="preserve">Periodicidad</w:t>
            </w:r>
          </w:p>
        </w:tc>
        <w:tc>
          <w:tcPr/>
          <w:p>
            <w:pPr>
              <w:pStyle w:val="Tabla9"/>
              <w:jc w:val="left"/>
            </w:pPr>
            <w:r>
              <w:t xml:space="preserve">Anual, 12 meses tras el cierre</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definición de impacto que la taxonomía exige es el cambio en las condiciones de una población como resultado de los productos y los resultados. Los dos indicadores S no la cumplen en sentido estricto. Miden condiciones institucionales: que el protocolo se active y que la red continúe. No miden exposición ni salud. La razón es metodológica. Un efecto en salud exige un diseño causal con contrafactual, y el proyecto no lo incluye. La hipótesis de que la activación del protocolo reduce la exposición evitable queda sin medición (VACIO). Se declara así para que ningún lector confunda la continuidad con el cambio en salud.</w:t>
      </w:r>
    </w:p>
    <w:p>
      <w:pPr>
        <w:pStyle w:val="BodyText"/>
      </w:pPr>
      <w:r>
        <w:t xml:space="preserve">El indicador PERS-S02 admite un cálculo por departamento. Hay 33, 34 y 33 nodos en Caldas, Cundinamarca y Valle del Cauca. Una continuidad de 70 % equivale a 24 nodos por departamento, redondeando hacia arriba. La suma por departamento, 72, supera los 70 nodos nacionales por efecto del redondeo. El cálculo permite fijar la obligación de cada custodio. Un departamento que no sostiene 24 nodos incumple la meta local aunque el total nacional la alcance. Esa lectura desagregada evita que el desempeño de un departamento oculte el de otro. Ostrom (2005) muestra que la continuidad de un recurso compartido depende de reglas claras y de un monitoreo ejercido por los propios usuarios.</w:t>
      </w:r>
    </w:p>
    <w:p>
      <w:pPr>
        <w:pStyle w:val="BodyText"/>
      </w:pPr>
      <w:r>
        <w:t xml:space="preserve">La articulación con el Plan de Desarrollo Departamental (PDD) exige tres datos que el usuario no aportó. Son el indicador del PDD, la meta del PDD y el código de la demanda territorial del Anexo 4. La Tabla 12.19 organiza esos campos por departamento y deja cada uno como VACIO. La contribución del proyecto sí se calcula. Para S01, el proyecto aporta la activación registrada del protocolo en los comités de cada departamento. Para S02, aporta los nodos con custodia. La articulación con las metas departamentales se completa cuando el usuario aporte los documentos [DATO_USUARIO: PDD de Caldas, Cundinamarca y Valle del Cauca].</w:t>
      </w:r>
    </w:p>
    <w:p>
      <w:pPr>
        <w:pStyle w:val="TablaRotulo"/>
      </w:pPr>
      <w:bookmarkStart w:id="9346" w:name="rot_Tabla_12_19"/>
      <w:r>
        <w:rPr>
          <w:b/>
          <w:bCs/>
        </w:rPr>
        <w:t xml:space="preserve">Tabla 12.19</w:t>
      </w:r>
      <w:bookmarkEnd w:id="9346"/>
    </w:p>
    <w:p>
      <w:pPr>
        <w:pStyle w:val="TablaTitulo"/>
      </w:pPr>
      <w:r>
        <w:rPr>
          <w:i/>
          <w:iCs/>
        </w:rPr>
        <w:t xml:space="preserve">Articulación de los indicadores PERS-S con el PDD: indicador del PDD, meta del PDD y contribución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31"/>
        <w:gridCol w:w="1064"/>
        <w:gridCol w:w="1597"/>
        <w:gridCol w:w="1597"/>
        <w:gridCol w:w="1131"/>
        <w:gridCol w:w="1597"/>
      </w:tblGrid>
      <w:tr>
        <w:trPr>
          <w:cantSplit/>
          <w:tblHeader/>
        </w:trPr>
        <w:tc>
          <w:tcPr>
            <w:shd w:val="clear" w:color="auto" w:fill="00B050"/>
          </w:tcPr>
          <w:p>
            <w:pPr>
              <w:pStyle w:val="Tabla9"/>
              <w:jc w:val="center"/>
            </w:pPr>
            <w:r>
              <w:rPr>
                <w:b/>
                <w:color w:val="FFFFFF"/>
              </w:rPr>
              <w:t xml:space="preserve">Indicador PERS</w:t>
            </w:r>
          </w:p>
        </w:tc>
        <w:tc>
          <w:tcPr>
            <w:shd w:val="clear" w:color="auto" w:fill="00B050"/>
          </w:tcPr>
          <w:p>
            <w:pPr>
              <w:pStyle w:val="Tabla9"/>
              <w:jc w:val="center"/>
            </w:pPr>
            <w:r>
              <w:rPr>
                <w:b/>
                <w:color w:val="FFFFFF"/>
              </w:rPr>
              <w:t xml:space="preserve">Departamento</w:t>
            </w:r>
          </w:p>
        </w:tc>
        <w:tc>
          <w:tcPr>
            <w:shd w:val="clear" w:color="auto" w:fill="00B050"/>
          </w:tcPr>
          <w:p>
            <w:pPr>
              <w:pStyle w:val="Tabla9"/>
              <w:jc w:val="center"/>
            </w:pPr>
            <w:r>
              <w:rPr>
                <w:b/>
                <w:color w:val="FFFFFF"/>
              </w:rPr>
              <w:t xml:space="preserve">Indicador del PDD</w:t>
            </w:r>
          </w:p>
        </w:tc>
        <w:tc>
          <w:tcPr>
            <w:shd w:val="clear" w:color="auto" w:fill="00B050"/>
          </w:tcPr>
          <w:p>
            <w:pPr>
              <w:pStyle w:val="Tabla9"/>
              <w:jc w:val="center"/>
            </w:pPr>
            <w:r>
              <w:rPr>
                <w:b/>
                <w:color w:val="FFFFFF"/>
              </w:rPr>
              <w:t xml:space="preserve">Meta del PDD</w:t>
            </w:r>
          </w:p>
        </w:tc>
        <w:tc>
          <w:tcPr>
            <w:shd w:val="clear" w:color="auto" w:fill="00B050"/>
          </w:tcPr>
          <w:p>
            <w:pPr>
              <w:pStyle w:val="Tabla9"/>
              <w:jc w:val="center"/>
            </w:pPr>
            <w:r>
              <w:rPr>
                <w:b/>
                <w:color w:val="FFFFFF"/>
              </w:rPr>
              <w:t xml:space="preserve">Contribución del proyecto</w:t>
            </w:r>
          </w:p>
        </w:tc>
        <w:tc>
          <w:tcPr>
            <w:shd w:val="clear" w:color="auto" w:fill="00B050"/>
          </w:tcPr>
          <w:p>
            <w:pPr>
              <w:pStyle w:val="Tabla9"/>
              <w:jc w:val="center"/>
            </w:pPr>
            <w:r>
              <w:rPr>
                <w:b/>
                <w:color w:val="FFFFFF"/>
              </w:rPr>
              <w:t xml:space="preserve">Código de demanda (Anexo 4)</w:t>
            </w:r>
          </w:p>
        </w:tc>
      </w:tr>
      <w:tr>
        <w:trPr>
          <w:cantSplit/>
        </w:trPr>
        <w:tc>
          <w:tcPr/>
          <w:p>
            <w:pPr>
              <w:pStyle w:val="Tabla9"/>
              <w:jc w:val="left"/>
            </w:pPr>
            <w:r>
              <w:t xml:space="preserve">PERS-S01</w:t>
            </w:r>
          </w:p>
        </w:tc>
        <w:tc>
          <w:tcPr/>
          <w:p>
            <w:pPr>
              <w:pStyle w:val="Tabla9"/>
              <w:jc w:val="left"/>
            </w:pPr>
            <w:r>
              <w:t xml:space="preserve">Caldas</w:t>
            </w:r>
          </w:p>
        </w:tc>
        <w:tc>
          <w:tcPr/>
          <w:p>
            <w:pPr>
              <w:pStyle w:val="Tabla9"/>
              <w:jc w:val="left"/>
            </w:pPr>
            <w:r>
              <w:t xml:space="preserve">[DATO_USUARIO: indicador del PDD de Caldas]</w:t>
            </w:r>
          </w:p>
        </w:tc>
        <w:tc>
          <w:tcPr/>
          <w:p>
            <w:pPr>
              <w:pStyle w:val="Tabla9"/>
              <w:jc w:val="left"/>
            </w:pPr>
            <w:r>
              <w:t xml:space="preserve">[DATO_USUARIO: meta del PDD de Caldas]</w:t>
            </w:r>
          </w:p>
        </w:tc>
        <w:tc>
          <w:tcPr/>
          <w:p>
            <w:pPr>
              <w:pStyle w:val="Tabla9"/>
              <w:jc w:val="left"/>
            </w:pPr>
            <w:r>
              <w:t xml:space="preserve">Activación registrada del protocolo en los comités de Caldas (80 % o más de los eventos confirmados al mes 36)</w:t>
            </w:r>
          </w:p>
        </w:tc>
        <w:tc>
          <w:tcPr/>
          <w:p>
            <w:pPr>
              <w:pStyle w:val="Tabla9"/>
              <w:jc w:val="left"/>
            </w:pPr>
            <w:r>
              <w:t xml:space="preserve">[DATO_USUARIO: código de la demanda territorial de Caldas]</w:t>
            </w:r>
          </w:p>
        </w:tc>
      </w:tr>
      <w:tr>
        <w:trPr>
          <w:cantSplit/>
        </w:trPr>
        <w:tc>
          <w:tcPr/>
          <w:p>
            <w:pPr>
              <w:pStyle w:val="Tabla9"/>
              <w:jc w:val="left"/>
            </w:pPr>
            <w:r>
              <w:t xml:space="preserve">PERS-S01</w:t>
            </w:r>
          </w:p>
        </w:tc>
        <w:tc>
          <w:tcPr/>
          <w:p>
            <w:pPr>
              <w:pStyle w:val="Tabla9"/>
              <w:jc w:val="left"/>
            </w:pPr>
            <w:r>
              <w:t xml:space="preserve">Cundinamarca</w:t>
            </w:r>
          </w:p>
        </w:tc>
        <w:tc>
          <w:tcPr/>
          <w:p>
            <w:pPr>
              <w:pStyle w:val="Tabla9"/>
              <w:jc w:val="left"/>
            </w:pPr>
            <w:r>
              <w:t xml:space="preserve">[DATO_USUARIO: indicador del PDD de Cundinamarca]</w:t>
            </w:r>
          </w:p>
        </w:tc>
        <w:tc>
          <w:tcPr/>
          <w:p>
            <w:pPr>
              <w:pStyle w:val="Tabla9"/>
              <w:jc w:val="left"/>
            </w:pPr>
            <w:r>
              <w:t xml:space="preserve">[DATO_USUARIO: meta del PDD de Cundinamarca]</w:t>
            </w:r>
          </w:p>
        </w:tc>
        <w:tc>
          <w:tcPr/>
          <w:p>
            <w:pPr>
              <w:pStyle w:val="Tabla9"/>
              <w:jc w:val="left"/>
            </w:pPr>
            <w:r>
              <w:t xml:space="preserve">Activación registrada del protocolo en los comités de Cundinamarca (80 % o más de los eventos confirmados al mes 36)</w:t>
            </w:r>
          </w:p>
        </w:tc>
        <w:tc>
          <w:tcPr/>
          <w:p>
            <w:pPr>
              <w:pStyle w:val="Tabla9"/>
              <w:jc w:val="left"/>
            </w:pPr>
            <w:r>
              <w:t xml:space="preserve">[DATO_USUARIO: código de la demanda territorial de Cundinamarca]</w:t>
            </w:r>
          </w:p>
        </w:tc>
      </w:tr>
      <w:tr>
        <w:trPr>
          <w:cantSplit/>
        </w:trPr>
        <w:tc>
          <w:tcPr/>
          <w:p>
            <w:pPr>
              <w:pStyle w:val="Tabla9"/>
              <w:jc w:val="left"/>
            </w:pPr>
            <w:r>
              <w:t xml:space="preserve">PERS-S01</w:t>
            </w:r>
          </w:p>
        </w:tc>
        <w:tc>
          <w:tcPr/>
          <w:p>
            <w:pPr>
              <w:pStyle w:val="Tabla9"/>
              <w:jc w:val="left"/>
            </w:pPr>
            <w:r>
              <w:t xml:space="preserve">Valle del Cauca</w:t>
            </w:r>
          </w:p>
        </w:tc>
        <w:tc>
          <w:tcPr/>
          <w:p>
            <w:pPr>
              <w:pStyle w:val="Tabla9"/>
              <w:jc w:val="left"/>
            </w:pPr>
            <w:r>
              <w:t xml:space="preserve">[DATO_USUARIO: indicador del PDD de Valle del Cauca]</w:t>
            </w:r>
          </w:p>
        </w:tc>
        <w:tc>
          <w:tcPr/>
          <w:p>
            <w:pPr>
              <w:pStyle w:val="Tabla9"/>
              <w:jc w:val="left"/>
            </w:pPr>
            <w:r>
              <w:t xml:space="preserve">[DATO_USUARIO: meta del PDD de Valle del Cauca]</w:t>
            </w:r>
          </w:p>
        </w:tc>
        <w:tc>
          <w:tcPr/>
          <w:p>
            <w:pPr>
              <w:pStyle w:val="Tabla9"/>
              <w:jc w:val="left"/>
            </w:pPr>
            <w:r>
              <w:t xml:space="preserve">Activación registrada del protocolo en los comités de Valle del Cauca (80 % o más de los eventos confirmados al mes 36)</w:t>
            </w:r>
          </w:p>
        </w:tc>
        <w:tc>
          <w:tcPr/>
          <w:p>
            <w:pPr>
              <w:pStyle w:val="Tabla9"/>
              <w:jc w:val="left"/>
            </w:pPr>
            <w:r>
              <w:t xml:space="preserve">[DATO_USUARIO: código de la demanda territorial de Valle del Cauca]</w:t>
            </w:r>
          </w:p>
        </w:tc>
      </w:tr>
      <w:tr>
        <w:trPr>
          <w:cantSplit/>
        </w:trPr>
        <w:tc>
          <w:tcPr/>
          <w:p>
            <w:pPr>
              <w:pStyle w:val="Tabla9"/>
              <w:jc w:val="left"/>
            </w:pPr>
            <w:r>
              <w:t xml:space="preserve">PERS-S02</w:t>
            </w:r>
          </w:p>
        </w:tc>
        <w:tc>
          <w:tcPr/>
          <w:p>
            <w:pPr>
              <w:pStyle w:val="Tabla9"/>
              <w:jc w:val="left"/>
            </w:pPr>
            <w:r>
              <w:t xml:space="preserve">Caldas</w:t>
            </w:r>
          </w:p>
        </w:tc>
        <w:tc>
          <w:tcPr/>
          <w:p>
            <w:pPr>
              <w:pStyle w:val="Tabla9"/>
              <w:jc w:val="left"/>
            </w:pPr>
            <w:r>
              <w:t xml:space="preserve">[DATO_USUARIO: indicador del PDD de Caldas]</w:t>
            </w:r>
          </w:p>
        </w:tc>
        <w:tc>
          <w:tcPr/>
          <w:p>
            <w:pPr>
              <w:pStyle w:val="Tabla9"/>
              <w:jc w:val="left"/>
            </w:pPr>
            <w:r>
              <w:t xml:space="preserve">[DATO_USUARIO: meta del PDD de Caldas]</w:t>
            </w:r>
          </w:p>
        </w:tc>
        <w:tc>
          <w:tcPr/>
          <w:p>
            <w:pPr>
              <w:pStyle w:val="Tabla9"/>
              <w:jc w:val="left"/>
            </w:pPr>
            <w:r>
              <w:t xml:space="preserve">33 nodos entregados en Caldas; 70 % o más equivale a 24 nodos con custodia al mes 36</w:t>
            </w:r>
          </w:p>
        </w:tc>
        <w:tc>
          <w:tcPr/>
          <w:p>
            <w:pPr>
              <w:pStyle w:val="Tabla9"/>
              <w:jc w:val="left"/>
            </w:pPr>
            <w:r>
              <w:t xml:space="preserve">[DATO_USUARIO: código de la demanda territorial de Caldas]</w:t>
            </w:r>
          </w:p>
        </w:tc>
      </w:tr>
      <w:tr>
        <w:trPr>
          <w:cantSplit/>
        </w:trPr>
        <w:tc>
          <w:tcPr/>
          <w:p>
            <w:pPr>
              <w:pStyle w:val="Tabla9"/>
              <w:jc w:val="left"/>
            </w:pPr>
            <w:r>
              <w:t xml:space="preserve">PERS-S02</w:t>
            </w:r>
          </w:p>
        </w:tc>
        <w:tc>
          <w:tcPr/>
          <w:p>
            <w:pPr>
              <w:pStyle w:val="Tabla9"/>
              <w:jc w:val="left"/>
            </w:pPr>
            <w:r>
              <w:t xml:space="preserve">Cundinamarca</w:t>
            </w:r>
          </w:p>
        </w:tc>
        <w:tc>
          <w:tcPr/>
          <w:p>
            <w:pPr>
              <w:pStyle w:val="Tabla9"/>
              <w:jc w:val="left"/>
            </w:pPr>
            <w:r>
              <w:t xml:space="preserve">[DATO_USUARIO: indicador del PDD de Cundinamarca]</w:t>
            </w:r>
          </w:p>
        </w:tc>
        <w:tc>
          <w:tcPr/>
          <w:p>
            <w:pPr>
              <w:pStyle w:val="Tabla9"/>
              <w:jc w:val="left"/>
            </w:pPr>
            <w:r>
              <w:t xml:space="preserve">[DATO_USUARIO: meta del PDD de Cundinamarca]</w:t>
            </w:r>
          </w:p>
        </w:tc>
        <w:tc>
          <w:tcPr/>
          <w:p>
            <w:pPr>
              <w:pStyle w:val="Tabla9"/>
              <w:jc w:val="left"/>
            </w:pPr>
            <w:r>
              <w:t xml:space="preserve">34 nodos entregados en Cundinamarca; 70 % o más equivale a 24 nodos con custodia al mes 36</w:t>
            </w:r>
          </w:p>
        </w:tc>
        <w:tc>
          <w:tcPr/>
          <w:p>
            <w:pPr>
              <w:pStyle w:val="Tabla9"/>
              <w:jc w:val="left"/>
            </w:pPr>
            <w:r>
              <w:t xml:space="preserve">[DATO_USUARIO: código de la demanda territorial de Cundinamarca]</w:t>
            </w:r>
          </w:p>
        </w:tc>
      </w:tr>
      <w:tr>
        <w:trPr>
          <w:cantSplit/>
        </w:trPr>
        <w:tc>
          <w:tcPr/>
          <w:p>
            <w:pPr>
              <w:pStyle w:val="Tabla9"/>
              <w:jc w:val="left"/>
            </w:pPr>
            <w:r>
              <w:t xml:space="preserve">PERS-S02</w:t>
            </w:r>
          </w:p>
        </w:tc>
        <w:tc>
          <w:tcPr/>
          <w:p>
            <w:pPr>
              <w:pStyle w:val="Tabla9"/>
              <w:jc w:val="left"/>
            </w:pPr>
            <w:r>
              <w:t xml:space="preserve">Valle del Cauca</w:t>
            </w:r>
          </w:p>
        </w:tc>
        <w:tc>
          <w:tcPr/>
          <w:p>
            <w:pPr>
              <w:pStyle w:val="Tabla9"/>
              <w:jc w:val="left"/>
            </w:pPr>
            <w:r>
              <w:t xml:space="preserve">[DATO_USUARIO: indicador del PDD de Valle del Cauca]</w:t>
            </w:r>
          </w:p>
        </w:tc>
        <w:tc>
          <w:tcPr/>
          <w:p>
            <w:pPr>
              <w:pStyle w:val="Tabla9"/>
              <w:jc w:val="left"/>
            </w:pPr>
            <w:r>
              <w:t xml:space="preserve">[DATO_USUARIO: meta del PDD de Valle del Cauca]</w:t>
            </w:r>
          </w:p>
        </w:tc>
        <w:tc>
          <w:tcPr/>
          <w:p>
            <w:pPr>
              <w:pStyle w:val="Tabla9"/>
              <w:jc w:val="left"/>
            </w:pPr>
            <w:r>
              <w:t xml:space="preserve">33 nodos entregados en Valle del Cauca; 70 % o más equivale a 24 nodos con custodia al mes 36</w:t>
            </w:r>
          </w:p>
        </w:tc>
        <w:tc>
          <w:tcPr/>
          <w:p>
            <w:pPr>
              <w:pStyle w:val="Tabla9"/>
              <w:jc w:val="left"/>
            </w:pPr>
            <w:r>
              <w:t xml:space="preserve">[DATO_USUARIO: código de la demanda territorial de Valle del Cauca]</w:t>
            </w:r>
          </w:p>
        </w:tc>
      </w:tr>
    </w:tbl>
    <w:p>
      <w:pPr>
        <w:pStyle w:val="TablaNota"/>
      </w:pPr>
      <w:r>
        <w:rPr>
          <w:i/>
          <w:iCs/>
        </w:rPr>
        <w:t xml:space="preserve">Nota.</w:t>
      </w:r>
      <w:r>
        <w:t xml:space="preserve"> </w:t>
      </w:r>
      <w:r>
        <w:t xml:space="preserve">Elaboración propia con datos de la ficha maestra del proyecto. PDD: Plan de Desarrollo Departamental. El PDD, el Anexo 4 y los documentos CONPES que cita el expediente no se aportaron (NO_VERIFICADO); los campos entre corchetes son VACIO. La distribución de 33, 34 y 33 nodos es PROPUESTO y el cálculo del 70 % por departamento es CALCULADO con redondeo hacia arriba.</w:t>
      </w:r>
    </w:p>
    <w:p>
      <w:pPr>
        <w:pStyle w:val="BodyText"/>
      </w:pPr>
      <w:r>
        <w:t xml:space="preserve">La medición de los indicadores S carece de financiación en el presupuesto. La línea S07 cubre las evaluaciones externas de los meses 12 y 24, pero no las del mes 30 ni las del mes 36. Esa brecha es una limitación declarada. Existen tres vías para cerrarla. La primera reserva parte de la contrapartida de la entidad ejecutora. La segunda incluye la medición en el convenio de custodia. La tercera solicita una ampliación condicionada de recursos. Shediac-Rizkallah y Bone (1998) señalan que la sostenibilidad de un programa debe planearse y financiarse desde su diseño. El proyecto la planea y reconoce que aún no la financia.</w:t>
      </w:r>
    </w:p>
    <w:bookmarkEnd w:id="573"/>
    <w:bookmarkStart w:id="580" w:name="_Toc00900232"/>
    <w:p>
      <w:pPr>
        <w:pStyle w:val="Heading2"/>
      </w:pPr>
      <w:r>
        <w:t xml:space="preserve">12.6 Tablero de Control y Validación Integral</w:t>
      </w:r>
    </w:p>
    <w:p>
      <w:pPr>
        <w:pStyle w:val="FirstParagraph"/>
      </w:pPr>
      <w:r>
        <w:t xml:space="preserve">El tablero de control resume los 15 indicadores con un semáforo ex ante. El semáforo refleja el riesgo de incumplimiento de cada ficha y no un avance medido. Cinco indicadores están en rojo, siete en amarillo y tres en verde. Los cinco rojos son los de efecto y sostenibilidad, que dependen de la adopción y de la custodia. La Tabla 12.20 presenta el tablero completo y la Figura 12.4 lo ilustra. El semáforo se actualiza cada trimestre con datos reales, en la lógica de una evaluación que se ajusta al aprendizaje (Patton, 2011).</w:t>
      </w:r>
    </w:p>
    <w:p>
      <w:pPr>
        <w:pStyle w:val="TablaRotulo"/>
      </w:pPr>
      <w:bookmarkStart w:id="9347" w:name="rot_Tabla_12_20"/>
      <w:r>
        <w:rPr>
          <w:b/>
          <w:bCs/>
        </w:rPr>
        <w:t xml:space="preserve">Tabla 12.20</w:t>
      </w:r>
      <w:bookmarkEnd w:id="9347"/>
    </w:p>
    <w:p>
      <w:pPr>
        <w:pStyle w:val="TablaTitulo"/>
      </w:pPr>
      <w:r>
        <w:rPr>
          <w:i/>
          <w:iCs/>
        </w:rPr>
        <w:t xml:space="preserve">Dashboard de indicadores PERS: código, nombre, nivel, taxonomía, línea base, meta, frecuencia, responsable y estado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92"/>
        <w:gridCol w:w="1056"/>
        <w:gridCol w:w="462"/>
        <w:gridCol w:w="726"/>
        <w:gridCol w:w="1122"/>
        <w:gridCol w:w="1056"/>
        <w:gridCol w:w="792"/>
        <w:gridCol w:w="924"/>
        <w:gridCol w:w="990"/>
      </w:tblGrid>
      <w:tr>
        <w:trPr>
          <w:cantSplit/>
          <w:tblHeader/>
        </w:trPr>
        <w:tc>
          <w:tcPr>
            <w:shd w:val="clear" w:color="auto" w:fill="00B050"/>
          </w:tcPr>
          <w:p>
            <w:pPr>
              <w:pStyle w:val="Tabla8"/>
              <w:jc w:val="center"/>
            </w:pPr>
            <w:r>
              <w:rPr>
                <w:b/>
                <w:color w:val="FFFFFF"/>
              </w:rPr>
              <w:t xml:space="preserve">Código</w:t>
            </w:r>
          </w:p>
        </w:tc>
        <w:tc>
          <w:tcPr>
            <w:shd w:val="clear" w:color="auto" w:fill="00B050"/>
          </w:tcPr>
          <w:p>
            <w:pPr>
              <w:pStyle w:val="Tabla8"/>
              <w:jc w:val="center"/>
            </w:pPr>
            <w:r>
              <w:rPr>
                <w:b/>
                <w:color w:val="FFFFFF"/>
              </w:rPr>
              <w:t xml:space="preserve">Nombre</w:t>
            </w:r>
          </w:p>
        </w:tc>
        <w:tc>
          <w:tcPr>
            <w:shd w:val="clear" w:color="auto" w:fill="00B050"/>
          </w:tcPr>
          <w:p>
            <w:pPr>
              <w:pStyle w:val="Tabla8"/>
              <w:jc w:val="center"/>
            </w:pPr>
            <w:r>
              <w:rPr>
                <w:b/>
                <w:color w:val="FFFFFF"/>
              </w:rPr>
              <w:t xml:space="preserve">Nivel</w:t>
            </w:r>
          </w:p>
        </w:tc>
        <w:tc>
          <w:tcPr>
            <w:shd w:val="clear" w:color="auto" w:fill="00B050"/>
          </w:tcPr>
          <w:p>
            <w:pPr>
              <w:pStyle w:val="Tabla8"/>
              <w:jc w:val="center"/>
            </w:pPr>
            <w:r>
              <w:rPr>
                <w:b/>
                <w:color w:val="FFFFFF"/>
              </w:rPr>
              <w:t xml:space="preserve">Taxonomía</w:t>
            </w:r>
          </w:p>
        </w:tc>
        <w:tc>
          <w:tcPr>
            <w:shd w:val="clear" w:color="auto" w:fill="00B050"/>
          </w:tcPr>
          <w:p>
            <w:pPr>
              <w:pStyle w:val="Tabla8"/>
              <w:jc w:val="center"/>
            </w:pPr>
            <w:r>
              <w:rPr>
                <w:b/>
                <w:color w:val="FFFFFF"/>
              </w:rPr>
              <w:t xml:space="preserve">Línea base</w:t>
            </w:r>
          </w:p>
        </w:tc>
        <w:tc>
          <w:tcPr>
            <w:shd w:val="clear" w:color="auto" w:fill="00B050"/>
          </w:tcPr>
          <w:p>
            <w:pPr>
              <w:pStyle w:val="Tabla8"/>
              <w:jc w:val="center"/>
            </w:pPr>
            <w:r>
              <w:rPr>
                <w:b/>
                <w:color w:val="FFFFFF"/>
              </w:rPr>
              <w:t xml:space="preserve">Meta final</w:t>
            </w:r>
          </w:p>
        </w:tc>
        <w:tc>
          <w:tcPr>
            <w:shd w:val="clear" w:color="auto" w:fill="00B050"/>
          </w:tcPr>
          <w:p>
            <w:pPr>
              <w:pStyle w:val="Tabla8"/>
              <w:jc w:val="center"/>
            </w:pPr>
            <w:r>
              <w:rPr>
                <w:b/>
                <w:color w:val="FFFFFF"/>
              </w:rPr>
              <w:t xml:space="preserve">Frecuencia</w:t>
            </w:r>
          </w:p>
        </w:tc>
        <w:tc>
          <w:tcPr>
            <w:shd w:val="clear" w:color="auto" w:fill="00B050"/>
          </w:tcPr>
          <w:p>
            <w:pPr>
              <w:pStyle w:val="Tabla8"/>
              <w:jc w:val="center"/>
            </w:pPr>
            <w:r>
              <w:rPr>
                <w:b/>
                <w:color w:val="FFFFFF"/>
              </w:rPr>
              <w:t xml:space="preserve">Responsable</w:t>
            </w:r>
          </w:p>
        </w:tc>
        <w:tc>
          <w:tcPr>
            <w:shd w:val="clear" w:color="auto" w:fill="00B050"/>
          </w:tcPr>
          <w:p>
            <w:pPr>
              <w:pStyle w:val="Tabla8"/>
              <w:jc w:val="center"/>
            </w:pPr>
            <w:r>
              <w:rPr>
                <w:b/>
                <w:color w:val="FFFFFF"/>
              </w:rPr>
              <w:t xml:space="preserve">Estado (semáforo ex ante)</w:t>
            </w:r>
          </w:p>
        </w:tc>
      </w:tr>
      <w:tr>
        <w:trPr>
          <w:cantSplit/>
        </w:trPr>
        <w:tc>
          <w:tcPr/>
          <w:p>
            <w:pPr>
              <w:pStyle w:val="Tabla8"/>
              <w:jc w:val="left"/>
            </w:pPr>
            <w:r>
              <w:t xml:space="preserve">PERS-R01</w:t>
            </w:r>
          </w:p>
        </w:tc>
        <w:tc>
          <w:tcPr/>
          <w:p>
            <w:pPr>
              <w:pStyle w:val="Tabla8"/>
              <w:jc w:val="left"/>
            </w:pPr>
            <w:r>
              <w:t xml:space="preserve">Cumplimiento del despliegue por tramo</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100 nodos y 10 gateways (100 %)</w:t>
            </w:r>
          </w:p>
        </w:tc>
        <w:tc>
          <w:tcPr/>
          <w:p>
            <w:pPr>
              <w:pStyle w:val="Tabla8"/>
              <w:jc w:val="left"/>
            </w:pPr>
            <w:r>
              <w:t xml:space="preserve">Mensual</w:t>
            </w:r>
          </w:p>
        </w:tc>
        <w:tc>
          <w:tcPr/>
          <w:p>
            <w:pPr>
              <w:pStyle w:val="Tabla8"/>
              <w:jc w:val="left"/>
            </w:pPr>
            <w:r>
              <w:t xml:space="preserve">Ingenieros IoT y de campo</w:t>
            </w:r>
          </w:p>
        </w:tc>
        <w:tc>
          <w:tcPr/>
          <w:p>
            <w:pPr>
              <w:pStyle w:val="Tabla8"/>
              <w:jc w:val="left"/>
            </w:pPr>
            <w:r>
              <w:t xml:space="preserve">AMARILLO: riesgo medio</w:t>
            </w:r>
          </w:p>
        </w:tc>
      </w:tr>
      <w:tr>
        <w:trPr>
          <w:cantSplit/>
        </w:trPr>
        <w:tc>
          <w:tcPr/>
          <w:p>
            <w:pPr>
              <w:pStyle w:val="Tabla8"/>
              <w:jc w:val="left"/>
            </w:pPr>
            <w:r>
              <w:t xml:space="preserve">PERS-R02</w:t>
            </w:r>
          </w:p>
        </w:tc>
        <w:tc>
          <w:tcPr/>
          <w:p>
            <w:pPr>
              <w:pStyle w:val="Tabla8"/>
              <w:jc w:val="left"/>
            </w:pPr>
            <w:r>
              <w:t xml:space="preserve">Ciclos de calibración ejecutados</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6 ciclos (2 por tramo)</w:t>
            </w:r>
          </w:p>
        </w:tc>
        <w:tc>
          <w:tcPr/>
          <w:p>
            <w:pPr>
              <w:pStyle w:val="Tabla8"/>
              <w:jc w:val="left"/>
            </w:pPr>
            <w:r>
              <w:t xml:space="preserve">Mensual</w:t>
            </w:r>
          </w:p>
        </w:tc>
        <w:tc>
          <w:tcPr/>
          <w:p>
            <w:pPr>
              <w:pStyle w:val="Tabla8"/>
              <w:jc w:val="left"/>
            </w:pPr>
            <w:r>
              <w:t xml:space="preserve">Científico de datos</w:t>
            </w:r>
          </w:p>
        </w:tc>
        <w:tc>
          <w:tcPr/>
          <w:p>
            <w:pPr>
              <w:pStyle w:val="Tabla8"/>
              <w:jc w:val="left"/>
            </w:pPr>
            <w:r>
              <w:t xml:space="preserve">AMARILLO: riesgo medio</w:t>
            </w:r>
          </w:p>
        </w:tc>
      </w:tr>
      <w:tr>
        <w:trPr>
          <w:cantSplit/>
        </w:trPr>
        <w:tc>
          <w:tcPr/>
          <w:p>
            <w:pPr>
              <w:pStyle w:val="Tabla8"/>
              <w:jc w:val="left"/>
            </w:pPr>
            <w:r>
              <w:t xml:space="preserve">PERS-R03</w:t>
            </w:r>
          </w:p>
        </w:tc>
        <w:tc>
          <w:tcPr/>
          <w:p>
            <w:pPr>
              <w:pStyle w:val="Tabla8"/>
              <w:jc w:val="left"/>
            </w:pPr>
            <w:r>
              <w:t xml:space="preserve">Disponibilidad de la plataforma en la nube</w:t>
            </w:r>
          </w:p>
        </w:tc>
        <w:tc>
          <w:tcPr/>
          <w:p>
            <w:pPr>
              <w:pStyle w:val="Tabla8"/>
              <w:jc w:val="left"/>
            </w:pPr>
            <w:r>
              <w:t xml:space="preserve">R</w:t>
            </w:r>
          </w:p>
        </w:tc>
        <w:tc>
          <w:tcPr/>
          <w:p>
            <w:pPr>
              <w:pStyle w:val="Tabla8"/>
              <w:jc w:val="left"/>
            </w:pPr>
            <w:r>
              <w:t xml:space="preserve">Output</w:t>
            </w:r>
          </w:p>
        </w:tc>
        <w:tc>
          <w:tcPr/>
          <w:p>
            <w:pPr>
              <w:pStyle w:val="Tabla8"/>
              <w:jc w:val="left"/>
            </w:pPr>
            <w:r>
              <w:t xml:space="preserve">VACIO (VACIO)</w:t>
            </w:r>
          </w:p>
        </w:tc>
        <w:tc>
          <w:tcPr/>
          <w:p>
            <w:pPr>
              <w:pStyle w:val="Tabla8"/>
              <w:jc w:val="left"/>
            </w:pPr>
            <w:r>
              <w:t xml:space="preserve">≥ 99,0 %</w:t>
            </w:r>
          </w:p>
        </w:tc>
        <w:tc>
          <w:tcPr/>
          <w:p>
            <w:pPr>
              <w:pStyle w:val="Tabla8"/>
              <w:jc w:val="left"/>
            </w:pPr>
            <w:r>
              <w:t xml:space="preserve">Mensual</w:t>
            </w:r>
          </w:p>
        </w:tc>
        <w:tc>
          <w:tcPr/>
          <w:p>
            <w:pPr>
              <w:pStyle w:val="Tabla8"/>
              <w:jc w:val="left"/>
            </w:pPr>
            <w:r>
              <w:t xml:space="preserve">Ingenieros de software y nube</w:t>
            </w:r>
          </w:p>
        </w:tc>
        <w:tc>
          <w:tcPr/>
          <w:p>
            <w:pPr>
              <w:pStyle w:val="Tabla8"/>
              <w:jc w:val="left"/>
            </w:pPr>
            <w:r>
              <w:t xml:space="preserve">VERDE: riesgo bajo; línea base VACIO</w:t>
            </w:r>
          </w:p>
        </w:tc>
      </w:tr>
      <w:tr>
        <w:trPr>
          <w:cantSplit/>
        </w:trPr>
        <w:tc>
          <w:tcPr/>
          <w:p>
            <w:pPr>
              <w:pStyle w:val="Tabla8"/>
              <w:jc w:val="left"/>
            </w:pPr>
            <w:r>
              <w:t xml:space="preserve">PERS-R04</w:t>
            </w:r>
          </w:p>
        </w:tc>
        <w:tc>
          <w:tcPr/>
          <w:p>
            <w:pPr>
              <w:pStyle w:val="Tabla8"/>
              <w:jc w:val="left"/>
            </w:pPr>
            <w:r>
              <w:t xml:space="preserve">Desviación de la ejecución presupuestal</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|desviación| ≤ 5 % al cierre</w:t>
            </w:r>
          </w:p>
        </w:tc>
        <w:tc>
          <w:tcPr/>
          <w:p>
            <w:pPr>
              <w:pStyle w:val="Tabla8"/>
              <w:jc w:val="left"/>
            </w:pPr>
            <w:r>
              <w:t xml:space="preserve">Mensual</w:t>
            </w:r>
          </w:p>
        </w:tc>
        <w:tc>
          <w:tcPr/>
          <w:p>
            <w:pPr>
              <w:pStyle w:val="Tabla8"/>
              <w:jc w:val="left"/>
            </w:pPr>
            <w:r>
              <w:t xml:space="preserve">Gerencia de proyecto</w:t>
            </w:r>
          </w:p>
        </w:tc>
        <w:tc>
          <w:tcPr/>
          <w:p>
            <w:pPr>
              <w:pStyle w:val="Tabla8"/>
              <w:jc w:val="left"/>
            </w:pPr>
            <w:r>
              <w:t xml:space="preserve">AMARILLO: riesgo medio</w:t>
            </w:r>
          </w:p>
        </w:tc>
      </w:tr>
      <w:tr>
        <w:trPr>
          <w:cantSplit/>
        </w:trPr>
        <w:tc>
          <w:tcPr/>
          <w:p>
            <w:pPr>
              <w:pStyle w:val="Tabla8"/>
              <w:jc w:val="left"/>
            </w:pPr>
            <w:r>
              <w:t xml:space="preserve">PERS-R05</w:t>
            </w:r>
          </w:p>
        </w:tc>
        <w:tc>
          <w:tcPr/>
          <w:p>
            <w:pPr>
              <w:pStyle w:val="Tabla8"/>
              <w:jc w:val="left"/>
            </w:pPr>
            <w:r>
              <w:t xml:space="preserve">Horas-nodo de colocalización válidas</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 60.000 y 4 rotaciones por departamento</w:t>
            </w:r>
          </w:p>
        </w:tc>
        <w:tc>
          <w:tcPr/>
          <w:p>
            <w:pPr>
              <w:pStyle w:val="Tabla8"/>
              <w:jc w:val="left"/>
            </w:pPr>
            <w:r>
              <w:t xml:space="preserve">Mensual</w:t>
            </w:r>
          </w:p>
        </w:tc>
        <w:tc>
          <w:tcPr/>
          <w:p>
            <w:pPr>
              <w:pStyle w:val="Tabla8"/>
              <w:jc w:val="left"/>
            </w:pPr>
            <w:r>
              <w:t xml:space="preserve">Especialista en metrología</w:t>
            </w:r>
          </w:p>
        </w:tc>
        <w:tc>
          <w:tcPr/>
          <w:p>
            <w:pPr>
              <w:pStyle w:val="Tabla8"/>
              <w:jc w:val="left"/>
            </w:pPr>
            <w:r>
              <w:t xml:space="preserve">AMARILLO: riesgo medio</w:t>
            </w:r>
          </w:p>
        </w:tc>
      </w:tr>
      <w:tr>
        <w:trPr>
          <w:cantSplit/>
        </w:trPr>
        <w:tc>
          <w:tcPr/>
          <w:p>
            <w:pPr>
              <w:pStyle w:val="Tabla8"/>
              <w:jc w:val="left"/>
            </w:pPr>
            <w:r>
              <w:t xml:space="preserve">PERS-R06</w:t>
            </w:r>
          </w:p>
        </w:tc>
        <w:tc>
          <w:tcPr/>
          <w:p>
            <w:pPr>
              <w:pStyle w:val="Tabla8"/>
              <w:jc w:val="left"/>
            </w:pPr>
            <w:r>
              <w:t xml:space="preserve">Cumplimiento de informes de seguimiento</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100 %</w:t>
            </w:r>
          </w:p>
        </w:tc>
        <w:tc>
          <w:tcPr/>
          <w:p>
            <w:pPr>
              <w:pStyle w:val="Tabla8"/>
              <w:jc w:val="left"/>
            </w:pPr>
            <w:r>
              <w:t xml:space="preserve">Mensual</w:t>
            </w:r>
          </w:p>
        </w:tc>
        <w:tc>
          <w:tcPr/>
          <w:p>
            <w:pPr>
              <w:pStyle w:val="Tabla8"/>
              <w:jc w:val="left"/>
            </w:pPr>
            <w:r>
              <w:t xml:space="preserve">Gerencia de proyecto</w:t>
            </w:r>
          </w:p>
        </w:tc>
        <w:tc>
          <w:tcPr/>
          <w:p>
            <w:pPr>
              <w:pStyle w:val="Tabla8"/>
              <w:jc w:val="left"/>
            </w:pPr>
            <w:r>
              <w:t xml:space="preserve">VERDE: riesgo bajo</w:t>
            </w:r>
          </w:p>
        </w:tc>
      </w:tr>
      <w:tr>
        <w:trPr>
          <w:cantSplit/>
        </w:trPr>
        <w:tc>
          <w:tcPr/>
          <w:p>
            <w:pPr>
              <w:pStyle w:val="Tabla8"/>
              <w:jc w:val="left"/>
            </w:pPr>
            <w:r>
              <w:t xml:space="preserve">PERS-P01</w:t>
            </w:r>
          </w:p>
        </w:tc>
        <w:tc>
          <w:tcPr/>
          <w:p>
            <w:pPr>
              <w:pStyle w:val="Tabla8"/>
              <w:jc w:val="left"/>
            </w:pPr>
            <w:r>
              <w:t xml:space="preserve">Red de 100 nodos y 10 gateways operativa</w:t>
            </w:r>
          </w:p>
        </w:tc>
        <w:tc>
          <w:tcPr/>
          <w:p>
            <w:pPr>
              <w:pStyle w:val="Tabla8"/>
              <w:jc w:val="left"/>
            </w:pPr>
            <w:r>
              <w:t xml:space="preserve">P</w:t>
            </w:r>
          </w:p>
        </w:tc>
        <w:tc>
          <w:tcPr/>
          <w:p>
            <w:pPr>
              <w:pStyle w:val="Tabla8"/>
              <w:jc w:val="left"/>
            </w:pPr>
            <w:r>
              <w:t xml:space="preserve">Output</w:t>
            </w:r>
          </w:p>
        </w:tc>
        <w:tc>
          <w:tcPr/>
          <w:p>
            <w:pPr>
              <w:pStyle w:val="Tabla8"/>
              <w:jc w:val="left"/>
            </w:pPr>
            <w:r>
              <w:t xml:space="preserve">0 / 0 (CALCULADO)</w:t>
            </w:r>
          </w:p>
        </w:tc>
        <w:tc>
          <w:tcPr/>
          <w:p>
            <w:pPr>
              <w:pStyle w:val="Tabla8"/>
              <w:jc w:val="left"/>
            </w:pPr>
            <w:r>
              <w:t xml:space="preserve">100 / 10 al mes 24</w:t>
            </w:r>
          </w:p>
        </w:tc>
        <w:tc>
          <w:tcPr/>
          <w:p>
            <w:pPr>
              <w:pStyle w:val="Tabla8"/>
              <w:jc w:val="left"/>
            </w:pPr>
            <w:r>
              <w:t xml:space="preserve">Trimestral</w:t>
            </w:r>
          </w:p>
        </w:tc>
        <w:tc>
          <w:tcPr/>
          <w:p>
            <w:pPr>
              <w:pStyle w:val="Tabla8"/>
              <w:jc w:val="left"/>
            </w:pPr>
            <w:r>
              <w:t xml:space="preserve">Ingenieros IoT y de campo</w:t>
            </w:r>
          </w:p>
        </w:tc>
        <w:tc>
          <w:tcPr/>
          <w:p>
            <w:pPr>
              <w:pStyle w:val="Tabla8"/>
              <w:jc w:val="left"/>
            </w:pPr>
            <w:r>
              <w:t xml:space="preserve">AMARILLO: riesgo medio</w:t>
            </w:r>
          </w:p>
        </w:tc>
      </w:tr>
      <w:tr>
        <w:trPr>
          <w:cantSplit/>
        </w:trPr>
        <w:tc>
          <w:tcPr/>
          <w:p>
            <w:pPr>
              <w:pStyle w:val="Tabla8"/>
              <w:jc w:val="left"/>
            </w:pPr>
            <w:r>
              <w:t xml:space="preserve">PERS-P02</w:t>
            </w:r>
          </w:p>
        </w:tc>
        <w:tc>
          <w:tcPr/>
          <w:p>
            <w:pPr>
              <w:pStyle w:val="Tabla8"/>
              <w:jc w:val="left"/>
            </w:pPr>
            <w:r>
              <w:t xml:space="preserve">Software de corrección y gemelo digital registrado</w:t>
            </w:r>
          </w:p>
        </w:tc>
        <w:tc>
          <w:tcPr/>
          <w:p>
            <w:pPr>
              <w:pStyle w:val="Tabla8"/>
              <w:jc w:val="left"/>
            </w:pPr>
            <w:r>
              <w:t xml:space="preserve">P</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1 registro vigente</w:t>
            </w:r>
          </w:p>
        </w:tc>
        <w:tc>
          <w:tcPr/>
          <w:p>
            <w:pPr>
              <w:pStyle w:val="Tabla8"/>
              <w:jc w:val="left"/>
            </w:pPr>
            <w:r>
              <w:t xml:space="preserve">Trimestral</w:t>
            </w:r>
          </w:p>
        </w:tc>
        <w:tc>
          <w:tcPr/>
          <w:p>
            <w:pPr>
              <w:pStyle w:val="Tabla8"/>
              <w:jc w:val="left"/>
            </w:pPr>
            <w:r>
              <w:t xml:space="preserve">Profesional de convenios y custodia</w:t>
            </w:r>
          </w:p>
        </w:tc>
        <w:tc>
          <w:tcPr/>
          <w:p>
            <w:pPr>
              <w:pStyle w:val="Tabla8"/>
              <w:jc w:val="left"/>
            </w:pPr>
            <w:r>
              <w:t xml:space="preserve">VERDE: riesgo bajo</w:t>
            </w:r>
          </w:p>
        </w:tc>
      </w:tr>
      <w:tr>
        <w:trPr>
          <w:cantSplit/>
        </w:trPr>
        <w:tc>
          <w:tcPr/>
          <w:p>
            <w:pPr>
              <w:pStyle w:val="Tabla8"/>
              <w:jc w:val="left"/>
            </w:pPr>
            <w:r>
              <w:t xml:space="preserve">PERS-P03</w:t>
            </w:r>
          </w:p>
        </w:tc>
        <w:tc>
          <w:tcPr/>
          <w:p>
            <w:pPr>
              <w:pStyle w:val="Tabla8"/>
              <w:jc w:val="left"/>
            </w:pPr>
            <w:r>
              <w:t xml:space="preserve">Artículos científicos en revistas Q1 o Q2</w:t>
            </w:r>
          </w:p>
        </w:tc>
        <w:tc>
          <w:tcPr/>
          <w:p>
            <w:pPr>
              <w:pStyle w:val="Tabla8"/>
              <w:jc w:val="left"/>
            </w:pPr>
            <w:r>
              <w:t xml:space="preserve">P</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2 sometidos y al menos 1 aceptado al mes 24</w:t>
            </w:r>
          </w:p>
        </w:tc>
        <w:tc>
          <w:tcPr/>
          <w:p>
            <w:pPr>
              <w:pStyle w:val="Tabla8"/>
              <w:jc w:val="left"/>
            </w:pPr>
            <w:r>
              <w:t xml:space="preserve">Trimestral</w:t>
            </w:r>
          </w:p>
        </w:tc>
        <w:tc>
          <w:tcPr/>
          <w:p>
            <w:pPr>
              <w:pStyle w:val="Tabla8"/>
              <w:jc w:val="left"/>
            </w:pPr>
            <w:r>
              <w:t xml:space="preserve">Investigador principal</w:t>
            </w:r>
          </w:p>
        </w:tc>
        <w:tc>
          <w:tcPr/>
          <w:p>
            <w:pPr>
              <w:pStyle w:val="Tabla8"/>
              <w:jc w:val="left"/>
            </w:pPr>
            <w:r>
              <w:t xml:space="preserve">AMARILLO: riesgo medio</w:t>
            </w:r>
          </w:p>
        </w:tc>
      </w:tr>
      <w:tr>
        <w:trPr>
          <w:cantSplit/>
        </w:trPr>
        <w:tc>
          <w:tcPr/>
          <w:p>
            <w:pPr>
              <w:pStyle w:val="Tabla8"/>
              <w:jc w:val="left"/>
            </w:pPr>
            <w:r>
              <w:t xml:space="preserve">PERS-P04</w:t>
            </w:r>
          </w:p>
        </w:tc>
        <w:tc>
          <w:tcPr/>
          <w:p>
            <w:pPr>
              <w:pStyle w:val="Tabla8"/>
              <w:jc w:val="left"/>
            </w:pPr>
            <w:r>
              <w:t xml:space="preserve">Actividades de apropiación social documentadas</w:t>
            </w:r>
          </w:p>
        </w:tc>
        <w:tc>
          <w:tcPr/>
          <w:p>
            <w:pPr>
              <w:pStyle w:val="Tabla8"/>
              <w:jc w:val="left"/>
            </w:pPr>
            <w:r>
              <w:t xml:space="preserve">P</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29 actividades (20 talleres y 9 jornadas)</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AMARILLO: riesgo medio</w:t>
            </w:r>
          </w:p>
        </w:tc>
      </w:tr>
      <w:tr>
        <w:trPr>
          <w:cantSplit/>
        </w:trPr>
        <w:tc>
          <w:tcPr/>
          <w:p>
            <w:pPr>
              <w:pStyle w:val="Tabla8"/>
              <w:jc w:val="left"/>
            </w:pPr>
            <w:r>
              <w:t xml:space="preserve">PERS-E01</w:t>
            </w:r>
          </w:p>
        </w:tc>
        <w:tc>
          <w:tcPr/>
          <w:p>
            <w:pPr>
              <w:pStyle w:val="Tabla8"/>
              <w:jc w:val="left"/>
            </w:pPr>
            <w:r>
              <w:t xml:space="preserve">Uso institucional del tablero y del protocolo</w:t>
            </w:r>
          </w:p>
        </w:tc>
        <w:tc>
          <w:tcPr/>
          <w:p>
            <w:pPr>
              <w:pStyle w:val="Tabla8"/>
              <w:jc w:val="left"/>
            </w:pPr>
            <w:r>
              <w:t xml:space="preserve">E</w:t>
            </w:r>
          </w:p>
        </w:tc>
        <w:tc>
          <w:tcPr/>
          <w:p>
            <w:pPr>
              <w:pStyle w:val="Tabla8"/>
              <w:jc w:val="left"/>
            </w:pPr>
            <w:r>
              <w:t xml:space="preserve">Outcome</w:t>
            </w:r>
          </w:p>
        </w:tc>
        <w:tc>
          <w:tcPr/>
          <w:p>
            <w:pPr>
              <w:pStyle w:val="Tabla8"/>
              <w:jc w:val="left"/>
            </w:pPr>
            <w:r>
              <w:t xml:space="preserve">VACIO (VACIO)</w:t>
            </w:r>
          </w:p>
        </w:tc>
        <w:tc>
          <w:tcPr/>
          <w:p>
            <w:pPr>
              <w:pStyle w:val="Tabla8"/>
              <w:jc w:val="left"/>
            </w:pPr>
            <w:r>
              <w:t xml:space="preserve">≥ 75 % al mes 24</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ROJO: riesgo alto; línea base VACIO</w:t>
            </w:r>
          </w:p>
        </w:tc>
      </w:tr>
      <w:tr>
        <w:trPr>
          <w:cantSplit/>
        </w:trPr>
        <w:tc>
          <w:tcPr/>
          <w:p>
            <w:pPr>
              <w:pStyle w:val="Tabla8"/>
              <w:jc w:val="left"/>
            </w:pPr>
            <w:r>
              <w:t xml:space="preserve">PERS-E02</w:t>
            </w:r>
          </w:p>
        </w:tc>
        <w:tc>
          <w:tcPr/>
          <w:p>
            <w:pPr>
              <w:pStyle w:val="Tabla8"/>
              <w:jc w:val="left"/>
            </w:pPr>
            <w:r>
              <w:t xml:space="preserve">Reducción relativa de falsas alarmas</w:t>
            </w:r>
          </w:p>
        </w:tc>
        <w:tc>
          <w:tcPr/>
          <w:p>
            <w:pPr>
              <w:pStyle w:val="Tabla8"/>
              <w:jc w:val="left"/>
            </w:pPr>
            <w:r>
              <w:t xml:space="preserve">E</w:t>
            </w:r>
          </w:p>
        </w:tc>
        <w:tc>
          <w:tcPr/>
          <w:p>
            <w:pPr>
              <w:pStyle w:val="Tabla8"/>
              <w:jc w:val="left"/>
            </w:pPr>
            <w:r>
              <w:t xml:space="preserve">Outcome</w:t>
            </w:r>
          </w:p>
        </w:tc>
        <w:tc>
          <w:tcPr/>
          <w:p>
            <w:pPr>
              <w:pStyle w:val="Tabla8"/>
              <w:jc w:val="left"/>
            </w:pPr>
            <w:r>
              <w:t xml:space="preserve">Se mide en el tramo 1 (VACIO)</w:t>
            </w:r>
          </w:p>
        </w:tc>
        <w:tc>
          <w:tcPr/>
          <w:p>
            <w:pPr>
              <w:pStyle w:val="Tabla8"/>
              <w:jc w:val="left"/>
            </w:pPr>
            <w:r>
              <w:t xml:space="preserve">≥ 30 % de reducción relativa</w:t>
            </w:r>
          </w:p>
        </w:tc>
        <w:tc>
          <w:tcPr/>
          <w:p>
            <w:pPr>
              <w:pStyle w:val="Tabla8"/>
              <w:jc w:val="left"/>
            </w:pPr>
            <w:r>
              <w:t xml:space="preserve">Trimestral</w:t>
            </w:r>
          </w:p>
        </w:tc>
        <w:tc>
          <w:tcPr/>
          <w:p>
            <w:pPr>
              <w:pStyle w:val="Tabla8"/>
              <w:jc w:val="left"/>
            </w:pPr>
            <w:r>
              <w:t xml:space="preserve">Profesional en calidad del aire</w:t>
            </w:r>
          </w:p>
        </w:tc>
        <w:tc>
          <w:tcPr/>
          <w:p>
            <w:pPr>
              <w:pStyle w:val="Tabla8"/>
              <w:jc w:val="left"/>
            </w:pPr>
            <w:r>
              <w:t xml:space="preserve">ROJO: riesgo alto; línea base VACIO</w:t>
            </w:r>
          </w:p>
        </w:tc>
      </w:tr>
      <w:tr>
        <w:trPr>
          <w:cantSplit/>
        </w:trPr>
        <w:tc>
          <w:tcPr/>
          <w:p>
            <w:pPr>
              <w:pStyle w:val="Tabla8"/>
              <w:jc w:val="left"/>
            </w:pPr>
            <w:r>
              <w:t xml:space="preserve">PERS-E03</w:t>
            </w:r>
          </w:p>
        </w:tc>
        <w:tc>
          <w:tcPr/>
          <w:p>
            <w:pPr>
              <w:pStyle w:val="Tabla8"/>
              <w:jc w:val="left"/>
            </w:pPr>
            <w:r>
              <w:t xml:space="preserve">Capacidad instalada en custodios</w:t>
            </w:r>
          </w:p>
        </w:tc>
        <w:tc>
          <w:tcPr/>
          <w:p>
            <w:pPr>
              <w:pStyle w:val="Tabla8"/>
              <w:jc w:val="left"/>
            </w:pPr>
            <w:r>
              <w:t xml:space="preserve">E</w:t>
            </w:r>
          </w:p>
        </w:tc>
        <w:tc>
          <w:tcPr/>
          <w:p>
            <w:pPr>
              <w:pStyle w:val="Tabla8"/>
              <w:jc w:val="left"/>
            </w:pPr>
            <w:r>
              <w:t xml:space="preserve">Outcome</w:t>
            </w:r>
          </w:p>
        </w:tc>
        <w:tc>
          <w:tcPr/>
          <w:p>
            <w:pPr>
              <w:pStyle w:val="Tabla8"/>
              <w:jc w:val="left"/>
            </w:pPr>
            <w:r>
              <w:t xml:space="preserve">0 (CALCULADO)</w:t>
            </w:r>
          </w:p>
        </w:tc>
        <w:tc>
          <w:tcPr/>
          <w:p>
            <w:pPr>
              <w:pStyle w:val="Tabla8"/>
              <w:jc w:val="left"/>
            </w:pPr>
            <w:r>
              <w:t xml:space="preserve">≥ 60 personas certificadas</w:t>
            </w:r>
          </w:p>
        </w:tc>
        <w:tc>
          <w:tcPr/>
          <w:p>
            <w:pPr>
              <w:pStyle w:val="Tabla8"/>
              <w:jc w:val="left"/>
            </w:pPr>
            <w:r>
              <w:t xml:space="preserve">Semestral</w:t>
            </w:r>
          </w:p>
        </w:tc>
        <w:tc>
          <w:tcPr/>
          <w:p>
            <w:pPr>
              <w:pStyle w:val="Tabla8"/>
              <w:jc w:val="left"/>
            </w:pPr>
            <w:r>
              <w:t xml:space="preserve">Profesional de convenios y custodia</w:t>
            </w:r>
          </w:p>
        </w:tc>
        <w:tc>
          <w:tcPr/>
          <w:p>
            <w:pPr>
              <w:pStyle w:val="Tabla8"/>
              <w:jc w:val="left"/>
            </w:pPr>
            <w:r>
              <w:t xml:space="preserve">ROJO: riesgo alto</w:t>
            </w:r>
          </w:p>
        </w:tc>
      </w:tr>
      <w:tr>
        <w:trPr>
          <w:cantSplit/>
        </w:trPr>
        <w:tc>
          <w:tcPr/>
          <w:p>
            <w:pPr>
              <w:pStyle w:val="Tabla8"/>
              <w:jc w:val="left"/>
            </w:pPr>
            <w:r>
              <w:t xml:space="preserve">PERS-S01</w:t>
            </w:r>
          </w:p>
        </w:tc>
        <w:tc>
          <w:tcPr/>
          <w:p>
            <w:pPr>
              <w:pStyle w:val="Tabla8"/>
              <w:jc w:val="left"/>
            </w:pPr>
            <w:r>
              <w:t xml:space="preserve">Activación del protocolo ante superación de umbral</w:t>
            </w:r>
          </w:p>
        </w:tc>
        <w:tc>
          <w:tcPr/>
          <w:p>
            <w:pPr>
              <w:pStyle w:val="Tabla8"/>
              <w:jc w:val="left"/>
            </w:pPr>
            <w:r>
              <w:t xml:space="preserve">S</w:t>
            </w:r>
          </w:p>
        </w:tc>
        <w:tc>
          <w:tcPr/>
          <w:p>
            <w:pPr>
              <w:pStyle w:val="Tabla8"/>
              <w:jc w:val="left"/>
            </w:pPr>
            <w:r>
              <w:t xml:space="preserve">Impact</w:t>
            </w:r>
          </w:p>
        </w:tc>
        <w:tc>
          <w:tcPr/>
          <w:p>
            <w:pPr>
              <w:pStyle w:val="Tabla8"/>
              <w:jc w:val="left"/>
            </w:pPr>
            <w:r>
              <w:t xml:space="preserve">VACIO (VACIO)</w:t>
            </w:r>
          </w:p>
        </w:tc>
        <w:tc>
          <w:tcPr/>
          <w:p>
            <w:pPr>
              <w:pStyle w:val="Tabla8"/>
              <w:jc w:val="left"/>
            </w:pPr>
            <w:r>
              <w:t xml:space="preserve">≥ 80 % a los 12 meses posteriores al cierre</w:t>
            </w:r>
          </w:p>
        </w:tc>
        <w:tc>
          <w:tcPr/>
          <w:p>
            <w:pPr>
              <w:pStyle w:val="Tabla8"/>
              <w:jc w:val="left"/>
            </w:pPr>
            <w:r>
              <w:t xml:space="preserve">Anual, 6 a 12 meses tras el cierre</w:t>
            </w:r>
          </w:p>
        </w:tc>
        <w:tc>
          <w:tcPr/>
          <w:p>
            <w:pPr>
              <w:pStyle w:val="Tabla8"/>
              <w:jc w:val="left"/>
            </w:pPr>
            <w:r>
              <w:t xml:space="preserve">Custodios y secretarías de gestión del riesgo</w:t>
            </w:r>
          </w:p>
        </w:tc>
        <w:tc>
          <w:tcPr/>
          <w:p>
            <w:pPr>
              <w:pStyle w:val="Tabla8"/>
              <w:jc w:val="left"/>
            </w:pPr>
            <w:r>
              <w:t xml:space="preserve">ROJO: riesgo alto; línea base VACIO</w:t>
            </w:r>
          </w:p>
        </w:tc>
      </w:tr>
      <w:tr>
        <w:trPr>
          <w:cantSplit/>
        </w:trPr>
        <w:tc>
          <w:tcPr/>
          <w:p>
            <w:pPr>
              <w:pStyle w:val="Tabla8"/>
              <w:jc w:val="left"/>
            </w:pPr>
            <w:r>
              <w:t xml:space="preserve">PERS-S02</w:t>
            </w:r>
          </w:p>
        </w:tc>
        <w:tc>
          <w:tcPr/>
          <w:p>
            <w:pPr>
              <w:pStyle w:val="Tabla8"/>
              <w:jc w:val="left"/>
            </w:pPr>
            <w:r>
              <w:t xml:space="preserve">Continuidad de la red bajo custodia</w:t>
            </w:r>
          </w:p>
        </w:tc>
        <w:tc>
          <w:tcPr/>
          <w:p>
            <w:pPr>
              <w:pStyle w:val="Tabla8"/>
              <w:jc w:val="left"/>
            </w:pPr>
            <w:r>
              <w:t xml:space="preserve">S</w:t>
            </w:r>
          </w:p>
        </w:tc>
        <w:tc>
          <w:tcPr/>
          <w:p>
            <w:pPr>
              <w:pStyle w:val="Tabla8"/>
              <w:jc w:val="left"/>
            </w:pPr>
            <w:r>
              <w:t xml:space="preserve">Impact</w:t>
            </w:r>
          </w:p>
        </w:tc>
        <w:tc>
          <w:tcPr/>
          <w:p>
            <w:pPr>
              <w:pStyle w:val="Tabla8"/>
              <w:jc w:val="left"/>
            </w:pPr>
            <w:r>
              <w:t xml:space="preserve">VACIO (VACIO)</w:t>
            </w:r>
          </w:p>
        </w:tc>
        <w:tc>
          <w:tcPr/>
          <w:p>
            <w:pPr>
              <w:pStyle w:val="Tabla8"/>
              <w:jc w:val="left"/>
            </w:pPr>
            <w:r>
              <w:t xml:space="preserve">≥ 70 % a los 12 meses posteriores al cierre</w:t>
            </w:r>
          </w:p>
        </w:tc>
        <w:tc>
          <w:tcPr/>
          <w:p>
            <w:pPr>
              <w:pStyle w:val="Tabla8"/>
              <w:jc w:val="left"/>
            </w:pPr>
            <w:r>
              <w:t xml:space="preserve">Anual, 12 meses tras el cierre</w:t>
            </w:r>
          </w:p>
        </w:tc>
        <w:tc>
          <w:tcPr/>
          <w:p>
            <w:pPr>
              <w:pStyle w:val="Tabla8"/>
              <w:jc w:val="left"/>
            </w:pPr>
            <w:r>
              <w:t xml:space="preserve">Profesional de convenios y custodia</w:t>
            </w:r>
          </w:p>
        </w:tc>
        <w:tc>
          <w:tcPr/>
          <w:p>
            <w:pPr>
              <w:pStyle w:val="Tabla8"/>
              <w:jc w:val="left"/>
            </w:pPr>
            <w:r>
              <w:t xml:space="preserve">ROJO: riesgo alto; línea base VACIO</w:t>
            </w:r>
          </w:p>
        </w:tc>
      </w:tr>
    </w:tbl>
    <w:p>
      <w:pPr>
        <w:pStyle w:val="TablaNota"/>
      </w:pPr>
      <w:r>
        <w:rPr>
          <w:i/>
          <w:iCs/>
        </w:rPr>
        <w:t xml:space="preserve">Nota.</w:t>
      </w:r>
      <w:r>
        <w:t xml:space="preserve"> </w:t>
      </w:r>
      <w:r>
        <w:t xml:space="preserve">Elaboración propia con datos de la ficha maestra del proyecto. El estado es un semáforo ex ante al 13 de octubre de 2026: refleja el riesgo de incumplimiento de la ficha (alto 5, medio 7, bajo 3) y no un avance medido. Naturaleza: PROPUESTO.</w:t>
      </w:r>
    </w:p>
    <w:p>
      <w:pPr>
        <w:pStyle w:val="FiguraRotulo"/>
      </w:pPr>
      <w:bookmarkStart w:id="9534" w:name="rot_Figura_12_4"/>
      <w:r>
        <w:rPr>
          <w:b/>
          <w:bCs/>
        </w:rPr>
        <w:t xml:space="preserve">Figura 12.4</w:t>
      </w:r>
      <w:bookmarkEnd w:id="9534"/>
    </w:p>
    <w:p>
      <w:pPr>
        <w:pStyle w:val="FiguraTitulo"/>
      </w:pPr>
      <w:r>
        <w:rPr>
          <w:i/>
          <w:iCs/>
        </w:rPr>
        <w:t xml:space="preserve">Los cinco indicadores de riesgo alto son los de efecto y sostenibilidad</w:t>
      </w:r>
    </w:p>
    <w:p>
      <w:pPr>
        <w:pStyle w:val="BodyText"/>
      </w:pPr>
      <w:r>
        <w:drawing>
          <wp:inline>
            <wp:extent cx="5579999" cy="3821246"/>
            <wp:effectExtent b="0" l="0" r="0" t="0"/>
            <wp:docPr descr="" title="" id="575" name="Picture"/>
            <a:graphic>
              <a:graphicData uri="http://schemas.openxmlformats.org/drawingml/2006/picture">
                <pic:pic>
                  <pic:nvPicPr>
                    <pic:cNvPr descr="/tmp/claude-0/-home-user-docs/ddf38714-2a7e-502b-92b4-1008e2832422/scratchpad/proy/figs/out/c12_f04.png" id="576" name="Picture"/>
                    <pic:cNvPicPr>
                      <a:picLocks noChangeArrowheads="1" noChangeAspect="1"/>
                    </pic:cNvPicPr>
                  </pic:nvPicPr>
                  <pic:blipFill>
                    <a:blip r:embed="rId574"/>
                    <a:stretch>
                      <a:fillRect/>
                    </a:stretch>
                  </pic:blipFill>
                  <pic:spPr bwMode="auto">
                    <a:xfrm>
                      <a:off x="0" y="0"/>
                      <a:ext cx="5579999" cy="382124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Semáforo ex ante de 15 indicadores PERS al 13 de octubre de 2026: riesgo de la ficha (alto 5, medio 7, bajo 3); trama y etiqueta además del color. Python 3 y matplotlib; script c12_figs.py; sin semilla; corte del 13 de octubre de 2026.</w:t>
      </w:r>
    </w:p>
    <w:p>
      <w:pPr>
        <w:pStyle w:val="BodyText"/>
      </w:pPr>
      <w:r>
        <w:t xml:space="preserve">La coherencia vertical comprueba que cada nivel alimente al siguiente sin saltos lógicos. Los indicadores R miden la ejecución que produce los productos. Los productos P01 y P02 alimentan E02, que a su vez alimenta S01. P04 alimenta E01 y E03. E01 y E02 alimentan S01, y E03 alimenta S02. PERS-P03 se conecta con E01 por una vía débil. PERS-R04 y PERS-R06 no tienen un efecto propio, porque son indicadores de control. Se declaran así, sin forzar un vínculo inexistente.</w:t>
      </w:r>
    </w:p>
    <w:p>
      <w:pPr>
        <w:pStyle w:val="BodyText"/>
      </w:pPr>
      <w:r>
        <w:t xml:space="preserve">La coherencia horizontal comprueba que cada indicador tenga línea base, meta, fuente de verificación y supuestos. Los 15 indicadores cumplen las cuatro condiciones. Cinco tienen la línea base VACIO, con una vía de medición definida: PERS-R03, PERS-E01, PERS-E02, PERS-S01 y PERS-S02. Esa condición no impide el sistema, pero impide declarar el cumplimiento de sus metas hasta que la línea exista. Cada compuerta revisa qué líneas base se midieron y qué metas pasaron de aspiración a compromiso.</w:t>
      </w:r>
    </w:p>
    <w:p>
      <w:pPr>
        <w:pStyle w:val="BodyText"/>
      </w:pPr>
      <w:r>
        <w:t xml:space="preserve">El formato de la Metodología General Ajustada (MGA) del Sistema Unificado de Inversiones y Finanzas Públicas facilita la transferencia al formulario del SIGP. La Tabla 12.21 organiza el contenido de los indicadores en los campos de ese formato. Los campos de localización, entidades y demanda territorial quedan VACIO, porque dependen de datos que solo el usuario posee. Los códigos del catálogo de indicadores no se aportaron. La transferencia exige verificar cada campo contra el formulario vigente, y por eso toda la tabla es NO_VERIFICADO.</w:t>
      </w:r>
    </w:p>
    <w:p>
      <w:pPr>
        <w:pStyle w:val="TablaRotulo"/>
      </w:pPr>
      <w:bookmarkStart w:id="9348" w:name="rot_Tabla_12_21"/>
      <w:r>
        <w:rPr>
          <w:b/>
          <w:bCs/>
        </w:rPr>
        <w:t xml:space="preserve">Tabla 12.21</w:t>
      </w:r>
      <w:bookmarkEnd w:id="9348"/>
    </w:p>
    <w:p>
      <w:pPr>
        <w:pStyle w:val="TablaTitulo"/>
      </w:pPr>
      <w:r>
        <w:rPr>
          <w:i/>
          <w:iCs/>
        </w:rPr>
        <w:t xml:space="preserve">Tabla MGA preliminar para transferencia al SIGP</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2508"/>
        <w:gridCol w:w="1452"/>
        <w:gridCol w:w="2244"/>
      </w:tblGrid>
      <w:tr>
        <w:trPr>
          <w:cantSplit/>
          <w:tblHeader/>
        </w:trPr>
        <w:tc>
          <w:tcPr>
            <w:shd w:val="clear" w:color="auto" w:fill="00B050"/>
          </w:tcPr>
          <w:p>
            <w:pPr>
              <w:pStyle w:val="Tabla9"/>
              <w:jc w:val="center"/>
            </w:pPr>
            <w:r>
              <w:rPr>
                <w:b/>
                <w:color w:val="FFFFFF"/>
              </w:rPr>
              <w:t xml:space="preserve">Campo MGA preliminar</w:t>
            </w:r>
          </w:p>
        </w:tc>
        <w:tc>
          <w:tcPr>
            <w:shd w:val="clear" w:color="auto" w:fill="00B050"/>
          </w:tcPr>
          <w:p>
            <w:pPr>
              <w:pStyle w:val="Tabla9"/>
              <w:jc w:val="center"/>
            </w:pPr>
            <w:r>
              <w:rPr>
                <w:b/>
                <w:color w:val="FFFFFF"/>
              </w:rPr>
              <w:t xml:space="preserve">Contenido propuesto</w:t>
            </w:r>
          </w:p>
        </w:tc>
        <w:tc>
          <w:tcPr>
            <w:shd w:val="clear" w:color="auto" w:fill="00B050"/>
          </w:tcPr>
          <w:p>
            <w:pPr>
              <w:pStyle w:val="Tabla9"/>
              <w:jc w:val="center"/>
            </w:pPr>
            <w:r>
              <w:rPr>
                <w:b/>
                <w:color w:val="FFFFFF"/>
              </w:rPr>
              <w:t xml:space="preserve">Indicador PERS enlazado</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Identificación del proyecto</w:t>
            </w:r>
          </w:p>
        </w:tc>
        <w:tc>
          <w:tcPr/>
          <w:p>
            <w:pPr>
              <w:pStyle w:val="Tabla9"/>
              <w:jc w:val="left"/>
            </w:pPr>
            <w:r>
              <w:t xml:space="preserve">Implementación de una red IoT híbrida Edge-Cloud y gemelo digital para la gestión anticipada del riesgo por material particulado posterremoto (caso SGR_CONV56_AIRE)</w:t>
            </w:r>
          </w:p>
        </w:tc>
        <w:tc>
          <w:tcPr/>
          <w:p>
            <w:pPr>
              <w:pStyle w:val="Tabla9"/>
              <w:jc w:val="left"/>
            </w:pPr>
            <w:r>
              <w:t xml:space="preserve">—</w:t>
            </w:r>
          </w:p>
        </w:tc>
        <w:tc>
          <w:tcPr/>
          <w:p>
            <w:pPr>
              <w:pStyle w:val="Tabla9"/>
              <w:jc w:val="left"/>
            </w:pPr>
            <w:r>
              <w:t xml:space="preserve">PROPUESTO</w:t>
            </w:r>
          </w:p>
        </w:tc>
      </w:tr>
      <w:tr>
        <w:trPr>
          <w:cantSplit/>
        </w:trPr>
        <w:tc>
          <w:tcPr/>
          <w:p>
            <w:pPr>
              <w:pStyle w:val="Tabla9"/>
              <w:jc w:val="left"/>
            </w:pPr>
            <w:r>
              <w:t xml:space="preserve">Sector y subsector (OCDE)</w:t>
            </w:r>
          </w:p>
        </w:tc>
        <w:tc>
          <w:tcPr/>
          <w:p>
            <w:pPr>
              <w:pStyle w:val="Tabla9"/>
              <w:jc w:val="left"/>
            </w:pPr>
            <w:r>
              <w:t xml:space="preserve">1.2 Ingeniería eléctrica, electrónica e informática</w:t>
            </w:r>
          </w:p>
        </w:tc>
        <w:tc>
          <w:tcPr/>
          <w:p>
            <w:pPr>
              <w:pStyle w:val="Tabla9"/>
              <w:jc w:val="left"/>
            </w:pPr>
            <w:r>
              <w:t xml:space="preserve">—</w:t>
            </w:r>
          </w:p>
        </w:tc>
        <w:tc>
          <w:tcPr/>
          <w:p>
            <w:pPr>
              <w:pStyle w:val="Tabla9"/>
              <w:jc w:val="left"/>
            </w:pPr>
            <w:r>
              <w:t xml:space="preserve">PROPUESTO</w:t>
            </w:r>
          </w:p>
        </w:tc>
      </w:tr>
      <w:tr>
        <w:trPr>
          <w:cantSplit/>
        </w:trPr>
        <w:tc>
          <w:tcPr/>
          <w:p>
            <w:pPr>
              <w:pStyle w:val="Tabla9"/>
              <w:jc w:val="left"/>
            </w:pPr>
            <w:r>
              <w:t xml:space="preserve">Localización geográfica</w:t>
            </w:r>
          </w:p>
        </w:tc>
        <w:tc>
          <w:tcPr/>
          <w:p>
            <w:pPr>
              <w:pStyle w:val="Tabla9"/>
              <w:jc w:val="left"/>
            </w:pPr>
            <w:r>
              <w:t xml:space="preserve">Caldas, Cundinamarca y Valle del Cauca; 12 municipios, 4 por departamento [DATO_USUARIO: lista de municipios]</w:t>
            </w:r>
          </w:p>
        </w:tc>
        <w:tc>
          <w:tcPr/>
          <w:p>
            <w:pPr>
              <w:pStyle w:val="Tabla9"/>
              <w:jc w:val="left"/>
            </w:pPr>
            <w:r>
              <w:t xml:space="preserve">PERS-R01, PERS-P01</w:t>
            </w:r>
          </w:p>
        </w:tc>
        <w:tc>
          <w:tcPr/>
          <w:p>
            <w:pPr>
              <w:pStyle w:val="Tabla9"/>
              <w:jc w:val="left"/>
            </w:pPr>
            <w:r>
              <w:t xml:space="preserve">SUPUESTO</w:t>
            </w:r>
          </w:p>
        </w:tc>
      </w:tr>
      <w:tr>
        <w:trPr>
          <w:cantSplit/>
        </w:trPr>
        <w:tc>
          <w:tcPr/>
          <w:p>
            <w:pPr>
              <w:pStyle w:val="Tabla9"/>
              <w:jc w:val="left"/>
            </w:pPr>
            <w:r>
              <w:t xml:space="preserve">Demanda territorial (código ID)</w:t>
            </w:r>
          </w:p>
        </w:tc>
        <w:tc>
          <w:tcPr/>
          <w:p>
            <w:pPr>
              <w:pStyle w:val="Tabla9"/>
              <w:jc w:val="left"/>
            </w:pPr>
            <w:r>
              <w:t xml:space="preserve">[DATO_USUARIO: código ID de la demanda territorial del Anexo 4]</w:t>
            </w:r>
          </w:p>
        </w:tc>
        <w:tc>
          <w:tcPr/>
          <w:p>
            <w:pPr>
              <w:pStyle w:val="Tabla9"/>
              <w:jc w:val="left"/>
            </w:pPr>
            <w:r>
              <w:t xml:space="preserve">PERS-S01, PERS-S02</w:t>
            </w:r>
          </w:p>
        </w:tc>
        <w:tc>
          <w:tcPr/>
          <w:p>
            <w:pPr>
              <w:pStyle w:val="Tabla9"/>
              <w:jc w:val="left"/>
            </w:pPr>
            <w:r>
              <w:t xml:space="preserve">VACIO</w:t>
            </w:r>
          </w:p>
        </w:tc>
      </w:tr>
      <w:tr>
        <w:trPr>
          <w:cantSplit/>
        </w:trPr>
        <w:tc>
          <w:tcPr/>
          <w:p>
            <w:pPr>
              <w:pStyle w:val="Tabla9"/>
              <w:jc w:val="left"/>
            </w:pPr>
            <w:r>
              <w:t xml:space="preserve">Entidades participantes y roles</w:t>
            </w:r>
          </w:p>
        </w:tc>
        <w:tc>
          <w:tcPr/>
          <w:p>
            <w:pPr>
              <w:pStyle w:val="Tabla9"/>
              <w:jc w:val="left"/>
            </w:pPr>
            <w:r>
              <w:t xml:space="preserve">[DATO_USUARIO: nombres y roles de la entidad ejecutora, la empresa tecnológica, las alcaldías y la Unidad Nacional para la Gestión del Riesgo de Desastres]</w:t>
            </w:r>
          </w:p>
        </w:tc>
        <w:tc>
          <w:tcPr/>
          <w:p>
            <w:pPr>
              <w:pStyle w:val="Tabla9"/>
              <w:jc w:val="left"/>
            </w:pPr>
            <w:r>
              <w:t xml:space="preserve">—</w:t>
            </w:r>
          </w:p>
        </w:tc>
        <w:tc>
          <w:tcPr/>
          <w:p>
            <w:pPr>
              <w:pStyle w:val="Tabla9"/>
              <w:jc w:val="left"/>
            </w:pPr>
            <w:r>
              <w:t xml:space="preserve">VACIO</w:t>
            </w:r>
          </w:p>
        </w:tc>
      </w:tr>
      <w:tr>
        <w:trPr>
          <w:cantSplit/>
        </w:trPr>
        <w:tc>
          <w:tcPr/>
          <w:p>
            <w:pPr>
              <w:pStyle w:val="Tabla9"/>
              <w:jc w:val="left"/>
            </w:pPr>
            <w:r>
              <w:t xml:space="preserve">Presupuesto estimado por fuente</w:t>
            </w:r>
          </w:p>
        </w:tc>
        <w:tc>
          <w:tcPr/>
          <w:p>
            <w:pPr>
              <w:pStyle w:val="Tabla9"/>
              <w:jc w:val="left"/>
            </w:pPr>
            <w:r>
              <w:t xml:space="preserve">SGR $ 8.729.840.000; contrapartida $ 2.110.000.000; total $ 10.839.840.000</w:t>
            </w:r>
          </w:p>
        </w:tc>
        <w:tc>
          <w:tcPr/>
          <w:p>
            <w:pPr>
              <w:pStyle w:val="Tabla9"/>
              <w:jc w:val="left"/>
            </w:pPr>
            <w:r>
              <w:t xml:space="preserve">PERS-R04</w:t>
            </w:r>
          </w:p>
        </w:tc>
        <w:tc>
          <w:tcPr/>
          <w:p>
            <w:pPr>
              <w:pStyle w:val="Tabla9"/>
              <w:jc w:val="left"/>
            </w:pPr>
            <w:r>
              <w:t xml:space="preserve">CALCULADO</w:t>
            </w:r>
          </w:p>
        </w:tc>
      </w:tr>
      <w:tr>
        <w:trPr>
          <w:cantSplit/>
        </w:trPr>
        <w:tc>
          <w:tcPr/>
          <w:p>
            <w:pPr>
              <w:pStyle w:val="Tabla9"/>
              <w:jc w:val="left"/>
            </w:pPr>
            <w:r>
              <w:t xml:space="preserve">Productos esperados (tipificados MMG)</w:t>
            </w:r>
          </w:p>
        </w:tc>
        <w:tc>
          <w:tcPr/>
          <w:p>
            <w:pPr>
              <w:pStyle w:val="Tabla9"/>
              <w:jc w:val="left"/>
            </w:pPr>
            <w:r>
              <w:t xml:space="preserve">PERS-P01: Red de 100 nodos y 10 gateways operativa; PROT-FUNC; meta final: 100 / 10 al mes 24</w:t>
            </w:r>
          </w:p>
        </w:tc>
        <w:tc>
          <w:tcPr/>
          <w:p>
            <w:pPr>
              <w:pStyle w:val="Tabla9"/>
              <w:jc w:val="left"/>
            </w:pPr>
            <w:r>
              <w:t xml:space="preserve">PERS-P01</w:t>
            </w:r>
          </w:p>
        </w:tc>
        <w:tc>
          <w:tcPr/>
          <w:p>
            <w:pPr>
              <w:pStyle w:val="Tabla9"/>
              <w:jc w:val="left"/>
            </w:pPr>
            <w:r>
              <w:t xml:space="preserve">PROPUESTO; MMG NO_VERIFICADO</w:t>
            </w:r>
          </w:p>
        </w:tc>
      </w:tr>
      <w:tr>
        <w:trPr>
          <w:cantSplit/>
        </w:trPr>
        <w:tc>
          <w:tcPr/>
          <w:p>
            <w:pPr>
              <w:pStyle w:val="Tabla9"/>
              <w:jc w:val="left"/>
            </w:pPr>
            <w:r>
              <w:t xml:space="preserve">Productos esperados (tipificados MMG)</w:t>
            </w:r>
          </w:p>
        </w:tc>
        <w:tc>
          <w:tcPr/>
          <w:p>
            <w:pPr>
              <w:pStyle w:val="Tabla9"/>
              <w:jc w:val="left"/>
            </w:pPr>
            <w:r>
              <w:t xml:space="preserve">PERS-P02: Software de corrección y gemelo digital registrado; SW-REG; meta final: 1 registro vigente</w:t>
            </w:r>
          </w:p>
        </w:tc>
        <w:tc>
          <w:tcPr/>
          <w:p>
            <w:pPr>
              <w:pStyle w:val="Tabla9"/>
              <w:jc w:val="left"/>
            </w:pPr>
            <w:r>
              <w:t xml:space="preserve">PERS-P02</w:t>
            </w:r>
          </w:p>
        </w:tc>
        <w:tc>
          <w:tcPr/>
          <w:p>
            <w:pPr>
              <w:pStyle w:val="Tabla9"/>
              <w:jc w:val="left"/>
            </w:pPr>
            <w:r>
              <w:t xml:space="preserve">PROPUESTO; MMG NO_VERIFICADO</w:t>
            </w:r>
          </w:p>
        </w:tc>
      </w:tr>
      <w:tr>
        <w:trPr>
          <w:cantSplit/>
        </w:trPr>
        <w:tc>
          <w:tcPr/>
          <w:p>
            <w:pPr>
              <w:pStyle w:val="Tabla9"/>
              <w:jc w:val="left"/>
            </w:pPr>
            <w:r>
              <w:t xml:space="preserve">Productos esperados (tipificados MMG)</w:t>
            </w:r>
          </w:p>
        </w:tc>
        <w:tc>
          <w:tcPr/>
          <w:p>
            <w:pPr>
              <w:pStyle w:val="Tabla9"/>
              <w:jc w:val="left"/>
            </w:pPr>
            <w:r>
              <w:t xml:space="preserve">PERS-P03: Artículos científicos en revistas Q1 o Q2; ART-A1 / ART-A2; meta final: 2 sometidos y al menos 1 aceptado al mes 24</w:t>
            </w:r>
          </w:p>
        </w:tc>
        <w:tc>
          <w:tcPr/>
          <w:p>
            <w:pPr>
              <w:pStyle w:val="Tabla9"/>
              <w:jc w:val="left"/>
            </w:pPr>
            <w:r>
              <w:t xml:space="preserve">PERS-P03</w:t>
            </w:r>
          </w:p>
        </w:tc>
        <w:tc>
          <w:tcPr/>
          <w:p>
            <w:pPr>
              <w:pStyle w:val="Tabla9"/>
              <w:jc w:val="left"/>
            </w:pPr>
            <w:r>
              <w:t xml:space="preserve">PROPUESTO; MMG NO_VERIFICADO</w:t>
            </w:r>
          </w:p>
        </w:tc>
      </w:tr>
      <w:tr>
        <w:trPr>
          <w:cantSplit/>
        </w:trPr>
        <w:tc>
          <w:tcPr/>
          <w:p>
            <w:pPr>
              <w:pStyle w:val="Tabla9"/>
              <w:jc w:val="left"/>
            </w:pPr>
            <w:r>
              <w:t xml:space="preserve">Productos esperados (tipificados MMG)</w:t>
            </w:r>
          </w:p>
        </w:tc>
        <w:tc>
          <w:tcPr/>
          <w:p>
            <w:pPr>
              <w:pStyle w:val="Tabla9"/>
              <w:jc w:val="left"/>
            </w:pPr>
            <w:r>
              <w:t xml:space="preserve">PERS-P04: Actividades de apropiación social documentadas; ASC-PART / ASC-COM / ASC-CIRC; meta final: 29 actividades (20 talleres y 9 jornadas)</w:t>
            </w:r>
          </w:p>
        </w:tc>
        <w:tc>
          <w:tcPr/>
          <w:p>
            <w:pPr>
              <w:pStyle w:val="Tabla9"/>
              <w:jc w:val="left"/>
            </w:pPr>
            <w:r>
              <w:t xml:space="preserve">PERS-P04</w:t>
            </w:r>
          </w:p>
        </w:tc>
        <w:tc>
          <w:tcPr/>
          <w:p>
            <w:pPr>
              <w:pStyle w:val="Tabla9"/>
              <w:jc w:val="left"/>
            </w:pPr>
            <w:r>
              <w:t xml:space="preserve">PROPUESTO; MMG NO_VERIFICADO</w:t>
            </w:r>
          </w:p>
        </w:tc>
      </w:tr>
      <w:tr>
        <w:trPr>
          <w:cantSplit/>
        </w:trPr>
        <w:tc>
          <w:tcPr/>
          <w:p>
            <w:pPr>
              <w:pStyle w:val="Tabla9"/>
              <w:jc w:val="left"/>
            </w:pPr>
            <w:r>
              <w:t xml:space="preserve">Indicadores de resultado</w:t>
            </w:r>
          </w:p>
        </w:tc>
        <w:tc>
          <w:tcPr/>
          <w:p>
            <w:pPr>
              <w:pStyle w:val="Tabla9"/>
              <w:jc w:val="left"/>
            </w:pPr>
            <w:r>
              <w:t xml:space="preserve">PERS-E01: Uso institucional del tablero y del protocolo; meta final: ≥ 75 % al mes 24</w:t>
            </w:r>
          </w:p>
        </w:tc>
        <w:tc>
          <w:tcPr/>
          <w:p>
            <w:pPr>
              <w:pStyle w:val="Tabla9"/>
              <w:jc w:val="left"/>
            </w:pPr>
            <w:r>
              <w:t xml:space="preserve">PERS-E01</w:t>
            </w:r>
          </w:p>
        </w:tc>
        <w:tc>
          <w:tcPr/>
          <w:p>
            <w:pPr>
              <w:pStyle w:val="Tabla9"/>
              <w:jc w:val="left"/>
            </w:pPr>
            <w:r>
              <w:t xml:space="preserve">VACIO (línea base); PROPUESTO (clasificación)</w:t>
            </w:r>
          </w:p>
        </w:tc>
      </w:tr>
      <w:tr>
        <w:trPr>
          <w:cantSplit/>
        </w:trPr>
        <w:tc>
          <w:tcPr/>
          <w:p>
            <w:pPr>
              <w:pStyle w:val="Tabla9"/>
              <w:jc w:val="left"/>
            </w:pPr>
            <w:r>
              <w:t xml:space="preserve">Indicadores de resultado</w:t>
            </w:r>
          </w:p>
        </w:tc>
        <w:tc>
          <w:tcPr/>
          <w:p>
            <w:pPr>
              <w:pStyle w:val="Tabla9"/>
              <w:jc w:val="left"/>
            </w:pPr>
            <w:r>
              <w:t xml:space="preserve">PERS-E02: Reducción relativa de falsas alarmas; meta final: ≥ 30 % de reducción relativa</w:t>
            </w:r>
          </w:p>
        </w:tc>
        <w:tc>
          <w:tcPr/>
          <w:p>
            <w:pPr>
              <w:pStyle w:val="Tabla9"/>
              <w:jc w:val="left"/>
            </w:pPr>
            <w:r>
              <w:t xml:space="preserve">PERS-E02</w:t>
            </w:r>
          </w:p>
        </w:tc>
        <w:tc>
          <w:tcPr/>
          <w:p>
            <w:pPr>
              <w:pStyle w:val="Tabla9"/>
              <w:jc w:val="left"/>
            </w:pPr>
            <w:r>
              <w:t xml:space="preserve">VACIO (línea base); PROPUESTO (clasificación)</w:t>
            </w:r>
          </w:p>
        </w:tc>
      </w:tr>
      <w:tr>
        <w:trPr>
          <w:cantSplit/>
        </w:trPr>
        <w:tc>
          <w:tcPr/>
          <w:p>
            <w:pPr>
              <w:pStyle w:val="Tabla9"/>
              <w:jc w:val="left"/>
            </w:pPr>
            <w:r>
              <w:t xml:space="preserve">Indicadores de resultado</w:t>
            </w:r>
          </w:p>
        </w:tc>
        <w:tc>
          <w:tcPr/>
          <w:p>
            <w:pPr>
              <w:pStyle w:val="Tabla9"/>
              <w:jc w:val="left"/>
            </w:pPr>
            <w:r>
              <w:t xml:space="preserve">PERS-E03: Capacidad instalada en custodios; meta final: ≥ 60 personas certificadas</w:t>
            </w:r>
          </w:p>
        </w:tc>
        <w:tc>
          <w:tcPr/>
          <w:p>
            <w:pPr>
              <w:pStyle w:val="Tabla9"/>
              <w:jc w:val="left"/>
            </w:pPr>
            <w:r>
              <w:t xml:space="preserve">PERS-E03</w:t>
            </w:r>
          </w:p>
        </w:tc>
        <w:tc>
          <w:tcPr/>
          <w:p>
            <w:pPr>
              <w:pStyle w:val="Tabla9"/>
              <w:jc w:val="left"/>
            </w:pPr>
            <w:r>
              <w:t xml:space="preserve">CALCULADO (línea base); PROPUESTO (clasificación)</w:t>
            </w:r>
          </w:p>
        </w:tc>
      </w:tr>
      <w:tr>
        <w:trPr>
          <w:cantSplit/>
        </w:trPr>
        <w:tc>
          <w:tcPr/>
          <w:p>
            <w:pPr>
              <w:pStyle w:val="Tabla9"/>
              <w:jc w:val="left"/>
            </w:pPr>
            <w:r>
              <w:t xml:space="preserve">Indicadores de impacto</w:t>
            </w:r>
          </w:p>
        </w:tc>
        <w:tc>
          <w:tcPr/>
          <w:p>
            <w:pPr>
              <w:pStyle w:val="Tabla9"/>
              <w:jc w:val="left"/>
            </w:pPr>
            <w:r>
              <w:t xml:space="preserve">PERS-S01: Activación del protocolo ante superación de umbral; meta final: ≥ 80 % a los 12 meses posteriores al cierre</w:t>
            </w:r>
          </w:p>
        </w:tc>
        <w:tc>
          <w:tcPr/>
          <w:p>
            <w:pPr>
              <w:pStyle w:val="Tabla9"/>
              <w:jc w:val="left"/>
            </w:pPr>
            <w:r>
              <w:t xml:space="preserve">PERS-S01</w:t>
            </w:r>
          </w:p>
        </w:tc>
        <w:tc>
          <w:tcPr/>
          <w:p>
            <w:pPr>
              <w:pStyle w:val="Tabla9"/>
              <w:jc w:val="left"/>
            </w:pPr>
            <w:r>
              <w:t xml:space="preserve">VACIO (línea base); PROPUESTO (clasificación)</w:t>
            </w:r>
          </w:p>
        </w:tc>
      </w:tr>
      <w:tr>
        <w:trPr>
          <w:cantSplit/>
        </w:trPr>
        <w:tc>
          <w:tcPr/>
          <w:p>
            <w:pPr>
              <w:pStyle w:val="Tabla9"/>
              <w:jc w:val="left"/>
            </w:pPr>
            <w:r>
              <w:t xml:space="preserve">Indicadores de impacto</w:t>
            </w:r>
          </w:p>
        </w:tc>
        <w:tc>
          <w:tcPr/>
          <w:p>
            <w:pPr>
              <w:pStyle w:val="Tabla9"/>
              <w:jc w:val="left"/>
            </w:pPr>
            <w:r>
              <w:t xml:space="preserve">PERS-S02: Continuidad de la red bajo custodia; meta final: ≥ 70 % a los 12 meses posteriores al cierre</w:t>
            </w:r>
          </w:p>
        </w:tc>
        <w:tc>
          <w:tcPr/>
          <w:p>
            <w:pPr>
              <w:pStyle w:val="Tabla9"/>
              <w:jc w:val="left"/>
            </w:pPr>
            <w:r>
              <w:t xml:space="preserve">PERS-S02</w:t>
            </w:r>
          </w:p>
        </w:tc>
        <w:tc>
          <w:tcPr/>
          <w:p>
            <w:pPr>
              <w:pStyle w:val="Tabla9"/>
              <w:jc w:val="left"/>
            </w:pPr>
            <w:r>
              <w:t xml:space="preserve">VACIO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PERS-R01: Cumplimiento del despliegue por tramo; meta final: 100 nodos y 10 gateways (100 %)</w:t>
            </w:r>
          </w:p>
        </w:tc>
        <w:tc>
          <w:tcPr/>
          <w:p>
            <w:pPr>
              <w:pStyle w:val="Tabla9"/>
              <w:jc w:val="left"/>
            </w:pPr>
            <w:r>
              <w:t xml:space="preserve">PERS-R01</w:t>
            </w:r>
          </w:p>
        </w:tc>
        <w:tc>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PERS-R02: Ciclos de calibración ejecutados; meta final: 6 ciclos (2 por tramo)</w:t>
            </w:r>
          </w:p>
        </w:tc>
        <w:tc>
          <w:tcPr/>
          <w:p>
            <w:pPr>
              <w:pStyle w:val="Tabla9"/>
              <w:jc w:val="left"/>
            </w:pPr>
            <w:r>
              <w:t xml:space="preserve">PERS-R02</w:t>
            </w:r>
          </w:p>
        </w:tc>
        <w:tc>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PERS-R03: Disponibilidad de la plataforma en la nube; meta final: ≥ 99,0 %</w:t>
            </w:r>
          </w:p>
        </w:tc>
        <w:tc>
          <w:tcPr/>
          <w:p>
            <w:pPr>
              <w:pStyle w:val="Tabla9"/>
              <w:jc w:val="left"/>
            </w:pPr>
            <w:r>
              <w:t xml:space="preserve">PERS-R03</w:t>
            </w:r>
          </w:p>
        </w:tc>
        <w:tc>
          <w:tcPr/>
          <w:p>
            <w:pPr>
              <w:pStyle w:val="Tabla9"/>
              <w:jc w:val="left"/>
            </w:pPr>
            <w:r>
              <w:t xml:space="preserve">VACIO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PERS-R04: Desviación de la ejecución presupuestal; meta final: |desviación| ≤ 5 % al cierre</w:t>
            </w:r>
          </w:p>
        </w:tc>
        <w:tc>
          <w:tcPr/>
          <w:p>
            <w:pPr>
              <w:pStyle w:val="Tabla9"/>
              <w:jc w:val="left"/>
            </w:pPr>
            <w:r>
              <w:t xml:space="preserve">PERS-R04</w:t>
            </w:r>
          </w:p>
        </w:tc>
        <w:tc>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PERS-R05: Horas-nodo de colocalización válidas; meta final: ≥ 60.000 y 4 rotaciones por departamento</w:t>
            </w:r>
          </w:p>
        </w:tc>
        <w:tc>
          <w:tcPr/>
          <w:p>
            <w:pPr>
              <w:pStyle w:val="Tabla9"/>
              <w:jc w:val="left"/>
            </w:pPr>
            <w:r>
              <w:t xml:space="preserve">PERS-R05</w:t>
            </w:r>
          </w:p>
        </w:tc>
        <w:tc>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PERS-R06: Cumplimiento de informes de seguimiento; meta final: 100 %</w:t>
            </w:r>
          </w:p>
        </w:tc>
        <w:tc>
          <w:tcPr/>
          <w:p>
            <w:pPr>
              <w:pStyle w:val="Tabla9"/>
              <w:jc w:val="left"/>
            </w:pPr>
            <w:r>
              <w:t xml:space="preserve">PERS-R06</w:t>
            </w:r>
          </w:p>
        </w:tc>
        <w:tc>
          <w:tcPr/>
          <w:p>
            <w:pPr>
              <w:pStyle w:val="Tabla9"/>
              <w:jc w:val="left"/>
            </w:pPr>
            <w:r>
              <w:t xml:space="preserve">CALCULADO (línea base); PROPUESTO (clasificación)</w:t>
            </w:r>
          </w:p>
        </w:tc>
      </w:tr>
    </w:tbl>
    <w:p>
      <w:pPr>
        <w:pStyle w:val="TablaNota"/>
      </w:pPr>
      <w:r>
        <w:rPr>
          <w:i/>
          <w:iCs/>
        </w:rPr>
        <w:t xml:space="preserve">Nota.</w:t>
      </w:r>
      <w:r>
        <w:t xml:space="preserve"> </w:t>
      </w:r>
      <w:r>
        <w:t xml:space="preserve">Elaboración propia con datos de la ficha maestra y con los campos de la tabla MGA preliminar del metaprompt GENESIS-CTeI. MGA: Metodología General Ajustada. La estructura del formulario web del SIGP y los códigos del catálogo de indicadores no se aportaron [DATO_USUARIO: códigos del catálogo vigente de la MGA y del SIGP]; la transferencia exige verificar cada campo (NO_VERIFICADO).</w:t>
      </w:r>
    </w:p>
    <w:p>
      <w:pPr>
        <w:pStyle w:val="BodyText"/>
      </w:pPr>
      <w:r>
        <w:t xml:space="preserve">El cronograma de medición ordena los cortes de los 15 indicadores en 36 meses. Los indicadores R se miden cada mes. Los P, E01 y E02 se miden cada trimestre. E03 se mide cada semestre. S01 y S02 se miden en los meses 30 y 36. La Tabla 12.22 cruza esos cortes con los hitos H0 a H8 y con las compuertas C1, C2 y C3. La Figura 12.5 los representa en una línea de tiempo. La concentración de cortes ocurre en los meses 12, 17 y 24, donde coinciden la decisión y la medición.</w:t>
      </w:r>
    </w:p>
    <w:p>
      <w:pPr>
        <w:pStyle w:val="TablaRotulo"/>
      </w:pPr>
      <w:bookmarkStart w:id="9349" w:name="rot_Tabla_12_22"/>
      <w:r>
        <w:rPr>
          <w:b/>
          <w:bCs/>
        </w:rPr>
        <w:t xml:space="preserve">Tabla 12.22</w:t>
      </w:r>
      <w:bookmarkEnd w:id="9349"/>
    </w:p>
    <w:p>
      <w:pPr>
        <w:pStyle w:val="TablaTitulo"/>
      </w:pPr>
      <w:r>
        <w:rPr>
          <w:i/>
          <w:iCs/>
        </w:rPr>
        <w:t xml:space="preserve">Cronograma de medición anual con hitos de reporte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82"/>
        <w:gridCol w:w="858"/>
        <w:gridCol w:w="1650"/>
        <w:gridCol w:w="1584"/>
        <w:gridCol w:w="2046"/>
      </w:tblGrid>
      <w:tr>
        <w:trPr>
          <w:cantSplit/>
          <w:tblHeader/>
        </w:trPr>
        <w:tc>
          <w:tcPr>
            <w:shd w:val="clear" w:color="auto" w:fill="00B050"/>
          </w:tcPr>
          <w:p>
            <w:pPr>
              <w:pStyle w:val="Tabla9"/>
              <w:jc w:val="center"/>
            </w:pPr>
            <w:r>
              <w:rPr>
                <w:b/>
                <w:color w:val="FFFFFF"/>
              </w:rPr>
              <w:t xml:space="preserve">Periodo</w:t>
            </w:r>
          </w:p>
        </w:tc>
        <w:tc>
          <w:tcPr>
            <w:shd w:val="clear" w:color="auto" w:fill="00B050"/>
          </w:tcPr>
          <w:p>
            <w:pPr>
              <w:pStyle w:val="Tabla9"/>
              <w:jc w:val="center"/>
            </w:pPr>
            <w:r>
              <w:rPr>
                <w:b/>
                <w:color w:val="FFFFFF"/>
              </w:rPr>
              <w:t xml:space="preserve">Meses</w:t>
            </w:r>
          </w:p>
        </w:tc>
        <w:tc>
          <w:tcPr>
            <w:shd w:val="clear" w:color="auto" w:fill="00B050"/>
          </w:tcPr>
          <w:p>
            <w:pPr>
              <w:pStyle w:val="Tabla9"/>
              <w:jc w:val="center"/>
            </w:pPr>
            <w:r>
              <w:rPr>
                <w:b/>
                <w:color w:val="FFFFFF"/>
              </w:rPr>
              <w:t xml:space="preserve">Cortes de medición</w:t>
            </w:r>
          </w:p>
        </w:tc>
        <w:tc>
          <w:tcPr>
            <w:shd w:val="clear" w:color="auto" w:fill="00B050"/>
          </w:tcPr>
          <w:p>
            <w:pPr>
              <w:pStyle w:val="Tabla9"/>
              <w:jc w:val="center"/>
            </w:pPr>
            <w:r>
              <w:rPr>
                <w:b/>
                <w:color w:val="FFFFFF"/>
              </w:rPr>
              <w:t xml:space="preserve">Hitos y compuertas</w:t>
            </w:r>
          </w:p>
        </w:tc>
        <w:tc>
          <w:tcPr>
            <w:shd w:val="clear" w:color="auto" w:fill="00B050"/>
          </w:tcPr>
          <w:p>
            <w:pPr>
              <w:pStyle w:val="Tabla9"/>
              <w:jc w:val="center"/>
            </w:pPr>
            <w:r>
              <w:rPr>
                <w:b/>
                <w:color w:val="FFFFFF"/>
              </w:rPr>
              <w:t xml:space="preserve">Reportes y verificación</w:t>
            </w:r>
          </w:p>
        </w:tc>
      </w:tr>
      <w:tr>
        <w:trPr>
          <w:cantSplit/>
        </w:trPr>
        <w:tc>
          <w:tcPr/>
          <w:p>
            <w:pPr>
              <w:pStyle w:val="Tabla9"/>
              <w:jc w:val="left"/>
            </w:pPr>
            <w:r>
              <w:t xml:space="preserve">Año 1, trimestre 1</w:t>
            </w:r>
          </w:p>
        </w:tc>
        <w:tc>
          <w:tcPr/>
          <w:p>
            <w:pPr>
              <w:pStyle w:val="Tabla9"/>
              <w:jc w:val="left"/>
            </w:pPr>
            <w:r>
              <w:t xml:space="preserve">1 a 3</w:t>
            </w:r>
          </w:p>
        </w:tc>
        <w:tc>
          <w:tcPr/>
          <w:p>
            <w:pPr>
              <w:pStyle w:val="Tabla9"/>
              <w:jc w:val="left"/>
            </w:pPr>
            <w:r>
              <w:t xml:space="preserve">R01 a R06 mensual; P01 a P04, E01 y E02 en el mes 3</w:t>
            </w:r>
          </w:p>
        </w:tc>
        <w:tc>
          <w:tcPr/>
          <w:p>
            <w:pPr>
              <w:pStyle w:val="Tabla9"/>
              <w:jc w:val="left"/>
            </w:pPr>
            <w:r>
              <w:t xml:space="preserve">H0 (mes 2)</w:t>
            </w:r>
          </w:p>
        </w:tc>
        <w:tc>
          <w:tcPr/>
          <w:p>
            <w:pPr>
              <w:pStyle w:val="Tabla9"/>
              <w:jc w:val="left"/>
            </w:pPr>
            <w:r>
              <w:t xml:space="preserve">Tablero trimestral</w:t>
            </w:r>
          </w:p>
        </w:tc>
      </w:tr>
      <w:tr>
        <w:trPr>
          <w:cantSplit/>
        </w:trPr>
        <w:tc>
          <w:tcPr/>
          <w:p>
            <w:pPr>
              <w:pStyle w:val="Tabla9"/>
              <w:jc w:val="left"/>
            </w:pPr>
            <w:r>
              <w:t xml:space="preserve">Año 1, trimestre 2</w:t>
            </w:r>
          </w:p>
        </w:tc>
        <w:tc>
          <w:tcPr/>
          <w:p>
            <w:pPr>
              <w:pStyle w:val="Tabla9"/>
              <w:jc w:val="left"/>
            </w:pPr>
            <w:r>
              <w:t xml:space="preserve">4 a 6</w:t>
            </w:r>
          </w:p>
        </w:tc>
        <w:tc>
          <w:tcPr/>
          <w:p>
            <w:pPr>
              <w:pStyle w:val="Tabla9"/>
              <w:jc w:val="left"/>
            </w:pPr>
            <w:r>
              <w:t xml:space="preserve">R01 a R06 mensual; P01 a P04, E01 y E02 en el mes 6; E03</w:t>
            </w:r>
          </w:p>
        </w:tc>
        <w:tc>
          <w:tcPr/>
          <w:p>
            <w:pPr>
              <w:pStyle w:val="Tabla9"/>
              <w:jc w:val="left"/>
            </w:pPr>
            <w:r>
              <w:t xml:space="preserve">H1 (mes 4)</w:t>
            </w:r>
          </w:p>
        </w:tc>
        <w:tc>
          <w:tcPr/>
          <w:p>
            <w:pPr>
              <w:pStyle w:val="Tabla9"/>
              <w:jc w:val="left"/>
            </w:pPr>
            <w:r>
              <w:t xml:space="preserve">Informe semestral y tablero trimestral</w:t>
            </w:r>
          </w:p>
        </w:tc>
      </w:tr>
      <w:tr>
        <w:trPr>
          <w:cantSplit/>
        </w:trPr>
        <w:tc>
          <w:tcPr/>
          <w:p>
            <w:pPr>
              <w:pStyle w:val="Tabla9"/>
              <w:jc w:val="left"/>
            </w:pPr>
            <w:r>
              <w:t xml:space="preserve">Año 1, trimestre 3</w:t>
            </w:r>
          </w:p>
        </w:tc>
        <w:tc>
          <w:tcPr/>
          <w:p>
            <w:pPr>
              <w:pStyle w:val="Tabla9"/>
              <w:jc w:val="left"/>
            </w:pPr>
            <w:r>
              <w:t xml:space="preserve">7 a 9</w:t>
            </w:r>
          </w:p>
        </w:tc>
        <w:tc>
          <w:tcPr/>
          <w:p>
            <w:pPr>
              <w:pStyle w:val="Tabla9"/>
              <w:jc w:val="left"/>
            </w:pPr>
            <w:r>
              <w:t xml:space="preserve">R01 a R06 mensual; P01 a P04, E01 y E02 en el mes 9</w:t>
            </w:r>
          </w:p>
        </w:tc>
        <w:tc>
          <w:tcPr/>
          <w:p>
            <w:pPr>
              <w:pStyle w:val="Tabla9"/>
              <w:jc w:val="left"/>
            </w:pPr>
            <w:r>
              <w:t xml:space="preserve">Sin hito</w:t>
            </w:r>
          </w:p>
        </w:tc>
        <w:tc>
          <w:tcPr/>
          <w:p>
            <w:pPr>
              <w:pStyle w:val="Tabla9"/>
              <w:jc w:val="left"/>
            </w:pPr>
            <w:r>
              <w:t xml:space="preserve">Tablero trimestral</w:t>
            </w:r>
          </w:p>
        </w:tc>
      </w:tr>
      <w:tr>
        <w:trPr>
          <w:cantSplit/>
        </w:trPr>
        <w:tc>
          <w:tcPr/>
          <w:p>
            <w:pPr>
              <w:pStyle w:val="Tabla9"/>
              <w:jc w:val="left"/>
            </w:pPr>
            <w:r>
              <w:t xml:space="preserve">Año 1, trimestre 4</w:t>
            </w:r>
          </w:p>
        </w:tc>
        <w:tc>
          <w:tcPr/>
          <w:p>
            <w:pPr>
              <w:pStyle w:val="Tabla9"/>
              <w:jc w:val="left"/>
            </w:pPr>
            <w:r>
              <w:t xml:space="preserve">10 a 12</w:t>
            </w:r>
          </w:p>
        </w:tc>
        <w:tc>
          <w:tcPr/>
          <w:p>
            <w:pPr>
              <w:pStyle w:val="Tabla9"/>
              <w:jc w:val="left"/>
            </w:pPr>
            <w:r>
              <w:t xml:space="preserve">R01 a R06 mensual; P01 a P04, E01 y E02 en el mes 12; E03</w:t>
            </w:r>
          </w:p>
        </w:tc>
        <w:tc>
          <w:tcPr/>
          <w:p>
            <w:pPr>
              <w:pStyle w:val="Tabla9"/>
              <w:jc w:val="left"/>
            </w:pPr>
            <w:r>
              <w:t xml:space="preserve">H2 (mes 10); H3 (mes 12, compuerta C1)</w:t>
            </w:r>
          </w:p>
        </w:tc>
        <w:tc>
          <w:tcPr/>
          <w:p>
            <w:pPr>
              <w:pStyle w:val="Tabla9"/>
              <w:jc w:val="left"/>
            </w:pPr>
            <w:r>
              <w:t xml:space="preserve">Informe semestral y tablero trimestral; acta de compuerta C1; evaluación externa (S07)</w:t>
            </w:r>
          </w:p>
        </w:tc>
      </w:tr>
      <w:tr>
        <w:trPr>
          <w:cantSplit/>
        </w:trPr>
        <w:tc>
          <w:tcPr/>
          <w:p>
            <w:pPr>
              <w:pStyle w:val="Tabla9"/>
              <w:jc w:val="left"/>
            </w:pPr>
            <w:r>
              <w:t xml:space="preserve">Año 2, trimestre 1</w:t>
            </w:r>
          </w:p>
        </w:tc>
        <w:tc>
          <w:tcPr/>
          <w:p>
            <w:pPr>
              <w:pStyle w:val="Tabla9"/>
              <w:jc w:val="left"/>
            </w:pPr>
            <w:r>
              <w:t xml:space="preserve">13 a 15</w:t>
            </w:r>
          </w:p>
        </w:tc>
        <w:tc>
          <w:tcPr/>
          <w:p>
            <w:pPr>
              <w:pStyle w:val="Tabla9"/>
              <w:jc w:val="left"/>
            </w:pPr>
            <w:r>
              <w:t xml:space="preserve">R01 a R06 mensual; P01 a P04, E01 y E02 en el mes 15</w:t>
            </w:r>
          </w:p>
        </w:tc>
        <w:tc>
          <w:tcPr/>
          <w:p>
            <w:pPr>
              <w:pStyle w:val="Tabla9"/>
              <w:jc w:val="left"/>
            </w:pPr>
            <w:r>
              <w:t xml:space="preserve">Sin hito</w:t>
            </w:r>
          </w:p>
        </w:tc>
        <w:tc>
          <w:tcPr/>
          <w:p>
            <w:pPr>
              <w:pStyle w:val="Tabla9"/>
              <w:jc w:val="left"/>
            </w:pPr>
            <w:r>
              <w:t xml:space="preserve">Tablero trimestral</w:t>
            </w:r>
          </w:p>
        </w:tc>
      </w:tr>
      <w:tr>
        <w:trPr>
          <w:cantSplit/>
        </w:trPr>
        <w:tc>
          <w:tcPr/>
          <w:p>
            <w:pPr>
              <w:pStyle w:val="Tabla9"/>
              <w:jc w:val="left"/>
            </w:pPr>
            <w:r>
              <w:t xml:space="preserve">Año 2, trimestre 2</w:t>
            </w:r>
          </w:p>
        </w:tc>
        <w:tc>
          <w:tcPr/>
          <w:p>
            <w:pPr>
              <w:pStyle w:val="Tabla9"/>
              <w:jc w:val="left"/>
            </w:pPr>
            <w:r>
              <w:t xml:space="preserve">16 a 18</w:t>
            </w:r>
          </w:p>
        </w:tc>
        <w:tc>
          <w:tcPr/>
          <w:p>
            <w:pPr>
              <w:pStyle w:val="Tabla9"/>
              <w:jc w:val="left"/>
            </w:pPr>
            <w:r>
              <w:t xml:space="preserve">R01 a R06 mensual; P01 a P04, E01 y E02 en el mes 18; E03</w:t>
            </w:r>
          </w:p>
        </w:tc>
        <w:tc>
          <w:tcPr/>
          <w:p>
            <w:pPr>
              <w:pStyle w:val="Tabla9"/>
              <w:jc w:val="left"/>
            </w:pPr>
            <w:r>
              <w:t xml:space="preserve">H4 (mes 16); H5 (mes 17, compuerta C2)</w:t>
            </w:r>
          </w:p>
        </w:tc>
        <w:tc>
          <w:tcPr/>
          <w:p>
            <w:pPr>
              <w:pStyle w:val="Tabla9"/>
              <w:jc w:val="left"/>
            </w:pPr>
            <w:r>
              <w:t xml:space="preserve">Informe semestral y tablero trimestral; acta de compuerta C2 (mes 17)</w:t>
            </w:r>
          </w:p>
        </w:tc>
      </w:tr>
      <w:tr>
        <w:trPr>
          <w:cantSplit/>
        </w:trPr>
        <w:tc>
          <w:tcPr/>
          <w:p>
            <w:pPr>
              <w:pStyle w:val="Tabla9"/>
              <w:jc w:val="left"/>
            </w:pPr>
            <w:r>
              <w:t xml:space="preserve">Año 2, trimestre 3</w:t>
            </w:r>
          </w:p>
        </w:tc>
        <w:tc>
          <w:tcPr/>
          <w:p>
            <w:pPr>
              <w:pStyle w:val="Tabla9"/>
              <w:jc w:val="left"/>
            </w:pPr>
            <w:r>
              <w:t xml:space="preserve">19 a 21</w:t>
            </w:r>
          </w:p>
        </w:tc>
        <w:tc>
          <w:tcPr/>
          <w:p>
            <w:pPr>
              <w:pStyle w:val="Tabla9"/>
              <w:jc w:val="left"/>
            </w:pPr>
            <w:r>
              <w:t xml:space="preserve">R01 a R06 mensual; P01 a P04, E01 y E02 en el mes 21</w:t>
            </w:r>
          </w:p>
        </w:tc>
        <w:tc>
          <w:tcPr/>
          <w:p>
            <w:pPr>
              <w:pStyle w:val="Tabla9"/>
              <w:jc w:val="left"/>
            </w:pPr>
            <w:r>
              <w:t xml:space="preserve">H6 (mes 19)</w:t>
            </w:r>
          </w:p>
        </w:tc>
        <w:tc>
          <w:tcPr/>
          <w:p>
            <w:pPr>
              <w:pStyle w:val="Tabla9"/>
              <w:jc w:val="left"/>
            </w:pPr>
            <w:r>
              <w:t xml:space="preserve">Tablero trimestral</w:t>
            </w:r>
          </w:p>
        </w:tc>
      </w:tr>
      <w:tr>
        <w:trPr>
          <w:cantSplit/>
        </w:trPr>
        <w:tc>
          <w:tcPr/>
          <w:p>
            <w:pPr>
              <w:pStyle w:val="Tabla9"/>
              <w:jc w:val="left"/>
            </w:pPr>
            <w:r>
              <w:t xml:space="preserve">Año 2, trimestre 4</w:t>
            </w:r>
          </w:p>
        </w:tc>
        <w:tc>
          <w:tcPr/>
          <w:p>
            <w:pPr>
              <w:pStyle w:val="Tabla9"/>
              <w:jc w:val="left"/>
            </w:pPr>
            <w:r>
              <w:t xml:space="preserve">22 a 24</w:t>
            </w:r>
          </w:p>
        </w:tc>
        <w:tc>
          <w:tcPr/>
          <w:p>
            <w:pPr>
              <w:pStyle w:val="Tabla9"/>
              <w:jc w:val="left"/>
            </w:pPr>
            <w:r>
              <w:t xml:space="preserve">R01 a R06 mensual; P01 a P04, E01 y E02 en el mes 24; E03</w:t>
            </w:r>
          </w:p>
        </w:tc>
        <w:tc>
          <w:tcPr/>
          <w:p>
            <w:pPr>
              <w:pStyle w:val="Tabla9"/>
              <w:jc w:val="left"/>
            </w:pPr>
            <w:r>
              <w:t xml:space="preserve">H7 (mes 23); H8 (mes 24, compuerta C3)</w:t>
            </w:r>
          </w:p>
        </w:tc>
        <w:tc>
          <w:tcPr/>
          <w:p>
            <w:pPr>
              <w:pStyle w:val="Tabla9"/>
              <w:jc w:val="left"/>
            </w:pPr>
            <w:r>
              <w:t xml:space="preserve">Informe semestral y tablero trimestral; acta de cierre; evaluación externa final (S07)</w:t>
            </w:r>
          </w:p>
        </w:tc>
      </w:tr>
      <w:tr>
        <w:trPr>
          <w:cantSplit/>
        </w:trPr>
        <w:tc>
          <w:tcPr/>
          <w:p>
            <w:pPr>
              <w:pStyle w:val="Tabla9"/>
              <w:jc w:val="left"/>
            </w:pPr>
            <w:r>
              <w:t xml:space="preserve">Posproyecto, semestre 1</w:t>
            </w:r>
          </w:p>
        </w:tc>
        <w:tc>
          <w:tcPr/>
          <w:p>
            <w:pPr>
              <w:pStyle w:val="Tabla9"/>
              <w:jc w:val="left"/>
            </w:pPr>
            <w:r>
              <w:t xml:space="preserve">25 a 30</w:t>
            </w:r>
          </w:p>
        </w:tc>
        <w:tc>
          <w:tcPr/>
          <w:p>
            <w:pPr>
              <w:pStyle w:val="Tabla9"/>
              <w:jc w:val="left"/>
            </w:pPr>
            <w:r>
              <w:t xml:space="preserve">S01 en el mes 30</w:t>
            </w:r>
          </w:p>
        </w:tc>
        <w:tc>
          <w:tcPr/>
          <w:p>
            <w:pPr>
              <w:pStyle w:val="Tabla9"/>
              <w:jc w:val="left"/>
            </w:pPr>
            <w:r>
              <w:t xml:space="preserve">Sin hito</w:t>
            </w:r>
          </w:p>
        </w:tc>
        <w:tc>
          <w:tcPr/>
          <w:p>
            <w:pPr>
              <w:pStyle w:val="Tabla9"/>
              <w:jc w:val="left"/>
            </w:pPr>
            <w:r>
              <w:t xml:space="preserve">Informe de evaluación externa posproyecto</w:t>
            </w:r>
          </w:p>
        </w:tc>
      </w:tr>
      <w:tr>
        <w:trPr>
          <w:cantSplit/>
        </w:trPr>
        <w:tc>
          <w:tcPr/>
          <w:p>
            <w:pPr>
              <w:pStyle w:val="Tabla9"/>
              <w:jc w:val="left"/>
            </w:pPr>
            <w:r>
              <w:t xml:space="preserve">Posproyecto, semestre 2</w:t>
            </w:r>
          </w:p>
        </w:tc>
        <w:tc>
          <w:tcPr/>
          <w:p>
            <w:pPr>
              <w:pStyle w:val="Tabla9"/>
              <w:jc w:val="left"/>
            </w:pPr>
            <w:r>
              <w:t xml:space="preserve">31 a 36</w:t>
            </w:r>
          </w:p>
        </w:tc>
        <w:tc>
          <w:tcPr/>
          <w:p>
            <w:pPr>
              <w:pStyle w:val="Tabla9"/>
              <w:jc w:val="left"/>
            </w:pPr>
            <w:r>
              <w:t xml:space="preserve">S01 y S02 en el mes 36</w:t>
            </w:r>
          </w:p>
        </w:tc>
        <w:tc>
          <w:tcPr/>
          <w:p>
            <w:pPr>
              <w:pStyle w:val="Tabla9"/>
              <w:jc w:val="left"/>
            </w:pPr>
            <w:r>
              <w:t xml:space="preserve">Sin hito</w:t>
            </w:r>
          </w:p>
        </w:tc>
        <w:tc>
          <w:tcPr/>
          <w:p>
            <w:pPr>
              <w:pStyle w:val="Tabla9"/>
              <w:jc w:val="left"/>
            </w:pPr>
            <w:r>
              <w:t xml:space="preserve">Informe final de evaluación externa posproyecto</w:t>
            </w:r>
          </w:p>
        </w:tc>
      </w:tr>
    </w:tbl>
    <w:p>
      <w:pPr>
        <w:pStyle w:val="TablaNota"/>
      </w:pPr>
      <w:r>
        <w:rPr>
          <w:i/>
          <w:iCs/>
        </w:rPr>
        <w:t xml:space="preserve">Nota.</w:t>
      </w:r>
      <w:r>
        <w:t xml:space="preserve"> </w:t>
      </w:r>
      <w:r>
        <w:t xml:space="preserve">Elaboración propia con las frecuencias de la ficha maestra y los hitos H0 a H8. Los reportes al financiador siguen el calendario de los TdR [DATO_USUARIO: calendario de informes]. La medición posproyecto (meses 25 a 36) es PROPUESTO y su financiación es VACIO: la línea S07 cubre solo los meses 12 a 24.</w:t>
      </w:r>
    </w:p>
    <w:p>
      <w:pPr>
        <w:pStyle w:val="FiguraRotulo"/>
      </w:pPr>
      <w:bookmarkStart w:id="9535" w:name="rot_Figura_12_5"/>
      <w:r>
        <w:rPr>
          <w:b/>
          <w:bCs/>
        </w:rPr>
        <w:t xml:space="preserve">Figura 12.5</w:t>
      </w:r>
      <w:bookmarkEnd w:id="9535"/>
    </w:p>
    <w:p>
      <w:pPr>
        <w:pStyle w:val="FiguraTitulo"/>
      </w:pPr>
      <w:r>
        <w:rPr>
          <w:i/>
          <w:iCs/>
        </w:rPr>
        <w:t xml:space="preserve">Los indicadores de impacto se miden en los meses 30 a 36, tras el cierre</w:t>
      </w:r>
    </w:p>
    <w:p>
      <w:pPr>
        <w:pStyle w:val="BodyText"/>
      </w:pPr>
      <w:r>
        <w:drawing>
          <wp:inline>
            <wp:extent cx="5579999" cy="3734022"/>
            <wp:effectExtent b="0" l="0" r="0" t="0"/>
            <wp:docPr descr="" title="" id="578" name="Picture"/>
            <a:graphic>
              <a:graphicData uri="http://schemas.openxmlformats.org/drawingml/2006/picture">
                <pic:pic>
                  <pic:nvPicPr>
                    <pic:cNvPr descr="/tmp/claude-0/-home-user-docs/ddf38714-2a7e-502b-92b4-1008e2832422/scratchpad/proy/figs/out/c12_f05.png" id="579" name="Picture"/>
                    <pic:cNvPicPr>
                      <a:picLocks noChangeArrowheads="1" noChangeAspect="1"/>
                    </pic:cNvPicPr>
                  </pic:nvPicPr>
                  <pic:blipFill>
                    <a:blip r:embed="rId577"/>
                    <a:stretch>
                      <a:fillRect/>
                    </a:stretch>
                  </pic:blipFill>
                  <pic:spPr bwMode="auto">
                    <a:xfrm>
                      <a:off x="0" y="0"/>
                      <a:ext cx="5579999" cy="373402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y de maestro.py (HITOS y TRAMOS). Cortes de medición, hitos H0 a H8 y compuertas C1 a C3 en 36 meses (24 de ejecución y 12 de seguimiento, PROPUESTO). Python 3 y matplotlib; script c12_figs.py; sin semilla; corte del 13 de octubre de 2026.</w:t>
      </w:r>
    </w:p>
    <w:p>
      <w:pPr>
        <w:pStyle w:val="BodyText"/>
      </w:pPr>
      <w:r>
        <w:t xml:space="preserve">La validación integral concluye que el sistema es coherente y que su debilidad está en los niveles superiores (Funnell y Rogers, 2011). Los 10 indicadores de proceso y producto tienen línea base calculada, metas comprometidas y riesgo bajo o medio. Los cinco de efecto y sostenibilidad dependen de datos y de decisiones que el proyecto todavía no controla. La consecuencia para la gestión es doble. La compuerta C1 debe medir las líneas base VACIO de E01 y E02. La compuerta C2 debe verificar que los convenios incluyan financiación para la medición posproyecto de S01 y S02. Sin esas dos acciones, el sistema no puede declarar su éxito.</w:t>
      </w:r>
    </w:p>
    <w:bookmarkEnd w:id="580"/>
    <w:bookmarkEnd w:id="581"/>
    <w:bookmarkStart w:id="607" w:name="X5057231128b41f669f43d9e34f66240934c1b6e"/>
    <w:p>
      <w:pPr>
        <w:pStyle w:val="Heading1"/>
      </w:pPr>
      <w:r>
        <w:t xml:space="preserve">Capítulo 13. Impactos: cadena causal entre productos, efectos e impactos</w:t>
      </w:r>
    </w:p>
    <w:p>
      <w:pPr>
        <w:pStyle w:val="FirstParagraph"/>
      </w:pPr>
      <w:r>
        <w:t xml:space="preserve">Este capítulo responde a la pregunta del evaluador sobre qué cambia gracias a lo que ejecuta el proyecto. La respuesta separa tres niveles de la taxonomía del sistema de indicadores PERS: productos (Output), efectos (Outcome) e impactos (Impact). Cada impacto declarado lleva un indicador específico, medible, alcanzable, pertinente y acotado en el tiempo (SMART). Lleva también una línea base, un mecanismo causal, supuestos y un vínculo con un indicador PERS de la ficha de indicadores. Cuando la línea base no existe, se marca VACIO y se mide en el tramo 1. El capítulo no promete reducción de morbilidad ni de mortalidad. Esa promesa exige un diseño causal que el proyecto no incluye (H36-11).</w:t>
      </w:r>
    </w:p>
    <w:bookmarkStart w:id="585" w:name="_Toc00900233"/>
    <w:p>
      <w:pPr>
        <w:pStyle w:val="Heading2"/>
      </w:pPr>
      <w:r>
        <w:t xml:space="preserve">13.0 Teoría del cambio del proyecto</w:t>
      </w:r>
    </w:p>
    <w:p>
      <w:pPr>
        <w:pStyle w:val="FirstParagraph"/>
      </w:pPr>
      <w:r>
        <w:t xml:space="preserve">La teoría del cambio organiza todos los impactos de este capítulo y fija hasta dónde responde el proyecto. Una teoría del cambio es el conjunto de hipótesis que explican cómo y por qué una intervención produce sus resultados (Weiss, 1995). Se construye desde el cambio de largo plazo hacia atrás, con condiciones previas, supuestos e indicadores en cada paso (Taplin y Clark, 2012). Elmore (1979) llama mapeo inverso a ese procedimiento. El proyecto lo aplicó en la sección 4.4-MDR.8 y obtuvo una teoría ejecutiva de 11 nodos en cuatro niveles, con 12 relaciones (PROPUESTO). Funnell y Rogers (2011) recomiendan acompañar la teoría ejecutiva de una página con cadenas por componente. El proyecto adopta esa recomendación con tres cadenas: medición, alertas y adopción, y custodia y financiación.</w:t>
      </w:r>
    </w:p>
    <w:p>
      <w:pPr>
        <w:pStyle w:val="BodyText"/>
      </w:pPr>
      <w:r>
        <w:t xml:space="preserve">Los autores discrepan sobre cuánta linealidad admite una teoría del cambio. Una posición sostiene que un modelo lógico lineal basta cuando la relación entre producto y efecto es conocida y estable (Funnell y Rogers, 2011). La posición contraria sostiene que, en sistemas con adopción, aprendizaje y retroalimentación, un modelo lineal oculta bucles y exige una evaluación de desarrollo (Patton, 2011). Snowden y Boone (2007) y Glouberman y Zimmerman (2002) ofrecen el criterio para elegir: el dominio causal. La sección 4.4-MDR.3 clasificó la medición como dominio COMPLICADO y la adopción y la custodia como dominio COMPLEJO (INFERIDO). Por eso el proyecto adopta una arquitectura anidada. La medición se evalúa con contraste y sorteo. La adopción y la custodia se evalúan por contribución, con revisión trimestral de los supuestos.</w:t>
      </w:r>
    </w:p>
    <w:p>
      <w:pPr>
        <w:pStyle w:val="BodyText"/>
      </w:pPr>
      <w:r>
        <w:t xml:space="preserve">La cadena completa se compone de seis eslabones: insumos, actividades, productos, resultados inmediatos, resultados intermedios e impacto. Los insumos suman 10.839,84 millones de COP (CALCULADO). De ese total, 8.729,84 millones provienen del Sistema General de Regalías (SGR) y 2.110 millones de la contrapartida. Las actividades se organizan en cuatro paquetes de trabajo. WP0 es gestión, WP1 es medición verificada, WP2 es red, energía y plataforma, y WP3 es uso institucional, apropiación y custodia. Los productos son cuatro. P1 es la red de nodos con corrección local y repuestos. P2 es la referencia gravimétrica con el protocolo de calibración y el sorteo semanal. P3 es el gemelo digital con el tablero y los umbrales propuestos. P4 son los acuerdos de custodia y el portafolio de financiación. Los resultados inmediatos son tres (R1 a R3), los intermedios son tres (I1 a I3) y el impacto es uno (IM).</w:t>
      </w:r>
    </w:p>
    <w:p>
      <w:pPr>
        <w:pStyle w:val="BodyText"/>
      </w:pPr>
      <w:r>
        <w:t xml:space="preserve">La Tabla 13.1 detalla cada eslabón con su indicador PERS, su supuesto, su condición externa y su mecanismo causal. La última columna indica la zona del eslabón respecto del techo.</w:t>
      </w:r>
    </w:p>
    <w:p>
      <w:pPr>
        <w:pStyle w:val="TablaRotulo"/>
      </w:pPr>
      <w:bookmarkStart w:id="9350" w:name="rot_Tabla_13_1"/>
      <w:r>
        <w:rPr>
          <w:b/>
          <w:bCs/>
        </w:rPr>
        <w:t xml:space="preserve">Tabla 13.1</w:t>
      </w:r>
      <w:bookmarkEnd w:id="9350"/>
    </w:p>
    <w:p>
      <w:pPr>
        <w:pStyle w:val="TablaTitulo"/>
      </w:pPr>
      <w:r>
        <w:rPr>
          <w:i/>
          <w:iCs/>
        </w:rPr>
        <w:t xml:space="preserve">Teoría del cambio del proyecto: eslabón, indicador, supuesto, condición externa y mecanismo causal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31"/>
        <w:gridCol w:w="1264"/>
        <w:gridCol w:w="1397"/>
        <w:gridCol w:w="1530"/>
        <w:gridCol w:w="1663"/>
        <w:gridCol w:w="732"/>
      </w:tblGrid>
      <w:tr>
        <w:trPr>
          <w:cantSplit/>
          <w:tblHeader/>
        </w:trPr>
        <w:tc>
          <w:tcPr>
            <w:shd w:val="clear" w:color="auto" w:fill="00B050"/>
          </w:tcPr>
          <w:p>
            <w:pPr>
              <w:pStyle w:val="Tabla9"/>
              <w:jc w:val="center"/>
            </w:pPr>
            <w:r>
              <w:rPr>
                <w:b/>
                <w:color w:val="FFFFFF"/>
              </w:rPr>
              <w:t xml:space="preserve">Eslabón</w:t>
            </w:r>
          </w:p>
        </w:tc>
        <w:tc>
          <w:tcPr>
            <w:shd w:val="clear" w:color="auto" w:fill="00B050"/>
          </w:tcPr>
          <w:p>
            <w:pPr>
              <w:pStyle w:val="Tabla9"/>
              <w:jc w:val="center"/>
            </w:pPr>
            <w:r>
              <w:rPr>
                <w:b/>
                <w:color w:val="FFFFFF"/>
              </w:rPr>
              <w:t xml:space="preserve">Indicador PERS</w:t>
            </w:r>
          </w:p>
        </w:tc>
        <w:tc>
          <w:tcPr>
            <w:shd w:val="clear" w:color="auto" w:fill="00B050"/>
          </w:tcPr>
          <w:p>
            <w:pPr>
              <w:pStyle w:val="Tabla9"/>
              <w:jc w:val="center"/>
            </w:pPr>
            <w:r>
              <w:rPr>
                <w:b/>
                <w:color w:val="FFFFFF"/>
              </w:rPr>
              <w:t xml:space="preserve">Supuesto</w:t>
            </w:r>
          </w:p>
        </w:tc>
        <w:tc>
          <w:tcPr>
            <w:shd w:val="clear" w:color="auto" w:fill="00B050"/>
          </w:tcPr>
          <w:p>
            <w:pPr>
              <w:pStyle w:val="Tabla9"/>
              <w:jc w:val="center"/>
            </w:pPr>
            <w:r>
              <w:rPr>
                <w:b/>
                <w:color w:val="FFFFFF"/>
              </w:rPr>
              <w:t xml:space="preserve">Condición externa</w:t>
            </w:r>
          </w:p>
        </w:tc>
        <w:tc>
          <w:tcPr>
            <w:shd w:val="clear" w:color="auto" w:fill="00B050"/>
          </w:tcPr>
          <w:p>
            <w:pPr>
              <w:pStyle w:val="Tabla9"/>
              <w:jc w:val="center"/>
            </w:pPr>
            <w:r>
              <w:rPr>
                <w:b/>
                <w:color w:val="FFFFFF"/>
              </w:rPr>
              <w:t xml:space="preserve">Mecanismo causal</w:t>
            </w:r>
          </w:p>
        </w:tc>
        <w:tc>
          <w:tcPr>
            <w:shd w:val="clear" w:color="auto" w:fill="00B050"/>
          </w:tcPr>
          <w:p>
            <w:pPr>
              <w:pStyle w:val="Tabla9"/>
              <w:jc w:val="center"/>
            </w:pPr>
            <w:r>
              <w:rPr>
                <w:b/>
                <w:color w:val="FFFFFF"/>
              </w:rPr>
              <w:t xml:space="preserve">Zona</w:t>
            </w:r>
          </w:p>
        </w:tc>
      </w:tr>
      <w:tr>
        <w:trPr>
          <w:cantSplit/>
        </w:trPr>
        <w:tc>
          <w:tcPr/>
          <w:p>
            <w:pPr>
              <w:pStyle w:val="Tabla9"/>
              <w:jc w:val="left"/>
            </w:pPr>
            <w:r>
              <w:t xml:space="preserve">Insumos y actividades (WP0 a WP3)</w:t>
            </w:r>
          </w:p>
        </w:tc>
        <w:tc>
          <w:tcPr/>
          <w:p>
            <w:pPr>
              <w:pStyle w:val="Tabla9"/>
              <w:jc w:val="left"/>
            </w:pPr>
            <w:r>
              <w:t xml:space="preserve">PERS-R04 y PERS-R06</w:t>
            </w:r>
          </w:p>
        </w:tc>
        <w:tc>
          <w:tcPr/>
          <w:p>
            <w:pPr>
              <w:pStyle w:val="Tabla9"/>
              <w:jc w:val="left"/>
            </w:pPr>
            <w:r>
              <w:t xml:space="preserve">Desembolsos oportunos por tramo</w:t>
            </w:r>
          </w:p>
        </w:tc>
        <w:tc>
          <w:tcPr/>
          <w:p>
            <w:pPr>
              <w:pStyle w:val="Tabla9"/>
              <w:jc w:val="left"/>
            </w:pPr>
            <w:r>
              <w:t xml:space="preserve">Devaluación del peso (R-FIN-01)</w:t>
            </w:r>
          </w:p>
        </w:tc>
        <w:tc>
          <w:tcPr/>
          <w:p>
            <w:pPr>
              <w:pStyle w:val="Tabla9"/>
              <w:jc w:val="left"/>
            </w:pPr>
            <w:r>
              <w:t xml:space="preserve">Las compuertas C1 y C2 liberan la compra del tramo siguiente solo si se cumplen los umbrales</w:t>
            </w:r>
          </w:p>
        </w:tc>
        <w:tc>
          <w:tcPr/>
          <w:p>
            <w:pPr>
              <w:pStyle w:val="Tabla9"/>
              <w:jc w:val="left"/>
            </w:pPr>
            <w:r>
              <w:t xml:space="preserve">Bajo el techo</w:t>
            </w:r>
          </w:p>
        </w:tc>
      </w:tr>
      <w:tr>
        <w:trPr>
          <w:cantSplit/>
        </w:trPr>
        <w:tc>
          <w:tcPr/>
          <w:p>
            <w:pPr>
              <w:pStyle w:val="Tabla9"/>
              <w:jc w:val="left"/>
            </w:pPr>
            <w:r>
              <w:t xml:space="preserve">P1 y P2 → R1: error reducido y verificable</w:t>
            </w:r>
          </w:p>
        </w:tc>
        <w:tc>
          <w:tcPr/>
          <w:p>
            <w:pPr>
              <w:pStyle w:val="Tabla9"/>
              <w:jc w:val="left"/>
            </w:pPr>
            <w:r>
              <w:t xml:space="preserve">PERS-R02 y PERS-R05</w:t>
            </w:r>
          </w:p>
        </w:tc>
        <w:tc>
          <w:tcPr/>
          <w:p>
            <w:pPr>
              <w:pStyle w:val="Tabla9"/>
              <w:jc w:val="left"/>
            </w:pPr>
            <w:r>
              <w:t xml:space="preserve">SC-1</w:t>
            </w:r>
          </w:p>
        </w:tc>
        <w:tc>
          <w:tcPr/>
          <w:p>
            <w:pPr>
              <w:pStyle w:val="Tabla9"/>
              <w:jc w:val="left"/>
            </w:pPr>
            <w:r>
              <w:t xml:space="preserve">Humedad y polvo en sitio (R-TEC-01)</w:t>
            </w:r>
          </w:p>
        </w:tc>
        <w:tc>
          <w:tcPr/>
          <w:p>
            <w:pPr>
              <w:pStyle w:val="Tabla9"/>
              <w:jc w:val="left"/>
            </w:pPr>
            <w:r>
              <w:t xml:space="preserve">La colocalización con referencia permite compensar en el gateway el sesgo por humedad y fracción gruesa</w:t>
            </w:r>
          </w:p>
        </w:tc>
        <w:tc>
          <w:tcPr/>
          <w:p>
            <w:pPr>
              <w:pStyle w:val="Tabla9"/>
              <w:jc w:val="left"/>
            </w:pPr>
            <w:r>
              <w:t xml:space="preserve">Bajo el techo</w:t>
            </w:r>
          </w:p>
        </w:tc>
      </w:tr>
      <w:tr>
        <w:trPr>
          <w:cantSplit/>
        </w:trPr>
        <w:tc>
          <w:tcPr/>
          <w:p>
            <w:pPr>
              <w:pStyle w:val="Tabla9"/>
              <w:jc w:val="left"/>
            </w:pPr>
            <w:r>
              <w:t xml:space="preserve">P1 → R2: datos suficientes</w:t>
            </w:r>
          </w:p>
        </w:tc>
        <w:tc>
          <w:tcPr/>
          <w:p>
            <w:pPr>
              <w:pStyle w:val="Tabla9"/>
              <w:jc w:val="left"/>
            </w:pPr>
            <w:r>
              <w:t xml:space="preserve">PERS-P01 y PERS-R03</w:t>
            </w:r>
          </w:p>
        </w:tc>
        <w:tc>
          <w:tcPr/>
          <w:p>
            <w:pPr>
              <w:pStyle w:val="Tabla9"/>
              <w:jc w:val="left"/>
            </w:pPr>
            <w:r>
              <w:t xml:space="preserve">SC-2</w:t>
            </w:r>
          </w:p>
        </w:tc>
        <w:tc>
          <w:tcPr/>
          <w:p>
            <w:pPr>
              <w:pStyle w:val="Tabla9"/>
              <w:jc w:val="left"/>
            </w:pPr>
            <w:r>
              <w:t xml:space="preserve">Falla celular y vías bloqueadas (R-TEC-03 y R-EXT-01)</w:t>
            </w:r>
          </w:p>
        </w:tc>
        <w:tc>
          <w:tcPr/>
          <w:p>
            <w:pPr>
              <w:pStyle w:val="Tabla9"/>
              <w:jc w:val="left"/>
            </w:pPr>
            <w:r>
              <w:t xml:space="preserve">Energía con autonomía mínima de 14 días, enlace alterno y repuestos sostienen la disponibilidad</w:t>
            </w:r>
          </w:p>
        </w:tc>
        <w:tc>
          <w:tcPr/>
          <w:p>
            <w:pPr>
              <w:pStyle w:val="Tabla9"/>
              <w:jc w:val="left"/>
            </w:pPr>
            <w:r>
              <w:t xml:space="preserve">Bajo el techo</w:t>
            </w:r>
          </w:p>
        </w:tc>
      </w:tr>
      <w:tr>
        <w:trPr>
          <w:cantSplit/>
        </w:trPr>
        <w:tc>
          <w:tcPr/>
          <w:p>
            <w:pPr>
              <w:pStyle w:val="Tabla9"/>
              <w:jc w:val="left"/>
            </w:pPr>
            <w:r>
              <w:t xml:space="preserve">P3 → R3: umbrales validados</w:t>
            </w:r>
          </w:p>
        </w:tc>
        <w:tc>
          <w:tcPr/>
          <w:p>
            <w:pPr>
              <w:pStyle w:val="Tabla9"/>
              <w:jc w:val="left"/>
            </w:pPr>
            <w:r>
              <w:t xml:space="preserve">PERS-P04</w:t>
            </w:r>
          </w:p>
        </w:tc>
        <w:tc>
          <w:tcPr/>
          <w:p>
            <w:pPr>
              <w:pStyle w:val="Tabla9"/>
              <w:jc w:val="left"/>
            </w:pPr>
            <w:r>
              <w:t xml:space="preserve">SC-3</w:t>
            </w:r>
          </w:p>
        </w:tc>
        <w:tc>
          <w:tcPr/>
          <w:p>
            <w:pPr>
              <w:pStyle w:val="Tabla9"/>
              <w:jc w:val="left"/>
            </w:pPr>
            <w:r>
              <w:t xml:space="preserve">Fórmula local del índice sin definir (VACIO)</w:t>
            </w:r>
          </w:p>
        </w:tc>
        <w:tc>
          <w:tcPr/>
          <w:p>
            <w:pPr>
              <w:pStyle w:val="Tabla9"/>
              <w:jc w:val="left"/>
            </w:pPr>
            <w:r>
              <w:t xml:space="preserve">El co-diseño con comités y autoridad de salud fija umbrales locales</w:t>
            </w:r>
          </w:p>
        </w:tc>
        <w:tc>
          <w:tcPr/>
          <w:p>
            <w:pPr>
              <w:pStyle w:val="Tabla9"/>
              <w:jc w:val="left"/>
            </w:pPr>
            <w:r>
              <w:t xml:space="preserve">Bajo el techo</w:t>
            </w:r>
          </w:p>
        </w:tc>
      </w:tr>
      <w:tr>
        <w:trPr>
          <w:cantSplit/>
        </w:trPr>
        <w:tc>
          <w:tcPr/>
          <w:p>
            <w:pPr>
              <w:pStyle w:val="Tabla9"/>
              <w:jc w:val="left"/>
            </w:pPr>
            <w:r>
              <w:t xml:space="preserve">R3 → I1: protocolos incorporan las alertas</w:t>
            </w:r>
          </w:p>
        </w:tc>
        <w:tc>
          <w:tcPr/>
          <w:p>
            <w:pPr>
              <w:pStyle w:val="Tabla9"/>
              <w:jc w:val="left"/>
            </w:pPr>
            <w:r>
              <w:t xml:space="preserve">PERS-E01</w:t>
            </w:r>
          </w:p>
        </w:tc>
        <w:tc>
          <w:tcPr/>
          <w:p>
            <w:pPr>
              <w:pStyle w:val="Tabla9"/>
              <w:jc w:val="left"/>
            </w:pPr>
            <w:r>
              <w:t xml:space="preserve">SC-3</w:t>
            </w:r>
          </w:p>
        </w:tc>
        <w:tc>
          <w:tcPr/>
          <w:p>
            <w:pPr>
              <w:pStyle w:val="Tabla9"/>
              <w:jc w:val="left"/>
            </w:pPr>
            <w:r>
              <w:t xml:space="preserve">Rotación del personal local</w:t>
            </w:r>
          </w:p>
        </w:tc>
        <w:tc>
          <w:tcPr/>
          <w:p>
            <w:pPr>
              <w:pStyle w:val="Tabla9"/>
              <w:jc w:val="left"/>
            </w:pPr>
            <w:r>
              <w:t xml:space="preserve">Una alerta con portador de decisión modifica la conducta del comité</w:t>
            </w:r>
          </w:p>
        </w:tc>
        <w:tc>
          <w:tcPr/>
          <w:p>
            <w:pPr>
              <w:pStyle w:val="Tabla9"/>
              <w:jc w:val="left"/>
            </w:pPr>
            <w:r>
              <w:t xml:space="preserve">Sobre el techo</w:t>
            </w:r>
          </w:p>
        </w:tc>
      </w:tr>
      <w:tr>
        <w:trPr>
          <w:cantSplit/>
        </w:trPr>
        <w:tc>
          <w:tcPr/>
          <w:p>
            <w:pPr>
              <w:pStyle w:val="Tabla9"/>
              <w:jc w:val="left"/>
            </w:pPr>
            <w:r>
              <w:t xml:space="preserve">R1 y R2 → I2: alertas oportunas con falsas alarmas dentro del umbral</w:t>
            </w:r>
          </w:p>
        </w:tc>
        <w:tc>
          <w:tcPr/>
          <w:p>
            <w:pPr>
              <w:pStyle w:val="Tabla9"/>
              <w:jc w:val="left"/>
            </w:pPr>
            <w:r>
              <w:t xml:space="preserve">PERS-E02</w:t>
            </w:r>
          </w:p>
        </w:tc>
        <w:tc>
          <w:tcPr/>
          <w:p>
            <w:pPr>
              <w:pStyle w:val="Tabla9"/>
              <w:jc w:val="left"/>
            </w:pPr>
            <w:r>
              <w:t xml:space="preserve">Línea base de falsas alarmas medida en el tramo 1</w:t>
            </w:r>
          </w:p>
        </w:tc>
        <w:tc>
          <w:tcPr/>
          <w:p>
            <w:pPr>
              <w:pStyle w:val="Tabla9"/>
              <w:jc w:val="left"/>
            </w:pPr>
            <w:r>
              <w:t xml:space="preserve">Variabilidad meteorológica</w:t>
            </w:r>
          </w:p>
        </w:tc>
        <w:tc>
          <w:tcPr/>
          <w:p>
            <w:pPr>
              <w:pStyle w:val="Tabla9"/>
              <w:jc w:val="left"/>
            </w:pPr>
            <w:r>
              <w:t xml:space="preserve">Una medición con error conocido permite fijar umbrales que reducen falsas alarmas</w:t>
            </w:r>
          </w:p>
        </w:tc>
        <w:tc>
          <w:tcPr/>
          <w:p>
            <w:pPr>
              <w:pStyle w:val="Tabla9"/>
              <w:jc w:val="left"/>
            </w:pPr>
            <w:r>
              <w:t xml:space="preserve">Sobre el techo</w:t>
            </w:r>
          </w:p>
        </w:tc>
      </w:tr>
      <w:tr>
        <w:trPr>
          <w:cantSplit/>
        </w:trPr>
        <w:tc>
          <w:tcPr/>
          <w:p>
            <w:pPr>
              <w:pStyle w:val="Tabla9"/>
              <w:jc w:val="left"/>
            </w:pPr>
            <w:r>
              <w:t xml:space="preserve">P4 → I3: servicio con custodios después del mes 24</w:t>
            </w:r>
          </w:p>
        </w:tc>
        <w:tc>
          <w:tcPr/>
          <w:p>
            <w:pPr>
              <w:pStyle w:val="Tabla9"/>
              <w:jc w:val="left"/>
            </w:pPr>
            <w:r>
              <w:t xml:space="preserve">PERS-E03 y PERS-S02</w:t>
            </w:r>
          </w:p>
        </w:tc>
        <w:tc>
          <w:tcPr/>
          <w:p>
            <w:pPr>
              <w:pStyle w:val="Tabla9"/>
              <w:jc w:val="left"/>
            </w:pPr>
            <w:r>
              <w:t xml:space="preserve">SC-4</w:t>
            </w:r>
          </w:p>
        </w:tc>
        <w:tc>
          <w:tcPr/>
          <w:p>
            <w:pPr>
              <w:pStyle w:val="Tabla9"/>
              <w:jc w:val="left"/>
            </w:pPr>
            <w:r>
              <w:t xml:space="preserve">Ausencia de compromiso presupuestal vinculante</w:t>
            </w:r>
          </w:p>
        </w:tc>
        <w:tc>
          <w:tcPr/>
          <w:p>
            <w:pPr>
              <w:pStyle w:val="Tabla9"/>
              <w:jc w:val="left"/>
            </w:pPr>
            <w:r>
              <w:t xml:space="preserve">Cada tramo exige presupuesto, personal y competencia jurídica; sin ellos rige la cláusula de apertura</w:t>
            </w:r>
          </w:p>
        </w:tc>
        <w:tc>
          <w:tcPr/>
          <w:p>
            <w:pPr>
              <w:pStyle w:val="Tabla9"/>
              <w:jc w:val="left"/>
            </w:pPr>
            <w:r>
              <w:t xml:space="preserve">Sobre el techo</w:t>
            </w:r>
          </w:p>
        </w:tc>
      </w:tr>
      <w:tr>
        <w:trPr>
          <w:cantSplit/>
        </w:trPr>
        <w:tc>
          <w:tcPr/>
          <w:p>
            <w:pPr>
              <w:pStyle w:val="Tabla9"/>
              <w:jc w:val="left"/>
            </w:pPr>
            <w:r>
              <w:t xml:space="preserve">I1, I2 e I3 → IM: protección por alertas con mediciones verificadas</w:t>
            </w:r>
          </w:p>
        </w:tc>
        <w:tc>
          <w:tcPr/>
          <w:p>
            <w:pPr>
              <w:pStyle w:val="Tabla9"/>
              <w:jc w:val="left"/>
            </w:pPr>
            <w:r>
              <w:t xml:space="preserve">PERS-S01</w:t>
            </w:r>
          </w:p>
        </w:tc>
        <w:tc>
          <w:tcPr/>
          <w:p>
            <w:pPr>
              <w:pStyle w:val="Tabla9"/>
              <w:jc w:val="left"/>
            </w:pPr>
            <w:r>
              <w:t xml:space="preserve">SC-3 y SC-4</w:t>
            </w:r>
          </w:p>
        </w:tc>
        <w:tc>
          <w:tcPr/>
          <w:p>
            <w:pPr>
              <w:pStyle w:val="Tabla9"/>
              <w:jc w:val="left"/>
            </w:pPr>
            <w:r>
              <w:t xml:space="preserve">Otros determinantes de la exposición y de la salud</w:t>
            </w:r>
          </w:p>
        </w:tc>
        <w:tc>
          <w:tcPr/>
          <w:p>
            <w:pPr>
              <w:pStyle w:val="Tabla9"/>
              <w:jc w:val="left"/>
            </w:pPr>
            <w:r>
              <w:t xml:space="preserve">La activación registrada del protocolo es la variable atribuible; la salud no se mide</w:t>
            </w:r>
          </w:p>
        </w:tc>
        <w:tc>
          <w:tcPr/>
          <w:p>
            <w:pPr>
              <w:pStyle w:val="Tabla9"/>
              <w:jc w:val="left"/>
            </w:pPr>
            <w:r>
              <w:t xml:space="preserve">Sobre el techo</w:t>
            </w:r>
          </w:p>
        </w:tc>
      </w:tr>
      <w:tr>
        <w:trPr>
          <w:cantSplit/>
        </w:trPr>
        <w:tc>
          <w:tcPr/>
          <w:p>
            <w:pPr>
              <w:pStyle w:val="Tabla9"/>
              <w:jc w:val="left"/>
            </w:pPr>
            <w:r>
              <w:t xml:space="preserve">Bucle de demanda I1 → P4</w:t>
            </w:r>
          </w:p>
        </w:tc>
        <w:tc>
          <w:tcPr/>
          <w:p>
            <w:pPr>
              <w:pStyle w:val="Tabla9"/>
              <w:jc w:val="left"/>
            </w:pPr>
            <w:r>
              <w:t xml:space="preserve">PERS-E01 y PERS-S02</w:t>
            </w:r>
          </w:p>
        </w:tc>
        <w:tc>
          <w:tcPr/>
          <w:p>
            <w:pPr>
              <w:pStyle w:val="Tabla9"/>
              <w:jc w:val="left"/>
            </w:pPr>
            <w:r>
              <w:t xml:space="preserve">El uso demostrado sustenta la partida del custodio</w:t>
            </w:r>
          </w:p>
        </w:tc>
        <w:tc>
          <w:tcPr/>
          <w:p>
            <w:pPr>
              <w:pStyle w:val="Tabla9"/>
              <w:jc w:val="left"/>
            </w:pPr>
            <w:r>
              <w:t xml:space="preserve">Restricción fiscal del custodio</w:t>
            </w:r>
          </w:p>
        </w:tc>
        <w:tc>
          <w:tcPr/>
          <w:p>
            <w:pPr>
              <w:pStyle w:val="Tabla9"/>
              <w:jc w:val="left"/>
            </w:pPr>
            <w:r>
              <w:t xml:space="preserve">El uso institucional demostrado justifica los acuerdos de custodia</w:t>
            </w:r>
          </w:p>
        </w:tc>
        <w:tc>
          <w:tcPr/>
          <w:p>
            <w:pPr>
              <w:pStyle w:val="Tabla9"/>
              <w:jc w:val="left"/>
            </w:pPr>
            <w:r>
              <w:t xml:space="preserve">Sobre el techo</w:t>
            </w:r>
          </w:p>
        </w:tc>
      </w:tr>
    </w:tbl>
    <w:p>
      <w:pPr>
        <w:pStyle w:val="TablaNota"/>
      </w:pPr>
      <w:r>
        <w:rPr>
          <w:i/>
          <w:iCs/>
        </w:rPr>
        <w:t xml:space="preserve">Nota.</w:t>
      </w:r>
      <w:r>
        <w:t xml:space="preserve"> </w:t>
      </w:r>
      <w:r>
        <w:t xml:space="preserve">Elaboración propia a partir de la sección 4.4-MDR.8, del árbol A-TDC y de la ficha de indicadores. P1 a P4: productos; R1 a R3: resultados inmediatos; I1 a I3: resultados intermedios; IM: impacto. Naturaleza: PROPUESTO; supuestos SC-1 a SC-4: SUPUESTO.</w:t>
      </w:r>
    </w:p>
    <w:p>
      <w:pPr>
        <w:pStyle w:val="BodyText"/>
      </w:pPr>
      <w:r>
        <w:t xml:space="preserve">La Tabla 13.1 muestra que los nueve eslabones cuentan con al menos un indicador PERS. Seis de ellos dependen de un supuesto crítico entre SC-1 y SC-4. Cuatro eslabones quedan bajo el techo de rendición de cuentas y cinco quedan sobre él. En los eslabones sobre el techo el proyecto reporta y contribuye, pero no compromete el resultado. Esta distribución evita que una meta de adopción o de protección se lea como obligación de efecto.</w:t>
      </w:r>
    </w:p>
    <w:p>
      <w:pPr>
        <w:pStyle w:val="BodyText"/>
      </w:pPr>
      <w:r>
        <w:t xml:space="preserve">El techo de rendición de cuentas separa lo que el proyecto controla de aquello a lo que solo contribuye. El proyecto responde por los niveles 1 y 2 de la cadena: los productos P1 a P4 y los resultados inmediatos R1 a R3. Los niveles 3 y 4, resultados intermedios e impacto, son contribución. El término es una convención de práctica sin atribución localizada, según la sección 4.4-MDR.8. El análisis de contribución evalúa si una historia causal es plausible y no si el programa es su única causa (Mayne, 2012). Esa lógica respalda la distinción. Befani y Mayne (2014) combinan ese análisis con el rastreo de procesos para reforzar la inferencia. La consecuencia metodológica es que las metas comprometidas se ubican bajo el techo y las demás se reportan como contribución con evidencia de proceso.</w:t>
      </w:r>
    </w:p>
    <w:p>
      <w:pPr>
        <w:pStyle w:val="BodyText"/>
      </w:pPr>
      <w:r>
        <w:t xml:space="preserve">Los cuatro supuestos críticos siguen la estructura si, entonces y porque, y todos son SUPUESTO. SC-1 afirma que los nodos con corrección local muestran menor error normalizado. La comparación usa un sorteo semanal frente a la lectura sin corrección dinámica y frente a una referencia gravimétrica. Su mecanismo es que la humedad y el sesgo por tamaño de partícula explican parte del error. En el escenario S2, la relación de V03 hacia V06 pesa 3. SC-2 afirma que los nodos conservan energía y enlace intermitente bajo maquinaria, polvo y humedad. La maquinaria destruye nodos con peso 2 (V05 hacia V09) y el plan de repuestos lo absorbe. SC-3 afirma que la autoridad de salud valida una fórmula local del índice y que los puestos de mando incorporan los umbrales. SC-4 afirma que al menos un custodio por componente demuestra capacidad de absorción antes de cada tramo. Ningún supuesto posee probabilidad, porque el árbol de decisión no declara ninguna con fuente.</w:t>
      </w:r>
    </w:p>
    <w:p>
      <w:pPr>
        <w:pStyle w:val="BodyText"/>
      </w:pPr>
      <w:r>
        <w:t xml:space="preserve">El corpus respalda SC-1 solo de forma indirecta. La correlación de las partículas con la humedad fue de 0,73 en una mina a cielo abierto (Suresh et al., 2025, p. 30). La corrección con la estación cercana elevó el R² de menos de 0,2 a 0,81 en Seúl (Bang et al., 2026, pp. 6-8). Ambas cifras provienen de otros contextos y no prueban el efecto en Caldas, Cundinamarca y Valle del Cauca. Para SC-3 el respaldo es negativo. Ninguno de los cinco documentos del corpus que describen alertas reporta detección, falsas alarmas ni anticipación (informe de vigilancia tecnológica, sección 1.3). El proyecto trata ese vacío como razón para medir, no como evidencia a favor.</w:t>
      </w:r>
    </w:p>
    <w:p>
      <w:pPr>
        <w:pStyle w:val="BodyText"/>
      </w:pPr>
      <w:r>
        <w:t xml:space="preserve">Cinco condiciones externas pueden romper la cadena sin que el proyecto las controle. La devaluación del peso (R-FIN-01) aporta el mayor valor monetario esperado de los 12 riesgos, con 165,0 millones de COP. Los deslizamientos o réplicas que bloquean vías (R-EXT-01) aportan 60,0 millones. La falla de la red celular (R-TEC-03) aporta 28,0 millones y el robo de nodos (R-EXT-02) aporta 24,0 millones. La rotación del personal local, identificada en la sección 4.4-MDR.4, afecta la formación y el uso. La reserva de contingencia de 636 millones de COP equivale a la suma de los valores esperados de los 12 riesgos (CALCULADO). Las compuertas C1 y C2 complementan esa reserva, porque detienen la compra del tramo siguiente cuando un supuesto falla.</w:t>
      </w:r>
    </w:p>
    <w:p>
      <w:pPr>
        <w:pStyle w:val="BodyText"/>
      </w:pPr>
      <w:r>
        <w:t xml:space="preserve">La conexión con la línea base establece qué se compara con qué. El contexto nacional muestra 209 estaciones reportadas, y 154 de ellas se integran a un sistema de vigilancia. Solo 28 de 1.122 municipios cuentan con estaciones utilizables para estimar la carga (Rodríguez-Villamizar et al., 2022, pp. 3 y 6). Además, el 90,8 % de las estaciones de la red nacional propuesta serían sensores sin plan de calibración (Murad Pedraza et al., 2026, pp. 10-11 y 13). Estas cifras describen el contexto y no la línea base del proyecto. La línea base propia es VACIO en cinco puntos. Son el error por departamento, el uso institucional (PERS-E01), las falsas alarmas (PERS-E02), la activación del protocolo (PERS-S01) y la continuidad (PERS-S02). Las líneas base VACIO se miden en el tramo 1 (DEC-F10).</w:t>
      </w:r>
    </w:p>
    <w:p>
      <w:pPr>
        <w:pStyle w:val="BodyText"/>
      </w:pPr>
      <w:r>
        <w:t xml:space="preserve">Los mecanismos causales explican por qué cada eslabón produce el siguiente. Un programa no produce resultados por sí mismo, sino que activa mecanismos en contextos específicos (Pawson y Tilley, 1997). El proyecto formula tres mecanismos (INFERIDO). El primero es metrológico. La colocalización con referencia permite compensar en el gateway el sesgo de la lectura óptica por humedad y fracción gruesa (Jayaratne et al., 2018; Barkjohn et al., 2021). El segundo es de decisión. Una alerta modifica la conducta solo si un portador de decisión la incorpora en su protocolo. Se espera que el co-diseño de los umbrales favorezca esa incorporación (SUPUESTO). La adopción depende de la ventaja y de la facilidad de uso percibidas (Davis, 1989; Rogers, 2003). El tercero es institucional: la custodia por tramos condiciona cada transferencia a presupuesto, personal y competencia jurídica (Ostrom, 2005).</w:t>
      </w:r>
    </w:p>
    <w:p>
      <w:pPr>
        <w:pStyle w:val="BodyText"/>
      </w:pPr>
      <w:r>
        <w:t xml:space="preserve">Los tres mecanismos coinciden con el análisis estructural de la sección 4.4. La variable V06, error de medición sin verificar, es crítica en los cinco escenarios. La variable V15, adopción institucional, participa en 140 de los 144 ciclos simples del escenario S2 (CALCULADO). Esa estructura indica dónde actuar. No demuestra que la intervención funcione, porque todas las relaciones son hipótesis de influencia estructural. La consecuencia metodológica es que cada mecanismo recibe una prueba observable. El contraste con sorteo prueba SC-1 y la disponibilidad mensual de nodos prueba SC-2. Las decisiones documentadas de los comités prueban SC-3 y los convenios con partida prueban SC-4.</w:t>
      </w:r>
    </w:p>
    <w:p>
      <w:pPr>
        <w:pStyle w:val="BodyText"/>
      </w:pPr>
      <w:r>
        <w:t xml:space="preserve">La Figura 13.1 resume la teoría del cambio. Muestra los 11 nodos en cuatro niveles y los cuatro supuestos sobre las flechas críticas. Muestra también el bucle de demanda de I1 hacia P4 y el techo de rendición de cuentas.</w:t>
      </w:r>
    </w:p>
    <w:p>
      <w:pPr>
        <w:pStyle w:val="FiguraRotulo"/>
      </w:pPr>
      <w:bookmarkStart w:id="9536" w:name="rot_Figura_13_1"/>
      <w:r>
        <w:rPr>
          <w:b/>
          <w:bCs/>
        </w:rPr>
        <w:t xml:space="preserve">Figura 13.1</w:t>
      </w:r>
      <w:bookmarkEnd w:id="9536"/>
    </w:p>
    <w:p>
      <w:pPr>
        <w:pStyle w:val="FiguraTitulo"/>
      </w:pPr>
      <w:r>
        <w:rPr>
          <w:i/>
          <w:iCs/>
        </w:rPr>
        <w:t xml:space="preserve">Teoría del cambio del proyecto con supuestos críticos y techo de rendición de cuentas</w:t>
      </w:r>
    </w:p>
    <w:p>
      <w:pPr>
        <w:pStyle w:val="BodyText"/>
      </w:pPr>
      <w:r>
        <w:drawing>
          <wp:inline>
            <wp:extent cx="5579999" cy="3935544"/>
            <wp:effectExtent b="0" l="0" r="0" t="0"/>
            <wp:docPr descr="" title="" id="583" name="Picture"/>
            <a:graphic>
              <a:graphicData uri="http://schemas.openxmlformats.org/drawingml/2006/picture">
                <pic:pic>
                  <pic:nvPicPr>
                    <pic:cNvPr descr="/tmp/claude-0/-home-user-docs/ddf38714-2a7e-502b-92b4-1008e2832422/scratchpad/proy/figs/out/c13_f00.png" id="584" name="Picture"/>
                    <pic:cNvPicPr>
                      <a:picLocks noChangeArrowheads="1" noChangeAspect="1"/>
                    </pic:cNvPicPr>
                  </pic:nvPicPr>
                  <pic:blipFill>
                    <a:blip r:embed="rId582"/>
                    <a:stretch>
                      <a:fillRect/>
                    </a:stretch>
                  </pic:blipFill>
                  <pic:spPr bwMode="auto">
                    <a:xfrm>
                      <a:off x="0" y="0"/>
                      <a:ext cx="5579999" cy="393554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del árbol A-TDC de la sección 4.4-MDR.8. Once nodos, 12 relaciones y cuatro supuestos SC-1 a SC-4 (SUPUESTO). Naturaleza: PROPUESTO. Generada con matplotlib sin parámetros aleatorios.</w:t>
      </w:r>
    </w:p>
    <w:p>
      <w:pPr>
        <w:pStyle w:val="BodyText"/>
      </w:pPr>
      <w:r>
        <w:t xml:space="preserve">La Figura 13.1 permite leer la cadena de izquierda a derecha y verificar dónde termina la responsabilidad. Los productos y los resultados inmediatos quedan a la izquierda del techo. Los resultados intermedios y el impacto quedan a la derecha y se reportan como contribución. El bucle de demanda muestra que el uso institucional justifica los acuerdos de custodia y, a su vez, la custodia sostiene el uso.</w:t>
      </w:r>
    </w:p>
    <w:bookmarkEnd w:id="585"/>
    <w:bookmarkStart w:id="586" w:name="_Toc00900234"/>
    <w:p>
      <w:pPr>
        <w:pStyle w:val="Heading2"/>
      </w:pPr>
      <w:r>
        <w:t xml:space="preserve">13.1 Impacto científico-tecnológico</w:t>
      </w:r>
    </w:p>
    <w:p>
      <w:pPr>
        <w:pStyle w:val="FirstParagraph"/>
      </w:pPr>
      <w:r>
        <w:t xml:space="preserve">La contribución científico-tecnológica se mide en tres niveles que no deben confundirse. En el nivel de productos se ubican las publicaciones, el software y el prototipo funcional. La ficha de indicadores los tipifica con los códigos ART-A1, ART-A2, SW-REG y PROT-FUNC. En el nivel de efectos se ubican la adopción de los hallazgos por la comunidad científica, las réplicas y la adopción del prototipo. En el nivel de impacto se ubica el cambio en la práctica del sector. El Manual de Oslo, de la Organización para la Cooperación y el Desarrollo Económicos (OCDE, 2018), distingue entre la creación de una innovación y su difusión. Esa distinción justifica separar el producto del efecto. La difusión depende además de atributos que el desarrollador no controla, como la compatibilidad con las prácticas vigentes (Rogers, 2003). Por eso el proyecto compromete productos y mide efectos e impactos como contribución.</w:t>
      </w:r>
    </w:p>
    <w:p>
      <w:pPr>
        <w:pStyle w:val="BodyText"/>
      </w:pPr>
      <w:r>
        <w:t xml:space="preserve">Dos posiciones se oponen sobre cómo valorar el aporte de un desarrollo tecnológico. La primera lo valora por la producción indexada: artículos, citas y patentes. La segunda lo valora por su utilidad para quien decide y reclama comunidades ampliadas de evaluación que incluyan a usuarios y afectados (Funtowicz y Ravetz, 1993). Callon (1999) sostiene que el conocimiento producido con personas no expertas mejora su pertinencia. El informe de vigilancia tecnológica respalda la segunda posición para este campo. Ninguna de las 15 patentes del corpus reporta validación con verdad de referencia. Ninguno de los cinco documentos que describen alertas reporta detección, falsas alarmas ni anticipación (informe de vigilancia tecnológica, sección 1.3). Una publicación sin evidencia de uso dejaría intacto ese vacío.</w:t>
      </w:r>
    </w:p>
    <w:p>
      <w:pPr>
        <w:pStyle w:val="BodyText"/>
      </w:pPr>
      <w:r>
        <w:t xml:space="preserve">El proyecto compromete tres productos científicos medibles. PERS-P02 exige un registro vigente de software ante la Dirección Nacional de Derecho de Autor (DNDA). PERS-P03 exige dos artículos sometidos a revistas Q1 o Q2 y al menos uno aceptado al mes 24. PERS-R05 exige al menos 60.000 horas-nodo válidas de colocalización con cuatro rotaciones por departamento. Las tres líneas base valen cero porque los productos no existen (CALCULADO). El corpus ubica el aporte esperado. La calibración con referencia es el cuello de botella transversal del campo (Murad Pedraza et al., 2026, pp. 10-11 y 13; Bang et al., 2026, pp. 6-8). Además, 34 de los 41 documentos con nivel de madurez tecnológica (TRL) asignado están en TRL 4 o menos. Solo dos alcanzan TRL 7 o más. Son el Sistema de Alerta Temprana de Medellín y el Valle de Aburrá (SIATA) (Ruiz-Carrascal et al., 2026) y el sistema de monitoreo de lahares de Perú (Espinoza et al., 2026).</w:t>
      </w:r>
    </w:p>
    <w:p>
      <w:pPr>
        <w:pStyle w:val="BodyText"/>
      </w:pPr>
      <w:r>
        <w:t xml:space="preserve">El avance en TRL se declara por etapa con evidencia verificable. El proyecto parte de TRL 4 y llega a TRL 7 (PROPUESTO). Los niveles intermedios se definen por el entorno de validación: componente en entorno relevante, sistema en entorno relevante y prototipo en entorno operativo (Mankins, 1995). La asignación de etapas es PROPUESTA. El TRL 5 se evidencia en la compuerta C1 (mes 12) con la validación del modelo en el piloto (hito H3). El TRL 6 se evidencia en la compuerta C2 (mes 17) con el desempeño de dos tramos y el uso del tablero (hito H5). El TRL 7 se evidencia con el tramo 3 instalado (mes 19) y el ensayo independiente (mes 23), hitos H6 y H7. El TRL 8 queda condicionado a una evaluación de desempeño independiente que el plazo no cubre (DEC-F05).</w:t>
      </w:r>
    </w:p>
    <w:p>
      <w:pPr>
        <w:pStyle w:val="BodyText"/>
      </w:pPr>
      <w:r>
        <w:t xml:space="preserve">El posicionamiento nacional depende de la articulación con la infraestructura existente. SIATA opera 65 equipos acreditados y 450 sensores de bajo costo (Ruiz-Carrascal et al., 2026, pp. 3 y 8). El informe de vigilancia tecnológica asigna su prioridad más alta, 10 de 10, a la recomendación D-02. Esa recomendación propone un protocolo de calibración colocalizada con SIATA y con el Instituto de Hidrología, Meteorología y Estudios Ambientales (IDEAM). Esa articulación no consta en los documentos aportados (VACIO). El posicionamiento internacional depende de las publicaciones de PERS-P03. Los productos verificables se registran en CvLAC y en GrupLAC [DATO_USUARIO: código del grupo de investigación en GrupLAC]. La capacidad de absorción de los custodios (ICAR) se define en el capítulo 14. La Tabla 13.2 presenta la matriz de impactos científico-tecnológicos. Cada fila indica el nivel de la cadena, el indicador SMART, la línea base, la meta y el supuesto.</w:t>
      </w:r>
    </w:p>
    <w:p>
      <w:pPr>
        <w:pStyle w:val="TablaRotulo"/>
      </w:pPr>
      <w:bookmarkStart w:id="9351" w:name="rot_Tabla_13_2"/>
      <w:r>
        <w:rPr>
          <w:b/>
          <w:bCs/>
        </w:rPr>
        <w:t xml:space="preserve">Tabla 13.2</w:t>
      </w:r>
      <w:bookmarkEnd w:id="9351"/>
    </w:p>
    <w:p>
      <w:pPr>
        <w:pStyle w:val="TablaTitulo"/>
      </w:pPr>
      <w:r>
        <w:rPr>
          <w:i/>
          <w:iCs/>
        </w:rPr>
        <w:t xml:space="preserve">Matriz de impactos científico-tecnológicos: producto, efecto e impacto con indicadores SMART</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16"/>
        <w:gridCol w:w="981"/>
        <w:gridCol w:w="981"/>
        <w:gridCol w:w="1309"/>
        <w:gridCol w:w="1047"/>
        <w:gridCol w:w="720"/>
        <w:gridCol w:w="1047"/>
        <w:gridCol w:w="916"/>
      </w:tblGrid>
      <w:tr>
        <w:trPr>
          <w:cantSplit/>
          <w:tblHeader/>
        </w:trPr>
        <w:tc>
          <w:tcPr>
            <w:shd w:val="clear" w:color="auto" w:fill="00B050"/>
          </w:tcPr>
          <w:p>
            <w:pPr>
              <w:pStyle w:val="Tabla8"/>
              <w:jc w:val="center"/>
            </w:pPr>
            <w:r>
              <w:rPr>
                <w:b/>
                <w:color w:val="FFFFFF"/>
              </w:rPr>
              <w:t xml:space="preserve">Nivel</w:t>
            </w:r>
          </w:p>
        </w:tc>
        <w:tc>
          <w:tcPr>
            <w:shd w:val="clear" w:color="auto" w:fill="00B050"/>
          </w:tcPr>
          <w:p>
            <w:pPr>
              <w:pStyle w:val="Tabla8"/>
              <w:jc w:val="center"/>
            </w:pPr>
            <w:r>
              <w:rPr>
                <w:b/>
                <w:color w:val="FFFFFF"/>
              </w:rPr>
              <w:t xml:space="preserve">Resultado</w:t>
            </w:r>
          </w:p>
        </w:tc>
        <w:tc>
          <w:tcPr>
            <w:shd w:val="clear" w:color="auto" w:fill="00B050"/>
          </w:tcPr>
          <w:p>
            <w:pPr>
              <w:pStyle w:val="Tabla8"/>
              <w:jc w:val="center"/>
            </w:pPr>
            <w:r>
              <w:rPr>
                <w:b/>
                <w:color w:val="FFFFFF"/>
              </w:rPr>
              <w:t xml:space="preserve">Indicador SMART</w:t>
            </w:r>
          </w:p>
        </w:tc>
        <w:tc>
          <w:tcPr>
            <w:shd w:val="clear" w:color="auto" w:fill="00B050"/>
          </w:tcPr>
          <w:p>
            <w:pPr>
              <w:pStyle w:val="Tabla8"/>
              <w:jc w:val="center"/>
            </w:pPr>
            <w:r>
              <w:rPr>
                <w:b/>
                <w:color w:val="FFFFFF"/>
              </w:rPr>
              <w:t xml:space="preserve">Línea base</w:t>
            </w:r>
          </w:p>
        </w:tc>
        <w:tc>
          <w:tcPr>
            <w:shd w:val="clear" w:color="auto" w:fill="00B050"/>
          </w:tcPr>
          <w:p>
            <w:pPr>
              <w:pStyle w:val="Tabla8"/>
              <w:jc w:val="center"/>
            </w:pPr>
            <w:r>
              <w:rPr>
                <w:b/>
                <w:color w:val="FFFFFF"/>
              </w:rPr>
              <w:t xml:space="preserve">Meta y plazo</w:t>
            </w:r>
          </w:p>
        </w:tc>
        <w:tc>
          <w:tcPr>
            <w:shd w:val="clear" w:color="auto" w:fill="00B050"/>
          </w:tcPr>
          <w:p>
            <w:pPr>
              <w:pStyle w:val="Tabla8"/>
              <w:jc w:val="center"/>
            </w:pPr>
            <w:r>
              <w:rPr>
                <w:b/>
                <w:color w:val="FFFFFF"/>
              </w:rPr>
              <w:t xml:space="preserve">PERS</w:t>
            </w:r>
          </w:p>
        </w:tc>
        <w:tc>
          <w:tcPr>
            <w:shd w:val="clear" w:color="auto" w:fill="00B050"/>
          </w:tcPr>
          <w:p>
            <w:pPr>
              <w:pStyle w:val="Tabla8"/>
              <w:jc w:val="center"/>
            </w:pPr>
            <w:r>
              <w:rPr>
                <w:b/>
                <w:color w:val="FFFFFF"/>
              </w:rPr>
              <w:t xml:space="preserve">Mecanismo causal</w:t>
            </w:r>
          </w:p>
        </w:tc>
        <w:tc>
          <w:tcPr>
            <w:shd w:val="clear" w:color="auto" w:fill="00B050"/>
          </w:tcPr>
          <w:p>
            <w:pPr>
              <w:pStyle w:val="Tabla8"/>
              <w:jc w:val="center"/>
            </w:pPr>
            <w:r>
              <w:rPr>
                <w:b/>
                <w:color w:val="FFFFFF"/>
              </w:rPr>
              <w:t xml:space="preserve">Supuesto</w:t>
            </w:r>
          </w:p>
        </w:tc>
      </w:tr>
      <w:tr>
        <w:trPr>
          <w:cantSplit/>
        </w:trPr>
        <w:tc>
          <w:tcPr/>
          <w:p>
            <w:pPr>
              <w:pStyle w:val="Tabla8"/>
              <w:jc w:val="left"/>
            </w:pPr>
            <w:r>
              <w:t xml:space="preserve">Producto (nivel 1)</w:t>
            </w:r>
          </w:p>
        </w:tc>
        <w:tc>
          <w:tcPr/>
          <w:p>
            <w:pPr>
              <w:pStyle w:val="Tabla8"/>
              <w:jc w:val="left"/>
            </w:pPr>
            <w:r>
              <w:t xml:space="preserve">Software de corrección y gemelo digital registrado</w:t>
            </w:r>
          </w:p>
        </w:tc>
        <w:tc>
          <w:tcPr/>
          <w:p>
            <w:pPr>
              <w:pStyle w:val="Tabla8"/>
              <w:jc w:val="left"/>
            </w:pPr>
            <w:r>
              <w:t xml:space="preserve">Registros de software ante la DNDA</w:t>
            </w:r>
          </w:p>
        </w:tc>
        <w:tc>
          <w:tcPr/>
          <w:p>
            <w:pPr>
              <w:pStyle w:val="Tabla8"/>
              <w:jc w:val="left"/>
            </w:pPr>
            <w:r>
              <w:t xml:space="preserve">0 (CALCULADO)</w:t>
            </w:r>
          </w:p>
        </w:tc>
        <w:tc>
          <w:tcPr/>
          <w:p>
            <w:pPr>
              <w:pStyle w:val="Tabla8"/>
              <w:jc w:val="left"/>
            </w:pPr>
            <w:r>
              <w:t xml:space="preserve">1 registro vigente al mes 24</w:t>
            </w:r>
          </w:p>
        </w:tc>
        <w:tc>
          <w:tcPr/>
          <w:p>
            <w:pPr>
              <w:pStyle w:val="Tabla8"/>
              <w:jc w:val="left"/>
            </w:pPr>
            <w:r>
              <w:t xml:space="preserve">PERS-P02</w:t>
            </w:r>
          </w:p>
        </w:tc>
        <w:tc>
          <w:tcPr/>
          <w:p>
            <w:pPr>
              <w:pStyle w:val="Tabla8"/>
              <w:jc w:val="left"/>
            </w:pPr>
            <w:r>
              <w:t xml:space="preserve">El registro formaliza la titularidad del modelo y del código</w:t>
            </w:r>
          </w:p>
        </w:tc>
        <w:tc>
          <w:tcPr/>
          <w:p>
            <w:pPr>
              <w:pStyle w:val="Tabla8"/>
              <w:jc w:val="left"/>
            </w:pPr>
            <w:r>
              <w:t xml:space="preserve">Acuerdo de titularidad firmado entre las partes</w:t>
            </w:r>
          </w:p>
        </w:tc>
      </w:tr>
      <w:tr>
        <w:trPr>
          <w:cantSplit/>
        </w:trPr>
        <w:tc>
          <w:tcPr/>
          <w:p>
            <w:pPr>
              <w:pStyle w:val="Tabla8"/>
              <w:jc w:val="left"/>
            </w:pPr>
            <w:r>
              <w:t xml:space="preserve">Producto (nivel 1)</w:t>
            </w:r>
          </w:p>
        </w:tc>
        <w:tc>
          <w:tcPr/>
          <w:p>
            <w:pPr>
              <w:pStyle w:val="Tabla8"/>
              <w:jc w:val="left"/>
            </w:pPr>
            <w:r>
              <w:t xml:space="preserve">Artículos en revistas Q1 o Q2</w:t>
            </w:r>
          </w:p>
        </w:tc>
        <w:tc>
          <w:tcPr/>
          <w:p>
            <w:pPr>
              <w:pStyle w:val="Tabla8"/>
              <w:jc w:val="left"/>
            </w:pPr>
            <w:r>
              <w:t xml:space="preserve">Artículos sometidos y aceptados con filiación del proyecto</w:t>
            </w:r>
          </w:p>
        </w:tc>
        <w:tc>
          <w:tcPr/>
          <w:p>
            <w:pPr>
              <w:pStyle w:val="Tabla8"/>
              <w:jc w:val="left"/>
            </w:pPr>
            <w:r>
              <w:t xml:space="preserve">0 (CALCULADO)</w:t>
            </w:r>
          </w:p>
        </w:tc>
        <w:tc>
          <w:tcPr/>
          <w:p>
            <w:pPr>
              <w:pStyle w:val="Tabla8"/>
              <w:jc w:val="left"/>
            </w:pPr>
            <w:r>
              <w:t xml:space="preserve">2 sometidos y al menos 1 aceptado al mes 24</w:t>
            </w:r>
          </w:p>
        </w:tc>
        <w:tc>
          <w:tcPr/>
          <w:p>
            <w:pPr>
              <w:pStyle w:val="Tabla8"/>
              <w:jc w:val="left"/>
            </w:pPr>
            <w:r>
              <w:t xml:space="preserve">PERS-P03</w:t>
            </w:r>
          </w:p>
        </w:tc>
        <w:tc>
          <w:tcPr/>
          <w:p>
            <w:pPr>
              <w:pStyle w:val="Tabla8"/>
              <w:jc w:val="left"/>
            </w:pPr>
            <w:r>
              <w:t xml:space="preserve">La revisión por pares valida el método y el desempeño comunicado</w:t>
            </w:r>
          </w:p>
        </w:tc>
        <w:tc>
          <w:tcPr/>
          <w:p>
            <w:pPr>
              <w:pStyle w:val="Tabla8"/>
              <w:jc w:val="left"/>
            </w:pPr>
            <w:r>
              <w:t xml:space="preserve">Tiempos editoriales compatibles con el cierre</w:t>
            </w:r>
          </w:p>
        </w:tc>
      </w:tr>
      <w:tr>
        <w:trPr>
          <w:cantSplit/>
        </w:trPr>
        <w:tc>
          <w:tcPr/>
          <w:p>
            <w:pPr>
              <w:pStyle w:val="Tabla8"/>
              <w:jc w:val="left"/>
            </w:pPr>
            <w:r>
              <w:t xml:space="preserve">Producto (nivel 1)</w:t>
            </w:r>
          </w:p>
        </w:tc>
        <w:tc>
          <w:tcPr/>
          <w:p>
            <w:pPr>
              <w:pStyle w:val="Tabla8"/>
              <w:jc w:val="left"/>
            </w:pPr>
            <w:r>
              <w:t xml:space="preserve">Base de datos de colocalización</w:t>
            </w:r>
          </w:p>
        </w:tc>
        <w:tc>
          <w:tcPr/>
          <w:p>
            <w:pPr>
              <w:pStyle w:val="Tabla8"/>
              <w:jc w:val="left"/>
            </w:pPr>
            <w:r>
              <w:t xml:space="preserve">Horas-nodo válidas de colocalización</w:t>
            </w:r>
          </w:p>
        </w:tc>
        <w:tc>
          <w:tcPr/>
          <w:p>
            <w:pPr>
              <w:pStyle w:val="Tabla8"/>
              <w:jc w:val="left"/>
            </w:pPr>
            <w:r>
              <w:t xml:space="preserve">0 (CALCULADO)</w:t>
            </w:r>
          </w:p>
        </w:tc>
        <w:tc>
          <w:tcPr/>
          <w:p>
            <w:pPr>
              <w:pStyle w:val="Tabla8"/>
              <w:jc w:val="left"/>
            </w:pPr>
            <w:r>
              <w:t xml:space="preserve">≥ 60.000 horas-nodo y 4 rotaciones por departamento</w:t>
            </w:r>
          </w:p>
        </w:tc>
        <w:tc>
          <w:tcPr/>
          <w:p>
            <w:pPr>
              <w:pStyle w:val="Tabla8"/>
              <w:jc w:val="left"/>
            </w:pPr>
            <w:r>
              <w:t xml:space="preserve">PERS-R05</w:t>
            </w:r>
          </w:p>
        </w:tc>
        <w:tc>
          <w:tcPr/>
          <w:p>
            <w:pPr>
              <w:pStyle w:val="Tabla8"/>
              <w:jc w:val="left"/>
            </w:pPr>
            <w:r>
              <w:t xml:space="preserve">Los pares nodo-referencia permiten estimar el sesgo y ajustar el modelo</w:t>
            </w:r>
          </w:p>
        </w:tc>
        <w:tc>
          <w:tcPr/>
          <w:p>
            <w:pPr>
              <w:pStyle w:val="Tabla8"/>
              <w:jc w:val="left"/>
            </w:pPr>
            <w:r>
              <w:t xml:space="preserve">Tres referencias con completitud ≥ 90 %</w:t>
            </w:r>
          </w:p>
        </w:tc>
      </w:tr>
      <w:tr>
        <w:trPr>
          <w:cantSplit/>
        </w:trPr>
        <w:tc>
          <w:tcPr/>
          <w:p>
            <w:pPr>
              <w:pStyle w:val="Tabla8"/>
              <w:jc w:val="left"/>
            </w:pPr>
            <w:r>
              <w:t xml:space="preserve">Producto (nivel 1)</w:t>
            </w:r>
          </w:p>
        </w:tc>
        <w:tc>
          <w:tcPr/>
          <w:p>
            <w:pPr>
              <w:pStyle w:val="Tabla8"/>
              <w:jc w:val="left"/>
            </w:pPr>
            <w:r>
              <w:t xml:space="preserve">Madurez tecnológica demostrada</w:t>
            </w:r>
          </w:p>
        </w:tc>
        <w:tc>
          <w:tcPr/>
          <w:p>
            <w:pPr>
              <w:pStyle w:val="Tabla8"/>
              <w:jc w:val="left"/>
            </w:pPr>
            <w:r>
              <w:t xml:space="preserve">Nivel TRL demostrado</w:t>
            </w:r>
          </w:p>
        </w:tc>
        <w:tc>
          <w:tcPr/>
          <w:p>
            <w:pPr>
              <w:pStyle w:val="Tabla8"/>
              <w:jc w:val="left"/>
            </w:pPr>
            <w:r>
              <w:t xml:space="preserve">4 (PROPUESTO)</w:t>
            </w:r>
          </w:p>
        </w:tc>
        <w:tc>
          <w:tcPr/>
          <w:p>
            <w:pPr>
              <w:pStyle w:val="Tabla8"/>
              <w:jc w:val="left"/>
            </w:pPr>
            <w:r>
              <w:t xml:space="preserve">7 al mes 24; TRL 8 condicionado a evaluación independiente</w:t>
            </w:r>
          </w:p>
        </w:tc>
        <w:tc>
          <w:tcPr/>
          <w:p>
            <w:pPr>
              <w:pStyle w:val="Tabla8"/>
              <w:jc w:val="left"/>
            </w:pPr>
            <w:r>
              <w:t xml:space="preserve">PERS-P01</w:t>
            </w:r>
          </w:p>
        </w:tc>
        <w:tc>
          <w:tcPr/>
          <w:p>
            <w:pPr>
              <w:pStyle w:val="Tabla8"/>
              <w:jc w:val="left"/>
            </w:pPr>
            <w:r>
              <w:t xml:space="preserve">Cada compuerta exige validación en un entorno más cercano a la operación</w:t>
            </w:r>
          </w:p>
        </w:tc>
        <w:tc>
          <w:tcPr/>
          <w:p>
            <w:pPr>
              <w:pStyle w:val="Tabla8"/>
              <w:jc w:val="left"/>
            </w:pPr>
            <w:r>
              <w:t xml:space="preserve">Ensayo independiente en el mes 23</w:t>
            </w:r>
          </w:p>
        </w:tc>
      </w:tr>
      <w:tr>
        <w:trPr>
          <w:cantSplit/>
        </w:trPr>
        <w:tc>
          <w:tcPr/>
          <w:p>
            <w:pPr>
              <w:pStyle w:val="Tabla8"/>
              <w:jc w:val="left"/>
            </w:pPr>
            <w:r>
              <w:t xml:space="preserve">Efecto inmediato (nivel 2)</w:t>
            </w:r>
          </w:p>
        </w:tc>
        <w:tc>
          <w:tcPr/>
          <w:p>
            <w:pPr>
              <w:pStyle w:val="Tabla8"/>
              <w:jc w:val="left"/>
            </w:pPr>
            <w:r>
              <w:t xml:space="preserve">Desempeño verificado del modelo de corrección</w:t>
            </w:r>
          </w:p>
        </w:tc>
        <w:tc>
          <w:tcPr/>
          <w:p>
            <w:pPr>
              <w:pStyle w:val="Tabla8"/>
              <w:jc w:val="left"/>
            </w:pPr>
            <w:r>
              <w:t xml:space="preserve">R² y NRMSE de los nodos frente a la referencia</w:t>
            </w:r>
          </w:p>
        </w:tc>
        <w:tc>
          <w:tcPr/>
          <w:p>
            <w:pPr>
              <w:pStyle w:val="Tabla8"/>
              <w:jc w:val="left"/>
            </w:pPr>
            <w:r>
              <w:t xml:space="preserve">VACIO (se mide en el tramo 1)</w:t>
            </w:r>
          </w:p>
        </w:tc>
        <w:tc>
          <w:tcPr/>
          <w:p>
            <w:pPr>
              <w:pStyle w:val="Tabla8"/>
              <w:jc w:val="left"/>
            </w:pPr>
            <w:r>
              <w:t xml:space="preserve">R² ≥ 0,70 y NRMSE ≤ 30 % en los tres tramos, verificados al mes 24</w:t>
            </w:r>
          </w:p>
        </w:tc>
        <w:tc>
          <w:tcPr/>
          <w:p>
            <w:pPr>
              <w:pStyle w:val="Tabla8"/>
              <w:jc w:val="left"/>
            </w:pPr>
            <w:r>
              <w:t xml:space="preserve">PERS-R02</w:t>
            </w:r>
          </w:p>
        </w:tc>
        <w:tc>
          <w:tcPr/>
          <w:p>
            <w:pPr>
              <w:pStyle w:val="Tabla8"/>
              <w:jc w:val="left"/>
            </w:pPr>
            <w:r>
              <w:t xml:space="preserve">La corrección en el gateway compensa humedad y fracción gruesa</w:t>
            </w:r>
          </w:p>
        </w:tc>
        <w:tc>
          <w:tcPr/>
          <w:p>
            <w:pPr>
              <w:pStyle w:val="Tabla8"/>
              <w:jc w:val="left"/>
            </w:pPr>
            <w:r>
              <w:t xml:space="preserve">SC-1</w:t>
            </w:r>
          </w:p>
        </w:tc>
      </w:tr>
      <w:tr>
        <w:trPr>
          <w:cantSplit/>
        </w:trPr>
        <w:tc>
          <w:tcPr/>
          <w:p>
            <w:pPr>
              <w:pStyle w:val="Tabla8"/>
              <w:jc w:val="left"/>
            </w:pPr>
            <w:r>
              <w:t xml:space="preserve">Efecto intermedio (nivel 3, contribución)</w:t>
            </w:r>
          </w:p>
        </w:tc>
        <w:tc>
          <w:tcPr/>
          <w:p>
            <w:pPr>
              <w:pStyle w:val="Tabla8"/>
              <w:jc w:val="left"/>
            </w:pPr>
            <w:r>
              <w:t xml:space="preserve">Transferencia del protocolo y de las series de datos</w:t>
            </w:r>
          </w:p>
        </w:tc>
        <w:tc>
          <w:tcPr/>
          <w:p>
            <w:pPr>
              <w:pStyle w:val="Tabla8"/>
              <w:jc w:val="left"/>
            </w:pPr>
            <w:r>
              <w:t xml:space="preserve">Custodios con ICAR ≥ 2 que reciben el protocolo bajo acta</w:t>
            </w:r>
          </w:p>
        </w:tc>
        <w:tc>
          <w:tcPr/>
          <w:p>
            <w:pPr>
              <w:pStyle w:val="Tabla8"/>
              <w:jc w:val="left"/>
            </w:pPr>
            <w:r>
              <w:t xml:space="preserve">VACIO (ICAR NO_CALCULABLE)</w:t>
            </w:r>
          </w:p>
        </w:tc>
        <w:tc>
          <w:tcPr/>
          <w:p>
            <w:pPr>
              <w:pStyle w:val="Tabla8"/>
              <w:jc w:val="left"/>
            </w:pPr>
            <w:r>
              <w:t xml:space="preserve">≥ 1 custodio al mes 12 (PROPUESTO)</w:t>
            </w:r>
          </w:p>
        </w:tc>
        <w:tc>
          <w:tcPr/>
          <w:p>
            <w:pPr>
              <w:pStyle w:val="Tabla8"/>
              <w:jc w:val="left"/>
            </w:pPr>
            <w:r>
              <w:t xml:space="preserve">PERS-E03</w:t>
            </w:r>
          </w:p>
        </w:tc>
        <w:tc>
          <w:tcPr/>
          <w:p>
            <w:pPr>
              <w:pStyle w:val="Tabla8"/>
              <w:jc w:val="left"/>
            </w:pPr>
            <w:r>
              <w:t xml:space="preserve">El acta de entrega traslada la custodia del protocolo y de los datos</w:t>
            </w:r>
          </w:p>
        </w:tc>
        <w:tc>
          <w:tcPr/>
          <w:p>
            <w:pPr>
              <w:pStyle w:val="Tabla8"/>
              <w:jc w:val="left"/>
            </w:pPr>
            <w:r>
              <w:t xml:space="preserve">SC-4</w:t>
            </w:r>
          </w:p>
        </w:tc>
      </w:tr>
      <w:tr>
        <w:trPr>
          <w:cantSplit/>
        </w:trPr>
        <w:tc>
          <w:tcPr/>
          <w:p>
            <w:pPr>
              <w:pStyle w:val="Tabla8"/>
              <w:jc w:val="left"/>
            </w:pPr>
            <w:r>
              <w:t xml:space="preserve">Impacto (nivel 4, contribución)</w:t>
            </w:r>
          </w:p>
        </w:tc>
        <w:tc>
          <w:tcPr/>
          <w:p>
            <w:pPr>
              <w:pStyle w:val="Tabla8"/>
              <w:jc w:val="left"/>
            </w:pPr>
            <w:r>
              <w:t xml:space="preserve">Práctica de calibración colocalizada bajo custodia</w:t>
            </w:r>
          </w:p>
        </w:tc>
        <w:tc>
          <w:tcPr/>
          <w:p>
            <w:pPr>
              <w:pStyle w:val="Tabla8"/>
              <w:jc w:val="left"/>
            </w:pPr>
            <w:r>
              <w:t xml:space="preserve">Nodos operados por custodios con partida y competencia</w:t>
            </w:r>
          </w:p>
        </w:tc>
        <w:tc>
          <w:tcPr/>
          <w:p>
            <w:pPr>
              <w:pStyle w:val="Tabla8"/>
              <w:jc w:val="left"/>
            </w:pPr>
            <w:r>
              <w:t xml:space="preserve">VACIO</w:t>
            </w:r>
          </w:p>
        </w:tc>
        <w:tc>
          <w:tcPr/>
          <w:p>
            <w:pPr>
              <w:pStyle w:val="Tabla8"/>
              <w:jc w:val="left"/>
            </w:pPr>
            <w:r>
              <w:t xml:space="preserve">≥ 70 % a los 12 meses posteriores al cierre</w:t>
            </w:r>
          </w:p>
        </w:tc>
        <w:tc>
          <w:tcPr/>
          <w:p>
            <w:pPr>
              <w:pStyle w:val="Tabla8"/>
              <w:jc w:val="left"/>
            </w:pPr>
            <w:r>
              <w:t xml:space="preserve">PERS-S02</w:t>
            </w:r>
          </w:p>
        </w:tc>
        <w:tc>
          <w:tcPr/>
          <w:p>
            <w:pPr>
              <w:pStyle w:val="Tabla8"/>
              <w:jc w:val="left"/>
            </w:pPr>
            <w:r>
              <w:t xml:space="preserve">El custodio con partida repite las rotaciones y sostiene el laboratorio</w:t>
            </w:r>
          </w:p>
        </w:tc>
        <w:tc>
          <w:tcPr/>
          <w:p>
            <w:pPr>
              <w:pStyle w:val="Tabla8"/>
              <w:jc w:val="left"/>
            </w:pPr>
            <w:r>
              <w:t xml:space="preserve">Cláusula de apertura y financiación de los custodios</w:t>
            </w:r>
          </w:p>
        </w:tc>
      </w:tr>
    </w:tbl>
    <w:p>
      <w:pPr>
        <w:pStyle w:val="TablaNota"/>
      </w:pPr>
      <w:r>
        <w:rPr>
          <w:i/>
          <w:iCs/>
        </w:rPr>
        <w:t xml:space="preserve">Nota.</w:t>
      </w:r>
      <w:r>
        <w:t xml:space="preserve"> </w:t>
      </w:r>
      <w:r>
        <w:t xml:space="preserve">Elaboración propia con datos de la ficha de indicadores PERS y de los umbrales de desempeño de la Agencia de Protección Ambiental de Estados Unidos (EPA, 2021). Naturaleza: metas PERS DECLARADAS en la ficha; TRL y transferencia al mes 12: PROPUESTO. NRMSE: error cuadrático medio normalizado. R²: coeficiente de determinación. Decimales con coma.</w:t>
      </w:r>
    </w:p>
    <w:p>
      <w:pPr>
        <w:pStyle w:val="BodyText"/>
      </w:pPr>
      <w:r>
        <w:t xml:space="preserve">La Tabla 13.2 separa los compromisos del proyecto de sus contribuciones. Las filas de productos y la fila de desempeño verificado se comprometen y se verifican con documentos fechables. Las dos últimas filas se reportan como contribución y dependen de SC-4. El impacto científico-tecnológico declarado es modesto y medible: la práctica de calibración colocalizada sigue operando bajo custodia a los 12 meses del cierre. El capítulo no declara un cambio del marco de referencia del sector, porque ninguna evidencia lo respalda.</w:t>
      </w:r>
    </w:p>
    <w:bookmarkEnd w:id="586"/>
    <w:bookmarkStart w:id="590" w:name="_Toc00900235"/>
    <w:p>
      <w:pPr>
        <w:pStyle w:val="Heading2"/>
      </w:pPr>
      <w:r>
        <w:t xml:space="preserve">13.2 Impacto social</w:t>
      </w:r>
    </w:p>
    <w:p>
      <w:pPr>
        <w:pStyle w:val="FirstParagraph"/>
      </w:pPr>
      <w:r>
        <w:t xml:space="preserve">La cadena social se diferencia por los niveles de la escalera de apropiación social del conocimiento (ASC). La ficha de indicadores define cuatro: información, consulta, colaboración activa y empoderamiento. Arnstein (1969) ordenó la participación ciudadana en una escalera y calificó la información y la consulta como grados de participación simbólica. El conocimiento se construye en diálogo y no se transfiere (Freire, 2005). Ambas posiciones coinciden en que los materiales y los talleres de un solo sentido no bastan para cambiar prácticas. El proyecto traduce esa coincidencia en una regla de lectura. Los productos sociales, es decir las cartillas, las jornadas y los talleres, pertenecen a los niveles 1 y 2 de la escalera. Los efectos sociales, es decir el uso del tablero por los comités y la capacidad instalada, pertenecen al nivel 3. El impacto social pertenece al nivel 4: activación del protocolo y continuidad bajo custodia.</w:t>
      </w:r>
    </w:p>
    <w:p>
      <w:pPr>
        <w:pStyle w:val="BodyText"/>
      </w:pPr>
      <w:r>
        <w:t xml:space="preserve">Existe un debate sobre el papel de la participación en proyectos tecnológicos. Una posición la trata como instrumento: la participación mejora la compatibilidad percibida de la innovación y, con ella, su adopción (Rogers, 2003). La posición contraria la trata como fin: la comunidad decide sobre los criterios que la afectan (Arnstein, 1969; Callon, 1999). El proyecto combina ambas. El nivel 3 es obligatorio en la ficha y exige al menos tres actividades documentadas con acta firmada. El nivel 4 es aspiracional y exige una actividad con plan de sostenibilidad. La meta de productos es de 29 actividades, 20 talleres y 9 jornadas, al mes 24 (PERS-P04). La línea base de cada indicador social es cero o VACIO, y la Tabla 13.3 lo registra fila por fila.</w:t>
      </w:r>
    </w:p>
    <w:p>
      <w:pPr>
        <w:pStyle w:val="TablaRotulo"/>
      </w:pPr>
      <w:bookmarkStart w:id="9352" w:name="rot_Tabla_13_3"/>
      <w:r>
        <w:rPr>
          <w:b/>
          <w:bCs/>
        </w:rPr>
        <w:t xml:space="preserve">Tabla 13.3</w:t>
      </w:r>
      <w:bookmarkEnd w:id="9352"/>
    </w:p>
    <w:p>
      <w:pPr>
        <w:pStyle w:val="TablaTitulo"/>
      </w:pPr>
      <w:r>
        <w:rPr>
          <w:i/>
          <w:iCs/>
        </w:rPr>
        <w:t xml:space="preserve">Matriz de impactos sociales: producto, efecto e impacto con indicadores SMART y nivel ASC</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26"/>
        <w:gridCol w:w="528"/>
        <w:gridCol w:w="1188"/>
        <w:gridCol w:w="1122"/>
        <w:gridCol w:w="1254"/>
        <w:gridCol w:w="1122"/>
        <w:gridCol w:w="858"/>
        <w:gridCol w:w="1122"/>
      </w:tblGrid>
      <w:tr>
        <w:trPr>
          <w:cantSplit/>
          <w:tblHeader/>
        </w:trPr>
        <w:tc>
          <w:tcPr>
            <w:shd w:val="clear" w:color="auto" w:fill="00B050"/>
          </w:tcPr>
          <w:p>
            <w:pPr>
              <w:pStyle w:val="Tabla8"/>
              <w:jc w:val="center"/>
            </w:pPr>
            <w:r>
              <w:rPr>
                <w:b/>
                <w:color w:val="FFFFFF"/>
              </w:rPr>
              <w:t xml:space="preserve">Nivel de la cadena</w:t>
            </w:r>
          </w:p>
        </w:tc>
        <w:tc>
          <w:tcPr>
            <w:shd w:val="clear" w:color="auto" w:fill="00B050"/>
          </w:tcPr>
          <w:p>
            <w:pPr>
              <w:pStyle w:val="Tabla8"/>
              <w:jc w:val="center"/>
            </w:pPr>
            <w:r>
              <w:rPr>
                <w:b/>
                <w:color w:val="FFFFFF"/>
              </w:rPr>
              <w:t xml:space="preserve">Nivel ASC</w:t>
            </w:r>
          </w:p>
        </w:tc>
        <w:tc>
          <w:tcPr>
            <w:shd w:val="clear" w:color="auto" w:fill="00B050"/>
          </w:tcPr>
          <w:p>
            <w:pPr>
              <w:pStyle w:val="Tabla8"/>
              <w:jc w:val="center"/>
            </w:pPr>
            <w:r>
              <w:rPr>
                <w:b/>
                <w:color w:val="FFFFFF"/>
              </w:rPr>
              <w:t xml:space="preserve">Resultado</w:t>
            </w:r>
          </w:p>
        </w:tc>
        <w:tc>
          <w:tcPr>
            <w:shd w:val="clear" w:color="auto" w:fill="00B050"/>
          </w:tcPr>
          <w:p>
            <w:pPr>
              <w:pStyle w:val="Tabla8"/>
              <w:jc w:val="center"/>
            </w:pPr>
            <w:r>
              <w:rPr>
                <w:b/>
                <w:color w:val="FFFFFF"/>
              </w:rPr>
              <w:t xml:space="preserve">Indicador SMART</w:t>
            </w:r>
          </w:p>
        </w:tc>
        <w:tc>
          <w:tcPr>
            <w:shd w:val="clear" w:color="auto" w:fill="00B050"/>
          </w:tcPr>
          <w:p>
            <w:pPr>
              <w:pStyle w:val="Tabla8"/>
              <w:jc w:val="center"/>
            </w:pPr>
            <w:r>
              <w:rPr>
                <w:b/>
                <w:color w:val="FFFFFF"/>
              </w:rPr>
              <w:t xml:space="preserve">Línea base</w:t>
            </w:r>
          </w:p>
        </w:tc>
        <w:tc>
          <w:tcPr>
            <w:shd w:val="clear" w:color="auto" w:fill="00B050"/>
          </w:tcPr>
          <w:p>
            <w:pPr>
              <w:pStyle w:val="Tabla8"/>
              <w:jc w:val="center"/>
            </w:pPr>
            <w:r>
              <w:rPr>
                <w:b/>
                <w:color w:val="FFFFFF"/>
              </w:rPr>
              <w:t xml:space="preserve">Meta y plazo</w:t>
            </w:r>
          </w:p>
        </w:tc>
        <w:tc>
          <w:tcPr>
            <w:shd w:val="clear" w:color="auto" w:fill="00B050"/>
          </w:tcPr>
          <w:p>
            <w:pPr>
              <w:pStyle w:val="Tabla8"/>
              <w:jc w:val="center"/>
            </w:pPr>
            <w:r>
              <w:rPr>
                <w:b/>
                <w:color w:val="FFFFFF"/>
              </w:rPr>
              <w:t xml:space="preserve">PERS</w:t>
            </w:r>
          </w:p>
        </w:tc>
        <w:tc>
          <w:tcPr>
            <w:shd w:val="clear" w:color="auto" w:fill="00B050"/>
          </w:tcPr>
          <w:p>
            <w:pPr>
              <w:pStyle w:val="Tabla8"/>
              <w:jc w:val="center"/>
            </w:pPr>
            <w:r>
              <w:rPr>
                <w:b/>
                <w:color w:val="FFFFFF"/>
              </w:rPr>
              <w:t xml:space="preserve">Mecanismo y supuesto</w:t>
            </w:r>
          </w:p>
        </w:tc>
      </w:tr>
      <w:tr>
        <w:trPr>
          <w:cantSplit/>
        </w:trPr>
        <w:tc>
          <w:tcPr/>
          <w:p>
            <w:pPr>
              <w:pStyle w:val="Tabla8"/>
              <w:jc w:val="left"/>
            </w:pPr>
            <w:r>
              <w:t xml:space="preserve">Producto</w:t>
            </w:r>
          </w:p>
        </w:tc>
        <w:tc>
          <w:tcPr/>
          <w:p>
            <w:pPr>
              <w:pStyle w:val="Tabla8"/>
              <w:jc w:val="left"/>
            </w:pPr>
            <w:r>
              <w:t xml:space="preserve">1 y 2</w:t>
            </w:r>
          </w:p>
        </w:tc>
        <w:tc>
          <w:tcPr/>
          <w:p>
            <w:pPr>
              <w:pStyle w:val="Tabla8"/>
              <w:jc w:val="left"/>
            </w:pPr>
            <w:r>
              <w:t xml:space="preserve">Cartillas, jornadas y consultas</w:t>
            </w:r>
          </w:p>
        </w:tc>
        <w:tc>
          <w:tcPr/>
          <w:p>
            <w:pPr>
              <w:pStyle w:val="Tabla8"/>
              <w:jc w:val="left"/>
            </w:pPr>
            <w:r>
              <w:t xml:space="preserve">Actividades de apropiación documentadas</w:t>
            </w:r>
          </w:p>
        </w:tc>
        <w:tc>
          <w:tcPr/>
          <w:p>
            <w:pPr>
              <w:pStyle w:val="Tabla8"/>
              <w:jc w:val="left"/>
            </w:pPr>
            <w:r>
              <w:t xml:space="preserve">0 (CALCULADO)</w:t>
            </w:r>
          </w:p>
        </w:tc>
        <w:tc>
          <w:tcPr/>
          <w:p>
            <w:pPr>
              <w:pStyle w:val="Tabla8"/>
              <w:jc w:val="left"/>
            </w:pPr>
            <w:r>
              <w:t xml:space="preserve">29 actividades, 20 talleres y 9 jornadas, al mes 24</w:t>
            </w:r>
          </w:p>
        </w:tc>
        <w:tc>
          <w:tcPr/>
          <w:p>
            <w:pPr>
              <w:pStyle w:val="Tabla8"/>
              <w:jc w:val="left"/>
            </w:pPr>
            <w:r>
              <w:t xml:space="preserve">PERS-P04</w:t>
            </w:r>
          </w:p>
        </w:tc>
        <w:tc>
          <w:tcPr/>
          <w:p>
            <w:pPr>
              <w:pStyle w:val="Tabla8"/>
              <w:jc w:val="left"/>
            </w:pPr>
            <w:r>
              <w:t xml:space="preserve">La información y la consulta preparan el co-diseño; consentimiento informado</w:t>
            </w:r>
          </w:p>
        </w:tc>
      </w:tr>
      <w:tr>
        <w:trPr>
          <w:cantSplit/>
        </w:trPr>
        <w:tc>
          <w:tcPr/>
          <w:p>
            <w:pPr>
              <w:pStyle w:val="Tabla8"/>
              <w:jc w:val="left"/>
            </w:pPr>
            <w:r>
              <w:t xml:space="preserve">Producto</w:t>
            </w:r>
          </w:p>
        </w:tc>
        <w:tc>
          <w:tcPr/>
          <w:p>
            <w:pPr>
              <w:pStyle w:val="Tabla8"/>
              <w:jc w:val="left"/>
            </w:pPr>
            <w:r>
              <w:t xml:space="preserve">3</w:t>
            </w:r>
          </w:p>
        </w:tc>
        <w:tc>
          <w:tcPr/>
          <w:p>
            <w:pPr>
              <w:pStyle w:val="Tabla8"/>
              <w:jc w:val="left"/>
            </w:pPr>
            <w:r>
              <w:t xml:space="preserve">Umbrales y protocolo co-diseñados</w:t>
            </w:r>
          </w:p>
        </w:tc>
        <w:tc>
          <w:tcPr/>
          <w:p>
            <w:pPr>
              <w:pStyle w:val="Tabla8"/>
              <w:jc w:val="left"/>
            </w:pPr>
            <w:r>
              <w:t xml:space="preserve">Actividades de nivel 3 con acta firmada</w:t>
            </w:r>
          </w:p>
        </w:tc>
        <w:tc>
          <w:tcPr/>
          <w:p>
            <w:pPr>
              <w:pStyle w:val="Tabla8"/>
              <w:jc w:val="left"/>
            </w:pPr>
            <w:r>
              <w:t xml:space="preserve">0 (CALCULADO)</w:t>
            </w:r>
          </w:p>
        </w:tc>
        <w:tc>
          <w:tcPr/>
          <w:p>
            <w:pPr>
              <w:pStyle w:val="Tabla8"/>
              <w:jc w:val="left"/>
            </w:pPr>
            <w:r>
              <w:t xml:space="preserve">Mínimo 3 con acta firmada</w:t>
            </w:r>
          </w:p>
        </w:tc>
        <w:tc>
          <w:tcPr/>
          <w:p>
            <w:pPr>
              <w:pStyle w:val="Tabla8"/>
              <w:jc w:val="left"/>
            </w:pPr>
            <w:r>
              <w:t xml:space="preserve">PERS-P04</w:t>
            </w:r>
          </w:p>
        </w:tc>
        <w:tc>
          <w:tcPr/>
          <w:p>
            <w:pPr>
              <w:pStyle w:val="Tabla8"/>
              <w:jc w:val="left"/>
            </w:pPr>
            <w:r>
              <w:t xml:space="preserve">El co-diseño expone los criterios de decisión a quienes los usan (SC-3)</w:t>
            </w:r>
          </w:p>
        </w:tc>
      </w:tr>
      <w:tr>
        <w:trPr>
          <w:cantSplit/>
        </w:trPr>
        <w:tc>
          <w:tcPr/>
          <w:p>
            <w:pPr>
              <w:pStyle w:val="Tabla8"/>
              <w:jc w:val="left"/>
            </w:pPr>
            <w:r>
              <w:t xml:space="preserve">Efecto</w:t>
            </w:r>
          </w:p>
        </w:tc>
        <w:tc>
          <w:tcPr/>
          <w:p>
            <w:pPr>
              <w:pStyle w:val="Tabla8"/>
              <w:jc w:val="left"/>
            </w:pPr>
            <w:r>
              <w:t xml:space="preserve">3</w:t>
            </w:r>
          </w:p>
        </w:tc>
        <w:tc>
          <w:tcPr/>
          <w:p>
            <w:pPr>
              <w:pStyle w:val="Tabla8"/>
              <w:jc w:val="left"/>
            </w:pPr>
            <w:r>
              <w:t xml:space="preserve">Uso del tablero por los comités</w:t>
            </w:r>
          </w:p>
        </w:tc>
        <w:tc>
          <w:tcPr/>
          <w:p>
            <w:pPr>
              <w:pStyle w:val="Tabla8"/>
              <w:jc w:val="left"/>
            </w:pPr>
            <w:r>
              <w:t xml:space="preserve">Comités con decisión documentada por trimestre ÷ comités focalizados</w:t>
            </w:r>
          </w:p>
        </w:tc>
        <w:tc>
          <w:tcPr/>
          <w:p>
            <w:pPr>
              <w:pStyle w:val="Tabla8"/>
              <w:jc w:val="left"/>
            </w:pPr>
            <w:r>
              <w:t xml:space="preserve">VACIO</w:t>
            </w:r>
          </w:p>
        </w:tc>
        <w:tc>
          <w:tcPr/>
          <w:p>
            <w:pPr>
              <w:pStyle w:val="Tabla8"/>
              <w:jc w:val="left"/>
            </w:pPr>
            <w:r>
              <w:t xml:space="preserve">≥ 50 % en el piloto (mes 12); ≥ 75 % al mes 24</w:t>
            </w:r>
          </w:p>
        </w:tc>
        <w:tc>
          <w:tcPr/>
          <w:p>
            <w:pPr>
              <w:pStyle w:val="Tabla8"/>
              <w:jc w:val="left"/>
            </w:pPr>
            <w:r>
              <w:t xml:space="preserve">PERS-E01</w:t>
            </w:r>
          </w:p>
        </w:tc>
        <w:tc>
          <w:tcPr/>
          <w:p>
            <w:pPr>
              <w:pStyle w:val="Tabla8"/>
              <w:jc w:val="left"/>
            </w:pPr>
            <w:r>
              <w:t xml:space="preserve">Comités constituidos y con sesiones periódicas (SC-3)</w:t>
            </w:r>
          </w:p>
        </w:tc>
      </w:tr>
      <w:tr>
        <w:trPr>
          <w:cantSplit/>
        </w:trPr>
        <w:tc>
          <w:tcPr/>
          <w:p>
            <w:pPr>
              <w:pStyle w:val="Tabla8"/>
              <w:jc w:val="left"/>
            </w:pPr>
            <w:r>
              <w:t xml:space="preserve">Efecto</w:t>
            </w:r>
          </w:p>
        </w:tc>
        <w:tc>
          <w:tcPr/>
          <w:p>
            <w:pPr>
              <w:pStyle w:val="Tabla8"/>
              <w:jc w:val="left"/>
            </w:pPr>
            <w:r>
              <w:t xml:space="preserve">3</w:t>
            </w:r>
          </w:p>
        </w:tc>
        <w:tc>
          <w:tcPr/>
          <w:p>
            <w:pPr>
              <w:pStyle w:val="Tabla8"/>
              <w:jc w:val="left"/>
            </w:pPr>
            <w:r>
              <w:t xml:space="preserve">Capacidad instalada en custodios</w:t>
            </w:r>
          </w:p>
        </w:tc>
        <w:tc>
          <w:tcPr/>
          <w:p>
            <w:pPr>
              <w:pStyle w:val="Tabla8"/>
              <w:jc w:val="left"/>
            </w:pPr>
            <w:r>
              <w:t xml:space="preserve">Personas con evaluación práctica aprobada</w:t>
            </w:r>
          </w:p>
        </w:tc>
        <w:tc>
          <w:tcPr/>
          <w:p>
            <w:pPr>
              <w:pStyle w:val="Tabla8"/>
              <w:jc w:val="left"/>
            </w:pPr>
            <w:r>
              <w:t xml:space="preserve">0 (CALCULADO)</w:t>
            </w:r>
          </w:p>
        </w:tc>
        <w:tc>
          <w:tcPr/>
          <w:p>
            <w:pPr>
              <w:pStyle w:val="Tabla8"/>
              <w:jc w:val="left"/>
            </w:pPr>
            <w:r>
              <w:t xml:space="preserve">≥ 60 personas certificadas</w:t>
            </w:r>
          </w:p>
        </w:tc>
        <w:tc>
          <w:tcPr/>
          <w:p>
            <w:pPr>
              <w:pStyle w:val="Tabla8"/>
              <w:jc w:val="left"/>
            </w:pPr>
            <w:r>
              <w:t xml:space="preserve">PERS-E03</w:t>
            </w:r>
          </w:p>
        </w:tc>
        <w:tc>
          <w:tcPr/>
          <w:p>
            <w:pPr>
              <w:pStyle w:val="Tabla8"/>
              <w:jc w:val="left"/>
            </w:pPr>
            <w:r>
              <w:t xml:space="preserve">Los custodios designan personal con permanencia (SC-4)</w:t>
            </w:r>
          </w:p>
        </w:tc>
      </w:tr>
      <w:tr>
        <w:trPr>
          <w:cantSplit/>
        </w:trPr>
        <w:tc>
          <w:tcPr/>
          <w:p>
            <w:pPr>
              <w:pStyle w:val="Tabla8"/>
              <w:jc w:val="left"/>
            </w:pPr>
            <w:r>
              <w:t xml:space="preserve">Efecto</w:t>
            </w:r>
          </w:p>
        </w:tc>
        <w:tc>
          <w:tcPr/>
          <w:p>
            <w:pPr>
              <w:pStyle w:val="Tabla8"/>
              <w:jc w:val="left"/>
            </w:pPr>
            <w:r>
              <w:t xml:space="preserve">3</w:t>
            </w:r>
          </w:p>
        </w:tc>
        <w:tc>
          <w:tcPr/>
          <w:p>
            <w:pPr>
              <w:pStyle w:val="Tabla8"/>
              <w:jc w:val="left"/>
            </w:pPr>
            <w:r>
              <w:t xml:space="preserve">Menos falsas alarmas</w:t>
            </w:r>
          </w:p>
        </w:tc>
        <w:tc>
          <w:tcPr/>
          <w:p>
            <w:pPr>
              <w:pStyle w:val="Tabla8"/>
              <w:jc w:val="left"/>
            </w:pPr>
            <w:r>
              <w:t xml:space="preserve">Reducción relativa de la tasa de falsas alarmas</w:t>
            </w:r>
          </w:p>
        </w:tc>
        <w:tc>
          <w:tcPr/>
          <w:p>
            <w:pPr>
              <w:pStyle w:val="Tabla8"/>
              <w:jc w:val="left"/>
            </w:pPr>
            <w:r>
              <w:t xml:space="preserve">Se mide en el tramo 1 (VACIO)</w:t>
            </w:r>
          </w:p>
        </w:tc>
        <w:tc>
          <w:tcPr/>
          <w:p>
            <w:pPr>
              <w:pStyle w:val="Tabla8"/>
              <w:jc w:val="left"/>
            </w:pPr>
            <w:r>
              <w:t xml:space="preserve">≥ 30 % de reducción relativa</w:t>
            </w:r>
          </w:p>
        </w:tc>
        <w:tc>
          <w:tcPr/>
          <w:p>
            <w:pPr>
              <w:pStyle w:val="Tabla8"/>
              <w:jc w:val="left"/>
            </w:pPr>
            <w:r>
              <w:t xml:space="preserve">PERS-E02</w:t>
            </w:r>
          </w:p>
        </w:tc>
        <w:tc>
          <w:tcPr/>
          <w:p>
            <w:pPr>
              <w:pStyle w:val="Tabla8"/>
              <w:jc w:val="left"/>
            </w:pPr>
            <w:r>
              <w:t xml:space="preserve">Umbrales validados localmente en el co-diseño (SC-3)</w:t>
            </w:r>
          </w:p>
        </w:tc>
      </w:tr>
      <w:tr>
        <w:trPr>
          <w:cantSplit/>
        </w:trPr>
        <w:tc>
          <w:tcPr/>
          <w:p>
            <w:pPr>
              <w:pStyle w:val="Tabla8"/>
              <w:jc w:val="left"/>
            </w:pPr>
            <w:r>
              <w:t xml:space="preserve">Impacto</w:t>
            </w:r>
          </w:p>
        </w:tc>
        <w:tc>
          <w:tcPr/>
          <w:p>
            <w:pPr>
              <w:pStyle w:val="Tabla8"/>
              <w:jc w:val="left"/>
            </w:pPr>
            <w:r>
              <w:t xml:space="preserve">4</w:t>
            </w:r>
          </w:p>
        </w:tc>
        <w:tc>
          <w:tcPr/>
          <w:p>
            <w:pPr>
              <w:pStyle w:val="Tabla8"/>
              <w:jc w:val="left"/>
            </w:pPr>
            <w:r>
              <w:t xml:space="preserve">Activación del protocolo</w:t>
            </w:r>
          </w:p>
        </w:tc>
        <w:tc>
          <w:tcPr/>
          <w:p>
            <w:pPr>
              <w:pStyle w:val="Tabla8"/>
              <w:jc w:val="left"/>
            </w:pPr>
            <w:r>
              <w:t xml:space="preserve">Eventos de superación con medida activada ÷ eventos confirmados</w:t>
            </w:r>
          </w:p>
        </w:tc>
        <w:tc>
          <w:tcPr/>
          <w:p>
            <w:pPr>
              <w:pStyle w:val="Tabla8"/>
              <w:jc w:val="left"/>
            </w:pPr>
            <w:r>
              <w:t xml:space="preserve">VACIO</w:t>
            </w:r>
          </w:p>
        </w:tc>
        <w:tc>
          <w:tcPr/>
          <w:p>
            <w:pPr>
              <w:pStyle w:val="Tabla8"/>
              <w:jc w:val="left"/>
            </w:pPr>
            <w:r>
              <w:t xml:space="preserve">≥ 80 % a los 12 meses posteriores al cierre</w:t>
            </w:r>
          </w:p>
        </w:tc>
        <w:tc>
          <w:tcPr/>
          <w:p>
            <w:pPr>
              <w:pStyle w:val="Tabla8"/>
              <w:jc w:val="left"/>
            </w:pPr>
            <w:r>
              <w:t xml:space="preserve">PERS-S01</w:t>
            </w:r>
          </w:p>
        </w:tc>
        <w:tc>
          <w:tcPr/>
          <w:p>
            <w:pPr>
              <w:pStyle w:val="Tabla8"/>
              <w:jc w:val="left"/>
            </w:pPr>
            <w:r>
              <w:t xml:space="preserve">Custodia operativa y datos disponibles (SC-3 y SC-4)</w:t>
            </w:r>
          </w:p>
        </w:tc>
      </w:tr>
      <w:tr>
        <w:trPr>
          <w:cantSplit/>
        </w:trPr>
        <w:tc>
          <w:tcPr/>
          <w:p>
            <w:pPr>
              <w:pStyle w:val="Tabla8"/>
              <w:jc w:val="left"/>
            </w:pPr>
            <w:r>
              <w:t xml:space="preserve">Impacto</w:t>
            </w:r>
          </w:p>
        </w:tc>
        <w:tc>
          <w:tcPr/>
          <w:p>
            <w:pPr>
              <w:pStyle w:val="Tabla8"/>
              <w:jc w:val="left"/>
            </w:pPr>
            <w:r>
              <w:t xml:space="preserve">4</w:t>
            </w:r>
          </w:p>
        </w:tc>
        <w:tc>
          <w:tcPr/>
          <w:p>
            <w:pPr>
              <w:pStyle w:val="Tabla8"/>
              <w:jc w:val="left"/>
            </w:pPr>
            <w:r>
              <w:t xml:space="preserve">Empoderamiento comunitario</w:t>
            </w:r>
          </w:p>
        </w:tc>
        <w:tc>
          <w:tcPr/>
          <w:p>
            <w:pPr>
              <w:pStyle w:val="Tabla8"/>
              <w:jc w:val="left"/>
            </w:pPr>
            <w:r>
              <w:t xml:space="preserve">Actividades de nivel 4 con plan de sostenibilidad</w:t>
            </w:r>
          </w:p>
        </w:tc>
        <w:tc>
          <w:tcPr/>
          <w:p>
            <w:pPr>
              <w:pStyle w:val="Tabla8"/>
              <w:jc w:val="left"/>
            </w:pPr>
            <w:r>
              <w:t xml:space="preserve">0 (CALCULADO)</w:t>
            </w:r>
          </w:p>
        </w:tc>
        <w:tc>
          <w:tcPr/>
          <w:p>
            <w:pPr>
              <w:pStyle w:val="Tabla8"/>
              <w:jc w:val="left"/>
            </w:pPr>
            <w:r>
              <w:t xml:space="preserve">1 actividad (aspiracional)</w:t>
            </w:r>
          </w:p>
        </w:tc>
        <w:tc>
          <w:tcPr/>
          <w:p>
            <w:pPr>
              <w:pStyle w:val="Tabla8"/>
              <w:jc w:val="left"/>
            </w:pPr>
            <w:r>
              <w:t xml:space="preserve">PERS-P04</w:t>
            </w:r>
          </w:p>
        </w:tc>
        <w:tc>
          <w:tcPr/>
          <w:p>
            <w:pPr>
              <w:pStyle w:val="Tabla8"/>
              <w:jc w:val="left"/>
            </w:pPr>
            <w:r>
              <w:t xml:space="preserve">Formación de formadores locales; observatorio comunitario</w:t>
            </w:r>
          </w:p>
        </w:tc>
      </w:tr>
    </w:tbl>
    <w:p>
      <w:pPr>
        <w:pStyle w:val="TablaNota"/>
      </w:pPr>
      <w:r>
        <w:rPr>
          <w:i/>
          <w:iCs/>
        </w:rPr>
        <w:t xml:space="preserve">Nota.</w:t>
      </w:r>
      <w:r>
        <w:t xml:space="preserve"> </w:t>
      </w:r>
      <w:r>
        <w:t xml:space="preserve">Elaboración propia con la ficha de indicadores PERS y la alineación de la escalera ASC (códigos ASC-COM, ASC-PART y ASC-CIRC). Metas PERS: DECLARADO; fila de empoderamiento: PROPUESTO. Los indicadores de impacto se miden 6 a 12 meses después del cierre.</w:t>
      </w:r>
    </w:p>
    <w:p>
      <w:pPr>
        <w:pStyle w:val="BodyText"/>
      </w:pPr>
      <w:r>
        <w:t xml:space="preserve">La Tabla 13.3 ubica cada indicador en un nivel de la escalera. Los efectos del nivel 3 son los que el proyecto puede acompañar con acciones propias, como el co-diseño, la formación y los convenios. Los impactos del nivel 4 dependen de custodios y comités después del cierre. La activación del protocolo reemplaza a la morbilidad como indicador de impacto. Es medible, atribuible a una decisión registrada y verificable con documentos. La Tabla 13.4 caracteriza a quienes reciben los productos, los efectos y los impactos.</w:t>
      </w:r>
    </w:p>
    <w:p>
      <w:pPr>
        <w:pStyle w:val="TablaRotulo"/>
      </w:pPr>
      <w:bookmarkStart w:id="9353" w:name="rot_Tabla_13_4"/>
      <w:r>
        <w:rPr>
          <w:b/>
          <w:bCs/>
        </w:rPr>
        <w:t xml:space="preserve">Tabla 13.4</w:t>
      </w:r>
      <w:bookmarkEnd w:id="9353"/>
    </w:p>
    <w:p>
      <w:pPr>
        <w:pStyle w:val="TablaTitulo"/>
      </w:pPr>
      <w:r>
        <w:rPr>
          <w:i/>
          <w:iCs/>
        </w:rPr>
        <w:t xml:space="preserve">Caracterización de beneficiarios directos e indirectos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88"/>
        <w:gridCol w:w="858"/>
        <w:gridCol w:w="1650"/>
        <w:gridCol w:w="1650"/>
        <w:gridCol w:w="1320"/>
        <w:gridCol w:w="1254"/>
      </w:tblGrid>
      <w:tr>
        <w:trPr>
          <w:cantSplit/>
          <w:tblHeader/>
        </w:trPr>
        <w:tc>
          <w:tcPr>
            <w:shd w:val="clear" w:color="auto" w:fill="00B050"/>
          </w:tcPr>
          <w:p>
            <w:pPr>
              <w:pStyle w:val="Tabla9"/>
              <w:jc w:val="center"/>
            </w:pPr>
            <w:r>
              <w:rPr>
                <w:b/>
                <w:color w:val="FFFFFF"/>
              </w:rPr>
              <w:t xml:space="preserve">Categoría</w:t>
            </w:r>
          </w:p>
        </w:tc>
        <w:tc>
          <w:tcPr>
            <w:shd w:val="clear" w:color="auto" w:fill="00B050"/>
          </w:tcPr>
          <w:p>
            <w:pPr>
              <w:pStyle w:val="Tabla9"/>
              <w:jc w:val="center"/>
            </w:pPr>
            <w:r>
              <w:rPr>
                <w:b/>
                <w:color w:val="FFFFFF"/>
              </w:rPr>
              <w:t xml:space="preserve">Tipo</w:t>
            </w:r>
          </w:p>
        </w:tc>
        <w:tc>
          <w:tcPr>
            <w:shd w:val="clear" w:color="auto" w:fill="00B050"/>
          </w:tcPr>
          <w:p>
            <w:pPr>
              <w:pStyle w:val="Tabla9"/>
              <w:jc w:val="center"/>
            </w:pPr>
            <w:r>
              <w:rPr>
                <w:b/>
                <w:color w:val="FFFFFF"/>
              </w:rPr>
              <w:t xml:space="preserve">Cantidad</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Ubicación</w:t>
            </w:r>
          </w:p>
        </w:tc>
        <w:tc>
          <w:tcPr>
            <w:shd w:val="clear" w:color="auto" w:fill="00B050"/>
          </w:tcPr>
          <w:p>
            <w:pPr>
              <w:pStyle w:val="Tabla9"/>
              <w:jc w:val="center"/>
            </w:pPr>
            <w:r>
              <w:rPr>
                <w:b/>
                <w:color w:val="FFFFFF"/>
              </w:rPr>
              <w:t xml:space="preserve">Participación prevista</w:t>
            </w:r>
          </w:p>
        </w:tc>
      </w:tr>
      <w:tr>
        <w:trPr>
          <w:cantSplit/>
        </w:trPr>
        <w:tc>
          <w:tcPr/>
          <w:p>
            <w:pPr>
              <w:pStyle w:val="Tabla9"/>
              <w:jc w:val="left"/>
            </w:pPr>
            <w:r>
              <w:t xml:space="preserve">Municipios focalizados</w:t>
            </w:r>
          </w:p>
        </w:tc>
        <w:tc>
          <w:tcPr/>
          <w:p>
            <w:pPr>
              <w:pStyle w:val="Tabla9"/>
              <w:jc w:val="left"/>
            </w:pPr>
            <w:r>
              <w:t xml:space="preserve">Directo</w:t>
            </w:r>
          </w:p>
        </w:tc>
        <w:tc>
          <w:tcPr/>
          <w:p>
            <w:pPr>
              <w:pStyle w:val="Tabla9"/>
              <w:jc w:val="left"/>
            </w:pPr>
            <w:r>
              <w:t xml:space="preserve">12 (4 por departamento) [DATO_USUARIO: lista de municipios]</w:t>
            </w:r>
          </w:p>
        </w:tc>
        <w:tc>
          <w:tcPr/>
          <w:p>
            <w:pPr>
              <w:pStyle w:val="Tabla9"/>
              <w:jc w:val="left"/>
            </w:pPr>
            <w:r>
              <w:t xml:space="preserve">PROPUESTO</w:t>
            </w:r>
          </w:p>
        </w:tc>
        <w:tc>
          <w:tcPr/>
          <w:p>
            <w:pPr>
              <w:pStyle w:val="Tabla9"/>
              <w:jc w:val="left"/>
            </w:pPr>
            <w:r>
              <w:t xml:space="preserve">Caldas, Cundinamarca y Valle del Cauca</w:t>
            </w:r>
          </w:p>
        </w:tc>
        <w:tc>
          <w:tcPr/>
          <w:p>
            <w:pPr>
              <w:pStyle w:val="Tabla9"/>
              <w:jc w:val="left"/>
            </w:pPr>
            <w:r>
              <w:t xml:space="preserve">Sede de nodos, gateways y comité municipal</w:t>
            </w:r>
          </w:p>
        </w:tc>
      </w:tr>
      <w:tr>
        <w:trPr>
          <w:cantSplit/>
        </w:trPr>
        <w:tc>
          <w:tcPr/>
          <w:p>
            <w:pPr>
              <w:pStyle w:val="Tabla9"/>
              <w:jc w:val="left"/>
            </w:pPr>
            <w:r>
              <w:t xml:space="preserve">Comités de gestión del riesgo</w:t>
            </w:r>
          </w:p>
        </w:tc>
        <w:tc>
          <w:tcPr/>
          <w:p>
            <w:pPr>
              <w:pStyle w:val="Tabla9"/>
              <w:jc w:val="left"/>
            </w:pPr>
            <w:r>
              <w:t xml:space="preserve">Directo</w:t>
            </w:r>
          </w:p>
        </w:tc>
        <w:tc>
          <w:tcPr/>
          <w:p>
            <w:pPr>
              <w:pStyle w:val="Tabla9"/>
              <w:jc w:val="left"/>
            </w:pPr>
            <w:r>
              <w:t xml:space="preserve">15 (12 municipales y 3 departamentales)</w:t>
            </w:r>
          </w:p>
        </w:tc>
        <w:tc>
          <w:tcPr/>
          <w:p>
            <w:pPr>
              <w:pStyle w:val="Tabla9"/>
              <w:jc w:val="left"/>
            </w:pPr>
            <w:r>
              <w:t xml:space="preserve">SUPUESTO</w:t>
            </w:r>
          </w:p>
        </w:tc>
        <w:tc>
          <w:tcPr/>
          <w:p>
            <w:pPr>
              <w:pStyle w:val="Tabla9"/>
              <w:jc w:val="left"/>
            </w:pPr>
            <w:r>
              <w:t xml:space="preserve">Un comité departamental por departamento</w:t>
            </w:r>
          </w:p>
        </w:tc>
        <w:tc>
          <w:tcPr/>
          <w:p>
            <w:pPr>
              <w:pStyle w:val="Tabla9"/>
              <w:jc w:val="left"/>
            </w:pPr>
            <w:r>
              <w:t xml:space="preserve">Co-diseño de umbrales y uso del tablero (PERS-E01)</w:t>
            </w:r>
          </w:p>
        </w:tc>
      </w:tr>
      <w:tr>
        <w:trPr>
          <w:cantSplit/>
        </w:trPr>
        <w:tc>
          <w:tcPr/>
          <w:p>
            <w:pPr>
              <w:pStyle w:val="Tabla9"/>
              <w:jc w:val="left"/>
            </w:pPr>
            <w:r>
              <w:t xml:space="preserve">Funcionarios de los comités</w:t>
            </w:r>
          </w:p>
        </w:tc>
        <w:tc>
          <w:tcPr/>
          <w:p>
            <w:pPr>
              <w:pStyle w:val="Tabla9"/>
              <w:jc w:val="left"/>
            </w:pPr>
            <w:r>
              <w:t xml:space="preserve">Directo</w:t>
            </w:r>
          </w:p>
        </w:tc>
        <w:tc>
          <w:tcPr/>
          <w:p>
            <w:pPr>
              <w:pStyle w:val="Tabla9"/>
              <w:jc w:val="left"/>
            </w:pPr>
            <w:r>
              <w:t xml:space="preserve">150 (10 por comité)</w:t>
            </w:r>
          </w:p>
        </w:tc>
        <w:tc>
          <w:tcPr/>
          <w:p>
            <w:pPr>
              <w:pStyle w:val="Tabla9"/>
              <w:jc w:val="left"/>
            </w:pPr>
            <w:r>
              <w:t xml:space="preserve">SUPUESTO</w:t>
            </w:r>
          </w:p>
        </w:tc>
        <w:tc>
          <w:tcPr/>
          <w:p>
            <w:pPr>
              <w:pStyle w:val="Tabla9"/>
              <w:jc w:val="left"/>
            </w:pPr>
            <w:r>
              <w:t xml:space="preserve">Cabeceras municipales y capitales departamentales</w:t>
            </w:r>
          </w:p>
        </w:tc>
        <w:tc>
          <w:tcPr/>
          <w:p>
            <w:pPr>
              <w:pStyle w:val="Tabla9"/>
              <w:jc w:val="left"/>
            </w:pPr>
            <w:r>
              <w:t xml:space="preserve">Talleres, formación y decisiones documentadas</w:t>
            </w:r>
          </w:p>
        </w:tc>
      </w:tr>
      <w:tr>
        <w:trPr>
          <w:cantSplit/>
        </w:trPr>
        <w:tc>
          <w:tcPr/>
          <w:p>
            <w:pPr>
              <w:pStyle w:val="Tabla9"/>
              <w:jc w:val="left"/>
            </w:pPr>
            <w:r>
              <w:t xml:space="preserve">Participantes de laboratorios ciudadanos</w:t>
            </w:r>
          </w:p>
        </w:tc>
        <w:tc>
          <w:tcPr/>
          <w:p>
            <w:pPr>
              <w:pStyle w:val="Tabla9"/>
              <w:jc w:val="left"/>
            </w:pPr>
            <w:r>
              <w:t xml:space="preserve">Directo</w:t>
            </w:r>
          </w:p>
        </w:tc>
        <w:tc>
          <w:tcPr/>
          <w:p>
            <w:pPr>
              <w:pStyle w:val="Tabla9"/>
              <w:jc w:val="left"/>
            </w:pPr>
            <w:r>
              <w:t xml:space="preserve">450</w:t>
            </w:r>
          </w:p>
        </w:tc>
        <w:tc>
          <w:tcPr/>
          <w:p>
            <w:pPr>
              <w:pStyle w:val="Tabla9"/>
              <w:jc w:val="left"/>
            </w:pPr>
            <w:r>
              <w:t xml:space="preserve">DECLARADO (E3); NO_VERIFICADO</w:t>
            </w:r>
          </w:p>
        </w:tc>
        <w:tc>
          <w:tcPr/>
          <w:p>
            <w:pPr>
              <w:pStyle w:val="Tabla9"/>
              <w:jc w:val="left"/>
            </w:pPr>
            <w:r>
              <w:t xml:space="preserve">Municipios focalizados</w:t>
            </w:r>
          </w:p>
        </w:tc>
        <w:tc>
          <w:tcPr/>
          <w:p>
            <w:pPr>
              <w:pStyle w:val="Tabla9"/>
              <w:jc w:val="left"/>
            </w:pPr>
            <w:r>
              <w:t xml:space="preserve">Veinte eventos de la partida V05</w:t>
            </w:r>
          </w:p>
        </w:tc>
      </w:tr>
      <w:tr>
        <w:trPr>
          <w:cantSplit/>
        </w:trPr>
        <w:tc>
          <w:tcPr/>
          <w:p>
            <w:pPr>
              <w:pStyle w:val="Tabla9"/>
              <w:jc w:val="left"/>
            </w:pPr>
            <w:r>
              <w:t xml:space="preserve">Personal certificado de custodios</w:t>
            </w:r>
          </w:p>
        </w:tc>
        <w:tc>
          <w:tcPr/>
          <w:p>
            <w:pPr>
              <w:pStyle w:val="Tabla9"/>
              <w:jc w:val="left"/>
            </w:pPr>
            <w:r>
              <w:t xml:space="preserve">Directo</w:t>
            </w:r>
          </w:p>
        </w:tc>
        <w:tc>
          <w:tcPr/>
          <w:p>
            <w:pPr>
              <w:pStyle w:val="Tabla9"/>
              <w:jc w:val="left"/>
            </w:pPr>
            <w:r>
              <w:t xml:space="preserve">Meta de al menos 60 personas</w:t>
            </w:r>
          </w:p>
        </w:tc>
        <w:tc>
          <w:tcPr/>
          <w:p>
            <w:pPr>
              <w:pStyle w:val="Tabla9"/>
              <w:jc w:val="left"/>
            </w:pPr>
            <w:r>
              <w:t xml:space="preserve">PROPUESTO</w:t>
            </w:r>
          </w:p>
        </w:tc>
        <w:tc>
          <w:tcPr/>
          <w:p>
            <w:pPr>
              <w:pStyle w:val="Tabla9"/>
              <w:jc w:val="left"/>
            </w:pPr>
            <w:r>
              <w:t xml:space="preserve">Custodios por componente</w:t>
            </w:r>
          </w:p>
        </w:tc>
        <w:tc>
          <w:tcPr/>
          <w:p>
            <w:pPr>
              <w:pStyle w:val="Tabla9"/>
              <w:jc w:val="left"/>
            </w:pPr>
            <w:r>
              <w:t xml:space="preserve">Formación por tramo (PERS-E03)</w:t>
            </w:r>
          </w:p>
        </w:tc>
      </w:tr>
      <w:tr>
        <w:trPr>
          <w:cantSplit/>
        </w:trPr>
        <w:tc>
          <w:tcPr/>
          <w:p>
            <w:pPr>
              <w:pStyle w:val="Tabla9"/>
              <w:jc w:val="left"/>
            </w:pPr>
            <w:r>
              <w:t xml:space="preserve">Talento en formación</w:t>
            </w:r>
          </w:p>
        </w:tc>
        <w:tc>
          <w:tcPr/>
          <w:p>
            <w:pPr>
              <w:pStyle w:val="Tabla9"/>
              <w:jc w:val="left"/>
            </w:pPr>
            <w:r>
              <w:t xml:space="preserve">Directo</w:t>
            </w:r>
          </w:p>
        </w:tc>
        <w:tc>
          <w:tcPr/>
          <w:p>
            <w:pPr>
              <w:pStyle w:val="Tabla9"/>
              <w:jc w:val="left"/>
            </w:pPr>
            <w:r>
              <w:t xml:space="preserve">8 (6 jóvenes investigadores y 2 estudiantes de maestría)</w:t>
            </w:r>
          </w:p>
        </w:tc>
        <w:tc>
          <w:tcPr/>
          <w:p>
            <w:pPr>
              <w:pStyle w:val="Tabla9"/>
              <w:jc w:val="left"/>
            </w:pPr>
            <w:r>
              <w:t xml:space="preserve">DECLARADO (E3)</w:t>
            </w:r>
          </w:p>
        </w:tc>
        <w:tc>
          <w:tcPr/>
          <w:p>
            <w:pPr>
              <w:pStyle w:val="Tabla9"/>
              <w:jc w:val="left"/>
            </w:pPr>
            <w:r>
              <w:t xml:space="preserve">Entidad ejecutora</w:t>
            </w:r>
          </w:p>
        </w:tc>
        <w:tc>
          <w:tcPr/>
          <w:p>
            <w:pPr>
              <w:pStyle w:val="Tabla9"/>
              <w:jc w:val="left"/>
            </w:pPr>
            <w:r>
              <w:t xml:space="preserve">Colocalización y modelo de corrección</w:t>
            </w:r>
          </w:p>
        </w:tc>
      </w:tr>
      <w:tr>
        <w:trPr>
          <w:cantSplit/>
        </w:trPr>
        <w:tc>
          <w:tcPr/>
          <w:p>
            <w:pPr>
              <w:pStyle w:val="Tabla9"/>
              <w:jc w:val="left"/>
            </w:pPr>
            <w:r>
              <w:t xml:space="preserve">Operarios de remoción en sitios monitoreados</w:t>
            </w:r>
          </w:p>
        </w:tc>
        <w:tc>
          <w:tcPr/>
          <w:p>
            <w:pPr>
              <w:pStyle w:val="Tabla9"/>
              <w:jc w:val="left"/>
            </w:pPr>
            <w:r>
              <w:t xml:space="preserve">Directo</w:t>
            </w:r>
          </w:p>
        </w:tc>
        <w:tc>
          <w:tcPr/>
          <w:p>
            <w:pPr>
              <w:pStyle w:val="Tabla9"/>
              <w:jc w:val="left"/>
            </w:pPr>
            <w:r>
              <w:t xml:space="preserve">[DATO_USUARIO: censo de operarios por sitio]</w:t>
            </w:r>
          </w:p>
        </w:tc>
        <w:tc>
          <w:tcPr/>
          <w:p>
            <w:pPr>
              <w:pStyle w:val="Tabla9"/>
              <w:jc w:val="left"/>
            </w:pPr>
            <w:r>
              <w:t xml:space="preserve">VACIO</w:t>
            </w:r>
          </w:p>
        </w:tc>
        <w:tc>
          <w:tcPr/>
          <w:p>
            <w:pPr>
              <w:pStyle w:val="Tabla9"/>
              <w:jc w:val="left"/>
            </w:pPr>
            <w:r>
              <w:t xml:space="preserve">Sitios de remoción de escombros</w:t>
            </w:r>
          </w:p>
        </w:tc>
        <w:tc>
          <w:tcPr/>
          <w:p>
            <w:pPr>
              <w:pStyle w:val="Tabla9"/>
              <w:jc w:val="left"/>
            </w:pPr>
            <w:r>
              <w:t xml:space="preserve">Receptores de alertas; encuestas de percepción</w:t>
            </w:r>
          </w:p>
        </w:tc>
      </w:tr>
      <w:tr>
        <w:trPr>
          <w:cantSplit/>
        </w:trPr>
        <w:tc>
          <w:tcPr/>
          <w:p>
            <w:pPr>
              <w:pStyle w:val="Tabla9"/>
              <w:jc w:val="left"/>
            </w:pPr>
            <w:r>
              <w:t xml:space="preserve">Población expuesta en zonas colindantes</w:t>
            </w:r>
          </w:p>
        </w:tc>
        <w:tc>
          <w:tcPr/>
          <w:p>
            <w:pPr>
              <w:pStyle w:val="Tabla9"/>
              <w:jc w:val="left"/>
            </w:pPr>
            <w:r>
              <w:t xml:space="preserve">Indirecto</w:t>
            </w:r>
          </w:p>
        </w:tc>
        <w:tc>
          <w:tcPr/>
          <w:p>
            <w:pPr>
              <w:pStyle w:val="Tabla9"/>
              <w:jc w:val="left"/>
            </w:pPr>
            <w:r>
              <w:t xml:space="preserve">[DATO_USUARIO: DANE]</w:t>
            </w:r>
          </w:p>
        </w:tc>
        <w:tc>
          <w:tcPr/>
          <w:p>
            <w:pPr>
              <w:pStyle w:val="Tabla9"/>
              <w:jc w:val="left"/>
            </w:pPr>
            <w:r>
              <w:t xml:space="preserve">VACIO</w:t>
            </w:r>
          </w:p>
        </w:tc>
        <w:tc>
          <w:tcPr/>
          <w:p>
            <w:pPr>
              <w:pStyle w:val="Tabla9"/>
              <w:jc w:val="left"/>
            </w:pPr>
            <w:r>
              <w:t xml:space="preserve">Zonas colindantes a los sitios</w:t>
            </w:r>
          </w:p>
        </w:tc>
        <w:tc>
          <w:tcPr/>
          <w:p>
            <w:pPr>
              <w:pStyle w:val="Tabla9"/>
              <w:jc w:val="left"/>
            </w:pPr>
            <w:r>
              <w:t xml:space="preserve">Receptora de alertas por los comités</w:t>
            </w:r>
          </w:p>
        </w:tc>
      </w:tr>
    </w:tbl>
    <w:p>
      <w:pPr>
        <w:pStyle w:val="TablaNota"/>
      </w:pPr>
      <w:r>
        <w:rPr>
          <w:i/>
          <w:iCs/>
        </w:rPr>
        <w:t xml:space="preserve">Nota.</w:t>
      </w:r>
      <w:r>
        <w:t xml:space="preserve"> </w:t>
      </w:r>
      <w:r>
        <w:t xml:space="preserve">Elaboración propia con datos de la ficha maestra y del expediente E3. La cifra de 450 participantes corresponde a la partida V05; E3 usa el mismo valor para el tamaño de los operarios, y esta formulación no asume que ambos conjuntos coincidan. DANE: Departamento Administrativo Nacional de Estadística.</w:t>
      </w:r>
    </w:p>
    <w:p>
      <w:pPr>
        <w:pStyle w:val="BodyText"/>
      </w:pPr>
      <w:r>
        <w:t xml:space="preserve">La Tabla 13.4 deja dos poblaciones sin cifra. Los operarios de remoción y la población expuesta son VACIO. Solo el censo del usuario y los datos del Departamento Administrativo Nacional de Estadística (DANE) pueden llenar esos campos. Esta ausencia limita la caracterización demográfica por sexo, edad y condición de vulnerabilidad que exige la especificación. El proyecto no estima esas cifras por analogía. La consecuencia metodológica es que la línea base social se levanta en el tramo 1. Se levanta con consentimiento informado y con el tratamiento de datos personales que dispone la Ley 1581 de 2012 (Congreso de la República, 2012b).</w:t>
      </w:r>
    </w:p>
    <w:p>
      <w:pPr>
        <w:pStyle w:val="BodyText"/>
      </w:pPr>
      <w:r>
        <w:t xml:space="preserve">Los efectos potenciales negativos se evalúan con la lógica de las consecuencias no anticipadas. La acción deliberada produce resultados que sus autores no previeron (Merton, 1936). Lipsky (1980) advierte que el personal de primera línea adapta las normas a su carga de trabajo. Por eso un protocolo nuevo puede aplicarse de forma desigual. Las dos advertencias se aplican aquí. Una alerta con umbral bajo y error desconocido puede detener la obra sin necesidad. Una alerta ausente puede interpretarse como ausencia de riesgo. La Tabla 13.5 lista cinco efectos negativos plausibles, su mecanismo, su mitigación y el riesgo registrado con el que se relacionan.</w:t>
      </w:r>
    </w:p>
    <w:p>
      <w:pPr>
        <w:pStyle w:val="TablaRotulo"/>
      </w:pPr>
      <w:bookmarkStart w:id="9354" w:name="rot_Tabla_13_5"/>
      <w:r>
        <w:rPr>
          <w:b/>
          <w:bCs/>
        </w:rPr>
        <w:t xml:space="preserve">Tabla 13.5</w:t>
      </w:r>
      <w:bookmarkEnd w:id="9354"/>
    </w:p>
    <w:p>
      <w:pPr>
        <w:pStyle w:val="TablaTitulo"/>
      </w:pPr>
      <w:r>
        <w:rPr>
          <w:i/>
          <w:iCs/>
        </w:rPr>
        <w:t xml:space="preserve">Efectos potenciales negativos del impacto social y medidas de mitigación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18"/>
        <w:gridCol w:w="1452"/>
        <w:gridCol w:w="1650"/>
        <w:gridCol w:w="1914"/>
        <w:gridCol w:w="1386"/>
      </w:tblGrid>
      <w:tr>
        <w:trPr>
          <w:cantSplit/>
          <w:tblHeader/>
        </w:trPr>
        <w:tc>
          <w:tcPr>
            <w:shd w:val="clear" w:color="auto" w:fill="00B050"/>
          </w:tcPr>
          <w:p>
            <w:pPr>
              <w:pStyle w:val="Tabla9"/>
              <w:jc w:val="center"/>
            </w:pPr>
            <w:r>
              <w:rPr>
                <w:b/>
                <w:color w:val="FFFFFF"/>
              </w:rPr>
              <w:t xml:space="preserve">Efecto potencial</w:t>
            </w:r>
          </w:p>
        </w:tc>
        <w:tc>
          <w:tcPr>
            <w:shd w:val="clear" w:color="auto" w:fill="00B050"/>
          </w:tcPr>
          <w:p>
            <w:pPr>
              <w:pStyle w:val="Tabla9"/>
              <w:jc w:val="center"/>
            </w:pPr>
            <w:r>
              <w:rPr>
                <w:b/>
                <w:color w:val="FFFFFF"/>
              </w:rPr>
              <w:t xml:space="preserve">Mecanismo</w:t>
            </w:r>
          </w:p>
        </w:tc>
        <w:tc>
          <w:tcPr>
            <w:shd w:val="clear" w:color="auto" w:fill="00B050"/>
          </w:tcPr>
          <w:p>
            <w:pPr>
              <w:pStyle w:val="Tabla9"/>
              <w:jc w:val="center"/>
            </w:pPr>
            <w:r>
              <w:rPr>
                <w:b/>
                <w:color w:val="FFFFFF"/>
              </w:rPr>
              <w:t xml:space="preserve">Quién lo experimenta</w:t>
            </w:r>
          </w:p>
        </w:tc>
        <w:tc>
          <w:tcPr>
            <w:shd w:val="clear" w:color="auto" w:fill="00B050"/>
          </w:tcPr>
          <w:p>
            <w:pPr>
              <w:pStyle w:val="Tabla9"/>
              <w:jc w:val="center"/>
            </w:pPr>
            <w:r>
              <w:rPr>
                <w:b/>
                <w:color w:val="FFFFFF"/>
              </w:rPr>
              <w:t xml:space="preserve">Mitigación</w:t>
            </w:r>
          </w:p>
        </w:tc>
        <w:tc>
          <w:tcPr>
            <w:shd w:val="clear" w:color="auto" w:fill="00B050"/>
          </w:tcPr>
          <w:p>
            <w:pPr>
              <w:pStyle w:val="Tabla9"/>
              <w:jc w:val="center"/>
            </w:pPr>
            <w:r>
              <w:rPr>
                <w:b/>
                <w:color w:val="FFFFFF"/>
              </w:rPr>
              <w:t xml:space="preserve">Riesgo relacionado</w:t>
            </w:r>
          </w:p>
        </w:tc>
      </w:tr>
      <w:tr>
        <w:trPr>
          <w:cantSplit/>
        </w:trPr>
        <w:tc>
          <w:tcPr/>
          <w:p>
            <w:pPr>
              <w:pStyle w:val="Tabla9"/>
              <w:jc w:val="left"/>
            </w:pPr>
            <w:r>
              <w:t xml:space="preserve">Paradas de obra por falsas alarmas</w:t>
            </w:r>
          </w:p>
        </w:tc>
        <w:tc>
          <w:tcPr/>
          <w:p>
            <w:pPr>
              <w:pStyle w:val="Tabla9"/>
              <w:jc w:val="left"/>
            </w:pPr>
            <w:r>
              <w:t xml:space="preserve">Umbral bajo con error desconocido</w:t>
            </w:r>
          </w:p>
        </w:tc>
        <w:tc>
          <w:tcPr/>
          <w:p>
            <w:pPr>
              <w:pStyle w:val="Tabla9"/>
              <w:jc w:val="left"/>
            </w:pPr>
            <w:r>
              <w:t xml:space="preserve">Operarios y constructoras</w:t>
            </w:r>
          </w:p>
        </w:tc>
        <w:tc>
          <w:tcPr/>
          <w:p>
            <w:pPr>
              <w:pStyle w:val="Tabla9"/>
              <w:jc w:val="left"/>
            </w:pPr>
            <w:r>
              <w:t xml:space="preserve">Línea base de falsas alarmas en el tramo 1; umbrales co-diseñados; intervalo de incertidumbre publicado</w:t>
            </w:r>
          </w:p>
        </w:tc>
        <w:tc>
          <w:tcPr/>
          <w:p>
            <w:pPr>
              <w:pStyle w:val="Tabla9"/>
              <w:jc w:val="left"/>
            </w:pPr>
            <w:r>
              <w:t xml:space="preserve">R-ORG-01</w:t>
            </w:r>
          </w:p>
        </w:tc>
      </w:tr>
      <w:tr>
        <w:trPr>
          <w:cantSplit/>
        </w:trPr>
        <w:tc>
          <w:tcPr/>
          <w:p>
            <w:pPr>
              <w:pStyle w:val="Tabla9"/>
              <w:jc w:val="left"/>
            </w:pPr>
            <w:r>
              <w:t xml:space="preserve">Falsa tranquilidad por ausencia de alerta</w:t>
            </w:r>
          </w:p>
        </w:tc>
        <w:tc>
          <w:tcPr/>
          <w:p>
            <w:pPr>
              <w:pStyle w:val="Tabla9"/>
              <w:jc w:val="left"/>
            </w:pPr>
            <w:r>
              <w:t xml:space="preserve">Nodo fuera de línea o sesgo no corregido</w:t>
            </w:r>
          </w:p>
        </w:tc>
        <w:tc>
          <w:tcPr/>
          <w:p>
            <w:pPr>
              <w:pStyle w:val="Tabla9"/>
              <w:jc w:val="left"/>
            </w:pPr>
            <w:r>
              <w:t xml:space="preserve">Población colindante</w:t>
            </w:r>
          </w:p>
        </w:tc>
        <w:tc>
          <w:tcPr/>
          <w:p>
            <w:pPr>
              <w:pStyle w:val="Tabla9"/>
              <w:jc w:val="left"/>
            </w:pPr>
            <w:r>
              <w:t xml:space="preserve">Indicador de disponibilidad; mensaje que distingue «sin dato» de «sin riesgo»; referencia gravimétrica por departamento</w:t>
            </w:r>
          </w:p>
        </w:tc>
        <w:tc>
          <w:tcPr/>
          <w:p>
            <w:pPr>
              <w:pStyle w:val="Tabla9"/>
              <w:jc w:val="left"/>
            </w:pPr>
            <w:r>
              <w:t xml:space="preserve">R-TEC-01</w:t>
            </w:r>
          </w:p>
        </w:tc>
      </w:tr>
      <w:tr>
        <w:trPr>
          <w:cantSplit/>
        </w:trPr>
        <w:tc>
          <w:tcPr/>
          <w:p>
            <w:pPr>
              <w:pStyle w:val="Tabla9"/>
              <w:jc w:val="left"/>
            </w:pPr>
            <w:r>
              <w:t xml:space="preserve">Sobrecarga y rotación del personal</w:t>
            </w:r>
          </w:p>
        </w:tc>
        <w:tc>
          <w:tcPr/>
          <w:p>
            <w:pPr>
              <w:pStyle w:val="Tabla9"/>
              <w:jc w:val="left"/>
            </w:pPr>
            <w:r>
              <w:t xml:space="preserve">Nuevas tareas en comités con poco personal</w:t>
            </w:r>
          </w:p>
        </w:tc>
        <w:tc>
          <w:tcPr/>
          <w:p>
            <w:pPr>
              <w:pStyle w:val="Tabla9"/>
              <w:jc w:val="left"/>
            </w:pPr>
            <w:r>
              <w:t xml:space="preserve">Funcionarios</w:t>
            </w:r>
          </w:p>
        </w:tc>
        <w:tc>
          <w:tcPr/>
          <w:p>
            <w:pPr>
              <w:pStyle w:val="Tabla9"/>
              <w:jc w:val="left"/>
            </w:pPr>
            <w:r>
              <w:t xml:space="preserve">Formación por tramo (S09); tareas acotadas; personal designado en el convenio</w:t>
            </w:r>
          </w:p>
        </w:tc>
        <w:tc>
          <w:tcPr/>
          <w:p>
            <w:pPr>
              <w:pStyle w:val="Tabla9"/>
              <w:jc w:val="left"/>
            </w:pPr>
            <w:r>
              <w:t xml:space="preserve">R-ORG-02</w:t>
            </w:r>
          </w:p>
        </w:tc>
      </w:tr>
      <w:tr>
        <w:trPr>
          <w:cantSplit/>
        </w:trPr>
        <w:tc>
          <w:tcPr/>
          <w:p>
            <w:pPr>
              <w:pStyle w:val="Tabla9"/>
              <w:jc w:val="left"/>
            </w:pPr>
            <w:r>
              <w:t xml:space="preserve">Uso indebido de datos personales</w:t>
            </w:r>
          </w:p>
        </w:tc>
        <w:tc>
          <w:tcPr/>
          <w:p>
            <w:pPr>
              <w:pStyle w:val="Tabla9"/>
              <w:jc w:val="left"/>
            </w:pPr>
            <w:r>
              <w:t xml:space="preserve">Listas de asistencia y encuestas</w:t>
            </w:r>
          </w:p>
        </w:tc>
        <w:tc>
          <w:tcPr/>
          <w:p>
            <w:pPr>
              <w:pStyle w:val="Tabla9"/>
              <w:jc w:val="left"/>
            </w:pPr>
            <w:r>
              <w:t xml:space="preserve">Participantes</w:t>
            </w:r>
          </w:p>
        </w:tc>
        <w:tc>
          <w:tcPr/>
          <w:p>
            <w:pPr>
              <w:pStyle w:val="Tabla9"/>
              <w:jc w:val="left"/>
            </w:pPr>
            <w:r>
              <w:t xml:space="preserve">Consentimiento informado; minimización de datos; Ley 1581 de 2012</w:t>
            </w:r>
          </w:p>
        </w:tc>
        <w:tc>
          <w:tcPr/>
          <w:p>
            <w:pPr>
              <w:pStyle w:val="Tabla9"/>
              <w:jc w:val="left"/>
            </w:pPr>
            <w:r>
              <w:t xml:space="preserve">R-DAT-01</w:t>
            </w:r>
          </w:p>
        </w:tc>
      </w:tr>
      <w:tr>
        <w:trPr>
          <w:cantSplit/>
        </w:trPr>
        <w:tc>
          <w:tcPr/>
          <w:p>
            <w:pPr>
              <w:pStyle w:val="Tabla9"/>
              <w:jc w:val="left"/>
            </w:pPr>
            <w:r>
              <w:t xml:space="preserve">Cobertura desigual</w:t>
            </w:r>
          </w:p>
        </w:tc>
        <w:tc>
          <w:tcPr/>
          <w:p>
            <w:pPr>
              <w:pStyle w:val="Tabla9"/>
              <w:jc w:val="left"/>
            </w:pPr>
            <w:r>
              <w:t xml:space="preserve">Solo 12 municipios reciben nodos</w:t>
            </w:r>
          </w:p>
        </w:tc>
        <w:tc>
          <w:tcPr/>
          <w:p>
            <w:pPr>
              <w:pStyle w:val="Tabla9"/>
              <w:jc w:val="left"/>
            </w:pPr>
            <w:r>
              <w:t xml:space="preserve">Municipios no focalizados</w:t>
            </w:r>
          </w:p>
        </w:tc>
        <w:tc>
          <w:tcPr/>
          <w:p>
            <w:pPr>
              <w:pStyle w:val="Tabla9"/>
              <w:jc w:val="left"/>
            </w:pPr>
            <w:r>
              <w:t xml:space="preserve">Criterios públicos de focalización; informe de cobertura; opciones de ampliación condicionadas a los términos de referencia</w:t>
            </w:r>
          </w:p>
        </w:tc>
        <w:tc>
          <w:tcPr/>
          <w:p>
            <w:pPr>
              <w:pStyle w:val="Tabla9"/>
              <w:jc w:val="left"/>
            </w:pPr>
            <w:r>
              <w:t xml:space="preserve">R-EXT-01</w:t>
            </w:r>
          </w:p>
        </w:tc>
      </w:tr>
    </w:tbl>
    <w:p>
      <w:pPr>
        <w:pStyle w:val="TablaNota"/>
      </w:pPr>
      <w:r>
        <w:rPr>
          <w:i/>
          <w:iCs/>
        </w:rPr>
        <w:t xml:space="preserve">Nota.</w:t>
      </w:r>
      <w:r>
        <w:t xml:space="preserve"> </w:t>
      </w:r>
      <w:r>
        <w:t xml:space="preserve">Elaboración propia. Los efectos y los mecanismos son INFERIDOS; las mitigaciones son PROPUESTAS. Los códigos de riesgo provienen del registro de riesgos de la ficha maestra.</w:t>
      </w:r>
    </w:p>
    <w:p>
      <w:pPr>
        <w:pStyle w:val="BodyText"/>
      </w:pPr>
      <w:r>
        <w:t xml:space="preserve">La Tabla 13.5 indica que cuatro de los cinco efectos negativos se mitigan con medidas ya presupuestadas o ya diseñadas. La formación por tramo cuenta con la partida S09, de 150 millones de COP. El plan de datos personales usa el consentimiento informado y la minimización. La cobertura desigual no se mitiga dentro del presupuesto, porque ampliar la red exige términos de referencia que lo permitan. Esa limitación se declara y no se oculta.</w:t>
      </w:r>
    </w:p>
    <w:p>
      <w:pPr>
        <w:pStyle w:val="BodyText"/>
      </w:pPr>
      <w:r>
        <w:t xml:space="preserve">La evaluación de efectos en salud exige un diseño causal que el proyecto no incluye. La literatura revisa las asociaciones epidemiológicas entre el material particulado fino y los desenlaces de salud (Pope y Dockery, 2006). Esas asociaciones se estiman en poblaciones y no en personas. Landrigan et al. (2004) describen las consecuencias para la salud del polvo y de los contaminantes tras el colapso de las Torres Gemelas. Es un antecedente de exposición posterior a un desastre. Ninguna de las dos obras permite atribuir un cambio de salud a una red de alertas. Rodríguez-Villamizar et al. (2022, pp. 6 y 8) estiman muertes evitables que oscilan de 142 a 34.341. La cifra baja corresponde a una referencia de 25 µg por metro cúbico y la alta a una de 15 µg por metro cúbico. El resultado depende de la referencia elegida y no de una intervención. El principio epistémico PE36-03 exige reportar por separado correlación, asociación y causalidad. La regla H36-11 prohíbe redactar resultados técnicos o de adopción como impactos causales.</w:t>
      </w:r>
    </w:p>
    <w:p>
      <w:pPr>
        <w:pStyle w:val="BodyText"/>
      </w:pPr>
      <w:r>
        <w:t xml:space="preserve">La consecuencia es una decisión de diseño. El expediente E3 comprometía una reducción de 15 % de la morbilidad, según la sección 4.4-MDR.8. Esta formulación la retira del compromiso. Gertler et al. (2016) explican que estimar un efecto exige un contrafactual, es decir una comparación con lo que habría ocurrido sin la intervención. Ese contrafactual requeriría un grupo de comparación, una fuente de morbilidad por municipio y una potencia estadística suficiente. Ninguno de esos tres componentes está presupuestado. El proyecto formula impactos medibles y atribuibles: activación del protocolo, continuidad y capacidad instalada. Si un financiador futuro desea evaluar efectos en salud, el diseño causal es un proyecto distinto y se plantea como opción, no como promesa.</w:t>
      </w:r>
    </w:p>
    <w:p>
      <w:pPr>
        <w:pStyle w:val="BodyText"/>
      </w:pPr>
      <w:r>
        <w:t xml:space="preserve">Los métodos de evaluación previstos combinan cuatro instrumentos. El primero es la línea base social previa a la intervención. Se levanta en el tramo 1 con una encuesta a los comités y a los funcionarios. El segundo es un diseño comparativo escalonado. Los municipios del tramo 1 reciben la red antes que los de los tramos 2 y 3. Esa diferencia de calendario permite comparar el uso institucional en el tiempo. Ese diseño no identifica efectos causales, porque el orden de los tramos no se asigna al azar y no se verifican tendencias paralelas (PROPUESTO). El tercero son los métodos mixtos: encuestas cuantitativas y grupos focales cualitativos, con registro de decisiones documentadas. El cuarto es un retorno social de la inversión (SROI) preliminar. Ese retorno es NO_CALCULABLE, porque exige monetizar resultados sociales y ningún valor cuenta con fuente (Boardman et al., 2018).</w:t>
      </w:r>
    </w:p>
    <w:p>
      <w:pPr>
        <w:pStyle w:val="BodyText"/>
      </w:pPr>
      <w:r>
        <w:t xml:space="preserve">La Figura 13.2 integra la cadena social con los niveles de la escalera ASC. Cada peldaño muestra el indicador PERS que lo mide y la meta de la ficha de indicadores.</w:t>
      </w:r>
    </w:p>
    <w:p>
      <w:pPr>
        <w:pStyle w:val="FiguraRotulo"/>
      </w:pPr>
      <w:bookmarkStart w:id="9537" w:name="rot_Figura_13_2"/>
      <w:r>
        <w:rPr>
          <w:b/>
          <w:bCs/>
        </w:rPr>
        <w:t xml:space="preserve">Figura 13.2</w:t>
      </w:r>
      <w:bookmarkEnd w:id="9537"/>
    </w:p>
    <w:p>
      <w:pPr>
        <w:pStyle w:val="FiguraTitulo"/>
      </w:pPr>
      <w:r>
        <w:rPr>
          <w:i/>
          <w:iCs/>
        </w:rPr>
        <w:t xml:space="preserve">Cadena de impacto social con los niveles de la escalera de apropiación social</w:t>
      </w:r>
    </w:p>
    <w:p>
      <w:pPr>
        <w:pStyle w:val="BodyText"/>
      </w:pPr>
      <w:r>
        <w:drawing>
          <wp:inline>
            <wp:extent cx="5579999" cy="3434973"/>
            <wp:effectExtent b="0" l="0" r="0" t="0"/>
            <wp:docPr descr="" title="" id="588" name="Picture"/>
            <a:graphic>
              <a:graphicData uri="http://schemas.openxmlformats.org/drawingml/2006/picture">
                <pic:pic>
                  <pic:nvPicPr>
                    <pic:cNvPr descr="/tmp/claude-0/-home-user-docs/ddf38714-2a7e-502b-92b4-1008e2832422/scratchpad/proy/figs/out/c13_f01.png" id="589" name="Picture"/>
                    <pic:cNvPicPr>
                      <a:picLocks noChangeArrowheads="1" noChangeAspect="1"/>
                    </pic:cNvPicPr>
                  </pic:nvPicPr>
                  <pic:blipFill>
                    <a:blip r:embed="rId587"/>
                    <a:stretch>
                      <a:fillRect/>
                    </a:stretch>
                  </pic:blipFill>
                  <pic:spPr bwMode="auto">
                    <a:xfrm>
                      <a:off x="0" y="0"/>
                      <a:ext cx="5579999" cy="343497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de indicadores PERS y la alineación ASC. Metas: DECLARADO en la ficha; nivel 4 aspiracional. Los indicadores PERS-S01 y PERS-S02 se miden 6 a 12 meses tras el cierre. Generada con matplotlib sin parámetros aleatorios.</w:t>
      </w:r>
    </w:p>
    <w:p>
      <w:pPr>
        <w:pStyle w:val="BodyText"/>
      </w:pPr>
      <w:r>
        <w:t xml:space="preserve">La Figura 13.2 muestra que el proyecto compromete los peldaños 1 a 3 con actividades propias y deja el peldaño 4 como aspiración sostenida por los custodios. Esa asimetría es deliberada. Un peldaño de empoderamiento no se decreta desde el proyecto: lo demuestra la comunidad cuando continúa usando y exigiendo el servicio después del cierre. El nivel máximo de apropiación al que contribuye cada impacto se fija así (PROPUESTO). El impacto social llega al nivel 4, aspiracional, y compromete el nivel 3. Los impactos científico-tecnológico, económico y ambiental llegan al nivel 2, consulta, porque sus indicadores no incluyen decisiones de la comunidad. El capítulo 16 desarrolla la escalera.</w:t>
      </w:r>
    </w:p>
    <w:bookmarkEnd w:id="590"/>
    <w:bookmarkStart w:id="594" w:name="_Toc00900236"/>
    <w:p>
      <w:pPr>
        <w:pStyle w:val="Heading2"/>
      </w:pPr>
      <w:r>
        <w:t xml:space="preserve">13.3 Impacto económico</w:t>
      </w:r>
    </w:p>
    <w:p>
      <w:pPr>
        <w:pStyle w:val="FirstParagraph"/>
      </w:pPr>
      <w:r>
        <w:t xml:space="preserve">La cadena económica se diferencia en tres niveles, igual que las demás. Los productos económicos son procesos desarrollados y tecnologías transferidas. Incluyen el modelo de corrección, el software registrado y la red operativa de 100 nodos y 10 gateways (PERS-P01 y PERS-P02). Los efectos económicos serían la implementación en empresas, los nuevos negocios y el acceso a mercados. El impacto económico sería una competitividad regional sostenida, con empleo y diversificación. El proyecto compromete solo los productos. Para los efectos y los impactos, ningún dato del expediente permite estimar un valor. El mercado de la empresa aliada y el costo de una parada de obra son VACIO. Por eso el capítulo declara el modelo económico como estructura y calcula únicamente las partidas que provienen del presupuesto.</w:t>
      </w:r>
    </w:p>
    <w:p>
      <w:pPr>
        <w:pStyle w:val="BodyText"/>
      </w:pPr>
      <w:r>
        <w:t xml:space="preserve">El análisis costo-beneficio compara el valor presente de los beneficios con el de los costos, descontados a una tasa social (Boardman et al., 2018). Exige identificar a los grupos con interés, listar los impactos, monetizarlos, descontarlos, calcular el valor presente neto y analizar la sensibilidad. Una posición sostiene que todo beneficio relevante debe monetizarse para que la decisión sea comparable. La posición contraria sostiene que el análisis de costo-efectividad es más prudente si el beneficio no puede monetizarse con rigor. Ese análisis compara el costo por unidad física de resultado. La regla de costo-efectividad de la metodología de formulación coincide con la segunda posición. Cuando el efecto no se ha medido, se declara costo por producto y nunca costo por impacto observado (H36-08). El cálculo de beneficios, del valor presente neto y del retorno de la inversión (ROI) es NO_CALCULABLE.</w:t>
      </w:r>
    </w:p>
    <w:p>
      <w:pPr>
        <w:pStyle w:val="BodyText"/>
      </w:pPr>
      <w:r>
        <w:t xml:space="preserve">La Tabla 13.6 reúne las partidas calculables. Los costos provienen de la ficha maestra. Los cocientes por producto usan denominadores del proyecto, y varios de esos denominadores son SUPUESTO.</w:t>
      </w:r>
    </w:p>
    <w:p>
      <w:pPr>
        <w:pStyle w:val="TablaRotulo"/>
      </w:pPr>
      <w:bookmarkStart w:id="9355" w:name="rot_Tabla_13_6"/>
      <w:r>
        <w:rPr>
          <w:b/>
          <w:bCs/>
        </w:rPr>
        <w:t xml:space="preserve">Tabla 13.6</w:t>
      </w:r>
      <w:bookmarkEnd w:id="9355"/>
    </w:p>
    <w:p>
      <w:pPr>
        <w:pStyle w:val="TablaTitulo"/>
      </w:pPr>
      <w:r>
        <w:rPr>
          <w:i/>
          <w:iCs/>
        </w:rPr>
        <w:t xml:space="preserve">Estructura de costos calculables y de beneficios no monetizados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82"/>
        <w:gridCol w:w="2310"/>
        <w:gridCol w:w="1452"/>
        <w:gridCol w:w="2376"/>
      </w:tblGrid>
      <w:tr>
        <w:trPr>
          <w:cantSplit/>
          <w:tblHeader/>
        </w:trPr>
        <w:tc>
          <w:tcPr>
            <w:shd w:val="clear" w:color="auto" w:fill="00B050"/>
          </w:tcPr>
          <w:p>
            <w:pPr>
              <w:pStyle w:val="Tabla9"/>
              <w:jc w:val="center"/>
            </w:pPr>
            <w:r>
              <w:rPr>
                <w:b/>
                <w:color w:val="FFFFFF"/>
              </w:rPr>
              <w:t xml:space="preserve">Concepto</w:t>
            </w:r>
          </w:p>
        </w:tc>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Unidad</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Valor solicitado al SGR</w:t>
            </w:r>
          </w:p>
        </w:tc>
        <w:tc>
          <w:tcPr/>
          <w:p>
            <w:pPr>
              <w:pStyle w:val="Tabla9"/>
              <w:jc w:val="left"/>
            </w:pPr>
            <w:r>
              <w:t xml:space="preserve">8.729,84</w:t>
            </w:r>
          </w:p>
        </w:tc>
        <w:tc>
          <w:tcPr/>
          <w:p>
            <w:pPr>
              <w:pStyle w:val="Tabla9"/>
              <w:jc w:val="left"/>
            </w:pPr>
            <w:r>
              <w:t xml:space="preserve">millones de COP</w:t>
            </w:r>
          </w:p>
        </w:tc>
        <w:tc>
          <w:tcPr/>
          <w:p>
            <w:pPr>
              <w:pStyle w:val="Tabla9"/>
              <w:jc w:val="left"/>
            </w:pPr>
            <w:r>
              <w:t xml:space="preserve">CALCULADO</w:t>
            </w:r>
          </w:p>
        </w:tc>
      </w:tr>
      <w:tr>
        <w:trPr>
          <w:cantSplit/>
        </w:trPr>
        <w:tc>
          <w:tcPr/>
          <w:p>
            <w:pPr>
              <w:pStyle w:val="Tabla9"/>
              <w:jc w:val="left"/>
            </w:pPr>
            <w:r>
              <w:t xml:space="preserve">Contrapartida total</w:t>
            </w:r>
          </w:p>
        </w:tc>
        <w:tc>
          <w:tcPr/>
          <w:p>
            <w:pPr>
              <w:pStyle w:val="Tabla9"/>
              <w:jc w:val="left"/>
            </w:pPr>
            <w:r>
              <w:t xml:space="preserve">2.110,00</w:t>
            </w:r>
          </w:p>
        </w:tc>
        <w:tc>
          <w:tcPr/>
          <w:p>
            <w:pPr>
              <w:pStyle w:val="Tabla9"/>
              <w:jc w:val="left"/>
            </w:pPr>
            <w:r>
              <w:t xml:space="preserve">millones de COP</w:t>
            </w:r>
          </w:p>
        </w:tc>
        <w:tc>
          <w:tcPr/>
          <w:p>
            <w:pPr>
              <w:pStyle w:val="Tabla9"/>
              <w:jc w:val="left"/>
            </w:pPr>
            <w:r>
              <w:t xml:space="preserve">DECLARADO (desglose de la IES: PROPUESTO)</w:t>
            </w:r>
          </w:p>
        </w:tc>
      </w:tr>
      <w:tr>
        <w:trPr>
          <w:cantSplit/>
        </w:trPr>
        <w:tc>
          <w:tcPr/>
          <w:p>
            <w:pPr>
              <w:pStyle w:val="Tabla9"/>
              <w:jc w:val="left"/>
            </w:pPr>
            <w:r>
              <w:t xml:space="preserve">Contrapartida en especie (IES 1.100 y empresa 800)</w:t>
            </w:r>
          </w:p>
        </w:tc>
        <w:tc>
          <w:tcPr/>
          <w:p>
            <w:pPr>
              <w:pStyle w:val="Tabla9"/>
              <w:jc w:val="left"/>
            </w:pPr>
            <w:r>
              <w:t xml:space="preserve">1.900,00</w:t>
            </w:r>
          </w:p>
        </w:tc>
        <w:tc>
          <w:tcPr/>
          <w:p>
            <w:pPr>
              <w:pStyle w:val="Tabla9"/>
              <w:jc w:val="left"/>
            </w:pPr>
            <w:r>
              <w:t xml:space="preserve">millones de COP</w:t>
            </w:r>
          </w:p>
        </w:tc>
        <w:tc>
          <w:tcPr/>
          <w:p>
            <w:pPr>
              <w:pStyle w:val="Tabla9"/>
              <w:jc w:val="left"/>
            </w:pPr>
            <w:r>
              <w:t xml:space="preserve">DECLARADO (E3)</w:t>
            </w:r>
          </w:p>
        </w:tc>
      </w:tr>
      <w:tr>
        <w:trPr>
          <w:cantSplit/>
        </w:trPr>
        <w:tc>
          <w:tcPr/>
          <w:p>
            <w:pPr>
              <w:pStyle w:val="Tabla9"/>
              <w:jc w:val="left"/>
            </w:pPr>
            <w:r>
              <w:t xml:space="preserve">Contrapartida en efectivo (empresa)</w:t>
            </w:r>
          </w:p>
        </w:tc>
        <w:tc>
          <w:tcPr/>
          <w:p>
            <w:pPr>
              <w:pStyle w:val="Tabla9"/>
              <w:jc w:val="left"/>
            </w:pPr>
            <w:r>
              <w:t xml:space="preserve">210,00</w:t>
            </w:r>
          </w:p>
        </w:tc>
        <w:tc>
          <w:tcPr/>
          <w:p>
            <w:pPr>
              <w:pStyle w:val="Tabla9"/>
              <w:jc w:val="left"/>
            </w:pPr>
            <w:r>
              <w:t xml:space="preserve">millones de COP</w:t>
            </w:r>
          </w:p>
        </w:tc>
        <w:tc>
          <w:tcPr/>
          <w:p>
            <w:pPr>
              <w:pStyle w:val="Tabla9"/>
              <w:jc w:val="left"/>
            </w:pPr>
            <w:r>
              <w:t xml:space="preserve">DECLARADO (E3)</w:t>
            </w:r>
          </w:p>
        </w:tc>
      </w:tr>
      <w:tr>
        <w:trPr>
          <w:cantSplit/>
        </w:trPr>
        <w:tc>
          <w:tcPr/>
          <w:p>
            <w:pPr>
              <w:pStyle w:val="Tabla9"/>
              <w:jc w:val="left"/>
            </w:pPr>
            <w:r>
              <w:t xml:space="preserve">Total del proyecto</w:t>
            </w:r>
          </w:p>
        </w:tc>
        <w:tc>
          <w:tcPr/>
          <w:p>
            <w:pPr>
              <w:pStyle w:val="Tabla9"/>
              <w:jc w:val="left"/>
            </w:pPr>
            <w:r>
              <w:t xml:space="preserve">10.839,84</w:t>
            </w:r>
          </w:p>
        </w:tc>
        <w:tc>
          <w:tcPr/>
          <w:p>
            <w:pPr>
              <w:pStyle w:val="Tabla9"/>
              <w:jc w:val="left"/>
            </w:pPr>
            <w:r>
              <w:t xml:space="preserve">millones de COP</w:t>
            </w:r>
          </w:p>
        </w:tc>
        <w:tc>
          <w:tcPr/>
          <w:p>
            <w:pPr>
              <w:pStyle w:val="Tabla9"/>
              <w:jc w:val="left"/>
            </w:pPr>
            <w:r>
              <w:t xml:space="preserve">CALCULADO</w:t>
            </w:r>
          </w:p>
        </w:tc>
      </w:tr>
      <w:tr>
        <w:trPr>
          <w:cantSplit/>
        </w:trPr>
        <w:tc>
          <w:tcPr/>
          <w:p>
            <w:pPr>
              <w:pStyle w:val="Tabla9"/>
              <w:jc w:val="left"/>
            </w:pPr>
            <w:r>
              <w:t xml:space="preserve">Reserva de contingencia (suma de 12 valores esperados)</w:t>
            </w:r>
          </w:p>
        </w:tc>
        <w:tc>
          <w:tcPr/>
          <w:p>
            <w:pPr>
              <w:pStyle w:val="Tabla9"/>
              <w:jc w:val="left"/>
            </w:pPr>
            <w:r>
              <w:t xml:space="preserve">636,00</w:t>
            </w:r>
          </w:p>
        </w:tc>
        <w:tc>
          <w:tcPr/>
          <w:p>
            <w:pPr>
              <w:pStyle w:val="Tabla9"/>
              <w:jc w:val="left"/>
            </w:pPr>
            <w:r>
              <w:t xml:space="preserve">millones de COP</w:t>
            </w:r>
          </w:p>
        </w:tc>
        <w:tc>
          <w:tcPr/>
          <w:p>
            <w:pPr>
              <w:pStyle w:val="Tabla9"/>
              <w:jc w:val="left"/>
            </w:pPr>
            <w:r>
              <w:t xml:space="preserve">CALCULADO; admisibilidad: VACIO</w:t>
            </w:r>
          </w:p>
        </w:tc>
      </w:tr>
      <w:tr>
        <w:trPr>
          <w:cantSplit/>
        </w:trPr>
        <w:tc>
          <w:tcPr/>
          <w:p>
            <w:pPr>
              <w:pStyle w:val="Tabla9"/>
              <w:jc w:val="left"/>
            </w:pPr>
            <w:r>
              <w:t xml:space="preserve">Costo total por nodo operativo (denominador 100)</w:t>
            </w:r>
          </w:p>
        </w:tc>
        <w:tc>
          <w:tcPr/>
          <w:p>
            <w:pPr>
              <w:pStyle w:val="Tabla9"/>
              <w:jc w:val="left"/>
            </w:pPr>
            <w:r>
              <w:t xml:space="preserve">113,77</w:t>
            </w:r>
          </w:p>
        </w:tc>
        <w:tc>
          <w:tcPr/>
          <w:p>
            <w:pPr>
              <w:pStyle w:val="Tabla9"/>
              <w:jc w:val="left"/>
            </w:pPr>
            <w:r>
              <w:t xml:space="preserve">millones de COP por nodo</w:t>
            </w:r>
          </w:p>
        </w:tc>
        <w:tc>
          <w:tcPr/>
          <w:p>
            <w:pPr>
              <w:pStyle w:val="Tabla9"/>
              <w:jc w:val="left"/>
            </w:pPr>
            <w:r>
              <w:t xml:space="preserve">CALCULADO</w:t>
            </w:r>
          </w:p>
        </w:tc>
      </w:tr>
      <w:tr>
        <w:trPr>
          <w:cantSplit/>
        </w:trPr>
        <w:tc>
          <w:tcPr/>
          <w:p>
            <w:pPr>
              <w:pStyle w:val="Tabla9"/>
              <w:jc w:val="left"/>
            </w:pPr>
            <w:r>
              <w:t xml:space="preserve">Costo SGR por nodo operativo (denominador 100)</w:t>
            </w:r>
          </w:p>
        </w:tc>
        <w:tc>
          <w:tcPr/>
          <w:p>
            <w:pPr>
              <w:pStyle w:val="Tabla9"/>
              <w:jc w:val="left"/>
            </w:pPr>
            <w:r>
              <w:t xml:space="preserve">92,67</w:t>
            </w:r>
          </w:p>
        </w:tc>
        <w:tc>
          <w:tcPr/>
          <w:p>
            <w:pPr>
              <w:pStyle w:val="Tabla9"/>
              <w:jc w:val="left"/>
            </w:pPr>
            <w:r>
              <w:t xml:space="preserve">millones de COP por nodo</w:t>
            </w:r>
          </w:p>
        </w:tc>
        <w:tc>
          <w:tcPr/>
          <w:p>
            <w:pPr>
              <w:pStyle w:val="Tabla9"/>
              <w:jc w:val="left"/>
            </w:pPr>
            <w:r>
              <w:t xml:space="preserve">CALCULADO</w:t>
            </w:r>
          </w:p>
        </w:tc>
      </w:tr>
      <w:tr>
        <w:trPr>
          <w:cantSplit/>
        </w:trPr>
        <w:tc>
          <w:tcPr/>
          <w:p>
            <w:pPr>
              <w:pStyle w:val="Tabla9"/>
              <w:jc w:val="left"/>
            </w:pPr>
            <w:r>
              <w:t xml:space="preserve">Costo SGR por municipio focalizado (denominador 12)</w:t>
            </w:r>
          </w:p>
        </w:tc>
        <w:tc>
          <w:tcPr/>
          <w:p>
            <w:pPr>
              <w:pStyle w:val="Tabla9"/>
              <w:jc w:val="left"/>
            </w:pPr>
            <w:r>
              <w:t xml:space="preserve">772,27</w:t>
            </w:r>
          </w:p>
        </w:tc>
        <w:tc>
          <w:tcPr/>
          <w:p>
            <w:pPr>
              <w:pStyle w:val="Tabla9"/>
              <w:jc w:val="left"/>
            </w:pPr>
            <w:r>
              <w:t xml:space="preserve">millones de COP por municipio</w:t>
            </w:r>
          </w:p>
        </w:tc>
        <w:tc>
          <w:tcPr/>
          <w:p>
            <w:pPr>
              <w:pStyle w:val="Tabla9"/>
              <w:jc w:val="left"/>
            </w:pPr>
            <w:r>
              <w:t xml:space="preserve">CALCULADO sobre denominador PROPUESTO</w:t>
            </w:r>
          </w:p>
        </w:tc>
      </w:tr>
      <w:tr>
        <w:trPr>
          <w:cantSplit/>
        </w:trPr>
        <w:tc>
          <w:tcPr/>
          <w:p>
            <w:pPr>
              <w:pStyle w:val="Tabla9"/>
              <w:jc w:val="left"/>
            </w:pPr>
            <w:r>
              <w:t xml:space="preserve">Costo SGR por comité (denominador 15)</w:t>
            </w:r>
          </w:p>
        </w:tc>
        <w:tc>
          <w:tcPr/>
          <w:p>
            <w:pPr>
              <w:pStyle w:val="Tabla9"/>
              <w:jc w:val="left"/>
            </w:pPr>
            <w:r>
              <w:t xml:space="preserve">617,82</w:t>
            </w:r>
          </w:p>
        </w:tc>
        <w:tc>
          <w:tcPr/>
          <w:p>
            <w:pPr>
              <w:pStyle w:val="Tabla9"/>
              <w:jc w:val="left"/>
            </w:pPr>
            <w:r>
              <w:t xml:space="preserve">millones de COP por comité</w:t>
            </w:r>
          </w:p>
        </w:tc>
        <w:tc>
          <w:tcPr/>
          <w:p>
            <w:pPr>
              <w:pStyle w:val="Tabla9"/>
              <w:jc w:val="left"/>
            </w:pPr>
            <w:r>
              <w:t xml:space="preserve">CALCULADO sobre denominador SUPUESTO</w:t>
            </w:r>
          </w:p>
        </w:tc>
      </w:tr>
      <w:tr>
        <w:trPr>
          <w:cantSplit/>
        </w:trPr>
        <w:tc>
          <w:tcPr/>
          <w:p>
            <w:pPr>
              <w:pStyle w:val="Tabla9"/>
              <w:jc w:val="left"/>
            </w:pPr>
            <w:r>
              <w:t xml:space="preserve">Costo SGR por funcionario beneficiario (denominador 150)</w:t>
            </w:r>
          </w:p>
        </w:tc>
        <w:tc>
          <w:tcPr/>
          <w:p>
            <w:pPr>
              <w:pStyle w:val="Tabla9"/>
              <w:jc w:val="left"/>
            </w:pPr>
            <w:r>
              <w:t xml:space="preserve">61,78</w:t>
            </w:r>
          </w:p>
        </w:tc>
        <w:tc>
          <w:tcPr/>
          <w:p>
            <w:pPr>
              <w:pStyle w:val="Tabla9"/>
              <w:jc w:val="left"/>
            </w:pPr>
            <w:r>
              <w:t xml:space="preserve">millones de COP por persona</w:t>
            </w:r>
          </w:p>
        </w:tc>
        <w:tc>
          <w:tcPr/>
          <w:p>
            <w:pPr>
              <w:pStyle w:val="Tabla9"/>
              <w:jc w:val="left"/>
            </w:pPr>
            <w:r>
              <w:t xml:space="preserve">CALCULADO sobre denominador SUPUESTO</w:t>
            </w:r>
          </w:p>
        </w:tc>
      </w:tr>
      <w:tr>
        <w:trPr>
          <w:cantSplit/>
        </w:trPr>
        <w:tc>
          <w:tcPr/>
          <w:p>
            <w:pPr>
              <w:pStyle w:val="Tabla9"/>
              <w:jc w:val="left"/>
            </w:pPr>
            <w:r>
              <w:t xml:space="preserve">Partida S09 por persona certificada (150 ÷ 60)</w:t>
            </w:r>
          </w:p>
        </w:tc>
        <w:tc>
          <w:tcPr/>
          <w:p>
            <w:pPr>
              <w:pStyle w:val="Tabla9"/>
              <w:jc w:val="left"/>
            </w:pPr>
            <w:r>
              <w:t xml:space="preserve">2,50</w:t>
            </w:r>
          </w:p>
        </w:tc>
        <w:tc>
          <w:tcPr/>
          <w:p>
            <w:pPr>
              <w:pStyle w:val="Tabla9"/>
              <w:jc w:val="left"/>
            </w:pPr>
            <w:r>
              <w:t xml:space="preserve">millones de COP por persona</w:t>
            </w:r>
          </w:p>
        </w:tc>
        <w:tc>
          <w:tcPr/>
          <w:p>
            <w:pPr>
              <w:pStyle w:val="Tabla9"/>
              <w:jc w:val="left"/>
            </w:pPr>
            <w:r>
              <w:t xml:space="preserve">CALCULADO; solo formación</w:t>
            </w:r>
          </w:p>
        </w:tc>
      </w:tr>
      <w:tr>
        <w:trPr>
          <w:cantSplit/>
        </w:trPr>
        <w:tc>
          <w:tcPr/>
          <w:p>
            <w:pPr>
              <w:pStyle w:val="Tabla9"/>
              <w:jc w:val="left"/>
            </w:pPr>
            <w:r>
              <w:t xml:space="preserve">Empleo directo financiado por el SGR</w:t>
            </w:r>
          </w:p>
        </w:tc>
        <w:tc>
          <w:tcPr/>
          <w:p>
            <w:pPr>
              <w:pStyle w:val="Tabla9"/>
              <w:jc w:val="left"/>
            </w:pPr>
            <w:r>
              <w:t xml:space="preserve">29 posiciones y 624 persona-mes</w:t>
            </w:r>
          </w:p>
        </w:tc>
        <w:tc>
          <w:tcPr/>
          <w:p>
            <w:pPr>
              <w:pStyle w:val="Tabla9"/>
              <w:jc w:val="left"/>
            </w:pPr>
            <w:r>
              <w:t xml:space="preserve">posiciones y persona-mes</w:t>
            </w:r>
          </w:p>
        </w:tc>
        <w:tc>
          <w:tcPr/>
          <w:p>
            <w:pPr>
              <w:pStyle w:val="Tabla9"/>
              <w:jc w:val="left"/>
            </w:pPr>
            <w:r>
              <w:t xml:space="preserve">CALCULADO</w:t>
            </w:r>
          </w:p>
        </w:tc>
      </w:tr>
      <w:tr>
        <w:trPr>
          <w:cantSplit/>
        </w:trPr>
        <w:tc>
          <w:tcPr/>
          <w:p>
            <w:pPr>
              <w:pStyle w:val="Tabla9"/>
              <w:jc w:val="left"/>
            </w:pPr>
            <w:r>
              <w:t xml:space="preserve">Costo parcial posproyecto, año 1</w:t>
            </w:r>
          </w:p>
        </w:tc>
        <w:tc>
          <w:tcPr/>
          <w:p>
            <w:pPr>
              <w:pStyle w:val="Tabla9"/>
              <w:jc w:val="left"/>
            </w:pPr>
            <w:r>
              <w:t xml:space="preserve">190,00</w:t>
            </w:r>
          </w:p>
        </w:tc>
        <w:tc>
          <w:tcPr/>
          <w:p>
            <w:pPr>
              <w:pStyle w:val="Tabla9"/>
              <w:jc w:val="left"/>
            </w:pPr>
            <w:r>
              <w:t xml:space="preserve">millones de COP (cota inferior)</w:t>
            </w:r>
          </w:p>
        </w:tc>
        <w:tc>
          <w:tcPr/>
          <w:p>
            <w:pPr>
              <w:pStyle w:val="Tabla9"/>
              <w:jc w:val="left"/>
            </w:pPr>
            <w:r>
              <w:t xml:space="preserve">CALCULADO sobre cifras PROPUESTAS; NO_VERIFICADO</w:t>
            </w:r>
          </w:p>
        </w:tc>
      </w:tr>
      <w:tr>
        <w:trPr>
          <w:cantSplit/>
        </w:trPr>
        <w:tc>
          <w:tcPr/>
          <w:p>
            <w:pPr>
              <w:pStyle w:val="Tabla9"/>
              <w:jc w:val="left"/>
            </w:pPr>
            <w:r>
              <w:t xml:space="preserve">Beneficios monetizados, valor presente neto y ROI</w:t>
            </w:r>
          </w:p>
        </w:tc>
        <w:tc>
          <w:tcPr/>
          <w:p>
            <w:pPr>
              <w:pStyle w:val="Tabla9"/>
              <w:jc w:val="left"/>
            </w:pPr>
            <w:r>
              <w:t xml:space="preserve">NO_CALCULABLE</w:t>
            </w:r>
          </w:p>
        </w:tc>
        <w:tc>
          <w:tcPr/>
          <w:p>
            <w:pPr>
              <w:pStyle w:val="Tabla9"/>
              <w:jc w:val="left"/>
            </w:pPr>
            <w:r>
              <w:t xml:space="preserve">—</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datos de la ficha maestra (secciones 5 y 8) y de la sección 4.4-MDR.10. Los cocientes dividen el valor indicado entre el denominador declarado en la columna Concepto. No son precios unitarios de equipos. IES: institución de educación superior. Decimales con coma y miles con punto.</w:t>
      </w:r>
    </w:p>
    <w:p>
      <w:pPr>
        <w:pStyle w:val="BodyText"/>
      </w:pPr>
      <w:r>
        <w:t xml:space="preserve">La Tabla 13.6 permite tres lecturas. La primera es que el costo por producto se puede declarar hoy. Es de 113,77 millones de COP por nodo operativo en el costo total y de 92,67 millones con cargo al SGR. Esa cifra incluye investigación, medición verificada, plataforma, formación y custodia, y por eso no equivale al precio de un nodo. La segunda es que el empleo directo es cuantificable. Suma 29 posiciones y 624 persona-mes, de los cuales 144 corresponden a los seis técnicos de campo departamentales (P10). La tercera es que el costo posproyecto solo posee una cota inferior, y los beneficios carecen de cifra.</w:t>
      </w:r>
    </w:p>
    <w:p>
      <w:pPr>
        <w:pStyle w:val="BodyText"/>
      </w:pPr>
      <w:r>
        <w:t xml:space="preserve">La comparación con una alternativa pertinente exige un denominador común. La alternativa ALT-01 propone estaciones fijas de referencia en los sitios de remoción. Una red ilustrativa de 100 monitores gravimétricos costaría 8.500 millones de COP en adquisición, a 85 millones cada uno (partida E03, CALCULADO). La adquisición de los 120 nodos con cabezales, energía y cerramientos (E01, E02, E05 y M03) suma 840 millones de COP (CALCULADO). La razón entre ambas cifras es de 10,1 veces. La comparación no equipara desempeño. Un monitor de referencia mide con mayor exactitud que un nodo. La red aporta cobertura espacial que los puntos de referencia no ofrecen. Por eso se limita al costo de adquisición por punto de medición y se declara ILUSTRATIVA.</w:t>
      </w:r>
    </w:p>
    <w:p>
      <w:pPr>
        <w:pStyle w:val="BodyText"/>
      </w:pPr>
      <w:r>
        <w:t xml:space="preserve">La estructura del ROI es (B − C) ÷ C. B es el valor presente de los beneficios monetizados y C el valor presente de los costos. C es calculable una vez fijada la tasa de descuento [DATO_USUARIO: tasa social de descuento exigida por los términos de referencia]. B no lo es. Los candidatos a beneficio son cuatro. El primero son los costos de parada de obra evitados por menos falsas alarmas. E3 los liga al lucro cesante de las constructoras, sin cifra. El segundo es el ahorro frente a redes sin calibración que deben reponerse. El tercero es el valor de la información para la gestión del riesgo. El cuarto son los costos de salud evitados. Los tres primeros carecen de fuente, y el cuarto no es atribuible según la regla H36-11. Cada candidato permanece NO_CALCULABLE hasta que se aporte su cifra.</w:t>
      </w:r>
    </w:p>
    <w:p>
      <w:pPr>
        <w:pStyle w:val="BodyText"/>
      </w:pPr>
      <w:r>
        <w:t xml:space="preserve">La articulación con la vocación productiva regional queda pendiente de un dato del usuario [DATO_USUARIO: vocación productiva de Caldas, Cundinamarca y Valle del Cauca]. El sector más cercano al proyecto es la reconstrucción y la remoción de escombros. Sus actores son las constructoras y las administradoras de riesgos laborales (ARL). Teece (1986) sostiene que quien desarrolla una innovación captura su valor según el régimen de apropiación y los activos complementarios que controla. Chesbrough (2003) sostiene que abrir la innovación a socios externos puede ampliar su valor. El proyecto no elige entre ambas posiciones. Registra el software ante la DNDA (PERS-P02) y prevé una cláusula de apertura de datos y código si el modelo financiero falla. La Tabla 13.7 presenta la matriz de impactos económicos con esa lógica.</w:t>
      </w:r>
    </w:p>
    <w:p>
      <w:pPr>
        <w:pStyle w:val="TablaRotulo"/>
      </w:pPr>
      <w:bookmarkStart w:id="9356" w:name="rot_Tabla_13_7"/>
      <w:r>
        <w:rPr>
          <w:b/>
          <w:bCs/>
        </w:rPr>
        <w:t xml:space="preserve">Tabla 13.7</w:t>
      </w:r>
      <w:bookmarkEnd w:id="9356"/>
    </w:p>
    <w:p>
      <w:pPr>
        <w:pStyle w:val="TablaTitulo"/>
      </w:pPr>
      <w:r>
        <w:rPr>
          <w:i/>
          <w:iCs/>
        </w:rPr>
        <w:t xml:space="preserve">Matriz de impactos económicos: producto, efecto e impacto con indicadores SMART</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16"/>
        <w:gridCol w:w="850"/>
        <w:gridCol w:w="1243"/>
        <w:gridCol w:w="1309"/>
        <w:gridCol w:w="1047"/>
        <w:gridCol w:w="720"/>
        <w:gridCol w:w="916"/>
        <w:gridCol w:w="916"/>
      </w:tblGrid>
      <w:tr>
        <w:trPr>
          <w:cantSplit/>
          <w:tblHeader/>
        </w:trPr>
        <w:tc>
          <w:tcPr>
            <w:shd w:val="clear" w:color="auto" w:fill="00B050"/>
          </w:tcPr>
          <w:p>
            <w:pPr>
              <w:pStyle w:val="Tabla8"/>
              <w:jc w:val="center"/>
            </w:pPr>
            <w:r>
              <w:rPr>
                <w:b/>
                <w:color w:val="FFFFFF"/>
              </w:rPr>
              <w:t xml:space="preserve">Nivel</w:t>
            </w:r>
          </w:p>
        </w:tc>
        <w:tc>
          <w:tcPr>
            <w:shd w:val="clear" w:color="auto" w:fill="00B050"/>
          </w:tcPr>
          <w:p>
            <w:pPr>
              <w:pStyle w:val="Tabla8"/>
              <w:jc w:val="center"/>
            </w:pPr>
            <w:r>
              <w:rPr>
                <w:b/>
                <w:color w:val="FFFFFF"/>
              </w:rPr>
              <w:t xml:space="preserve">Resultado</w:t>
            </w:r>
          </w:p>
        </w:tc>
        <w:tc>
          <w:tcPr>
            <w:shd w:val="clear" w:color="auto" w:fill="00B050"/>
          </w:tcPr>
          <w:p>
            <w:pPr>
              <w:pStyle w:val="Tabla8"/>
              <w:jc w:val="center"/>
            </w:pPr>
            <w:r>
              <w:rPr>
                <w:b/>
                <w:color w:val="FFFFFF"/>
              </w:rPr>
              <w:t xml:space="preserve">Indicador SMART</w:t>
            </w:r>
          </w:p>
        </w:tc>
        <w:tc>
          <w:tcPr>
            <w:shd w:val="clear" w:color="auto" w:fill="00B050"/>
          </w:tcPr>
          <w:p>
            <w:pPr>
              <w:pStyle w:val="Tabla8"/>
              <w:jc w:val="center"/>
            </w:pPr>
            <w:r>
              <w:rPr>
                <w:b/>
                <w:color w:val="FFFFFF"/>
              </w:rPr>
              <w:t xml:space="preserve">Línea base</w:t>
            </w:r>
          </w:p>
        </w:tc>
        <w:tc>
          <w:tcPr>
            <w:shd w:val="clear" w:color="auto" w:fill="00B050"/>
          </w:tcPr>
          <w:p>
            <w:pPr>
              <w:pStyle w:val="Tabla8"/>
              <w:jc w:val="center"/>
            </w:pPr>
            <w:r>
              <w:rPr>
                <w:b/>
                <w:color w:val="FFFFFF"/>
              </w:rPr>
              <w:t xml:space="preserve">Meta y plazo</w:t>
            </w:r>
          </w:p>
        </w:tc>
        <w:tc>
          <w:tcPr>
            <w:shd w:val="clear" w:color="auto" w:fill="00B050"/>
          </w:tcPr>
          <w:p>
            <w:pPr>
              <w:pStyle w:val="Tabla8"/>
              <w:jc w:val="center"/>
            </w:pPr>
            <w:r>
              <w:rPr>
                <w:b/>
                <w:color w:val="FFFFFF"/>
              </w:rPr>
              <w:t xml:space="preserve">PERS</w:t>
            </w:r>
          </w:p>
        </w:tc>
        <w:tc>
          <w:tcPr>
            <w:shd w:val="clear" w:color="auto" w:fill="00B050"/>
          </w:tcPr>
          <w:p>
            <w:pPr>
              <w:pStyle w:val="Tabla8"/>
              <w:jc w:val="center"/>
            </w:pPr>
            <w:r>
              <w:rPr>
                <w:b/>
                <w:color w:val="FFFFFF"/>
              </w:rPr>
              <w:t xml:space="preserve">Mecanismo causal</w:t>
            </w:r>
          </w:p>
        </w:tc>
        <w:tc>
          <w:tcPr>
            <w:shd w:val="clear" w:color="auto" w:fill="00B050"/>
          </w:tcPr>
          <w:p>
            <w:pPr>
              <w:pStyle w:val="Tabla8"/>
              <w:jc w:val="center"/>
            </w:pPr>
            <w:r>
              <w:rPr>
                <w:b/>
                <w:color w:val="FFFFFF"/>
              </w:rPr>
              <w:t xml:space="preserve">Supuesto</w:t>
            </w:r>
          </w:p>
        </w:tc>
      </w:tr>
      <w:tr>
        <w:trPr>
          <w:cantSplit/>
        </w:trPr>
        <w:tc>
          <w:tcPr/>
          <w:p>
            <w:pPr>
              <w:pStyle w:val="Tabla8"/>
              <w:jc w:val="left"/>
            </w:pPr>
            <w:r>
              <w:t xml:space="preserve">Producto (nivel 1)</w:t>
            </w:r>
          </w:p>
        </w:tc>
        <w:tc>
          <w:tcPr/>
          <w:p>
            <w:pPr>
              <w:pStyle w:val="Tabla8"/>
              <w:jc w:val="left"/>
            </w:pPr>
            <w:r>
              <w:t xml:space="preserve">Ejecución presupuestal controlada</w:t>
            </w:r>
          </w:p>
        </w:tc>
        <w:tc>
          <w:tcPr/>
          <w:p>
            <w:pPr>
              <w:pStyle w:val="Tabla8"/>
              <w:jc w:val="left"/>
            </w:pPr>
            <w:r>
              <w:t xml:space="preserve">Desviación de la ejecución presupuestal</w:t>
            </w:r>
          </w:p>
        </w:tc>
        <w:tc>
          <w:tcPr/>
          <w:p>
            <w:pPr>
              <w:pStyle w:val="Tabla8"/>
              <w:jc w:val="left"/>
            </w:pPr>
            <w:r>
              <w:t xml:space="preserve">0 (CALCULADO)</w:t>
            </w:r>
          </w:p>
        </w:tc>
        <w:tc>
          <w:tcPr/>
          <w:p>
            <w:pPr>
              <w:pStyle w:val="Tabla8"/>
              <w:jc w:val="left"/>
            </w:pPr>
            <w:r>
              <w:t xml:space="preserve">Desviación absoluta ≤ 5 % al cierre</w:t>
            </w:r>
          </w:p>
        </w:tc>
        <w:tc>
          <w:tcPr/>
          <w:p>
            <w:pPr>
              <w:pStyle w:val="Tabla8"/>
              <w:jc w:val="left"/>
            </w:pPr>
            <w:r>
              <w:t xml:space="preserve">PERS-R04</w:t>
            </w:r>
          </w:p>
        </w:tc>
        <w:tc>
          <w:tcPr/>
          <w:p>
            <w:pPr>
              <w:pStyle w:val="Tabla8"/>
              <w:jc w:val="left"/>
            </w:pPr>
            <w:r>
              <w:t xml:space="preserve">El seguimiento mensual contra la programación detecta desviaciones a tiempo</w:t>
            </w:r>
          </w:p>
        </w:tc>
        <w:tc>
          <w:tcPr/>
          <w:p>
            <w:pPr>
              <w:pStyle w:val="Tabla8"/>
              <w:jc w:val="left"/>
            </w:pPr>
            <w:r>
              <w:t xml:space="preserve">Desembolsos oportunos por tramo</w:t>
            </w:r>
          </w:p>
        </w:tc>
      </w:tr>
      <w:tr>
        <w:trPr>
          <w:cantSplit/>
        </w:trPr>
        <w:tc>
          <w:tcPr/>
          <w:p>
            <w:pPr>
              <w:pStyle w:val="Tabla8"/>
              <w:jc w:val="left"/>
            </w:pPr>
            <w:r>
              <w:t xml:space="preserve">Producto (nivel 1)</w:t>
            </w:r>
          </w:p>
        </w:tc>
        <w:tc>
          <w:tcPr/>
          <w:p>
            <w:pPr>
              <w:pStyle w:val="Tabla8"/>
              <w:jc w:val="left"/>
            </w:pPr>
            <w:r>
              <w:t xml:space="preserve">Red operativa que habilita la medición</w:t>
            </w:r>
          </w:p>
        </w:tc>
        <w:tc>
          <w:tcPr/>
          <w:p>
            <w:pPr>
              <w:pStyle w:val="Tabla8"/>
              <w:jc w:val="left"/>
            </w:pPr>
            <w:r>
              <w:t xml:space="preserve">Nodos y gateways operativos</w:t>
            </w:r>
          </w:p>
        </w:tc>
        <w:tc>
          <w:tcPr/>
          <w:p>
            <w:pPr>
              <w:pStyle w:val="Tabla8"/>
              <w:jc w:val="left"/>
            </w:pPr>
            <w:r>
              <w:t xml:space="preserve">0 / 0 (CALCULADO)</w:t>
            </w:r>
          </w:p>
        </w:tc>
        <w:tc>
          <w:tcPr/>
          <w:p>
            <w:pPr>
              <w:pStyle w:val="Tabla8"/>
              <w:jc w:val="left"/>
            </w:pPr>
            <w:r>
              <w:t xml:space="preserve">100 / 10 al mes 24</w:t>
            </w:r>
          </w:p>
        </w:tc>
        <w:tc>
          <w:tcPr/>
          <w:p>
            <w:pPr>
              <w:pStyle w:val="Tabla8"/>
              <w:jc w:val="left"/>
            </w:pPr>
            <w:r>
              <w:t xml:space="preserve">PERS-P01</w:t>
            </w:r>
          </w:p>
        </w:tc>
        <w:tc>
          <w:tcPr/>
          <w:p>
            <w:pPr>
              <w:pStyle w:val="Tabla8"/>
              <w:jc w:val="left"/>
            </w:pPr>
            <w:r>
              <w:t xml:space="preserve">Las compuertas liberan la compra de cada tramo solo con evidencia</w:t>
            </w:r>
          </w:p>
        </w:tc>
        <w:tc>
          <w:tcPr/>
          <w:p>
            <w:pPr>
              <w:pStyle w:val="Tabla8"/>
              <w:jc w:val="left"/>
            </w:pPr>
            <w:r>
              <w:t xml:space="preserve">Compuertas C1 y C2 aprobadas</w:t>
            </w:r>
          </w:p>
        </w:tc>
      </w:tr>
      <w:tr>
        <w:trPr>
          <w:cantSplit/>
        </w:trPr>
        <w:tc>
          <w:tcPr/>
          <w:p>
            <w:pPr>
              <w:pStyle w:val="Tabla8"/>
              <w:jc w:val="left"/>
            </w:pPr>
            <w:r>
              <w:t xml:space="preserve">Producto (nivel 1)</w:t>
            </w:r>
          </w:p>
        </w:tc>
        <w:tc>
          <w:tcPr/>
          <w:p>
            <w:pPr>
              <w:pStyle w:val="Tabla8"/>
              <w:jc w:val="left"/>
            </w:pPr>
            <w:r>
              <w:t xml:space="preserve">Empleo directo financiado por el SGR</w:t>
            </w:r>
          </w:p>
        </w:tc>
        <w:tc>
          <w:tcPr/>
          <w:p>
            <w:pPr>
              <w:pStyle w:val="Tabla8"/>
              <w:jc w:val="left"/>
            </w:pPr>
            <w:r>
              <w:t xml:space="preserve">Posiciones y persona-mes presupuestados</w:t>
            </w:r>
          </w:p>
        </w:tc>
        <w:tc>
          <w:tcPr/>
          <w:p>
            <w:pPr>
              <w:pStyle w:val="Tabla8"/>
              <w:jc w:val="left"/>
            </w:pPr>
            <w:r>
              <w:t xml:space="preserve">0 (CALCULADO)</w:t>
            </w:r>
          </w:p>
        </w:tc>
        <w:tc>
          <w:tcPr/>
          <w:p>
            <w:pPr>
              <w:pStyle w:val="Tabla8"/>
              <w:jc w:val="left"/>
            </w:pPr>
            <w:r>
              <w:t xml:space="preserve">29 posiciones y 624 persona-mes en 24 meses</w:t>
            </w:r>
          </w:p>
        </w:tc>
        <w:tc>
          <w:tcPr/>
          <w:p>
            <w:pPr>
              <w:pStyle w:val="Tabla8"/>
              <w:jc w:val="left"/>
            </w:pPr>
            <w:r>
              <w:t xml:space="preserve">PERS-R04</w:t>
            </w:r>
          </w:p>
        </w:tc>
        <w:tc>
          <w:tcPr/>
          <w:p>
            <w:pPr>
              <w:pStyle w:val="Tabla8"/>
              <w:jc w:val="left"/>
            </w:pPr>
            <w:r>
              <w:t xml:space="preserve">El rubro de personal contrata equipos técnicos y de campo</w:t>
            </w:r>
          </w:p>
        </w:tc>
        <w:tc>
          <w:tcPr/>
          <w:p>
            <w:pPr>
              <w:pStyle w:val="Tabla8"/>
              <w:jc w:val="left"/>
            </w:pPr>
            <w:r>
              <w:t xml:space="preserve">Contratación completa en el mes 2 (H0)</w:t>
            </w:r>
          </w:p>
        </w:tc>
      </w:tr>
      <w:tr>
        <w:trPr>
          <w:cantSplit/>
        </w:trPr>
        <w:tc>
          <w:tcPr/>
          <w:p>
            <w:pPr>
              <w:pStyle w:val="Tabla8"/>
              <w:jc w:val="left"/>
            </w:pPr>
            <w:r>
              <w:t xml:space="preserve">Efecto (nivel 3, contribución)</w:t>
            </w:r>
          </w:p>
        </w:tc>
        <w:tc>
          <w:tcPr/>
          <w:p>
            <w:pPr>
              <w:pStyle w:val="Tabla8"/>
              <w:jc w:val="left"/>
            </w:pPr>
            <w:r>
              <w:t xml:space="preserve">Cobertura del costo mínimo por los custodios</w:t>
            </w:r>
          </w:p>
        </w:tc>
        <w:tc>
          <w:tcPr/>
          <w:p>
            <w:pPr>
              <w:pStyle w:val="Tabla8"/>
              <w:jc w:val="left"/>
            </w:pPr>
            <w:r>
              <w:t xml:space="preserve">Cobertura anual del costo mínimo con partida</w:t>
            </w:r>
          </w:p>
        </w:tc>
        <w:tc>
          <w:tcPr/>
          <w:p>
            <w:pPr>
              <w:pStyle w:val="Tabla8"/>
              <w:jc w:val="left"/>
            </w:pPr>
            <w:r>
              <w:t xml:space="preserve">VACIO (costo mínimo NO_CALCULABLE)</w:t>
            </w:r>
          </w:p>
        </w:tc>
        <w:tc>
          <w:tcPr/>
          <w:p>
            <w:pPr>
              <w:pStyle w:val="Tabla8"/>
              <w:jc w:val="left"/>
            </w:pPr>
            <w:r>
              <w:t xml:space="preserve">≥ 100 % sostenida (umbral del disparador, PROPUESTO)</w:t>
            </w:r>
          </w:p>
        </w:tc>
        <w:tc>
          <w:tcPr/>
          <w:p>
            <w:pPr>
              <w:pStyle w:val="Tabla8"/>
              <w:jc w:val="left"/>
            </w:pPr>
            <w:r>
              <w:t xml:space="preserve">PERS-S02</w:t>
            </w:r>
          </w:p>
        </w:tc>
        <w:tc>
          <w:tcPr/>
          <w:p>
            <w:pPr>
              <w:pStyle w:val="Tabla8"/>
              <w:jc w:val="left"/>
            </w:pPr>
            <w:r>
              <w:t xml:space="preserve">Un portafolio de custodios con partida cubre el costo recurrente</w:t>
            </w:r>
          </w:p>
        </w:tc>
        <w:tc>
          <w:tcPr/>
          <w:p>
            <w:pPr>
              <w:pStyle w:val="Tabla8"/>
              <w:jc w:val="left"/>
            </w:pPr>
            <w:r>
              <w:t xml:space="preserve">Custodios con partida y competencia jurídica</w:t>
            </w:r>
          </w:p>
        </w:tc>
      </w:tr>
      <w:tr>
        <w:trPr>
          <w:cantSplit/>
        </w:trPr>
        <w:tc>
          <w:tcPr/>
          <w:p>
            <w:pPr>
              <w:pStyle w:val="Tabla8"/>
              <w:jc w:val="left"/>
            </w:pPr>
            <w:r>
              <w:t xml:space="preserve">Efecto (nivel 3, contribución)</w:t>
            </w:r>
          </w:p>
        </w:tc>
        <w:tc>
          <w:tcPr/>
          <w:p>
            <w:pPr>
              <w:pStyle w:val="Tabla8"/>
              <w:jc w:val="left"/>
            </w:pPr>
            <w:r>
              <w:t xml:space="preserve">Uso del dato por actores productivos</w:t>
            </w:r>
          </w:p>
        </w:tc>
        <w:tc>
          <w:tcPr/>
          <w:p>
            <w:pPr>
              <w:pStyle w:val="Tabla8"/>
              <w:jc w:val="left"/>
            </w:pPr>
            <w:r>
              <w:t xml:space="preserve">Convenios de cofinanciación o de uso del dato con ARL o constructoras</w:t>
            </w:r>
          </w:p>
        </w:tc>
        <w:tc>
          <w:tcPr/>
          <w:p>
            <w:pPr>
              <w:pStyle w:val="Tabla8"/>
              <w:jc w:val="left"/>
            </w:pPr>
            <w:r>
              <w:t xml:space="preserve">VACIO</w:t>
            </w:r>
          </w:p>
        </w:tc>
        <w:tc>
          <w:tcPr/>
          <w:p>
            <w:pPr>
              <w:pStyle w:val="Tabla8"/>
              <w:jc w:val="left"/>
            </w:pPr>
            <w:r>
              <w:t xml:space="preserve">≥ 1 convenio al mes 24 (PROPUESTO)</w:t>
            </w:r>
          </w:p>
        </w:tc>
        <w:tc>
          <w:tcPr/>
          <w:p>
            <w:pPr>
              <w:pStyle w:val="Tabla8"/>
              <w:jc w:val="left"/>
            </w:pPr>
            <w:r>
              <w:t xml:space="preserve">PERS-E01</w:t>
            </w:r>
          </w:p>
        </w:tc>
        <w:tc>
          <w:tcPr/>
          <w:p>
            <w:pPr>
              <w:pStyle w:val="Tabla8"/>
              <w:jc w:val="left"/>
            </w:pPr>
            <w:r>
              <w:t xml:space="preserve">El convenio vincula el dato a decisiones de ARL y constructoras</w:t>
            </w:r>
          </w:p>
        </w:tc>
        <w:tc>
          <w:tcPr/>
          <w:p>
            <w:pPr>
              <w:pStyle w:val="Tabla8"/>
              <w:jc w:val="left"/>
            </w:pPr>
            <w:r>
              <w:t xml:space="preserve">Interés de ARL y constructoras (VACIO)</w:t>
            </w:r>
          </w:p>
        </w:tc>
      </w:tr>
      <w:tr>
        <w:trPr>
          <w:cantSplit/>
        </w:trPr>
        <w:tc>
          <w:tcPr/>
          <w:p>
            <w:pPr>
              <w:pStyle w:val="Tabla8"/>
              <w:jc w:val="left"/>
            </w:pPr>
            <w:r>
              <w:t xml:space="preserve">Impacto (nivel 4, contribución)</w:t>
            </w:r>
          </w:p>
        </w:tc>
        <w:tc>
          <w:tcPr/>
          <w:p>
            <w:pPr>
              <w:pStyle w:val="Tabla8"/>
              <w:jc w:val="left"/>
            </w:pPr>
            <w:r>
              <w:t xml:space="preserve">Menos costos por falsas alarmas</w:t>
            </w:r>
          </w:p>
        </w:tc>
        <w:tc>
          <w:tcPr/>
          <w:p>
            <w:pPr>
              <w:pStyle w:val="Tabla8"/>
              <w:jc w:val="left"/>
            </w:pPr>
            <w:r>
              <w:t xml:space="preserve">Reducción relativa de falsas alarmas; valor en COP NO_CALCULABLE</w:t>
            </w:r>
          </w:p>
        </w:tc>
        <w:tc>
          <w:tcPr/>
          <w:p>
            <w:pPr>
              <w:pStyle w:val="Tabla8"/>
              <w:jc w:val="left"/>
            </w:pPr>
            <w:r>
              <w:t xml:space="preserve">Se mide en el tramo 1 (VACIO)</w:t>
            </w:r>
          </w:p>
        </w:tc>
        <w:tc>
          <w:tcPr/>
          <w:p>
            <w:pPr>
              <w:pStyle w:val="Tabla8"/>
              <w:jc w:val="left"/>
            </w:pPr>
            <w:r>
              <w:t xml:space="preserve">≥ 30 % de reducción relativa</w:t>
            </w:r>
          </w:p>
        </w:tc>
        <w:tc>
          <w:tcPr/>
          <w:p>
            <w:pPr>
              <w:pStyle w:val="Tabla8"/>
              <w:jc w:val="left"/>
            </w:pPr>
            <w:r>
              <w:t xml:space="preserve">PERS-E02</w:t>
            </w:r>
          </w:p>
        </w:tc>
        <w:tc>
          <w:tcPr/>
          <w:p>
            <w:pPr>
              <w:pStyle w:val="Tabla8"/>
              <w:jc w:val="left"/>
            </w:pPr>
            <w:r>
              <w:t xml:space="preserve">Umbrales con error conocido reducen paradas de obra innecesarias</w:t>
            </w:r>
          </w:p>
        </w:tc>
        <w:tc>
          <w:tcPr/>
          <w:p>
            <w:pPr>
              <w:pStyle w:val="Tabla8"/>
              <w:jc w:val="left"/>
            </w:pPr>
            <w:r>
              <w:t xml:space="preserve">Costo por parada de obra con fuente (VACIO)</w:t>
            </w:r>
          </w:p>
        </w:tc>
      </w:tr>
      <w:tr>
        <w:trPr>
          <w:cantSplit/>
        </w:trPr>
        <w:tc>
          <w:tcPr/>
          <w:p>
            <w:pPr>
              <w:pStyle w:val="Tabla8"/>
              <w:jc w:val="left"/>
            </w:pPr>
            <w:r>
              <w:t xml:space="preserve">Impacto (nivel 4, contribución)</w:t>
            </w:r>
          </w:p>
        </w:tc>
        <w:tc>
          <w:tcPr/>
          <w:p>
            <w:pPr>
              <w:pStyle w:val="Tabla8"/>
              <w:jc w:val="left"/>
            </w:pPr>
            <w:r>
              <w:t xml:space="preserve">Servicio de vigilancia sostenido</w:t>
            </w:r>
          </w:p>
        </w:tc>
        <w:tc>
          <w:tcPr/>
          <w:p>
            <w:pPr>
              <w:pStyle w:val="Tabla8"/>
              <w:jc w:val="left"/>
            </w:pPr>
            <w:r>
              <w:t xml:space="preserve">Continuidad de la red bajo custodia</w:t>
            </w:r>
          </w:p>
        </w:tc>
        <w:tc>
          <w:tcPr/>
          <w:p>
            <w:pPr>
              <w:pStyle w:val="Tabla8"/>
              <w:jc w:val="left"/>
            </w:pPr>
            <w:r>
              <w:t xml:space="preserve">VACIO</w:t>
            </w:r>
          </w:p>
        </w:tc>
        <w:tc>
          <w:tcPr/>
          <w:p>
            <w:pPr>
              <w:pStyle w:val="Tabla8"/>
              <w:jc w:val="left"/>
            </w:pPr>
            <w:r>
              <w:t xml:space="preserve">≥ 70 % a los 12 meses posteriores al cierre</w:t>
            </w:r>
          </w:p>
        </w:tc>
        <w:tc>
          <w:tcPr/>
          <w:p>
            <w:pPr>
              <w:pStyle w:val="Tabla8"/>
              <w:jc w:val="left"/>
            </w:pPr>
            <w:r>
              <w:t xml:space="preserve">PERS-S02</w:t>
            </w:r>
          </w:p>
        </w:tc>
        <w:tc>
          <w:tcPr/>
          <w:p>
            <w:pPr>
              <w:pStyle w:val="Tabla8"/>
              <w:jc w:val="left"/>
            </w:pPr>
            <w:r>
              <w:t xml:space="preserve">La custodia por tramos condiciona cada transferencia a recursos</w:t>
            </w:r>
          </w:p>
        </w:tc>
        <w:tc>
          <w:tcPr/>
          <w:p>
            <w:pPr>
              <w:pStyle w:val="Tabla8"/>
              <w:jc w:val="left"/>
            </w:pPr>
            <w:r>
              <w:t xml:space="preserve">Cláusula de apertura y financiación de custodios</w:t>
            </w:r>
          </w:p>
        </w:tc>
      </w:tr>
    </w:tbl>
    <w:p>
      <w:pPr>
        <w:pStyle w:val="TablaNota"/>
      </w:pPr>
      <w:r>
        <w:rPr>
          <w:i/>
          <w:iCs/>
        </w:rPr>
        <w:t xml:space="preserve">Nota.</w:t>
      </w:r>
      <w:r>
        <w:t xml:space="preserve"> </w:t>
      </w:r>
      <w:r>
        <w:t xml:space="preserve">Elaboración propia con la ficha de indicadores PERS y la ficha maestra. Metas PERS: DECLARADO en la ficha; convenios y umbral de cobertura: PROPUESTO. Ningún valor monetario del impacto se calcula.</w:t>
      </w:r>
    </w:p>
    <w:p>
      <w:pPr>
        <w:pStyle w:val="BodyText"/>
      </w:pPr>
      <w:r>
        <w:t xml:space="preserve">La Tabla 13.7 muestra que el impacto económico declarado es de producto y de continuidad, no de rentabilidad. Las tres primeras filas se comprometen y se verifican con el sistema de seguimiento presupuestal. Las cuatro últimas son contribución y dependen de custodios, ARL y constructoras. El indicador de impacto elegido, la reducción relativa de falsas alarmas, es una variable física. Servirá de base para una monetización futura cuando exista el costo de una parada de obra con fuente. La Figura 13.3 resume el modelo: a la izquierda los costos calculables por rubro del SGR y a la derecha la estructura de beneficios, todos NO_CALCULABLE.</w:t>
      </w:r>
    </w:p>
    <w:p>
      <w:pPr>
        <w:pStyle w:val="FiguraRotulo"/>
      </w:pPr>
      <w:bookmarkStart w:id="9538" w:name="rot_Figura_13_3"/>
      <w:r>
        <w:rPr>
          <w:b/>
          <w:bCs/>
        </w:rPr>
        <w:t xml:space="preserve">Figura 13.3</w:t>
      </w:r>
      <w:bookmarkEnd w:id="9538"/>
    </w:p>
    <w:p>
      <w:pPr>
        <w:pStyle w:val="FiguraTitulo"/>
      </w:pPr>
      <w:r>
        <w:rPr>
          <w:i/>
          <w:iCs/>
        </w:rPr>
        <w:t xml:space="preserve">Modelo de impacto económico: costos calculables y beneficios no monetizados</w:t>
      </w:r>
    </w:p>
    <w:p>
      <w:pPr>
        <w:pStyle w:val="BodyText"/>
      </w:pPr>
      <w:r>
        <w:drawing>
          <wp:inline>
            <wp:extent cx="5579999" cy="3933899"/>
            <wp:effectExtent b="0" l="0" r="0" t="0"/>
            <wp:docPr descr="" title="" id="592" name="Picture"/>
            <a:graphic>
              <a:graphicData uri="http://schemas.openxmlformats.org/drawingml/2006/picture">
                <pic:pic>
                  <pic:nvPicPr>
                    <pic:cNvPr descr="/tmp/claude-0/-home-user-docs/ddf38714-2a7e-502b-92b4-1008e2832422/scratchpad/proy/figs/out/c13_f02.png" id="593" name="Picture"/>
                    <pic:cNvPicPr>
                      <a:picLocks noChangeArrowheads="1" noChangeAspect="1"/>
                    </pic:cNvPicPr>
                  </pic:nvPicPr>
                  <pic:blipFill>
                    <a:blip r:embed="rId591"/>
                    <a:stretch>
                      <a:fillRect/>
                    </a:stretch>
                  </pic:blipFill>
                  <pic:spPr bwMode="auto">
                    <a:xfrm>
                      <a:off x="0" y="0"/>
                      <a:ext cx="5579999" cy="39338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sección 5 (millones de COP, CALCULADO). Los beneficios y el ROI son NO_CALCULABLE por falta de fuente. Generada con matplotlib sin parámetros aleatorios.</w:t>
      </w:r>
    </w:p>
    <w:p>
      <w:pPr>
        <w:pStyle w:val="BodyText"/>
      </w:pPr>
      <w:r>
        <w:t xml:space="preserve">La Figura 13.3 deja visible la asimetría de la información económica. El costo del SGR está desglosado en siete rubros, y el personal concentra 50,2 % del total. Los beneficios solo presentan estructura. La proyección temporal de los beneficios queda condicionada a tres insumos. Son el costo de una parada de obra, la vida útil de los activos y la tasa de descuento. Mientras esos insumos falten, el proyecto reporta costo por producto y se abstiene de reportar retorno.</w:t>
      </w:r>
    </w:p>
    <w:bookmarkEnd w:id="594"/>
    <w:bookmarkStart w:id="595" w:name="_Toc00900237"/>
    <w:p>
      <w:pPr>
        <w:pStyle w:val="Heading2"/>
      </w:pPr>
      <w:r>
        <w:t xml:space="preserve">13.4 Impacto ambiental</w:t>
      </w:r>
    </w:p>
    <w:p>
      <w:pPr>
        <w:pStyle w:val="FirstParagraph"/>
      </w:pPr>
      <w:r>
        <w:t xml:space="preserve">La huella ambiental del proyecto se evalúa por las cantidades que el presupuesto compra y consume. El proyecto adquiere 120 nodos, 150 cabezales ópticos y 120 kits de energía solar y batería. Adquiere también 11 gateways, 10 módulos de enlace satelital y tres monitores gravimétricos de referencia (partidas E01 a E06). Consume 1.200 filtros de membrana de PTFE para gravimetría, 15 lotes de polvo de ensayo y 3.000 mascarillas N95 (M01, M02 y M06). Distribuye 5.000 cartillas impresas (M04). Programa 50 trayectos aéreos nacionales y 100 días de vehículo 4x4 (V01 y V03). Estas cantidades son DECLARADAS o PROPUESTAS en la ficha maestra. La masa de baterías y de residuos electrónicos es NO_CALCULABLE. Las emisiones de los desplazamientos también lo son, porque ninguna partida declara masa unitaria ni coeficiente de emisión (VACIO).</w:t>
      </w:r>
    </w:p>
    <w:p>
      <w:pPr>
        <w:pStyle w:val="BodyText"/>
      </w:pPr>
      <w:r>
        <w:t xml:space="preserve">Dos posiciones evalúan el balance ambiental de una red de sensores de bajo costo. La primera destaca que la información abundante y barata permite gestionar la exposición donde antes no se medía (Kumar et al., 2015; Morawska et al., 2018). La segunda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para cada nodo. Incluye colocalización con referencia, ciclos de calibración y los umbrales de desempeño de la Agencia de Protección Ambiental de Estados Unidos (EPA, 2021). Así, el residuo futuro queda asociado a un beneficio verificable.</w:t>
      </w:r>
    </w:p>
    <w:p>
      <w:pPr>
        <w:pStyle w:val="BodyText"/>
      </w:pPr>
      <w:r>
        <w:t xml:space="preserve">La contribución a la economía circular se apoya en tres decisiones del diseño. La primera es la vida útil extendida. La custodia por tramos y el manual de reactivación buscan que los nodos sigan operando después del mes 24 (PERS-S02). La segunda es la reposición por componente. El lote de repuestos de 60 millones de COP (M07) y los 20 nodos de reserva permiten sustituir piezas en lugar de equipos completos. La tercera es la disposición final. Los activos retirados requieren un gestor autorizado de residuos eléctricos y electrónicos [DATO_USUARIO: gestor autorizado en cada departamento e instrumento normativo aplicable]. El proyecto no cita una norma específica de residuos porque ninguna fue aportada. La edad del cabezal figura como variable de control del modelo (ficha maestra, sección 10c). Por eso el reemplazo de cabezales se registra como evento de mantenimiento.</w:t>
      </w:r>
    </w:p>
    <w:p>
      <w:pPr>
        <w:pStyle w:val="BodyText"/>
      </w:pPr>
      <w:r>
        <w:t xml:space="preserve">El proyecto no declara emisiones evitadas. El sistema mide la concentración de PM2,5 y PM10, pero no reduce la emisión de polvo en la fuente. La sección 4.4-MDR.3 registra el control en la fuente y la salud ocupacional como un marco rival. Ese marco corresponde a las autoridades laborales y a las ARL. Las guías globales de calidad del aire fijan niveles de referencia para estos contaminantes con fines de salud (Organización Mundial de la Salud, 2021). Los nodos informan sobre la concentración, no sobre su causa ni sobre su reducción. Tampoco se declaran indicadores PERS de oferta energética, porque no aplican (NO_APLICA). El panel solar de cada nodo alimenta el equipo y no vende energía. La Tabla 13.8 presenta los indicadores ambientales con su línea base.</w:t>
      </w:r>
    </w:p>
    <w:p>
      <w:pPr>
        <w:pStyle w:val="TablaRotulo"/>
      </w:pPr>
      <w:bookmarkStart w:id="9357" w:name="rot_Tabla_13_8"/>
      <w:r>
        <w:rPr>
          <w:b/>
          <w:bCs/>
        </w:rPr>
        <w:t xml:space="preserve">Tabla 13.8</w:t>
      </w:r>
      <w:bookmarkEnd w:id="9357"/>
    </w:p>
    <w:p>
      <w:pPr>
        <w:pStyle w:val="TablaTitulo"/>
      </w:pPr>
      <w:r>
        <w:rPr>
          <w:i/>
          <w:iCs/>
        </w:rPr>
        <w:t xml:space="preserve">Matriz de impactos ambientales con indicadores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31"/>
        <w:gridCol w:w="1064"/>
        <w:gridCol w:w="998"/>
        <w:gridCol w:w="1064"/>
        <w:gridCol w:w="1064"/>
        <w:gridCol w:w="865"/>
        <w:gridCol w:w="1064"/>
        <w:gridCol w:w="865"/>
      </w:tblGrid>
      <w:tr>
        <w:trPr>
          <w:cantSplit/>
          <w:tblHeader/>
        </w:trPr>
        <w:tc>
          <w:tcPr>
            <w:shd w:val="clear" w:color="auto" w:fill="00B050"/>
          </w:tcPr>
          <w:p>
            <w:pPr>
              <w:pStyle w:val="Tabla8"/>
              <w:jc w:val="center"/>
            </w:pPr>
            <w:r>
              <w:rPr>
                <w:b/>
                <w:color w:val="FFFFFF"/>
              </w:rPr>
              <w:t xml:space="preserve">Nivel</w:t>
            </w:r>
          </w:p>
        </w:tc>
        <w:tc>
          <w:tcPr>
            <w:shd w:val="clear" w:color="auto" w:fill="00B050"/>
          </w:tcPr>
          <w:p>
            <w:pPr>
              <w:pStyle w:val="Tabla8"/>
              <w:jc w:val="center"/>
            </w:pPr>
            <w:r>
              <w:rPr>
                <w:b/>
                <w:color w:val="FFFFFF"/>
              </w:rPr>
              <w:t xml:space="preserve">Resultado</w:t>
            </w:r>
          </w:p>
        </w:tc>
        <w:tc>
          <w:tcPr>
            <w:shd w:val="clear" w:color="auto" w:fill="00B050"/>
          </w:tcPr>
          <w:p>
            <w:pPr>
              <w:pStyle w:val="Tabla8"/>
              <w:jc w:val="center"/>
            </w:pPr>
            <w:r>
              <w:rPr>
                <w:b/>
                <w:color w:val="FFFFFF"/>
              </w:rPr>
              <w:t xml:space="preserve">Indicador SMART</w:t>
            </w:r>
          </w:p>
        </w:tc>
        <w:tc>
          <w:tcPr>
            <w:shd w:val="clear" w:color="auto" w:fill="00B050"/>
          </w:tcPr>
          <w:p>
            <w:pPr>
              <w:pStyle w:val="Tabla8"/>
              <w:jc w:val="center"/>
            </w:pPr>
            <w:r>
              <w:rPr>
                <w:b/>
                <w:color w:val="FFFFFF"/>
              </w:rPr>
              <w:t xml:space="preserve">Línea base</w:t>
            </w:r>
          </w:p>
        </w:tc>
        <w:tc>
          <w:tcPr>
            <w:shd w:val="clear" w:color="auto" w:fill="00B050"/>
          </w:tcPr>
          <w:p>
            <w:pPr>
              <w:pStyle w:val="Tabla8"/>
              <w:jc w:val="center"/>
            </w:pPr>
            <w:r>
              <w:rPr>
                <w:b/>
                <w:color w:val="FFFFFF"/>
              </w:rPr>
              <w:t xml:space="preserve">Meta y plazo</w:t>
            </w:r>
          </w:p>
        </w:tc>
        <w:tc>
          <w:tcPr>
            <w:shd w:val="clear" w:color="auto" w:fill="00B050"/>
          </w:tcPr>
          <w:p>
            <w:pPr>
              <w:pStyle w:val="Tabla8"/>
              <w:jc w:val="center"/>
            </w:pPr>
            <w:r>
              <w:rPr>
                <w:b/>
                <w:color w:val="FFFFFF"/>
              </w:rPr>
              <w:t xml:space="preserve">Vínculo PERS</w:t>
            </w:r>
          </w:p>
        </w:tc>
        <w:tc>
          <w:tcPr>
            <w:shd w:val="clear" w:color="auto" w:fill="00B050"/>
          </w:tcPr>
          <w:p>
            <w:pPr>
              <w:pStyle w:val="Tabla8"/>
              <w:jc w:val="center"/>
            </w:pPr>
            <w:r>
              <w:rPr>
                <w:b/>
                <w:color w:val="FFFFFF"/>
              </w:rPr>
              <w:t xml:space="preserve">Mecanismo causal</w:t>
            </w:r>
          </w:p>
        </w:tc>
        <w:tc>
          <w:tcPr>
            <w:shd w:val="clear" w:color="auto" w:fill="00B050"/>
          </w:tcPr>
          <w:p>
            <w:pPr>
              <w:pStyle w:val="Tabla8"/>
              <w:jc w:val="center"/>
            </w:pPr>
            <w:r>
              <w:rPr>
                <w:b/>
                <w:color w:val="FFFFFF"/>
              </w:rPr>
              <w:t xml:space="preserve">Supuesto</w:t>
            </w:r>
          </w:p>
        </w:tc>
      </w:tr>
      <w:tr>
        <w:trPr>
          <w:cantSplit/>
        </w:trPr>
        <w:tc>
          <w:tcPr/>
          <w:p>
            <w:pPr>
              <w:pStyle w:val="Tabla8"/>
              <w:jc w:val="left"/>
            </w:pPr>
            <w:r>
              <w:t xml:space="preserve">Producto (nivel 1)</w:t>
            </w:r>
          </w:p>
        </w:tc>
        <w:tc>
          <w:tcPr/>
          <w:p>
            <w:pPr>
              <w:pStyle w:val="Tabla8"/>
              <w:jc w:val="left"/>
            </w:pPr>
            <w:r>
              <w:t xml:space="preserve">Plan de gestión de baterías y residuos electrónicos</w:t>
            </w:r>
          </w:p>
        </w:tc>
        <w:tc>
          <w:tcPr/>
          <w:p>
            <w:pPr>
              <w:pStyle w:val="Tabla8"/>
              <w:jc w:val="left"/>
            </w:pPr>
            <w:r>
              <w:t xml:space="preserve">Baterías y equipos retirados entregados a gestor autorizado ÷ retirados × 100</w:t>
            </w:r>
          </w:p>
        </w:tc>
        <w:tc>
          <w:tcPr/>
          <w:p>
            <w:pPr>
              <w:pStyle w:val="Tabla8"/>
              <w:jc w:val="left"/>
            </w:pPr>
            <w:r>
              <w:t xml:space="preserve">VACIO</w:t>
            </w:r>
          </w:p>
        </w:tc>
        <w:tc>
          <w:tcPr/>
          <w:p>
            <w:pPr>
              <w:pStyle w:val="Tabla8"/>
              <w:jc w:val="left"/>
            </w:pPr>
            <w:r>
              <w:t xml:space="preserve">100 % al cierre (PROPUESTO)</w:t>
            </w:r>
          </w:p>
        </w:tc>
        <w:tc>
          <w:tcPr/>
          <w:p>
            <w:pPr>
              <w:pStyle w:val="Tabla8"/>
              <w:jc w:val="left"/>
            </w:pPr>
            <w:r>
              <w:t xml:space="preserve">PERS-P01 (inventario)</w:t>
            </w:r>
          </w:p>
        </w:tc>
        <w:tc>
          <w:tcPr/>
          <w:p>
            <w:pPr>
              <w:pStyle w:val="Tabla8"/>
              <w:jc w:val="left"/>
            </w:pPr>
            <w:r>
              <w:t xml:space="preserve">Un gestor autorizado recibe los activos retirados</w:t>
            </w:r>
          </w:p>
        </w:tc>
        <w:tc>
          <w:tcPr/>
          <w:p>
            <w:pPr>
              <w:pStyle w:val="Tabla8"/>
              <w:jc w:val="left"/>
            </w:pPr>
            <w:r>
              <w:t xml:space="preserve">Gestor autorizado disponible en cada departamento</w:t>
            </w:r>
          </w:p>
        </w:tc>
      </w:tr>
      <w:tr>
        <w:trPr>
          <w:cantSplit/>
        </w:trPr>
        <w:tc>
          <w:tcPr/>
          <w:p>
            <w:pPr>
              <w:pStyle w:val="Tabla8"/>
              <w:jc w:val="left"/>
            </w:pPr>
            <w:r>
              <w:t xml:space="preserve">Producto (nivel 1)</w:t>
            </w:r>
          </w:p>
        </w:tc>
        <w:tc>
          <w:tcPr/>
          <w:p>
            <w:pPr>
              <w:pStyle w:val="Tabla8"/>
              <w:jc w:val="left"/>
            </w:pPr>
            <w:r>
              <w:t xml:space="preserve">Control de desplazamientos</w:t>
            </w:r>
          </w:p>
        </w:tc>
        <w:tc>
          <w:tcPr/>
          <w:p>
            <w:pPr>
              <w:pStyle w:val="Tabla8"/>
              <w:jc w:val="left"/>
            </w:pPr>
            <w:r>
              <w:t xml:space="preserve">Días de vehículo 4x4 ejecutados</w:t>
            </w:r>
          </w:p>
        </w:tc>
        <w:tc>
          <w:tcPr/>
          <w:p>
            <w:pPr>
              <w:pStyle w:val="Tabla8"/>
              <w:jc w:val="left"/>
            </w:pPr>
            <w:r>
              <w:t xml:space="preserve">0 (CALCULADO)</w:t>
            </w:r>
          </w:p>
        </w:tc>
        <w:tc>
          <w:tcPr/>
          <w:p>
            <w:pPr>
              <w:pStyle w:val="Tabla8"/>
              <w:jc w:val="left"/>
            </w:pPr>
            <w:r>
              <w:t xml:space="preserve">≤ 100 días, cantidad presupuestada en V03</w:t>
            </w:r>
          </w:p>
        </w:tc>
        <w:tc>
          <w:tcPr/>
          <w:p>
            <w:pPr>
              <w:pStyle w:val="Tabla8"/>
              <w:jc w:val="left"/>
            </w:pPr>
            <w:r>
              <w:t xml:space="preserve">PERS-R04</w:t>
            </w:r>
          </w:p>
        </w:tc>
        <w:tc>
          <w:tcPr/>
          <w:p>
            <w:pPr>
              <w:pStyle w:val="Tabla8"/>
              <w:jc w:val="left"/>
            </w:pPr>
            <w:r>
              <w:t xml:space="preserve">El control del gasto limita los desplazamientos a lo presupuestado</w:t>
            </w:r>
          </w:p>
        </w:tc>
        <w:tc>
          <w:tcPr/>
          <w:p>
            <w:pPr>
              <w:pStyle w:val="Tabla8"/>
              <w:jc w:val="left"/>
            </w:pPr>
            <w:r>
              <w:t xml:space="preserve">Acceso vial en ventanas secas</w:t>
            </w:r>
          </w:p>
        </w:tc>
      </w:tr>
      <w:tr>
        <w:trPr>
          <w:cantSplit/>
        </w:trPr>
        <w:tc>
          <w:tcPr/>
          <w:p>
            <w:pPr>
              <w:pStyle w:val="Tabla8"/>
              <w:jc w:val="left"/>
            </w:pPr>
            <w:r>
              <w:t xml:space="preserve">Efecto (nivel 3, contribución)</w:t>
            </w:r>
          </w:p>
        </w:tc>
        <w:tc>
          <w:tcPr/>
          <w:p>
            <w:pPr>
              <w:pStyle w:val="Tabla8"/>
              <w:jc w:val="left"/>
            </w:pPr>
            <w:r>
              <w:t xml:space="preserve">Vida útil extendida de los activos</w:t>
            </w:r>
          </w:p>
        </w:tc>
        <w:tc>
          <w:tcPr/>
          <w:p>
            <w:pPr>
              <w:pStyle w:val="Tabla8"/>
              <w:jc w:val="left"/>
            </w:pPr>
            <w:r>
              <w:t xml:space="preserve">Nodos operados por custodios a los 12 meses del cierre</w:t>
            </w:r>
          </w:p>
        </w:tc>
        <w:tc>
          <w:tcPr/>
          <w:p>
            <w:pPr>
              <w:pStyle w:val="Tabla8"/>
              <w:jc w:val="left"/>
            </w:pPr>
            <w:r>
              <w:t xml:space="preserve">VACIO</w:t>
            </w:r>
          </w:p>
        </w:tc>
        <w:tc>
          <w:tcPr/>
          <w:p>
            <w:pPr>
              <w:pStyle w:val="Tabla8"/>
              <w:jc w:val="left"/>
            </w:pPr>
            <w:r>
              <w:t xml:space="preserve">≥ 70 %</w:t>
            </w:r>
          </w:p>
        </w:tc>
        <w:tc>
          <w:tcPr/>
          <w:p>
            <w:pPr>
              <w:pStyle w:val="Tabla8"/>
              <w:jc w:val="left"/>
            </w:pPr>
            <w:r>
              <w:t xml:space="preserve">PERS-S02</w:t>
            </w:r>
          </w:p>
        </w:tc>
        <w:tc>
          <w:tcPr/>
          <w:p>
            <w:pPr>
              <w:pStyle w:val="Tabla8"/>
              <w:jc w:val="left"/>
            </w:pPr>
            <w:r>
              <w:t xml:space="preserve">La custodia y el manual de reactivación mantienen los activos en uso</w:t>
            </w:r>
          </w:p>
        </w:tc>
        <w:tc>
          <w:tcPr/>
          <w:p>
            <w:pPr>
              <w:pStyle w:val="Tabla8"/>
              <w:jc w:val="left"/>
            </w:pPr>
            <w:r>
              <w:t xml:space="preserve">Financiación de los custodios</w:t>
            </w:r>
          </w:p>
        </w:tc>
      </w:tr>
      <w:tr>
        <w:trPr>
          <w:cantSplit/>
        </w:trPr>
        <w:tc>
          <w:tcPr/>
          <w:p>
            <w:pPr>
              <w:pStyle w:val="Tabla8"/>
              <w:jc w:val="left"/>
            </w:pPr>
            <w:r>
              <w:t xml:space="preserve">Impacto informacional</w:t>
            </w:r>
          </w:p>
        </w:tc>
        <w:tc>
          <w:tcPr/>
          <w:p>
            <w:pPr>
              <w:pStyle w:val="Tabla8"/>
              <w:jc w:val="left"/>
            </w:pPr>
            <w:r>
              <w:t xml:space="preserve">Información ambiental verificada para la gestión del riesgo</w:t>
            </w:r>
          </w:p>
        </w:tc>
        <w:tc>
          <w:tcPr/>
          <w:p>
            <w:pPr>
              <w:pStyle w:val="Tabla8"/>
              <w:jc w:val="left"/>
            </w:pPr>
            <w:r>
              <w:t xml:space="preserve">Disponibilidad mensual de nodos</w:t>
            </w:r>
          </w:p>
        </w:tc>
        <w:tc>
          <w:tcPr/>
          <w:p>
            <w:pPr>
              <w:pStyle w:val="Tabla8"/>
              <w:jc w:val="left"/>
            </w:pPr>
            <w:r>
              <w:t xml:space="preserve">VACIO</w:t>
            </w:r>
          </w:p>
        </w:tc>
        <w:tc>
          <w:tcPr/>
          <w:p>
            <w:pPr>
              <w:pStyle w:val="Tabla8"/>
              <w:jc w:val="left"/>
            </w:pPr>
            <w:r>
              <w:t xml:space="preserve">≥ 90 % mensual (OE2)</w:t>
            </w:r>
          </w:p>
        </w:tc>
        <w:tc>
          <w:tcPr/>
          <w:p>
            <w:pPr>
              <w:pStyle w:val="Tabla8"/>
              <w:jc w:val="left"/>
            </w:pPr>
            <w:r>
              <w:t xml:space="preserve">PERS-P01 y PERS-R03</w:t>
            </w:r>
          </w:p>
        </w:tc>
        <w:tc>
          <w:tcPr/>
          <w:p>
            <w:pPr>
              <w:pStyle w:val="Tabla8"/>
              <w:jc w:val="left"/>
            </w:pPr>
            <w:r>
              <w:t xml:space="preserve">La colocalización y la disponibilidad sostienen datos con error conocido</w:t>
            </w:r>
          </w:p>
        </w:tc>
        <w:tc>
          <w:tcPr/>
          <w:p>
            <w:pPr>
              <w:pStyle w:val="Tabla8"/>
              <w:jc w:val="left"/>
            </w:pPr>
            <w:r>
              <w:t xml:space="preserve">SC-2</w:t>
            </w:r>
          </w:p>
        </w:tc>
      </w:tr>
      <w:tr>
        <w:trPr>
          <w:cantSplit/>
        </w:trPr>
        <w:tc>
          <w:tcPr/>
          <w:p>
            <w:pPr>
              <w:pStyle w:val="Tabla8"/>
              <w:jc w:val="left"/>
            </w:pPr>
            <w:r>
              <w:t xml:space="preserve">Emisiones evitadas</w:t>
            </w:r>
          </w:p>
        </w:tc>
        <w:tc>
          <w:tcPr/>
          <w:p>
            <w:pPr>
              <w:pStyle w:val="Tabla8"/>
              <w:jc w:val="left"/>
            </w:pPr>
            <w:r>
              <w:t xml:space="preserve">No declarado</w:t>
            </w:r>
          </w:p>
        </w:tc>
        <w:tc>
          <w:tcPr/>
          <w:p>
            <w:pPr>
              <w:pStyle w:val="Tabla8"/>
              <w:jc w:val="left"/>
            </w:pPr>
            <w:r>
              <w:t xml:space="preserve">No aplica</w:t>
            </w:r>
          </w:p>
        </w:tc>
        <w:tc>
          <w:tcPr/>
          <w:p>
            <w:pPr>
              <w:pStyle w:val="Tabla8"/>
              <w:jc w:val="left"/>
            </w:pPr>
            <w:r>
              <w:t xml:space="preserve">NO_APLICA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El proyecto no reduce la emisión en la fuente</w:t>
            </w:r>
          </w:p>
        </w:tc>
      </w:tr>
    </w:tbl>
    <w:p>
      <w:pPr>
        <w:pStyle w:val="TablaNota"/>
      </w:pPr>
      <w:r>
        <w:rPr>
          <w:i/>
          <w:iCs/>
        </w:rPr>
        <w:t xml:space="preserve">Nota.</w:t>
      </w:r>
      <w:r>
        <w:t xml:space="preserve"> </w:t>
      </w:r>
      <w:r>
        <w:t xml:space="preserve">Elaboración propia con la ficha maestra y la ficha de indicadores PERS. Metas: PROPUESTO salvo OE2 y PERS-S02, que son DECLARADOS en la ficha. No existe indicador PERS ambiental en la ficha; el vínculo con PERS-S02 es por vida útil de los activos.</w:t>
      </w:r>
    </w:p>
    <w:p>
      <w:pPr>
        <w:pStyle w:val="BodyText"/>
      </w:pPr>
      <w:r>
        <w:t xml:space="preserve">La Tabla 13.8 revela una limitación de la ficha de indicadores: ningún indicador PERS de nivel E o S mide un resultado ambiental. El vínculo se establece con PERS-S02 por la vida útil de los activos y con PERS-P01 por la disponibilidad. Los indicadores ambientales propios quedan como PROPUESTOS y no sustituyen a los PERS. Son la entrega de residuos a un gestor autorizado y los días de vehículo. La consecuencia es doble. El informe de cierre reporta las cantidades reales frente a las presupuestadas. La huella cuantificada se difiere hasta contar con masas y coeficientes de emisión.</w:t>
      </w:r>
    </w:p>
    <w:bookmarkEnd w:id="595"/>
    <w:bookmarkStart w:id="602" w:name="X83537aeb140e78250c6492e7de2e34ca21fdc8f"/>
    <w:p>
      <w:pPr>
        <w:pStyle w:val="Heading2"/>
      </w:pPr>
      <w:r>
        <w:t xml:space="preserve">13.5 Contribución a los ODS y articulación territorial</w:t>
      </w:r>
    </w:p>
    <w:p>
      <w:pPr>
        <w:pStyle w:val="FirstParagraph"/>
      </w:pPr>
      <w:r>
        <w:t xml:space="preserve">La contribución a los Objetivos de Desarrollo Sostenible (ODS) se declara de forma cualitativa. La Agenda 2030 (Organización de las Naciones Unidas, 2015) reúne 17 objetivos y los desagrega en metas. El proyecto selecciona como ODS principal el ODS 11, ciudades y comunidades sostenibles. Su objetivo general es la gestión del riesgo en sitios de remoción. Selecciona tres ODS secundarios. Son el ODS 3, salud y bienestar; el ODS 9, industria, innovación e infraestructura; y el ODS 17, alianzas para lograr los objetivos. El Marco de Sendái (Oficina de las Naciones Unidas para la Reducción del Riesgo de Desastres, 2015) incluye la comprensión del riesgo de desastres entre sus prioridades y se registra como marco complementario. La meta específica de cada ODS queda por verificar [DATO_USUARIO: metas ODS seleccionadas por la entidad ejecutora].</w:t>
      </w:r>
    </w:p>
    <w:p>
      <w:pPr>
        <w:pStyle w:val="BodyText"/>
      </w:pPr>
      <w:r>
        <w:t xml:space="preserve">Existe un debate sobre cómo declarar una contribución a los ODS. Una posición se conforma con la alineación temática: el proyecto se rotula con el objetivo cercano a su propósito. La posición contraria exige una historia de contribución plausible, con eslabones y evidencia, y no un rótulo (Mayne, 2012). El proyecto adopta la segunda. Por eso no cuantifica la contribución: ninguna meta ODS del proyecto cuenta con línea base ni fuente. Asigna, en cambio, un peso relativo cualitativo de tres grados (alto, medio y bajo), que es PROPUESTO. El peso depende de la cercanía al objetivo general y del número de indicadores PERS vinculados. La Tabla 13.9 presenta la alineación.</w:t>
      </w:r>
    </w:p>
    <w:p>
      <w:pPr>
        <w:pStyle w:val="TablaRotulo"/>
      </w:pPr>
      <w:bookmarkStart w:id="9358" w:name="rot_Tabla_13_9"/>
      <w:r>
        <w:rPr>
          <w:b/>
          <w:bCs/>
        </w:rPr>
        <w:t xml:space="preserve">Tabla 13.9</w:t>
      </w:r>
      <w:bookmarkEnd w:id="9358"/>
    </w:p>
    <w:p>
      <w:pPr>
        <w:pStyle w:val="TablaTitulo"/>
      </w:pPr>
      <w:r>
        <w:rPr>
          <w:i/>
          <w:iCs/>
        </w:rPr>
        <w:t xml:space="preserve">Alineación con los ODS y el Marco de Sendái: objetivo, meta, indicador, contribución y peso relativo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97"/>
        <w:gridCol w:w="1131"/>
        <w:gridCol w:w="1131"/>
        <w:gridCol w:w="1197"/>
        <w:gridCol w:w="1264"/>
        <w:gridCol w:w="1597"/>
      </w:tblGrid>
      <w:tr>
        <w:trPr>
          <w:cantSplit/>
          <w:tblHeader/>
        </w:trPr>
        <w:tc>
          <w:tcPr>
            <w:shd w:val="clear" w:color="auto" w:fill="00B050"/>
          </w:tcPr>
          <w:p>
            <w:pPr>
              <w:pStyle w:val="Tabla9"/>
              <w:jc w:val="center"/>
            </w:pPr>
            <w:r>
              <w:rPr>
                <w:b/>
                <w:color w:val="FFFFFF"/>
              </w:rPr>
              <w:t xml:space="preserve">Objetivo</w:t>
            </w:r>
          </w:p>
        </w:tc>
        <w:tc>
          <w:tcPr>
            <w:shd w:val="clear" w:color="auto" w:fill="00B050"/>
          </w:tcPr>
          <w:p>
            <w:pPr>
              <w:pStyle w:val="Tabla9"/>
              <w:jc w:val="center"/>
            </w:pPr>
            <w:r>
              <w:rPr>
                <w:b/>
                <w:color w:val="FFFFFF"/>
              </w:rPr>
              <w:t xml:space="preserve">Meta</w:t>
            </w:r>
          </w:p>
        </w:tc>
        <w:tc>
          <w:tcPr>
            <w:shd w:val="clear" w:color="auto" w:fill="00B050"/>
          </w:tcPr>
          <w:p>
            <w:pPr>
              <w:pStyle w:val="Tabla9"/>
              <w:jc w:val="center"/>
            </w:pPr>
            <w:r>
              <w:rPr>
                <w:b/>
                <w:color w:val="FFFFFF"/>
              </w:rPr>
              <w:t xml:space="preserve">Indicador del objetivo</w:t>
            </w:r>
          </w:p>
        </w:tc>
        <w:tc>
          <w:tcPr>
            <w:shd w:val="clear" w:color="auto" w:fill="00B050"/>
          </w:tcPr>
          <w:p>
            <w:pPr>
              <w:pStyle w:val="Tabla9"/>
              <w:jc w:val="center"/>
            </w:pPr>
            <w:r>
              <w:rPr>
                <w:b/>
                <w:color w:val="FFFFFF"/>
              </w:rPr>
              <w:t xml:space="preserve">Indicador del proyecto</w:t>
            </w:r>
          </w:p>
        </w:tc>
        <w:tc>
          <w:tcPr>
            <w:shd w:val="clear" w:color="auto" w:fill="00B050"/>
          </w:tcPr>
          <w:p>
            <w:pPr>
              <w:pStyle w:val="Tabla9"/>
              <w:jc w:val="center"/>
            </w:pPr>
            <w:r>
              <w:rPr>
                <w:b/>
                <w:color w:val="FFFFFF"/>
              </w:rPr>
              <w:t xml:space="preserve">Contribución</w:t>
            </w:r>
          </w:p>
        </w:tc>
        <w:tc>
          <w:tcPr>
            <w:shd w:val="clear" w:color="auto" w:fill="00B050"/>
          </w:tcPr>
          <w:p>
            <w:pPr>
              <w:pStyle w:val="Tabla9"/>
              <w:jc w:val="center"/>
            </w:pPr>
            <w:r>
              <w:rPr>
                <w:b/>
                <w:color w:val="FFFFFF"/>
              </w:rPr>
              <w:t xml:space="preserve">Peso relativo</w:t>
            </w:r>
          </w:p>
        </w:tc>
      </w:tr>
      <w:tr>
        <w:trPr>
          <w:cantSplit/>
        </w:trPr>
        <w:tc>
          <w:tcPr/>
          <w:p>
            <w:pPr>
              <w:pStyle w:val="Tabla9"/>
              <w:jc w:val="left"/>
            </w:pPr>
            <w:r>
              <w:t xml:space="preserve">ODS 11: ciudades y comunidades sostenibles (principal)</w:t>
            </w:r>
          </w:p>
        </w:tc>
        <w:tc>
          <w:tcPr/>
          <w:p>
            <w:pPr>
              <w:pStyle w:val="Tabla9"/>
              <w:jc w:val="left"/>
            </w:pPr>
            <w:r>
              <w:t xml:space="preserve">Por seleccionar y verificar en la Agenda 2030</w:t>
            </w:r>
          </w:p>
        </w:tc>
        <w:tc>
          <w:tcPr/>
          <w:p>
            <w:pPr>
              <w:pStyle w:val="Tabla9"/>
              <w:jc w:val="left"/>
            </w:pPr>
            <w:r>
              <w:t xml:space="preserve">Por seleccionar</w:t>
            </w:r>
          </w:p>
        </w:tc>
        <w:tc>
          <w:tcPr/>
          <w:p>
            <w:pPr>
              <w:pStyle w:val="Tabla9"/>
              <w:jc w:val="left"/>
            </w:pPr>
            <w:r>
              <w:t xml:space="preserve">PERS-E01, PERS-E02, PERS-S01 y PERS-S02</w:t>
            </w:r>
          </w:p>
        </w:tc>
        <w:tc>
          <w:tcPr/>
          <w:p>
            <w:pPr>
              <w:pStyle w:val="Tabla9"/>
              <w:jc w:val="left"/>
            </w:pPr>
            <w:r>
              <w:t xml:space="preserve">Mediciones verificadas y protocolos de alerta en 12 municipios</w:t>
            </w:r>
          </w:p>
        </w:tc>
        <w:tc>
          <w:tcPr/>
          <w:p>
            <w:pPr>
              <w:pStyle w:val="Tabla9"/>
              <w:jc w:val="left"/>
            </w:pPr>
            <w:r>
              <w:t xml:space="preserve">Alto (PROPUESTO)</w:t>
            </w:r>
          </w:p>
        </w:tc>
      </w:tr>
      <w:tr>
        <w:trPr>
          <w:cantSplit/>
        </w:trPr>
        <w:tc>
          <w:tcPr/>
          <w:p>
            <w:pPr>
              <w:pStyle w:val="Tabla9"/>
              <w:jc w:val="left"/>
            </w:pPr>
            <w:r>
              <w:t xml:space="preserve">ODS 3: salud y bienestar</w:t>
            </w:r>
          </w:p>
        </w:tc>
        <w:tc>
          <w:tcPr/>
          <w:p>
            <w:pPr>
              <w:pStyle w:val="Tabla9"/>
              <w:jc w:val="left"/>
            </w:pPr>
            <w:r>
              <w:t xml:space="preserve">Por seleccionar y verificar</w:t>
            </w:r>
          </w:p>
        </w:tc>
        <w:tc>
          <w:tcPr/>
          <w:p>
            <w:pPr>
              <w:pStyle w:val="Tabla9"/>
              <w:jc w:val="left"/>
            </w:pPr>
            <w:r>
              <w:t xml:space="preserve">Por seleccionar</w:t>
            </w:r>
          </w:p>
        </w:tc>
        <w:tc>
          <w:tcPr/>
          <w:p>
            <w:pPr>
              <w:pStyle w:val="Tabla9"/>
              <w:jc w:val="left"/>
            </w:pPr>
            <w:r>
              <w:t xml:space="preserve">PERS-E02 y PERS-S01</w:t>
            </w:r>
          </w:p>
        </w:tc>
        <w:tc>
          <w:tcPr/>
          <w:p>
            <w:pPr>
              <w:pStyle w:val="Tabla9"/>
              <w:jc w:val="left"/>
            </w:pPr>
            <w:r>
              <w:t xml:space="preserve">Información para decidir; sin efecto en salud medido ni atribuido</w:t>
            </w:r>
          </w:p>
        </w:tc>
        <w:tc>
          <w:tcPr/>
          <w:p>
            <w:pPr>
              <w:pStyle w:val="Tabla9"/>
              <w:jc w:val="left"/>
            </w:pPr>
            <w:r>
              <w:t xml:space="preserve">Medio (PROPUESTO)</w:t>
            </w:r>
          </w:p>
        </w:tc>
      </w:tr>
      <w:tr>
        <w:trPr>
          <w:cantSplit/>
        </w:trPr>
        <w:tc>
          <w:tcPr/>
          <w:p>
            <w:pPr>
              <w:pStyle w:val="Tabla9"/>
              <w:jc w:val="left"/>
            </w:pPr>
            <w:r>
              <w:t xml:space="preserve">ODS 9: industria, innovación e infraestructura</w:t>
            </w:r>
          </w:p>
        </w:tc>
        <w:tc>
          <w:tcPr/>
          <w:p>
            <w:pPr>
              <w:pStyle w:val="Tabla9"/>
              <w:jc w:val="left"/>
            </w:pPr>
            <w:r>
              <w:t xml:space="preserve">Por seleccionar y verificar</w:t>
            </w:r>
          </w:p>
        </w:tc>
        <w:tc>
          <w:tcPr/>
          <w:p>
            <w:pPr>
              <w:pStyle w:val="Tabla9"/>
              <w:jc w:val="left"/>
            </w:pPr>
            <w:r>
              <w:t xml:space="preserve">Por seleccionar</w:t>
            </w:r>
          </w:p>
        </w:tc>
        <w:tc>
          <w:tcPr/>
          <w:p>
            <w:pPr>
              <w:pStyle w:val="Tabla9"/>
              <w:jc w:val="left"/>
            </w:pPr>
            <w:r>
              <w:t xml:space="preserve">PERS-P01, PERS-P02 y PERS-P03</w:t>
            </w:r>
          </w:p>
        </w:tc>
        <w:tc>
          <w:tcPr/>
          <w:p>
            <w:pPr>
              <w:pStyle w:val="Tabla9"/>
              <w:jc w:val="left"/>
            </w:pPr>
            <w:r>
              <w:t xml:space="preserve">Red IoT con gemelo digital; TRL de 4 a 7</w:t>
            </w:r>
          </w:p>
        </w:tc>
        <w:tc>
          <w:tcPr/>
          <w:p>
            <w:pPr>
              <w:pStyle w:val="Tabla9"/>
              <w:jc w:val="left"/>
            </w:pPr>
            <w:r>
              <w:t xml:space="preserve">Medio (PROPUESTO)</w:t>
            </w:r>
          </w:p>
        </w:tc>
      </w:tr>
      <w:tr>
        <w:trPr>
          <w:cantSplit/>
        </w:trPr>
        <w:tc>
          <w:tcPr/>
          <w:p>
            <w:pPr>
              <w:pStyle w:val="Tabla9"/>
              <w:jc w:val="left"/>
            </w:pPr>
            <w:r>
              <w:t xml:space="preserve">ODS 17: alianzas para lograr los objetivos</w:t>
            </w:r>
          </w:p>
        </w:tc>
        <w:tc>
          <w:tcPr/>
          <w:p>
            <w:pPr>
              <w:pStyle w:val="Tabla9"/>
              <w:jc w:val="left"/>
            </w:pPr>
            <w:r>
              <w:t xml:space="preserve">Por seleccionar y verificar</w:t>
            </w:r>
          </w:p>
        </w:tc>
        <w:tc>
          <w:tcPr/>
          <w:p>
            <w:pPr>
              <w:pStyle w:val="Tabla9"/>
              <w:jc w:val="left"/>
            </w:pPr>
            <w:r>
              <w:t xml:space="preserve">Por seleccionar</w:t>
            </w:r>
          </w:p>
        </w:tc>
        <w:tc>
          <w:tcPr/>
          <w:p>
            <w:pPr>
              <w:pStyle w:val="Tabla9"/>
              <w:jc w:val="left"/>
            </w:pPr>
            <w:r>
              <w:t xml:space="preserve">PERS-E03 y PERS-S02</w:t>
            </w:r>
          </w:p>
        </w:tc>
        <w:tc>
          <w:tcPr/>
          <w:p>
            <w:pPr>
              <w:pStyle w:val="Tabla9"/>
              <w:jc w:val="left"/>
            </w:pPr>
            <w:r>
              <w:t xml:space="preserve">Alianza entre IES, empresa, alcaldías y UNGRD; custodia distribuida</w:t>
            </w:r>
          </w:p>
        </w:tc>
        <w:tc>
          <w:tcPr/>
          <w:p>
            <w:pPr>
              <w:pStyle w:val="Tabla9"/>
              <w:jc w:val="left"/>
            </w:pPr>
            <w:r>
              <w:t xml:space="preserve">Medio (PROPUESTO)</w:t>
            </w:r>
          </w:p>
        </w:tc>
      </w:tr>
      <w:tr>
        <w:trPr>
          <w:cantSplit/>
        </w:trPr>
        <w:tc>
          <w:tcPr/>
          <w:p>
            <w:pPr>
              <w:pStyle w:val="Tabla9"/>
              <w:jc w:val="left"/>
            </w:pPr>
            <w:r>
              <w:t xml:space="preserve">Marco de Sendái (complementario)</w:t>
            </w:r>
          </w:p>
        </w:tc>
        <w:tc>
          <w:tcPr/>
          <w:p>
            <w:pPr>
              <w:pStyle w:val="Tabla9"/>
              <w:jc w:val="left"/>
            </w:pPr>
            <w:r>
              <w:t xml:space="preserve">Prioridad de comprensión del riesgo</w:t>
            </w:r>
          </w:p>
        </w:tc>
        <w:tc>
          <w:tcPr/>
          <w:p>
            <w:pPr>
              <w:pStyle w:val="Tabla9"/>
              <w:jc w:val="left"/>
            </w:pPr>
            <w:r>
              <w:t xml:space="preserve">No aplica</w:t>
            </w:r>
          </w:p>
        </w:tc>
        <w:tc>
          <w:tcPr/>
          <w:p>
            <w:pPr>
              <w:pStyle w:val="Tabla9"/>
              <w:jc w:val="left"/>
            </w:pPr>
            <w:r>
              <w:t xml:space="preserve">PERS-E01 y PERS-S01</w:t>
            </w:r>
          </w:p>
        </w:tc>
        <w:tc>
          <w:tcPr/>
          <w:p>
            <w:pPr>
              <w:pStyle w:val="Tabla9"/>
              <w:jc w:val="left"/>
            </w:pPr>
            <w:r>
              <w:t xml:space="preserve">Datos para comprender el riesgo por material particulado</w:t>
            </w:r>
          </w:p>
        </w:tc>
        <w:tc>
          <w:tcPr/>
          <w:p>
            <w:pPr>
              <w:pStyle w:val="Tabla9"/>
              <w:jc w:val="left"/>
            </w:pPr>
            <w:r>
              <w:t xml:space="preserve">Alto (PROPUESTO)</w:t>
            </w:r>
          </w:p>
        </w:tc>
      </w:tr>
    </w:tbl>
    <w:p>
      <w:pPr>
        <w:pStyle w:val="TablaNota"/>
      </w:pPr>
      <w:r>
        <w:rPr>
          <w:i/>
          <w:iCs/>
        </w:rPr>
        <w:t xml:space="preserve">Nota.</w:t>
      </w:r>
      <w:r>
        <w:t xml:space="preserve"> </w:t>
      </w:r>
      <w:r>
        <w:t xml:space="preserve">Elaboración propia con la Agenda 2030 (Organización de las Naciones Unidas, 2015) y el Marco de Sendái. Metas e indicadores ODS: no se afirman; quedan por verificar. Pesos relativos cualitativos: PROPUESTO. IES: institución de educación superior; UNGRD: Unidad Nacional para la Gestión del Riesgo de Desastres.</w:t>
      </w:r>
    </w:p>
    <w:p>
      <w:pPr>
        <w:pStyle w:val="BodyText"/>
      </w:pPr>
      <w:r>
        <w:t xml:space="preserve">La Tabla 13.9 evita dos errores. No inventa metas ODS y no cuantifica una contribución que carece de línea base. Reconoce que la contribución al ODS 3 es indirecta, porque el proyecto no mide ni atribuye efectos en salud. La consecuencia es que el documento final debe completar la columna de metas con la selección de la entidad ejecutora. Mientras esa selección falte, la alineación es temática y no cuantitativa.</w:t>
      </w:r>
    </w:p>
    <w:p>
      <w:pPr>
        <w:pStyle w:val="BodyText"/>
      </w:pPr>
      <w:r>
        <w:t xml:space="preserve">La articulación territorial depende de documentos que no se aportaron. Los planes de desarrollo departamental (PDD) y el Anexo 4 de demandas territoriales no se aportaron. Tampoco se aportaron los documentos del Consejo Nacional de Política Económica y Social (CONPES) citados por E3. La decisión DEC-F12 registra que los ocho puntos de la lista de verificación territorial quedan NO_VERIFICADO. El trabajo continúa por orden expresa del usuario, con la reserva R-ART. El marco nacional se identifica solo por sus títulos. La Ley 1523 de 2012 adopta la política nacional de gestión del riesgo de desastres (Congreso de la República, 2012a). El documento CONPES 3943 contiene la política para el mejoramiento de la calidad del aire (Departamento Nacional de Planeación, 2018). El documento CONPES 4069 contiene la política nacional de ciencia, tecnología e innovación (Departamento Nacional de Planeación, 2021). La Ley 2294 de 2023 expide el Plan Nacional de Desarrollo 2022-2026 (Congreso de la República, 2023). Ninguno de esos textos se leyó para extraer artículos, metas o indicadores.</w:t>
      </w:r>
    </w:p>
    <w:p>
      <w:pPr>
        <w:pStyle w:val="BodyText"/>
      </w:pPr>
      <w:r>
        <w:t xml:space="preserve">La verificación exigida por la especificación se resuelve así. Cada impacto declarado debe corresponder a al menos un indicador PERS de nivel E o S. El impacto científico-tecnológico se vincula con PERS-E03 y PERS-S02. El impacto social se vincula con PERS-E01, PERS-E02, PERS-E03 y PERS-S01. El impacto económico se vincula con PERS-E01, PERS-E02 y PERS-S02. El impacto ambiental se vincula solo con PERS-S02, y esa fragilidad se declara. La Tabla 13.10 presenta la articulación territorial con los datos del usuario como campos pendientes.</w:t>
      </w:r>
    </w:p>
    <w:p>
      <w:pPr>
        <w:pStyle w:val="TablaRotulo"/>
      </w:pPr>
      <w:bookmarkStart w:id="9359" w:name="rot_Tabla_13_10"/>
      <w:r>
        <w:rPr>
          <w:b/>
          <w:bCs/>
        </w:rPr>
        <w:t xml:space="preserve">Tabla 13.10</w:t>
      </w:r>
      <w:bookmarkEnd w:id="9359"/>
    </w:p>
    <w:p>
      <w:pPr>
        <w:pStyle w:val="TablaTitulo"/>
      </w:pPr>
      <w:r>
        <w:rPr>
          <w:i/>
          <w:iCs/>
        </w:rPr>
        <w:t xml:space="preserve">Articulación territorial: demanda, artículo del PDD, indicador, impacto del proyecto e indicador PERS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16"/>
        <w:gridCol w:w="1374"/>
        <w:gridCol w:w="1374"/>
        <w:gridCol w:w="1374"/>
        <w:gridCol w:w="785"/>
        <w:gridCol w:w="785"/>
        <w:gridCol w:w="1309"/>
      </w:tblGrid>
      <w:tr>
        <w:trPr>
          <w:cantSplit/>
          <w:tblHeader/>
        </w:trPr>
        <w:tc>
          <w:tcPr>
            <w:shd w:val="clear" w:color="auto" w:fill="00B050"/>
          </w:tcPr>
          <w:p>
            <w:pPr>
              <w:pStyle w:val="Tabla8"/>
              <w:jc w:val="center"/>
            </w:pPr>
            <w:r>
              <w:rPr>
                <w:b/>
                <w:color w:val="FFFFFF"/>
              </w:rPr>
              <w:t xml:space="preserve">Territorio</w:t>
            </w:r>
          </w:p>
        </w:tc>
        <w:tc>
          <w:tcPr>
            <w:shd w:val="clear" w:color="auto" w:fill="00B050"/>
          </w:tcPr>
          <w:p>
            <w:pPr>
              <w:pStyle w:val="Tabla8"/>
              <w:jc w:val="center"/>
            </w:pPr>
            <w:r>
              <w:rPr>
                <w:b/>
                <w:color w:val="FFFFFF"/>
              </w:rPr>
              <w:t xml:space="preserve">Demanda ID (Anexo 4)</w:t>
            </w:r>
          </w:p>
        </w:tc>
        <w:tc>
          <w:tcPr>
            <w:shd w:val="clear" w:color="auto" w:fill="00B050"/>
          </w:tcPr>
          <w:p>
            <w:pPr>
              <w:pStyle w:val="Tabla8"/>
              <w:jc w:val="center"/>
            </w:pPr>
            <w:r>
              <w:rPr>
                <w:b/>
                <w:color w:val="FFFFFF"/>
              </w:rPr>
              <w:t xml:space="preserve">Artículo del PDD</w:t>
            </w:r>
          </w:p>
        </w:tc>
        <w:tc>
          <w:tcPr>
            <w:shd w:val="clear" w:color="auto" w:fill="00B050"/>
          </w:tcPr>
          <w:p>
            <w:pPr>
              <w:pStyle w:val="Tabla8"/>
              <w:jc w:val="center"/>
            </w:pPr>
            <w:r>
              <w:rPr>
                <w:b/>
                <w:color w:val="FFFFFF"/>
              </w:rPr>
              <w:t xml:space="preserve">Indicador del PDD</w:t>
            </w:r>
          </w:p>
        </w:tc>
        <w:tc>
          <w:tcPr>
            <w:shd w:val="clear" w:color="auto" w:fill="00B050"/>
          </w:tcPr>
          <w:p>
            <w:pPr>
              <w:pStyle w:val="Tabla8"/>
              <w:jc w:val="center"/>
            </w:pPr>
            <w:r>
              <w:rPr>
                <w:b/>
                <w:color w:val="FFFFFF"/>
              </w:rPr>
              <w:t xml:space="preserve">Impacto del proyecto</w:t>
            </w:r>
          </w:p>
        </w:tc>
        <w:tc>
          <w:tcPr>
            <w:shd w:val="clear" w:color="auto" w:fill="00B050"/>
          </w:tcPr>
          <w:p>
            <w:pPr>
              <w:pStyle w:val="Tabla8"/>
              <w:jc w:val="center"/>
            </w:pPr>
            <w:r>
              <w:rPr>
                <w:b/>
                <w:color w:val="FFFFFF"/>
              </w:rPr>
              <w:t xml:space="preserve">Indicador PERS</w:t>
            </w:r>
          </w:p>
        </w:tc>
        <w:tc>
          <w:tcPr>
            <w:shd w:val="clear" w:color="auto" w:fill="00B050"/>
          </w:tcPr>
          <w:p>
            <w:pPr>
              <w:pStyle w:val="Tabla8"/>
              <w:jc w:val="center"/>
            </w:pPr>
            <w:r>
              <w:rPr>
                <w:b/>
                <w:color w:val="FFFFFF"/>
              </w:rPr>
              <w:t xml:space="preserve">Estado</w:t>
            </w:r>
          </w:p>
        </w:tc>
      </w:tr>
      <w:tr>
        <w:trPr>
          <w:cantSplit/>
        </w:trPr>
        <w:tc>
          <w:tcPr/>
          <w:p>
            <w:pPr>
              <w:pStyle w:val="Tabla8"/>
              <w:jc w:val="left"/>
            </w:pPr>
            <w:r>
              <w:t xml:space="preserve">Caldas</w:t>
            </w:r>
          </w:p>
        </w:tc>
        <w:tc>
          <w:tcPr/>
          <w:p>
            <w:pPr>
              <w:pStyle w:val="Tabla8"/>
              <w:jc w:val="left"/>
            </w:pPr>
            <w:r>
              <w:t xml:space="preserve">[DATO_USUARIO: código de la demanda en el Anexo 4]</w:t>
            </w:r>
          </w:p>
        </w:tc>
        <w:tc>
          <w:tcPr/>
          <w:p>
            <w:pPr>
              <w:pStyle w:val="Tabla8"/>
              <w:jc w:val="left"/>
            </w:pPr>
            <w:r>
              <w:t xml:space="preserve">[DATO_USUARIO: artículo del PDD de Caldas]</w:t>
            </w:r>
          </w:p>
        </w:tc>
        <w:tc>
          <w:tcPr/>
          <w:p>
            <w:pPr>
              <w:pStyle w:val="Tabla8"/>
              <w:jc w:val="left"/>
            </w:pPr>
            <w:r>
              <w:t xml:space="preserve">[DATO_USUARIO: indicador del PDD]</w:t>
            </w:r>
          </w:p>
        </w:tc>
        <w:tc>
          <w:tcPr/>
          <w:p>
            <w:pPr>
              <w:pStyle w:val="Tabla8"/>
              <w:jc w:val="left"/>
            </w:pPr>
            <w:r>
              <w:t xml:space="preserve">Uso del tablero y activación del protocolo en 4 municipios</w:t>
            </w:r>
          </w:p>
        </w:tc>
        <w:tc>
          <w:tcPr/>
          <w:p>
            <w:pPr>
              <w:pStyle w:val="Tabla8"/>
              <w:jc w:val="left"/>
            </w:pPr>
            <w:r>
              <w:t xml:space="preserve">PERS-E01 y PERS-S01</w:t>
            </w:r>
          </w:p>
        </w:tc>
        <w:tc>
          <w:tcPr/>
          <w:p>
            <w:pPr>
              <w:pStyle w:val="Tabla8"/>
              <w:jc w:val="left"/>
            </w:pPr>
            <w:r>
              <w:t xml:space="preserve">NO_VERIFICADO</w:t>
            </w:r>
          </w:p>
        </w:tc>
      </w:tr>
      <w:tr>
        <w:trPr>
          <w:cantSplit/>
        </w:trPr>
        <w:tc>
          <w:tcPr/>
          <w:p>
            <w:pPr>
              <w:pStyle w:val="Tabla8"/>
              <w:jc w:val="left"/>
            </w:pPr>
            <w:r>
              <w:t xml:space="preserve">Cundinamarca</w:t>
            </w:r>
          </w:p>
        </w:tc>
        <w:tc>
          <w:tcPr/>
          <w:p>
            <w:pPr>
              <w:pStyle w:val="Tabla8"/>
              <w:jc w:val="left"/>
            </w:pPr>
            <w:r>
              <w:t xml:space="preserve">[DATO_USUARIO: código de la demanda en el Anexo 4]</w:t>
            </w:r>
          </w:p>
        </w:tc>
        <w:tc>
          <w:tcPr/>
          <w:p>
            <w:pPr>
              <w:pStyle w:val="Tabla8"/>
              <w:jc w:val="left"/>
            </w:pPr>
            <w:r>
              <w:t xml:space="preserve">[DATO_USUARIO: artículo del PDD de Cundinamarca]</w:t>
            </w:r>
          </w:p>
        </w:tc>
        <w:tc>
          <w:tcPr/>
          <w:p>
            <w:pPr>
              <w:pStyle w:val="Tabla8"/>
              <w:jc w:val="left"/>
            </w:pPr>
            <w:r>
              <w:t xml:space="preserve">[DATO_USUARIO: indicador del PDD]</w:t>
            </w:r>
          </w:p>
        </w:tc>
        <w:tc>
          <w:tcPr/>
          <w:p>
            <w:pPr>
              <w:pStyle w:val="Tabla8"/>
              <w:jc w:val="left"/>
            </w:pPr>
            <w:r>
              <w:t xml:space="preserve">Uso del tablero y activación del protocolo en 4 municipios</w:t>
            </w:r>
          </w:p>
        </w:tc>
        <w:tc>
          <w:tcPr/>
          <w:p>
            <w:pPr>
              <w:pStyle w:val="Tabla8"/>
              <w:jc w:val="left"/>
            </w:pPr>
            <w:r>
              <w:t xml:space="preserve">PERS-E01 y PERS-S01</w:t>
            </w:r>
          </w:p>
        </w:tc>
        <w:tc>
          <w:tcPr/>
          <w:p>
            <w:pPr>
              <w:pStyle w:val="Tabla8"/>
              <w:jc w:val="left"/>
            </w:pPr>
            <w:r>
              <w:t xml:space="preserve">NO_VERIFICADO</w:t>
            </w:r>
          </w:p>
        </w:tc>
      </w:tr>
      <w:tr>
        <w:trPr>
          <w:cantSplit/>
        </w:trPr>
        <w:tc>
          <w:tcPr/>
          <w:p>
            <w:pPr>
              <w:pStyle w:val="Tabla8"/>
              <w:jc w:val="left"/>
            </w:pPr>
            <w:r>
              <w:t xml:space="preserve">Valle del Cauca</w:t>
            </w:r>
          </w:p>
        </w:tc>
        <w:tc>
          <w:tcPr/>
          <w:p>
            <w:pPr>
              <w:pStyle w:val="Tabla8"/>
              <w:jc w:val="left"/>
            </w:pPr>
            <w:r>
              <w:t xml:space="preserve">[DATO_USUARIO: código de la demanda en el Anexo 4]</w:t>
            </w:r>
          </w:p>
        </w:tc>
        <w:tc>
          <w:tcPr/>
          <w:p>
            <w:pPr>
              <w:pStyle w:val="Tabla8"/>
              <w:jc w:val="left"/>
            </w:pPr>
            <w:r>
              <w:t xml:space="preserve">[DATO_USUARIO: artículo del PDD del Valle del Cauca]</w:t>
            </w:r>
          </w:p>
        </w:tc>
        <w:tc>
          <w:tcPr/>
          <w:p>
            <w:pPr>
              <w:pStyle w:val="Tabla8"/>
              <w:jc w:val="left"/>
            </w:pPr>
            <w:r>
              <w:t xml:space="preserve">[DATO_USUARIO: indicador del PDD]</w:t>
            </w:r>
          </w:p>
        </w:tc>
        <w:tc>
          <w:tcPr/>
          <w:p>
            <w:pPr>
              <w:pStyle w:val="Tabla8"/>
              <w:jc w:val="left"/>
            </w:pPr>
            <w:r>
              <w:t xml:space="preserve">Uso del tablero y activación del protocolo en 4 municipios</w:t>
            </w:r>
          </w:p>
        </w:tc>
        <w:tc>
          <w:tcPr/>
          <w:p>
            <w:pPr>
              <w:pStyle w:val="Tabla8"/>
              <w:jc w:val="left"/>
            </w:pPr>
            <w:r>
              <w:t xml:space="preserve">PERS-E01 y PERS-S01</w:t>
            </w:r>
          </w:p>
        </w:tc>
        <w:tc>
          <w:tcPr/>
          <w:p>
            <w:pPr>
              <w:pStyle w:val="Tabla8"/>
              <w:jc w:val="left"/>
            </w:pPr>
            <w:r>
              <w:t xml:space="preserve">NO_VERIFICADO</w:t>
            </w:r>
          </w:p>
        </w:tc>
      </w:tr>
      <w:tr>
        <w:trPr>
          <w:cantSplit/>
        </w:trPr>
        <w:tc>
          <w:tcPr/>
          <w:p>
            <w:pPr>
              <w:pStyle w:val="Tabla8"/>
              <w:jc w:val="left"/>
            </w:pPr>
            <w:r>
              <w:t xml:space="preserve">Nacional: gestión del riesgo</w:t>
            </w:r>
          </w:p>
        </w:tc>
        <w:tc>
          <w:tcPr/>
          <w:p>
            <w:pPr>
              <w:pStyle w:val="Tabla8"/>
              <w:jc w:val="left"/>
            </w:pPr>
            <w:r>
              <w:t xml:space="preserve">No aplica</w:t>
            </w:r>
          </w:p>
        </w:tc>
        <w:tc>
          <w:tcPr/>
          <w:p>
            <w:pPr>
              <w:pStyle w:val="Tabla8"/>
              <w:jc w:val="left"/>
            </w:pPr>
            <w:r>
              <w:t xml:space="preserve">Ley 1523 de 2012</w:t>
            </w:r>
          </w:p>
        </w:tc>
        <w:tc>
          <w:tcPr/>
          <w:p>
            <w:pPr>
              <w:pStyle w:val="Tabla8"/>
              <w:jc w:val="left"/>
            </w:pPr>
            <w:r>
              <w:t xml:space="preserve">Metas no aportadas</w:t>
            </w:r>
          </w:p>
        </w:tc>
        <w:tc>
          <w:tcPr/>
          <w:p>
            <w:pPr>
              <w:pStyle w:val="Tabla8"/>
              <w:jc w:val="left"/>
            </w:pPr>
            <w:r>
              <w:t xml:space="preserve">Datos verificados para decisiones del sistema nacional de gestión del riesgo</w:t>
            </w:r>
          </w:p>
        </w:tc>
        <w:tc>
          <w:tcPr/>
          <w:p>
            <w:pPr>
              <w:pStyle w:val="Tabla8"/>
              <w:jc w:val="left"/>
            </w:pPr>
            <w:r>
              <w:t xml:space="preserve">PERS-E01</w:t>
            </w:r>
          </w:p>
        </w:tc>
        <w:tc>
          <w:tcPr/>
          <w:p>
            <w:pPr>
              <w:pStyle w:val="Tabla8"/>
              <w:jc w:val="left"/>
            </w:pPr>
            <w:r>
              <w:t xml:space="preserve">NO_VERIFICADO</w:t>
            </w:r>
          </w:p>
        </w:tc>
      </w:tr>
      <w:tr>
        <w:trPr>
          <w:cantSplit/>
        </w:trPr>
        <w:tc>
          <w:tcPr/>
          <w:p>
            <w:pPr>
              <w:pStyle w:val="Tabla8"/>
              <w:jc w:val="left"/>
            </w:pPr>
            <w:r>
              <w:t xml:space="preserve">Nacional: calidad del aire</w:t>
            </w:r>
          </w:p>
        </w:tc>
        <w:tc>
          <w:tcPr/>
          <w:p>
            <w:pPr>
              <w:pStyle w:val="Tabla8"/>
              <w:jc w:val="left"/>
            </w:pPr>
            <w:r>
              <w:t xml:space="preserve">No aplica</w:t>
            </w:r>
          </w:p>
        </w:tc>
        <w:tc>
          <w:tcPr/>
          <w:p>
            <w:pPr>
              <w:pStyle w:val="Tabla8"/>
              <w:jc w:val="left"/>
            </w:pPr>
            <w:r>
              <w:t xml:space="preserve">CONPES 3943 de 2018</w:t>
            </w:r>
          </w:p>
        </w:tc>
        <w:tc>
          <w:tcPr/>
          <w:p>
            <w:pPr>
              <w:pStyle w:val="Tabla8"/>
              <w:jc w:val="left"/>
            </w:pPr>
            <w:r>
              <w:t xml:space="preserve">Metas no aportadas</w:t>
            </w:r>
          </w:p>
        </w:tc>
        <w:tc>
          <w:tcPr/>
          <w:p>
            <w:pPr>
              <w:pStyle w:val="Tabla8"/>
              <w:jc w:val="left"/>
            </w:pPr>
            <w:r>
              <w:t xml:space="preserve">Mediciones con error conocido en sitios de remoción</w:t>
            </w:r>
          </w:p>
        </w:tc>
        <w:tc>
          <w:tcPr/>
          <w:p>
            <w:pPr>
              <w:pStyle w:val="Tabla8"/>
              <w:jc w:val="left"/>
            </w:pPr>
            <w:r>
              <w:t xml:space="preserve">PERS-E02</w:t>
            </w:r>
          </w:p>
        </w:tc>
        <w:tc>
          <w:tcPr/>
          <w:p>
            <w:pPr>
              <w:pStyle w:val="Tabla8"/>
              <w:jc w:val="left"/>
            </w:pPr>
            <w:r>
              <w:t xml:space="preserve">NO_VERIFICADO</w:t>
            </w:r>
          </w:p>
        </w:tc>
      </w:tr>
      <w:tr>
        <w:trPr>
          <w:cantSplit/>
        </w:trPr>
        <w:tc>
          <w:tcPr/>
          <w:p>
            <w:pPr>
              <w:pStyle w:val="Tabla8"/>
              <w:jc w:val="left"/>
            </w:pPr>
            <w:r>
              <w:t xml:space="preserve">Nacional: ciencia y tecnología</w:t>
            </w:r>
          </w:p>
        </w:tc>
        <w:tc>
          <w:tcPr/>
          <w:p>
            <w:pPr>
              <w:pStyle w:val="Tabla8"/>
              <w:jc w:val="left"/>
            </w:pPr>
            <w:r>
              <w:t xml:space="preserve">No aplica</w:t>
            </w:r>
          </w:p>
        </w:tc>
        <w:tc>
          <w:tcPr/>
          <w:p>
            <w:pPr>
              <w:pStyle w:val="Tabla8"/>
              <w:jc w:val="left"/>
            </w:pPr>
            <w:r>
              <w:t xml:space="preserve">CONPES 4069 de 2021</w:t>
            </w:r>
          </w:p>
        </w:tc>
        <w:tc>
          <w:tcPr/>
          <w:p>
            <w:pPr>
              <w:pStyle w:val="Tabla8"/>
              <w:jc w:val="left"/>
            </w:pPr>
            <w:r>
              <w:t xml:space="preserve">Metas no aportadas</w:t>
            </w:r>
          </w:p>
        </w:tc>
        <w:tc>
          <w:tcPr/>
          <w:p>
            <w:pPr>
              <w:pStyle w:val="Tabla8"/>
              <w:jc w:val="left"/>
            </w:pPr>
            <w:r>
              <w:t xml:space="preserve">Software, artículos y madurez tecnológica</w:t>
            </w:r>
          </w:p>
        </w:tc>
        <w:tc>
          <w:tcPr/>
          <w:p>
            <w:pPr>
              <w:pStyle w:val="Tabla8"/>
              <w:jc w:val="left"/>
            </w:pPr>
            <w:r>
              <w:t xml:space="preserve">PERS-P02 y PERS-P03</w:t>
            </w:r>
          </w:p>
        </w:tc>
        <w:tc>
          <w:tcPr/>
          <w:p>
            <w:pPr>
              <w:pStyle w:val="Tabla8"/>
              <w:jc w:val="left"/>
            </w:pPr>
            <w:r>
              <w:t xml:space="preserve">NO_VERIFICADO</w:t>
            </w:r>
          </w:p>
        </w:tc>
      </w:tr>
    </w:tbl>
    <w:p>
      <w:pPr>
        <w:pStyle w:val="TablaNota"/>
      </w:pPr>
      <w:r>
        <w:rPr>
          <w:i/>
          <w:iCs/>
        </w:rPr>
        <w:t xml:space="preserve">Nota.</w:t>
      </w:r>
      <w:r>
        <w:t xml:space="preserve"> </w:t>
      </w:r>
      <w:r>
        <w:t xml:space="preserve">Elaboración propia con la ficha maestra (decisión DEC-F12). Los artículos, indicadores y códigos de demanda no se aportaron y no se inventan. El Plan Nacional de Desarrollo no se desagrega por la misma razón.</w:t>
      </w:r>
    </w:p>
    <w:p>
      <w:pPr>
        <w:pStyle w:val="BodyText"/>
      </w:pPr>
      <w:r>
        <w:t xml:space="preserve">La Tabla 13.10 muestra el estado real de la articulación: seis filas, todas NO_VERIFICADO. La única acción que la resuelve es aportar los documentos territoriales. Entre tanto, el proyecto declara qué indicador PERS corresponde a cada demanda posible y deja los campos del usuario visibles. Esa decisión evita una articulación inventada que el evaluador podría contrastar con los planes reales. Las figuras siguientes resumen la contribución y el mapa. La Figura 13.4 presenta el peso relativo de cada objetivo y la Figura 13.5 el mapa de articulación territorial.</w:t>
      </w:r>
    </w:p>
    <w:p>
      <w:pPr>
        <w:pStyle w:val="FiguraRotulo"/>
      </w:pPr>
      <w:bookmarkStart w:id="9539" w:name="rot_Figura_13_4"/>
      <w:r>
        <w:rPr>
          <w:b/>
          <w:bCs/>
        </w:rPr>
        <w:t xml:space="preserve">Figura 13.4</w:t>
      </w:r>
      <w:bookmarkEnd w:id="9539"/>
    </w:p>
    <w:p>
      <w:pPr>
        <w:pStyle w:val="FiguraTitulo"/>
      </w:pPr>
      <w:r>
        <w:rPr>
          <w:i/>
          <w:iCs/>
        </w:rPr>
        <w:t xml:space="preserve">Contribución del proyecto a los ODS y al Marco de Sendái con peso relativo cualitativo</w:t>
      </w:r>
    </w:p>
    <w:p>
      <w:pPr>
        <w:pStyle w:val="BodyText"/>
      </w:pPr>
      <w:r>
        <w:drawing>
          <wp:inline>
            <wp:extent cx="5579999" cy="2867639"/>
            <wp:effectExtent b="0" l="0" r="0" t="0"/>
            <wp:docPr descr="" title="" id="597" name="Picture"/>
            <a:graphic>
              <a:graphicData uri="http://schemas.openxmlformats.org/drawingml/2006/picture">
                <pic:pic>
                  <pic:nvPicPr>
                    <pic:cNvPr descr="/tmp/claude-0/-home-user-docs/ddf38714-2a7e-502b-92b4-1008e2832422/scratchpad/proy/figs/out/c13_f03.png" id="598" name="Picture"/>
                    <pic:cNvPicPr>
                      <a:picLocks noChangeArrowheads="1" noChangeAspect="1"/>
                    </pic:cNvPicPr>
                  </pic:nvPicPr>
                  <pic:blipFill>
                    <a:blip r:embed="rId596"/>
                    <a:stretch>
                      <a:fillRect/>
                    </a:stretch>
                  </pic:blipFill>
                  <pic:spPr bwMode="auto">
                    <a:xfrm>
                      <a:off x="0" y="0"/>
                      <a:ext cx="5579999" cy="286763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tabla de alineación. Pesos relativos: alto, medio y bajo (PROPUESTO). El número de indicadores PERS vinculados es un conteo de la propuesta de este capítulo. Metas ODS: por verificar. Generada con matplotlib sin parámetros aleatorios.</w:t>
      </w:r>
    </w:p>
    <w:p>
      <w:pPr>
        <w:pStyle w:val="BodyText"/>
      </w:pPr>
      <w:r>
        <w:t xml:space="preserve">La Figura 13.4 confirma que la contribución más cercana al objetivo general es la del ODS 11 y la del Marco de Sendái. Las demás contribuciones son medias y dependen del vínculo con indicadores PERS. Ningún peso expresa magnitud de efecto.</w:t>
      </w:r>
    </w:p>
    <w:p>
      <w:pPr>
        <w:pStyle w:val="FiguraRotulo"/>
      </w:pPr>
      <w:bookmarkStart w:id="9540" w:name="rot_Figura_13_5"/>
      <w:r>
        <w:rPr>
          <w:b/>
          <w:bCs/>
        </w:rPr>
        <w:t xml:space="preserve">Figura 13.5</w:t>
      </w:r>
      <w:bookmarkEnd w:id="9540"/>
    </w:p>
    <w:p>
      <w:pPr>
        <w:pStyle w:val="FiguraTitulo"/>
      </w:pPr>
      <w:r>
        <w:rPr>
          <w:i/>
          <w:iCs/>
        </w:rPr>
        <w:t xml:space="preserve">Mapa de articulación territorial: demanda, proyecto, impacto y plan de desarrollo</w:t>
      </w:r>
    </w:p>
    <w:p>
      <w:pPr>
        <w:pStyle w:val="BodyText"/>
      </w:pPr>
      <w:r>
        <w:drawing>
          <wp:inline>
            <wp:extent cx="5579999" cy="3313124"/>
            <wp:effectExtent b="0" l="0" r="0" t="0"/>
            <wp:docPr descr="" title="" id="600" name="Picture"/>
            <a:graphic>
              <a:graphicData uri="http://schemas.openxmlformats.org/drawingml/2006/picture">
                <pic:pic>
                  <pic:nvPicPr>
                    <pic:cNvPr descr="/tmp/claude-0/-home-user-docs/ddf38714-2a7e-502b-92b4-1008e2832422/scratchpad/proy/figs/out/c13_f04.png" id="601" name="Picture"/>
                    <pic:cNvPicPr>
                      <a:picLocks noChangeArrowheads="1" noChangeAspect="1"/>
                    </pic:cNvPicPr>
                  </pic:nvPicPr>
                  <pic:blipFill>
                    <a:blip r:embed="rId599"/>
                    <a:stretch>
                      <a:fillRect/>
                    </a:stretch>
                  </pic:blipFill>
                  <pic:spPr bwMode="auto">
                    <a:xfrm>
                      <a:off x="0" y="0"/>
                      <a:ext cx="5579999" cy="331312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12 municipios, 15 comités y 33, 34 y 33 nodos por departamento (PROPUESTO). Códigos de demanda, artículos y metas del PDD: NO_VERIFICADO. Generada con matplotlib sin parámetros aleatorios.</w:t>
      </w:r>
    </w:p>
    <w:p>
      <w:pPr>
        <w:pStyle w:val="BodyText"/>
      </w:pPr>
      <w:r>
        <w:t xml:space="preserve">La Figura 13.5 ubica en cada departamento los recursos del proyecto: cuatro municipios, un comité departamental y 33, 34 y 33 nodos. El tramo final hacia el PDD queda en trazo discontinuo. Depende de documentos que el usuario debe aportar.</w:t>
      </w:r>
    </w:p>
    <w:bookmarkEnd w:id="602"/>
    <w:bookmarkStart w:id="606" w:name="X84b8912b1c55914650c02dd2f16954477e9aac8"/>
    <w:p>
      <w:pPr>
        <w:pStyle w:val="Heading2"/>
      </w:pPr>
      <w:r>
        <w:t xml:space="preserve">13.6 Evaluación integrada y gestión adaptativa</w:t>
      </w:r>
    </w:p>
    <w:p>
      <w:pPr>
        <w:pStyle w:val="FirstParagraph"/>
      </w:pPr>
      <w:r>
        <w:t xml:space="preserve">La cadena causal completa se valida con cinco comprobaciones de coherencia. La primera verifica que cada impacto declarado cuenta con indicador SMART, línea base, mecanismo causal y supuesto. La segunda verifica el vínculo con un indicador PERS de nivel E o S. La tercera verifica que ninguna afirmación de salud sea causal. La cuarta verifica que las cifras coinciden con la ficha maestra. La quinta verifica el techo. Las metas de PERS-E01, PERS-E02 y PERS-E03 se mantienen como metas del plan. El proyecto responde por el esfuerzo y el registro, no por el comportamiento decisorio de los comités. Las cuatro matrices cumplen las cinco comprobaciones, con dos excepciones declaradas. El impacto ambiental depende de un solo indicador PERS y la articulación territorial no es verificable.</w:t>
      </w:r>
    </w:p>
    <w:p>
      <w:pPr>
        <w:pStyle w:val="BodyText"/>
      </w:pPr>
      <w:r>
        <w:t xml:space="preserve">El enfoque de evaluación de impacto social se adopta como proceso continuo, con tres dimensiones (PROPUESTO). La dimensión analítica reúne la línea base y la evaluación de contexto, que el tramo 1 produce. La dimensión participativa asigna a los comités y a las comunidades la definición del éxito, mediante el co-diseño de umbrales. La dimensión de gestión incorpora el monitoreo constante con ajustes adaptativos. Patton (2011) sostiene que, en contextos complejos e innovadores, la evaluación debe acompañar el desarrollo del programa y no esperar al final. Gertler et al. (2016) sostienen que la evaluación de impacto exige un contrafactual definido antes de la intervención. Las dos posiciones se concilian por separado: el seguimiento adaptativo se ejecuta durante el proyecto y el contrafactual se reserva para una evaluación causal futura.</w:t>
      </w:r>
    </w:p>
    <w:p>
      <w:pPr>
        <w:pStyle w:val="BodyText"/>
      </w:pPr>
      <w:r>
        <w:t xml:space="preserve">El plan de monitoreo posproyecto fija mediciones a los 6 y a los 12 meses del cierre. Ese plan se ajusta al horizonte de seguimiento de 12 meses (PROPUESTO). Los indicadores de impacto PERS-S01 y PERS-S02 se miden con una evaluación externa. Existe un vacío de financiación. La evaluación externa presupuestada (S07, 120 millones de COP) cubre los meses 12 y 24 de la ejecución y no los meses posteriores al cierre. La fuente de la medición posproyecto es VACIO [DATO_USUARIO: fuente de financiación de las evaluaciones a 6 y 12 meses posteriores al cierre]. Las opciones son la contrapartida de los custodios y el año adicional de custodia. La decisión DEC-F06 describe ese año como opción condicionada a los términos de referencia y sin presupuestar. La Tabla 13.11 presenta el plan por indicador.</w:t>
      </w:r>
    </w:p>
    <w:p>
      <w:pPr>
        <w:pStyle w:val="TablaRotulo"/>
      </w:pPr>
      <w:bookmarkStart w:id="9360" w:name="rot_Tabla_13_11"/>
      <w:r>
        <w:rPr>
          <w:b/>
          <w:bCs/>
        </w:rPr>
        <w:t xml:space="preserve">Tabla 13.11</w:t>
      </w:r>
      <w:bookmarkEnd w:id="9360"/>
    </w:p>
    <w:p>
      <w:pPr>
        <w:pStyle w:val="TablaTitulo"/>
      </w:pPr>
      <w:r>
        <w:rPr>
          <w:i/>
          <w:iCs/>
        </w:rPr>
        <w:t xml:space="preserve">Plan de monitoreo de impactos: indicador, frecuencia, instrumento, responsable y período posproyecto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67"/>
        <w:gridCol w:w="1309"/>
        <w:gridCol w:w="1832"/>
        <w:gridCol w:w="1570"/>
        <w:gridCol w:w="1440"/>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Frecuencia</w:t>
            </w:r>
          </w:p>
        </w:tc>
        <w:tc>
          <w:tcPr>
            <w:shd w:val="clear" w:color="auto" w:fill="00B050"/>
          </w:tcPr>
          <w:p>
            <w:pPr>
              <w:pStyle w:val="Tabla9"/>
              <w:jc w:val="center"/>
            </w:pPr>
            <w:r>
              <w:rPr>
                <w:b/>
                <w:color w:val="FFFFFF"/>
              </w:rPr>
              <w:t xml:space="preserve">Instrumento</w:t>
            </w:r>
          </w:p>
        </w:tc>
        <w:tc>
          <w:tcPr>
            <w:shd w:val="clear" w:color="auto" w:fill="00B050"/>
          </w:tcPr>
          <w:p>
            <w:pPr>
              <w:pStyle w:val="Tabla9"/>
              <w:jc w:val="center"/>
            </w:pPr>
            <w:r>
              <w:rPr>
                <w:b/>
                <w:color w:val="FFFFFF"/>
              </w:rPr>
              <w:t xml:space="preserve">Responsable</w:t>
            </w:r>
          </w:p>
        </w:tc>
        <w:tc>
          <w:tcPr>
            <w:shd w:val="clear" w:color="auto" w:fill="00B050"/>
          </w:tcPr>
          <w:p>
            <w:pPr>
              <w:pStyle w:val="Tabla9"/>
              <w:jc w:val="center"/>
            </w:pPr>
            <w:r>
              <w:rPr>
                <w:b/>
                <w:color w:val="FFFFFF"/>
              </w:rPr>
              <w:t xml:space="preserve">Período posproyecto</w:t>
            </w:r>
          </w:p>
        </w:tc>
      </w:tr>
      <w:tr>
        <w:trPr>
          <w:cantSplit/>
        </w:trPr>
        <w:tc>
          <w:tcPr/>
          <w:p>
            <w:pPr>
              <w:pStyle w:val="Tabla9"/>
              <w:jc w:val="left"/>
            </w:pPr>
            <w:r>
              <w:t xml:space="preserve">PERS-E01 Uso institucional</w:t>
            </w:r>
          </w:p>
        </w:tc>
        <w:tc>
          <w:tcPr/>
          <w:p>
            <w:pPr>
              <w:pStyle w:val="Tabla9"/>
              <w:jc w:val="left"/>
            </w:pPr>
            <w:r>
              <w:t xml:space="preserve">Trimestral</w:t>
            </w:r>
          </w:p>
        </w:tc>
        <w:tc>
          <w:tcPr/>
          <w:p>
            <w:pPr>
              <w:pStyle w:val="Tabla9"/>
              <w:jc w:val="left"/>
            </w:pPr>
            <w:r>
              <w:t xml:space="preserve">Actas de los comités y registro de decisiones del tablero</w:t>
            </w:r>
          </w:p>
        </w:tc>
        <w:tc>
          <w:tcPr/>
          <w:p>
            <w:pPr>
              <w:pStyle w:val="Tabla9"/>
              <w:jc w:val="left"/>
            </w:pPr>
            <w:r>
              <w:t xml:space="preserve">Coordinación de apropiación social; luego custodio y secretarías de gestión del riesgo</w:t>
            </w:r>
          </w:p>
        </w:tc>
        <w:tc>
          <w:tcPr/>
          <w:p>
            <w:pPr>
              <w:pStyle w:val="Tabla9"/>
              <w:jc w:val="left"/>
            </w:pPr>
            <w:r>
              <w:t xml:space="preserve">Cortes a los 6 y 12 meses</w:t>
            </w:r>
          </w:p>
        </w:tc>
      </w:tr>
      <w:tr>
        <w:trPr>
          <w:cantSplit/>
        </w:trPr>
        <w:tc>
          <w:tcPr/>
          <w:p>
            <w:pPr>
              <w:pStyle w:val="Tabla9"/>
              <w:jc w:val="left"/>
            </w:pPr>
            <w:r>
              <w:t xml:space="preserve">PERS-E02 Falsas alarmas</w:t>
            </w:r>
          </w:p>
        </w:tc>
        <w:tc>
          <w:tcPr/>
          <w:p>
            <w:pPr>
              <w:pStyle w:val="Tabla9"/>
              <w:jc w:val="left"/>
            </w:pPr>
            <w:r>
              <w:t xml:space="preserve">Trimestral</w:t>
            </w:r>
          </w:p>
        </w:tc>
        <w:tc>
          <w:tcPr/>
          <w:p>
            <w:pPr>
              <w:pStyle w:val="Tabla9"/>
              <w:jc w:val="left"/>
            </w:pPr>
            <w:r>
              <w:t xml:space="preserve">Registro de alertas y verificación con referencia</w:t>
            </w:r>
          </w:p>
        </w:tc>
        <w:tc>
          <w:tcPr/>
          <w:p>
            <w:pPr>
              <w:pStyle w:val="Tabla9"/>
              <w:jc w:val="left"/>
            </w:pPr>
            <w:r>
              <w:t xml:space="preserve">Profesional en calidad del aire; luego custodio del tablero</w:t>
            </w:r>
          </w:p>
        </w:tc>
        <w:tc>
          <w:tcPr/>
          <w:p>
            <w:pPr>
              <w:pStyle w:val="Tabla9"/>
              <w:jc w:val="left"/>
            </w:pPr>
            <w:r>
              <w:t xml:space="preserve">Cortes a los 6 y 12 meses</w:t>
            </w:r>
          </w:p>
        </w:tc>
      </w:tr>
      <w:tr>
        <w:trPr>
          <w:cantSplit/>
        </w:trPr>
        <w:tc>
          <w:tcPr/>
          <w:p>
            <w:pPr>
              <w:pStyle w:val="Tabla9"/>
              <w:jc w:val="left"/>
            </w:pPr>
            <w:r>
              <w:t xml:space="preserve">PERS-E03 Capacidad instalada</w:t>
            </w:r>
          </w:p>
        </w:tc>
        <w:tc>
          <w:tcPr/>
          <w:p>
            <w:pPr>
              <w:pStyle w:val="Tabla9"/>
              <w:jc w:val="left"/>
            </w:pPr>
            <w:r>
              <w:t xml:space="preserve">Semestral</w:t>
            </w:r>
          </w:p>
        </w:tc>
        <w:tc>
          <w:tcPr/>
          <w:p>
            <w:pPr>
              <w:pStyle w:val="Tabla9"/>
              <w:jc w:val="left"/>
            </w:pPr>
            <w:r>
              <w:t xml:space="preserve">Registros de formación y evaluación práctica</w:t>
            </w:r>
          </w:p>
        </w:tc>
        <w:tc>
          <w:tcPr/>
          <w:p>
            <w:pPr>
              <w:pStyle w:val="Tabla9"/>
              <w:jc w:val="left"/>
            </w:pPr>
            <w:r>
              <w:t xml:space="preserve">Profesional de convenios y custodia</w:t>
            </w:r>
          </w:p>
        </w:tc>
        <w:tc>
          <w:tcPr/>
          <w:p>
            <w:pPr>
              <w:pStyle w:val="Tabla9"/>
              <w:jc w:val="left"/>
            </w:pPr>
            <w:r>
              <w:t xml:space="preserve">Permanencia del personal certificado a los 6 y 12 meses</w:t>
            </w:r>
          </w:p>
        </w:tc>
      </w:tr>
      <w:tr>
        <w:trPr>
          <w:cantSplit/>
        </w:trPr>
        <w:tc>
          <w:tcPr/>
          <w:p>
            <w:pPr>
              <w:pStyle w:val="Tabla9"/>
              <w:jc w:val="left"/>
            </w:pPr>
            <w:r>
              <w:t xml:space="preserve">PERS-S01 Activación del protocolo</w:t>
            </w:r>
          </w:p>
        </w:tc>
        <w:tc>
          <w:tcPr/>
          <w:p>
            <w:pPr>
              <w:pStyle w:val="Tabla9"/>
              <w:jc w:val="left"/>
            </w:pPr>
            <w:r>
              <w:t xml:space="preserve">Anual, 6 a 12 meses tras el cierre</w:t>
            </w:r>
          </w:p>
        </w:tc>
        <w:tc>
          <w:tcPr/>
          <w:p>
            <w:pPr>
              <w:pStyle w:val="Tabla9"/>
              <w:jc w:val="left"/>
            </w:pPr>
            <w:r>
              <w:t xml:space="preserve">Registro de eventos y de medidas</w:t>
            </w:r>
          </w:p>
        </w:tc>
        <w:tc>
          <w:tcPr/>
          <w:p>
            <w:pPr>
              <w:pStyle w:val="Tabla9"/>
              <w:jc w:val="left"/>
            </w:pPr>
            <w:r>
              <w:t xml:space="preserve">Custodios y secretarías de gestión del riesgo</w:t>
            </w:r>
          </w:p>
        </w:tc>
        <w:tc>
          <w:tcPr/>
          <w:p>
            <w:pPr>
              <w:pStyle w:val="Tabla9"/>
              <w:jc w:val="left"/>
            </w:pPr>
            <w:r>
              <w:t xml:space="preserve">Evaluación externa a los 12 meses</w:t>
            </w:r>
          </w:p>
        </w:tc>
      </w:tr>
      <w:tr>
        <w:trPr>
          <w:cantSplit/>
        </w:trPr>
        <w:tc>
          <w:tcPr/>
          <w:p>
            <w:pPr>
              <w:pStyle w:val="Tabla9"/>
              <w:jc w:val="left"/>
            </w:pPr>
            <w:r>
              <w:t xml:space="preserve">PERS-S02 Continuidad bajo custodia</w:t>
            </w:r>
          </w:p>
        </w:tc>
        <w:tc>
          <w:tcPr/>
          <w:p>
            <w:pPr>
              <w:pStyle w:val="Tabla9"/>
              <w:jc w:val="left"/>
            </w:pPr>
            <w:r>
              <w:t xml:space="preserve">Anual, 12 meses tras el cierre</w:t>
            </w:r>
          </w:p>
        </w:tc>
        <w:tc>
          <w:tcPr/>
          <w:p>
            <w:pPr>
              <w:pStyle w:val="Tabla9"/>
              <w:jc w:val="left"/>
            </w:pPr>
            <w:r>
              <w:t xml:space="preserve">Convenios, presupuestos y plataforma</w:t>
            </w:r>
          </w:p>
        </w:tc>
        <w:tc>
          <w:tcPr/>
          <w:p>
            <w:pPr>
              <w:pStyle w:val="Tabla9"/>
              <w:jc w:val="left"/>
            </w:pPr>
            <w:r>
              <w:t xml:space="preserve">Profesional de convenios y custodia; luego órgano de gobierno</w:t>
            </w:r>
          </w:p>
        </w:tc>
        <w:tc>
          <w:tcPr/>
          <w:p>
            <w:pPr>
              <w:pStyle w:val="Tabla9"/>
              <w:jc w:val="left"/>
            </w:pPr>
            <w:r>
              <w:t xml:space="preserve">Evaluación externa a los 12 meses</w:t>
            </w:r>
          </w:p>
        </w:tc>
      </w:tr>
      <w:tr>
        <w:trPr>
          <w:cantSplit/>
        </w:trPr>
        <w:tc>
          <w:tcPr/>
          <w:p>
            <w:pPr>
              <w:pStyle w:val="Tabla9"/>
              <w:jc w:val="left"/>
            </w:pPr>
            <w:r>
              <w:t xml:space="preserve">Disponibilidad mensual de nodos</w:t>
            </w:r>
          </w:p>
        </w:tc>
        <w:tc>
          <w:tcPr/>
          <w:p>
            <w:pPr>
              <w:pStyle w:val="Tabla9"/>
              <w:jc w:val="left"/>
            </w:pPr>
            <w:r>
              <w:t xml:space="preserve">Mensual</w:t>
            </w:r>
          </w:p>
        </w:tc>
        <w:tc>
          <w:tcPr/>
          <w:p>
            <w:pPr>
              <w:pStyle w:val="Tabla9"/>
              <w:jc w:val="left"/>
            </w:pPr>
            <w:r>
              <w:t xml:space="preserve">Plataforma de seguimiento</w:t>
            </w:r>
          </w:p>
        </w:tc>
        <w:tc>
          <w:tcPr/>
          <w:p>
            <w:pPr>
              <w:pStyle w:val="Tabla9"/>
              <w:jc w:val="left"/>
            </w:pPr>
            <w:r>
              <w:t xml:space="preserve">Ingenieros IoT y de campo; luego custodio de nodos</w:t>
            </w:r>
          </w:p>
        </w:tc>
        <w:tc>
          <w:tcPr/>
          <w:p>
            <w:pPr>
              <w:pStyle w:val="Tabla9"/>
              <w:jc w:val="left"/>
            </w:pPr>
            <w:r>
              <w:t xml:space="preserve">Informe anual público de continuidad</w:t>
            </w:r>
          </w:p>
        </w:tc>
      </w:tr>
      <w:tr>
        <w:trPr>
          <w:cantSplit/>
        </w:trPr>
        <w:tc>
          <w:tcPr/>
          <w:p>
            <w:pPr>
              <w:pStyle w:val="Tabla9"/>
              <w:jc w:val="left"/>
            </w:pPr>
            <w:r>
              <w:t xml:space="preserve">Cobertura del costo mínimo</w:t>
            </w:r>
          </w:p>
        </w:tc>
        <w:tc>
          <w:tcPr/>
          <w:p>
            <w:pPr>
              <w:pStyle w:val="Tabla9"/>
              <w:jc w:val="left"/>
            </w:pPr>
            <w:r>
              <w:t xml:space="preserve">Trimestral</w:t>
            </w:r>
          </w:p>
        </w:tc>
        <w:tc>
          <w:tcPr/>
          <w:p>
            <w:pPr>
              <w:pStyle w:val="Tabla9"/>
              <w:jc w:val="left"/>
            </w:pPr>
            <w:r>
              <w:t xml:space="preserve">Presupuesto y ejecución de cada custodio</w:t>
            </w:r>
          </w:p>
        </w:tc>
        <w:tc>
          <w:tcPr/>
          <w:p>
            <w:pPr>
              <w:pStyle w:val="Tabla9"/>
              <w:jc w:val="left"/>
            </w:pPr>
            <w:r>
              <w:t xml:space="preserve">Órgano de gobierno</w:t>
            </w:r>
          </w:p>
        </w:tc>
        <w:tc>
          <w:tcPr/>
          <w:p>
            <w:pPr>
              <w:pStyle w:val="Tabla9"/>
              <w:jc w:val="left"/>
            </w:pPr>
            <w:r>
              <w:t xml:space="preserve">Disparador de la cláusula de apertura</w:t>
            </w:r>
          </w:p>
        </w:tc>
      </w:tr>
      <w:tr>
        <w:trPr>
          <w:cantSplit/>
        </w:trPr>
        <w:tc>
          <w:tcPr/>
          <w:p>
            <w:pPr>
              <w:pStyle w:val="Tabla9"/>
              <w:jc w:val="left"/>
            </w:pPr>
            <w:r>
              <w:t xml:space="preserve">Revisión de los supuestos SC-1 a SC-4</w:t>
            </w:r>
          </w:p>
        </w:tc>
        <w:tc>
          <w:tcPr/>
          <w:p>
            <w:pPr>
              <w:pStyle w:val="Tabla9"/>
              <w:jc w:val="left"/>
            </w:pPr>
            <w:r>
              <w:t xml:space="preserve">Trimestral</w:t>
            </w:r>
          </w:p>
        </w:tc>
        <w:tc>
          <w:tcPr/>
          <w:p>
            <w:pPr>
              <w:pStyle w:val="Tabla9"/>
              <w:jc w:val="left"/>
            </w:pPr>
            <w:r>
              <w:t xml:space="preserve">Acta del comité integrador</w:t>
            </w:r>
          </w:p>
        </w:tc>
        <w:tc>
          <w:tcPr/>
          <w:p>
            <w:pPr>
              <w:pStyle w:val="Tabla9"/>
              <w:jc w:val="left"/>
            </w:pPr>
            <w:r>
              <w:t xml:space="preserve">Comité integrador</w:t>
            </w:r>
          </w:p>
        </w:tc>
        <w:tc>
          <w:tcPr/>
          <w:p>
            <w:pPr>
              <w:pStyle w:val="Tabla9"/>
              <w:jc w:val="left"/>
            </w:pPr>
            <w:r>
              <w:t xml:space="preserve">Informe anual tras el cierre</w:t>
            </w:r>
          </w:p>
        </w:tc>
      </w:tr>
      <w:tr>
        <w:trPr>
          <w:cantSplit/>
        </w:trPr>
        <w:tc>
          <w:tcPr/>
          <w:p>
            <w:pPr>
              <w:pStyle w:val="Tabla9"/>
              <w:jc w:val="left"/>
            </w:pPr>
            <w:r>
              <w:t xml:space="preserve">Indicadores ambientales</w:t>
            </w:r>
          </w:p>
        </w:tc>
        <w:tc>
          <w:tcPr/>
          <w:p>
            <w:pPr>
              <w:pStyle w:val="Tabla9"/>
              <w:jc w:val="left"/>
            </w:pPr>
            <w:r>
              <w:t xml:space="preserve">Semestral</w:t>
            </w:r>
          </w:p>
        </w:tc>
        <w:tc>
          <w:tcPr/>
          <w:p>
            <w:pPr>
              <w:pStyle w:val="Tabla9"/>
              <w:jc w:val="left"/>
            </w:pPr>
            <w:r>
              <w:t xml:space="preserve">Registro de baterías, residuos y desplazamientos</w:t>
            </w:r>
          </w:p>
        </w:tc>
        <w:tc>
          <w:tcPr/>
          <w:p>
            <w:pPr>
              <w:pStyle w:val="Tabla9"/>
              <w:jc w:val="left"/>
            </w:pPr>
            <w:r>
              <w:t xml:space="preserve">Ingenieros IoT y de campo</w:t>
            </w:r>
          </w:p>
        </w:tc>
        <w:tc>
          <w:tcPr/>
          <w:p>
            <w:pPr>
              <w:pStyle w:val="Tabla9"/>
              <w:jc w:val="left"/>
            </w:pPr>
            <w:r>
              <w:t xml:space="preserve">Informe de cierre y a los 12 meses</w:t>
            </w:r>
          </w:p>
        </w:tc>
      </w:tr>
    </w:tbl>
    <w:p>
      <w:pPr>
        <w:pStyle w:val="TablaNota"/>
      </w:pPr>
      <w:r>
        <w:rPr>
          <w:i/>
          <w:iCs/>
        </w:rPr>
        <w:t xml:space="preserve">Nota.</w:t>
      </w:r>
      <w:r>
        <w:t xml:space="preserve"> </w:t>
      </w:r>
      <w:r>
        <w:t xml:space="preserve">Elaboración propia con la ficha de indicadores PERS y la sección 4.4-MDR.10. Frecuencias y responsables de PERS-E y PERS-S: DECLARADO en la ficha. Fila de cobertura, revisión de supuestos e indicadores ambientales: PROPUESTO.</w:t>
      </w:r>
    </w:p>
    <w:p>
      <w:pPr>
        <w:pStyle w:val="BodyText"/>
      </w:pPr>
      <w:r>
        <w:t xml:space="preserve">La Tabla 13.11 asigna un responsable a cada medición y un instrumento verificable. Cuatro filas dependen de los custodios después del cierre, y por eso su cumplimiento queda sujeto a SC-4. La fila de cobertura del costo mínimo conecta el monitoreo de impactos con la sostenibilidad financiera del capítulo 14. Si la cobertura cae por debajo de 100 % durante dos trimestres consecutivos, se activa la cláusula de apertura.</w:t>
      </w:r>
    </w:p>
    <w:p>
      <w:pPr>
        <w:pStyle w:val="BodyText"/>
      </w:pPr>
      <w:r>
        <w:t xml:space="preserve">Las plataformas de métricas se usan de forma general y sin cifras. IRIS+ es un catálogo de métricas estandarizadas de impacto, alineado con los ODS, que permite expresar resultados sociales y ambientales con definiciones comunes (conocimiento externo; CANDIDATO_A_VERIFICAR). El proyecto lo emplea como referencia de nomenclatura y no como fuente de valores. Para la recolección en campo usa formularios digitales con captura sin conexión, actas firmadas y registro fotográfico. Para el seguimiento usa la plataforma presupuestada en la partida O05. El tablero del proyecto concentra las mediciones de PM2,5 y PM10. Todos los datos personales se tratan con consentimiento informado y con las reglas de la Ley 1581 de 2012 (Congreso de la República, 2012b).</w:t>
      </w:r>
    </w:p>
    <w:p>
      <w:pPr>
        <w:pStyle w:val="BodyText"/>
      </w:pPr>
      <w:r>
        <w:t xml:space="preserve">La gestión adaptativa convierte el monitoreo en decisiones. Argyris y Schön (1978) distinguen dos aprendizajes. El de bucle simple corrige acciones dentro de las reglas vigentes. El de bucle doble revisa las reglas mismas. El costo de corregir una tecnología crece con el tiempo, y conviene decidir mientras el cambio es barato (Collingridge, 1980). El proyecto aplica ambos criterios. Las compuertas C1 y C2 y la revisión trimestral de los supuestos corrigen la acción. La revisión de la teoría del cambio, cuando un supuesto falla, revisa la regla. Los momentos de decisión son los hitos H3 (mes 12) y H5 (mes 17) y las evaluaciones externas de los meses 12 y 24. La Figura 13.6 presenta el ciclo.</w:t>
      </w:r>
    </w:p>
    <w:p>
      <w:pPr>
        <w:pStyle w:val="FiguraRotulo"/>
      </w:pPr>
      <w:bookmarkStart w:id="9541" w:name="rot_Figura_13_6"/>
      <w:r>
        <w:rPr>
          <w:b/>
          <w:bCs/>
        </w:rPr>
        <w:t xml:space="preserve">Figura 13.6</w:t>
      </w:r>
      <w:bookmarkEnd w:id="9541"/>
    </w:p>
    <w:p>
      <w:pPr>
        <w:pStyle w:val="FiguraTitulo"/>
      </w:pPr>
      <w:r>
        <w:rPr>
          <w:i/>
          <w:iCs/>
        </w:rPr>
        <w:t xml:space="preserve">Ciclo de gestión adaptativa de impactos con compuertas y mediciones posproyecto</w:t>
      </w:r>
    </w:p>
    <w:p>
      <w:pPr>
        <w:pStyle w:val="BodyText"/>
      </w:pPr>
      <w:r>
        <w:drawing>
          <wp:inline>
            <wp:extent cx="5579999" cy="3918821"/>
            <wp:effectExtent b="0" l="0" r="0" t="0"/>
            <wp:docPr descr="" title="" id="604" name="Picture"/>
            <a:graphic>
              <a:graphicData uri="http://schemas.openxmlformats.org/drawingml/2006/picture">
                <pic:pic>
                  <pic:nvPicPr>
                    <pic:cNvPr descr="/tmp/claude-0/-home-user-docs/ddf38714-2a7e-502b-92b4-1008e2832422/scratchpad/proy/figs/out/c13_f05.png" id="605" name="Picture"/>
                    <pic:cNvPicPr>
                      <a:picLocks noChangeArrowheads="1" noChangeAspect="1"/>
                    </pic:cNvPicPr>
                  </pic:nvPicPr>
                  <pic:blipFill>
                    <a:blip r:embed="rId603"/>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compuertas C1 (mes 12) y C2 (mes 17), evaluación externa en los meses 12 y 24, y mediciones a los 6 y 12 meses del cierre (PROPUESTO). Generada con matplotlib sin parámetros aleatorios.</w:t>
      </w:r>
    </w:p>
    <w:p>
      <w:pPr>
        <w:pStyle w:val="BodyText"/>
      </w:pPr>
      <w:r>
        <w:t xml:space="preserve">La Figura 13.6 muestra un ciclo de cinco pasos: medir, evaluar, decidir, ajustar y aprender. Dos bucles lo acompañan. El bucle simple corrige la ejecución en cada compuerta. El bucle doble revisa la teoría del cambio cuando un supuesto crítico se refuta. Su resultado se incorpora en la versión siguiente de este capítulo. Tras el cierre, el mismo ciclo continúa a cargo de los custodios, con cortes a los 6 y a los 12 meses.</w:t>
      </w:r>
    </w:p>
    <w:bookmarkEnd w:id="606"/>
    <w:bookmarkEnd w:id="607"/>
    <w:bookmarkStart w:id="619" w:name="_Toc00900238"/>
    <w:p>
      <w:pPr>
        <w:pStyle w:val="Heading1"/>
      </w:pPr>
      <w:r>
        <w:t xml:space="preserve">Capítulo 14. Sostenibilidad</w:t>
      </w:r>
    </w:p>
    <w:p>
      <w:pPr>
        <w:pStyle w:val="FirstParagraph"/>
      </w:pPr>
      <w:r>
        <w:t xml:space="preserve">La sostenibilidad de la red se diseña con una premisa que condiciona todo el capítulo. La premisa de diseño PD-0 establece que ninguna entidad pública puede asumir el sostenimiento de la solución al cierre. PD-0 es un SUPUESTO de diseño. No afirma la incapacidad de una entidad concreta. Obliga a que la solución sobreviva sin depender de esa capacidad. La sostenibilidad de los programas comunitarios de salud se explica por condiciones del diseño, del entorno organizacional y del entorno comunitario (Shediac-Rizkallah y Bone, 1998). El capítulo adopta ese marco y lo aplica a cinco dimensiones: técnica, financiera, institucional, social y de salida.</w:t>
      </w:r>
    </w:p>
    <w:p>
      <w:pPr>
        <w:pStyle w:val="BodyText"/>
      </w:pPr>
      <w:r>
        <w:t xml:space="preserve">La evidencia sobre la continuidad de las redes de monitoreo es parcial. En Brasil, 96 de 570 estaciones, es decir 16,8 %, están inactivas o sin estado (Tavella et al., 2026, p. 6). En la propuesta de red nacional colombiana, 90,8 % de las estaciones serían sensores sin plan de calibración (Murad Pedraza et al., 2026, pp. 10-11 y 13). El expediente E3 declara que algunos equipos terminan en bodegas municipales, sin cifra ni fuente (DECLARADO; NO_VERIFICADO). El informe de vigilancia tecnológica modela la calibración como un juego de bien público. Su equilibrio es que ninguna autoridad calibre (sección 6.5, INFERIDO). Ninguna fuente aportada evalúa la continuidad de proyectos financiados con regalías. La afirmación del usuario sobre antecedentes de baja sostenibilidad pública permanece DECLARADA, sin respaldo propio.</w:t>
      </w:r>
    </w:p>
    <w:bookmarkStart w:id="608" w:name="_Toc00900239"/>
    <w:p>
      <w:pPr>
        <w:pStyle w:val="Heading2"/>
      </w:pPr>
      <w:r>
        <w:t xml:space="preserve">14.1 Sostenibilidad técnica</w:t>
      </w:r>
    </w:p>
    <w:p>
      <w:pPr>
        <w:pStyle w:val="FirstParagraph"/>
      </w:pPr>
      <w:r>
        <w:t xml:space="preserve">La sostenibilidad técnica es la capacidad de la solución para seguir midiendo con error conocido después del cierre. Se compone de tres actividades: mantener, actualizar y documentar. El artefacto de ingeniería es un producto que debe describirse con detalle suficiente para que otros lo reproduzcan y lo evalúen (Hevner et al., 2004). Esa exigencia convierte la documentación en parte del producto y no en un anexo. La solución consta de nueve componentes según la sección 4.4-MDR.10. La Tabla 14.1 los inventaría con su función, sus dependencias y el estado de su costo anual.</w:t>
      </w:r>
    </w:p>
    <w:p>
      <w:pPr>
        <w:pStyle w:val="TablaRotulo"/>
      </w:pPr>
      <w:bookmarkStart w:id="9361" w:name="rot_Tabla_14_1"/>
      <w:r>
        <w:rPr>
          <w:b/>
          <w:bCs/>
        </w:rPr>
        <w:t xml:space="preserve">Tabla 14.1</w:t>
      </w:r>
      <w:bookmarkEnd w:id="9361"/>
    </w:p>
    <w:p>
      <w:pPr>
        <w:pStyle w:val="TablaTitulo"/>
      </w:pPr>
      <w:r>
        <w:rPr>
          <w:i/>
          <w:iCs/>
        </w:rPr>
        <w:t xml:space="preserve">Inventario de componentes de la solución y estado de su costo anual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67"/>
        <w:gridCol w:w="1505"/>
        <w:gridCol w:w="1767"/>
        <w:gridCol w:w="1570"/>
        <w:gridCol w:w="1309"/>
      </w:tblGrid>
      <w:tr>
        <w:trPr>
          <w:cantSplit/>
          <w:tblHeader/>
        </w:trPr>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Tipo</w:t>
            </w:r>
          </w:p>
        </w:tc>
        <w:tc>
          <w:tcPr>
            <w:shd w:val="clear" w:color="auto" w:fill="00B050"/>
          </w:tcPr>
          <w:p>
            <w:pPr>
              <w:pStyle w:val="Tabla9"/>
              <w:jc w:val="center"/>
            </w:pPr>
            <w:r>
              <w:rPr>
                <w:b/>
                <w:color w:val="FFFFFF"/>
              </w:rPr>
              <w:t xml:space="preserve">Función</w:t>
            </w:r>
          </w:p>
        </w:tc>
        <w:tc>
          <w:tcPr>
            <w:shd w:val="clear" w:color="auto" w:fill="00B050"/>
          </w:tcPr>
          <w:p>
            <w:pPr>
              <w:pStyle w:val="Tabla9"/>
              <w:jc w:val="center"/>
            </w:pPr>
            <w:r>
              <w:rPr>
                <w:b/>
                <w:color w:val="FFFFFF"/>
              </w:rPr>
              <w:t xml:space="preserve">Dependencias</w:t>
            </w:r>
          </w:p>
        </w:tc>
        <w:tc>
          <w:tcPr>
            <w:shd w:val="clear" w:color="auto" w:fill="00B050"/>
          </w:tcPr>
          <w:p>
            <w:pPr>
              <w:pStyle w:val="Tabla9"/>
              <w:jc w:val="center"/>
            </w:pPr>
            <w:r>
              <w:rPr>
                <w:b/>
                <w:color w:val="FFFFFF"/>
              </w:rPr>
              <w:t xml:space="preserve">Costo anual con fuente</w:t>
            </w:r>
          </w:p>
        </w:tc>
      </w:tr>
      <w:tr>
        <w:trPr>
          <w:cantSplit/>
        </w:trPr>
        <w:tc>
          <w:tcPr/>
          <w:p>
            <w:pPr>
              <w:pStyle w:val="Tabla9"/>
              <w:jc w:val="left"/>
            </w:pPr>
            <w:r>
              <w:t xml:space="preserve">Nodos sensoriales (M1)</w:t>
            </w:r>
          </w:p>
        </w:tc>
        <w:tc>
          <w:tcPr/>
          <w:p>
            <w:pPr>
              <w:pStyle w:val="Tabla9"/>
              <w:jc w:val="left"/>
            </w:pPr>
            <w:r>
              <w:t xml:space="preserve">Activos físicos</w:t>
            </w:r>
          </w:p>
        </w:tc>
        <w:tc>
          <w:tcPr/>
          <w:p>
            <w:pPr>
              <w:pStyle w:val="Tabla9"/>
              <w:jc w:val="left"/>
            </w:pPr>
            <w:r>
              <w:t xml:space="preserve">Miden PM2,5, PM10, temperatura y humedad</w:t>
            </w:r>
          </w:p>
        </w:tc>
        <w:tc>
          <w:tcPr/>
          <w:p>
            <w:pPr>
              <w:pStyle w:val="Tabla9"/>
              <w:jc w:val="left"/>
            </w:pPr>
            <w:r>
              <w:t xml:space="preserve">Energía; enlace de radio de largo alcance</w:t>
            </w:r>
          </w:p>
        </w:tc>
        <w:tc>
          <w:tcPr/>
          <w:p>
            <w:pPr>
              <w:pStyle w:val="Tabla9"/>
              <w:jc w:val="left"/>
            </w:pPr>
            <w:r>
              <w:t xml:space="preserve">VACIO por componente; línea agregada de repuestos en E3</w:t>
            </w:r>
          </w:p>
        </w:tc>
      </w:tr>
      <w:tr>
        <w:trPr>
          <w:cantSplit/>
        </w:trPr>
        <w:tc>
          <w:tcPr/>
          <w:p>
            <w:pPr>
              <w:pStyle w:val="Tabla9"/>
              <w:jc w:val="left"/>
            </w:pPr>
            <w:r>
              <w:t xml:space="preserve">Gateways con corrección local (M2)</w:t>
            </w:r>
          </w:p>
        </w:tc>
        <w:tc>
          <w:tcPr/>
          <w:p>
            <w:pPr>
              <w:pStyle w:val="Tabla9"/>
              <w:jc w:val="left"/>
            </w:pPr>
            <w:r>
              <w:t xml:space="preserve">Activos físicos y software</w:t>
            </w:r>
          </w:p>
        </w:tc>
        <w:tc>
          <w:tcPr/>
          <w:p>
            <w:pPr>
              <w:pStyle w:val="Tabla9"/>
              <w:jc w:val="left"/>
            </w:pPr>
            <w:r>
              <w:t xml:space="preserve">Corrigen el error en sitio y reenvían los datos</w:t>
            </w:r>
          </w:p>
        </w:tc>
        <w:tc>
          <w:tcPr/>
          <w:p>
            <w:pPr>
              <w:pStyle w:val="Tabla9"/>
              <w:jc w:val="left"/>
            </w:pPr>
            <w:r>
              <w:t xml:space="preserve">Energía estable; enlace celular o satelital</w:t>
            </w:r>
          </w:p>
        </w:tc>
        <w:tc>
          <w:tcPr/>
          <w:p>
            <w:pPr>
              <w:pStyle w:val="Tabla9"/>
              <w:jc w:val="left"/>
            </w:pPr>
            <w:r>
              <w:t xml:space="preserve">VACIO</w:t>
            </w:r>
          </w:p>
        </w:tc>
      </w:tr>
      <w:tr>
        <w:trPr>
          <w:cantSplit/>
        </w:trPr>
        <w:tc>
          <w:tcPr/>
          <w:p>
            <w:pPr>
              <w:pStyle w:val="Tabla9"/>
              <w:jc w:val="left"/>
            </w:pPr>
            <w:r>
              <w:t xml:space="preserve">Gemelo digital (M3)</w:t>
            </w:r>
          </w:p>
        </w:tc>
        <w:tc>
          <w:tcPr/>
          <w:p>
            <w:pPr>
              <w:pStyle w:val="Tabla9"/>
              <w:jc w:val="left"/>
            </w:pPr>
            <w:r>
              <w:t xml:space="preserve">Software y datos</w:t>
            </w:r>
          </w:p>
        </w:tc>
        <w:tc>
          <w:tcPr/>
          <w:p>
            <w:pPr>
              <w:pStyle w:val="Tabla9"/>
              <w:jc w:val="left"/>
            </w:pPr>
            <w:r>
              <w:t xml:space="preserve">Estimación espacial y reentrenamiento del modelo</w:t>
            </w:r>
          </w:p>
        </w:tc>
        <w:tc>
          <w:tcPr/>
          <w:p>
            <w:pPr>
              <w:pStyle w:val="Tabla9"/>
              <w:jc w:val="left"/>
            </w:pPr>
            <w:r>
              <w:t xml:space="preserve">Nube; datos de M2</w:t>
            </w:r>
          </w:p>
        </w:tc>
        <w:tc>
          <w:tcPr/>
          <w:p>
            <w:pPr>
              <w:pStyle w:val="Tabla9"/>
              <w:jc w:val="left"/>
            </w:pPr>
            <w:r>
              <w:t xml:space="preserve">Línea agregada de operación en E3</w:t>
            </w:r>
          </w:p>
        </w:tc>
      </w:tr>
      <w:tr>
        <w:trPr>
          <w:cantSplit/>
        </w:trPr>
        <w:tc>
          <w:tcPr/>
          <w:p>
            <w:pPr>
              <w:pStyle w:val="Tabla9"/>
              <w:jc w:val="left"/>
            </w:pPr>
            <w:r>
              <w:t xml:space="preserve">Tablero de alertas (M4)</w:t>
            </w:r>
          </w:p>
        </w:tc>
        <w:tc>
          <w:tcPr/>
          <w:p>
            <w:pPr>
              <w:pStyle w:val="Tabla9"/>
              <w:jc w:val="left"/>
            </w:pPr>
            <w:r>
              <w:t xml:space="preserve">Software y servicio</w:t>
            </w:r>
          </w:p>
        </w:tc>
        <w:tc>
          <w:tcPr/>
          <w:p>
            <w:pPr>
              <w:pStyle w:val="Tabla9"/>
              <w:jc w:val="left"/>
            </w:pPr>
            <w:r>
              <w:t xml:space="preserve">Índice local y alertas</w:t>
            </w:r>
          </w:p>
        </w:tc>
        <w:tc>
          <w:tcPr/>
          <w:p>
            <w:pPr>
              <w:pStyle w:val="Tabla9"/>
              <w:jc w:val="left"/>
            </w:pPr>
            <w:r>
              <w:t xml:space="preserve">M3; fórmula local validada</w:t>
            </w:r>
          </w:p>
        </w:tc>
        <w:tc>
          <w:tcPr/>
          <w:p>
            <w:pPr>
              <w:pStyle w:val="Tabla9"/>
              <w:jc w:val="left"/>
            </w:pPr>
            <w:r>
              <w:t xml:space="preserve">VACIO</w:t>
            </w:r>
          </w:p>
        </w:tc>
      </w:tr>
      <w:tr>
        <w:trPr>
          <w:cantSplit/>
        </w:trPr>
        <w:tc>
          <w:tcPr/>
          <w:p>
            <w:pPr>
              <w:pStyle w:val="Tabla9"/>
              <w:jc w:val="left"/>
            </w:pPr>
            <w:r>
              <w:t xml:space="preserve">Series de datos</w:t>
            </w:r>
          </w:p>
        </w:tc>
        <w:tc>
          <w:tcPr/>
          <w:p>
            <w:pPr>
              <w:pStyle w:val="Tabla9"/>
              <w:jc w:val="left"/>
            </w:pPr>
            <w:r>
              <w:t xml:space="preserve">Datos</w:t>
            </w:r>
          </w:p>
        </w:tc>
        <w:tc>
          <w:tcPr/>
          <w:p>
            <w:pPr>
              <w:pStyle w:val="Tabla9"/>
              <w:jc w:val="left"/>
            </w:pPr>
            <w:r>
              <w:t xml:space="preserve">Base maestra de mediciones</w:t>
            </w:r>
          </w:p>
        </w:tc>
        <w:tc>
          <w:tcPr/>
          <w:p>
            <w:pPr>
              <w:pStyle w:val="Tabla9"/>
              <w:jc w:val="left"/>
            </w:pPr>
            <w:r>
              <w:t xml:space="preserve">Licencia y propiedad</w:t>
            </w:r>
          </w:p>
        </w:tc>
        <w:tc>
          <w:tcPr/>
          <w:p>
            <w:pPr>
              <w:pStyle w:val="Tabla9"/>
              <w:jc w:val="left"/>
            </w:pPr>
            <w:r>
              <w:t xml:space="preserve">VACIO</w:t>
            </w:r>
          </w:p>
        </w:tc>
      </w:tr>
      <w:tr>
        <w:trPr>
          <w:cantSplit/>
        </w:trPr>
        <w:tc>
          <w:tcPr/>
          <w:p>
            <w:pPr>
              <w:pStyle w:val="Tabla9"/>
              <w:jc w:val="left"/>
            </w:pPr>
            <w:r>
              <w:t xml:space="preserve">Protocolo de calibración y sorteo</w:t>
            </w:r>
          </w:p>
        </w:tc>
        <w:tc>
          <w:tcPr/>
          <w:p>
            <w:pPr>
              <w:pStyle w:val="Tabla9"/>
              <w:jc w:val="left"/>
            </w:pPr>
            <w:r>
              <w:t xml:space="preserve">Conocimiento</w:t>
            </w:r>
          </w:p>
        </w:tc>
        <w:tc>
          <w:tcPr/>
          <w:p>
            <w:pPr>
              <w:pStyle w:val="Tabla9"/>
              <w:jc w:val="left"/>
            </w:pPr>
            <w:r>
              <w:t xml:space="preserve">Referencia y contraste</w:t>
            </w:r>
          </w:p>
        </w:tc>
        <w:tc>
          <w:tcPr/>
          <w:p>
            <w:pPr>
              <w:pStyle w:val="Tabla9"/>
              <w:jc w:val="left"/>
            </w:pPr>
            <w:r>
              <w:t xml:space="preserve">Monitores gravimétricos</w:t>
            </w:r>
          </w:p>
        </w:tc>
        <w:tc>
          <w:tcPr/>
          <w:p>
            <w:pPr>
              <w:pStyle w:val="Tabla9"/>
              <w:jc w:val="left"/>
            </w:pPr>
            <w:r>
              <w:t xml:space="preserve">VACIO</w:t>
            </w:r>
          </w:p>
        </w:tc>
      </w:tr>
      <w:tr>
        <w:trPr>
          <w:cantSplit/>
        </w:trPr>
        <w:tc>
          <w:tcPr/>
          <w:p>
            <w:pPr>
              <w:pStyle w:val="Tabla9"/>
              <w:jc w:val="left"/>
            </w:pPr>
            <w:r>
              <w:t xml:space="preserve">Operación y soporte</w:t>
            </w:r>
          </w:p>
        </w:tc>
        <w:tc>
          <w:tcPr/>
          <w:p>
            <w:pPr>
              <w:pStyle w:val="Tabla9"/>
              <w:jc w:val="left"/>
            </w:pPr>
            <w:r>
              <w:t xml:space="preserve">Servicio</w:t>
            </w:r>
          </w:p>
        </w:tc>
        <w:tc>
          <w:tcPr/>
          <w:p>
            <w:pPr>
              <w:pStyle w:val="Tabla9"/>
              <w:jc w:val="left"/>
            </w:pPr>
            <w:r>
              <w:t xml:space="preserve">Mantenimiento y soporte algorítmico</w:t>
            </w:r>
          </w:p>
        </w:tc>
        <w:tc>
          <w:tcPr/>
          <w:p>
            <w:pPr>
              <w:pStyle w:val="Tabla9"/>
              <w:jc w:val="left"/>
            </w:pPr>
            <w:r>
              <w:t xml:space="preserve">Personal certificado</w:t>
            </w:r>
          </w:p>
        </w:tc>
        <w:tc>
          <w:tcPr/>
          <w:p>
            <w:pPr>
              <w:pStyle w:val="Tabla9"/>
              <w:jc w:val="left"/>
            </w:pPr>
            <w:r>
              <w:t xml:space="preserve">Línea agregada de personal en E3</w:t>
            </w:r>
          </w:p>
        </w:tc>
      </w:tr>
      <w:tr>
        <w:trPr>
          <w:cantSplit/>
        </w:trPr>
        <w:tc>
          <w:tcPr/>
          <w:p>
            <w:pPr>
              <w:pStyle w:val="Tabla9"/>
              <w:jc w:val="left"/>
            </w:pPr>
            <w:r>
              <w:t xml:space="preserve">Usuarios institucionales</w:t>
            </w:r>
          </w:p>
        </w:tc>
        <w:tc>
          <w:tcPr/>
          <w:p>
            <w:pPr>
              <w:pStyle w:val="Tabla9"/>
              <w:jc w:val="left"/>
            </w:pPr>
            <w:r>
              <w:t xml:space="preserve">Red de usuarios</w:t>
            </w:r>
          </w:p>
        </w:tc>
        <w:tc>
          <w:tcPr/>
          <w:p>
            <w:pPr>
              <w:pStyle w:val="Tabla9"/>
              <w:jc w:val="left"/>
            </w:pPr>
            <w:r>
              <w:t xml:space="preserve">Uso del tablero en protocolos</w:t>
            </w:r>
          </w:p>
        </w:tc>
        <w:tc>
          <w:tcPr/>
          <w:p>
            <w:pPr>
              <w:pStyle w:val="Tabla9"/>
              <w:jc w:val="left"/>
            </w:pPr>
            <w:r>
              <w:t xml:space="preserve">Acuerdos y capacitación</w:t>
            </w:r>
          </w:p>
        </w:tc>
        <w:tc>
          <w:tcPr/>
          <w:p>
            <w:pPr>
              <w:pStyle w:val="Tabla9"/>
              <w:jc w:val="left"/>
            </w:pPr>
            <w:r>
              <w:t xml:space="preserve">VACIO</w:t>
            </w:r>
          </w:p>
        </w:tc>
      </w:tr>
      <w:tr>
        <w:trPr>
          <w:cantSplit/>
        </w:trPr>
        <w:tc>
          <w:tcPr/>
          <w:p>
            <w:pPr>
              <w:pStyle w:val="Tabla9"/>
              <w:jc w:val="left"/>
            </w:pPr>
            <w:r>
              <w:t xml:space="preserve">Modelos y código</w:t>
            </w:r>
          </w:p>
        </w:tc>
        <w:tc>
          <w:tcPr/>
          <w:p>
            <w:pPr>
              <w:pStyle w:val="Tabla9"/>
              <w:jc w:val="left"/>
            </w:pPr>
            <w:r>
              <w:t xml:space="preserve">Propiedad intelectual</w:t>
            </w:r>
          </w:p>
        </w:tc>
        <w:tc>
          <w:tcPr/>
          <w:p>
            <w:pPr>
              <w:pStyle w:val="Tabla9"/>
              <w:jc w:val="left"/>
            </w:pPr>
            <w:r>
              <w:t xml:space="preserve">Corrección local y gemelo digital</w:t>
            </w:r>
          </w:p>
        </w:tc>
        <w:tc>
          <w:tcPr/>
          <w:p>
            <w:pPr>
              <w:pStyle w:val="Tabla9"/>
              <w:jc w:val="left"/>
            </w:pPr>
            <w:r>
              <w:t xml:space="preserve">Libertad de operación</w:t>
            </w:r>
          </w:p>
        </w:tc>
        <w:tc>
          <w:tcPr/>
          <w:p>
            <w:pPr>
              <w:pStyle w:val="Tabla9"/>
              <w:jc w:val="left"/>
            </w:pPr>
            <w:r>
              <w:t xml:space="preserve">VACIO</w:t>
            </w:r>
          </w:p>
        </w:tc>
      </w:tr>
    </w:tbl>
    <w:p>
      <w:pPr>
        <w:pStyle w:val="TablaNota"/>
      </w:pPr>
      <w:r>
        <w:rPr>
          <w:i/>
          <w:iCs/>
        </w:rPr>
        <w:t xml:space="preserve">Nota.</w:t>
      </w:r>
      <w:r>
        <w:t xml:space="preserve"> </w:t>
      </w:r>
      <w:r>
        <w:t xml:space="preserve">Elaboración propia a partir de la sección 4.4-MDR.10 y de la ficha maestra. Naturaleza: PROPUESTO; verificación: NO_VERIFICADO. VACIO: dato que solo el usuario o los términos de referencia pueden aportar.</w:t>
      </w:r>
    </w:p>
    <w:p>
      <w:pPr>
        <w:pStyle w:val="BodyText"/>
      </w:pPr>
      <w:r>
        <w:t xml:space="preserve">La Tabla 14.1 muestra que solo tres líneas agregadas de costo existen, todas del expediente E3: repuestos, operación del gemelo y personal. Seis componentes carecen de costo anual con fuente. Por eso el plan técnico no puede fijar un presupuesto posterior por componente. Fija responsabilidades, productos de documentación y un orden de prioridad de los recursos que sí se conocen.</w:t>
      </w:r>
    </w:p>
    <w:p>
      <w:pPr>
        <w:pStyle w:val="BodyText"/>
      </w:pPr>
      <w:r>
        <w:t xml:space="preserve">El mantenimiento enfrenta una disyuntiva entre reparar al fallar y recalibrar de forma periódica. La primera posición minimiza visitas y exige un inventario amplio de repuestos. La segunda posición exige comparar los nodos con una referencia a intervalos fijos. Los sensores ópticos de bajo costo cambian su respuesta con el tiempo y con el entorno (Karagulian et al., 2019). Giordano et al. (2021) y Malings et al. (2020) respaldan la segunda posición: la calibración con referencia y la evaluación de largo plazo reducen el sesgo de estos sensores. El proyecto adopta una combinación. Programa seis ciclos de calibración, dos por tramo (PERS-R02), y cuatro rotaciones de colocalización por departamento (PERS-R05). Reserva 60 millones de COP para repuestos (M07) y 20 nodos de reserva.</w:t>
      </w:r>
    </w:p>
    <w:p>
      <w:pPr>
        <w:pStyle w:val="BodyText"/>
      </w:pPr>
      <w:r>
        <w:t xml:space="preserve">La limitación posproyecto es la cobertura de referencias. El presupuesto incluye tres monitores gravimétricos, uno por departamento (E03), y un banco de calibración de laboratorio (E07). Para 100 nodos, esa dotación solo sostiene rotaciones, no una comparación continua. Además, el análisis gravimétrico depende de 1.200 filtros de membrana (M01) y de 240 muestras en laboratorio acreditado (S01), cuyo costo posterior es NO_CALCULABLE. La consecuencia metodológica es que el protocolo de calibración se transfiere como componente propio, con un custodio que asuma las rotaciones y el laboratorio. Ese componente se entrega en el tramo 1 de transferencia, tras el contraste del piloto.</w:t>
      </w:r>
    </w:p>
    <w:p>
      <w:pPr>
        <w:pStyle w:val="BodyText"/>
      </w:pPr>
      <w:r>
        <w:t xml:space="preserve">La actualización tecnológica combina tres cambios: el firmware de los nodos, el modelo de corrección y la plataforma. El firmware se actualiza por lote y no por nodo aislado, para no multiplicar versiones. El modelo de corrección cambia con cada ciclo de calibración, y el registro de versiones conserva la historia de parámetros. La plataforma depende del servicio en la nube (E10, 180 millones de COP por 24 meses). También depende del software de analítica (E11, 45 millones). La capacidad de la red presenta además límites físicos. Adelantado et al. (2017) muestran que el protocolo LoRaWAN limita el número de dispositivos por gateway por la saturación del canal. El diseño de un gateway por cada 10 nodos limita la carga por gateway, y el piloto del tramo 1 debe verificarlo (SUPUESTO).</w:t>
      </w:r>
    </w:p>
    <w:p>
      <w:pPr>
        <w:pStyle w:val="BodyText"/>
      </w:pPr>
      <w:r>
        <w:t xml:space="preserve">El gemelo digital exige una definición explícita, porque el término carece de acepción común. El informe de vigilancia tecnológica encuentra cinco acepciones en al menos 11 documentos (sección 1.3). Grieves y Vickers (2017) lo describen como la pareja de un sistema físico y su réplica virtual conectada. Tao et al. (2019) revisan sus aplicaciones industriales y muestran implementaciones muy distintas. Aquí el gemelo digital es una estimación espacial de la concentración alimentada por los datos corregidos. Esa definición se documenta en el diccionario de datos y en el manual de operación. Así un custodio nuevo no la confunde con una simulación física.</w:t>
      </w:r>
    </w:p>
    <w:p>
      <w:pPr>
        <w:pStyle w:val="BodyText"/>
      </w:pPr>
      <w:r>
        <w:t xml:space="preserve">La documentación técnica final reúne ocho productos. Son la hoja de vida de cada nodo, el manual de reactivación, el diccionario de datos y el registro de versiones del modelo. Son también el protocolo de calibración, el manual del tablero, el protocolo de alerta y los instrumentos de licencia. La libertad de operación requiere una consulta jurídica. El informe de vigilancia tecnológica advierte que diez solicitudes de patente designan a Colombia. Ninguna informa su fase nacional (sección 1.3). El presupuesto prevé 150 horas de consultoría en propiedad intelectual (S02, 45 millones de COP). Prevé también el registro del software ante la Dirección Nacional de Derecho de Autor (DNDA) (O03, 15 millones). La Tabla 14.2 resume el plan técnico por componente.</w:t>
      </w:r>
    </w:p>
    <w:p>
      <w:pPr>
        <w:pStyle w:val="TablaRotulo"/>
      </w:pPr>
      <w:bookmarkStart w:id="9362" w:name="rot_Tabla_14_2"/>
      <w:r>
        <w:rPr>
          <w:b/>
          <w:bCs/>
        </w:rPr>
        <w:t xml:space="preserve">Tabla 14.2</w:t>
      </w:r>
      <w:bookmarkEnd w:id="9362"/>
    </w:p>
    <w:p>
      <w:pPr>
        <w:pStyle w:val="TablaTitulo"/>
      </w:pPr>
      <w:r>
        <w:rPr>
          <w:i/>
          <w:iCs/>
        </w:rPr>
        <w:t xml:space="preserve">Plan de sostenibilidad técnica por componente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1782"/>
        <w:gridCol w:w="1914"/>
        <w:gridCol w:w="1716"/>
        <w:gridCol w:w="1122"/>
      </w:tblGrid>
      <w:tr>
        <w:trPr>
          <w:cantSplit/>
          <w:tblHeader/>
        </w:trPr>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Mantenimiento</w:t>
            </w:r>
          </w:p>
        </w:tc>
        <w:tc>
          <w:tcPr>
            <w:shd w:val="clear" w:color="auto" w:fill="00B050"/>
          </w:tcPr>
          <w:p>
            <w:pPr>
              <w:pStyle w:val="Tabla9"/>
              <w:jc w:val="center"/>
            </w:pPr>
            <w:r>
              <w:rPr>
                <w:b/>
                <w:color w:val="FFFFFF"/>
              </w:rPr>
              <w:t xml:space="preserve">Actualización</w:t>
            </w:r>
          </w:p>
        </w:tc>
        <w:tc>
          <w:tcPr>
            <w:shd w:val="clear" w:color="auto" w:fill="00B050"/>
          </w:tcPr>
          <w:p>
            <w:pPr>
              <w:pStyle w:val="Tabla9"/>
              <w:jc w:val="center"/>
            </w:pPr>
            <w:r>
              <w:rPr>
                <w:b/>
                <w:color w:val="FFFFFF"/>
              </w:rPr>
              <w:t xml:space="preserve">Documentación</w:t>
            </w:r>
          </w:p>
        </w:tc>
        <w:tc>
          <w:tcPr>
            <w:shd w:val="clear" w:color="auto" w:fill="00B050"/>
          </w:tcPr>
          <w:p>
            <w:pPr>
              <w:pStyle w:val="Tabla9"/>
              <w:jc w:val="center"/>
            </w:pPr>
            <w:r>
              <w:rPr>
                <w:b/>
                <w:color w:val="FFFFFF"/>
              </w:rPr>
              <w:t xml:space="preserve">Partidas del proyecto</w:t>
            </w:r>
          </w:p>
        </w:tc>
      </w:tr>
      <w:tr>
        <w:trPr>
          <w:cantSplit/>
        </w:trPr>
        <w:tc>
          <w:tcPr/>
          <w:p>
            <w:pPr>
              <w:pStyle w:val="Tabla9"/>
              <w:jc w:val="left"/>
            </w:pPr>
            <w:r>
              <w:t xml:space="preserve">Nodos sensoriales</w:t>
            </w:r>
          </w:p>
        </w:tc>
        <w:tc>
          <w:tcPr/>
          <w:p>
            <w:pPr>
              <w:pStyle w:val="Tabla9"/>
              <w:jc w:val="left"/>
            </w:pPr>
            <w:r>
              <w:t xml:space="preserve">Limpieza y reemplazo de cabezales, baterías y paneles con repuestos</w:t>
            </w:r>
          </w:p>
        </w:tc>
        <w:tc>
          <w:tcPr/>
          <w:p>
            <w:pPr>
              <w:pStyle w:val="Tabla9"/>
              <w:jc w:val="left"/>
            </w:pPr>
            <w:r>
              <w:t xml:space="preserve">Firmware por lote; reposición de cabezales según su edad</w:t>
            </w:r>
          </w:p>
        </w:tc>
        <w:tc>
          <w:tcPr/>
          <w:p>
            <w:pPr>
              <w:pStyle w:val="Tabla9"/>
              <w:jc w:val="left"/>
            </w:pPr>
            <w:r>
              <w:t xml:space="preserve">Hoja de vida por nodo y manual de reactivación</w:t>
            </w:r>
          </w:p>
        </w:tc>
        <w:tc>
          <w:tcPr/>
          <w:p>
            <w:pPr>
              <w:pStyle w:val="Tabla9"/>
              <w:jc w:val="left"/>
            </w:pPr>
            <w:r>
              <w:t xml:space="preserve">E01, E02, E05, M03 y M07</w:t>
            </w:r>
          </w:p>
        </w:tc>
      </w:tr>
      <w:tr>
        <w:trPr>
          <w:cantSplit/>
        </w:trPr>
        <w:tc>
          <w:tcPr/>
          <w:p>
            <w:pPr>
              <w:pStyle w:val="Tabla9"/>
              <w:jc w:val="left"/>
            </w:pPr>
            <w:r>
              <w:t xml:space="preserve">Gateways con corrección local</w:t>
            </w:r>
          </w:p>
        </w:tc>
        <w:tc>
          <w:tcPr/>
          <w:p>
            <w:pPr>
              <w:pStyle w:val="Tabla9"/>
              <w:jc w:val="left"/>
            </w:pPr>
            <w:r>
              <w:t xml:space="preserve">Revisión de energía, enlace celular y satelital y almacenamiento de 7 días</w:t>
            </w:r>
          </w:p>
        </w:tc>
        <w:tc>
          <w:tcPr/>
          <w:p>
            <w:pPr>
              <w:pStyle w:val="Tabla9"/>
              <w:jc w:val="left"/>
            </w:pPr>
            <w:r>
              <w:t xml:space="preserve">Versión del modelo tras cada ciclo de calibración (6 ciclos)</w:t>
            </w:r>
          </w:p>
        </w:tc>
        <w:tc>
          <w:tcPr/>
          <w:p>
            <w:pPr>
              <w:pStyle w:val="Tabla9"/>
              <w:jc w:val="left"/>
            </w:pPr>
            <w:r>
              <w:t xml:space="preserve">Registro de versiones del modelo</w:t>
            </w:r>
          </w:p>
        </w:tc>
        <w:tc>
          <w:tcPr/>
          <w:p>
            <w:pPr>
              <w:pStyle w:val="Tabla9"/>
              <w:jc w:val="left"/>
            </w:pPr>
            <w:r>
              <w:t xml:space="preserve">E04, E06, E12 y S10</w:t>
            </w:r>
          </w:p>
        </w:tc>
      </w:tr>
      <w:tr>
        <w:trPr>
          <w:cantSplit/>
        </w:trPr>
        <w:tc>
          <w:tcPr/>
          <w:p>
            <w:pPr>
              <w:pStyle w:val="Tabla9"/>
              <w:jc w:val="left"/>
            </w:pPr>
            <w:r>
              <w:t xml:space="preserve">Gemelo digital y datos</w:t>
            </w:r>
          </w:p>
        </w:tc>
        <w:tc>
          <w:tcPr/>
          <w:p>
            <w:pPr>
              <w:pStyle w:val="Tabla9"/>
              <w:jc w:val="left"/>
            </w:pPr>
            <w:r>
              <w:t xml:space="preserve">Instancias en la nube, repositorios y copias de seguridad</w:t>
            </w:r>
          </w:p>
        </w:tc>
        <w:tc>
          <w:tcPr/>
          <w:p>
            <w:pPr>
              <w:pStyle w:val="Tabla9"/>
              <w:jc w:val="left"/>
            </w:pPr>
            <w:r>
              <w:t xml:space="preserve">Reentrenamiento con nuevos pares nodo-referencia</w:t>
            </w:r>
          </w:p>
        </w:tc>
        <w:tc>
          <w:tcPr/>
          <w:p>
            <w:pPr>
              <w:pStyle w:val="Tabla9"/>
              <w:jc w:val="left"/>
            </w:pPr>
            <w:r>
              <w:t xml:space="preserve">Diccionario de datos y definición del gemelo</w:t>
            </w:r>
          </w:p>
        </w:tc>
        <w:tc>
          <w:tcPr/>
          <w:p>
            <w:pPr>
              <w:pStyle w:val="Tabla9"/>
              <w:jc w:val="left"/>
            </w:pPr>
            <w:r>
              <w:t xml:space="preserve">E10, E11 y S03</w:t>
            </w:r>
          </w:p>
        </w:tc>
      </w:tr>
      <w:tr>
        <w:trPr>
          <w:cantSplit/>
        </w:trPr>
        <w:tc>
          <w:tcPr/>
          <w:p>
            <w:pPr>
              <w:pStyle w:val="Tabla9"/>
              <w:jc w:val="left"/>
            </w:pPr>
            <w:r>
              <w:t xml:space="preserve">Tablero y alertas</w:t>
            </w:r>
          </w:p>
        </w:tc>
        <w:tc>
          <w:tcPr/>
          <w:p>
            <w:pPr>
              <w:pStyle w:val="Tabla9"/>
              <w:jc w:val="left"/>
            </w:pPr>
            <w:r>
              <w:t xml:space="preserve">Mantenimiento correctivo del tablero y del servicio de alertas</w:t>
            </w:r>
          </w:p>
        </w:tc>
        <w:tc>
          <w:tcPr/>
          <w:p>
            <w:pPr>
              <w:pStyle w:val="Tabla9"/>
              <w:jc w:val="left"/>
            </w:pPr>
            <w:r>
              <w:t xml:space="preserve">Revisión de la fórmula local y de los umbrales con la autoridad de salud</w:t>
            </w:r>
          </w:p>
        </w:tc>
        <w:tc>
          <w:tcPr/>
          <w:p>
            <w:pPr>
              <w:pStyle w:val="Tabla9"/>
              <w:jc w:val="left"/>
            </w:pPr>
            <w:r>
              <w:t xml:space="preserve">Manual del tablero y protocolo de alerta</w:t>
            </w:r>
          </w:p>
        </w:tc>
        <w:tc>
          <w:tcPr/>
          <w:p>
            <w:pPr>
              <w:pStyle w:val="Tabla9"/>
              <w:jc w:val="left"/>
            </w:pPr>
            <w:r>
              <w:t xml:space="preserve">M04 y WP3</w:t>
            </w:r>
          </w:p>
        </w:tc>
      </w:tr>
      <w:tr>
        <w:trPr>
          <w:cantSplit/>
        </w:trPr>
        <w:tc>
          <w:tcPr/>
          <w:p>
            <w:pPr>
              <w:pStyle w:val="Tabla9"/>
              <w:jc w:val="left"/>
            </w:pPr>
            <w:r>
              <w:t xml:space="preserve">Protocolo de calibración y sorteo</w:t>
            </w:r>
          </w:p>
        </w:tc>
        <w:tc>
          <w:tcPr/>
          <w:p>
            <w:pPr>
              <w:pStyle w:val="Tabla9"/>
              <w:jc w:val="left"/>
            </w:pPr>
            <w:r>
              <w:t xml:space="preserve">Rotaciones de colocalización con la referencia (4 por departamento)</w:t>
            </w:r>
          </w:p>
        </w:tc>
        <w:tc>
          <w:tcPr/>
          <w:p>
            <w:pPr>
              <w:pStyle w:val="Tabla9"/>
              <w:jc w:val="left"/>
            </w:pPr>
            <w:r>
              <w:t xml:space="preserve">Ajuste del protocolo ante cambios de sensor</w:t>
            </w:r>
          </w:p>
        </w:tc>
        <w:tc>
          <w:tcPr/>
          <w:p>
            <w:pPr>
              <w:pStyle w:val="Tabla9"/>
              <w:jc w:val="left"/>
            </w:pPr>
            <w:r>
              <w:t xml:space="preserve">Protocolo escrito y bitácora de la referencia</w:t>
            </w:r>
          </w:p>
        </w:tc>
        <w:tc>
          <w:tcPr/>
          <w:p>
            <w:pPr>
              <w:pStyle w:val="Tabla9"/>
              <w:jc w:val="left"/>
            </w:pPr>
            <w:r>
              <w:t xml:space="preserve">E03, E07, S01 y M01</w:t>
            </w:r>
          </w:p>
        </w:tc>
      </w:tr>
      <w:tr>
        <w:trPr>
          <w:cantSplit/>
        </w:trPr>
        <w:tc>
          <w:tcPr/>
          <w:p>
            <w:pPr>
              <w:pStyle w:val="Tabla9"/>
              <w:jc w:val="left"/>
            </w:pPr>
            <w:r>
              <w:t xml:space="preserve">Modelos y código</w:t>
            </w:r>
          </w:p>
        </w:tc>
        <w:tc>
          <w:tcPr/>
          <w:p>
            <w:pPr>
              <w:pStyle w:val="Tabla9"/>
              <w:jc w:val="left"/>
            </w:pPr>
            <w:r>
              <w:t xml:space="preserve">Gestión de versiones y de licencias</w:t>
            </w:r>
          </w:p>
        </w:tc>
        <w:tc>
          <w:tcPr/>
          <w:p>
            <w:pPr>
              <w:pStyle w:val="Tabla9"/>
              <w:jc w:val="left"/>
            </w:pPr>
            <w:r>
              <w:t xml:space="preserve">Consulta periódica de libertad de operación</w:t>
            </w:r>
          </w:p>
        </w:tc>
        <w:tc>
          <w:tcPr/>
          <w:p>
            <w:pPr>
              <w:pStyle w:val="Tabla9"/>
              <w:jc w:val="left"/>
            </w:pPr>
            <w:r>
              <w:t xml:space="preserve">Código, manual y licencia</w:t>
            </w:r>
          </w:p>
        </w:tc>
        <w:tc>
          <w:tcPr/>
          <w:p>
            <w:pPr>
              <w:pStyle w:val="Tabla9"/>
              <w:jc w:val="left"/>
            </w:pPr>
            <w:r>
              <w:t xml:space="preserve">O03 y S02</w:t>
            </w:r>
          </w:p>
        </w:tc>
      </w:tr>
    </w:tbl>
    <w:p>
      <w:pPr>
        <w:pStyle w:val="TablaNota"/>
      </w:pPr>
      <w:r>
        <w:rPr>
          <w:i/>
          <w:iCs/>
        </w:rPr>
        <w:t xml:space="preserve">Nota.</w:t>
      </w:r>
      <w:r>
        <w:t xml:space="preserve"> </w:t>
      </w:r>
      <w:r>
        <w:t xml:space="preserve">Elaboración propia con la ficha maestra (líneas de presupuesto y indicadores PERS-R02 y PERS-R05). Naturaleza: PROPUESTO. Las frecuencias de mantenimiento posteriores al cierre son VACIO y se fijan en el manual de operación.</w:t>
      </w:r>
    </w:p>
    <w:p>
      <w:pPr>
        <w:pStyle w:val="BodyText"/>
      </w:pPr>
      <w:r>
        <w:t xml:space="preserve">La Tabla 14.2 asigna a cada componente una partida del presupuesto vigente y un producto de documentación verificable. Solo los ciclos de calibración y las rotaciones cuentan con cantidad en la ficha de indicadores. Las demás frecuencias quedan como VACIO hasta que el manual de operación las fije con base en la experiencia del piloto. Esa decisión evita comprometer una frecuencia sin evidencia de campo.</w:t>
      </w:r>
    </w:p>
    <w:bookmarkEnd w:id="608"/>
    <w:bookmarkStart w:id="612" w:name="_Toc00900240"/>
    <w:p>
      <w:pPr>
        <w:pStyle w:val="Heading2"/>
      </w:pPr>
      <w:r>
        <w:t xml:space="preserve">14.2 Sostenibilidad financiera</w:t>
      </w:r>
    </w:p>
    <w:p>
      <w:pPr>
        <w:pStyle w:val="FirstParagraph"/>
      </w:pPr>
      <w:r>
        <w:t xml:space="preserve">La sostenibilidad financiera se evalúa con el costo total de sostenimiento (CTS) anual. La fórmula suma operación, personal, licencias, mantenimiento, reposición y gobernanza. La reposición anual equivale al costo del activo dividido entre su vida útil. El expediente E3 declara tres de los seis rubros en su Tabla 14.2. Faltan licencias, reposición y gobernanza. Por tanto, el CTS anual es NO_CALCULABLE. Solo existe una cota inferior declarada. Vale 190,00, 208,25 y 226,91 millones de COP en los años 1, 2 y 3 posteriores al proyecto (CALCULADO sobre cifras PROPUESTAS; NO_VERIFICADO). Esa cota no incluye ahorro ni inversión inicial. El nivel mínimo de servicio comprende nodos de referencia verificados, un tablero con umbrales vigentes, conservación y publicación de datos y mantenimiento correctivo. Su costo anual también es NO_CALCULABLE, porque ningún rubro está desagregado por componente.</w:t>
      </w:r>
    </w:p>
    <w:p>
      <w:pPr>
        <w:pStyle w:val="BodyText"/>
      </w:pPr>
      <w:r>
        <w:t xml:space="preserve">Dos posiciones se disputan el modelo financiero posterior al proyecto. La primera sostiene que la gestión del riesgo es una función pública y que su costo recurrente corresponde al presupuesto de las entidades territoriales. La Ley 1523 de 2012 atribuye competencias de gestión del riesgo a esas entidades (Congreso de la República, 2012a), dato CANDIDATO_A_VERIFICAR. La segunda posición sostiene que el servicio necesita un portafolio de aportes de varios actores. La estabilidad de la financiación figura entre las condiciones que explican la continuidad de un programa (Shediac-Rizkallah y Bone, 1998). El proyecto adopta la segunda posición para el costo recurrente y conserva la primera para la competencia legal sobre la alerta. Esa combinación coincide con la síntesis de la sección 4.4-MDR.9.</w:t>
      </w:r>
    </w:p>
    <w:p>
      <w:pPr>
        <w:pStyle w:val="BodyText"/>
      </w:pPr>
      <w:r>
        <w:t xml:space="preserve">La referencia de escala de una red sostenida existe en Colombia. El Sistema de Alerta Temprana de Medellín y el Valle de Aburrá (SIATA) opera 65 equipos acreditados y 450 sensores de bajo costo. Su inversión es de 1,63 dólares por habitante y año (Ruiz-Carrascal et al., 2026, pp. 3 y 8). Su trayectoria supera los 20 años según el título de la fuente. Esa red muestra que la continuidad es posible con una institución estable y un presupuesto recurrente. No es un modelo transferible sin más. La red de este proyecto opera en sitios de remoción temporales y sin una institución con presupuesto permanente comprometido. El proyecto toma la cifra solo como orden de magnitud del esfuerzo recurrente que una red sostenida requiere.</w:t>
      </w:r>
    </w:p>
    <w:p>
      <w:pPr>
        <w:pStyle w:val="BodyText"/>
      </w:pPr>
      <w:r>
        <w:t xml:space="preserve">La Tabla 14.3 presenta la proyección financiera posterior al proyecto con las cifras que E3 declara en su Tabla 14.2. Las cifras se reutilizan sin cambio y se rotulan CALCULADO sobre cifras NO_VERIFICADO. La tabla no incluye ingresos, porque ninguno cuenta con fuente.</w:t>
      </w:r>
    </w:p>
    <w:p>
      <w:pPr>
        <w:pStyle w:val="TablaRotulo"/>
      </w:pPr>
      <w:bookmarkStart w:id="9363" w:name="rot_Tabla_14_3"/>
      <w:r>
        <w:rPr>
          <w:b/>
          <w:bCs/>
        </w:rPr>
        <w:t xml:space="preserve">Tabla 14.3</w:t>
      </w:r>
      <w:bookmarkEnd w:id="9363"/>
    </w:p>
    <w:p>
      <w:pPr>
        <w:pStyle w:val="TablaTitulo"/>
      </w:pPr>
      <w:r>
        <w:rPr>
          <w:i/>
          <w:iCs/>
        </w:rPr>
        <w:t xml:space="preserve">Proyección financiera posproyecto: costo parcial declarado, concentración y ausencia de ingresos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90"/>
        <w:gridCol w:w="1320"/>
        <w:gridCol w:w="990"/>
        <w:gridCol w:w="1320"/>
        <w:gridCol w:w="990"/>
        <w:gridCol w:w="1320"/>
        <w:gridCol w:w="990"/>
      </w:tblGrid>
      <w:tr>
        <w:trPr>
          <w:cantSplit/>
          <w:tblHeader/>
        </w:trPr>
        <w:tc>
          <w:tcPr>
            <w:shd w:val="clear" w:color="auto" w:fill="00B050"/>
          </w:tcPr>
          <w:p>
            <w:pPr>
              <w:pStyle w:val="Tabla8"/>
              <w:jc w:val="center"/>
            </w:pPr>
            <w:r>
              <w:rPr>
                <w:b/>
                <w:color w:val="FFFFFF"/>
              </w:rPr>
              <w:t xml:space="preserve">Fuente declarada</w:t>
            </w:r>
          </w:p>
        </w:tc>
        <w:tc>
          <w:tcPr>
            <w:shd w:val="clear" w:color="auto" w:fill="00B050"/>
          </w:tcPr>
          <w:p>
            <w:pPr>
              <w:pStyle w:val="Tabla8"/>
              <w:jc w:val="center"/>
            </w:pPr>
            <w:r>
              <w:rPr>
                <w:b/>
                <w:color w:val="FFFFFF"/>
              </w:rPr>
              <w:t xml:space="preserve">Año 1</w:t>
            </w:r>
          </w:p>
        </w:tc>
        <w:tc>
          <w:tcPr>
            <w:shd w:val="clear" w:color="auto" w:fill="00B050"/>
          </w:tcPr>
          <w:p>
            <w:pPr>
              <w:pStyle w:val="Tabla8"/>
              <w:jc w:val="center"/>
            </w:pPr>
            <w:r>
              <w:rPr>
                <w:b/>
                <w:color w:val="FFFFFF"/>
              </w:rPr>
              <w:t xml:space="preserve">Participación año 1</w:t>
            </w:r>
          </w:p>
        </w:tc>
        <w:tc>
          <w:tcPr>
            <w:shd w:val="clear" w:color="auto" w:fill="00B050"/>
          </w:tcPr>
          <w:p>
            <w:pPr>
              <w:pStyle w:val="Tabla8"/>
              <w:jc w:val="center"/>
            </w:pPr>
            <w:r>
              <w:rPr>
                <w:b/>
                <w:color w:val="FFFFFF"/>
              </w:rPr>
              <w:t xml:space="preserve">Año 2</w:t>
            </w:r>
          </w:p>
        </w:tc>
        <w:tc>
          <w:tcPr>
            <w:shd w:val="clear" w:color="auto" w:fill="00B050"/>
          </w:tcPr>
          <w:p>
            <w:pPr>
              <w:pStyle w:val="Tabla8"/>
              <w:jc w:val="center"/>
            </w:pPr>
            <w:r>
              <w:rPr>
                <w:b/>
                <w:color w:val="FFFFFF"/>
              </w:rPr>
              <w:t xml:space="preserve">Participación año 2</w:t>
            </w:r>
          </w:p>
        </w:tc>
        <w:tc>
          <w:tcPr>
            <w:shd w:val="clear" w:color="auto" w:fill="00B050"/>
          </w:tcPr>
          <w:p>
            <w:pPr>
              <w:pStyle w:val="Tabla8"/>
              <w:jc w:val="center"/>
            </w:pPr>
            <w:r>
              <w:rPr>
                <w:b/>
                <w:color w:val="FFFFFF"/>
              </w:rPr>
              <w:t xml:space="preserve">Año 3</w:t>
            </w:r>
          </w:p>
        </w:tc>
        <w:tc>
          <w:tcPr>
            <w:shd w:val="clear" w:color="auto" w:fill="00B050"/>
          </w:tcPr>
          <w:p>
            <w:pPr>
              <w:pStyle w:val="Tabla8"/>
              <w:jc w:val="center"/>
            </w:pPr>
            <w:r>
              <w:rPr>
                <w:b/>
                <w:color w:val="FFFFFF"/>
              </w:rPr>
              <w:t xml:space="preserve">Participación año 3</w:t>
            </w:r>
          </w:p>
        </w:tc>
      </w:tr>
      <w:tr>
        <w:trPr>
          <w:cantSplit/>
        </w:trPr>
        <w:tc>
          <w:tcPr/>
          <w:p>
            <w:pPr>
              <w:pStyle w:val="Tabla8"/>
              <w:jc w:val="left"/>
            </w:pPr>
            <w:r>
              <w:t xml:space="preserve">Secretarías TIC municipales (operación de nube e IoT)</w:t>
            </w:r>
          </w:p>
        </w:tc>
        <w:tc>
          <w:tcPr/>
          <w:p>
            <w:pPr>
              <w:pStyle w:val="Tabla8"/>
              <w:jc w:val="left"/>
            </w:pPr>
            <w:r>
              <w:t xml:space="preserve">45,00</w:t>
            </w:r>
          </w:p>
        </w:tc>
        <w:tc>
          <w:tcPr/>
          <w:p>
            <w:pPr>
              <w:pStyle w:val="Tabla8"/>
              <w:jc w:val="left"/>
            </w:pPr>
            <w:r>
              <w:t xml:space="preserve">23,7 %</w:t>
            </w:r>
          </w:p>
        </w:tc>
        <w:tc>
          <w:tcPr/>
          <w:p>
            <w:pPr>
              <w:pStyle w:val="Tabla8"/>
              <w:jc w:val="left"/>
            </w:pPr>
            <w:r>
              <w:t xml:space="preserve">47,25</w:t>
            </w:r>
          </w:p>
        </w:tc>
        <w:tc>
          <w:tcPr/>
          <w:p>
            <w:pPr>
              <w:pStyle w:val="Tabla8"/>
              <w:jc w:val="left"/>
            </w:pPr>
            <w:r>
              <w:t xml:space="preserve">22,7 %</w:t>
            </w:r>
          </w:p>
        </w:tc>
        <w:tc>
          <w:tcPr/>
          <w:p>
            <w:pPr>
              <w:pStyle w:val="Tabla8"/>
              <w:jc w:val="left"/>
            </w:pPr>
            <w:r>
              <w:t xml:space="preserve">49,61</w:t>
            </w:r>
          </w:p>
        </w:tc>
        <w:tc>
          <w:tcPr/>
          <w:p>
            <w:pPr>
              <w:pStyle w:val="Tabla8"/>
              <w:jc w:val="left"/>
            </w:pPr>
            <w:r>
              <w:t xml:space="preserve">21,9 %</w:t>
            </w:r>
          </w:p>
        </w:tc>
      </w:tr>
      <w:tr>
        <w:trPr>
          <w:cantSplit/>
        </w:trPr>
        <w:tc>
          <w:tcPr/>
          <w:p>
            <w:pPr>
              <w:pStyle w:val="Tabla8"/>
              <w:jc w:val="left"/>
            </w:pPr>
            <w:r>
              <w:t xml:space="preserve">Convenio de ARL y corporación autónoma (mantenimiento y repuestos)</w:t>
            </w:r>
          </w:p>
        </w:tc>
        <w:tc>
          <w:tcPr/>
          <w:p>
            <w:pPr>
              <w:pStyle w:val="Tabla8"/>
              <w:jc w:val="left"/>
            </w:pPr>
            <w:r>
              <w:t xml:space="preserve">25,00</w:t>
            </w:r>
          </w:p>
        </w:tc>
        <w:tc>
          <w:tcPr/>
          <w:p>
            <w:pPr>
              <w:pStyle w:val="Tabla8"/>
              <w:jc w:val="left"/>
            </w:pPr>
            <w:r>
              <w:t xml:space="preserve">13,2 %</w:t>
            </w:r>
          </w:p>
        </w:tc>
        <w:tc>
          <w:tcPr/>
          <w:p>
            <w:pPr>
              <w:pStyle w:val="Tabla8"/>
              <w:jc w:val="left"/>
            </w:pPr>
            <w:r>
              <w:t xml:space="preserve">35,00</w:t>
            </w:r>
          </w:p>
        </w:tc>
        <w:tc>
          <w:tcPr/>
          <w:p>
            <w:pPr>
              <w:pStyle w:val="Tabla8"/>
              <w:jc w:val="left"/>
            </w:pPr>
            <w:r>
              <w:t xml:space="preserve">16,8 %</w:t>
            </w:r>
          </w:p>
        </w:tc>
        <w:tc>
          <w:tcPr/>
          <w:p>
            <w:pPr>
              <w:pStyle w:val="Tabla8"/>
              <w:jc w:val="left"/>
            </w:pPr>
            <w:r>
              <w:t xml:space="preserve">45,00</w:t>
            </w:r>
          </w:p>
        </w:tc>
        <w:tc>
          <w:tcPr/>
          <w:p>
            <w:pPr>
              <w:pStyle w:val="Tabla8"/>
              <w:jc w:val="left"/>
            </w:pPr>
            <w:r>
              <w:t xml:space="preserve">19,8 %</w:t>
            </w:r>
          </w:p>
        </w:tc>
      </w:tr>
      <w:tr>
        <w:trPr>
          <w:cantSplit/>
        </w:trPr>
        <w:tc>
          <w:tcPr/>
          <w:p>
            <w:pPr>
              <w:pStyle w:val="Tabla8"/>
              <w:jc w:val="left"/>
            </w:pPr>
            <w:r>
              <w:t xml:space="preserve">IES regional y UNGRD en especie (personal técnico y soporte)</w:t>
            </w:r>
          </w:p>
        </w:tc>
        <w:tc>
          <w:tcPr/>
          <w:p>
            <w:pPr>
              <w:pStyle w:val="Tabla8"/>
              <w:jc w:val="left"/>
            </w:pPr>
            <w:r>
              <w:t xml:space="preserve">120,00</w:t>
            </w:r>
          </w:p>
        </w:tc>
        <w:tc>
          <w:tcPr/>
          <w:p>
            <w:pPr>
              <w:pStyle w:val="Tabla8"/>
              <w:jc w:val="left"/>
            </w:pPr>
            <w:r>
              <w:t xml:space="preserve">63,2 %</w:t>
            </w:r>
          </w:p>
        </w:tc>
        <w:tc>
          <w:tcPr/>
          <w:p>
            <w:pPr>
              <w:pStyle w:val="Tabla8"/>
              <w:jc w:val="left"/>
            </w:pPr>
            <w:r>
              <w:t xml:space="preserve">126,00</w:t>
            </w:r>
          </w:p>
        </w:tc>
        <w:tc>
          <w:tcPr/>
          <w:p>
            <w:pPr>
              <w:pStyle w:val="Tabla8"/>
              <w:jc w:val="left"/>
            </w:pPr>
            <w:r>
              <w:t xml:space="preserve">60,5 %</w:t>
            </w:r>
          </w:p>
        </w:tc>
        <w:tc>
          <w:tcPr/>
          <w:p>
            <w:pPr>
              <w:pStyle w:val="Tabla8"/>
              <w:jc w:val="left"/>
            </w:pPr>
            <w:r>
              <w:t xml:space="preserve">132,30</w:t>
            </w:r>
          </w:p>
        </w:tc>
        <w:tc>
          <w:tcPr/>
          <w:p>
            <w:pPr>
              <w:pStyle w:val="Tabla8"/>
              <w:jc w:val="left"/>
            </w:pPr>
            <w:r>
              <w:t xml:space="preserve">58,3 %</w:t>
            </w:r>
          </w:p>
        </w:tc>
      </w:tr>
      <w:tr>
        <w:trPr>
          <w:cantSplit/>
        </w:trPr>
        <w:tc>
          <w:tcPr/>
          <w:p>
            <w:pPr>
              <w:pStyle w:val="Tabla8"/>
              <w:jc w:val="left"/>
            </w:pPr>
            <w:r>
              <w:t xml:space="preserve">Total declarado (costo parcial, cota inferior)</w:t>
            </w:r>
          </w:p>
        </w:tc>
        <w:tc>
          <w:tcPr/>
          <w:p>
            <w:pPr>
              <w:pStyle w:val="Tabla8"/>
              <w:jc w:val="left"/>
            </w:pPr>
            <w:r>
              <w:t xml:space="preserve">190,00</w:t>
            </w:r>
          </w:p>
        </w:tc>
        <w:tc>
          <w:tcPr/>
          <w:p>
            <w:pPr>
              <w:pStyle w:val="Tabla8"/>
              <w:jc w:val="left"/>
            </w:pPr>
            <w:r>
              <w:t xml:space="preserve">100,0 %</w:t>
            </w:r>
          </w:p>
        </w:tc>
        <w:tc>
          <w:tcPr/>
          <w:p>
            <w:pPr>
              <w:pStyle w:val="Tabla8"/>
              <w:jc w:val="left"/>
            </w:pPr>
            <w:r>
              <w:t xml:space="preserve">208,25</w:t>
            </w:r>
          </w:p>
        </w:tc>
        <w:tc>
          <w:tcPr/>
          <w:p>
            <w:pPr>
              <w:pStyle w:val="Tabla8"/>
              <w:jc w:val="left"/>
            </w:pPr>
            <w:r>
              <w:t xml:space="preserve">100,0 %</w:t>
            </w:r>
          </w:p>
        </w:tc>
        <w:tc>
          <w:tcPr/>
          <w:p>
            <w:pPr>
              <w:pStyle w:val="Tabla8"/>
              <w:jc w:val="left"/>
            </w:pPr>
            <w:r>
              <w:t xml:space="preserve">226,91</w:t>
            </w:r>
          </w:p>
        </w:tc>
        <w:tc>
          <w:tcPr/>
          <w:p>
            <w:pPr>
              <w:pStyle w:val="Tabla8"/>
              <w:jc w:val="left"/>
            </w:pPr>
            <w:r>
              <w:t xml:space="preserve">100,0 %</w:t>
            </w:r>
          </w:p>
        </w:tc>
      </w:tr>
      <w:tr>
        <w:trPr>
          <w:cantSplit/>
        </w:trPr>
        <w:tc>
          <w:tcPr/>
          <w:p>
            <w:pPr>
              <w:pStyle w:val="Tabla8"/>
              <w:jc w:val="left"/>
            </w:pPr>
            <w:r>
              <w:t xml:space="preserve">Participación máxima</w:t>
            </w:r>
          </w:p>
        </w:tc>
        <w:tc>
          <w:tcPr/>
          <w:p>
            <w:pPr>
              <w:pStyle w:val="Tabla8"/>
              <w:jc w:val="left"/>
            </w:pPr>
            <w:r>
              <w:t xml:space="preserve">—</w:t>
            </w:r>
          </w:p>
        </w:tc>
        <w:tc>
          <w:tcPr/>
          <w:p>
            <w:pPr>
              <w:pStyle w:val="Tabla8"/>
              <w:jc w:val="left"/>
            </w:pPr>
            <w:r>
              <w:t xml:space="preserve">63,2 %</w:t>
            </w:r>
          </w:p>
        </w:tc>
        <w:tc>
          <w:tcPr/>
          <w:p>
            <w:pPr>
              <w:pStyle w:val="Tabla8"/>
              <w:jc w:val="left"/>
            </w:pPr>
            <w:r>
              <w:t xml:space="preserve">—</w:t>
            </w:r>
          </w:p>
        </w:tc>
        <w:tc>
          <w:tcPr/>
          <w:p>
            <w:pPr>
              <w:pStyle w:val="Tabla8"/>
              <w:jc w:val="left"/>
            </w:pPr>
            <w:r>
              <w:t xml:space="preserve">60,5 %</w:t>
            </w:r>
          </w:p>
        </w:tc>
        <w:tc>
          <w:tcPr/>
          <w:p>
            <w:pPr>
              <w:pStyle w:val="Tabla8"/>
              <w:jc w:val="left"/>
            </w:pPr>
            <w:r>
              <w:t xml:space="preserve">—</w:t>
            </w:r>
          </w:p>
        </w:tc>
        <w:tc>
          <w:tcPr/>
          <w:p>
            <w:pPr>
              <w:pStyle w:val="Tabla8"/>
              <w:jc w:val="left"/>
            </w:pPr>
            <w:r>
              <w:t xml:space="preserve">58,3 %</w:t>
            </w:r>
          </w:p>
        </w:tc>
      </w:tr>
      <w:tr>
        <w:trPr>
          <w:cantSplit/>
        </w:trPr>
        <w:tc>
          <w:tcPr/>
          <w:p>
            <w:pPr>
              <w:pStyle w:val="Tabla8"/>
              <w:jc w:val="left"/>
            </w:pPr>
            <w:r>
              <w:t xml:space="preserve">Índice HHI</w:t>
            </w:r>
          </w:p>
        </w:tc>
        <w:tc>
          <w:tcPr/>
          <w:p>
            <w:pPr>
              <w:pStyle w:val="Tabla8"/>
              <w:jc w:val="left"/>
            </w:pPr>
            <w:r>
              <w:t xml:space="preserve">—</w:t>
            </w:r>
          </w:p>
        </w:tc>
        <w:tc>
          <w:tcPr/>
          <w:p>
            <w:pPr>
              <w:pStyle w:val="Tabla8"/>
              <w:jc w:val="left"/>
            </w:pPr>
            <w:r>
              <w:t xml:space="preserve">0,472</w:t>
            </w:r>
          </w:p>
        </w:tc>
        <w:tc>
          <w:tcPr/>
          <w:p>
            <w:pPr>
              <w:pStyle w:val="Tabla8"/>
              <w:jc w:val="left"/>
            </w:pPr>
            <w:r>
              <w:t xml:space="preserve">—</w:t>
            </w:r>
          </w:p>
        </w:tc>
        <w:tc>
          <w:tcPr/>
          <w:p>
            <w:pPr>
              <w:pStyle w:val="Tabla8"/>
              <w:jc w:val="left"/>
            </w:pPr>
            <w:r>
              <w:t xml:space="preserve">0,446</w:t>
            </w:r>
          </w:p>
        </w:tc>
        <w:tc>
          <w:tcPr/>
          <w:p>
            <w:pPr>
              <w:pStyle w:val="Tabla8"/>
              <w:jc w:val="left"/>
            </w:pPr>
            <w:r>
              <w:t xml:space="preserve">—</w:t>
            </w:r>
          </w:p>
        </w:tc>
        <w:tc>
          <w:tcPr/>
          <w:p>
            <w:pPr>
              <w:pStyle w:val="Tabla8"/>
              <w:jc w:val="left"/>
            </w:pPr>
            <w:r>
              <w:t xml:space="preserve">0,427</w:t>
            </w:r>
          </w:p>
        </w:tc>
      </w:tr>
      <w:tr>
        <w:trPr>
          <w:cantSplit/>
        </w:trPr>
        <w:tc>
          <w:tcPr/>
          <w:p>
            <w:pPr>
              <w:pStyle w:val="Tabla8"/>
              <w:jc w:val="left"/>
            </w:pPr>
            <w:r>
              <w:t xml:space="preserve">Costo total de sostenimiento</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r>
      <w:tr>
        <w:trPr>
          <w:cantSplit/>
        </w:trPr>
        <w:tc>
          <w:tcPr/>
          <w:p>
            <w:pPr>
              <w:pStyle w:val="Tabla8"/>
              <w:jc w:val="left"/>
            </w:pPr>
            <w:r>
              <w:t xml:space="preserve">Ingresos propios del servicio</w:t>
            </w:r>
          </w:p>
        </w:tc>
        <w:tc>
          <w:tcPr/>
          <w:p>
            <w:pPr>
              <w:pStyle w:val="Tabla8"/>
              <w:jc w:val="left"/>
            </w:pPr>
            <w:r>
              <w:t xml:space="preserve">VACIO</w:t>
            </w:r>
          </w:p>
        </w:tc>
        <w:tc>
          <w:tcPr/>
          <w:p>
            <w:pPr>
              <w:pStyle w:val="Tabla8"/>
              <w:jc w:val="left"/>
            </w:pPr>
            <w:r>
              <w:t xml:space="preserve">—</w:t>
            </w:r>
          </w:p>
        </w:tc>
        <w:tc>
          <w:tcPr/>
          <w:p>
            <w:pPr>
              <w:pStyle w:val="Tabla8"/>
              <w:jc w:val="left"/>
            </w:pPr>
            <w:r>
              <w:t xml:space="preserve">VACIO</w:t>
            </w:r>
          </w:p>
        </w:tc>
        <w:tc>
          <w:tcPr/>
          <w:p>
            <w:pPr>
              <w:pStyle w:val="Tabla8"/>
              <w:jc w:val="left"/>
            </w:pPr>
            <w:r>
              <w:t xml:space="preserve">—</w:t>
            </w:r>
          </w:p>
        </w:tc>
        <w:tc>
          <w:tcPr/>
          <w:p>
            <w:pPr>
              <w:pStyle w:val="Tabla8"/>
              <w:jc w:val="left"/>
            </w:pPr>
            <w:r>
              <w:t xml:space="preserve">VACIO</w:t>
            </w:r>
          </w:p>
        </w:tc>
        <w:tc>
          <w:tcPr/>
          <w:p>
            <w:pPr>
              <w:pStyle w:val="Tabla8"/>
              <w:jc w:val="left"/>
            </w:pPr>
            <w:r>
              <w:t xml:space="preserve">—</w:t>
            </w:r>
          </w:p>
        </w:tc>
      </w:tr>
      <w:tr>
        <w:trPr>
          <w:cantSplit/>
        </w:trPr>
        <w:tc>
          <w:tcPr/>
          <w:p>
            <w:pPr>
              <w:pStyle w:val="Tabla8"/>
              <w:jc w:val="left"/>
            </w:pPr>
            <w:r>
              <w:t xml:space="preserve">Punto de equilibrio</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r>
    </w:tbl>
    <w:p>
      <w:pPr>
        <w:pStyle w:val="TablaNota"/>
      </w:pPr>
      <w:r>
        <w:rPr>
          <w:i/>
          <w:iCs/>
        </w:rPr>
        <w:t xml:space="preserve">Nota.</w:t>
      </w:r>
      <w:r>
        <w:t xml:space="preserve"> </w:t>
      </w:r>
      <w:r>
        <w:t xml:space="preserve">Elaboración propia con la sección 4.4-MDR.10 y la Tabla 14.2 del expediente E3 (millones de COP). Naturaleza: CALCULADO sobre cifras PROPUESTAS; verificación: NO_VERIFICADO. Los umbrales de concentración de 50 % y 0,40 son convenciones locales PROPUESTAS. IES: institución de educación superior. ARL: administradora de riesgos laborales. HHI: índice de Herfindahl-Hirschman. UNGRD: Unidad Nacional para la Gestión del Riesgo de Desastres. TIC: tecnologías de la información y las comunicaciones.</w:t>
      </w:r>
    </w:p>
    <w:p>
      <w:pPr>
        <w:pStyle w:val="BodyText"/>
      </w:pPr>
      <w:r>
        <w:t xml:space="preserve">La Tabla 14.3 permite leer tres resultados. El costo parcial crece de 190,00 a 226,91 millones de COP en tres años. La participación máxima supera 50 % en los tres años. El índice de Herfindahl-Hirschman (HHI), que suma los cuadrados de las participaciones, supera 0,40. Ambos valores incumplen las convenciones locales PROPUESTAS. La fuente concentrada es el personal técnico en especie. E3 lo asigna a la institución de educación superior (IES) y a la Unidad Nacional para la Gestión del Riesgo de Desastres (UNGRD). Ese aporte contradice la falta de recursos permanentes de la institución ejecutora que el mismo expediente declara (E3-P17).</w:t>
      </w:r>
    </w:p>
    <w:p>
      <w:pPr>
        <w:pStyle w:val="BodyText"/>
      </w:pPr>
      <w:r>
        <w:t xml:space="preserve">La prueba de orfandad mide cuánto soporta el portafolio si una fuente desaparece. Para cada fuente se compara la suma de las demás con el costo mínimo anual del servicio. Si la suma es menor, la fuente es CRITICA. El costo mínimo es NO_CALCULABLE, y por eso se calcula el umbral que vuelve crítica a cada fuente con las cifras del año 1. La Tabla 14.4 presenta esos umbrales.</w:t>
      </w:r>
    </w:p>
    <w:p>
      <w:pPr>
        <w:pStyle w:val="TablaRotulo"/>
      </w:pPr>
      <w:bookmarkStart w:id="9364" w:name="rot_Tabla_14_4"/>
      <w:r>
        <w:rPr>
          <w:b/>
          <w:bCs/>
        </w:rPr>
        <w:t xml:space="preserve">Tabla 14.4</w:t>
      </w:r>
      <w:bookmarkEnd w:id="9364"/>
    </w:p>
    <w:p>
      <w:pPr>
        <w:pStyle w:val="TablaTitulo"/>
      </w:pPr>
      <w:r>
        <w:rPr>
          <w:i/>
          <w:iCs/>
        </w:rPr>
        <w:t xml:space="preserve">Prueba de orfandad del portafolio declarado en el año 1</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06"/>
        <w:gridCol w:w="2442"/>
        <w:gridCol w:w="2772"/>
      </w:tblGrid>
      <w:tr>
        <w:trPr>
          <w:cantSplit/>
          <w:tblHeader/>
        </w:trPr>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Suma de las demás fuentes, año 1 (millones de COP)</w:t>
            </w:r>
          </w:p>
        </w:tc>
        <w:tc>
          <w:tcPr>
            <w:shd w:val="clear" w:color="auto" w:fill="00B050"/>
          </w:tcPr>
          <w:p>
            <w:pPr>
              <w:pStyle w:val="Tabla9"/>
              <w:jc w:val="center"/>
            </w:pPr>
            <w:r>
              <w:rPr>
                <w:b/>
                <w:color w:val="FFFFFF"/>
              </w:rPr>
              <w:t xml:space="preserve">Condición para que la fuente sea CRITICA</w:t>
            </w:r>
          </w:p>
        </w:tc>
      </w:tr>
      <w:tr>
        <w:trPr>
          <w:cantSplit/>
        </w:trPr>
        <w:tc>
          <w:tcPr/>
          <w:p>
            <w:pPr>
              <w:pStyle w:val="Tabla9"/>
              <w:jc w:val="left"/>
            </w:pPr>
            <w:r>
              <w:t xml:space="preserve">IES regional y UNGRD en especie</w:t>
            </w:r>
          </w:p>
        </w:tc>
        <w:tc>
          <w:tcPr/>
          <w:p>
            <w:pPr>
              <w:pStyle w:val="Tabla9"/>
              <w:jc w:val="left"/>
            </w:pPr>
            <w:r>
              <w:t xml:space="preserve">70</w:t>
            </w:r>
          </w:p>
        </w:tc>
        <w:tc>
          <w:tcPr/>
          <w:p>
            <w:pPr>
              <w:pStyle w:val="Tabla9"/>
              <w:jc w:val="left"/>
            </w:pPr>
            <w:r>
              <w:t xml:space="preserve">Costo mínimo anual mayor que 70</w:t>
            </w:r>
          </w:p>
        </w:tc>
      </w:tr>
      <w:tr>
        <w:trPr>
          <w:cantSplit/>
        </w:trPr>
        <w:tc>
          <w:tcPr/>
          <w:p>
            <w:pPr>
              <w:pStyle w:val="Tabla9"/>
              <w:jc w:val="left"/>
            </w:pPr>
            <w:r>
              <w:t xml:space="preserve">Secretarías TIC municipales</w:t>
            </w:r>
          </w:p>
        </w:tc>
        <w:tc>
          <w:tcPr/>
          <w:p>
            <w:pPr>
              <w:pStyle w:val="Tabla9"/>
              <w:jc w:val="left"/>
            </w:pPr>
            <w:r>
              <w:t xml:space="preserve">145</w:t>
            </w:r>
          </w:p>
        </w:tc>
        <w:tc>
          <w:tcPr/>
          <w:p>
            <w:pPr>
              <w:pStyle w:val="Tabla9"/>
              <w:jc w:val="left"/>
            </w:pPr>
            <w:r>
              <w:t xml:space="preserve">Costo mínimo anual mayor que 145</w:t>
            </w:r>
          </w:p>
        </w:tc>
      </w:tr>
      <w:tr>
        <w:trPr>
          <w:cantSplit/>
        </w:trPr>
        <w:tc>
          <w:tcPr/>
          <w:p>
            <w:pPr>
              <w:pStyle w:val="Tabla9"/>
              <w:jc w:val="left"/>
            </w:pPr>
            <w:r>
              <w:t xml:space="preserve">Convenio de ARL y corporación autónoma</w:t>
            </w:r>
          </w:p>
        </w:tc>
        <w:tc>
          <w:tcPr/>
          <w:p>
            <w:pPr>
              <w:pStyle w:val="Tabla9"/>
              <w:jc w:val="left"/>
            </w:pPr>
            <w:r>
              <w:t xml:space="preserve">165</w:t>
            </w:r>
          </w:p>
        </w:tc>
        <w:tc>
          <w:tcPr/>
          <w:p>
            <w:pPr>
              <w:pStyle w:val="Tabla9"/>
              <w:jc w:val="left"/>
            </w:pPr>
            <w:r>
              <w:t xml:space="preserve">Costo mínimo anual mayor que 165</w:t>
            </w:r>
          </w:p>
        </w:tc>
      </w:tr>
    </w:tbl>
    <w:p>
      <w:pPr>
        <w:pStyle w:val="TablaNota"/>
      </w:pPr>
      <w:r>
        <w:rPr>
          <w:i/>
          <w:iCs/>
        </w:rPr>
        <w:t xml:space="preserve">Nota.</w:t>
      </w:r>
      <w:r>
        <w:t xml:space="preserve"> </w:t>
      </w:r>
      <w:r>
        <w:t xml:space="preserve">Elaboración propia con la sección 4.4-MDR.10 (millones de COP). Naturaleza: CALCULADO sobre cifras NO_VERIFICADO. El costo mínimo anual del servicio es NO_CALCULABLE.</w:t>
      </w:r>
    </w:p>
    <w:p>
      <w:pPr>
        <w:pStyle w:val="BodyText"/>
      </w:pPr>
      <w:r>
        <w:t xml:space="preserve">La Tabla 14.4 arroja una consecuencia directa. La fuente en especie resulta CRITICA con cualquier nivel mínimo de servicio que cueste más de 70 millones de COP al año. El soporte técnico declarado cuesta 120 millones. Si el nivel mínimo incluye ese soporte, la prueba invalida el portafolio declarado y reabre la asignación de custodia. Además, esa fuente incluye a una entidad pública, la UNGRD, lo que contradice la premisa PD-0. La conclusión es condicional al costo mínimo, que falta. La acción que la resuelve es cotizar cada componente y fijar la vida útil de cada activo.</w:t>
      </w:r>
    </w:p>
    <w:p>
      <w:pPr>
        <w:pStyle w:val="BodyText"/>
      </w:pPr>
      <w:r>
        <w:t xml:space="preserve">El fondo patrimonial es una vía descartada por falta de datos. El capital requerido sería K, igual al costo total cubierto dividido entre la rentabilidad real anual, como en toda renta perpetua (Boardman et al., 2018). K es NO_CALCULABLE, porque ni el CTS completo ni la rentabilidad real cuentan con fuente. El proyecto no propone constituir un fondo. Propone, en cambio, financiar con el SGR la preparación de la transferencia. Esa preparación usa partidas del presupuesto vigente. La partida S09 asigna 150 millones de COP a la formación y el soporte de custodios, en tres tramos de 50 millones. La partida P14 asigna 168 millones al profesional de convenios y custodia. El lote de repuestos M07 suma 60 millones y las instancias en la nube E10 suman 180 millones por 24 meses.</w:t>
      </w:r>
    </w:p>
    <w:p>
      <w:pPr>
        <w:pStyle w:val="BodyText"/>
      </w:pPr>
      <w:r>
        <w:t xml:space="preserve">El modelo de negocio posproyecto no se formula con ingresos, porque ninguno cuenta con fuente. Teece (1986) sostiene que capturar el valor de una innovación depende del régimen de apropiación y de los activos complementarios. Chesbrough (2003) sostiene que abrir la innovación a socios puede ampliar el valor capturado. Ambas posiciones requieren un mercado identificable, y el expediente no aporta ninguno (VACIO). El proyecto describe fuentes posibles y sus condiciones. Los instrumentos de la Tabla 14.5 son CANDIDATO_A_VERIFICAR: no se consultó su fuente controlante y no se afirma su vigencia.</w:t>
      </w:r>
    </w:p>
    <w:p>
      <w:pPr>
        <w:pStyle w:val="TablaRotulo"/>
      </w:pPr>
      <w:bookmarkStart w:id="9365" w:name="rot_Tabla_14_5"/>
      <w:r>
        <w:rPr>
          <w:b/>
          <w:bCs/>
        </w:rPr>
        <w:t xml:space="preserve">Tabla 14.5</w:t>
      </w:r>
      <w:bookmarkEnd w:id="9365"/>
    </w:p>
    <w:p>
      <w:pPr>
        <w:pStyle w:val="TablaTitulo"/>
      </w:pPr>
      <w:r>
        <w:rPr>
          <w:i/>
          <w:iCs/>
        </w:rPr>
        <w:t xml:space="preserve">Fuentes posibles de financiación posproyecto y condiciones de uso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67"/>
        <w:gridCol w:w="1570"/>
        <w:gridCol w:w="1374"/>
        <w:gridCol w:w="3207"/>
      </w:tblGrid>
      <w:tr>
        <w:trPr>
          <w:cantSplit/>
          <w:tblHeader/>
        </w:trPr>
        <w:tc>
          <w:tcPr>
            <w:shd w:val="clear" w:color="auto" w:fill="00B050"/>
          </w:tcPr>
          <w:p>
            <w:pPr>
              <w:pStyle w:val="Tabla9"/>
              <w:jc w:val="center"/>
            </w:pPr>
            <w:r>
              <w:rPr>
                <w:b/>
                <w:color w:val="FFFFFF"/>
              </w:rPr>
              <w:t xml:space="preserve">Instrumento</w:t>
            </w:r>
          </w:p>
        </w:tc>
        <w:tc>
          <w:tcPr>
            <w:shd w:val="clear" w:color="auto" w:fill="00B050"/>
          </w:tcPr>
          <w:p>
            <w:pPr>
              <w:pStyle w:val="Tabla9"/>
              <w:jc w:val="center"/>
            </w:pPr>
            <w:r>
              <w:rPr>
                <w:b/>
                <w:color w:val="FFFFFF"/>
              </w:rPr>
              <w:t xml:space="preserve">Uso posible</w:t>
            </w:r>
          </w:p>
        </w:tc>
        <w:tc>
          <w:tcPr>
            <w:shd w:val="clear" w:color="auto" w:fill="00B050"/>
          </w:tcPr>
          <w:p>
            <w:pPr>
              <w:pStyle w:val="Tabla9"/>
              <w:jc w:val="center"/>
            </w:pPr>
            <w:r>
              <w:rPr>
                <w:b/>
                <w:color w:val="FFFFFF"/>
              </w:rPr>
              <w:t xml:space="preserve">Condición previa</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Vigencias futuras</w:t>
            </w:r>
          </w:p>
        </w:tc>
        <w:tc>
          <w:tcPr/>
          <w:p>
            <w:pPr>
              <w:pStyle w:val="Tabla9"/>
              <w:jc w:val="left"/>
            </w:pPr>
            <w:r>
              <w:t xml:space="preserve">Comprometer el gasto recurrente después del cierre</w:t>
            </w:r>
          </w:p>
        </w:tc>
        <w:tc>
          <w:tcPr/>
          <w:p>
            <w:pPr>
              <w:pStyle w:val="Tabla9"/>
              <w:jc w:val="left"/>
            </w:pPr>
            <w:r>
              <w:t xml:space="preserve">Competencia y autorización de cada entidad</w:t>
            </w:r>
          </w:p>
        </w:tc>
        <w:tc>
          <w:tcPr/>
          <w:p>
            <w:pPr>
              <w:pStyle w:val="Tabla9"/>
              <w:jc w:val="left"/>
            </w:pPr>
            <w:r>
              <w:t xml:space="preserve">CANDIDATO_A_VERIFICAR</w:t>
            </w:r>
          </w:p>
        </w:tc>
      </w:tr>
      <w:tr>
        <w:trPr>
          <w:cantSplit/>
        </w:trPr>
        <w:tc>
          <w:tcPr/>
          <w:p>
            <w:pPr>
              <w:pStyle w:val="Tabla9"/>
              <w:jc w:val="left"/>
            </w:pPr>
            <w:r>
              <w:t xml:space="preserve">Asociaciones público-privadas</w:t>
            </w:r>
          </w:p>
        </w:tc>
        <w:tc>
          <w:tcPr/>
          <w:p>
            <w:pPr>
              <w:pStyle w:val="Tabla9"/>
              <w:jc w:val="left"/>
            </w:pPr>
            <w:r>
              <w:t xml:space="preserve">Operación con una empresa por contrato</w:t>
            </w:r>
          </w:p>
        </w:tc>
        <w:tc>
          <w:tcPr/>
          <w:p>
            <w:pPr>
              <w:pStyle w:val="Tabla9"/>
              <w:jc w:val="left"/>
            </w:pPr>
            <w:r>
              <w:t xml:space="preserve">Modelo de negocio y valoración del servicio</w:t>
            </w:r>
          </w:p>
        </w:tc>
        <w:tc>
          <w:tcPr/>
          <w:p>
            <w:pPr>
              <w:pStyle w:val="Tabla9"/>
              <w:jc w:val="left"/>
            </w:pPr>
            <w:r>
              <w:t xml:space="preserve">CANDIDATO_A_VERIFICAR</w:t>
            </w:r>
          </w:p>
        </w:tc>
      </w:tr>
      <w:tr>
        <w:trPr>
          <w:cantSplit/>
        </w:trPr>
        <w:tc>
          <w:tcPr/>
          <w:p>
            <w:pPr>
              <w:pStyle w:val="Tabla9"/>
              <w:jc w:val="left"/>
            </w:pPr>
            <w:r>
              <w:t xml:space="preserve">Convenios de cofinanciación</w:t>
            </w:r>
          </w:p>
        </w:tc>
        <w:tc>
          <w:tcPr/>
          <w:p>
            <w:pPr>
              <w:pStyle w:val="Tabla9"/>
              <w:jc w:val="left"/>
            </w:pPr>
            <w:r>
              <w:t xml:space="preserve">Aportes de ARL y autoridades ambientales</w:t>
            </w:r>
          </w:p>
        </w:tc>
        <w:tc>
          <w:tcPr/>
          <w:p>
            <w:pPr>
              <w:pStyle w:val="Tabla9"/>
              <w:jc w:val="left"/>
            </w:pPr>
            <w:r>
              <w:t xml:space="preserve">Carta de compromiso y partida</w:t>
            </w:r>
          </w:p>
        </w:tc>
        <w:tc>
          <w:tcPr/>
          <w:p>
            <w:pPr>
              <w:pStyle w:val="Tabla9"/>
              <w:jc w:val="left"/>
            </w:pPr>
            <w:r>
              <w:t xml:space="preserve">CANDIDATO_A_VERIFICAR</w:t>
            </w:r>
          </w:p>
        </w:tc>
      </w:tr>
      <w:tr>
        <w:trPr>
          <w:cantSplit/>
        </w:trPr>
        <w:tc>
          <w:tcPr/>
          <w:p>
            <w:pPr>
              <w:pStyle w:val="Tabla9"/>
              <w:jc w:val="left"/>
            </w:pPr>
            <w:r>
              <w:t xml:space="preserve">Pago por resultados</w:t>
            </w:r>
          </w:p>
        </w:tc>
        <w:tc>
          <w:tcPr/>
          <w:p>
            <w:pPr>
              <w:pStyle w:val="Tabla9"/>
              <w:jc w:val="left"/>
            </w:pPr>
            <w:r>
              <w:t xml:space="preserve">Pago ligado a disponibilidad y verificación</w:t>
            </w:r>
          </w:p>
        </w:tc>
        <w:tc>
          <w:tcPr/>
          <w:p>
            <w:pPr>
              <w:pStyle w:val="Tabla9"/>
              <w:jc w:val="left"/>
            </w:pPr>
            <w:r>
              <w:t xml:space="preserve">Indicador verificable y línea base</w:t>
            </w:r>
          </w:p>
        </w:tc>
        <w:tc>
          <w:tcPr/>
          <w:p>
            <w:pPr>
              <w:pStyle w:val="Tabla9"/>
              <w:jc w:val="left"/>
            </w:pPr>
            <w:r>
              <w:t xml:space="preserve">CANDIDATO_A_VERIFICAR</w:t>
            </w:r>
          </w:p>
        </w:tc>
      </w:tr>
      <w:tr>
        <w:trPr>
          <w:cantSplit/>
        </w:trPr>
        <w:tc>
          <w:tcPr/>
          <w:p>
            <w:pPr>
              <w:pStyle w:val="Tabla9"/>
              <w:jc w:val="left"/>
            </w:pPr>
            <w:r>
              <w:t xml:space="preserve">Corporaciones mixtas de ciencia, tecnología e innovación</w:t>
            </w:r>
          </w:p>
        </w:tc>
        <w:tc>
          <w:tcPr/>
          <w:p>
            <w:pPr>
              <w:pStyle w:val="Tabla9"/>
              <w:jc w:val="left"/>
            </w:pPr>
            <w:r>
              <w:t xml:space="preserve">Vehículo operador de la red</w:t>
            </w:r>
          </w:p>
        </w:tc>
        <w:tc>
          <w:tcPr/>
          <w:p>
            <w:pPr>
              <w:pStyle w:val="Tabla9"/>
              <w:jc w:val="left"/>
            </w:pPr>
            <w:r>
              <w:t xml:space="preserve">Acto de constitución y gobierno</w:t>
            </w:r>
          </w:p>
        </w:tc>
        <w:tc>
          <w:tcPr/>
          <w:p>
            <w:pPr>
              <w:pStyle w:val="Tabla9"/>
              <w:jc w:val="left"/>
            </w:pPr>
            <w:r>
              <w:t xml:space="preserve">CANDIDATO_A_VERIFICAR</w:t>
            </w:r>
          </w:p>
        </w:tc>
      </w:tr>
      <w:tr>
        <w:trPr>
          <w:cantSplit/>
        </w:trPr>
        <w:tc>
          <w:tcPr/>
          <w:p>
            <w:pPr>
              <w:pStyle w:val="Tabla9"/>
              <w:jc w:val="left"/>
            </w:pPr>
            <w:r>
              <w:t xml:space="preserve">Obras por impuestos y beneficios tributarios</w:t>
            </w:r>
          </w:p>
        </w:tc>
        <w:tc>
          <w:tcPr/>
          <w:p>
            <w:pPr>
              <w:pStyle w:val="Tabla9"/>
              <w:jc w:val="left"/>
            </w:pPr>
            <w:r>
              <w:t xml:space="preserve">Financiación por el sector privado</w:t>
            </w:r>
          </w:p>
        </w:tc>
        <w:tc>
          <w:tcPr/>
          <w:p>
            <w:pPr>
              <w:pStyle w:val="Tabla9"/>
              <w:jc w:val="left"/>
            </w:pPr>
            <w:r>
              <w:t xml:space="preserve">Elegibilidad de la red como proyecto</w:t>
            </w:r>
          </w:p>
        </w:tc>
        <w:tc>
          <w:tcPr/>
          <w:p>
            <w:pPr>
              <w:pStyle w:val="Tabla9"/>
              <w:jc w:val="left"/>
            </w:pPr>
            <w:r>
              <w:t xml:space="preserve">CANDIDATO_A_VERIFICAR</w:t>
            </w:r>
          </w:p>
        </w:tc>
      </w:tr>
      <w:tr>
        <w:trPr>
          <w:cantSplit/>
        </w:trPr>
        <w:tc>
          <w:tcPr/>
          <w:p>
            <w:pPr>
              <w:pStyle w:val="Tabla9"/>
              <w:jc w:val="left"/>
            </w:pPr>
            <w:r>
              <w:t xml:space="preserve">Reglas de operación y mantenimiento de proyectos con regalías</w:t>
            </w:r>
          </w:p>
        </w:tc>
        <w:tc>
          <w:tcPr/>
          <w:p>
            <w:pPr>
              <w:pStyle w:val="Tabla9"/>
              <w:jc w:val="left"/>
            </w:pPr>
            <w:r>
              <w:t xml:space="preserve">Límites o habilitación del gasto recurrente</w:t>
            </w:r>
          </w:p>
        </w:tc>
        <w:tc>
          <w:tcPr/>
          <w:p>
            <w:pPr>
              <w:pStyle w:val="Tabla9"/>
              <w:jc w:val="left"/>
            </w:pPr>
            <w:r>
              <w:t xml:space="preserve">Texto de los términos de referencia (VACIO)</w:t>
            </w:r>
          </w:p>
        </w:tc>
        <w:tc>
          <w:tcPr/>
          <w:p>
            <w:pPr>
              <w:pStyle w:val="Tabla9"/>
              <w:jc w:val="left"/>
            </w:pPr>
            <w:r>
              <w:t xml:space="preserve">CANDIDATO_A_VERIFICAR</w:t>
            </w:r>
          </w:p>
        </w:tc>
      </w:tr>
    </w:tbl>
    <w:p>
      <w:pPr>
        <w:pStyle w:val="TablaNota"/>
      </w:pPr>
      <w:r>
        <w:rPr>
          <w:i/>
          <w:iCs/>
        </w:rPr>
        <w:t xml:space="preserve">Nota.</w:t>
      </w:r>
      <w:r>
        <w:t xml:space="preserve"> </w:t>
      </w:r>
      <w:r>
        <w:t xml:space="preserve">Elaboración propia con la sección 4.4-MDR.10. Ninguna fuente se presupuesta. Las reglas del Sistema General de Regalías se regulan en la Ley 2056 de 2020 (Congreso de la República, 2020), cuyo texto no se consultó.</w:t>
      </w:r>
    </w:p>
    <w:p>
      <w:pPr>
        <w:pStyle w:val="BodyText"/>
      </w:pPr>
      <w:r>
        <w:t xml:space="preserve">La Tabla 14.5 deja claro que ninguna fuente está lista para comprometerse. Cada fila exige un documento que hoy no existe: una carta, una partida, un acto o un indicador. La cobertura del costo mínimo debe superar 100 % de forma sostenida. Si cae por debajo de ese valor durante dos trimestres consecutivos, se activa la cláusula de apertura descrita en el plan de salida. El punto de equilibrio es NO_CALCULABLE, porque requiere ingresos y un costo mínimo que no existen.</w:t>
      </w:r>
    </w:p>
    <w:p>
      <w:pPr>
        <w:pStyle w:val="BodyText"/>
      </w:pPr>
      <w:r>
        <w:t xml:space="preserve">La ruta de escala requiere un propietario. La regla H36-07 exige que toda ruta de escala identifique cinco datos. Son el actor que adopta, el recurso requerido, la unidad de expansión, el costo marginal y la decisión que habilita la expansión. El motor MESS36 marca ASPIRACIONAL toda afirmación de escalabilidad que carezca de actor adoptante, recurso y mecanismo de expansión. La unidad de expansión del proyecto es un gateway con 10 nodos. Su costo marginal es de 120,08 millones de COP (CALCULADO). Incluye adquisición, instalación y 24 meses de conectividad, con precios unitarios de la ficha. Excluye importación, personal, nube y calibración. La Tabla 14.6 aplica las 11 variables de MESS36.</w:t>
      </w:r>
    </w:p>
    <w:p>
      <w:pPr>
        <w:pStyle w:val="TablaRotulo"/>
      </w:pPr>
      <w:bookmarkStart w:id="9366" w:name="rot_Tabla_14_6"/>
      <w:r>
        <w:rPr>
          <w:b/>
          <w:bCs/>
        </w:rPr>
        <w:t xml:space="preserve">Tabla 14.6</w:t>
      </w:r>
      <w:bookmarkEnd w:id="9366"/>
    </w:p>
    <w:p>
      <w:pPr>
        <w:pStyle w:val="TablaTitulo"/>
      </w:pPr>
      <w:r>
        <w:rPr>
          <w:i/>
          <w:iCs/>
        </w:rPr>
        <w:t xml:space="preserve">Ruta de escala con propietario: variables del motor MESS36</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3300"/>
        <w:gridCol w:w="2574"/>
      </w:tblGrid>
      <w:tr>
        <w:trPr>
          <w:cantSplit/>
          <w:tblHeader/>
        </w:trPr>
        <w:tc>
          <w:tcPr>
            <w:shd w:val="clear" w:color="auto" w:fill="00B050"/>
          </w:tcPr>
          <w:p>
            <w:pPr>
              <w:pStyle w:val="Tabla9"/>
              <w:jc w:val="center"/>
            </w:pPr>
            <w:r>
              <w:rPr>
                <w:b/>
                <w:color w:val="FFFFFF"/>
              </w:rPr>
              <w:t xml:space="preserve">Variable</w:t>
            </w:r>
          </w:p>
        </w:tc>
        <w:tc>
          <w:tcPr>
            <w:shd w:val="clear" w:color="auto" w:fill="00B050"/>
          </w:tcPr>
          <w:p>
            <w:pPr>
              <w:pStyle w:val="Tabla9"/>
              <w:jc w:val="center"/>
            </w:pPr>
            <w:r>
              <w:rPr>
                <w:b/>
                <w:color w:val="FFFFFF"/>
              </w:rPr>
              <w:t xml:space="preserve">Contenido para el proyecto</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Propietario de la escala</w:t>
            </w:r>
          </w:p>
        </w:tc>
        <w:tc>
          <w:tcPr/>
          <w:p>
            <w:pPr>
              <w:pStyle w:val="Tabla9"/>
              <w:jc w:val="left"/>
            </w:pPr>
            <w:r>
              <w:t xml:space="preserve">Actor adoptante no identificado [DATO_USUARIO: custodio o gobernación que adopta]</w:t>
            </w:r>
          </w:p>
        </w:tc>
        <w:tc>
          <w:tcPr/>
          <w:p>
            <w:pPr>
              <w:pStyle w:val="Tabla9"/>
              <w:jc w:val="left"/>
            </w:pPr>
            <w:r>
              <w:t xml:space="preserve">VACIO</w:t>
            </w:r>
          </w:p>
        </w:tc>
      </w:tr>
      <w:tr>
        <w:trPr>
          <w:cantSplit/>
        </w:trPr>
        <w:tc>
          <w:tcPr/>
          <w:p>
            <w:pPr>
              <w:pStyle w:val="Tabla9"/>
              <w:jc w:val="left"/>
            </w:pPr>
            <w:r>
              <w:t xml:space="preserve">Mecanismo de adopción</w:t>
            </w:r>
          </w:p>
        </w:tc>
        <w:tc>
          <w:tcPr/>
          <w:p>
            <w:pPr>
              <w:pStyle w:val="Tabla9"/>
              <w:jc w:val="left"/>
            </w:pPr>
            <w:r>
              <w:t xml:space="preserve">Opciones de ampliación: más nodos, un cuarto tramo o un año adicional de custodia</w:t>
            </w:r>
          </w:p>
        </w:tc>
        <w:tc>
          <w:tcPr/>
          <w:p>
            <w:pPr>
              <w:pStyle w:val="Tabla9"/>
              <w:jc w:val="left"/>
            </w:pPr>
            <w:r>
              <w:t xml:space="preserve">PROPUESTO; sin presupuesto</w:t>
            </w:r>
          </w:p>
        </w:tc>
      </w:tr>
      <w:tr>
        <w:trPr>
          <w:cantSplit/>
        </w:trPr>
        <w:tc>
          <w:tcPr/>
          <w:p>
            <w:pPr>
              <w:pStyle w:val="Tabla9"/>
              <w:jc w:val="left"/>
            </w:pPr>
            <w:r>
              <w:t xml:space="preserve">Recurso financiero</w:t>
            </w:r>
          </w:p>
        </w:tc>
        <w:tc>
          <w:tcPr/>
          <w:p>
            <w:pPr>
              <w:pStyle w:val="Tabla9"/>
              <w:jc w:val="left"/>
            </w:pPr>
            <w:r>
              <w:t xml:space="preserve">Sin partida; depende de términos de referencia y de custodios</w:t>
            </w:r>
          </w:p>
        </w:tc>
        <w:tc>
          <w:tcPr/>
          <w:p>
            <w:pPr>
              <w:pStyle w:val="Tabla9"/>
              <w:jc w:val="left"/>
            </w:pPr>
            <w:r>
              <w:t xml:space="preserve">VACIO</w:t>
            </w:r>
          </w:p>
        </w:tc>
      </w:tr>
      <w:tr>
        <w:trPr>
          <w:cantSplit/>
        </w:trPr>
        <w:tc>
          <w:tcPr/>
          <w:p>
            <w:pPr>
              <w:pStyle w:val="Tabla9"/>
              <w:jc w:val="left"/>
            </w:pPr>
            <w:r>
              <w:t xml:space="preserve">Costo marginal</w:t>
            </w:r>
          </w:p>
        </w:tc>
        <w:tc>
          <w:tcPr/>
          <w:p>
            <w:pPr>
              <w:pStyle w:val="Tabla9"/>
              <w:jc w:val="left"/>
            </w:pPr>
            <w:r>
              <w:t xml:space="preserve">120,08 millones de COP por unidad de 10 nodos y un gateway</w:t>
            </w:r>
          </w:p>
        </w:tc>
        <w:tc>
          <w:tcPr/>
          <w:p>
            <w:pPr>
              <w:pStyle w:val="Tabla9"/>
              <w:jc w:val="left"/>
            </w:pPr>
            <w:r>
              <w:t xml:space="preserve">CALCULADO</w:t>
            </w:r>
          </w:p>
        </w:tc>
      </w:tr>
      <w:tr>
        <w:trPr>
          <w:cantSplit/>
        </w:trPr>
        <w:tc>
          <w:tcPr/>
          <w:p>
            <w:pPr>
              <w:pStyle w:val="Tabla9"/>
              <w:jc w:val="left"/>
            </w:pPr>
            <w:r>
              <w:t xml:space="preserve">Capacidad operativa</w:t>
            </w:r>
          </w:p>
        </w:tc>
        <w:tc>
          <w:tcPr/>
          <w:p>
            <w:pPr>
              <w:pStyle w:val="Tabla9"/>
              <w:jc w:val="left"/>
            </w:pPr>
            <w:r>
              <w:t xml:space="preserve">ICAR de los candidatos</w:t>
            </w:r>
          </w:p>
        </w:tc>
        <w:tc>
          <w:tcPr/>
          <w:p>
            <w:pPr>
              <w:pStyle w:val="Tabla9"/>
              <w:jc w:val="left"/>
            </w:pPr>
            <w:r>
              <w:t xml:space="preserve">NO_CALCULABLE</w:t>
            </w:r>
          </w:p>
        </w:tc>
      </w:tr>
      <w:tr>
        <w:trPr>
          <w:cantSplit/>
        </w:trPr>
        <w:tc>
          <w:tcPr/>
          <w:p>
            <w:pPr>
              <w:pStyle w:val="Tabla9"/>
              <w:jc w:val="left"/>
            </w:pPr>
            <w:r>
              <w:t xml:space="preserve">Marco regulatorio</w:t>
            </w:r>
          </w:p>
        </w:tc>
        <w:tc>
          <w:tcPr/>
          <w:p>
            <w:pPr>
              <w:pStyle w:val="Tabla9"/>
              <w:jc w:val="left"/>
            </w:pPr>
            <w:r>
              <w:t xml:space="preserve">Términos de referencia no aportados</w:t>
            </w:r>
          </w:p>
        </w:tc>
        <w:tc>
          <w:tcPr/>
          <w:p>
            <w:pPr>
              <w:pStyle w:val="Tabla9"/>
              <w:jc w:val="left"/>
            </w:pPr>
            <w:r>
              <w:t xml:space="preserve">VACIO</w:t>
            </w:r>
          </w:p>
        </w:tc>
      </w:tr>
      <w:tr>
        <w:trPr>
          <w:cantSplit/>
        </w:trPr>
        <w:tc>
          <w:tcPr/>
          <w:p>
            <w:pPr>
              <w:pStyle w:val="Tabla9"/>
              <w:jc w:val="left"/>
            </w:pPr>
            <w:r>
              <w:t xml:space="preserve">Demanda</w:t>
            </w:r>
          </w:p>
        </w:tc>
        <w:tc>
          <w:tcPr/>
          <w:p>
            <w:pPr>
              <w:pStyle w:val="Tabla9"/>
              <w:jc w:val="left"/>
            </w:pPr>
            <w:r>
              <w:t xml:space="preserve">15 comités focalizados; línea base de uso institucional</w:t>
            </w:r>
          </w:p>
        </w:tc>
        <w:tc>
          <w:tcPr/>
          <w:p>
            <w:pPr>
              <w:pStyle w:val="Tabla9"/>
              <w:jc w:val="left"/>
            </w:pPr>
            <w:r>
              <w:t xml:space="preserve">VACIO</w:t>
            </w:r>
          </w:p>
        </w:tc>
      </w:tr>
      <w:tr>
        <w:trPr>
          <w:cantSplit/>
        </w:trPr>
        <w:tc>
          <w:tcPr/>
          <w:p>
            <w:pPr>
              <w:pStyle w:val="Tabla9"/>
              <w:jc w:val="left"/>
            </w:pPr>
            <w:r>
              <w:t xml:space="preserve">Mantenimiento</w:t>
            </w:r>
          </w:p>
        </w:tc>
        <w:tc>
          <w:tcPr/>
          <w:p>
            <w:pPr>
              <w:pStyle w:val="Tabla9"/>
              <w:jc w:val="left"/>
            </w:pPr>
            <w:r>
              <w:t xml:space="preserve">Plan técnico por componente (14.1)</w:t>
            </w:r>
          </w:p>
        </w:tc>
        <w:tc>
          <w:tcPr/>
          <w:p>
            <w:pPr>
              <w:pStyle w:val="Tabla9"/>
              <w:jc w:val="left"/>
            </w:pPr>
            <w:r>
              <w:t xml:space="preserve">PROPUESTO</w:t>
            </w:r>
          </w:p>
        </w:tc>
      </w:tr>
      <w:tr>
        <w:trPr>
          <w:cantSplit/>
        </w:trPr>
        <w:tc>
          <w:tcPr/>
          <w:p>
            <w:pPr>
              <w:pStyle w:val="Tabla9"/>
              <w:jc w:val="left"/>
            </w:pPr>
            <w:r>
              <w:t xml:space="preserve">Gobernanza</w:t>
            </w:r>
          </w:p>
        </w:tc>
        <w:tc>
          <w:tcPr/>
          <w:p>
            <w:pPr>
              <w:pStyle w:val="Tabla9"/>
              <w:jc w:val="left"/>
            </w:pPr>
            <w:r>
              <w:t xml:space="preserve">Órgano de gobierno con veto por componente</w:t>
            </w:r>
          </w:p>
        </w:tc>
        <w:tc>
          <w:tcPr/>
          <w:p>
            <w:pPr>
              <w:pStyle w:val="Tabla9"/>
              <w:jc w:val="left"/>
            </w:pPr>
            <w:r>
              <w:t xml:space="preserve">PROPUESTO</w:t>
            </w:r>
          </w:p>
        </w:tc>
      </w:tr>
      <w:tr>
        <w:trPr>
          <w:cantSplit/>
        </w:trPr>
        <w:tc>
          <w:tcPr/>
          <w:p>
            <w:pPr>
              <w:pStyle w:val="Tabla9"/>
              <w:jc w:val="left"/>
            </w:pPr>
            <w:r>
              <w:t xml:space="preserve">Distribución de beneficios</w:t>
            </w:r>
          </w:p>
        </w:tc>
        <w:tc>
          <w:tcPr/>
          <w:p>
            <w:pPr>
              <w:pStyle w:val="Tabla9"/>
              <w:jc w:val="left"/>
            </w:pPr>
            <w:r>
              <w:t xml:space="preserve">Sin análisis de quién recibe los beneficios</w:t>
            </w:r>
          </w:p>
        </w:tc>
        <w:tc>
          <w:tcPr/>
          <w:p>
            <w:pPr>
              <w:pStyle w:val="Tabla9"/>
              <w:jc w:val="left"/>
            </w:pPr>
            <w:r>
              <w:t xml:space="preserve">VACIO</w:t>
            </w:r>
          </w:p>
        </w:tc>
      </w:tr>
      <w:tr>
        <w:trPr>
          <w:cantSplit/>
        </w:trPr>
        <w:tc>
          <w:tcPr/>
          <w:p>
            <w:pPr>
              <w:pStyle w:val="Tabla9"/>
              <w:jc w:val="left"/>
            </w:pPr>
            <w:r>
              <w:t xml:space="preserve">Aprendizaje pendiente</w:t>
            </w:r>
          </w:p>
        </w:tc>
        <w:tc>
          <w:tcPr/>
          <w:p>
            <w:pPr>
              <w:pStyle w:val="Tabla9"/>
              <w:jc w:val="left"/>
            </w:pPr>
            <w:r>
              <w:t xml:space="preserve">Supuestos SC-1 a SC-4 y línea base en el tramo 1</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la ficha maestra (partidas E01, E02, E04, E05, E06, E12, M03, S05 y S10) y la especificación MESS36. Costo marginal: 10 × (4,5 + 1,2 + 0,65 + 0,35) + 28 + 3,5 + 11 × 1,2 + 24 × 0,12 + 22 × 0,25 = 120,08 millones de COP. Resultado de la prueba: ASPIRACIONAL. ICAR: índice de capacidad de absorción de los custodios.</w:t>
      </w:r>
    </w:p>
    <w:p>
      <w:pPr>
        <w:pStyle w:val="BodyText"/>
      </w:pPr>
      <w:r>
        <w:t xml:space="preserve">La Tabla 14.6 concluye que la ruta de escala es ASPIRACIONAL. Existe el costo marginal, pero faltan el actor adoptante, el recurso y el marco regulatorio. El proyecto no afirma escalabilidad. Declara qué dato permitiría afirmarla: un custodio con partida y competencia que adopte una unidad de expansión. La Figura 14.1 resume el modelo de sostenibilidad financiera. El panel izquierdo muestra el costo parcial declarado por fuente. El panel derecho muestra los umbrales de la prueba de orfandad.</w:t>
      </w:r>
    </w:p>
    <w:p>
      <w:pPr>
        <w:pStyle w:val="FiguraRotulo"/>
      </w:pPr>
      <w:bookmarkStart w:id="9542" w:name="rot_Figura_14_1"/>
      <w:r>
        <w:rPr>
          <w:b/>
          <w:bCs/>
        </w:rPr>
        <w:t xml:space="preserve">Figura 14.1</w:t>
      </w:r>
      <w:bookmarkEnd w:id="9542"/>
    </w:p>
    <w:p>
      <w:pPr>
        <w:pStyle w:val="FiguraTitulo"/>
      </w:pPr>
      <w:r>
        <w:rPr>
          <w:i/>
          <w:iCs/>
        </w:rPr>
        <w:t xml:space="preserve">Modelo de sostenibilidad financiera: costo parcial declarado y prueba de orfandad</w:t>
      </w:r>
    </w:p>
    <w:p>
      <w:pPr>
        <w:pStyle w:val="BodyText"/>
      </w:pPr>
      <w:r>
        <w:drawing>
          <wp:inline>
            <wp:extent cx="5579999" cy="2997596"/>
            <wp:effectExtent b="0" l="0" r="0" t="0"/>
            <wp:docPr descr="" title="" id="610" name="Picture"/>
            <a:graphic>
              <a:graphicData uri="http://schemas.openxmlformats.org/drawingml/2006/picture">
                <pic:pic>
                  <pic:nvPicPr>
                    <pic:cNvPr descr="/tmp/claude-0/-home-user-docs/ddf38714-2a7e-502b-92b4-1008e2832422/scratchpad/proy/figs/out/c14_f01.png" id="611" name="Picture"/>
                    <pic:cNvPicPr>
                      <a:picLocks noChangeArrowheads="1" noChangeAspect="1"/>
                    </pic:cNvPicPr>
                  </pic:nvPicPr>
                  <pic:blipFill>
                    <a:blip r:embed="rId609"/>
                    <a:stretch>
                      <a:fillRect/>
                    </a:stretch>
                  </pic:blipFill>
                  <pic:spPr bwMode="auto">
                    <a:xfrm>
                      <a:off x="0" y="0"/>
                      <a:ext cx="5579999" cy="29975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sección 4.4-MDR.10 (millones de COP; cifras del expediente E3, CALCULADO sobre cifras PROPUESTAS; NO_VERIFICADO). El costo total de sostenimiento y el punto de equilibrio son NO_CALCULABLE. Generada con matplotlib sin parámetros aleatorios.</w:t>
      </w:r>
    </w:p>
    <w:p>
      <w:pPr>
        <w:pStyle w:val="BodyText"/>
      </w:pPr>
      <w:r>
        <w:t xml:space="preserve">La Figura 14.1 muestra que el portafolio declarado depende de una sola fuente en especie. Su participación baja de 63,2 % a 58,3 % en tres años, pero sigue por encima de 50 %. Los umbrales de orfandad indican que el portafolio no resiste la salida de la fuente en especie. Esto ocurre si el servicio mínimo cuesta más de 70 millones de COP al año. Este resultado orienta la decisión. Antes de comprometer el portafolio, hay que cotizar el servicio mínimo.</w:t>
      </w:r>
    </w:p>
    <w:bookmarkEnd w:id="612"/>
    <w:bookmarkStart w:id="613" w:name="_Toc00900241"/>
    <w:p>
      <w:pPr>
        <w:pStyle w:val="Heading2"/>
      </w:pPr>
      <w:r>
        <w:t xml:space="preserve">14.3 Sostenibilidad institucional</w:t>
      </w:r>
    </w:p>
    <w:p>
      <w:pPr>
        <w:pStyle w:val="FirstParagraph"/>
      </w:pPr>
      <w:r>
        <w:t xml:space="preserve">La apropiación institucional es el grado en que una entidad incorpora el tablero y el protocolo en sus decisiones, con presupuesto, personal y competencia. Las instituciones son reglas que restringen la conducta (North, 1990). Las reglas formales difieren de las reglas en uso (Ostrom, 2005). Esa distinción importa aquí: un acto administrativo que asigna la alerta a una alcaldía no implica que el comité la use. El uso de una tecnología se explica por su utilidad percibida, por la influencia social y por las condiciones de apoyo (Rogers, 2003; Venkatesh et al., 2003). El proyecto mide la apropiación con PERS-E01: al menos 75 % de los 15 comités focalizados usa el tablero en decisiones documentadas al mes 24. La línea base es VACIO y se mide en el tramo 1.</w:t>
      </w:r>
    </w:p>
    <w:p>
      <w:pPr>
        <w:pStyle w:val="BodyText"/>
      </w:pPr>
      <w:r>
        <w:t xml:space="preserve">Dos posiciones se oponen sobre quién debe recibir la operación. La tesis sostiene que las alcaldías deben recibirla. Responden legalmente por actuar sobre la alerta (E3-P17) y poseen competencias en gestión del riesgo (Congreso de la República, 2012a), dato CANDIDATO_A_VERIFICAR. La antítesis sostiene que ninguna entidad pública puede sostener la solución sola. Tres hechos la respaldan. No existe compromiso firmado, la institución ejecutora carece de recursos permanentes y el equilibrio del juego de calibración es que nadie calibre. La síntesis de la sección 4.4-MDR.9 distribuye la operación técnica y el financiamiento entre custodios con capacidad demostrada. Las alcaldías conservan la competencia legal sobre la alerta. La tesis explica quién responde ante la ley. La antítesis explica por qué esa responsabilidad no basta para sostener la operación.</w:t>
      </w:r>
    </w:p>
    <w:p>
      <w:pPr>
        <w:pStyle w:val="BodyText"/>
      </w:pPr>
      <w:r>
        <w:t xml:space="preserve">La capacidad instalada se mide con PERS-E03: al menos 60 personas certificadas en mantenimiento, lectura y operación. La línea base es cero (CALCULADO). La partida S09 financia la formación y el soporte con 150 millones de COP en tres tramos de 50 millones. La partida cubre solo la formación. Por eso el costo de 2,50 millones de COP por persona certificada no es el costo total de la capacidad. El personal de primera línea adapta las normas a su carga de trabajo (Lipsky, 1980). La rotación del personal, que registra la sección 4.4-MDR.4, borra la capacidad adquirida. La consecuencia es que la certificación exige evaluación práctica y que el convenio de cada custodio designa personal con permanencia. Esa condición alimenta el supuesto SC-4.</w:t>
      </w:r>
    </w:p>
    <w:p>
      <w:pPr>
        <w:pStyle w:val="BodyText"/>
      </w:pPr>
      <w:r>
        <w:t xml:space="preserve">El índice de capacidad de absorción de los custodios (ICAR) puntúa seis dimensiones por candidato, de 0 a 3. Las dimensiones son financiera, talento, jurídica, técnica, continuidad y demanda. El resultado es el mínimo de las seis, sin compensación entre dimensiones. Ningún candidato cuenta con evidencia en las seis. Un custodio sin evidencia queda NO_EVALUADO y no en cero, porque asignar cero afirmaría una incapacidad que nadie ha demostrado. La Tabla 14.7 registra la evidencia disponible por candidato y el resultado del índice.</w:t>
      </w:r>
    </w:p>
    <w:p>
      <w:pPr>
        <w:pStyle w:val="TablaRotulo"/>
      </w:pPr>
      <w:bookmarkStart w:id="9367" w:name="rot_Tabla_14_7"/>
      <w:r>
        <w:rPr>
          <w:b/>
          <w:bCs/>
        </w:rPr>
        <w:t xml:space="preserve">Tabla 14.7</w:t>
      </w:r>
      <w:bookmarkEnd w:id="9367"/>
    </w:p>
    <w:p>
      <w:pPr>
        <w:pStyle w:val="TablaTitulo"/>
      </w:pPr>
      <w:r>
        <w:rPr>
          <w:i/>
          <w:iCs/>
        </w:rPr>
        <w:t xml:space="preserve">Evidencia disponible por custodio candidato y resultado del ICAR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12"/>
        <w:gridCol w:w="3366"/>
        <w:gridCol w:w="2442"/>
      </w:tblGrid>
      <w:tr>
        <w:trPr>
          <w:cantSplit/>
          <w:tblHeader/>
        </w:trPr>
        <w:tc>
          <w:tcPr>
            <w:shd w:val="clear" w:color="auto" w:fill="00B050"/>
          </w:tcPr>
          <w:p>
            <w:pPr>
              <w:pStyle w:val="Tabla9"/>
              <w:jc w:val="center"/>
            </w:pPr>
            <w:r>
              <w:rPr>
                <w:b/>
                <w:color w:val="FFFFFF"/>
              </w:rPr>
              <w:t xml:space="preserve">Custodio candidato</w:t>
            </w:r>
          </w:p>
        </w:tc>
        <w:tc>
          <w:tcPr>
            <w:shd w:val="clear" w:color="auto" w:fill="00B050"/>
          </w:tcPr>
          <w:p>
            <w:pPr>
              <w:pStyle w:val="Tabla9"/>
              <w:jc w:val="center"/>
            </w:pPr>
            <w:r>
              <w:rPr>
                <w:b/>
                <w:color w:val="FFFFFF"/>
              </w:rPr>
              <w:t xml:space="preserve">Evidencia disponible</w:t>
            </w:r>
          </w:p>
        </w:tc>
        <w:tc>
          <w:tcPr>
            <w:shd w:val="clear" w:color="auto" w:fill="00B050"/>
          </w:tcPr>
          <w:p>
            <w:pPr>
              <w:pStyle w:val="Tabla9"/>
              <w:jc w:val="center"/>
            </w:pPr>
            <w:r>
              <w:rPr>
                <w:b/>
                <w:color w:val="FFFFFF"/>
              </w:rPr>
              <w:t xml:space="preserve">ICAR</w:t>
            </w:r>
          </w:p>
        </w:tc>
      </w:tr>
      <w:tr>
        <w:trPr>
          <w:cantSplit/>
        </w:trPr>
        <w:tc>
          <w:tcPr/>
          <w:p>
            <w:pPr>
              <w:pStyle w:val="Tabla9"/>
              <w:jc w:val="left"/>
            </w:pPr>
            <w:r>
              <w:t xml:space="preserve">Alcaldías</w:t>
            </w:r>
          </w:p>
        </w:tc>
        <w:tc>
          <w:tcPr/>
          <w:p>
            <w:pPr>
              <w:pStyle w:val="Tabla9"/>
              <w:jc w:val="left"/>
            </w:pPr>
            <w:r>
              <w:t xml:space="preserve">Responden legalmente por actuar sobre la alerta (E3-P17); sin partida ni compromiso; DECLARADO</w:t>
            </w:r>
          </w:p>
        </w:tc>
        <w:tc>
          <w:tcPr/>
          <w:p>
            <w:pPr>
              <w:pStyle w:val="Tabla9"/>
              <w:jc w:val="left"/>
            </w:pPr>
            <w:r>
              <w:t xml:space="preserve">NO_CALCULABLE</w:t>
            </w:r>
          </w:p>
        </w:tc>
      </w:tr>
      <w:tr>
        <w:trPr>
          <w:cantSplit/>
        </w:trPr>
        <w:tc>
          <w:tcPr/>
          <w:p>
            <w:pPr>
              <w:pStyle w:val="Tabla9"/>
              <w:jc w:val="left"/>
            </w:pPr>
            <w:r>
              <w:t xml:space="preserve">Gobernaciones y unidades de gestión del riesgo</w:t>
            </w:r>
          </w:p>
        </w:tc>
        <w:tc>
          <w:tcPr/>
          <w:p>
            <w:pPr>
              <w:pStyle w:val="Tabla9"/>
              <w:jc w:val="left"/>
            </w:pPr>
            <w:r>
              <w:t xml:space="preserve">E3 propone ordenanzas; no existen</w:t>
            </w:r>
          </w:p>
        </w:tc>
        <w:tc>
          <w:tcPr/>
          <w:p>
            <w:pPr>
              <w:pStyle w:val="Tabla9"/>
              <w:jc w:val="left"/>
            </w:pPr>
            <w:r>
              <w:t xml:space="preserve">NO_CALCULABLE</w:t>
            </w:r>
          </w:p>
        </w:tc>
      </w:tr>
      <w:tr>
        <w:trPr>
          <w:cantSplit/>
        </w:trPr>
        <w:tc>
          <w:tcPr/>
          <w:p>
            <w:pPr>
              <w:pStyle w:val="Tabla9"/>
              <w:jc w:val="left"/>
            </w:pPr>
            <w:r>
              <w:t xml:space="preserve">UNGRD</w:t>
            </w:r>
          </w:p>
        </w:tc>
        <w:tc>
          <w:tcPr/>
          <w:p>
            <w:pPr>
              <w:pStyle w:val="Tabla9"/>
              <w:jc w:val="left"/>
            </w:pPr>
            <w:r>
              <w:t xml:space="preserve">Aporte en especie de personal declarado en E3, sin aval</w:t>
            </w:r>
          </w:p>
        </w:tc>
        <w:tc>
          <w:tcPr/>
          <w:p>
            <w:pPr>
              <w:pStyle w:val="Tabla9"/>
              <w:jc w:val="left"/>
            </w:pPr>
            <w:r>
              <w:t xml:space="preserve">NO_CALCULABLE</w:t>
            </w:r>
          </w:p>
        </w:tc>
      </w:tr>
      <w:tr>
        <w:trPr>
          <w:cantSplit/>
        </w:trPr>
        <w:tc>
          <w:tcPr/>
          <w:p>
            <w:pPr>
              <w:pStyle w:val="Tabla9"/>
              <w:jc w:val="left"/>
            </w:pPr>
            <w:r>
              <w:t xml:space="preserve">IDEAM y autoridades ambientales</w:t>
            </w:r>
          </w:p>
        </w:tc>
        <w:tc>
          <w:tcPr/>
          <w:p>
            <w:pPr>
              <w:pStyle w:val="Tabla9"/>
              <w:jc w:val="left"/>
            </w:pPr>
            <w:r>
              <w:t xml:space="preserve">Referencia metrológica descrita en el informe de vigilancia tecnológica; sin convenio</w:t>
            </w:r>
          </w:p>
        </w:tc>
        <w:tc>
          <w:tcPr/>
          <w:p>
            <w:pPr>
              <w:pStyle w:val="Tabla9"/>
              <w:jc w:val="left"/>
            </w:pPr>
            <w:r>
              <w:t xml:space="preserve">NO_CALCULABLE</w:t>
            </w:r>
          </w:p>
        </w:tc>
      </w:tr>
      <w:tr>
        <w:trPr>
          <w:cantSplit/>
        </w:trPr>
        <w:tc>
          <w:tcPr/>
          <w:p>
            <w:pPr>
              <w:pStyle w:val="Tabla9"/>
              <w:jc w:val="left"/>
            </w:pPr>
            <w:r>
              <w:t xml:space="preserve">Institución ejecutora</w:t>
            </w:r>
          </w:p>
        </w:tc>
        <w:tc>
          <w:tcPr/>
          <w:p>
            <w:pPr>
              <w:pStyle w:val="Tabla9"/>
              <w:jc w:val="left"/>
            </w:pPr>
            <w:r>
              <w:t xml:space="preserve">CONTRADICTORIO: sin recursos permanentes (E3-P17) frente a personal en especie declarado en E3</w:t>
            </w:r>
          </w:p>
        </w:tc>
        <w:tc>
          <w:tcPr/>
          <w:p>
            <w:pPr>
              <w:pStyle w:val="Tabla9"/>
              <w:jc w:val="left"/>
            </w:pPr>
            <w:r>
              <w:t xml:space="preserve">NO_CALCULABLE</w:t>
            </w:r>
          </w:p>
        </w:tc>
      </w:tr>
      <w:tr>
        <w:trPr>
          <w:cantSplit/>
        </w:trPr>
        <w:tc>
          <w:tcPr/>
          <w:p>
            <w:pPr>
              <w:pStyle w:val="Tabla9"/>
              <w:jc w:val="left"/>
            </w:pPr>
            <w:r>
              <w:t xml:space="preserve">Empresa aliada</w:t>
            </w:r>
          </w:p>
        </w:tc>
        <w:tc>
          <w:tcPr/>
          <w:p>
            <w:pPr>
              <w:pStyle w:val="Tabla9"/>
              <w:jc w:val="left"/>
            </w:pPr>
            <w:r>
              <w:t xml:space="preserve">Responsable de código y propiedad intelectual (E3-P17); sin modelo de negocio</w:t>
            </w:r>
          </w:p>
        </w:tc>
        <w:tc>
          <w:tcPr/>
          <w:p>
            <w:pPr>
              <w:pStyle w:val="Tabla9"/>
              <w:jc w:val="left"/>
            </w:pPr>
            <w:r>
              <w:t xml:space="preserve">NO_CALCULABLE</w:t>
            </w:r>
          </w:p>
        </w:tc>
      </w:tr>
      <w:tr>
        <w:trPr>
          <w:cantSplit/>
        </w:trPr>
        <w:tc>
          <w:tcPr/>
          <w:p>
            <w:pPr>
              <w:pStyle w:val="Tabla9"/>
              <w:jc w:val="left"/>
            </w:pPr>
            <w:r>
              <w:t xml:space="preserve">ARL y corporación autónoma</w:t>
            </w:r>
          </w:p>
        </w:tc>
        <w:tc>
          <w:tcPr/>
          <w:p>
            <w:pPr>
              <w:pStyle w:val="Tabla9"/>
              <w:jc w:val="left"/>
            </w:pPr>
            <w:r>
              <w:t xml:space="preserve">Convenio de cofinanciación declarado en E3, sin evidencia</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la sección 4.4-MDR.10. Naturaleza: DECLARADO en E3; verificación: NO_VERIFICADO. IDEAM: Instituto de Hidrología, Meteorología y Estudios Ambientales.</w:t>
      </w:r>
    </w:p>
    <w:p>
      <w:pPr>
        <w:pStyle w:val="BodyText"/>
      </w:pPr>
      <w:r>
        <w:t xml:space="preserve">La Tabla 14.7 muestra siete candidatos y ningún ICAR calculable. Cada fila indica qué documento falta: una partida, un acto, un convenio o un modelo de negocio. La asignación de custodios no puede decidirse hoy, y por eso el proyecto no asigna ninguna entidad por defecto. La condición para asignar es la evidencia en las seis dimensiones antes de cada tramo de transferencia. La Tabla 14.8 fija las exigencias por componente y los candidatos, con el custodio asignado por definir.</w:t>
      </w:r>
    </w:p>
    <w:p>
      <w:pPr>
        <w:pStyle w:val="TablaRotulo"/>
      </w:pPr>
      <w:bookmarkStart w:id="9368" w:name="rot_Tabla_14_8"/>
      <w:r>
        <w:rPr>
          <w:b/>
          <w:bCs/>
        </w:rPr>
        <w:t xml:space="preserve">Tabla 14.8</w:t>
      </w:r>
      <w:bookmarkEnd w:id="9368"/>
    </w:p>
    <w:p>
      <w:pPr>
        <w:pStyle w:val="TablaTitulo"/>
      </w:pPr>
      <w:r>
        <w:rPr>
          <w:i/>
          <w:iCs/>
        </w:rPr>
        <w:t xml:space="preserve">Custodia distribuida por componente: exigencias, candidatos y custodio asignado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30"/>
        <w:gridCol w:w="1863"/>
        <w:gridCol w:w="2063"/>
        <w:gridCol w:w="2262"/>
      </w:tblGrid>
      <w:tr>
        <w:trPr>
          <w:cantSplit/>
          <w:tblHeader/>
        </w:trPr>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Dimensiones del ICAR que exige</w:t>
            </w:r>
          </w:p>
        </w:tc>
        <w:tc>
          <w:tcPr>
            <w:shd w:val="clear" w:color="auto" w:fill="00B050"/>
          </w:tcPr>
          <w:p>
            <w:pPr>
              <w:pStyle w:val="Tabla9"/>
              <w:jc w:val="center"/>
            </w:pPr>
            <w:r>
              <w:rPr>
                <w:b/>
                <w:color w:val="FFFFFF"/>
              </w:rPr>
              <w:t xml:space="preserve">Candidatos</w:t>
            </w:r>
          </w:p>
        </w:tc>
        <w:tc>
          <w:tcPr>
            <w:shd w:val="clear" w:color="auto" w:fill="00B050"/>
          </w:tcPr>
          <w:p>
            <w:pPr>
              <w:pStyle w:val="Tabla9"/>
              <w:jc w:val="center"/>
            </w:pPr>
            <w:r>
              <w:rPr>
                <w:b/>
                <w:color w:val="FFFFFF"/>
              </w:rPr>
              <w:t xml:space="preserve">Custodio asignado</w:t>
            </w:r>
          </w:p>
        </w:tc>
      </w:tr>
      <w:tr>
        <w:trPr>
          <w:cantSplit/>
        </w:trPr>
        <w:tc>
          <w:tcPr/>
          <w:p>
            <w:pPr>
              <w:pStyle w:val="Tabla9"/>
              <w:jc w:val="left"/>
            </w:pPr>
            <w:r>
              <w:t xml:space="preserve">Nodos y repuestos</w:t>
            </w:r>
          </w:p>
        </w:tc>
        <w:tc>
          <w:tcPr/>
          <w:p>
            <w:pPr>
              <w:pStyle w:val="Tabla9"/>
              <w:jc w:val="left"/>
            </w:pPr>
            <w:r>
              <w:t xml:space="preserve">Técnica; talento</w:t>
            </w:r>
          </w:p>
        </w:tc>
        <w:tc>
          <w:tcPr/>
          <w:p>
            <w:pPr>
              <w:pStyle w:val="Tabla9"/>
              <w:jc w:val="left"/>
            </w:pPr>
            <w:r>
              <w:t xml:space="preserve">Empresa aliada; institución ejecutora</w:t>
            </w:r>
          </w:p>
        </w:tc>
        <w:tc>
          <w:tcPr/>
          <w:p>
            <w:pPr>
              <w:pStyle w:val="Tabla9"/>
              <w:jc w:val="left"/>
            </w:pPr>
            <w:r>
              <w:t xml:space="preserve">POR_DEFINIR con ICAR</w:t>
            </w:r>
          </w:p>
        </w:tc>
      </w:tr>
      <w:tr>
        <w:trPr>
          <w:cantSplit/>
        </w:trPr>
        <w:tc>
          <w:tcPr/>
          <w:p>
            <w:pPr>
              <w:pStyle w:val="Tabla9"/>
              <w:jc w:val="left"/>
            </w:pPr>
            <w:r>
              <w:t xml:space="preserve">Gemelo digital y datos</w:t>
            </w:r>
          </w:p>
        </w:tc>
        <w:tc>
          <w:tcPr/>
          <w:p>
            <w:pPr>
              <w:pStyle w:val="Tabla9"/>
              <w:jc w:val="left"/>
            </w:pPr>
            <w:r>
              <w:t xml:space="preserve">Financiera; técnica</w:t>
            </w:r>
          </w:p>
        </w:tc>
        <w:tc>
          <w:tcPr/>
          <w:p>
            <w:pPr>
              <w:pStyle w:val="Tabla9"/>
              <w:jc w:val="left"/>
            </w:pPr>
            <w:r>
              <w:t xml:space="preserve">Institución ejecutora; empresa aliada</w:t>
            </w:r>
          </w:p>
        </w:tc>
        <w:tc>
          <w:tcPr/>
          <w:p>
            <w:pPr>
              <w:pStyle w:val="Tabla9"/>
              <w:jc w:val="left"/>
            </w:pPr>
            <w:r>
              <w:t xml:space="preserve">POR_DEFINIR con ICAR</w:t>
            </w:r>
          </w:p>
        </w:tc>
      </w:tr>
      <w:tr>
        <w:trPr>
          <w:cantSplit/>
        </w:trPr>
        <w:tc>
          <w:tcPr/>
          <w:p>
            <w:pPr>
              <w:pStyle w:val="Tabla9"/>
              <w:jc w:val="left"/>
            </w:pPr>
            <w:r>
              <w:t xml:space="preserve">Tablero y alertas</w:t>
            </w:r>
          </w:p>
        </w:tc>
        <w:tc>
          <w:tcPr/>
          <w:p>
            <w:pPr>
              <w:pStyle w:val="Tabla9"/>
              <w:jc w:val="left"/>
            </w:pPr>
            <w:r>
              <w:t xml:space="preserve">Jurídica; demanda</w:t>
            </w:r>
          </w:p>
        </w:tc>
        <w:tc>
          <w:tcPr/>
          <w:p>
            <w:pPr>
              <w:pStyle w:val="Tabla9"/>
              <w:jc w:val="left"/>
            </w:pPr>
            <w:r>
              <w:t xml:space="preserve">Unidades de gestión del riesgo; alcaldías</w:t>
            </w:r>
          </w:p>
        </w:tc>
        <w:tc>
          <w:tcPr/>
          <w:p>
            <w:pPr>
              <w:pStyle w:val="Tabla9"/>
              <w:jc w:val="left"/>
            </w:pPr>
            <w:r>
              <w:t xml:space="preserve">POR_DEFINIR con ICAR</w:t>
            </w:r>
          </w:p>
        </w:tc>
      </w:tr>
      <w:tr>
        <w:trPr>
          <w:cantSplit/>
        </w:trPr>
        <w:tc>
          <w:tcPr/>
          <w:p>
            <w:pPr>
              <w:pStyle w:val="Tabla9"/>
              <w:jc w:val="left"/>
            </w:pPr>
            <w:r>
              <w:t xml:space="preserve">Protocolo de calibración</w:t>
            </w:r>
          </w:p>
        </w:tc>
        <w:tc>
          <w:tcPr/>
          <w:p>
            <w:pPr>
              <w:pStyle w:val="Tabla9"/>
              <w:jc w:val="left"/>
            </w:pPr>
            <w:r>
              <w:t xml:space="preserve">Técnica; continuidad</w:t>
            </w:r>
          </w:p>
        </w:tc>
        <w:tc>
          <w:tcPr/>
          <w:p>
            <w:pPr>
              <w:pStyle w:val="Tabla9"/>
              <w:jc w:val="left"/>
            </w:pPr>
            <w:r>
              <w:t xml:space="preserve">Autoridad ambiental; institución ejecutora</w:t>
            </w:r>
          </w:p>
        </w:tc>
        <w:tc>
          <w:tcPr/>
          <w:p>
            <w:pPr>
              <w:pStyle w:val="Tabla9"/>
              <w:jc w:val="left"/>
            </w:pPr>
            <w:r>
              <w:t xml:space="preserve">POR_DEFINIR con ICAR</w:t>
            </w:r>
          </w:p>
        </w:tc>
      </w:tr>
      <w:tr>
        <w:trPr>
          <w:cantSplit/>
        </w:trPr>
        <w:tc>
          <w:tcPr/>
          <w:p>
            <w:pPr>
              <w:pStyle w:val="Tabla9"/>
              <w:jc w:val="left"/>
            </w:pPr>
            <w:r>
              <w:t xml:space="preserve">Gobernanza y acuerdos</w:t>
            </w:r>
          </w:p>
        </w:tc>
        <w:tc>
          <w:tcPr/>
          <w:p>
            <w:pPr>
              <w:pStyle w:val="Tabla9"/>
              <w:jc w:val="left"/>
            </w:pPr>
            <w:r>
              <w:t xml:space="preserve">Jurídica; continuidad</w:t>
            </w:r>
          </w:p>
        </w:tc>
        <w:tc>
          <w:tcPr/>
          <w:p>
            <w:pPr>
              <w:pStyle w:val="Tabla9"/>
              <w:jc w:val="left"/>
            </w:pPr>
            <w:r>
              <w:t xml:space="preserve">Órgano de gobierno de la alianza</w:t>
            </w:r>
          </w:p>
        </w:tc>
        <w:tc>
          <w:tcPr/>
          <w:p>
            <w:pPr>
              <w:pStyle w:val="Tabla9"/>
              <w:jc w:val="left"/>
            </w:pPr>
            <w:r>
              <w:t xml:space="preserve">POR_DEFINIR</w:t>
            </w:r>
          </w:p>
        </w:tc>
      </w:tr>
    </w:tbl>
    <w:p>
      <w:pPr>
        <w:pStyle w:val="TablaNota"/>
      </w:pPr>
      <w:r>
        <w:rPr>
          <w:i/>
          <w:iCs/>
        </w:rPr>
        <w:t xml:space="preserve">Nota.</w:t>
      </w:r>
      <w:r>
        <w:t xml:space="preserve"> </w:t>
      </w:r>
      <w:r>
        <w:t xml:space="preserve">Elaboración propia con la sección 4.4-MDR.10. Naturaleza: PROPUESTO. Ningún componente queda sin custodio o sin cláusula de apertura.</w:t>
      </w:r>
    </w:p>
    <w:p>
      <w:pPr>
        <w:pStyle w:val="BodyText"/>
      </w:pPr>
      <w:r>
        <w:t xml:space="preserve">La Tabla 14.8 cumple una regla de diseño: ningún componente queda sin custodio o sin cláusula de apertura. Cada componente exige dos dimensiones del índice como mínimo. El tablero y las alertas exigen capacidad jurídica y demanda, y por eso sus candidatos son las unidades de gestión del riesgo y las alcaldías. El protocolo de calibración exige capacidad técnica y continuidad, y por eso su candidato natural es una autoridad ambiental. Un componente sin custodio que cumpla la condición permanece bajo la alianza o pasa a la cláusula de apertura.</w:t>
      </w:r>
    </w:p>
    <w:p>
      <w:pPr>
        <w:pStyle w:val="BodyText"/>
      </w:pPr>
      <w:r>
        <w:t xml:space="preserve">La gobernanza integra a los custodios en un órgano de la alianza. Lo componen la institución ejecutora, con ejecución técnica y custodia del conocimiento, y la empresa aliada, con desarrollo y mantenimiento tecnológico. También participan las alcaldías y gobernaciones, con uso de la alerta y competencia legal. Participa la autoridad ambiental o el IDEAM, con la referencia metrológica. Cierran el órgano las ARL o las constructoras, con cofinanciación y uso del dato. La regla de decisión PROPUESTA es la mayoría calificada con veto de cada custodio sobre su propio componente. Las reglas que combinan decisiones individuales en una decisión colectiva se llaman reglas de agregación (Ostrom, 2005). Los resultados de política surgen de la interacción de actores con capacidades y preferencias propias (Scharpf, 1997). Por eso el proyecto condiciona la conducta de los custodios con reglas y no la supone. La rendición es un informe anual público con tres indicadores. Son la capacidad de absorción de cada custodio, la cobertura del costo mínimo y la disponibilidad de nodos.</w:t>
      </w:r>
    </w:p>
    <w:p>
      <w:pPr>
        <w:pStyle w:val="BodyText"/>
      </w:pPr>
      <w:r>
        <w:t xml:space="preserve">Los compromisos de continuidad se formalizan con instrumentos firmados. El expediente no contiene ninguno, y por eso el estado de todos es pendiente de firma. La Tabla 14.9 lista el compromiso esperado de cada entidad, el instrumento que lo formaliza y la condición de recepción. La columna de estado marca el dato que el usuario debe aportar. Ningún compromiso se supone firmado.</w:t>
      </w:r>
    </w:p>
    <w:p>
      <w:pPr>
        <w:pStyle w:val="TablaRotulo"/>
      </w:pPr>
      <w:bookmarkStart w:id="9369" w:name="rot_Tabla_14_9"/>
      <w:r>
        <w:rPr>
          <w:b/>
          <w:bCs/>
        </w:rPr>
        <w:t xml:space="preserve">Tabla 14.9</w:t>
      </w:r>
      <w:bookmarkEnd w:id="9369"/>
    </w:p>
    <w:p>
      <w:pPr>
        <w:pStyle w:val="TablaTitulo"/>
      </w:pPr>
      <w:r>
        <w:rPr>
          <w:i/>
          <w:iCs/>
        </w:rPr>
        <w:t xml:space="preserve">Compromisos institucionales de continuidad y estado de formalización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52"/>
        <w:gridCol w:w="1518"/>
        <w:gridCol w:w="1518"/>
        <w:gridCol w:w="1386"/>
        <w:gridCol w:w="2046"/>
      </w:tblGrid>
      <w:tr>
        <w:trPr>
          <w:cantSplit/>
          <w:tblHeader/>
        </w:trPr>
        <w:tc>
          <w:tcPr>
            <w:shd w:val="clear" w:color="auto" w:fill="00B050"/>
          </w:tcPr>
          <w:p>
            <w:pPr>
              <w:pStyle w:val="Tabla9"/>
              <w:jc w:val="center"/>
            </w:pPr>
            <w:r>
              <w:rPr>
                <w:b/>
                <w:color w:val="FFFFFF"/>
              </w:rPr>
              <w:t xml:space="preserve">Entidad</w:t>
            </w:r>
          </w:p>
        </w:tc>
        <w:tc>
          <w:tcPr>
            <w:shd w:val="clear" w:color="auto" w:fill="00B050"/>
          </w:tcPr>
          <w:p>
            <w:pPr>
              <w:pStyle w:val="Tabla9"/>
              <w:jc w:val="center"/>
            </w:pPr>
            <w:r>
              <w:rPr>
                <w:b/>
                <w:color w:val="FFFFFF"/>
              </w:rPr>
              <w:t xml:space="preserve">Compromiso de continuidad esperado</w:t>
            </w:r>
          </w:p>
        </w:tc>
        <w:tc>
          <w:tcPr>
            <w:shd w:val="clear" w:color="auto" w:fill="00B050"/>
          </w:tcPr>
          <w:p>
            <w:pPr>
              <w:pStyle w:val="Tabla9"/>
              <w:jc w:val="center"/>
            </w:pPr>
            <w:r>
              <w:rPr>
                <w:b/>
                <w:color w:val="FFFFFF"/>
              </w:rPr>
              <w:t xml:space="preserve">Instrumento</w:t>
            </w:r>
          </w:p>
        </w:tc>
        <w:tc>
          <w:tcPr>
            <w:shd w:val="clear" w:color="auto" w:fill="00B050"/>
          </w:tcPr>
          <w:p>
            <w:pPr>
              <w:pStyle w:val="Tabla9"/>
              <w:jc w:val="center"/>
            </w:pPr>
            <w:r>
              <w:rPr>
                <w:b/>
                <w:color w:val="FFFFFF"/>
              </w:rPr>
              <w:t xml:space="preserve">Condición de recepción</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Alcaldías</w:t>
            </w:r>
          </w:p>
        </w:tc>
        <w:tc>
          <w:tcPr/>
          <w:p>
            <w:pPr>
              <w:pStyle w:val="Tabla9"/>
              <w:jc w:val="left"/>
            </w:pPr>
            <w:r>
              <w:t xml:space="preserve">Competencia legal sobre la alerta y uso del tablero en sus protocolos</w:t>
            </w:r>
          </w:p>
        </w:tc>
        <w:tc>
          <w:tcPr/>
          <w:p>
            <w:pPr>
              <w:pStyle w:val="Tabla9"/>
              <w:jc w:val="left"/>
            </w:pPr>
            <w:r>
              <w:t xml:space="preserve">Acto administrativo o carta de compromiso</w:t>
            </w:r>
          </w:p>
        </w:tc>
        <w:tc>
          <w:tcPr/>
          <w:p>
            <w:pPr>
              <w:pStyle w:val="Tabla9"/>
              <w:jc w:val="left"/>
            </w:pPr>
            <w:r>
              <w:t xml:space="preserve">Partida en el plan operativo anual y personal designado</w:t>
            </w:r>
          </w:p>
        </w:tc>
        <w:tc>
          <w:tcPr/>
          <w:p>
            <w:pPr>
              <w:pStyle w:val="Tabla9"/>
              <w:jc w:val="left"/>
            </w:pPr>
            <w:r>
              <w:t xml:space="preserve">Pendiente de firma [DATO_USUARIO: acto o carta de las alcaldías]</w:t>
            </w:r>
          </w:p>
        </w:tc>
      </w:tr>
      <w:tr>
        <w:trPr>
          <w:cantSplit/>
        </w:trPr>
        <w:tc>
          <w:tcPr/>
          <w:p>
            <w:pPr>
              <w:pStyle w:val="Tabla9"/>
              <w:jc w:val="left"/>
            </w:pPr>
            <w:r>
              <w:t xml:space="preserve">Gobernaciones y unidades de gestión del riesgo</w:t>
            </w:r>
          </w:p>
        </w:tc>
        <w:tc>
          <w:tcPr/>
          <w:p>
            <w:pPr>
              <w:pStyle w:val="Tabla9"/>
              <w:jc w:val="left"/>
            </w:pPr>
            <w:r>
              <w:t xml:space="preserve">Custodia del tablero y de las alertas por departamento</w:t>
            </w:r>
          </w:p>
        </w:tc>
        <w:tc>
          <w:tcPr/>
          <w:p>
            <w:pPr>
              <w:pStyle w:val="Tabla9"/>
              <w:jc w:val="left"/>
            </w:pPr>
            <w:r>
              <w:t xml:space="preserve">Convenio u ordenanza</w:t>
            </w:r>
          </w:p>
        </w:tc>
        <w:tc>
          <w:tcPr/>
          <w:p>
            <w:pPr>
              <w:pStyle w:val="Tabla9"/>
              <w:jc w:val="left"/>
            </w:pPr>
            <w:r>
              <w:t xml:space="preserve">Competencia jurídica documentada</w:t>
            </w:r>
          </w:p>
        </w:tc>
        <w:tc>
          <w:tcPr/>
          <w:p>
            <w:pPr>
              <w:pStyle w:val="Tabla9"/>
              <w:jc w:val="left"/>
            </w:pPr>
            <w:r>
              <w:t xml:space="preserve">Pendiente de firma [DATO_USUARIO: convenio u ordenanza departamental]</w:t>
            </w:r>
          </w:p>
        </w:tc>
      </w:tr>
      <w:tr>
        <w:trPr>
          <w:cantSplit/>
        </w:trPr>
        <w:tc>
          <w:tcPr/>
          <w:p>
            <w:pPr>
              <w:pStyle w:val="Tabla9"/>
              <w:jc w:val="left"/>
            </w:pPr>
            <w:r>
              <w:t xml:space="preserve">UNGRD</w:t>
            </w:r>
          </w:p>
        </w:tc>
        <w:tc>
          <w:tcPr/>
          <w:p>
            <w:pPr>
              <w:pStyle w:val="Tabla9"/>
              <w:jc w:val="left"/>
            </w:pPr>
            <w:r>
              <w:t xml:space="preserve">Aporte de personal y articulación con los puestos de mando</w:t>
            </w:r>
          </w:p>
        </w:tc>
        <w:tc>
          <w:tcPr/>
          <w:p>
            <w:pPr>
              <w:pStyle w:val="Tabla9"/>
              <w:jc w:val="left"/>
            </w:pPr>
            <w:r>
              <w:t xml:space="preserve">Convenio de cooperación</w:t>
            </w:r>
          </w:p>
        </w:tc>
        <w:tc>
          <w:tcPr/>
          <w:p>
            <w:pPr>
              <w:pStyle w:val="Tabla9"/>
              <w:jc w:val="left"/>
            </w:pPr>
            <w:r>
              <w:t xml:space="preserve">Aval y partida del aporte en especie</w:t>
            </w:r>
          </w:p>
        </w:tc>
        <w:tc>
          <w:tcPr/>
          <w:p>
            <w:pPr>
              <w:pStyle w:val="Tabla9"/>
              <w:jc w:val="left"/>
            </w:pPr>
            <w:r>
              <w:t xml:space="preserve">Pendiente de firma [DATO_USUARIO: convenio con la UNGRD]</w:t>
            </w:r>
          </w:p>
        </w:tc>
      </w:tr>
      <w:tr>
        <w:trPr>
          <w:cantSplit/>
        </w:trPr>
        <w:tc>
          <w:tcPr/>
          <w:p>
            <w:pPr>
              <w:pStyle w:val="Tabla9"/>
              <w:jc w:val="left"/>
            </w:pPr>
            <w:r>
              <w:t xml:space="preserve">IDEAM y autoridades ambientales</w:t>
            </w:r>
          </w:p>
        </w:tc>
        <w:tc>
          <w:tcPr/>
          <w:p>
            <w:pPr>
              <w:pStyle w:val="Tabla9"/>
              <w:jc w:val="left"/>
            </w:pPr>
            <w:r>
              <w:t xml:space="preserve">Referencia metrológica y custodia del protocolo de calibración</w:t>
            </w:r>
          </w:p>
        </w:tc>
        <w:tc>
          <w:tcPr/>
          <w:p>
            <w:pPr>
              <w:pStyle w:val="Tabla9"/>
              <w:jc w:val="left"/>
            </w:pPr>
            <w:r>
              <w:t xml:space="preserve">Convenio</w:t>
            </w:r>
          </w:p>
        </w:tc>
        <w:tc>
          <w:tcPr/>
          <w:p>
            <w:pPr>
              <w:pStyle w:val="Tabla9"/>
              <w:jc w:val="left"/>
            </w:pPr>
            <w:r>
              <w:t xml:space="preserve">Capacidad técnica y continuidad</w:t>
            </w:r>
          </w:p>
        </w:tc>
        <w:tc>
          <w:tcPr/>
          <w:p>
            <w:pPr>
              <w:pStyle w:val="Tabla9"/>
              <w:jc w:val="left"/>
            </w:pPr>
            <w:r>
              <w:t xml:space="preserve">Pendiente de firma [DATO_USUARIO: convenio con la autoridad ambiental]</w:t>
            </w:r>
          </w:p>
        </w:tc>
      </w:tr>
      <w:tr>
        <w:trPr>
          <w:cantSplit/>
        </w:trPr>
        <w:tc>
          <w:tcPr/>
          <w:p>
            <w:pPr>
              <w:pStyle w:val="Tabla9"/>
              <w:jc w:val="left"/>
            </w:pPr>
            <w:r>
              <w:t xml:space="preserve">Institución ejecutora</w:t>
            </w:r>
          </w:p>
        </w:tc>
        <w:tc>
          <w:tcPr/>
          <w:p>
            <w:pPr>
              <w:pStyle w:val="Tabla9"/>
              <w:jc w:val="left"/>
            </w:pPr>
            <w:r>
              <w:t xml:space="preserve">Custodia del conocimiento, del gemelo digital y de los datos</w:t>
            </w:r>
          </w:p>
        </w:tc>
        <w:tc>
          <w:tcPr/>
          <w:p>
            <w:pPr>
              <w:pStyle w:val="Tabla9"/>
              <w:jc w:val="left"/>
            </w:pPr>
            <w:r>
              <w:t xml:space="preserve">Convenio de ejecución y acta de cierre</w:t>
            </w:r>
          </w:p>
        </w:tc>
        <w:tc>
          <w:tcPr/>
          <w:p>
            <w:pPr>
              <w:pStyle w:val="Tabla9"/>
              <w:jc w:val="left"/>
            </w:pPr>
            <w:r>
              <w:t xml:space="preserve">Recursos permanentes que E3 declara ausentes</w:t>
            </w:r>
          </w:p>
        </w:tc>
        <w:tc>
          <w:tcPr/>
          <w:p>
            <w:pPr>
              <w:pStyle w:val="Tabla9"/>
              <w:jc w:val="left"/>
            </w:pPr>
            <w:r>
              <w:t xml:space="preserve">Pendiente de firma [DATO_USUARIO: nombre de la entidad ejecutora y convenio]</w:t>
            </w:r>
          </w:p>
        </w:tc>
      </w:tr>
      <w:tr>
        <w:trPr>
          <w:cantSplit/>
        </w:trPr>
        <w:tc>
          <w:tcPr/>
          <w:p>
            <w:pPr>
              <w:pStyle w:val="Tabla9"/>
              <w:jc w:val="left"/>
            </w:pPr>
            <w:r>
              <w:t xml:space="preserve">Empresa aliada</w:t>
            </w:r>
          </w:p>
        </w:tc>
        <w:tc>
          <w:tcPr/>
          <w:p>
            <w:pPr>
              <w:pStyle w:val="Tabla9"/>
              <w:jc w:val="left"/>
            </w:pPr>
            <w:r>
              <w:t xml:space="preserve">Mantenimiento tecnológico, código y propiedad intelectual</w:t>
            </w:r>
          </w:p>
        </w:tc>
        <w:tc>
          <w:tcPr/>
          <w:p>
            <w:pPr>
              <w:pStyle w:val="Tabla9"/>
              <w:jc w:val="left"/>
            </w:pPr>
            <w:r>
              <w:t xml:space="preserve">Acuerdo de titularidad y licencia</w:t>
            </w:r>
          </w:p>
        </w:tc>
        <w:tc>
          <w:tcPr/>
          <w:p>
            <w:pPr>
              <w:pStyle w:val="Tabla9"/>
              <w:jc w:val="left"/>
            </w:pPr>
            <w:r>
              <w:t xml:space="preserve">Modelo de negocio con fuente</w:t>
            </w:r>
          </w:p>
        </w:tc>
        <w:tc>
          <w:tcPr/>
          <w:p>
            <w:pPr>
              <w:pStyle w:val="Tabla9"/>
              <w:jc w:val="left"/>
            </w:pPr>
            <w:r>
              <w:t xml:space="preserve">Pendiente de firma [DATO_USUARIO: nombre de la empresa tecnológica y acuerdo]</w:t>
            </w:r>
          </w:p>
        </w:tc>
      </w:tr>
      <w:tr>
        <w:trPr>
          <w:cantSplit/>
        </w:trPr>
        <w:tc>
          <w:tcPr/>
          <w:p>
            <w:pPr>
              <w:pStyle w:val="Tabla9"/>
              <w:jc w:val="left"/>
            </w:pPr>
            <w:r>
              <w:t xml:space="preserve">ARL y corporación autónoma</w:t>
            </w:r>
          </w:p>
        </w:tc>
        <w:tc>
          <w:tcPr/>
          <w:p>
            <w:pPr>
              <w:pStyle w:val="Tabla9"/>
              <w:jc w:val="left"/>
            </w:pPr>
            <w:r>
              <w:t xml:space="preserve">Cofinanciación de mantenimiento y repuestos</w:t>
            </w:r>
          </w:p>
        </w:tc>
        <w:tc>
          <w:tcPr/>
          <w:p>
            <w:pPr>
              <w:pStyle w:val="Tabla9"/>
              <w:jc w:val="left"/>
            </w:pPr>
            <w:r>
              <w:t xml:space="preserve">Convenio de cofinanciación</w:t>
            </w:r>
          </w:p>
        </w:tc>
        <w:tc>
          <w:tcPr/>
          <w:p>
            <w:pPr>
              <w:pStyle w:val="Tabla9"/>
              <w:jc w:val="left"/>
            </w:pPr>
            <w:r>
              <w:t xml:space="preserve">Evidencia de la partida</w:t>
            </w:r>
          </w:p>
        </w:tc>
        <w:tc>
          <w:tcPr/>
          <w:p>
            <w:pPr>
              <w:pStyle w:val="Tabla9"/>
              <w:jc w:val="left"/>
            </w:pPr>
            <w:r>
              <w:t xml:space="preserve">Pendiente de firma [DATO_USUARIO: convenio de cofinanciación]</w:t>
            </w:r>
          </w:p>
        </w:tc>
      </w:tr>
      <w:tr>
        <w:trPr>
          <w:cantSplit/>
        </w:trPr>
        <w:tc>
          <w:tcPr/>
          <w:p>
            <w:pPr>
              <w:pStyle w:val="Tabla9"/>
              <w:jc w:val="left"/>
            </w:pPr>
            <w:r>
              <w:t xml:space="preserve">Órgano de gobierno de la alianza</w:t>
            </w:r>
          </w:p>
        </w:tc>
        <w:tc>
          <w:tcPr/>
          <w:p>
            <w:pPr>
              <w:pStyle w:val="Tabla9"/>
              <w:jc w:val="left"/>
            </w:pPr>
            <w:r>
              <w:t xml:space="preserve">Cláusula de apertura y salida ordenada</w:t>
            </w:r>
          </w:p>
        </w:tc>
        <w:tc>
          <w:tcPr/>
          <w:p>
            <w:pPr>
              <w:pStyle w:val="Tabla9"/>
              <w:jc w:val="left"/>
            </w:pPr>
            <w:r>
              <w:t xml:space="preserve">Acta de constitución del órgano</w:t>
            </w:r>
          </w:p>
        </w:tc>
        <w:tc>
          <w:tcPr/>
          <w:p>
            <w:pPr>
              <w:pStyle w:val="Tabla9"/>
              <w:jc w:val="left"/>
            </w:pPr>
            <w:r>
              <w:t xml:space="preserve">Firma antes del primer tramo de transferencia</w:t>
            </w:r>
          </w:p>
        </w:tc>
        <w:tc>
          <w:tcPr/>
          <w:p>
            <w:pPr>
              <w:pStyle w:val="Tabla9"/>
              <w:jc w:val="left"/>
            </w:pPr>
            <w:r>
              <w:t xml:space="preserve">Pendiente de firma [DATO_USUARIO: acta de constitución]</w:t>
            </w:r>
          </w:p>
        </w:tc>
      </w:tr>
    </w:tbl>
    <w:p>
      <w:pPr>
        <w:pStyle w:val="TablaNota"/>
      </w:pPr>
      <w:r>
        <w:rPr>
          <w:i/>
          <w:iCs/>
        </w:rPr>
        <w:t xml:space="preserve">Nota.</w:t>
      </w:r>
      <w:r>
        <w:t xml:space="preserve"> </w:t>
      </w:r>
      <w:r>
        <w:t xml:space="preserve">Elaboración propia con la sección 4.4-MDR.10 y la ficha maestra (hito H8). Naturaleza: PROPUESTO. Los nombres de entidades y los instrumentos firmados son [DATO_USUARIO].</w:t>
      </w:r>
    </w:p>
    <w:p>
      <w:pPr>
        <w:pStyle w:val="BodyText"/>
      </w:pPr>
      <w:r>
        <w:t xml:space="preserve">La Tabla 14.9 muestra ocho compromisos y ocho estados pendientes. La compuerta C2 del mes 17 exige convenios de custodia con partida. Por eso los convenios de los custodios del tramo 2 deben firmarse antes de esa fecha. Los convenios del tramo 3 se firman en la actividad A3.3, después de C2. La condición de recepción protege el servicio. Sin partida, personal y competencia jurídica, la transferencia no ocurre y rige la cláusula de apertura.</w:t>
      </w:r>
    </w:p>
    <w:bookmarkEnd w:id="613"/>
    <w:bookmarkStart w:id="617" w:name="_Toc00900242"/>
    <w:p>
      <w:pPr>
        <w:pStyle w:val="Heading2"/>
      </w:pPr>
      <w:r>
        <w:t xml:space="preserve">14.4 Sostenibilidad social</w:t>
      </w:r>
    </w:p>
    <w:p>
      <w:pPr>
        <w:pStyle w:val="FirstParagraph"/>
      </w:pPr>
      <w:r>
        <w:t xml:space="preserve">La apropiación comunitaria es el proceso por el cual la población usa y exige el servicio sin depender del equipo del proyecto. La participación simbólica se distingue del poder real de decisión (Arnstein, 1969). Callon (1999) sostiene que las personas no expertas producen conocimiento útil cuando participan desde el diseño. La educación se construye en diálogo (Freire, 2005). Una posición sostiene que informar y consultar basta para que la comunidad use una alerta. La posición contraria sostiene que la comunidad solo sostiene lo que ayudó a definir. El proyecto adopta la segunda para los umbrales y la primera para los materiales. Compromete 29 actividades de apropiación, 20 talleres y 9 jornadas (PERS-P04), y al menos tres actividades de nivel 3 con acta firmada.</w:t>
      </w:r>
    </w:p>
    <w:p>
      <w:pPr>
        <w:pStyle w:val="BodyText"/>
      </w:pPr>
      <w:r>
        <w:t xml:space="preserve">Las redes de soporte son los actores que mantienen el uso cuando el equipo se retira. Mitchell et al. (1997) proponen identificarlos por su poder, su legitimidad y su urgencia. En el proyecto, los comités de gestión del riesgo son 15, 12 municipales y 3 departamentales (SUPUESTO), con 150 funcionarios beneficiarios (SUPUESTO). E3 identifica además a los líderes de las juntas de acción comunal como canal para transmitir alertas simplificadas (DECLARADO; NO_VERIFICADO). La influencia social y las condiciones de apoyo figuran entre las causas del uso sostenido (Venkatesh et al., 2003). La difusión de una innovación depende de los canales de comunicación y del sistema social que la rodea (Rogers, 2003). La consecuencia es que el proyecto diseña el soporte como una red de comités, líderes y custodios con funciones definidas. No lo diseña como una dependencia de la entidad ejecutora.</w:t>
      </w:r>
    </w:p>
    <w:p>
      <w:pPr>
        <w:pStyle w:val="BodyText"/>
      </w:pPr>
      <w:r>
        <w:t xml:space="preserve">Los mecanismos de continuidad social son cuatro. El primero es la formación de formadores locales, que cubre el nivel 4 de la escalera. Se mide con PERS-E03: al menos 60 personas certificadas. El segundo es el observatorio comunitario, que se declara aspiracional con una actividad que posea plan de sostenibilidad. El tercero son los materiales. El presupuesto financia 5.000 cartillas del índice y del protocolo de alerta (M04) y 20 laboratorios ciudadanos con alimentación (V05). El cuarto es la designación de personal permanente en cada convenio. El riesgo asociado es que los custodios no asuman la operación (R-ORG-02), con un valor monetario esperado de 60,0 millones de COP (CALCULADO). La Tabla 14.10 presenta el plan de sostenibilidad social.</w:t>
      </w:r>
    </w:p>
    <w:p>
      <w:pPr>
        <w:pStyle w:val="TablaRotulo"/>
      </w:pPr>
      <w:bookmarkStart w:id="9370" w:name="rot_Tabla_14_10"/>
      <w:r>
        <w:rPr>
          <w:b/>
          <w:bCs/>
        </w:rPr>
        <w:t xml:space="preserve">Tabla 14.10</w:t>
      </w:r>
      <w:bookmarkEnd w:id="9370"/>
    </w:p>
    <w:p>
      <w:pPr>
        <w:pStyle w:val="TablaTitulo"/>
      </w:pPr>
      <w:r>
        <w:rPr>
          <w:i/>
          <w:iCs/>
        </w:rPr>
        <w:t xml:space="preserve">Plan de sostenibilidad social: mecanismos, actores, indicadores y metas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1254"/>
        <w:gridCol w:w="1452"/>
        <w:gridCol w:w="858"/>
        <w:gridCol w:w="1452"/>
        <w:gridCol w:w="1518"/>
      </w:tblGrid>
      <w:tr>
        <w:trPr>
          <w:cantSplit/>
          <w:tblHeader/>
        </w:trPr>
        <w:tc>
          <w:tcPr>
            <w:shd w:val="clear" w:color="auto" w:fill="00B050"/>
          </w:tcPr>
          <w:p>
            <w:pPr>
              <w:pStyle w:val="Tabla9"/>
              <w:jc w:val="center"/>
            </w:pPr>
            <w:r>
              <w:rPr>
                <w:b/>
                <w:color w:val="FFFFFF"/>
              </w:rPr>
              <w:t xml:space="preserve">Mecanismo</w:t>
            </w:r>
          </w:p>
        </w:tc>
        <w:tc>
          <w:tcPr>
            <w:shd w:val="clear" w:color="auto" w:fill="00B050"/>
          </w:tcPr>
          <w:p>
            <w:pPr>
              <w:pStyle w:val="Tabla9"/>
              <w:jc w:val="center"/>
            </w:pPr>
            <w:r>
              <w:rPr>
                <w:b/>
                <w:color w:val="FFFFFF"/>
              </w:rPr>
              <w:t xml:space="preserve">Actores</w:t>
            </w:r>
          </w:p>
        </w:tc>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Línea base</w:t>
            </w:r>
          </w:p>
        </w:tc>
        <w:tc>
          <w:tcPr>
            <w:shd w:val="clear" w:color="auto" w:fill="00B050"/>
          </w:tcPr>
          <w:p>
            <w:pPr>
              <w:pStyle w:val="Tabla9"/>
              <w:jc w:val="center"/>
            </w:pPr>
            <w:r>
              <w:rPr>
                <w:b/>
                <w:color w:val="FFFFFF"/>
              </w:rPr>
              <w:t xml:space="preserve">Meta</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Actividades de apropiación</w:t>
            </w:r>
          </w:p>
        </w:tc>
        <w:tc>
          <w:tcPr/>
          <w:p>
            <w:pPr>
              <w:pStyle w:val="Tabla9"/>
              <w:jc w:val="left"/>
            </w:pPr>
            <w:r>
              <w:t xml:space="preserve">Comunidad, operarios y comités</w:t>
            </w:r>
          </w:p>
        </w:tc>
        <w:tc>
          <w:tcPr/>
          <w:p>
            <w:pPr>
              <w:pStyle w:val="Tabla9"/>
              <w:jc w:val="left"/>
            </w:pPr>
            <w:r>
              <w:t xml:space="preserve">PERS-P04: actividades documentadas</w:t>
            </w:r>
          </w:p>
        </w:tc>
        <w:tc>
          <w:tcPr/>
          <w:p>
            <w:pPr>
              <w:pStyle w:val="Tabla9"/>
              <w:jc w:val="left"/>
            </w:pPr>
            <w:r>
              <w:t xml:space="preserve">0</w:t>
            </w:r>
          </w:p>
        </w:tc>
        <w:tc>
          <w:tcPr/>
          <w:p>
            <w:pPr>
              <w:pStyle w:val="Tabla9"/>
              <w:jc w:val="left"/>
            </w:pPr>
            <w:r>
              <w:t xml:space="preserve">29 actividades (20 talleres y 9 jornadas) al mes 24</w:t>
            </w:r>
          </w:p>
        </w:tc>
        <w:tc>
          <w:tcPr/>
          <w:p>
            <w:pPr>
              <w:pStyle w:val="Tabla9"/>
              <w:jc w:val="left"/>
            </w:pPr>
            <w:r>
              <w:t xml:space="preserve">DECLARADO; CALCULADO</w:t>
            </w:r>
          </w:p>
        </w:tc>
      </w:tr>
      <w:tr>
        <w:trPr>
          <w:cantSplit/>
        </w:trPr>
        <w:tc>
          <w:tcPr/>
          <w:p>
            <w:pPr>
              <w:pStyle w:val="Tabla9"/>
              <w:jc w:val="left"/>
            </w:pPr>
            <w:r>
              <w:t xml:space="preserve">Co-diseño de umbrales (nivel 3)</w:t>
            </w:r>
          </w:p>
        </w:tc>
        <w:tc>
          <w:tcPr/>
          <w:p>
            <w:pPr>
              <w:pStyle w:val="Tabla9"/>
              <w:jc w:val="left"/>
            </w:pPr>
            <w:r>
              <w:t xml:space="preserve">Comités, autoridad de salud y comunidad</w:t>
            </w:r>
          </w:p>
        </w:tc>
        <w:tc>
          <w:tcPr/>
          <w:p>
            <w:pPr>
              <w:pStyle w:val="Tabla9"/>
              <w:jc w:val="left"/>
            </w:pPr>
            <w:r>
              <w:t xml:space="preserve">Actividades de nivel 3 con acta firmada</w:t>
            </w:r>
          </w:p>
        </w:tc>
        <w:tc>
          <w:tcPr/>
          <w:p>
            <w:pPr>
              <w:pStyle w:val="Tabla9"/>
              <w:jc w:val="left"/>
            </w:pPr>
            <w:r>
              <w:t xml:space="preserve">0</w:t>
            </w:r>
          </w:p>
        </w:tc>
        <w:tc>
          <w:tcPr/>
          <w:p>
            <w:pPr>
              <w:pStyle w:val="Tabla9"/>
              <w:jc w:val="left"/>
            </w:pPr>
            <w:r>
              <w:t xml:space="preserve">Mínimo 3</w:t>
            </w:r>
          </w:p>
        </w:tc>
        <w:tc>
          <w:tcPr/>
          <w:p>
            <w:pPr>
              <w:pStyle w:val="Tabla9"/>
              <w:jc w:val="left"/>
            </w:pPr>
            <w:r>
              <w:t xml:space="preserve">DECLARADO</w:t>
            </w:r>
          </w:p>
        </w:tc>
      </w:tr>
      <w:tr>
        <w:trPr>
          <w:cantSplit/>
        </w:trPr>
        <w:tc>
          <w:tcPr/>
          <w:p>
            <w:pPr>
              <w:pStyle w:val="Tabla9"/>
              <w:jc w:val="left"/>
            </w:pPr>
            <w:r>
              <w:t xml:space="preserve">Uso institucional del tablero</w:t>
            </w:r>
          </w:p>
        </w:tc>
        <w:tc>
          <w:tcPr/>
          <w:p>
            <w:pPr>
              <w:pStyle w:val="Tabla9"/>
              <w:jc w:val="left"/>
            </w:pPr>
            <w:r>
              <w:t xml:space="preserve">15 comités y 150 funcionarios</w:t>
            </w:r>
          </w:p>
        </w:tc>
        <w:tc>
          <w:tcPr/>
          <w:p>
            <w:pPr>
              <w:pStyle w:val="Tabla9"/>
              <w:jc w:val="left"/>
            </w:pPr>
            <w:r>
              <w:t xml:space="preserve">PERS-E01: comités con decisión documentada</w:t>
            </w:r>
          </w:p>
        </w:tc>
        <w:tc>
          <w:tcPr/>
          <w:p>
            <w:pPr>
              <w:pStyle w:val="Tabla9"/>
              <w:jc w:val="left"/>
            </w:pPr>
            <w:r>
              <w:t xml:space="preserve">VACIO</w:t>
            </w:r>
          </w:p>
        </w:tc>
        <w:tc>
          <w:tcPr/>
          <w:p>
            <w:pPr>
              <w:pStyle w:val="Tabla9"/>
              <w:jc w:val="left"/>
            </w:pPr>
            <w:r>
              <w:t xml:space="preserve">≥ 75 % al mes 24</w:t>
            </w:r>
          </w:p>
        </w:tc>
        <w:tc>
          <w:tcPr/>
          <w:p>
            <w:pPr>
              <w:pStyle w:val="Tabla9"/>
              <w:jc w:val="left"/>
            </w:pPr>
            <w:r>
              <w:t xml:space="preserve">DECLARADO; SUPUESTO</w:t>
            </w:r>
          </w:p>
        </w:tc>
      </w:tr>
      <w:tr>
        <w:trPr>
          <w:cantSplit/>
        </w:trPr>
        <w:tc>
          <w:tcPr/>
          <w:p>
            <w:pPr>
              <w:pStyle w:val="Tabla9"/>
              <w:jc w:val="left"/>
            </w:pPr>
            <w:r>
              <w:t xml:space="preserve">Formación de formadores locales</w:t>
            </w:r>
          </w:p>
        </w:tc>
        <w:tc>
          <w:tcPr/>
          <w:p>
            <w:pPr>
              <w:pStyle w:val="Tabla9"/>
              <w:jc w:val="left"/>
            </w:pPr>
            <w:r>
              <w:t xml:space="preserve">Custodios y líderes locales</w:t>
            </w:r>
          </w:p>
        </w:tc>
        <w:tc>
          <w:tcPr/>
          <w:p>
            <w:pPr>
              <w:pStyle w:val="Tabla9"/>
              <w:jc w:val="left"/>
            </w:pPr>
            <w:r>
              <w:t xml:space="preserve">PERS-E03: personas certificadas</w:t>
            </w:r>
          </w:p>
        </w:tc>
        <w:tc>
          <w:tcPr/>
          <w:p>
            <w:pPr>
              <w:pStyle w:val="Tabla9"/>
              <w:jc w:val="left"/>
            </w:pPr>
            <w:r>
              <w:t xml:space="preserve">0</w:t>
            </w:r>
          </w:p>
        </w:tc>
        <w:tc>
          <w:tcPr/>
          <w:p>
            <w:pPr>
              <w:pStyle w:val="Tabla9"/>
              <w:jc w:val="left"/>
            </w:pPr>
            <w:r>
              <w:t xml:space="preserve">≥ 60 personas</w:t>
            </w:r>
          </w:p>
        </w:tc>
        <w:tc>
          <w:tcPr/>
          <w:p>
            <w:pPr>
              <w:pStyle w:val="Tabla9"/>
              <w:jc w:val="left"/>
            </w:pPr>
            <w:r>
              <w:t xml:space="preserve">DECLARADO; CALCULADO</w:t>
            </w:r>
          </w:p>
        </w:tc>
      </w:tr>
      <w:tr>
        <w:trPr>
          <w:cantSplit/>
        </w:trPr>
        <w:tc>
          <w:tcPr/>
          <w:p>
            <w:pPr>
              <w:pStyle w:val="Tabla9"/>
              <w:jc w:val="left"/>
            </w:pPr>
            <w:r>
              <w:t xml:space="preserve">Observatorio comunitario (nivel 4)</w:t>
            </w:r>
          </w:p>
        </w:tc>
        <w:tc>
          <w:tcPr/>
          <w:p>
            <w:pPr>
              <w:pStyle w:val="Tabla9"/>
              <w:jc w:val="left"/>
            </w:pPr>
            <w:r>
              <w:t xml:space="preserve">Comunidad y custodios</w:t>
            </w:r>
          </w:p>
        </w:tc>
        <w:tc>
          <w:tcPr/>
          <w:p>
            <w:pPr>
              <w:pStyle w:val="Tabla9"/>
              <w:jc w:val="left"/>
            </w:pPr>
            <w:r>
              <w:t xml:space="preserve">Actividad con plan de sostenibilidad</w:t>
            </w:r>
          </w:p>
        </w:tc>
        <w:tc>
          <w:tcPr/>
          <w:p>
            <w:pPr>
              <w:pStyle w:val="Tabla9"/>
              <w:jc w:val="left"/>
            </w:pPr>
            <w:r>
              <w:t xml:space="preserve">0</w:t>
            </w:r>
          </w:p>
        </w:tc>
        <w:tc>
          <w:tcPr/>
          <w:p>
            <w:pPr>
              <w:pStyle w:val="Tabla9"/>
              <w:jc w:val="left"/>
            </w:pPr>
            <w:r>
              <w:t xml:space="preserve">1 (aspiracional)</w:t>
            </w:r>
          </w:p>
        </w:tc>
        <w:tc>
          <w:tcPr/>
          <w:p>
            <w:pPr>
              <w:pStyle w:val="Tabla9"/>
              <w:jc w:val="left"/>
            </w:pPr>
            <w:r>
              <w:t xml:space="preserve">PROPUESTO</w:t>
            </w:r>
          </w:p>
        </w:tc>
      </w:tr>
      <w:tr>
        <w:trPr>
          <w:cantSplit/>
        </w:trPr>
        <w:tc>
          <w:tcPr/>
          <w:p>
            <w:pPr>
              <w:pStyle w:val="Tabla9"/>
              <w:jc w:val="left"/>
            </w:pPr>
            <w:r>
              <w:t xml:space="preserve">Continuidad bajo custodia</w:t>
            </w:r>
          </w:p>
        </w:tc>
        <w:tc>
          <w:tcPr/>
          <w:p>
            <w:pPr>
              <w:pStyle w:val="Tabla9"/>
              <w:jc w:val="left"/>
            </w:pPr>
            <w:r>
              <w:t xml:space="preserve">Custodios con partida</w:t>
            </w:r>
          </w:p>
        </w:tc>
        <w:tc>
          <w:tcPr/>
          <w:p>
            <w:pPr>
              <w:pStyle w:val="Tabla9"/>
              <w:jc w:val="left"/>
            </w:pPr>
            <w:r>
              <w:t xml:space="preserve">PERS-S02: nodos operados a los 12 meses del cierre</w:t>
            </w:r>
          </w:p>
        </w:tc>
        <w:tc>
          <w:tcPr/>
          <w:p>
            <w:pPr>
              <w:pStyle w:val="Tabla9"/>
              <w:jc w:val="left"/>
            </w:pPr>
            <w:r>
              <w:t xml:space="preserve">VACIO</w:t>
            </w:r>
          </w:p>
        </w:tc>
        <w:tc>
          <w:tcPr/>
          <w:p>
            <w:pPr>
              <w:pStyle w:val="Tabla9"/>
              <w:jc w:val="left"/>
            </w:pPr>
            <w:r>
              <w:t xml:space="preserve">≥ 70 %</w:t>
            </w:r>
          </w:p>
        </w:tc>
        <w:tc>
          <w:tcPr/>
          <w:p>
            <w:pPr>
              <w:pStyle w:val="Tabla9"/>
              <w:jc w:val="left"/>
            </w:pPr>
            <w:r>
              <w:t xml:space="preserve">DECLARADO</w:t>
            </w:r>
          </w:p>
        </w:tc>
      </w:tr>
      <w:tr>
        <w:trPr>
          <w:cantSplit/>
        </w:trPr>
        <w:tc>
          <w:tcPr/>
          <w:p>
            <w:pPr>
              <w:pStyle w:val="Tabla9"/>
              <w:jc w:val="left"/>
            </w:pPr>
            <w:r>
              <w:t xml:space="preserve">Materiales de apropiación</w:t>
            </w:r>
          </w:p>
        </w:tc>
        <w:tc>
          <w:tcPr/>
          <w:p>
            <w:pPr>
              <w:pStyle w:val="Tabla9"/>
              <w:jc w:val="left"/>
            </w:pPr>
            <w:r>
              <w:t xml:space="preserve">Población y funcionarios</w:t>
            </w:r>
          </w:p>
        </w:tc>
        <w:tc>
          <w:tcPr/>
          <w:p>
            <w:pPr>
              <w:pStyle w:val="Tabla9"/>
              <w:jc w:val="left"/>
            </w:pPr>
            <w:r>
              <w:t xml:space="preserve">Cartillas del índice y del protocolo (M04)</w:t>
            </w:r>
          </w:p>
        </w:tc>
        <w:tc>
          <w:tcPr/>
          <w:p>
            <w:pPr>
              <w:pStyle w:val="Tabla9"/>
              <w:jc w:val="left"/>
            </w:pPr>
            <w:r>
              <w:t xml:space="preserve">0</w:t>
            </w:r>
          </w:p>
        </w:tc>
        <w:tc>
          <w:tcPr/>
          <w:p>
            <w:pPr>
              <w:pStyle w:val="Tabla9"/>
              <w:jc w:val="left"/>
            </w:pPr>
            <w:r>
              <w:t xml:space="preserve">5.000 unidades presupuestadas</w:t>
            </w:r>
          </w:p>
        </w:tc>
        <w:tc>
          <w:tcPr/>
          <w:p>
            <w:pPr>
              <w:pStyle w:val="Tabla9"/>
              <w:jc w:val="left"/>
            </w:pPr>
            <w:r>
              <w:t xml:space="preserve">DECLARADO</w:t>
            </w:r>
          </w:p>
        </w:tc>
      </w:tr>
    </w:tbl>
    <w:p>
      <w:pPr>
        <w:pStyle w:val="TablaNota"/>
      </w:pPr>
      <w:r>
        <w:rPr>
          <w:i/>
          <w:iCs/>
        </w:rPr>
        <w:t xml:space="preserve">Nota.</w:t>
      </w:r>
      <w:r>
        <w:t xml:space="preserve"> </w:t>
      </w:r>
      <w:r>
        <w:t xml:space="preserve">Elaboración propia con la ficha de indicadores PERS y la ficha maestra (líneas M04 y V05). Los comités y funcionarios son SUPUESTO. Los indicadores PERS-S01 y PERS-S02 se miden 6 a 12 meses después del cierre.</w:t>
      </w:r>
    </w:p>
    <w:p>
      <w:pPr>
        <w:pStyle w:val="BodyText"/>
      </w:pPr>
      <w:r>
        <w:t xml:space="preserve">La Tabla 14.10 indica que cinco de los siete mecanismos cuentan con un indicador PERS. El observatorio comunitario se mide con la meta aspiracional de la escalera ASC y los materiales con la cantidad presupuestada. Las metas de uso, formación y continuidad dependen de los custodios y quedan sujetas a SC-4. El plan social no promete un resultado de salud. Promete uso documentado, personal certificado y continuidad bajo custodia. La Figura 14.2 integra los actores y los componentes en un ecosistema de sostenibilidad.</w:t>
      </w:r>
    </w:p>
    <w:p>
      <w:pPr>
        <w:pStyle w:val="FiguraRotulo"/>
      </w:pPr>
      <w:bookmarkStart w:id="9543" w:name="rot_Figura_14_2"/>
      <w:r>
        <w:rPr>
          <w:b/>
          <w:bCs/>
        </w:rPr>
        <w:t xml:space="preserve">Figura 14.2</w:t>
      </w:r>
      <w:bookmarkEnd w:id="9543"/>
    </w:p>
    <w:p>
      <w:pPr>
        <w:pStyle w:val="FiguraTitulo"/>
      </w:pPr>
      <w:r>
        <w:rPr>
          <w:i/>
          <w:iCs/>
        </w:rPr>
        <w:t xml:space="preserve">Ecosistema de sostenibilidad: componentes, custodios candidatos y comunidad</w:t>
      </w:r>
    </w:p>
    <w:p>
      <w:pPr>
        <w:pStyle w:val="BodyText"/>
      </w:pPr>
      <w:r>
        <w:drawing>
          <wp:inline>
            <wp:extent cx="5579999" cy="3918821"/>
            <wp:effectExtent b="0" l="0" r="0" t="0"/>
            <wp:docPr descr="" title="" id="615" name="Picture"/>
            <a:graphic>
              <a:graphicData uri="http://schemas.openxmlformats.org/drawingml/2006/picture">
                <pic:pic>
                  <pic:nvPicPr>
                    <pic:cNvPr descr="/tmp/claude-0/-home-user-docs/ddf38714-2a7e-502b-92b4-1008e2832422/scratchpad/proy/figs/out/c14_f02.png" id="616" name="Picture"/>
                    <pic:cNvPicPr>
                      <a:picLocks noChangeArrowheads="1" noChangeAspect="1"/>
                    </pic:cNvPicPr>
                  </pic:nvPicPr>
                  <pic:blipFill>
                    <a:blip r:embed="rId614"/>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sección 4.4-MDR.10 (custodia distribuida y gobernanza). Los custodios asignados están por definir con el ICAR (POR_DEFINIR). Naturaleza: PROPUESTO. Generada con matplotlib sin parámetros aleatorios.</w:t>
      </w:r>
    </w:p>
    <w:p>
      <w:pPr>
        <w:pStyle w:val="BodyText"/>
      </w:pPr>
      <w:r>
        <w:t xml:space="preserve">La Figura 14.2 muestra que el servicio central depende de cinco componentes y que cada uno posee candidatos a custodio, no un custodio asignado. La comunidad y los operarios rodean el ecosistema como usuarios y como red de soporte. El órgano de gobierno articula los componentes. Activa la cláusula de apertura cuando la cobertura del costo mínimo cae bajo 100 % durante dos trimestres consecutivos.</w:t>
      </w:r>
    </w:p>
    <w:bookmarkEnd w:id="617"/>
    <w:bookmarkStart w:id="618" w:name="_Toc00900243"/>
    <w:p>
      <w:pPr>
        <w:pStyle w:val="Heading2"/>
      </w:pPr>
      <w:r>
        <w:t xml:space="preserve">14.5 Plan de salida</w:t>
      </w:r>
    </w:p>
    <w:p>
      <w:pPr>
        <w:pStyle w:val="FirstParagraph"/>
      </w:pPr>
      <w:r>
        <w:t xml:space="preserve">El plan de salida organiza el paso de la responsabilidad del proyecto a los custodios. La transferencia se ejecuta por tramos condicionados. Cada tramo exige presupuesto aprobado, personal designado y competencia jurídica documentada. El costo de corregir una tecnología crece con el tiempo, y conviene decidir mientras el cambio es barato (Collingridge, 1980). Argyris y Schön (1978) sostienen que una organización aprende si revisa sus reglas y no solo sus acciones. El plan aplica ambos criterios: transfiere por etapas, con puntos de decisión tempranos, y deja una revisión de reglas en cada compuerta. Los hitos de transferencia son PROPUESTOS y se alinean con las compuertas de la ficha maestra.</w:t>
      </w:r>
    </w:p>
    <w:p>
      <w:pPr>
        <w:pStyle w:val="BodyText"/>
      </w:pPr>
      <w:r>
        <w:t xml:space="preserve">La alineación con la ficha maestra ajusta un mes de la secuencia original. La sección 4.4-MDR.10 situaba el tramo 2 de transferencia en el mes 18. La compuerta C2 de la ficha cae en el mes 17 y exige convenios de custodia con partida. Por eso el tramo 2 se ubica en ese mes. Los otros tramos coinciden con la secuencia original. El tramo 0 ocurre en el mes 6 y el tramo 1 en la compuerta C1 del mes 12. El tramo 3 ocurre en la compuerta C3 del mes 24. La Tabla 14.11 presenta los cuatro tramos con su contenido, su condición y las partidas que los financian.</w:t>
      </w:r>
    </w:p>
    <w:p>
      <w:pPr>
        <w:pStyle w:val="TablaRotulo"/>
      </w:pPr>
      <w:bookmarkStart w:id="9371" w:name="rot_Tabla_14_11"/>
      <w:r>
        <w:rPr>
          <w:b/>
          <w:bCs/>
        </w:rPr>
        <w:t xml:space="preserve">Tabla 14.11</w:t>
      </w:r>
      <w:bookmarkEnd w:id="9371"/>
    </w:p>
    <w:p>
      <w:pPr>
        <w:pStyle w:val="TablaTitulo"/>
      </w:pPr>
      <w:r>
        <w:rPr>
          <w:i/>
          <w:iCs/>
        </w:rPr>
        <w:t xml:space="preserve">Transferencia por tramos condicionados: contenido, condición y partidas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58"/>
        <w:gridCol w:w="792"/>
        <w:gridCol w:w="2178"/>
        <w:gridCol w:w="2244"/>
        <w:gridCol w:w="1848"/>
      </w:tblGrid>
      <w:tr>
        <w:trPr>
          <w:cantSplit/>
          <w:tblHeader/>
        </w:trPr>
        <w:tc>
          <w:tcPr>
            <w:shd w:val="clear" w:color="auto" w:fill="00B050"/>
          </w:tcPr>
          <w:p>
            <w:pPr>
              <w:pStyle w:val="Tabla9"/>
              <w:jc w:val="center"/>
            </w:pPr>
            <w:r>
              <w:rPr>
                <w:b/>
                <w:color w:val="FFFFFF"/>
              </w:rPr>
              <w:t xml:space="preserve">Tramo</w:t>
            </w:r>
          </w:p>
        </w:tc>
        <w:tc>
          <w:tcPr>
            <w:shd w:val="clear" w:color="auto" w:fill="00B050"/>
          </w:tcPr>
          <w:p>
            <w:pPr>
              <w:pStyle w:val="Tabla9"/>
              <w:jc w:val="center"/>
            </w:pPr>
            <w:r>
              <w:rPr>
                <w:b/>
                <w:color w:val="FFFFFF"/>
              </w:rPr>
              <w:t xml:space="preserve">Mes</w:t>
            </w:r>
          </w:p>
        </w:tc>
        <w:tc>
          <w:tcPr>
            <w:shd w:val="clear" w:color="auto" w:fill="00B050"/>
          </w:tcPr>
          <w:p>
            <w:pPr>
              <w:pStyle w:val="Tabla9"/>
              <w:jc w:val="center"/>
            </w:pPr>
            <w:r>
              <w:rPr>
                <w:b/>
                <w:color w:val="FFFFFF"/>
              </w:rPr>
              <w:t xml:space="preserve">Qué se transfiere</w:t>
            </w:r>
          </w:p>
        </w:tc>
        <w:tc>
          <w:tcPr>
            <w:shd w:val="clear" w:color="auto" w:fill="00B050"/>
          </w:tcPr>
          <w:p>
            <w:pPr>
              <w:pStyle w:val="Tabla9"/>
              <w:jc w:val="center"/>
            </w:pPr>
            <w:r>
              <w:rPr>
                <w:b/>
                <w:color w:val="FFFFFF"/>
              </w:rPr>
              <w:t xml:space="preserve">Condición de recepción</w:t>
            </w:r>
          </w:p>
        </w:tc>
        <w:tc>
          <w:tcPr>
            <w:shd w:val="clear" w:color="auto" w:fill="00B050"/>
          </w:tcPr>
          <w:p>
            <w:pPr>
              <w:pStyle w:val="Tabla9"/>
              <w:jc w:val="center"/>
            </w:pPr>
            <w:r>
              <w:rPr>
                <w:b/>
                <w:color w:val="FFFFFF"/>
              </w:rPr>
              <w:t xml:space="preserve">Partidas y evidencia</w:t>
            </w:r>
          </w:p>
        </w:tc>
      </w:tr>
      <w:tr>
        <w:trPr>
          <w:cantSplit/>
        </w:trPr>
        <w:tc>
          <w:tcPr/>
          <w:p>
            <w:pPr>
              <w:pStyle w:val="Tabla9"/>
              <w:jc w:val="left"/>
            </w:pPr>
            <w:r>
              <w:t xml:space="preserve">0</w:t>
            </w:r>
          </w:p>
        </w:tc>
        <w:tc>
          <w:tcPr/>
          <w:p>
            <w:pPr>
              <w:pStyle w:val="Tabla9"/>
              <w:jc w:val="left"/>
            </w:pPr>
            <w:r>
              <w:t xml:space="preserve">6</w:t>
            </w:r>
          </w:p>
        </w:tc>
        <w:tc>
          <w:tcPr/>
          <w:p>
            <w:pPr>
              <w:pStyle w:val="Tabla9"/>
              <w:jc w:val="left"/>
            </w:pPr>
            <w:r>
              <w:t xml:space="preserve">Nada; se firman los acuerdos de custodia y la cláusula de apertura</w:t>
            </w:r>
          </w:p>
        </w:tc>
        <w:tc>
          <w:tcPr/>
          <w:p>
            <w:pPr>
              <w:pStyle w:val="Tabla9"/>
              <w:jc w:val="left"/>
            </w:pPr>
            <w:r>
              <w:t xml:space="preserve">Acuerdos firmados antes de comprar el segundo lote de nodos</w:t>
            </w:r>
          </w:p>
        </w:tc>
        <w:tc>
          <w:tcPr/>
          <w:p>
            <w:pPr>
              <w:pStyle w:val="Tabla9"/>
              <w:jc w:val="left"/>
            </w:pPr>
            <w:r>
              <w:t xml:space="preserve">P14 y S02; actas firmadas</w:t>
            </w:r>
          </w:p>
        </w:tc>
      </w:tr>
      <w:tr>
        <w:trPr>
          <w:cantSplit/>
        </w:trPr>
        <w:tc>
          <w:tcPr/>
          <w:p>
            <w:pPr>
              <w:pStyle w:val="Tabla9"/>
              <w:jc w:val="left"/>
            </w:pPr>
            <w:r>
              <w:t xml:space="preserve">1</w:t>
            </w:r>
          </w:p>
        </w:tc>
        <w:tc>
          <w:tcPr/>
          <w:p>
            <w:pPr>
              <w:pStyle w:val="Tabla9"/>
              <w:jc w:val="left"/>
            </w:pPr>
            <w:r>
              <w:t xml:space="preserve">12 (C1)</w:t>
            </w:r>
          </w:p>
        </w:tc>
        <w:tc>
          <w:tcPr/>
          <w:p>
            <w:pPr>
              <w:pStyle w:val="Tabla9"/>
              <w:jc w:val="left"/>
            </w:pPr>
            <w:r>
              <w:t xml:space="preserve">Protocolo de calibración y series de datos</w:t>
            </w:r>
          </w:p>
        </w:tc>
        <w:tc>
          <w:tcPr/>
          <w:p>
            <w:pPr>
              <w:pStyle w:val="Tabla9"/>
              <w:jc w:val="left"/>
            </w:pPr>
            <w:r>
              <w:t xml:space="preserve">Evidencia del contraste (SC-1) y custodio con ICAR de 2 o más</w:t>
            </w:r>
          </w:p>
        </w:tc>
        <w:tc>
          <w:tcPr/>
          <w:p>
            <w:pPr>
              <w:pStyle w:val="Tabla9"/>
              <w:jc w:val="left"/>
            </w:pPr>
            <w:r>
              <w:t xml:space="preserve">S09 (50 millones de COP); acta de la compuerta C1</w:t>
            </w:r>
          </w:p>
        </w:tc>
      </w:tr>
      <w:tr>
        <w:trPr>
          <w:cantSplit/>
        </w:trPr>
        <w:tc>
          <w:tcPr/>
          <w:p>
            <w:pPr>
              <w:pStyle w:val="Tabla9"/>
              <w:jc w:val="left"/>
            </w:pPr>
            <w:r>
              <w:t xml:space="preserve">2</w:t>
            </w:r>
          </w:p>
        </w:tc>
        <w:tc>
          <w:tcPr/>
          <w:p>
            <w:pPr>
              <w:pStyle w:val="Tabla9"/>
              <w:jc w:val="left"/>
            </w:pPr>
            <w:r>
              <w:t xml:space="preserve">17 (C2)</w:t>
            </w:r>
          </w:p>
        </w:tc>
        <w:tc>
          <w:tcPr/>
          <w:p>
            <w:pPr>
              <w:pStyle w:val="Tabla9"/>
              <w:jc w:val="left"/>
            </w:pPr>
            <w:r>
              <w:t xml:space="preserve">Nodos adicionales y tablero a los custodios con capacidad demostrada</w:t>
            </w:r>
          </w:p>
        </w:tc>
        <w:tc>
          <w:tcPr/>
          <w:p>
            <w:pPr>
              <w:pStyle w:val="Tabla9"/>
              <w:jc w:val="left"/>
            </w:pPr>
            <w:r>
              <w:t xml:space="preserve">Partida en el plan operativo anual y personal designado</w:t>
            </w:r>
          </w:p>
        </w:tc>
        <w:tc>
          <w:tcPr/>
          <w:p>
            <w:pPr>
              <w:pStyle w:val="Tabla9"/>
              <w:jc w:val="left"/>
            </w:pPr>
            <w:r>
              <w:t xml:space="preserve">S09 (50 millones de COP); acta de la compuerta C2</w:t>
            </w:r>
          </w:p>
        </w:tc>
      </w:tr>
      <w:tr>
        <w:trPr>
          <w:cantSplit/>
        </w:trPr>
        <w:tc>
          <w:tcPr/>
          <w:p>
            <w:pPr>
              <w:pStyle w:val="Tabla9"/>
              <w:jc w:val="left"/>
            </w:pPr>
            <w:r>
              <w:t xml:space="preserve">3</w:t>
            </w:r>
          </w:p>
        </w:tc>
        <w:tc>
          <w:tcPr/>
          <w:p>
            <w:pPr>
              <w:pStyle w:val="Tabla9"/>
              <w:jc w:val="left"/>
            </w:pPr>
            <w:r>
              <w:t xml:space="preserve">24 (C3)</w:t>
            </w:r>
          </w:p>
        </w:tc>
        <w:tc>
          <w:tcPr/>
          <w:p>
            <w:pPr>
              <w:pStyle w:val="Tabla9"/>
              <w:jc w:val="left"/>
            </w:pPr>
            <w:r>
              <w:t xml:space="preserve">Operación continua de los componentes con custodio</w:t>
            </w:r>
          </w:p>
        </w:tc>
        <w:tc>
          <w:tcPr/>
          <w:p>
            <w:pPr>
              <w:pStyle w:val="Tabla9"/>
              <w:jc w:val="left"/>
            </w:pPr>
            <w:r>
              <w:t xml:space="preserve">Competencia jurídica documentada y primer pago del servicio</w:t>
            </w:r>
          </w:p>
        </w:tc>
        <w:tc>
          <w:tcPr/>
          <w:p>
            <w:pPr>
              <w:pStyle w:val="Tabla9"/>
              <w:jc w:val="left"/>
            </w:pPr>
            <w:r>
              <w:t xml:space="preserve">S09 (50 millones de COP); actas de entrega (H8)</w:t>
            </w:r>
          </w:p>
        </w:tc>
      </w:tr>
    </w:tbl>
    <w:p>
      <w:pPr>
        <w:pStyle w:val="TablaNota"/>
      </w:pPr>
      <w:r>
        <w:rPr>
          <w:i/>
          <w:iCs/>
        </w:rPr>
        <w:t xml:space="preserve">Nota.</w:t>
      </w:r>
      <w:r>
        <w:t xml:space="preserve"> </w:t>
      </w:r>
      <w:r>
        <w:t xml:space="preserve">Elaboración propia con la sección 4.4-MDR.10 y la ficha maestra (compuertas, hitos y líneas S09, P14 y S02). Naturaleza: PROPUESTO. El mes 17 del tramo 2 adapta el mes 18 de la sección 4.4-MDR.10.</w:t>
      </w:r>
    </w:p>
    <w:p>
      <w:pPr>
        <w:pStyle w:val="BodyText"/>
      </w:pPr>
      <w:r>
        <w:t xml:space="preserve">La Tabla 14.11 asigna una evidencia fechable a cada tramo. El tramo 0 no transfiere activos. Obliga a firmar los acuerdos antes de la compra del segundo lote. Así evita el supuesto de que un receptor aparecerá al final. Los tramos 1 a 3 financian su formación con la partida S09, de 50 millones de COP cada uno. La suma de S09 es de 150 millones. Un componente cuyo custodio no cumple la condición no se transfiere: permanece bajo la alianza o pasa a la cláusula de apertura.</w:t>
      </w:r>
    </w:p>
    <w:p>
      <w:pPr>
        <w:pStyle w:val="BodyText"/>
      </w:pPr>
      <w:r>
        <w:t xml:space="preserve">La documentación final se entrega con cada tramo, no al cierre. Incluye el inventario de activos con su estado, el manual de reactivación y el diccionario de datos. Incluye también el registro de versiones del modelo, el protocolo de calibración, el manual del tablero y los instrumentos de licencia. El hito H7 del mes 23 reúne el informe del laboratorio externo y la evaluación final. El hito H8 del mes 24 exige las actas de entrega a los custodios y la cláusula de apertura firmada. La cláusula se firma con los acuerdos del tramo 0, y el acta de cierre registra su vigencia. Esa lectura concilia el momento de la firma con el hito de verificación.</w:t>
      </w:r>
    </w:p>
    <w:p>
      <w:pPr>
        <w:pStyle w:val="BodyText"/>
      </w:pPr>
      <w:r>
        <w:t xml:space="preserve">El cierre ordenado sigue una secuencia de cuatro pasos. El primero concilia el inventario físico con el registro de la plataforma y con la ejecución presupuestal. La desviación presupuestal no debe superar 5 % en valor absoluto al cierre (PERS-R04). El segundo cierra los contratos del proyecto. Los seguros los asume la entidad ejecutora fuera del presupuesto del SGR, porque la convocatoria los excluye. El tercero entrega los datos, el código y el conocimiento a los custodios o, si no hay custodio, los libera con una licencia definida. El cuarto entrega a la evaluación externa los registros que sustentan las mediciones de los meses 6 y 12 posteriores al cierre. Esa evaluación se plantea como análisis de contribución y no como atribución (Mayne, 2012).</w:t>
      </w:r>
    </w:p>
    <w:p>
      <w:pPr>
        <w:pStyle w:val="BodyText"/>
      </w:pPr>
      <w:r>
        <w:t xml:space="preserve">La cláusula de apertura protege el servicio mínimo ante una falla financiera. Su disparador es PROPUESTO: la cobertura del costo mínimo es menor que 100 % durante dos trimestres consecutivos. Si se activa, los datos, el código y el conocimiento se liberan con una licencia definida. Los activos físicos pasan a un custodio académico o comunitario con el manual de reactivación. La elección de la licencia es un VACIO que deciden el equipo formulador y la empresa aliada. La libertad de operación sobre propiedad industrial requiere la consulta jurídica ya presupuestada (S02). El manual de reactivación contiene el inventario de activos, los procedimientos de calibración, la estructura de datos y las credenciales de custodia.</w:t>
      </w:r>
    </w:p>
    <w:p>
      <w:pPr>
        <w:pStyle w:val="BodyText"/>
      </w:pPr>
      <w:r>
        <w:t xml:space="preserve">La salida ordenada presenta un límite que el capítulo declara. La cláusula preserva datos, código y conocimiento, pero no asegura que la red continúe operando. Esa continuidad es el objetivo de PERS-S02, y su cumplimiento depende de los custodios después del cierre. Por eso el argumento de sostenibilidad de la sección 4.4-MDR.9 califica como NO_SOSTENIDO el enunciado de que la red opera después del mes 24. Califica como CONDICIONALMENTE el de que el diseño preserva datos, código y conocimiento. Esa condición exige firmar la cláusula antes del primer tramo de transferencia.</w:t>
      </w:r>
    </w:p>
    <w:bookmarkEnd w:id="618"/>
    <w:bookmarkEnd w:id="619"/>
    <w:bookmarkStart w:id="630" w:name="_Toc00900244"/>
    <w:p>
      <w:pPr>
        <w:pStyle w:val="Heading1"/>
      </w:pPr>
      <w:r>
        <w:t xml:space="preserve">Capítulo 15. Transferencia de Resultados</w:t>
      </w:r>
    </w:p>
    <w:p>
      <w:pPr>
        <w:pStyle w:val="FirstParagraph"/>
      </w:pPr>
      <w:r>
        <w:t xml:space="preserve">Este capítulo define cómo los resultados salen del proyecto y quién los recibe. Parte de la premisa de diseño PD-0 de la sección 4.4-MDR.10: ninguna entidad pública puede asumir el sostenimiento al cierre. PD-0 es un SUPUESTO de diseño. No afirma la incapacidad de una entidad concreta. Obliga a que la solución sobreviva sin depender de esa capacidad. Por eso la transferencia se organiza por componente, por hito y con custodia distribuida, y no como una entrega única a un receptor. Los nombres de las entidades receptoras son [DATO_USUARIO: nombres de las entidades custodias y de la empresa tecnológica]. Ningún ingreso por comercialización se estima, porque ninguna fuente lo respalda (VACIO).</w:t>
      </w:r>
    </w:p>
    <w:bookmarkStart w:id="623" w:name="_Toc00900245"/>
    <w:p>
      <w:pPr>
        <w:pStyle w:val="Heading2"/>
      </w:pPr>
      <w:r>
        <w:t xml:space="preserve">15.1 Estrategia de Transferencia</w:t>
      </w:r>
    </w:p>
    <w:p>
      <w:pPr>
        <w:pStyle w:val="FirstParagraph"/>
      </w:pPr>
      <w:r>
        <w:rPr>
          <w:b/>
          <w:bCs/>
        </w:rPr>
        <w:t xml:space="preserve">Mecanismos de transferencia.</w:t>
      </w:r>
      <w:r>
        <w:t xml:space="preserve"> </w:t>
      </w:r>
      <w:r>
        <w:t xml:space="preserve">El proyecto transfiere cinco componentes por separado. Son los nodos y los repuestos, el gemelo digital y los datos, y el tablero y las alertas. Los dos restantes son el protocolo de calibración y la gobernanza con sus acuerdos. Cada componente exige un custodio propio o una cláusula de apertura. La sección 4.4-MDR.10 fija cuatro hitos de transferencia en los meses 6, 12, 18 y 24 (PROPUESTO). Esa sección los llama tramos. Este capítulo los llama hitos para distinguirlos de los tramos de despliegue. En el hito 0 no se transfiere nada, porque se firman los acuerdos de custodia y la cláusula de apertura. En el hito 1 pasan el protocolo de calibración y las series de datos. En el hito 2 pasan los nodos adicionales y el tablero. En el hito 3 pasa la operación continua de los componentes con custodio. Cada hito exige presupuesto aprobado, personal designado y competencia jurídica documentada. Ningún custodio se asigna por defecto. El índice de capacidad de absorción de los custodios (ICAR) es NO_CALCULABLE, porque ningún candidato presenta evidencia en las seis dimensiones.</w:t>
      </w:r>
    </w:p>
    <w:p>
      <w:pPr>
        <w:pStyle w:val="BodyText"/>
      </w:pPr>
      <w:r>
        <w:t xml:space="preserve">Dos diseños de transferencia compiten. El primero entrega la red completa a un receptor único. La alternativa R3 de la sección 4.4-MDR transfería la operación a las alcaldías en el mes 25 y no se recomienda como diseño base. El segundo distribuye la custodia por componente y otorga a cada custodio un veto sobre el suyo. Ostrom (2005) analiza las instituciones mediante reglas de posición, de frontera, de elección, de información y de pago. Exige un portador identificable para cada regla. Teece (1986) añade que la captura del valor de una innovación depende del control de los activos complementarios. La evidencia del corpus respalda la cautela frente al receptor único. En Brasil, 96 de 570 estaciones (16,8 %) están inactivas o sin estado (Tavella et al., 2026, p. 6). El Sistema de Alerta Temprana de Medellín y el Valle de Aburrá (SIATA) opera 65 equipos acreditados y 450 sensores (Ruiz-Carrascal et al., 2026, p. 8). Su inversión es de 1,63 dólares por habitante y año (Ruiz-Carrascal et al., 2026, p. 3). La ficha no registra una inversión comparable en los municipios focalizados, y las alcaldías no aportan contrapartida (VACIO). El riesgo R-ORG-02 describe que los custodios no asuman la operación. Presenta la mayor pérdida esperada entre los riesgos organizacionales. Esa pérdida es de 60,0 millones de COP, con probabilidad de 50 %.</w:t>
      </w:r>
    </w:p>
    <w:p>
      <w:pPr>
        <w:pStyle w:val="BodyText"/>
      </w:pPr>
      <w:r>
        <w:t xml:space="preserve">La sección 4.4-MDR.11 completa el diseño con una lectura de abajo hacia arriba. La conducta requerida en el punto de entrega determina los recursos y las reglas necesarios (Lipsky, 1980; Elmore, 1979). Tres puntos de entrega concentran la transferencia. El personal de cuadrilla reduce o detiene la actividad al superar el umbral. El personal del puesto de mando valida la alerta y activa el protocolo. El personal técnico de campo repone nodos y registra la asignación semanal. Cada punto necesita recursos y reglas distintos, y por eso un convenio general no los cubre. La transferencia se decide por compuerta y por condición de recepción, no por calendario. Un componente sin custodio que cumpla la condición permanece bajo la alianza o pasa a la cláusula de apertura. Esa regla reduce el costo de revertir una entrega fallida (Collingridge, 1980).</w:t>
      </w:r>
    </w:p>
    <w:p>
      <w:pPr>
        <w:pStyle w:val="BodyText"/>
      </w:pPr>
      <w:r>
        <w:rPr>
          <w:b/>
          <w:bCs/>
        </w:rPr>
        <w:t xml:space="preserve">Audiencias objetivo.</w:t>
      </w:r>
      <w:r>
        <w:t xml:space="preserve"> </w:t>
      </w:r>
      <w:r>
        <w:t xml:space="preserve">El proyecto distingue seis audiencias de transferencia. La primera son los 15 comités de gestión del riesgo focalizados, 12 municipales y 3 departamentales (SUPUESTO). Reúnen a 150 personas del servicio público como beneficiarias directas (SUPUESTO). La segunda es el personal operario de remoción en los sitios monitoreados [DATO_USUARIO: número de operarios]. La tercera reúne las entidades candidatas a custodia. Son la institución de educación superior (IES) ejecutora, la empresa tecnológica, las alcaldías y las gobernaciones. También figuran la Unidad Nacional para la Gestión del Riesgo de Desastres (UNGRD) y las autoridades ambientales. La cuarta es el sector productivo, con las administradoras de riesgos laborales (ARL) y las constructoras como cofinanciadoras candidatas. La quinta es la academia. La sexta es el financiador. Mitchell et al. (1997) clasifican a los agentes por su poder, su legitimidad y su urgencia. Los comités reúnen legitimidad y urgencia, pero su poder sobre la partida presupuestal es incierto. Las alcaldías responden legalmente por actuar sobre la alerta, y sin embargo no comprometen partida (DECLARADO; NO_VERIFICADO).</w:t>
      </w:r>
    </w:p>
    <w:p>
      <w:pPr>
        <w:pStyle w:val="BodyText"/>
      </w:pPr>
      <w:r>
        <w:t xml:space="preserve">Dos modelos describen la relación con la audiencia. El modelo de difusión supone que una innovación se propaga por canales de comunicación dentro de un sistema social (Rogers, 2003). La adopción avanza desde quienes la prueban primero hasta la mayoría. El modelo de coproducción supone que la audiencia redefine el producto durante su uso (Callon, 1999). El proyecto aplica la coproducción en el tramo 1, donde los comités co-diseñan los umbrales y el protocolo. Aplica la difusión en los tramos 2 y 3, donde los comités adoptan un tablero ya validado. La compuerta C1 exige que al menos 50 % de los comités del tramo 1 use el tablero antes de ampliar. Por consiguiente, la secuencia de audiencias sigue la secuencia de tramos.</w:t>
      </w:r>
    </w:p>
    <w:p>
      <w:pPr>
        <w:pStyle w:val="BodyText"/>
      </w:pPr>
      <w:r>
        <w:rPr>
          <w:b/>
          <w:bCs/>
        </w:rPr>
        <w:t xml:space="preserve">Canales de distribución.</w:t>
      </w:r>
      <w:r>
        <w:t xml:space="preserve"> </w:t>
      </w:r>
      <w:r>
        <w:t xml:space="preserve">El proyecto usa cinco canales para entregar los resultados. El primero son los convenios de custodia por tramo, con partida presupuestal. La compuerta C2 los exige. La actividad A3.3 forma a la custodia y firma los convenios del tramo 3 entre las semanas 70 y 86. El segundo es la formación: 150.000.000 COP en tres tramos (línea S09) para certificar al menos 60 personas (PERS-E03). El tercero son las actas de entrega a custodios y la cláusula de apertura firmada en el mes 24 (hito H8). El cuarto es la publicación abierta de dos artículos y de un protocolo, junto con la distribución de 5.000 cartillas. El quinto es el tablero mismo, que opera como servicio con un primer pago en el hito de transferencia 3. Rogers (2003) separa los canales por función: los medios de comunicación de masas informan y los canales interpersonales persuaden. Shediac-Rizkallah y Bone (1998) agregan que la continuidad exige institucionalizar el programa en la organización receptora. Un canal contractual obliga, pero no habilita. Un canal formativo habilita, pero no obliga. El proyecto combina ambos y verifica la combinación con una condición de recepción doble: convenio con partida y personal certificado.</w:t>
      </w:r>
    </w:p>
    <w:p>
      <w:pPr>
        <w:pStyle w:val="BodyText"/>
      </w:pPr>
      <w:r>
        <w:t xml:space="preserve">La Tabla 15.1 asigna cada componente a un hito, a un mecanismo y a una condición de recepción. Los custodios quedan POR_DEFINIR.</w:t>
      </w:r>
    </w:p>
    <w:p>
      <w:pPr>
        <w:pStyle w:val="TablaRotulo"/>
      </w:pPr>
      <w:bookmarkStart w:id="9372" w:name="rot_Tabla_15_1"/>
      <w:r>
        <w:rPr>
          <w:b/>
          <w:bCs/>
        </w:rPr>
        <w:t xml:space="preserve">Tabla 15.1</w:t>
      </w:r>
      <w:bookmarkEnd w:id="9372"/>
    </w:p>
    <w:p>
      <w:pPr>
        <w:pStyle w:val="TablaTitulo"/>
      </w:pPr>
      <w:r>
        <w:rPr>
          <w:i/>
          <w:iCs/>
        </w:rPr>
        <w:t xml:space="preserve">Matriz de transferencia por producto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31"/>
        <w:gridCol w:w="1397"/>
        <w:gridCol w:w="1397"/>
        <w:gridCol w:w="665"/>
        <w:gridCol w:w="1331"/>
        <w:gridCol w:w="1796"/>
      </w:tblGrid>
      <w:tr>
        <w:trPr>
          <w:cantSplit/>
          <w:tblHeader/>
        </w:trPr>
        <w:tc>
          <w:tcPr>
            <w:shd w:val="clear" w:color="auto" w:fill="00B050"/>
          </w:tcPr>
          <w:p>
            <w:pPr>
              <w:pStyle w:val="Tabla9"/>
              <w:jc w:val="center"/>
            </w:pPr>
            <w:r>
              <w:rPr>
                <w:b/>
                <w:color w:val="FFFFFF"/>
              </w:rPr>
              <w:t xml:space="preserve">Componente o producto</w:t>
            </w:r>
          </w:p>
        </w:tc>
        <w:tc>
          <w:tcPr>
            <w:shd w:val="clear" w:color="auto" w:fill="00B050"/>
          </w:tcPr>
          <w:p>
            <w:pPr>
              <w:pStyle w:val="Tabla9"/>
              <w:jc w:val="center"/>
            </w:pPr>
            <w:r>
              <w:rPr>
                <w:b/>
                <w:color w:val="FFFFFF"/>
              </w:rPr>
              <w:t xml:space="preserve">Candidatos a custodia</w:t>
            </w:r>
          </w:p>
        </w:tc>
        <w:tc>
          <w:tcPr>
            <w:shd w:val="clear" w:color="auto" w:fill="00B050"/>
          </w:tcPr>
          <w:p>
            <w:pPr>
              <w:pStyle w:val="Tabla9"/>
              <w:jc w:val="center"/>
            </w:pPr>
            <w:r>
              <w:rPr>
                <w:b/>
                <w:color w:val="FFFFFF"/>
              </w:rPr>
              <w:t xml:space="preserve">Mecanismo</w:t>
            </w:r>
          </w:p>
        </w:tc>
        <w:tc>
          <w:tcPr>
            <w:shd w:val="clear" w:color="auto" w:fill="00B050"/>
          </w:tcPr>
          <w:p>
            <w:pPr>
              <w:pStyle w:val="Tabla9"/>
              <w:jc w:val="center"/>
            </w:pPr>
            <w:r>
              <w:rPr>
                <w:b/>
                <w:color w:val="FFFFFF"/>
              </w:rPr>
              <w:t xml:space="preserve">Hito (mes)</w:t>
            </w:r>
          </w:p>
        </w:tc>
        <w:tc>
          <w:tcPr>
            <w:shd w:val="clear" w:color="auto" w:fill="00B050"/>
          </w:tcPr>
          <w:p>
            <w:pPr>
              <w:pStyle w:val="Tabla9"/>
              <w:jc w:val="center"/>
            </w:pPr>
            <w:r>
              <w:rPr>
                <w:b/>
                <w:color w:val="FFFFFF"/>
              </w:rPr>
              <w:t xml:space="preserve">Condición de recepción</w:t>
            </w:r>
          </w:p>
        </w:tc>
        <w:tc>
          <w:tcPr>
            <w:shd w:val="clear" w:color="auto" w:fill="00B050"/>
          </w:tcPr>
          <w:p>
            <w:pPr>
              <w:pStyle w:val="Tabla9"/>
              <w:jc w:val="center"/>
            </w:pPr>
            <w:r>
              <w:rPr>
                <w:b/>
                <w:color w:val="FFFFFF"/>
              </w:rPr>
              <w:t xml:space="preserve">Custodio asignado</w:t>
            </w:r>
          </w:p>
        </w:tc>
      </w:tr>
      <w:tr>
        <w:trPr>
          <w:cantSplit/>
        </w:trPr>
        <w:tc>
          <w:tcPr/>
          <w:p>
            <w:pPr>
              <w:pStyle w:val="Tabla9"/>
              <w:jc w:val="left"/>
            </w:pPr>
            <w:r>
              <w:t xml:space="preserve">Gobernanza y acuerdos</w:t>
            </w:r>
          </w:p>
        </w:tc>
        <w:tc>
          <w:tcPr/>
          <w:p>
            <w:pPr>
              <w:pStyle w:val="Tabla9"/>
              <w:jc w:val="left"/>
            </w:pPr>
            <w:r>
              <w:t xml:space="preserve">Órgano de gobierno de la alianza</w:t>
            </w:r>
          </w:p>
        </w:tc>
        <w:tc>
          <w:tcPr/>
          <w:p>
            <w:pPr>
              <w:pStyle w:val="Tabla9"/>
              <w:jc w:val="left"/>
            </w:pPr>
            <w:r>
              <w:t xml:space="preserve">Acuerdo marco y cláusula de apertura</w:t>
            </w:r>
          </w:p>
        </w:tc>
        <w:tc>
          <w:tcPr/>
          <w:p>
            <w:pPr>
              <w:pStyle w:val="Tabla9"/>
              <w:jc w:val="left"/>
            </w:pPr>
            <w:r>
              <w:t xml:space="preserve">0 (mes 6)</w:t>
            </w:r>
          </w:p>
        </w:tc>
        <w:tc>
          <w:tcPr/>
          <w:p>
            <w:pPr>
              <w:pStyle w:val="Tabla9"/>
              <w:jc w:val="left"/>
            </w:pPr>
            <w:r>
              <w:t xml:space="preserve">Acuerdos firmados antes de comprar el segundo lote de nodos</w:t>
            </w:r>
          </w:p>
        </w:tc>
        <w:tc>
          <w:tcPr/>
          <w:p>
            <w:pPr>
              <w:pStyle w:val="Tabla9"/>
              <w:jc w:val="left"/>
            </w:pPr>
            <w:r>
              <w:t xml:space="preserve">POR_DEFINIR</w:t>
            </w:r>
          </w:p>
        </w:tc>
      </w:tr>
      <w:tr>
        <w:trPr>
          <w:cantSplit/>
        </w:trPr>
        <w:tc>
          <w:tcPr/>
          <w:p>
            <w:pPr>
              <w:pStyle w:val="Tabla9"/>
              <w:jc w:val="left"/>
            </w:pPr>
            <w:r>
              <w:t xml:space="preserve">Protocolo de calibración y series de datos</w:t>
            </w:r>
          </w:p>
        </w:tc>
        <w:tc>
          <w:tcPr/>
          <w:p>
            <w:pPr>
              <w:pStyle w:val="Tabla9"/>
              <w:jc w:val="left"/>
            </w:pPr>
            <w:r>
              <w:t xml:space="preserve">Autoridad ambiental; institución ejecutora</w:t>
            </w:r>
          </w:p>
        </w:tc>
        <w:tc>
          <w:tcPr/>
          <w:p>
            <w:pPr>
              <w:pStyle w:val="Tabla9"/>
              <w:jc w:val="left"/>
            </w:pPr>
            <w:r>
              <w:t xml:space="preserve">Acta de entrega y capacitación</w:t>
            </w:r>
          </w:p>
        </w:tc>
        <w:tc>
          <w:tcPr/>
          <w:p>
            <w:pPr>
              <w:pStyle w:val="Tabla9"/>
              <w:jc w:val="left"/>
            </w:pPr>
            <w:r>
              <w:t xml:space="preserve">1 (mes 12)</w:t>
            </w:r>
          </w:p>
        </w:tc>
        <w:tc>
          <w:tcPr/>
          <w:p>
            <w:pPr>
              <w:pStyle w:val="Tabla9"/>
              <w:jc w:val="left"/>
            </w:pPr>
            <w:r>
              <w:t xml:space="preserve">Evidencia del contraste (SC-1) y custodio con ICAR de 2 o más</w:t>
            </w:r>
          </w:p>
        </w:tc>
        <w:tc>
          <w:tcPr/>
          <w:p>
            <w:pPr>
              <w:pStyle w:val="Tabla9"/>
              <w:jc w:val="left"/>
            </w:pPr>
            <w:r>
              <w:t xml:space="preserve">POR_DEFINIR con ICAR</w:t>
            </w:r>
          </w:p>
        </w:tc>
      </w:tr>
      <w:tr>
        <w:trPr>
          <w:cantSplit/>
        </w:trPr>
        <w:tc>
          <w:tcPr/>
          <w:p>
            <w:pPr>
              <w:pStyle w:val="Tabla9"/>
              <w:jc w:val="left"/>
            </w:pPr>
            <w:r>
              <w:t xml:space="preserve">Nodos adicionales y repuestos</w:t>
            </w:r>
          </w:p>
        </w:tc>
        <w:tc>
          <w:tcPr/>
          <w:p>
            <w:pPr>
              <w:pStyle w:val="Tabla9"/>
              <w:jc w:val="left"/>
            </w:pPr>
            <w:r>
              <w:t xml:space="preserve">Empresa tecnológica; institución ejecutora</w:t>
            </w:r>
          </w:p>
        </w:tc>
        <w:tc>
          <w:tcPr/>
          <w:p>
            <w:pPr>
              <w:pStyle w:val="Tabla9"/>
              <w:jc w:val="left"/>
            </w:pPr>
            <w:r>
              <w:t xml:space="preserve">Convenio de custodia con partida</w:t>
            </w:r>
          </w:p>
        </w:tc>
        <w:tc>
          <w:tcPr/>
          <w:p>
            <w:pPr>
              <w:pStyle w:val="Tabla9"/>
              <w:jc w:val="left"/>
            </w:pPr>
            <w:r>
              <w:t xml:space="preserve">2 (mes 18)</w:t>
            </w:r>
          </w:p>
        </w:tc>
        <w:tc>
          <w:tcPr/>
          <w:p>
            <w:pPr>
              <w:pStyle w:val="Tabla9"/>
              <w:jc w:val="left"/>
            </w:pPr>
            <w:r>
              <w:t xml:space="preserve">Partida en el plan operativo anual y personal designado</w:t>
            </w:r>
          </w:p>
        </w:tc>
        <w:tc>
          <w:tcPr/>
          <w:p>
            <w:pPr>
              <w:pStyle w:val="Tabla9"/>
              <w:jc w:val="left"/>
            </w:pPr>
            <w:r>
              <w:t xml:space="preserve">POR_DEFINIR con ICAR</w:t>
            </w:r>
          </w:p>
        </w:tc>
      </w:tr>
      <w:tr>
        <w:trPr>
          <w:cantSplit/>
        </w:trPr>
        <w:tc>
          <w:tcPr/>
          <w:p>
            <w:pPr>
              <w:pStyle w:val="Tabla9"/>
              <w:jc w:val="left"/>
            </w:pPr>
            <w:r>
              <w:t xml:space="preserve">Tablero y alertas</w:t>
            </w:r>
          </w:p>
        </w:tc>
        <w:tc>
          <w:tcPr/>
          <w:p>
            <w:pPr>
              <w:pStyle w:val="Tabla9"/>
              <w:jc w:val="left"/>
            </w:pPr>
            <w:r>
              <w:t xml:space="preserve">Unidades de gestión del riesgo; alcaldías</w:t>
            </w:r>
          </w:p>
        </w:tc>
        <w:tc>
          <w:tcPr/>
          <w:p>
            <w:pPr>
              <w:pStyle w:val="Tabla9"/>
              <w:jc w:val="left"/>
            </w:pPr>
            <w:r>
              <w:t xml:space="preserve">Convenio de uso y de competencia</w:t>
            </w:r>
          </w:p>
        </w:tc>
        <w:tc>
          <w:tcPr/>
          <w:p>
            <w:pPr>
              <w:pStyle w:val="Tabla9"/>
              <w:jc w:val="left"/>
            </w:pPr>
            <w:r>
              <w:t xml:space="preserve">2 (mes 18)</w:t>
            </w:r>
          </w:p>
        </w:tc>
        <w:tc>
          <w:tcPr/>
          <w:p>
            <w:pPr>
              <w:pStyle w:val="Tabla9"/>
              <w:jc w:val="left"/>
            </w:pPr>
            <w:r>
              <w:t xml:space="preserve">Partida en el plan operativo anual y personal designado</w:t>
            </w:r>
          </w:p>
        </w:tc>
        <w:tc>
          <w:tcPr/>
          <w:p>
            <w:pPr>
              <w:pStyle w:val="Tabla9"/>
              <w:jc w:val="left"/>
            </w:pPr>
            <w:r>
              <w:t xml:space="preserve">POR_DEFINIR con ICAR</w:t>
            </w:r>
          </w:p>
        </w:tc>
      </w:tr>
      <w:tr>
        <w:trPr>
          <w:cantSplit/>
        </w:trPr>
        <w:tc>
          <w:tcPr/>
          <w:p>
            <w:pPr>
              <w:pStyle w:val="Tabla9"/>
              <w:jc w:val="left"/>
            </w:pPr>
            <w:r>
              <w:t xml:space="preserve">Gemelo digital y datos</w:t>
            </w:r>
          </w:p>
        </w:tc>
        <w:tc>
          <w:tcPr/>
          <w:p>
            <w:pPr>
              <w:pStyle w:val="Tabla9"/>
              <w:jc w:val="left"/>
            </w:pPr>
            <w:r>
              <w:t xml:space="preserve">Institución ejecutora; empresa tecnológica</w:t>
            </w:r>
          </w:p>
        </w:tc>
        <w:tc>
          <w:tcPr/>
          <w:p>
            <w:pPr>
              <w:pStyle w:val="Tabla9"/>
              <w:jc w:val="left"/>
            </w:pPr>
            <w:r>
              <w:t xml:space="preserve">Convenio de operación y licencia</w:t>
            </w:r>
          </w:p>
        </w:tc>
        <w:tc>
          <w:tcPr/>
          <w:p>
            <w:pPr>
              <w:pStyle w:val="Tabla9"/>
              <w:jc w:val="left"/>
            </w:pPr>
            <w:r>
              <w:t xml:space="preserve">3 (mes 24)</w:t>
            </w:r>
          </w:p>
        </w:tc>
        <w:tc>
          <w:tcPr/>
          <w:p>
            <w:pPr>
              <w:pStyle w:val="Tabla9"/>
              <w:jc w:val="left"/>
            </w:pPr>
            <w:r>
              <w:t xml:space="preserve">Competencia jurídica documentada y primer pago del servicio</w:t>
            </w:r>
          </w:p>
        </w:tc>
        <w:tc>
          <w:tcPr/>
          <w:p>
            <w:pPr>
              <w:pStyle w:val="Tabla9"/>
              <w:jc w:val="left"/>
            </w:pPr>
            <w:r>
              <w:t xml:space="preserve">POR_DEFINIR con ICAR</w:t>
            </w:r>
          </w:p>
        </w:tc>
      </w:tr>
    </w:tbl>
    <w:p>
      <w:pPr>
        <w:pStyle w:val="TablaNota"/>
      </w:pPr>
      <w:r>
        <w:rPr>
          <w:i/>
          <w:iCs/>
        </w:rPr>
        <w:t xml:space="preserve">Nota.</w:t>
      </w:r>
      <w:r>
        <w:t xml:space="preserve"> </w:t>
      </w:r>
      <w:r>
        <w:t xml:space="preserve">Elaboración propia con datos de la sección 4.4-MDR.10 y de la ficha maestra del proyecto. Hitos y condiciones: PROPUESTO. La asignación del gemelo digital al hito 3 es INFERIDO. SC-1: supuesto crítico de medición verificada.</w:t>
      </w:r>
    </w:p>
    <w:p>
      <w:pPr>
        <w:pStyle w:val="BodyText"/>
      </w:pPr>
      <w:r>
        <w:t xml:space="preserve">La matriz deja dos decisiones abiertas por componente: el custodio y la fecha efectiva de recepción. Ambas dependen del ICAR. Hasta que los candidatos aporten evidencia en las seis dimensiones, la tabla describe condiciones y no asignaciones. La Figura 15.1 representa el modelo completo en una sola vista.</w:t>
      </w:r>
    </w:p>
    <w:p>
      <w:pPr>
        <w:pStyle w:val="FiguraRotulo"/>
      </w:pPr>
      <w:bookmarkStart w:id="9544" w:name="rot_Figura_15_1"/>
      <w:r>
        <w:rPr>
          <w:b/>
          <w:bCs/>
        </w:rPr>
        <w:t xml:space="preserve">Figura 15.1</w:t>
      </w:r>
      <w:bookmarkEnd w:id="9544"/>
    </w:p>
    <w:p>
      <w:pPr>
        <w:pStyle w:val="FiguraTitulo"/>
      </w:pPr>
      <w:r>
        <w:rPr>
          <w:i/>
          <w:iCs/>
        </w:rPr>
        <w:t xml:space="preserve">Modelo de transferencia</w:t>
      </w:r>
    </w:p>
    <w:p>
      <w:pPr>
        <w:pStyle w:val="BodyText"/>
      </w:pPr>
      <w:r>
        <w:drawing>
          <wp:inline>
            <wp:extent cx="5579999" cy="3918821"/>
            <wp:effectExtent b="0" l="0" r="0" t="0"/>
            <wp:docPr descr="" title="" id="621" name="Picture"/>
            <a:graphic>
              <a:graphicData uri="http://schemas.openxmlformats.org/drawingml/2006/picture">
                <pic:pic>
                  <pic:nvPicPr>
                    <pic:cNvPr descr="/tmp/claude-0/-home-user-docs/ddf38714-2a7e-502b-92b4-1008e2832422/scratchpad/proy/figs/out/c15_f01.png" id="622" name="Picture"/>
                    <pic:cNvPicPr>
                      <a:picLocks noChangeArrowheads="1" noChangeAspect="1"/>
                    </pic:cNvPicPr>
                  </pic:nvPicPr>
                  <pic:blipFill>
                    <a:blip r:embed="rId620"/>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4.4-MDR.10 (componentes, hitos y condiciones de recepción) y de la ficha maestra del proyecto. Meses 6, 12, 18 y 24; custodio asignado POR_DEFINIR con ICAR. Naturaleza: PROPUESTO. Figura generada con matplotlib; sin semilla ni corpus.</w:t>
      </w:r>
    </w:p>
    <w:p>
      <w:pPr>
        <w:pStyle w:val="BodyText"/>
      </w:pPr>
      <w:r>
        <w:t xml:space="preserve">El modelo transfiere primero conocimiento y datos. Después transfiere equipos y tablero. Al final transfiere la operación continua. Esa secuencia protege la verificación de la medición antes de comprometer a los custodios con activos físicos.</w:t>
      </w:r>
    </w:p>
    <w:bookmarkEnd w:id="623"/>
    <w:bookmarkStart w:id="624" w:name="_Toc00900246"/>
    <w:p>
      <w:pPr>
        <w:pStyle w:val="Heading2"/>
      </w:pPr>
      <w:r>
        <w:t xml:space="preserve">15.2 Gestión de Propiedad Intelectual</w:t>
      </w:r>
    </w:p>
    <w:p>
      <w:pPr>
        <w:pStyle w:val="FirstParagraph"/>
      </w:pPr>
      <w:r>
        <w:rPr>
          <w:b/>
          <w:bCs/>
        </w:rPr>
        <w:t xml:space="preserve">Inventario de propiedad intelectual potencial.</w:t>
      </w:r>
      <w:r>
        <w:t xml:space="preserve"> </w:t>
      </w:r>
      <w:r>
        <w:t xml:space="preserve">El proyecto genera cinco activos de propiedad intelectual potencial. Son el software del modelo de corrección, el firmware de los nodos y el gemelo digital. Son también la base de datos de colocalización y de la red, y la marca del tablero. El protocolo de calibración y el manual de reactivación son conocimiento documentado y no se registran. La titularidad es PROPUESTA: conjunta entre la IES ejecutora y la empresa tecnológica, según el aporte de cada parte. El acuerdo entre las partes está pendiente [DATO_USUARIO: acuerdo de titularidad entre la IES y la empresa tecnológica]. El registro de software se tramita ante la Dirección Nacional de Derecho de Autor (DNDA). El expediente E3 atribuye a la empresa la responsabilidad del código y de la propiedad intelectual (DECLARADO; NO_VERIFICADO). Esa atribución contradice una titularidad conjunta, y el acuerdo debe resolver la diferencia. Los resultados financiados con recursos del Sistema General de Regalías (SGR) pueden sujetarse a reglas del financiador sobre titularidad. Los términos de referencia (TdR) no se aportaron, y esas reglas quedan VACIO. Teece (1986) distingue dos regímenes de apropiabilidad. En el régimen fuerte, la patente o el secreto impiden la imitación. En el régimen débil, la imitación es fácil y el valor se concentra en quien posee los activos complementarios. El código de corrección y el firmware pertenecen al régimen débil, porque un tercero puede reimplementarlos (INFERIDO). Los activos complementarios del proyecto son escasos: tres monitores de referencia colocalizados, la base de datos de colocalización y los convenios de custodia. Chesbrough (2003) sostiene que las organizaciones pueden usar rutas externas hacia el mercado y licenciar la tecnología que no explotan. Ambas posiciones remiten a los activos complementarios y al modelo de negocio, y no solo al código. Por consiguiente, el proyecto registra el software a bajo costo y protege los activos complementarios mediante la custodia.</w:t>
      </w:r>
    </w:p>
    <w:p>
      <w:pPr>
        <w:pStyle w:val="BodyText"/>
      </w:pPr>
      <w:r>
        <w:t xml:space="preserve">La Tabla 15.2 inventaría los activos. Incluye vía de protección, titularidad propuesta y estado del acuerdo.</w:t>
      </w:r>
    </w:p>
    <w:p>
      <w:pPr>
        <w:pStyle w:val="TablaRotulo"/>
      </w:pPr>
      <w:bookmarkStart w:id="9373" w:name="rot_Tabla_15_2"/>
      <w:r>
        <w:rPr>
          <w:b/>
          <w:bCs/>
        </w:rPr>
        <w:t xml:space="preserve">Tabla 15.2</w:t>
      </w:r>
      <w:bookmarkEnd w:id="9373"/>
    </w:p>
    <w:p>
      <w:pPr>
        <w:pStyle w:val="TablaTitulo"/>
      </w:pPr>
      <w:r>
        <w:rPr>
          <w:i/>
          <w:iCs/>
        </w:rPr>
        <w:t xml:space="preserve">Inventario de propiedad intelectual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047"/>
        <w:gridCol w:w="1178"/>
        <w:gridCol w:w="981"/>
        <w:gridCol w:w="1636"/>
        <w:gridCol w:w="850"/>
        <w:gridCol w:w="1047"/>
        <w:gridCol w:w="1178"/>
      </w:tblGrid>
      <w:tr>
        <w:trPr>
          <w:cantSplit/>
          <w:tblHeader/>
        </w:trPr>
        <w:tc>
          <w:tcPr>
            <w:shd w:val="clear" w:color="auto" w:fill="00B050"/>
          </w:tcPr>
          <w:p>
            <w:pPr>
              <w:pStyle w:val="Tabla8"/>
              <w:jc w:val="center"/>
            </w:pPr>
            <w:r>
              <w:rPr>
                <w:b/>
                <w:color w:val="FFFFFF"/>
              </w:rPr>
              <w:t xml:space="preserve">Activo</w:t>
            </w:r>
          </w:p>
        </w:tc>
        <w:tc>
          <w:tcPr>
            <w:shd w:val="clear" w:color="auto" w:fill="00B050"/>
          </w:tcPr>
          <w:p>
            <w:pPr>
              <w:pStyle w:val="Tabla8"/>
              <w:jc w:val="center"/>
            </w:pPr>
            <w:r>
              <w:rPr>
                <w:b/>
                <w:color w:val="FFFFFF"/>
              </w:rPr>
              <w:t xml:space="preserve">Descripción</w:t>
            </w:r>
          </w:p>
        </w:tc>
        <w:tc>
          <w:tcPr>
            <w:shd w:val="clear" w:color="auto" w:fill="00B050"/>
          </w:tcPr>
          <w:p>
            <w:pPr>
              <w:pStyle w:val="Tabla8"/>
              <w:jc w:val="center"/>
            </w:pPr>
            <w:r>
              <w:rPr>
                <w:b/>
                <w:color w:val="FFFFFF"/>
              </w:rPr>
              <w:t xml:space="preserve">Vía de protección</w:t>
            </w:r>
          </w:p>
        </w:tc>
        <w:tc>
          <w:tcPr>
            <w:shd w:val="clear" w:color="auto" w:fill="00B050"/>
          </w:tcPr>
          <w:p>
            <w:pPr>
              <w:pStyle w:val="Tabla8"/>
              <w:jc w:val="center"/>
            </w:pPr>
            <w:r>
              <w:rPr>
                <w:b/>
                <w:color w:val="FFFFFF"/>
              </w:rPr>
              <w:t xml:space="preserve">Titularidad propuesta</w:t>
            </w:r>
          </w:p>
        </w:tc>
        <w:tc>
          <w:tcPr>
            <w:shd w:val="clear" w:color="auto" w:fill="00B050"/>
          </w:tcPr>
          <w:p>
            <w:pPr>
              <w:pStyle w:val="Tabla8"/>
              <w:jc w:val="center"/>
            </w:pPr>
            <w:r>
              <w:rPr>
                <w:b/>
                <w:color w:val="FFFFFF"/>
              </w:rPr>
              <w:t xml:space="preserve">Acuerdo entre partes</w:t>
            </w:r>
          </w:p>
        </w:tc>
        <w:tc>
          <w:tcPr>
            <w:shd w:val="clear" w:color="auto" w:fill="00B050"/>
          </w:tcPr>
          <w:p>
            <w:pPr>
              <w:pStyle w:val="Tabla8"/>
              <w:jc w:val="center"/>
            </w:pPr>
            <w:r>
              <w:rPr>
                <w:b/>
                <w:color w:val="FFFFFF"/>
              </w:rPr>
              <w:t xml:space="preserve">Línea presupuestal</w:t>
            </w:r>
          </w:p>
        </w:tc>
        <w:tc>
          <w:tcPr>
            <w:shd w:val="clear" w:color="auto" w:fill="00B050"/>
          </w:tcPr>
          <w:p>
            <w:pPr>
              <w:pStyle w:val="Tabla8"/>
              <w:jc w:val="center"/>
            </w:pPr>
            <w:r>
              <w:rPr>
                <w:b/>
                <w:color w:val="FFFFFF"/>
              </w:rPr>
              <w:t xml:space="preserve">Naturaleza</w:t>
            </w:r>
          </w:p>
        </w:tc>
      </w:tr>
      <w:tr>
        <w:trPr>
          <w:cantSplit/>
        </w:trPr>
        <w:tc>
          <w:tcPr/>
          <w:p>
            <w:pPr>
              <w:pStyle w:val="Tabla8"/>
              <w:jc w:val="left"/>
            </w:pPr>
            <w:r>
              <w:t xml:space="preserve">Software del modelo de corrección</w:t>
            </w:r>
          </w:p>
        </w:tc>
        <w:tc>
          <w:tcPr/>
          <w:p>
            <w:pPr>
              <w:pStyle w:val="Tabla8"/>
              <w:jc w:val="left"/>
            </w:pPr>
            <w:r>
              <w:t xml:space="preserve">Código que corrige humedad, temperatura y fracción gruesa en el gateway</w:t>
            </w:r>
          </w:p>
        </w:tc>
        <w:tc>
          <w:tcPr/>
          <w:p>
            <w:pPr>
              <w:pStyle w:val="Tabla8"/>
              <w:jc w:val="left"/>
            </w:pPr>
            <w:r>
              <w:t xml:space="preserve">Registro de software ante la DNDA</w:t>
            </w:r>
          </w:p>
        </w:tc>
        <w:tc>
          <w:tcPr/>
          <w:p>
            <w:pPr>
              <w:pStyle w:val="Tabla8"/>
              <w:jc w:val="left"/>
            </w:pPr>
            <w:r>
              <w:t xml:space="preserve">Conjunta, IES y empresa tecnológica [DATO_USUARIO: proporción]</w:t>
            </w:r>
          </w:p>
        </w:tc>
        <w:tc>
          <w:tcPr/>
          <w:p>
            <w:pPr>
              <w:pStyle w:val="Tabla8"/>
              <w:jc w:val="left"/>
            </w:pPr>
            <w:r>
              <w:t xml:space="preserve">Pendiente</w:t>
            </w:r>
          </w:p>
        </w:tc>
        <w:tc>
          <w:tcPr/>
          <w:p>
            <w:pPr>
              <w:pStyle w:val="Tabla8"/>
              <w:jc w:val="left"/>
            </w:pPr>
            <w:r>
              <w:t xml:space="preserve">O03: 15.000.000 COP</w:t>
            </w:r>
          </w:p>
        </w:tc>
        <w:tc>
          <w:tcPr/>
          <w:p>
            <w:pPr>
              <w:pStyle w:val="Tabla8"/>
              <w:jc w:val="left"/>
            </w:pPr>
            <w:r>
              <w:t xml:space="preserve">PROPUESTO</w:t>
            </w:r>
          </w:p>
        </w:tc>
      </w:tr>
      <w:tr>
        <w:trPr>
          <w:cantSplit/>
        </w:trPr>
        <w:tc>
          <w:tcPr/>
          <w:p>
            <w:pPr>
              <w:pStyle w:val="Tabla8"/>
              <w:jc w:val="left"/>
            </w:pPr>
            <w:r>
              <w:t xml:space="preserve">Firmware de los nodos</w:t>
            </w:r>
          </w:p>
        </w:tc>
        <w:tc>
          <w:tcPr/>
          <w:p>
            <w:pPr>
              <w:pStyle w:val="Tabla8"/>
              <w:jc w:val="left"/>
            </w:pPr>
            <w:r>
              <w:t xml:space="preserve">Programa de adquisición, transmisión LoRa y gestión de energía</w:t>
            </w:r>
          </w:p>
        </w:tc>
        <w:tc>
          <w:tcPr/>
          <w:p>
            <w:pPr>
              <w:pStyle w:val="Tabla8"/>
              <w:jc w:val="left"/>
            </w:pPr>
            <w:r>
              <w:t xml:space="preserve">Registro de software ante la DNDA</w:t>
            </w:r>
          </w:p>
        </w:tc>
        <w:tc>
          <w:tcPr/>
          <w:p>
            <w:pPr>
              <w:pStyle w:val="Tabla8"/>
              <w:jc w:val="left"/>
            </w:pPr>
            <w:r>
              <w:t xml:space="preserve">Conjunta, IES y empresa tecnológica [DATO_USUARIO: proporción]</w:t>
            </w:r>
          </w:p>
        </w:tc>
        <w:tc>
          <w:tcPr/>
          <w:p>
            <w:pPr>
              <w:pStyle w:val="Tabla8"/>
              <w:jc w:val="left"/>
            </w:pPr>
            <w:r>
              <w:t xml:space="preserve">Pendiente</w:t>
            </w:r>
          </w:p>
        </w:tc>
        <w:tc>
          <w:tcPr/>
          <w:p>
            <w:pPr>
              <w:pStyle w:val="Tabla8"/>
              <w:jc w:val="left"/>
            </w:pPr>
            <w:r>
              <w:t xml:space="preserve">O03</w:t>
            </w:r>
          </w:p>
        </w:tc>
        <w:tc>
          <w:tcPr/>
          <w:p>
            <w:pPr>
              <w:pStyle w:val="Tabla8"/>
              <w:jc w:val="left"/>
            </w:pPr>
            <w:r>
              <w:t xml:space="preserve">PROPUESTO</w:t>
            </w:r>
          </w:p>
        </w:tc>
      </w:tr>
      <w:tr>
        <w:trPr>
          <w:cantSplit/>
        </w:trPr>
        <w:tc>
          <w:tcPr/>
          <w:p>
            <w:pPr>
              <w:pStyle w:val="Tabla8"/>
              <w:jc w:val="left"/>
            </w:pPr>
            <w:r>
              <w:t xml:space="preserve">Gemelo digital</w:t>
            </w:r>
          </w:p>
        </w:tc>
        <w:tc>
          <w:tcPr/>
          <w:p>
            <w:pPr>
              <w:pStyle w:val="Tabla8"/>
              <w:jc w:val="left"/>
            </w:pPr>
            <w:r>
              <w:t xml:space="preserve">Código de estimación espacial con datos de nodos corregidos</w:t>
            </w:r>
          </w:p>
        </w:tc>
        <w:tc>
          <w:tcPr/>
          <w:p>
            <w:pPr>
              <w:pStyle w:val="Tabla8"/>
              <w:jc w:val="left"/>
            </w:pPr>
            <w:r>
              <w:t xml:space="preserve">Registro de software ante la DNDA</w:t>
            </w:r>
          </w:p>
        </w:tc>
        <w:tc>
          <w:tcPr/>
          <w:p>
            <w:pPr>
              <w:pStyle w:val="Tabla8"/>
              <w:jc w:val="left"/>
            </w:pPr>
            <w:r>
              <w:t xml:space="preserve">Conjunta, IES y empresa tecnológica [DATO_USUARIO: proporción]</w:t>
            </w:r>
          </w:p>
        </w:tc>
        <w:tc>
          <w:tcPr/>
          <w:p>
            <w:pPr>
              <w:pStyle w:val="Tabla8"/>
              <w:jc w:val="left"/>
            </w:pPr>
            <w:r>
              <w:t xml:space="preserve">Pendiente</w:t>
            </w:r>
          </w:p>
        </w:tc>
        <w:tc>
          <w:tcPr/>
          <w:p>
            <w:pPr>
              <w:pStyle w:val="Tabla8"/>
              <w:jc w:val="left"/>
            </w:pPr>
            <w:r>
              <w:t xml:space="preserve">O03</w:t>
            </w:r>
          </w:p>
        </w:tc>
        <w:tc>
          <w:tcPr/>
          <w:p>
            <w:pPr>
              <w:pStyle w:val="Tabla8"/>
              <w:jc w:val="left"/>
            </w:pPr>
            <w:r>
              <w:t xml:space="preserve">PROPUESTO</w:t>
            </w:r>
          </w:p>
        </w:tc>
      </w:tr>
      <w:tr>
        <w:trPr>
          <w:cantSplit/>
        </w:trPr>
        <w:tc>
          <w:tcPr/>
          <w:p>
            <w:pPr>
              <w:pStyle w:val="Tabla8"/>
              <w:jc w:val="left"/>
            </w:pPr>
            <w:r>
              <w:t xml:space="preserve">Base de datos</w:t>
            </w:r>
          </w:p>
        </w:tc>
        <w:tc>
          <w:tcPr/>
          <w:p>
            <w:pPr>
              <w:pStyle w:val="Tabla8"/>
              <w:jc w:val="left"/>
            </w:pPr>
            <w:r>
              <w:t xml:space="preserve">Series de colocalización y de la red, con referencia gravimétrica</w:t>
            </w:r>
          </w:p>
        </w:tc>
        <w:tc>
          <w:tcPr/>
          <w:p>
            <w:pPr>
              <w:pStyle w:val="Tabla8"/>
              <w:jc w:val="left"/>
            </w:pPr>
            <w:r>
              <w:t xml:space="preserve">Registro ante la DNDA, si aplica, y licencia de datos</w:t>
            </w:r>
          </w:p>
        </w:tc>
        <w:tc>
          <w:tcPr/>
          <w:p>
            <w:pPr>
              <w:pStyle w:val="Tabla8"/>
              <w:jc w:val="left"/>
            </w:pPr>
            <w:r>
              <w:t xml:space="preserve">Conjunta; licencia de datos por definir</w:t>
            </w:r>
          </w:p>
        </w:tc>
        <w:tc>
          <w:tcPr/>
          <w:p>
            <w:pPr>
              <w:pStyle w:val="Tabla8"/>
              <w:jc w:val="left"/>
            </w:pPr>
            <w:r>
              <w:t xml:space="preserve">Pendiente</w:t>
            </w:r>
          </w:p>
        </w:tc>
        <w:tc>
          <w:tcPr/>
          <w:p>
            <w:pPr>
              <w:pStyle w:val="Tabla8"/>
              <w:jc w:val="left"/>
            </w:pPr>
            <w:r>
              <w:t xml:space="preserve">O03</w:t>
            </w:r>
          </w:p>
        </w:tc>
        <w:tc>
          <w:tcPr/>
          <w:p>
            <w:pPr>
              <w:pStyle w:val="Tabla8"/>
              <w:jc w:val="left"/>
            </w:pPr>
            <w:r>
              <w:t xml:space="preserve">PROPUESTO</w:t>
            </w:r>
          </w:p>
        </w:tc>
      </w:tr>
      <w:tr>
        <w:trPr>
          <w:cantSplit/>
        </w:trPr>
        <w:tc>
          <w:tcPr/>
          <w:p>
            <w:pPr>
              <w:pStyle w:val="Tabla8"/>
              <w:jc w:val="left"/>
            </w:pPr>
            <w:r>
              <w:t xml:space="preserve">Marca del tablero</w:t>
            </w:r>
          </w:p>
        </w:tc>
        <w:tc>
          <w:tcPr/>
          <w:p>
            <w:pPr>
              <w:pStyle w:val="Tabla8"/>
              <w:jc w:val="left"/>
            </w:pPr>
            <w:r>
              <w:t xml:space="preserve">Signo distintivo del tablero y del protocolo de alerta</w:t>
            </w:r>
          </w:p>
        </w:tc>
        <w:tc>
          <w:tcPr/>
          <w:p>
            <w:pPr>
              <w:pStyle w:val="Tabla8"/>
              <w:jc w:val="left"/>
            </w:pPr>
            <w:r>
              <w:t xml:space="preserve">Solicitud de registro ante la SIC, según la Decisión 486</w:t>
            </w:r>
          </w:p>
        </w:tc>
        <w:tc>
          <w:tcPr/>
          <w:p>
            <w:pPr>
              <w:pStyle w:val="Tabla8"/>
              <w:jc w:val="left"/>
            </w:pPr>
            <w:r>
              <w:t xml:space="preserve">[DATO_USUARIO: titular de la marca]</w:t>
            </w:r>
          </w:p>
        </w:tc>
        <w:tc>
          <w:tcPr/>
          <w:p>
            <w:pPr>
              <w:pStyle w:val="Tabla8"/>
              <w:jc w:val="left"/>
            </w:pPr>
            <w:r>
              <w:t xml:space="preserve">Pendiente</w:t>
            </w:r>
          </w:p>
        </w:tc>
        <w:tc>
          <w:tcPr/>
          <w:p>
            <w:pPr>
              <w:pStyle w:val="Tabla8"/>
              <w:jc w:val="left"/>
            </w:pPr>
            <w:r>
              <w:t xml:space="preserve">S02; sin línea para el trámite</w:t>
            </w:r>
          </w:p>
        </w:tc>
        <w:tc>
          <w:tcPr/>
          <w:p>
            <w:pPr>
              <w:pStyle w:val="Tabla8"/>
              <w:jc w:val="left"/>
            </w:pPr>
            <w:r>
              <w:t xml:space="preserve">PROPUESTO</w:t>
            </w:r>
          </w:p>
        </w:tc>
      </w:tr>
      <w:tr>
        <w:trPr>
          <w:cantSplit/>
        </w:trPr>
        <w:tc>
          <w:tcPr/>
          <w:p>
            <w:pPr>
              <w:pStyle w:val="Tabla8"/>
              <w:jc w:val="left"/>
            </w:pPr>
            <w:r>
              <w:t xml:space="preserve">Protocolo de calibración y manual de reactivación</w:t>
            </w:r>
          </w:p>
        </w:tc>
        <w:tc>
          <w:tcPr/>
          <w:p>
            <w:pPr>
              <w:pStyle w:val="Tabla8"/>
              <w:jc w:val="left"/>
            </w:pPr>
            <w:r>
              <w:t xml:space="preserve">Conocimiento documentado de la custodia</w:t>
            </w:r>
          </w:p>
        </w:tc>
        <w:tc>
          <w:tcPr/>
          <w:p>
            <w:pPr>
              <w:pStyle w:val="Tabla8"/>
              <w:jc w:val="left"/>
            </w:pPr>
            <w:r>
              <w:t xml:space="preserve">Publicación abierta; sin registro</w:t>
            </w:r>
          </w:p>
        </w:tc>
        <w:tc>
          <w:tcPr/>
          <w:p>
            <w:pPr>
              <w:pStyle w:val="Tabla8"/>
              <w:jc w:val="left"/>
            </w:pPr>
            <w:r>
              <w:t xml:space="preserve">Institución ejecutora, como custodia del conocimiento</w:t>
            </w:r>
          </w:p>
        </w:tc>
        <w:tc>
          <w:tcPr/>
          <w:p>
            <w:pPr>
              <w:pStyle w:val="Tabla8"/>
              <w:jc w:val="left"/>
            </w:pPr>
            <w:r>
              <w:t xml:space="preserve">Pendiente</w:t>
            </w:r>
          </w:p>
        </w:tc>
        <w:tc>
          <w:tcPr/>
          <w:p>
            <w:pPr>
              <w:pStyle w:val="Tabla8"/>
              <w:jc w:val="left"/>
            </w:pPr>
            <w:r>
              <w:t xml:space="preserve">Sin línea</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y de la sección 4.4-MDR.10. DNDA: Dirección Nacional de Derecho de Autor. SIC: Superintendencia de Industria y Comercio. Titularidad y vía de protección: PROPUESTO; acuerdos pendientes.</w:t>
      </w:r>
    </w:p>
    <w:p>
      <w:pPr>
        <w:pStyle w:val="BodyText"/>
      </w:pPr>
      <w:r>
        <w:t xml:space="preserve">La tabla confirma una condición común. Ningún activo cuenta con acuerdo de titularidad firmado. Esa condición bloquea el indicador PERS-P02, cuyo supuesto es un acuerdo firmado entre las partes. El registro de software y la asesoría de propiedad intelectual cuestan 15.000.000 COP (línea O03). El presupuesto no incluye una línea para el trámite de la marca (VACIO).</w:t>
      </w:r>
    </w:p>
    <w:p>
      <w:pPr>
        <w:pStyle w:val="BodyText"/>
      </w:pPr>
      <w:r>
        <w:rPr>
          <w:b/>
          <w:bCs/>
        </w:rPr>
        <w:t xml:space="preserve">Estrategia de protección.</w:t>
      </w:r>
      <w:r>
        <w:t xml:space="preserve"> </w:t>
      </w:r>
      <w:r>
        <w:t xml:space="preserve">La estrategia combina el registro de software, la consulta de libertad de operación y la decisión diferida sobre patentes. La libertad de operación es el punto crítico. El informe de vigilancia tecnológica identifica diez solicitudes que designan a Colombia (Anexo C, p. 221). Todas siguen el Tratado de Cooperación en materia de Patentes (PCT). Siete presentan vencido el plazo general de 30 meses para la fase nacional. Tres permanecen abiertas. Sus plazos son el 10 de diciembre de 2026, el 28 de abril de 2027 y el 28 de agosto de 2027. Esos plazos son un cálculo del analista con conocimiento externo. Ninguna informa la fase nacional. La Superintendencia de Industria y Comercio (SIC) publica el procedimiento de consulta (SIC, 2026, pp. 2, 7 y 9). Designar a Colombia no obliga al titular a entrar en la fase nacional. Por eso el estado real de cada expediente se determina con la consulta y no con la lista.</w:t>
      </w:r>
    </w:p>
    <w:p>
      <w:pPr>
        <w:pStyle w:val="BodyText"/>
      </w:pPr>
      <w:r>
        <w:t xml:space="preserve">La consulta depende de un calendario externo. El corte es el 13 de octubre de 2026. El primer plazo abierto está a 58 días. Los otros dos están a 197 y 319 días (CALCULADO). El primer plazo vence 37 días después de la fecha límite de presentación del 3 de noviembre de 2026 (CALCULADO). Es improbable que la ejecución haya comenzado (INFERIDO). Los otros dos pueden caer en los primeros meses de ejecución [DATO_USUARIO: fecha del acta de inicio]. La consultoría jurídica (línea S02, 150 horas y 45.000.000 COP) ejecuta la consulta. Clasifica cada expediente como entró, no entró, en trámite o concedida. Compara además las reivindicaciones con la arquitectura del proyecto. La solicitud WO 2026/180852 A1 (Spasojevic Brkic et al., 2026) trata el monitoreo de condiciones de trabajo en maquinaria de movimiento de tierras, según su título. Su alcance debe compararse con el uso en sitios de remoción. El riesgo R-JUR-01 presenta probabilidad de 20 % y pérdida esperada de 20,0 millones de COP. La consulta lo mitiga.</w:t>
      </w:r>
    </w:p>
    <w:p>
      <w:pPr>
        <w:pStyle w:val="BodyText"/>
      </w:pPr>
      <w:r>
        <w:t xml:space="preserve">La Tabla 15.3 lista las diez solicitudes con su plazo y su estado.</w:t>
      </w:r>
    </w:p>
    <w:p>
      <w:pPr>
        <w:pStyle w:val="TablaRotulo"/>
      </w:pPr>
      <w:bookmarkStart w:id="9374" w:name="rot_Tabla_15_3"/>
      <w:r>
        <w:rPr>
          <w:b/>
          <w:bCs/>
        </w:rPr>
        <w:t xml:space="preserve">Tabla 15.3</w:t>
      </w:r>
      <w:bookmarkEnd w:id="9374"/>
    </w:p>
    <w:p>
      <w:pPr>
        <w:pStyle w:val="TablaTitulo"/>
      </w:pPr>
      <w:r>
        <w:rPr>
          <w:i/>
          <w:iCs/>
        </w:rPr>
        <w:t xml:space="preserve">Solicitudes PCT con Colombia designada y plazo de fase nacional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2112"/>
        <w:gridCol w:w="1254"/>
        <w:gridCol w:w="1452"/>
        <w:gridCol w:w="1386"/>
      </w:tblGrid>
      <w:tr>
        <w:trPr>
          <w:cantSplit/>
          <w:tblHeader/>
        </w:trPr>
        <w:tc>
          <w:tcPr>
            <w:shd w:val="clear" w:color="auto" w:fill="00B050"/>
          </w:tcPr>
          <w:p>
            <w:pPr>
              <w:pStyle w:val="Tabla9"/>
              <w:jc w:val="center"/>
            </w:pPr>
            <w:r>
              <w:rPr>
                <w:b/>
                <w:color w:val="FFFFFF"/>
              </w:rPr>
              <w:t xml:space="preserve">Solicitud</w:t>
            </w:r>
          </w:p>
        </w:tc>
        <w:tc>
          <w:tcPr>
            <w:shd w:val="clear" w:color="auto" w:fill="00B050"/>
          </w:tcPr>
          <w:p>
            <w:pPr>
              <w:pStyle w:val="Tabla9"/>
              <w:jc w:val="center"/>
            </w:pPr>
            <w:r>
              <w:rPr>
                <w:b/>
                <w:color w:val="FFFFFF"/>
              </w:rPr>
              <w:t xml:space="preserve">Documento</w:t>
            </w:r>
          </w:p>
        </w:tc>
        <w:tc>
          <w:tcPr>
            <w:shd w:val="clear" w:color="auto" w:fill="00B050"/>
          </w:tcPr>
          <w:p>
            <w:pPr>
              <w:pStyle w:val="Tabla9"/>
              <w:jc w:val="center"/>
            </w:pPr>
            <w:r>
              <w:rPr>
                <w:b/>
                <w:color w:val="FFFFFF"/>
              </w:rPr>
              <w:t xml:space="preserve">Plazo de 30 meses</w:t>
            </w:r>
          </w:p>
        </w:tc>
        <w:tc>
          <w:tcPr>
            <w:shd w:val="clear" w:color="auto" w:fill="00B050"/>
          </w:tcPr>
          <w:p>
            <w:pPr>
              <w:pStyle w:val="Tabla9"/>
              <w:jc w:val="center"/>
            </w:pPr>
            <w:r>
              <w:rPr>
                <w:b/>
                <w:color w:val="FFFFFF"/>
              </w:rPr>
              <w:t xml:space="preserve">Estado al 30/09/2026</w:t>
            </w:r>
          </w:p>
        </w:tc>
        <w:tc>
          <w:tcPr>
            <w:shd w:val="clear" w:color="auto" w:fill="00B050"/>
          </w:tcPr>
          <w:p>
            <w:pPr>
              <w:pStyle w:val="Tabla9"/>
              <w:jc w:val="center"/>
            </w:pPr>
            <w:r>
              <w:rPr>
                <w:b/>
                <w:color w:val="FFFFFF"/>
              </w:rPr>
              <w:t xml:space="preserve">Días al corte del 13/10/2026</w:t>
            </w:r>
          </w:p>
        </w:tc>
      </w:tr>
      <w:tr>
        <w:trPr>
          <w:cantSplit/>
        </w:trPr>
        <w:tc>
          <w:tcPr/>
          <w:p>
            <w:pPr>
              <w:pStyle w:val="Tabla9"/>
              <w:jc w:val="left"/>
            </w:pPr>
            <w:r>
              <w:t xml:space="preserve">WO 2019/215392 A1</w:t>
            </w:r>
          </w:p>
        </w:tc>
        <w:tc>
          <w:tcPr/>
          <w:p>
            <w:pPr>
              <w:pStyle w:val="Tabla9"/>
              <w:jc w:val="left"/>
            </w:pPr>
            <w:r>
              <w:t xml:space="preserve">Koppinen et al. (2019)</w:t>
            </w:r>
          </w:p>
        </w:tc>
        <w:tc>
          <w:tcPr/>
          <w:p>
            <w:pPr>
              <w:pStyle w:val="Tabla9"/>
              <w:jc w:val="left"/>
            </w:pPr>
            <w:r>
              <w:t xml:space="preserve">11/11/2020</w:t>
            </w:r>
          </w:p>
        </w:tc>
        <w:tc>
          <w:tcPr/>
          <w:p>
            <w:pPr>
              <w:pStyle w:val="Tabla9"/>
              <w:jc w:val="left"/>
            </w:pPr>
            <w:r>
              <w:t xml:space="preserve">Vencido</w:t>
            </w:r>
          </w:p>
        </w:tc>
        <w:tc>
          <w:tcPr/>
          <w:p>
            <w:pPr>
              <w:pStyle w:val="Tabla9"/>
              <w:jc w:val="left"/>
            </w:pPr>
            <w:r>
              <w:t xml:space="preserve">No aplica</w:t>
            </w:r>
          </w:p>
        </w:tc>
      </w:tr>
      <w:tr>
        <w:trPr>
          <w:cantSplit/>
        </w:trPr>
        <w:tc>
          <w:tcPr/>
          <w:p>
            <w:pPr>
              <w:pStyle w:val="Tabla9"/>
              <w:jc w:val="left"/>
            </w:pPr>
            <w:r>
              <w:t xml:space="preserve">WO 2021/061603 A1</w:t>
            </w:r>
          </w:p>
        </w:tc>
        <w:tc>
          <w:tcPr/>
          <w:p>
            <w:pPr>
              <w:pStyle w:val="Tabla9"/>
              <w:jc w:val="left"/>
            </w:pPr>
            <w:r>
              <w:t xml:space="preserve">Gumaste et al. (2021)</w:t>
            </w:r>
          </w:p>
        </w:tc>
        <w:tc>
          <w:tcPr/>
          <w:p>
            <w:pPr>
              <w:pStyle w:val="Tabla9"/>
              <w:jc w:val="left"/>
            </w:pPr>
            <w:r>
              <w:t xml:space="preserve">23/03/2022</w:t>
            </w:r>
          </w:p>
        </w:tc>
        <w:tc>
          <w:tcPr/>
          <w:p>
            <w:pPr>
              <w:pStyle w:val="Tabla9"/>
              <w:jc w:val="left"/>
            </w:pPr>
            <w:r>
              <w:t xml:space="preserve">Vencido</w:t>
            </w:r>
          </w:p>
        </w:tc>
        <w:tc>
          <w:tcPr/>
          <w:p>
            <w:pPr>
              <w:pStyle w:val="Tabla9"/>
              <w:jc w:val="left"/>
            </w:pPr>
            <w:r>
              <w:t xml:space="preserve">No aplica</w:t>
            </w:r>
          </w:p>
        </w:tc>
      </w:tr>
      <w:tr>
        <w:trPr>
          <w:cantSplit/>
        </w:trPr>
        <w:tc>
          <w:tcPr/>
          <w:p>
            <w:pPr>
              <w:pStyle w:val="Tabla9"/>
              <w:jc w:val="left"/>
            </w:pPr>
            <w:r>
              <w:t xml:space="preserve">WO 2022/217342 A1</w:t>
            </w:r>
          </w:p>
        </w:tc>
        <w:tc>
          <w:tcPr/>
          <w:p>
            <w:pPr>
              <w:pStyle w:val="Tabla9"/>
              <w:jc w:val="left"/>
            </w:pPr>
            <w:r>
              <w:t xml:space="preserve">Ali et al. (2022)</w:t>
            </w:r>
          </w:p>
        </w:tc>
        <w:tc>
          <w:tcPr/>
          <w:p>
            <w:pPr>
              <w:pStyle w:val="Tabla9"/>
              <w:jc w:val="left"/>
            </w:pPr>
            <w:r>
              <w:t xml:space="preserve">14/10/2023</w:t>
            </w:r>
          </w:p>
        </w:tc>
        <w:tc>
          <w:tcPr/>
          <w:p>
            <w:pPr>
              <w:pStyle w:val="Tabla9"/>
              <w:jc w:val="left"/>
            </w:pPr>
            <w:r>
              <w:t xml:space="preserve">Vencido</w:t>
            </w:r>
          </w:p>
        </w:tc>
        <w:tc>
          <w:tcPr/>
          <w:p>
            <w:pPr>
              <w:pStyle w:val="Tabla9"/>
              <w:jc w:val="left"/>
            </w:pPr>
            <w:r>
              <w:t xml:space="preserve">No aplica</w:t>
            </w:r>
          </w:p>
        </w:tc>
      </w:tr>
      <w:tr>
        <w:trPr>
          <w:cantSplit/>
        </w:trPr>
        <w:tc>
          <w:tcPr/>
          <w:p>
            <w:pPr>
              <w:pStyle w:val="Tabla9"/>
              <w:jc w:val="left"/>
            </w:pPr>
            <w:r>
              <w:t xml:space="preserve">WO 2023/139267 A1</w:t>
            </w:r>
          </w:p>
        </w:tc>
        <w:tc>
          <w:tcPr/>
          <w:p>
            <w:pPr>
              <w:pStyle w:val="Tabla9"/>
              <w:jc w:val="left"/>
            </w:pPr>
            <w:r>
              <w:t xml:space="preserve">Izod y Burch (2023)</w:t>
            </w:r>
          </w:p>
        </w:tc>
        <w:tc>
          <w:tcPr/>
          <w:p>
            <w:pPr>
              <w:pStyle w:val="Tabla9"/>
              <w:jc w:val="left"/>
            </w:pPr>
            <w:r>
              <w:t xml:space="preserve">21/07/2024</w:t>
            </w:r>
          </w:p>
        </w:tc>
        <w:tc>
          <w:tcPr/>
          <w:p>
            <w:pPr>
              <w:pStyle w:val="Tabla9"/>
              <w:jc w:val="left"/>
            </w:pPr>
            <w:r>
              <w:t xml:space="preserve">Vencido</w:t>
            </w:r>
          </w:p>
        </w:tc>
        <w:tc>
          <w:tcPr/>
          <w:p>
            <w:pPr>
              <w:pStyle w:val="Tabla9"/>
              <w:jc w:val="left"/>
            </w:pPr>
            <w:r>
              <w:t xml:space="preserve">No aplica</w:t>
            </w:r>
          </w:p>
        </w:tc>
      </w:tr>
      <w:tr>
        <w:trPr>
          <w:cantSplit/>
        </w:trPr>
        <w:tc>
          <w:tcPr/>
          <w:p>
            <w:pPr>
              <w:pStyle w:val="Tabla9"/>
              <w:jc w:val="left"/>
            </w:pPr>
            <w:r>
              <w:t xml:space="preserve">WO 2024/064927 A1</w:t>
            </w:r>
          </w:p>
        </w:tc>
        <w:tc>
          <w:tcPr/>
          <w:p>
            <w:pPr>
              <w:pStyle w:val="Tabla9"/>
              <w:jc w:val="left"/>
            </w:pPr>
            <w:r>
              <w:t xml:space="preserve">Wilson et al. (2024)</w:t>
            </w:r>
          </w:p>
        </w:tc>
        <w:tc>
          <w:tcPr/>
          <w:p>
            <w:pPr>
              <w:pStyle w:val="Tabla9"/>
              <w:jc w:val="left"/>
            </w:pPr>
            <w:r>
              <w:t xml:space="preserve">23/03/2025</w:t>
            </w:r>
          </w:p>
        </w:tc>
        <w:tc>
          <w:tcPr/>
          <w:p>
            <w:pPr>
              <w:pStyle w:val="Tabla9"/>
              <w:jc w:val="left"/>
            </w:pPr>
            <w:r>
              <w:t xml:space="preserve">Vencido</w:t>
            </w:r>
          </w:p>
        </w:tc>
        <w:tc>
          <w:tcPr/>
          <w:p>
            <w:pPr>
              <w:pStyle w:val="Tabla9"/>
              <w:jc w:val="left"/>
            </w:pPr>
            <w:r>
              <w:t xml:space="preserve">No aplica</w:t>
            </w:r>
          </w:p>
        </w:tc>
      </w:tr>
      <w:tr>
        <w:trPr>
          <w:cantSplit/>
        </w:trPr>
        <w:tc>
          <w:tcPr/>
          <w:p>
            <w:pPr>
              <w:pStyle w:val="Tabla9"/>
              <w:jc w:val="left"/>
            </w:pPr>
            <w:r>
              <w:t xml:space="preserve">WO 2024/080881 A1</w:t>
            </w:r>
          </w:p>
        </w:tc>
        <w:tc>
          <w:tcPr/>
          <w:p>
            <w:pPr>
              <w:pStyle w:val="Tabla9"/>
              <w:jc w:val="left"/>
            </w:pPr>
            <w:r>
              <w:t xml:space="preserve">Røine (2024)</w:t>
            </w:r>
          </w:p>
        </w:tc>
        <w:tc>
          <w:tcPr/>
          <w:p>
            <w:pPr>
              <w:pStyle w:val="Tabla9"/>
              <w:jc w:val="left"/>
            </w:pPr>
            <w:r>
              <w:t xml:space="preserve">12/04/2025</w:t>
            </w:r>
          </w:p>
        </w:tc>
        <w:tc>
          <w:tcPr/>
          <w:p>
            <w:pPr>
              <w:pStyle w:val="Tabla9"/>
              <w:jc w:val="left"/>
            </w:pPr>
            <w:r>
              <w:t xml:space="preserve">Vencido</w:t>
            </w:r>
          </w:p>
        </w:tc>
        <w:tc>
          <w:tcPr/>
          <w:p>
            <w:pPr>
              <w:pStyle w:val="Tabla9"/>
              <w:jc w:val="left"/>
            </w:pPr>
            <w:r>
              <w:t xml:space="preserve">No aplica</w:t>
            </w:r>
          </w:p>
        </w:tc>
      </w:tr>
      <w:tr>
        <w:trPr>
          <w:cantSplit/>
        </w:trPr>
        <w:tc>
          <w:tcPr/>
          <w:p>
            <w:pPr>
              <w:pStyle w:val="Tabla9"/>
              <w:jc w:val="left"/>
            </w:pPr>
            <w:r>
              <w:t xml:space="preserve">WO 2025/049390 A2</w:t>
            </w:r>
          </w:p>
        </w:tc>
        <w:tc>
          <w:tcPr/>
          <w:p>
            <w:pPr>
              <w:pStyle w:val="Tabla9"/>
              <w:jc w:val="left"/>
            </w:pPr>
            <w:r>
              <w:t xml:space="preserve">Eckenrode y Stevenson (2025)</w:t>
            </w:r>
          </w:p>
        </w:tc>
        <w:tc>
          <w:tcPr/>
          <w:p>
            <w:pPr>
              <w:pStyle w:val="Tabla9"/>
              <w:jc w:val="left"/>
            </w:pPr>
            <w:r>
              <w:t xml:space="preserve">28/02/2026</w:t>
            </w:r>
          </w:p>
        </w:tc>
        <w:tc>
          <w:tcPr/>
          <w:p>
            <w:pPr>
              <w:pStyle w:val="Tabla9"/>
              <w:jc w:val="left"/>
            </w:pPr>
            <w:r>
              <w:t xml:space="preserve">Vencido</w:t>
            </w:r>
          </w:p>
        </w:tc>
        <w:tc>
          <w:tcPr/>
          <w:p>
            <w:pPr>
              <w:pStyle w:val="Tabla9"/>
              <w:jc w:val="left"/>
            </w:pPr>
            <w:r>
              <w:t xml:space="preserve">No aplica</w:t>
            </w:r>
          </w:p>
        </w:tc>
      </w:tr>
      <w:tr>
        <w:trPr>
          <w:cantSplit/>
        </w:trPr>
        <w:tc>
          <w:tcPr/>
          <w:p>
            <w:pPr>
              <w:pStyle w:val="Tabla9"/>
              <w:jc w:val="left"/>
            </w:pPr>
            <w:r>
              <w:t xml:space="preserve">WO 2025/257740 A1</w:t>
            </w:r>
          </w:p>
        </w:tc>
        <w:tc>
          <w:tcPr/>
          <w:p>
            <w:pPr>
              <w:pStyle w:val="Tabla9"/>
              <w:jc w:val="left"/>
            </w:pPr>
            <w:r>
              <w:t xml:space="preserve">Machida y Ammendola (2025)</w:t>
            </w:r>
          </w:p>
        </w:tc>
        <w:tc>
          <w:tcPr/>
          <w:p>
            <w:pPr>
              <w:pStyle w:val="Tabla9"/>
              <w:jc w:val="left"/>
            </w:pPr>
            <w:r>
              <w:t xml:space="preserve">10/12/2026</w:t>
            </w:r>
          </w:p>
        </w:tc>
        <w:tc>
          <w:tcPr/>
          <w:p>
            <w:pPr>
              <w:pStyle w:val="Tabla9"/>
              <w:jc w:val="left"/>
            </w:pPr>
            <w:r>
              <w:t xml:space="preserve">Abierto</w:t>
            </w:r>
          </w:p>
        </w:tc>
        <w:tc>
          <w:tcPr/>
          <w:p>
            <w:pPr>
              <w:pStyle w:val="Tabla9"/>
              <w:jc w:val="left"/>
            </w:pPr>
            <w:r>
              <w:t xml:space="preserve">58</w:t>
            </w:r>
          </w:p>
        </w:tc>
      </w:tr>
      <w:tr>
        <w:trPr>
          <w:cantSplit/>
        </w:trPr>
        <w:tc>
          <w:tcPr/>
          <w:p>
            <w:pPr>
              <w:pStyle w:val="Tabla9"/>
              <w:jc w:val="left"/>
            </w:pPr>
            <w:r>
              <w:t xml:space="preserve">WO 2026/093802 A1</w:t>
            </w:r>
          </w:p>
        </w:tc>
        <w:tc>
          <w:tcPr/>
          <w:p>
            <w:pPr>
              <w:pStyle w:val="Tabla9"/>
              <w:jc w:val="left"/>
            </w:pPr>
            <w:r>
              <w:t xml:space="preserve">Acosta y Horstmann (2026)</w:t>
            </w:r>
          </w:p>
        </w:tc>
        <w:tc>
          <w:tcPr/>
          <w:p>
            <w:pPr>
              <w:pStyle w:val="Tabla9"/>
              <w:jc w:val="left"/>
            </w:pPr>
            <w:r>
              <w:t xml:space="preserve">28/04/2027</w:t>
            </w:r>
          </w:p>
        </w:tc>
        <w:tc>
          <w:tcPr/>
          <w:p>
            <w:pPr>
              <w:pStyle w:val="Tabla9"/>
              <w:jc w:val="left"/>
            </w:pPr>
            <w:r>
              <w:t xml:space="preserve">Abierto</w:t>
            </w:r>
          </w:p>
        </w:tc>
        <w:tc>
          <w:tcPr/>
          <w:p>
            <w:pPr>
              <w:pStyle w:val="Tabla9"/>
              <w:jc w:val="left"/>
            </w:pPr>
            <w:r>
              <w:t xml:space="preserve">197</w:t>
            </w:r>
          </w:p>
        </w:tc>
      </w:tr>
      <w:tr>
        <w:trPr>
          <w:cantSplit/>
        </w:trPr>
        <w:tc>
          <w:tcPr/>
          <w:p>
            <w:pPr>
              <w:pStyle w:val="Tabla9"/>
              <w:jc w:val="left"/>
            </w:pPr>
            <w:r>
              <w:t xml:space="preserve">WO 2026/180852 A1</w:t>
            </w:r>
          </w:p>
        </w:tc>
        <w:tc>
          <w:tcPr/>
          <w:p>
            <w:pPr>
              <w:pStyle w:val="Tabla9"/>
              <w:jc w:val="left"/>
            </w:pPr>
            <w:r>
              <w:t xml:space="preserve">Spasojevic Brkic et al. (2026)</w:t>
            </w:r>
          </w:p>
        </w:tc>
        <w:tc>
          <w:tcPr/>
          <w:p>
            <w:pPr>
              <w:pStyle w:val="Tabla9"/>
              <w:jc w:val="left"/>
            </w:pPr>
            <w:r>
              <w:t xml:space="preserve">28/08/2027</w:t>
            </w:r>
          </w:p>
        </w:tc>
        <w:tc>
          <w:tcPr/>
          <w:p>
            <w:pPr>
              <w:pStyle w:val="Tabla9"/>
              <w:jc w:val="left"/>
            </w:pPr>
            <w:r>
              <w:t xml:space="preserve">Abierto</w:t>
            </w:r>
          </w:p>
        </w:tc>
        <w:tc>
          <w:tcPr/>
          <w:p>
            <w:pPr>
              <w:pStyle w:val="Tabla9"/>
              <w:jc w:val="left"/>
            </w:pPr>
            <w:r>
              <w:t xml:space="preserve">319</w:t>
            </w:r>
          </w:p>
        </w:tc>
      </w:tr>
    </w:tbl>
    <w:p>
      <w:pPr>
        <w:pStyle w:val="TablaNota"/>
      </w:pPr>
      <w:r>
        <w:rPr>
          <w:i/>
          <w:iCs/>
        </w:rPr>
        <w:t xml:space="preserve">Nota.</w:t>
      </w:r>
      <w:r>
        <w:t xml:space="preserve"> </w:t>
      </w:r>
      <w:r>
        <w:t xml:space="preserve">Elaboración propia con datos del informe de vigilancia tecnológica del proyecto, Anexo C (p. 221). El plazo de 30 meses es cálculo del analista con conocimiento externo. Los días al corte son CALCULADOS. El estado nacional real de cada expediente no se consultó (NO_VERIFICADO).</w:t>
      </w:r>
    </w:p>
    <w:p>
      <w:pPr>
        <w:pStyle w:val="BodyText"/>
      </w:pPr>
      <w:r>
        <w:t xml:space="preserve">La tabla muestra que el riesgo de libertad de operación se concentra en tres expedientes con plazo abierto. Los siete restantes son una pregunta empírica que la consulta de la SIC resuelve. El proyecto no cita estos documentos como anterioridad ni como infracción. Los usa para ordenar la consulta.</w:t>
      </w:r>
    </w:p>
    <w:p>
      <w:pPr>
        <w:pStyle w:val="BodyText"/>
      </w:pPr>
      <w:r>
        <w:t xml:space="preserve">Dos lecturas del riesgo compiten. La lectura cautelosa trata toda solicitud con Colombia designada como una restricción potencial, porque designar no cuesta y conserva la opción del titular. La lectura probabilista sostiene que solo una minoría de las solicitudes entra en la fase nacional, de modo que la restricción real es menor. El informe de vigilancia tecnológica formula una hipótesis para las siete solicitudes vencidas: menos de la mitad ingresó a la fase nacional (INFERIDO). El proyecto aplica la lectura cautelosa a las tres solicitudes abiertas, porque aún pueden entrar. Aplica la lectura empírica a las siete vencidas, que la consulta resuelve. Una patente del proyecto exige además novedad, nivel inventivo y aplicación industrial (Comunidad Andina, 2000). La decisión de solicitarla se difiere hasta la búsqueda de anterioridades. Una publicación previa de los artículos puede afectar la novedad, de modo que el calendario editorial se coordina con esa búsqueda.</w:t>
      </w:r>
    </w:p>
    <w:p>
      <w:pPr>
        <w:pStyle w:val="BodyText"/>
      </w:pPr>
      <w:r>
        <w:rPr>
          <w:b/>
          <w:bCs/>
        </w:rPr>
        <w:t xml:space="preserve">Acuerdos entre partes.</w:t>
      </w:r>
      <w:r>
        <w:t xml:space="preserve"> </w:t>
      </w:r>
      <w:r>
        <w:t xml:space="preserve">El proyecto requiere cinco acuerdos. El primero es el acuerdo de titularidad y explotación entre la IES y la empresa tecnológica. El segundo son los convenios de custodia, con licencia de uso por componente. El tercero es la cláusula de apertura. Si la cobertura del costo mínimo cae bajo 100 % durante dos trimestres seguidos, se liberan los datos, el código y el conocimiento (PROPUESTO). La liberación usa una licencia definida. El cuarto es el acuerdo de datos, que fija la finalidad y el tratamiento de cualquier dato personal recolectado en los talleres. El quinto es el acuerdo de publicación, que ordena los artículos frente a la decisión sobre patentes. Las alcaldías no aportan contrapartida (VACIO). Sus convenios deben incluir partida para operar, porque un convenio sin partida no financia la operación. La sección 4.4-MDR.10 fija que los acuerdos de custodia se firmen antes de comprar el segundo lote de nodos. Ostrom (2005) incluye las reglas de pago entre las que gobiernan una institución: quién obtiene qué resultado y a qué costo. Dos posiciones se contrastan sobre el momento del acuerdo. Negociar al final preserva la opción de valorar el activo cuando exista. Negociar al inicio evita que el cambio de poder de negociación, una vez creado el activo, condicione el reparto (INFERIDO). El proyecto adopta la segunda posición. Firma el acuerdo de titularidad antes del hito de transferencia 0 (mes 6). Lo firma también antes de radicar la solicitud de registro de software, prevista al mes 17.</w:t>
      </w:r>
    </w:p>
    <w:bookmarkEnd w:id="624"/>
    <w:bookmarkStart w:id="628" w:name="_Toc00900247"/>
    <w:p>
      <w:pPr>
        <w:pStyle w:val="Heading2"/>
      </w:pPr>
      <w:r>
        <w:t xml:space="preserve">15.3 Comercialización y Licenciamiento</w:t>
      </w:r>
    </w:p>
    <w:p>
      <w:pPr>
        <w:pStyle w:val="FirstParagraph"/>
      </w:pPr>
      <w:r>
        <w:rPr>
          <w:b/>
          <w:bCs/>
        </w:rPr>
        <w:t xml:space="preserve">Potencial de comercialización.</w:t>
      </w:r>
      <w:r>
        <w:t xml:space="preserve"> </w:t>
      </w:r>
      <w:r>
        <w:t xml:space="preserve">El potencial de comercialización es una hipótesis (INFERIDO) y no un resultado comprometido. No existe estudio de mercado ni carta de intención, y ningún ingreso se estima (VACIO). La evidencia disponible es indirecta. El informe de vigilancia tecnológica documenta una red nacional propuesta de 5.076 estaciones. El 90,8 % serían sensores sin plan de calibración (Murad Pedraza et al., 2026, pp. 10-11 y 13). Esa carencia crea una demanda potencial de servicios de calibración y verificación. El mismo informe identifica una posición vacante. Ningún competidor del corpus ocupa el espacio de validación regional de sensores y alertas con datos abiertos y protocolos públicos. La sección 4.4-MDR.10 propone a las ARL y a las constructoras como cofinanciadoras candidatas del uso del dato. Chesbrough (2003) sostiene que una tecnología no produce valor por sí misma y que requiere un modelo de negocio que la conecte con un cliente. Teece (1986) añade que la captura del valor depende del control de activos complementarios, como la distribución y el servicio posventa. Las dos posiciones apuntan a un servicio y no a un producto aislado. Por consiguiente, el proyecto trata la calibración colocalizada y el tablero como servicios con custodia. Trata la venta de nodos como la opción de menor evidencia.</w:t>
      </w:r>
    </w:p>
    <w:p>
      <w:pPr>
        <w:pStyle w:val="BodyText"/>
      </w:pPr>
      <w:r>
        <w:t xml:space="preserve">La Tabla 15.4 clasifica cuatro líneas de comercialización posibles y su evidencia.</w:t>
      </w:r>
    </w:p>
    <w:p>
      <w:pPr>
        <w:pStyle w:val="TablaRotulo"/>
      </w:pPr>
      <w:bookmarkStart w:id="9375" w:name="rot_Tabla_15_4"/>
      <w:r>
        <w:rPr>
          <w:b/>
          <w:bCs/>
        </w:rPr>
        <w:t xml:space="preserve">Tabla 15.4</w:t>
      </w:r>
      <w:bookmarkEnd w:id="9375"/>
    </w:p>
    <w:p>
      <w:pPr>
        <w:pStyle w:val="TablaTitulo"/>
      </w:pPr>
      <w:r>
        <w:rPr>
          <w:i/>
          <w:iCs/>
        </w:rPr>
        <w:t xml:space="preserve">Potencial de comercialización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54"/>
        <w:gridCol w:w="1320"/>
        <w:gridCol w:w="1452"/>
        <w:gridCol w:w="1518"/>
        <w:gridCol w:w="1122"/>
        <w:gridCol w:w="1254"/>
      </w:tblGrid>
      <w:tr>
        <w:trPr>
          <w:cantSplit/>
          <w:tblHeader/>
        </w:trPr>
        <w:tc>
          <w:tcPr>
            <w:shd w:val="clear" w:color="auto" w:fill="00B050"/>
          </w:tcPr>
          <w:p>
            <w:pPr>
              <w:pStyle w:val="Tabla9"/>
              <w:jc w:val="center"/>
            </w:pPr>
            <w:r>
              <w:rPr>
                <w:b/>
                <w:color w:val="FFFFFF"/>
              </w:rPr>
              <w:t xml:space="preserve">Producto o servicio</w:t>
            </w:r>
          </w:p>
        </w:tc>
        <w:tc>
          <w:tcPr>
            <w:shd w:val="clear" w:color="auto" w:fill="00B050"/>
          </w:tcPr>
          <w:p>
            <w:pPr>
              <w:pStyle w:val="Tabla9"/>
              <w:jc w:val="center"/>
            </w:pPr>
            <w:r>
              <w:rPr>
                <w:b/>
                <w:color w:val="FFFFFF"/>
              </w:rPr>
              <w:t xml:space="preserve">Segmento candidato</w:t>
            </w:r>
          </w:p>
        </w:tc>
        <w:tc>
          <w:tcPr>
            <w:shd w:val="clear" w:color="auto" w:fill="00B050"/>
          </w:tcPr>
          <w:p>
            <w:pPr>
              <w:pStyle w:val="Tabla9"/>
              <w:jc w:val="center"/>
            </w:pPr>
            <w:r>
              <w:rPr>
                <w:b/>
                <w:color w:val="FFFFFF"/>
              </w:rPr>
              <w:t xml:space="preserve">Evidencia disponible</w:t>
            </w:r>
          </w:p>
        </w:tc>
        <w:tc>
          <w:tcPr>
            <w:shd w:val="clear" w:color="auto" w:fill="00B050"/>
          </w:tcPr>
          <w:p>
            <w:pPr>
              <w:pStyle w:val="Tabla9"/>
              <w:jc w:val="center"/>
            </w:pPr>
            <w:r>
              <w:rPr>
                <w:b/>
                <w:color w:val="FFFFFF"/>
              </w:rPr>
              <w:t xml:space="preserve">Modelo de captura de valor</w:t>
            </w:r>
          </w:p>
        </w:tc>
        <w:tc>
          <w:tcPr>
            <w:shd w:val="clear" w:color="auto" w:fill="00B050"/>
          </w:tcPr>
          <w:p>
            <w:pPr>
              <w:pStyle w:val="Tabla9"/>
              <w:jc w:val="center"/>
            </w:pPr>
            <w:r>
              <w:rPr>
                <w:b/>
                <w:color w:val="FFFFFF"/>
              </w:rPr>
              <w:t xml:space="preserve">Condición previa</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Calibración colocalizada y verificación de sensores</w:t>
            </w:r>
          </w:p>
        </w:tc>
        <w:tc>
          <w:tcPr/>
          <w:p>
            <w:pPr>
              <w:pStyle w:val="Tabla9"/>
              <w:jc w:val="left"/>
            </w:pPr>
            <w:r>
              <w:t xml:space="preserve">Entidades que compran redes de bajo costo</w:t>
            </w:r>
          </w:p>
        </w:tc>
        <w:tc>
          <w:tcPr/>
          <w:p>
            <w:pPr>
              <w:pStyle w:val="Tabla9"/>
              <w:jc w:val="left"/>
            </w:pPr>
            <w:r>
              <w:t xml:space="preserve">90,8 % de 5.076 estaciones sin plan de calibración (Murad Pedraza et al., 2026, pp. 10-11 y 13)</w:t>
            </w:r>
          </w:p>
        </w:tc>
        <w:tc>
          <w:tcPr/>
          <w:p>
            <w:pPr>
              <w:pStyle w:val="Tabla9"/>
              <w:jc w:val="left"/>
            </w:pPr>
            <w:r>
              <w:t xml:space="preserve">Servicio por contrato; sin tarifa fijada</w:t>
            </w:r>
          </w:p>
        </w:tc>
        <w:tc>
          <w:tcPr/>
          <w:p>
            <w:pPr>
              <w:pStyle w:val="Tabla9"/>
              <w:jc w:val="left"/>
            </w:pPr>
            <w:r>
              <w:t xml:space="preserve">Protocolo validado en C1 y libertad de operación consultada</w:t>
            </w:r>
          </w:p>
        </w:tc>
        <w:tc>
          <w:tcPr/>
          <w:p>
            <w:pPr>
              <w:pStyle w:val="Tabla9"/>
              <w:jc w:val="left"/>
            </w:pPr>
            <w:r>
              <w:t xml:space="preserve">INFERIDO</w:t>
            </w:r>
          </w:p>
        </w:tc>
      </w:tr>
      <w:tr>
        <w:trPr>
          <w:cantSplit/>
        </w:trPr>
        <w:tc>
          <w:tcPr/>
          <w:p>
            <w:pPr>
              <w:pStyle w:val="Tabla9"/>
              <w:jc w:val="left"/>
            </w:pPr>
            <w:r>
              <w:t xml:space="preserve">Tablero del AQHI y protocolo de alerta como servicio</w:t>
            </w:r>
          </w:p>
        </w:tc>
        <w:tc>
          <w:tcPr/>
          <w:p>
            <w:pPr>
              <w:pStyle w:val="Tabla9"/>
              <w:jc w:val="left"/>
            </w:pPr>
            <w:r>
              <w:t xml:space="preserve">Comités de gestión del riesgo; ARL y constructoras</w:t>
            </w:r>
          </w:p>
        </w:tc>
        <w:tc>
          <w:tcPr/>
          <w:p>
            <w:pPr>
              <w:pStyle w:val="Tabla9"/>
              <w:jc w:val="left"/>
            </w:pPr>
            <w:r>
              <w:t xml:space="preserve">Cofinanciación y uso del dato como candidatos (sección 4.4-MDR.10)</w:t>
            </w:r>
          </w:p>
        </w:tc>
        <w:tc>
          <w:tcPr/>
          <w:p>
            <w:pPr>
              <w:pStyle w:val="Tabla9"/>
              <w:jc w:val="left"/>
            </w:pPr>
            <w:r>
              <w:t xml:space="preserve">Pago por disponibilidad, a validar</w:t>
            </w:r>
          </w:p>
        </w:tc>
        <w:tc>
          <w:tcPr/>
          <w:p>
            <w:pPr>
              <w:pStyle w:val="Tabla9"/>
              <w:jc w:val="left"/>
            </w:pPr>
            <w:r>
              <w:t xml:space="preserve">Umbrales validados localmente y primer pago del servicio</w:t>
            </w:r>
          </w:p>
        </w:tc>
        <w:tc>
          <w:tcPr/>
          <w:p>
            <w:pPr>
              <w:pStyle w:val="Tabla9"/>
              <w:jc w:val="left"/>
            </w:pPr>
            <w:r>
              <w:t xml:space="preserve">INFERIDO</w:t>
            </w:r>
          </w:p>
        </w:tc>
      </w:tr>
      <w:tr>
        <w:trPr>
          <w:cantSplit/>
        </w:trPr>
        <w:tc>
          <w:tcPr/>
          <w:p>
            <w:pPr>
              <w:pStyle w:val="Tabla9"/>
              <w:jc w:val="left"/>
            </w:pPr>
            <w:r>
              <w:t xml:space="preserve">Datos y modelo de corrección abiertos</w:t>
            </w:r>
          </w:p>
        </w:tc>
        <w:tc>
          <w:tcPr/>
          <w:p>
            <w:pPr>
              <w:pStyle w:val="Tabla9"/>
              <w:jc w:val="left"/>
            </w:pPr>
            <w:r>
              <w:t xml:space="preserve">Academia y otras redes de bajo costo</w:t>
            </w:r>
          </w:p>
        </w:tc>
        <w:tc>
          <w:tcPr/>
          <w:p>
            <w:pPr>
              <w:pStyle w:val="Tabla9"/>
              <w:jc w:val="left"/>
            </w:pPr>
            <w:r>
              <w:t xml:space="preserve">Espacio regional de validación con datos abiertos sin ocupante en el corpus</w:t>
            </w:r>
          </w:p>
        </w:tc>
        <w:tc>
          <w:tcPr/>
          <w:p>
            <w:pPr>
              <w:pStyle w:val="Tabla9"/>
              <w:jc w:val="left"/>
            </w:pPr>
            <w:r>
              <w:t xml:space="preserve">Reputación y alianzas; sin ingreso directo</w:t>
            </w:r>
          </w:p>
        </w:tc>
        <w:tc>
          <w:tcPr/>
          <w:p>
            <w:pPr>
              <w:pStyle w:val="Tabla9"/>
              <w:jc w:val="left"/>
            </w:pPr>
            <w:r>
              <w:t xml:space="preserve">Cláusula de apertura y licencia elegida</w:t>
            </w:r>
          </w:p>
        </w:tc>
        <w:tc>
          <w:tcPr/>
          <w:p>
            <w:pPr>
              <w:pStyle w:val="Tabla9"/>
              <w:jc w:val="left"/>
            </w:pPr>
            <w:r>
              <w:t xml:space="preserve">INFERIDO</w:t>
            </w:r>
          </w:p>
        </w:tc>
      </w:tr>
      <w:tr>
        <w:trPr>
          <w:cantSplit/>
        </w:trPr>
        <w:tc>
          <w:tcPr/>
          <w:p>
            <w:pPr>
              <w:pStyle w:val="Tabla9"/>
              <w:jc w:val="left"/>
            </w:pPr>
            <w:r>
              <w:t xml:space="preserve">Nodos y gateways con corrección</w:t>
            </w:r>
          </w:p>
        </w:tc>
        <w:tc>
          <w:tcPr/>
          <w:p>
            <w:pPr>
              <w:pStyle w:val="Tabla9"/>
              <w:jc w:val="left"/>
            </w:pPr>
            <w:r>
              <w:t xml:space="preserve">Entidades compradoras de sensores</w:t>
            </w:r>
          </w:p>
        </w:tc>
        <w:tc>
          <w:tcPr/>
          <w:p>
            <w:pPr>
              <w:pStyle w:val="Tabla9"/>
              <w:jc w:val="left"/>
            </w:pPr>
            <w:r>
              <w:t xml:space="preserve">Sin estudio de mercado</w:t>
            </w:r>
          </w:p>
        </w:tc>
        <w:tc>
          <w:tcPr/>
          <w:p>
            <w:pPr>
              <w:pStyle w:val="Tabla9"/>
              <w:jc w:val="left"/>
            </w:pPr>
            <w:r>
              <w:t xml:space="preserve">Venta o arriendo; sin precio fijado</w:t>
            </w:r>
          </w:p>
        </w:tc>
        <w:tc>
          <w:tcPr/>
          <w:p>
            <w:pPr>
              <w:pStyle w:val="Tabla9"/>
              <w:jc w:val="left"/>
            </w:pPr>
            <w:r>
              <w:t xml:space="preserve">Firmware registrado y titularidad acordada</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sección 4.4-MDR.10 y del informe de vigilancia tecnológica del proyecto. AQHI: índice de calidad del aire y salud. Ningún ingreso se estima. Naturaleza: INFERIDO o VACIO; NO_VERIFICADO.</w:t>
      </w:r>
    </w:p>
    <w:p>
      <w:pPr>
        <w:pStyle w:val="BodyText"/>
      </w:pPr>
      <w:r>
        <w:t xml:space="preserve">Ninguna línea cuenta con demanda verificada. El proyecto convierte esa limitación en una tarea de validación. Antes de la compuerta C3 se obtiene al menos una expresión formal de interés por línea con potencial (PROPUESTO). Sin esa evidencia, la decisión de licenciar se apoya en criterios de custodia y no en proyecciones de ingreso.</w:t>
      </w:r>
    </w:p>
    <w:p>
      <w:pPr>
        <w:pStyle w:val="BodyText"/>
      </w:pPr>
      <w:r>
        <w:rPr>
          <w:b/>
          <w:bCs/>
        </w:rPr>
        <w:t xml:space="preserve">Modelos de licenciamiento.</w:t>
      </w:r>
      <w:r>
        <w:t xml:space="preserve"> </w:t>
      </w:r>
      <w:r>
        <w:t xml:space="preserve">El proyecto considera cuatro opciones de licenciamiento y no fija ninguna tarifa. La primera es una licencia abierta para código y datos, con atribución. La segunda es una licencia con condiciones: uso gratuito para entidades custodias, comités y academia, y licencia onerosa para el uso comercial. La tercera es el servicio sin cesión del código, en el que la IES o la empresa operan la calibración para el cliente. La cuarta es la reserva temporal, que difiere cualquier licencia hasta concluir la consulta de libertad de operación. La sección 4.4-MDR.10 declara que la elección de la licencia es un VACIO que deciden el equipo formulador y la empresa aliada. Cuatro criterios ordenan la elección: compatibilidad con la cláusula de apertura, costo de transacción, riesgo de libertad de operación y atractivo para la custodia. La licencia con condiciones es la recomendación preliminar (PROPUESTO). Si el disparador de la cláusula de apertura se activa, esa licencia pasa a licencia abierta. Chesbrough (2003) respalda la apertura como vía hacia mercados que el titular no atiende. Teece (1986) advierte que licenciar sin activos complementarios propios puede trasladar el valor a la parte licenciataria. El proyecto reconcilia ambas posiciones. Abre lo que sirve a la custodia y a la academia, y condiciona lo que sirve a un uso comercial. La Figura 15.2 ordena las decisiones que preceden a la licencia.</w:t>
      </w:r>
    </w:p>
    <w:p>
      <w:pPr>
        <w:pStyle w:val="FiguraRotulo"/>
      </w:pPr>
      <w:bookmarkStart w:id="9545" w:name="rot_Figura_15_2"/>
      <w:r>
        <w:rPr>
          <w:b/>
          <w:bCs/>
        </w:rPr>
        <w:t xml:space="preserve">Figura 15.2</w:t>
      </w:r>
      <w:bookmarkEnd w:id="9545"/>
    </w:p>
    <w:p>
      <w:pPr>
        <w:pStyle w:val="FiguraTitulo"/>
      </w:pPr>
      <w:r>
        <w:rPr>
          <w:i/>
          <w:iCs/>
        </w:rPr>
        <w:t xml:space="preserve">Ruta de comercialización</w:t>
      </w:r>
    </w:p>
    <w:p>
      <w:pPr>
        <w:pStyle w:val="BodyText"/>
      </w:pPr>
      <w:r>
        <w:drawing>
          <wp:inline>
            <wp:extent cx="5579999" cy="3918821"/>
            <wp:effectExtent b="0" l="0" r="0" t="0"/>
            <wp:docPr descr="" title="" id="626" name="Picture"/>
            <a:graphic>
              <a:graphicData uri="http://schemas.openxmlformats.org/drawingml/2006/picture">
                <pic:pic>
                  <pic:nvPicPr>
                    <pic:cNvPr descr="/tmp/claude-0/-home-user-docs/ddf38714-2a7e-502b-92b4-1008e2832422/scratchpad/proy/figs/out/c15_f02.png" id="627" name="Picture"/>
                    <pic:cNvPicPr>
                      <a:picLocks noChangeArrowheads="1" noChangeAspect="1"/>
                    </pic:cNvPicPr>
                  </pic:nvPicPr>
                  <pic:blipFill>
                    <a:blip r:embed="rId625"/>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4.4-MDR.10 (cláusula de apertura), del informe de vigilancia tecnológica del proyecto (consulta de la SIC) y de la ficha maestra (hitos de software y compuerta C3). La recomendación preliminar es PROPUESTO. Figura generada con matplotlib; sin semilla ni corpus.</w:t>
      </w:r>
    </w:p>
    <w:p>
      <w:pPr>
        <w:pStyle w:val="BodyText"/>
      </w:pPr>
      <w:r>
        <w:t xml:space="preserve">La ruta fija un orden. Primero se consulta la libertad de operación y se acuerda la titularidad. Después se registra el software. Al final se decide la licencia en la compuerta C3. Ninguna opción de licencia se adopta antes de esos pasos.</w:t>
      </w:r>
    </w:p>
    <w:p>
      <w:pPr>
        <w:pStyle w:val="BodyText"/>
      </w:pPr>
      <w:r>
        <w:rPr>
          <w:b/>
          <w:bCs/>
        </w:rPr>
        <w:t xml:space="preserve">Spin-offs potenciales.</w:t>
      </w:r>
      <w:r>
        <w:t xml:space="preserve"> </w:t>
      </w:r>
      <w:r>
        <w:t xml:space="preserve">El proyecto no compromete ninguna empresa derivada. La ficha no incluye ese producto, y el expediente E3 declara que la empresa aliada carece de modelo de negocio (DECLARADO; NO_VERIFICADO). Una empresa derivada solo se justificaría si se cumplen cuatro condiciones. Son titularidad acordada, demanda verificada con una carta de intención, custodia asegurada y decisión del órgano de gobierno de la alianza en la compuerta C3. La política de propiedad intelectual y de creación de empresas de la IES determina el vehículo [DATO_USUARIO: reglamento de propiedad intelectual de la IES]. Teece (1986) contrasta dos rutas: integrar la producción en la empresa innovadora o licenciar a empresas que ya poseen los activos complementarios. Una empresa derivada integra y asume el riesgo comercial. Una licencia transfiere ese riesgo, pero cede control. El diseño debe evitar además un conflicto de interés: quien vende los nodos no debe certificar su propio desempeño (INFERIDO). Por consiguiente, cualquier empresa derivada se separa de la verificación metrológica, que permanece en la custodia del protocolo.</w:t>
      </w:r>
    </w:p>
    <w:bookmarkEnd w:id="628"/>
    <w:bookmarkStart w:id="629" w:name="_Toc00900248"/>
    <w:p>
      <w:pPr>
        <w:pStyle w:val="Heading2"/>
      </w:pPr>
      <w:r>
        <w:t xml:space="preserve">15.4 Réplica y Escalamiento</w:t>
      </w:r>
    </w:p>
    <w:p>
      <w:pPr>
        <w:pStyle w:val="FirstParagraph"/>
      </w:pPr>
      <w:r>
        <w:rPr>
          <w:b/>
          <w:bCs/>
        </w:rPr>
        <w:t xml:space="preserve">Potencial de réplica.</w:t>
      </w:r>
      <w:r>
        <w:t xml:space="preserve"> </w:t>
      </w:r>
      <w:r>
        <w:t xml:space="preserve">La unidad mínima de réplica es un módulo de 10 nodos y un gateway, porque el diseño asigna un gateway a cada 10 nodos. El costo de capital del módulo se calcula con las líneas del presupuesto. Un nodo cuesta 4.500.000 COP. Su kit solar y de batería cuesta 650.000 COP, su cerramiento con mástil 350.000 COP y su instalación 1.200.000 COP. El costo marginal de capital por nodo es de 6.700.000 COP (CALCULADO). Cada gateway cuesta 28.000.000 COP, su módulo satelital 3.500.000 COP y su instalación 1.200.000 COP, para un total de 32.700.000 COP. Repartido entre 10 nodos, la cuota es de 3.270.000 COP por nodo. Un módulo de réplica cuesta 99.700.000 COP en capital, o 9.970.000 COP por nodo (CALCULADO). El costo recurrente de referencia es de 1.644.000 COP por nodo y año. Resulta de 444.000 COP de enlace celular y satelital y 1.200.000 COP de reposición de cabezales y repuestos. Esa cifra es una cota parcial. Excluye personal, nube y reposición de nodos, y no sustituye el costo total de sostenimiento, que permanece NO_CALCULABLE.</w:t>
      </w:r>
    </w:p>
    <w:p>
      <w:pPr>
        <w:pStyle w:val="BodyText"/>
      </w:pPr>
      <w:r>
        <w:t xml:space="preserve">La Tabla 15.5 detalla el cálculo línea por línea.</w:t>
      </w:r>
    </w:p>
    <w:p>
      <w:pPr>
        <w:pStyle w:val="TablaRotulo"/>
      </w:pPr>
      <w:bookmarkStart w:id="9376" w:name="rot_Tabla_15_5"/>
      <w:r>
        <w:rPr>
          <w:b/>
          <w:bCs/>
        </w:rPr>
        <w:t xml:space="preserve">Tabla 15.5</w:t>
      </w:r>
      <w:bookmarkEnd w:id="9376"/>
    </w:p>
    <w:p>
      <w:pPr>
        <w:pStyle w:val="TablaTitulo"/>
      </w:pPr>
      <w:r>
        <w:rPr>
          <w:i/>
          <w:iCs/>
        </w:rPr>
        <w:t xml:space="preserve">Costo marginal por nodo y por módulo de réplica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30"/>
        <w:gridCol w:w="931"/>
        <w:gridCol w:w="1863"/>
        <w:gridCol w:w="1397"/>
        <w:gridCol w:w="1796"/>
      </w:tblGrid>
      <w:tr>
        <w:trPr>
          <w:cantSplit/>
          <w:tblHeader/>
        </w:trPr>
        <w:tc>
          <w:tcPr>
            <w:shd w:val="clear" w:color="auto" w:fill="00B050"/>
          </w:tcPr>
          <w:p>
            <w:pPr>
              <w:pStyle w:val="Tabla9"/>
              <w:jc w:val="center"/>
            </w:pPr>
            <w:r>
              <w:rPr>
                <w:b/>
                <w:color w:val="FFFFFF"/>
              </w:rPr>
              <w:t xml:space="preserve">Concepto</w:t>
            </w:r>
          </w:p>
        </w:tc>
        <w:tc>
          <w:tcPr>
            <w:shd w:val="clear" w:color="auto" w:fill="00B050"/>
          </w:tcPr>
          <w:p>
            <w:pPr>
              <w:pStyle w:val="Tabla9"/>
              <w:jc w:val="center"/>
            </w:pPr>
            <w:r>
              <w:rPr>
                <w:b/>
                <w:color w:val="FFFFFF"/>
              </w:rPr>
              <w:t xml:space="preserve">Línea</w:t>
            </w:r>
          </w:p>
        </w:tc>
        <w:tc>
          <w:tcPr>
            <w:shd w:val="clear" w:color="auto" w:fill="00B050"/>
          </w:tcPr>
          <w:p>
            <w:pPr>
              <w:pStyle w:val="Tabla9"/>
              <w:jc w:val="center"/>
            </w:pPr>
            <w:r>
              <w:rPr>
                <w:b/>
                <w:color w:val="FFFFFF"/>
              </w:rPr>
              <w:t xml:space="preserve">Cálculo</w:t>
            </w:r>
          </w:p>
        </w:tc>
        <w:tc>
          <w:tcPr>
            <w:shd w:val="clear" w:color="auto" w:fill="00B050"/>
          </w:tcPr>
          <w:p>
            <w:pPr>
              <w:pStyle w:val="Tabla9"/>
              <w:jc w:val="center"/>
            </w:pPr>
            <w:r>
              <w:rPr>
                <w:b/>
                <w:color w:val="FFFFFF"/>
              </w:rPr>
              <w:t xml:space="preserve">Valor (COP)</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Nodo IoT de medición</w:t>
            </w:r>
          </w:p>
        </w:tc>
        <w:tc>
          <w:tcPr/>
          <w:p>
            <w:pPr>
              <w:pStyle w:val="Tabla9"/>
              <w:jc w:val="left"/>
            </w:pPr>
            <w:r>
              <w:t xml:space="preserve">E01</w:t>
            </w:r>
          </w:p>
        </w:tc>
        <w:tc>
          <w:tcPr/>
          <w:p>
            <w:pPr>
              <w:pStyle w:val="Tabla9"/>
              <w:jc w:val="left"/>
            </w:pPr>
            <w:r>
              <w:t xml:space="preserve">Costo unitario</w:t>
            </w:r>
          </w:p>
        </w:tc>
        <w:tc>
          <w:tcPr/>
          <w:p>
            <w:pPr>
              <w:pStyle w:val="Tabla9"/>
              <w:jc w:val="left"/>
            </w:pPr>
            <w:r>
              <w:t xml:space="preserve">4.500.000</w:t>
            </w:r>
          </w:p>
        </w:tc>
        <w:tc>
          <w:tcPr/>
          <w:p>
            <w:pPr>
              <w:pStyle w:val="Tabla9"/>
              <w:jc w:val="left"/>
            </w:pPr>
            <w:r>
              <w:t xml:space="preserve">DECLARADO</w:t>
            </w:r>
          </w:p>
        </w:tc>
      </w:tr>
      <w:tr>
        <w:trPr>
          <w:cantSplit/>
        </w:trPr>
        <w:tc>
          <w:tcPr/>
          <w:p>
            <w:pPr>
              <w:pStyle w:val="Tabla9"/>
              <w:jc w:val="left"/>
            </w:pPr>
            <w:r>
              <w:t xml:space="preserve">Kit de energía solar y batería</w:t>
            </w:r>
          </w:p>
        </w:tc>
        <w:tc>
          <w:tcPr/>
          <w:p>
            <w:pPr>
              <w:pStyle w:val="Tabla9"/>
              <w:jc w:val="left"/>
            </w:pPr>
            <w:r>
              <w:t xml:space="preserve">E05</w:t>
            </w:r>
          </w:p>
        </w:tc>
        <w:tc>
          <w:tcPr/>
          <w:p>
            <w:pPr>
              <w:pStyle w:val="Tabla9"/>
              <w:jc w:val="left"/>
            </w:pPr>
            <w:r>
              <w:t xml:space="preserve">Costo unitario</w:t>
            </w:r>
          </w:p>
        </w:tc>
        <w:tc>
          <w:tcPr/>
          <w:p>
            <w:pPr>
              <w:pStyle w:val="Tabla9"/>
              <w:jc w:val="left"/>
            </w:pPr>
            <w:r>
              <w:t xml:space="preserve">650.000</w:t>
            </w:r>
          </w:p>
        </w:tc>
        <w:tc>
          <w:tcPr/>
          <w:p>
            <w:pPr>
              <w:pStyle w:val="Tabla9"/>
              <w:jc w:val="left"/>
            </w:pPr>
            <w:r>
              <w:t xml:space="preserve">PROPUESTO</w:t>
            </w:r>
          </w:p>
        </w:tc>
      </w:tr>
      <w:tr>
        <w:trPr>
          <w:cantSplit/>
        </w:trPr>
        <w:tc>
          <w:tcPr/>
          <w:p>
            <w:pPr>
              <w:pStyle w:val="Tabla9"/>
              <w:jc w:val="left"/>
            </w:pPr>
            <w:r>
              <w:t xml:space="preserve">Cerramiento NEMA 4X y mástil</w:t>
            </w:r>
          </w:p>
        </w:tc>
        <w:tc>
          <w:tcPr/>
          <w:p>
            <w:pPr>
              <w:pStyle w:val="Tabla9"/>
              <w:jc w:val="left"/>
            </w:pPr>
            <w:r>
              <w:t xml:space="preserve">M03</w:t>
            </w:r>
          </w:p>
        </w:tc>
        <w:tc>
          <w:tcPr/>
          <w:p>
            <w:pPr>
              <w:pStyle w:val="Tabla9"/>
              <w:jc w:val="left"/>
            </w:pPr>
            <w:r>
              <w:t xml:space="preserve">Costo unitario</w:t>
            </w:r>
          </w:p>
        </w:tc>
        <w:tc>
          <w:tcPr/>
          <w:p>
            <w:pPr>
              <w:pStyle w:val="Tabla9"/>
              <w:jc w:val="left"/>
            </w:pPr>
            <w:r>
              <w:t xml:space="preserve">350.000</w:t>
            </w:r>
          </w:p>
        </w:tc>
        <w:tc>
          <w:tcPr/>
          <w:p>
            <w:pPr>
              <w:pStyle w:val="Tabla9"/>
              <w:jc w:val="left"/>
            </w:pPr>
            <w:r>
              <w:t xml:space="preserve">DECLARADO</w:t>
            </w:r>
          </w:p>
        </w:tc>
      </w:tr>
      <w:tr>
        <w:trPr>
          <w:cantSplit/>
        </w:trPr>
        <w:tc>
          <w:tcPr/>
          <w:p>
            <w:pPr>
              <w:pStyle w:val="Tabla9"/>
              <w:jc w:val="left"/>
            </w:pPr>
            <w:r>
              <w:t xml:space="preserve">Instalación en sitio</w:t>
            </w:r>
          </w:p>
        </w:tc>
        <w:tc>
          <w:tcPr/>
          <w:p>
            <w:pPr>
              <w:pStyle w:val="Tabla9"/>
              <w:jc w:val="left"/>
            </w:pPr>
            <w:r>
              <w:t xml:space="preserve">S05</w:t>
            </w:r>
          </w:p>
        </w:tc>
        <w:tc>
          <w:tcPr/>
          <w:p>
            <w:pPr>
              <w:pStyle w:val="Tabla9"/>
              <w:jc w:val="left"/>
            </w:pPr>
            <w:r>
              <w:t xml:space="preserve">Costo por sitio</w:t>
            </w:r>
          </w:p>
        </w:tc>
        <w:tc>
          <w:tcPr/>
          <w:p>
            <w:pPr>
              <w:pStyle w:val="Tabla9"/>
              <w:jc w:val="left"/>
            </w:pPr>
            <w:r>
              <w:t xml:space="preserve">1.200.000</w:t>
            </w:r>
          </w:p>
        </w:tc>
        <w:tc>
          <w:tcPr/>
          <w:p>
            <w:pPr>
              <w:pStyle w:val="Tabla9"/>
              <w:jc w:val="left"/>
            </w:pPr>
            <w:r>
              <w:t xml:space="preserve">PROPUESTO</w:t>
            </w:r>
          </w:p>
        </w:tc>
      </w:tr>
      <w:tr>
        <w:trPr>
          <w:cantSplit/>
        </w:trPr>
        <w:tc>
          <w:tcPr/>
          <w:p>
            <w:pPr>
              <w:pStyle w:val="Tabla9"/>
              <w:jc w:val="left"/>
            </w:pPr>
            <w:r>
              <w:t xml:space="preserve">Costo marginal de capital por nodo</w:t>
            </w:r>
          </w:p>
        </w:tc>
        <w:tc>
          <w:tcPr/>
          <w:p>
            <w:pPr>
              <w:pStyle w:val="Tabla9"/>
              <w:jc w:val="left"/>
            </w:pPr>
            <w:r>
              <w:t xml:space="preserve">E01, E05, M03 y S05</w:t>
            </w:r>
          </w:p>
        </w:tc>
        <w:tc>
          <w:tcPr/>
          <w:p>
            <w:pPr>
              <w:pStyle w:val="Tabla9"/>
              <w:jc w:val="left"/>
            </w:pPr>
            <w:r>
              <w:t xml:space="preserve">Suma de las cuatro líneas</w:t>
            </w:r>
          </w:p>
        </w:tc>
        <w:tc>
          <w:tcPr/>
          <w:p>
            <w:pPr>
              <w:pStyle w:val="Tabla9"/>
              <w:jc w:val="left"/>
            </w:pPr>
            <w:r>
              <w:t xml:space="preserve">6.700.000</w:t>
            </w:r>
          </w:p>
        </w:tc>
        <w:tc>
          <w:tcPr/>
          <w:p>
            <w:pPr>
              <w:pStyle w:val="Tabla9"/>
              <w:jc w:val="left"/>
            </w:pPr>
            <w:r>
              <w:t xml:space="preserve">CALCULADO</w:t>
            </w:r>
          </w:p>
        </w:tc>
      </w:tr>
      <w:tr>
        <w:trPr>
          <w:cantSplit/>
        </w:trPr>
        <w:tc>
          <w:tcPr/>
          <w:p>
            <w:pPr>
              <w:pStyle w:val="Tabla9"/>
              <w:jc w:val="left"/>
            </w:pPr>
            <w:r>
              <w:t xml:space="preserve">Efecto de la reserva de 20 % de nodos</w:t>
            </w:r>
          </w:p>
        </w:tc>
        <w:tc>
          <w:tcPr/>
          <w:p>
            <w:pPr>
              <w:pStyle w:val="Tabla9"/>
              <w:jc w:val="left"/>
            </w:pPr>
            <w:r>
              <w:t xml:space="preserve">E01, E05 y M03</w:t>
            </w:r>
          </w:p>
        </w:tc>
        <w:tc>
          <w:tcPr/>
          <w:p>
            <w:pPr>
              <w:pStyle w:val="Tabla9"/>
              <w:jc w:val="left"/>
            </w:pPr>
            <w:r>
              <w:t xml:space="preserve">0,20 × 5.500.000</w:t>
            </w:r>
          </w:p>
        </w:tc>
        <w:tc>
          <w:tcPr/>
          <w:p>
            <w:pPr>
              <w:pStyle w:val="Tabla9"/>
              <w:jc w:val="left"/>
            </w:pPr>
            <w:r>
              <w:t xml:space="preserve">1.100.000</w:t>
            </w:r>
          </w:p>
        </w:tc>
        <w:tc>
          <w:tcPr/>
          <w:p>
            <w:pPr>
              <w:pStyle w:val="Tabla9"/>
              <w:jc w:val="left"/>
            </w:pPr>
            <w:r>
              <w:t xml:space="preserve">CALCULADO</w:t>
            </w:r>
          </w:p>
        </w:tc>
      </w:tr>
      <w:tr>
        <w:trPr>
          <w:cantSplit/>
        </w:trPr>
        <w:tc>
          <w:tcPr/>
          <w:p>
            <w:pPr>
              <w:pStyle w:val="Tabla9"/>
              <w:jc w:val="left"/>
            </w:pPr>
            <w:r>
              <w:t xml:space="preserve">Cuota de gateway por nodo</w:t>
            </w:r>
          </w:p>
        </w:tc>
        <w:tc>
          <w:tcPr/>
          <w:p>
            <w:pPr>
              <w:pStyle w:val="Tabla9"/>
              <w:jc w:val="left"/>
            </w:pPr>
            <w:r>
              <w:t xml:space="preserve">E04, E06 y S05</w:t>
            </w:r>
          </w:p>
        </w:tc>
        <w:tc>
          <w:tcPr/>
          <w:p>
            <w:pPr>
              <w:pStyle w:val="Tabla9"/>
              <w:jc w:val="left"/>
            </w:pPr>
            <w:r>
              <w:t xml:space="preserve">(28.000.000 + 3.500.000 + 1.200.000) ÷ 10</w:t>
            </w:r>
          </w:p>
        </w:tc>
        <w:tc>
          <w:tcPr/>
          <w:p>
            <w:pPr>
              <w:pStyle w:val="Tabla9"/>
              <w:jc w:val="left"/>
            </w:pPr>
            <w:r>
              <w:t xml:space="preserve">3.270.000</w:t>
            </w:r>
          </w:p>
        </w:tc>
        <w:tc>
          <w:tcPr/>
          <w:p>
            <w:pPr>
              <w:pStyle w:val="Tabla9"/>
              <w:jc w:val="left"/>
            </w:pPr>
            <w:r>
              <w:t xml:space="preserve">CALCULADO</w:t>
            </w:r>
          </w:p>
        </w:tc>
      </w:tr>
      <w:tr>
        <w:trPr>
          <w:cantSplit/>
        </w:trPr>
        <w:tc>
          <w:tcPr/>
          <w:p>
            <w:pPr>
              <w:pStyle w:val="Tabla9"/>
              <w:jc w:val="left"/>
            </w:pPr>
            <w:r>
              <w:t xml:space="preserve">Capital por nodo con cuota de gateway</w:t>
            </w:r>
          </w:p>
        </w:tc>
        <w:tc>
          <w:tcPr/>
          <w:p>
            <w:pPr>
              <w:pStyle w:val="Tabla9"/>
              <w:jc w:val="left"/>
            </w:pPr>
            <w:r>
              <w:t xml:space="preserve">Suma</w:t>
            </w:r>
          </w:p>
        </w:tc>
        <w:tc>
          <w:tcPr/>
          <w:p>
            <w:pPr>
              <w:pStyle w:val="Tabla9"/>
              <w:jc w:val="left"/>
            </w:pPr>
            <w:r>
              <w:t xml:space="preserve">6.700.000 + 3.270.000</w:t>
            </w:r>
          </w:p>
        </w:tc>
        <w:tc>
          <w:tcPr/>
          <w:p>
            <w:pPr>
              <w:pStyle w:val="Tabla9"/>
              <w:jc w:val="left"/>
            </w:pPr>
            <w:r>
              <w:t xml:space="preserve">9.970.000</w:t>
            </w:r>
          </w:p>
        </w:tc>
        <w:tc>
          <w:tcPr/>
          <w:p>
            <w:pPr>
              <w:pStyle w:val="Tabla9"/>
              <w:jc w:val="left"/>
            </w:pPr>
            <w:r>
              <w:t xml:space="preserve">CALCULADO</w:t>
            </w:r>
          </w:p>
        </w:tc>
      </w:tr>
      <w:tr>
        <w:trPr>
          <w:cantSplit/>
        </w:trPr>
        <w:tc>
          <w:tcPr/>
          <w:p>
            <w:pPr>
              <w:pStyle w:val="Tabla9"/>
              <w:jc w:val="left"/>
            </w:pPr>
            <w:r>
              <w:t xml:space="preserve">Módulo de réplica de 10 nodos y 1 gateway</w:t>
            </w:r>
          </w:p>
        </w:tc>
        <w:tc>
          <w:tcPr/>
          <w:p>
            <w:pPr>
              <w:pStyle w:val="Tabla9"/>
              <w:jc w:val="left"/>
            </w:pPr>
            <w:r>
              <w:t xml:space="preserve">Suma</w:t>
            </w:r>
          </w:p>
        </w:tc>
        <w:tc>
          <w:tcPr/>
          <w:p>
            <w:pPr>
              <w:pStyle w:val="Tabla9"/>
              <w:jc w:val="left"/>
            </w:pPr>
            <w:r>
              <w:t xml:space="preserve">10 × 6.700.000 + 32.700.000</w:t>
            </w:r>
          </w:p>
        </w:tc>
        <w:tc>
          <w:tcPr/>
          <w:p>
            <w:pPr>
              <w:pStyle w:val="Tabla9"/>
              <w:jc w:val="left"/>
            </w:pPr>
            <w:r>
              <w:t xml:space="preserve">99.700.000</w:t>
            </w:r>
          </w:p>
        </w:tc>
        <w:tc>
          <w:tcPr/>
          <w:p>
            <w:pPr>
              <w:pStyle w:val="Tabla9"/>
              <w:jc w:val="left"/>
            </w:pPr>
            <w:r>
              <w:t xml:space="preserve">CALCULADO</w:t>
            </w:r>
          </w:p>
        </w:tc>
      </w:tr>
      <w:tr>
        <w:trPr>
          <w:cantSplit/>
        </w:trPr>
        <w:tc>
          <w:tcPr/>
          <w:p>
            <w:pPr>
              <w:pStyle w:val="Tabla9"/>
              <w:jc w:val="left"/>
            </w:pPr>
            <w:r>
              <w:t xml:space="preserve">Enlace celular y satelital por nodo y año</w:t>
            </w:r>
          </w:p>
        </w:tc>
        <w:tc>
          <w:tcPr/>
          <w:p>
            <w:pPr>
              <w:pStyle w:val="Tabla9"/>
              <w:jc w:val="left"/>
            </w:pPr>
            <w:r>
              <w:t xml:space="preserve">E12 y S10</w:t>
            </w:r>
          </w:p>
        </w:tc>
        <w:tc>
          <w:tcPr/>
          <w:p>
            <w:pPr>
              <w:pStyle w:val="Tabla9"/>
              <w:jc w:val="left"/>
            </w:pPr>
            <w:r>
              <w:t xml:space="preserve">(120.000 + 250.000) × 12 ÷ 10</w:t>
            </w:r>
          </w:p>
        </w:tc>
        <w:tc>
          <w:tcPr/>
          <w:p>
            <w:pPr>
              <w:pStyle w:val="Tabla9"/>
              <w:jc w:val="left"/>
            </w:pPr>
            <w:r>
              <w:t xml:space="preserve">444.000</w:t>
            </w:r>
          </w:p>
        </w:tc>
        <w:tc>
          <w:tcPr/>
          <w:p>
            <w:pPr>
              <w:pStyle w:val="Tabla9"/>
              <w:jc w:val="left"/>
            </w:pPr>
            <w:r>
              <w:t xml:space="preserve">CALCULADO</w:t>
            </w:r>
          </w:p>
        </w:tc>
      </w:tr>
      <w:tr>
        <w:trPr>
          <w:cantSplit/>
        </w:trPr>
        <w:tc>
          <w:tcPr/>
          <w:p>
            <w:pPr>
              <w:pStyle w:val="Tabla9"/>
              <w:jc w:val="left"/>
            </w:pPr>
            <w:r>
              <w:t xml:space="preserve">Reposición de cabezales y repuestos por nodo y año</w:t>
            </w:r>
          </w:p>
        </w:tc>
        <w:tc>
          <w:tcPr/>
          <w:p>
            <w:pPr>
              <w:pStyle w:val="Tabla9"/>
              <w:jc w:val="left"/>
            </w:pPr>
            <w:r>
              <w:t xml:space="preserve">E02 y M07</w:t>
            </w:r>
          </w:p>
        </w:tc>
        <w:tc>
          <w:tcPr/>
          <w:p>
            <w:pPr>
              <w:pStyle w:val="Tabla9"/>
              <w:jc w:val="left"/>
            </w:pPr>
            <w:r>
              <w:t xml:space="preserve">(180.000.000 + 60.000.000) ÷ 100 ÷ 2</w:t>
            </w:r>
          </w:p>
        </w:tc>
        <w:tc>
          <w:tcPr/>
          <w:p>
            <w:pPr>
              <w:pStyle w:val="Tabla9"/>
              <w:jc w:val="left"/>
            </w:pPr>
            <w:r>
              <w:t xml:space="preserve">1.200.000</w:t>
            </w:r>
          </w:p>
        </w:tc>
        <w:tc>
          <w:tcPr/>
          <w:p>
            <w:pPr>
              <w:pStyle w:val="Tabla9"/>
              <w:jc w:val="left"/>
            </w:pPr>
            <w:r>
              <w:t xml:space="preserve">CALCULADO</w:t>
            </w:r>
          </w:p>
        </w:tc>
      </w:tr>
      <w:tr>
        <w:trPr>
          <w:cantSplit/>
        </w:trPr>
        <w:tc>
          <w:tcPr/>
          <w:p>
            <w:pPr>
              <w:pStyle w:val="Tabla9"/>
              <w:jc w:val="left"/>
            </w:pPr>
            <w:r>
              <w:t xml:space="preserve">Cota recurrente parcial por nodo y año</w:t>
            </w:r>
          </w:p>
        </w:tc>
        <w:tc>
          <w:tcPr/>
          <w:p>
            <w:pPr>
              <w:pStyle w:val="Tabla9"/>
              <w:jc w:val="left"/>
            </w:pPr>
            <w:r>
              <w:t xml:space="preserve">Suma</w:t>
            </w:r>
          </w:p>
        </w:tc>
        <w:tc>
          <w:tcPr/>
          <w:p>
            <w:pPr>
              <w:pStyle w:val="Tabla9"/>
              <w:jc w:val="left"/>
            </w:pPr>
            <w:r>
              <w:t xml:space="preserve">444.000 + 1.200.000</w:t>
            </w:r>
          </w:p>
        </w:tc>
        <w:tc>
          <w:tcPr/>
          <w:p>
            <w:pPr>
              <w:pStyle w:val="Tabla9"/>
              <w:jc w:val="left"/>
            </w:pPr>
            <w:r>
              <w:t xml:space="preserve">1.644.000</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del presupuesto del proyecto (ficha maestra, líneas E01, E02, E04, E05, E06, E12, M03, M07, S05 y S10). Costos en pesos colombianos (COP). La cota recurrente excluye personal, nube y reposición de nodos. El costo total de sostenimiento es NO_CALCULABLE.</w:t>
      </w:r>
    </w:p>
    <w:p>
      <w:pPr>
        <w:pStyle w:val="BodyText"/>
      </w:pPr>
      <w:r>
        <w:t xml:space="preserve">Con la reserva de 20 % de nodos que fija la ficha, el capital por nodo operativo sube a 7.800.000 COP (CALCULADO). El módulo de réplica sin reserva cuesta menos de 100.000.000 COP. Esa magnitud define el orden de la partida que cada custodio debería aprobar. Una partida recurrente debe cubrir al menos la cota parcial de 1.644.000 COP por nodo y año.</w:t>
      </w:r>
    </w:p>
    <w:p>
      <w:pPr>
        <w:pStyle w:val="BodyText"/>
      </w:pPr>
      <w:r>
        <w:t xml:space="preserve">Dos posiciones se contrastan sobre la forma de crecer. La primera propone una red nacional de 5.076 estaciones con adquisición inmediata (Murad Pedraza et al., 2026, pp. 10-11 y 13). La segunda condiciona la compra a una fase 0 de 12 meses (decisión D-03 del informe de vigilancia tecnológica). Esa fase verifica la calibración antes de comprar a gran escala. Las redes existentes muestran que escalar es posible bajo condiciones institucionales distintas. La red S-Dot de Seúl reúne 1.138 sitios (Bang et al., 2026, p. 4). SIATA opera 450 sensores de bajo costo (Ruiz-Carrascal et al., 2026, p. 8). Rogers (2003) añade que quienes adoptan una innovación suelen modificarla, por lo que una réplica exacta es poco probable. El proyecto adopta la segunda posición. El tramo 1 y la compuerta C1 cumplen la función de fase 0. Por consiguiente, la documentación del protocolo debe permitir adaptaciones locales sin perder la verificación frente a una referencia.</w:t>
      </w:r>
    </w:p>
    <w:p>
      <w:pPr>
        <w:pStyle w:val="BodyText"/>
      </w:pPr>
      <w:r>
        <w:rPr>
          <w:b/>
          <w:bCs/>
        </w:rPr>
        <w:t xml:space="preserve">Condiciones para escalamiento.</w:t>
      </w:r>
      <w:r>
        <w:t xml:space="preserve"> </w:t>
      </w:r>
      <w:r>
        <w:t xml:space="preserve">La réplica y el escalamiento requieren un propietario y una decisión que los habilite. El propietario es el órgano de gobierno de la alianza, con mayoría calificada y veto de cada custodio sobre su componente (PROPUESTO; sección 4.4-MDR.10). La decisión de expansión se toma en dos pasos. La decisión de réplica inicial se toma en la compuerta C3 (mes 24), con la evaluación externa final del mes 23 (hito H7). Habilita módulos de 10 nodos y un gateway financiados por los custodios. La decisión de escalamiento mayor se toma tras la evaluación posproyecto, a los 12 meses del cierre. Habilita las opciones que la decisión DEC-F06 deja sin presupuestar: más nodos, un cuarto tramo y un año adicional de custodia. Esas opciones dependen de los TdR y de una holgura de 5.270.160.000 COP no solicitada. Collingridge (1980) prefiere las alternativas con menor costo de reversión y menor tiempo de detección del error. El diseño en dos pasos cumple ese criterio, porque la inversión mayor se decide con evidencia posproyecto. Cooper (2008) describe un proceso de compuertas en el que cada decisión de continuar exige criterios definidos y puede terminar en una detención. El proyecto adopta esa lógica para la expansión.</w:t>
      </w:r>
    </w:p>
    <w:p>
      <w:pPr>
        <w:pStyle w:val="BodyText"/>
      </w:pPr>
      <w:r>
        <w:t xml:space="preserve">La Tabla 15.6 lista las condiciones, sus umbrales y sus responsables.</w:t>
      </w:r>
    </w:p>
    <w:p>
      <w:pPr>
        <w:pStyle w:val="TablaRotulo"/>
      </w:pPr>
      <w:bookmarkStart w:id="9377" w:name="rot_Tabla_15_6"/>
      <w:r>
        <w:rPr>
          <w:b/>
          <w:bCs/>
        </w:rPr>
        <w:t xml:space="preserve">Tabla 15.6</w:t>
      </w:r>
      <w:bookmarkEnd w:id="9377"/>
    </w:p>
    <w:p>
      <w:pPr>
        <w:pStyle w:val="TablaTitulo"/>
      </w:pPr>
      <w:r>
        <w:rPr>
          <w:i/>
          <w:iCs/>
        </w:rPr>
        <w:t xml:space="preserve">Condiciones para la réplica y el escalamiento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1716"/>
        <w:gridCol w:w="1452"/>
        <w:gridCol w:w="1452"/>
        <w:gridCol w:w="1584"/>
      </w:tblGrid>
      <w:tr>
        <w:trPr>
          <w:cantSplit/>
          <w:tblHeader/>
        </w:trPr>
        <w:tc>
          <w:tcPr>
            <w:shd w:val="clear" w:color="auto" w:fill="00B050"/>
          </w:tcPr>
          <w:p>
            <w:pPr>
              <w:pStyle w:val="Tabla9"/>
              <w:jc w:val="center"/>
            </w:pPr>
            <w:r>
              <w:rPr>
                <w:b/>
                <w:color w:val="FFFFFF"/>
              </w:rPr>
              <w:t xml:space="preserve">Condición</w:t>
            </w:r>
          </w:p>
        </w:tc>
        <w:tc>
          <w:tcPr>
            <w:shd w:val="clear" w:color="auto" w:fill="00B050"/>
          </w:tcPr>
          <w:p>
            <w:pPr>
              <w:pStyle w:val="Tabla9"/>
              <w:jc w:val="center"/>
            </w:pPr>
            <w:r>
              <w:rPr>
                <w:b/>
                <w:color w:val="FFFFFF"/>
              </w:rPr>
              <w:t xml:space="preserve">Umbral</w:t>
            </w:r>
          </w:p>
        </w:tc>
        <w:tc>
          <w:tcPr>
            <w:shd w:val="clear" w:color="auto" w:fill="00B050"/>
          </w:tcPr>
          <w:p>
            <w:pPr>
              <w:pStyle w:val="Tabla9"/>
              <w:jc w:val="center"/>
            </w:pPr>
            <w:r>
              <w:rPr>
                <w:b/>
                <w:color w:val="FFFFFF"/>
              </w:rPr>
              <w:t xml:space="preserve">Decisión que habilita</w:t>
            </w:r>
          </w:p>
        </w:tc>
        <w:tc>
          <w:tcPr>
            <w:shd w:val="clear" w:color="auto" w:fill="00B050"/>
          </w:tcPr>
          <w:p>
            <w:pPr>
              <w:pStyle w:val="Tabla9"/>
              <w:jc w:val="center"/>
            </w:pPr>
            <w:r>
              <w:rPr>
                <w:b/>
                <w:color w:val="FFFFFF"/>
              </w:rPr>
              <w:t xml:space="preserve">Responsable</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Desempeño del modelo</w:t>
            </w:r>
          </w:p>
        </w:tc>
        <w:tc>
          <w:tcPr/>
          <w:p>
            <w:pPr>
              <w:pStyle w:val="Tabla9"/>
              <w:jc w:val="left"/>
            </w:pPr>
            <w:r>
              <w:t xml:space="preserve">R² ≥ 0,70 y NRMSE ≤ 30 % en los tres departamentos</w:t>
            </w:r>
          </w:p>
        </w:tc>
        <w:tc>
          <w:tcPr/>
          <w:p>
            <w:pPr>
              <w:pStyle w:val="Tabla9"/>
              <w:jc w:val="left"/>
            </w:pPr>
            <w:r>
              <w:t xml:space="preserve">Réplica inicial en C3</w:t>
            </w:r>
          </w:p>
        </w:tc>
        <w:tc>
          <w:tcPr/>
          <w:p>
            <w:pPr>
              <w:pStyle w:val="Tabla9"/>
              <w:jc w:val="left"/>
            </w:pPr>
            <w:r>
              <w:t xml:space="preserve">Especialista en metrología</w:t>
            </w:r>
          </w:p>
        </w:tc>
        <w:tc>
          <w:tcPr/>
          <w:p>
            <w:pPr>
              <w:pStyle w:val="Tabla9"/>
              <w:jc w:val="left"/>
            </w:pPr>
            <w:r>
              <w:t xml:space="preserve">PROPUESTO</w:t>
            </w:r>
          </w:p>
        </w:tc>
      </w:tr>
      <w:tr>
        <w:trPr>
          <w:cantSplit/>
        </w:trPr>
        <w:tc>
          <w:tcPr/>
          <w:p>
            <w:pPr>
              <w:pStyle w:val="Tabla9"/>
              <w:jc w:val="left"/>
            </w:pPr>
            <w:r>
              <w:t xml:space="preserve">Disponibilidad de la red</w:t>
            </w:r>
          </w:p>
        </w:tc>
        <w:tc>
          <w:tcPr/>
          <w:p>
            <w:pPr>
              <w:pStyle w:val="Tabla9"/>
              <w:jc w:val="left"/>
            </w:pPr>
            <w:r>
              <w:t xml:space="preserve">Disponibilidad mensual de nodos ≥ 90 %</w:t>
            </w:r>
          </w:p>
        </w:tc>
        <w:tc>
          <w:tcPr/>
          <w:p>
            <w:pPr>
              <w:pStyle w:val="Tabla9"/>
              <w:jc w:val="left"/>
            </w:pPr>
            <w:r>
              <w:t xml:space="preserve">Réplica inicial en C3</w:t>
            </w:r>
          </w:p>
        </w:tc>
        <w:tc>
          <w:tcPr/>
          <w:p>
            <w:pPr>
              <w:pStyle w:val="Tabla9"/>
              <w:jc w:val="left"/>
            </w:pPr>
            <w:r>
              <w:t xml:space="preserve">Personal de ingeniería IoT y de campo</w:t>
            </w:r>
          </w:p>
        </w:tc>
        <w:tc>
          <w:tcPr/>
          <w:p>
            <w:pPr>
              <w:pStyle w:val="Tabla9"/>
              <w:jc w:val="left"/>
            </w:pPr>
            <w:r>
              <w:t xml:space="preserve">PROPUESTO</w:t>
            </w:r>
          </w:p>
        </w:tc>
      </w:tr>
      <w:tr>
        <w:trPr>
          <w:cantSplit/>
        </w:trPr>
        <w:tc>
          <w:tcPr/>
          <w:p>
            <w:pPr>
              <w:pStyle w:val="Tabla9"/>
              <w:jc w:val="left"/>
            </w:pPr>
            <w:r>
              <w:t xml:space="preserve">Uso institucional</w:t>
            </w:r>
          </w:p>
        </w:tc>
        <w:tc>
          <w:tcPr/>
          <w:p>
            <w:pPr>
              <w:pStyle w:val="Tabla9"/>
              <w:jc w:val="left"/>
            </w:pPr>
            <w:r>
              <w:t xml:space="preserve">Al menos 75 % de los comités usa el tablero (PERS-E01)</w:t>
            </w:r>
          </w:p>
        </w:tc>
        <w:tc>
          <w:tcPr/>
          <w:p>
            <w:pPr>
              <w:pStyle w:val="Tabla9"/>
              <w:jc w:val="left"/>
            </w:pPr>
            <w:r>
              <w:t xml:space="preserve">Réplica inicial en C3</w:t>
            </w:r>
          </w:p>
        </w:tc>
        <w:tc>
          <w:tcPr/>
          <w:p>
            <w:pPr>
              <w:pStyle w:val="Tabla9"/>
              <w:jc w:val="left"/>
            </w:pPr>
            <w:r>
              <w:t xml:space="preserve">Coordinación de apropiación social</w:t>
            </w:r>
          </w:p>
        </w:tc>
        <w:tc>
          <w:tcPr/>
          <w:p>
            <w:pPr>
              <w:pStyle w:val="Tabla9"/>
              <w:jc w:val="left"/>
            </w:pPr>
            <w:r>
              <w:t xml:space="preserve">PROPUESTO</w:t>
            </w:r>
          </w:p>
        </w:tc>
      </w:tr>
      <w:tr>
        <w:trPr>
          <w:cantSplit/>
        </w:trPr>
        <w:tc>
          <w:tcPr/>
          <w:p>
            <w:pPr>
              <w:pStyle w:val="Tabla9"/>
              <w:jc w:val="left"/>
            </w:pPr>
            <w:r>
              <w:t xml:space="preserve">Capacidad instalada</w:t>
            </w:r>
          </w:p>
        </w:tc>
        <w:tc>
          <w:tcPr/>
          <w:p>
            <w:pPr>
              <w:pStyle w:val="Tabla9"/>
              <w:jc w:val="left"/>
            </w:pPr>
            <w:r>
              <w:t xml:space="preserve">Al menos 60 personas certificadas (PERS-E03)</w:t>
            </w:r>
          </w:p>
        </w:tc>
        <w:tc>
          <w:tcPr/>
          <w:p>
            <w:pPr>
              <w:pStyle w:val="Tabla9"/>
              <w:jc w:val="left"/>
            </w:pPr>
            <w:r>
              <w:t xml:space="preserve">Réplica inicial en C3</w:t>
            </w:r>
          </w:p>
        </w:tc>
        <w:tc>
          <w:tcPr/>
          <w:p>
            <w:pPr>
              <w:pStyle w:val="Tabla9"/>
              <w:jc w:val="left"/>
            </w:pPr>
            <w:r>
              <w:t xml:space="preserve">Profesional de convenios y custodia</w:t>
            </w:r>
          </w:p>
        </w:tc>
        <w:tc>
          <w:tcPr/>
          <w:p>
            <w:pPr>
              <w:pStyle w:val="Tabla9"/>
              <w:jc w:val="left"/>
            </w:pPr>
            <w:r>
              <w:t xml:space="preserve">PROPUESTO</w:t>
            </w:r>
          </w:p>
        </w:tc>
      </w:tr>
      <w:tr>
        <w:trPr>
          <w:cantSplit/>
        </w:trPr>
        <w:tc>
          <w:tcPr/>
          <w:p>
            <w:pPr>
              <w:pStyle w:val="Tabla9"/>
              <w:jc w:val="left"/>
            </w:pPr>
            <w:r>
              <w:t xml:space="preserve">Partida del custodio</w:t>
            </w:r>
          </w:p>
        </w:tc>
        <w:tc>
          <w:tcPr/>
          <w:p>
            <w:pPr>
              <w:pStyle w:val="Tabla9"/>
              <w:jc w:val="left"/>
            </w:pPr>
            <w:r>
              <w:t xml:space="preserve">Partida aprobada para 6.700.000 COP por nodo más cuota de gateway</w:t>
            </w:r>
          </w:p>
        </w:tc>
        <w:tc>
          <w:tcPr/>
          <w:p>
            <w:pPr>
              <w:pStyle w:val="Tabla9"/>
              <w:jc w:val="left"/>
            </w:pPr>
            <w:r>
              <w:t xml:space="preserve">Réplica inicial en C3</w:t>
            </w:r>
          </w:p>
        </w:tc>
        <w:tc>
          <w:tcPr/>
          <w:p>
            <w:pPr>
              <w:pStyle w:val="Tabla9"/>
              <w:jc w:val="left"/>
            </w:pPr>
            <w:r>
              <w:t xml:space="preserve">Órgano de gobierno de la alianza</w:t>
            </w:r>
          </w:p>
        </w:tc>
        <w:tc>
          <w:tcPr/>
          <w:p>
            <w:pPr>
              <w:pStyle w:val="Tabla9"/>
              <w:jc w:val="left"/>
            </w:pPr>
            <w:r>
              <w:t xml:space="preserve">PROPUESTO</w:t>
            </w:r>
          </w:p>
        </w:tc>
      </w:tr>
      <w:tr>
        <w:trPr>
          <w:cantSplit/>
        </w:trPr>
        <w:tc>
          <w:tcPr/>
          <w:p>
            <w:pPr>
              <w:pStyle w:val="Tabla9"/>
              <w:jc w:val="left"/>
            </w:pPr>
            <w:r>
              <w:t xml:space="preserve">Libertad de operación</w:t>
            </w:r>
          </w:p>
        </w:tc>
        <w:tc>
          <w:tcPr/>
          <w:p>
            <w:pPr>
              <w:pStyle w:val="Tabla9"/>
              <w:jc w:val="left"/>
            </w:pPr>
            <w:r>
              <w:t xml:space="preserve">10 expedientes PCT clasificados y 3 plazos vigilados</w:t>
            </w:r>
          </w:p>
        </w:tc>
        <w:tc>
          <w:tcPr/>
          <w:p>
            <w:pPr>
              <w:pStyle w:val="Tabla9"/>
              <w:jc w:val="left"/>
            </w:pPr>
            <w:r>
              <w:t xml:space="preserve">Réplica inicial y escalamiento mayor</w:t>
            </w:r>
          </w:p>
        </w:tc>
        <w:tc>
          <w:tcPr/>
          <w:p>
            <w:pPr>
              <w:pStyle w:val="Tabla9"/>
              <w:jc w:val="left"/>
            </w:pPr>
            <w:r>
              <w:t xml:space="preserve">Consultoría jurídica</w:t>
            </w:r>
          </w:p>
        </w:tc>
        <w:tc>
          <w:tcPr/>
          <w:p>
            <w:pPr>
              <w:pStyle w:val="Tabla9"/>
              <w:jc w:val="left"/>
            </w:pPr>
            <w:r>
              <w:t xml:space="preserve">PROPUESTO</w:t>
            </w:r>
          </w:p>
        </w:tc>
      </w:tr>
      <w:tr>
        <w:trPr>
          <w:cantSplit/>
        </w:trPr>
        <w:tc>
          <w:tcPr/>
          <w:p>
            <w:pPr>
              <w:pStyle w:val="Tabla9"/>
              <w:jc w:val="left"/>
            </w:pPr>
            <w:r>
              <w:t xml:space="preserve">Continuidad posproyecto</w:t>
            </w:r>
          </w:p>
        </w:tc>
        <w:tc>
          <w:tcPr/>
          <w:p>
            <w:pPr>
              <w:pStyle w:val="Tabla9"/>
              <w:jc w:val="left"/>
            </w:pPr>
            <w:r>
              <w:t xml:space="preserve">Activación de protocolo ≥ 80 % y continuidad de la red ≥ 70 % (PERS-S01 y PERS-S02)</w:t>
            </w:r>
          </w:p>
        </w:tc>
        <w:tc>
          <w:tcPr/>
          <w:p>
            <w:pPr>
              <w:pStyle w:val="Tabla9"/>
              <w:jc w:val="left"/>
            </w:pPr>
            <w:r>
              <w:t xml:space="preserve">Escalamiento mayor</w:t>
            </w:r>
          </w:p>
        </w:tc>
        <w:tc>
          <w:tcPr/>
          <w:p>
            <w:pPr>
              <w:pStyle w:val="Tabla9"/>
              <w:jc w:val="left"/>
            </w:pPr>
            <w:r>
              <w:t xml:space="preserve">Evaluación externa</w:t>
            </w:r>
          </w:p>
        </w:tc>
        <w:tc>
          <w:tcPr/>
          <w:p>
            <w:pPr>
              <w:pStyle w:val="Tabla9"/>
              <w:jc w:val="left"/>
            </w:pPr>
            <w:r>
              <w:t xml:space="preserve">PROPUESTO</w:t>
            </w:r>
          </w:p>
        </w:tc>
      </w:tr>
      <w:tr>
        <w:trPr>
          <w:cantSplit/>
        </w:trPr>
        <w:tc>
          <w:tcPr/>
          <w:p>
            <w:pPr>
              <w:pStyle w:val="Tabla9"/>
              <w:jc w:val="left"/>
            </w:pPr>
            <w:r>
              <w:t xml:space="preserve">Admisibilidad según el financiador</w:t>
            </w:r>
          </w:p>
        </w:tc>
        <w:tc>
          <w:tcPr/>
          <w:p>
            <w:pPr>
              <w:pStyle w:val="Tabla9"/>
              <w:jc w:val="left"/>
            </w:pPr>
            <w:r>
              <w:t xml:space="preserve">Confirmación de los TdR sobre ampliaciones</w:t>
            </w:r>
          </w:p>
        </w:tc>
        <w:tc>
          <w:tcPr/>
          <w:p>
            <w:pPr>
              <w:pStyle w:val="Tabla9"/>
              <w:jc w:val="left"/>
            </w:pPr>
            <w:r>
              <w:t xml:space="preserve">Escalamiento mayor</w:t>
            </w:r>
          </w:p>
        </w:tc>
        <w:tc>
          <w:tcPr/>
          <w:p>
            <w:pPr>
              <w:pStyle w:val="Tabla9"/>
              <w:jc w:val="left"/>
            </w:pPr>
            <w:r>
              <w:t xml:space="preserve">Gerencia de proyecto</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del proyecto y de la sección 4.4-MDR.10. R²: coeficiente de determinación. NRMSE: error cuadrático medio normalizado. Umbrales de desempeño: PROPUESTO con ancla en EPA (2021). El costo por nodo proviene de la tabla de costo marginal.</w:t>
      </w:r>
    </w:p>
    <w:p>
      <w:pPr>
        <w:pStyle w:val="BodyText"/>
      </w:pPr>
      <w:r>
        <w:t xml:space="preserve">La tabla separa dos niveles de evidencia. Las seis primeras condiciones se verifican al mes 24 y habilitan la réplica inicial. Las dos últimas dependen del posproyecto y de los TdR, y habilitan el escalamiento mayor. Esa separación impide que una réplica rápida comprometa la holgura del presupuesto antes de conocer la continuidad real bajo custodia.</w:t>
      </w:r>
    </w:p>
    <w:bookmarkEnd w:id="629"/>
    <w:bookmarkEnd w:id="630"/>
    <w:bookmarkStart w:id="648" w:name="Xbd50f507770d5520a8a3f71947aba1a9b6b83ab"/>
    <w:p>
      <w:pPr>
        <w:pStyle w:val="Heading1"/>
      </w:pPr>
      <w:r>
        <w:t xml:space="preserve">Capítulo 16. Apropiación Social del Conocimiento</w:t>
      </w:r>
    </w:p>
    <w:p>
      <w:pPr>
        <w:pStyle w:val="FirstParagraph"/>
      </w:pPr>
      <w:r>
        <w:t xml:space="preserve">Este capítulo define cómo el proyecto devuelve conocimiento a la sociedad y cómo mide ese retorno. Adopta la Escalera de Apropiación Social del Conocimiento (ASC), un modelo de cuatro niveles: información, consulta, colaboración activa y empoderamiento. El nivel 3 es obligatorio. El proyecto se compromete a documentar al menos tres actividades de co-producción con acta firmada por representantes comunitarios. La sección 16.5 desarrolla la escalera y las demás secciones la usan como referencia.</w:t>
      </w:r>
    </w:p>
    <w:p>
      <w:pPr>
        <w:pStyle w:val="BodyText"/>
      </w:pPr>
      <w:r>
        <w:t xml:space="preserve">El proyecto compromete 29 actividades documentadas (PERS-P04). Son 20 talleres de co-diseño, del nivel 3, y 9 jornadas públicas, de los niveles 1 y 2. El presupuesto añade 20 eventos de alimentación para laboratorios ciudadanos y 5.000 cartillas impresas. Cada producto se tipifica con los códigos ASC-COM, ASC-PART y ASC-CIRC del Modelo de Medición de Grupos (MMG) de 2021. El metaprompt atribuye la escalera al marco ASCTI de MinCiencias y a la Resolución 2094 de 2024. Los textos de esos documentos no se aportaron, y este capítulo no les atribuye contenido (NO_VERIFICADO). El proyecto no promete efectos en salud. Promete mediciones verificadas, uso institucional y continuidad.</w:t>
      </w:r>
    </w:p>
    <w:p>
      <w:pPr>
        <w:pStyle w:val="BodyText"/>
      </w:pPr>
      <w:r>
        <w:t xml:space="preserve">Cuatro obras sostienen el diseño. Arnstein (1969) distingue grados de participación según el poder que obtiene la ciudadanía. Callon (1999) distingue la educación pública, el debate público y la coproducción de conocimiento. Funtowicz y Ravetz (1993) justifican una comunidad ampliada de pares cuando la evidencia es incierta y la decisión es urgente. Freire (2005) opone la educación que deposita contenidos a la que se construye en diálogo. Las cuatro coinciden en que informar no equivale a apropiar. Esa coincidencia explica por qué el proyecto exige el nivel 3 y no se conforma con el nivel 1.</w:t>
      </w:r>
    </w:p>
    <w:bookmarkStart w:id="634" w:name="X3979ac4bbcca2c78d50ae8957e597532a8d7d92"/>
    <w:p>
      <w:pPr>
        <w:pStyle w:val="Heading2"/>
      </w:pPr>
      <w:r>
        <w:t xml:space="preserve">16.1 Estrategia de Comunicación Pública del Conocimiento</w:t>
      </w:r>
    </w:p>
    <w:p>
      <w:pPr>
        <w:pStyle w:val="FirstParagraph"/>
      </w:pPr>
      <w:r>
        <w:rPr>
          <w:b/>
          <w:bCs/>
        </w:rPr>
        <w:t xml:space="preserve">Plan de comunicaciones con audiencias diferenciadas.</w:t>
      </w:r>
      <w:r>
        <w:t xml:space="preserve"> </w:t>
      </w:r>
      <w:r>
        <w:t xml:space="preserve">El plan distingue cuatro audiencias: academia, sector productivo, comunidad y gobierno. Cada una recibe un mensaje, un canal y un nivel de la escalera distintos. La academia recibe los artículos, el protocolo de calibración y la base de datos. El sector productivo incluye a las administradoras de riesgos laborales (ARL) y a las constructoras. Recibe los umbrales de alerta y la regla de reanudación de obra. La comunidad de los municipios focalizados participa en los niveles 1 a 3. Recibe las cartillas, opina en las jornadas y co-diseña en los talleres. El gobierno, con los 15 comités de gestión del riesgo, recibe el tablero y el protocolo y participa en los niveles 2 y 3. Mitchell et al. (1997) permiten ordenar la prioridad entre audiencias por su poder, su legitimidad y su urgencia. Los comités reúnen legitimidad y urgencia, y las alcaldías reúnen poder y competencia legal sobre la alerta. Dos posiciones se contrastan sobre cómo comunicar con públicos no especializados. El modelo de déficit supone que más información corrige la distancia entre el conocimiento experto y el público. Freire (2005) critica ese supuesto. Llama educación bancaria a la que deposita contenidos en un receptor pasivo y propone una educación construida en diálogo. El proyecto usa la comunicación unidireccional solo en el nivel 1 y exige diálogo desde el nivel 2. El plan asocia a cada mensaje un canal de respuesta, como el buzón, la encuesta o el acta.</w:t>
      </w:r>
    </w:p>
    <w:p>
      <w:pPr>
        <w:pStyle w:val="BodyText"/>
      </w:pPr>
      <w:r>
        <w:rPr>
          <w:b/>
          <w:bCs/>
        </w:rPr>
        <w:t xml:space="preserve">Mensajes clave adaptados por audiencia y nivel de la escalera.</w:t>
      </w:r>
      <w:r>
        <w:t xml:space="preserve"> </w:t>
      </w:r>
      <w:r>
        <w:t xml:space="preserve">Los mensajes comparten una regla. Comunican lo que la red mide, con qué error y para qué decisión sirve. No prometen efectos en salud. La Agencia de Protección Ambiental de los Estados Unidos (EPA, 2021) fija métricas de desempeño para sensores de PM2,5 en sitios fijos de uso informativo. El proyecto adopta dos anclas (PROPUESTO). La primera es un coeficiente de determinación (R²) mínimo de 0,70. La segunda es un error cuadrático medio normalizado (NRMSE) máximo de 30 %. El mensaje a la academia comunica ese desempeño verificado y sus límites. El mensaje al sector productivo comunica el umbral de alerta y la regla de reanudación. El mensaje a la comunidad explica qué mide la red, qué no mide y cómo se usa la lectura. El mensaje al gobierno explica la decisión que habilita el tablero. El índice de calidad del aire y salud (AQHI) combina contaminantes con base en asociaciones observadas en series temporales diarias (Stieb et al., 2008). Esa base es asociativa y no causal. Por eso el mensaje comunitario no atribuye casos de enfermedad a la medición. La sección 4.4-MDR.11 identifica el riesgo de falsa seguridad: un sesgo residual produce lecturas bajas y las autoridades relajan la vigilancia. La respuesta prevista es publicar rangos de incertidumbre y mantener la referencia. Rendón-Marín et al. (2024, p. 8) encontraron en estudiantes de medicina de Medellín que los conocimientos no se asocian de forma directa con las prácticas. Esa observación limita el valor de un mensaje que solo informa. Por consiguiente, cada mensaje del nivel 1 se acompaña de una acción concreta en el taller o en la jornada que lo sigue.</w:t>
      </w:r>
    </w:p>
    <w:p>
      <w:pPr>
        <w:pStyle w:val="BodyText"/>
      </w:pPr>
      <w:r>
        <w:rPr>
          <w:b/>
          <w:bCs/>
        </w:rPr>
        <w:t xml:space="preserve">Canales y medios.</w:t>
      </w:r>
      <w:r>
        <w:t xml:space="preserve"> </w:t>
      </w:r>
      <w:r>
        <w:t xml:space="preserve">El plan combina canales presenciales, digitales y comunitarios. Los presenciales son las nueve jornadas públicas, los 20 talleres y las visitas de instalación. Los digitales son la página del proyecto, los boletines y las redes sociales. Los comunitarios son las emisoras y las carteleras locales, que carecen de línea presupuestal propia y se gestionan con las alcaldías (VACIO). Rogers (2003) separa los canales por función: los medios de comunicación de masas informan y los canales interpersonales persuaden. Existe una tensión entre alcance y profundidad. Los canales digitales llegan a más personas, pero la conectividad en los sitios de remoción es incierta. El estudio de cobertura y de enlace (línea S06) aportará datos de conectividad para los nodos. Esos datos orientan también la elección de canales digitales (INFERIDO). Los canales presenciales profundizan, pero llegan a menos personas. El proyecto asigna cada canal a un nivel de la escalera y no mide el éxito del plan por alcance. Mide el uso institucional (PERS-E01) y la capacidad instalada (PERS-E03), que son efectos y no productos.</w:t>
      </w:r>
    </w:p>
    <w:p>
      <w:pPr>
        <w:pStyle w:val="BodyText"/>
      </w:pPr>
      <w:r>
        <w:rPr>
          <w:b/>
          <w:bCs/>
        </w:rPr>
        <w:t xml:space="preserve">Cronograma de comunicaciones alineado con hitos.</w:t>
      </w:r>
      <w:r>
        <w:t xml:space="preserve"> </w:t>
      </w:r>
      <w:r>
        <w:t xml:space="preserve">El cronograma de comunicaciones se ancla en los hitos H0 a H8 del proyecto. En el hito H0 (mes 2) se publican la página del proyecto y la presentación a los comités. En el hito H1 (mes 4) se comunican los sitios seleccionados. En el hito H2 (mes 10) se comunica la línea base de error medida. En la compuerta C1 (mes 12) se devuelve la decisión a los comités y a la comunidad del tramo 1. En la compuerta C2 (mes 17) se comunican el uso del tablero y los convenios de custodia. En los hitos H7 y H8 (meses 23 y 24) se comunican la evaluación externa y las actas de entrega. La regla central es comunicar el resultado de cada compuerta aunque sea negativo. Un resultado adverso en C1 se informa por el mismo canal que uno favorable. Funtowicz y Ravetz (1993) indican que la calidad de un conocimiento incierto depende de la transparencia sobre su incertidumbre. Dos posiciones se contrastan: comunicar solo resultados consolidados, para evitar alarma, o comunicar el proceso, para sostener la participación. El proyecto elige comunicar el proceso y acompaña cada resultado intermedio con su rango de incertidumbre. La Figura 16.2 ubica las actividades de divulgación en el calendario de 24 meses.</w:t>
      </w:r>
    </w:p>
    <w:p>
      <w:pPr>
        <w:pStyle w:val="BodyText"/>
      </w:pPr>
      <w:r>
        <w:rPr>
          <w:b/>
          <w:bCs/>
        </w:rPr>
        <w:t xml:space="preserve">Lenguaje inclusivo y accesible.</w:t>
      </w:r>
      <w:r>
        <w:t xml:space="preserve"> </w:t>
      </w:r>
      <w:r>
        <w:t xml:space="preserve">El lenguaje del plan usa sustantivos colectivos y evita dobletes y símbolos. Las cartillas se redactan en español claro. Representantes comunitarios las revisan en un taller antes de imprimirse (línea M04, meses 3 a 24). El proyecto no verificó si existen comunidades que requieran otras lenguas o formatos accesibles [DATO_USUARIO: caracterización lingüística y de accesibilidad de los 12 municipios]. Freire (2005) propone que los contenidos partan de la realidad y del lenguaje de quienes aprenden. Dos posiciones se contrastan sobre la simplificación. Una afirma que los mensajes simples elevan la comprensión. La otra advierte que omitir la incertidumbre debilita la confianza (Funtowicz y Ravetz, 1993). El proyecto reconcilia ambas: usa frases cortas y vocabulario cotidiano, y conserva en cada cartilla un apartado sobre los límites de la medición. Por consiguiente, la revisión comunitaria evalúa dos criterios. El primero es la comprensión del texto. El segundo es que el texto no prometa más de lo que la red mide.</w:t>
      </w:r>
    </w:p>
    <w:p>
      <w:pPr>
        <w:pStyle w:val="BodyText"/>
      </w:pPr>
      <w:r>
        <w:t xml:space="preserve">La Tabla 16.1 reúne el plan por audiencia, canal y nivel de la escalera. Incluye el responsable y el hito de anclaje.</w:t>
      </w:r>
    </w:p>
    <w:p>
      <w:pPr>
        <w:pStyle w:val="TablaRotulo"/>
      </w:pPr>
      <w:bookmarkStart w:id="9378" w:name="rot_Tabla_16_1"/>
      <w:r>
        <w:rPr>
          <w:b/>
          <w:bCs/>
        </w:rPr>
        <w:t xml:space="preserve">Tabla 16.1</w:t>
      </w:r>
      <w:bookmarkEnd w:id="9378"/>
    </w:p>
    <w:p>
      <w:pPr>
        <w:pStyle w:val="TablaTitulo"/>
      </w:pPr>
      <w:r>
        <w:rPr>
          <w:i/>
          <w:iCs/>
        </w:rPr>
        <w:t xml:space="preserve">Plan de comunicaciones por audiencia, canal y nivel ASC</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056"/>
        <w:gridCol w:w="1188"/>
        <w:gridCol w:w="1188"/>
        <w:gridCol w:w="1254"/>
        <w:gridCol w:w="1056"/>
        <w:gridCol w:w="1386"/>
        <w:gridCol w:w="792"/>
      </w:tblGrid>
      <w:tr>
        <w:trPr>
          <w:cantSplit/>
          <w:tblHeader/>
        </w:trPr>
        <w:tc>
          <w:tcPr>
            <w:shd w:val="clear" w:color="auto" w:fill="00B050"/>
          </w:tcPr>
          <w:p>
            <w:pPr>
              <w:pStyle w:val="Tabla8"/>
              <w:jc w:val="center"/>
            </w:pPr>
            <w:r>
              <w:rPr>
                <w:b/>
                <w:color w:val="FFFFFF"/>
              </w:rPr>
              <w:t xml:space="preserve">Audiencia</w:t>
            </w:r>
          </w:p>
        </w:tc>
        <w:tc>
          <w:tcPr>
            <w:shd w:val="clear" w:color="auto" w:fill="00B050"/>
          </w:tcPr>
          <w:p>
            <w:pPr>
              <w:pStyle w:val="Tabla8"/>
              <w:jc w:val="center"/>
            </w:pPr>
            <w:r>
              <w:rPr>
                <w:b/>
                <w:color w:val="FFFFFF"/>
              </w:rPr>
              <w:t xml:space="preserve">Mensaje clave</w:t>
            </w:r>
          </w:p>
        </w:tc>
        <w:tc>
          <w:tcPr>
            <w:shd w:val="clear" w:color="auto" w:fill="00B050"/>
          </w:tcPr>
          <w:p>
            <w:pPr>
              <w:pStyle w:val="Tabla8"/>
              <w:jc w:val="center"/>
            </w:pPr>
            <w:r>
              <w:rPr>
                <w:b/>
                <w:color w:val="FFFFFF"/>
              </w:rPr>
              <w:t xml:space="preserve">Nivel ASC</w:t>
            </w:r>
          </w:p>
        </w:tc>
        <w:tc>
          <w:tcPr>
            <w:shd w:val="clear" w:color="auto" w:fill="00B050"/>
          </w:tcPr>
          <w:p>
            <w:pPr>
              <w:pStyle w:val="Tabla8"/>
              <w:jc w:val="center"/>
            </w:pPr>
            <w:r>
              <w:rPr>
                <w:b/>
                <w:color w:val="FFFFFF"/>
              </w:rPr>
              <w:t xml:space="preserve">Canales</w:t>
            </w:r>
          </w:p>
        </w:tc>
        <w:tc>
          <w:tcPr>
            <w:shd w:val="clear" w:color="auto" w:fill="00B050"/>
          </w:tcPr>
          <w:p>
            <w:pPr>
              <w:pStyle w:val="Tabla8"/>
              <w:jc w:val="center"/>
            </w:pPr>
            <w:r>
              <w:rPr>
                <w:b/>
                <w:color w:val="FFFFFF"/>
              </w:rPr>
              <w:t xml:space="preserve">Productos</w:t>
            </w:r>
          </w:p>
        </w:tc>
        <w:tc>
          <w:tcPr>
            <w:shd w:val="clear" w:color="auto" w:fill="00B050"/>
          </w:tcPr>
          <w:p>
            <w:pPr>
              <w:pStyle w:val="Tabla8"/>
              <w:jc w:val="center"/>
            </w:pPr>
            <w:r>
              <w:rPr>
                <w:b/>
                <w:color w:val="FFFFFF"/>
              </w:rPr>
              <w:t xml:space="preserve">Responsable</w:t>
            </w:r>
          </w:p>
        </w:tc>
        <w:tc>
          <w:tcPr>
            <w:shd w:val="clear" w:color="auto" w:fill="00B050"/>
          </w:tcPr>
          <w:p>
            <w:pPr>
              <w:pStyle w:val="Tabla8"/>
              <w:jc w:val="center"/>
            </w:pPr>
            <w:r>
              <w:rPr>
                <w:b/>
                <w:color w:val="FFFFFF"/>
              </w:rPr>
              <w:t xml:space="preserve">Hito de anclaje</w:t>
            </w:r>
          </w:p>
        </w:tc>
      </w:tr>
      <w:tr>
        <w:trPr>
          <w:cantSplit/>
        </w:trPr>
        <w:tc>
          <w:tcPr/>
          <w:p>
            <w:pPr>
              <w:pStyle w:val="Tabla8"/>
              <w:jc w:val="left"/>
            </w:pPr>
            <w:r>
              <w:t xml:space="preserve">Academia</w:t>
            </w:r>
          </w:p>
        </w:tc>
        <w:tc>
          <w:tcPr/>
          <w:p>
            <w:pPr>
              <w:pStyle w:val="Tabla8"/>
              <w:jc w:val="left"/>
            </w:pPr>
            <w:r>
              <w:t xml:space="preserve">Desempeño verificado de la corrección y sus límites</w:t>
            </w:r>
          </w:p>
        </w:tc>
        <w:tc>
          <w:tcPr/>
          <w:p>
            <w:pPr>
              <w:pStyle w:val="Tabla8"/>
              <w:jc w:val="left"/>
            </w:pPr>
            <w:r>
              <w:t xml:space="preserve">1 y circulación</w:t>
            </w:r>
          </w:p>
        </w:tc>
        <w:tc>
          <w:tcPr/>
          <w:p>
            <w:pPr>
              <w:pStyle w:val="Tabla8"/>
              <w:jc w:val="left"/>
            </w:pPr>
            <w:r>
              <w:t xml:space="preserve">Artículos, seminarios y repositorio abierto</w:t>
            </w:r>
          </w:p>
        </w:tc>
        <w:tc>
          <w:tcPr/>
          <w:p>
            <w:pPr>
              <w:pStyle w:val="Tabla8"/>
              <w:jc w:val="left"/>
            </w:pPr>
            <w:r>
              <w:t xml:space="preserve">2 artículos, protocolo y base de datos</w:t>
            </w:r>
          </w:p>
        </w:tc>
        <w:tc>
          <w:tcPr/>
          <w:p>
            <w:pPr>
              <w:pStyle w:val="Tabla8"/>
              <w:jc w:val="left"/>
            </w:pPr>
            <w:r>
              <w:t xml:space="preserve">Dirección de investigación y ciencia de datos</w:t>
            </w:r>
          </w:p>
        </w:tc>
        <w:tc>
          <w:tcPr/>
          <w:p>
            <w:pPr>
              <w:pStyle w:val="Tabla8"/>
              <w:jc w:val="left"/>
            </w:pPr>
            <w:r>
              <w:t xml:space="preserve">C1 y mes 24</w:t>
            </w:r>
          </w:p>
        </w:tc>
      </w:tr>
      <w:tr>
        <w:trPr>
          <w:cantSplit/>
        </w:trPr>
        <w:tc>
          <w:tcPr/>
          <w:p>
            <w:pPr>
              <w:pStyle w:val="Tabla8"/>
              <w:jc w:val="left"/>
            </w:pPr>
            <w:r>
              <w:t xml:space="preserve">Sector productivo</w:t>
            </w:r>
          </w:p>
        </w:tc>
        <w:tc>
          <w:tcPr/>
          <w:p>
            <w:pPr>
              <w:pStyle w:val="Tabla8"/>
              <w:jc w:val="left"/>
            </w:pPr>
            <w:r>
              <w:t xml:space="preserve">Umbral de alerta y regla de reanudación de obra</w:t>
            </w:r>
          </w:p>
        </w:tc>
        <w:tc>
          <w:tcPr/>
          <w:p>
            <w:pPr>
              <w:pStyle w:val="Tabla8"/>
              <w:jc w:val="left"/>
            </w:pPr>
            <w:r>
              <w:t xml:space="preserve">1 y 2</w:t>
            </w:r>
          </w:p>
        </w:tc>
        <w:tc>
          <w:tcPr/>
          <w:p>
            <w:pPr>
              <w:pStyle w:val="Tabla8"/>
              <w:jc w:val="left"/>
            </w:pPr>
            <w:r>
              <w:t xml:space="preserve">Reuniones con contratistas y ARL; boletín</w:t>
            </w:r>
          </w:p>
        </w:tc>
        <w:tc>
          <w:tcPr/>
          <w:p>
            <w:pPr>
              <w:pStyle w:val="Tabla8"/>
              <w:jc w:val="left"/>
            </w:pPr>
            <w:r>
              <w:t xml:space="preserve">Boletín por tramo</w:t>
            </w:r>
          </w:p>
        </w:tc>
        <w:tc>
          <w:tcPr/>
          <w:p>
            <w:pPr>
              <w:pStyle w:val="Tabla8"/>
              <w:jc w:val="left"/>
            </w:pPr>
            <w:r>
              <w:t xml:space="preserve">Profesional en calidad del aire y salud ambiental</w:t>
            </w:r>
          </w:p>
        </w:tc>
        <w:tc>
          <w:tcPr/>
          <w:p>
            <w:pPr>
              <w:pStyle w:val="Tabla8"/>
              <w:jc w:val="left"/>
            </w:pPr>
            <w:r>
              <w:t xml:space="preserve">C1 y C2</w:t>
            </w:r>
          </w:p>
        </w:tc>
      </w:tr>
      <w:tr>
        <w:trPr>
          <w:cantSplit/>
        </w:trPr>
        <w:tc>
          <w:tcPr/>
          <w:p>
            <w:pPr>
              <w:pStyle w:val="Tabla8"/>
              <w:jc w:val="left"/>
            </w:pPr>
            <w:r>
              <w:t xml:space="preserve">Comunidad</w:t>
            </w:r>
          </w:p>
        </w:tc>
        <w:tc>
          <w:tcPr/>
          <w:p>
            <w:pPr>
              <w:pStyle w:val="Tabla8"/>
              <w:jc w:val="left"/>
            </w:pPr>
            <w:r>
              <w:t xml:space="preserve">Qué mide la red, qué no mide y cómo usar la lectura</w:t>
            </w:r>
          </w:p>
        </w:tc>
        <w:tc>
          <w:tcPr/>
          <w:p>
            <w:pPr>
              <w:pStyle w:val="Tabla8"/>
              <w:jc w:val="left"/>
            </w:pPr>
            <w:r>
              <w:t xml:space="preserve">1, 2 y 3</w:t>
            </w:r>
          </w:p>
        </w:tc>
        <w:tc>
          <w:tcPr/>
          <w:p>
            <w:pPr>
              <w:pStyle w:val="Tabla8"/>
              <w:jc w:val="left"/>
            </w:pPr>
            <w:r>
              <w:t xml:space="preserve">Jornadas, talleres, cartillas y medios comunitarios</w:t>
            </w:r>
          </w:p>
        </w:tc>
        <w:tc>
          <w:tcPr/>
          <w:p>
            <w:pPr>
              <w:pStyle w:val="Tabla8"/>
              <w:jc w:val="left"/>
            </w:pPr>
            <w:r>
              <w:t xml:space="preserve">5.000 cartillas, 9 jornadas y 20 talleres</w:t>
            </w:r>
          </w:p>
        </w:tc>
        <w:tc>
          <w:tcPr/>
          <w:p>
            <w:pPr>
              <w:pStyle w:val="Tabla8"/>
              <w:jc w:val="left"/>
            </w:pPr>
            <w:r>
              <w:t xml:space="preserve">Coordinación de apropiación social</w:t>
            </w:r>
          </w:p>
        </w:tc>
        <w:tc>
          <w:tcPr/>
          <w:p>
            <w:pPr>
              <w:pStyle w:val="Tabla8"/>
              <w:jc w:val="left"/>
            </w:pPr>
            <w:r>
              <w:t xml:space="preserve">H1 a H8</w:t>
            </w:r>
          </w:p>
        </w:tc>
      </w:tr>
      <w:tr>
        <w:trPr>
          <w:cantSplit/>
        </w:trPr>
        <w:tc>
          <w:tcPr/>
          <w:p>
            <w:pPr>
              <w:pStyle w:val="Tabla8"/>
              <w:jc w:val="left"/>
            </w:pPr>
            <w:r>
              <w:t xml:space="preserve">Gobierno</w:t>
            </w:r>
          </w:p>
        </w:tc>
        <w:tc>
          <w:tcPr/>
          <w:p>
            <w:pPr>
              <w:pStyle w:val="Tabla8"/>
              <w:jc w:val="left"/>
            </w:pPr>
            <w:r>
              <w:t xml:space="preserve">Tablero, protocolo y decisión que habilitan</w:t>
            </w:r>
          </w:p>
        </w:tc>
        <w:tc>
          <w:tcPr/>
          <w:p>
            <w:pPr>
              <w:pStyle w:val="Tabla8"/>
              <w:jc w:val="left"/>
            </w:pPr>
            <w:r>
              <w:t xml:space="preserve">2 y 3</w:t>
            </w:r>
          </w:p>
        </w:tc>
        <w:tc>
          <w:tcPr/>
          <w:p>
            <w:pPr>
              <w:pStyle w:val="Tabla8"/>
              <w:jc w:val="left"/>
            </w:pPr>
            <w:r>
              <w:t xml:space="preserve">Sesiones de comité y tablero</w:t>
            </w:r>
          </w:p>
        </w:tc>
        <w:tc>
          <w:tcPr/>
          <w:p>
            <w:pPr>
              <w:pStyle w:val="Tabla8"/>
              <w:jc w:val="left"/>
            </w:pPr>
            <w:r>
              <w:t xml:space="preserve">Actas de uso e informe de compuerta</w:t>
            </w:r>
          </w:p>
        </w:tc>
        <w:tc>
          <w:tcPr/>
          <w:p>
            <w:pPr>
              <w:pStyle w:val="Tabla8"/>
              <w:jc w:val="left"/>
            </w:pPr>
            <w:r>
              <w:t xml:space="preserve">Gerencia de proyecto y coordinación de apropiación social</w:t>
            </w:r>
          </w:p>
        </w:tc>
        <w:tc>
          <w:tcPr/>
          <w:p>
            <w:pPr>
              <w:pStyle w:val="Tabla8"/>
              <w:jc w:val="left"/>
            </w:pPr>
            <w:r>
              <w:t xml:space="preserve">C1, C2 y C3</w:t>
            </w:r>
          </w:p>
        </w:tc>
      </w:tr>
    </w:tbl>
    <w:p>
      <w:pPr>
        <w:pStyle w:val="TablaNota"/>
      </w:pPr>
      <w:r>
        <w:rPr>
          <w:i/>
          <w:iCs/>
        </w:rPr>
        <w:t xml:space="preserve">Nota.</w:t>
      </w:r>
      <w:r>
        <w:t xml:space="preserve"> </w:t>
      </w:r>
      <w:r>
        <w:t xml:space="preserve">Elaboración propia con datos de la ficha maestra del proyecto (indicadores PERS-P04 y PERS-E01, líneas M04, P05, P06 y P13). Asignación de mensajes, canales y responsables: PROPUESTO. ARL: administradoras de riesgos laborales.</w:t>
      </w:r>
    </w:p>
    <w:p>
      <w:pPr>
        <w:pStyle w:val="BodyText"/>
      </w:pPr>
      <w:r>
        <w:t xml:space="preserve">El plan asigna un responsable de la ficha a cada audiencia y ninguna audiencia depende de un solo canal. La comunidad concentra tres niveles, lo que refleja su papel en el nivel 3. La Figura 16.1 muestra qué canal sirve a cada nivel.</w:t>
      </w:r>
    </w:p>
    <w:p>
      <w:pPr>
        <w:pStyle w:val="FiguraRotulo"/>
      </w:pPr>
      <w:bookmarkStart w:id="9546" w:name="rot_Figura_16_1"/>
      <w:r>
        <w:rPr>
          <w:b/>
          <w:bCs/>
        </w:rPr>
        <w:t xml:space="preserve">Figura 16.1</w:t>
      </w:r>
      <w:bookmarkEnd w:id="9546"/>
    </w:p>
    <w:p>
      <w:pPr>
        <w:pStyle w:val="FiguraTitulo"/>
      </w:pPr>
      <w:r>
        <w:rPr>
          <w:i/>
          <w:iCs/>
        </w:rPr>
        <w:t xml:space="preserve">Mapa de canales de comunicación por nivel de apropiación</w:t>
      </w:r>
    </w:p>
    <w:p>
      <w:pPr>
        <w:pStyle w:val="BodyText"/>
      </w:pPr>
      <w:r>
        <w:drawing>
          <wp:inline>
            <wp:extent cx="5579999" cy="4013586"/>
            <wp:effectExtent b="0" l="0" r="0" t="0"/>
            <wp:docPr descr="" title="" id="632" name="Picture"/>
            <a:graphic>
              <a:graphicData uri="http://schemas.openxmlformats.org/drawingml/2006/picture">
                <pic:pic>
                  <pic:nvPicPr>
                    <pic:cNvPr descr="/tmp/claude-0/-home-user-docs/ddf38714-2a7e-502b-92b4-1008e2832422/scratchpad/proy/figs/out/c16_f01.png" id="633" name="Picture"/>
                    <pic:cNvPicPr>
                      <a:picLocks noChangeArrowheads="1" noChangeAspect="1"/>
                    </pic:cNvPicPr>
                  </pic:nvPicPr>
                  <pic:blipFill>
                    <a:blip r:embed="rId631"/>
                    <a:stretch>
                      <a:fillRect/>
                    </a:stretch>
                  </pic:blipFill>
                  <pic:spPr bwMode="auto">
                    <a:xfrm>
                      <a:off x="0" y="0"/>
                      <a:ext cx="5579999" cy="401358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asignación de canales a niveles de la Escalera ASC del capítulo 16; el nivel 4 es aspiracional. Canal principal y canal complementario son decisiones de diseño (PROPUESTO). Figura generada con matplotlib; sin semilla ni corpus.</w:t>
      </w:r>
    </w:p>
    <w:p>
      <w:pPr>
        <w:pStyle w:val="BodyText"/>
      </w:pPr>
      <w:r>
        <w:t xml:space="preserve">El mapa separa los canales por nivel. Los canales unidireccionales sirven al nivel 1 y los interactivos al nivel 3. Los canales del nivel 4 se limitan a la formación de personas formadoras locales. Esa distribución coincide con la regla de la escalera: cada nivel se apoya en los canales del anterior.</w:t>
      </w:r>
    </w:p>
    <w:bookmarkEnd w:id="634"/>
    <w:bookmarkStart w:id="635" w:name="_Toc00900249"/>
    <w:p>
      <w:pPr>
        <w:pStyle w:val="Heading2"/>
      </w:pPr>
      <w:r>
        <w:t xml:space="preserve">16.2 Participación Ciudadana en CTeI</w:t>
      </w:r>
    </w:p>
    <w:p>
      <w:pPr>
        <w:pStyle w:val="FirstParagraph"/>
      </w:pPr>
      <w:r>
        <w:rPr>
          <w:b/>
          <w:bCs/>
        </w:rPr>
        <w:t xml:space="preserve">Mecanismos de participación según la tipología ASCTI.</w:t>
      </w:r>
      <w:r>
        <w:t xml:space="preserve"> </w:t>
      </w:r>
      <w:r>
        <w:t xml:space="preserve">El texto del marco ASCTI de MinCiencias no se aportó. El proyecto clasifica sus mecanismos con los códigos MMG que fija la ficha: ASC-COM, ASC-PART y ASC-CIRC (PROPUESTO; NO_VERIFICADO). Los mecanismos son cuatro: la consulta en jornadas, el taller de co-diseño, el laboratorio ciudadano y la validación de umbrales con los comités. Arnstein (1969) ordena la participación en ocho peldaños agrupados en tres franjas: la no participación, el simbolismo y el poder ciudadano. La información y la consulta pertenecen a la franja del simbolismo, porque el público escucha o es escuchado sin garantía de influir. La asociación y el poder delegado pertenecen a la franja del poder ciudadano. Dos posiciones valoran la participación por razones distintas. Arnstein la valora por la redistribución de poder. Callon (1999) y Funtowicz y Ravetz (1993) la valoran por el conocimiento que aportan quienes no son especialistas. El proyecto se ubica en el cruce de ambas. Los comités y la comunidad validan los umbrales porque conocen los sitios y porque las decisiones de alerta los afectan. Por consiguiente, cada actividad de nivel 3 registra qué decisión cambió por el aporte comunitario.</w:t>
      </w:r>
    </w:p>
    <w:p>
      <w:pPr>
        <w:pStyle w:val="BodyText"/>
      </w:pPr>
      <w:r>
        <w:rPr>
          <w:b/>
          <w:bCs/>
        </w:rPr>
        <w:t xml:space="preserve">Co-creación con comunidades y diálogos de saberes.</w:t>
      </w:r>
      <w:r>
        <w:t xml:space="preserve"> </w:t>
      </w:r>
      <w:r>
        <w:t xml:space="preserve">La co-creación se concentra en dos productos: los umbrales validados localmente y el protocolo de alerta. La actividad A3.1 los co-diseña con los comités entre las semanas 12 y 36. La actividad A3.2 pone el tablero en uso entre las semanas 50 y 62. Funtowicz y Ravetz (1993) describen una situación con evidencia incierta, valores en disputa y decisiones urgentes. Proponen una comunidad ampliada de pares que evalúe la calidad del conocimiento. Los sitios de remoción posterremoto reúnen esas condiciones. El diálogo de saberes integra el conocimiento técnico de la medición con el conocimiento local. Ese conocimiento local incluye los sitios, la maquinaria, el polvo y los hábitos de trabajo. Freire (2005) concibe el diálogo como un encuentro entre sujetos y no como un depósito de contenidos. La co-creación presenta un riesgo. Quienes ya poseen voz pueden capturarla. El personal operario de remoción, que es el más expuesto, puede quedar fuera. El proyecto exige que cada taller convoque a representantes de ese personal [DATO_USUARIO: número de operarios y organizaciones que los representan]. La existencia de comunidades étnicas o campesinas con saberes propios en los municipios no se verificó [DATO_USUARIO: caracterización de los 12 municipios]. Si existieran, la asesoría jurídica determinará los procesos de consulta aplicables antes de instalar nodos en sus territorios.</w:t>
      </w:r>
    </w:p>
    <w:p>
      <w:pPr>
        <w:pStyle w:val="BodyText"/>
      </w:pPr>
      <w:r>
        <w:rPr>
          <w:b/>
          <w:bCs/>
        </w:rPr>
        <w:t xml:space="preserve">Metodologías participativas.</w:t>
      </w:r>
      <w:r>
        <w:t xml:space="preserve"> </w:t>
      </w:r>
      <w:r>
        <w:t xml:space="preserve">El proyecto usa tres metodologías: el taller de co-diseño con cartografía social, el laboratorio ciudadano y la validación con los comités. Los 20 talleres se ejecutan como laboratorios ciudadanos (PROPUESTO). Cada laboratorio recibe una alimentación (línea V05, 20 eventos) y un kit de papelería (línea M05, 20 kits). Cada taller sigue cinco pasos: convocatoria con información previa, consentimiento informado, sesión con metodología documentada, acta firmada y devolución de lo decidido. La cartografía social ubica en un mapa los sitios de remoción, los puntos sensibles y las rutas que la comunidad percibe para el polvo. Esa información alimenta el protocolo de alerta. Los hackatones sociales no se comprometen (VACIO). Dos posiciones se contrastan sobre el método. La primera prefiere un protocolo estructurado, porque produce actas comparables entre talleres. La segunda prefiere métodos abiertos, porque respetan la forma en que la comunidad organiza su conocimiento (Freire, 2005). El proyecto fija la estructura de los cinco pasos y deja abierto el contenido de la sesión. Por consiguiente, el acta es comparable y la deliberación no queda guionada.</w:t>
      </w:r>
    </w:p>
    <w:p>
      <w:pPr>
        <w:pStyle w:val="BodyText"/>
      </w:pPr>
      <w:r>
        <w:rPr>
          <w:b/>
          <w:bCs/>
        </w:rPr>
        <w:t xml:space="preserve">Protocolo de consentimiento informado.</w:t>
      </w:r>
      <w:r>
        <w:t xml:space="preserve"> </w:t>
      </w:r>
      <w:r>
        <w:t xml:space="preserve">La Ley 1581 de 2012 exige autorización previa, expresa e informada del titular para tratar datos personales (Congreso de la República, 2012b). La ley reconoce además derechos al titular, como conocer, actualizar y rectificar sus datos y revocar la autorización. El protocolo del proyecto consta de cinco pasos. Primero, la información previa: propósito del taller, uso de los registros, riesgos y carácter voluntario de la participación. Segundo, la autorización por escrito o por un medio verificable, con una opción separada para el registro fotográfico y de audio. Tercero, la recolección mínima: solo los datos necesarios para el acta y la medición, con los campos de género, edad y etnia como opcionales. Cuarto, la custodia de los registros por un responsable del tratamiento [DATO_USUARIO: responsable del tratamiento de datos personales]. Quinto, la revocación y la supresión a solicitud. Los datos de origen étnico son sensibles y su captura es voluntaria. La participación de personas menores de edad exige reglas reforzadas que la asesoría jurídica debe confirmar antes de convocarlos. Dos posiciones se contrastan sobre el consentimiento. Una lo trata como un trámite que se firma una vez. La otra lo trata como un proceso que se renueva cuando cambia la finalidad. El proyecto adopta la segunda. El acta firmada por representantes comunitarios no sustituye el consentimiento individual.</w:t>
      </w:r>
    </w:p>
    <w:p>
      <w:pPr>
        <w:pStyle w:val="BodyText"/>
      </w:pPr>
      <w:r>
        <w:rPr>
          <w:b/>
          <w:bCs/>
        </w:rPr>
        <w:t xml:space="preserve">Evidencias verificables de participación.</w:t>
      </w:r>
      <w:r>
        <w:t xml:space="preserve"> </w:t>
      </w:r>
      <w:r>
        <w:t xml:space="preserve">El proyecto exige cuatro evidencias por actividad: el acta, la lista de asistencia, el registro fotográfico con autorización y la bitácora metodológica. El indicador PERS-P04 fija como verificación las actas firmadas por representantes comunitarios. Arnstein (1969) sostiene que la participación se juzga por la redistribución de poder y no por la asistencia. Dos posiciones se contrastan sobre la evidencia. Una acepta la evidencia de presencia, como las listas y las fotografías. La otra exige evidencia de influencia, como las decisiones que cambiaron. El proyecto exige ambas. El acta incluye un campo para la decisión modificada por el aporte comunitario. La figura del representante comunitario requiere una definición. El proyecto la define como la persona que su organización comunitaria reconocida designa por escrito [DATO_USUARIO: organizaciones comunitarias de los 12 municipios]. Por consiguiente, un acta sin designación escrita del representante no cuenta como actividad de nivel 3.</w:t>
      </w:r>
    </w:p>
    <w:p>
      <w:pPr>
        <w:pStyle w:val="BodyText"/>
      </w:pPr>
      <w:r>
        <w:t xml:space="preserve">La Tabla 16.2 resume las actividades de participación. Incluye tipo MMG y evidencia.</w:t>
      </w:r>
    </w:p>
    <w:p>
      <w:pPr>
        <w:pStyle w:val="TablaRotulo"/>
      </w:pPr>
      <w:bookmarkStart w:id="9379" w:name="rot_Tabla_16_2"/>
      <w:r>
        <w:rPr>
          <w:b/>
          <w:bCs/>
        </w:rPr>
        <w:t xml:space="preserve">Tabla 16.2</w:t>
      </w:r>
      <w:bookmarkEnd w:id="9379"/>
    </w:p>
    <w:p>
      <w:pPr>
        <w:pStyle w:val="TablaTitulo"/>
      </w:pPr>
      <w:r>
        <w:rPr>
          <w:i/>
          <w:iCs/>
        </w:rPr>
        <w:t xml:space="preserve">Matriz de actividades de participación ciudadana con indicadores MMG</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20"/>
        <w:gridCol w:w="1188"/>
        <w:gridCol w:w="594"/>
        <w:gridCol w:w="1122"/>
        <w:gridCol w:w="1452"/>
        <w:gridCol w:w="1056"/>
        <w:gridCol w:w="1188"/>
      </w:tblGrid>
      <w:tr>
        <w:trPr>
          <w:cantSplit/>
          <w:tblHeader/>
        </w:trPr>
        <w:tc>
          <w:tcPr>
            <w:shd w:val="clear" w:color="auto" w:fill="00B050"/>
          </w:tcPr>
          <w:p>
            <w:pPr>
              <w:pStyle w:val="Tabla8"/>
              <w:jc w:val="center"/>
            </w:pPr>
            <w:r>
              <w:rPr>
                <w:b/>
                <w:color w:val="FFFFFF"/>
              </w:rPr>
              <w:t xml:space="preserve">Actividad</w:t>
            </w:r>
          </w:p>
        </w:tc>
        <w:tc>
          <w:tcPr>
            <w:shd w:val="clear" w:color="auto" w:fill="00B050"/>
          </w:tcPr>
          <w:p>
            <w:pPr>
              <w:pStyle w:val="Tabla8"/>
              <w:jc w:val="center"/>
            </w:pPr>
            <w:r>
              <w:rPr>
                <w:b/>
                <w:color w:val="FFFFFF"/>
              </w:rPr>
              <w:t xml:space="preserve">Cantidad</w:t>
            </w:r>
          </w:p>
        </w:tc>
        <w:tc>
          <w:tcPr>
            <w:shd w:val="clear" w:color="auto" w:fill="00B050"/>
          </w:tcPr>
          <w:p>
            <w:pPr>
              <w:pStyle w:val="Tabla8"/>
              <w:jc w:val="center"/>
            </w:pPr>
            <w:r>
              <w:rPr>
                <w:b/>
                <w:color w:val="FFFFFF"/>
              </w:rPr>
              <w:t xml:space="preserve">Nivel</w:t>
            </w:r>
          </w:p>
        </w:tc>
        <w:tc>
          <w:tcPr>
            <w:shd w:val="clear" w:color="auto" w:fill="00B050"/>
          </w:tcPr>
          <w:p>
            <w:pPr>
              <w:pStyle w:val="Tabla8"/>
              <w:jc w:val="center"/>
            </w:pPr>
            <w:r>
              <w:rPr>
                <w:b/>
                <w:color w:val="FFFFFF"/>
              </w:rPr>
              <w:t xml:space="preserve">Tipo MMG</w:t>
            </w:r>
          </w:p>
        </w:tc>
        <w:tc>
          <w:tcPr>
            <w:shd w:val="clear" w:color="auto" w:fill="00B050"/>
          </w:tcPr>
          <w:p>
            <w:pPr>
              <w:pStyle w:val="Tabla8"/>
              <w:jc w:val="center"/>
            </w:pPr>
            <w:r>
              <w:rPr>
                <w:b/>
                <w:color w:val="FFFFFF"/>
              </w:rPr>
              <w:t xml:space="preserve">Evidencia</w:t>
            </w:r>
          </w:p>
        </w:tc>
        <w:tc>
          <w:tcPr>
            <w:shd w:val="clear" w:color="auto" w:fill="00B050"/>
          </w:tcPr>
          <w:p>
            <w:pPr>
              <w:pStyle w:val="Tabla8"/>
              <w:jc w:val="center"/>
            </w:pPr>
            <w:r>
              <w:rPr>
                <w:b/>
                <w:color w:val="FFFFFF"/>
              </w:rPr>
              <w:t xml:space="preserve">Indicador</w:t>
            </w:r>
          </w:p>
        </w:tc>
        <w:tc>
          <w:tcPr>
            <w:shd w:val="clear" w:color="auto" w:fill="00B050"/>
          </w:tcPr>
          <w:p>
            <w:pPr>
              <w:pStyle w:val="Tabla8"/>
              <w:jc w:val="center"/>
            </w:pPr>
            <w:r>
              <w:rPr>
                <w:b/>
                <w:color w:val="FFFFFF"/>
              </w:rPr>
              <w:t xml:space="preserve">Línea presupuestal</w:t>
            </w:r>
          </w:p>
        </w:tc>
      </w:tr>
      <w:tr>
        <w:trPr>
          <w:cantSplit/>
        </w:trPr>
        <w:tc>
          <w:tcPr/>
          <w:p>
            <w:pPr>
              <w:pStyle w:val="Tabla8"/>
              <w:jc w:val="left"/>
            </w:pPr>
            <w:r>
              <w:t xml:space="preserve">Taller de co-diseño como laboratorio ciudadano</w:t>
            </w:r>
          </w:p>
        </w:tc>
        <w:tc>
          <w:tcPr/>
          <w:p>
            <w:pPr>
              <w:pStyle w:val="Tabla8"/>
              <w:jc w:val="left"/>
            </w:pPr>
            <w:r>
              <w:t xml:space="preserve">20</w:t>
            </w:r>
          </w:p>
        </w:tc>
        <w:tc>
          <w:tcPr/>
          <w:p>
            <w:pPr>
              <w:pStyle w:val="Tabla8"/>
              <w:jc w:val="left"/>
            </w:pPr>
            <w:r>
              <w:t xml:space="preserve">3</w:t>
            </w:r>
          </w:p>
        </w:tc>
        <w:tc>
          <w:tcPr/>
          <w:p>
            <w:pPr>
              <w:pStyle w:val="Tabla8"/>
              <w:jc w:val="left"/>
            </w:pPr>
            <w:r>
              <w:t xml:space="preserve">ASC-PART</w:t>
            </w:r>
          </w:p>
        </w:tc>
        <w:tc>
          <w:tcPr/>
          <w:p>
            <w:pPr>
              <w:pStyle w:val="Tabla8"/>
              <w:jc w:val="left"/>
            </w:pPr>
            <w:r>
              <w:t xml:space="preserve">Acta firmada por representantes comunitarios y consentimientos</w:t>
            </w:r>
          </w:p>
        </w:tc>
        <w:tc>
          <w:tcPr/>
          <w:p>
            <w:pPr>
              <w:pStyle w:val="Tabla8"/>
              <w:jc w:val="left"/>
            </w:pPr>
            <w:r>
              <w:t xml:space="preserve">PERS-P04</w:t>
            </w:r>
          </w:p>
        </w:tc>
        <w:tc>
          <w:tcPr/>
          <w:p>
            <w:pPr>
              <w:pStyle w:val="Tabla8"/>
              <w:jc w:val="left"/>
            </w:pPr>
            <w:r>
              <w:t xml:space="preserve">M05 y V05</w:t>
            </w:r>
          </w:p>
        </w:tc>
      </w:tr>
      <w:tr>
        <w:trPr>
          <w:cantSplit/>
        </w:trPr>
        <w:tc>
          <w:tcPr/>
          <w:p>
            <w:pPr>
              <w:pStyle w:val="Tabla8"/>
              <w:jc w:val="left"/>
            </w:pPr>
            <w:r>
              <w:t xml:space="preserve">Jornada de consulta con grupos focales y encuestas</w:t>
            </w:r>
          </w:p>
        </w:tc>
        <w:tc>
          <w:tcPr/>
          <w:p>
            <w:pPr>
              <w:pStyle w:val="Tabla8"/>
              <w:jc w:val="left"/>
            </w:pPr>
            <w:r>
              <w:t xml:space="preserve">6</w:t>
            </w:r>
          </w:p>
        </w:tc>
        <w:tc>
          <w:tcPr/>
          <w:p>
            <w:pPr>
              <w:pStyle w:val="Tabla8"/>
              <w:jc w:val="left"/>
            </w:pPr>
            <w:r>
              <w:t xml:space="preserve">2</w:t>
            </w:r>
          </w:p>
        </w:tc>
        <w:tc>
          <w:tcPr/>
          <w:p>
            <w:pPr>
              <w:pStyle w:val="Tabla8"/>
              <w:jc w:val="left"/>
            </w:pPr>
            <w:r>
              <w:t xml:space="preserve">ASC-COM y ASC-PART</w:t>
            </w:r>
          </w:p>
        </w:tc>
        <w:tc>
          <w:tcPr/>
          <w:p>
            <w:pPr>
              <w:pStyle w:val="Tabla8"/>
              <w:jc w:val="left"/>
            </w:pPr>
            <w:r>
              <w:t xml:space="preserve">Acta con acuerdos y lista de asistencia</w:t>
            </w:r>
          </w:p>
        </w:tc>
        <w:tc>
          <w:tcPr/>
          <w:p>
            <w:pPr>
              <w:pStyle w:val="Tabla8"/>
              <w:jc w:val="left"/>
            </w:pPr>
            <w:r>
              <w:t xml:space="preserve">PERS-P04</w:t>
            </w:r>
          </w:p>
        </w:tc>
        <w:tc>
          <w:tcPr/>
          <w:p>
            <w:pPr>
              <w:pStyle w:val="Tabla8"/>
              <w:jc w:val="left"/>
            </w:pPr>
            <w:r>
              <w:t xml:space="preserve">O02</w:t>
            </w:r>
          </w:p>
        </w:tc>
      </w:tr>
      <w:tr>
        <w:trPr>
          <w:cantSplit/>
        </w:trPr>
        <w:tc>
          <w:tcPr/>
          <w:p>
            <w:pPr>
              <w:pStyle w:val="Tabla8"/>
              <w:jc w:val="left"/>
            </w:pPr>
            <w:r>
              <w:t xml:space="preserve">Jornada de socialización inicial</w:t>
            </w:r>
          </w:p>
        </w:tc>
        <w:tc>
          <w:tcPr/>
          <w:p>
            <w:pPr>
              <w:pStyle w:val="Tabla8"/>
              <w:jc w:val="left"/>
            </w:pPr>
            <w:r>
              <w:t xml:space="preserve">3</w:t>
            </w:r>
          </w:p>
        </w:tc>
        <w:tc>
          <w:tcPr/>
          <w:p>
            <w:pPr>
              <w:pStyle w:val="Tabla8"/>
              <w:jc w:val="left"/>
            </w:pPr>
            <w:r>
              <w:t xml:space="preserve">1</w:t>
            </w:r>
          </w:p>
        </w:tc>
        <w:tc>
          <w:tcPr/>
          <w:p>
            <w:pPr>
              <w:pStyle w:val="Tabla8"/>
              <w:jc w:val="left"/>
            </w:pPr>
            <w:r>
              <w:t xml:space="preserve">ASC-COM</w:t>
            </w:r>
          </w:p>
        </w:tc>
        <w:tc>
          <w:tcPr/>
          <w:p>
            <w:pPr>
              <w:pStyle w:val="Tabla8"/>
              <w:jc w:val="left"/>
            </w:pPr>
            <w:r>
              <w:t xml:space="preserve">Lista de asistencia y registro fotográfico autorizado</w:t>
            </w:r>
          </w:p>
        </w:tc>
        <w:tc>
          <w:tcPr/>
          <w:p>
            <w:pPr>
              <w:pStyle w:val="Tabla8"/>
              <w:jc w:val="left"/>
            </w:pPr>
            <w:r>
              <w:t xml:space="preserve">PERS-P04</w:t>
            </w:r>
          </w:p>
        </w:tc>
        <w:tc>
          <w:tcPr/>
          <w:p>
            <w:pPr>
              <w:pStyle w:val="Tabla8"/>
              <w:jc w:val="left"/>
            </w:pPr>
            <w:r>
              <w:t xml:space="preserve">O02</w:t>
            </w:r>
          </w:p>
        </w:tc>
      </w:tr>
      <w:tr>
        <w:trPr>
          <w:cantSplit/>
        </w:trPr>
        <w:tc>
          <w:tcPr/>
          <w:p>
            <w:pPr>
              <w:pStyle w:val="Tabla8"/>
              <w:jc w:val="left"/>
            </w:pPr>
            <w:r>
              <w:t xml:space="preserve">Formación de personas formadoras locales con plan de sostenibilidad</w:t>
            </w:r>
          </w:p>
        </w:tc>
        <w:tc>
          <w:tcPr/>
          <w:p>
            <w:pPr>
              <w:pStyle w:val="Tabla8"/>
              <w:jc w:val="left"/>
            </w:pPr>
            <w:r>
              <w:t xml:space="preserve">1, aspiracional</w:t>
            </w:r>
          </w:p>
        </w:tc>
        <w:tc>
          <w:tcPr/>
          <w:p>
            <w:pPr>
              <w:pStyle w:val="Tabla8"/>
              <w:jc w:val="left"/>
            </w:pPr>
            <w:r>
              <w:t xml:space="preserve">4</w:t>
            </w:r>
          </w:p>
        </w:tc>
        <w:tc>
          <w:tcPr/>
          <w:p>
            <w:pPr>
              <w:pStyle w:val="Tabla8"/>
              <w:jc w:val="left"/>
            </w:pPr>
            <w:r>
              <w:t xml:space="preserve">ASC-PART y FORM</w:t>
            </w:r>
          </w:p>
        </w:tc>
        <w:tc>
          <w:tcPr/>
          <w:p>
            <w:pPr>
              <w:pStyle w:val="Tabla8"/>
              <w:jc w:val="left"/>
            </w:pPr>
            <w:r>
              <w:t xml:space="preserve">Plan de sostenibilidad documentado</w:t>
            </w:r>
          </w:p>
        </w:tc>
        <w:tc>
          <w:tcPr/>
          <w:p>
            <w:pPr>
              <w:pStyle w:val="Tabla8"/>
              <w:jc w:val="left"/>
            </w:pPr>
            <w:r>
              <w:t xml:space="preserve">PERS-E03</w:t>
            </w:r>
          </w:p>
        </w:tc>
        <w:tc>
          <w:tcPr/>
          <w:p>
            <w:pPr>
              <w:pStyle w:val="Tabla8"/>
              <w:jc w:val="left"/>
            </w:pPr>
            <w:r>
              <w:t xml:space="preserve">S09</w:t>
            </w:r>
          </w:p>
        </w:tc>
      </w:tr>
    </w:tbl>
    <w:p>
      <w:pPr>
        <w:pStyle w:val="TablaNota"/>
      </w:pPr>
      <w:r>
        <w:rPr>
          <w:i/>
          <w:iCs/>
        </w:rPr>
        <w:t xml:space="preserve">Nota.</w:t>
      </w:r>
      <w:r>
        <w:t xml:space="preserve"> </w:t>
      </w:r>
      <w:r>
        <w:t xml:space="preserve">Elaboración propia con datos de la ficha maestra del proyecto. La suma de talleres y jornadas es 29 (20 + 6 + 3), igual a la meta de PERS-P04. La separación entre jornadas de nivel 1 y de nivel 2 es PROPUESTO.</w:t>
      </w:r>
    </w:p>
    <w:p>
      <w:pPr>
        <w:pStyle w:val="BodyText"/>
      </w:pPr>
      <w:r>
        <w:t xml:space="preserve">La tabla suma 29 actividades de los niveles 1 a 3. Esa cifra iguala la meta de PERS-P04. La actividad de nivel 4 no se suma, porque es aspiracional y se mide con PERS-E03. La combinación de evidencia de presencia y de influencia permite que cada acta responda a una pregunta del panel evaluador: qué cambió por la participación.</w:t>
      </w:r>
    </w:p>
    <w:bookmarkEnd w:id="635"/>
    <w:bookmarkStart w:id="639" w:name="Xbbb9c62a82958c3ccf0ccf7a3d6dc1da5a3baa4"/>
    <w:p>
      <w:pPr>
        <w:pStyle w:val="Heading2"/>
      </w:pPr>
      <w:r>
        <w:t xml:space="preserve">16.3 Divulgación y Circulación del Conocimiento</w:t>
      </w:r>
    </w:p>
    <w:p>
      <w:pPr>
        <w:pStyle w:val="FirstParagraph"/>
      </w:pPr>
      <w:r>
        <w:rPr>
          <w:b/>
          <w:bCs/>
        </w:rPr>
        <w:t xml:space="preserve">Productos de divulgación.</w:t>
      </w:r>
      <w:r>
        <w:t xml:space="preserve"> </w:t>
      </w:r>
      <w:r>
        <w:t xml:space="preserve">El proyecto produce 5.000 cartillas impresas del índice y del protocolo de alerta (línea M04). El costo unitario es de 8.500 COP y el total de 42.500.000 COP. Produce además videos, pódcast e infografías dentro del paquete de publicaciones de divulgación y eventos de socialización, de 60.000.000 COP (línea O06). La ficha no fija cantidades por pieza (VACIO). Rogers (2003) señala cinco atributos que influyen en la adopción de una innovación. Son la ventaja relativa, la compatibilidad, la complejidad, la posibilidad de prueba y la observabilidad. Las piezas de divulgación actúan sobre la complejidad percibida y sobre la observabilidad de la medición. Dos posiciones se contrastan sobre el soporte. El impreso llega a hogares sin conectividad estable, pero su corrección es costosa. El digital se actualiza sin costo de impresión, pero depende de la conectividad. El proyecto usa el impreso para el contenido estable, que es el índice y el protocolo. Usa el digital para el contenido que cambia, que son los resultados de cada compuerta. Cada pieza se prueba con representantes comunitarios antes de su difusión. Por consiguiente, la posibilidad de prueba se incorpora en el proceso de producción.</w:t>
      </w:r>
    </w:p>
    <w:p>
      <w:pPr>
        <w:pStyle w:val="BodyText"/>
      </w:pPr>
      <w:r>
        <w:rPr>
          <w:b/>
          <w:bCs/>
        </w:rPr>
        <w:t xml:space="preserve">Eventos públicos.</w:t>
      </w:r>
      <w:r>
        <w:t xml:space="preserve"> </w:t>
      </w:r>
      <w:r>
        <w:t xml:space="preserve">El proyecto programa nueve jornadas públicas con logística de 72.000.000 COP, a razón de 8.000.000 COP por evento (línea O02). Tres jornadas son de socialización inicial, una por departamento, y corresponden al nivel 1. Seis jornadas son de consulta y de devolución de resultados, y corresponden al nivel 2 (PROPUESTO). La línea O02 financia ferias y laboratorios de apropiación, y la ficha no distingue entre ellos. Callon (1999) distingue la educación pública del debate público. Una feria de gran asistencia sirve a la primera. Un foro abierto de consulta sirve al segundo. Dos posiciones se contrastan sobre la prioridad. Una privilegia el alcance de la feria. La otra privilegia la calidad de la deliberación del foro. El proyecto privilegia la deliberación, porque los comités necesitan opiniones documentadas y no asistencia numerosa. Por consiguiente, las jornadas de nivel 2 incluyen grupos focales y encuestas con registro de acuerdos y no solo exposición.</w:t>
      </w:r>
    </w:p>
    <w:p>
      <w:pPr>
        <w:pStyle w:val="BodyText"/>
      </w:pPr>
      <w:r>
        <w:rPr>
          <w:b/>
          <w:bCs/>
        </w:rPr>
        <w:t xml:space="preserve">Material educativo adaptado al contexto territorial.</w:t>
      </w:r>
      <w:r>
        <w:t xml:space="preserve"> </w:t>
      </w:r>
      <w:r>
        <w:t xml:space="preserve">El material principal es la cartilla del índice y del protocolo. Explica qué mide la red, cómo se lee el AQHI y qué acción corresponde a cada persona ante una alerta. Usa ejemplos de los sitios de remoción posterremoto y se revisa con la comunidad en los talleres. La sección 4.4-MDR.11 identifica un efecto no deseado: la medición sustituye el control del polvo en la fuente. La respuesta prevista es combinar la medición con medidas de supresión. Por eso la cartilla incluye un mensaje explícito: medir no reemplaza controlar el polvo. El presupuesto incluye 3.000 mascarillas N95 para bioseguridad en campo (línea M06, 12.000.000 COP). La ficha no asigna destinatarios a esas mascarillas (VACIO). Dos posiciones se contrastan sobre el material educativo. Una lo concibe como un producto fijo que se produce una vez. La otra lo concibe como un producto que evoluciona con el uso (Freire, 2005). El proyecto adopta una versión inicial en los meses 3 a 8 y una revisión después de la compuerta C1. Esa revisión incorpora lo que los talleres del tramo 1 aprendieron.</w:t>
      </w:r>
    </w:p>
    <w:p>
      <w:pPr>
        <w:pStyle w:val="BodyText"/>
      </w:pPr>
      <w:r>
        <w:rPr>
          <w:b/>
          <w:bCs/>
        </w:rPr>
        <w:t xml:space="preserve">Circulación de conocimiento especializado.</w:t>
      </w:r>
      <w:r>
        <w:t xml:space="preserve"> </w:t>
      </w:r>
      <w:r>
        <w:t xml:space="preserve">El proyecto compromete dos artículos en acceso abierto, con 25.000.000 COP para los cargos de procesamiento (línea O01). Presupuesta además dos viajes internacionales de divulgación científica, con 24.000.000 COP entre los meses 14 y 24 (línea V04). La circulación especializada incluye seminarios y congresos, y se tipifica como ASC-CIRC cuando se trata de ponencias y de eventos (PROPUESTO). Un artículo se tipifica como ART-A1 o ART-A2 y no como ASC-CIRC, para evitar el doble conteo. El acceso abierto amplía la disponibilidad del conocimiento para el personal de las alcaldías, que no suele contar con suscripciones. El prestigio de una revista, en cambio, depende de variables que el proyecto no controla. Dos posiciones se contrastan sobre la prioridad: publicar donde haya mayor prestigio o donde haya mayor acceso. El proyecto prefiere el acceso abierto y acepta el costo de procesamiento ya presupuestado. Por consiguiente, la selección de revistas considera la política de acceso antes del cuartil (VACIO).</w:t>
      </w:r>
    </w:p>
    <w:p>
      <w:pPr>
        <w:pStyle w:val="BodyText"/>
      </w:pPr>
      <w:r>
        <w:rPr>
          <w:b/>
          <w:bCs/>
        </w:rPr>
        <w:t xml:space="preserve">Tipificación MMG 2021 de cada producto ASC.</w:t>
      </w:r>
      <w:r>
        <w:t xml:space="preserve"> </w:t>
      </w:r>
      <w:r>
        <w:t xml:space="preserve">El proyecto tipifica cada producto con uno de los códigos ASC-COM, ASC-PART y ASC-CIRC. El código ASC-COM cubre la comunicación social del conocimiento: cartillas, boletines y jornadas de información. El código ASC-PART cubre la participación ciudadana: talleres y jornadas de consulta. El código ASC-CIRC cubre la circulación especializada: ponencias y eventos académicos. La tipificación es PROPUESTO y NO_VERIFICADO, porque el texto del MMG de 2021 no se aportó. La Tabla 16.3 lista los productos con su código, su nivel y su costo.</w:t>
      </w:r>
    </w:p>
    <w:p>
      <w:pPr>
        <w:pStyle w:val="TablaRotulo"/>
      </w:pPr>
      <w:bookmarkStart w:id="9380" w:name="rot_Tabla_16_3"/>
      <w:r>
        <w:rPr>
          <w:b/>
          <w:bCs/>
        </w:rPr>
        <w:t xml:space="preserve">Tabla 16.3</w:t>
      </w:r>
      <w:bookmarkEnd w:id="9380"/>
    </w:p>
    <w:p>
      <w:pPr>
        <w:pStyle w:val="TablaTitulo"/>
      </w:pPr>
      <w:r>
        <w:rPr>
          <w:i/>
          <w:iCs/>
        </w:rPr>
        <w:t xml:space="preserve">Productos de divulgación tipificados según MMG 2021</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05"/>
        <w:gridCol w:w="916"/>
        <w:gridCol w:w="1178"/>
        <w:gridCol w:w="654"/>
        <w:gridCol w:w="1243"/>
        <w:gridCol w:w="1047"/>
        <w:gridCol w:w="1374"/>
      </w:tblGrid>
      <w:tr>
        <w:trPr>
          <w:cantSplit/>
          <w:tblHeader/>
        </w:trPr>
        <w:tc>
          <w:tcPr>
            <w:shd w:val="clear" w:color="auto" w:fill="00B050"/>
          </w:tcPr>
          <w:p>
            <w:pPr>
              <w:pStyle w:val="Tabla8"/>
              <w:jc w:val="center"/>
            </w:pPr>
            <w:r>
              <w:rPr>
                <w:b/>
                <w:color w:val="FFFFFF"/>
              </w:rPr>
              <w:t xml:space="preserve">Producto</w:t>
            </w:r>
          </w:p>
        </w:tc>
        <w:tc>
          <w:tcPr>
            <w:shd w:val="clear" w:color="auto" w:fill="00B050"/>
          </w:tcPr>
          <w:p>
            <w:pPr>
              <w:pStyle w:val="Tabla8"/>
              <w:jc w:val="center"/>
            </w:pPr>
            <w:r>
              <w:rPr>
                <w:b/>
                <w:color w:val="FFFFFF"/>
              </w:rPr>
              <w:t xml:space="preserve">Cantidad</w:t>
            </w:r>
          </w:p>
        </w:tc>
        <w:tc>
          <w:tcPr>
            <w:shd w:val="clear" w:color="auto" w:fill="00B050"/>
          </w:tcPr>
          <w:p>
            <w:pPr>
              <w:pStyle w:val="Tabla8"/>
              <w:jc w:val="center"/>
            </w:pPr>
            <w:r>
              <w:rPr>
                <w:b/>
                <w:color w:val="FFFFFF"/>
              </w:rPr>
              <w:t xml:space="preserve">Tipo MMG</w:t>
            </w:r>
          </w:p>
        </w:tc>
        <w:tc>
          <w:tcPr>
            <w:shd w:val="clear" w:color="auto" w:fill="00B050"/>
          </w:tcPr>
          <w:p>
            <w:pPr>
              <w:pStyle w:val="Tabla8"/>
              <w:jc w:val="center"/>
            </w:pPr>
            <w:r>
              <w:rPr>
                <w:b/>
                <w:color w:val="FFFFFF"/>
              </w:rPr>
              <w:t xml:space="preserve">Nivel ASC</w:t>
            </w:r>
          </w:p>
        </w:tc>
        <w:tc>
          <w:tcPr>
            <w:shd w:val="clear" w:color="auto" w:fill="00B050"/>
          </w:tcPr>
          <w:p>
            <w:pPr>
              <w:pStyle w:val="Tabla8"/>
              <w:jc w:val="center"/>
            </w:pPr>
            <w:r>
              <w:rPr>
                <w:b/>
                <w:color w:val="FFFFFF"/>
              </w:rPr>
              <w:t xml:space="preserve">Línea presupuestal</w:t>
            </w:r>
          </w:p>
        </w:tc>
        <w:tc>
          <w:tcPr>
            <w:shd w:val="clear" w:color="auto" w:fill="00B050"/>
          </w:tcPr>
          <w:p>
            <w:pPr>
              <w:pStyle w:val="Tabla8"/>
              <w:jc w:val="center"/>
            </w:pPr>
            <w:r>
              <w:rPr>
                <w:b/>
                <w:color w:val="FFFFFF"/>
              </w:rPr>
              <w:t xml:space="preserve">Costo directo (COP)</w:t>
            </w:r>
          </w:p>
        </w:tc>
        <w:tc>
          <w:tcPr>
            <w:shd w:val="clear" w:color="auto" w:fill="00B050"/>
          </w:tcPr>
          <w:p>
            <w:pPr>
              <w:pStyle w:val="Tabla8"/>
              <w:jc w:val="center"/>
            </w:pPr>
            <w:r>
              <w:rPr>
                <w:b/>
                <w:color w:val="FFFFFF"/>
              </w:rPr>
              <w:t xml:space="preserve">Naturaleza</w:t>
            </w:r>
          </w:p>
        </w:tc>
      </w:tr>
      <w:tr>
        <w:trPr>
          <w:cantSplit/>
        </w:trPr>
        <w:tc>
          <w:tcPr/>
          <w:p>
            <w:pPr>
              <w:pStyle w:val="Tabla8"/>
              <w:jc w:val="left"/>
            </w:pPr>
            <w:r>
              <w:t xml:space="preserve">Cartillas impresas</w:t>
            </w:r>
          </w:p>
        </w:tc>
        <w:tc>
          <w:tcPr/>
          <w:p>
            <w:pPr>
              <w:pStyle w:val="Tabla8"/>
              <w:jc w:val="left"/>
            </w:pPr>
            <w:r>
              <w:t xml:space="preserve">5.000</w:t>
            </w:r>
          </w:p>
        </w:tc>
        <w:tc>
          <w:tcPr/>
          <w:p>
            <w:pPr>
              <w:pStyle w:val="Tabla8"/>
              <w:jc w:val="left"/>
            </w:pPr>
            <w:r>
              <w:t xml:space="preserve">ASC-COM</w:t>
            </w:r>
          </w:p>
        </w:tc>
        <w:tc>
          <w:tcPr/>
          <w:p>
            <w:pPr>
              <w:pStyle w:val="Tabla8"/>
              <w:jc w:val="left"/>
            </w:pPr>
            <w:r>
              <w:t xml:space="preserve">1</w:t>
            </w:r>
          </w:p>
        </w:tc>
        <w:tc>
          <w:tcPr/>
          <w:p>
            <w:pPr>
              <w:pStyle w:val="Tabla8"/>
              <w:jc w:val="left"/>
            </w:pPr>
            <w:r>
              <w:t xml:space="preserve">M04</w:t>
            </w:r>
          </w:p>
        </w:tc>
        <w:tc>
          <w:tcPr/>
          <w:p>
            <w:pPr>
              <w:pStyle w:val="Tabla8"/>
              <w:jc w:val="left"/>
            </w:pPr>
            <w:r>
              <w:t xml:space="preserve">42.500.000</w:t>
            </w:r>
          </w:p>
        </w:tc>
        <w:tc>
          <w:tcPr/>
          <w:p>
            <w:pPr>
              <w:pStyle w:val="Tabla8"/>
              <w:jc w:val="left"/>
            </w:pPr>
            <w:r>
              <w:t xml:space="preserve">DECLARADO</w:t>
            </w:r>
          </w:p>
        </w:tc>
      </w:tr>
      <w:tr>
        <w:trPr>
          <w:cantSplit/>
        </w:trPr>
        <w:tc>
          <w:tcPr/>
          <w:p>
            <w:pPr>
              <w:pStyle w:val="Tabla8"/>
              <w:jc w:val="left"/>
            </w:pPr>
            <w:r>
              <w:t xml:space="preserve">Videos, pódcast e infografías</w:t>
            </w:r>
          </w:p>
        </w:tc>
        <w:tc>
          <w:tcPr/>
          <w:p>
            <w:pPr>
              <w:pStyle w:val="Tabla8"/>
              <w:jc w:val="left"/>
            </w:pPr>
            <w:r>
              <w:t xml:space="preserve">Sin cantidad fijada</w:t>
            </w:r>
          </w:p>
        </w:tc>
        <w:tc>
          <w:tcPr/>
          <w:p>
            <w:pPr>
              <w:pStyle w:val="Tabla8"/>
              <w:jc w:val="left"/>
            </w:pPr>
            <w:r>
              <w:t xml:space="preserve">ASC-COM</w:t>
            </w:r>
          </w:p>
        </w:tc>
        <w:tc>
          <w:tcPr/>
          <w:p>
            <w:pPr>
              <w:pStyle w:val="Tabla8"/>
              <w:jc w:val="left"/>
            </w:pPr>
            <w:r>
              <w:t xml:space="preserve">1</w:t>
            </w:r>
          </w:p>
        </w:tc>
        <w:tc>
          <w:tcPr/>
          <w:p>
            <w:pPr>
              <w:pStyle w:val="Tabla8"/>
              <w:jc w:val="left"/>
            </w:pPr>
            <w:r>
              <w:t xml:space="preserve">O06</w:t>
            </w:r>
          </w:p>
        </w:tc>
        <w:tc>
          <w:tcPr/>
          <w:p>
            <w:pPr>
              <w:pStyle w:val="Tabla8"/>
              <w:jc w:val="left"/>
            </w:pPr>
            <w:r>
              <w:t xml:space="preserve">60.000.000 (paquete)</w:t>
            </w:r>
          </w:p>
        </w:tc>
        <w:tc>
          <w:tcPr/>
          <w:p>
            <w:pPr>
              <w:pStyle w:val="Tabla8"/>
              <w:jc w:val="left"/>
            </w:pPr>
            <w:r>
              <w:t xml:space="preserve">VACIO</w:t>
            </w:r>
          </w:p>
        </w:tc>
      </w:tr>
      <w:tr>
        <w:trPr>
          <w:cantSplit/>
        </w:trPr>
        <w:tc>
          <w:tcPr/>
          <w:p>
            <w:pPr>
              <w:pStyle w:val="Tabla8"/>
              <w:jc w:val="left"/>
            </w:pPr>
            <w:r>
              <w:t xml:space="preserve">Jornadas de socialización inicial</w:t>
            </w:r>
          </w:p>
        </w:tc>
        <w:tc>
          <w:tcPr/>
          <w:p>
            <w:pPr>
              <w:pStyle w:val="Tabla8"/>
              <w:jc w:val="left"/>
            </w:pPr>
            <w:r>
              <w:t xml:space="preserve">3</w:t>
            </w:r>
          </w:p>
        </w:tc>
        <w:tc>
          <w:tcPr/>
          <w:p>
            <w:pPr>
              <w:pStyle w:val="Tabla8"/>
              <w:jc w:val="left"/>
            </w:pPr>
            <w:r>
              <w:t xml:space="preserve">ASC-COM</w:t>
            </w:r>
          </w:p>
        </w:tc>
        <w:tc>
          <w:tcPr/>
          <w:p>
            <w:pPr>
              <w:pStyle w:val="Tabla8"/>
              <w:jc w:val="left"/>
            </w:pPr>
            <w:r>
              <w:t xml:space="preserve">1</w:t>
            </w:r>
          </w:p>
        </w:tc>
        <w:tc>
          <w:tcPr/>
          <w:p>
            <w:pPr>
              <w:pStyle w:val="Tabla8"/>
              <w:jc w:val="left"/>
            </w:pPr>
            <w:r>
              <w:t xml:space="preserve">O02</w:t>
            </w:r>
          </w:p>
        </w:tc>
        <w:tc>
          <w:tcPr/>
          <w:p>
            <w:pPr>
              <w:pStyle w:val="Tabla8"/>
              <w:jc w:val="left"/>
            </w:pPr>
            <w:r>
              <w:t xml:space="preserve">24.000.000</w:t>
            </w:r>
          </w:p>
        </w:tc>
        <w:tc>
          <w:tcPr/>
          <w:p>
            <w:pPr>
              <w:pStyle w:val="Tabla8"/>
              <w:jc w:val="left"/>
            </w:pPr>
            <w:r>
              <w:t xml:space="preserve">PROPUESTO</w:t>
            </w:r>
          </w:p>
        </w:tc>
      </w:tr>
      <w:tr>
        <w:trPr>
          <w:cantSplit/>
        </w:trPr>
        <w:tc>
          <w:tcPr/>
          <w:p>
            <w:pPr>
              <w:pStyle w:val="Tabla8"/>
              <w:jc w:val="left"/>
            </w:pPr>
            <w:r>
              <w:t xml:space="preserve">Jornadas de consulta y de devolución</w:t>
            </w:r>
          </w:p>
        </w:tc>
        <w:tc>
          <w:tcPr/>
          <w:p>
            <w:pPr>
              <w:pStyle w:val="Tabla8"/>
              <w:jc w:val="left"/>
            </w:pPr>
            <w:r>
              <w:t xml:space="preserve">6</w:t>
            </w:r>
          </w:p>
        </w:tc>
        <w:tc>
          <w:tcPr/>
          <w:p>
            <w:pPr>
              <w:pStyle w:val="Tabla8"/>
              <w:jc w:val="left"/>
            </w:pPr>
            <w:r>
              <w:t xml:space="preserve">ASC-COM y ASC-PART</w:t>
            </w:r>
          </w:p>
        </w:tc>
        <w:tc>
          <w:tcPr/>
          <w:p>
            <w:pPr>
              <w:pStyle w:val="Tabla8"/>
              <w:jc w:val="left"/>
            </w:pPr>
            <w:r>
              <w:t xml:space="preserve">2</w:t>
            </w:r>
          </w:p>
        </w:tc>
        <w:tc>
          <w:tcPr/>
          <w:p>
            <w:pPr>
              <w:pStyle w:val="Tabla8"/>
              <w:jc w:val="left"/>
            </w:pPr>
            <w:r>
              <w:t xml:space="preserve">O02</w:t>
            </w:r>
          </w:p>
        </w:tc>
        <w:tc>
          <w:tcPr/>
          <w:p>
            <w:pPr>
              <w:pStyle w:val="Tabla8"/>
              <w:jc w:val="left"/>
            </w:pPr>
            <w:r>
              <w:t xml:space="preserve">48.000.000</w:t>
            </w:r>
          </w:p>
        </w:tc>
        <w:tc>
          <w:tcPr/>
          <w:p>
            <w:pPr>
              <w:pStyle w:val="Tabla8"/>
              <w:jc w:val="left"/>
            </w:pPr>
            <w:r>
              <w:t xml:space="preserve">PROPUESTO</w:t>
            </w:r>
          </w:p>
        </w:tc>
      </w:tr>
      <w:tr>
        <w:trPr>
          <w:cantSplit/>
        </w:trPr>
        <w:tc>
          <w:tcPr/>
          <w:p>
            <w:pPr>
              <w:pStyle w:val="Tabla8"/>
              <w:jc w:val="left"/>
            </w:pPr>
            <w:r>
              <w:t xml:space="preserve">Talleres de co-diseño</w:t>
            </w:r>
          </w:p>
        </w:tc>
        <w:tc>
          <w:tcPr/>
          <w:p>
            <w:pPr>
              <w:pStyle w:val="Tabla8"/>
              <w:jc w:val="left"/>
            </w:pPr>
            <w:r>
              <w:t xml:space="preserve">20</w:t>
            </w:r>
          </w:p>
        </w:tc>
        <w:tc>
          <w:tcPr/>
          <w:p>
            <w:pPr>
              <w:pStyle w:val="Tabla8"/>
              <w:jc w:val="left"/>
            </w:pPr>
            <w:r>
              <w:t xml:space="preserve">ASC-PART</w:t>
            </w:r>
          </w:p>
        </w:tc>
        <w:tc>
          <w:tcPr/>
          <w:p>
            <w:pPr>
              <w:pStyle w:val="Tabla8"/>
              <w:jc w:val="left"/>
            </w:pPr>
            <w:r>
              <w:t xml:space="preserve">3</w:t>
            </w:r>
          </w:p>
        </w:tc>
        <w:tc>
          <w:tcPr/>
          <w:p>
            <w:pPr>
              <w:pStyle w:val="Tabla8"/>
              <w:jc w:val="left"/>
            </w:pPr>
            <w:r>
              <w:t xml:space="preserve">M05 y V05</w:t>
            </w:r>
          </w:p>
        </w:tc>
        <w:tc>
          <w:tcPr/>
          <w:p>
            <w:pPr>
              <w:pStyle w:val="Tabla8"/>
              <w:jc w:val="left"/>
            </w:pPr>
            <w:r>
              <w:t xml:space="preserve">60.000.000</w:t>
            </w:r>
          </w:p>
        </w:tc>
        <w:tc>
          <w:tcPr/>
          <w:p>
            <w:pPr>
              <w:pStyle w:val="Tabla8"/>
              <w:jc w:val="left"/>
            </w:pPr>
            <w:r>
              <w:t xml:space="preserve">DECLARADO</w:t>
            </w:r>
          </w:p>
        </w:tc>
      </w:tr>
      <w:tr>
        <w:trPr>
          <w:cantSplit/>
        </w:trPr>
        <w:tc>
          <w:tcPr/>
          <w:p>
            <w:pPr>
              <w:pStyle w:val="Tabla8"/>
              <w:jc w:val="left"/>
            </w:pPr>
            <w:r>
              <w:t xml:space="preserve">Participaciones internacionales de divulgación</w:t>
            </w:r>
          </w:p>
        </w:tc>
        <w:tc>
          <w:tcPr/>
          <w:p>
            <w:pPr>
              <w:pStyle w:val="Tabla8"/>
              <w:jc w:val="left"/>
            </w:pPr>
            <w:r>
              <w:t xml:space="preserve">Hasta 2</w:t>
            </w:r>
          </w:p>
        </w:tc>
        <w:tc>
          <w:tcPr/>
          <w:p>
            <w:pPr>
              <w:pStyle w:val="Tabla8"/>
              <w:jc w:val="left"/>
            </w:pPr>
            <w:r>
              <w:t xml:space="preserve">ASC-CIRC</w:t>
            </w:r>
          </w:p>
        </w:tc>
        <w:tc>
          <w:tcPr/>
          <w:p>
            <w:pPr>
              <w:pStyle w:val="Tabla8"/>
              <w:jc w:val="left"/>
            </w:pPr>
            <w:r>
              <w:t xml:space="preserve">No aplica</w:t>
            </w:r>
          </w:p>
        </w:tc>
        <w:tc>
          <w:tcPr/>
          <w:p>
            <w:pPr>
              <w:pStyle w:val="Tabla8"/>
              <w:jc w:val="left"/>
            </w:pPr>
            <w:r>
              <w:t xml:space="preserve">V04</w:t>
            </w:r>
          </w:p>
        </w:tc>
        <w:tc>
          <w:tcPr/>
          <w:p>
            <w:pPr>
              <w:pStyle w:val="Tabla8"/>
              <w:jc w:val="left"/>
            </w:pPr>
            <w:r>
              <w:t xml:space="preserve">24.000.000</w:t>
            </w:r>
          </w:p>
        </w:tc>
        <w:tc>
          <w:tcPr/>
          <w:p>
            <w:pPr>
              <w:pStyle w:val="Tabla8"/>
              <w:jc w:val="left"/>
            </w:pPr>
            <w:r>
              <w:t xml:space="preserve">PROPUESTO</w:t>
            </w:r>
          </w:p>
        </w:tc>
      </w:tr>
      <w:tr>
        <w:trPr>
          <w:cantSplit/>
        </w:trPr>
        <w:tc>
          <w:tcPr/>
          <w:p>
            <w:pPr>
              <w:pStyle w:val="Tabla8"/>
              <w:jc w:val="left"/>
            </w:pPr>
            <w:r>
              <w:t xml:space="preserve">Artículos en acceso abierto</w:t>
            </w:r>
          </w:p>
        </w:tc>
        <w:tc>
          <w:tcPr/>
          <w:p>
            <w:pPr>
              <w:pStyle w:val="Tabla8"/>
              <w:jc w:val="left"/>
            </w:pPr>
            <w:r>
              <w:t xml:space="preserve">2</w:t>
            </w:r>
          </w:p>
        </w:tc>
        <w:tc>
          <w:tcPr/>
          <w:p>
            <w:pPr>
              <w:pStyle w:val="Tabla8"/>
              <w:jc w:val="left"/>
            </w:pPr>
            <w:r>
              <w:t xml:space="preserve">ART-A1 o ART-A2, no ASC-CIRC</w:t>
            </w:r>
          </w:p>
        </w:tc>
        <w:tc>
          <w:tcPr/>
          <w:p>
            <w:pPr>
              <w:pStyle w:val="Tabla8"/>
              <w:jc w:val="left"/>
            </w:pPr>
            <w:r>
              <w:t xml:space="preserve">No aplica</w:t>
            </w:r>
          </w:p>
        </w:tc>
        <w:tc>
          <w:tcPr/>
          <w:p>
            <w:pPr>
              <w:pStyle w:val="Tabla8"/>
              <w:jc w:val="left"/>
            </w:pPr>
            <w:r>
              <w:t xml:space="preserve">O01</w:t>
            </w:r>
          </w:p>
        </w:tc>
        <w:tc>
          <w:tcPr/>
          <w:p>
            <w:pPr>
              <w:pStyle w:val="Tabla8"/>
              <w:jc w:val="left"/>
            </w:pPr>
            <w:r>
              <w:t xml:space="preserve">25.000.000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Los costos de las jornadas son CALCULADOS a 8.000.000 COP por evento (línea O02). La tipología MMG y la separación entre jornadas son PROPUESTO. El paquete O06 incluye eventos de socialización.</w:t>
      </w:r>
    </w:p>
    <w:p>
      <w:pPr>
        <w:pStyle w:val="BodyText"/>
      </w:pPr>
      <w:r>
        <w:t xml:space="preserve">La tabla separa los costos declarados de los calculados. Las nueve jornadas suman 72.000.000 COP y los 20 talleres suman 60.000.000 COP de costo directo no personal. Ningún producto cuenta dos veces. La Figura 16.2 programa estas actividades en los 24 meses.</w:t>
      </w:r>
    </w:p>
    <w:p>
      <w:pPr>
        <w:pStyle w:val="FiguraRotulo"/>
      </w:pPr>
      <w:bookmarkStart w:id="9547" w:name="rot_Figura_16_2"/>
      <w:r>
        <w:rPr>
          <w:b/>
          <w:bCs/>
        </w:rPr>
        <w:t xml:space="preserve">Figura 16.2</w:t>
      </w:r>
      <w:bookmarkEnd w:id="9547"/>
    </w:p>
    <w:p>
      <w:pPr>
        <w:pStyle w:val="FiguraTitulo"/>
      </w:pPr>
      <w:r>
        <w:rPr>
          <w:i/>
          <w:iCs/>
        </w:rPr>
        <w:t xml:space="preserve">Cronograma de divulgación y eventos de apropiación</w:t>
      </w:r>
    </w:p>
    <w:p>
      <w:pPr>
        <w:pStyle w:val="BodyText"/>
      </w:pPr>
      <w:r>
        <w:drawing>
          <wp:inline>
            <wp:extent cx="5579999" cy="3754953"/>
            <wp:effectExtent b="0" l="0" r="0" t="0"/>
            <wp:docPr descr="" title="" id="637" name="Picture"/>
            <a:graphic>
              <a:graphicData uri="http://schemas.openxmlformats.org/drawingml/2006/picture">
                <pic:pic>
                  <pic:nvPicPr>
                    <pic:cNvPr descr="/tmp/claude-0/-home-user-docs/ddf38714-2a7e-502b-92b4-1008e2832422/scratchpad/proy/figs/out/c16_f02.png" id="638" name="Picture"/>
                    <pic:cNvPicPr>
                      <a:picLocks noChangeArrowheads="1" noChangeAspect="1"/>
                    </pic:cNvPicPr>
                  </pic:nvPicPr>
                  <pic:blipFill>
                    <a:blip r:embed="rId636"/>
                    <a:stretch>
                      <a:fillRect/>
                    </a:stretch>
                  </pic:blipFill>
                  <pic:spPr bwMode="auto">
                    <a:xfrm>
                      <a:off x="0" y="0"/>
                      <a:ext cx="5579999" cy="37549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PERS-P04 (29 actividades), de los hitos H0 a H8 y de las compuertas C1 y C2 (ficha maestra del proyecto). La distribución por tramos y los acumulados (10 al mes 12, 18 al mes 17 y 29 al mes 24) son PROPUESTO y CALCULADOS. Figura generada con matplotlib; sin semilla ni corpus.</w:t>
      </w:r>
    </w:p>
    <w:p>
      <w:pPr>
        <w:pStyle w:val="BodyText"/>
      </w:pPr>
      <w:r>
        <w:t xml:space="preserve">El cronograma programa 10 actividades hasta el mes 12. Programa 8 más entre los meses 13 y 17 y 11 más entre los meses 18 y 24. El primer corte coincide con la meta intermedia de 10 actividades de PERS-P04. Las actividades de nivel 1 terminan en el mes 8. Las de nivel 2 de consulta terminan en el mes 12. Esos plazos cumplen los compromisos de la escalera.</w:t>
      </w:r>
    </w:p>
    <w:bookmarkEnd w:id="639"/>
    <w:bookmarkStart w:id="640" w:name="_Toc00900250"/>
    <w:p>
      <w:pPr>
        <w:pStyle w:val="Heading2"/>
      </w:pPr>
      <w:r>
        <w:t xml:space="preserve">16.4 Medición de Apropiación Social</w:t>
      </w:r>
    </w:p>
    <w:p>
      <w:pPr>
        <w:pStyle w:val="FirstParagraph"/>
      </w:pPr>
      <w:r>
        <w:rPr>
          <w:b/>
          <w:bCs/>
        </w:rPr>
        <w:t xml:space="preserve">Indicadores de apropiación por nivel de la escalera.</w:t>
      </w:r>
      <w:r>
        <w:t xml:space="preserve"> </w:t>
      </w:r>
      <w:r>
        <w:t xml:space="preserve">El proyecto mide cada nivel con indicadores propios. El sistema PERS vigente reúne 15 indicadores y ningún código se agrega aquí. Los indicadores de nivel se registran como indicadores complementarios de efecto, vinculados a PERS-E01 y PERS-E03, y alimentan PERS-P04. El capítulo 12 decide su incorporación formal. La taxonomía de resultados exige separar el producto del efecto. Contar talleres mide esfuerzo. Medir el uso del tablero y la capacidad instalada mide efecto. Dos posiciones se contrastan sobre qué contar. Una cuenta actividades porque son verificables. La otra mide cambios en las prácticas porque son el objetivo. El proyecto mide ambas, pero las separa: las 29 actividades son productos y los cambios son efectos. Pawson y Tilley (1997) añaden que una evaluación debe explicar por qué, para quién y en qué contexto funciona una intervención. Por consiguiente, los indicadores de nivel 3 se desagregan por departamento, porque los tres contextos difieren.</w:t>
      </w:r>
    </w:p>
    <w:p>
      <w:pPr>
        <w:pStyle w:val="BodyText"/>
      </w:pPr>
      <w:r>
        <w:rPr>
          <w:b/>
          <w:bCs/>
        </w:rPr>
        <w:t xml:space="preserve">Instrumentos de medición.</w:t>
      </w:r>
      <w:r>
        <w:t xml:space="preserve"> </w:t>
      </w:r>
      <w:r>
        <w:t xml:space="preserve">El proyecto usa tres instrumentos. El primero es la encuesta de percepción con escala Likert, que mide satisfacción con el proceso y confianza en la medición. El segundo es el análisis de participación, con registros desagregados por género y por edad y, de forma voluntaria, por etnia. El tercero es la evaluación de capacidades instaladas, con prueba práctica en mantenimiento, lectura y operación (PERS-E03). Venkatesh et al. (2003) integran cuatro determinantes del uso de una tecnología: la expectativa de desempeño, la expectativa de esfuerzo, la influencia social y las condiciones facilitadoras. Davis (1989) destaca la utilidad y la facilidad de uso percibidas. El indicador PERS-E01 cuenta decisiones documentadas con el tablero, que es una conducta. La encuesta basada en esos determinantes explica por qué los comités usan o no el tablero. Dos posiciones se contrastan sobre el instrumento: medir la intención declarada o medir la conducta registrada. El proyecto usa la conducta como indicador y la intención como explicación.</w:t>
      </w:r>
    </w:p>
    <w:p>
      <w:pPr>
        <w:pStyle w:val="BodyText"/>
      </w:pPr>
      <w:r>
        <w:rPr>
          <w:b/>
          <w:bCs/>
        </w:rPr>
        <w:t xml:space="preserve">Línea base de apropiación.</w:t>
      </w:r>
      <w:r>
        <w:t xml:space="preserve"> </w:t>
      </w:r>
      <w:r>
        <w:t xml:space="preserve">No existe una línea base de apropiación para los municipios focalizados (VACIO). El proyecto la mide entre los meses 3 y 4, antes de la primera jornada (PROPUESTO). La línea base cubre cuatro variables. Son el conocimiento previo sobre PM2,5 y PM10 y la percepción del riesgo. Son también las prácticas ante episodios de polvo y el uso previo de datos de calidad del aire por los comités. Rendón-Marín et al. (2024) estudiaron conocimientos, actitudes y prácticas frente a la contaminación del aire en estudiantes de medicina de Medellín. En su estudio, el conocimiento no se asoció de forma directa con la práctica (Rendón-Marín et al., 2024, p. 8). Por eso la línea base mide ambos. Gertler et al. (2016) explican que una línea base anterior a la intervención permite comparar cambios en el tiempo. El despliegue por tramos ofrece una referencia descriptiva. Las comunidades de los tramos 2 y 3 aún no reciben la intervención cuando se mide el tramo 1. Esa comparación no sustenta inferencia causal (INFERIDO). Dos posiciones se contrastan: medir solo antes y después, o añadir un grupo de comparación. El proyecto adopta el antes y después con comparación descriptiva y declara su límite.</w:t>
      </w:r>
    </w:p>
    <w:p>
      <w:pPr>
        <w:pStyle w:val="BodyText"/>
      </w:pPr>
      <w:r>
        <w:rPr>
          <w:b/>
          <w:bCs/>
        </w:rPr>
        <w:t xml:space="preserve">Frecuencia de medición y responsables.</w:t>
      </w:r>
      <w:r>
        <w:t xml:space="preserve"> </w:t>
      </w:r>
      <w:r>
        <w:t xml:space="preserve">La medición es semestral, en los meses 6, 12, 18 y 24 (PROPUESTO). La coordinación de apropiación social (línea P05) y los dos profesionales de apropiación (línea P11) aplican los instrumentos. El profesional en calidad del aire y salud ambiental (línea P13) analiza el uso del tablero. La evaluación externa independiente verifica los resultados en los meses 12 y 24 (línea S07, dos evaluaciones, 120.000.000 COP). El índice de sostenibilidad de la apropiación se mide seis meses después del cierre. Los indicadores PERS-S01 y PERS-S02 se miden a los 12 meses. La medición posproyecto carece de línea presupuestal propia (VACIO).</w:t>
      </w:r>
      <w:r>
        <w:t xml:space="preserve"> </w:t>
      </w:r>
      <w:r>
        <w:t xml:space="preserve">Dos posiciones se contrastan sobre la frecuencia. Una mide solo al cierre, que es más barato. La otra mide de forma continua, como propone la evaluación del desarrollo en contextos complejos (Patton, 2011). El proyecto mide cada semestre y usa los resultados para corregir las actividades siguientes. Por consiguiente, la medición del mes 12 puede modificar los talleres del tramo 2.</w:t>
      </w:r>
    </w:p>
    <w:p>
      <w:pPr>
        <w:pStyle w:val="BodyText"/>
      </w:pPr>
      <w:r>
        <w:t xml:space="preserve">La Tabla 16.4 reúne los indicadores de cada nivel. Incluye instrumento, meta y responsable.</w:t>
      </w:r>
    </w:p>
    <w:p>
      <w:pPr>
        <w:pStyle w:val="TablaRotulo"/>
      </w:pPr>
      <w:bookmarkStart w:id="9381" w:name="rot_Tabla_16_4"/>
      <w:r>
        <w:rPr>
          <w:b/>
          <w:bCs/>
        </w:rPr>
        <w:t xml:space="preserve">Tabla 16.4</w:t>
      </w:r>
      <w:bookmarkEnd w:id="9381"/>
    </w:p>
    <w:p>
      <w:pPr>
        <w:pStyle w:val="TablaTitulo"/>
      </w:pPr>
      <w:r>
        <w:rPr>
          <w:i/>
          <w:iCs/>
        </w:rPr>
        <w:t xml:space="preserve">Indicadores de medición de apropiación social por nivel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94"/>
        <w:gridCol w:w="1452"/>
        <w:gridCol w:w="1254"/>
        <w:gridCol w:w="1254"/>
        <w:gridCol w:w="990"/>
        <w:gridCol w:w="1188"/>
        <w:gridCol w:w="1188"/>
      </w:tblGrid>
      <w:tr>
        <w:trPr>
          <w:cantSplit/>
          <w:tblHeader/>
        </w:trPr>
        <w:tc>
          <w:tcPr>
            <w:shd w:val="clear" w:color="auto" w:fill="00B050"/>
          </w:tcPr>
          <w:p>
            <w:pPr>
              <w:pStyle w:val="Tabla8"/>
              <w:jc w:val="center"/>
            </w:pPr>
            <w:r>
              <w:rPr>
                <w:b/>
                <w:color w:val="FFFFFF"/>
              </w:rPr>
              <w:t xml:space="preserve">Nivel</w:t>
            </w:r>
          </w:p>
        </w:tc>
        <w:tc>
          <w:tcPr>
            <w:shd w:val="clear" w:color="auto" w:fill="00B050"/>
          </w:tcPr>
          <w:p>
            <w:pPr>
              <w:pStyle w:val="Tabla8"/>
              <w:jc w:val="center"/>
            </w:pPr>
            <w:r>
              <w:rPr>
                <w:b/>
                <w:color w:val="FFFFFF"/>
              </w:rPr>
              <w:t xml:space="preserve">Indicador</w:t>
            </w:r>
          </w:p>
        </w:tc>
        <w:tc>
          <w:tcPr>
            <w:shd w:val="clear" w:color="auto" w:fill="00B050"/>
          </w:tcPr>
          <w:p>
            <w:pPr>
              <w:pStyle w:val="Tabla8"/>
              <w:jc w:val="center"/>
            </w:pPr>
            <w:r>
              <w:rPr>
                <w:b/>
                <w:color w:val="FFFFFF"/>
              </w:rPr>
              <w:t xml:space="preserve">Instrumento</w:t>
            </w:r>
          </w:p>
        </w:tc>
        <w:tc>
          <w:tcPr>
            <w:shd w:val="clear" w:color="auto" w:fill="00B050"/>
          </w:tcPr>
          <w:p>
            <w:pPr>
              <w:pStyle w:val="Tabla8"/>
              <w:jc w:val="center"/>
            </w:pPr>
            <w:r>
              <w:rPr>
                <w:b/>
                <w:color w:val="FFFFFF"/>
              </w:rPr>
              <w:t xml:space="preserve">Meta</w:t>
            </w:r>
          </w:p>
        </w:tc>
        <w:tc>
          <w:tcPr>
            <w:shd w:val="clear" w:color="auto" w:fill="00B050"/>
          </w:tcPr>
          <w:p>
            <w:pPr>
              <w:pStyle w:val="Tabla8"/>
              <w:jc w:val="center"/>
            </w:pPr>
            <w:r>
              <w:rPr>
                <w:b/>
                <w:color w:val="FFFFFF"/>
              </w:rPr>
              <w:t xml:space="preserve">Frecuencia</w:t>
            </w:r>
          </w:p>
        </w:tc>
        <w:tc>
          <w:tcPr>
            <w:shd w:val="clear" w:color="auto" w:fill="00B050"/>
          </w:tcPr>
          <w:p>
            <w:pPr>
              <w:pStyle w:val="Tabla8"/>
              <w:jc w:val="center"/>
            </w:pPr>
            <w:r>
              <w:rPr>
                <w:b/>
                <w:color w:val="FFFFFF"/>
              </w:rPr>
              <w:t xml:space="preserve">Responsable</w:t>
            </w:r>
          </w:p>
        </w:tc>
        <w:tc>
          <w:tcPr>
            <w:shd w:val="clear" w:color="auto" w:fill="00B050"/>
          </w:tcPr>
          <w:p>
            <w:pPr>
              <w:pStyle w:val="Tabla8"/>
              <w:jc w:val="center"/>
            </w:pPr>
            <w:r>
              <w:rPr>
                <w:b/>
                <w:color w:val="FFFFFF"/>
              </w:rPr>
              <w:t xml:space="preserve">Naturaleza</w:t>
            </w:r>
          </w:p>
        </w:tc>
      </w:tr>
      <w:tr>
        <w:trPr>
          <w:cantSplit/>
        </w:trPr>
        <w:tc>
          <w:tcPr/>
          <w:p>
            <w:pPr>
              <w:pStyle w:val="Tabla8"/>
              <w:jc w:val="left"/>
            </w:pPr>
            <w:r>
              <w:t xml:space="preserve">1</w:t>
            </w:r>
          </w:p>
        </w:tc>
        <w:tc>
          <w:tcPr/>
          <w:p>
            <w:pPr>
              <w:pStyle w:val="Tabla8"/>
              <w:jc w:val="left"/>
            </w:pPr>
            <w:r>
              <w:t xml:space="preserve">Piezas comunicativas distribuidas</w:t>
            </w:r>
          </w:p>
        </w:tc>
        <w:tc>
          <w:tcPr/>
          <w:p>
            <w:pPr>
              <w:pStyle w:val="Tabla8"/>
              <w:jc w:val="left"/>
            </w:pPr>
            <w:r>
              <w:t xml:space="preserve">Registro de distribución</w:t>
            </w:r>
          </w:p>
        </w:tc>
        <w:tc>
          <w:tcPr/>
          <w:p>
            <w:pPr>
              <w:pStyle w:val="Tabla8"/>
              <w:jc w:val="left"/>
            </w:pPr>
            <w:r>
              <w:t xml:space="preserve">5.000 cartillas; piezas digitales sin cantidad fijada</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DECLARADO</w:t>
            </w:r>
          </w:p>
        </w:tc>
      </w:tr>
      <w:tr>
        <w:trPr>
          <w:cantSplit/>
        </w:trPr>
        <w:tc>
          <w:tcPr/>
          <w:p>
            <w:pPr>
              <w:pStyle w:val="Tabla8"/>
              <w:jc w:val="left"/>
            </w:pPr>
            <w:r>
              <w:t xml:space="preserve">1</w:t>
            </w:r>
          </w:p>
        </w:tc>
        <w:tc>
          <w:tcPr/>
          <w:p>
            <w:pPr>
              <w:pStyle w:val="Tabla8"/>
              <w:jc w:val="left"/>
            </w:pPr>
            <w:r>
              <w:t xml:space="preserve">Cumplimiento del compromiso de nivel</w:t>
            </w:r>
          </w:p>
        </w:tc>
        <w:tc>
          <w:tcPr/>
          <w:p>
            <w:pPr>
              <w:pStyle w:val="Tabla8"/>
              <w:jc w:val="left"/>
            </w:pPr>
            <w:r>
              <w:t xml:space="preserve">Plan de comunicaciones</w:t>
            </w:r>
          </w:p>
        </w:tc>
        <w:tc>
          <w:tcPr/>
          <w:p>
            <w:pPr>
              <w:pStyle w:val="Tabla8"/>
              <w:jc w:val="left"/>
            </w:pPr>
            <w:r>
              <w:t xml:space="preserve">100 % entre los meses 1 y 8</w:t>
            </w:r>
          </w:p>
        </w:tc>
        <w:tc>
          <w:tcPr/>
          <w:p>
            <w:pPr>
              <w:pStyle w:val="Tabla8"/>
              <w:jc w:val="left"/>
            </w:pPr>
            <w:r>
              <w:t xml:space="preserve">Mensual</w:t>
            </w:r>
          </w:p>
        </w:tc>
        <w:tc>
          <w:tcPr/>
          <w:p>
            <w:pPr>
              <w:pStyle w:val="Tabla8"/>
              <w:jc w:val="left"/>
            </w:pPr>
            <w:r>
              <w:t xml:space="preserve">Coordinación de apropiación social</w:t>
            </w:r>
          </w:p>
        </w:tc>
        <w:tc>
          <w:tcPr/>
          <w:p>
            <w:pPr>
              <w:pStyle w:val="Tabla8"/>
              <w:jc w:val="left"/>
            </w:pPr>
            <w:r>
              <w:t xml:space="preserve">PROPUESTO</w:t>
            </w:r>
          </w:p>
        </w:tc>
      </w:tr>
      <w:tr>
        <w:trPr>
          <w:cantSplit/>
        </w:trPr>
        <w:tc>
          <w:tcPr/>
          <w:p>
            <w:pPr>
              <w:pStyle w:val="Tabla8"/>
              <w:jc w:val="left"/>
            </w:pPr>
            <w:r>
              <w:t xml:space="preserve">2</w:t>
            </w:r>
          </w:p>
        </w:tc>
        <w:tc>
          <w:tcPr/>
          <w:p>
            <w:pPr>
              <w:pStyle w:val="Tabla8"/>
              <w:jc w:val="left"/>
            </w:pPr>
            <w:r>
              <w:t xml:space="preserve">Espacios de consulta con retroalimentación incorporada</w:t>
            </w:r>
          </w:p>
        </w:tc>
        <w:tc>
          <w:tcPr/>
          <w:p>
            <w:pPr>
              <w:pStyle w:val="Tabla8"/>
              <w:jc w:val="left"/>
            </w:pPr>
            <w:r>
              <w:t xml:space="preserve">Actas, buzón y encuestas</w:t>
            </w:r>
          </w:p>
        </w:tc>
        <w:tc>
          <w:tcPr/>
          <w:p>
            <w:pPr>
              <w:pStyle w:val="Tabla8"/>
              <w:jc w:val="left"/>
            </w:pPr>
            <w:r>
              <w:t xml:space="preserve">100 % entre los meses 1 y 12; porcentaje incorporado según línea base</w:t>
            </w:r>
          </w:p>
        </w:tc>
        <w:tc>
          <w:tcPr/>
          <w:p>
            <w:pPr>
              <w:pStyle w:val="Tabla8"/>
              <w:jc w:val="left"/>
            </w:pPr>
            <w:r>
              <w:t xml:space="preserve">Semestral</w:t>
            </w:r>
          </w:p>
        </w:tc>
        <w:tc>
          <w:tcPr/>
          <w:p>
            <w:pPr>
              <w:pStyle w:val="Tabla8"/>
              <w:jc w:val="left"/>
            </w:pPr>
            <w:r>
              <w:t xml:space="preserve">Profesionales de apropiación social</w:t>
            </w:r>
          </w:p>
        </w:tc>
        <w:tc>
          <w:tcPr/>
          <w:p>
            <w:pPr>
              <w:pStyle w:val="Tabla8"/>
              <w:jc w:val="left"/>
            </w:pPr>
            <w:r>
              <w:t xml:space="preserve">PROPUESTO</w:t>
            </w:r>
          </w:p>
        </w:tc>
      </w:tr>
      <w:tr>
        <w:trPr>
          <w:cantSplit/>
        </w:trPr>
        <w:tc>
          <w:tcPr/>
          <w:p>
            <w:pPr>
              <w:pStyle w:val="Tabla8"/>
              <w:jc w:val="left"/>
            </w:pPr>
            <w:r>
              <w:t xml:space="preserve">3</w:t>
            </w:r>
          </w:p>
        </w:tc>
        <w:tc>
          <w:tcPr/>
          <w:p>
            <w:pPr>
              <w:pStyle w:val="Tabla8"/>
              <w:jc w:val="left"/>
            </w:pPr>
            <w:r>
              <w:t xml:space="preserve">Actividades de co-producción con acta firmada</w:t>
            </w:r>
          </w:p>
        </w:tc>
        <w:tc>
          <w:tcPr/>
          <w:p>
            <w:pPr>
              <w:pStyle w:val="Tabla8"/>
              <w:jc w:val="left"/>
            </w:pPr>
            <w:r>
              <w:t xml:space="preserve">Actas firmadas por representantes comunitarios</w:t>
            </w:r>
          </w:p>
        </w:tc>
        <w:tc>
          <w:tcPr/>
          <w:p>
            <w:pPr>
              <w:pStyle w:val="Tabla8"/>
              <w:jc w:val="left"/>
            </w:pPr>
            <w:r>
              <w:t xml:space="preserve">Mínimo 3 (obligatorio); 20 programadas</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PROPUESTO</w:t>
            </w:r>
          </w:p>
        </w:tc>
      </w:tr>
      <w:tr>
        <w:trPr>
          <w:cantSplit/>
        </w:trPr>
        <w:tc>
          <w:tcPr/>
          <w:p>
            <w:pPr>
              <w:pStyle w:val="Tabla8"/>
              <w:jc w:val="left"/>
            </w:pPr>
            <w:r>
              <w:t xml:space="preserve">3</w:t>
            </w:r>
          </w:p>
        </w:tc>
        <w:tc>
          <w:tcPr/>
          <w:p>
            <w:pPr>
              <w:pStyle w:val="Tabla8"/>
              <w:jc w:val="left"/>
            </w:pPr>
            <w:r>
              <w:t xml:space="preserve">Decisiones del proyecto con participación documentada</w:t>
            </w:r>
          </w:p>
        </w:tc>
        <w:tc>
          <w:tcPr/>
          <w:p>
            <w:pPr>
              <w:pStyle w:val="Tabla8"/>
              <w:jc w:val="left"/>
            </w:pPr>
            <w:r>
              <w:t xml:space="preserve">Registro de decisiones</w:t>
            </w:r>
          </w:p>
        </w:tc>
        <w:tc>
          <w:tcPr/>
          <w:p>
            <w:pPr>
              <w:pStyle w:val="Tabla8"/>
              <w:jc w:val="left"/>
            </w:pPr>
            <w:r>
              <w:t xml:space="preserve">Meta según línea base</w:t>
            </w:r>
          </w:p>
        </w:tc>
        <w:tc>
          <w:tcPr/>
          <w:p>
            <w:pPr>
              <w:pStyle w:val="Tabla8"/>
              <w:jc w:val="left"/>
            </w:pPr>
            <w:r>
              <w:t xml:space="preserve">Semestral</w:t>
            </w:r>
          </w:p>
        </w:tc>
        <w:tc>
          <w:tcPr/>
          <w:p>
            <w:pPr>
              <w:pStyle w:val="Tabla8"/>
              <w:jc w:val="left"/>
            </w:pPr>
            <w:r>
              <w:t xml:space="preserve">Gerencia de proyecto</w:t>
            </w:r>
          </w:p>
        </w:tc>
        <w:tc>
          <w:tcPr/>
          <w:p>
            <w:pPr>
              <w:pStyle w:val="Tabla8"/>
              <w:jc w:val="left"/>
            </w:pPr>
            <w:r>
              <w:t xml:space="preserve">VACIO</w:t>
            </w:r>
          </w:p>
        </w:tc>
      </w:tr>
      <w:tr>
        <w:trPr>
          <w:cantSplit/>
        </w:trPr>
        <w:tc>
          <w:tcPr/>
          <w:p>
            <w:pPr>
              <w:pStyle w:val="Tabla8"/>
              <w:jc w:val="left"/>
            </w:pPr>
            <w:r>
              <w:t xml:space="preserve">3</w:t>
            </w:r>
          </w:p>
        </w:tc>
        <w:tc>
          <w:tcPr/>
          <w:p>
            <w:pPr>
              <w:pStyle w:val="Tabla8"/>
              <w:jc w:val="left"/>
            </w:pPr>
            <w:r>
              <w:t xml:space="preserve">Satisfacción con el proceso colaborativo</w:t>
            </w:r>
          </w:p>
        </w:tc>
        <w:tc>
          <w:tcPr/>
          <w:p>
            <w:pPr>
              <w:pStyle w:val="Tabla8"/>
              <w:jc w:val="left"/>
            </w:pPr>
            <w:r>
              <w:t xml:space="preserve">Encuesta con escala Likert</w:t>
            </w:r>
          </w:p>
        </w:tc>
        <w:tc>
          <w:tcPr/>
          <w:p>
            <w:pPr>
              <w:pStyle w:val="Tabla8"/>
              <w:jc w:val="left"/>
            </w:pPr>
            <w:r>
              <w:t xml:space="preserve">Meta según línea base</w:t>
            </w:r>
          </w:p>
        </w:tc>
        <w:tc>
          <w:tcPr/>
          <w:p>
            <w:pPr>
              <w:pStyle w:val="Tabla8"/>
              <w:jc w:val="left"/>
            </w:pPr>
            <w:r>
              <w:t xml:space="preserve">Por taller</w:t>
            </w:r>
          </w:p>
        </w:tc>
        <w:tc>
          <w:tcPr/>
          <w:p>
            <w:pPr>
              <w:pStyle w:val="Tabla8"/>
              <w:jc w:val="left"/>
            </w:pPr>
            <w:r>
              <w:t xml:space="preserve">Profesionales de apropiación social</w:t>
            </w:r>
          </w:p>
        </w:tc>
        <w:tc>
          <w:tcPr/>
          <w:p>
            <w:pPr>
              <w:pStyle w:val="Tabla8"/>
              <w:jc w:val="left"/>
            </w:pPr>
            <w:r>
              <w:t xml:space="preserve">VACIO</w:t>
            </w:r>
          </w:p>
        </w:tc>
      </w:tr>
      <w:tr>
        <w:trPr>
          <w:cantSplit/>
        </w:trPr>
        <w:tc>
          <w:tcPr/>
          <w:p>
            <w:pPr>
              <w:pStyle w:val="Tabla8"/>
              <w:jc w:val="left"/>
            </w:pPr>
            <w:r>
              <w:t xml:space="preserve">4</w:t>
            </w:r>
          </w:p>
        </w:tc>
        <w:tc>
          <w:tcPr/>
          <w:p>
            <w:pPr>
              <w:pStyle w:val="Tabla8"/>
              <w:jc w:val="left"/>
            </w:pPr>
            <w:r>
              <w:t xml:space="preserve">Actividad de empoderamiento con plan de sostenibilidad</w:t>
            </w:r>
          </w:p>
        </w:tc>
        <w:tc>
          <w:tcPr/>
          <w:p>
            <w:pPr>
              <w:pStyle w:val="Tabla8"/>
              <w:jc w:val="left"/>
            </w:pPr>
            <w:r>
              <w:t xml:space="preserve">Plan documentado</w:t>
            </w:r>
          </w:p>
        </w:tc>
        <w:tc>
          <w:tcPr/>
          <w:p>
            <w:pPr>
              <w:pStyle w:val="Tabla8"/>
              <w:jc w:val="left"/>
            </w:pPr>
            <w:r>
              <w:t xml:space="preserve">1 (aspiracional)</w:t>
            </w:r>
          </w:p>
        </w:tc>
        <w:tc>
          <w:tcPr/>
          <w:p>
            <w:pPr>
              <w:pStyle w:val="Tabla8"/>
              <w:jc w:val="left"/>
            </w:pPr>
            <w:r>
              <w:t xml:space="preserve">Al cierre</w:t>
            </w:r>
          </w:p>
        </w:tc>
        <w:tc>
          <w:tcPr/>
          <w:p>
            <w:pPr>
              <w:pStyle w:val="Tabla8"/>
              <w:jc w:val="left"/>
            </w:pPr>
            <w:r>
              <w:t xml:space="preserve">Profesional de convenios y custodia</w:t>
            </w:r>
          </w:p>
        </w:tc>
        <w:tc>
          <w:tcPr/>
          <w:p>
            <w:pPr>
              <w:pStyle w:val="Tabla8"/>
              <w:jc w:val="left"/>
            </w:pPr>
            <w:r>
              <w:t xml:space="preserve">PROPUESTO</w:t>
            </w:r>
          </w:p>
        </w:tc>
      </w:tr>
      <w:tr>
        <w:trPr>
          <w:cantSplit/>
        </w:trPr>
        <w:tc>
          <w:tcPr/>
          <w:p>
            <w:pPr>
              <w:pStyle w:val="Tabla8"/>
              <w:jc w:val="left"/>
            </w:pPr>
            <w:r>
              <w:t xml:space="preserve">4</w:t>
            </w:r>
          </w:p>
        </w:tc>
        <w:tc>
          <w:tcPr/>
          <w:p>
            <w:pPr>
              <w:pStyle w:val="Tabla8"/>
              <w:jc w:val="left"/>
            </w:pPr>
            <w:r>
              <w:t xml:space="preserve">Índice de sostenibilidad de la apropiación</w:t>
            </w:r>
          </w:p>
        </w:tc>
        <w:tc>
          <w:tcPr/>
          <w:p>
            <w:pPr>
              <w:pStyle w:val="Tabla8"/>
              <w:jc w:val="left"/>
            </w:pPr>
            <w:r>
              <w:t xml:space="preserve">Medición seis meses después del cierre</w:t>
            </w:r>
          </w:p>
        </w:tc>
        <w:tc>
          <w:tcPr/>
          <w:p>
            <w:pPr>
              <w:pStyle w:val="Tabla8"/>
              <w:jc w:val="left"/>
            </w:pPr>
            <w:r>
              <w:t xml:space="preserve">Meta sin definir</w:t>
            </w:r>
          </w:p>
        </w:tc>
        <w:tc>
          <w:tcPr/>
          <w:p>
            <w:pPr>
              <w:pStyle w:val="Tabla8"/>
              <w:jc w:val="left"/>
            </w:pPr>
            <w:r>
              <w:t xml:space="preserve">Única, posproyecto</w:t>
            </w:r>
          </w:p>
        </w:tc>
        <w:tc>
          <w:tcPr/>
          <w:p>
            <w:pPr>
              <w:pStyle w:val="Tabla8"/>
              <w:jc w:val="left"/>
            </w:pPr>
            <w:r>
              <w:t xml:space="preserve">Evaluación externa</w:t>
            </w:r>
          </w:p>
        </w:tc>
        <w:tc>
          <w:tcPr/>
          <w:p>
            <w:pPr>
              <w:pStyle w:val="Tabla8"/>
              <w:jc w:val="left"/>
            </w:pPr>
            <w:r>
              <w:t xml:space="preserve">VACIO</w:t>
            </w:r>
          </w:p>
        </w:tc>
      </w:tr>
    </w:tbl>
    <w:p>
      <w:pPr>
        <w:pStyle w:val="TablaNota"/>
      </w:pPr>
      <w:r>
        <w:rPr>
          <w:i/>
          <w:iCs/>
        </w:rPr>
        <w:t xml:space="preserve">Nota.</w:t>
      </w:r>
      <w:r>
        <w:t xml:space="preserve"> </w:t>
      </w:r>
      <w:r>
        <w:t xml:space="preserve">Elaboración propia con datos de la ficha maestra del proyecto (compromisos por nivel de la Escalera ASC y línea M04). Los indicadores son complementarios al sistema PERS de 15 indicadores. Las metas sin cifra se fijan con la línea base de los meses 3 y 4.</w:t>
      </w:r>
    </w:p>
    <w:p>
      <w:pPr>
        <w:pStyle w:val="BodyText"/>
      </w:pPr>
      <w:r>
        <w:t xml:space="preserve">La tabla fija metas numéricas solo donde la ficha las respalda: 5.000 cartillas, tres actas mínimas y 20 talleres programados. Las demás metas dependen de la línea base. Esa decisión evita cifras sin fuente y obliga a cerrar la línea base antes de la primera jornada.</w:t>
      </w:r>
    </w:p>
    <w:bookmarkEnd w:id="640"/>
    <w:bookmarkStart w:id="647" w:name="Xc0fdd3acead4ab88237beeaab16fb5ab35f5b88"/>
    <w:p>
      <w:pPr>
        <w:pStyle w:val="Heading2"/>
      </w:pPr>
      <w:r>
        <w:t xml:space="preserve">16.5 Escalera de Apropiación Social del Conocimiento</w:t>
      </w:r>
    </w:p>
    <w:p>
      <w:pPr>
        <w:pStyle w:val="FirstParagraph"/>
      </w:pPr>
      <w:r>
        <w:rPr>
          <w:b/>
          <w:bCs/>
        </w:rPr>
        <w:t xml:space="preserve">Modelo de cuatro niveles.</w:t>
      </w:r>
      <w:r>
        <w:t xml:space="preserve"> </w:t>
      </w:r>
      <w:r>
        <w:t xml:space="preserve">La escalera organiza las actividades de ASC en una progresión de complejidad, profundidad de participación y potencial transformador. El nivel 1 es la información: el equipo transmite conocimiento a la comunidad sin retroalimentación estructurada. El nivel 2 es la consulta: la comunidad opina, pero las decisiones de diseño permanecen en el equipo técnico. El nivel 3 es la colaboración activa. La comunidad participa en el diseño, la ejecución o la validación. Las decisiones relevantes se toman en conjunto. El nivel 4 es el empoderamiento: la comunidad gestiona, replica y adapta el conocimiento sin depender del equipo. Cada nivel se apoya en el anterior. Arnstein (1969) propone ocho peldaños y Callon (1999) tres modelos. La escalera de cuatro niveles simplifica ambas propuestas. Pierde distinciones como la de apaciguamiento, que Arnstein separa de la consulta. Gana una regla operativa: cada nivel posee indicadores y compromisos propios. Los niveles 1 y 2 corresponden a la educación y al debate público de Callon. Los niveles 3 y 4 corresponden a la coproducción. El proyecto acepta la simplificación porque debe verificar compromisos y no clasificar teorías.</w:t>
      </w:r>
    </w:p>
    <w:p>
      <w:pPr>
        <w:pStyle w:val="BodyText"/>
      </w:pPr>
      <w:r>
        <w:rPr>
          <w:b/>
          <w:bCs/>
        </w:rPr>
        <w:t xml:space="preserve">Nivel 1: Información.</w:t>
      </w:r>
      <w:r>
        <w:t xml:space="preserve"> </w:t>
      </w:r>
      <w:r>
        <w:t xml:space="preserve">La difusión unidireccional incluye las cartillas, los boletines, la página del proyecto, las notas en medios locales y las jornadas de socialización inicial. El tipo MMG asociado es ASC-COM. El compromiso mínimo es completar el nivel al 100 % durante el primer tercio de la ejecución, es decir, entre los meses 1 y 8. Los indicadores son las piezas producidas y distribuidas, el alcance estimado y la frecuencia de actualización. Freire (2005) llama educación bancaria al acto de depositar información en un receptor pasivo. El nivel 1 reproduce esa lógica de forma deliberada y limitada, porque la comunidad necesita comprender qué mide la red antes de opinar. El riesgo es quedarse en ese nivel. Arnstein (1969) clasifica la información sin canal de respuesta como simbolismo. Por consiguiente, cada pieza de nivel 1 remite a un espacio de respuesta del nivel 2.</w:t>
      </w:r>
    </w:p>
    <w:p>
      <w:pPr>
        <w:pStyle w:val="BodyText"/>
      </w:pPr>
      <w:r>
        <w:rPr>
          <w:b/>
          <w:bCs/>
        </w:rPr>
        <w:t xml:space="preserve">Nivel 2: Consulta.</w:t>
      </w:r>
      <w:r>
        <w:t xml:space="preserve"> </w:t>
      </w:r>
      <w:r>
        <w:t xml:space="preserve">El diálogo bidireccional incluye grupos focales, encuestas de percepción, jornadas con preguntas y respuestas, el buzón de sugerencias y foros abiertos. El tipo MMG asociado es la combinación ASC-COM y ASC-PART. El compromiso mínimo es completar el nivel al 100 % durante la primera mitad de la ejecución, es decir, entre los meses 1 y 12. Los indicadores son los espacios de consulta realizados y los participantes desagregados por género, etnia y edad. Incluyen también el porcentaje de retroalimentación incorporada y el registro de actas con acuerdos. Arnstein (1969) advierte que la consulta sin garantía de incorporación es simbolismo. Por eso el proyecto mide la proporción de retroalimentación incorporada y no solo el número de consultas. La meta de esa proporción se fija con la línea base (VACIO). El proyecto programa seis jornadas de este nivel. Tres se realizan en la primera mitad. Tres se realizan en el tramo 3 para devolver resultados y consultar la continuidad (PROPUESTO).</w:t>
      </w:r>
    </w:p>
    <w:p>
      <w:pPr>
        <w:pStyle w:val="BodyText"/>
      </w:pPr>
      <w:r>
        <w:rPr>
          <w:b/>
          <w:bCs/>
        </w:rPr>
        <w:t xml:space="preserve">Nivel 3: Colaboración activa.</w:t>
      </w:r>
      <w:r>
        <w:t xml:space="preserve"> </w:t>
      </w:r>
      <w:r>
        <w:t xml:space="preserve">La co-producción de conocimiento incluye talleres de co-diseño con cartografía social y laboratorios ciudadanos. Incluye la validación comunitaria de prototipos y la validación de umbrales con los comités. El tipo MMG asociado es ASC-PART. El compromiso es obligatorio: al menos tres actividades de co-producción documentadas con evidencia verificable. El proyecto programa 20 talleres, 4 en el tramo 1, 8 en el tramo 2 y 8 en el tramo 3 (PROPUESTO). Los indicadores son las actividades con metodología documentada y los participantes activos. Incluyen los productos que incorporan saberes locales con acta de validación. Incluyen también el porcentaje de decisiones con participación documentada y la satisfacción medida con una escala Likert. Callon (1999) llama coproducción al modelo en que la ciencia y el público construyen conjuntamente el problema y su solución. Funtowicz y Ravetz (1993) la justifican como control de calidad ampliado. Dos posiciones se contrastan sobre su costo. Una la considera lenta y costosa para el cronograma. La otra la considera necesaria para la legitimidad de los umbrales. El cronograma respalda la segunda. La actividad A3.1 dispone de 12 semanas de holgura. Un retraso del co-diseño de hasta 12 semanas no altera la duración de 104 semanas (CALCULADO con el método de la ruta crítica, CPM).</w:t>
      </w:r>
    </w:p>
    <w:p>
      <w:pPr>
        <w:pStyle w:val="BodyText"/>
      </w:pPr>
      <w:r>
        <w:rPr>
          <w:b/>
          <w:bCs/>
        </w:rPr>
        <w:t xml:space="preserve">Nivel 4: Empoderamiento.</w:t>
      </w:r>
      <w:r>
        <w:t xml:space="preserve"> </w:t>
      </w:r>
      <w:r>
        <w:t xml:space="preserve">La autonomía y la gobernanza comunitaria incluyen la formación de personas formadoras locales y la transferencia de metodologías a organizaciones comunitarias. Incluyen también las redes de conocimiento autogestionadas y la documentación del conocimiento local. El tipo MMG asociado es ASC-PART con formación de capital humano. El compromiso es aspiracional: diseñar al menos una actividad de empoderamiento con plan de sostenibilidad documentado, en el tramo 3. Los indicadores son las personas formadoras locales certificadas y las organizaciones con capacidad instalada para replicar. Incluyen las actividades autónomas sin presencia del equipo y los proyectos derivados formulados por la comunidad. Incluyen también el índice de sostenibilidad de la apropiación a los seis meses del cierre. Shediac-Rizkallah y Bone (1998) identifican la capacitación y la participación comunitaria entre los determinantes de la continuidad de un programa. Ostrom (2005) analiza las reglas que organizan la acción colectiva dentro de una institución. Esa lectura sirve para verificar si una comunidad define reglas propias sin el equipo del proyecto. El proyecto reconoce un límite: el horizonte de 24 meses no basta para verificar autonomía comunitaria. Por consiguiente, el nivel 4 se declara aspiracional y su verificación depende de la medición posproyecto.</w:t>
      </w:r>
    </w:p>
    <w:p>
      <w:pPr>
        <w:pStyle w:val="BodyText"/>
      </w:pPr>
      <w:r>
        <w:t xml:space="preserve">La Tabla 16.5 presenta la matriz completa de la escalera. Incluye actividades, indicadores, tipos MMG y responsables.</w:t>
      </w:r>
    </w:p>
    <w:p>
      <w:pPr>
        <w:pStyle w:val="TablaRotulo"/>
      </w:pPr>
      <w:bookmarkStart w:id="9382" w:name="rot_Tabla_16_5"/>
      <w:r>
        <w:rPr>
          <w:b/>
          <w:bCs/>
        </w:rPr>
        <w:t xml:space="preserve">Tabla 16.5</w:t>
      </w:r>
      <w:bookmarkEnd w:id="9382"/>
    </w:p>
    <w:p>
      <w:pPr>
        <w:pStyle w:val="TablaTitulo"/>
      </w:pPr>
      <w:r>
        <w:rPr>
          <w:i/>
          <w:iCs/>
        </w:rPr>
        <w:t xml:space="preserve">Matriz de la Escalera de Apropiación: nivel, actividades, indicadores, productos MMG y responsables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650"/>
        <w:gridCol w:w="1584"/>
        <w:gridCol w:w="1848"/>
        <w:gridCol w:w="1320"/>
        <w:gridCol w:w="1518"/>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Actividades del proyecto</w:t>
            </w:r>
          </w:p>
        </w:tc>
        <w:tc>
          <w:tcPr>
            <w:shd w:val="clear" w:color="auto" w:fill="00B050"/>
          </w:tcPr>
          <w:p>
            <w:pPr>
              <w:pStyle w:val="Tabla9"/>
              <w:jc w:val="center"/>
            </w:pPr>
            <w:r>
              <w:rPr>
                <w:b/>
                <w:color w:val="FFFFFF"/>
              </w:rPr>
              <w:t xml:space="preserve">Indicadores de nivel</w:t>
            </w:r>
          </w:p>
        </w:tc>
        <w:tc>
          <w:tcPr>
            <w:shd w:val="clear" w:color="auto" w:fill="00B050"/>
          </w:tcPr>
          <w:p>
            <w:pPr>
              <w:pStyle w:val="Tabla9"/>
              <w:jc w:val="center"/>
            </w:pPr>
            <w:r>
              <w:rPr>
                <w:b/>
                <w:color w:val="FFFFFF"/>
              </w:rPr>
              <w:t xml:space="preserve">Producto MMG</w:t>
            </w:r>
          </w:p>
        </w:tc>
        <w:tc>
          <w:tcPr>
            <w:shd w:val="clear" w:color="auto" w:fill="00B050"/>
          </w:tcPr>
          <w:p>
            <w:pPr>
              <w:pStyle w:val="Tabla9"/>
              <w:jc w:val="center"/>
            </w:pPr>
            <w:r>
              <w:rPr>
                <w:b/>
                <w:color w:val="FFFFFF"/>
              </w:rPr>
              <w:t xml:space="preserve">Responsables</w:t>
            </w:r>
          </w:p>
        </w:tc>
      </w:tr>
      <w:tr>
        <w:trPr>
          <w:cantSplit/>
        </w:trPr>
        <w:tc>
          <w:tcPr/>
          <w:p>
            <w:pPr>
              <w:pStyle w:val="Tabla9"/>
              <w:jc w:val="left"/>
            </w:pPr>
            <w:r>
              <w:t xml:space="preserve">1. Información</w:t>
            </w:r>
          </w:p>
        </w:tc>
        <w:tc>
          <w:tcPr/>
          <w:p>
            <w:pPr>
              <w:pStyle w:val="Tabla9"/>
              <w:jc w:val="left"/>
            </w:pPr>
            <w:r>
              <w:t xml:space="preserve">5.000 cartillas; boletines; página del proyecto; 3 jornadas de socialización</w:t>
            </w:r>
          </w:p>
        </w:tc>
        <w:tc>
          <w:tcPr/>
          <w:p>
            <w:pPr>
              <w:pStyle w:val="Tabla9"/>
              <w:jc w:val="left"/>
            </w:pPr>
            <w:r>
              <w:t xml:space="preserve">Piezas distribuidas; alcance estimado; frecuencia de actualización</w:t>
            </w:r>
          </w:p>
        </w:tc>
        <w:tc>
          <w:tcPr/>
          <w:p>
            <w:pPr>
              <w:pStyle w:val="Tabla9"/>
              <w:jc w:val="left"/>
            </w:pPr>
            <w:r>
              <w:t xml:space="preserve">ASC-COM</w:t>
            </w:r>
          </w:p>
        </w:tc>
        <w:tc>
          <w:tcPr/>
          <w:p>
            <w:pPr>
              <w:pStyle w:val="Tabla9"/>
              <w:jc w:val="left"/>
            </w:pPr>
            <w:r>
              <w:t xml:space="preserve">Coordinación de apropiación social</w:t>
            </w:r>
          </w:p>
        </w:tc>
      </w:tr>
      <w:tr>
        <w:trPr>
          <w:cantSplit/>
        </w:trPr>
        <w:tc>
          <w:tcPr/>
          <w:p>
            <w:pPr>
              <w:pStyle w:val="Tabla9"/>
              <w:jc w:val="left"/>
            </w:pPr>
            <w:r>
              <w:t xml:space="preserve">2. Consulta</w:t>
            </w:r>
          </w:p>
        </w:tc>
        <w:tc>
          <w:tcPr/>
          <w:p>
            <w:pPr>
              <w:pStyle w:val="Tabla9"/>
              <w:jc w:val="left"/>
            </w:pPr>
            <w:r>
              <w:t xml:space="preserve">6 jornadas con grupos focales y encuestas; buzón</w:t>
            </w:r>
          </w:p>
        </w:tc>
        <w:tc>
          <w:tcPr/>
          <w:p>
            <w:pPr>
              <w:pStyle w:val="Tabla9"/>
              <w:jc w:val="left"/>
            </w:pPr>
            <w:r>
              <w:t xml:space="preserve">Espacios de consulta; participantes desagregados; retroalimentación incorporada</w:t>
            </w:r>
          </w:p>
        </w:tc>
        <w:tc>
          <w:tcPr/>
          <w:p>
            <w:pPr>
              <w:pStyle w:val="Tabla9"/>
              <w:jc w:val="left"/>
            </w:pPr>
            <w:r>
              <w:t xml:space="preserve">ASC-COM y ASC-PART</w:t>
            </w:r>
          </w:p>
        </w:tc>
        <w:tc>
          <w:tcPr/>
          <w:p>
            <w:pPr>
              <w:pStyle w:val="Tabla9"/>
              <w:jc w:val="left"/>
            </w:pPr>
            <w:r>
              <w:t xml:space="preserve">Profesionales de apropiación social</w:t>
            </w:r>
          </w:p>
        </w:tc>
      </w:tr>
      <w:tr>
        <w:trPr>
          <w:cantSplit/>
        </w:trPr>
        <w:tc>
          <w:tcPr/>
          <w:p>
            <w:pPr>
              <w:pStyle w:val="Tabla9"/>
              <w:jc w:val="left"/>
            </w:pPr>
            <w:r>
              <w:t xml:space="preserve">3. Colaboración activa</w:t>
            </w:r>
          </w:p>
        </w:tc>
        <w:tc>
          <w:tcPr/>
          <w:p>
            <w:pPr>
              <w:pStyle w:val="Tabla9"/>
              <w:jc w:val="left"/>
            </w:pPr>
            <w:r>
              <w:t xml:space="preserve">20 talleres de co-diseño como laboratorios ciudadanos</w:t>
            </w:r>
          </w:p>
        </w:tc>
        <w:tc>
          <w:tcPr/>
          <w:p>
            <w:pPr>
              <w:pStyle w:val="Tabla9"/>
              <w:jc w:val="left"/>
            </w:pPr>
            <w:r>
              <w:t xml:space="preserve">Actividades con acta firmada; participantes activos; decisiones con participación; satisfacción</w:t>
            </w:r>
          </w:p>
        </w:tc>
        <w:tc>
          <w:tcPr/>
          <w:p>
            <w:pPr>
              <w:pStyle w:val="Tabla9"/>
              <w:jc w:val="left"/>
            </w:pPr>
            <w:r>
              <w:t xml:space="preserve">ASC-PART</w:t>
            </w:r>
          </w:p>
        </w:tc>
        <w:tc>
          <w:tcPr/>
          <w:p>
            <w:pPr>
              <w:pStyle w:val="Tabla9"/>
              <w:jc w:val="left"/>
            </w:pPr>
            <w:r>
              <w:t xml:space="preserve">Coordinación de apropiación social y gerencia de proyecto</w:t>
            </w:r>
          </w:p>
        </w:tc>
      </w:tr>
      <w:tr>
        <w:trPr>
          <w:cantSplit/>
        </w:trPr>
        <w:tc>
          <w:tcPr/>
          <w:p>
            <w:pPr>
              <w:pStyle w:val="Tabla9"/>
              <w:jc w:val="left"/>
            </w:pPr>
            <w:r>
              <w:t xml:space="preserve">4. Empoderamiento</w:t>
            </w:r>
          </w:p>
        </w:tc>
        <w:tc>
          <w:tcPr/>
          <w:p>
            <w:pPr>
              <w:pStyle w:val="Tabla9"/>
              <w:jc w:val="left"/>
            </w:pPr>
            <w:r>
              <w:t xml:space="preserve">1 actividad de formación de personas formadoras con plan de sostenibilidad</w:t>
            </w:r>
          </w:p>
        </w:tc>
        <w:tc>
          <w:tcPr/>
          <w:p>
            <w:pPr>
              <w:pStyle w:val="Tabla9"/>
              <w:jc w:val="left"/>
            </w:pPr>
            <w:r>
              <w:t xml:space="preserve">Personas formadoras certificadas; actividades autónomas; índice de sostenibilidad</w:t>
            </w:r>
          </w:p>
        </w:tc>
        <w:tc>
          <w:tcPr/>
          <w:p>
            <w:pPr>
              <w:pStyle w:val="Tabla9"/>
              <w:jc w:val="left"/>
            </w:pPr>
            <w:r>
              <w:t xml:space="preserve">ASC-PART y FORM</w:t>
            </w:r>
          </w:p>
        </w:tc>
        <w:tc>
          <w:tcPr/>
          <w:p>
            <w:pPr>
              <w:pStyle w:val="Tabla9"/>
              <w:jc w:val="left"/>
            </w:pPr>
            <w:r>
              <w:t xml:space="preserve">Profesional de convenios y custodia</w:t>
            </w:r>
          </w:p>
        </w:tc>
      </w:tr>
    </w:tbl>
    <w:p>
      <w:pPr>
        <w:pStyle w:val="TablaNota"/>
      </w:pPr>
      <w:r>
        <w:rPr>
          <w:i/>
          <w:iCs/>
        </w:rPr>
        <w:t xml:space="preserve">Nota.</w:t>
      </w:r>
      <w:r>
        <w:t xml:space="preserve"> </w:t>
      </w:r>
      <w:r>
        <w:t xml:space="preserve">Elaboración propia con datos de la ficha maestra del proyecto (compromisos por nivel de la Escalera ASC, PERS-P04, PERS-E03). Cantidades por nivel: PROPUESTO, salvo el total de 29 actividades (20 talleres y 9 jornadas), que es meta de PERS-P04.</w:t>
      </w:r>
    </w:p>
    <w:p>
      <w:pPr>
        <w:pStyle w:val="BodyText"/>
      </w:pPr>
      <w:r>
        <w:t xml:space="preserve">La matriz asigna a cada nivel un tipo MMG y un responsable de la ficha. El nivel 3 concentra el mayor número de actividades, 20 de 29, lo que coincide con su carácter obligatorio. La Figura 16.3 representa la escalera con sus compromisos.</w:t>
      </w:r>
    </w:p>
    <w:p>
      <w:pPr>
        <w:pStyle w:val="FiguraRotulo"/>
      </w:pPr>
      <w:bookmarkStart w:id="9548" w:name="rot_Figura_16_3"/>
      <w:r>
        <w:rPr>
          <w:b/>
          <w:bCs/>
        </w:rPr>
        <w:t xml:space="preserve">Figura 16.3</w:t>
      </w:r>
      <w:bookmarkEnd w:id="9548"/>
    </w:p>
    <w:p>
      <w:pPr>
        <w:pStyle w:val="FiguraTitulo"/>
      </w:pPr>
      <w:r>
        <w:rPr>
          <w:i/>
          <w:iCs/>
        </w:rPr>
        <w:t xml:space="preserve">Diagrama de la Escalera de Apropiación ASC con cuatro niveles y flujo ascendente</w:t>
      </w:r>
    </w:p>
    <w:p>
      <w:pPr>
        <w:pStyle w:val="BodyText"/>
      </w:pPr>
      <w:r>
        <w:drawing>
          <wp:inline>
            <wp:extent cx="5579999" cy="3486803"/>
            <wp:effectExtent b="0" l="0" r="0" t="0"/>
            <wp:docPr descr="" title="" id="642" name="Picture"/>
            <a:graphic>
              <a:graphicData uri="http://schemas.openxmlformats.org/drawingml/2006/picture">
                <pic:pic>
                  <pic:nvPicPr>
                    <pic:cNvPr descr="/tmp/claude-0/-home-user-docs/ddf38714-2a7e-502b-92b4-1008e2832422/scratchpad/proy/figs/out/c16_f03.png" id="643" name="Picture"/>
                    <pic:cNvPicPr>
                      <a:picLocks noChangeArrowheads="1" noChangeAspect="1"/>
                    </pic:cNvPicPr>
                  </pic:nvPicPr>
                  <pic:blipFill>
                    <a:blip r:embed="rId641"/>
                    <a:stretch>
                      <a:fillRect/>
                    </a:stretch>
                  </pic:blipFill>
                  <pic:spPr bwMode="auto">
                    <a:xfrm>
                      <a:off x="0" y="0"/>
                      <a:ext cx="5579999" cy="348680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por nivel de la ficha maestra del proyecto (indicadores ASC): nivel 1, 100 % en el primer tercio; nivel 2, 100 % en la primera mitad; nivel 3, mínimo de tres actas (obligatorio); nivel 4, una actividad con plan de sostenibilidad (aspiracional). Figura generada con matplotlib; sin semilla ni corpus.</w:t>
      </w:r>
    </w:p>
    <w:p>
      <w:pPr>
        <w:pStyle w:val="BodyText"/>
      </w:pPr>
      <w:r>
        <w:t xml:space="preserve">El diagrama muestra que el compromiso crece en exigencia con el nivel, pero decrece en certeza de cumplimiento. El nivel 3 es obligatorio y el nivel 4 es aspiracional. Esa asimetría es deliberada.</w:t>
      </w:r>
    </w:p>
    <w:p>
      <w:pPr>
        <w:pStyle w:val="BodyText"/>
      </w:pPr>
      <w:r>
        <w:rPr>
          <w:b/>
          <w:bCs/>
        </w:rPr>
        <w:t xml:space="preserve">Validación del nivel mínimo.</w:t>
      </w:r>
      <w:r>
        <w:t xml:space="preserve"> </w:t>
      </w:r>
      <w:r>
        <w:t xml:space="preserve">El proyecto adopta cuatro reglas de validación. Primera: documentar al menos tres actividades de nivel 3. Segunda: exigir acta firmada por representantes comunitarios en cada actividad de nivel 3 o superior. Tercera: integrar los indicadores de cada nivel al sistema de seguimiento como indicadores de efecto. Cuarta: medir la apropiación con una línea base anterior a la intervención. El proyecto añade un punto de control interno en el mes 12, que coincide con la compuerta C1 pero no es una condición de ella. Si en ese mes existen menos de tres actas válidas, la coordinación de apropiación social presenta un plan correctivo. La programación de cuatro talleres en el tramo 1 deja un margen de uno sobre el mínimo. Dos lecturas de ese margen compiten. La primera lo considera suficiente, porque el compromiso es de tres actas. La segunda lo considera frágil, porque un acta sin designación escrita del representante no cuenta. El proyecto adopta la segunda lectura y exige que cada taller del tramo 1 cumpla el protocolo completo.</w:t>
      </w:r>
    </w:p>
    <w:p>
      <w:pPr>
        <w:pStyle w:val="BodyText"/>
      </w:pPr>
      <w:r>
        <w:rPr>
          <w:b/>
          <w:bCs/>
        </w:rPr>
        <w:t xml:space="preserve">Parámetro P0-ASC.</w:t>
      </w:r>
      <w:r>
        <w:t xml:space="preserve"> </w:t>
      </w:r>
      <w:r>
        <w:t xml:space="preserve">La penalización por nivel insuficiente se expresa con el parámetro P0-ASC. El metaprompt fija su valor por defecto en 15 puntos cuando el proyecto solo alcanza los niveles 1 o 2. Ese valor es un parámetro del metaprompt y es NO_VERIFICADO frente a los TdR, que no se aportaron. La cifra no es una constante del proyecto. Debe sustituirse cuando el financiador informe el criterio de evaluación y su puntaje. El proyecto no estima el efecto de la penalización sobre su puntaje, porque el criterio y su peso no se conocen (VACIO). El compromiso del nivel 3 reduce la exposición a esa penalización, pero no la elimina. Depende de que el panel evaluador acepte las actas como evidencia. Dos posiciones se contrastan sobre cómo tratar un parámetro sin fuente. Una lo fija como cifra para cerrar el cálculo. La otra lo declara como variable hasta contar con el dato. El proyecto adopta la segunda posición y registra P0-ASC como variable.</w:t>
      </w:r>
    </w:p>
    <w:p>
      <w:pPr>
        <w:pStyle w:val="BodyText"/>
      </w:pPr>
      <w:r>
        <w:rPr>
          <w:b/>
          <w:bCs/>
        </w:rPr>
        <w:t xml:space="preserve">Alineación con la Teoría del Cambio.</w:t>
      </w:r>
      <w:r>
        <w:t xml:space="preserve"> </w:t>
      </w:r>
      <w:r>
        <w:t xml:space="preserve">La Teoría del Cambio del proyecto encadena actividades, productos, efectos e impactos. Los niveles 1 y 2 alimentan los productos: cartillas, jornadas y actas de consulta. El nivel 3 alimenta los efectos de uso institucional y de falsas alarmas (PERS-E01 y PERS-E02). El tablero aplica los umbrales co-diseñados. El nivel 4 alimenta la capacidad instalada y la continuidad (PERS-E03 y PERS-S02). Funnell y Rogers (2011) sostienen que una teoría de programa explicita los mecanismos por los que las actividades producen resultados. Weiss (1995) argumenta que la evaluación basada en teoría somete a prueba esos supuestos. Todas las relaciones entre niveles y efectos son hipótesis (INFERIDO), sin efecto estimado. El riesgo R-ORG-01 describe que los comités no adopten el tablero. Presenta probabilidad de 40 % y pérdida esperada de 36,0 millones de COP. El nivel 3 es la respuesta de diseño a ese riesgo. La Figura 16.4 alinea los niveles con la cadena de resultados.</w:t>
      </w:r>
    </w:p>
    <w:p>
      <w:pPr>
        <w:pStyle w:val="FiguraRotulo"/>
      </w:pPr>
      <w:bookmarkStart w:id="9549" w:name="rot_Figura_16_4"/>
      <w:r>
        <w:rPr>
          <w:b/>
          <w:bCs/>
        </w:rPr>
        <w:t xml:space="preserve">Figura 16.4</w:t>
      </w:r>
      <w:bookmarkEnd w:id="9549"/>
    </w:p>
    <w:p>
      <w:pPr>
        <w:pStyle w:val="FiguraTitulo"/>
      </w:pPr>
      <w:r>
        <w:rPr>
          <w:i/>
          <w:iCs/>
        </w:rPr>
        <w:t xml:space="preserve">Alineación de niveles ASC con la Teoría del Cambio del proyecto</w:t>
      </w:r>
    </w:p>
    <w:p>
      <w:pPr>
        <w:pStyle w:val="BodyText"/>
      </w:pPr>
      <w:r>
        <w:drawing>
          <wp:inline>
            <wp:extent cx="5579999" cy="3403678"/>
            <wp:effectExtent b="0" l="0" r="0" t="0"/>
            <wp:docPr descr="" title="" id="645" name="Picture"/>
            <a:graphic>
              <a:graphicData uri="http://schemas.openxmlformats.org/drawingml/2006/picture">
                <pic:pic>
                  <pic:nvPicPr>
                    <pic:cNvPr descr="/tmp/claude-0/-home-user-docs/ddf38714-2a7e-502b-92b4-1008e2832422/scratchpad/proy/figs/out/c16_f04.png" id="646" name="Picture"/>
                    <pic:cNvPicPr>
                      <a:picLocks noChangeArrowheads="1" noChangeAspect="1"/>
                    </pic:cNvPicPr>
                  </pic:nvPicPr>
                  <pic:blipFill>
                    <a:blip r:embed="rId644"/>
                    <a:stretch>
                      <a:fillRect/>
                    </a:stretch>
                  </pic:blipFill>
                  <pic:spPr bwMode="auto">
                    <a:xfrm>
                      <a:off x="0" y="0"/>
                      <a:ext cx="5579999" cy="340367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cadena de resultados de la ficha maestra del proyecto (marco lógico y sistema PERS). Todas las relaciones entre niveles ASC y efectos son hipótesis (INFERIDO), sin efecto estimado. Figura generada con matplotlib; sin semilla ni corpus.</w:t>
      </w:r>
    </w:p>
    <w:p>
      <w:pPr>
        <w:pStyle w:val="BodyText"/>
      </w:pPr>
      <w:r>
        <w:t xml:space="preserve">La alineación muestra que los cuatro niveles conducen a efectos distintos. La cadena depende del nivel 3 para llegar al uso institucional. Si ese nivel falla, los niveles 1 y 2 producen conocimiento sobre el tablero, pero no su uso.</w:t>
      </w:r>
    </w:p>
    <w:p>
      <w:pPr>
        <w:pStyle w:val="BodyText"/>
      </w:pPr>
      <w:r>
        <w:t xml:space="preserve">La Tabla 16.6 fija los compromisos por nivel. Incluye cronograma y verificación.</w:t>
      </w:r>
    </w:p>
    <w:p>
      <w:pPr>
        <w:pStyle w:val="TablaRotulo"/>
      </w:pPr>
      <w:bookmarkStart w:id="9383" w:name="rot_Tabla_16_6"/>
      <w:r>
        <w:rPr>
          <w:b/>
          <w:bCs/>
        </w:rPr>
        <w:t xml:space="preserve">Tabla 16.6</w:t>
      </w:r>
      <w:bookmarkEnd w:id="9383"/>
    </w:p>
    <w:p>
      <w:pPr>
        <w:pStyle w:val="TablaTitulo"/>
      </w:pPr>
      <w:r>
        <w:rPr>
          <w:i/>
          <w:iCs/>
        </w:rPr>
        <w:t xml:space="preserve">Compromisos del proyecto por nivel de la Escalera ASC con cronograma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70"/>
        <w:gridCol w:w="1505"/>
        <w:gridCol w:w="850"/>
        <w:gridCol w:w="1112"/>
        <w:gridCol w:w="1505"/>
        <w:gridCol w:w="1374"/>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Compromiso</w:t>
            </w:r>
          </w:p>
        </w:tc>
        <w:tc>
          <w:tcPr>
            <w:shd w:val="clear" w:color="auto" w:fill="00B050"/>
          </w:tcPr>
          <w:p>
            <w:pPr>
              <w:pStyle w:val="Tabla9"/>
              <w:jc w:val="center"/>
            </w:pPr>
            <w:r>
              <w:rPr>
                <w:b/>
                <w:color w:val="FFFFFF"/>
              </w:rPr>
              <w:t xml:space="preserve">Plazo</w:t>
            </w:r>
          </w:p>
        </w:tc>
        <w:tc>
          <w:tcPr>
            <w:shd w:val="clear" w:color="auto" w:fill="00B050"/>
          </w:tcPr>
          <w:p>
            <w:pPr>
              <w:pStyle w:val="Tabla9"/>
              <w:jc w:val="center"/>
            </w:pPr>
            <w:r>
              <w:rPr>
                <w:b/>
                <w:color w:val="FFFFFF"/>
              </w:rPr>
              <w:t xml:space="preserve">Cantidad programada</w:t>
            </w:r>
          </w:p>
        </w:tc>
        <w:tc>
          <w:tcPr>
            <w:shd w:val="clear" w:color="auto" w:fill="00B050"/>
          </w:tcPr>
          <w:p>
            <w:pPr>
              <w:pStyle w:val="Tabla9"/>
              <w:jc w:val="center"/>
            </w:pPr>
            <w:r>
              <w:rPr>
                <w:b/>
                <w:color w:val="FFFFFF"/>
              </w:rPr>
              <w:t xml:space="preserve">Verificación</w:t>
            </w:r>
          </w:p>
        </w:tc>
        <w:tc>
          <w:tcPr>
            <w:shd w:val="clear" w:color="auto" w:fill="00B050"/>
          </w:tcPr>
          <w:p>
            <w:pPr>
              <w:pStyle w:val="Tabla9"/>
              <w:jc w:val="center"/>
            </w:pPr>
            <w:r>
              <w:rPr>
                <w:b/>
                <w:color w:val="FFFFFF"/>
              </w:rPr>
              <w:t xml:space="preserve">Carácter</w:t>
            </w:r>
          </w:p>
        </w:tc>
      </w:tr>
      <w:tr>
        <w:trPr>
          <w:cantSplit/>
        </w:trPr>
        <w:tc>
          <w:tcPr/>
          <w:p>
            <w:pPr>
              <w:pStyle w:val="Tabla9"/>
              <w:jc w:val="left"/>
            </w:pPr>
            <w:r>
              <w:t xml:space="preserve">1. Información</w:t>
            </w:r>
          </w:p>
        </w:tc>
        <w:tc>
          <w:tcPr/>
          <w:p>
            <w:pPr>
              <w:pStyle w:val="Tabla9"/>
              <w:jc w:val="left"/>
            </w:pPr>
            <w:r>
              <w:t xml:space="preserve">100 % de las piezas y jornadas de nivel 1</w:t>
            </w:r>
          </w:p>
        </w:tc>
        <w:tc>
          <w:tcPr/>
          <w:p>
            <w:pPr>
              <w:pStyle w:val="Tabla9"/>
              <w:jc w:val="left"/>
            </w:pPr>
            <w:r>
              <w:t xml:space="preserve">Meses 1 a 8</w:t>
            </w:r>
          </w:p>
        </w:tc>
        <w:tc>
          <w:tcPr/>
          <w:p>
            <w:pPr>
              <w:pStyle w:val="Tabla9"/>
              <w:jc w:val="left"/>
            </w:pPr>
            <w:r>
              <w:t xml:space="preserve">3 jornadas y 5.000 cartillas</w:t>
            </w:r>
          </w:p>
        </w:tc>
        <w:tc>
          <w:tcPr/>
          <w:p>
            <w:pPr>
              <w:pStyle w:val="Tabla9"/>
              <w:jc w:val="left"/>
            </w:pPr>
            <w:r>
              <w:t xml:space="preserve">Registro de distribución y listas de asistencia</w:t>
            </w:r>
          </w:p>
        </w:tc>
        <w:tc>
          <w:tcPr/>
          <w:p>
            <w:pPr>
              <w:pStyle w:val="Tabla9"/>
              <w:jc w:val="left"/>
            </w:pPr>
            <w:r>
              <w:t xml:space="preserve">Compromiso mínimo</w:t>
            </w:r>
          </w:p>
        </w:tc>
      </w:tr>
      <w:tr>
        <w:trPr>
          <w:cantSplit/>
        </w:trPr>
        <w:tc>
          <w:tcPr/>
          <w:p>
            <w:pPr>
              <w:pStyle w:val="Tabla9"/>
              <w:jc w:val="left"/>
            </w:pPr>
            <w:r>
              <w:t xml:space="preserve">2. Consulta</w:t>
            </w:r>
          </w:p>
        </w:tc>
        <w:tc>
          <w:tcPr/>
          <w:p>
            <w:pPr>
              <w:pStyle w:val="Tabla9"/>
              <w:jc w:val="left"/>
            </w:pPr>
            <w:r>
              <w:t xml:space="preserve">100 % de los espacios de consulta de la primera mitad</w:t>
            </w:r>
          </w:p>
        </w:tc>
        <w:tc>
          <w:tcPr/>
          <w:p>
            <w:pPr>
              <w:pStyle w:val="Tabla9"/>
              <w:jc w:val="left"/>
            </w:pPr>
            <w:r>
              <w:t xml:space="preserve">Meses 1 a 12</w:t>
            </w:r>
          </w:p>
        </w:tc>
        <w:tc>
          <w:tcPr/>
          <w:p>
            <w:pPr>
              <w:pStyle w:val="Tabla9"/>
              <w:jc w:val="left"/>
            </w:pPr>
            <w:r>
              <w:t xml:space="preserve">3 jornadas de consulta; 3 más en el tramo 3</w:t>
            </w:r>
          </w:p>
        </w:tc>
        <w:tc>
          <w:tcPr/>
          <w:p>
            <w:pPr>
              <w:pStyle w:val="Tabla9"/>
              <w:jc w:val="left"/>
            </w:pPr>
            <w:r>
              <w:t xml:space="preserve">Actas con acuerdos y compromisos</w:t>
            </w:r>
          </w:p>
        </w:tc>
        <w:tc>
          <w:tcPr/>
          <w:p>
            <w:pPr>
              <w:pStyle w:val="Tabla9"/>
              <w:jc w:val="left"/>
            </w:pPr>
            <w:r>
              <w:t xml:space="preserve">Compromiso mínimo</w:t>
            </w:r>
          </w:p>
        </w:tc>
      </w:tr>
      <w:tr>
        <w:trPr>
          <w:cantSplit/>
        </w:trPr>
        <w:tc>
          <w:tcPr/>
          <w:p>
            <w:pPr>
              <w:pStyle w:val="Tabla9"/>
              <w:jc w:val="left"/>
            </w:pPr>
            <w:r>
              <w:t xml:space="preserve">3. Colaboración activa</w:t>
            </w:r>
          </w:p>
        </w:tc>
        <w:tc>
          <w:tcPr/>
          <w:p>
            <w:pPr>
              <w:pStyle w:val="Tabla9"/>
              <w:jc w:val="left"/>
            </w:pPr>
            <w:r>
              <w:t xml:space="preserve">Al menos 3 actividades con acta firmada</w:t>
            </w:r>
          </w:p>
        </w:tc>
        <w:tc>
          <w:tcPr/>
          <w:p>
            <w:pPr>
              <w:pStyle w:val="Tabla9"/>
              <w:jc w:val="left"/>
            </w:pPr>
            <w:r>
              <w:t xml:space="preserve">Primera acta antes del mes 12</w:t>
            </w:r>
          </w:p>
        </w:tc>
        <w:tc>
          <w:tcPr/>
          <w:p>
            <w:pPr>
              <w:pStyle w:val="Tabla9"/>
              <w:jc w:val="left"/>
            </w:pPr>
            <w:r>
              <w:t xml:space="preserve">20 talleres: 4 en el tramo 1, 8 en el tramo 2 y 8 en el tramo 3</w:t>
            </w:r>
          </w:p>
        </w:tc>
        <w:tc>
          <w:tcPr/>
          <w:p>
            <w:pPr>
              <w:pStyle w:val="Tabla9"/>
              <w:jc w:val="left"/>
            </w:pPr>
            <w:r>
              <w:t xml:space="preserve">Actas firmadas por representantes comunitarios</w:t>
            </w:r>
          </w:p>
        </w:tc>
        <w:tc>
          <w:tcPr/>
          <w:p>
            <w:pPr>
              <w:pStyle w:val="Tabla9"/>
              <w:jc w:val="left"/>
            </w:pPr>
            <w:r>
              <w:t xml:space="preserve">Obligatorio</w:t>
            </w:r>
          </w:p>
        </w:tc>
      </w:tr>
      <w:tr>
        <w:trPr>
          <w:cantSplit/>
        </w:trPr>
        <w:tc>
          <w:tcPr/>
          <w:p>
            <w:pPr>
              <w:pStyle w:val="Tabla9"/>
              <w:jc w:val="left"/>
            </w:pPr>
            <w:r>
              <w:t xml:space="preserve">4. Empoderamiento</w:t>
            </w:r>
          </w:p>
        </w:tc>
        <w:tc>
          <w:tcPr/>
          <w:p>
            <w:pPr>
              <w:pStyle w:val="Tabla9"/>
              <w:jc w:val="left"/>
            </w:pPr>
            <w:r>
              <w:t xml:space="preserve">1 actividad con plan de sostenibilidad</w:t>
            </w:r>
          </w:p>
        </w:tc>
        <w:tc>
          <w:tcPr/>
          <w:p>
            <w:pPr>
              <w:pStyle w:val="Tabla9"/>
              <w:jc w:val="left"/>
            </w:pPr>
            <w:r>
              <w:t xml:space="preserve">Meses 18 a 24</w:t>
            </w:r>
          </w:p>
        </w:tc>
        <w:tc>
          <w:tcPr/>
          <w:p>
            <w:pPr>
              <w:pStyle w:val="Tabla9"/>
              <w:jc w:val="left"/>
            </w:pPr>
            <w:r>
              <w:t xml:space="preserve">1</w:t>
            </w:r>
          </w:p>
        </w:tc>
        <w:tc>
          <w:tcPr/>
          <w:p>
            <w:pPr>
              <w:pStyle w:val="Tabla9"/>
              <w:jc w:val="left"/>
            </w:pPr>
            <w:r>
              <w:t xml:space="preserve">Plan documentado e índice a seis meses del cierre</w:t>
            </w:r>
          </w:p>
        </w:tc>
        <w:tc>
          <w:tcPr/>
          <w:p>
            <w:pPr>
              <w:pStyle w:val="Tabla9"/>
              <w:jc w:val="left"/>
            </w:pPr>
            <w:r>
              <w:t xml:space="preserve">Aspiracional</w:t>
            </w:r>
          </w:p>
        </w:tc>
      </w:tr>
    </w:tbl>
    <w:p>
      <w:pPr>
        <w:pStyle w:val="TablaNota"/>
      </w:pPr>
      <w:r>
        <w:rPr>
          <w:i/>
          <w:iCs/>
        </w:rPr>
        <w:t xml:space="preserve">Nota.</w:t>
      </w:r>
      <w:r>
        <w:t xml:space="preserve"> </w:t>
      </w:r>
      <w:r>
        <w:t xml:space="preserve">Elaboración propia con datos de la ficha maestra del proyecto (indicadores ASC y PERS-P04). El carácter de cada compromiso proviene del metaprompt; las cantidades por tramo son PROPUESTO. Los plazos de los niveles 1 y 2 son los fijados por la ficha; el plazo del nivel 4 es PROPUESTO.</w:t>
      </w:r>
    </w:p>
    <w:p>
      <w:pPr>
        <w:pStyle w:val="BodyText"/>
      </w:pPr>
      <w:r>
        <w:t xml:space="preserve">La tabla resume los compromisos y su carácter. Solo el nivel 3 es obligatorio, y su evidencia es la más exigente. Los compromisos de los niveles 1 y 2 se verifican con registros ordinarios. El nivel 4 se verifica con un plan documentado y con una medición posproyecto que el presupuesto no cubre (VACIO).</w:t>
      </w:r>
    </w:p>
    <w:bookmarkEnd w:id="647"/>
    <w:bookmarkEnd w:id="648"/>
    <w:bookmarkStart w:id="673" w:name="_Toc00900251"/>
    <w:p>
      <w:pPr>
        <w:pStyle w:val="Heading1"/>
      </w:pPr>
      <w:r>
        <w:t xml:space="preserve">Capítulo 17. Equipo de Trabajo</w:t>
      </w:r>
    </w:p>
    <w:p>
      <w:pPr>
        <w:pStyle w:val="FirstParagraph"/>
      </w:pPr>
      <w:r>
        <w:t xml:space="preserve">Este capítulo describe el equipo que el proyecto requiere y no un equipo nominado. Las líneas de personal P01 a P14 del presupuesto fijan los roles, las dedicaciones y los meses de vinculación. Cada perfil es un perfil requerido (PROPUESTO). Cada persona queda como [DATO_USUARIO: nombre y hoja de vida]. Las cifras de personas, de persona-mes y de equivalentes de tiempo completo se calculan desde esas líneas.</w:t>
      </w:r>
    </w:p>
    <w:bookmarkStart w:id="655" w:name="_Toc00900252"/>
    <w:p>
      <w:pPr>
        <w:pStyle w:val="Heading2"/>
      </w:pPr>
      <w:r>
        <w:t xml:space="preserve">17.1 Estructura del Equipo</w:t>
      </w:r>
    </w:p>
    <w:bookmarkStart w:id="652" w:name="_Toc00900253"/>
    <w:p>
      <w:pPr>
        <w:pStyle w:val="Heading3"/>
      </w:pPr>
      <w:r>
        <w:t xml:space="preserve">17.1.1 Organigrama del proyecto</w:t>
      </w:r>
    </w:p>
    <w:p>
      <w:pPr>
        <w:pStyle w:val="FirstParagraph"/>
      </w:pPr>
      <w:r>
        <w:t xml:space="preserve">La estructura del equipo separa la dirección científica de la gerencia del proyecto. El Project Management Institute (PMI, 2021) trata el equipo como un dominio de desempeño que combina responsabilidades definidas y liderazgo compartido. El organigrama de la Figura 17.1 aplica esa lectura en tres niveles. El comité directivo decide las compuertas C1, C2 y C3. La dirección científica y la gerencia responden ante ese comité. Los paquetes de trabajo WP1, WP2 y WP3 responden ante la dirección científica y la gerencia.</w:t>
      </w:r>
    </w:p>
    <w:p>
      <w:pPr>
        <w:pStyle w:val="FiguraRotulo"/>
      </w:pPr>
      <w:bookmarkStart w:id="9550" w:name="rot_Figura_17_1"/>
      <w:r>
        <w:rPr>
          <w:b/>
          <w:bCs/>
        </w:rPr>
        <w:t xml:space="preserve">Figura 17.1</w:t>
      </w:r>
      <w:bookmarkEnd w:id="9550"/>
    </w:p>
    <w:p>
      <w:pPr>
        <w:pStyle w:val="FiguraTitulo"/>
      </w:pPr>
      <w:r>
        <w:rPr>
          <w:i/>
          <w:iCs/>
        </w:rPr>
        <w:t xml:space="preserve">Organigrama del equipo del proyecto</w:t>
      </w:r>
    </w:p>
    <w:p>
      <w:pPr>
        <w:pStyle w:val="BodyText"/>
      </w:pPr>
      <w:r>
        <w:drawing>
          <wp:inline>
            <wp:extent cx="5579999" cy="3424738"/>
            <wp:effectExtent b="0" l="0" r="0" t="0"/>
            <wp:docPr descr="" title="" id="650" name="Picture"/>
            <a:graphic>
              <a:graphicData uri="http://schemas.openxmlformats.org/drawingml/2006/picture">
                <pic:pic>
                  <pic:nvPicPr>
                    <pic:cNvPr descr="/tmp/claude-0/-home-user-docs/ddf38714-2a7e-502b-92b4-1008e2832422/scratchpad/proy/figs/out/c17_f01.png" id="651" name="Picture"/>
                    <pic:cNvPicPr>
                      <a:picLocks noChangeArrowheads="1" noChangeAspect="1"/>
                    </pic:cNvPicPr>
                  </pic:nvPicPr>
                  <pic:blipFill>
                    <a:blip r:embed="rId649"/>
                    <a:stretch>
                      <a:fillRect/>
                    </a:stretch>
                  </pic:blipFill>
                  <pic:spPr bwMode="auto">
                    <a:xfrm>
                      <a:off x="0" y="0"/>
                      <a:ext cx="5579999" cy="342473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líneas P01 a P14 y C01 a C03 de maestro.py; script c17_figs.py, sin semilla; corte de datos 13 de octubre de 2026. ETC: equivalente de tiempo completo. Naturaleza: roles DECLARADO o PROPUESTO según la línea; comité directivo y comité asesor PROPUESTO.</w:t>
      </w:r>
    </w:p>
    <w:p>
      <w:pPr>
        <w:pStyle w:val="BodyText"/>
      </w:pPr>
      <w:r>
        <w:t xml:space="preserve">Dos posiciones contrastan en el diseño de la gobernanza de un proyecto de cambio técnico. Kotter (2012) sostiene que el cambio exige una coalición directiva con poder y pericia suficientes. Argyris y Schön (1978) sostienen que el aprendizaje organizacional exige que las personas cuestionen los supuestos que orientan su acción. El proyecto aplica cada posición en un nivel distinto. El comité directivo actúa como coalición con autoridad sobre las compuertas. Los paquetes técnicos revisan sus supuestos en las retrospectivas quincenales que describe el capítulo 6.</w:t>
      </w:r>
    </w:p>
    <w:p>
      <w:pPr>
        <w:pStyle w:val="BodyText"/>
      </w:pPr>
      <w:r>
        <w:t xml:space="preserve">El presupuesto financia 29 personas del Sistema General de Regalías (SGR) en 14 perfiles. Suma 624 persona-mes, equivalentes a 26,0 equivalentes de tiempo completo (ETC) promedio durante 24 meses (CALCULADO). La contrapartida de la institución de educación superior (IES) ejecutora agrega cuatro personas con dedicación parcial. Entre los meses 1 y 12 trabajan 29 personas del SGR. Desde el mes 13 trabajan 23, porque los seis jóvenes investigadores concluyen su vinculación en el mes 12.</w:t>
      </w:r>
    </w:p>
    <w:p>
      <w:pPr>
        <w:pStyle w:val="BodyText"/>
      </w:pPr>
      <w:r>
        <w:t xml:space="preserve">La consecuencia metodológica es que ninguna decisión de compuerta recae en un solo cargo. El comité directivo reúne a la entidad ejecutora, a la empresa tecnológica y a los comités territoriales (PROPUESTO). Su composición formal queda como [DATO_USUARIO: composición del comité directivo según el convenio]. La salida de los jóvenes investigadores coincide con la compuerta C1. Por eso el proyecto programa la entrega de bitácoras y de código documentado antes del mes 12 (PROPUESTO). Esa entrega conserva el conocimiento del piloto para los tramos siguientes.</w:t>
      </w:r>
    </w:p>
    <w:bookmarkEnd w:id="652"/>
    <w:bookmarkStart w:id="653" w:name="_Toc00900254"/>
    <w:p>
      <w:pPr>
        <w:pStyle w:val="Heading3"/>
      </w:pPr>
      <w:r>
        <w:t xml:space="preserve">17.1.2 Roles y responsabilidades</w:t>
      </w:r>
    </w:p>
    <w:p>
      <w:pPr>
        <w:pStyle w:val="FirstParagraph"/>
      </w:pPr>
      <w:r>
        <w:t xml:space="preserve">Los roles se definen por línea presupuestal y se asignan a un paquete de trabajo. La Tabla 17.1 resume cada rol con su responsabilidad principal, su dedicación y sus meses de vinculación. La tabla agrupa 14 líneas del SGR y tres de la IES. Las responsabilidades son una propuesta de formulación y requieren ratificación del comité directivo.</w:t>
      </w:r>
    </w:p>
    <w:p>
      <w:pPr>
        <w:pStyle w:val="TablaRotulo"/>
      </w:pPr>
      <w:bookmarkStart w:id="9384" w:name="rot_Tabla_17_1"/>
      <w:r>
        <w:rPr>
          <w:b/>
          <w:bCs/>
        </w:rPr>
        <w:t xml:space="preserve">Tabla 17.1</w:t>
      </w:r>
      <w:bookmarkEnd w:id="9384"/>
    </w:p>
    <w:p>
      <w:pPr>
        <w:pStyle w:val="TablaTitulo"/>
      </w:pPr>
      <w:r>
        <w:rPr>
          <w:i/>
          <w:iCs/>
        </w:rPr>
        <w:t xml:space="preserve">Matriz de roles y responsabilidades del equipo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94"/>
        <w:gridCol w:w="1584"/>
        <w:gridCol w:w="858"/>
        <w:gridCol w:w="792"/>
        <w:gridCol w:w="1452"/>
        <w:gridCol w:w="726"/>
        <w:gridCol w:w="594"/>
        <w:gridCol w:w="1320"/>
      </w:tblGrid>
      <w:tr>
        <w:trPr>
          <w:cantSplit/>
          <w:tblHeader/>
        </w:trPr>
        <w:tc>
          <w:tcPr>
            <w:shd w:val="clear" w:color="auto" w:fill="00B050"/>
          </w:tcPr>
          <w:p>
            <w:pPr>
              <w:pStyle w:val="Tabla8"/>
              <w:jc w:val="center"/>
            </w:pPr>
            <w:r>
              <w:rPr>
                <w:b/>
                <w:color w:val="FFFFFF"/>
              </w:rPr>
              <w:t xml:space="preserve">Línea</w:t>
            </w:r>
          </w:p>
        </w:tc>
        <w:tc>
          <w:tcPr>
            <w:shd w:val="clear" w:color="auto" w:fill="00B050"/>
          </w:tcPr>
          <w:p>
            <w:pPr>
              <w:pStyle w:val="Tabla8"/>
              <w:jc w:val="center"/>
            </w:pPr>
            <w:r>
              <w:rPr>
                <w:b/>
                <w:color w:val="FFFFFF"/>
              </w:rPr>
              <w:t xml:space="preserve">Rol</w:t>
            </w:r>
          </w:p>
        </w:tc>
        <w:tc>
          <w:tcPr>
            <w:shd w:val="clear" w:color="auto" w:fill="00B050"/>
          </w:tcPr>
          <w:p>
            <w:pPr>
              <w:pStyle w:val="Tabla8"/>
              <w:jc w:val="center"/>
            </w:pPr>
            <w:r>
              <w:rPr>
                <w:b/>
                <w:color w:val="FFFFFF"/>
              </w:rPr>
              <w:t xml:space="preserve">Personas</w:t>
            </w:r>
          </w:p>
        </w:tc>
        <w:tc>
          <w:tcPr>
            <w:shd w:val="clear" w:color="auto" w:fill="00B050"/>
          </w:tcPr>
          <w:p>
            <w:pPr>
              <w:pStyle w:val="Tabla8"/>
              <w:jc w:val="center"/>
            </w:pPr>
            <w:r>
              <w:rPr>
                <w:b/>
                <w:color w:val="FFFFFF"/>
              </w:rPr>
              <w:t xml:space="preserve">Paquete</w:t>
            </w:r>
          </w:p>
        </w:tc>
        <w:tc>
          <w:tcPr>
            <w:shd w:val="clear" w:color="auto" w:fill="00B050"/>
          </w:tcPr>
          <w:p>
            <w:pPr>
              <w:pStyle w:val="Tabla8"/>
              <w:jc w:val="center"/>
            </w:pPr>
            <w:r>
              <w:rPr>
                <w:b/>
                <w:color w:val="FFFFFF"/>
              </w:rPr>
              <w:t xml:space="preserve">Responsabilidad principal (PROPUESTO)</w:t>
            </w:r>
          </w:p>
        </w:tc>
        <w:tc>
          <w:tcPr>
            <w:shd w:val="clear" w:color="auto" w:fill="00B050"/>
          </w:tcPr>
          <w:p>
            <w:pPr>
              <w:pStyle w:val="Tabla8"/>
              <w:jc w:val="center"/>
            </w:pPr>
            <w:r>
              <w:rPr>
                <w:b/>
                <w:color w:val="FFFFFF"/>
              </w:rPr>
              <w:t xml:space="preserve">ETC por persona</w:t>
            </w:r>
          </w:p>
        </w:tc>
        <w:tc>
          <w:tcPr>
            <w:shd w:val="clear" w:color="auto" w:fill="00B050"/>
          </w:tcPr>
          <w:p>
            <w:pPr>
              <w:pStyle w:val="Tabla8"/>
              <w:jc w:val="center"/>
            </w:pPr>
            <w:r>
              <w:rPr>
                <w:b/>
                <w:color w:val="FFFFFF"/>
              </w:rPr>
              <w:t xml:space="preserve">Meses</w:t>
            </w:r>
          </w:p>
        </w:tc>
        <w:tc>
          <w:tcPr>
            <w:shd w:val="clear" w:color="auto" w:fill="00B050"/>
          </w:tcPr>
          <w:p>
            <w:pPr>
              <w:pStyle w:val="Tabla8"/>
              <w:jc w:val="center"/>
            </w:pPr>
            <w:r>
              <w:rPr>
                <w:b/>
                <w:color w:val="FFFFFF"/>
              </w:rPr>
              <w:t xml:space="preserve">Naturaleza</w:t>
            </w:r>
          </w:p>
        </w:tc>
      </w:tr>
      <w:tr>
        <w:trPr>
          <w:cantSplit/>
        </w:trPr>
        <w:tc>
          <w:tcPr/>
          <w:p>
            <w:pPr>
              <w:pStyle w:val="Tabla8"/>
              <w:jc w:val="left"/>
            </w:pPr>
            <w:r>
              <w:t xml:space="preserve">P01</w:t>
            </w:r>
          </w:p>
        </w:tc>
        <w:tc>
          <w:tcPr/>
          <w:p>
            <w:pPr>
              <w:pStyle w:val="Tabla8"/>
              <w:jc w:val="left"/>
            </w:pPr>
            <w:r>
              <w:t xml:space="preserve">Jóvenes investigadores</w:t>
            </w:r>
          </w:p>
        </w:tc>
        <w:tc>
          <w:tcPr/>
          <w:p>
            <w:pPr>
              <w:pStyle w:val="Tabla8"/>
              <w:jc w:val="left"/>
            </w:pPr>
            <w:r>
              <w:t xml:space="preserve">6</w:t>
            </w:r>
          </w:p>
        </w:tc>
        <w:tc>
          <w:tcPr/>
          <w:p>
            <w:pPr>
              <w:pStyle w:val="Tabla8"/>
              <w:jc w:val="left"/>
            </w:pPr>
            <w:r>
              <w:t xml:space="preserve">WP1</w:t>
            </w:r>
          </w:p>
        </w:tc>
        <w:tc>
          <w:tcPr/>
          <w:p>
            <w:pPr>
              <w:pStyle w:val="Tabla8"/>
              <w:jc w:val="left"/>
            </w:pPr>
            <w:r>
              <w:t xml:space="preserve">Apoyan la colocalización, el análisis de datos y la documentación del piloto.</w:t>
            </w:r>
          </w:p>
        </w:tc>
        <w:tc>
          <w:tcPr/>
          <w:p>
            <w:pPr>
              <w:pStyle w:val="Tabla8"/>
              <w:jc w:val="left"/>
            </w:pPr>
            <w:r>
              <w:t xml:space="preserve">1,0</w:t>
            </w:r>
          </w:p>
        </w:tc>
        <w:tc>
          <w:tcPr/>
          <w:p>
            <w:pPr>
              <w:pStyle w:val="Tabla8"/>
              <w:jc w:val="left"/>
            </w:pPr>
            <w:r>
              <w:t xml:space="preserve">1 a 12</w:t>
            </w:r>
          </w:p>
        </w:tc>
        <w:tc>
          <w:tcPr/>
          <w:p>
            <w:pPr>
              <w:pStyle w:val="Tabla8"/>
              <w:jc w:val="left"/>
            </w:pPr>
            <w:r>
              <w:t xml:space="preserve">DECLARADO</w:t>
            </w:r>
          </w:p>
        </w:tc>
      </w:tr>
      <w:tr>
        <w:trPr>
          <w:cantSplit/>
        </w:trPr>
        <w:tc>
          <w:tcPr/>
          <w:p>
            <w:pPr>
              <w:pStyle w:val="Tabla8"/>
              <w:jc w:val="left"/>
            </w:pPr>
            <w:r>
              <w:t xml:space="preserve">P02</w:t>
            </w:r>
          </w:p>
        </w:tc>
        <w:tc>
          <w:tcPr/>
          <w:p>
            <w:pPr>
              <w:pStyle w:val="Tabla8"/>
              <w:jc w:val="left"/>
            </w:pPr>
            <w:r>
              <w:t xml:space="preserve">Estudiantes de maestría</w:t>
            </w:r>
          </w:p>
        </w:tc>
        <w:tc>
          <w:tcPr/>
          <w:p>
            <w:pPr>
              <w:pStyle w:val="Tabla8"/>
              <w:jc w:val="left"/>
            </w:pPr>
            <w:r>
              <w:t xml:space="preserve">2</w:t>
            </w:r>
          </w:p>
        </w:tc>
        <w:tc>
          <w:tcPr/>
          <w:p>
            <w:pPr>
              <w:pStyle w:val="Tabla8"/>
              <w:jc w:val="left"/>
            </w:pPr>
            <w:r>
              <w:t xml:space="preserve">WP1</w:t>
            </w:r>
          </w:p>
        </w:tc>
        <w:tc>
          <w:tcPr/>
          <w:p>
            <w:pPr>
              <w:pStyle w:val="Tabla8"/>
              <w:jc w:val="left"/>
            </w:pPr>
            <w:r>
              <w:t xml:space="preserve">Desarrollan tesis sobre el modelo de corrección y su validación frente a la referencia.</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p>
            <w:pPr>
              <w:pStyle w:val="Tabla8"/>
              <w:jc w:val="left"/>
            </w:pPr>
            <w:r>
              <w:t xml:space="preserve">P03</w:t>
            </w:r>
          </w:p>
        </w:tc>
        <w:tc>
          <w:tcPr/>
          <w:p>
            <w:pPr>
              <w:pStyle w:val="Tabla8"/>
              <w:jc w:val="left"/>
            </w:pPr>
            <w:r>
              <w:t xml:space="preserve">Doctor en estancia posdoctoral con perfil de ciencia de datos</w:t>
            </w:r>
          </w:p>
        </w:tc>
        <w:tc>
          <w:tcPr/>
          <w:p>
            <w:pPr>
              <w:pStyle w:val="Tabla8"/>
              <w:jc w:val="left"/>
            </w:pPr>
            <w:r>
              <w:t xml:space="preserve">1</w:t>
            </w:r>
          </w:p>
        </w:tc>
        <w:tc>
          <w:tcPr/>
          <w:p>
            <w:pPr>
              <w:pStyle w:val="Tabla8"/>
              <w:jc w:val="left"/>
            </w:pPr>
            <w:r>
              <w:t xml:space="preserve">WP1</w:t>
            </w:r>
          </w:p>
        </w:tc>
        <w:tc>
          <w:tcPr/>
          <w:p>
            <w:pPr>
              <w:pStyle w:val="Tabla8"/>
              <w:jc w:val="left"/>
            </w:pPr>
            <w:r>
              <w:t xml:space="preserve">Diseña, entrena y valida el modelo de corrección que se ejecuta en los gateways.</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p>
            <w:pPr>
              <w:pStyle w:val="Tabla8"/>
              <w:jc w:val="left"/>
            </w:pPr>
            <w:r>
              <w:t xml:space="preserve">P04</w:t>
            </w:r>
          </w:p>
        </w:tc>
        <w:tc>
          <w:tcPr/>
          <w:p>
            <w:pPr>
              <w:pStyle w:val="Tabla8"/>
              <w:jc w:val="left"/>
            </w:pPr>
            <w:r>
              <w:t xml:space="preserve">Ingenieros IoT y de campo</w:t>
            </w:r>
          </w:p>
        </w:tc>
        <w:tc>
          <w:tcPr/>
          <w:p>
            <w:pPr>
              <w:pStyle w:val="Tabla8"/>
              <w:jc w:val="left"/>
            </w:pPr>
            <w:r>
              <w:t xml:space="preserve">3</w:t>
            </w:r>
          </w:p>
        </w:tc>
        <w:tc>
          <w:tcPr/>
          <w:p>
            <w:pPr>
              <w:pStyle w:val="Tabla8"/>
              <w:jc w:val="left"/>
            </w:pPr>
            <w:r>
              <w:t xml:space="preserve">WP2</w:t>
            </w:r>
          </w:p>
        </w:tc>
        <w:tc>
          <w:tcPr/>
          <w:p>
            <w:pPr>
              <w:pStyle w:val="Tabla8"/>
              <w:jc w:val="left"/>
            </w:pPr>
            <w:r>
              <w:t xml:space="preserve">Instalan, configuran y operan nodos y gateways; uno de ellos coordina WP2.</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p>
            <w:pPr>
              <w:pStyle w:val="Tabla8"/>
              <w:jc w:val="left"/>
            </w:pPr>
            <w:r>
              <w:t xml:space="preserve">P05</w:t>
            </w:r>
          </w:p>
        </w:tc>
        <w:tc>
          <w:tcPr/>
          <w:p>
            <w:pPr>
              <w:pStyle w:val="Tabla8"/>
              <w:jc w:val="left"/>
            </w:pPr>
            <w:r>
              <w:t xml:space="preserve">Coordinación de apropiación social</w:t>
            </w:r>
          </w:p>
        </w:tc>
        <w:tc>
          <w:tcPr/>
          <w:p>
            <w:pPr>
              <w:pStyle w:val="Tabla8"/>
              <w:jc w:val="left"/>
            </w:pPr>
            <w:r>
              <w:t xml:space="preserve">1</w:t>
            </w:r>
          </w:p>
        </w:tc>
        <w:tc>
          <w:tcPr/>
          <w:p>
            <w:pPr>
              <w:pStyle w:val="Tabla8"/>
              <w:jc w:val="left"/>
            </w:pPr>
            <w:r>
              <w:t xml:space="preserve">WP3</w:t>
            </w:r>
          </w:p>
        </w:tc>
        <w:tc>
          <w:tcPr/>
          <w:p>
            <w:pPr>
              <w:pStyle w:val="Tabla8"/>
              <w:jc w:val="left"/>
            </w:pPr>
            <w:r>
              <w:t xml:space="preserve">Coordina la apropiación social y el co-diseño con los comités de gestión del riesgo.</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p>
            <w:pPr>
              <w:pStyle w:val="Tabla8"/>
              <w:jc w:val="left"/>
            </w:pPr>
            <w:r>
              <w:t xml:space="preserve">P06</w:t>
            </w:r>
          </w:p>
        </w:tc>
        <w:tc>
          <w:tcPr/>
          <w:p>
            <w:pPr>
              <w:pStyle w:val="Tabla8"/>
              <w:jc w:val="left"/>
            </w:pPr>
            <w:r>
              <w:t xml:space="preserve">Gerencia de proyecto</w:t>
            </w:r>
          </w:p>
        </w:tc>
        <w:tc>
          <w:tcPr/>
          <w:p>
            <w:pPr>
              <w:pStyle w:val="Tabla8"/>
              <w:jc w:val="left"/>
            </w:pPr>
            <w:r>
              <w:t xml:space="preserve">1</w:t>
            </w:r>
          </w:p>
        </w:tc>
        <w:tc>
          <w:tcPr/>
          <w:p>
            <w:pPr>
              <w:pStyle w:val="Tabla8"/>
              <w:jc w:val="left"/>
            </w:pPr>
            <w:r>
              <w:t xml:space="preserve">WP0</w:t>
            </w:r>
          </w:p>
        </w:tc>
        <w:tc>
          <w:tcPr/>
          <w:p>
            <w:pPr>
              <w:pStyle w:val="Tabla8"/>
              <w:jc w:val="left"/>
            </w:pPr>
            <w:r>
              <w:t xml:space="preserve">Gerencia el alcance, el cronograma, el presupuesto y la preparación de las compuertas.</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p>
            <w:pPr>
              <w:pStyle w:val="Tabla8"/>
              <w:jc w:val="left"/>
            </w:pPr>
            <w:r>
              <w:t xml:space="preserve">P07</w:t>
            </w:r>
          </w:p>
        </w:tc>
        <w:tc>
          <w:tcPr/>
          <w:p>
            <w:pPr>
              <w:pStyle w:val="Tabla8"/>
              <w:jc w:val="left"/>
            </w:pPr>
            <w:r>
              <w:t xml:space="preserve">Especialista en metrología y calibración</w:t>
            </w:r>
          </w:p>
        </w:tc>
        <w:tc>
          <w:tcPr/>
          <w:p>
            <w:pPr>
              <w:pStyle w:val="Tabla8"/>
              <w:jc w:val="left"/>
            </w:pPr>
            <w:r>
              <w:t xml:space="preserve">1</w:t>
            </w:r>
          </w:p>
        </w:tc>
        <w:tc>
          <w:tcPr/>
          <w:p>
            <w:pPr>
              <w:pStyle w:val="Tabla8"/>
              <w:jc w:val="left"/>
            </w:pPr>
            <w:r>
              <w:t xml:space="preserve">WP1</w:t>
            </w:r>
          </w:p>
        </w:tc>
        <w:tc>
          <w:tcPr/>
          <w:p>
            <w:pPr>
              <w:pStyle w:val="Tabla8"/>
              <w:jc w:val="left"/>
            </w:pPr>
            <w:r>
              <w:t xml:space="preserve">Responde por la trazabilidad frente a la referencia gravimétrica y firma la validación.</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p>
            <w:pPr>
              <w:pStyle w:val="Tabla8"/>
              <w:jc w:val="left"/>
            </w:pPr>
            <w:r>
              <w:t xml:space="preserve">P08</w:t>
            </w:r>
          </w:p>
        </w:tc>
        <w:tc>
          <w:tcPr/>
          <w:p>
            <w:pPr>
              <w:pStyle w:val="Tabla8"/>
              <w:jc w:val="left"/>
            </w:pPr>
            <w:r>
              <w:t xml:space="preserve">Ingenieros de software y nube</w:t>
            </w:r>
          </w:p>
        </w:tc>
        <w:tc>
          <w:tcPr/>
          <w:p>
            <w:pPr>
              <w:pStyle w:val="Tabla8"/>
              <w:jc w:val="left"/>
            </w:pPr>
            <w:r>
              <w:t xml:space="preserve">2</w:t>
            </w:r>
          </w:p>
        </w:tc>
        <w:tc>
          <w:tcPr/>
          <w:p>
            <w:pPr>
              <w:pStyle w:val="Tabla8"/>
              <w:jc w:val="left"/>
            </w:pPr>
            <w:r>
              <w:t xml:space="preserve">WP2</w:t>
            </w:r>
          </w:p>
        </w:tc>
        <w:tc>
          <w:tcPr/>
          <w:p>
            <w:pPr>
              <w:pStyle w:val="Tabla8"/>
              <w:jc w:val="left"/>
            </w:pPr>
            <w:r>
              <w:t xml:space="preserve">Construyen la plataforma en la nube, el gemelo digital y el tablero.</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p>
            <w:pPr>
              <w:pStyle w:val="Tabla8"/>
              <w:jc w:val="left"/>
            </w:pPr>
            <w:r>
              <w:t xml:space="preserve">P09</w:t>
            </w:r>
          </w:p>
        </w:tc>
        <w:tc>
          <w:tcPr/>
          <w:p>
            <w:pPr>
              <w:pStyle w:val="Tabla8"/>
              <w:jc w:val="left"/>
            </w:pPr>
            <w:r>
              <w:t xml:space="preserve">Ingeniero de firmware y energía</w:t>
            </w:r>
          </w:p>
        </w:tc>
        <w:tc>
          <w:tcPr/>
          <w:p>
            <w:pPr>
              <w:pStyle w:val="Tabla8"/>
              <w:jc w:val="left"/>
            </w:pPr>
            <w:r>
              <w:t xml:space="preserve">1</w:t>
            </w:r>
          </w:p>
        </w:tc>
        <w:tc>
          <w:tcPr/>
          <w:p>
            <w:pPr>
              <w:pStyle w:val="Tabla8"/>
              <w:jc w:val="left"/>
            </w:pPr>
            <w:r>
              <w:t xml:space="preserve">WP2</w:t>
            </w:r>
          </w:p>
        </w:tc>
        <w:tc>
          <w:tcPr/>
          <w:p>
            <w:pPr>
              <w:pStyle w:val="Tabla8"/>
              <w:jc w:val="left"/>
            </w:pPr>
            <w:r>
              <w:t xml:space="preserve">Diseña el firmware y la energía para 14 días de autonomía sin sol.</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p>
            <w:pPr>
              <w:pStyle w:val="Tabla8"/>
              <w:jc w:val="left"/>
            </w:pPr>
            <w:r>
              <w:t xml:space="preserve">P10</w:t>
            </w:r>
          </w:p>
        </w:tc>
        <w:tc>
          <w:tcPr/>
          <w:p>
            <w:pPr>
              <w:pStyle w:val="Tabla8"/>
              <w:jc w:val="left"/>
            </w:pPr>
            <w:r>
              <w:t xml:space="preserve">Técnicos de campo departamentales</w:t>
            </w:r>
          </w:p>
        </w:tc>
        <w:tc>
          <w:tcPr/>
          <w:p>
            <w:pPr>
              <w:pStyle w:val="Tabla8"/>
              <w:jc w:val="left"/>
            </w:pPr>
            <w:r>
              <w:t xml:space="preserve">6</w:t>
            </w:r>
          </w:p>
        </w:tc>
        <w:tc>
          <w:tcPr/>
          <w:p>
            <w:pPr>
              <w:pStyle w:val="Tabla8"/>
              <w:jc w:val="left"/>
            </w:pPr>
            <w:r>
              <w:t xml:space="preserve">WP2</w:t>
            </w:r>
          </w:p>
        </w:tc>
        <w:tc>
          <w:tcPr/>
          <w:p>
            <w:pPr>
              <w:pStyle w:val="Tabla8"/>
              <w:jc w:val="left"/>
            </w:pPr>
            <w:r>
              <w:t xml:space="preserve">Instalan, mantienen y reponen equipos en campo; dos técnicos por departamento.</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p>
            <w:pPr>
              <w:pStyle w:val="Tabla8"/>
              <w:jc w:val="left"/>
            </w:pPr>
            <w:r>
              <w:t xml:space="preserve">P11</w:t>
            </w:r>
          </w:p>
        </w:tc>
        <w:tc>
          <w:tcPr/>
          <w:p>
            <w:pPr>
              <w:pStyle w:val="Tabla8"/>
              <w:jc w:val="left"/>
            </w:pPr>
            <w:r>
              <w:t xml:space="preserve">Profesionales de apropiación social</w:t>
            </w:r>
          </w:p>
        </w:tc>
        <w:tc>
          <w:tcPr/>
          <w:p>
            <w:pPr>
              <w:pStyle w:val="Tabla8"/>
              <w:jc w:val="left"/>
            </w:pPr>
            <w:r>
              <w:t xml:space="preserve">2</w:t>
            </w:r>
          </w:p>
        </w:tc>
        <w:tc>
          <w:tcPr/>
          <w:p>
            <w:pPr>
              <w:pStyle w:val="Tabla8"/>
              <w:jc w:val="left"/>
            </w:pPr>
            <w:r>
              <w:t xml:space="preserve">WP3</w:t>
            </w:r>
          </w:p>
        </w:tc>
        <w:tc>
          <w:tcPr/>
          <w:p>
            <w:pPr>
              <w:pStyle w:val="Tabla8"/>
              <w:jc w:val="left"/>
            </w:pPr>
            <w:r>
              <w:t xml:space="preserve">Facilitan talleres de co-diseño y acompañan a los comités en el uso del tablero.</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p>
            <w:pPr>
              <w:pStyle w:val="Tabla8"/>
              <w:jc w:val="left"/>
            </w:pPr>
            <w:r>
              <w:t xml:space="preserve">P12</w:t>
            </w:r>
          </w:p>
        </w:tc>
        <w:tc>
          <w:tcPr/>
          <w:p>
            <w:pPr>
              <w:pStyle w:val="Tabla8"/>
              <w:jc w:val="left"/>
            </w:pPr>
            <w:r>
              <w:t xml:space="preserve">Analista de datos espaciales y gemelo digital</w:t>
            </w:r>
          </w:p>
        </w:tc>
        <w:tc>
          <w:tcPr/>
          <w:p>
            <w:pPr>
              <w:pStyle w:val="Tabla8"/>
              <w:jc w:val="left"/>
            </w:pPr>
            <w:r>
              <w:t xml:space="preserve">1</w:t>
            </w:r>
          </w:p>
        </w:tc>
        <w:tc>
          <w:tcPr/>
          <w:p>
            <w:pPr>
              <w:pStyle w:val="Tabla8"/>
              <w:jc w:val="left"/>
            </w:pPr>
            <w:r>
              <w:t xml:space="preserve">WP2</w:t>
            </w:r>
          </w:p>
        </w:tc>
        <w:tc>
          <w:tcPr/>
          <w:p>
            <w:pPr>
              <w:pStyle w:val="Tabla8"/>
              <w:jc w:val="left"/>
            </w:pPr>
            <w:r>
              <w:t xml:space="preserve">Desarrolla la estimación espacial del gemelo digital y valida sus resultados.</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p>
            <w:pPr>
              <w:pStyle w:val="Tabla8"/>
              <w:jc w:val="left"/>
            </w:pPr>
            <w:r>
              <w:t xml:space="preserve">P13</w:t>
            </w:r>
          </w:p>
        </w:tc>
        <w:tc>
          <w:tcPr/>
          <w:p>
            <w:pPr>
              <w:pStyle w:val="Tabla8"/>
              <w:jc w:val="left"/>
            </w:pPr>
            <w:r>
              <w:t xml:space="preserve">Profesional en calidad del aire y salud ambiental</w:t>
            </w:r>
          </w:p>
        </w:tc>
        <w:tc>
          <w:tcPr/>
          <w:p>
            <w:pPr>
              <w:pStyle w:val="Tabla8"/>
              <w:jc w:val="left"/>
            </w:pPr>
            <w:r>
              <w:t xml:space="preserve">1</w:t>
            </w:r>
          </w:p>
        </w:tc>
        <w:tc>
          <w:tcPr/>
          <w:p>
            <w:pPr>
              <w:pStyle w:val="Tabla8"/>
              <w:jc w:val="left"/>
            </w:pPr>
            <w:r>
              <w:t xml:space="preserve">WP3</w:t>
            </w:r>
          </w:p>
        </w:tc>
        <w:tc>
          <w:tcPr/>
          <w:p>
            <w:pPr>
              <w:pStyle w:val="Tabla8"/>
              <w:jc w:val="left"/>
            </w:pPr>
            <w:r>
              <w:t xml:space="preserve">Define con los comités los umbrales locales del índice y el protocolo de alerta.</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p>
            <w:pPr>
              <w:pStyle w:val="Tabla8"/>
              <w:jc w:val="left"/>
            </w:pPr>
            <w:r>
              <w:t xml:space="preserve">P14</w:t>
            </w:r>
          </w:p>
        </w:tc>
        <w:tc>
          <w:tcPr/>
          <w:p>
            <w:pPr>
              <w:pStyle w:val="Tabla8"/>
              <w:jc w:val="left"/>
            </w:pPr>
            <w:r>
              <w:t xml:space="preserve">Profesional de convenios y custodia</w:t>
            </w:r>
          </w:p>
        </w:tc>
        <w:tc>
          <w:tcPr/>
          <w:p>
            <w:pPr>
              <w:pStyle w:val="Tabla8"/>
              <w:jc w:val="left"/>
            </w:pPr>
            <w:r>
              <w:t xml:space="preserve">1</w:t>
            </w:r>
          </w:p>
        </w:tc>
        <w:tc>
          <w:tcPr/>
          <w:p>
            <w:pPr>
              <w:pStyle w:val="Tabla8"/>
              <w:jc w:val="left"/>
            </w:pPr>
            <w:r>
              <w:t xml:space="preserve">WP3</w:t>
            </w:r>
          </w:p>
        </w:tc>
        <w:tc>
          <w:tcPr/>
          <w:p>
            <w:pPr>
              <w:pStyle w:val="Tabla8"/>
              <w:jc w:val="left"/>
            </w:pPr>
            <w:r>
              <w:t xml:space="preserve">Gestiona los convenios por tramo, la cláusula de apertura y la propiedad intelectual.</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p>
            <w:pPr>
              <w:pStyle w:val="Tabla8"/>
              <w:jc w:val="left"/>
            </w:pPr>
            <w:r>
              <w:t xml:space="preserve">Total SGR</w:t>
            </w:r>
          </w:p>
        </w:tc>
        <w:tc>
          <w:tcPr/>
          <w:p>
            <w:pPr>
              <w:pStyle w:val="Tabla8"/>
              <w:jc w:val="left"/>
            </w:pPr>
            <w:r>
              <w:t xml:space="preserve">14 perfiles</w:t>
            </w:r>
          </w:p>
        </w:tc>
        <w:tc>
          <w:tcPr/>
          <w:p>
            <w:pPr>
              <w:pStyle w:val="Tabla8"/>
              <w:jc w:val="left"/>
            </w:pPr>
            <w:r>
              <w:t xml:space="preserve">29</w:t>
            </w:r>
          </w:p>
        </w:tc>
        <w:tc>
          <w:tcPr/>
          <w:p>
            <w:pPr>
              <w:pStyle w:val="Tabla8"/>
              <w:jc w:val="left"/>
            </w:pPr>
            <w:r>
              <w:t xml:space="preserve">WP0 a WP3</w:t>
            </w:r>
          </w:p>
        </w:tc>
        <w:tc>
          <w:tcPr/>
          <w:p>
            <w:pPr>
              <w:pStyle w:val="Tabla8"/>
              <w:jc w:val="left"/>
            </w:pPr>
            <w:r>
              <w:t xml:space="preserve">624 persona-mes; 26,0 ETC promedio en 24 meses</w:t>
            </w:r>
          </w:p>
        </w:tc>
        <w:tc>
          <w:tcPr/>
          <w:p>
            <w:pPr>
              <w:pStyle w:val="Tabla8"/>
              <w:jc w:val="left"/>
            </w:pPr>
            <w:r>
              <w:t xml:space="preserve">—</w:t>
            </w:r>
          </w:p>
        </w:tc>
        <w:tc>
          <w:tcPr/>
          <w:p>
            <w:pPr>
              <w:pStyle w:val="Tabla8"/>
              <w:jc w:val="left"/>
            </w:pPr>
            <w:r>
              <w:t xml:space="preserve">1 a 24</w:t>
            </w:r>
          </w:p>
        </w:tc>
        <w:tc>
          <w:tcPr/>
          <w:p>
            <w:pPr>
              <w:pStyle w:val="Tabla8"/>
              <w:jc w:val="left"/>
            </w:pPr>
            <w:r>
              <w:t xml:space="preserve">CALCULADO</w:t>
            </w:r>
          </w:p>
        </w:tc>
      </w:tr>
      <w:tr>
        <w:trPr>
          <w:cantSplit/>
        </w:trPr>
        <w:tc>
          <w:tcPr/>
          <w:p>
            <w:pPr>
              <w:pStyle w:val="Tabla8"/>
              <w:jc w:val="left"/>
            </w:pPr>
            <w:r>
              <w:t xml:space="preserve">C01</w:t>
            </w:r>
          </w:p>
        </w:tc>
        <w:tc>
          <w:tcPr/>
          <w:p>
            <w:pPr>
              <w:pStyle w:val="Tabla8"/>
              <w:jc w:val="left"/>
            </w:pPr>
            <w:r>
              <w:t xml:space="preserve">Investigador principal (IES)</w:t>
            </w:r>
          </w:p>
        </w:tc>
        <w:tc>
          <w:tcPr/>
          <w:p>
            <w:pPr>
              <w:pStyle w:val="Tabla8"/>
              <w:jc w:val="left"/>
            </w:pPr>
            <w:r>
              <w:t xml:space="preserve">1</w:t>
            </w:r>
          </w:p>
        </w:tc>
        <w:tc>
          <w:tcPr/>
          <w:p>
            <w:pPr>
              <w:pStyle w:val="Tabla8"/>
              <w:jc w:val="left"/>
            </w:pPr>
            <w:r>
              <w:t xml:space="preserve">WP0</w:t>
            </w:r>
          </w:p>
        </w:tc>
        <w:tc>
          <w:tcPr/>
          <w:p>
            <w:pPr>
              <w:pStyle w:val="Tabla8"/>
              <w:jc w:val="left"/>
            </w:pPr>
            <w:r>
              <w:t xml:space="preserve">Dirige la ejecución científica, representa al proyecto y preside el comité técnico.</w:t>
            </w:r>
          </w:p>
        </w:tc>
        <w:tc>
          <w:tcPr/>
          <w:p>
            <w:pPr>
              <w:pStyle w:val="Tabla8"/>
              <w:jc w:val="left"/>
            </w:pPr>
            <w:r>
              <w:t xml:space="preserve">0,5</w:t>
            </w:r>
          </w:p>
        </w:tc>
        <w:tc>
          <w:tcPr/>
          <w:p>
            <w:pPr>
              <w:pStyle w:val="Tabla8"/>
              <w:jc w:val="left"/>
            </w:pPr>
            <w:r>
              <w:t xml:space="preserve">1 a 24</w:t>
            </w:r>
          </w:p>
        </w:tc>
        <w:tc>
          <w:tcPr/>
          <w:p>
            <w:pPr>
              <w:pStyle w:val="Tabla8"/>
              <w:jc w:val="left"/>
            </w:pPr>
            <w:r>
              <w:t xml:space="preserve">DECLARADO</w:t>
            </w:r>
          </w:p>
        </w:tc>
      </w:tr>
      <w:tr>
        <w:trPr>
          <w:cantSplit/>
        </w:trPr>
        <w:tc>
          <w:tcPr/>
          <w:p>
            <w:pPr>
              <w:pStyle w:val="Tabla8"/>
              <w:jc w:val="left"/>
            </w:pPr>
            <w:r>
              <w:t xml:space="preserve">C02</w:t>
            </w:r>
          </w:p>
        </w:tc>
        <w:tc>
          <w:tcPr/>
          <w:p>
            <w:pPr>
              <w:pStyle w:val="Tabla8"/>
              <w:jc w:val="left"/>
            </w:pPr>
            <w:r>
              <w:t xml:space="preserve">Coinvestigador técnico (IES)</w:t>
            </w:r>
          </w:p>
        </w:tc>
        <w:tc>
          <w:tcPr/>
          <w:p>
            <w:pPr>
              <w:pStyle w:val="Tabla8"/>
              <w:jc w:val="left"/>
            </w:pPr>
            <w:r>
              <w:t xml:space="preserve">1</w:t>
            </w:r>
          </w:p>
        </w:tc>
        <w:tc>
          <w:tcPr/>
          <w:p>
            <w:pPr>
              <w:pStyle w:val="Tabla8"/>
              <w:jc w:val="left"/>
            </w:pPr>
            <w:r>
              <w:t xml:space="preserve">WP1</w:t>
            </w:r>
          </w:p>
        </w:tc>
        <w:tc>
          <w:tcPr/>
          <w:p>
            <w:pPr>
              <w:pStyle w:val="Tabla8"/>
              <w:jc w:val="left"/>
            </w:pPr>
            <w:r>
              <w:t xml:space="preserve">Coordina WP1 y la validación de la corrección frente a la referencia.</w:t>
            </w:r>
          </w:p>
        </w:tc>
        <w:tc>
          <w:tcPr/>
          <w:p>
            <w:pPr>
              <w:pStyle w:val="Tabla8"/>
              <w:jc w:val="left"/>
            </w:pPr>
            <w:r>
              <w:t xml:space="preserve">0,3</w:t>
            </w:r>
          </w:p>
        </w:tc>
        <w:tc>
          <w:tcPr/>
          <w:p>
            <w:pPr>
              <w:pStyle w:val="Tabla8"/>
              <w:jc w:val="left"/>
            </w:pPr>
            <w:r>
              <w:t xml:space="preserve">1 a 24</w:t>
            </w:r>
          </w:p>
        </w:tc>
        <w:tc>
          <w:tcPr/>
          <w:p>
            <w:pPr>
              <w:pStyle w:val="Tabla8"/>
              <w:jc w:val="left"/>
            </w:pPr>
            <w:r>
              <w:t xml:space="preserve">DECLARADO</w:t>
            </w:r>
          </w:p>
        </w:tc>
      </w:tr>
      <w:tr>
        <w:trPr>
          <w:cantSplit/>
        </w:trPr>
        <w:tc>
          <w:tcPr/>
          <w:p>
            <w:pPr>
              <w:pStyle w:val="Tabla8"/>
              <w:jc w:val="left"/>
            </w:pPr>
            <w:r>
              <w:t xml:space="preserve">C03</w:t>
            </w:r>
          </w:p>
        </w:tc>
        <w:tc>
          <w:tcPr/>
          <w:p>
            <w:pPr>
              <w:pStyle w:val="Tabla8"/>
              <w:jc w:val="left"/>
            </w:pPr>
            <w:r>
              <w:t xml:space="preserve">Coinvestigadores de ambiente y ciencias sociales (IES)</w:t>
            </w:r>
          </w:p>
        </w:tc>
        <w:tc>
          <w:tcPr/>
          <w:p>
            <w:pPr>
              <w:pStyle w:val="Tabla8"/>
              <w:jc w:val="left"/>
            </w:pPr>
            <w:r>
              <w:t xml:space="preserve">2</w:t>
            </w:r>
          </w:p>
        </w:tc>
        <w:tc>
          <w:tcPr/>
          <w:p>
            <w:pPr>
              <w:pStyle w:val="Tabla8"/>
              <w:jc w:val="left"/>
            </w:pPr>
            <w:r>
              <w:t xml:space="preserve">WP3</w:t>
            </w:r>
          </w:p>
        </w:tc>
        <w:tc>
          <w:tcPr/>
          <w:p>
            <w:pPr>
              <w:pStyle w:val="Tabla8"/>
              <w:jc w:val="left"/>
            </w:pPr>
            <w:r>
              <w:t xml:space="preserve">Asesoran el análisis de ambiente y salud ambiental y el co-diseño con ciencias sociales.</w:t>
            </w:r>
          </w:p>
        </w:tc>
        <w:tc>
          <w:tcPr/>
          <w:p>
            <w:pPr>
              <w:pStyle w:val="Tabla8"/>
              <w:jc w:val="left"/>
            </w:pPr>
            <w:r>
              <w:t xml:space="preserve">0,2</w:t>
            </w:r>
          </w:p>
        </w:tc>
        <w:tc>
          <w:tcPr/>
          <w:p>
            <w:pPr>
              <w:pStyle w:val="Tabla8"/>
              <w:jc w:val="left"/>
            </w:pPr>
            <w:r>
              <w:t xml:space="preserve">1 a 24</w:t>
            </w:r>
          </w:p>
        </w:tc>
        <w:tc>
          <w:tcPr/>
          <w:p>
            <w:pPr>
              <w:pStyle w:val="Tabla8"/>
              <w:jc w:val="left"/>
            </w:pPr>
            <w:r>
              <w:t xml:space="preserve">PROPUESTO</w:t>
            </w:r>
          </w:p>
        </w:tc>
      </w:tr>
      <w:tr>
        <w:trPr>
          <w:cantSplit/>
        </w:trPr>
        <w:tc>
          <w:tcPr/>
          <w:p>
            <w:pPr>
              <w:pStyle w:val="Tabla8"/>
              <w:jc w:val="left"/>
            </w:pPr>
            <w:r>
              <w:t xml:space="preserve">Total IES</w:t>
            </w:r>
          </w:p>
        </w:tc>
        <w:tc>
          <w:tcPr/>
          <w:p>
            <w:pPr>
              <w:pStyle w:val="Tabla8"/>
              <w:jc w:val="left"/>
            </w:pPr>
            <w:r>
              <w:t xml:space="preserve">3 perfiles</w:t>
            </w:r>
          </w:p>
        </w:tc>
        <w:tc>
          <w:tcPr/>
          <w:p>
            <w:pPr>
              <w:pStyle w:val="Tabla8"/>
              <w:jc w:val="left"/>
            </w:pPr>
            <w:r>
              <w:t xml:space="preserve">4</w:t>
            </w:r>
          </w:p>
        </w:tc>
        <w:tc>
          <w:tcPr/>
          <w:p>
            <w:pPr>
              <w:pStyle w:val="Tabla8"/>
              <w:jc w:val="left"/>
            </w:pPr>
            <w:r>
              <w:t xml:space="preserve">WP0, WP1, WP3</w:t>
            </w:r>
          </w:p>
        </w:tc>
        <w:tc>
          <w:tcPr/>
          <w:p>
            <w:pPr>
              <w:pStyle w:val="Tabla8"/>
              <w:jc w:val="left"/>
            </w:pPr>
            <w:r>
              <w:t xml:space="preserve">1,2 ETC en 24 meses</w:t>
            </w:r>
          </w:p>
        </w:tc>
        <w:tc>
          <w:tcPr/>
          <w:p>
            <w:pPr>
              <w:pStyle w:val="Tabla8"/>
              <w:jc w:val="left"/>
            </w:pPr>
            <w:r>
              <w:t xml:space="preserve">—</w:t>
            </w:r>
          </w:p>
        </w:tc>
        <w:tc>
          <w:tcPr/>
          <w:p>
            <w:pPr>
              <w:pStyle w:val="Tabla8"/>
              <w:jc w:val="left"/>
            </w:pPr>
            <w:r>
              <w:t xml:space="preserve">1 a 24</w:t>
            </w:r>
          </w:p>
        </w:tc>
        <w:tc>
          <w:tcPr/>
          <w:p>
            <w:pPr>
              <w:pStyle w:val="Tabla8"/>
              <w:jc w:val="left"/>
            </w:pPr>
            <w:r>
              <w:t xml:space="preserve">CALCULADO</w:t>
            </w:r>
          </w:p>
        </w:tc>
      </w:tr>
    </w:tbl>
    <w:p>
      <w:pPr>
        <w:pStyle w:val="TablaNota"/>
      </w:pPr>
      <w:r>
        <w:rPr>
          <w:i/>
          <w:iCs/>
        </w:rPr>
        <w:t xml:space="preserve">Nota.</w:t>
      </w:r>
      <w:r>
        <w:t xml:space="preserve"> </w:t>
      </w:r>
      <w:r>
        <w:t xml:space="preserve">Elaboración propia con las líneas P01 a P14 del presupuesto y C01 a C03 de la contrapartida (maestro.py). ETC: equivalente de tiempo completo, calculado como persona-mes ÷ (personas × meses de vigencia). La naturaleza corresponde a la línea; las responsabilidades son PROPUESTO. Decimales con coma.</w:t>
      </w:r>
    </w:p>
    <w:p>
      <w:pPr>
        <w:pStyle w:val="BodyText"/>
      </w:pPr>
      <w:r>
        <w:t xml:space="preserve">La tabla muestra que el paquete WP2 concentra 312 de los 624 persona-mes, es decir 50,0 %. El paquete WP1 suma 168 persona-mes (26,9 %), el WP3 suma 120 (19,2 %) y la gerencia del WP0 suma 24 (3,8 %). La carga de campo se distribuye con dos técnicos por departamento. Cada técnico atiende en promedio 16,7 nodos (CALCULADO). Las tres personas de apropiación social acompañan a 15 comités, a razón de cinco comités por persona (CALCULADO).</w:t>
      </w:r>
    </w:p>
    <w:p>
      <w:pPr>
        <w:pStyle w:val="BodyText"/>
      </w:pPr>
      <w:r>
        <w:t xml:space="preserve">La separación entre quien construye y quien evalúa organiza los roles técnicos. Hevner et al. (2004) exigen que el artefacto se construya y se evalúe con rigor y con criterios explícitos. Ries (2011) integra la construcción y la medición en un solo ciclo de aprendizaje a cargo del mismo equipo. Las dos posiciones difieren en la independencia de quien evalúa. El proyecto combina ambas. El rol de metrología (P07) pertenece al WP1 y no al WP2, de modo que no depende de quienes construyen nodos y gateways. El ciclo de colocalización, corrección y verificación (A1.3 y A1.4) integra a los dos paquetes.</w:t>
      </w:r>
    </w:p>
    <w:p>
      <w:pPr>
        <w:pStyle w:val="BodyText"/>
      </w:pPr>
      <w:r>
        <w:t xml:space="preserve">La evaluación externa (S07) y el ensayo con laboratorio externo (S08) agregan una verificación ajena al equipo ejecutor. La consecuencia es una regla de independencia. El rol P07 firma el informe de validación de cada ciclo de calibración, como exige el indicador PERS-R02. Las cargas por técnico y por profesional de apropiación social se contrastan con la carga real durante el tramo 1. Si la carga supera la prevista, el comité directivo decide una reasignación dentro del mismo rubro de personal (PROPUESTO).</w:t>
      </w:r>
    </w:p>
    <w:bookmarkEnd w:id="653"/>
    <w:bookmarkStart w:id="654" w:name="_Toc00900255"/>
    <w:p>
      <w:pPr>
        <w:pStyle w:val="Heading3"/>
      </w:pPr>
      <w:r>
        <w:t xml:space="preserve">17.1.3 Dedicación horaria</w:t>
      </w:r>
    </w:p>
    <w:p>
      <w:pPr>
        <w:pStyle w:val="FirstParagraph"/>
      </w:pPr>
      <w:r>
        <w:t xml:space="preserve">La dedicación se expresa en equivalentes de tiempo completo y no en horas semanales. El Manual de Frascati expresa el personal de investigación y desarrollo en equivalentes de tiempo completo (OCDE, 2015). Así se suman en una misma unidad las dedicaciones parciales y completas. El proyecto calcula la dedicación como persona-mes dividido entre el producto de las personas por los meses de vigencia. Las 14 líneas de personal del SGR resultan en 1,0 ETC por persona durante su vigencia (CALCULADO).</w:t>
      </w:r>
    </w:p>
    <w:p>
      <w:pPr>
        <w:pStyle w:val="BodyText"/>
      </w:pPr>
      <w:r>
        <w:t xml:space="preserve">La jornada semanal que equivale a 1,0 ETC queda como [DATO_USUARIO: jornada laboral de la entidad ejecutora en horas por semana]. Las líneas de la contrapartida de la IES resultan en 0,5 ETC para el investigador principal y 0,3 ETC para el coinvestigador técnico. Cada coinvestigador de ambiente y ciencias sociales aporta 0,2 ETC. Las dos primeras dedicaciones son DECLARADO. La tercera es PROPUESTO. El total de la IES es de 1,2 ETC. Su valor es de 800 millones de pesos colombianos (COP) en especie para las líneas C01 a C03.</w:t>
      </w:r>
    </w:p>
    <w:p>
      <w:pPr>
        <w:pStyle w:val="BodyText"/>
      </w:pPr>
      <w:r>
        <w:t xml:space="preserve">Dos posiciones orientan la elección entre personal dedicado y personal permanente de la institución anfitriona. La primera privilegia el personal de tiempo completo, que concentra su atención en los entregables. La segunda privilegia la vinculación del personal permanente. La integración con la organización y la presencia de un promotor del programa favorecen la continuidad (Shediac-Rizkallah y Bone, 1998). El proyecto adopta una solución mixta. El SGR financia personal dedicado, con 26,0 ETC promedio. La IES aporta personal permanente con dedicación parcial.</w:t>
      </w:r>
    </w:p>
    <w:p>
      <w:pPr>
        <w:pStyle w:val="BodyText"/>
      </w:pPr>
      <w:r>
        <w:t xml:space="preserve">La consecuencia metodológica es el registro mensual de horas por rol, que alimenta el indicador PERS-R04 de desviación de la ejecución presupuestal. La certificación de las dedicaciones de la IES sigue pendiente. Se asocia al riesgo R-FIN-02, cuyo valor monetario esperado es de 20,0 millones de COP. Hasta que exista esa certificación, el aporte en especie del personal de la IES no se considera verificado.</w:t>
      </w:r>
    </w:p>
    <w:bookmarkEnd w:id="654"/>
    <w:bookmarkEnd w:id="655"/>
    <w:bookmarkStart w:id="660" w:name="_Toc00900256"/>
    <w:p>
      <w:pPr>
        <w:pStyle w:val="Heading2"/>
      </w:pPr>
      <w:r>
        <w:t xml:space="preserve">17.2 Perfiles del Equipo</w:t>
      </w:r>
    </w:p>
    <w:p>
      <w:pPr>
        <w:pStyle w:val="FirstParagraph"/>
      </w:pPr>
      <w:r>
        <w:t xml:space="preserve">La Tabla 17.2 reúne los perfiles requeridos por cada rol. La hoja de vida de cada persona queda como dato del usuario. El área de formación y la competencia verificable son una propuesta de formulación. Los niveles de formación y los años de experiencia mínimos dependen de los términos de referencia (TdR), que no se aportaron. Por esa razón la tabla no afirma títulos, años de experiencia ni nombres.</w:t>
      </w:r>
    </w:p>
    <w:p>
      <w:pPr>
        <w:pStyle w:val="TablaRotulo"/>
      </w:pPr>
      <w:bookmarkStart w:id="9385" w:name="rot_Tabla_17_2"/>
      <w:r>
        <w:rPr>
          <w:b/>
          <w:bCs/>
        </w:rPr>
        <w:t xml:space="preserve">Tabla 17.2</w:t>
      </w:r>
      <w:bookmarkEnd w:id="9385"/>
    </w:p>
    <w:p>
      <w:pPr>
        <w:pStyle w:val="TablaTitulo"/>
      </w:pPr>
      <w:r>
        <w:rPr>
          <w:i/>
          <w:iCs/>
        </w:rPr>
        <w:t xml:space="preserve">Perfiles requeridos y hojas de vida resumidas por aportar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848"/>
        <w:gridCol w:w="2112"/>
        <w:gridCol w:w="1782"/>
        <w:gridCol w:w="2178"/>
      </w:tblGrid>
      <w:tr>
        <w:trPr>
          <w:cantSplit/>
          <w:tblHeader/>
        </w:trPr>
        <w:tc>
          <w:tcPr>
            <w:shd w:val="clear" w:color="auto" w:fill="00B050"/>
          </w:tcPr>
          <w:p>
            <w:pPr>
              <w:pStyle w:val="Tabla9"/>
              <w:jc w:val="center"/>
            </w:pPr>
            <w:r>
              <w:rPr>
                <w:b/>
                <w:color w:val="FFFFFF"/>
              </w:rPr>
              <w:t xml:space="preserve">Rol</w:t>
            </w:r>
          </w:p>
        </w:tc>
        <w:tc>
          <w:tcPr>
            <w:shd w:val="clear" w:color="auto" w:fill="00B050"/>
          </w:tcPr>
          <w:p>
            <w:pPr>
              <w:pStyle w:val="Tabla9"/>
              <w:jc w:val="center"/>
            </w:pPr>
            <w:r>
              <w:rPr>
                <w:b/>
                <w:color w:val="FFFFFF"/>
              </w:rPr>
              <w:t xml:space="preserve">Área de formación requerida (PROPUESTO)</w:t>
            </w:r>
          </w:p>
        </w:tc>
        <w:tc>
          <w:tcPr>
            <w:shd w:val="clear" w:color="auto" w:fill="00B050"/>
          </w:tcPr>
          <w:p>
            <w:pPr>
              <w:pStyle w:val="Tabla9"/>
              <w:jc w:val="center"/>
            </w:pPr>
            <w:r>
              <w:rPr>
                <w:b/>
                <w:color w:val="FFFFFF"/>
              </w:rPr>
              <w:t xml:space="preserve">Competencia verificable (PROPUESTO)</w:t>
            </w:r>
          </w:p>
        </w:tc>
        <w:tc>
          <w:tcPr>
            <w:shd w:val="clear" w:color="auto" w:fill="00B050"/>
          </w:tcPr>
          <w:p>
            <w:pPr>
              <w:pStyle w:val="Tabla9"/>
              <w:jc w:val="center"/>
            </w:pPr>
            <w:r>
              <w:rPr>
                <w:b/>
                <w:color w:val="FFFFFF"/>
              </w:rPr>
              <w:t xml:space="preserve">Persona y hoja de vida</w:t>
            </w:r>
          </w:p>
        </w:tc>
      </w:tr>
      <w:tr>
        <w:trPr>
          <w:cantSplit/>
        </w:trPr>
        <w:tc>
          <w:tcPr/>
          <w:p>
            <w:pPr>
              <w:pStyle w:val="Tabla9"/>
              <w:jc w:val="left"/>
            </w:pPr>
            <w:r>
              <w:t xml:space="preserve">C01 Investigador principal (IES)</w:t>
            </w:r>
          </w:p>
        </w:tc>
        <w:tc>
          <w:tcPr/>
          <w:p>
            <w:pPr>
              <w:pStyle w:val="Tabla9"/>
              <w:jc w:val="left"/>
            </w:pPr>
            <w:r>
              <w:t xml:space="preserve">Ingeniería electrónica, ambiental o afín</w:t>
            </w:r>
          </w:p>
        </w:tc>
        <w:tc>
          <w:tcPr/>
          <w:p>
            <w:pPr>
              <w:pStyle w:val="Tabla9"/>
              <w:jc w:val="left"/>
            </w:pPr>
            <w:r>
              <w:t xml:space="preserve">Dirección de proyectos que llevaron un desarrollo de laboratorio a entorno operativo</w:t>
            </w:r>
          </w:p>
        </w:tc>
        <w:tc>
          <w:tcPr/>
          <w:p>
            <w:pPr>
              <w:pStyle w:val="Tabla9"/>
              <w:jc w:val="left"/>
            </w:pPr>
            <w:r>
              <w:t xml:space="preserve">[DATO_USUARIO: nombre y hoja de vida]</w:t>
            </w:r>
          </w:p>
        </w:tc>
      </w:tr>
      <w:tr>
        <w:trPr>
          <w:cantSplit/>
        </w:trPr>
        <w:tc>
          <w:tcPr/>
          <w:p>
            <w:pPr>
              <w:pStyle w:val="Tabla9"/>
              <w:jc w:val="left"/>
            </w:pPr>
            <w:r>
              <w:t xml:space="preserve">C02 Coinvestigador técnico (IES)</w:t>
            </w:r>
          </w:p>
        </w:tc>
        <w:tc>
          <w:tcPr/>
          <w:p>
            <w:pPr>
              <w:pStyle w:val="Tabla9"/>
              <w:jc w:val="left"/>
            </w:pPr>
            <w:r>
              <w:t xml:space="preserve">Ingeniería electrónica, de telecomunicaciones, estadística o afín</w:t>
            </w:r>
          </w:p>
        </w:tc>
        <w:tc>
          <w:tcPr/>
          <w:p>
            <w:pPr>
              <w:pStyle w:val="Tabla9"/>
              <w:jc w:val="left"/>
            </w:pPr>
            <w:r>
              <w:t xml:space="preserve">Validación de sensores frente a referencia con R², NRMSE, pendiente y sesgo</w:t>
            </w:r>
          </w:p>
        </w:tc>
        <w:tc>
          <w:tcPr/>
          <w:p>
            <w:pPr>
              <w:pStyle w:val="Tabla9"/>
              <w:jc w:val="left"/>
            </w:pPr>
            <w:r>
              <w:t xml:space="preserve">[DATO_USUARIO: nombre y hoja de vida]</w:t>
            </w:r>
          </w:p>
        </w:tc>
      </w:tr>
      <w:tr>
        <w:trPr>
          <w:cantSplit/>
        </w:trPr>
        <w:tc>
          <w:tcPr/>
          <w:p>
            <w:pPr>
              <w:pStyle w:val="Tabla9"/>
              <w:jc w:val="left"/>
            </w:pPr>
            <w:r>
              <w:t xml:space="preserve">C03 Coinvestigadores de ambiente y ciencias sociales (IES)</w:t>
            </w:r>
          </w:p>
        </w:tc>
        <w:tc>
          <w:tcPr/>
          <w:p>
            <w:pPr>
              <w:pStyle w:val="Tabla9"/>
              <w:jc w:val="left"/>
            </w:pPr>
            <w:r>
              <w:t xml:space="preserve">Ciencias ambientales, salud ambiental y ciencias sociales</w:t>
            </w:r>
          </w:p>
        </w:tc>
        <w:tc>
          <w:tcPr/>
          <w:p>
            <w:pPr>
              <w:pStyle w:val="Tabla9"/>
              <w:jc w:val="left"/>
            </w:pPr>
            <w:r>
              <w:t xml:space="preserve">Diseño participativo con instituciones y análisis de gestión del riesgo</w:t>
            </w:r>
          </w:p>
        </w:tc>
        <w:tc>
          <w:tcPr/>
          <w:p>
            <w:pPr>
              <w:pStyle w:val="Tabla9"/>
              <w:jc w:val="left"/>
            </w:pPr>
            <w:r>
              <w:t xml:space="preserve">[DATO_USUARIO: nombre y hoja de vida]</w:t>
            </w:r>
          </w:p>
        </w:tc>
      </w:tr>
      <w:tr>
        <w:trPr>
          <w:cantSplit/>
        </w:trPr>
        <w:tc>
          <w:tcPr/>
          <w:p>
            <w:pPr>
              <w:pStyle w:val="Tabla9"/>
              <w:jc w:val="left"/>
            </w:pPr>
            <w:r>
              <w:t xml:space="preserve">P01 Jóvenes investigadores</w:t>
            </w:r>
          </w:p>
        </w:tc>
        <w:tc>
          <w:tcPr/>
          <w:p>
            <w:pPr>
              <w:pStyle w:val="Tabla9"/>
              <w:jc w:val="left"/>
            </w:pPr>
            <w:r>
              <w:t xml:space="preserve">Ingeniería, estadística, ciencias ambientales o afín</w:t>
            </w:r>
          </w:p>
        </w:tc>
        <w:tc>
          <w:tcPr/>
          <w:p>
            <w:pPr>
              <w:pStyle w:val="Tabla9"/>
              <w:jc w:val="left"/>
            </w:pPr>
            <w:r>
              <w:t xml:space="preserve">Procesamiento de series de sensores y registro de bitácoras de campo</w:t>
            </w:r>
          </w:p>
        </w:tc>
        <w:tc>
          <w:tcPr/>
          <w:p>
            <w:pPr>
              <w:pStyle w:val="Tabla9"/>
              <w:jc w:val="left"/>
            </w:pPr>
            <w:r>
              <w:t xml:space="preserve">[DATO_USUARIO: nombre y hoja de vida o proceso de selección]</w:t>
            </w:r>
          </w:p>
        </w:tc>
      </w:tr>
      <w:tr>
        <w:trPr>
          <w:cantSplit/>
        </w:trPr>
        <w:tc>
          <w:tcPr/>
          <w:p>
            <w:pPr>
              <w:pStyle w:val="Tabla9"/>
              <w:jc w:val="left"/>
            </w:pPr>
            <w:r>
              <w:t xml:space="preserve">P02 Estudiantes de maestría</w:t>
            </w:r>
          </w:p>
        </w:tc>
        <w:tc>
          <w:tcPr/>
          <w:p>
            <w:pPr>
              <w:pStyle w:val="Tabla9"/>
              <w:jc w:val="left"/>
            </w:pPr>
            <w:r>
              <w:t xml:space="preserve">Posgrado en ingeniería, estadística o ciencias ambientales</w:t>
            </w:r>
          </w:p>
        </w:tc>
        <w:tc>
          <w:tcPr/>
          <w:p>
            <w:pPr>
              <w:pStyle w:val="Tabla9"/>
              <w:jc w:val="left"/>
            </w:pPr>
            <w:r>
              <w:t xml:space="preserve">Tesis sobre el modelo de corrección o la validación con datos del proyecto</w:t>
            </w:r>
          </w:p>
        </w:tc>
        <w:tc>
          <w:tcPr/>
          <w:p>
            <w:pPr>
              <w:pStyle w:val="Tabla9"/>
              <w:jc w:val="left"/>
            </w:pPr>
            <w:r>
              <w:t xml:space="preserve">[DATO_USUARIO: nombre y hoja de vida o proceso de selección]</w:t>
            </w:r>
          </w:p>
        </w:tc>
      </w:tr>
      <w:tr>
        <w:trPr>
          <w:cantSplit/>
        </w:trPr>
        <w:tc>
          <w:tcPr/>
          <w:p>
            <w:pPr>
              <w:pStyle w:val="Tabla9"/>
              <w:jc w:val="left"/>
            </w:pPr>
            <w:r>
              <w:t xml:space="preserve">P03 Doctor en estancia posdoctoral con perfil de ciencia de datos</w:t>
            </w:r>
          </w:p>
        </w:tc>
        <w:tc>
          <w:tcPr/>
          <w:p>
            <w:pPr>
              <w:pStyle w:val="Tabla9"/>
              <w:jc w:val="left"/>
            </w:pPr>
            <w:r>
              <w:t xml:space="preserve">Estadística, ciencia de datos o ingeniería</w:t>
            </w:r>
          </w:p>
        </w:tc>
        <w:tc>
          <w:tcPr/>
          <w:p>
            <w:pPr>
              <w:pStyle w:val="Tabla9"/>
              <w:jc w:val="left"/>
            </w:pPr>
            <w:r>
              <w:t xml:space="preserve">Modelos de corrección con validación cruzada por departamento y partición temporal</w:t>
            </w:r>
          </w:p>
        </w:tc>
        <w:tc>
          <w:tcPr/>
          <w:p>
            <w:pPr>
              <w:pStyle w:val="Tabla9"/>
              <w:jc w:val="left"/>
            </w:pPr>
            <w:r>
              <w:t xml:space="preserve">[DATO_USUARIO: nombre y hoja de vida]</w:t>
            </w:r>
          </w:p>
        </w:tc>
      </w:tr>
      <w:tr>
        <w:trPr>
          <w:cantSplit/>
        </w:trPr>
        <w:tc>
          <w:tcPr/>
          <w:p>
            <w:pPr>
              <w:pStyle w:val="Tabla9"/>
              <w:jc w:val="left"/>
            </w:pPr>
            <w:r>
              <w:t xml:space="preserve">P04 Ingenieros IoT y de campo</w:t>
            </w:r>
          </w:p>
        </w:tc>
        <w:tc>
          <w:tcPr/>
          <w:p>
            <w:pPr>
              <w:pStyle w:val="Tabla9"/>
              <w:jc w:val="left"/>
            </w:pPr>
            <w:r>
              <w:t xml:space="preserve">Ingeniería electrónica o de telecomunicaciones</w:t>
            </w:r>
          </w:p>
        </w:tc>
        <w:tc>
          <w:tcPr/>
          <w:p>
            <w:pPr>
              <w:pStyle w:val="Tabla9"/>
              <w:jc w:val="left"/>
            </w:pPr>
            <w:r>
              <w:t xml:space="preserve">Instalación de redes LoRa con gateways, energía solar y enlace celular o satelital</w:t>
            </w:r>
          </w:p>
        </w:tc>
        <w:tc>
          <w:tcPr/>
          <w:p>
            <w:pPr>
              <w:pStyle w:val="Tabla9"/>
              <w:jc w:val="left"/>
            </w:pPr>
            <w:r>
              <w:t xml:space="preserve">[DATO_USUARIO: nombre y hoja de vida]</w:t>
            </w:r>
          </w:p>
        </w:tc>
      </w:tr>
      <w:tr>
        <w:trPr>
          <w:cantSplit/>
        </w:trPr>
        <w:tc>
          <w:tcPr/>
          <w:p>
            <w:pPr>
              <w:pStyle w:val="Tabla9"/>
              <w:jc w:val="left"/>
            </w:pPr>
            <w:r>
              <w:t xml:space="preserve">P05 Coordinación de apropiación social</w:t>
            </w:r>
          </w:p>
        </w:tc>
        <w:tc>
          <w:tcPr/>
          <w:p>
            <w:pPr>
              <w:pStyle w:val="Tabla9"/>
              <w:jc w:val="left"/>
            </w:pPr>
            <w:r>
              <w:t xml:space="preserve">Ciencias sociales, comunicación o gestión del riesgo</w:t>
            </w:r>
          </w:p>
        </w:tc>
        <w:tc>
          <w:tcPr/>
          <w:p>
            <w:pPr>
              <w:pStyle w:val="Tabla9"/>
              <w:jc w:val="left"/>
            </w:pPr>
            <w:r>
              <w:t xml:space="preserve">Facilitación de talleres de co-diseño y actas con comunidades e instituciones</w:t>
            </w:r>
          </w:p>
        </w:tc>
        <w:tc>
          <w:tcPr/>
          <w:p>
            <w:pPr>
              <w:pStyle w:val="Tabla9"/>
              <w:jc w:val="left"/>
            </w:pPr>
            <w:r>
              <w:t xml:space="preserve">[DATO_USUARIO: nombre y hoja de vida]</w:t>
            </w:r>
          </w:p>
        </w:tc>
      </w:tr>
      <w:tr>
        <w:trPr>
          <w:cantSplit/>
        </w:trPr>
        <w:tc>
          <w:tcPr/>
          <w:p>
            <w:pPr>
              <w:pStyle w:val="Tabla9"/>
              <w:jc w:val="left"/>
            </w:pPr>
            <w:r>
              <w:t xml:space="preserve">P06 Gerencia de proyecto</w:t>
            </w:r>
          </w:p>
        </w:tc>
        <w:tc>
          <w:tcPr/>
          <w:p>
            <w:pPr>
              <w:pStyle w:val="Tabla9"/>
              <w:jc w:val="left"/>
            </w:pPr>
            <w:r>
              <w:t xml:space="preserve">Ingeniería, administración o afín, con formación en gerencia de proyectos</w:t>
            </w:r>
          </w:p>
        </w:tc>
        <w:tc>
          <w:tcPr/>
          <w:p>
            <w:pPr>
              <w:pStyle w:val="Tabla9"/>
              <w:jc w:val="left"/>
            </w:pPr>
            <w:r>
              <w:t xml:space="preserve">Control de alcance, cronograma, presupuesto y compuertas con informes de seguimiento</w:t>
            </w:r>
          </w:p>
        </w:tc>
        <w:tc>
          <w:tcPr/>
          <w:p>
            <w:pPr>
              <w:pStyle w:val="Tabla9"/>
              <w:jc w:val="left"/>
            </w:pPr>
            <w:r>
              <w:t xml:space="preserve">[DATO_USUARIO: nombre y hoja de vida]</w:t>
            </w:r>
          </w:p>
        </w:tc>
      </w:tr>
      <w:tr>
        <w:trPr>
          <w:cantSplit/>
        </w:trPr>
        <w:tc>
          <w:tcPr/>
          <w:p>
            <w:pPr>
              <w:pStyle w:val="Tabla9"/>
              <w:jc w:val="left"/>
            </w:pPr>
            <w:r>
              <w:t xml:space="preserve">P07 Especialista en metrología y calibración</w:t>
            </w:r>
          </w:p>
        </w:tc>
        <w:tc>
          <w:tcPr/>
          <w:p>
            <w:pPr>
              <w:pStyle w:val="Tabla9"/>
              <w:jc w:val="left"/>
            </w:pPr>
            <w:r>
              <w:t xml:space="preserve">Metrología, química, física o ingeniería</w:t>
            </w:r>
          </w:p>
        </w:tc>
        <w:tc>
          <w:tcPr/>
          <w:p>
            <w:pPr>
              <w:pStyle w:val="Tabla9"/>
              <w:jc w:val="left"/>
            </w:pPr>
            <w:r>
              <w:t xml:space="preserve">Trazabilidad frente a la referencia gravimétrica y manejo del banco de calibración</w:t>
            </w:r>
          </w:p>
        </w:tc>
        <w:tc>
          <w:tcPr/>
          <w:p>
            <w:pPr>
              <w:pStyle w:val="Tabla9"/>
              <w:jc w:val="left"/>
            </w:pPr>
            <w:r>
              <w:t xml:space="preserve">[DATO_USUARIO: nombre y hoja de vida]</w:t>
            </w:r>
          </w:p>
        </w:tc>
      </w:tr>
      <w:tr>
        <w:trPr>
          <w:cantSplit/>
        </w:trPr>
        <w:tc>
          <w:tcPr/>
          <w:p>
            <w:pPr>
              <w:pStyle w:val="Tabla9"/>
              <w:jc w:val="left"/>
            </w:pPr>
            <w:r>
              <w:t xml:space="preserve">P08 Ingenieros de software y nube</w:t>
            </w:r>
          </w:p>
        </w:tc>
        <w:tc>
          <w:tcPr/>
          <w:p>
            <w:pPr>
              <w:pStyle w:val="Tabla9"/>
              <w:jc w:val="left"/>
            </w:pPr>
            <w:r>
              <w:t xml:space="preserve">Ingeniería de sistemas o de software</w:t>
            </w:r>
          </w:p>
        </w:tc>
        <w:tc>
          <w:tcPr/>
          <w:p>
            <w:pPr>
              <w:pStyle w:val="Tabla9"/>
              <w:jc w:val="left"/>
            </w:pPr>
            <w:r>
              <w:t xml:space="preserve">Plataformas en la nube, bases de series temporales y tableros con pruebas de seguridad</w:t>
            </w:r>
          </w:p>
        </w:tc>
        <w:tc>
          <w:tcPr/>
          <w:p>
            <w:pPr>
              <w:pStyle w:val="Tabla9"/>
              <w:jc w:val="left"/>
            </w:pPr>
            <w:r>
              <w:t xml:space="preserve">[DATO_USUARIO: nombre y hoja de vida]</w:t>
            </w:r>
          </w:p>
        </w:tc>
      </w:tr>
      <w:tr>
        <w:trPr>
          <w:cantSplit/>
        </w:trPr>
        <w:tc>
          <w:tcPr/>
          <w:p>
            <w:pPr>
              <w:pStyle w:val="Tabla9"/>
              <w:jc w:val="left"/>
            </w:pPr>
            <w:r>
              <w:t xml:space="preserve">P09 Ingeniero de firmware y energía</w:t>
            </w:r>
          </w:p>
        </w:tc>
        <w:tc>
          <w:tcPr/>
          <w:p>
            <w:pPr>
              <w:pStyle w:val="Tabla9"/>
              <w:jc w:val="left"/>
            </w:pPr>
            <w:r>
              <w:t xml:space="preserve">Ingeniería electrónica o mecatrónica</w:t>
            </w:r>
          </w:p>
        </w:tc>
        <w:tc>
          <w:tcPr/>
          <w:p>
            <w:pPr>
              <w:pStyle w:val="Tabla9"/>
              <w:jc w:val="left"/>
            </w:pPr>
            <w:r>
              <w:t xml:space="preserve">Firmware de bajo consumo y dimensionamiento solar para 14 días sin sol</w:t>
            </w:r>
          </w:p>
        </w:tc>
        <w:tc>
          <w:tcPr/>
          <w:p>
            <w:pPr>
              <w:pStyle w:val="Tabla9"/>
              <w:jc w:val="left"/>
            </w:pPr>
            <w:r>
              <w:t xml:space="preserve">[DATO_USUARIO: nombre y hoja de vida]</w:t>
            </w:r>
          </w:p>
        </w:tc>
      </w:tr>
      <w:tr>
        <w:trPr>
          <w:cantSplit/>
        </w:trPr>
        <w:tc>
          <w:tcPr/>
          <w:p>
            <w:pPr>
              <w:pStyle w:val="Tabla9"/>
              <w:jc w:val="left"/>
            </w:pPr>
            <w:r>
              <w:t xml:space="preserve">P10 Técnicos de campo departamentales</w:t>
            </w:r>
          </w:p>
        </w:tc>
        <w:tc>
          <w:tcPr/>
          <w:p>
            <w:pPr>
              <w:pStyle w:val="Tabla9"/>
              <w:jc w:val="left"/>
            </w:pPr>
            <w:r>
              <w:t xml:space="preserve">Formación técnica o tecnológica en electrónica o telecomunicaciones</w:t>
            </w:r>
          </w:p>
        </w:tc>
        <w:tc>
          <w:tcPr/>
          <w:p>
            <w:pPr>
              <w:pStyle w:val="Tabla9"/>
              <w:jc w:val="left"/>
            </w:pPr>
            <w:r>
              <w:t xml:space="preserve">Instalación, mantenimiento y reposición de nodos en sitios de remoción con trabajo seguro</w:t>
            </w:r>
          </w:p>
        </w:tc>
        <w:tc>
          <w:tcPr/>
          <w:p>
            <w:pPr>
              <w:pStyle w:val="Tabla9"/>
              <w:jc w:val="left"/>
            </w:pPr>
            <w:r>
              <w:t xml:space="preserve">[DATO_USUARIO: nombre y hoja de vida o proceso de selección]</w:t>
            </w:r>
          </w:p>
        </w:tc>
      </w:tr>
      <w:tr>
        <w:trPr>
          <w:cantSplit/>
        </w:trPr>
        <w:tc>
          <w:tcPr/>
          <w:p>
            <w:pPr>
              <w:pStyle w:val="Tabla9"/>
              <w:jc w:val="left"/>
            </w:pPr>
            <w:r>
              <w:t xml:space="preserve">P11 Profesionales de apropiación social</w:t>
            </w:r>
          </w:p>
        </w:tc>
        <w:tc>
          <w:tcPr/>
          <w:p>
            <w:pPr>
              <w:pStyle w:val="Tabla9"/>
              <w:jc w:val="left"/>
            </w:pPr>
            <w:r>
              <w:t xml:space="preserve">Ciencias sociales, comunicación o educación</w:t>
            </w:r>
          </w:p>
        </w:tc>
        <w:tc>
          <w:tcPr/>
          <w:p>
            <w:pPr>
              <w:pStyle w:val="Tabla9"/>
              <w:jc w:val="left"/>
            </w:pPr>
            <w:r>
              <w:t xml:space="preserve">Talleres de co-diseño con comités y materiales para comunidades</w:t>
            </w:r>
          </w:p>
        </w:tc>
        <w:tc>
          <w:tcPr/>
          <w:p>
            <w:pPr>
              <w:pStyle w:val="Tabla9"/>
              <w:jc w:val="left"/>
            </w:pPr>
            <w:r>
              <w:t xml:space="preserve">[DATO_USUARIO: nombre y hoja de vida]</w:t>
            </w:r>
          </w:p>
        </w:tc>
      </w:tr>
      <w:tr>
        <w:trPr>
          <w:cantSplit/>
        </w:trPr>
        <w:tc>
          <w:tcPr/>
          <w:p>
            <w:pPr>
              <w:pStyle w:val="Tabla9"/>
              <w:jc w:val="left"/>
            </w:pPr>
            <w:r>
              <w:t xml:space="preserve">P12 Analista de datos espaciales y gemelo digital</w:t>
            </w:r>
          </w:p>
        </w:tc>
        <w:tc>
          <w:tcPr/>
          <w:p>
            <w:pPr>
              <w:pStyle w:val="Tabla9"/>
              <w:jc w:val="left"/>
            </w:pPr>
            <w:r>
              <w:t xml:space="preserve">Geografía, estadística, ingeniería o afín</w:t>
            </w:r>
          </w:p>
        </w:tc>
        <w:tc>
          <w:tcPr/>
          <w:p>
            <w:pPr>
              <w:pStyle w:val="Tabla9"/>
              <w:jc w:val="left"/>
            </w:pPr>
            <w:r>
              <w:t xml:space="preserve">Estimación espacial de PM2,5 y PM10 y validación del gemelo digital</w:t>
            </w:r>
          </w:p>
        </w:tc>
        <w:tc>
          <w:tcPr/>
          <w:p>
            <w:pPr>
              <w:pStyle w:val="Tabla9"/>
              <w:jc w:val="left"/>
            </w:pPr>
            <w:r>
              <w:t xml:space="preserve">[DATO_USUARIO: nombre y hoja de vida]</w:t>
            </w:r>
          </w:p>
        </w:tc>
      </w:tr>
      <w:tr>
        <w:trPr>
          <w:cantSplit/>
        </w:trPr>
        <w:tc>
          <w:tcPr/>
          <w:p>
            <w:pPr>
              <w:pStyle w:val="Tabla9"/>
              <w:jc w:val="left"/>
            </w:pPr>
            <w:r>
              <w:t xml:space="preserve">P13 Profesional en calidad del aire y salud ambiental</w:t>
            </w:r>
          </w:p>
        </w:tc>
        <w:tc>
          <w:tcPr/>
          <w:p>
            <w:pPr>
              <w:pStyle w:val="Tabla9"/>
              <w:jc w:val="left"/>
            </w:pPr>
            <w:r>
              <w:t xml:space="preserve">Ingeniería ambiental, salud ambiental o afín</w:t>
            </w:r>
          </w:p>
        </w:tc>
        <w:tc>
          <w:tcPr/>
          <w:p>
            <w:pPr>
              <w:pStyle w:val="Tabla9"/>
              <w:jc w:val="left"/>
            </w:pPr>
            <w:r>
              <w:t xml:space="preserve">Índice de calidad del aire y salud con umbrales locales y protocolo de alerta</w:t>
            </w:r>
          </w:p>
        </w:tc>
        <w:tc>
          <w:tcPr/>
          <w:p>
            <w:pPr>
              <w:pStyle w:val="Tabla9"/>
              <w:jc w:val="left"/>
            </w:pPr>
            <w:r>
              <w:t xml:space="preserve">[DATO_USUARIO: nombre y hoja de vida]</w:t>
            </w:r>
          </w:p>
        </w:tc>
      </w:tr>
      <w:tr>
        <w:trPr>
          <w:cantSplit/>
        </w:trPr>
        <w:tc>
          <w:tcPr/>
          <w:p>
            <w:pPr>
              <w:pStyle w:val="Tabla9"/>
              <w:jc w:val="left"/>
            </w:pPr>
            <w:r>
              <w:t xml:space="preserve">P14 Profesional de convenios y custodia</w:t>
            </w:r>
          </w:p>
        </w:tc>
        <w:tc>
          <w:tcPr/>
          <w:p>
            <w:pPr>
              <w:pStyle w:val="Tabla9"/>
              <w:jc w:val="left"/>
            </w:pPr>
            <w:r>
              <w:t xml:space="preserve">Derecho, administración pública o afín</w:t>
            </w:r>
          </w:p>
        </w:tc>
        <w:tc>
          <w:tcPr/>
          <w:p>
            <w:pPr>
              <w:pStyle w:val="Tabla9"/>
              <w:jc w:val="left"/>
            </w:pPr>
            <w:r>
              <w:t xml:space="preserve">Convenios por tramo, cláusula de apertura y titularidad de propiedad intelectual</w:t>
            </w:r>
          </w:p>
        </w:tc>
        <w:tc>
          <w:tcPr/>
          <w:p>
            <w:pPr>
              <w:pStyle w:val="Tabla9"/>
              <w:jc w:val="left"/>
            </w:pPr>
            <w:r>
              <w:t xml:space="preserve">[DATO_USUARIO: nombre y hoja de vida]</w:t>
            </w:r>
          </w:p>
        </w:tc>
      </w:tr>
    </w:tbl>
    <w:p>
      <w:pPr>
        <w:pStyle w:val="TablaNota"/>
      </w:pPr>
      <w:r>
        <w:rPr>
          <w:i/>
          <w:iCs/>
        </w:rPr>
        <w:t xml:space="preserve">Nota.</w:t>
      </w:r>
      <w:r>
        <w:t xml:space="preserve"> </w:t>
      </w:r>
      <w:r>
        <w:t xml:space="preserve">Elaboración propia con los roles de maestro.py. Cada fila describe un perfil requerido y no una persona. Los niveles de formación y los años de experiencia mínimos dependen de los términos de referencia (VACIO) y de cada hoja de vida.</w:t>
      </w:r>
    </w:p>
    <w:p>
      <w:pPr>
        <w:pStyle w:val="BodyText"/>
      </w:pPr>
      <w:r>
        <w:t xml:space="preserve">La tabla muestra 17 perfiles con una competencia verificable por cada uno. Tres perfiles (P01, P02 y P10) se pueden vincular por proceso de selección posterior a la aprobación, por lo cual su persona queda abierta. Los otros 14 perfiles requieren hoja de vida desde la radicación. Los siguientes apartados describen los perfiles por grupo de funciones.</w:t>
      </w:r>
    </w:p>
    <w:bookmarkStart w:id="656" w:name="_Toc00900257"/>
    <w:p>
      <w:pPr>
        <w:pStyle w:val="Heading3"/>
      </w:pPr>
      <w:r>
        <w:t xml:space="preserve">17.2.1 Director e investigador principal</w:t>
      </w:r>
    </w:p>
    <w:p>
      <w:pPr>
        <w:pStyle w:val="FirstParagraph"/>
      </w:pPr>
      <w:r>
        <w:t xml:space="preserve">El investigador principal registra la dedicación parcial más alta del proyecto, con 0,5 ETC durante 24 meses. La línea C01 le asigna 350 millones de COP (DECLARADO). El perfil requerido combina formación en ingeniería o ciencias ambientales con experiencia verificable en proyectos que llevaron un desarrollo de laboratorio a entorno operativo. La persona queda como [DATO_USUARIO: nombre, hoja de vida y experiencia exigida por los TdR]. Sus funciones son dirigir la ejecución científica, representar al proyecto ante el financiador y presidir el comité técnico.</w:t>
      </w:r>
    </w:p>
    <w:p>
      <w:pPr>
        <w:pStyle w:val="BodyText"/>
      </w:pPr>
      <w:r>
        <w:t xml:space="preserve">La escala de niveles de madurez tecnológica (TRL) ofrece un criterio para decidir cuándo un desarrollo pasa de un nivel al siguiente (Mankins, 1995). Cooper (2008) sitúa la decisión de avance en compuertas con criterios de negocio y de riesgo. La primera posición favorece a un director con criterio técnico. La segunda favorece a un director con criterio de gestión. El proyecto reparte los dos criterios entre cargos. El investigador principal responde por el criterio técnico de cada compuerta. La gerencia (P06) responde por el criterio de costo, plazo y riesgo.</w:t>
      </w:r>
    </w:p>
    <w:p>
      <w:pPr>
        <w:pStyle w:val="BodyText"/>
      </w:pPr>
      <w:r>
        <w:t xml:space="preserve">La consecuencia metodológica es que el acta de cada compuerta lleva dos firmas de responsabilidad distinta. La del investigador principal certifica los umbrales de desempeño (R² y NRMSE). La de la gerencia certifica el estado de presupuesto, cronograma y riesgos. El comité directivo decide con ambos soportes. Esta regla evita que una sola persona apruebe el avance de un tramo sobre su propia evaluación.</w:t>
      </w:r>
    </w:p>
    <w:bookmarkEnd w:id="656"/>
    <w:bookmarkStart w:id="657" w:name="_Toc00900258"/>
    <w:p>
      <w:pPr>
        <w:pStyle w:val="Heading3"/>
      </w:pPr>
      <w:r>
        <w:t xml:space="preserve">17.2.2 Co-investigadores</w:t>
      </w:r>
    </w:p>
    <w:p>
      <w:pPr>
        <w:pStyle w:val="FirstParagraph"/>
      </w:pPr>
      <w:r>
        <w:t xml:space="preserve">Los co-investigadores aportan dos competencias que el personal financiado por el SGR no cubre completamente. El coinvestigador técnico (C02) dedica 0,3 ETC y coordina el WP1. Su línea suma 250 millones de COP (DECLARADO). Los dos coinvestigadores de ambiente y ciencias sociales (C03) dedican 0,2 ETC cada uno. Su línea suma 200 millones de COP (PROPUESTO). Los perfiles requeridos figuran en la Tabla 17.2 y las personas quedan como [DATO_USUARIO: nombre y hoja de vida de cada coinvestigador].</w:t>
      </w:r>
    </w:p>
    <w:p>
      <w:pPr>
        <w:pStyle w:val="BodyText"/>
      </w:pPr>
      <w:r>
        <w:t xml:space="preserve">Dos posiciones disputan la autoridad sobre una alerta. Los protocolos técnicos de la Agencia de Protección Ambiental de Estados Unidos (EPA) fijan el desempeño mediante métricas estadísticas frente a una referencia (EPA, 2021). Callon (1999) y Funtowicz y Ravetz (1993) sostienen que, con evidencia incierta y decisiones urgentes, las personas afectadas participan en la producción del conocimiento. El proyecto toma el ancla de la EPA para el desempeño de la medición (PROPUESTO). Toma la segunda posición para los umbrales locales del índice, que se co-diseñan con los comités.</w:t>
      </w:r>
    </w:p>
    <w:p>
      <w:pPr>
        <w:pStyle w:val="BodyText"/>
      </w:pPr>
      <w:r>
        <w:t xml:space="preserve">La consecuencia es una división de la validación. El coinvestigador técnico valida el desempeño de la corrección con los umbrales de la ficha: R² mayor o igual a 0,70 y NRMSE menor o igual a 30 %. Los coinvestigadores de ambiente y ciencias sociales validan el sentido local de los umbrales de alerta con los comités. Ninguno de los dos validadores sustituye al otro.</w:t>
      </w:r>
    </w:p>
    <w:bookmarkEnd w:id="657"/>
    <w:bookmarkStart w:id="658" w:name="_Toc00900259"/>
    <w:p>
      <w:pPr>
        <w:pStyle w:val="Heading3"/>
      </w:pPr>
      <w:r>
        <w:t xml:space="preserve">17.2.3 Personal técnico</w:t>
      </w:r>
    </w:p>
    <w:p>
      <w:pPr>
        <w:pStyle w:val="FirstParagraph"/>
      </w:pPr>
      <w:r>
        <w:t xml:space="preserve">El personal técnico y profesional suma 21 personas y 504 persona-mes, es decir 80,8 % del esfuerzo del SGR (CALCULADO). Incluye a las líneas P03 a P14. Sus perfiles cubren ciencia de datos, redes de sensores, firmware, plataforma en la nube, estimación espacial, metrología, calidad del aire, apropiación social y convenios. La Tabla 17.2 detalla el área de formación y la competencia verificable de cada línea.</w:t>
      </w:r>
    </w:p>
    <w:p>
      <w:pPr>
        <w:pStyle w:val="BodyText"/>
      </w:pPr>
      <w:r>
        <w:t xml:space="preserve">El perfil de la ingeniería de red y de firmware depende de una decisión de arquitectura. La computación en el borde procesa los datos cerca de la fuente y reduce la dependencia del enlace (Shi et al., 2016). La red de área amplia de baja potencia presenta límites de capacidad que condicionan la tasa de envío de cada nodo (Adelantado et al., 2017). Una posición centraliza la corrección en la nube. La otra la ubica en el borde. La decisión DEC-F02 del proyecto fija la corrección en el gateway. Por ello los perfiles P04 y P09 requieren competencia en diseño de redes LoRa y en firmware de bajo consumo.</w:t>
      </w:r>
    </w:p>
    <w:p>
      <w:pPr>
        <w:pStyle w:val="BodyText"/>
      </w:pPr>
      <w:r>
        <w:t xml:space="preserve">La consecuencia metodológica es clara. El doctor posdoctoral con perfil de ciencia de datos (P03) debe entregar un modelo que quepa en el gateway. El criterio de parsimonia del capítulo 6 se convierte en requisito de perfil. La plataforma en la nube (P08) y el análisis espacial (P12) usan el resultado del gateway y no lo reemplazan. Los seis técnicos de campo (P10) reciben formación en trabajo seguro (PROPUESTO). En los sitios de remoción usan las mascarillas de la línea M06.</w:t>
      </w:r>
    </w:p>
    <w:bookmarkEnd w:id="658"/>
    <w:bookmarkStart w:id="659" w:name="_Toc00900260"/>
    <w:p>
      <w:pPr>
        <w:pStyle w:val="Heading3"/>
      </w:pPr>
      <w:r>
        <w:t xml:space="preserve">17.2.4 Estudiantes vinculados</w:t>
      </w:r>
    </w:p>
    <w:p>
      <w:pPr>
        <w:pStyle w:val="FirstParagraph"/>
      </w:pPr>
      <w:r>
        <w:t xml:space="preserve">Los estudiantes vinculados forman el talento del proyecto y cubren 19,2 % del esfuerzo del SGR. Son seis jóvenes investigadores (P01) y dos estudiantes de maestría (P02). Los jóvenes se vinculan de los meses 1 a 12 con 144,0 millones de COP. Los estudiantes de maestría se vinculan de los meses 1 a 24 con 304,8 millones de COP. Juntos suman 120 persona-mes. Su selección depende de las condiciones de la modalidad en los TdR. Esas condiciones quedan como [DATO_USUARIO: modalidad de joven investigador y de beca de maestría].</w:t>
      </w:r>
    </w:p>
    <w:p>
      <w:pPr>
        <w:pStyle w:val="BodyText"/>
      </w:pPr>
      <w:r>
        <w:t xml:space="preserve">Freire (2005) distingue la educación que deposita contenidos de la educación que se construye con problemas reales y con diálogo. La primera posición trata al estudiante como apoyo operativo. La segunda lo trata como productor de conocimiento. El proyecto adopta la segunda para los dos estudiantes de maestría, cuyas tesis usan los datos de colocalización y de validación (PROPUESTO). Los jóvenes investigadores apoyan el piloto del tramo 1 con tareas definidas en la Tabla 17.1.</w:t>
      </w:r>
    </w:p>
    <w:p>
      <w:pPr>
        <w:pStyle w:val="BodyText"/>
      </w:pPr>
      <w:r>
        <w:t xml:space="preserve">La consecuencia metodológica es doble. Cada estudiante recibe un producto verificable, como un capítulo de tesis o una sección de artículo, vinculado al indicador PERS-P03. Además, la salida de los seis jóvenes en el mes 12 exige el protocolo de transferencia descrito en la sección 17.1.1. La IES debe certificar el vínculo de cada estudiante con un programa académico [DATO_USUARIO: programa de posgrado y convenio de vinculación].</w:t>
      </w:r>
    </w:p>
    <w:bookmarkEnd w:id="659"/>
    <w:bookmarkEnd w:id="660"/>
    <w:bookmarkStart w:id="665" w:name="_Toc00900261"/>
    <w:p>
      <w:pPr>
        <w:pStyle w:val="Heading2"/>
      </w:pPr>
      <w:r>
        <w:t xml:space="preserve">17.3 Grupos de Investigación</w:t>
      </w:r>
    </w:p>
    <w:bookmarkStart w:id="661" w:name="_Toc00900262"/>
    <w:p>
      <w:pPr>
        <w:pStyle w:val="Heading3"/>
      </w:pPr>
      <w:r>
        <w:t xml:space="preserve">17.3.1 Grupos vinculados</w:t>
      </w:r>
    </w:p>
    <w:p>
      <w:pPr>
        <w:pStyle w:val="FirstParagraph"/>
      </w:pPr>
      <w:r>
        <w:t xml:space="preserve">El proyecto exige cinco capacidades de investigación y no designa grupos concretos. La Tabla 17.3 relaciona cada capacidad con una línea de investigación, con un rol y con las líneas del presupuesto que la financian. Los grupos que aportan cada capacidad son datos que solo el usuario posee. Cada grupo queda como [DATO_USUARIO: nombre y código del grupo]. El capítulo no afirma la existencia de ningún grupo.</w:t>
      </w:r>
    </w:p>
    <w:p>
      <w:pPr>
        <w:pStyle w:val="TablaRotulo"/>
      </w:pPr>
      <w:bookmarkStart w:id="9386" w:name="rot_Tabla_17_3"/>
      <w:r>
        <w:rPr>
          <w:b/>
          <w:bCs/>
        </w:rPr>
        <w:t xml:space="preserve">Tabla 17.3</w:t>
      </w:r>
      <w:bookmarkEnd w:id="9386"/>
    </w:p>
    <w:p>
      <w:pPr>
        <w:pStyle w:val="TablaTitulo"/>
      </w:pPr>
      <w:r>
        <w:rPr>
          <w:i/>
          <w:iCs/>
        </w:rPr>
        <w:t xml:space="preserve">Caracterización de las capacidades de investigación y de los grupos por vincular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78"/>
        <w:gridCol w:w="1309"/>
        <w:gridCol w:w="1636"/>
        <w:gridCol w:w="1636"/>
        <w:gridCol w:w="1178"/>
        <w:gridCol w:w="981"/>
      </w:tblGrid>
      <w:tr>
        <w:trPr>
          <w:cantSplit/>
          <w:tblHeader/>
        </w:trPr>
        <w:tc>
          <w:tcPr>
            <w:shd w:val="clear" w:color="auto" w:fill="00B050"/>
          </w:tcPr>
          <w:p>
            <w:pPr>
              <w:pStyle w:val="Tabla9"/>
              <w:jc w:val="center"/>
            </w:pPr>
            <w:r>
              <w:rPr>
                <w:b/>
                <w:color w:val="FFFFFF"/>
              </w:rPr>
              <w:t xml:space="preserve">Capacidad requerida</w:t>
            </w:r>
          </w:p>
        </w:tc>
        <w:tc>
          <w:tcPr>
            <w:shd w:val="clear" w:color="auto" w:fill="00B050"/>
          </w:tcPr>
          <w:p>
            <w:pPr>
              <w:pStyle w:val="Tabla9"/>
              <w:jc w:val="center"/>
            </w:pPr>
            <w:r>
              <w:rPr>
                <w:b/>
                <w:color w:val="FFFFFF"/>
              </w:rPr>
              <w:t xml:space="preserve">Línea de investigación requerida (PROPUESTO)</w:t>
            </w:r>
          </w:p>
        </w:tc>
        <w:tc>
          <w:tcPr>
            <w:shd w:val="clear" w:color="auto" w:fill="00B050"/>
          </w:tcPr>
          <w:p>
            <w:pPr>
              <w:pStyle w:val="Tabla9"/>
              <w:jc w:val="center"/>
            </w:pPr>
            <w:r>
              <w:rPr>
                <w:b/>
                <w:color w:val="FFFFFF"/>
              </w:rPr>
              <w:t xml:space="preserve">Grupo vinculado</w:t>
            </w:r>
          </w:p>
        </w:tc>
        <w:tc>
          <w:tcPr>
            <w:shd w:val="clear" w:color="auto" w:fill="00B050"/>
          </w:tcPr>
          <w:p>
            <w:pPr>
              <w:pStyle w:val="Tabla9"/>
              <w:jc w:val="center"/>
            </w:pPr>
            <w:r>
              <w:rPr>
                <w:b/>
                <w:color w:val="FFFFFF"/>
              </w:rPr>
              <w:t xml:space="preserve">Categoría MinCiencias</w:t>
            </w:r>
          </w:p>
        </w:tc>
        <w:tc>
          <w:tcPr>
            <w:shd w:val="clear" w:color="auto" w:fill="00B050"/>
          </w:tcPr>
          <w:p>
            <w:pPr>
              <w:pStyle w:val="Tabla9"/>
              <w:jc w:val="center"/>
            </w:pPr>
            <w:r>
              <w:rPr>
                <w:b/>
                <w:color w:val="FFFFFF"/>
              </w:rPr>
              <w:t xml:space="preserve">Rol en el proyecto</w:t>
            </w:r>
          </w:p>
        </w:tc>
        <w:tc>
          <w:tcPr>
            <w:shd w:val="clear" w:color="auto" w:fill="00B050"/>
          </w:tcPr>
          <w:p>
            <w:pPr>
              <w:pStyle w:val="Tabla9"/>
              <w:jc w:val="center"/>
            </w:pPr>
            <w:r>
              <w:rPr>
                <w:b/>
                <w:color w:val="FFFFFF"/>
              </w:rPr>
              <w:t xml:space="preserve">Líneas del presupuesto asociadas</w:t>
            </w:r>
          </w:p>
        </w:tc>
      </w:tr>
      <w:tr>
        <w:trPr>
          <w:cantSplit/>
        </w:trPr>
        <w:tc>
          <w:tcPr/>
          <w:p>
            <w:pPr>
              <w:pStyle w:val="Tabla9"/>
              <w:jc w:val="left"/>
            </w:pPr>
            <w:r>
              <w:t xml:space="preserve">Calibración y metrología de partículas</w:t>
            </w:r>
          </w:p>
        </w:tc>
        <w:tc>
          <w:tcPr/>
          <w:p>
            <w:pPr>
              <w:pStyle w:val="Tabla9"/>
              <w:jc w:val="left"/>
            </w:pPr>
            <w:r>
              <w:t xml:space="preserve">Metrología de sensores ópticos de bajo costo</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Banco de calibración, colocalización y trazabilidad (WP1)</w:t>
            </w:r>
          </w:p>
        </w:tc>
        <w:tc>
          <w:tcPr/>
          <w:p>
            <w:pPr>
              <w:pStyle w:val="Tabla9"/>
              <w:jc w:val="left"/>
            </w:pPr>
            <w:r>
              <w:t xml:space="preserve">P07, C02, C04, E03, E07</w:t>
            </w:r>
          </w:p>
        </w:tc>
      </w:tr>
      <w:tr>
        <w:trPr>
          <w:cantSplit/>
        </w:trPr>
        <w:tc>
          <w:tcPr/>
          <w:p>
            <w:pPr>
              <w:pStyle w:val="Tabla9"/>
              <w:jc w:val="left"/>
            </w:pPr>
            <w:r>
              <w:t xml:space="preserve">Modelado y ciencia de datos</w:t>
            </w:r>
          </w:p>
        </w:tc>
        <w:tc>
          <w:tcPr/>
          <w:p>
            <w:pPr>
              <w:pStyle w:val="Tabla9"/>
              <w:jc w:val="left"/>
            </w:pPr>
            <w:r>
              <w:t xml:space="preserve">Aprendizaje automático y estadística espacial aplicados a calidad del aire</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Modelo de corrección y gemelo digital (WP1 y WP2)</w:t>
            </w:r>
          </w:p>
        </w:tc>
        <w:tc>
          <w:tcPr/>
          <w:p>
            <w:pPr>
              <w:pStyle w:val="Tabla9"/>
              <w:jc w:val="left"/>
            </w:pPr>
            <w:r>
              <w:t xml:space="preserve">P03, P12, E08</w:t>
            </w:r>
          </w:p>
        </w:tc>
      </w:tr>
      <w:tr>
        <w:trPr>
          <w:cantSplit/>
        </w:trPr>
        <w:tc>
          <w:tcPr/>
          <w:p>
            <w:pPr>
              <w:pStyle w:val="Tabla9"/>
              <w:jc w:val="left"/>
            </w:pPr>
            <w:r>
              <w:t xml:space="preserve">Sistemas embebidos, energía y comunicaciones</w:t>
            </w:r>
          </w:p>
        </w:tc>
        <w:tc>
          <w:tcPr/>
          <w:p>
            <w:pPr>
              <w:pStyle w:val="Tabla9"/>
              <w:jc w:val="left"/>
            </w:pPr>
            <w:r>
              <w:t xml:space="preserve">Redes de sensores LoRa, energía solar y cómputo en el borde</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Nodos, gateways, energía y enlace (WP2)</w:t>
            </w:r>
          </w:p>
        </w:tc>
        <w:tc>
          <w:tcPr/>
          <w:p>
            <w:pPr>
              <w:pStyle w:val="Tabla9"/>
              <w:jc w:val="left"/>
            </w:pPr>
            <w:r>
              <w:t xml:space="preserve">P04, P09, P10, E01 a E06</w:t>
            </w:r>
          </w:p>
        </w:tc>
      </w:tr>
      <w:tr>
        <w:trPr>
          <w:cantSplit/>
        </w:trPr>
        <w:tc>
          <w:tcPr/>
          <w:p>
            <w:pPr>
              <w:pStyle w:val="Tabla9"/>
              <w:jc w:val="left"/>
            </w:pPr>
            <w:r>
              <w:t xml:space="preserve">Calidad del aire y salud ambiental</w:t>
            </w:r>
          </w:p>
        </w:tc>
        <w:tc>
          <w:tcPr/>
          <w:p>
            <w:pPr>
              <w:pStyle w:val="Tabla9"/>
              <w:jc w:val="left"/>
            </w:pPr>
            <w:r>
              <w:t xml:space="preserve">Exposición a material particulado y umbrales de alerta</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Umbrales locales del índice y protocolo de alerta (WP3)</w:t>
            </w:r>
          </w:p>
        </w:tc>
        <w:tc>
          <w:tcPr/>
          <w:p>
            <w:pPr>
              <w:pStyle w:val="Tabla9"/>
              <w:jc w:val="left"/>
            </w:pPr>
            <w:r>
              <w:t xml:space="preserve">P13, C03</w:t>
            </w:r>
          </w:p>
        </w:tc>
      </w:tr>
      <w:tr>
        <w:trPr>
          <w:cantSplit/>
        </w:trPr>
        <w:tc>
          <w:tcPr/>
          <w:p>
            <w:pPr>
              <w:pStyle w:val="Tabla9"/>
              <w:jc w:val="left"/>
            </w:pPr>
            <w:r>
              <w:t xml:space="preserve">Gestión del riesgo y apropiación social</w:t>
            </w:r>
          </w:p>
        </w:tc>
        <w:tc>
          <w:tcPr/>
          <w:p>
            <w:pPr>
              <w:pStyle w:val="Tabla9"/>
              <w:jc w:val="left"/>
            </w:pPr>
            <w:r>
              <w:t xml:space="preserve">Gestión del riesgo de desastres, co-diseño y apropiación del conocimiento</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Co-diseño, formación y convenios de custodia (WP3)</w:t>
            </w:r>
          </w:p>
        </w:tc>
        <w:tc>
          <w:tcPr/>
          <w:p>
            <w:pPr>
              <w:pStyle w:val="Tabla9"/>
              <w:jc w:val="left"/>
            </w:pPr>
            <w:r>
              <w:t xml:space="preserve">P05, P11, P14, C03</w:t>
            </w:r>
          </w:p>
        </w:tc>
      </w:tr>
    </w:tbl>
    <w:p>
      <w:pPr>
        <w:pStyle w:val="TablaNota"/>
      </w:pPr>
      <w:r>
        <w:rPr>
          <w:i/>
          <w:iCs/>
        </w:rPr>
        <w:t xml:space="preserve">Nota.</w:t>
      </w:r>
      <w:r>
        <w:t xml:space="preserve"> </w:t>
      </w:r>
      <w:r>
        <w:t xml:space="preserve">Elaboración propia. Las capacidades y las líneas son PROPUESTO. Los grupos concretos y sus categorías son datos que solo el usuario posee y no se afirman en este documento.</w:t>
      </w:r>
    </w:p>
    <w:p>
      <w:pPr>
        <w:pStyle w:val="BodyText"/>
      </w:pPr>
      <w:r>
        <w:t xml:space="preserve">La tabla permite verificar que cada capacidad cuenta con al menos una línea de personal asociada. Tres capacidades combinan líneas del SGR con la contrapartida de la IES. Dos capacidades se apoyan solo en líneas del SGR. La capacidad de metrología se apoya además en el laboratorio de calibración de la IES (C04), valorado en 300 millones de COP (PROPUESTO). La capacidad de sistemas embebidos se apoya en los equipos de las líneas E01 a E06. Si un grupo no certifica su participación, el capítulo 20 exige reemplazarlo por otro con la misma capacidad.</w:t>
      </w:r>
    </w:p>
    <w:bookmarkEnd w:id="661"/>
    <w:bookmarkStart w:id="662" w:name="_Toc00900263"/>
    <w:p>
      <w:pPr>
        <w:pStyle w:val="Heading3"/>
      </w:pPr>
      <w:r>
        <w:t xml:space="preserve">17.3.2 Categoría MinCiencias</w:t>
      </w:r>
    </w:p>
    <w:p>
      <w:pPr>
        <w:pStyle w:val="FirstParagraph"/>
      </w:pPr>
      <w:r>
        <w:t xml:space="preserve">La categoría de un grupo resume su capacidad acumulada ante el sistema nacional de ciencia, tecnología e innovación. El proyecto no asume ninguna categoría. Cada una queda como [DATO_USUARIO: categoría vigente del grupo en la última medición de MinCiencias]. Esa categoría informa la trayectoria del grupo, pero no sustituye la evidencia de resultados en medición de material particulado, que es VACIO para este proyecto.</w:t>
      </w:r>
    </w:p>
    <w:p>
      <w:pPr>
        <w:pStyle w:val="BodyText"/>
      </w:pPr>
      <w:r>
        <w:t xml:space="preserve">La consecuencia es una regla de verificación. El anexo D del capítulo 20 lista los certificados que deben acompañar cada grupo. Sin certificado vigente, el grupo no figura como vinculado. Los términos de referencia pueden exigir una categoría mínima [DATO_USUARIO: requisito de categoría de los TdR]. Su ausencia en esta corrida deja la admisibilidad sin verificar.</w:t>
      </w:r>
    </w:p>
    <w:bookmarkEnd w:id="662"/>
    <w:bookmarkStart w:id="663" w:name="_Toc00900264"/>
    <w:p>
      <w:pPr>
        <w:pStyle w:val="Heading3"/>
      </w:pPr>
      <w:r>
        <w:t xml:space="preserve">17.3.3 Líneas de investigación</w:t>
      </w:r>
    </w:p>
    <w:p>
      <w:pPr>
        <w:pStyle w:val="FirstParagraph"/>
      </w:pPr>
      <w:r>
        <w:t xml:space="preserve">El proyecto requiere cinco líneas de investigación, descritas en la Tabla 17.3. La primera es la metrología de sensores ópticos de bajo costo, que enfrenta la sensibilidad de la lectura a la humedad (Jayaratne et al., 2018). La segunda es el aprendizaje automático y la estadística espacial para corregir y estimar. La tercera cubre redes de sensores, energía solar y cómputo en el borde. La cuarta trata la exposición a material particulado y los umbrales de alerta. La quinta trata la gestión del riesgo y la apropiación social.</w:t>
      </w:r>
    </w:p>
    <w:p>
      <w:pPr>
        <w:pStyle w:val="BodyText"/>
      </w:pPr>
      <w:r>
        <w:t xml:space="preserve">Barkjohn et al. (2021) desarrollan una corrección única para Estados Unidos que incorpora la humedad relativa. Giordano et al. (2021) sistematizan los desafíos y las buenas prácticas de calibración, entre ellas la colocalización con instrumentos de referencia. La primera posición busca una corrección que se transfiera entre sitios. La segunda exige verificar cada contexto. El proyecto no resuelve la disputa con una cita. La resuelve con el diseño: el tramo 1 mide la línea base por departamento y la compuerta C1 decide si el modelo generaliza.</w:t>
      </w:r>
    </w:p>
    <w:bookmarkEnd w:id="663"/>
    <w:bookmarkStart w:id="664" w:name="_Toc00900265"/>
    <w:p>
      <w:pPr>
        <w:pStyle w:val="Heading3"/>
      </w:pPr>
      <w:r>
        <w:t xml:space="preserve">17.3.4 Capacidades complementarias</w:t>
      </w:r>
    </w:p>
    <w:p>
      <w:pPr>
        <w:pStyle w:val="FirstParagraph"/>
      </w:pPr>
      <w:r>
        <w:t xml:space="preserve">Las capacidades complementarias determinan si el desarrollo llega al entorno operativo. El proyecto parte de TRL 4 y llega a TRL 7 (PROPUESTO). Mankins (1995) ubica el TRL 4 en la validación de componentes en laboratorio y el TRL 7 en la demostración de un prototipo en entorno operativo. El laboratorio de la IES sostiene el primer tramo de esa escala. La infraestructura en la nube de la empresa, valorada en 800 millones de COP, y los técnicos de campo sostienen el segundo tramo.</w:t>
      </w:r>
    </w:p>
    <w:p>
      <w:pPr>
        <w:pStyle w:val="BodyText"/>
      </w:pPr>
      <w:r>
        <w:t xml:space="preserve">Teece (1986) sostiene que el valor de una innovación depende de activos complementarios como la manufactura, los servicios y la distribución. Esa lectura explica por qué la alianza reúne a una IES con laboratorio y a una empresa con infraestructura. La consecuencia metodológica es la trazabilidad de cada capacidad hasta una línea de presupuesto o de contrapartida, como muestra la Tabla 17.3. Una capacidad sin línea asociada no se considera comprometida.</w:t>
      </w:r>
    </w:p>
    <w:bookmarkEnd w:id="664"/>
    <w:bookmarkEnd w:id="665"/>
    <w:bookmarkStart w:id="672" w:name="_Toc00900266"/>
    <w:p>
      <w:pPr>
        <w:pStyle w:val="Heading2"/>
      </w:pPr>
      <w:r>
        <w:t xml:space="preserve">17.4 Alianzas y Co-ejecutores</w:t>
      </w:r>
    </w:p>
    <w:bookmarkStart w:id="669" w:name="_Toc00900267"/>
    <w:p>
      <w:pPr>
        <w:pStyle w:val="Heading3"/>
      </w:pPr>
      <w:r>
        <w:t xml:space="preserve">17.4.1 Entidades aliadas</w:t>
      </w:r>
    </w:p>
    <w:p>
      <w:pPr>
        <w:pStyle w:val="FirstParagraph"/>
      </w:pPr>
      <w:r>
        <w:t xml:space="preserve">La alianza entre una IES y una empresa tecnológica es SUPUESTO por instrucción del usuario. Los nombres de ambas entidades quedan como [DATO_USUARIO: nombre de la IES y razón social de la empresa]. La Tabla 17.4 clasifica a los actores en co-ejecutores, aliados de uso, referencias y proveedores. Solo los dos co-ejecutores aportan contrapartida. Los demás actores participan sin aporte y sin compromiso escrito.</w:t>
      </w:r>
    </w:p>
    <w:p>
      <w:pPr>
        <w:pStyle w:val="TablaRotulo"/>
      </w:pPr>
      <w:bookmarkStart w:id="9387" w:name="rot_Tabla_17_4"/>
      <w:r>
        <w:rPr>
          <w:b/>
          <w:bCs/>
        </w:rPr>
        <w:t xml:space="preserve">Tabla 17.4</w:t>
      </w:r>
      <w:bookmarkEnd w:id="9387"/>
    </w:p>
    <w:p>
      <w:pPr>
        <w:pStyle w:val="TablaTitulo"/>
      </w:pPr>
      <w:r>
        <w:rPr>
          <w:i/>
          <w:iCs/>
        </w:rPr>
        <w:t xml:space="preserve">Matriz de alianzas y aportes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70"/>
        <w:gridCol w:w="1112"/>
        <w:gridCol w:w="1243"/>
        <w:gridCol w:w="654"/>
        <w:gridCol w:w="719"/>
        <w:gridCol w:w="1505"/>
        <w:gridCol w:w="1112"/>
      </w:tblGrid>
      <w:tr>
        <w:trPr>
          <w:cantSplit/>
          <w:tblHeader/>
        </w:trPr>
        <w:tc>
          <w:tcPr>
            <w:shd w:val="clear" w:color="auto" w:fill="00B050"/>
          </w:tcPr>
          <w:p>
            <w:pPr>
              <w:pStyle w:val="Tabla8"/>
              <w:jc w:val="center"/>
            </w:pPr>
            <w:r>
              <w:rPr>
                <w:b/>
                <w:color w:val="FFFFFF"/>
              </w:rPr>
              <w:t xml:space="preserve">Entidad</w:t>
            </w:r>
          </w:p>
        </w:tc>
        <w:tc>
          <w:tcPr>
            <w:shd w:val="clear" w:color="auto" w:fill="00B050"/>
          </w:tcPr>
          <w:p>
            <w:pPr>
              <w:pStyle w:val="Tabla8"/>
              <w:jc w:val="center"/>
            </w:pPr>
            <w:r>
              <w:rPr>
                <w:b/>
                <w:color w:val="FFFFFF"/>
              </w:rPr>
              <w:t xml:space="preserve">Vínculo</w:t>
            </w:r>
          </w:p>
        </w:tc>
        <w:tc>
          <w:tcPr>
            <w:shd w:val="clear" w:color="auto" w:fill="00B050"/>
          </w:tcPr>
          <w:p>
            <w:pPr>
              <w:pStyle w:val="Tabla8"/>
              <w:jc w:val="center"/>
            </w:pPr>
            <w:r>
              <w:rPr>
                <w:b/>
                <w:color w:val="FFFFFF"/>
              </w:rPr>
              <w:t xml:space="preserve">Rol en el proyecto</w:t>
            </w:r>
          </w:p>
        </w:tc>
        <w:tc>
          <w:tcPr>
            <w:shd w:val="clear" w:color="auto" w:fill="00B050"/>
          </w:tcPr>
          <w:p>
            <w:pPr>
              <w:pStyle w:val="Tabla8"/>
              <w:jc w:val="center"/>
            </w:pPr>
            <w:r>
              <w:rPr>
                <w:b/>
                <w:color w:val="FFFFFF"/>
              </w:rPr>
              <w:t xml:space="preserve">Aporte (M COP)</w:t>
            </w:r>
          </w:p>
        </w:tc>
        <w:tc>
          <w:tcPr>
            <w:shd w:val="clear" w:color="auto" w:fill="00B050"/>
          </w:tcPr>
          <w:p>
            <w:pPr>
              <w:pStyle w:val="Tabla8"/>
              <w:jc w:val="center"/>
            </w:pPr>
            <w:r>
              <w:rPr>
                <w:b/>
                <w:color w:val="FFFFFF"/>
              </w:rPr>
              <w:t xml:space="preserve">Forma</w:t>
            </w:r>
          </w:p>
        </w:tc>
        <w:tc>
          <w:tcPr>
            <w:shd w:val="clear" w:color="auto" w:fill="00B050"/>
          </w:tcPr>
          <w:p>
            <w:pPr>
              <w:pStyle w:val="Tabla8"/>
              <w:jc w:val="center"/>
            </w:pPr>
            <w:r>
              <w:rPr>
                <w:b/>
                <w:color w:val="FFFFFF"/>
              </w:rPr>
              <w:t xml:space="preserve">Naturaleza</w:t>
            </w:r>
          </w:p>
        </w:tc>
        <w:tc>
          <w:tcPr>
            <w:shd w:val="clear" w:color="auto" w:fill="00B050"/>
          </w:tcPr>
          <w:p>
            <w:pPr>
              <w:pStyle w:val="Tabla8"/>
              <w:jc w:val="center"/>
            </w:pPr>
            <w:r>
              <w:rPr>
                <w:b/>
                <w:color w:val="FFFFFF"/>
              </w:rPr>
              <w:t xml:space="preserve">Soporte pendiente</w:t>
            </w:r>
          </w:p>
        </w:tc>
      </w:tr>
      <w:tr>
        <w:trPr>
          <w:cantSplit/>
        </w:trPr>
        <w:tc>
          <w:tcPr/>
          <w:p>
            <w:pPr>
              <w:pStyle w:val="Tabla8"/>
              <w:jc w:val="left"/>
            </w:pPr>
            <w:r>
              <w:t xml:space="preserve">IES ejecutora [DATO_USUARIO: nombre de la entidad]</w:t>
            </w:r>
          </w:p>
        </w:tc>
        <w:tc>
          <w:tcPr/>
          <w:p>
            <w:pPr>
              <w:pStyle w:val="Tabla8"/>
              <w:jc w:val="left"/>
            </w:pPr>
            <w:r>
              <w:t xml:space="preserve">Co-ejecutor (SUPUESTO)</w:t>
            </w:r>
          </w:p>
        </w:tc>
        <w:tc>
          <w:tcPr/>
          <w:p>
            <w:pPr>
              <w:pStyle w:val="Tabla8"/>
              <w:jc w:val="left"/>
            </w:pPr>
            <w:r>
              <w:t xml:space="preserve">Ejecución legal, dirección científica y laboratorios (C01 a C04)</w:t>
            </w:r>
          </w:p>
        </w:tc>
        <w:tc>
          <w:tcPr/>
          <w:p>
            <w:pPr>
              <w:pStyle w:val="Tabla8"/>
              <w:jc w:val="left"/>
            </w:pPr>
            <w:r>
              <w:t xml:space="preserve">1.100,0</w:t>
            </w:r>
          </w:p>
        </w:tc>
        <w:tc>
          <w:tcPr/>
          <w:p>
            <w:pPr>
              <w:pStyle w:val="Tabla8"/>
              <w:jc w:val="left"/>
            </w:pPr>
            <w:r>
              <w:t xml:space="preserve">Especie</w:t>
            </w:r>
          </w:p>
        </w:tc>
        <w:tc>
          <w:tcPr/>
          <w:p>
            <w:pPr>
              <w:pStyle w:val="Tabla8"/>
              <w:jc w:val="left"/>
            </w:pPr>
            <w:r>
              <w:t xml:space="preserve">Total DECLARADO; desglose de C03 y C04 PROPUESTO</w:t>
            </w:r>
          </w:p>
        </w:tc>
        <w:tc>
          <w:tcPr/>
          <w:p>
            <w:pPr>
              <w:pStyle w:val="Tabla8"/>
              <w:jc w:val="left"/>
            </w:pPr>
            <w:r>
              <w:t xml:space="preserve">Certificación de la IES</w:t>
            </w:r>
          </w:p>
        </w:tc>
      </w:tr>
      <w:tr>
        <w:trPr>
          <w:cantSplit/>
        </w:trPr>
        <w:tc>
          <w:tcPr/>
          <w:p>
            <w:pPr>
              <w:pStyle w:val="Tabla8"/>
              <w:jc w:val="left"/>
            </w:pPr>
            <w:r>
              <w:t xml:space="preserve">Empresa tecnológica [DATO_USUARIO: razón social]</w:t>
            </w:r>
          </w:p>
        </w:tc>
        <w:tc>
          <w:tcPr/>
          <w:p>
            <w:pPr>
              <w:pStyle w:val="Tabla8"/>
              <w:jc w:val="left"/>
            </w:pPr>
            <w:r>
              <w:t xml:space="preserve">Co-ejecutor (SUPUESTO)</w:t>
            </w:r>
          </w:p>
        </w:tc>
        <w:tc>
          <w:tcPr/>
          <w:p>
            <w:pPr>
              <w:pStyle w:val="Tabla8"/>
              <w:jc w:val="left"/>
            </w:pPr>
            <w:r>
              <w:t xml:space="preserve">Nube, propiedad intelectual y código, logística de emergencia (C05 y C06)</w:t>
            </w:r>
          </w:p>
        </w:tc>
        <w:tc>
          <w:tcPr/>
          <w:p>
            <w:pPr>
              <w:pStyle w:val="Tabla8"/>
              <w:jc w:val="left"/>
            </w:pPr>
            <w:r>
              <w:t xml:space="preserve">1.010,0</w:t>
            </w:r>
          </w:p>
        </w:tc>
        <w:tc>
          <w:tcPr/>
          <w:p>
            <w:pPr>
              <w:pStyle w:val="Tabla8"/>
              <w:jc w:val="left"/>
            </w:pPr>
            <w:r>
              <w:t xml:space="preserve">210,0 efectivo y 800,0 especie</w:t>
            </w:r>
          </w:p>
        </w:tc>
        <w:tc>
          <w:tcPr/>
          <w:p>
            <w:pPr>
              <w:pStyle w:val="Tabla8"/>
              <w:jc w:val="left"/>
            </w:pPr>
            <w:r>
              <w:t xml:space="preserve">DECLARADO</w:t>
            </w:r>
          </w:p>
        </w:tc>
        <w:tc>
          <w:tcPr/>
          <w:p>
            <w:pPr>
              <w:pStyle w:val="Tabla8"/>
              <w:jc w:val="left"/>
            </w:pPr>
            <w:r>
              <w:t xml:space="preserve">Carta, certificación y acuerdo de titularidad</w:t>
            </w:r>
          </w:p>
        </w:tc>
      </w:tr>
      <w:tr>
        <w:trPr>
          <w:cantSplit/>
        </w:trPr>
        <w:tc>
          <w:tcPr/>
          <w:p>
            <w:pPr>
              <w:pStyle w:val="Tabla8"/>
              <w:jc w:val="left"/>
            </w:pPr>
            <w:r>
              <w:t xml:space="preserve">Alcaldías de 12 municipios [DATO_USUARIO: lista de municipios]</w:t>
            </w:r>
          </w:p>
        </w:tc>
        <w:tc>
          <w:tcPr/>
          <w:p>
            <w:pPr>
              <w:pStyle w:val="Tabla8"/>
              <w:jc w:val="left"/>
            </w:pPr>
            <w:r>
              <w:t xml:space="preserve">Aliado de uso y custodio potencial</w:t>
            </w:r>
          </w:p>
        </w:tc>
        <w:tc>
          <w:tcPr/>
          <w:p>
            <w:pPr>
              <w:pStyle w:val="Tabla8"/>
              <w:jc w:val="left"/>
            </w:pPr>
            <w:r>
              <w:t xml:space="preserve">Sus comités usan el tablero y asumen la custodia por tramo</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VACIO</w:t>
            </w:r>
          </w:p>
        </w:tc>
        <w:tc>
          <w:tcPr/>
          <w:p>
            <w:pPr>
              <w:pStyle w:val="Tabla8"/>
              <w:jc w:val="left"/>
            </w:pPr>
            <w:r>
              <w:t xml:space="preserve">Cartas con partida y competencia</w:t>
            </w:r>
          </w:p>
        </w:tc>
      </w:tr>
      <w:tr>
        <w:trPr>
          <w:cantSplit/>
        </w:trPr>
        <w:tc>
          <w:tcPr/>
          <w:p>
            <w:pPr>
              <w:pStyle w:val="Tabla8"/>
              <w:jc w:val="left"/>
            </w:pPr>
            <w:r>
              <w:t xml:space="preserve">Gobernaciones y unidades departamentales de gestión del riesgo</w:t>
            </w:r>
          </w:p>
        </w:tc>
        <w:tc>
          <w:tcPr/>
          <w:p>
            <w:pPr>
              <w:pStyle w:val="Tabla8"/>
              <w:jc w:val="left"/>
            </w:pPr>
            <w:r>
              <w:t xml:space="preserve">Aliado de uso y custodio potencial</w:t>
            </w:r>
          </w:p>
        </w:tc>
        <w:tc>
          <w:tcPr/>
          <w:p>
            <w:pPr>
              <w:pStyle w:val="Tabla8"/>
              <w:jc w:val="left"/>
            </w:pPr>
            <w:r>
              <w:t xml:space="preserve">Tres comités departamentales y custodia potencial</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NO_VERIFICADO</w:t>
            </w:r>
          </w:p>
        </w:tc>
        <w:tc>
          <w:tcPr/>
          <w:p>
            <w:pPr>
              <w:pStyle w:val="Tabla8"/>
              <w:jc w:val="left"/>
            </w:pPr>
            <w:r>
              <w:t xml:space="preserve">Cartas de compromiso</w:t>
            </w:r>
          </w:p>
        </w:tc>
      </w:tr>
      <w:tr>
        <w:trPr>
          <w:cantSplit/>
        </w:trPr>
        <w:tc>
          <w:tcPr/>
          <w:p>
            <w:pPr>
              <w:pStyle w:val="Tabla8"/>
              <w:jc w:val="left"/>
            </w:pPr>
            <w:r>
              <w:t xml:space="preserve">UNGRD y puestos de mando unificado</w:t>
            </w:r>
          </w:p>
        </w:tc>
        <w:tc>
          <w:tcPr/>
          <w:p>
            <w:pPr>
              <w:pStyle w:val="Tabla8"/>
              <w:jc w:val="left"/>
            </w:pPr>
            <w:r>
              <w:t xml:space="preserve">Aliado de uso</w:t>
            </w:r>
          </w:p>
        </w:tc>
        <w:tc>
          <w:tcPr/>
          <w:p>
            <w:pPr>
              <w:pStyle w:val="Tabla8"/>
              <w:jc w:val="left"/>
            </w:pPr>
            <w:r>
              <w:t xml:space="preserve">Reciben información y aplican el protocolo de alerta</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INFERIDO</w:t>
            </w:r>
          </w:p>
        </w:tc>
        <w:tc>
          <w:tcPr/>
          <w:p>
            <w:pPr>
              <w:pStyle w:val="Tabla8"/>
              <w:jc w:val="left"/>
            </w:pPr>
            <w:r>
              <w:t xml:space="preserve">Carta de aceptación del protocolo</w:t>
            </w:r>
          </w:p>
        </w:tc>
      </w:tr>
      <w:tr>
        <w:trPr>
          <w:cantSplit/>
        </w:trPr>
        <w:tc>
          <w:tcPr/>
          <w:p>
            <w:pPr>
              <w:pStyle w:val="Tabla8"/>
              <w:jc w:val="left"/>
            </w:pPr>
            <w:r>
              <w:t xml:space="preserve">IDEAM y autoridades ambientales</w:t>
            </w:r>
          </w:p>
        </w:tc>
        <w:tc>
          <w:tcPr/>
          <w:p>
            <w:pPr>
              <w:pStyle w:val="Tabla8"/>
              <w:jc w:val="left"/>
            </w:pPr>
            <w:r>
              <w:t xml:space="preserve">Referencia metrológica</w:t>
            </w:r>
          </w:p>
        </w:tc>
        <w:tc>
          <w:tcPr/>
          <w:p>
            <w:pPr>
              <w:pStyle w:val="Tabla8"/>
              <w:jc w:val="left"/>
            </w:pPr>
            <w:r>
              <w:t xml:space="preserve">Punto de referencia para la colocalización</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INFERIDO</w:t>
            </w:r>
          </w:p>
        </w:tc>
        <w:tc>
          <w:tcPr/>
          <w:p>
            <w:pPr>
              <w:pStyle w:val="Tabla8"/>
              <w:jc w:val="left"/>
            </w:pPr>
            <w:r>
              <w:t xml:space="preserve">Convenio de referencia</w:t>
            </w:r>
          </w:p>
        </w:tc>
      </w:tr>
      <w:tr>
        <w:trPr>
          <w:cantSplit/>
        </w:trPr>
        <w:tc>
          <w:tcPr/>
          <w:p>
            <w:pPr>
              <w:pStyle w:val="Tabla8"/>
              <w:jc w:val="left"/>
            </w:pPr>
            <w:r>
              <w:t xml:space="preserve">Laboratorio acreditado, laboratorio externo y evaluación externa</w:t>
            </w:r>
          </w:p>
        </w:tc>
        <w:tc>
          <w:tcPr/>
          <w:p>
            <w:pPr>
              <w:pStyle w:val="Tabla8"/>
              <w:jc w:val="left"/>
            </w:pPr>
            <w:r>
              <w:t xml:space="preserve">Proveedores de servicio, no aliados</w:t>
            </w:r>
          </w:p>
        </w:tc>
        <w:tc>
          <w:tcPr/>
          <w:p>
            <w:pPr>
              <w:pStyle w:val="Tabla8"/>
              <w:jc w:val="left"/>
            </w:pPr>
            <w:r>
              <w:t xml:space="preserve">Gravimetría (S01), ensayo independiente (S08) y evaluación (S07)</w:t>
            </w:r>
          </w:p>
        </w:tc>
        <w:tc>
          <w:tcPr/>
          <w:p>
            <w:pPr>
              <w:pStyle w:val="Tabla8"/>
              <w:jc w:val="left"/>
            </w:pPr>
            <w:r>
              <w:t xml:space="preserve">0,0</w:t>
            </w:r>
          </w:p>
        </w:tc>
        <w:tc>
          <w:tcPr/>
          <w:p>
            <w:pPr>
              <w:pStyle w:val="Tabla8"/>
              <w:jc w:val="left"/>
            </w:pPr>
            <w:r>
              <w:t xml:space="preserve">294,0 con cargo al SGR</w:t>
            </w:r>
          </w:p>
        </w:tc>
        <w:tc>
          <w:tcPr/>
          <w:p>
            <w:pPr>
              <w:pStyle w:val="Tabla8"/>
              <w:jc w:val="left"/>
            </w:pPr>
            <w:r>
              <w:t xml:space="preserve">DECLARADO y PROPUESTO</w:t>
            </w:r>
          </w:p>
        </w:tc>
        <w:tc>
          <w:tcPr/>
          <w:p>
            <w:pPr>
              <w:pStyle w:val="Tabla8"/>
              <w:jc w:val="left"/>
            </w:pPr>
            <w:r>
              <w:t xml:space="preserve">Cotización y alcance de acreditación</w:t>
            </w:r>
          </w:p>
        </w:tc>
      </w:tr>
      <w:tr>
        <w:trPr>
          <w:cantSplit/>
        </w:trPr>
        <w:tc>
          <w:tcPr/>
          <w:p>
            <w:pPr>
              <w:pStyle w:val="Tabla8"/>
              <w:jc w:val="left"/>
            </w:pPr>
            <w:r>
              <w:t xml:space="preserve">Total de contrapartida</w:t>
            </w:r>
          </w:p>
        </w:tc>
        <w:tc>
          <w:tcPr/>
          <w:p>
            <w:pPr>
              <w:pStyle w:val="Tabla8"/>
              <w:jc w:val="left"/>
            </w:pPr>
            <w:r>
              <w:t xml:space="preserve">—</w:t>
            </w:r>
          </w:p>
        </w:tc>
        <w:tc>
          <w:tcPr/>
          <w:p>
            <w:pPr>
              <w:pStyle w:val="Tabla8"/>
              <w:jc w:val="left"/>
            </w:pPr>
            <w:r>
              <w:t xml:space="preserve">—</w:t>
            </w:r>
          </w:p>
        </w:tc>
        <w:tc>
          <w:tcPr/>
          <w:p>
            <w:pPr>
              <w:pStyle w:val="Tabla8"/>
              <w:jc w:val="left"/>
            </w:pPr>
            <w:r>
              <w:t xml:space="preserve">2.110,0</w:t>
            </w:r>
          </w:p>
        </w:tc>
        <w:tc>
          <w:tcPr/>
          <w:p>
            <w:pPr>
              <w:pStyle w:val="Tabla8"/>
              <w:jc w:val="left"/>
            </w:pPr>
            <w:r>
              <w:t xml:space="preserve">210,0 efectivo y 1.900,0 especie</w:t>
            </w:r>
          </w:p>
        </w:tc>
        <w:tc>
          <w:tcPr/>
          <w:p>
            <w:pPr>
              <w:pStyle w:val="Tabla8"/>
              <w:jc w:val="left"/>
            </w:pPr>
            <w:r>
              <w:t xml:space="preserve">CALCULADO</w:t>
            </w:r>
          </w:p>
        </w:tc>
        <w:tc>
          <w:tcPr/>
          <w:p>
            <w:pPr>
              <w:pStyle w:val="Tabla8"/>
              <w:jc w:val="left"/>
            </w:pPr>
            <w:r>
              <w:t xml:space="preserve">—</w:t>
            </w:r>
          </w:p>
        </w:tc>
      </w:tr>
    </w:tbl>
    <w:p>
      <w:pPr>
        <w:pStyle w:val="TablaNota"/>
      </w:pPr>
      <w:r>
        <w:rPr>
          <w:i/>
          <w:iCs/>
        </w:rPr>
        <w:t xml:space="preserve">Nota.</w:t>
      </w:r>
      <w:r>
        <w:t xml:space="preserve"> </w:t>
      </w:r>
      <w:r>
        <w:t xml:space="preserve">Elaboración propia con la contrapartida de maestro.py (C01 a C06) y los actores de 4.4-MDR.5. La alianza empresa-IES es SUPUESTO por instrucción del usuario. M COP: millones de pesos colombianos. Decimales con coma.</w:t>
      </w:r>
    </w:p>
    <w:p>
      <w:pPr>
        <w:pStyle w:val="BodyText"/>
      </w:pPr>
      <w:r>
        <w:t xml:space="preserve">El mapa de la Figura 17.2 muestra la misma estructura. Mitchell et al. (1997) definen la relevancia de un actor por su poder, su legitimidad y su urgencia. La evaluación de esos atributos exige evidencia que el expediente no aporta. Por ello el análisis de actores de 4.4-MDR.5 registra la relevancia como NO_EVALUADO para casi todos los actores. Esta tabla y el mapa no corrigen ese vacío. Solo ordenan a los actores por su vínculo con el proyecto.</w:t>
      </w:r>
    </w:p>
    <w:p>
      <w:pPr>
        <w:pStyle w:val="FiguraRotulo"/>
      </w:pPr>
      <w:bookmarkStart w:id="9551" w:name="rot_Figura_17_2"/>
      <w:r>
        <w:rPr>
          <w:b/>
          <w:bCs/>
        </w:rPr>
        <w:t xml:space="preserve">Figura 17.2</w:t>
      </w:r>
      <w:bookmarkEnd w:id="9551"/>
    </w:p>
    <w:p>
      <w:pPr>
        <w:pStyle w:val="FiguraTitulo"/>
      </w:pPr>
      <w:r>
        <w:rPr>
          <w:i/>
          <w:iCs/>
        </w:rPr>
        <w:t xml:space="preserve">Mapa de alianzas estratégicas del proyecto</w:t>
      </w:r>
    </w:p>
    <w:p>
      <w:pPr>
        <w:pStyle w:val="BodyText"/>
      </w:pPr>
      <w:r>
        <w:drawing>
          <wp:inline>
            <wp:extent cx="5579999" cy="3326251"/>
            <wp:effectExtent b="0" l="0" r="0" t="0"/>
            <wp:docPr descr="" title="" id="667" name="Picture"/>
            <a:graphic>
              <a:graphicData uri="http://schemas.openxmlformats.org/drawingml/2006/picture">
                <pic:pic>
                  <pic:nvPicPr>
                    <pic:cNvPr descr="/tmp/claude-0/-home-user-docs/ddf38714-2a7e-502b-92b4-1008e2832422/scratchpad/proy/figs/out/c17_f02.png" id="668" name="Picture"/>
                    <pic:cNvPicPr>
                      <a:picLocks noChangeArrowheads="1" noChangeAspect="1"/>
                    </pic:cNvPicPr>
                  </pic:nvPicPr>
                  <pic:blipFill>
                    <a:blip r:embed="rId666"/>
                    <a:stretch>
                      <a:fillRect/>
                    </a:stretch>
                  </pic:blipFill>
                  <pic:spPr bwMode="auto">
                    <a:xfrm>
                      <a:off x="0" y="0"/>
                      <a:ext cx="5579999" cy="33262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contrapartida de maestro.py (C01 a C06) y los actores de 4.4-MDR.5; script c17_figs.py, sin semilla; corte de datos 13 de octubre de 2026. Montos en millones de COP. Naturaleza: aportes DECLARADO, con desglose de la IES PROPUESTO; alianza SUPUESTO.</w:t>
      </w:r>
    </w:p>
    <w:p>
      <w:pPr>
        <w:pStyle w:val="BodyText"/>
      </w:pPr>
      <w:r>
        <w:t xml:space="preserve">El Sistema Nacional de Gestión del Riesgo de Desastres organiza instancias nacionales y territoriales de decisión (Congreso de la República, 2012a). Los 15 comités del proyecto, 12 municipales y tres departamentales, pertenecen a ese sistema y son los usuarios del tablero (SUPUESTO). Ningún actor del sistema firmó un compromiso con el proyecto. Por consiguiente, el proyecto no cuenta con las alcaldías como aportantes. Las trata como custodios potenciales sujetos a las compuertas C1 y C2.</w:t>
      </w:r>
    </w:p>
    <w:bookmarkEnd w:id="669"/>
    <w:bookmarkStart w:id="670" w:name="_Toc00900268"/>
    <w:p>
      <w:pPr>
        <w:pStyle w:val="Heading3"/>
      </w:pPr>
      <w:r>
        <w:t xml:space="preserve">17.4.2 Rol de cada co-ejecutor</w:t>
      </w:r>
    </w:p>
    <w:p>
      <w:pPr>
        <w:pStyle w:val="FirstParagraph"/>
      </w:pPr>
      <w:r>
        <w:t xml:space="preserve">La IES ejecutora responde ante el control fiscal. Dirige científicamente el proyecto. Aporta el investigador principal, el coinvestigador técnico, los dos coinvestigadores de ambiente y ciencias sociales y los laboratorios (líneas C01 a C04). La empresa tecnológica responde por la propiedad intelectual y por el código de la plataforma. Aporta la infraestructura en la nube (C06) y la logística y los viáticos de emergencia (C05). Estos roles proceden del análisis de actores de 4.4-MDR.5, que se basó en el expediente E3 (DECLARADO).</w:t>
      </w:r>
    </w:p>
    <w:p>
      <w:pPr>
        <w:pStyle w:val="BodyText"/>
      </w:pPr>
      <w:r>
        <w:t xml:space="preserve">Chesbrough (2003) sostiene que las organizaciones obtienen valor al combinar ideas y rutas de mercado internas y externas. Teece (1986) advierte que quien controla los activos complementarios captura buena parte del valor de la innovación. Las dos posiciones se aplican a la nube de la empresa. La alianza amplía la capacidad, pero también crea dependencia de un solo proveedor. El proyecto responde con tres instrumentos. El primero es la cláusula de apertura y salida ordenada. El segundo es el acuerdo de titularidad que exige el indicador PERS-P02. El tercero es el análisis de libertad de operación (riesgo R-JUR-01).</w:t>
      </w:r>
    </w:p>
    <w:p>
      <w:pPr>
        <w:pStyle w:val="BodyText"/>
      </w:pPr>
      <w:r>
        <w:t xml:space="preserve">La consecuencia metodológica es que el convenio de ejecución debe fijar quién titula el modelo de corrección, el firmware y el gemelo digital. Debe fijar también qué ocurre con los datos y con la infraestructura al cierre. El profesional de convenios y custodia (P14) elabora ese convenio antes del acta de inicio (PROPUESTO). Sin convenio firmado, la actividad A0.1 no se considera concluida.</w:t>
      </w:r>
    </w:p>
    <w:bookmarkEnd w:id="670"/>
    <w:bookmarkStart w:id="671" w:name="_Toc00900269"/>
    <w:p>
      <w:pPr>
        <w:pStyle w:val="Heading3"/>
      </w:pPr>
      <w:r>
        <w:t xml:space="preserve">17.4.3 Aportes específicos</w:t>
      </w:r>
    </w:p>
    <w:p>
      <w:pPr>
        <w:pStyle w:val="FirstParagraph"/>
      </w:pPr>
      <w:r>
        <w:t xml:space="preserve">La contrapartida suma 2.110 millones de COP (DECLARADO, con certificaciones pendientes). La IES aporta 1.100 millones en especie. Corresponden 350 millones al investigador principal y 250 al coinvestigador técnico. Otros 200 millones corresponden a los coinvestigadores de ambiente y ciencias sociales y 300 al uso de laboratorios y equipos. La empresa aporta 210 millones en efectivo y 800 millones en especie. Las alcaldías no aportan (VACIO).</w:t>
      </w:r>
    </w:p>
    <w:p>
      <w:pPr>
        <w:pStyle w:val="BodyText"/>
      </w:pPr>
      <w:r>
        <w:t xml:space="preserve">La contrapartida equivale a 22,8 % del valor solicitado al SGR y a 19,5 % del total del proyecto. La especie representa 90,0 % del aporte. El efectivo representa 10,0 % del aporte y 1,8 % del total del proyecto. Estas proporciones muestran que el proyecto depende de valoraciones en especie, que requieren certificación para ser admisibles. El riesgo R-FIN-02 recoge esa dependencia y el plan lo trata con la estrategia de evitar: certificar antes del acta de inicio.</w:t>
      </w:r>
    </w:p>
    <w:p>
      <w:pPr>
        <w:pStyle w:val="BodyText"/>
      </w:pPr>
      <w:r>
        <w:t xml:space="preserve">Ostrom (2005) distingue reglas de posición, de información y de pago que gobiernan quién actúa, qué sabe y qué recibe en un arreglo institucional. La contrapartida es una regla de pago. La custodia por tramo es una regla de posición. El tablero compartido es una regla de información. El proyecto diseña los convenios con las tres reglas explícitas. El anexo A del capítulo 20 lista las cartas y las certificaciones que respaldan cada aporte. La compuerta C2 exige convenios de custodia con partida, de modo que ningún tramo se libera sin compromiso presupuestal verificable.</w:t>
      </w:r>
    </w:p>
    <w:bookmarkEnd w:id="671"/>
    <w:bookmarkEnd w:id="672"/>
    <w:bookmarkEnd w:id="673"/>
    <w:bookmarkStart w:id="689" w:name="_Toc00900270"/>
    <w:p>
      <w:pPr>
        <w:pStyle w:val="Heading1"/>
      </w:pPr>
      <w:r>
        <w:t xml:space="preserve">Capítulo 18. Marco Lógico</w:t>
      </w:r>
    </w:p>
    <w:p>
      <w:pPr>
        <w:pStyle w:val="FirstParagraph"/>
      </w:pPr>
      <w:r>
        <w:t xml:space="preserve">Este capítulo resume el diseño del proyecto en una matriz de cuatro niveles y verifica su coherencia. La matriz parte de los 15 indicadores del sistema PERS y de la red de 17 actividades del cronograma. El capítulo agrega el análisis de supuestos y de riesgos y ocho pruebas de coherencia. Todas las cifras proceden de la ficha maestra del proyecto.</w:t>
      </w:r>
    </w:p>
    <w:bookmarkStart w:id="678" w:name="_Toc00900271"/>
    <w:p>
      <w:pPr>
        <w:pStyle w:val="Heading2"/>
      </w:pPr>
      <w:r>
        <w:t xml:space="preserve">18.1 Matriz de Marco Lógico Completa</w:t>
      </w:r>
    </w:p>
    <w:p>
      <w:pPr>
        <w:pStyle w:val="FirstParagraph"/>
      </w:pPr>
      <w:r>
        <w:t xml:space="preserve">La matriz sigue la cadena de resultados que Gertler et al. (2016) describen como una secuencia de insumos, actividades, productos, resultados e impacto. Elmore (1979) propone el mapeo hacia atrás: se parte del resultado final deseado y se deduce lo que debe ocurrir en cada nivel inferior. El proyecto construyó su árbol de objetivos con esa lógica. La Tabla 18.1 presenta los cuatro niveles con su resumen narrativo, sus indicadores y metas, sus medios de verificación y sus supuestos.</w:t>
      </w:r>
    </w:p>
    <w:p>
      <w:pPr>
        <w:pStyle w:val="TablaRotulo"/>
      </w:pPr>
      <w:bookmarkStart w:id="9388" w:name="rot_Tabla_18_1"/>
      <w:r>
        <w:rPr>
          <w:b/>
          <w:bCs/>
        </w:rPr>
        <w:t xml:space="preserve">Tabla 18.1</w:t>
      </w:r>
      <w:bookmarkEnd w:id="9388"/>
    </w:p>
    <w:p>
      <w:pPr>
        <w:pStyle w:val="TablaTitulo"/>
      </w:pPr>
      <w:r>
        <w:rPr>
          <w:i/>
          <w:iCs/>
        </w:rPr>
        <w:t xml:space="preserve">Matriz de marco lógico 4 × 4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52"/>
        <w:gridCol w:w="1716"/>
        <w:gridCol w:w="1716"/>
        <w:gridCol w:w="1518"/>
        <w:gridCol w:w="1518"/>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Resumen narrativo</w:t>
            </w:r>
          </w:p>
        </w:tc>
        <w:tc>
          <w:tcPr>
            <w:shd w:val="clear" w:color="auto" w:fill="00B050"/>
          </w:tcPr>
          <w:p>
            <w:pPr>
              <w:pStyle w:val="Tabla9"/>
              <w:jc w:val="center"/>
            </w:pPr>
            <w:r>
              <w:rPr>
                <w:b/>
                <w:color w:val="FFFFFF"/>
              </w:rPr>
              <w:t xml:space="preserve">Indicadores y metas finales</w:t>
            </w:r>
          </w:p>
        </w:tc>
        <w:tc>
          <w:tcPr>
            <w:shd w:val="clear" w:color="auto" w:fill="00B050"/>
          </w:tcPr>
          <w:p>
            <w:pPr>
              <w:pStyle w:val="Tabla9"/>
              <w:jc w:val="center"/>
            </w:pPr>
            <w:r>
              <w:rPr>
                <w:b/>
                <w:color w:val="FFFFFF"/>
              </w:rPr>
              <w:t xml:space="preserve">Medios de verificación</w:t>
            </w:r>
          </w:p>
        </w:tc>
        <w:tc>
          <w:tcPr>
            <w:shd w:val="clear" w:color="auto" w:fill="00B050"/>
          </w:tcPr>
          <w:p>
            <w:pPr>
              <w:pStyle w:val="Tabla9"/>
              <w:jc w:val="center"/>
            </w:pPr>
            <w:r>
              <w:rPr>
                <w:b/>
                <w:color w:val="FFFFFF"/>
              </w:rPr>
              <w:t xml:space="preserve">Supuestos</w:t>
            </w:r>
          </w:p>
        </w:tc>
      </w:tr>
      <w:tr>
        <w:trPr>
          <w:cantSplit/>
        </w:trPr>
        <w:tc>
          <w:tcPr/>
          <w:p>
            <w:pPr>
              <w:pStyle w:val="Tabla9"/>
              <w:jc w:val="left"/>
            </w:pPr>
            <w:r>
              <w:t xml:space="preserve">Fin</w:t>
            </w:r>
          </w:p>
        </w:tc>
        <w:tc>
          <w:tcPr/>
          <w:p>
            <w:pPr>
              <w:pStyle w:val="Tabla9"/>
              <w:jc w:val="left"/>
            </w:pPr>
            <w:r>
              <w:t xml:space="preserve">Reducción de la exposición evitable de operarios y población a material particulado por remoción de escombros, mediante alertas basadas en mediciones verificadas.</w:t>
            </w:r>
          </w:p>
        </w:tc>
        <w:tc>
          <w:tcPr/>
          <w:p>
            <w:pPr>
              <w:pStyle w:val="Tabla9"/>
              <w:jc w:val="left"/>
            </w:pPr>
            <w:r>
              <w:t xml:space="preserve">PERS-S01 activación del protocolo: ≥ 80 % a los 12 meses posteriores al cierre; PERS-S02 continuidad de la red: ≥ 70 % a los 12 meses posteriores al cierre</w:t>
            </w:r>
          </w:p>
        </w:tc>
        <w:tc>
          <w:tcPr/>
          <w:p>
            <w:pPr>
              <w:pStyle w:val="Tabla9"/>
              <w:jc w:val="left"/>
            </w:pPr>
            <w:r>
              <w:t xml:space="preserve">Evaluación externa posproyecto</w:t>
            </w:r>
          </w:p>
        </w:tc>
        <w:tc>
          <w:tcPr/>
          <w:p>
            <w:pPr>
              <w:pStyle w:val="Tabla9"/>
              <w:jc w:val="left"/>
            </w:pPr>
            <w:r>
              <w:t xml:space="preserve">Los custodios financian la operación y los comités mantienen el protocolo.</w:t>
            </w:r>
          </w:p>
        </w:tc>
      </w:tr>
      <w:tr>
        <w:trPr>
          <w:cantSplit/>
        </w:trPr>
        <w:tc>
          <w:tcPr/>
          <w:p>
            <w:pPr>
              <w:pStyle w:val="Tabla9"/>
              <w:jc w:val="left"/>
            </w:pPr>
            <w:r>
              <w:t xml:space="preserve">Propósito</w:t>
            </w:r>
          </w:p>
        </w:tc>
        <w:tc>
          <w:tcPr/>
          <w:p>
            <w:pPr>
              <w:pStyle w:val="Tabla9"/>
              <w:jc w:val="left"/>
            </w:pPr>
            <w:r>
              <w:t xml:space="preserve">Los comités de gestión del riesgo usan mediciones verificadas de PM2,5 y PM10 de una red de 100 nodos para decidir alertas.</w:t>
            </w:r>
          </w:p>
        </w:tc>
        <w:tc>
          <w:tcPr/>
          <w:p>
            <w:pPr>
              <w:pStyle w:val="Tabla9"/>
              <w:jc w:val="left"/>
            </w:pPr>
            <w:r>
              <w:t xml:space="preserve">PERS-E01 uso institucional: ≥ 75 % al mes 24; PERS-E02 falsas alarmas: ≥ 30 % de reducción relativa; PERS-E03 capacidad en custodios: ≥ 60 personas certificadas</w:t>
            </w:r>
          </w:p>
        </w:tc>
        <w:tc>
          <w:tcPr/>
          <w:p>
            <w:pPr>
              <w:pStyle w:val="Tabla9"/>
              <w:jc w:val="left"/>
            </w:pPr>
            <w:r>
              <w:t xml:space="preserve">Actas de comité; registro de alertas; evaluaciones prácticas</w:t>
            </w:r>
          </w:p>
        </w:tc>
        <w:tc>
          <w:tcPr/>
          <w:p>
            <w:pPr>
              <w:pStyle w:val="Tabla9"/>
              <w:jc w:val="left"/>
            </w:pPr>
            <w:r>
              <w:t xml:space="preserve">Las compuertas C1 y C2 se aprueban y el enlace alterno funciona.</w:t>
            </w:r>
          </w:p>
        </w:tc>
      </w:tr>
      <w:tr>
        <w:trPr>
          <w:cantSplit/>
        </w:trPr>
        <w:tc>
          <w:tcPr/>
          <w:p>
            <w:pPr>
              <w:pStyle w:val="Tabla9"/>
              <w:jc w:val="left"/>
            </w:pPr>
            <w:r>
              <w:t xml:space="preserve">Componentes</w:t>
            </w:r>
          </w:p>
        </w:tc>
        <w:tc>
          <w:tcPr/>
          <w:p>
            <w:pPr>
              <w:pStyle w:val="Tabla9"/>
              <w:jc w:val="left"/>
            </w:pPr>
            <w:r>
              <w:t xml:space="preserve">Componente 1: modelo de corrección validado. Componente 2: red operativa con energía y enlace redundantes. Componente 3: tablero, protocolo y convenios de custodia.</w:t>
            </w:r>
          </w:p>
        </w:tc>
        <w:tc>
          <w:tcPr/>
          <w:p>
            <w:pPr>
              <w:pStyle w:val="Tabla9"/>
              <w:jc w:val="left"/>
            </w:pPr>
            <w:r>
              <w:t xml:space="preserve">PERS-P01 red operativa (nodos y gateways): 100 / 10 al mes 24; PERS-P02 software registrado: 1 registro vigente; PERS-P03 artículos: 2 sometidos y al menos 1 aceptado al mes 24; PERS-P04 apropiación social: 29 actividades (20 talleres y 9 jornadas)</w:t>
            </w:r>
          </w:p>
        </w:tc>
        <w:tc>
          <w:tcPr/>
          <w:p>
            <w:pPr>
              <w:pStyle w:val="Tabla9"/>
              <w:jc w:val="left"/>
            </w:pPr>
            <w:r>
              <w:t xml:space="preserve">Inventario, certificados DNDA, cartas de aceptación y actas</w:t>
            </w:r>
          </w:p>
        </w:tc>
        <w:tc>
          <w:tcPr/>
          <w:p>
            <w:pPr>
              <w:pStyle w:val="Tabla9"/>
              <w:jc w:val="left"/>
            </w:pPr>
            <w:r>
              <w:t xml:space="preserve">Los equipos llegan en los plazos de importación previstos.</w:t>
            </w:r>
          </w:p>
        </w:tc>
      </w:tr>
      <w:tr>
        <w:trPr>
          <w:cantSplit/>
        </w:trPr>
        <w:tc>
          <w:tcPr/>
          <w:p>
            <w:pPr>
              <w:pStyle w:val="Tabla9"/>
              <w:jc w:val="left"/>
            </w:pPr>
            <w:r>
              <w:t xml:space="preserve">Actividades</w:t>
            </w:r>
          </w:p>
        </w:tc>
        <w:tc>
          <w:tcPr/>
          <w:p>
            <w:pPr>
              <w:pStyle w:val="Tabla9"/>
              <w:jc w:val="left"/>
            </w:pPr>
            <w:r>
              <w:t xml:space="preserve">WP0 gestión, compuertas y cierre (4 actividades); WP1 medición verificada (6 actividades); WP2 red, energía y plataforma (4 actividades); WP3 uso institucional, apropiación y custodia (3 actividades)</w:t>
            </w:r>
          </w:p>
        </w:tc>
        <w:tc>
          <w:tcPr/>
          <w:p>
            <w:pPr>
              <w:pStyle w:val="Tabla9"/>
              <w:jc w:val="left"/>
            </w:pPr>
            <w:r>
              <w:t xml:space="preserve">PERS-R01 despliegue: 100 nodos y 10 gateways (100 %); PERS-R02 ciclos de calibración: 6 ciclos (2 por tramo); PERS-R03 plataforma en la nube: ≥ 99,0 %; PERS-R04 ejecución presupuestal: desviación absoluta ≤ 5 % al cierre; PERS-R05 horas-nodo: ≥ 60.000 y 4 rotaciones por departamento; PERS-R06 informes: 100 %</w:t>
            </w:r>
          </w:p>
        </w:tc>
        <w:tc>
          <w:tcPr/>
          <w:p>
            <w:pPr>
              <w:pStyle w:val="Tabla9"/>
              <w:jc w:val="left"/>
            </w:pPr>
            <w:r>
              <w:t xml:space="preserve">Informes de seguimiento y soportes financieros</w:t>
            </w:r>
          </w:p>
        </w:tc>
        <w:tc>
          <w:tcPr/>
          <w:p>
            <w:pPr>
              <w:pStyle w:val="Tabla9"/>
              <w:jc w:val="left"/>
            </w:pPr>
            <w:r>
              <w:t xml:space="preserve">Acceso a los sitios en ventanas secas y contratación oportuna.</w:t>
            </w:r>
          </w:p>
        </w:tc>
      </w:tr>
    </w:tbl>
    <w:p>
      <w:pPr>
        <w:pStyle w:val="TablaNota"/>
      </w:pPr>
      <w:r>
        <w:rPr>
          <w:i/>
          <w:iCs/>
        </w:rPr>
        <w:t xml:space="preserve">Nota.</w:t>
      </w:r>
      <w:r>
        <w:t xml:space="preserve"> </w:t>
      </w:r>
      <w:r>
        <w:t xml:space="preserve">Elaboración propia con MARCO_LOGICO e IND (indicadores.py) y la red de actividades ACT (maestro.py). Los componentes se numeran 1 a 3 para no confundirlos con las compuertas C1 y C2. Naturaleza: metas PROPUESTO; líneas base en la ficha de cada indicador.</w:t>
      </w:r>
    </w:p>
    <w:p>
      <w:pPr>
        <w:pStyle w:val="BodyText"/>
      </w:pPr>
      <w:r>
        <w:t xml:space="preserve">La matriz asigna cada indicador PERS a un solo nivel. Los dos indicadores de sostenibilidad (S) miden el fin. Los tres de efecto (E) miden el propósito. Los cuatro de producto (P) miden los componentes y los seis de proceso (R) miden las actividades. Los componentes se numeran 1 a 3 para no confundirlos con las compuertas C1 y C2. Los cuatro apartados siguientes describen cada nivel con el dato propio del proyecto.</w:t>
      </w:r>
    </w:p>
    <w:bookmarkStart w:id="674" w:name="_Toc00900272"/>
    <w:p>
      <w:pPr>
        <w:pStyle w:val="Heading3"/>
      </w:pPr>
      <w:r>
        <w:t xml:space="preserve">18.1.1 Fin (Impacto)</w:t>
      </w:r>
    </w:p>
    <w:p>
      <w:pPr>
        <w:pStyle w:val="FirstParagraph"/>
      </w:pPr>
      <w:r>
        <w:t xml:space="preserve">El fin del proyecto es reducir la exposición evitable al material particulado de la remoción de escombros. El medio son las alertas basadas en mediciones verificadas. Dos posiciones disputan cómo se demuestra un fin de este tipo. Gertler et al. (2016) sostienen que la evaluación de impacto exige un contrafactual que estime qué habría ocurrido sin la intervención. Mayne (2012) propone el análisis de contribución, que examina si la cadena de resultados es plausible y si otras causas externas la explican.</w:t>
      </w:r>
    </w:p>
    <w:p>
      <w:pPr>
        <w:pStyle w:val="BodyText"/>
      </w:pPr>
      <w:r>
        <w:t xml:space="preserve">El proyecto no dispone de grupo de comparación y no estima efectos en salud. Por eso adopta la segunda posición. Los indicadores PERS-S01 y PERS-S02 miden la activación del protocolo ante superación de umbral y la continuidad de la red bajo custodia. Sus metas son 80 % y 70 % a los 12 meses posteriores al cierre. Ambos presentan línea base VACIO y se miden después del cierre con evaluación externa. Ninguno mide exposición ni salud.</w:t>
      </w:r>
    </w:p>
    <w:p>
      <w:pPr>
        <w:pStyle w:val="BodyText"/>
      </w:pPr>
      <w:r>
        <w:t xml:space="preserve">La consecuencia metodológica es una redacción prudente del fin. El proyecto afirma que contribuye a reducir la exposición evitable si el protocolo se activa y la red continúa. No afirma que la reducción ocurra ni la cuantifica. La relación entre alerta y exposición es una hipótesis de influencia estructural (INFERIDO). El supuesto del nivel es que los custodios financian la operación y los comités mantienen el protocolo, que corresponde al supuesto crítico SC-4.</w:t>
      </w:r>
    </w:p>
    <w:bookmarkEnd w:id="674"/>
    <w:bookmarkStart w:id="675" w:name="_Toc00900273"/>
    <w:p>
      <w:pPr>
        <w:pStyle w:val="Heading3"/>
      </w:pPr>
      <w:r>
        <w:t xml:space="preserve">18.1.2 Propósito (Efecto)</w:t>
      </w:r>
    </w:p>
    <w:p>
      <w:pPr>
        <w:pStyle w:val="FirstParagraph"/>
      </w:pPr>
      <w:r>
        <w:t xml:space="preserve">El propósito es que los comités de gestión del riesgo usen mediciones verificadas de PM2,5 y PM10 para decidir alertas. Las mediciones proceden de una red de 100 nodos. Davis (1989) explica la adopción de una tecnología por la utilidad percibida y la facilidad de uso. Venkatesh et al. (2003) agregan la influencia social y las condiciones facilitadoras. Rogers (2003) atribuye la difusión a los atributos de la innovación y a la estructura del sistema social. Las tres lecturas coinciden en que la adopción no sigue automáticamente de la disponibilidad técnica.</w:t>
      </w:r>
    </w:p>
    <w:p>
      <w:pPr>
        <w:pStyle w:val="BodyText"/>
      </w:pPr>
      <w:r>
        <w:t xml:space="preserve">El proyecto traduce esas lecturas en tres indicadores de efecto. El indicador PERS-E01 mide el uso institucional. Su meta es 75 % de los comités focalizados al mes 24, con un umbral de 50 % en el piloto. El indicador PERS-E02 mide la reducción relativa de falsas alarmas. Su meta es 30 % frente a una línea base que se mide en el tramo 1. El indicador PERS-E03 mide la capacidad instalada, con meta de 60 personas certificadas.</w:t>
      </w:r>
    </w:p>
    <w:p>
      <w:pPr>
        <w:pStyle w:val="BodyText"/>
      </w:pPr>
      <w:r>
        <w:t xml:space="preserve">La consecuencia es doble. La encuesta del anexo E recoge utilidad, facilidad de uso, influencia social y condiciones facilitadoras. La lista de cotejo del mismo anexo verifica las decisiones documentadas. El propósito incluye además la expresión mediciones verificadas. Ningún indicador de efecto la mide de forma directa, pues el desempeño de la corrección se verifica en las compuertas. La sección 18.3 trata esa brecha.</w:t>
      </w:r>
    </w:p>
    <w:bookmarkEnd w:id="675"/>
    <w:bookmarkStart w:id="676" w:name="_Toc00900274"/>
    <w:p>
      <w:pPr>
        <w:pStyle w:val="Heading3"/>
      </w:pPr>
      <w:r>
        <w:t xml:space="preserve">18.1.3 Componentes (Productos)</w:t>
      </w:r>
    </w:p>
    <w:p>
      <w:pPr>
        <w:pStyle w:val="FirstParagraph"/>
      </w:pPr>
      <w:r>
        <w:t xml:space="preserve">Los componentes son tres productos. El primero es el modelo de corrección validado. El segundo es la red operativa con energía y enlace redundantes. El tercero es el tablero con el protocolo y los convenios de custodia. Funnell y Rogers (2011) describen los modelos lógicos como representaciones de la teoría del programa que ligan productos con resultados. Pawson y Tilley (1997) objetan que un modelo lineal oculta el contexto en el que cada mecanismo funciona. La primera posición ordena el diseño. La segunda advierte que un producto entregado no basta para producir un resultado.</w:t>
      </w:r>
    </w:p>
    <w:p>
      <w:pPr>
        <w:pStyle w:val="BodyText"/>
      </w:pPr>
      <w:r>
        <w:t xml:space="preserve">Los cuatro indicadores de producto cubren los tres componentes de forma desigual. El indicador PERS-P01 mide la red con 100 nodos y 10 gateways al mes 24. Los indicadores PERS-P02 y PERS-P03 miden el software registrado y los artículos, vinculados al modelo de corrección. El indicador PERS-P04 mide 29 actividades de apropiación social, que son 20 talleres y nueve jornadas. El componente 3 cuenta con un solo indicador de producto, y los convenios de custodia se miden en PERS-E03 y PERS-S02.</w:t>
      </w:r>
    </w:p>
    <w:p>
      <w:pPr>
        <w:pStyle w:val="BodyText"/>
      </w:pPr>
      <w:r>
        <w:t xml:space="preserve">La consecuencia metodológica es clara. El contexto entra al diseño por los supuestos y por las compuertas. El supuesto del nivel es que los equipos llegan en los plazos de importación previstos. El riesgo de devaluación (R-FIN-01) y el de humedad (R-TEC-01) concentran los mayores valores monetarios esperados del nivel. La compra por tramo reduce la exposición a ambos, porque cada compuerta libera solo el tramo siguiente.</w:t>
      </w:r>
    </w:p>
    <w:bookmarkEnd w:id="676"/>
    <w:bookmarkStart w:id="677" w:name="_Toc00900275"/>
    <w:p>
      <w:pPr>
        <w:pStyle w:val="Heading3"/>
      </w:pPr>
      <w:r>
        <w:t xml:space="preserve">18.1.4 Actividades (Procesos)</w:t>
      </w:r>
    </w:p>
    <w:p>
      <w:pPr>
        <w:pStyle w:val="FirstParagraph"/>
      </w:pPr>
      <w:r>
        <w:t xml:space="preserve">Las 17 actividades se agrupan en cuatro paquetes. El de gestión reúne cuatro actividades y el de medición verificada reúne seis. El de red, energía y plataforma reúne cuatro y el de uso institucional, apropiación y custodia reúne tres. El Project Management Institute (PMI, 2021) reconoce la planificación, el trabajo del proyecto y la incertidumbre como dominios de desempeño. Patton (2011) propone una evaluación del desarrollo que apoya la adaptación continua cuando las condiciones cambian. La primera lectura favorece un plan con ruta crítica. La segunda favorece la revisión frecuente del plan.</w:t>
      </w:r>
    </w:p>
    <w:p>
      <w:pPr>
        <w:pStyle w:val="BodyText"/>
      </w:pPr>
      <w:r>
        <w:t xml:space="preserve">El cronograma combina ambas lecturas. La ruta crítica abarca 13 actividades y suma 104 semanas (CALCULADO). Las otras cuatro actividades presentan holgura. Las dos compuertas C1 y C2 son puntos de decisión donde el plan puede cambiar. Los seis indicadores de proceso son PERS-R01 a PERS-R06. Miden el despliegue, los ciclos de calibración, la disponibilidad de la plataforma, la ejecución presupuestal, las horas-nodo y los informes.</w:t>
      </w:r>
    </w:p>
    <w:p>
      <w:pPr>
        <w:pStyle w:val="BodyText"/>
      </w:pPr>
      <w:r>
        <w:t xml:space="preserve">La consecuencia es que el nivel de actividades se controla con seis indicadores mensuales. El supuesto del nivel es el acceso a los sitios en ventanas secas y la contratación oportuna. Los riesgos R-EXT-01, R-EXT-02 y R-FIN-02 lo amenazan. Su valor monetario esperado conjunto es de 104,0 millones de COP.</w:t>
      </w:r>
    </w:p>
    <w:bookmarkEnd w:id="677"/>
    <w:bookmarkEnd w:id="678"/>
    <w:bookmarkStart w:id="682" w:name="_Toc00900276"/>
    <w:p>
      <w:pPr>
        <w:pStyle w:val="Heading2"/>
      </w:pPr>
      <w:r>
        <w:t xml:space="preserve">18.2 Análisis de Supuestos</w:t>
      </w:r>
    </w:p>
    <w:bookmarkStart w:id="679" w:name="_Toc00900277"/>
    <w:p>
      <w:pPr>
        <w:pStyle w:val="Heading3"/>
      </w:pPr>
      <w:r>
        <w:t xml:space="preserve">18.2.1 Supuestos por nivel</w:t>
      </w:r>
    </w:p>
    <w:p>
      <w:pPr>
        <w:pStyle w:val="FirstParagraph"/>
      </w:pPr>
      <w:r>
        <w:t xml:space="preserve">Un supuesto es una condición externa que debe cumplirse para que un nivel produzca el siguiente. Toulmin (1958) describe el argumento con datos, una garantía que justifica el paso de los datos a la conclusión y una posible refutación. Los supuestos del marco lógico cumplen la función de la garantía. Los riesgos cumplen la función de la refutación. El proyecto declara un supuesto por nivel. Asigna los cuatro supuestos críticos SC-1 a SC-4 del análisis causal a los niveles del fin y del propósito.</w:t>
      </w:r>
    </w:p>
    <w:p>
      <w:pPr>
        <w:pStyle w:val="BodyText"/>
      </w:pPr>
      <w:r>
        <w:t xml:space="preserve">La Tabla 18.2 muestra la asignación. El supuesto SC-4, de custodia, corresponde al fin. Los supuestos SC-1, SC-2 y SC-3, de medición verificada, de energía y enlace y de uso institucional, corresponden al propósito. Los niveles de componentes y de actividades dependen de condiciones externas de importación, de acceso y de contratación, que no figuran entre los supuestos críticos.</w:t>
      </w:r>
    </w:p>
    <w:p>
      <w:pPr>
        <w:pStyle w:val="TablaRotulo"/>
      </w:pPr>
      <w:bookmarkStart w:id="9389" w:name="rot_Tabla_18_2"/>
      <w:r>
        <w:rPr>
          <w:b/>
          <w:bCs/>
        </w:rPr>
        <w:t xml:space="preserve">Tabla 18.2</w:t>
      </w:r>
      <w:bookmarkEnd w:id="9389"/>
    </w:p>
    <w:p>
      <w:pPr>
        <w:pStyle w:val="TablaTitulo"/>
      </w:pPr>
      <w:r>
        <w:rPr>
          <w:i/>
          <w:iCs/>
        </w:rPr>
        <w:t xml:space="preserve">Análisis de supuestos y riesgos por nivel del marco lógico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452"/>
        <w:gridCol w:w="594"/>
        <w:gridCol w:w="1254"/>
        <w:gridCol w:w="660"/>
        <w:gridCol w:w="1518"/>
      </w:tblGrid>
      <w:tr>
        <w:trPr>
          <w:cantSplit/>
          <w:tblHeader/>
        </w:trPr>
        <w:tc>
          <w:tcPr>
            <w:shd w:val="clear" w:color="auto" w:fill="00B050"/>
          </w:tcPr>
          <w:p>
            <w:pPr>
              <w:pStyle w:val="Tabla8"/>
              <w:jc w:val="center"/>
            </w:pPr>
            <w:r>
              <w:rPr>
                <w:b/>
                <w:color w:val="FFFFFF"/>
              </w:rPr>
              <w:t xml:space="preserve">Nivel</w:t>
            </w:r>
          </w:p>
        </w:tc>
        <w:tc>
          <w:tcPr>
            <w:shd w:val="clear" w:color="auto" w:fill="00B050"/>
          </w:tcPr>
          <w:p>
            <w:pPr>
              <w:pStyle w:val="Tabla8"/>
              <w:jc w:val="center"/>
            </w:pPr>
            <w:r>
              <w:rPr>
                <w:b/>
                <w:color w:val="FFFFFF"/>
              </w:rPr>
              <w:t xml:space="preserve">Supuesto del nivel</w:t>
            </w:r>
          </w:p>
        </w:tc>
        <w:tc>
          <w:tcPr>
            <w:shd w:val="clear" w:color="auto" w:fill="00B050"/>
          </w:tcPr>
          <w:p>
            <w:pPr>
              <w:pStyle w:val="Tabla8"/>
              <w:jc w:val="center"/>
            </w:pPr>
            <w:r>
              <w:rPr>
                <w:b/>
                <w:color w:val="FFFFFF"/>
              </w:rPr>
              <w:t xml:space="preserve">Riesgo asociado</w:t>
            </w:r>
          </w:p>
        </w:tc>
        <w:tc>
          <w:tcPr>
            <w:shd w:val="clear" w:color="auto" w:fill="00B050"/>
          </w:tcPr>
          <w:p>
            <w:pPr>
              <w:pStyle w:val="Tabla8"/>
              <w:jc w:val="center"/>
            </w:pPr>
            <w:r>
              <w:rPr>
                <w:b/>
                <w:color w:val="FFFFFF"/>
              </w:rPr>
              <w:t xml:space="preserve">SC</w:t>
            </w:r>
          </w:p>
        </w:tc>
        <w:tc>
          <w:tcPr>
            <w:shd w:val="clear" w:color="auto" w:fill="00B050"/>
          </w:tcPr>
          <w:p>
            <w:pPr>
              <w:pStyle w:val="Tabla8"/>
              <w:jc w:val="center"/>
            </w:pPr>
            <w:r>
              <w:rPr>
                <w:b/>
                <w:color w:val="FFFFFF"/>
              </w:rPr>
              <w:t xml:space="preserve">P × I (nivel)</w:t>
            </w:r>
          </w:p>
        </w:tc>
        <w:tc>
          <w:tcPr>
            <w:shd w:val="clear" w:color="auto" w:fill="00B050"/>
          </w:tcPr>
          <w:p>
            <w:pPr>
              <w:pStyle w:val="Tabla8"/>
              <w:jc w:val="center"/>
            </w:pPr>
            <w:r>
              <w:rPr>
                <w:b/>
                <w:color w:val="FFFFFF"/>
              </w:rPr>
              <w:t xml:space="preserve">EMV (M COP)</w:t>
            </w:r>
          </w:p>
        </w:tc>
        <w:tc>
          <w:tcPr>
            <w:shd w:val="clear" w:color="auto" w:fill="00B050"/>
          </w:tcPr>
          <w:p>
            <w:pPr>
              <w:pStyle w:val="Tabla8"/>
              <w:jc w:val="center"/>
            </w:pPr>
            <w:r>
              <w:rPr>
                <w:b/>
                <w:color w:val="FFFFFF"/>
              </w:rPr>
              <w:t xml:space="preserve">Estrategia y respuesta</w:t>
            </w:r>
          </w:p>
        </w:tc>
      </w:tr>
      <w:tr>
        <w:trPr>
          <w:cantSplit/>
        </w:trPr>
        <w:tc>
          <w:tcPr/>
          <w:p>
            <w:pPr>
              <w:pStyle w:val="Tabla8"/>
              <w:jc w:val="left"/>
            </w:pPr>
            <w:r>
              <w:t xml:space="preserve">Fin</w:t>
            </w:r>
          </w:p>
        </w:tc>
        <w:tc>
          <w:tcPr/>
          <w:p>
            <w:pPr>
              <w:pStyle w:val="Tabla8"/>
              <w:jc w:val="left"/>
            </w:pPr>
            <w:r>
              <w:t xml:space="preserve">Los custodios financian la operación y los comités mantienen el protocolo.</w:t>
            </w:r>
          </w:p>
        </w:tc>
        <w:tc>
          <w:tcPr/>
          <w:p>
            <w:pPr>
              <w:pStyle w:val="Tabla8"/>
              <w:jc w:val="left"/>
            </w:pPr>
            <w:r>
              <w:t xml:space="preserve">R-ORG-02: Los custodios no asumen la operación en el posproyecto.</w:t>
            </w:r>
          </w:p>
        </w:tc>
        <w:tc>
          <w:tcPr/>
          <w:p>
            <w:pPr>
              <w:pStyle w:val="Tabla8"/>
              <w:jc w:val="left"/>
            </w:pPr>
            <w:r>
              <w:t xml:space="preserve">SC-4</w:t>
            </w:r>
          </w:p>
        </w:tc>
        <w:tc>
          <w:tcPr/>
          <w:p>
            <w:pPr>
              <w:pStyle w:val="Tabla8"/>
              <w:jc w:val="left"/>
            </w:pPr>
            <w:r>
              <w:t xml:space="preserve">4 × 4 = 16 (ALTO)</w:t>
            </w:r>
          </w:p>
        </w:tc>
        <w:tc>
          <w:tcPr/>
          <w:p>
            <w:pPr>
              <w:pStyle w:val="Tabla8"/>
              <w:jc w:val="left"/>
            </w:pPr>
            <w:r>
              <w:t xml:space="preserve">60,0</w:t>
            </w:r>
          </w:p>
        </w:tc>
        <w:tc>
          <w:tcPr/>
          <w:p>
            <w:pPr>
              <w:pStyle w:val="Tabla8"/>
              <w:jc w:val="left"/>
            </w:pPr>
            <w:r>
              <w:t xml:space="preserve">Mitigar: Convenios por tramo, formación de custodios y cláusula de apertura.</w:t>
            </w:r>
          </w:p>
        </w:tc>
      </w:tr>
      <w:tr>
        <w:trPr>
          <w:cantSplit/>
        </w:trPr>
        <w:tc>
          <w:tcPr/>
          <w:p>
            <w:pPr>
              <w:pStyle w:val="Tabla8"/>
              <w:jc w:val="left"/>
            </w:pPr>
            <w:r>
              <w:t xml:space="preserve">Subtotal Fin</w:t>
            </w:r>
          </w:p>
        </w:tc>
        <w:tc>
          <w:tcPr/>
          <w:p>
            <w:pPr>
              <w:pStyle w:val="Tabla8"/>
              <w:jc w:val="left"/>
            </w:pPr>
            <w:r>
              <w:t xml:space="preserve">—</w:t>
            </w:r>
          </w:p>
        </w:tc>
        <w:tc>
          <w:tcPr/>
          <w:p>
            <w:pPr>
              <w:pStyle w:val="Tabla8"/>
              <w:jc w:val="left"/>
            </w:pPr>
            <w:r>
              <w:t xml:space="preserve">1 riesgo</w:t>
            </w:r>
          </w:p>
        </w:tc>
        <w:tc>
          <w:tcPr/>
          <w:p>
            <w:pPr>
              <w:pStyle w:val="Tabla8"/>
              <w:jc w:val="left"/>
            </w:pPr>
            <w:r>
              <w:t xml:space="preserve">—</w:t>
            </w:r>
          </w:p>
        </w:tc>
        <w:tc>
          <w:tcPr/>
          <w:p>
            <w:pPr>
              <w:pStyle w:val="Tabla8"/>
              <w:jc w:val="left"/>
            </w:pPr>
            <w:r>
              <w:t xml:space="preserve">—</w:t>
            </w:r>
          </w:p>
        </w:tc>
        <w:tc>
          <w:tcPr/>
          <w:p>
            <w:pPr>
              <w:pStyle w:val="Tabla8"/>
              <w:jc w:val="left"/>
            </w:pPr>
            <w:r>
              <w:t xml:space="preserve">60,0</w:t>
            </w:r>
          </w:p>
        </w:tc>
        <w:tc>
          <w:tcPr/>
          <w:p>
            <w:pPr>
              <w:pStyle w:val="Tabla8"/>
              <w:jc w:val="left"/>
            </w:pPr>
            <w:r>
              <w:t xml:space="preserve">—</w:t>
            </w:r>
          </w:p>
        </w:tc>
      </w:tr>
      <w:tr>
        <w:trPr>
          <w:cantSplit/>
        </w:trPr>
        <w:tc>
          <w:tcPr/>
          <w:p>
            <w:pPr>
              <w:pStyle w:val="Tabla8"/>
              <w:jc w:val="left"/>
            </w:pPr>
            <w:r>
              <w:t xml:space="preserve">Propósito</w:t>
            </w:r>
          </w:p>
        </w:tc>
        <w:tc>
          <w:tcPr/>
          <w:p>
            <w:pPr>
              <w:pStyle w:val="Tabla8"/>
              <w:jc w:val="left"/>
            </w:pPr>
            <w:r>
              <w:t xml:space="preserve">Las compuertas C1 y C2 se aprueban y el enlace alterno funciona.</w:t>
            </w:r>
          </w:p>
        </w:tc>
        <w:tc>
          <w:tcPr/>
          <w:p>
            <w:pPr>
              <w:pStyle w:val="Tabla8"/>
              <w:jc w:val="left"/>
            </w:pPr>
            <w:r>
              <w:t xml:space="preserve">R-ORG-01: Los comités de gestión del riesgo no adoptan el tablero ni el protocolo.</w:t>
            </w:r>
          </w:p>
        </w:tc>
        <w:tc>
          <w:tcPr/>
          <w:p>
            <w:pPr>
              <w:pStyle w:val="Tabla8"/>
              <w:jc w:val="left"/>
            </w:pPr>
            <w:r>
              <w:t xml:space="preserve">SC-3</w:t>
            </w:r>
          </w:p>
        </w:tc>
        <w:tc>
          <w:tcPr/>
          <w:p>
            <w:pPr>
              <w:pStyle w:val="Tabla8"/>
              <w:jc w:val="left"/>
            </w:pPr>
            <w:r>
              <w:t xml:space="preserve">3 × 5 = 15 (ALTO)</w:t>
            </w:r>
          </w:p>
        </w:tc>
        <w:tc>
          <w:tcPr/>
          <w:p>
            <w:pPr>
              <w:pStyle w:val="Tabla8"/>
              <w:jc w:val="left"/>
            </w:pPr>
            <w:r>
              <w:t xml:space="preserve">36,0</w:t>
            </w:r>
          </w:p>
        </w:tc>
        <w:tc>
          <w:tcPr/>
          <w:p>
            <w:pPr>
              <w:pStyle w:val="Tabla8"/>
              <w:jc w:val="left"/>
            </w:pPr>
            <w:r>
              <w:t xml:space="preserve">Mitigar: Co-diseño de umbrales, formación por comité y uso piloto con registro de decisiones.</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R-TEC-04: El modelo de corrección no generaliza entre departamentos.</w:t>
            </w:r>
          </w:p>
        </w:tc>
        <w:tc>
          <w:tcPr/>
          <w:p>
            <w:pPr>
              <w:pStyle w:val="Tabla8"/>
              <w:jc w:val="left"/>
            </w:pPr>
            <w:r>
              <w:t xml:space="preserve">SC-1</w:t>
            </w:r>
          </w:p>
        </w:tc>
        <w:tc>
          <w:tcPr/>
          <w:p>
            <w:pPr>
              <w:pStyle w:val="Tabla8"/>
              <w:jc w:val="left"/>
            </w:pPr>
            <w:r>
              <w:t xml:space="preserve">3 × 4 = 12 (ALTO)</w:t>
            </w:r>
          </w:p>
        </w:tc>
        <w:tc>
          <w:tcPr/>
          <w:p>
            <w:pPr>
              <w:pStyle w:val="Tabla8"/>
              <w:jc w:val="left"/>
            </w:pPr>
            <w:r>
              <w:t xml:space="preserve">31,5</w:t>
            </w:r>
          </w:p>
        </w:tc>
        <w:tc>
          <w:tcPr/>
          <w:p>
            <w:pPr>
              <w:pStyle w:val="Tabla8"/>
              <w:jc w:val="left"/>
            </w:pPr>
            <w:r>
              <w:t xml:space="preserve">Mitigar: Validación cruzada por departamento y reentrenamiento por tramo.</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R-DAT-01: Un incidente de ciberseguridad compromete la plataforma.</w:t>
            </w:r>
          </w:p>
        </w:tc>
        <w:tc>
          <w:tcPr/>
          <w:p>
            <w:pPr>
              <w:pStyle w:val="Tabla8"/>
              <w:jc w:val="left"/>
            </w:pPr>
            <w:r>
              <w:t xml:space="preserve">SC-3</w:t>
            </w:r>
          </w:p>
        </w:tc>
        <w:tc>
          <w:tcPr/>
          <w:p>
            <w:pPr>
              <w:pStyle w:val="Tabla8"/>
              <w:jc w:val="left"/>
            </w:pPr>
            <w:r>
              <w:t xml:space="preserve">2 × 4 = 8 (MEDIO)</w:t>
            </w:r>
          </w:p>
        </w:tc>
        <w:tc>
          <w:tcPr/>
          <w:p>
            <w:pPr>
              <w:pStyle w:val="Tabla8"/>
              <w:jc w:val="left"/>
            </w:pPr>
            <w:r>
              <w:t xml:space="preserve">18,0</w:t>
            </w:r>
          </w:p>
        </w:tc>
        <w:tc>
          <w:tcPr/>
          <w:p>
            <w:pPr>
              <w:pStyle w:val="Tabla8"/>
              <w:jc w:val="left"/>
            </w:pPr>
            <w:r>
              <w:t xml:space="preserve">Mitigar: Pruebas de penetración, segmentación y copias de respaldo.</w:t>
            </w:r>
          </w:p>
        </w:tc>
      </w:tr>
      <w:tr>
        <w:trPr>
          <w:cantSplit/>
        </w:trPr>
        <w:tc>
          <w:tcPr/>
          <w:p>
            <w:pPr>
              <w:pStyle w:val="Tabla8"/>
              <w:jc w:val="left"/>
            </w:pPr>
            <w:r>
              <w:t xml:space="preserve">Subtotal Propósito</w:t>
            </w:r>
          </w:p>
        </w:tc>
        <w:tc>
          <w:tcPr/>
          <w:p>
            <w:pPr>
              <w:pStyle w:val="Tabla8"/>
              <w:jc w:val="left"/>
            </w:pPr>
            <w:r>
              <w:t xml:space="preserve">—</w:t>
            </w:r>
          </w:p>
        </w:tc>
        <w:tc>
          <w:tcPr/>
          <w:p>
            <w:pPr>
              <w:pStyle w:val="Tabla8"/>
              <w:jc w:val="left"/>
            </w:pPr>
            <w:r>
              <w:t xml:space="preserve">3 riesgos</w:t>
            </w:r>
          </w:p>
        </w:tc>
        <w:tc>
          <w:tcPr/>
          <w:p>
            <w:pPr>
              <w:pStyle w:val="Tabla8"/>
              <w:jc w:val="left"/>
            </w:pPr>
            <w:r>
              <w:t xml:space="preserve">—</w:t>
            </w:r>
          </w:p>
        </w:tc>
        <w:tc>
          <w:tcPr/>
          <w:p>
            <w:pPr>
              <w:pStyle w:val="Tabla8"/>
              <w:jc w:val="left"/>
            </w:pPr>
            <w:r>
              <w:t xml:space="preserve">—</w:t>
            </w:r>
          </w:p>
        </w:tc>
        <w:tc>
          <w:tcPr/>
          <w:p>
            <w:pPr>
              <w:pStyle w:val="Tabla8"/>
              <w:jc w:val="left"/>
            </w:pPr>
            <w:r>
              <w:t xml:space="preserve">85,5</w:t>
            </w:r>
          </w:p>
        </w:tc>
        <w:tc>
          <w:tcPr/>
          <w:p>
            <w:pPr>
              <w:pStyle w:val="Tabla8"/>
              <w:jc w:val="left"/>
            </w:pPr>
            <w:r>
              <w:t xml:space="preserve">—</w:t>
            </w:r>
          </w:p>
        </w:tc>
      </w:tr>
      <w:tr>
        <w:trPr>
          <w:cantSplit/>
        </w:trPr>
        <w:tc>
          <w:tcPr/>
          <w:p>
            <w:pPr>
              <w:pStyle w:val="Tabla8"/>
              <w:jc w:val="left"/>
            </w:pPr>
            <w:r>
              <w:t xml:space="preserve">Componentes</w:t>
            </w:r>
          </w:p>
        </w:tc>
        <w:tc>
          <w:tcPr/>
          <w:p>
            <w:pPr>
              <w:pStyle w:val="Tabla8"/>
              <w:jc w:val="left"/>
            </w:pPr>
            <w:r>
              <w:t xml:space="preserve">Los equipos llegan en los plazos de importación previstos.</w:t>
            </w:r>
          </w:p>
        </w:tc>
        <w:tc>
          <w:tcPr/>
          <w:p>
            <w:pPr>
              <w:pStyle w:val="Tabla8"/>
              <w:jc w:val="left"/>
            </w:pPr>
            <w:r>
              <w:t xml:space="preserve">R-TEC-01: La humedad y el polvo saturan los cabezales ópticos y sesgan PM2,5 y PM10.</w:t>
            </w:r>
          </w:p>
        </w:tc>
        <w:tc>
          <w:tcPr/>
          <w:p>
            <w:pPr>
              <w:pStyle w:val="Tabla8"/>
              <w:jc w:val="left"/>
            </w:pPr>
            <w:r>
              <w:t xml:space="preserve">SC-1</w:t>
            </w:r>
          </w:p>
        </w:tc>
        <w:tc>
          <w:tcPr/>
          <w:p>
            <w:pPr>
              <w:pStyle w:val="Tabla8"/>
              <w:jc w:val="left"/>
            </w:pPr>
            <w:r>
              <w:t xml:space="preserve">4 × 5 = 20 (EXTREMO)</w:t>
            </w:r>
          </w:p>
        </w:tc>
        <w:tc>
          <w:tcPr/>
          <w:p>
            <w:pPr>
              <w:pStyle w:val="Tabla8"/>
              <w:jc w:val="left"/>
            </w:pPr>
            <w:r>
              <w:t xml:space="preserve">150,0</w:t>
            </w:r>
          </w:p>
        </w:tc>
        <w:tc>
          <w:tcPr/>
          <w:p>
            <w:pPr>
              <w:pStyle w:val="Tabla8"/>
              <w:jc w:val="left"/>
            </w:pPr>
            <w:r>
              <w:t xml:space="preserve">Mitigar: Modelo de corrección por humedad, banco de calibración y reposición de cabezales.</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R-TEC-02: Las baterías se agotan antes de 14 días sin sol y los nodos dejan de transmitir.</w:t>
            </w:r>
          </w:p>
        </w:tc>
        <w:tc>
          <w:tcPr/>
          <w:p>
            <w:pPr>
              <w:pStyle w:val="Tabla8"/>
              <w:jc w:val="left"/>
            </w:pPr>
            <w:r>
              <w:t xml:space="preserve">SC-2</w:t>
            </w:r>
          </w:p>
        </w:tc>
        <w:tc>
          <w:tcPr/>
          <w:p>
            <w:pPr>
              <w:pStyle w:val="Tabla8"/>
              <w:jc w:val="left"/>
            </w:pPr>
            <w:r>
              <w:t xml:space="preserve">3 × 4 = 12 (ALTO)</w:t>
            </w:r>
          </w:p>
        </w:tc>
        <w:tc>
          <w:tcPr/>
          <w:p>
            <w:pPr>
              <w:pStyle w:val="Tabla8"/>
              <w:jc w:val="left"/>
            </w:pPr>
            <w:r>
              <w:t xml:space="preserve">24,0</w:t>
            </w:r>
          </w:p>
        </w:tc>
        <w:tc>
          <w:tcPr/>
          <w:p>
            <w:pPr>
              <w:pStyle w:val="Tabla8"/>
              <w:jc w:val="left"/>
            </w:pPr>
            <w:r>
              <w:t xml:space="preserve">Mitigar: Kits solares dimensionados, modo de bajo consumo y repuestos de batería.</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R-TEC-03: La red celular falla en el sitio y los gateways pierden el enlace con la nube.</w:t>
            </w:r>
          </w:p>
        </w:tc>
        <w:tc>
          <w:tcPr/>
          <w:p>
            <w:pPr>
              <w:pStyle w:val="Tabla8"/>
              <w:jc w:val="left"/>
            </w:pPr>
            <w:r>
              <w:t xml:space="preserve">SC-2</w:t>
            </w:r>
          </w:p>
        </w:tc>
        <w:tc>
          <w:tcPr/>
          <w:p>
            <w:pPr>
              <w:pStyle w:val="Tabla8"/>
              <w:jc w:val="left"/>
            </w:pPr>
            <w:r>
              <w:t xml:space="preserve">3 × 4 = 12 (ALTO)</w:t>
            </w:r>
          </w:p>
        </w:tc>
        <w:tc>
          <w:tcPr/>
          <w:p>
            <w:pPr>
              <w:pStyle w:val="Tabla8"/>
              <w:jc w:val="left"/>
            </w:pPr>
            <w:r>
              <w:t xml:space="preserve">28,0</w:t>
            </w:r>
          </w:p>
        </w:tc>
        <w:tc>
          <w:tcPr/>
          <w:p>
            <w:pPr>
              <w:pStyle w:val="Tabla8"/>
              <w:jc w:val="left"/>
            </w:pPr>
            <w:r>
              <w:t xml:space="preserve">Mitigar: Enlace satelital de respaldo y almacenamiento local de 7 días.</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R-FIN-01: La devaluación del peso encarece los equipos importados.</w:t>
            </w:r>
          </w:p>
        </w:tc>
        <w:tc>
          <w:tcPr/>
          <w:p>
            <w:pPr>
              <w:pStyle w:val="Tabla8"/>
              <w:jc w:val="left"/>
            </w:pPr>
            <w:r>
              <w:t xml:space="preserve">—</w:t>
            </w:r>
          </w:p>
        </w:tc>
        <w:tc>
          <w:tcPr/>
          <w:p>
            <w:pPr>
              <w:pStyle w:val="Tabla8"/>
              <w:jc w:val="left"/>
            </w:pPr>
            <w:r>
              <w:t xml:space="preserve">4 × 4 = 16 (ALTO)</w:t>
            </w:r>
          </w:p>
        </w:tc>
        <w:tc>
          <w:tcPr/>
          <w:p>
            <w:pPr>
              <w:pStyle w:val="Tabla8"/>
              <w:jc w:val="left"/>
            </w:pPr>
            <w:r>
              <w:t xml:space="preserve">165,0</w:t>
            </w:r>
          </w:p>
        </w:tc>
        <w:tc>
          <w:tcPr/>
          <w:p>
            <w:pPr>
              <w:pStyle w:val="Tabla8"/>
              <w:jc w:val="left"/>
            </w:pPr>
            <w:r>
              <w:t xml:space="preserve">Mitigar: Compra por tramo con cobertura cambiaria y cotizaciones vigentes.</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R-JUR-01: Una solicitud de patente de terceros afecta la libertad de operación.</w:t>
            </w:r>
          </w:p>
        </w:tc>
        <w:tc>
          <w:tcPr/>
          <w:p>
            <w:pPr>
              <w:pStyle w:val="Tabla8"/>
              <w:jc w:val="left"/>
            </w:pPr>
            <w:r>
              <w:t xml:space="preserve">—</w:t>
            </w:r>
          </w:p>
        </w:tc>
        <w:tc>
          <w:tcPr/>
          <w:p>
            <w:pPr>
              <w:pStyle w:val="Tabla8"/>
              <w:jc w:val="left"/>
            </w:pPr>
            <w:r>
              <w:t xml:space="preserve">2 × 4 = 8 (MEDIO)</w:t>
            </w:r>
          </w:p>
        </w:tc>
        <w:tc>
          <w:tcPr/>
          <w:p>
            <w:pPr>
              <w:pStyle w:val="Tabla8"/>
              <w:jc w:val="left"/>
            </w:pPr>
            <w:r>
              <w:t xml:space="preserve">20,0</w:t>
            </w:r>
          </w:p>
        </w:tc>
        <w:tc>
          <w:tcPr/>
          <w:p>
            <w:pPr>
              <w:pStyle w:val="Tabla8"/>
              <w:jc w:val="left"/>
            </w:pPr>
            <w:r>
              <w:t xml:space="preserve">Mitigar: Análisis de libertad de operación y diseño alternativo del módulo afectado.</w:t>
            </w:r>
          </w:p>
        </w:tc>
      </w:tr>
      <w:tr>
        <w:trPr>
          <w:cantSplit/>
        </w:trPr>
        <w:tc>
          <w:tcPr/>
          <w:p>
            <w:pPr>
              <w:pStyle w:val="Tabla8"/>
              <w:jc w:val="left"/>
            </w:pPr>
            <w:r>
              <w:t xml:space="preserve">Subtotal Componentes</w:t>
            </w:r>
          </w:p>
        </w:tc>
        <w:tc>
          <w:tcPr/>
          <w:p>
            <w:pPr>
              <w:pStyle w:val="Tabla8"/>
              <w:jc w:val="left"/>
            </w:pPr>
            <w:r>
              <w:t xml:space="preserve">—</w:t>
            </w:r>
          </w:p>
        </w:tc>
        <w:tc>
          <w:tcPr/>
          <w:p>
            <w:pPr>
              <w:pStyle w:val="Tabla8"/>
              <w:jc w:val="left"/>
            </w:pPr>
            <w:r>
              <w:t xml:space="preserve">5 riesgos</w:t>
            </w:r>
          </w:p>
        </w:tc>
        <w:tc>
          <w:tcPr/>
          <w:p>
            <w:pPr>
              <w:pStyle w:val="Tabla8"/>
              <w:jc w:val="left"/>
            </w:pPr>
            <w:r>
              <w:t xml:space="preserve">—</w:t>
            </w:r>
          </w:p>
        </w:tc>
        <w:tc>
          <w:tcPr/>
          <w:p>
            <w:pPr>
              <w:pStyle w:val="Tabla8"/>
              <w:jc w:val="left"/>
            </w:pPr>
            <w:r>
              <w:t xml:space="preserve">—</w:t>
            </w:r>
          </w:p>
        </w:tc>
        <w:tc>
          <w:tcPr/>
          <w:p>
            <w:pPr>
              <w:pStyle w:val="Tabla8"/>
              <w:jc w:val="left"/>
            </w:pPr>
            <w:r>
              <w:t xml:space="preserve">387,0</w:t>
            </w:r>
          </w:p>
        </w:tc>
        <w:tc>
          <w:tcPr/>
          <w:p>
            <w:pPr>
              <w:pStyle w:val="Tabla8"/>
              <w:jc w:val="left"/>
            </w:pPr>
            <w:r>
              <w:t xml:space="preserve">—</w:t>
            </w:r>
          </w:p>
        </w:tc>
      </w:tr>
      <w:tr>
        <w:trPr>
          <w:cantSplit/>
        </w:trPr>
        <w:tc>
          <w:tcPr/>
          <w:p>
            <w:pPr>
              <w:pStyle w:val="Tabla8"/>
              <w:jc w:val="left"/>
            </w:pPr>
            <w:r>
              <w:t xml:space="preserve">Actividades</w:t>
            </w:r>
          </w:p>
        </w:tc>
        <w:tc>
          <w:tcPr/>
          <w:p>
            <w:pPr>
              <w:pStyle w:val="Tabla8"/>
              <w:jc w:val="left"/>
            </w:pPr>
            <w:r>
              <w:t xml:space="preserve">Acceso a los sitios en ventanas secas y contratación oportuna.</w:t>
            </w:r>
          </w:p>
        </w:tc>
        <w:tc>
          <w:tcPr/>
          <w:p>
            <w:pPr>
              <w:pStyle w:val="Tabla8"/>
              <w:jc w:val="left"/>
            </w:pPr>
            <w:r>
              <w:t xml:space="preserve">R-EXT-01: Deslizamientos o réplicas bloquean vías y retrasan la instalación.</w:t>
            </w:r>
          </w:p>
        </w:tc>
        <w:tc>
          <w:tcPr/>
          <w:p>
            <w:pPr>
              <w:pStyle w:val="Tabla8"/>
              <w:jc w:val="left"/>
            </w:pPr>
            <w:r>
              <w:t xml:space="preserve">—</w:t>
            </w:r>
          </w:p>
        </w:tc>
        <w:tc>
          <w:tcPr/>
          <w:p>
            <w:pPr>
              <w:pStyle w:val="Tabla8"/>
              <w:jc w:val="left"/>
            </w:pPr>
            <w:r>
              <w:t xml:space="preserve">4 × 3 = 12 (ALTO)</w:t>
            </w:r>
          </w:p>
        </w:tc>
        <w:tc>
          <w:tcPr/>
          <w:p>
            <w:pPr>
              <w:pStyle w:val="Tabla8"/>
              <w:jc w:val="left"/>
            </w:pPr>
            <w:r>
              <w:t xml:space="preserve">60,0</w:t>
            </w:r>
          </w:p>
        </w:tc>
        <w:tc>
          <w:tcPr/>
          <w:p>
            <w:pPr>
              <w:pStyle w:val="Tabla8"/>
              <w:jc w:val="left"/>
            </w:pPr>
            <w:r>
              <w:t xml:space="preserve">Aceptar y mitigar: Instalación en ventanas secas, técnicos locales y holgura en el cronograma.</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R-EXT-02: Robo o vandalismo de nodos en sitios de remoción.</w:t>
            </w:r>
          </w:p>
        </w:tc>
        <w:tc>
          <w:tcPr/>
          <w:p>
            <w:pPr>
              <w:pStyle w:val="Tabla8"/>
              <w:jc w:val="left"/>
            </w:pPr>
            <w:r>
              <w:t xml:space="preserve">—</w:t>
            </w:r>
          </w:p>
        </w:tc>
        <w:tc>
          <w:tcPr/>
          <w:p>
            <w:pPr>
              <w:pStyle w:val="Tabla8"/>
              <w:jc w:val="left"/>
            </w:pPr>
            <w:r>
              <w:t xml:space="preserve">3 × 3 = 9 (MEDIO)</w:t>
            </w:r>
          </w:p>
        </w:tc>
        <w:tc>
          <w:tcPr/>
          <w:p>
            <w:pPr>
              <w:pStyle w:val="Tabla8"/>
              <w:jc w:val="left"/>
            </w:pPr>
            <w:r>
              <w:t xml:space="preserve">24,0</w:t>
            </w:r>
          </w:p>
        </w:tc>
        <w:tc>
          <w:tcPr/>
          <w:p>
            <w:pPr>
              <w:pStyle w:val="Tabla8"/>
              <w:jc w:val="left"/>
            </w:pPr>
            <w:r>
              <w:t xml:space="preserve">Transferir y mitigar: Cerramientos, custodia local por sitio y seguro de equipos de la entidad ejecutora, fuera del presupuesto SGR.</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R-FIN-02: La contrapartida en especie no se certifica a tiempo.</w:t>
            </w:r>
          </w:p>
        </w:tc>
        <w:tc>
          <w:tcPr/>
          <w:p>
            <w:pPr>
              <w:pStyle w:val="Tabla8"/>
              <w:jc w:val="left"/>
            </w:pPr>
            <w:r>
              <w:t xml:space="preserve">—</w:t>
            </w:r>
          </w:p>
        </w:tc>
        <w:tc>
          <w:tcPr/>
          <w:p>
            <w:pPr>
              <w:pStyle w:val="Tabla8"/>
              <w:jc w:val="left"/>
            </w:pPr>
            <w:r>
              <w:t xml:space="preserve">2 × 4 = 8 (MEDIO)</w:t>
            </w:r>
          </w:p>
        </w:tc>
        <w:tc>
          <w:tcPr/>
          <w:p>
            <w:pPr>
              <w:pStyle w:val="Tabla8"/>
              <w:jc w:val="left"/>
            </w:pPr>
            <w:r>
              <w:t xml:space="preserve">20,0</w:t>
            </w:r>
          </w:p>
        </w:tc>
        <w:tc>
          <w:tcPr/>
          <w:p>
            <w:pPr>
              <w:pStyle w:val="Tabla8"/>
              <w:jc w:val="left"/>
            </w:pPr>
            <w:r>
              <w:t xml:space="preserve">Evitar: Certificación de la IES y de la empresa antes del acta de inicio.</w:t>
            </w:r>
          </w:p>
        </w:tc>
      </w:tr>
      <w:tr>
        <w:trPr>
          <w:cantSplit/>
        </w:trPr>
        <w:tc>
          <w:tcPr/>
          <w:p>
            <w:pPr>
              <w:pStyle w:val="Tabla8"/>
              <w:jc w:val="left"/>
            </w:pPr>
            <w:r>
              <w:t xml:space="preserve">Subtotal Actividades</w:t>
            </w:r>
          </w:p>
        </w:tc>
        <w:tc>
          <w:tcPr/>
          <w:p>
            <w:pPr>
              <w:pStyle w:val="Tabla8"/>
              <w:jc w:val="left"/>
            </w:pPr>
            <w:r>
              <w:t xml:space="preserve">—</w:t>
            </w:r>
          </w:p>
        </w:tc>
        <w:tc>
          <w:tcPr/>
          <w:p>
            <w:pPr>
              <w:pStyle w:val="Tabla8"/>
              <w:jc w:val="left"/>
            </w:pPr>
            <w:r>
              <w:t xml:space="preserve">3 riesgos</w:t>
            </w:r>
          </w:p>
        </w:tc>
        <w:tc>
          <w:tcPr/>
          <w:p>
            <w:pPr>
              <w:pStyle w:val="Tabla8"/>
              <w:jc w:val="left"/>
            </w:pPr>
            <w:r>
              <w:t xml:space="preserve">—</w:t>
            </w:r>
          </w:p>
        </w:tc>
        <w:tc>
          <w:tcPr/>
          <w:p>
            <w:pPr>
              <w:pStyle w:val="Tabla8"/>
              <w:jc w:val="left"/>
            </w:pPr>
            <w:r>
              <w:t xml:space="preserve">—</w:t>
            </w:r>
          </w:p>
        </w:tc>
        <w:tc>
          <w:tcPr/>
          <w:p>
            <w:pPr>
              <w:pStyle w:val="Tabla8"/>
              <w:jc w:val="left"/>
            </w:pPr>
            <w:r>
              <w:t xml:space="preserve">104,0</w:t>
            </w:r>
          </w:p>
        </w:tc>
        <w:tc>
          <w:tcPr/>
          <w:p>
            <w:pPr>
              <w:pStyle w:val="Tabla8"/>
              <w:jc w:val="left"/>
            </w:pPr>
            <w:r>
              <w:t xml:space="preserve">—</w:t>
            </w:r>
          </w:p>
        </w:tc>
      </w:tr>
      <w:tr>
        <w:trPr>
          <w:cantSplit/>
        </w:trPr>
        <w:tc>
          <w:tcPr/>
          <w:p>
            <w:pPr>
              <w:pStyle w:val="Tabla8"/>
              <w:jc w:val="left"/>
            </w:pPr>
            <w:r>
              <w:t xml:space="preserve">Total</w:t>
            </w:r>
          </w:p>
        </w:tc>
        <w:tc>
          <w:tcPr/>
          <w:p>
            <w:pPr>
              <w:pStyle w:val="Tabla8"/>
              <w:jc w:val="left"/>
            </w:pPr>
            <w:r>
              <w:t xml:space="preserve">—</w:t>
            </w:r>
          </w:p>
        </w:tc>
        <w:tc>
          <w:tcPr/>
          <w:p>
            <w:pPr>
              <w:pStyle w:val="Tabla8"/>
              <w:jc w:val="left"/>
            </w:pPr>
            <w:r>
              <w:t xml:space="preserve">12 riesgos</w:t>
            </w:r>
          </w:p>
        </w:tc>
        <w:tc>
          <w:tcPr/>
          <w:p>
            <w:pPr>
              <w:pStyle w:val="Tabla8"/>
              <w:jc w:val="left"/>
            </w:pPr>
            <w:r>
              <w:t xml:space="preserve">—</w:t>
            </w:r>
          </w:p>
        </w:tc>
        <w:tc>
          <w:tcPr/>
          <w:p>
            <w:pPr>
              <w:pStyle w:val="Tabla8"/>
              <w:jc w:val="left"/>
            </w:pPr>
            <w:r>
              <w:t xml:space="preserve">—</w:t>
            </w:r>
          </w:p>
        </w:tc>
        <w:tc>
          <w:tcPr/>
          <w:p>
            <w:pPr>
              <w:pStyle w:val="Tabla8"/>
              <w:jc w:val="left"/>
            </w:pPr>
            <w:r>
              <w:t xml:space="preserve">636,5</w:t>
            </w:r>
          </w:p>
        </w:tc>
        <w:tc>
          <w:tcPr/>
          <w:p>
            <w:pPr>
              <w:pStyle w:val="Tabla8"/>
              <w:jc w:val="left"/>
            </w:pPr>
            <w:r>
              <w:t xml:space="preserve">La reserva de contingencia redondea a 636,0</w:t>
            </w:r>
          </w:p>
        </w:tc>
      </w:tr>
    </w:tbl>
    <w:p>
      <w:pPr>
        <w:pStyle w:val="TablaNota"/>
      </w:pPr>
      <w:r>
        <w:rPr>
          <w:i/>
          <w:iCs/>
        </w:rPr>
        <w:t xml:space="preserve">Nota.</w:t>
      </w:r>
      <w:r>
        <w:t xml:space="preserve"> </w:t>
      </w:r>
      <w:r>
        <w:t xml:space="preserve">Elaboración propia con RISKS (maestro.py) e indicadores.py. La asignación de cada riesgo a un nivel y a un supuesto crítico (SC-1 a SC-4) es PROPUESTO. P: probabilidad; I: impacto; EMV: valor monetario esperado, en millones de pesos colombianos (M COP), sin redondeo. Decimales con coma.</w:t>
      </w:r>
    </w:p>
    <w:bookmarkEnd w:id="679"/>
    <w:bookmarkStart w:id="680" w:name="_Toc00900278"/>
    <w:p>
      <w:pPr>
        <w:pStyle w:val="Heading3"/>
      </w:pPr>
      <w:r>
        <w:t xml:space="preserve">18.2.2 Riesgos asociados</w:t>
      </w:r>
    </w:p>
    <w:p>
      <w:pPr>
        <w:pStyle w:val="FirstParagraph"/>
      </w:pPr>
      <w:r>
        <w:t xml:space="preserve">La tabla vincula los 12 riesgos del registro con un nivel del marco lógico. El valor monetario esperado suma 636,5 millones de COP sin redondeo. El nivel de componentes concentra 387,0 millones, es decir 60,8 % de la suma. El nivel de actividades suma 104,0 millones, el del propósito 85,5 millones y el del fin 60,0 millones. La concentración indica que el mayor riesgo económico está en la entrega de los productos y no en la gestión de las actividades.</w:t>
      </w:r>
    </w:p>
    <w:bookmarkEnd w:id="680"/>
    <w:bookmarkStart w:id="681" w:name="_Toc00900279"/>
    <w:p>
      <w:pPr>
        <w:pStyle w:val="Heading3"/>
      </w:pPr>
      <w:r>
        <w:t xml:space="preserve">18.2.3 Estrategias de mitigación</w:t>
      </w:r>
    </w:p>
    <w:p>
      <w:pPr>
        <w:pStyle w:val="FirstParagraph"/>
      </w:pPr>
      <w:r>
        <w:t xml:space="preserve">El estándar ISO 31000 describe opciones de tratamiento del riesgo (ISO, 2018). Entre ellas figuran evitar la fuente, modificar la probabilidad o la consecuencia, compartir el riesgo y retenerlo con una decisión informada. El registro del proyecto clasifica el tratamiento en cuatro estrategias. Aplica mitigar a nueve riesgos, aceptar y mitigar a un riesgo, transferir y mitigar a un riesgo y evitar a un riesgo. El premortem de 4.4-MDR.12 anticipa fallas del diseño con la técnica de Klein (2007). El capítulo 10 convierte esas fallas en eventos con probabilidad, impacto y valor monetario esperado.</w:t>
      </w:r>
    </w:p>
    <w:p>
      <w:pPr>
        <w:pStyle w:val="BodyText"/>
      </w:pPr>
      <w:r>
        <w:t xml:space="preserve">La consecuencia metodológica es que la reserva de contingencia respalda a los cuatro niveles. Su admisibilidad como rubro depende de los términos de referencia (VACIO). Si la reserva no se admite, los riesgos del nivel de componentes quedan sin cobertura monetaria. En ese caso la compuerta C1 reevalúa el alcance del tramo 2.</w:t>
      </w:r>
    </w:p>
    <w:bookmarkEnd w:id="681"/>
    <w:bookmarkEnd w:id="682"/>
    <w:bookmarkStart w:id="688" w:name="_Toc00900280"/>
    <w:p>
      <w:pPr>
        <w:pStyle w:val="Heading2"/>
      </w:pPr>
      <w:r>
        <w:t xml:space="preserve">18.3 Coherencia Vertical y Horizontal</w:t>
      </w:r>
    </w:p>
    <w:bookmarkStart w:id="686" w:name="_Toc00900281"/>
    <w:p>
      <w:pPr>
        <w:pStyle w:val="Heading3"/>
      </w:pPr>
      <w:r>
        <w:t xml:space="preserve">18.3.1 Verificación de coherencia lógica</w:t>
      </w:r>
    </w:p>
    <w:p>
      <w:pPr>
        <w:pStyle w:val="FirstParagraph"/>
      </w:pPr>
      <w:r>
        <w:t xml:space="preserve">La especificación del capítulo exige verificar la coherencia vertical y la horizontal, pero no enumera las pruebas. El proyecto adopta ocho pruebas (PROPUESTO). Las cuatro verticales, V1 a V4, comprueban que cada nivel conduce al siguiente y que los supuestos están asignados. Las cuatro horizontales, H1 a H4, comprueban que cada nivel cuenta con indicadores completos y trazables. La Tabla 18.3 muestra el resultado y la Figura 18.1 lo sitúa sobre la matriz.</w:t>
      </w:r>
    </w:p>
    <w:p>
      <w:pPr>
        <w:pStyle w:val="TablaRotulo"/>
      </w:pPr>
      <w:bookmarkStart w:id="9390" w:name="rot_Tabla_18_3"/>
      <w:r>
        <w:rPr>
          <w:b/>
          <w:bCs/>
        </w:rPr>
        <w:t xml:space="preserve">Tabla 18.3</w:t>
      </w:r>
      <w:bookmarkEnd w:id="9390"/>
    </w:p>
    <w:p>
      <w:pPr>
        <w:pStyle w:val="TablaTitulo"/>
      </w:pPr>
      <w:r>
        <w:rPr>
          <w:i/>
          <w:iCs/>
        </w:rPr>
        <w:t xml:space="preserve">Resultado de las ocho pruebas de coherencia del marco lógico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65"/>
        <w:gridCol w:w="1331"/>
        <w:gridCol w:w="1397"/>
        <w:gridCol w:w="1397"/>
        <w:gridCol w:w="1331"/>
        <w:gridCol w:w="1597"/>
      </w:tblGrid>
      <w:tr>
        <w:trPr>
          <w:cantSplit/>
          <w:tblHeader/>
        </w:trPr>
        <w:tc>
          <w:tcPr>
            <w:shd w:val="clear" w:color="auto" w:fill="00B050"/>
          </w:tcPr>
          <w:p>
            <w:pPr>
              <w:pStyle w:val="Tabla9"/>
              <w:jc w:val="center"/>
            </w:pPr>
            <w:r>
              <w:rPr>
                <w:b/>
                <w:color w:val="FFFFFF"/>
              </w:rPr>
              <w:t xml:space="preserve">Prueba</w:t>
            </w:r>
          </w:p>
        </w:tc>
        <w:tc>
          <w:tcPr>
            <w:shd w:val="clear" w:color="auto" w:fill="00B050"/>
          </w:tcPr>
          <w:p>
            <w:pPr>
              <w:pStyle w:val="Tabla9"/>
              <w:jc w:val="center"/>
            </w:pPr>
            <w:r>
              <w:rPr>
                <w:b/>
                <w:color w:val="FFFFFF"/>
              </w:rPr>
              <w:t xml:space="preserve">Tipo</w:t>
            </w:r>
          </w:p>
        </w:tc>
        <w:tc>
          <w:tcPr>
            <w:shd w:val="clear" w:color="auto" w:fill="00B050"/>
          </w:tcPr>
          <w:p>
            <w:pPr>
              <w:pStyle w:val="Tabla9"/>
              <w:jc w:val="center"/>
            </w:pPr>
            <w:r>
              <w:rPr>
                <w:b/>
                <w:color w:val="FFFFFF"/>
              </w:rPr>
              <w:t xml:space="preserve">Regla verificada</w:t>
            </w:r>
          </w:p>
        </w:tc>
        <w:tc>
          <w:tcPr>
            <w:shd w:val="clear" w:color="auto" w:fill="00B050"/>
          </w:tcPr>
          <w:p>
            <w:pPr>
              <w:pStyle w:val="Tabla9"/>
              <w:jc w:val="center"/>
            </w:pPr>
            <w:r>
              <w:rPr>
                <w:b/>
                <w:color w:val="FFFFFF"/>
              </w:rPr>
              <w:t xml:space="preserve">Evidencia calculada</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Acción</w:t>
            </w:r>
          </w:p>
        </w:tc>
      </w:tr>
      <w:tr>
        <w:trPr>
          <w:cantSplit/>
        </w:trPr>
        <w:tc>
          <w:tcPr/>
          <w:p>
            <w:pPr>
              <w:pStyle w:val="Tabla9"/>
              <w:jc w:val="left"/>
            </w:pPr>
            <w:r>
              <w:t xml:space="preserve">V1</w:t>
            </w:r>
          </w:p>
        </w:tc>
        <w:tc>
          <w:tcPr/>
          <w:p>
            <w:pPr>
              <w:pStyle w:val="Tabla9"/>
              <w:jc w:val="left"/>
            </w:pPr>
            <w:r>
              <w:t xml:space="preserve">Vertical</w:t>
            </w:r>
          </w:p>
        </w:tc>
        <w:tc>
          <w:tcPr/>
          <w:p>
            <w:pPr>
              <w:pStyle w:val="Tabla9"/>
              <w:jc w:val="left"/>
            </w:pPr>
            <w:r>
              <w:t xml:space="preserve">Cada componente tiene actividades que lo producen y cada actividad tiene paquete</w:t>
            </w:r>
          </w:p>
        </w:tc>
        <w:tc>
          <w:tcPr/>
          <w:p>
            <w:pPr>
              <w:pStyle w:val="Tabla9"/>
              <w:jc w:val="left"/>
            </w:pPr>
            <w:r>
              <w:t xml:space="preserve">17 de 17 actividades con paquete; WP1 6, WP2 4, WP3 3, WP0 4</w:t>
            </w:r>
          </w:p>
        </w:tc>
        <w:tc>
          <w:tcPr/>
          <w:p>
            <w:pPr>
              <w:pStyle w:val="Tabla9"/>
              <w:jc w:val="left"/>
            </w:pPr>
            <w:r>
              <w:t xml:space="preserve">CUMPLE</w:t>
            </w:r>
          </w:p>
        </w:tc>
        <w:tc>
          <w:tcPr/>
          <w:p>
            <w:pPr>
              <w:pStyle w:val="Tabla9"/>
              <w:jc w:val="left"/>
            </w:pPr>
            <w:r>
              <w:t xml:space="preserve">Sin acción.</w:t>
            </w:r>
          </w:p>
        </w:tc>
      </w:tr>
      <w:tr>
        <w:trPr>
          <w:cantSplit/>
        </w:trPr>
        <w:tc>
          <w:tcPr/>
          <w:p>
            <w:pPr>
              <w:pStyle w:val="Tabla9"/>
              <w:jc w:val="left"/>
            </w:pPr>
            <w:r>
              <w:t xml:space="preserve">V2</w:t>
            </w:r>
          </w:p>
        </w:tc>
        <w:tc>
          <w:tcPr/>
          <w:p>
            <w:pPr>
              <w:pStyle w:val="Tabla9"/>
              <w:jc w:val="left"/>
            </w:pPr>
            <w:r>
              <w:t xml:space="preserve">Vertical</w:t>
            </w:r>
          </w:p>
        </w:tc>
        <w:tc>
          <w:tcPr/>
          <w:p>
            <w:pPr>
              <w:pStyle w:val="Tabla9"/>
              <w:jc w:val="left"/>
            </w:pPr>
            <w:r>
              <w:t xml:space="preserve">Cada objetivo específico tiene al menos un indicador de producto</w:t>
            </w:r>
          </w:p>
        </w:tc>
        <w:tc>
          <w:tcPr/>
          <w:p>
            <w:pPr>
              <w:pStyle w:val="Tabla9"/>
              <w:jc w:val="left"/>
            </w:pPr>
            <w:r>
              <w:t xml:space="preserve">OE1: P02, P03; OE2: P01; OE3: P04</w:t>
            </w:r>
          </w:p>
        </w:tc>
        <w:tc>
          <w:tcPr/>
          <w:p>
            <w:pPr>
              <w:pStyle w:val="Tabla9"/>
              <w:jc w:val="left"/>
            </w:pPr>
            <w:r>
              <w:t xml:space="preserve">CUMPLE</w:t>
            </w:r>
          </w:p>
        </w:tc>
        <w:tc>
          <w:tcPr/>
          <w:p>
            <w:pPr>
              <w:pStyle w:val="Tabla9"/>
              <w:jc w:val="left"/>
            </w:pPr>
            <w:r>
              <w:t xml:space="preserve">Sin acción.</w:t>
            </w:r>
          </w:p>
        </w:tc>
      </w:tr>
      <w:tr>
        <w:trPr>
          <w:cantSplit/>
        </w:trPr>
        <w:tc>
          <w:tcPr/>
          <w:p>
            <w:pPr>
              <w:pStyle w:val="Tabla9"/>
              <w:jc w:val="left"/>
            </w:pPr>
            <w:r>
              <w:t xml:space="preserve">V3</w:t>
            </w:r>
          </w:p>
        </w:tc>
        <w:tc>
          <w:tcPr/>
          <w:p>
            <w:pPr>
              <w:pStyle w:val="Tabla9"/>
              <w:jc w:val="left"/>
            </w:pPr>
            <w:r>
              <w:t xml:space="preserve">Vertical</w:t>
            </w:r>
          </w:p>
        </w:tc>
        <w:tc>
          <w:tcPr/>
          <w:p>
            <w:pPr>
              <w:pStyle w:val="Tabla9"/>
              <w:jc w:val="left"/>
            </w:pPr>
            <w:r>
              <w:t xml:space="preserve">Cada objetivo tiene indicador de efecto y de impacto</w:t>
            </w:r>
          </w:p>
        </w:tc>
        <w:tc>
          <w:tcPr/>
          <w:p>
            <w:pPr>
              <w:pStyle w:val="Tabla9"/>
              <w:jc w:val="left"/>
            </w:pPr>
            <w:r>
              <w:t xml:space="preserve">Efecto e impacto solo en OE3; sin cobertura: OE1, OE2</w:t>
            </w:r>
          </w:p>
        </w:tc>
        <w:tc>
          <w:tcPr/>
          <w:p>
            <w:pPr>
              <w:pStyle w:val="Tabla9"/>
              <w:jc w:val="left"/>
            </w:pPr>
            <w:r>
              <w:t xml:space="preserve">PARCIAL</w:t>
            </w:r>
          </w:p>
        </w:tc>
        <w:tc>
          <w:tcPr/>
          <w:p>
            <w:pPr>
              <w:pStyle w:val="Tabla9"/>
              <w:jc w:val="left"/>
            </w:pPr>
            <w:r>
              <w:t xml:space="preserve">Verificar R², NRMSE, pendiente y sesgo en las compuertas y en el ensayo independiente</w:t>
            </w:r>
          </w:p>
        </w:tc>
      </w:tr>
      <w:tr>
        <w:trPr>
          <w:cantSplit/>
        </w:trPr>
        <w:tc>
          <w:tcPr/>
          <w:p>
            <w:pPr>
              <w:pStyle w:val="Tabla9"/>
              <w:jc w:val="left"/>
            </w:pPr>
            <w:r>
              <w:t xml:space="preserve">V4</w:t>
            </w:r>
          </w:p>
        </w:tc>
        <w:tc>
          <w:tcPr/>
          <w:p>
            <w:pPr>
              <w:pStyle w:val="Tabla9"/>
              <w:jc w:val="left"/>
            </w:pPr>
            <w:r>
              <w:t xml:space="preserve">Vertical</w:t>
            </w:r>
          </w:p>
        </w:tc>
        <w:tc>
          <w:tcPr/>
          <w:p>
            <w:pPr>
              <w:pStyle w:val="Tabla9"/>
              <w:jc w:val="left"/>
            </w:pPr>
            <w:r>
              <w:t xml:space="preserve">Cada nivel declara supuestos y cada supuesto crítico tiene nivel</w:t>
            </w:r>
          </w:p>
        </w:tc>
        <w:tc>
          <w:tcPr/>
          <w:p>
            <w:pPr>
              <w:pStyle w:val="Tabla9"/>
              <w:jc w:val="left"/>
            </w:pPr>
            <w:r>
              <w:t xml:space="preserve">4 de 4 niveles con supuesto; SC-1 a SC-4 asignados</w:t>
            </w:r>
          </w:p>
        </w:tc>
        <w:tc>
          <w:tcPr/>
          <w:p>
            <w:pPr>
              <w:pStyle w:val="Tabla9"/>
              <w:jc w:val="left"/>
            </w:pPr>
            <w:r>
              <w:t xml:space="preserve">CUMPLE</w:t>
            </w:r>
          </w:p>
        </w:tc>
        <w:tc>
          <w:tcPr/>
          <w:p>
            <w:pPr>
              <w:pStyle w:val="Tabla9"/>
              <w:jc w:val="left"/>
            </w:pPr>
            <w:r>
              <w:t xml:space="preserve">Sin acción.</w:t>
            </w:r>
          </w:p>
        </w:tc>
      </w:tr>
      <w:tr>
        <w:trPr>
          <w:cantSplit/>
        </w:trPr>
        <w:tc>
          <w:tcPr/>
          <w:p>
            <w:pPr>
              <w:pStyle w:val="Tabla9"/>
              <w:jc w:val="left"/>
            </w:pPr>
            <w:r>
              <w:t xml:space="preserve">H1</w:t>
            </w:r>
          </w:p>
        </w:tc>
        <w:tc>
          <w:tcPr/>
          <w:p>
            <w:pPr>
              <w:pStyle w:val="Tabla9"/>
              <w:jc w:val="left"/>
            </w:pPr>
            <w:r>
              <w:t xml:space="preserve">Horizontal</w:t>
            </w:r>
          </w:p>
        </w:tc>
        <w:tc>
          <w:tcPr/>
          <w:p>
            <w:pPr>
              <w:pStyle w:val="Tabla9"/>
              <w:jc w:val="left"/>
            </w:pPr>
            <w:r>
              <w:t xml:space="preserve">Cada indicador tiene fórmula, unidad y meta final</w:t>
            </w:r>
          </w:p>
        </w:tc>
        <w:tc>
          <w:tcPr/>
          <w:p>
            <w:pPr>
              <w:pStyle w:val="Tabla9"/>
              <w:jc w:val="left"/>
            </w:pPr>
            <w:r>
              <w:t xml:space="preserve">15 de 15 indicadores completos</w:t>
            </w:r>
          </w:p>
        </w:tc>
        <w:tc>
          <w:tcPr/>
          <w:p>
            <w:pPr>
              <w:pStyle w:val="Tabla9"/>
              <w:jc w:val="left"/>
            </w:pPr>
            <w:r>
              <w:t xml:space="preserve">CUMPLE</w:t>
            </w:r>
          </w:p>
        </w:tc>
        <w:tc>
          <w:tcPr/>
          <w:p>
            <w:pPr>
              <w:pStyle w:val="Tabla9"/>
              <w:jc w:val="left"/>
            </w:pPr>
            <w:r>
              <w:t xml:space="preserve">Sin acción.</w:t>
            </w:r>
          </w:p>
        </w:tc>
      </w:tr>
      <w:tr>
        <w:trPr>
          <w:cantSplit/>
        </w:trPr>
        <w:tc>
          <w:tcPr/>
          <w:p>
            <w:pPr>
              <w:pStyle w:val="Tabla9"/>
              <w:jc w:val="left"/>
            </w:pPr>
            <w:r>
              <w:t xml:space="preserve">H2</w:t>
            </w:r>
          </w:p>
        </w:tc>
        <w:tc>
          <w:tcPr/>
          <w:p>
            <w:pPr>
              <w:pStyle w:val="Tabla9"/>
              <w:jc w:val="left"/>
            </w:pPr>
            <w:r>
              <w:t xml:space="preserve">Horizontal</w:t>
            </w:r>
          </w:p>
        </w:tc>
        <w:tc>
          <w:tcPr/>
          <w:p>
            <w:pPr>
              <w:pStyle w:val="Tabla9"/>
              <w:jc w:val="left"/>
            </w:pPr>
            <w:r>
              <w:t xml:space="preserve">Cada indicador tiene línea base</w:t>
            </w:r>
          </w:p>
        </w:tc>
        <w:tc>
          <w:tcPr/>
          <w:p>
            <w:pPr>
              <w:pStyle w:val="Tabla9"/>
              <w:jc w:val="left"/>
            </w:pPr>
            <w:r>
              <w:t xml:space="preserve">10 de 15 con línea base; VACIO: R03, E01, E02, S01, S02</w:t>
            </w:r>
          </w:p>
        </w:tc>
        <w:tc>
          <w:tcPr/>
          <w:p>
            <w:pPr>
              <w:pStyle w:val="Tabla9"/>
              <w:jc w:val="left"/>
            </w:pPr>
            <w:r>
              <w:t xml:space="preserve">PARCIAL</w:t>
            </w:r>
          </w:p>
        </w:tc>
        <w:tc>
          <w:tcPr/>
          <w:p>
            <w:pPr>
              <w:pStyle w:val="Tabla9"/>
              <w:jc w:val="left"/>
            </w:pPr>
            <w:r>
              <w:t xml:space="preserve">Medir las líneas base en el tramo 1 (DEC-F10)</w:t>
            </w:r>
          </w:p>
        </w:tc>
      </w:tr>
      <w:tr>
        <w:trPr>
          <w:cantSplit/>
        </w:trPr>
        <w:tc>
          <w:tcPr/>
          <w:p>
            <w:pPr>
              <w:pStyle w:val="Tabla9"/>
              <w:jc w:val="left"/>
            </w:pPr>
            <w:r>
              <w:t xml:space="preserve">H3</w:t>
            </w:r>
          </w:p>
        </w:tc>
        <w:tc>
          <w:tcPr/>
          <w:p>
            <w:pPr>
              <w:pStyle w:val="Tabla9"/>
              <w:jc w:val="left"/>
            </w:pPr>
            <w:r>
              <w:t xml:space="preserve">Horizontal</w:t>
            </w:r>
          </w:p>
        </w:tc>
        <w:tc>
          <w:tcPr/>
          <w:p>
            <w:pPr>
              <w:pStyle w:val="Tabla9"/>
              <w:jc w:val="left"/>
            </w:pPr>
            <w:r>
              <w:t xml:space="preserve">Cada indicador tiene medio, fuente, frecuencia y responsable</w:t>
            </w:r>
          </w:p>
        </w:tc>
        <w:tc>
          <w:tcPr/>
          <w:p>
            <w:pPr>
              <w:pStyle w:val="Tabla9"/>
              <w:jc w:val="left"/>
            </w:pPr>
            <w:r>
              <w:t xml:space="preserve">15 de 15 indicadores completos</w:t>
            </w:r>
          </w:p>
        </w:tc>
        <w:tc>
          <w:tcPr/>
          <w:p>
            <w:pPr>
              <w:pStyle w:val="Tabla9"/>
              <w:jc w:val="left"/>
            </w:pPr>
            <w:r>
              <w:t xml:space="preserve">CUMPLE</w:t>
            </w:r>
          </w:p>
        </w:tc>
        <w:tc>
          <w:tcPr/>
          <w:p>
            <w:pPr>
              <w:pStyle w:val="Tabla9"/>
              <w:jc w:val="left"/>
            </w:pPr>
            <w:r>
              <w:t xml:space="preserve">Sin acción.</w:t>
            </w:r>
          </w:p>
        </w:tc>
      </w:tr>
      <w:tr>
        <w:trPr>
          <w:cantSplit/>
        </w:trPr>
        <w:tc>
          <w:tcPr/>
          <w:p>
            <w:pPr>
              <w:pStyle w:val="Tabla9"/>
              <w:jc w:val="left"/>
            </w:pPr>
            <w:r>
              <w:t xml:space="preserve">H4</w:t>
            </w:r>
          </w:p>
        </w:tc>
        <w:tc>
          <w:tcPr/>
          <w:p>
            <w:pPr>
              <w:pStyle w:val="Tabla9"/>
              <w:jc w:val="left"/>
            </w:pPr>
            <w:r>
              <w:t xml:space="preserve">Horizontal</w:t>
            </w:r>
          </w:p>
        </w:tc>
        <w:tc>
          <w:tcPr/>
          <w:p>
            <w:pPr>
              <w:pStyle w:val="Tabla9"/>
              <w:jc w:val="left"/>
            </w:pPr>
            <w:r>
              <w:t xml:space="preserve">Cada nivel enlaza riesgos y cada paquete tiene presupuesto</w:t>
            </w:r>
          </w:p>
        </w:tc>
        <w:tc>
          <w:tcPr/>
          <w:p>
            <w:pPr>
              <w:pStyle w:val="Tabla9"/>
              <w:jc w:val="left"/>
            </w:pPr>
            <w:r>
              <w:t xml:space="preserve">12 de 12 riesgos asignados a un nivel; 4 de 4 paquetes con líneas de presupuesto</w:t>
            </w:r>
          </w:p>
        </w:tc>
        <w:tc>
          <w:tcPr/>
          <w:p>
            <w:pPr>
              <w:pStyle w:val="Tabla9"/>
              <w:jc w:val="left"/>
            </w:pPr>
            <w:r>
              <w:t xml:space="preserve">CUMPLE</w:t>
            </w:r>
          </w:p>
        </w:tc>
        <w:tc>
          <w:tcPr/>
          <w:p>
            <w:pPr>
              <w:pStyle w:val="Tabla9"/>
              <w:jc w:val="left"/>
            </w:pPr>
            <w:r>
              <w:t xml:space="preserve">Sin acción.</w:t>
            </w:r>
          </w:p>
        </w:tc>
      </w:tr>
    </w:tbl>
    <w:p>
      <w:pPr>
        <w:pStyle w:val="TablaNota"/>
      </w:pPr>
      <w:r>
        <w:rPr>
          <w:i/>
          <w:iCs/>
        </w:rPr>
        <w:t xml:space="preserve">Nota.</w:t>
      </w:r>
      <w:r>
        <w:t xml:space="preserve"> </w:t>
      </w:r>
      <w:r>
        <w:t xml:space="preserve">Elaboración propia; las pruebas se calculan con a11_datos.pruebas() sobre IND, MARCO_LOGICO, ACT y RISKS. Las ocho pruebas son PROPUESTO porque la especificación no las enumera. Estados: CUMPLE, PARCIAL, NO CUMPLE.</w:t>
      </w:r>
    </w:p>
    <w:p>
      <w:pPr>
        <w:pStyle w:val="FiguraRotulo"/>
      </w:pPr>
      <w:bookmarkStart w:id="9552" w:name="rot_Figura_18_1"/>
      <w:r>
        <w:rPr>
          <w:b/>
          <w:bCs/>
        </w:rPr>
        <w:t xml:space="preserve">Figura 18.1</w:t>
      </w:r>
      <w:bookmarkEnd w:id="9552"/>
    </w:p>
    <w:p>
      <w:pPr>
        <w:pStyle w:val="FiguraTitulo"/>
      </w:pPr>
      <w:r>
        <w:rPr>
          <w:i/>
          <w:iCs/>
        </w:rPr>
        <w:t xml:space="preserve">Diagrama de coherencia vertical y horizontal del marco lógico</w:t>
      </w:r>
    </w:p>
    <w:p>
      <w:pPr>
        <w:pStyle w:val="BodyText"/>
      </w:pPr>
      <w:r>
        <w:drawing>
          <wp:inline>
            <wp:extent cx="5579999" cy="3420353"/>
            <wp:effectExtent b="0" l="0" r="0" t="0"/>
            <wp:docPr descr="" title="" id="684" name="Picture"/>
            <a:graphic>
              <a:graphicData uri="http://schemas.openxmlformats.org/drawingml/2006/picture">
                <pic:pic>
                  <pic:nvPicPr>
                    <pic:cNvPr descr="/tmp/claude-0/-home-user-docs/ddf38714-2a7e-502b-92b4-1008e2832422/scratchpad/proy/figs/out/c18_f01.png" id="685" name="Picture"/>
                    <pic:cNvPicPr>
                      <a:picLocks noChangeArrowheads="1" noChangeAspect="1"/>
                    </pic:cNvPicPr>
                  </pic:nvPicPr>
                  <pic:blipFill>
                    <a:blip r:embed="rId683"/>
                    <a:stretch>
                      <a:fillRect/>
                    </a:stretch>
                  </pic:blipFill>
                  <pic:spPr bwMode="auto">
                    <a:xfrm>
                      <a:off x="0" y="0"/>
                      <a:ext cx="5579999" cy="34203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indicadores.py y maestro.py mediante a11_datos.pruebas(); script c18_figs.py, sin semilla; corte de datos 13 de octubre de 2026. Estados CALCULADOS; la trama señala una prueba que cumple parcialmente.</w:t>
      </w:r>
    </w:p>
    <w:p>
      <w:pPr>
        <w:pStyle w:val="BodyText"/>
      </w:pPr>
      <w:r>
        <w:t xml:space="preserve">Seis de las ocho pruebas cumplen y dos cumplen parcialmente. Ninguna falla. La prueba V3 queda parcial porque solo el objetivo OE3 cuenta con indicadores de efecto y de impacto. El umbral de desempeño de la corrección es la meta del objetivo OE1 y el criterio de las compuertas. Consiste en R² mayor o igual a 0,70 y NRMSE menor o igual a 30 %. Los 15 indicadores PERS no lo miden como indicador propio. El proyecto lo verifica en el acta de cada compuerta y en el ensayo independiente del mes 23.</w:t>
      </w:r>
    </w:p>
    <w:bookmarkEnd w:id="686"/>
    <w:bookmarkStart w:id="687" w:name="_Toc00900282"/>
    <w:p>
      <w:pPr>
        <w:pStyle w:val="Heading3"/>
      </w:pPr>
      <w:r>
        <w:t xml:space="preserve">18.3.2 Trazabilidad de indicadores</w:t>
      </w:r>
    </w:p>
    <w:p>
      <w:pPr>
        <w:pStyle w:val="FirstParagraph"/>
      </w:pPr>
      <w:r>
        <w:t xml:space="preserve">La prueba H2 queda parcial porque cinco indicadores carecen de línea base: PERS-R03, PERS-E01, PERS-E02, PERS-S01 y PERS-S02. La decisión DEC-F10 fija que esas líneas se midan en el tramo 1. La trazabilidad completa une cada indicador con un objetivo, un paquete de trabajo, un riesgo y una línea de presupuesto. Mayne (2012) y Befani y Mayne (2014) proponen combinar el análisis de contribución con el rastreo de procesos para sostener afirmaciones causales con evidencia. El proyecto adopta esa combinación para evaluar los indicadores de efecto y de impacto.</w:t>
      </w:r>
    </w:p>
    <w:p>
      <w:pPr>
        <w:pStyle w:val="BodyText"/>
      </w:pPr>
      <w:r>
        <w:t xml:space="preserve">La consecuencia es una regla de cierre del marco lógico. Las dos pruebas parciales no bloquean la presentación del proyecto. Sí condicionan la compuerta C1. El acta de esa compuerta debe incluir dos elementos. El primero es la línea base medida de los indicadores PERS-E02 y PERS-R03. El segundo es la verificación de los umbrales de desempeño en el piloto. Si alguna falta, el comité directivo decide si aplaza el tramo 2.</w:t>
      </w:r>
    </w:p>
    <w:bookmarkEnd w:id="687"/>
    <w:bookmarkEnd w:id="688"/>
    <w:bookmarkEnd w:id="689"/>
    <w:bookmarkStart w:id="690" w:name="_Toc00900283"/>
    <w:p>
      <w:pPr>
        <w:pStyle w:val="Heading1"/>
      </w:pPr>
      <w:r>
        <w:t xml:space="preserve">Capítulo 19. Bibliografía</w:t>
      </w:r>
    </w:p>
    <w:p>
      <w:pPr>
        <w:pStyle w:val="FirstParagraph"/>
      </w:pPr>
      <w:r>
        <w:t xml:space="preserve">La bibliografía de este expediente se presenta en la sección 29 del documento técnico en formato Anexo 2. Esa sección reúne las obras citadas en todo el documento, ordenadas alfabéticamente, con sangría francesa y en formato APA 7. Su análisis bibliométrico figura en la sección 29.2.</w:t>
      </w:r>
    </w:p>
    <w:bookmarkEnd w:id="690"/>
    <w:bookmarkStart w:id="708" w:name="_Toc00900284"/>
    <w:p>
      <w:pPr>
        <w:pStyle w:val="Heading1"/>
      </w:pPr>
      <w:r>
        <w:t xml:space="preserve">Capítulo 20. Anexos Técnicos</w:t>
      </w:r>
    </w:p>
    <w:p>
      <w:pPr>
        <w:pStyle w:val="FirstParagraph"/>
      </w:pPr>
      <w:r>
        <w:t xml:space="preserve">Este capítulo reúne los anexos que acompañan el documento técnico. Los anexos A a J corresponden a la lista del metaprompt. Los anexos K a M documentan el análisis estructural y la trazabilidad de los archivos. El anexo N cruza el documento con el Anexo 2 de la convocatoria. Para cada anexo de la lista A a J, el capítulo entrega el requisito, la estructura mínima y el estado. Indica también su vínculo con el resto del documento. Los documentos que solo poseen el usuario o terceros, como cartas, hojas de vida y cotizaciones, no se fabrican. Aparecen con su estado VACIO y con la información que cada uno debe contener.</w:t>
      </w:r>
    </w:p>
    <w:p>
      <w:pPr>
        <w:pStyle w:val="BodyText"/>
      </w:pPr>
      <w:r>
        <w:t xml:space="preserve">Dos reglas rigen los anexos. Ningún anexo sustituye un dato con una estimación sin declararlo. Toda cifra que provenga de otro capítulo conserva su naturaleza. Un documento entregado queda registrado en el anexo I con su huella SHA-256, de modo que cualquier cambio posterior sea detectable.</w:t>
      </w:r>
    </w:p>
    <w:bookmarkStart w:id="691" w:name="_Toc00900285"/>
    <w:p>
      <w:pPr>
        <w:pStyle w:val="Heading2"/>
      </w:pPr>
      <w:r>
        <w:t xml:space="preserve">Anexo A. Cartas de compromiso y avales</w:t>
      </w:r>
    </w:p>
    <w:p>
      <w:pPr>
        <w:pStyle w:val="FirstParagraph"/>
      </w:pPr>
      <w:r>
        <w:t xml:space="preserve">Las cartas de compromiso son la evidencia de que la alianza existe. El Anexo 2 de la convocatoria exige coherencia entre los aportes de cada integrante y tres documentos. Son la carta aval, el compromiso institucional y el modelo de gobernanza. Ninguna carta se aportó. La alianza entre la entidad ejecutora y la empresa tecnológica es un supuesto por instrucción del usuario. El metaprompt exige un control jurídico de las cartas. Emite una alerta de compromiso débil cuando una carta no fija objeto, aporte, vigencia, partida y representante facultado. La alerta persiste hasta el checklist final del documento 1000X-10. La Tabla 20.1 registra los documentos requeridos y su estado.</w:t>
      </w:r>
    </w:p>
    <w:p>
      <w:pPr>
        <w:pStyle w:val="TablaRotulo"/>
      </w:pPr>
      <w:bookmarkStart w:id="9391" w:name="rot_Tabla_20_1"/>
      <w:r>
        <w:rPr>
          <w:b/>
          <w:bCs/>
        </w:rPr>
        <w:t xml:space="preserve">Tabla 20.1</w:t>
      </w:r>
      <w:bookmarkEnd w:id="9391"/>
    </w:p>
    <w:p>
      <w:pPr>
        <w:pStyle w:val="TablaTitulo"/>
      </w:pPr>
      <w:r>
        <w:rPr>
          <w:i/>
          <w:iCs/>
        </w:rPr>
        <w:t xml:space="preserve">Registro de cartas de compromiso y avales requeridos con alerta de compromiso débil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462"/>
        <w:gridCol w:w="1716"/>
        <w:gridCol w:w="1716"/>
        <w:gridCol w:w="1716"/>
        <w:gridCol w:w="990"/>
        <w:gridCol w:w="1320"/>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Entidad</w:t>
            </w:r>
          </w:p>
        </w:tc>
        <w:tc>
          <w:tcPr>
            <w:shd w:val="clear" w:color="auto" w:fill="00B050"/>
          </w:tcPr>
          <w:p>
            <w:pPr>
              <w:pStyle w:val="Tabla9"/>
              <w:jc w:val="center"/>
            </w:pPr>
            <w:r>
              <w:rPr>
                <w:b/>
                <w:color w:val="FFFFFF"/>
              </w:rPr>
              <w:t xml:space="preserve">Documento requerido</w:t>
            </w:r>
          </w:p>
        </w:tc>
        <w:tc>
          <w:tcPr>
            <w:shd w:val="clear" w:color="auto" w:fill="00B050"/>
          </w:tcPr>
          <w:p>
            <w:pPr>
              <w:pStyle w:val="Tabla9"/>
              <w:jc w:val="center"/>
            </w:pPr>
            <w:r>
              <w:rPr>
                <w:b/>
                <w:color w:val="FFFFFF"/>
              </w:rPr>
              <w:t xml:space="preserve">Contenido mínimo</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Alerta</w:t>
            </w:r>
          </w:p>
        </w:tc>
      </w:tr>
      <w:tr>
        <w:trPr>
          <w:cantSplit/>
        </w:trPr>
        <w:tc>
          <w:tcPr/>
          <w:p>
            <w:pPr>
              <w:pStyle w:val="Tabla9"/>
              <w:jc w:val="left"/>
            </w:pPr>
            <w:r>
              <w:t xml:space="preserve">A1</w:t>
            </w:r>
          </w:p>
        </w:tc>
        <w:tc>
          <w:tcPr/>
          <w:p>
            <w:pPr>
              <w:pStyle w:val="Tabla9"/>
              <w:jc w:val="left"/>
            </w:pPr>
            <w:r>
              <w:t xml:space="preserve">Institución de educación superior ejecutora</w:t>
            </w:r>
          </w:p>
        </w:tc>
        <w:tc>
          <w:tcPr/>
          <w:p>
            <w:pPr>
              <w:pStyle w:val="Tabla9"/>
              <w:jc w:val="left"/>
            </w:pPr>
            <w:r>
              <w:t xml:space="preserve">Carta aval, compromiso institucional y certificación de la contrapartida en especie de 1.100 millones de COP</w:t>
            </w:r>
          </w:p>
        </w:tc>
        <w:tc>
          <w:tcPr/>
          <w:p>
            <w:pPr>
              <w:pStyle w:val="Tabla9"/>
              <w:jc w:val="left"/>
            </w:pPr>
            <w:r>
              <w:t xml:space="preserve">Objeto; aportes de personal y laboratorios; vigencia de 24 meses; representante legal</w:t>
            </w:r>
          </w:p>
        </w:tc>
        <w:tc>
          <w:tcPr/>
          <w:p>
            <w:pPr>
              <w:pStyle w:val="Tabla9"/>
              <w:jc w:val="left"/>
            </w:pPr>
            <w:r>
              <w:t xml:space="preserve">VACIO</w:t>
            </w:r>
          </w:p>
        </w:tc>
        <w:tc>
          <w:tcPr/>
          <w:p>
            <w:pPr>
              <w:pStyle w:val="Tabla9"/>
              <w:jc w:val="left"/>
            </w:pPr>
            <w:r>
              <w:t xml:space="preserve">Activa</w:t>
            </w:r>
          </w:p>
        </w:tc>
      </w:tr>
      <w:tr>
        <w:trPr>
          <w:cantSplit/>
        </w:trPr>
        <w:tc>
          <w:tcPr/>
          <w:p>
            <w:pPr>
              <w:pStyle w:val="Tabla9"/>
              <w:jc w:val="left"/>
            </w:pPr>
            <w:r>
              <w:t xml:space="preserve">A2</w:t>
            </w:r>
          </w:p>
        </w:tc>
        <w:tc>
          <w:tcPr/>
          <w:p>
            <w:pPr>
              <w:pStyle w:val="Tabla9"/>
              <w:jc w:val="left"/>
            </w:pPr>
            <w:r>
              <w:t xml:space="preserve">Empresa tecnológica aliada</w:t>
            </w:r>
          </w:p>
        </w:tc>
        <w:tc>
          <w:tcPr/>
          <w:p>
            <w:pPr>
              <w:pStyle w:val="Tabla9"/>
              <w:jc w:val="left"/>
            </w:pPr>
            <w:r>
              <w:t xml:space="preserve">Carta de compromiso y certificación de 210 millones de COP en efectivo y 800 millones en especie</w:t>
            </w:r>
          </w:p>
        </w:tc>
        <w:tc>
          <w:tcPr/>
          <w:p>
            <w:pPr>
              <w:pStyle w:val="Tabla9"/>
              <w:jc w:val="left"/>
            </w:pPr>
            <w:r>
              <w:t xml:space="preserve">Objeto; aportes valorados; acuerdo de titularidad de la propiedad intelectual; vigencia</w:t>
            </w:r>
          </w:p>
        </w:tc>
        <w:tc>
          <w:tcPr/>
          <w:p>
            <w:pPr>
              <w:pStyle w:val="Tabla9"/>
              <w:jc w:val="left"/>
            </w:pPr>
            <w:r>
              <w:t xml:space="preserve">VACIO</w:t>
            </w:r>
          </w:p>
        </w:tc>
        <w:tc>
          <w:tcPr/>
          <w:p>
            <w:pPr>
              <w:pStyle w:val="Tabla9"/>
              <w:jc w:val="left"/>
            </w:pPr>
            <w:r>
              <w:t xml:space="preserve">Activa</w:t>
            </w:r>
          </w:p>
        </w:tc>
      </w:tr>
      <w:tr>
        <w:trPr>
          <w:cantSplit/>
        </w:trPr>
        <w:tc>
          <w:tcPr/>
          <w:p>
            <w:pPr>
              <w:pStyle w:val="Tabla9"/>
              <w:jc w:val="left"/>
            </w:pPr>
            <w:r>
              <w:t xml:space="preserve">A3</w:t>
            </w:r>
          </w:p>
        </w:tc>
        <w:tc>
          <w:tcPr/>
          <w:p>
            <w:pPr>
              <w:pStyle w:val="Tabla9"/>
              <w:jc w:val="left"/>
            </w:pPr>
            <w:r>
              <w:t xml:space="preserve">Alcaldías de los 12 municipios focalizados</w:t>
            </w:r>
          </w:p>
        </w:tc>
        <w:tc>
          <w:tcPr/>
          <w:p>
            <w:pPr>
              <w:pStyle w:val="Tabla9"/>
              <w:jc w:val="left"/>
            </w:pPr>
            <w:r>
              <w:t xml:space="preserve">Cartas de intención de custodia con partida presupuestal por tramo</w:t>
            </w:r>
          </w:p>
        </w:tc>
        <w:tc>
          <w:tcPr/>
          <w:p>
            <w:pPr>
              <w:pStyle w:val="Tabla9"/>
              <w:jc w:val="left"/>
            </w:pPr>
            <w:r>
              <w:t xml:space="preserve">Objeto; función de custodia; partida del plan operativo anual; vigencia que supere el cierre</w:t>
            </w:r>
          </w:p>
        </w:tc>
        <w:tc>
          <w:tcPr/>
          <w:p>
            <w:pPr>
              <w:pStyle w:val="Tabla9"/>
              <w:jc w:val="left"/>
            </w:pPr>
            <w:r>
              <w:t xml:space="preserve">VACIO</w:t>
            </w:r>
          </w:p>
        </w:tc>
        <w:tc>
          <w:tcPr/>
          <w:p>
            <w:pPr>
              <w:pStyle w:val="Tabla9"/>
              <w:jc w:val="left"/>
            </w:pPr>
            <w:r>
              <w:t xml:space="preserve">Activa; sin partida el compromiso es débil</w:t>
            </w:r>
          </w:p>
        </w:tc>
      </w:tr>
      <w:tr>
        <w:trPr>
          <w:cantSplit/>
        </w:trPr>
        <w:tc>
          <w:tcPr/>
          <w:p>
            <w:pPr>
              <w:pStyle w:val="Tabla9"/>
              <w:jc w:val="left"/>
            </w:pPr>
            <w:r>
              <w:t xml:space="preserve">A4</w:t>
            </w:r>
          </w:p>
        </w:tc>
        <w:tc>
          <w:tcPr/>
          <w:p>
            <w:pPr>
              <w:pStyle w:val="Tabla9"/>
              <w:jc w:val="left"/>
            </w:pPr>
            <w:r>
              <w:t xml:space="preserve">Gobernaciones de Caldas, Cundinamarca y Valle del Cauca</w:t>
            </w:r>
          </w:p>
        </w:tc>
        <w:tc>
          <w:tcPr/>
          <w:p>
            <w:pPr>
              <w:pStyle w:val="Tabla9"/>
              <w:jc w:val="left"/>
            </w:pPr>
            <w:r>
              <w:t xml:space="preserve">Cartas de articulación con las unidades de gestión del riesgo y con el plan de desarrollo</w:t>
            </w:r>
          </w:p>
        </w:tc>
        <w:tc>
          <w:tcPr/>
          <w:p>
            <w:pPr>
              <w:pStyle w:val="Tabla9"/>
              <w:jc w:val="left"/>
            </w:pPr>
            <w:r>
              <w:t xml:space="preserve">Objeto; articulación con el PDD; designación de interlocutor</w:t>
            </w:r>
          </w:p>
        </w:tc>
        <w:tc>
          <w:tcPr/>
          <w:p>
            <w:pPr>
              <w:pStyle w:val="Tabla9"/>
              <w:jc w:val="left"/>
            </w:pPr>
            <w:r>
              <w:t xml:space="preserve">VACIO</w:t>
            </w:r>
          </w:p>
        </w:tc>
        <w:tc>
          <w:tcPr/>
          <w:p>
            <w:pPr>
              <w:pStyle w:val="Tabla9"/>
              <w:jc w:val="left"/>
            </w:pPr>
            <w:r>
              <w:t xml:space="preserve">Activa</w:t>
            </w:r>
          </w:p>
        </w:tc>
      </w:tr>
      <w:tr>
        <w:trPr>
          <w:cantSplit/>
        </w:trPr>
        <w:tc>
          <w:tcPr/>
          <w:p>
            <w:pPr>
              <w:pStyle w:val="Tabla9"/>
              <w:jc w:val="left"/>
            </w:pPr>
            <w:r>
              <w:t xml:space="preserve">A5</w:t>
            </w:r>
          </w:p>
        </w:tc>
        <w:tc>
          <w:tcPr/>
          <w:p>
            <w:pPr>
              <w:pStyle w:val="Tabla9"/>
              <w:jc w:val="left"/>
            </w:pPr>
            <w:r>
              <w:t xml:space="preserve">Unidad Nacional para la Gestión del Riesgo de Desastres</w:t>
            </w:r>
          </w:p>
        </w:tc>
        <w:tc>
          <w:tcPr/>
          <w:p>
            <w:pPr>
              <w:pStyle w:val="Tabla9"/>
              <w:jc w:val="left"/>
            </w:pPr>
            <w:r>
              <w:t xml:space="preserve">Carta de articulación del protocolo con el sistema nacional</w:t>
            </w:r>
          </w:p>
        </w:tc>
        <w:tc>
          <w:tcPr/>
          <w:p>
            <w:pPr>
              <w:pStyle w:val="Tabla9"/>
              <w:jc w:val="left"/>
            </w:pPr>
            <w:r>
              <w:t xml:space="preserve">Objeto; articulación del protocolo de alerta; designación de interlocutor</w:t>
            </w:r>
          </w:p>
        </w:tc>
        <w:tc>
          <w:tcPr/>
          <w:p>
            <w:pPr>
              <w:pStyle w:val="Tabla9"/>
              <w:jc w:val="left"/>
            </w:pPr>
            <w:r>
              <w:t xml:space="preserve">VACIO</w:t>
            </w:r>
          </w:p>
        </w:tc>
        <w:tc>
          <w:tcPr/>
          <w:p>
            <w:pPr>
              <w:pStyle w:val="Tabla9"/>
              <w:jc w:val="left"/>
            </w:pPr>
            <w:r>
              <w:t xml:space="preserve">Activa</w:t>
            </w:r>
          </w:p>
        </w:tc>
      </w:tr>
      <w:tr>
        <w:trPr>
          <w:cantSplit/>
        </w:trPr>
        <w:tc>
          <w:tcPr/>
          <w:p>
            <w:pPr>
              <w:pStyle w:val="Tabla9"/>
              <w:jc w:val="left"/>
            </w:pPr>
            <w:r>
              <w:t xml:space="preserve">A6</w:t>
            </w:r>
          </w:p>
        </w:tc>
        <w:tc>
          <w:tcPr/>
          <w:p>
            <w:pPr>
              <w:pStyle w:val="Tabla9"/>
              <w:jc w:val="left"/>
            </w:pPr>
            <w:r>
              <w:t xml:space="preserve">Comités de gestión del riesgo (15)</w:t>
            </w:r>
          </w:p>
        </w:tc>
        <w:tc>
          <w:tcPr/>
          <w:p>
            <w:pPr>
              <w:pStyle w:val="Tabla9"/>
              <w:jc w:val="left"/>
            </w:pPr>
            <w:r>
              <w:t xml:space="preserve">Cartas de participación en el co-diseño y el uso piloto</w:t>
            </w:r>
          </w:p>
        </w:tc>
        <w:tc>
          <w:tcPr/>
          <w:p>
            <w:pPr>
              <w:pStyle w:val="Tabla9"/>
              <w:jc w:val="left"/>
            </w:pPr>
            <w:r>
              <w:t xml:space="preserve">Objeto; compromiso de sesiones periódicas; designación de personal</w:t>
            </w:r>
          </w:p>
        </w:tc>
        <w:tc>
          <w:tcPr/>
          <w:p>
            <w:pPr>
              <w:pStyle w:val="Tabla9"/>
              <w:jc w:val="left"/>
            </w:pPr>
            <w:r>
              <w:t xml:space="preserve">VACIO</w:t>
            </w:r>
          </w:p>
        </w:tc>
        <w:tc>
          <w:tcPr/>
          <w:p>
            <w:pPr>
              <w:pStyle w:val="Tabla9"/>
              <w:jc w:val="left"/>
            </w:pPr>
            <w:r>
              <w:t xml:space="preserve">Activa</w:t>
            </w:r>
          </w:p>
        </w:tc>
      </w:tr>
      <w:tr>
        <w:trPr>
          <w:cantSplit/>
        </w:trPr>
        <w:tc>
          <w:tcPr/>
          <w:p>
            <w:pPr>
              <w:pStyle w:val="Tabla9"/>
              <w:jc w:val="left"/>
            </w:pPr>
            <w:r>
              <w:t xml:space="preserve">A7</w:t>
            </w:r>
          </w:p>
        </w:tc>
        <w:tc>
          <w:tcPr/>
          <w:p>
            <w:pPr>
              <w:pStyle w:val="Tabla9"/>
              <w:jc w:val="left"/>
            </w:pPr>
            <w:r>
              <w:t xml:space="preserve">Autoridades ambientales</w:t>
            </w:r>
          </w:p>
        </w:tc>
        <w:tc>
          <w:tcPr/>
          <w:p>
            <w:pPr>
              <w:pStyle w:val="Tabla9"/>
              <w:jc w:val="left"/>
            </w:pPr>
            <w:r>
              <w:t xml:space="preserve">Convenio de acceso a estaciones oficiales para contraste, si aplica</w:t>
            </w:r>
          </w:p>
        </w:tc>
        <w:tc>
          <w:tcPr/>
          <w:p>
            <w:pPr>
              <w:pStyle w:val="Tabla9"/>
              <w:jc w:val="left"/>
            </w:pPr>
            <w:r>
              <w:t xml:space="preserve">Objeto; datos compartidos; vigencia</w:t>
            </w:r>
          </w:p>
        </w:tc>
        <w:tc>
          <w:tcPr/>
          <w:p>
            <w:pPr>
              <w:pStyle w:val="Tabla9"/>
              <w:jc w:val="left"/>
            </w:pPr>
            <w:r>
              <w:t xml:space="preserve">VACIO</w:t>
            </w:r>
          </w:p>
        </w:tc>
        <w:tc>
          <w:tcPr/>
          <w:p>
            <w:pPr>
              <w:pStyle w:val="Tabla9"/>
              <w:jc w:val="left"/>
            </w:pPr>
            <w:r>
              <w:t xml:space="preserve">No aplica hasta definir</w:t>
            </w:r>
          </w:p>
        </w:tc>
      </w:tr>
      <w:tr>
        <w:trPr>
          <w:cantSplit/>
        </w:trPr>
        <w:tc>
          <w:tcPr/>
          <w:p>
            <w:pPr>
              <w:pStyle w:val="Tabla9"/>
              <w:jc w:val="left"/>
            </w:pPr>
            <w:r>
              <w:t xml:space="preserve">A8</w:t>
            </w:r>
          </w:p>
        </w:tc>
        <w:tc>
          <w:tcPr/>
          <w:p>
            <w:pPr>
              <w:pStyle w:val="Tabla9"/>
              <w:jc w:val="left"/>
            </w:pPr>
            <w:r>
              <w:t xml:space="preserve">Laboratorio acreditado y laboratorio externo</w:t>
            </w:r>
          </w:p>
        </w:tc>
        <w:tc>
          <w:tcPr/>
          <w:p>
            <w:pPr>
              <w:pStyle w:val="Tabla9"/>
              <w:jc w:val="left"/>
            </w:pPr>
            <w:r>
              <w:t xml:space="preserve">Cartas de intención de servicio gravimétrico y de ensayo de desempeño</w:t>
            </w:r>
          </w:p>
        </w:tc>
        <w:tc>
          <w:tcPr/>
          <w:p>
            <w:pPr>
              <w:pStyle w:val="Tabla9"/>
              <w:jc w:val="left"/>
            </w:pPr>
            <w:r>
              <w:t xml:space="preserve">Objeto; acreditación; plazo; valor de referencia</w:t>
            </w:r>
          </w:p>
        </w:tc>
        <w:tc>
          <w:tcPr/>
          <w:p>
            <w:pPr>
              <w:pStyle w:val="Tabla9"/>
              <w:jc w:val="left"/>
            </w:pPr>
            <w:r>
              <w:t xml:space="preserve">VACIO</w:t>
            </w:r>
          </w:p>
        </w:tc>
        <w:tc>
          <w:tcPr/>
          <w:p>
            <w:pPr>
              <w:pStyle w:val="Tabla9"/>
              <w:jc w:val="left"/>
            </w:pPr>
            <w:r>
              <w:t xml:space="preserve">Activa</w:t>
            </w:r>
          </w:p>
        </w:tc>
      </w:tr>
    </w:tbl>
    <w:p>
      <w:pPr>
        <w:pStyle w:val="TablaNota"/>
      </w:pPr>
      <w:r>
        <w:rPr>
          <w:i/>
          <w:iCs/>
        </w:rPr>
        <w:t xml:space="preserve">Nota.</w:t>
      </w:r>
      <w:r>
        <w:t xml:space="preserve"> </w:t>
      </w:r>
      <w:r>
        <w:t xml:space="preserve">Elaboración propia con la ficha maestra §1 y §5, el análisis de participantes de la sección 4.4-MDR.5 y el Anexo 2 de la convocatoria (secciones 26 y 28). PDD: Plan de Desarrollo Departamental. Todos los documentos están en estado VACIO; los nombres de las entidades se definen por el usuario [DATO_USUARIO: nombres y representantes legales].</w:t>
      </w:r>
    </w:p>
    <w:p>
      <w:pPr>
        <w:pStyle w:val="BodyText"/>
      </w:pPr>
      <w:r>
        <w:t xml:space="preserve">El orden de las alertas indica la prioridad de gestión. Las cartas de las alcaldías son las más débiles, porque sin partida presupuestal la custodia no tiene respaldo. La compuerta C2 exige convenios de custodia con partida, de modo que ese vacío bloquea el tramo 3. La Tabla 20.2 define la estructura mínima de una carta de compromiso para que ninguna llegue incompleta.</w:t>
      </w:r>
    </w:p>
    <w:p>
      <w:pPr>
        <w:pStyle w:val="TablaRotulo"/>
      </w:pPr>
      <w:bookmarkStart w:id="9392" w:name="rot_Tabla_20_2"/>
      <w:r>
        <w:rPr>
          <w:b/>
          <w:bCs/>
        </w:rPr>
        <w:t xml:space="preserve">Tabla 20.2</w:t>
      </w:r>
      <w:bookmarkEnd w:id="9392"/>
    </w:p>
    <w:p>
      <w:pPr>
        <w:pStyle w:val="TablaTitulo"/>
      </w:pPr>
      <w:r>
        <w:rPr>
          <w:i/>
          <w:iCs/>
        </w:rPr>
        <w:t xml:space="preserve">Estructura mínima de una carta de compromiso (modelo ILUSTRATIVO)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2970"/>
        <w:gridCol w:w="3234"/>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 requerido</w:t>
            </w:r>
          </w:p>
        </w:tc>
        <w:tc>
          <w:tcPr>
            <w:shd w:val="clear" w:color="auto" w:fill="00B050"/>
          </w:tcPr>
          <w:p>
            <w:pPr>
              <w:pStyle w:val="Tabla9"/>
              <w:jc w:val="center"/>
            </w:pPr>
            <w:r>
              <w:rPr>
                <w:b/>
                <w:color w:val="FFFFFF"/>
              </w:rPr>
              <w:t xml:space="preserve">Dato</w:t>
            </w:r>
          </w:p>
        </w:tc>
      </w:tr>
      <w:tr>
        <w:trPr>
          <w:cantSplit/>
        </w:trPr>
        <w:tc>
          <w:tcPr/>
          <w:p>
            <w:pPr>
              <w:pStyle w:val="Tabla9"/>
              <w:jc w:val="left"/>
            </w:pPr>
            <w:r>
              <w:t xml:space="preserve">Encabezado</w:t>
            </w:r>
          </w:p>
        </w:tc>
        <w:tc>
          <w:tcPr/>
          <w:p>
            <w:pPr>
              <w:pStyle w:val="Tabla9"/>
              <w:jc w:val="left"/>
            </w:pPr>
            <w:r>
              <w:t xml:space="preserve">Entidad que compromete y representante legal facultado</w:t>
            </w:r>
          </w:p>
        </w:tc>
        <w:tc>
          <w:tcPr/>
          <w:p>
            <w:pPr>
              <w:pStyle w:val="Tabla9"/>
              <w:jc w:val="left"/>
            </w:pPr>
            <w:r>
              <w:t xml:space="preserve">[DATO_USUARIO: nombre, cargo y documento]</w:t>
            </w:r>
          </w:p>
        </w:tc>
      </w:tr>
      <w:tr>
        <w:trPr>
          <w:cantSplit/>
        </w:trPr>
        <w:tc>
          <w:tcPr/>
          <w:p>
            <w:pPr>
              <w:pStyle w:val="Tabla9"/>
              <w:jc w:val="left"/>
            </w:pPr>
            <w:r>
              <w:t xml:space="preserve">Objeto</w:t>
            </w:r>
          </w:p>
        </w:tc>
        <w:tc>
          <w:tcPr/>
          <w:p>
            <w:pPr>
              <w:pStyle w:val="Tabla9"/>
              <w:jc w:val="left"/>
            </w:pPr>
            <w:r>
              <w:t xml:space="preserve">Título del proyecto, convocatoria y alcance del compromiso</w:t>
            </w:r>
          </w:p>
        </w:tc>
        <w:tc>
          <w:tcPr/>
          <w:p>
            <w:pPr>
              <w:pStyle w:val="Tabla9"/>
              <w:jc w:val="left"/>
            </w:pPr>
            <w:r>
              <w:t xml:space="preserve">Título del proyecto y Decreto 1414 de 2026</w:t>
            </w:r>
          </w:p>
        </w:tc>
      </w:tr>
      <w:tr>
        <w:trPr>
          <w:cantSplit/>
        </w:trPr>
        <w:tc>
          <w:tcPr/>
          <w:p>
            <w:pPr>
              <w:pStyle w:val="Tabla9"/>
              <w:jc w:val="left"/>
            </w:pPr>
            <w:r>
              <w:t xml:space="preserve">Aporte</w:t>
            </w:r>
          </w:p>
        </w:tc>
        <w:tc>
          <w:tcPr/>
          <w:p>
            <w:pPr>
              <w:pStyle w:val="Tabla9"/>
              <w:jc w:val="left"/>
            </w:pPr>
            <w:r>
              <w:t xml:space="preserve">Tipo (efectivo, especie, técnico, talento humano), descripción y valor en COP</w:t>
            </w:r>
          </w:p>
        </w:tc>
        <w:tc>
          <w:tcPr/>
          <w:p>
            <w:pPr>
              <w:pStyle w:val="Tabla9"/>
              <w:jc w:val="left"/>
            </w:pPr>
            <w:r>
              <w:t xml:space="preserve">[DATO_USUARIO: valor y descripción]</w:t>
            </w:r>
          </w:p>
        </w:tc>
      </w:tr>
      <w:tr>
        <w:trPr>
          <w:cantSplit/>
        </w:trPr>
        <w:tc>
          <w:tcPr/>
          <w:p>
            <w:pPr>
              <w:pStyle w:val="Tabla9"/>
              <w:jc w:val="left"/>
            </w:pPr>
            <w:r>
              <w:t xml:space="preserve">Partida</w:t>
            </w:r>
          </w:p>
        </w:tc>
        <w:tc>
          <w:tcPr/>
          <w:p>
            <w:pPr>
              <w:pStyle w:val="Tabla9"/>
              <w:jc w:val="left"/>
            </w:pPr>
            <w:r>
              <w:t xml:space="preserve">Rubro y vigencia presupuestal donde consta el aporte</w:t>
            </w:r>
          </w:p>
        </w:tc>
        <w:tc>
          <w:tcPr/>
          <w:p>
            <w:pPr>
              <w:pStyle w:val="Tabla9"/>
              <w:jc w:val="left"/>
            </w:pPr>
            <w:r>
              <w:t xml:space="preserve">[DATO_USUARIO: código de partida]</w:t>
            </w:r>
          </w:p>
        </w:tc>
      </w:tr>
      <w:tr>
        <w:trPr>
          <w:cantSplit/>
        </w:trPr>
        <w:tc>
          <w:tcPr/>
          <w:p>
            <w:pPr>
              <w:pStyle w:val="Tabla9"/>
              <w:jc w:val="left"/>
            </w:pPr>
            <w:r>
              <w:t xml:space="preserve">Vigencia</w:t>
            </w:r>
          </w:p>
        </w:tc>
        <w:tc>
          <w:tcPr/>
          <w:p>
            <w:pPr>
              <w:pStyle w:val="Tabla9"/>
              <w:jc w:val="left"/>
            </w:pPr>
            <w:r>
              <w:t xml:space="preserve">Fechas de inicio y fin, con cobertura de los 24 meses y, para custodios, de los 12 meses posteriores</w:t>
            </w:r>
          </w:p>
        </w:tc>
        <w:tc>
          <w:tcPr/>
          <w:p>
            <w:pPr>
              <w:pStyle w:val="Tabla9"/>
              <w:jc w:val="left"/>
            </w:pPr>
            <w:r>
              <w:t xml:space="preserve">[DATO_USUARIO: fechas]</w:t>
            </w:r>
          </w:p>
        </w:tc>
      </w:tr>
      <w:tr>
        <w:trPr>
          <w:cantSplit/>
        </w:trPr>
        <w:tc>
          <w:tcPr/>
          <w:p>
            <w:pPr>
              <w:pStyle w:val="Tabla9"/>
              <w:jc w:val="left"/>
            </w:pPr>
            <w:r>
              <w:t xml:space="preserve">Titularidad</w:t>
            </w:r>
          </w:p>
        </w:tc>
        <w:tc>
          <w:tcPr/>
          <w:p>
            <w:pPr>
              <w:pStyle w:val="Tabla9"/>
              <w:jc w:val="left"/>
            </w:pPr>
            <w:r>
              <w:t xml:space="preserve">Reglas de propiedad intelectual sobre software, datos y marca</w:t>
            </w:r>
          </w:p>
        </w:tc>
        <w:tc>
          <w:tcPr/>
          <w:p>
            <w:pPr>
              <w:pStyle w:val="Tabla9"/>
              <w:jc w:val="left"/>
            </w:pPr>
            <w:r>
              <w:t xml:space="preserve">[DATO_USUARIO: proporción acordada]</w:t>
            </w:r>
          </w:p>
        </w:tc>
      </w:tr>
      <w:tr>
        <w:trPr>
          <w:cantSplit/>
        </w:trPr>
        <w:tc>
          <w:tcPr/>
          <w:p>
            <w:pPr>
              <w:pStyle w:val="Tabla9"/>
              <w:jc w:val="left"/>
            </w:pPr>
            <w:r>
              <w:t xml:space="preserve">Responsable</w:t>
            </w:r>
          </w:p>
        </w:tc>
        <w:tc>
          <w:tcPr/>
          <w:p>
            <w:pPr>
              <w:pStyle w:val="Tabla9"/>
              <w:jc w:val="left"/>
            </w:pPr>
            <w:r>
              <w:t xml:space="preserve">Persona interlocutora designada</w:t>
            </w:r>
          </w:p>
        </w:tc>
        <w:tc>
          <w:tcPr/>
          <w:p>
            <w:pPr>
              <w:pStyle w:val="Tabla9"/>
              <w:jc w:val="left"/>
            </w:pPr>
            <w:r>
              <w:t xml:space="preserve">[DATO_USUARIO: nombre y contacto]</w:t>
            </w:r>
          </w:p>
        </w:tc>
      </w:tr>
      <w:tr>
        <w:trPr>
          <w:cantSplit/>
        </w:trPr>
        <w:tc>
          <w:tcPr/>
          <w:p>
            <w:pPr>
              <w:pStyle w:val="Tabla9"/>
              <w:jc w:val="left"/>
            </w:pPr>
            <w:r>
              <w:t xml:space="preserve">Firma y fecha</w:t>
            </w:r>
          </w:p>
        </w:tc>
        <w:tc>
          <w:tcPr/>
          <w:p>
            <w:pPr>
              <w:pStyle w:val="Tabla9"/>
              <w:jc w:val="left"/>
            </w:pPr>
            <w:r>
              <w:t xml:space="preserve">Firma del representante legal y fecha</w:t>
            </w:r>
          </w:p>
        </w:tc>
        <w:tc>
          <w:tcPr/>
          <w:p>
            <w:pPr>
              <w:pStyle w:val="Tabla9"/>
              <w:jc w:val="left"/>
            </w:pPr>
            <w:r>
              <w:t xml:space="preserve">[DATO_USUARIO: firma y fecha]</w:t>
            </w:r>
          </w:p>
        </w:tc>
      </w:tr>
    </w:tbl>
    <w:p>
      <w:pPr>
        <w:pStyle w:val="TablaNota"/>
      </w:pPr>
      <w:r>
        <w:rPr>
          <w:i/>
          <w:iCs/>
        </w:rPr>
        <w:t xml:space="preserve">Nota.</w:t>
      </w:r>
      <w:r>
        <w:t xml:space="preserve"> </w:t>
      </w:r>
      <w:r>
        <w:t xml:space="preserve">Elaboración propia. El modelo es ILUSTRATIVO y no sustituye el formato de la convocatoria, que no se aportó. Los campos entre corchetes son VACIO.</w:t>
      </w:r>
    </w:p>
    <w:bookmarkEnd w:id="691"/>
    <w:bookmarkStart w:id="692" w:name="_Toc00900286"/>
    <w:p>
      <w:pPr>
        <w:pStyle w:val="Heading2"/>
      </w:pPr>
      <w:r>
        <w:t xml:space="preserve">Anexo B. Hojas de vida completas</w:t>
      </w:r>
    </w:p>
    <w:p>
      <w:pPr>
        <w:pStyle w:val="FirstParagraph"/>
      </w:pPr>
      <w:r>
        <w:t xml:space="preserve">Las hojas de vida acreditan que el equipo tiene la capacidad que el presupuesto supone. El presupuesto de personal incluye 29 cargos y 624 persona-mes. Ninguna hoja de vida se aportó, porque los nombres quedan por definir. La Tabla 20.3 lista los cargos con el perfil mínimo propuesto y la evidencia que cada persona debe presentar. Los perfiles son PROPUESTO y requieren ratificación de la entidad ejecutora y de los términos de referencia.</w:t>
      </w:r>
    </w:p>
    <w:p>
      <w:pPr>
        <w:pStyle w:val="TablaRotulo"/>
      </w:pPr>
      <w:bookmarkStart w:id="9393" w:name="rot_Tabla_20_3"/>
      <w:r>
        <w:rPr>
          <w:b/>
          <w:bCs/>
        </w:rPr>
        <w:t xml:space="preserve">Tabla 20.3</w:t>
      </w:r>
      <w:bookmarkEnd w:id="9393"/>
    </w:p>
    <w:p>
      <w:pPr>
        <w:pStyle w:val="TablaTitulo"/>
      </w:pPr>
      <w:r>
        <w:rPr>
          <w:i/>
          <w:iCs/>
        </w:rPr>
        <w:t xml:space="preserve">Cargos del proyecto con perfil mínimo propuesto y evidencia requerida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056"/>
        <w:gridCol w:w="2112"/>
        <w:gridCol w:w="1320"/>
        <w:gridCol w:w="990"/>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Cargo</w:t>
            </w:r>
          </w:p>
        </w:tc>
        <w:tc>
          <w:tcPr>
            <w:shd w:val="clear" w:color="auto" w:fill="00B050"/>
          </w:tcPr>
          <w:p>
            <w:pPr>
              <w:pStyle w:val="Tabla9"/>
              <w:jc w:val="center"/>
            </w:pPr>
            <w:r>
              <w:rPr>
                <w:b/>
                <w:color w:val="FFFFFF"/>
              </w:rPr>
              <w:t xml:space="preserve">Cantidad</w:t>
            </w:r>
          </w:p>
        </w:tc>
        <w:tc>
          <w:tcPr>
            <w:shd w:val="clear" w:color="auto" w:fill="00B050"/>
          </w:tcPr>
          <w:p>
            <w:pPr>
              <w:pStyle w:val="Tabla9"/>
              <w:jc w:val="center"/>
            </w:pPr>
            <w:r>
              <w:rPr>
                <w:b/>
                <w:color w:val="FFFFFF"/>
              </w:rPr>
              <w:t xml:space="preserve">Perfil mínimo (PROPUESTO)</w:t>
            </w:r>
          </w:p>
        </w:tc>
        <w:tc>
          <w:tcPr>
            <w:shd w:val="clear" w:color="auto" w:fill="00B050"/>
          </w:tcPr>
          <w:p>
            <w:pPr>
              <w:pStyle w:val="Tabla9"/>
              <w:jc w:val="center"/>
            </w:pPr>
            <w:r>
              <w:rPr>
                <w:b/>
                <w:color w:val="FFFFFF"/>
              </w:rPr>
              <w:t xml:space="preserve">Evidencia requerida</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P01</w:t>
            </w:r>
          </w:p>
        </w:tc>
        <w:tc>
          <w:tcPr/>
          <w:p>
            <w:pPr>
              <w:pStyle w:val="Tabla9"/>
              <w:jc w:val="left"/>
            </w:pPr>
            <w:r>
              <w:t xml:space="preserve">Jóvenes investigadores (6)</w:t>
            </w:r>
          </w:p>
        </w:tc>
        <w:tc>
          <w:tcPr/>
          <w:p>
            <w:pPr>
              <w:pStyle w:val="Tabla9"/>
              <w:jc w:val="left"/>
            </w:pPr>
            <w:r>
              <w:t xml:space="preserve">72</w:t>
            </w:r>
          </w:p>
        </w:tc>
        <w:tc>
          <w:tcPr/>
          <w:p>
            <w:pPr>
              <w:pStyle w:val="Tabla9"/>
              <w:jc w:val="left"/>
            </w:pPr>
            <w:r>
              <w:t xml:space="preserve">Profesional recién graduado en ingeniería, ciencias ambientales o estadística; formación en investigación</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P02</w:t>
            </w:r>
          </w:p>
        </w:tc>
        <w:tc>
          <w:tcPr/>
          <w:p>
            <w:pPr>
              <w:pStyle w:val="Tabla9"/>
              <w:jc w:val="left"/>
            </w:pPr>
            <w:r>
              <w:t xml:space="preserve">Estudiantes de maestría (2)</w:t>
            </w:r>
          </w:p>
        </w:tc>
        <w:tc>
          <w:tcPr/>
          <w:p>
            <w:pPr>
              <w:pStyle w:val="Tabla9"/>
              <w:jc w:val="left"/>
            </w:pPr>
            <w:r>
              <w:t xml:space="preserve">48</w:t>
            </w:r>
          </w:p>
        </w:tc>
        <w:tc>
          <w:tcPr/>
          <w:p>
            <w:pPr>
              <w:pStyle w:val="Tabla9"/>
              <w:jc w:val="left"/>
            </w:pPr>
            <w:r>
              <w:t xml:space="preserve">Profesional con admisión a maestría en un programa afín; dedicación al proyecto</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P03</w:t>
            </w:r>
          </w:p>
        </w:tc>
        <w:tc>
          <w:tcPr/>
          <w:p>
            <w:pPr>
              <w:pStyle w:val="Tabla9"/>
              <w:jc w:val="left"/>
            </w:pPr>
            <w:r>
              <w:t xml:space="preserve">Doctor en estancia posdoctoral con perfil de ciencia de datos (1)</w:t>
            </w:r>
          </w:p>
        </w:tc>
        <w:tc>
          <w:tcPr/>
          <w:p>
            <w:pPr>
              <w:pStyle w:val="Tabla9"/>
              <w:jc w:val="left"/>
            </w:pPr>
            <w:r>
              <w:t xml:space="preserve">24</w:t>
            </w:r>
          </w:p>
        </w:tc>
        <w:tc>
          <w:tcPr/>
          <w:p>
            <w:pPr>
              <w:pStyle w:val="Tabla9"/>
              <w:jc w:val="left"/>
            </w:pPr>
            <w:r>
              <w:t xml:space="preserve">Doctorado o maestría con experiencia en series ambientales, aprendizaje automático y calibración de sensores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P04</w:t>
            </w:r>
          </w:p>
        </w:tc>
        <w:tc>
          <w:tcPr/>
          <w:p>
            <w:pPr>
              <w:pStyle w:val="Tabla9"/>
              <w:jc w:val="left"/>
            </w:pPr>
            <w:r>
              <w:t xml:space="preserve">Ingenieros IoT y de campo (3)</w:t>
            </w:r>
          </w:p>
        </w:tc>
        <w:tc>
          <w:tcPr/>
          <w:p>
            <w:pPr>
              <w:pStyle w:val="Tabla9"/>
              <w:jc w:val="left"/>
            </w:pPr>
            <w:r>
              <w:t xml:space="preserve">72</w:t>
            </w:r>
          </w:p>
        </w:tc>
        <w:tc>
          <w:tcPr/>
          <w:p>
            <w:pPr>
              <w:pStyle w:val="Tabla9"/>
              <w:jc w:val="left"/>
            </w:pPr>
            <w:r>
              <w:t xml:space="preserve">Ingeniería electrónica, de telecomunicaciones o similar; experiencia en instalación de redes IoT</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P05</w:t>
            </w:r>
          </w:p>
        </w:tc>
        <w:tc>
          <w:tcPr/>
          <w:p>
            <w:pPr>
              <w:pStyle w:val="Tabla9"/>
              <w:jc w:val="left"/>
            </w:pPr>
            <w:r>
              <w:t xml:space="preserve">Coordinación de apropiación social (1)</w:t>
            </w:r>
          </w:p>
        </w:tc>
        <w:tc>
          <w:tcPr/>
          <w:p>
            <w:pPr>
              <w:pStyle w:val="Tabla9"/>
              <w:jc w:val="left"/>
            </w:pPr>
            <w:r>
              <w:t xml:space="preserve">24</w:t>
            </w:r>
          </w:p>
        </w:tc>
        <w:tc>
          <w:tcPr/>
          <w:p>
            <w:pPr>
              <w:pStyle w:val="Tabla9"/>
              <w:jc w:val="left"/>
            </w:pPr>
            <w:r>
              <w:t xml:space="preserve">Profesional en ciencias sociales o comunicación con experiencia en procesos de participación</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P06</w:t>
            </w:r>
          </w:p>
        </w:tc>
        <w:tc>
          <w:tcPr/>
          <w:p>
            <w:pPr>
              <w:pStyle w:val="Tabla9"/>
              <w:jc w:val="left"/>
            </w:pPr>
            <w:r>
              <w:t xml:space="preserve">Gerencia de proyecto (1)</w:t>
            </w:r>
          </w:p>
        </w:tc>
        <w:tc>
          <w:tcPr/>
          <w:p>
            <w:pPr>
              <w:pStyle w:val="Tabla9"/>
              <w:jc w:val="left"/>
            </w:pPr>
            <w:r>
              <w:t xml:space="preserve">24</w:t>
            </w:r>
          </w:p>
        </w:tc>
        <w:tc>
          <w:tcPr/>
          <w:p>
            <w:pPr>
              <w:pStyle w:val="Tabla9"/>
              <w:jc w:val="left"/>
            </w:pPr>
            <w:r>
              <w:t xml:space="preserve">Profesional con experiencia en gerencia de proyectos de ciencia, tecnología e innovación con recursos públicos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P07</w:t>
            </w:r>
          </w:p>
        </w:tc>
        <w:tc>
          <w:tcPr/>
          <w:p>
            <w:pPr>
              <w:pStyle w:val="Tabla9"/>
              <w:jc w:val="left"/>
            </w:pPr>
            <w:r>
              <w:t xml:space="preserve">Especialista en metrología y calibración (1)</w:t>
            </w:r>
          </w:p>
        </w:tc>
        <w:tc>
          <w:tcPr/>
          <w:p>
            <w:pPr>
              <w:pStyle w:val="Tabla9"/>
              <w:jc w:val="left"/>
            </w:pPr>
            <w:r>
              <w:t xml:space="preserve">24</w:t>
            </w:r>
          </w:p>
        </w:tc>
        <w:tc>
          <w:tcPr/>
          <w:p>
            <w:pPr>
              <w:pStyle w:val="Tabla9"/>
              <w:jc w:val="left"/>
            </w:pPr>
            <w:r>
              <w:t xml:space="preserve">Ingeniería o física con experiencia en metrología, medición gravimétrica y trazabilidad</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P08</w:t>
            </w:r>
          </w:p>
        </w:tc>
        <w:tc>
          <w:tcPr/>
          <w:p>
            <w:pPr>
              <w:pStyle w:val="Tabla9"/>
              <w:jc w:val="left"/>
            </w:pPr>
            <w:r>
              <w:t xml:space="preserve">Ingenieros de software y nube (2)</w:t>
            </w:r>
          </w:p>
        </w:tc>
        <w:tc>
          <w:tcPr/>
          <w:p>
            <w:pPr>
              <w:pStyle w:val="Tabla9"/>
              <w:jc w:val="left"/>
            </w:pPr>
            <w:r>
              <w:t xml:space="preserve">48</w:t>
            </w:r>
          </w:p>
        </w:tc>
        <w:tc>
          <w:tcPr/>
          <w:p>
            <w:pPr>
              <w:pStyle w:val="Tabla9"/>
              <w:jc w:val="left"/>
            </w:pPr>
            <w:r>
              <w:t xml:space="preserve">Ingeniería de sistemas o software con experiencia en plataformas en la nube y ciberseguridad</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P09</w:t>
            </w:r>
          </w:p>
        </w:tc>
        <w:tc>
          <w:tcPr/>
          <w:p>
            <w:pPr>
              <w:pStyle w:val="Tabla9"/>
              <w:jc w:val="left"/>
            </w:pPr>
            <w:r>
              <w:t xml:space="preserve">Ingeniero de firmware y energía (1)</w:t>
            </w:r>
          </w:p>
        </w:tc>
        <w:tc>
          <w:tcPr/>
          <w:p>
            <w:pPr>
              <w:pStyle w:val="Tabla9"/>
              <w:jc w:val="left"/>
            </w:pPr>
            <w:r>
              <w:t xml:space="preserve">24</w:t>
            </w:r>
          </w:p>
        </w:tc>
        <w:tc>
          <w:tcPr/>
          <w:p>
            <w:pPr>
              <w:pStyle w:val="Tabla9"/>
              <w:jc w:val="left"/>
            </w:pPr>
            <w:r>
              <w:t xml:space="preserve">Ingeniería electrónica con experiencia en firmware y gestión de energía solar</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P10</w:t>
            </w:r>
          </w:p>
        </w:tc>
        <w:tc>
          <w:tcPr/>
          <w:p>
            <w:pPr>
              <w:pStyle w:val="Tabla9"/>
              <w:jc w:val="left"/>
            </w:pPr>
            <w:r>
              <w:t xml:space="preserve">Técnicos de campo departamentales (6)</w:t>
            </w:r>
          </w:p>
        </w:tc>
        <w:tc>
          <w:tcPr/>
          <w:p>
            <w:pPr>
              <w:pStyle w:val="Tabla9"/>
              <w:jc w:val="left"/>
            </w:pPr>
            <w:r>
              <w:t xml:space="preserve">144</w:t>
            </w:r>
          </w:p>
        </w:tc>
        <w:tc>
          <w:tcPr/>
          <w:p>
            <w:pPr>
              <w:pStyle w:val="Tabla9"/>
              <w:jc w:val="left"/>
            </w:pPr>
            <w:r>
              <w:t xml:space="preserve">Técnico o tecnólogo con experiencia en mantenimiento de equipos de campo; residencia en el departamento</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P11</w:t>
            </w:r>
          </w:p>
        </w:tc>
        <w:tc>
          <w:tcPr/>
          <w:p>
            <w:pPr>
              <w:pStyle w:val="Tabla9"/>
              <w:jc w:val="left"/>
            </w:pPr>
            <w:r>
              <w:t xml:space="preserve">Profesionales de apropiación social (2)</w:t>
            </w:r>
          </w:p>
        </w:tc>
        <w:tc>
          <w:tcPr/>
          <w:p>
            <w:pPr>
              <w:pStyle w:val="Tabla9"/>
              <w:jc w:val="left"/>
            </w:pPr>
            <w:r>
              <w:t xml:space="preserve">48</w:t>
            </w:r>
          </w:p>
        </w:tc>
        <w:tc>
          <w:tcPr/>
          <w:p>
            <w:pPr>
              <w:pStyle w:val="Tabla9"/>
              <w:jc w:val="left"/>
            </w:pPr>
            <w:r>
              <w:t xml:space="preserve">Profesional en ciencias sociales con experiencia en co-diseño comunitario</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P12</w:t>
            </w:r>
          </w:p>
        </w:tc>
        <w:tc>
          <w:tcPr/>
          <w:p>
            <w:pPr>
              <w:pStyle w:val="Tabla9"/>
              <w:jc w:val="left"/>
            </w:pPr>
            <w:r>
              <w:t xml:space="preserve">Analista de datos espaciales y gemelo digital (1)</w:t>
            </w:r>
          </w:p>
        </w:tc>
        <w:tc>
          <w:tcPr/>
          <w:p>
            <w:pPr>
              <w:pStyle w:val="Tabla9"/>
              <w:jc w:val="left"/>
            </w:pPr>
            <w:r>
              <w:t xml:space="preserve">24</w:t>
            </w:r>
          </w:p>
        </w:tc>
        <w:tc>
          <w:tcPr/>
          <w:p>
            <w:pPr>
              <w:pStyle w:val="Tabla9"/>
              <w:jc w:val="left"/>
            </w:pPr>
            <w:r>
              <w:t xml:space="preserve">Profesional con experiencia en datos espaciales, interpolación y gemelos digitales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P13</w:t>
            </w:r>
          </w:p>
        </w:tc>
        <w:tc>
          <w:tcPr/>
          <w:p>
            <w:pPr>
              <w:pStyle w:val="Tabla9"/>
              <w:jc w:val="left"/>
            </w:pPr>
            <w:r>
              <w:t xml:space="preserve">Profesional en calidad del aire y salud ambiental (1)</w:t>
            </w:r>
          </w:p>
        </w:tc>
        <w:tc>
          <w:tcPr/>
          <w:p>
            <w:pPr>
              <w:pStyle w:val="Tabla9"/>
              <w:jc w:val="left"/>
            </w:pPr>
            <w:r>
              <w:t xml:space="preserve">24</w:t>
            </w:r>
          </w:p>
        </w:tc>
        <w:tc>
          <w:tcPr/>
          <w:p>
            <w:pPr>
              <w:pStyle w:val="Tabla9"/>
              <w:jc w:val="left"/>
            </w:pPr>
            <w:r>
              <w:t xml:space="preserve">Profesional en salud ambiental o calidad del aire con experiencia en índices y alertas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P14</w:t>
            </w:r>
          </w:p>
        </w:tc>
        <w:tc>
          <w:tcPr/>
          <w:p>
            <w:pPr>
              <w:pStyle w:val="Tabla9"/>
              <w:jc w:val="left"/>
            </w:pPr>
            <w:r>
              <w:t xml:space="preserve">Profesional de convenios y custodia (1)</w:t>
            </w:r>
          </w:p>
        </w:tc>
        <w:tc>
          <w:tcPr/>
          <w:p>
            <w:pPr>
              <w:pStyle w:val="Tabla9"/>
              <w:jc w:val="left"/>
            </w:pPr>
            <w:r>
              <w:t xml:space="preserve">24</w:t>
            </w:r>
          </w:p>
        </w:tc>
        <w:tc>
          <w:tcPr/>
          <w:p>
            <w:pPr>
              <w:pStyle w:val="Tabla9"/>
              <w:jc w:val="left"/>
            </w:pPr>
            <w:r>
              <w:t xml:space="preserve">Profesional en derecho o administración con experiencia en convenios y propiedad intelectual</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p>
            <w:pPr>
              <w:pStyle w:val="Tabla9"/>
              <w:jc w:val="left"/>
            </w:pPr>
            <w:r>
              <w:t xml:space="preserve">C01</w:t>
            </w:r>
          </w:p>
        </w:tc>
        <w:tc>
          <w:tcPr/>
          <w:p>
            <w:pPr>
              <w:pStyle w:val="Tabla9"/>
              <w:jc w:val="left"/>
            </w:pPr>
            <w:r>
              <w:t xml:space="preserve">Investigador principal, 50 % durante 24 meses (contrapartida)</w:t>
            </w:r>
          </w:p>
        </w:tc>
        <w:tc>
          <w:tcPr/>
          <w:p>
            <w:pPr>
              <w:pStyle w:val="Tabla9"/>
              <w:jc w:val="left"/>
            </w:pPr>
            <w:r>
              <w:t xml:space="preserve">24 mes</w:t>
            </w:r>
          </w:p>
        </w:tc>
        <w:tc>
          <w:tcPr/>
          <w:p>
            <w:pPr>
              <w:pStyle w:val="Tabla9"/>
              <w:jc w:val="left"/>
            </w:pPr>
            <w:r>
              <w:t xml:space="preserve">Investigación principal y coinvestigación con trayectoria verificable en CvLAC y GrupLAC</w:t>
            </w:r>
          </w:p>
        </w:tc>
        <w:tc>
          <w:tcPr/>
          <w:p>
            <w:pPr>
              <w:pStyle w:val="Tabla9"/>
              <w:jc w:val="left"/>
            </w:pPr>
            <w:r>
              <w:t xml:space="preserve">Hoja de vida; CvLAC; GrupLAC</w:t>
            </w:r>
          </w:p>
        </w:tc>
        <w:tc>
          <w:tcPr/>
          <w:p>
            <w:pPr>
              <w:pStyle w:val="Tabla9"/>
              <w:jc w:val="left"/>
            </w:pPr>
            <w:r>
              <w:t xml:space="preserve">VACIO</w:t>
            </w:r>
          </w:p>
        </w:tc>
      </w:tr>
      <w:tr>
        <w:trPr>
          <w:cantSplit/>
        </w:trPr>
        <w:tc>
          <w:tcPr/>
          <w:p>
            <w:pPr>
              <w:pStyle w:val="Tabla9"/>
              <w:jc w:val="left"/>
            </w:pPr>
            <w:r>
              <w:t xml:space="preserve">C02</w:t>
            </w:r>
          </w:p>
        </w:tc>
        <w:tc>
          <w:tcPr/>
          <w:p>
            <w:pPr>
              <w:pStyle w:val="Tabla9"/>
              <w:jc w:val="left"/>
            </w:pPr>
            <w:r>
              <w:t xml:space="preserve">Coinvestigador técnico, 30 % durante 24 meses (contrapartida)</w:t>
            </w:r>
          </w:p>
        </w:tc>
        <w:tc>
          <w:tcPr/>
          <w:p>
            <w:pPr>
              <w:pStyle w:val="Tabla9"/>
              <w:jc w:val="left"/>
            </w:pPr>
            <w:r>
              <w:t xml:space="preserve">24 mes</w:t>
            </w:r>
          </w:p>
        </w:tc>
        <w:tc>
          <w:tcPr/>
          <w:p>
            <w:pPr>
              <w:pStyle w:val="Tabla9"/>
              <w:jc w:val="left"/>
            </w:pPr>
            <w:r>
              <w:t xml:space="preserve">Investigación principal y coinvestigación con trayectoria verificable en CvLAC y GrupLAC</w:t>
            </w:r>
          </w:p>
        </w:tc>
        <w:tc>
          <w:tcPr/>
          <w:p>
            <w:pPr>
              <w:pStyle w:val="Tabla9"/>
              <w:jc w:val="left"/>
            </w:pPr>
            <w:r>
              <w:t xml:space="preserve">Hoja de vida; CvLAC; GrupLAC</w:t>
            </w:r>
          </w:p>
        </w:tc>
        <w:tc>
          <w:tcPr/>
          <w:p>
            <w:pPr>
              <w:pStyle w:val="Tabla9"/>
              <w:jc w:val="left"/>
            </w:pPr>
            <w:r>
              <w:t xml:space="preserve">VACIO</w:t>
            </w:r>
          </w:p>
        </w:tc>
      </w:tr>
      <w:tr>
        <w:trPr>
          <w:cantSplit/>
        </w:trPr>
        <w:tc>
          <w:tcPr/>
          <w:p>
            <w:pPr>
              <w:pStyle w:val="Tabla9"/>
              <w:jc w:val="left"/>
            </w:pPr>
            <w:r>
              <w:t xml:space="preserve">C03</w:t>
            </w:r>
          </w:p>
        </w:tc>
        <w:tc>
          <w:tcPr/>
          <w:p>
            <w:pPr>
              <w:pStyle w:val="Tabla9"/>
              <w:jc w:val="left"/>
            </w:pPr>
            <w:r>
              <w:t xml:space="preserve">Coinvestigadores de ambiente y ciencias sociales, 20 % (contrapartida)</w:t>
            </w:r>
          </w:p>
        </w:tc>
        <w:tc>
          <w:tcPr/>
          <w:p>
            <w:pPr>
              <w:pStyle w:val="Tabla9"/>
              <w:jc w:val="left"/>
            </w:pPr>
            <w:r>
              <w:t xml:space="preserve">48 mes</w:t>
            </w:r>
          </w:p>
        </w:tc>
        <w:tc>
          <w:tcPr/>
          <w:p>
            <w:pPr>
              <w:pStyle w:val="Tabla9"/>
              <w:jc w:val="left"/>
            </w:pPr>
            <w:r>
              <w:t xml:space="preserve">Investigación principal y coinvestigación con trayectoria verificable en CvLAC y GrupLAC</w:t>
            </w:r>
          </w:p>
        </w:tc>
        <w:tc>
          <w:tcPr/>
          <w:p>
            <w:pPr>
              <w:pStyle w:val="Tabla9"/>
              <w:jc w:val="left"/>
            </w:pPr>
            <w:r>
              <w:t xml:space="preserve">Hoja de vida; CvLAC; GrupLAC</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maestro.py (líneas P01 a P14 y C01 a C03). La cantidad de los cargos del SGR es en persona-mes. CvLAC y GrupLAC: plataformas de MinCiencias. Los perfiles son PROPUESTO; las hojas de vida son VACIO [DATO_USUARIO: hojas de vida en el formato exigido]. Decimales con coma.</w:t>
      </w:r>
    </w:p>
    <w:p>
      <w:pPr>
        <w:pStyle w:val="BodyText"/>
      </w:pPr>
      <w:r>
        <w:t xml:space="preserve">Las hojas de vida se evaluarán contra el perfil de cada cargo. Si una persona no cumple el perfil mínimo, el cargo se reabre con un proceso de selección. El cambio se registra como modificación del equipo. El enfoque diferencial del Anexo 2 pide indicar si más de 50 % del equipo pertenece a una categoría de población diferencial. Ese dato depende del Anexo 12 de la convocatoria, que no se aportó, y por ahora queda sin determinar.</w:t>
      </w:r>
    </w:p>
    <w:bookmarkEnd w:id="692"/>
    <w:bookmarkStart w:id="693" w:name="_Toc00900287"/>
    <w:p>
      <w:pPr>
        <w:pStyle w:val="Heading2"/>
      </w:pPr>
      <w:r>
        <w:t xml:space="preserve">Anexo C. Cotizaciones de equipos</w:t>
      </w:r>
    </w:p>
    <w:p>
      <w:pPr>
        <w:pStyle w:val="FirstParagraph"/>
      </w:pPr>
      <w:r>
        <w:t xml:space="preserve">Las cotizaciones respaldan los costos unitarios del presupuesto. Ningún costo unitario del presupuesto tiene cotización soportada. Los valores marcados DECLARADO provienen del expediente revisado, y los marcados PROPUESTO provienen de esta formulación. Por esa razón, 100 % del valor solicitado carece hoy de soporte de mercado. La Tabla 20.4 lista las líneas de equipos y las demás líneas de mayor valor que requieren cotización. Para cada una indica el tipo de soporte exigido.</w:t>
      </w:r>
    </w:p>
    <w:p>
      <w:pPr>
        <w:pStyle w:val="TablaRotulo"/>
      </w:pPr>
      <w:bookmarkStart w:id="9394" w:name="rot_Tabla_20_4"/>
      <w:r>
        <w:rPr>
          <w:b/>
          <w:bCs/>
        </w:rPr>
        <w:t xml:space="preserve">Tabla 20.4</w:t>
      </w:r>
      <w:bookmarkEnd w:id="9394"/>
    </w:p>
    <w:p>
      <w:pPr>
        <w:pStyle w:val="TablaTitulo"/>
      </w:pPr>
      <w:r>
        <w:rPr>
          <w:i/>
          <w:iCs/>
        </w:rPr>
        <w:t xml:space="preserve">Líneas del presupuesto que requieren cotización y tipo de soporte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94"/>
        <w:gridCol w:w="1452"/>
        <w:gridCol w:w="990"/>
        <w:gridCol w:w="1122"/>
        <w:gridCol w:w="1254"/>
        <w:gridCol w:w="1320"/>
        <w:gridCol w:w="1188"/>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Concepto</w:t>
            </w:r>
          </w:p>
        </w:tc>
        <w:tc>
          <w:tcPr>
            <w:shd w:val="clear" w:color="auto" w:fill="00B050"/>
          </w:tcPr>
          <w:p>
            <w:pPr>
              <w:pStyle w:val="Tabla8"/>
              <w:jc w:val="center"/>
            </w:pPr>
            <w:r>
              <w:rPr>
                <w:b/>
                <w:color w:val="FFFFFF"/>
              </w:rPr>
              <w:t xml:space="preserve">Cantidad</w:t>
            </w:r>
          </w:p>
        </w:tc>
        <w:tc>
          <w:tcPr>
            <w:shd w:val="clear" w:color="auto" w:fill="00B050"/>
          </w:tcPr>
          <w:p>
            <w:pPr>
              <w:pStyle w:val="Tabla8"/>
              <w:jc w:val="center"/>
            </w:pPr>
            <w:r>
              <w:rPr>
                <w:b/>
                <w:color w:val="FFFFFF"/>
              </w:rPr>
              <w:t xml:space="preserve">Costo unitario (COP)</w:t>
            </w:r>
          </w:p>
        </w:tc>
        <w:tc>
          <w:tcPr>
            <w:shd w:val="clear" w:color="auto" w:fill="00B050"/>
          </w:tcPr>
          <w:p>
            <w:pPr>
              <w:pStyle w:val="Tabla8"/>
              <w:jc w:val="center"/>
            </w:pPr>
            <w:r>
              <w:rPr>
                <w:b/>
                <w:color w:val="FFFFFF"/>
              </w:rPr>
              <w:t xml:space="preserve">Total (COP)</w:t>
            </w:r>
          </w:p>
        </w:tc>
        <w:tc>
          <w:tcPr>
            <w:shd w:val="clear" w:color="auto" w:fill="00B050"/>
          </w:tcPr>
          <w:p>
            <w:pPr>
              <w:pStyle w:val="Tabla8"/>
              <w:jc w:val="center"/>
            </w:pPr>
            <w:r>
              <w:rPr>
                <w:b/>
                <w:color w:val="FFFFFF"/>
              </w:rPr>
              <w:t xml:space="preserve">Naturaleza</w:t>
            </w:r>
          </w:p>
        </w:tc>
        <w:tc>
          <w:tcPr>
            <w:shd w:val="clear" w:color="auto" w:fill="00B050"/>
          </w:tcPr>
          <w:p>
            <w:pPr>
              <w:pStyle w:val="Tabla8"/>
              <w:jc w:val="center"/>
            </w:pPr>
            <w:r>
              <w:rPr>
                <w:b/>
                <w:color w:val="FFFFFF"/>
              </w:rPr>
              <w:t xml:space="preserve">Soporte requerido</w:t>
            </w:r>
          </w:p>
        </w:tc>
      </w:tr>
      <w:tr>
        <w:trPr>
          <w:cantSplit/>
        </w:trPr>
        <w:tc>
          <w:tcPr/>
          <w:p>
            <w:pPr>
              <w:pStyle w:val="Tabla8"/>
              <w:jc w:val="left"/>
            </w:pPr>
            <w:r>
              <w:t xml:space="preserve">E01</w:t>
            </w:r>
          </w:p>
        </w:tc>
        <w:tc>
          <w:tcPr/>
          <w:p>
            <w:pPr>
              <w:pStyle w:val="Tabla8"/>
              <w:jc w:val="left"/>
            </w:pPr>
            <w:r>
              <w:t xml:space="preserve">Nodos IoT de medición (100 + 20 de reserva)</w:t>
            </w:r>
          </w:p>
        </w:tc>
        <w:tc>
          <w:tcPr/>
          <w:p>
            <w:pPr>
              <w:pStyle w:val="Tabla8"/>
              <w:jc w:val="left"/>
            </w:pPr>
            <w:r>
              <w:t xml:space="preserve">120 unidad</w:t>
            </w:r>
          </w:p>
        </w:tc>
        <w:tc>
          <w:tcPr/>
          <w:p>
            <w:pPr>
              <w:pStyle w:val="Tabla8"/>
              <w:jc w:val="left"/>
            </w:pPr>
            <w:r>
              <w:t xml:space="preserve">$ 4.500.000</w:t>
            </w:r>
          </w:p>
        </w:tc>
        <w:tc>
          <w:tcPr/>
          <w:p>
            <w:pPr>
              <w:pStyle w:val="Tabla8"/>
              <w:jc w:val="left"/>
            </w:pPr>
            <w:r>
              <w:t xml:space="preserve">$ 540.000.000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p>
            <w:pPr>
              <w:pStyle w:val="Tabla8"/>
              <w:jc w:val="left"/>
            </w:pPr>
            <w:r>
              <w:t xml:space="preserve">E02</w:t>
            </w:r>
          </w:p>
        </w:tc>
        <w:tc>
          <w:tcPr/>
          <w:p>
            <w:pPr>
              <w:pStyle w:val="Tabla8"/>
              <w:jc w:val="left"/>
            </w:pPr>
            <w:r>
              <w:t xml:space="preserve">Cabezales ópticos de partículas</w:t>
            </w:r>
          </w:p>
        </w:tc>
        <w:tc>
          <w:tcPr/>
          <w:p>
            <w:pPr>
              <w:pStyle w:val="Tabla8"/>
              <w:jc w:val="left"/>
            </w:pPr>
            <w:r>
              <w:t xml:space="preserve">150 unidad</w:t>
            </w:r>
          </w:p>
        </w:tc>
        <w:tc>
          <w:tcPr/>
          <w:p>
            <w:pPr>
              <w:pStyle w:val="Tabla8"/>
              <w:jc w:val="left"/>
            </w:pPr>
            <w:r>
              <w:t xml:space="preserve">$ 1.200.000</w:t>
            </w:r>
          </w:p>
        </w:tc>
        <w:tc>
          <w:tcPr/>
          <w:p>
            <w:pPr>
              <w:pStyle w:val="Tabla8"/>
              <w:jc w:val="left"/>
            </w:pPr>
            <w:r>
              <w:t xml:space="preserve">$ 180.000.000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p>
            <w:pPr>
              <w:pStyle w:val="Tabla8"/>
              <w:jc w:val="left"/>
            </w:pPr>
            <w:r>
              <w:t xml:space="preserve">E03</w:t>
            </w:r>
          </w:p>
        </w:tc>
        <w:tc>
          <w:tcPr/>
          <w:p>
            <w:pPr>
              <w:pStyle w:val="Tabla8"/>
              <w:jc w:val="left"/>
            </w:pPr>
            <w:r>
              <w:t xml:space="preserve">Monitores gravimétricos de referencia</w:t>
            </w:r>
          </w:p>
        </w:tc>
        <w:tc>
          <w:tcPr/>
          <w:p>
            <w:pPr>
              <w:pStyle w:val="Tabla8"/>
              <w:jc w:val="left"/>
            </w:pPr>
            <w:r>
              <w:t xml:space="preserve">3 unidad</w:t>
            </w:r>
          </w:p>
        </w:tc>
        <w:tc>
          <w:tcPr/>
          <w:p>
            <w:pPr>
              <w:pStyle w:val="Tabla8"/>
              <w:jc w:val="left"/>
            </w:pPr>
            <w:r>
              <w:t xml:space="preserve">$ 85.000.000</w:t>
            </w:r>
          </w:p>
        </w:tc>
        <w:tc>
          <w:tcPr/>
          <w:p>
            <w:pPr>
              <w:pStyle w:val="Tabla8"/>
              <w:jc w:val="left"/>
            </w:pPr>
            <w:r>
              <w:t xml:space="preserve">$ 255.000.000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p>
            <w:pPr>
              <w:pStyle w:val="Tabla8"/>
              <w:jc w:val="left"/>
            </w:pPr>
            <w:r>
              <w:t xml:space="preserve">E04</w:t>
            </w:r>
          </w:p>
        </w:tc>
        <w:tc>
          <w:tcPr/>
          <w:p>
            <w:pPr>
              <w:pStyle w:val="Tabla8"/>
              <w:jc w:val="left"/>
            </w:pPr>
            <w:r>
              <w:t xml:space="preserve">Gateways con energía solar y respaldo (10 + 1 de reserva)</w:t>
            </w:r>
          </w:p>
        </w:tc>
        <w:tc>
          <w:tcPr/>
          <w:p>
            <w:pPr>
              <w:pStyle w:val="Tabla8"/>
              <w:jc w:val="left"/>
            </w:pPr>
            <w:r>
              <w:t xml:space="preserve">11 unidad</w:t>
            </w:r>
          </w:p>
        </w:tc>
        <w:tc>
          <w:tcPr/>
          <w:p>
            <w:pPr>
              <w:pStyle w:val="Tabla8"/>
              <w:jc w:val="left"/>
            </w:pPr>
            <w:r>
              <w:t xml:space="preserve">$ 28.000.000</w:t>
            </w:r>
          </w:p>
        </w:tc>
        <w:tc>
          <w:tcPr/>
          <w:p>
            <w:pPr>
              <w:pStyle w:val="Tabla8"/>
              <w:jc w:val="left"/>
            </w:pPr>
            <w:r>
              <w:t xml:space="preserve">$ 308.000.000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p>
            <w:pPr>
              <w:pStyle w:val="Tabla8"/>
              <w:jc w:val="left"/>
            </w:pPr>
            <w:r>
              <w:t xml:space="preserve">E05</w:t>
            </w:r>
          </w:p>
        </w:tc>
        <w:tc>
          <w:tcPr/>
          <w:p>
            <w:pPr>
              <w:pStyle w:val="Tabla8"/>
              <w:jc w:val="left"/>
            </w:pPr>
            <w:r>
              <w:t xml:space="preserve">Kits de energía solar y batería para nodos</w:t>
            </w:r>
          </w:p>
        </w:tc>
        <w:tc>
          <w:tcPr/>
          <w:p>
            <w:pPr>
              <w:pStyle w:val="Tabla8"/>
              <w:jc w:val="left"/>
            </w:pPr>
            <w:r>
              <w:t xml:space="preserve">120 unidad</w:t>
            </w:r>
          </w:p>
        </w:tc>
        <w:tc>
          <w:tcPr/>
          <w:p>
            <w:pPr>
              <w:pStyle w:val="Tabla8"/>
              <w:jc w:val="left"/>
            </w:pPr>
            <w:r>
              <w:t xml:space="preserve">$ 650.000</w:t>
            </w:r>
          </w:p>
        </w:tc>
        <w:tc>
          <w:tcPr/>
          <w:p>
            <w:pPr>
              <w:pStyle w:val="Tabla8"/>
              <w:jc w:val="left"/>
            </w:pPr>
            <w:r>
              <w:t xml:space="preserve">$ 78.000.000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p>
            <w:pPr>
              <w:pStyle w:val="Tabla8"/>
              <w:jc w:val="left"/>
            </w:pPr>
            <w:r>
              <w:t xml:space="preserve">E06</w:t>
            </w:r>
          </w:p>
        </w:tc>
        <w:tc>
          <w:tcPr/>
          <w:p>
            <w:pPr>
              <w:pStyle w:val="Tabla8"/>
              <w:jc w:val="left"/>
            </w:pPr>
            <w:r>
              <w:t xml:space="preserve">Módulos de enlace satelital de respaldo</w:t>
            </w:r>
          </w:p>
        </w:tc>
        <w:tc>
          <w:tcPr/>
          <w:p>
            <w:pPr>
              <w:pStyle w:val="Tabla8"/>
              <w:jc w:val="left"/>
            </w:pPr>
            <w:r>
              <w:t xml:space="preserve">10 unidad</w:t>
            </w:r>
          </w:p>
        </w:tc>
        <w:tc>
          <w:tcPr/>
          <w:p>
            <w:pPr>
              <w:pStyle w:val="Tabla8"/>
              <w:jc w:val="left"/>
            </w:pPr>
            <w:r>
              <w:t xml:space="preserve">$ 3.500.000</w:t>
            </w:r>
          </w:p>
        </w:tc>
        <w:tc>
          <w:tcPr/>
          <w:p>
            <w:pPr>
              <w:pStyle w:val="Tabla8"/>
              <w:jc w:val="left"/>
            </w:pPr>
            <w:r>
              <w:t xml:space="preserve">$ 35.000.000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p>
            <w:pPr>
              <w:pStyle w:val="Tabla8"/>
              <w:jc w:val="left"/>
            </w:pPr>
            <w:r>
              <w:t xml:space="preserve">E07</w:t>
            </w:r>
          </w:p>
        </w:tc>
        <w:tc>
          <w:tcPr/>
          <w:p>
            <w:pPr>
              <w:pStyle w:val="Tabla8"/>
              <w:jc w:val="left"/>
            </w:pPr>
            <w:r>
              <w:t xml:space="preserve">Banco de calibración de laboratorio (cámara de humedad y generador de aerosol)</w:t>
            </w:r>
          </w:p>
        </w:tc>
        <w:tc>
          <w:tcPr/>
          <w:p>
            <w:pPr>
              <w:pStyle w:val="Tabla8"/>
              <w:jc w:val="left"/>
            </w:pPr>
            <w:r>
              <w:t xml:space="preserve">1 unidad</w:t>
            </w:r>
          </w:p>
        </w:tc>
        <w:tc>
          <w:tcPr/>
          <w:p>
            <w:pPr>
              <w:pStyle w:val="Tabla8"/>
              <w:jc w:val="left"/>
            </w:pPr>
            <w:r>
              <w:t xml:space="preserve">$ 150.000.000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p>
            <w:pPr>
              <w:pStyle w:val="Tabla8"/>
              <w:jc w:val="left"/>
            </w:pPr>
            <w:r>
              <w:t xml:space="preserve">E08</w:t>
            </w:r>
          </w:p>
        </w:tc>
        <w:tc>
          <w:tcPr/>
          <w:p>
            <w:pPr>
              <w:pStyle w:val="Tabla8"/>
              <w:jc w:val="left"/>
            </w:pPr>
            <w:r>
              <w:t xml:space="preserve">Estaciones de trabajo para entrenamiento de modelos</w:t>
            </w:r>
          </w:p>
        </w:tc>
        <w:tc>
          <w:tcPr/>
          <w:p>
            <w:pPr>
              <w:pStyle w:val="Tabla8"/>
              <w:jc w:val="left"/>
            </w:pPr>
            <w:r>
              <w:t xml:space="preserve">2 unidad</w:t>
            </w:r>
          </w:p>
        </w:tc>
        <w:tc>
          <w:tcPr/>
          <w:p>
            <w:pPr>
              <w:pStyle w:val="Tabla8"/>
              <w:jc w:val="left"/>
            </w:pPr>
            <w:r>
              <w:t xml:space="preserve">$ 25.000.000</w:t>
            </w:r>
          </w:p>
        </w:tc>
        <w:tc>
          <w:tcPr/>
          <w:p>
            <w:pPr>
              <w:pStyle w:val="Tabla8"/>
              <w:jc w:val="left"/>
            </w:pPr>
            <w:r>
              <w:t xml:space="preserve">$ 50.000.000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p>
            <w:pPr>
              <w:pStyle w:val="Tabla8"/>
              <w:jc w:val="left"/>
            </w:pPr>
            <w:r>
              <w:t xml:space="preserve">E09</w:t>
            </w:r>
          </w:p>
        </w:tc>
        <w:tc>
          <w:tcPr/>
          <w:p>
            <w:pPr>
              <w:pStyle w:val="Tabla8"/>
              <w:jc w:val="left"/>
            </w:pPr>
            <w:r>
              <w:t xml:space="preserve">Equipos de campo e instrumentación (lote)</w:t>
            </w:r>
          </w:p>
        </w:tc>
        <w:tc>
          <w:tcPr/>
          <w:p>
            <w:pPr>
              <w:pStyle w:val="Tabla8"/>
              <w:jc w:val="left"/>
            </w:pPr>
            <w:r>
              <w:t xml:space="preserve">1 lote</w:t>
            </w:r>
          </w:p>
        </w:tc>
        <w:tc>
          <w:tcPr/>
          <w:p>
            <w:pPr>
              <w:pStyle w:val="Tabla8"/>
              <w:jc w:val="left"/>
            </w:pPr>
            <w:r>
              <w:t xml:space="preserve">$ 30.000.000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p>
            <w:pPr>
              <w:pStyle w:val="Tabla8"/>
              <w:jc w:val="left"/>
            </w:pPr>
            <w:r>
              <w:t xml:space="preserve">E10</w:t>
            </w:r>
          </w:p>
        </w:tc>
        <w:tc>
          <w:tcPr/>
          <w:p>
            <w:pPr>
              <w:pStyle w:val="Tabla8"/>
              <w:jc w:val="left"/>
            </w:pPr>
            <w:r>
              <w:t xml:space="preserve">Instancias en la nube reservadas (24 meses)</w:t>
            </w:r>
          </w:p>
        </w:tc>
        <w:tc>
          <w:tcPr/>
          <w:p>
            <w:pPr>
              <w:pStyle w:val="Tabla8"/>
              <w:jc w:val="left"/>
            </w:pPr>
            <w:r>
              <w:t xml:space="preserve">1 clúster</w:t>
            </w:r>
          </w:p>
        </w:tc>
        <w:tc>
          <w:tcPr/>
          <w:p>
            <w:pPr>
              <w:pStyle w:val="Tabla8"/>
              <w:jc w:val="left"/>
            </w:pPr>
            <w:r>
              <w:t xml:space="preserve">$ 180.000.000</w:t>
            </w:r>
          </w:p>
        </w:tc>
        <w:tc>
          <w:tcPr/>
          <w:p>
            <w:pPr>
              <w:pStyle w:val="Tabla8"/>
              <w:jc w:val="left"/>
            </w:pPr>
            <w:r>
              <w:t xml:space="preserve">$ 180.000.000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p>
            <w:pPr>
              <w:pStyle w:val="Tabla8"/>
              <w:jc w:val="left"/>
            </w:pPr>
            <w:r>
              <w:t xml:space="preserve">E11</w:t>
            </w:r>
          </w:p>
        </w:tc>
        <w:tc>
          <w:tcPr/>
          <w:p>
            <w:pPr>
              <w:pStyle w:val="Tabla8"/>
              <w:jc w:val="left"/>
            </w:pPr>
            <w:r>
              <w:t xml:space="preserve">Software de analítica y repositorios</w:t>
            </w:r>
          </w:p>
        </w:tc>
        <w:tc>
          <w:tcPr/>
          <w:p>
            <w:pPr>
              <w:pStyle w:val="Tabla8"/>
              <w:jc w:val="left"/>
            </w:pPr>
            <w:r>
              <w:t xml:space="preserve">1 paquete</w:t>
            </w:r>
          </w:p>
        </w:tc>
        <w:tc>
          <w:tcPr/>
          <w:p>
            <w:pPr>
              <w:pStyle w:val="Tabla8"/>
              <w:jc w:val="left"/>
            </w:pPr>
            <w:r>
              <w:t xml:space="preserve">$ 45.000.000</w:t>
            </w:r>
          </w:p>
        </w:tc>
        <w:tc>
          <w:tcPr/>
          <w:p>
            <w:pPr>
              <w:pStyle w:val="Tabla8"/>
              <w:jc w:val="left"/>
            </w:pPr>
            <w:r>
              <w:t xml:space="preserve">$ 45.000.000</w:t>
            </w:r>
          </w:p>
        </w:tc>
        <w:tc>
          <w:tcPr/>
          <w:p>
            <w:pPr>
              <w:pStyle w:val="Tabla8"/>
              <w:jc w:val="left"/>
            </w:pPr>
            <w:r>
              <w:t xml:space="preserve">DECLARADO</w:t>
            </w:r>
          </w:p>
        </w:tc>
        <w:tc>
          <w:tcPr/>
          <w:p>
            <w:pPr>
              <w:pStyle w:val="Tabla8"/>
              <w:jc w:val="left"/>
            </w:pPr>
            <w:r>
              <w:t xml:space="preserve">Una cotización vigente del proveedor</w:t>
            </w:r>
          </w:p>
        </w:tc>
      </w:tr>
      <w:tr>
        <w:trPr>
          <w:cantSplit/>
        </w:trPr>
        <w:tc>
          <w:tcPr/>
          <w:p>
            <w:pPr>
              <w:pStyle w:val="Tabla8"/>
              <w:jc w:val="left"/>
            </w:pPr>
            <w:r>
              <w:t xml:space="preserve">E12</w:t>
            </w:r>
          </w:p>
        </w:tc>
        <w:tc>
          <w:tcPr/>
          <w:p>
            <w:pPr>
              <w:pStyle w:val="Tabla8"/>
              <w:jc w:val="left"/>
            </w:pPr>
            <w:r>
              <w:t xml:space="preserve">Planes de datos celulares M2M para gateways (12 SIM, 24 meses)</w:t>
            </w:r>
          </w:p>
        </w:tc>
        <w:tc>
          <w:tcPr/>
          <w:p>
            <w:pPr>
              <w:pStyle w:val="Tabla8"/>
              <w:jc w:val="left"/>
            </w:pPr>
            <w:r>
              <w:t xml:space="preserve">288 SIM-mes</w:t>
            </w:r>
          </w:p>
        </w:tc>
        <w:tc>
          <w:tcPr/>
          <w:p>
            <w:pPr>
              <w:pStyle w:val="Tabla8"/>
              <w:jc w:val="left"/>
            </w:pPr>
            <w:r>
              <w:t xml:space="preserve">$ 120.000</w:t>
            </w:r>
          </w:p>
        </w:tc>
        <w:tc>
          <w:tcPr/>
          <w:p>
            <w:pPr>
              <w:pStyle w:val="Tabla8"/>
              <w:jc w:val="left"/>
            </w:pPr>
            <w:r>
              <w:t xml:space="preserve">$ 34.560.000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p>
            <w:pPr>
              <w:pStyle w:val="Tabla8"/>
              <w:jc w:val="left"/>
            </w:pPr>
            <w:r>
              <w:t xml:space="preserve">S01</w:t>
            </w:r>
          </w:p>
        </w:tc>
        <w:tc>
          <w:tcPr/>
          <w:p>
            <w:pPr>
              <w:pStyle w:val="Tabla8"/>
              <w:jc w:val="left"/>
            </w:pPr>
            <w:r>
              <w:t xml:space="preserve">Análisis gravimétrico en laboratorio acreditado</w:t>
            </w:r>
          </w:p>
        </w:tc>
        <w:tc>
          <w:tcPr/>
          <w:p>
            <w:pPr>
              <w:pStyle w:val="Tabla8"/>
              <w:jc w:val="left"/>
            </w:pPr>
            <w:r>
              <w:t xml:space="preserve">240 muestra</w:t>
            </w:r>
          </w:p>
        </w:tc>
        <w:tc>
          <w:tcPr/>
          <w:p>
            <w:pPr>
              <w:pStyle w:val="Tabla8"/>
              <w:jc w:val="left"/>
            </w:pPr>
            <w:r>
              <w:t xml:space="preserve">$ 350.000</w:t>
            </w:r>
          </w:p>
        </w:tc>
        <w:tc>
          <w:tcPr/>
          <w:p>
            <w:pPr>
              <w:pStyle w:val="Tabla8"/>
              <w:jc w:val="left"/>
            </w:pPr>
            <w:r>
              <w:t xml:space="preserve">$ 84.000.000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p>
            <w:pPr>
              <w:pStyle w:val="Tabla8"/>
              <w:jc w:val="left"/>
            </w:pPr>
            <w:r>
              <w:t xml:space="preserve">S05</w:t>
            </w:r>
          </w:p>
        </w:tc>
        <w:tc>
          <w:tcPr/>
          <w:p>
            <w:pPr>
              <w:pStyle w:val="Tabla8"/>
              <w:jc w:val="left"/>
            </w:pPr>
            <w:r>
              <w:t xml:space="preserve">Instalación en sitio, mástiles y obra menor (100 nodos y 10 gateways)</w:t>
            </w:r>
          </w:p>
        </w:tc>
        <w:tc>
          <w:tcPr/>
          <w:p>
            <w:pPr>
              <w:pStyle w:val="Tabla8"/>
              <w:jc w:val="left"/>
            </w:pPr>
            <w:r>
              <w:t xml:space="preserve">110 sitio</w:t>
            </w:r>
          </w:p>
        </w:tc>
        <w:tc>
          <w:tcPr/>
          <w:p>
            <w:pPr>
              <w:pStyle w:val="Tabla8"/>
              <w:jc w:val="left"/>
            </w:pPr>
            <w:r>
              <w:t xml:space="preserve">$ 1.200.000</w:t>
            </w:r>
          </w:p>
        </w:tc>
        <w:tc>
          <w:tcPr/>
          <w:p>
            <w:pPr>
              <w:pStyle w:val="Tabla8"/>
              <w:jc w:val="left"/>
            </w:pPr>
            <w:r>
              <w:t xml:space="preserve">$ 132.000.000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p>
            <w:pPr>
              <w:pStyle w:val="Tabla8"/>
              <w:jc w:val="left"/>
            </w:pPr>
            <w:r>
              <w:t xml:space="preserve">S07</w:t>
            </w:r>
          </w:p>
        </w:tc>
        <w:tc>
          <w:tcPr/>
          <w:p>
            <w:pPr>
              <w:pStyle w:val="Tabla8"/>
              <w:jc w:val="left"/>
            </w:pPr>
            <w:r>
              <w:t xml:space="preserve">Evaluación externa independiente (meses 12 y 24)</w:t>
            </w:r>
          </w:p>
        </w:tc>
        <w:tc>
          <w:tcPr/>
          <w:p>
            <w:pPr>
              <w:pStyle w:val="Tabla8"/>
              <w:jc w:val="left"/>
            </w:pPr>
            <w:r>
              <w:t xml:space="preserve">2 evaluación</w:t>
            </w:r>
          </w:p>
        </w:tc>
        <w:tc>
          <w:tcPr/>
          <w:p>
            <w:pPr>
              <w:pStyle w:val="Tabla8"/>
              <w:jc w:val="left"/>
            </w:pPr>
            <w:r>
              <w:t xml:space="preserve">$ 60.000.000</w:t>
            </w:r>
          </w:p>
        </w:tc>
        <w:tc>
          <w:tcPr/>
          <w:p>
            <w:pPr>
              <w:pStyle w:val="Tabla8"/>
              <w:jc w:val="left"/>
            </w:pPr>
            <w:r>
              <w:t xml:space="preserve">$ 120.000.000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p>
            <w:pPr>
              <w:pStyle w:val="Tabla8"/>
              <w:jc w:val="left"/>
            </w:pPr>
            <w:r>
              <w:t xml:space="preserve">S08</w:t>
            </w:r>
          </w:p>
        </w:tc>
        <w:tc>
          <w:tcPr/>
          <w:p>
            <w:pPr>
              <w:pStyle w:val="Tabla8"/>
              <w:jc w:val="left"/>
            </w:pPr>
            <w:r>
              <w:t xml:space="preserve">Ensayo de desempeño con laboratorio externo</w:t>
            </w:r>
          </w:p>
        </w:tc>
        <w:tc>
          <w:tcPr/>
          <w:p>
            <w:pPr>
              <w:pStyle w:val="Tabla8"/>
              <w:jc w:val="left"/>
            </w:pPr>
            <w:r>
              <w:t xml:space="preserve">1 campaña</w:t>
            </w:r>
          </w:p>
        </w:tc>
        <w:tc>
          <w:tcPr/>
          <w:p>
            <w:pPr>
              <w:pStyle w:val="Tabla8"/>
              <w:jc w:val="left"/>
            </w:pPr>
            <w:r>
              <w:t xml:space="preserve">$ 90.000.000</w:t>
            </w:r>
          </w:p>
        </w:tc>
        <w:tc>
          <w:tcPr/>
          <w:p>
            <w:pPr>
              <w:pStyle w:val="Tabla8"/>
              <w:jc w:val="left"/>
            </w:pPr>
            <w:r>
              <w:t xml:space="preserve">$ 90.000.000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p>
            <w:pPr>
              <w:pStyle w:val="Tabla8"/>
              <w:jc w:val="left"/>
            </w:pPr>
            <w:r>
              <w:t xml:space="preserve">S09</w:t>
            </w:r>
          </w:p>
        </w:tc>
        <w:tc>
          <w:tcPr/>
          <w:p>
            <w:pPr>
              <w:pStyle w:val="Tabla8"/>
              <w:jc w:val="left"/>
            </w:pPr>
            <w:r>
              <w:t xml:space="preserve">Formación y soporte a custodios por tramo</w:t>
            </w:r>
          </w:p>
        </w:tc>
        <w:tc>
          <w:tcPr/>
          <w:p>
            <w:pPr>
              <w:pStyle w:val="Tabla8"/>
              <w:jc w:val="left"/>
            </w:pPr>
            <w:r>
              <w:t xml:space="preserve">3 tramo</w:t>
            </w:r>
          </w:p>
        </w:tc>
        <w:tc>
          <w:tcPr/>
          <w:p>
            <w:pPr>
              <w:pStyle w:val="Tabla8"/>
              <w:jc w:val="left"/>
            </w:pPr>
            <w:r>
              <w:t xml:space="preserve">$ 50.000.000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p>
            <w:pPr>
              <w:pStyle w:val="Tabla8"/>
              <w:jc w:val="left"/>
            </w:pPr>
            <w:r>
              <w:t xml:space="preserve">S11</w:t>
            </w:r>
          </w:p>
        </w:tc>
        <w:tc>
          <w:tcPr/>
          <w:p>
            <w:pPr>
              <w:pStyle w:val="Tabla8"/>
              <w:jc w:val="left"/>
            </w:pPr>
            <w:r>
              <w:t xml:space="preserve">Importación y nacionalización de equipos</w:t>
            </w:r>
          </w:p>
        </w:tc>
        <w:tc>
          <w:tcPr/>
          <w:p>
            <w:pPr>
              <w:pStyle w:val="Tabla8"/>
              <w:jc w:val="left"/>
            </w:pPr>
            <w:r>
              <w:t xml:space="preserve">1 servicio</w:t>
            </w:r>
          </w:p>
        </w:tc>
        <w:tc>
          <w:tcPr/>
          <w:p>
            <w:pPr>
              <w:pStyle w:val="Tabla8"/>
              <w:jc w:val="left"/>
            </w:pPr>
            <w:r>
              <w:t xml:space="preserve">$ 80.000.000</w:t>
            </w:r>
          </w:p>
        </w:tc>
        <w:tc>
          <w:tcPr/>
          <w:p>
            <w:pPr>
              <w:pStyle w:val="Tabla8"/>
              <w:jc w:val="left"/>
            </w:pPr>
            <w:r>
              <w:t xml:space="preserve">$ 80.000.000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p>
            <w:pPr>
              <w:pStyle w:val="Tabla8"/>
              <w:jc w:val="left"/>
            </w:pPr>
            <w:r>
              <w:t xml:space="preserve">Total</w:t>
            </w:r>
          </w:p>
        </w:tc>
        <w:tc>
          <w:tcPr/>
          <w:p>
            <w:pPr>
              <w:pStyle w:val="Tabla8"/>
              <w:jc w:val="left"/>
            </w:pPr>
            <w:r>
              <w:t xml:space="preserve">Líneas que requieren cotización</w:t>
            </w:r>
          </w:p>
        </w:tc>
        <w:tc>
          <w:tcPr/>
          <w:p>
            <w:pPr>
              <w:pStyle w:val="Tabla8"/>
            </w:pPr>
          </w:p>
        </w:tc>
        <w:tc>
          <w:tcPr/>
          <w:p>
            <w:pPr>
              <w:pStyle w:val="Tabla8"/>
            </w:pPr>
          </w:p>
        </w:tc>
        <w:tc>
          <w:tcPr/>
          <w:p>
            <w:pPr>
              <w:pStyle w:val="Tabla8"/>
              <w:jc w:val="left"/>
            </w:pPr>
            <w:r>
              <w:t xml:space="preserve">$ 2.541.560.000</w:t>
            </w:r>
          </w:p>
        </w:tc>
        <w:tc>
          <w:tcPr/>
          <w:p>
            <w:pPr>
              <w:pStyle w:val="Tabla8"/>
              <w:jc w:val="left"/>
            </w:pPr>
            <w:r>
              <w:t xml:space="preserve">CALCULADO</w:t>
            </w:r>
          </w:p>
        </w:tc>
        <w:tc>
          <w:tcPr/>
          <w:p>
            <w:pPr>
              <w:pStyle w:val="Tabla8"/>
              <w:jc w:val="left"/>
            </w:pPr>
            <w:r>
              <w:t xml:space="preserve">29,1 % del valor solicitado al SGR</w:t>
            </w:r>
          </w:p>
        </w:tc>
      </w:tr>
    </w:tbl>
    <w:p>
      <w:pPr>
        <w:pStyle w:val="TablaNota"/>
      </w:pPr>
      <w:r>
        <w:rPr>
          <w:i/>
          <w:iCs/>
        </w:rPr>
        <w:t xml:space="preserve">Nota.</w:t>
      </w:r>
      <w:r>
        <w:t xml:space="preserve"> </w:t>
      </w:r>
      <w:r>
        <w:t xml:space="preserve">Elaboración propia con datos de maestro.py. Se incluyen todas las líneas de equipos y software, y las líneas de servicios técnicos y de materiales de 80 millones de COP o más. Las cotizaciones son VACIO [DATO_USUARIO: cotizaciones vigentes con fecha y proveedor]. Decimales con coma y miles con punto.</w:t>
      </w:r>
    </w:p>
    <w:p>
      <w:pPr>
        <w:pStyle w:val="BodyText"/>
      </w:pPr>
      <w:r>
        <w:t xml:space="preserve">Las cotizaciones deben llevar fecha, proveedor, vigencia, moneda y condiciones de entrega. Para equipos importados, la cotización debe indicar el tipo de cambio de referencia, porque el riesgo R-FIN-01 depende de él. La compra del tramo 1 ocurre en el mes 5. Las cotizaciones deben tener vigencia hasta esa fecha o renovarse. Si el costo real difiere más de 10 % de lo presupuestado, la gerencia informa al comité directivo. El comité decide si ajusta el tamaño del tramo.</w:t>
      </w:r>
    </w:p>
    <w:bookmarkEnd w:id="693"/>
    <w:bookmarkStart w:id="694" w:name="X4d788574d23a06fdb0bd6ac5d36e6d06ec7ada3"/>
    <w:p>
      <w:pPr>
        <w:pStyle w:val="Heading2"/>
      </w:pPr>
      <w:r>
        <w:t xml:space="preserve">Anexo D. Certificados de grupos de investigación</w:t>
      </w:r>
    </w:p>
    <w:p>
      <w:pPr>
        <w:pStyle w:val="FirstParagraph"/>
      </w:pPr>
      <w:r>
        <w:t xml:space="preserve">Los grupos de investigación vinculados acreditan la capacidad científica del proyecto. El Anexo 2 de la convocatoria pide cuatro datos por grupo. Son el nombre, la entidad, las líneas de investigación y el número de investigadores con su nivel de formación. Indica además que se tendrán en cuenta los resultados de la convocatoria 894 de 2021 de reconocimiento y medición de grupos. Ningún dato de grupo se aportó. La Tabla 20.5 reserva la estructura.</w:t>
      </w:r>
    </w:p>
    <w:p>
      <w:pPr>
        <w:pStyle w:val="TablaRotulo"/>
      </w:pPr>
      <w:bookmarkStart w:id="9395" w:name="rot_Tabla_20_5"/>
      <w:r>
        <w:rPr>
          <w:b/>
          <w:bCs/>
        </w:rPr>
        <w:t xml:space="preserve">Tabla 20.5</w:t>
      </w:r>
      <w:bookmarkEnd w:id="9395"/>
    </w:p>
    <w:p>
      <w:pPr>
        <w:pStyle w:val="TablaTitulo"/>
      </w:pPr>
      <w:r>
        <w:rPr>
          <w:i/>
          <w:iCs/>
        </w:rPr>
        <w:t xml:space="preserve">Registro de grupos de investigación vinculados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10"/>
        <w:gridCol w:w="2640"/>
        <w:gridCol w:w="2970"/>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 requerido</w:t>
            </w:r>
          </w:p>
        </w:tc>
        <w:tc>
          <w:tcPr>
            <w:shd w:val="clear" w:color="auto" w:fill="00B050"/>
          </w:tcPr>
          <w:p>
            <w:pPr>
              <w:pStyle w:val="Tabla9"/>
              <w:jc w:val="center"/>
            </w:pPr>
            <w:r>
              <w:rPr>
                <w:b/>
                <w:color w:val="FFFFFF"/>
              </w:rPr>
              <w:t xml:space="preserve">Dato</w:t>
            </w:r>
          </w:p>
        </w:tc>
      </w:tr>
      <w:tr>
        <w:trPr>
          <w:cantSplit/>
        </w:trPr>
        <w:tc>
          <w:tcPr/>
          <w:p>
            <w:pPr>
              <w:pStyle w:val="Tabla9"/>
              <w:jc w:val="left"/>
            </w:pPr>
            <w:r>
              <w:t xml:space="preserve">Nombre del grupo</w:t>
            </w:r>
          </w:p>
        </w:tc>
        <w:tc>
          <w:tcPr/>
          <w:p>
            <w:pPr>
              <w:pStyle w:val="Tabla9"/>
              <w:jc w:val="left"/>
            </w:pPr>
            <w:r>
              <w:t xml:space="preserve">Nombre registrado en GrupLAC</w:t>
            </w:r>
          </w:p>
        </w:tc>
        <w:tc>
          <w:tcPr/>
          <w:p>
            <w:pPr>
              <w:pStyle w:val="Tabla9"/>
              <w:jc w:val="left"/>
            </w:pPr>
            <w:r>
              <w:t xml:space="preserve">[DATO_USUARIO: nombre del grupo]</w:t>
            </w:r>
          </w:p>
        </w:tc>
      </w:tr>
      <w:tr>
        <w:trPr>
          <w:cantSplit/>
        </w:trPr>
        <w:tc>
          <w:tcPr/>
          <w:p>
            <w:pPr>
              <w:pStyle w:val="Tabla9"/>
              <w:jc w:val="left"/>
            </w:pPr>
            <w:r>
              <w:t xml:space="preserve">Entidad</w:t>
            </w:r>
          </w:p>
        </w:tc>
        <w:tc>
          <w:tcPr/>
          <w:p>
            <w:pPr>
              <w:pStyle w:val="Tabla9"/>
              <w:jc w:val="left"/>
            </w:pPr>
            <w:r>
              <w:t xml:space="preserve">Entidad a la que pertenece el grupo</w:t>
            </w:r>
          </w:p>
        </w:tc>
        <w:tc>
          <w:tcPr/>
          <w:p>
            <w:pPr>
              <w:pStyle w:val="Tabla9"/>
              <w:jc w:val="left"/>
            </w:pPr>
            <w:r>
              <w:t xml:space="preserve">[DATO_USUARIO: entidad]</w:t>
            </w:r>
          </w:p>
        </w:tc>
      </w:tr>
      <w:tr>
        <w:trPr>
          <w:cantSplit/>
        </w:trPr>
        <w:tc>
          <w:tcPr/>
          <w:p>
            <w:pPr>
              <w:pStyle w:val="Tabla9"/>
              <w:jc w:val="left"/>
            </w:pPr>
            <w:r>
              <w:t xml:space="preserve">Categoría de reconocimiento</w:t>
            </w:r>
          </w:p>
        </w:tc>
        <w:tc>
          <w:tcPr/>
          <w:p>
            <w:pPr>
              <w:pStyle w:val="Tabla9"/>
              <w:jc w:val="left"/>
            </w:pPr>
            <w:r>
              <w:t xml:space="preserve">Resultado de la convocatoria 894 de 2021</w:t>
            </w:r>
          </w:p>
        </w:tc>
        <w:tc>
          <w:tcPr/>
          <w:p>
            <w:pPr>
              <w:pStyle w:val="Tabla9"/>
              <w:jc w:val="left"/>
            </w:pPr>
            <w:r>
              <w:t xml:space="preserve">[DATO_USUARIO: categoría]</w:t>
            </w:r>
          </w:p>
        </w:tc>
      </w:tr>
      <w:tr>
        <w:trPr>
          <w:cantSplit/>
        </w:trPr>
        <w:tc>
          <w:tcPr/>
          <w:p>
            <w:pPr>
              <w:pStyle w:val="Tabla9"/>
              <w:jc w:val="left"/>
            </w:pPr>
            <w:r>
              <w:t xml:space="preserve">Líneas de investigación</w:t>
            </w:r>
          </w:p>
        </w:tc>
        <w:tc>
          <w:tcPr/>
          <w:p>
            <w:pPr>
              <w:pStyle w:val="Tabla9"/>
              <w:jc w:val="left"/>
            </w:pPr>
            <w:r>
              <w:t xml:space="preserve">Líneas a las que se vincula el proyecto</w:t>
            </w:r>
          </w:p>
        </w:tc>
        <w:tc>
          <w:tcPr/>
          <w:p>
            <w:pPr>
              <w:pStyle w:val="Tabla9"/>
              <w:jc w:val="left"/>
            </w:pPr>
            <w:r>
              <w:t xml:space="preserve">[DATO_USUARIO: líneas]</w:t>
            </w:r>
          </w:p>
        </w:tc>
      </w:tr>
      <w:tr>
        <w:trPr>
          <w:cantSplit/>
        </w:trPr>
        <w:tc>
          <w:tcPr/>
          <w:p>
            <w:pPr>
              <w:pStyle w:val="Tabla9"/>
              <w:jc w:val="left"/>
            </w:pPr>
            <w:r>
              <w:t xml:space="preserve">Investigadores y formación</w:t>
            </w:r>
          </w:p>
        </w:tc>
        <w:tc>
          <w:tcPr/>
          <w:p>
            <w:pPr>
              <w:pStyle w:val="Tabla9"/>
              <w:jc w:val="left"/>
            </w:pPr>
            <w:r>
              <w:t xml:space="preserve">Número de investigadores y nivel de formación</w:t>
            </w:r>
          </w:p>
        </w:tc>
        <w:tc>
          <w:tcPr/>
          <w:p>
            <w:pPr>
              <w:pStyle w:val="Tabla9"/>
              <w:jc w:val="left"/>
            </w:pPr>
            <w:r>
              <w:t xml:space="preserve">[DATO_USUARIO: número y nivel]</w:t>
            </w:r>
          </w:p>
        </w:tc>
      </w:tr>
      <w:tr>
        <w:trPr>
          <w:cantSplit/>
        </w:trPr>
        <w:tc>
          <w:tcPr/>
          <w:p>
            <w:pPr>
              <w:pStyle w:val="Tabla9"/>
              <w:jc w:val="left"/>
            </w:pPr>
            <w:r>
              <w:t xml:space="preserve">Certificado</w:t>
            </w:r>
          </w:p>
        </w:tc>
        <w:tc>
          <w:tcPr/>
          <w:p>
            <w:pPr>
              <w:pStyle w:val="Tabla9"/>
              <w:jc w:val="left"/>
            </w:pPr>
            <w:r>
              <w:t xml:space="preserve">Certificado de vigencia del grupo</w:t>
            </w:r>
          </w:p>
        </w:tc>
        <w:tc>
          <w:tcPr/>
          <w:p>
            <w:pPr>
              <w:pStyle w:val="Tabla9"/>
              <w:jc w:val="left"/>
            </w:pPr>
            <w:r>
              <w:t xml:space="preserve">[DATO_USUARIO: certificado]</w:t>
            </w:r>
          </w:p>
        </w:tc>
      </w:tr>
    </w:tbl>
    <w:p>
      <w:pPr>
        <w:pStyle w:val="TablaNota"/>
      </w:pPr>
      <w:r>
        <w:rPr>
          <w:i/>
          <w:iCs/>
        </w:rPr>
        <w:t xml:space="preserve">Nota.</w:t>
      </w:r>
      <w:r>
        <w:t xml:space="preserve"> </w:t>
      </w:r>
      <w:r>
        <w:t xml:space="preserve">Elaboración propia con el Anexo 2 de la convocatoria, sección 1. Todos los datos son VACIO. Un proyecto puede vincular varios grupos; la tabla se repite por grupo.</w:t>
      </w:r>
    </w:p>
    <w:bookmarkEnd w:id="694"/>
    <w:bookmarkStart w:id="695" w:name="_Toc00900288"/>
    <w:p>
      <w:pPr>
        <w:pStyle w:val="Heading2"/>
      </w:pPr>
      <w:r>
        <w:t xml:space="preserve">Anexo E. Instrumentos de recolección</w:t>
      </w:r>
    </w:p>
    <w:p>
      <w:pPr>
        <w:pStyle w:val="FirstParagraph"/>
      </w:pPr>
      <w:r>
        <w:t xml:space="preserve">Los instrumentos recogen los datos que alimentan los indicadores. Cada indicador de la ficha tiene una fuente y un instrumento. Seis instrumentos cubren los indicadores con línea base VACIO y los de mayor riesgo. La Tabla 20.6 define sus campos mínimos. Los instrumentos son PROPUESTO y requieren validación antes del tramo 1. Davis (1989) y Venkatesh et al. (2003) sustentan que el uso de un sistema se mide con tres constructos. Son la utilidad percibida, la facilidad de uso y la intención de uso. El instrumento E5 los incorpora.</w:t>
      </w:r>
    </w:p>
    <w:p>
      <w:pPr>
        <w:pStyle w:val="TablaRotulo"/>
      </w:pPr>
      <w:bookmarkStart w:id="9396" w:name="rot_Tabla_20_6"/>
      <w:r>
        <w:rPr>
          <w:b/>
          <w:bCs/>
        </w:rPr>
        <w:t xml:space="preserve">Tabla 20.6</w:t>
      </w:r>
      <w:bookmarkEnd w:id="9396"/>
    </w:p>
    <w:p>
      <w:pPr>
        <w:pStyle w:val="TablaTitulo"/>
      </w:pPr>
      <w:r>
        <w:rPr>
          <w:i/>
          <w:iCs/>
        </w:rPr>
        <w:t xml:space="preserve">Instrumentos de recolección con campos mínimos y periodicidad</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96"/>
        <w:gridCol w:w="1584"/>
        <w:gridCol w:w="1320"/>
        <w:gridCol w:w="1716"/>
        <w:gridCol w:w="1452"/>
        <w:gridCol w:w="1452"/>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Instrumento</w:t>
            </w:r>
          </w:p>
        </w:tc>
        <w:tc>
          <w:tcPr>
            <w:shd w:val="clear" w:color="auto" w:fill="00B050"/>
          </w:tcPr>
          <w:p>
            <w:pPr>
              <w:pStyle w:val="Tabla9"/>
              <w:jc w:val="center"/>
            </w:pPr>
            <w:r>
              <w:rPr>
                <w:b/>
                <w:color w:val="FFFFFF"/>
              </w:rPr>
              <w:t xml:space="preserve">Indicador PERS</w:t>
            </w:r>
          </w:p>
        </w:tc>
        <w:tc>
          <w:tcPr>
            <w:shd w:val="clear" w:color="auto" w:fill="00B050"/>
          </w:tcPr>
          <w:p>
            <w:pPr>
              <w:pStyle w:val="Tabla9"/>
              <w:jc w:val="center"/>
            </w:pPr>
            <w:r>
              <w:rPr>
                <w:b/>
                <w:color w:val="FFFFFF"/>
              </w:rPr>
              <w:t xml:space="preserve">Campos mínimos</w:t>
            </w:r>
          </w:p>
        </w:tc>
        <w:tc>
          <w:tcPr>
            <w:shd w:val="clear" w:color="auto" w:fill="00B050"/>
          </w:tcPr>
          <w:p>
            <w:pPr>
              <w:pStyle w:val="Tabla9"/>
              <w:jc w:val="center"/>
            </w:pPr>
            <w:r>
              <w:rPr>
                <w:b/>
                <w:color w:val="FFFFFF"/>
              </w:rPr>
              <w:t xml:space="preserve">Periodicidad</w:t>
            </w:r>
          </w:p>
        </w:tc>
        <w:tc>
          <w:tcPr>
            <w:shd w:val="clear" w:color="auto" w:fill="00B050"/>
          </w:tcPr>
          <w:p>
            <w:pPr>
              <w:pStyle w:val="Tabla9"/>
              <w:jc w:val="center"/>
            </w:pPr>
            <w:r>
              <w:rPr>
                <w:b/>
                <w:color w:val="FFFFFF"/>
              </w:rPr>
              <w:t xml:space="preserve">Responsable</w:t>
            </w:r>
          </w:p>
        </w:tc>
      </w:tr>
      <w:tr>
        <w:trPr>
          <w:cantSplit/>
        </w:trPr>
        <w:tc>
          <w:tcPr/>
          <w:p>
            <w:pPr>
              <w:pStyle w:val="Tabla9"/>
              <w:jc w:val="left"/>
            </w:pPr>
            <w:r>
              <w:t xml:space="preserve">E1</w:t>
            </w:r>
          </w:p>
        </w:tc>
        <w:tc>
          <w:tcPr/>
          <w:p>
            <w:pPr>
              <w:pStyle w:val="Tabla9"/>
              <w:jc w:val="left"/>
            </w:pPr>
            <w:r>
              <w:t xml:space="preserve">Bitácora de colocalización</w:t>
            </w:r>
          </w:p>
        </w:tc>
        <w:tc>
          <w:tcPr/>
          <w:p>
            <w:pPr>
              <w:pStyle w:val="Tabla9"/>
              <w:jc w:val="left"/>
            </w:pPr>
            <w:r>
              <w:t xml:space="preserve">PERS-R05, PERS-R02</w:t>
            </w:r>
          </w:p>
        </w:tc>
        <w:tc>
          <w:tcPr/>
          <w:p>
            <w:pPr>
              <w:pStyle w:val="Tabla9"/>
              <w:jc w:val="left"/>
            </w:pPr>
            <w:r>
              <w:t xml:space="preserve">Nodo y sitio; fecha y hora; lectura del nodo; lectura de la referencia; humedad relativa; temperatura; marca de calidad del dato; técnico responsable</w:t>
            </w:r>
          </w:p>
        </w:tc>
        <w:tc>
          <w:tcPr/>
          <w:p>
            <w:pPr>
              <w:pStyle w:val="Tabla9"/>
              <w:jc w:val="left"/>
            </w:pPr>
            <w:r>
              <w:t xml:space="preserve">Diaria, automática</w:t>
            </w:r>
          </w:p>
        </w:tc>
        <w:tc>
          <w:tcPr/>
          <w:p>
            <w:pPr>
              <w:pStyle w:val="Tabla9"/>
              <w:jc w:val="left"/>
            </w:pPr>
            <w:r>
              <w:t xml:space="preserve">Especialista en metrología</w:t>
            </w:r>
          </w:p>
        </w:tc>
      </w:tr>
      <w:tr>
        <w:trPr>
          <w:cantSplit/>
        </w:trPr>
        <w:tc>
          <w:tcPr/>
          <w:p>
            <w:pPr>
              <w:pStyle w:val="Tabla9"/>
              <w:jc w:val="left"/>
            </w:pPr>
            <w:r>
              <w:t xml:space="preserve">E2</w:t>
            </w:r>
          </w:p>
        </w:tc>
        <w:tc>
          <w:tcPr/>
          <w:p>
            <w:pPr>
              <w:pStyle w:val="Tabla9"/>
              <w:jc w:val="left"/>
            </w:pPr>
            <w:r>
              <w:t xml:space="preserve">Acta de comité con decisión basada en el tablero</w:t>
            </w:r>
          </w:p>
        </w:tc>
        <w:tc>
          <w:tcPr/>
          <w:p>
            <w:pPr>
              <w:pStyle w:val="Tabla9"/>
              <w:jc w:val="left"/>
            </w:pPr>
            <w:r>
              <w:t xml:space="preserve">PERS-E01</w:t>
            </w:r>
          </w:p>
        </w:tc>
        <w:tc>
          <w:tcPr/>
          <w:p>
            <w:pPr>
              <w:pStyle w:val="Tabla9"/>
              <w:jc w:val="left"/>
            </w:pPr>
            <w:r>
              <w:t xml:space="preserve">Comité y municipio; fecha; lectura del tablero consultada; decisión adoptada; responsable; seguimiento</w:t>
            </w:r>
          </w:p>
        </w:tc>
        <w:tc>
          <w:tcPr/>
          <w:p>
            <w:pPr>
              <w:pStyle w:val="Tabla9"/>
              <w:jc w:val="left"/>
            </w:pPr>
            <w:r>
              <w:t xml:space="preserve">Trimestral</w:t>
            </w:r>
          </w:p>
        </w:tc>
        <w:tc>
          <w:tcPr/>
          <w:p>
            <w:pPr>
              <w:pStyle w:val="Tabla9"/>
              <w:jc w:val="left"/>
            </w:pPr>
            <w:r>
              <w:t xml:space="preserve">Coordinación de apropiación social</w:t>
            </w:r>
          </w:p>
        </w:tc>
      </w:tr>
      <w:tr>
        <w:trPr>
          <w:cantSplit/>
        </w:trPr>
        <w:tc>
          <w:tcPr/>
          <w:p>
            <w:pPr>
              <w:pStyle w:val="Tabla9"/>
              <w:jc w:val="left"/>
            </w:pPr>
            <w:r>
              <w:t xml:space="preserve">E3</w:t>
            </w:r>
          </w:p>
        </w:tc>
        <w:tc>
          <w:tcPr/>
          <w:p>
            <w:pPr>
              <w:pStyle w:val="Tabla9"/>
              <w:jc w:val="left"/>
            </w:pPr>
            <w:r>
              <w:t xml:space="preserve">Registro de alertas y verificación</w:t>
            </w:r>
          </w:p>
        </w:tc>
        <w:tc>
          <w:tcPr/>
          <w:p>
            <w:pPr>
              <w:pStyle w:val="Tabla9"/>
              <w:jc w:val="left"/>
            </w:pPr>
            <w:r>
              <w:t xml:space="preserve">PERS-E02</w:t>
            </w:r>
          </w:p>
        </w:tc>
        <w:tc>
          <w:tcPr/>
          <w:p>
            <w:pPr>
              <w:pStyle w:val="Tabla9"/>
              <w:jc w:val="left"/>
            </w:pPr>
            <w:r>
              <w:t xml:space="preserve">Alerta emitida; nodo; valor del tablero; valor de la referencia; confirmación de superación; clasificación de falsa alarma</w:t>
            </w:r>
          </w:p>
        </w:tc>
        <w:tc>
          <w:tcPr/>
          <w:p>
            <w:pPr>
              <w:pStyle w:val="Tabla9"/>
              <w:jc w:val="left"/>
            </w:pPr>
            <w:r>
              <w:t xml:space="preserve">Por evento</w:t>
            </w:r>
          </w:p>
        </w:tc>
        <w:tc>
          <w:tcPr/>
          <w:p>
            <w:pPr>
              <w:pStyle w:val="Tabla9"/>
              <w:jc w:val="left"/>
            </w:pPr>
            <w:r>
              <w:t xml:space="preserve">Profesional en calidad del aire</w:t>
            </w:r>
          </w:p>
        </w:tc>
      </w:tr>
      <w:tr>
        <w:trPr>
          <w:cantSplit/>
        </w:trPr>
        <w:tc>
          <w:tcPr/>
          <w:p>
            <w:pPr>
              <w:pStyle w:val="Tabla9"/>
              <w:jc w:val="left"/>
            </w:pPr>
            <w:r>
              <w:t xml:space="preserve">E4</w:t>
            </w:r>
          </w:p>
        </w:tc>
        <w:tc>
          <w:tcPr/>
          <w:p>
            <w:pPr>
              <w:pStyle w:val="Tabla9"/>
              <w:jc w:val="left"/>
            </w:pPr>
            <w:r>
              <w:t xml:space="preserve">Evaluación práctica de custodios</w:t>
            </w:r>
          </w:p>
        </w:tc>
        <w:tc>
          <w:tcPr/>
          <w:p>
            <w:pPr>
              <w:pStyle w:val="Tabla9"/>
              <w:jc w:val="left"/>
            </w:pPr>
            <w:r>
              <w:t xml:space="preserve">PERS-E03</w:t>
            </w:r>
          </w:p>
        </w:tc>
        <w:tc>
          <w:tcPr/>
          <w:p>
            <w:pPr>
              <w:pStyle w:val="Tabla9"/>
              <w:jc w:val="left"/>
            </w:pPr>
            <w:r>
              <w:t xml:space="preserve">Persona y entidad; módulo (mantenimiento, lectura, operación); criterios aprobados; puntaje; evaluador</w:t>
            </w:r>
          </w:p>
        </w:tc>
        <w:tc>
          <w:tcPr/>
          <w:p>
            <w:pPr>
              <w:pStyle w:val="Tabla9"/>
              <w:jc w:val="left"/>
            </w:pPr>
            <w:r>
              <w:t xml:space="preserve">Por cohorte</w:t>
            </w:r>
          </w:p>
        </w:tc>
        <w:tc>
          <w:tcPr/>
          <w:p>
            <w:pPr>
              <w:pStyle w:val="Tabla9"/>
              <w:jc w:val="left"/>
            </w:pPr>
            <w:r>
              <w:t xml:space="preserve">Profesional de convenios y custodia</w:t>
            </w:r>
          </w:p>
        </w:tc>
      </w:tr>
      <w:tr>
        <w:trPr>
          <w:cantSplit/>
        </w:trPr>
        <w:tc>
          <w:tcPr/>
          <w:p>
            <w:pPr>
              <w:pStyle w:val="Tabla9"/>
              <w:jc w:val="left"/>
            </w:pPr>
            <w:r>
              <w:t xml:space="preserve">E5</w:t>
            </w:r>
          </w:p>
        </w:tc>
        <w:tc>
          <w:tcPr/>
          <w:p>
            <w:pPr>
              <w:pStyle w:val="Tabla9"/>
              <w:jc w:val="left"/>
            </w:pPr>
            <w:r>
              <w:t xml:space="preserve">Cuestionario de uso del tablero</w:t>
            </w:r>
          </w:p>
        </w:tc>
        <w:tc>
          <w:tcPr/>
          <w:p>
            <w:pPr>
              <w:pStyle w:val="Tabla9"/>
              <w:jc w:val="left"/>
            </w:pPr>
            <w:r>
              <w:t xml:space="preserve">PERS-E01</w:t>
            </w:r>
          </w:p>
        </w:tc>
        <w:tc>
          <w:tcPr/>
          <w:p>
            <w:pPr>
              <w:pStyle w:val="Tabla9"/>
              <w:jc w:val="left"/>
            </w:pPr>
            <w:r>
              <w:t xml:space="preserve">Utilidad percibida; facilidad de uso; confianza en la medición; intención de uso; escala de 1 a 5 (PROPUESTO)</w:t>
            </w:r>
          </w:p>
        </w:tc>
        <w:tc>
          <w:tcPr/>
          <w:p>
            <w:pPr>
              <w:pStyle w:val="Tabla9"/>
              <w:jc w:val="left"/>
            </w:pPr>
            <w:r>
              <w:t xml:space="preserve">Semestral</w:t>
            </w:r>
          </w:p>
        </w:tc>
        <w:tc>
          <w:tcPr/>
          <w:p>
            <w:pPr>
              <w:pStyle w:val="Tabla9"/>
              <w:jc w:val="left"/>
            </w:pPr>
            <w:r>
              <w:t xml:space="preserve">Coordinación de apropiación social</w:t>
            </w:r>
          </w:p>
        </w:tc>
      </w:tr>
      <w:tr>
        <w:trPr>
          <w:cantSplit/>
        </w:trPr>
        <w:tc>
          <w:tcPr/>
          <w:p>
            <w:pPr>
              <w:pStyle w:val="Tabla9"/>
              <w:jc w:val="left"/>
            </w:pPr>
            <w:r>
              <w:t xml:space="preserve">E6</w:t>
            </w:r>
          </w:p>
        </w:tc>
        <w:tc>
          <w:tcPr/>
          <w:p>
            <w:pPr>
              <w:pStyle w:val="Tabla9"/>
              <w:jc w:val="left"/>
            </w:pPr>
            <w:r>
              <w:t xml:space="preserve">Registro de eventos de superación y medidas</w:t>
            </w:r>
          </w:p>
        </w:tc>
        <w:tc>
          <w:tcPr/>
          <w:p>
            <w:pPr>
              <w:pStyle w:val="Tabla9"/>
              <w:jc w:val="left"/>
            </w:pPr>
            <w:r>
              <w:t xml:space="preserve">PERS-S01</w:t>
            </w:r>
          </w:p>
        </w:tc>
        <w:tc>
          <w:tcPr/>
          <w:p>
            <w:pPr>
              <w:pStyle w:val="Tabla9"/>
              <w:jc w:val="left"/>
            </w:pPr>
            <w:r>
              <w:t xml:space="preserve">Evento confirmado; fecha; medida de protección activada; responsable; evidencia</w:t>
            </w:r>
          </w:p>
        </w:tc>
        <w:tc>
          <w:tcPr/>
          <w:p>
            <w:pPr>
              <w:pStyle w:val="Tabla9"/>
              <w:jc w:val="left"/>
            </w:pPr>
            <w:r>
              <w:t xml:space="preserve">Por evento</w:t>
            </w:r>
          </w:p>
        </w:tc>
        <w:tc>
          <w:tcPr/>
          <w:p>
            <w:pPr>
              <w:pStyle w:val="Tabla9"/>
              <w:jc w:val="left"/>
            </w:pPr>
            <w:r>
              <w:t xml:space="preserve">Custodios y secretarías de gestión del riesgo</w:t>
            </w:r>
          </w:p>
        </w:tc>
      </w:tr>
    </w:tbl>
    <w:p>
      <w:pPr>
        <w:pStyle w:val="TablaNota"/>
      </w:pPr>
      <w:r>
        <w:rPr>
          <w:i/>
          <w:iCs/>
        </w:rPr>
        <w:t xml:space="preserve">Nota.</w:t>
      </w:r>
      <w:r>
        <w:t xml:space="preserve"> </w:t>
      </w:r>
      <w:r>
        <w:t xml:space="preserve">Elaboración propia con la ficha maestra §8 e indicadores.py. Los campos y las escalas son PROPUESTO. Los ítems del cuestionario E5 no se redactaron y requieren validación de contenido [DATO_USUARIO: instrumentos validados por la entidad ejecutora].</w:t>
      </w:r>
    </w:p>
    <w:p>
      <w:pPr>
        <w:pStyle w:val="BodyText"/>
      </w:pPr>
      <w:r>
        <w:t xml:space="preserve">Los instrumentos usan registros automáticos siempre que es posible. La bitácora de colocalización se alimenta de la plataforma y no exige captura manual. Las actas y los cuestionarios sí exigen captura, y por eso son los más expuestos a pérdida de datos. La mitigación es que la coordinación de apropiación social recoja las actas en cada sesión y las digitalice en una semana. La validación de los instrumentos se completa antes de la compuerta C1, y los resultados del tramo 1 ajustan los campos.</w:t>
      </w:r>
    </w:p>
    <w:bookmarkEnd w:id="695"/>
    <w:bookmarkStart w:id="696" w:name="_Toc00900289"/>
    <w:p>
      <w:pPr>
        <w:pStyle w:val="Heading2"/>
      </w:pPr>
      <w:r>
        <w:t xml:space="preserve">Anexo F. Consentimientos informados</w:t>
      </w:r>
    </w:p>
    <w:p>
      <w:pPr>
        <w:pStyle w:val="FirstParagraph"/>
      </w:pPr>
      <w:r>
        <w:t xml:space="preserve">El consentimiento informado protege a las personas cuyos datos y opiniones el proyecto recoge. La Ley 1581 de 2012 exige autorización previa, expresa e informada del titular para tratar datos personales (Congreso de la República, 2012b). El proyecto recoge datos de asistencia a talleres, opiniones en encuestas, imágenes en jornadas públicas y ubicaciones de los nodos, que pueden asociarse con viviendas. La Tabla 20.7 define los elementos del formulario de consentimiento. El texto final y su aprobación por un comité de ética son pendientes [DATO_USUARIO: acta del comité de ética o equivalente].</w:t>
      </w:r>
    </w:p>
    <w:p>
      <w:pPr>
        <w:pStyle w:val="TablaRotulo"/>
      </w:pPr>
      <w:bookmarkStart w:id="9397" w:name="rot_Tabla_20_7"/>
      <w:r>
        <w:rPr>
          <w:b/>
          <w:bCs/>
        </w:rPr>
        <w:t xml:space="preserve">Tabla 20.7</w:t>
      </w:r>
      <w:bookmarkEnd w:id="9397"/>
    </w:p>
    <w:p>
      <w:pPr>
        <w:pStyle w:val="TablaTitulo"/>
      </w:pPr>
      <w:r>
        <w:rPr>
          <w:i/>
          <w:iCs/>
        </w:rPr>
        <w:t xml:space="preserve">Elementos mínimos del formulario de consentimiento informado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78"/>
        <w:gridCol w:w="2574"/>
        <w:gridCol w:w="3168"/>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Contenido</w:t>
            </w:r>
          </w:p>
        </w:tc>
        <w:tc>
          <w:tcPr>
            <w:shd w:val="clear" w:color="auto" w:fill="00B050"/>
          </w:tcPr>
          <w:p>
            <w:pPr>
              <w:pStyle w:val="Tabla9"/>
              <w:jc w:val="center"/>
            </w:pPr>
            <w:r>
              <w:rPr>
                <w:b/>
                <w:color w:val="FFFFFF"/>
              </w:rPr>
              <w:t xml:space="preserve">Aplicación en el proyecto</w:t>
            </w:r>
          </w:p>
        </w:tc>
      </w:tr>
      <w:tr>
        <w:trPr>
          <w:cantSplit/>
        </w:trPr>
        <w:tc>
          <w:tcPr/>
          <w:p>
            <w:pPr>
              <w:pStyle w:val="Tabla9"/>
              <w:jc w:val="left"/>
            </w:pPr>
            <w:r>
              <w:t xml:space="preserve">Identificación del responsable</w:t>
            </w:r>
          </w:p>
        </w:tc>
        <w:tc>
          <w:tcPr/>
          <w:p>
            <w:pPr>
              <w:pStyle w:val="Tabla9"/>
              <w:jc w:val="left"/>
            </w:pPr>
            <w:r>
              <w:t xml:space="preserve">Entidad ejecutora y contacto para ejercer derechos</w:t>
            </w:r>
          </w:p>
        </w:tc>
        <w:tc>
          <w:tcPr/>
          <w:p>
            <w:pPr>
              <w:pStyle w:val="Tabla9"/>
              <w:jc w:val="left"/>
            </w:pPr>
            <w:r>
              <w:t xml:space="preserve">[DATO_USUARIO: razón social y contacto]</w:t>
            </w:r>
          </w:p>
        </w:tc>
      </w:tr>
      <w:tr>
        <w:trPr>
          <w:cantSplit/>
        </w:trPr>
        <w:tc>
          <w:tcPr/>
          <w:p>
            <w:pPr>
              <w:pStyle w:val="Tabla9"/>
              <w:jc w:val="left"/>
            </w:pPr>
            <w:r>
              <w:t xml:space="preserve">Finalidad</w:t>
            </w:r>
          </w:p>
        </w:tc>
        <w:tc>
          <w:tcPr/>
          <w:p>
            <w:pPr>
              <w:pStyle w:val="Tabla9"/>
              <w:jc w:val="left"/>
            </w:pPr>
            <w:r>
              <w:t xml:space="preserve">Para qué se recogen los datos y por cuánto tiempo</w:t>
            </w:r>
          </w:p>
        </w:tc>
        <w:tc>
          <w:tcPr/>
          <w:p>
            <w:pPr>
              <w:pStyle w:val="Tabla9"/>
              <w:jc w:val="left"/>
            </w:pPr>
            <w:r>
              <w:t xml:space="preserve">Co-diseño de umbrales, evaluación de uso y seguimiento del proyecto</w:t>
            </w:r>
          </w:p>
        </w:tc>
      </w:tr>
      <w:tr>
        <w:trPr>
          <w:cantSplit/>
        </w:trPr>
        <w:tc>
          <w:tcPr/>
          <w:p>
            <w:pPr>
              <w:pStyle w:val="Tabla9"/>
              <w:jc w:val="left"/>
            </w:pPr>
            <w:r>
              <w:t xml:space="preserve">Datos recogidos</w:t>
            </w:r>
          </w:p>
        </w:tc>
        <w:tc>
          <w:tcPr/>
          <w:p>
            <w:pPr>
              <w:pStyle w:val="Tabla9"/>
              <w:jc w:val="left"/>
            </w:pPr>
            <w:r>
              <w:t xml:space="preserve">Lista de datos y su carácter sensible o no</w:t>
            </w:r>
          </w:p>
        </w:tc>
        <w:tc>
          <w:tcPr/>
          <w:p>
            <w:pPr>
              <w:pStyle w:val="Tabla9"/>
              <w:jc w:val="left"/>
            </w:pPr>
            <w:r>
              <w:t xml:space="preserve">Nombre, institución, cargo, opiniones; sin datos de salud</w:t>
            </w:r>
          </w:p>
        </w:tc>
      </w:tr>
      <w:tr>
        <w:trPr>
          <w:cantSplit/>
        </w:trPr>
        <w:tc>
          <w:tcPr/>
          <w:p>
            <w:pPr>
              <w:pStyle w:val="Tabla9"/>
              <w:jc w:val="left"/>
            </w:pPr>
            <w:r>
              <w:t xml:space="preserve">Voluntariedad</w:t>
            </w:r>
          </w:p>
        </w:tc>
        <w:tc>
          <w:tcPr/>
          <w:p>
            <w:pPr>
              <w:pStyle w:val="Tabla9"/>
              <w:jc w:val="left"/>
            </w:pPr>
            <w:r>
              <w:t xml:space="preserve">Participar no es obligatorio y se puede retirar el consentimiento</w:t>
            </w:r>
          </w:p>
        </w:tc>
        <w:tc>
          <w:tcPr/>
          <w:p>
            <w:pPr>
              <w:pStyle w:val="Tabla9"/>
              <w:jc w:val="left"/>
            </w:pPr>
            <w:r>
              <w:t xml:space="preserve">Aplica a talleres, encuestas y jornadas</w:t>
            </w:r>
          </w:p>
        </w:tc>
      </w:tr>
      <w:tr>
        <w:trPr>
          <w:cantSplit/>
        </w:trPr>
        <w:tc>
          <w:tcPr/>
          <w:p>
            <w:pPr>
              <w:pStyle w:val="Tabla9"/>
              <w:jc w:val="left"/>
            </w:pPr>
            <w:r>
              <w:t xml:space="preserve">Derechos del titular</w:t>
            </w:r>
          </w:p>
        </w:tc>
        <w:tc>
          <w:tcPr/>
          <w:p>
            <w:pPr>
              <w:pStyle w:val="Tabla9"/>
              <w:jc w:val="left"/>
            </w:pPr>
            <w:r>
              <w:t xml:space="preserve">Conocer, actualizar, rectificar y suprimir los datos</w:t>
            </w:r>
          </w:p>
        </w:tc>
        <w:tc>
          <w:tcPr/>
          <w:p>
            <w:pPr>
              <w:pStyle w:val="Tabla9"/>
              <w:jc w:val="left"/>
            </w:pPr>
            <w:r>
              <w:t xml:space="preserve">Canal de atención definido por la entidad ejecutora</w:t>
            </w:r>
          </w:p>
        </w:tc>
      </w:tr>
      <w:tr>
        <w:trPr>
          <w:cantSplit/>
        </w:trPr>
        <w:tc>
          <w:tcPr/>
          <w:p>
            <w:pPr>
              <w:pStyle w:val="Tabla9"/>
              <w:jc w:val="left"/>
            </w:pPr>
            <w:r>
              <w:t xml:space="preserve">Uso de imágenes</w:t>
            </w:r>
          </w:p>
        </w:tc>
        <w:tc>
          <w:tcPr/>
          <w:p>
            <w:pPr>
              <w:pStyle w:val="Tabla9"/>
              <w:jc w:val="left"/>
            </w:pPr>
            <w:r>
              <w:t xml:space="preserve">Autorización separada para fotografías y grabaciones</w:t>
            </w:r>
          </w:p>
        </w:tc>
        <w:tc>
          <w:tcPr/>
          <w:p>
            <w:pPr>
              <w:pStyle w:val="Tabla9"/>
              <w:jc w:val="left"/>
            </w:pPr>
            <w:r>
              <w:t xml:space="preserve">Aplica a jornadas públicas y laboratorios ciudadanos</w:t>
            </w:r>
          </w:p>
        </w:tc>
      </w:tr>
      <w:tr>
        <w:trPr>
          <w:cantSplit/>
        </w:trPr>
        <w:tc>
          <w:tcPr/>
          <w:p>
            <w:pPr>
              <w:pStyle w:val="Tabla9"/>
              <w:jc w:val="left"/>
            </w:pPr>
            <w:r>
              <w:t xml:space="preserve">Menores y poblaciones diferenciales</w:t>
            </w:r>
          </w:p>
        </w:tc>
        <w:tc>
          <w:tcPr/>
          <w:p>
            <w:pPr>
              <w:pStyle w:val="Tabla9"/>
              <w:jc w:val="left"/>
            </w:pPr>
            <w:r>
              <w:t xml:space="preserve">Autorización del representante y adaptación del formato</w:t>
            </w:r>
          </w:p>
        </w:tc>
        <w:tc>
          <w:tcPr/>
          <w:p>
            <w:pPr>
              <w:pStyle w:val="Tabla9"/>
              <w:jc w:val="left"/>
            </w:pPr>
            <w:r>
              <w:t xml:space="preserve">Aplica cuando participen menores o comunidades étnicas</w:t>
            </w:r>
          </w:p>
        </w:tc>
      </w:tr>
      <w:tr>
        <w:trPr>
          <w:cantSplit/>
        </w:trPr>
        <w:tc>
          <w:tcPr/>
          <w:p>
            <w:pPr>
              <w:pStyle w:val="Tabla9"/>
              <w:jc w:val="left"/>
            </w:pPr>
            <w:r>
              <w:t xml:space="preserve">Firma y fecha</w:t>
            </w:r>
          </w:p>
        </w:tc>
        <w:tc>
          <w:tcPr/>
          <w:p>
            <w:pPr>
              <w:pStyle w:val="Tabla9"/>
              <w:jc w:val="left"/>
            </w:pPr>
            <w:r>
              <w:t xml:space="preserve">Firma, huella o registro electrónico</w:t>
            </w:r>
          </w:p>
        </w:tc>
        <w:tc>
          <w:tcPr/>
          <w:p>
            <w:pPr>
              <w:pStyle w:val="Tabla9"/>
              <w:jc w:val="left"/>
            </w:pPr>
            <w:r>
              <w:t xml:space="preserve">[DATO_USUARIO: mecanismo de aceptación]</w:t>
            </w:r>
          </w:p>
        </w:tc>
      </w:tr>
    </w:tbl>
    <w:p>
      <w:pPr>
        <w:pStyle w:val="TablaNota"/>
      </w:pPr>
      <w:r>
        <w:rPr>
          <w:i/>
          <w:iCs/>
        </w:rPr>
        <w:t xml:space="preserve">Nota.</w:t>
      </w:r>
      <w:r>
        <w:t xml:space="preserve"> </w:t>
      </w:r>
      <w:r>
        <w:t xml:space="preserve">Elaboración propia con la Ley 1581 de 2012 y el análisis de licencias y permisos del Anexo 2 (sección 27). El formulario completo es VACIO. Naturaleza de los elementos: PROPUESTO.</w:t>
      </w:r>
    </w:p>
    <w:p>
      <w:pPr>
        <w:pStyle w:val="BodyText"/>
      </w:pPr>
      <w:r>
        <w:t xml:space="preserve">El proyecto planea 20 talleres de co-diseño y 9 jornadas públicas, que suman 29 actividades de apropiación social. Cada una requiere un formulario por participante o un registro colectivo con autorización. Las lecturas de los nodos no son datos personales en sí mismas, pero su ubicación puede serlo si identifica una vivienda. Por eso la plataforma publica las lecturas agregadas por zona y protege las coordenadas exactas, y la auditoría de ciberseguridad verifica esa regla.</w:t>
      </w:r>
    </w:p>
    <w:bookmarkEnd w:id="696"/>
    <w:bookmarkStart w:id="697" w:name="X08944d8221a9c809e913e58214197592d0587cb"/>
    <w:p>
      <w:pPr>
        <w:pStyle w:val="Heading2"/>
      </w:pPr>
      <w:r>
        <w:t xml:space="preserve">Anexo G. Presupuesto detallado (formato entidad)</w:t>
      </w:r>
    </w:p>
    <w:p>
      <w:pPr>
        <w:pStyle w:val="FirstParagraph"/>
      </w:pPr>
      <w:r>
        <w:t xml:space="preserve">El presupuesto detallado por línea está en el capítulo 8, en las Tablas 8.3, 8.5 y 8.7 a 8.10. Este anexo presenta dos cruces que el formato de la entidad suele exigir. El primero es el valor por rubro y semestre. El segundo es el valor por paquete de trabajo y rubro. La Tabla 20.8 distribuye el valor solicitado al SGR por semestre y la Tabla 20.9 lo distribuye por paquete.</w:t>
      </w:r>
    </w:p>
    <w:p>
      <w:pPr>
        <w:pStyle w:val="TablaRotulo"/>
      </w:pPr>
      <w:bookmarkStart w:id="9398" w:name="rot_Tabla_20_8"/>
      <w:r>
        <w:rPr>
          <w:b/>
          <w:bCs/>
        </w:rPr>
        <w:t xml:space="preserve">Tabla 20.8</w:t>
      </w:r>
      <w:bookmarkEnd w:id="9398"/>
    </w:p>
    <w:p>
      <w:pPr>
        <w:pStyle w:val="TablaTitulo"/>
      </w:pPr>
      <w:r>
        <w:rPr>
          <w:i/>
          <w:iCs/>
        </w:rPr>
        <w:t xml:space="preserve">Valor solicitado al SGR por rubro y semestre, en millones de COP</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96"/>
        <w:gridCol w:w="1264"/>
        <w:gridCol w:w="1264"/>
        <w:gridCol w:w="1264"/>
        <w:gridCol w:w="1264"/>
        <w:gridCol w:w="1064"/>
      </w:tblGrid>
      <w:tr>
        <w:trPr>
          <w:cantSplit/>
          <w:tblHeader/>
        </w:trPr>
        <w:tc>
          <w:tcPr>
            <w:shd w:val="clear" w:color="auto" w:fill="00B050"/>
          </w:tcPr>
          <w:p>
            <w:pPr>
              <w:pStyle w:val="Tabla9"/>
              <w:jc w:val="center"/>
            </w:pPr>
            <w:r>
              <w:rPr>
                <w:b/>
                <w:color w:val="FFFFFF"/>
              </w:rPr>
              <w:t xml:space="preserve">Rubro</w:t>
            </w:r>
          </w:p>
        </w:tc>
        <w:tc>
          <w:tcPr>
            <w:shd w:val="clear" w:color="auto" w:fill="00B050"/>
          </w:tcPr>
          <w:p>
            <w:pPr>
              <w:pStyle w:val="Tabla9"/>
              <w:jc w:val="center"/>
            </w:pPr>
            <w:r>
              <w:rPr>
                <w:b/>
                <w:color w:val="FFFFFF"/>
              </w:rPr>
              <w:t xml:space="preserve">Semestre 1</w:t>
            </w:r>
          </w:p>
        </w:tc>
        <w:tc>
          <w:tcPr>
            <w:shd w:val="clear" w:color="auto" w:fill="00B050"/>
          </w:tcPr>
          <w:p>
            <w:pPr>
              <w:pStyle w:val="Tabla9"/>
              <w:jc w:val="center"/>
            </w:pPr>
            <w:r>
              <w:rPr>
                <w:b/>
                <w:color w:val="FFFFFF"/>
              </w:rPr>
              <w:t xml:space="preserve">Semestre 2</w:t>
            </w:r>
          </w:p>
        </w:tc>
        <w:tc>
          <w:tcPr>
            <w:shd w:val="clear" w:color="auto" w:fill="00B050"/>
          </w:tcPr>
          <w:p>
            <w:pPr>
              <w:pStyle w:val="Tabla9"/>
              <w:jc w:val="center"/>
            </w:pPr>
            <w:r>
              <w:rPr>
                <w:b/>
                <w:color w:val="FFFFFF"/>
              </w:rPr>
              <w:t xml:space="preserve">Semestre 3</w:t>
            </w:r>
          </w:p>
        </w:tc>
        <w:tc>
          <w:tcPr>
            <w:shd w:val="clear" w:color="auto" w:fill="00B050"/>
          </w:tcPr>
          <w:p>
            <w:pPr>
              <w:pStyle w:val="Tabla9"/>
              <w:jc w:val="center"/>
            </w:pPr>
            <w:r>
              <w:rPr>
                <w:b/>
                <w:color w:val="FFFFFF"/>
              </w:rPr>
              <w:t xml:space="preserve">Semestre 4</w:t>
            </w:r>
          </w:p>
        </w:tc>
        <w:tc>
          <w:tcPr>
            <w:shd w:val="clear" w:color="auto" w:fill="00B050"/>
          </w:tcPr>
          <w:p>
            <w:pPr>
              <w:pStyle w:val="Tabla9"/>
              <w:jc w:val="center"/>
            </w:pPr>
            <w:r>
              <w:rPr>
                <w:b/>
                <w:color w:val="FFFFFF"/>
              </w:rPr>
              <w:t xml:space="preserve">Total</w:t>
            </w:r>
          </w:p>
        </w:tc>
      </w:tr>
      <w:tr>
        <w:trPr>
          <w:cantSplit/>
        </w:trPr>
        <w:tc>
          <w:tcPr/>
          <w:p>
            <w:pPr>
              <w:pStyle w:val="Tabla9"/>
              <w:jc w:val="left"/>
            </w:pPr>
            <w:r>
              <w:t xml:space="preserve">Personal</w:t>
            </w:r>
          </w:p>
        </w:tc>
        <w:tc>
          <w:tcPr/>
          <w:p>
            <w:pPr>
              <w:pStyle w:val="Tabla9"/>
              <w:jc w:val="left"/>
            </w:pPr>
            <w:r>
              <w:t xml:space="preserve">1.131,7</w:t>
            </w:r>
          </w:p>
        </w:tc>
        <w:tc>
          <w:tcPr/>
          <w:p>
            <w:pPr>
              <w:pStyle w:val="Tabla9"/>
              <w:jc w:val="left"/>
            </w:pPr>
            <w:r>
              <w:t xml:space="preserve">1.131,7</w:t>
            </w:r>
          </w:p>
        </w:tc>
        <w:tc>
          <w:tcPr/>
          <w:p>
            <w:pPr>
              <w:pStyle w:val="Tabla9"/>
              <w:jc w:val="left"/>
            </w:pPr>
            <w:r>
              <w:t xml:space="preserve">1.059,7</w:t>
            </w:r>
          </w:p>
        </w:tc>
        <w:tc>
          <w:tcPr/>
          <w:p>
            <w:pPr>
              <w:pStyle w:val="Tabla9"/>
              <w:jc w:val="left"/>
            </w:pPr>
            <w:r>
              <w:t xml:space="preserve">1.059,7</w:t>
            </w:r>
          </w:p>
        </w:tc>
        <w:tc>
          <w:tcPr/>
          <w:p>
            <w:pPr>
              <w:pStyle w:val="Tabla9"/>
              <w:jc w:val="left"/>
            </w:pPr>
            <w:r>
              <w:t xml:space="preserve">4.382,9</w:t>
            </w:r>
          </w:p>
        </w:tc>
      </w:tr>
      <w:tr>
        <w:trPr>
          <w:cantSplit/>
        </w:trPr>
        <w:tc>
          <w:tcPr/>
          <w:p>
            <w:pPr>
              <w:pStyle w:val="Tabla9"/>
              <w:jc w:val="left"/>
            </w:pPr>
            <w:r>
              <w:t xml:space="preserve">Equipos y software</w:t>
            </w:r>
          </w:p>
        </w:tc>
        <w:tc>
          <w:tcPr/>
          <w:p>
            <w:pPr>
              <w:pStyle w:val="Tabla9"/>
              <w:jc w:val="left"/>
            </w:pPr>
            <w:r>
              <w:t xml:space="preserve">909,8</w:t>
            </w:r>
          </w:p>
        </w:tc>
        <w:tc>
          <w:tcPr/>
          <w:p>
            <w:pPr>
              <w:pStyle w:val="Tabla9"/>
              <w:jc w:val="left"/>
            </w:pPr>
            <w:r>
              <w:t xml:space="preserve">93,9</w:t>
            </w:r>
          </w:p>
        </w:tc>
        <w:tc>
          <w:tcPr/>
          <w:p>
            <w:pPr>
              <w:pStyle w:val="Tabla9"/>
              <w:jc w:val="left"/>
            </w:pPr>
            <w:r>
              <w:t xml:space="preserve">787,9</w:t>
            </w:r>
          </w:p>
        </w:tc>
        <w:tc>
          <w:tcPr/>
          <w:p>
            <w:pPr>
              <w:pStyle w:val="Tabla9"/>
              <w:jc w:val="left"/>
            </w:pPr>
            <w:r>
              <w:t xml:space="preserve">93,9</w:t>
            </w:r>
          </w:p>
        </w:tc>
        <w:tc>
          <w:tcPr/>
          <w:p>
            <w:pPr>
              <w:pStyle w:val="Tabla9"/>
              <w:jc w:val="left"/>
            </w:pPr>
            <w:r>
              <w:t xml:space="preserve">1.885,6</w:t>
            </w:r>
          </w:p>
        </w:tc>
      </w:tr>
      <w:tr>
        <w:trPr>
          <w:cantSplit/>
        </w:trPr>
        <w:tc>
          <w:tcPr/>
          <w:p>
            <w:pPr>
              <w:pStyle w:val="Tabla9"/>
              <w:jc w:val="left"/>
            </w:pPr>
            <w:r>
              <w:t xml:space="preserve">Materiales e insumos</w:t>
            </w:r>
          </w:p>
        </w:tc>
        <w:tc>
          <w:tcPr/>
          <w:p>
            <w:pPr>
              <w:pStyle w:val="Tabla9"/>
              <w:jc w:val="left"/>
            </w:pPr>
            <w:r>
              <w:t xml:space="preserve">51,8</w:t>
            </w:r>
          </w:p>
        </w:tc>
        <w:tc>
          <w:tcPr/>
          <w:p>
            <w:pPr>
              <w:pStyle w:val="Tabla9"/>
              <w:jc w:val="left"/>
            </w:pPr>
            <w:r>
              <w:t xml:space="preserve">63,7</w:t>
            </w:r>
          </w:p>
        </w:tc>
        <w:tc>
          <w:tcPr/>
          <w:p>
            <w:pPr>
              <w:pStyle w:val="Tabla9"/>
              <w:jc w:val="left"/>
            </w:pPr>
            <w:r>
              <w:t xml:space="preserve">63,7</w:t>
            </w:r>
          </w:p>
        </w:tc>
        <w:tc>
          <w:tcPr/>
          <w:p>
            <w:pPr>
              <w:pStyle w:val="Tabla9"/>
              <w:jc w:val="left"/>
            </w:pPr>
            <w:r>
              <w:t xml:space="preserve">63,7</w:t>
            </w:r>
          </w:p>
        </w:tc>
        <w:tc>
          <w:tcPr/>
          <w:p>
            <w:pPr>
              <w:pStyle w:val="Tabla9"/>
              <w:jc w:val="left"/>
            </w:pPr>
            <w:r>
              <w:t xml:space="preserve">242,9</w:t>
            </w:r>
          </w:p>
        </w:tc>
      </w:tr>
      <w:tr>
        <w:trPr>
          <w:cantSplit/>
        </w:trPr>
        <w:tc>
          <w:tcPr/>
          <w:p>
            <w:pPr>
              <w:pStyle w:val="Tabla9"/>
              <w:jc w:val="left"/>
            </w:pPr>
            <w:r>
              <w:t xml:space="preserve">Servicios técnicos</w:t>
            </w:r>
          </w:p>
        </w:tc>
        <w:tc>
          <w:tcPr/>
          <w:p>
            <w:pPr>
              <w:pStyle w:val="Tabla9"/>
              <w:jc w:val="left"/>
            </w:pPr>
            <w:r>
              <w:t xml:space="preserve">155,1</w:t>
            </w:r>
          </w:p>
        </w:tc>
        <w:tc>
          <w:tcPr/>
          <w:p>
            <w:pPr>
              <w:pStyle w:val="Tabla9"/>
              <w:jc w:val="left"/>
            </w:pPr>
            <w:r>
              <w:t xml:space="preserve">177,2</w:t>
            </w:r>
          </w:p>
        </w:tc>
        <w:tc>
          <w:tcPr/>
          <w:p>
            <w:pPr>
              <w:pStyle w:val="Tabla9"/>
              <w:jc w:val="left"/>
            </w:pPr>
            <w:r>
              <w:t xml:space="preserve">225,2</w:t>
            </w:r>
          </w:p>
        </w:tc>
        <w:tc>
          <w:tcPr/>
          <w:p>
            <w:pPr>
              <w:pStyle w:val="Tabla9"/>
              <w:jc w:val="left"/>
            </w:pPr>
            <w:r>
              <w:t xml:space="preserve">288,5</w:t>
            </w:r>
          </w:p>
        </w:tc>
        <w:tc>
          <w:tcPr/>
          <w:p>
            <w:pPr>
              <w:pStyle w:val="Tabla9"/>
              <w:jc w:val="left"/>
            </w:pPr>
            <w:r>
              <w:t xml:space="preserve">846,0</w:t>
            </w:r>
          </w:p>
        </w:tc>
      </w:tr>
      <w:tr>
        <w:trPr>
          <w:cantSplit/>
        </w:trPr>
        <w:tc>
          <w:tcPr/>
          <w:p>
            <w:pPr>
              <w:pStyle w:val="Tabla9"/>
              <w:jc w:val="left"/>
            </w:pPr>
            <w:r>
              <w:t xml:space="preserve">Viajes y viáticos</w:t>
            </w:r>
          </w:p>
        </w:tc>
        <w:tc>
          <w:tcPr/>
          <w:p>
            <w:pPr>
              <w:pStyle w:val="Tabla9"/>
              <w:jc w:val="left"/>
            </w:pPr>
            <w:r>
              <w:t xml:space="preserve">47,1</w:t>
            </w:r>
          </w:p>
        </w:tc>
        <w:tc>
          <w:tcPr/>
          <w:p>
            <w:pPr>
              <w:pStyle w:val="Tabla9"/>
              <w:jc w:val="left"/>
            </w:pPr>
            <w:r>
              <w:t xml:space="preserve">48,5</w:t>
            </w:r>
          </w:p>
        </w:tc>
        <w:tc>
          <w:tcPr/>
          <w:p>
            <w:pPr>
              <w:pStyle w:val="Tabla9"/>
              <w:jc w:val="left"/>
            </w:pPr>
            <w:r>
              <w:t xml:space="preserve">53,9</w:t>
            </w:r>
          </w:p>
        </w:tc>
        <w:tc>
          <w:tcPr/>
          <w:p>
            <w:pPr>
              <w:pStyle w:val="Tabla9"/>
              <w:jc w:val="left"/>
            </w:pPr>
            <w:r>
              <w:t xml:space="preserve">55,0</w:t>
            </w:r>
          </w:p>
        </w:tc>
        <w:tc>
          <w:tcPr/>
          <w:p>
            <w:pPr>
              <w:pStyle w:val="Tabla9"/>
              <w:jc w:val="left"/>
            </w:pPr>
            <w:r>
              <w:t xml:space="preserve">204,5</w:t>
            </w:r>
          </w:p>
        </w:tc>
      </w:tr>
      <w:tr>
        <w:trPr>
          <w:cantSplit/>
        </w:trPr>
        <w:tc>
          <w:tcPr/>
          <w:p>
            <w:pPr>
              <w:pStyle w:val="Tabla9"/>
              <w:jc w:val="left"/>
            </w:pPr>
            <w:r>
              <w:t xml:space="preserve">Otros rubros</w:t>
            </w:r>
          </w:p>
        </w:tc>
        <w:tc>
          <w:tcPr/>
          <w:p>
            <w:pPr>
              <w:pStyle w:val="Tabla9"/>
              <w:jc w:val="left"/>
            </w:pPr>
            <w:r>
              <w:t xml:space="preserve">103,4</w:t>
            </w:r>
          </w:p>
        </w:tc>
        <w:tc>
          <w:tcPr/>
          <w:p>
            <w:pPr>
              <w:pStyle w:val="Tabla9"/>
              <w:jc w:val="left"/>
            </w:pPr>
            <w:r>
              <w:t xml:space="preserve">130,7</w:t>
            </w:r>
          </w:p>
        </w:tc>
        <w:tc>
          <w:tcPr/>
          <w:p>
            <w:pPr>
              <w:pStyle w:val="Tabla9"/>
              <w:jc w:val="left"/>
            </w:pPr>
            <w:r>
              <w:t xml:space="preserve">147,8</w:t>
            </w:r>
          </w:p>
        </w:tc>
        <w:tc>
          <w:tcPr/>
          <w:p>
            <w:pPr>
              <w:pStyle w:val="Tabla9"/>
              <w:jc w:val="left"/>
            </w:pPr>
            <w:r>
              <w:t xml:space="preserve">150,1</w:t>
            </w:r>
          </w:p>
        </w:tc>
        <w:tc>
          <w:tcPr/>
          <w:p>
            <w:pPr>
              <w:pStyle w:val="Tabla9"/>
              <w:jc w:val="left"/>
            </w:pPr>
            <w:r>
              <w:t xml:space="preserve">532,0</w:t>
            </w:r>
          </w:p>
        </w:tc>
      </w:tr>
      <w:tr>
        <w:trPr>
          <w:cantSplit/>
        </w:trPr>
        <w:tc>
          <w:tcPr/>
          <w:p>
            <w:pPr>
              <w:pStyle w:val="Tabla9"/>
              <w:jc w:val="left"/>
            </w:pPr>
            <w:r>
              <w:t xml:space="preserve">Reserva de contingencia</w:t>
            </w:r>
          </w:p>
        </w:tc>
        <w:tc>
          <w:tcPr/>
          <w:p>
            <w:pPr>
              <w:pStyle w:val="Tabla9"/>
              <w:jc w:val="left"/>
            </w:pPr>
            <w:r>
              <w:t xml:space="preserve">159,0</w:t>
            </w:r>
          </w:p>
        </w:tc>
        <w:tc>
          <w:tcPr/>
          <w:p>
            <w:pPr>
              <w:pStyle w:val="Tabla9"/>
              <w:jc w:val="left"/>
            </w:pPr>
            <w:r>
              <w:t xml:space="preserve">159,0</w:t>
            </w:r>
          </w:p>
        </w:tc>
        <w:tc>
          <w:tcPr/>
          <w:p>
            <w:pPr>
              <w:pStyle w:val="Tabla9"/>
              <w:jc w:val="left"/>
            </w:pPr>
            <w:r>
              <w:t xml:space="preserve">159,0</w:t>
            </w:r>
          </w:p>
        </w:tc>
        <w:tc>
          <w:tcPr/>
          <w:p>
            <w:pPr>
              <w:pStyle w:val="Tabla9"/>
              <w:jc w:val="left"/>
            </w:pPr>
            <w:r>
              <w:t xml:space="preserve">159,0</w:t>
            </w:r>
          </w:p>
        </w:tc>
        <w:tc>
          <w:tcPr/>
          <w:p>
            <w:pPr>
              <w:pStyle w:val="Tabla9"/>
              <w:jc w:val="left"/>
            </w:pPr>
            <w:r>
              <w:t xml:space="preserve">636,0</w:t>
            </w:r>
          </w:p>
        </w:tc>
      </w:tr>
      <w:tr>
        <w:trPr>
          <w:cantSplit/>
        </w:trPr>
        <w:tc>
          <w:tcPr/>
          <w:p>
            <w:pPr>
              <w:pStyle w:val="Tabla9"/>
              <w:jc w:val="left"/>
            </w:pPr>
            <w:r>
              <w:t xml:space="preserve">Total SGR</w:t>
            </w:r>
          </w:p>
        </w:tc>
        <w:tc>
          <w:tcPr/>
          <w:p>
            <w:pPr>
              <w:pStyle w:val="Tabla9"/>
              <w:jc w:val="left"/>
            </w:pPr>
            <w:r>
              <w:t xml:space="preserve">2.557,9</w:t>
            </w:r>
          </w:p>
        </w:tc>
        <w:tc>
          <w:tcPr/>
          <w:p>
            <w:pPr>
              <w:pStyle w:val="Tabla9"/>
              <w:jc w:val="left"/>
            </w:pPr>
            <w:r>
              <w:t xml:space="preserve">1.804,7</w:t>
            </w:r>
          </w:p>
        </w:tc>
        <w:tc>
          <w:tcPr/>
          <w:p>
            <w:pPr>
              <w:pStyle w:val="Tabla9"/>
              <w:jc w:val="left"/>
            </w:pPr>
            <w:r>
              <w:t xml:space="preserve">2.497,2</w:t>
            </w:r>
          </w:p>
        </w:tc>
        <w:tc>
          <w:tcPr/>
          <w:p>
            <w:pPr>
              <w:pStyle w:val="Tabla9"/>
              <w:jc w:val="left"/>
            </w:pPr>
            <w:r>
              <w:t xml:space="preserve">1.869,9</w:t>
            </w:r>
          </w:p>
        </w:tc>
        <w:tc>
          <w:tcPr/>
          <w:p>
            <w:pPr>
              <w:pStyle w:val="Tabla9"/>
              <w:jc w:val="left"/>
            </w:pPr>
            <w:r>
              <w:t xml:space="preserve">8.729,8</w:t>
            </w:r>
          </w:p>
        </w:tc>
      </w:tr>
    </w:tbl>
    <w:p>
      <w:pPr>
        <w:pStyle w:val="TablaNota"/>
      </w:pPr>
      <w:r>
        <w:rPr>
          <w:i/>
          <w:iCs/>
        </w:rPr>
        <w:t xml:space="preserve">Nota.</w:t>
      </w:r>
      <w:r>
        <w:t xml:space="preserve"> </w:t>
      </w:r>
      <w:r>
        <w:t xml:space="preserve">Elaboración propia con datos de maestro.py (spread y flujo de equipos por tramo). Las compras de nodos, cabezales y gateways se asignan a los meses 5, 13 y 18. Los totales por semestre son 2.557,9; 1.804,7; 2.497,2 y 1.869,9 millones de COP. Naturaleza: CALCULADO. Decimales con coma.</w:t>
      </w:r>
    </w:p>
    <w:p>
      <w:pPr>
        <w:pStyle w:val="TablaRotulo"/>
      </w:pPr>
      <w:bookmarkStart w:id="9399" w:name="rot_Tabla_20_9"/>
      <w:r>
        <w:rPr>
          <w:b/>
          <w:bCs/>
        </w:rPr>
        <w:t xml:space="preserve">Tabla 20.9</w:t>
      </w:r>
      <w:bookmarkEnd w:id="9399"/>
    </w:p>
    <w:p>
      <w:pPr>
        <w:pStyle w:val="TablaTitulo"/>
      </w:pPr>
      <w:r>
        <w:rPr>
          <w:i/>
          <w:iCs/>
        </w:rPr>
        <w:t xml:space="preserve">Valor solicitado al SGR por paquete de trabajo y rubro, en millones de COP</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60"/>
        <w:gridCol w:w="990"/>
        <w:gridCol w:w="858"/>
        <w:gridCol w:w="1188"/>
        <w:gridCol w:w="1056"/>
        <w:gridCol w:w="792"/>
        <w:gridCol w:w="660"/>
        <w:gridCol w:w="858"/>
        <w:gridCol w:w="858"/>
      </w:tblGrid>
      <w:tr>
        <w:trPr>
          <w:cantSplit/>
          <w:tblHeader/>
        </w:trPr>
        <w:tc>
          <w:tcPr>
            <w:shd w:val="clear" w:color="auto" w:fill="00B050"/>
          </w:tcPr>
          <w:p>
            <w:pPr>
              <w:pStyle w:val="Tabla8"/>
              <w:jc w:val="center"/>
            </w:pPr>
            <w:r>
              <w:rPr>
                <w:b/>
                <w:color w:val="FFFFFF"/>
              </w:rPr>
              <w:t xml:space="preserve">WP</w:t>
            </w:r>
          </w:p>
        </w:tc>
        <w:tc>
          <w:tcPr>
            <w:shd w:val="clear" w:color="auto" w:fill="00B050"/>
          </w:tcPr>
          <w:p>
            <w:pPr>
              <w:pStyle w:val="Tabla8"/>
              <w:jc w:val="center"/>
            </w:pPr>
            <w:r>
              <w:rPr>
                <w:b/>
                <w:color w:val="FFFFFF"/>
              </w:rPr>
              <w:t xml:space="preserve">Personal</w:t>
            </w:r>
          </w:p>
        </w:tc>
        <w:tc>
          <w:tcPr>
            <w:shd w:val="clear" w:color="auto" w:fill="00B050"/>
          </w:tcPr>
          <w:p>
            <w:pPr>
              <w:pStyle w:val="Tabla8"/>
              <w:jc w:val="center"/>
            </w:pPr>
            <w:r>
              <w:rPr>
                <w:b/>
                <w:color w:val="FFFFFF"/>
              </w:rPr>
              <w:t xml:space="preserve">Equipos</w:t>
            </w:r>
          </w:p>
        </w:tc>
        <w:tc>
          <w:tcPr>
            <w:shd w:val="clear" w:color="auto" w:fill="00B050"/>
          </w:tcPr>
          <w:p>
            <w:pPr>
              <w:pStyle w:val="Tabla8"/>
              <w:jc w:val="center"/>
            </w:pPr>
            <w:r>
              <w:rPr>
                <w:b/>
                <w:color w:val="FFFFFF"/>
              </w:rPr>
              <w:t xml:space="preserve">Materiales</w:t>
            </w:r>
          </w:p>
        </w:tc>
        <w:tc>
          <w:tcPr>
            <w:shd w:val="clear" w:color="auto" w:fill="00B050"/>
          </w:tcPr>
          <w:p>
            <w:pPr>
              <w:pStyle w:val="Tabla8"/>
              <w:jc w:val="center"/>
            </w:pPr>
            <w:r>
              <w:rPr>
                <w:b/>
                <w:color w:val="FFFFFF"/>
              </w:rPr>
              <w:t xml:space="preserve">Servicios</w:t>
            </w:r>
          </w:p>
        </w:tc>
        <w:tc>
          <w:tcPr>
            <w:shd w:val="clear" w:color="auto" w:fill="00B050"/>
          </w:tcPr>
          <w:p>
            <w:pPr>
              <w:pStyle w:val="Tabla8"/>
              <w:jc w:val="center"/>
            </w:pPr>
            <w:r>
              <w:rPr>
                <w:b/>
                <w:color w:val="FFFFFF"/>
              </w:rPr>
              <w:t xml:space="preserve">Viajes</w:t>
            </w:r>
          </w:p>
        </w:tc>
        <w:tc>
          <w:tcPr>
            <w:shd w:val="clear" w:color="auto" w:fill="00B050"/>
          </w:tcPr>
          <w:p>
            <w:pPr>
              <w:pStyle w:val="Tabla8"/>
              <w:jc w:val="center"/>
            </w:pPr>
            <w:r>
              <w:rPr>
                <w:b/>
                <w:color w:val="FFFFFF"/>
              </w:rPr>
              <w:t xml:space="preserve">Otros</w:t>
            </w:r>
          </w:p>
        </w:tc>
        <w:tc>
          <w:tcPr>
            <w:shd w:val="clear" w:color="auto" w:fill="00B050"/>
          </w:tcPr>
          <w:p>
            <w:pPr>
              <w:pStyle w:val="Tabla8"/>
              <w:jc w:val="center"/>
            </w:pPr>
            <w:r>
              <w:rPr>
                <w:b/>
                <w:color w:val="FFFFFF"/>
              </w:rPr>
              <w:t xml:space="preserve">Reserva</w:t>
            </w:r>
          </w:p>
        </w:tc>
        <w:tc>
          <w:tcPr>
            <w:shd w:val="clear" w:color="auto" w:fill="00B050"/>
          </w:tcPr>
          <w:p>
            <w:pPr>
              <w:pStyle w:val="Tabla8"/>
              <w:jc w:val="center"/>
            </w:pPr>
            <w:r>
              <w:rPr>
                <w:b/>
                <w:color w:val="FFFFFF"/>
              </w:rPr>
              <w:t xml:space="preserve">Total</w:t>
            </w:r>
          </w:p>
        </w:tc>
      </w:tr>
      <w:tr>
        <w:trPr>
          <w:cantSplit/>
        </w:trPr>
        <w:tc>
          <w:tcPr/>
          <w:p>
            <w:pPr>
              <w:pStyle w:val="Tabla8"/>
              <w:jc w:val="left"/>
            </w:pPr>
            <w:r>
              <w:t xml:space="preserve">WP0</w:t>
            </w:r>
          </w:p>
        </w:tc>
        <w:tc>
          <w:tcPr/>
          <w:p>
            <w:pPr>
              <w:pStyle w:val="Tabla8"/>
              <w:jc w:val="left"/>
            </w:pPr>
            <w:r>
              <w:t xml:space="preserve">240,0</w:t>
            </w:r>
          </w:p>
        </w:tc>
        <w:tc>
          <w:tcPr/>
          <w:p>
            <w:pPr>
              <w:pStyle w:val="Tabla8"/>
              <w:jc w:val="left"/>
            </w:pPr>
            <w:r>
              <w:t xml:space="preserve">0,0</w:t>
            </w:r>
          </w:p>
        </w:tc>
        <w:tc>
          <w:tcPr/>
          <w:p>
            <w:pPr>
              <w:pStyle w:val="Tabla8"/>
              <w:jc w:val="left"/>
            </w:pPr>
            <w:r>
              <w:t xml:space="preserve">0,0</w:t>
            </w:r>
          </w:p>
        </w:tc>
        <w:tc>
          <w:tcPr/>
          <w:p>
            <w:pPr>
              <w:pStyle w:val="Tabla8"/>
              <w:jc w:val="left"/>
            </w:pPr>
            <w:r>
              <w:t xml:space="preserve">200,0</w:t>
            </w:r>
          </w:p>
        </w:tc>
        <w:tc>
          <w:tcPr/>
          <w:p>
            <w:pPr>
              <w:pStyle w:val="Tabla8"/>
              <w:jc w:val="left"/>
            </w:pPr>
            <w:r>
              <w:t xml:space="preserve">0,0</w:t>
            </w:r>
          </w:p>
        </w:tc>
        <w:tc>
          <w:tcPr/>
          <w:p>
            <w:pPr>
              <w:pStyle w:val="Tabla8"/>
              <w:jc w:val="left"/>
            </w:pPr>
            <w:r>
              <w:t xml:space="preserve">360,0</w:t>
            </w:r>
          </w:p>
        </w:tc>
        <w:tc>
          <w:tcPr/>
          <w:p>
            <w:pPr>
              <w:pStyle w:val="Tabla8"/>
              <w:jc w:val="left"/>
            </w:pPr>
            <w:r>
              <w:t xml:space="preserve">636,0</w:t>
            </w:r>
          </w:p>
        </w:tc>
        <w:tc>
          <w:tcPr/>
          <w:p>
            <w:pPr>
              <w:pStyle w:val="Tabla8"/>
              <w:jc w:val="left"/>
            </w:pPr>
            <w:r>
              <w:t xml:space="preserve">1.436,0</w:t>
            </w:r>
          </w:p>
        </w:tc>
      </w:tr>
      <w:tr>
        <w:trPr>
          <w:cantSplit/>
        </w:trPr>
        <w:tc>
          <w:tcPr/>
          <w:p>
            <w:pPr>
              <w:pStyle w:val="Tabla8"/>
              <w:jc w:val="left"/>
            </w:pPr>
            <w:r>
              <w:t xml:space="preserve">WP1</w:t>
            </w:r>
          </w:p>
        </w:tc>
        <w:tc>
          <w:tcPr/>
          <w:p>
            <w:pPr>
              <w:pStyle w:val="Tabla8"/>
              <w:jc w:val="left"/>
            </w:pPr>
            <w:r>
              <w:t xml:space="preserve">1.046,9</w:t>
            </w:r>
          </w:p>
        </w:tc>
        <w:tc>
          <w:tcPr/>
          <w:p>
            <w:pPr>
              <w:pStyle w:val="Tabla8"/>
              <w:jc w:val="left"/>
            </w:pPr>
            <w:r>
              <w:t xml:space="preserve">455,0</w:t>
            </w:r>
          </w:p>
        </w:tc>
        <w:tc>
          <w:tcPr/>
          <w:p>
            <w:pPr>
              <w:pStyle w:val="Tabla8"/>
              <w:jc w:val="left"/>
            </w:pPr>
            <w:r>
              <w:t xml:space="preserve">56,4</w:t>
            </w:r>
          </w:p>
        </w:tc>
        <w:tc>
          <w:tcPr/>
          <w:p>
            <w:pPr>
              <w:pStyle w:val="Tabla8"/>
              <w:jc w:val="left"/>
            </w:pPr>
            <w:r>
              <w:t xml:space="preserve">174,0</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c>
          <w:tcPr/>
          <w:p>
            <w:pPr>
              <w:pStyle w:val="Tabla8"/>
              <w:jc w:val="left"/>
            </w:pPr>
            <w:r>
              <w:t xml:space="preserve">1.732,3</w:t>
            </w:r>
          </w:p>
        </w:tc>
      </w:tr>
      <w:tr>
        <w:trPr>
          <w:cantSplit/>
        </w:trPr>
        <w:tc>
          <w:tcPr/>
          <w:p>
            <w:pPr>
              <w:pStyle w:val="Tabla8"/>
              <w:jc w:val="left"/>
            </w:pPr>
            <w:r>
              <w:t xml:space="preserve">WP2</w:t>
            </w:r>
          </w:p>
        </w:tc>
        <w:tc>
          <w:tcPr/>
          <w:p>
            <w:pPr>
              <w:pStyle w:val="Tabla8"/>
              <w:jc w:val="left"/>
            </w:pPr>
            <w:r>
              <w:t xml:space="preserve">2.208,0</w:t>
            </w:r>
          </w:p>
        </w:tc>
        <w:tc>
          <w:tcPr/>
          <w:p>
            <w:pPr>
              <w:pStyle w:val="Tabla8"/>
              <w:jc w:val="left"/>
            </w:pPr>
            <w:r>
              <w:t xml:space="preserve">1.430,6</w:t>
            </w:r>
          </w:p>
        </w:tc>
        <w:tc>
          <w:tcPr/>
          <w:p>
            <w:pPr>
              <w:pStyle w:val="Tabla8"/>
              <w:jc w:val="left"/>
            </w:pPr>
            <w:r>
              <w:t xml:space="preserve">102,0</w:t>
            </w:r>
          </w:p>
        </w:tc>
        <w:tc>
          <w:tcPr/>
          <w:p>
            <w:pPr>
              <w:pStyle w:val="Tabla8"/>
              <w:jc w:val="left"/>
            </w:pPr>
            <w:r>
              <w:t xml:space="preserve">277,0</w:t>
            </w:r>
          </w:p>
        </w:tc>
        <w:tc>
          <w:tcPr/>
          <w:p>
            <w:pPr>
              <w:pStyle w:val="Tabla8"/>
              <w:jc w:val="left"/>
            </w:pPr>
            <w:r>
              <w:t xml:space="preserve">162,5</w:t>
            </w:r>
          </w:p>
        </w:tc>
        <w:tc>
          <w:tcPr/>
          <w:p>
            <w:pPr>
              <w:pStyle w:val="Tabla8"/>
              <w:jc w:val="left"/>
            </w:pPr>
            <w:r>
              <w:t xml:space="preserve">0,0</w:t>
            </w:r>
          </w:p>
        </w:tc>
        <w:tc>
          <w:tcPr/>
          <w:p>
            <w:pPr>
              <w:pStyle w:val="Tabla8"/>
              <w:jc w:val="left"/>
            </w:pPr>
            <w:r>
              <w:t xml:space="preserve">0,0</w:t>
            </w:r>
          </w:p>
        </w:tc>
        <w:tc>
          <w:tcPr/>
          <w:p>
            <w:pPr>
              <w:pStyle w:val="Tabla8"/>
              <w:jc w:val="left"/>
            </w:pPr>
            <w:r>
              <w:t xml:space="preserve">4.180,1</w:t>
            </w:r>
          </w:p>
        </w:tc>
      </w:tr>
      <w:tr>
        <w:trPr>
          <w:cantSplit/>
        </w:trPr>
        <w:tc>
          <w:tcPr/>
          <w:p>
            <w:pPr>
              <w:pStyle w:val="Tabla8"/>
              <w:jc w:val="left"/>
            </w:pPr>
            <w:r>
              <w:t xml:space="preserve">WP3</w:t>
            </w:r>
          </w:p>
        </w:tc>
        <w:tc>
          <w:tcPr/>
          <w:p>
            <w:pPr>
              <w:pStyle w:val="Tabla8"/>
              <w:jc w:val="left"/>
            </w:pPr>
            <w:r>
              <w:t xml:space="preserve">888,0</w:t>
            </w:r>
          </w:p>
        </w:tc>
        <w:tc>
          <w:tcPr/>
          <w:p>
            <w:pPr>
              <w:pStyle w:val="Tabla8"/>
              <w:jc w:val="left"/>
            </w:pPr>
            <w:r>
              <w:t xml:space="preserve">0,0</w:t>
            </w:r>
          </w:p>
        </w:tc>
        <w:tc>
          <w:tcPr/>
          <w:p>
            <w:pPr>
              <w:pStyle w:val="Tabla8"/>
              <w:jc w:val="left"/>
            </w:pPr>
            <w:r>
              <w:t xml:space="preserve">84,5</w:t>
            </w:r>
          </w:p>
        </w:tc>
        <w:tc>
          <w:tcPr/>
          <w:p>
            <w:pPr>
              <w:pStyle w:val="Tabla8"/>
              <w:jc w:val="left"/>
            </w:pPr>
            <w:r>
              <w:t xml:space="preserve">195,0</w:t>
            </w:r>
          </w:p>
        </w:tc>
        <w:tc>
          <w:tcPr/>
          <w:p>
            <w:pPr>
              <w:pStyle w:val="Tabla8"/>
              <w:jc w:val="left"/>
            </w:pPr>
            <w:r>
              <w:t xml:space="preserve">42,0</w:t>
            </w:r>
          </w:p>
        </w:tc>
        <w:tc>
          <w:tcPr/>
          <w:p>
            <w:pPr>
              <w:pStyle w:val="Tabla8"/>
              <w:jc w:val="left"/>
            </w:pPr>
            <w:r>
              <w:t xml:space="preserve">172,0</w:t>
            </w:r>
          </w:p>
        </w:tc>
        <w:tc>
          <w:tcPr/>
          <w:p>
            <w:pPr>
              <w:pStyle w:val="Tabla8"/>
              <w:jc w:val="left"/>
            </w:pPr>
            <w:r>
              <w:t xml:space="preserve">0,0</w:t>
            </w:r>
          </w:p>
        </w:tc>
        <w:tc>
          <w:tcPr/>
          <w:p>
            <w:pPr>
              <w:pStyle w:val="Tabla8"/>
              <w:jc w:val="left"/>
            </w:pPr>
            <w:r>
              <w:t xml:space="preserve">1.381,5</w:t>
            </w:r>
          </w:p>
        </w:tc>
      </w:tr>
      <w:tr>
        <w:trPr>
          <w:cantSplit/>
        </w:trPr>
        <w:tc>
          <w:tcPr/>
          <w:p>
            <w:pPr>
              <w:pStyle w:val="Tabla8"/>
              <w:jc w:val="left"/>
            </w:pPr>
            <w:r>
              <w:t xml:space="preserve">Total</w:t>
            </w:r>
          </w:p>
        </w:tc>
        <w:tc>
          <w:tcPr/>
          <w:p>
            <w:pPr>
              <w:pStyle w:val="Tabla8"/>
              <w:jc w:val="left"/>
            </w:pPr>
            <w:r>
              <w:t xml:space="preserve">4.382,9</w:t>
            </w:r>
          </w:p>
        </w:tc>
        <w:tc>
          <w:tcPr/>
          <w:p>
            <w:pPr>
              <w:pStyle w:val="Tabla8"/>
              <w:jc w:val="left"/>
            </w:pPr>
            <w:r>
              <w:t xml:space="preserve">1.885,6</w:t>
            </w:r>
          </w:p>
        </w:tc>
        <w:tc>
          <w:tcPr/>
          <w:p>
            <w:pPr>
              <w:pStyle w:val="Tabla8"/>
              <w:jc w:val="left"/>
            </w:pPr>
            <w:r>
              <w:t xml:space="preserve">242,9</w:t>
            </w:r>
          </w:p>
        </w:tc>
        <w:tc>
          <w:tcPr/>
          <w:p>
            <w:pPr>
              <w:pStyle w:val="Tabla8"/>
              <w:jc w:val="left"/>
            </w:pPr>
            <w:r>
              <w:t xml:space="preserve">846,0</w:t>
            </w:r>
          </w:p>
        </w:tc>
        <w:tc>
          <w:tcPr/>
          <w:p>
            <w:pPr>
              <w:pStyle w:val="Tabla8"/>
              <w:jc w:val="left"/>
            </w:pPr>
            <w:r>
              <w:t xml:space="preserve">204,5</w:t>
            </w:r>
          </w:p>
        </w:tc>
        <w:tc>
          <w:tcPr/>
          <w:p>
            <w:pPr>
              <w:pStyle w:val="Tabla8"/>
              <w:jc w:val="left"/>
            </w:pPr>
            <w:r>
              <w:t xml:space="preserve">532,0</w:t>
            </w:r>
          </w:p>
        </w:tc>
        <w:tc>
          <w:tcPr/>
          <w:p>
            <w:pPr>
              <w:pStyle w:val="Tabla8"/>
              <w:jc w:val="left"/>
            </w:pPr>
            <w:r>
              <w:t xml:space="preserve">636,0</w:t>
            </w:r>
          </w:p>
        </w:tc>
        <w:tc>
          <w:tcPr/>
          <w:p>
            <w:pPr>
              <w:pStyle w:val="Tabla8"/>
              <w:jc w:val="left"/>
            </w:pPr>
            <w:r>
              <w:t xml:space="preserve">8.729,8</w:t>
            </w:r>
          </w:p>
        </w:tc>
      </w:tr>
    </w:tbl>
    <w:p>
      <w:pPr>
        <w:pStyle w:val="TablaNota"/>
      </w:pPr>
      <w:r>
        <w:rPr>
          <w:i/>
          <w:iCs/>
        </w:rPr>
        <w:t xml:space="preserve">Nota.</w:t>
      </w:r>
      <w:r>
        <w:t xml:space="preserve"> </w:t>
      </w:r>
      <w:r>
        <w:t xml:space="preserve">Elaboración propia con datos de maestro.py (campo wbs de cada línea). Equipos: equipos y software; Materiales: materiales e insumos; Servicios: servicios técnicos; Viajes: viajes y viáticos; Otros: otros rubros; Reserva: reserva de contingencia. La reserva se asigna a WP0. Naturaleza: CALCULADO. Decimales con coma.</w:t>
      </w:r>
    </w:p>
    <w:p>
      <w:pPr>
        <w:pStyle w:val="BodyText"/>
      </w:pPr>
      <w:r>
        <w:t xml:space="preserve">El formato de la entidad puede exigir códigos presupuestales propios, que la ficha no contiene [DATO_USUARIO: códigos presupuestales del formato de la entidad]. El archivo de hoja de cálculo reúne las 54 líneas del SGR y las seis de contrapartida. Se genera a partir del libro maestro cuando el usuario fije el formato.</w:t>
      </w:r>
    </w:p>
    <w:bookmarkEnd w:id="697"/>
    <w:bookmarkStart w:id="698" w:name="_Toc00900290"/>
    <w:p>
      <w:pPr>
        <w:pStyle w:val="Heading2"/>
      </w:pPr>
      <w:r>
        <w:t xml:space="preserve">Anexo H. Cronograma detallado</w:t>
      </w:r>
    </w:p>
    <w:p>
      <w:pPr>
        <w:pStyle w:val="FirstParagraph"/>
      </w:pPr>
      <w:r>
        <w:t xml:space="preserve">El cronograma detallado asigna cada actividad a los trimestres de ejecución. La Tabla 20.10 cruza las 17 actividades con los ocho trimestres y marca con una X los trimestres en los que cada actividad está en curso. Las semanas son las del cálculo de la ruta crítica del capítulo 9. El archivo de Microsoft Project o de hoja de cálculo se genera desde el libro maestro cuando el usuario fije el formato. El Anexo 2 pide que el número de actividades del cronograma coincida con el de la metodología y la cadena de valor.</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2240" w:h="15840"/>
          <w:pgMar w:top="1417" w:right="1133" w:bottom="1417" w:left="1133" w:header="709" w:footer="709" w:gutter="0"/>
        </w:sectPr>
      </w:pPr>
    </w:p>
    <w:p>
      <w:pPr>
        <w:pStyle w:val="TablaRotulo"/>
      </w:pPr>
      <w:bookmarkStart w:id="9400" w:name="rot_Tabla_20_10"/>
      <w:r>
        <w:rPr>
          <w:b/>
          <w:bCs/>
        </w:rPr>
        <w:t xml:space="preserve">Tabla 20.10</w:t>
      </w:r>
      <w:bookmarkEnd w:id="9400"/>
    </w:p>
    <w:p>
      <w:pPr>
        <w:pStyle w:val="TablaTitulo"/>
      </w:pPr>
      <w:r>
        <w:rPr>
          <w:i/>
          <w:iCs/>
        </w:rPr>
        <w:t xml:space="preserve">Cronograma detallado por actividad y trimestre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70"/>
        <w:gridCol w:w="2217"/>
        <w:gridCol w:w="506"/>
        <w:gridCol w:w="823"/>
        <w:gridCol w:w="760"/>
        <w:gridCol w:w="380"/>
        <w:gridCol w:w="380"/>
        <w:gridCol w:w="380"/>
        <w:gridCol w:w="380"/>
        <w:gridCol w:w="380"/>
        <w:gridCol w:w="380"/>
        <w:gridCol w:w="380"/>
        <w:gridCol w:w="380"/>
      </w:tblGrid>
      <w:tr>
        <w:trPr>
          <w:cantSplit/>
          <w:tblHeader/>
        </w:trPr>
        <w:tc>
          <w:tcPr>
            <w:shd w:val="clear" w:color="auto" w:fill="00B050"/>
          </w:tcPr>
          <w:p>
            <w:pPr>
              <w:pStyle w:val="Tabla7"/>
              <w:jc w:val="center"/>
            </w:pPr>
            <w:r>
              <w:rPr>
                <w:b/>
                <w:color w:val="FFFFFF"/>
              </w:rPr>
              <w:t xml:space="preserve">Id</w:t>
            </w:r>
          </w:p>
        </w:tc>
        <w:tc>
          <w:tcPr>
            <w:shd w:val="clear" w:color="auto" w:fill="00B050"/>
          </w:tcPr>
          <w:p>
            <w:pPr>
              <w:pStyle w:val="Tabla7"/>
              <w:jc w:val="center"/>
            </w:pPr>
            <w:r>
              <w:rPr>
                <w:b/>
                <w:color w:val="FFFFFF"/>
              </w:rPr>
              <w:t xml:space="preserve">Actividad</w:t>
            </w:r>
          </w:p>
        </w:tc>
        <w:tc>
          <w:tcPr>
            <w:shd w:val="clear" w:color="auto" w:fill="00B050"/>
          </w:tcPr>
          <w:p>
            <w:pPr>
              <w:pStyle w:val="Tabla7"/>
              <w:jc w:val="center"/>
            </w:pPr>
            <w:r>
              <w:rPr>
                <w:b/>
                <w:color w:val="FFFFFF"/>
              </w:rPr>
              <w:t xml:space="preserve">WP</w:t>
            </w:r>
          </w:p>
        </w:tc>
        <w:tc>
          <w:tcPr>
            <w:shd w:val="clear" w:color="auto" w:fill="00B050"/>
          </w:tcPr>
          <w:p>
            <w:pPr>
              <w:pStyle w:val="Tabla7"/>
              <w:jc w:val="center"/>
            </w:pPr>
            <w:r>
              <w:rPr>
                <w:b/>
                <w:color w:val="FFFFFF"/>
              </w:rPr>
              <w:t xml:space="preserve">Semana inicial</w:t>
            </w:r>
          </w:p>
        </w:tc>
        <w:tc>
          <w:tcPr>
            <w:shd w:val="clear" w:color="auto" w:fill="00B050"/>
          </w:tcPr>
          <w:p>
            <w:pPr>
              <w:pStyle w:val="Tabla7"/>
              <w:jc w:val="center"/>
            </w:pPr>
            <w:r>
              <w:rPr>
                <w:b/>
                <w:color w:val="FFFFFF"/>
              </w:rPr>
              <w:t xml:space="preserve">Semana final</w:t>
            </w:r>
          </w:p>
        </w:tc>
        <w:tc>
          <w:tcPr>
            <w:shd w:val="clear" w:color="auto" w:fill="00B050"/>
          </w:tcPr>
          <w:p>
            <w:pPr>
              <w:pStyle w:val="Tabla7"/>
              <w:jc w:val="center"/>
            </w:pPr>
            <w:r>
              <w:rPr>
                <w:b/>
                <w:color w:val="FFFFFF"/>
              </w:rPr>
              <w:t xml:space="preserve">T1</w:t>
            </w:r>
          </w:p>
        </w:tc>
        <w:tc>
          <w:tcPr>
            <w:shd w:val="clear" w:color="auto" w:fill="00B050"/>
          </w:tcPr>
          <w:p>
            <w:pPr>
              <w:pStyle w:val="Tabla7"/>
              <w:jc w:val="center"/>
            </w:pPr>
            <w:r>
              <w:rPr>
                <w:b/>
                <w:color w:val="FFFFFF"/>
              </w:rPr>
              <w:t xml:space="preserve">T2</w:t>
            </w:r>
          </w:p>
        </w:tc>
        <w:tc>
          <w:tcPr>
            <w:shd w:val="clear" w:color="auto" w:fill="00B050"/>
          </w:tcPr>
          <w:p>
            <w:pPr>
              <w:pStyle w:val="Tabla7"/>
              <w:jc w:val="center"/>
            </w:pPr>
            <w:r>
              <w:rPr>
                <w:b/>
                <w:color w:val="FFFFFF"/>
              </w:rPr>
              <w:t xml:space="preserve">T3</w:t>
            </w:r>
          </w:p>
        </w:tc>
        <w:tc>
          <w:tcPr>
            <w:shd w:val="clear" w:color="auto" w:fill="00B050"/>
          </w:tcPr>
          <w:p>
            <w:pPr>
              <w:pStyle w:val="Tabla7"/>
              <w:jc w:val="center"/>
            </w:pPr>
            <w:r>
              <w:rPr>
                <w:b/>
                <w:color w:val="FFFFFF"/>
              </w:rPr>
              <w:t xml:space="preserve">T4</w:t>
            </w:r>
          </w:p>
        </w:tc>
        <w:tc>
          <w:tcPr>
            <w:shd w:val="clear" w:color="auto" w:fill="00B050"/>
          </w:tcPr>
          <w:p>
            <w:pPr>
              <w:pStyle w:val="Tabla7"/>
              <w:jc w:val="center"/>
            </w:pPr>
            <w:r>
              <w:rPr>
                <w:b/>
                <w:color w:val="FFFFFF"/>
              </w:rPr>
              <w:t xml:space="preserve">T5</w:t>
            </w:r>
          </w:p>
        </w:tc>
        <w:tc>
          <w:tcPr>
            <w:shd w:val="clear" w:color="auto" w:fill="00B050"/>
          </w:tcPr>
          <w:p>
            <w:pPr>
              <w:pStyle w:val="Tabla7"/>
              <w:jc w:val="center"/>
            </w:pPr>
            <w:r>
              <w:rPr>
                <w:b/>
                <w:color w:val="FFFFFF"/>
              </w:rPr>
              <w:t xml:space="preserve">T6</w:t>
            </w:r>
          </w:p>
        </w:tc>
        <w:tc>
          <w:tcPr>
            <w:shd w:val="clear" w:color="auto" w:fill="00B050"/>
          </w:tcPr>
          <w:p>
            <w:pPr>
              <w:pStyle w:val="Tabla7"/>
              <w:jc w:val="center"/>
            </w:pPr>
            <w:r>
              <w:rPr>
                <w:b/>
                <w:color w:val="FFFFFF"/>
              </w:rPr>
              <w:t xml:space="preserve">T7</w:t>
            </w:r>
          </w:p>
        </w:tc>
        <w:tc>
          <w:tcPr>
            <w:shd w:val="clear" w:color="auto" w:fill="00B050"/>
          </w:tcPr>
          <w:p>
            <w:pPr>
              <w:pStyle w:val="Tabla7"/>
              <w:jc w:val="center"/>
            </w:pPr>
            <w:r>
              <w:rPr>
                <w:b/>
                <w:color w:val="FFFFFF"/>
              </w:rPr>
              <w:t xml:space="preserve">T8</w:t>
            </w:r>
          </w:p>
        </w:tc>
      </w:tr>
      <w:tr>
        <w:trPr>
          <w:cantSplit/>
        </w:trPr>
        <w:tc>
          <w:tcPr/>
          <w:p>
            <w:pPr>
              <w:pStyle w:val="Tabla7"/>
              <w:jc w:val="left"/>
            </w:pPr>
            <w:r>
              <w:t xml:space="preserve">A0.1</w:t>
            </w:r>
          </w:p>
        </w:tc>
        <w:tc>
          <w:tcPr/>
          <w:p>
            <w:pPr>
              <w:pStyle w:val="Tabla7"/>
              <w:jc w:val="left"/>
            </w:pPr>
            <w:r>
              <w:t xml:space="preserve">Contratar equipo y firmar convenios de ejecución</w:t>
            </w:r>
          </w:p>
        </w:tc>
        <w:tc>
          <w:tcPr/>
          <w:p>
            <w:pPr>
              <w:pStyle w:val="Tabla7"/>
              <w:jc w:val="left"/>
            </w:pPr>
            <w:r>
              <w:t xml:space="preserve">WP0</w:t>
            </w:r>
          </w:p>
        </w:tc>
        <w:tc>
          <w:tcPr/>
          <w:p>
            <w:pPr>
              <w:pStyle w:val="Tabla7"/>
              <w:jc w:val="left"/>
            </w:pPr>
            <w:r>
              <w:t xml:space="preserve">0</w:t>
            </w:r>
          </w:p>
        </w:tc>
        <w:tc>
          <w:tcPr/>
          <w:p>
            <w:pPr>
              <w:pStyle w:val="Tabla7"/>
              <w:jc w:val="left"/>
            </w:pPr>
            <w:r>
              <w:t xml:space="preserve">8</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p>
            <w:pPr>
              <w:pStyle w:val="Tabla7"/>
              <w:jc w:val="left"/>
            </w:pPr>
            <w:r>
              <w:t xml:space="preserve">A1.1</w:t>
            </w:r>
          </w:p>
        </w:tc>
        <w:tc>
          <w:tcPr/>
          <w:p>
            <w:pPr>
              <w:pStyle w:val="Tabla7"/>
              <w:jc w:val="left"/>
            </w:pPr>
            <w:r>
              <w:t xml:space="preserve">Seleccionar sitios y diseñar la colocalización</w:t>
            </w:r>
          </w:p>
        </w:tc>
        <w:tc>
          <w:tcPr/>
          <w:p>
            <w:pPr>
              <w:pStyle w:val="Tabla7"/>
              <w:jc w:val="left"/>
            </w:pPr>
            <w:r>
              <w:t xml:space="preserve">WP1</w:t>
            </w:r>
          </w:p>
        </w:tc>
        <w:tc>
          <w:tcPr/>
          <w:p>
            <w:pPr>
              <w:pStyle w:val="Tabla7"/>
              <w:jc w:val="left"/>
            </w:pPr>
            <w:r>
              <w:t xml:space="preserve">8</w:t>
            </w:r>
          </w:p>
        </w:tc>
        <w:tc>
          <w:tcPr/>
          <w:p>
            <w:pPr>
              <w:pStyle w:val="Tabla7"/>
              <w:jc w:val="left"/>
            </w:pPr>
            <w:r>
              <w:t xml:space="preserve">12</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p>
            <w:pPr>
              <w:pStyle w:val="Tabla7"/>
              <w:jc w:val="left"/>
            </w:pPr>
            <w:r>
              <w:t xml:space="preserve">A2.1</w:t>
            </w:r>
          </w:p>
        </w:tc>
        <w:tc>
          <w:tcPr/>
          <w:p>
            <w:pPr>
              <w:pStyle w:val="Tabla7"/>
              <w:jc w:val="left"/>
            </w:pPr>
            <w:r>
              <w:t xml:space="preserve">Diseñar arquitectura de enlace y energía</w:t>
            </w:r>
          </w:p>
        </w:tc>
        <w:tc>
          <w:tcPr/>
          <w:p>
            <w:pPr>
              <w:pStyle w:val="Tabla7"/>
              <w:jc w:val="left"/>
            </w:pPr>
            <w:r>
              <w:t xml:space="preserve">WP2</w:t>
            </w:r>
          </w:p>
        </w:tc>
        <w:tc>
          <w:tcPr/>
          <w:p>
            <w:pPr>
              <w:pStyle w:val="Tabla7"/>
              <w:jc w:val="left"/>
            </w:pPr>
            <w:r>
              <w:t xml:space="preserve">8</w:t>
            </w:r>
          </w:p>
        </w:tc>
        <w:tc>
          <w:tcPr/>
          <w:p>
            <w:pPr>
              <w:pStyle w:val="Tabla7"/>
              <w:jc w:val="left"/>
            </w:pPr>
            <w:r>
              <w:t xml:space="preserve">14</w:t>
            </w: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p>
            <w:pPr>
              <w:pStyle w:val="Tabla7"/>
              <w:jc w:val="left"/>
            </w:pPr>
            <w:r>
              <w:t xml:space="preserve">A3.1</w:t>
            </w:r>
          </w:p>
        </w:tc>
        <w:tc>
          <w:tcPr/>
          <w:p>
            <w:pPr>
              <w:pStyle w:val="Tabla7"/>
              <w:jc w:val="left"/>
            </w:pPr>
            <w:r>
              <w:t xml:space="preserve">Co-diseñar umbrales y protocolo de alerta con comités</w:t>
            </w:r>
          </w:p>
        </w:tc>
        <w:tc>
          <w:tcPr/>
          <w:p>
            <w:pPr>
              <w:pStyle w:val="Tabla7"/>
              <w:jc w:val="left"/>
            </w:pPr>
            <w:r>
              <w:t xml:space="preserve">WP3</w:t>
            </w:r>
          </w:p>
        </w:tc>
        <w:tc>
          <w:tcPr/>
          <w:p>
            <w:pPr>
              <w:pStyle w:val="Tabla7"/>
              <w:jc w:val="left"/>
            </w:pPr>
            <w:r>
              <w:t xml:space="preserve">12</w:t>
            </w:r>
          </w:p>
        </w:tc>
        <w:tc>
          <w:tcPr/>
          <w:p>
            <w:pPr>
              <w:pStyle w:val="Tabla7"/>
              <w:jc w:val="left"/>
            </w:pPr>
            <w:r>
              <w:t xml:space="preserve">36</w:t>
            </w:r>
          </w:p>
        </w:tc>
        <w:tc>
          <w:tcPr/>
          <w:p>
            <w:pPr>
              <w:pStyle w:val="Tabla7"/>
              <w:jc w:val="left"/>
            </w:pPr>
            <w:r>
              <w:t xml:space="preserve">X</w:t>
            </w: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p>
            <w:pPr>
              <w:pStyle w:val="Tabla7"/>
              <w:jc w:val="left"/>
            </w:pPr>
            <w:r>
              <w:t xml:space="preserve">A1.2</w:t>
            </w:r>
          </w:p>
        </w:tc>
        <w:tc>
          <w:tcPr/>
          <w:p>
            <w:pPr>
              <w:pStyle w:val="Tabla7"/>
              <w:jc w:val="left"/>
            </w:pPr>
            <w:r>
              <w:t xml:space="preserve">Adquirir y caracterizar lote 1 de nodos y referencias</w:t>
            </w:r>
          </w:p>
        </w:tc>
        <w:tc>
          <w:tcPr/>
          <w:p>
            <w:pPr>
              <w:pStyle w:val="Tabla7"/>
              <w:jc w:val="left"/>
            </w:pPr>
            <w:r>
              <w:t xml:space="preserve">WP1</w:t>
            </w:r>
          </w:p>
        </w:tc>
        <w:tc>
          <w:tcPr/>
          <w:p>
            <w:pPr>
              <w:pStyle w:val="Tabla7"/>
              <w:jc w:val="left"/>
            </w:pPr>
            <w:r>
              <w:t xml:space="preserve">14</w:t>
            </w:r>
          </w:p>
        </w:tc>
        <w:tc>
          <w:tcPr/>
          <w:p>
            <w:pPr>
              <w:pStyle w:val="Tabla7"/>
              <w:jc w:val="left"/>
            </w:pPr>
            <w:r>
              <w:t xml:space="preserve">24</w:t>
            </w: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p>
            <w:pPr>
              <w:pStyle w:val="Tabla7"/>
              <w:jc w:val="left"/>
            </w:pPr>
            <w:r>
              <w:t xml:space="preserve">A2.2</w:t>
            </w:r>
          </w:p>
        </w:tc>
        <w:tc>
          <w:tcPr/>
          <w:p>
            <w:pPr>
              <w:pStyle w:val="Tabla7"/>
              <w:jc w:val="left"/>
            </w:pPr>
            <w:r>
              <w:t xml:space="preserve">Desarrollar firmware y plataforma base</w:t>
            </w:r>
          </w:p>
        </w:tc>
        <w:tc>
          <w:tcPr/>
          <w:p>
            <w:pPr>
              <w:pStyle w:val="Tabla7"/>
              <w:jc w:val="left"/>
            </w:pPr>
            <w:r>
              <w:t xml:space="preserve">WP2</w:t>
            </w:r>
          </w:p>
        </w:tc>
        <w:tc>
          <w:tcPr/>
          <w:p>
            <w:pPr>
              <w:pStyle w:val="Tabla7"/>
              <w:jc w:val="left"/>
            </w:pPr>
            <w:r>
              <w:t xml:space="preserve">14</w:t>
            </w:r>
          </w:p>
        </w:tc>
        <w:tc>
          <w:tcPr/>
          <w:p>
            <w:pPr>
              <w:pStyle w:val="Tabla7"/>
              <w:jc w:val="left"/>
            </w:pPr>
            <w:r>
              <w:t xml:space="preserve">24</w:t>
            </w: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p>
            <w:pPr>
              <w:pStyle w:val="Tabla7"/>
              <w:jc w:val="left"/>
            </w:pPr>
            <w:r>
              <w:t xml:space="preserve">A1.3</w:t>
            </w:r>
          </w:p>
        </w:tc>
        <w:tc>
          <w:tcPr/>
          <w:p>
            <w:pPr>
              <w:pStyle w:val="Tabla7"/>
              <w:jc w:val="left"/>
            </w:pPr>
            <w:r>
              <w:t xml:space="preserve">Colocalizar y calibrar en el piloto (tramo 1)</w:t>
            </w:r>
          </w:p>
        </w:tc>
        <w:tc>
          <w:tcPr/>
          <w:p>
            <w:pPr>
              <w:pStyle w:val="Tabla7"/>
              <w:jc w:val="left"/>
            </w:pPr>
            <w:r>
              <w:t xml:space="preserve">WP1</w:t>
            </w:r>
          </w:p>
        </w:tc>
        <w:tc>
          <w:tcPr/>
          <w:p>
            <w:pPr>
              <w:pStyle w:val="Tabla7"/>
              <w:jc w:val="left"/>
            </w:pPr>
            <w:r>
              <w:t xml:space="preserve">24</w:t>
            </w:r>
          </w:p>
        </w:tc>
        <w:tc>
          <w:tcPr/>
          <w:p>
            <w:pPr>
              <w:pStyle w:val="Tabla7"/>
              <w:jc w:val="left"/>
            </w:pPr>
            <w:r>
              <w:t xml:space="preserve">40</w:t>
            </w:r>
          </w:p>
        </w:tc>
        <w:tc>
          <w:tcPr/>
          <w:p>
            <w:pPr>
              <w:pStyle w:val="Tabla7"/>
            </w:pPr>
          </w:p>
        </w:tc>
        <w:tc>
          <w:tcPr/>
          <w:p>
            <w:pPr>
              <w:pStyle w:val="Tabla7"/>
              <w:jc w:val="left"/>
            </w:pPr>
            <w:r>
              <w:t xml:space="preserve">X</w:t>
            </w: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r>
      <w:tr>
        <w:trPr>
          <w:cantSplit/>
        </w:trPr>
        <w:tc>
          <w:tcPr/>
          <w:p>
            <w:pPr>
              <w:pStyle w:val="Tabla7"/>
              <w:jc w:val="left"/>
            </w:pPr>
            <w:r>
              <w:t xml:space="preserve">A1.4</w:t>
            </w:r>
          </w:p>
        </w:tc>
        <w:tc>
          <w:tcPr/>
          <w:p>
            <w:pPr>
              <w:pStyle w:val="Tabla7"/>
              <w:jc w:val="left"/>
            </w:pPr>
            <w:r>
              <w:t xml:space="preserve">Entrenar y validar el modelo de corrección</w:t>
            </w:r>
          </w:p>
        </w:tc>
        <w:tc>
          <w:tcPr/>
          <w:p>
            <w:pPr>
              <w:pStyle w:val="Tabla7"/>
              <w:jc w:val="left"/>
            </w:pPr>
            <w:r>
              <w:t xml:space="preserve">WP1</w:t>
            </w:r>
          </w:p>
        </w:tc>
        <w:tc>
          <w:tcPr/>
          <w:p>
            <w:pPr>
              <w:pStyle w:val="Tabla7"/>
              <w:jc w:val="left"/>
            </w:pPr>
            <w:r>
              <w:t xml:space="preserve">40</w:t>
            </w:r>
          </w:p>
        </w:tc>
        <w:tc>
          <w:tcPr/>
          <w:p>
            <w:pPr>
              <w:pStyle w:val="Tabla7"/>
              <w:jc w:val="left"/>
            </w:pPr>
            <w:r>
              <w:t xml:space="preserve">48</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r>
      <w:tr>
        <w:trPr>
          <w:cantSplit/>
        </w:trPr>
        <w:tc>
          <w:tcPr/>
          <w:p>
            <w:pPr>
              <w:pStyle w:val="Tabla7"/>
              <w:jc w:val="left"/>
            </w:pPr>
            <w:r>
              <w:t xml:space="preserve">C1</w:t>
            </w:r>
          </w:p>
        </w:tc>
        <w:tc>
          <w:tcPr/>
          <w:p>
            <w:pPr>
              <w:pStyle w:val="Tabla7"/>
              <w:jc w:val="left"/>
            </w:pPr>
            <w:r>
              <w:t xml:space="preserve">Compuerta C1: decisión de ampliación al tramo 2</w:t>
            </w:r>
          </w:p>
        </w:tc>
        <w:tc>
          <w:tcPr/>
          <w:p>
            <w:pPr>
              <w:pStyle w:val="Tabla7"/>
              <w:jc w:val="left"/>
            </w:pPr>
            <w:r>
              <w:t xml:space="preserve">WP0</w:t>
            </w:r>
          </w:p>
        </w:tc>
        <w:tc>
          <w:tcPr/>
          <w:p>
            <w:pPr>
              <w:pStyle w:val="Tabla7"/>
              <w:jc w:val="left"/>
            </w:pPr>
            <w:r>
              <w:t xml:space="preserve">48</w:t>
            </w:r>
          </w:p>
        </w:tc>
        <w:tc>
          <w:tcPr/>
          <w:p>
            <w:pPr>
              <w:pStyle w:val="Tabla7"/>
              <w:jc w:val="left"/>
            </w:pPr>
            <w:r>
              <w:t xml:space="preserve">50</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r>
      <w:tr>
        <w:trPr>
          <w:cantSplit/>
        </w:trPr>
        <w:tc>
          <w:tcPr/>
          <w:p>
            <w:pPr>
              <w:pStyle w:val="Tabla7"/>
              <w:jc w:val="left"/>
            </w:pPr>
            <w:r>
              <w:t xml:space="preserve">A2.3</w:t>
            </w:r>
          </w:p>
        </w:tc>
        <w:tc>
          <w:tcPr/>
          <w:p>
            <w:pPr>
              <w:pStyle w:val="Tabla7"/>
              <w:jc w:val="left"/>
            </w:pPr>
            <w:r>
              <w:t xml:space="preserve">Instalar tramo 2 (40 nodos, 4 gateways)</w:t>
            </w:r>
          </w:p>
        </w:tc>
        <w:tc>
          <w:tcPr/>
          <w:p>
            <w:pPr>
              <w:pStyle w:val="Tabla7"/>
              <w:jc w:val="left"/>
            </w:pPr>
            <w:r>
              <w:t xml:space="preserve">WP2</w:t>
            </w:r>
          </w:p>
        </w:tc>
        <w:tc>
          <w:tcPr/>
          <w:p>
            <w:pPr>
              <w:pStyle w:val="Tabla7"/>
              <w:jc w:val="left"/>
            </w:pPr>
            <w:r>
              <w:t xml:space="preserve">50</w:t>
            </w:r>
          </w:p>
        </w:tc>
        <w:tc>
          <w:tcPr/>
          <w:p>
            <w:pPr>
              <w:pStyle w:val="Tabla7"/>
              <w:jc w:val="left"/>
            </w:pPr>
            <w:r>
              <w:t xml:space="preserve">62</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r>
      <w:tr>
        <w:trPr>
          <w:cantSplit/>
        </w:trPr>
        <w:tc>
          <w:tcPr/>
          <w:p>
            <w:pPr>
              <w:pStyle w:val="Tabla7"/>
              <w:jc w:val="left"/>
            </w:pPr>
            <w:r>
              <w:t xml:space="preserve">A3.2</w:t>
            </w:r>
          </w:p>
        </w:tc>
        <w:tc>
          <w:tcPr/>
          <w:p>
            <w:pPr>
              <w:pStyle w:val="Tabla7"/>
              <w:jc w:val="left"/>
            </w:pPr>
            <w:r>
              <w:t xml:space="preserve">Poner en uso el tablero con los comités</w:t>
            </w:r>
          </w:p>
        </w:tc>
        <w:tc>
          <w:tcPr/>
          <w:p>
            <w:pPr>
              <w:pStyle w:val="Tabla7"/>
              <w:jc w:val="left"/>
            </w:pPr>
            <w:r>
              <w:t xml:space="preserve">WP3</w:t>
            </w:r>
          </w:p>
        </w:tc>
        <w:tc>
          <w:tcPr/>
          <w:p>
            <w:pPr>
              <w:pStyle w:val="Tabla7"/>
              <w:jc w:val="left"/>
            </w:pPr>
            <w:r>
              <w:t xml:space="preserve">50</w:t>
            </w:r>
          </w:p>
        </w:tc>
        <w:tc>
          <w:tcPr/>
          <w:p>
            <w:pPr>
              <w:pStyle w:val="Tabla7"/>
              <w:jc w:val="left"/>
            </w:pPr>
            <w:r>
              <w:t xml:space="preserve">62</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r>
      <w:tr>
        <w:trPr>
          <w:cantSplit/>
        </w:trPr>
        <w:tc>
          <w:tcPr/>
          <w:p>
            <w:pPr>
              <w:pStyle w:val="Tabla7"/>
              <w:jc w:val="left"/>
            </w:pPr>
            <w:r>
              <w:t xml:space="preserve">A1.5</w:t>
            </w:r>
          </w:p>
        </w:tc>
        <w:tc>
          <w:tcPr/>
          <w:p>
            <w:pPr>
              <w:pStyle w:val="Tabla7"/>
              <w:jc w:val="left"/>
            </w:pPr>
            <w:r>
              <w:t xml:space="preserve">Reentrenar y verificar por departamento (tramo 2)</w:t>
            </w:r>
          </w:p>
        </w:tc>
        <w:tc>
          <w:tcPr/>
          <w:p>
            <w:pPr>
              <w:pStyle w:val="Tabla7"/>
              <w:jc w:val="left"/>
            </w:pPr>
            <w:r>
              <w:t xml:space="preserve">WP1</w:t>
            </w:r>
          </w:p>
        </w:tc>
        <w:tc>
          <w:tcPr/>
          <w:p>
            <w:pPr>
              <w:pStyle w:val="Tabla7"/>
              <w:jc w:val="left"/>
            </w:pPr>
            <w:r>
              <w:t xml:space="preserve">62</w:t>
            </w:r>
          </w:p>
        </w:tc>
        <w:tc>
          <w:tcPr/>
          <w:p>
            <w:pPr>
              <w:pStyle w:val="Tabla7"/>
              <w:jc w:val="left"/>
            </w:pPr>
            <w:r>
              <w:t xml:space="preserve">68</w:t>
            </w: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r>
      <w:tr>
        <w:trPr>
          <w:cantSplit/>
        </w:trPr>
        <w:tc>
          <w:tcPr/>
          <w:p>
            <w:pPr>
              <w:pStyle w:val="Tabla7"/>
              <w:jc w:val="left"/>
            </w:pPr>
            <w:r>
              <w:t xml:space="preserve">C2</w:t>
            </w:r>
          </w:p>
        </w:tc>
        <w:tc>
          <w:tcPr/>
          <w:p>
            <w:pPr>
              <w:pStyle w:val="Tabla7"/>
              <w:jc w:val="left"/>
            </w:pPr>
            <w:r>
              <w:t xml:space="preserve">Compuerta C2: decisión de consolidación al tramo 3</w:t>
            </w:r>
          </w:p>
        </w:tc>
        <w:tc>
          <w:tcPr/>
          <w:p>
            <w:pPr>
              <w:pStyle w:val="Tabla7"/>
              <w:jc w:val="left"/>
            </w:pPr>
            <w:r>
              <w:t xml:space="preserve">WP0</w:t>
            </w:r>
          </w:p>
        </w:tc>
        <w:tc>
          <w:tcPr/>
          <w:p>
            <w:pPr>
              <w:pStyle w:val="Tabla7"/>
              <w:jc w:val="left"/>
            </w:pPr>
            <w:r>
              <w:t xml:space="preserve">68</w:t>
            </w:r>
          </w:p>
        </w:tc>
        <w:tc>
          <w:tcPr/>
          <w:p>
            <w:pPr>
              <w:pStyle w:val="Tabla7"/>
              <w:jc w:val="left"/>
            </w:pPr>
            <w:r>
              <w:t xml:space="preserve">70</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pPr>
          </w:p>
        </w:tc>
        <w:tc>
          <w:tcPr/>
          <w:p>
            <w:pPr>
              <w:pStyle w:val="Tabla7"/>
            </w:pPr>
          </w:p>
        </w:tc>
      </w:tr>
      <w:tr>
        <w:trPr>
          <w:cantSplit/>
        </w:trPr>
        <w:tc>
          <w:tcPr/>
          <w:p>
            <w:pPr>
              <w:pStyle w:val="Tabla7"/>
              <w:jc w:val="left"/>
            </w:pPr>
            <w:r>
              <w:t xml:space="preserve">A2.4</w:t>
            </w:r>
          </w:p>
        </w:tc>
        <w:tc>
          <w:tcPr/>
          <w:p>
            <w:pPr>
              <w:pStyle w:val="Tabla7"/>
              <w:jc w:val="left"/>
            </w:pPr>
            <w:r>
              <w:t xml:space="preserve">Instalar tramo 3 (30 nodos, 3 gateways)</w:t>
            </w:r>
          </w:p>
        </w:tc>
        <w:tc>
          <w:tcPr/>
          <w:p>
            <w:pPr>
              <w:pStyle w:val="Tabla7"/>
              <w:jc w:val="left"/>
            </w:pPr>
            <w:r>
              <w:t xml:space="preserve">WP2</w:t>
            </w:r>
          </w:p>
        </w:tc>
        <w:tc>
          <w:tcPr/>
          <w:p>
            <w:pPr>
              <w:pStyle w:val="Tabla7"/>
              <w:jc w:val="left"/>
            </w:pPr>
            <w:r>
              <w:t xml:space="preserve">70</w:t>
            </w:r>
          </w:p>
        </w:tc>
        <w:tc>
          <w:tcPr/>
          <w:p>
            <w:pPr>
              <w:pStyle w:val="Tabla7"/>
              <w:jc w:val="left"/>
            </w:pPr>
            <w:r>
              <w:t xml:space="preserve">82</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r>
      <w:tr>
        <w:trPr>
          <w:cantSplit/>
        </w:trPr>
        <w:tc>
          <w:tcPr/>
          <w:p>
            <w:pPr>
              <w:pStyle w:val="Tabla7"/>
              <w:jc w:val="left"/>
            </w:pPr>
            <w:r>
              <w:t xml:space="preserve">A3.3</w:t>
            </w:r>
          </w:p>
        </w:tc>
        <w:tc>
          <w:tcPr/>
          <w:p>
            <w:pPr>
              <w:pStyle w:val="Tabla7"/>
              <w:jc w:val="left"/>
            </w:pPr>
            <w:r>
              <w:t xml:space="preserve">Formar custodios y firmar convenios por tramo</w:t>
            </w:r>
          </w:p>
        </w:tc>
        <w:tc>
          <w:tcPr/>
          <w:p>
            <w:pPr>
              <w:pStyle w:val="Tabla7"/>
              <w:jc w:val="left"/>
            </w:pPr>
            <w:r>
              <w:t xml:space="preserve">WP3</w:t>
            </w:r>
          </w:p>
        </w:tc>
        <w:tc>
          <w:tcPr/>
          <w:p>
            <w:pPr>
              <w:pStyle w:val="Tabla7"/>
              <w:jc w:val="left"/>
            </w:pPr>
            <w:r>
              <w:t xml:space="preserve">70</w:t>
            </w:r>
          </w:p>
        </w:tc>
        <w:tc>
          <w:tcPr/>
          <w:p>
            <w:pPr>
              <w:pStyle w:val="Tabla7"/>
              <w:jc w:val="left"/>
            </w:pPr>
            <w:r>
              <w:t xml:space="preserve">86</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r>
      <w:tr>
        <w:trPr>
          <w:cantSplit/>
        </w:trPr>
        <w:tc>
          <w:tcPr/>
          <w:p>
            <w:pPr>
              <w:pStyle w:val="Tabla7"/>
              <w:jc w:val="left"/>
            </w:pPr>
            <w:r>
              <w:t xml:space="preserve">A1.6</w:t>
            </w:r>
          </w:p>
        </w:tc>
        <w:tc>
          <w:tcPr/>
          <w:p>
            <w:pPr>
              <w:pStyle w:val="Tabla7"/>
              <w:jc w:val="left"/>
            </w:pPr>
            <w:r>
              <w:t xml:space="preserve">Verificar desempeño final y ensayo independiente</w:t>
            </w:r>
          </w:p>
        </w:tc>
        <w:tc>
          <w:tcPr/>
          <w:p>
            <w:pPr>
              <w:pStyle w:val="Tabla7"/>
              <w:jc w:val="left"/>
            </w:pPr>
            <w:r>
              <w:t xml:space="preserve">WP1</w:t>
            </w:r>
          </w:p>
        </w:tc>
        <w:tc>
          <w:tcPr/>
          <w:p>
            <w:pPr>
              <w:pStyle w:val="Tabla7"/>
              <w:jc w:val="left"/>
            </w:pPr>
            <w:r>
              <w:t xml:space="preserve">82</w:t>
            </w:r>
          </w:p>
        </w:tc>
        <w:tc>
          <w:tcPr/>
          <w:p>
            <w:pPr>
              <w:pStyle w:val="Tabla7"/>
              <w:jc w:val="left"/>
            </w:pPr>
            <w:r>
              <w:t xml:space="preserve">98</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r>
      <w:tr>
        <w:trPr>
          <w:cantSplit/>
        </w:trPr>
        <w:tc>
          <w:tcPr/>
          <w:p>
            <w:pPr>
              <w:pStyle w:val="Tabla7"/>
              <w:jc w:val="left"/>
            </w:pPr>
            <w:r>
              <w:t xml:space="preserve">A3.4</w:t>
            </w:r>
          </w:p>
        </w:tc>
        <w:tc>
          <w:tcPr/>
          <w:p>
            <w:pPr>
              <w:pStyle w:val="Tabla7"/>
              <w:jc w:val="left"/>
            </w:pPr>
            <w:r>
              <w:t xml:space="preserve">Transferir, cerrar y evaluar</w:t>
            </w:r>
          </w:p>
        </w:tc>
        <w:tc>
          <w:tcPr/>
          <w:p>
            <w:pPr>
              <w:pStyle w:val="Tabla7"/>
              <w:jc w:val="left"/>
            </w:pPr>
            <w:r>
              <w:t xml:space="preserve">WP0</w:t>
            </w:r>
          </w:p>
        </w:tc>
        <w:tc>
          <w:tcPr/>
          <w:p>
            <w:pPr>
              <w:pStyle w:val="Tabla7"/>
              <w:jc w:val="left"/>
            </w:pPr>
            <w:r>
              <w:t xml:space="preserve">98</w:t>
            </w:r>
          </w:p>
        </w:tc>
        <w:tc>
          <w:tcPr/>
          <w:p>
            <w:pPr>
              <w:pStyle w:val="Tabla7"/>
              <w:jc w:val="left"/>
            </w:pPr>
            <w:r>
              <w:t xml:space="preserve">104</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r>
    </w:tbl>
    <w:p>
      <w:pPr>
        <w:pStyle w:val="TablaNota"/>
      </w:pPr>
      <w:r>
        <w:rPr>
          <w:i/>
          <w:iCs/>
        </w:rPr>
        <w:t xml:space="preserve">Nota.</w:t>
      </w:r>
      <w:r>
        <w:t xml:space="preserve"> </w:t>
      </w:r>
      <w:r>
        <w:t xml:space="preserve">Elaboración propia con datos de maestro.py (ACTS). Cada trimestre equivale a 13 semanas. X: la actividad está en curso durante al menos una semana del trimestre. Naturaleza: CALCULADO sobre duraciones PROPUESTO.</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5840" w:h="12240" w:orient="landscape"/>
          <w:pgMar w:top="1417" w:right="1133" w:bottom="1417" w:left="1133" w:header="709" w:footer="709" w:gutter="0"/>
        </w:sectPr>
      </w:pPr>
    </w:p>
    <w:p>
      <w:pPr>
        <w:pStyle w:val="BodyText"/>
      </w:pPr>
      <w:r>
        <w:t xml:space="preserve">La actividad de administración y apoyo a la supervisión que el Anexo 2 exige por objetivo no figura como actividad separada en la red. Está distribuida en el paquete WP0 y en la línea O05 del presupuesto. El anexo N propone separarla en tres actividades, una por objetivo, antes de la radicación, con los mismos valores del presupuesto.</w:t>
      </w:r>
    </w:p>
    <w:bookmarkEnd w:id="698"/>
    <w:bookmarkStart w:id="699" w:name="_Toc00900291"/>
    <w:p>
      <w:pPr>
        <w:pStyle w:val="Heading2"/>
      </w:pPr>
      <w:r>
        <w:t xml:space="preserve">Anexo I. Estudios previos</w:t>
      </w:r>
    </w:p>
    <w:p>
      <w:pPr>
        <w:pStyle w:val="FirstParagraph"/>
      </w:pPr>
      <w:r>
        <w:t xml:space="preserve">Los estudios previos son los documentos que sustentan la formulación. Se registran con su huella SHA-256 para que cualquier modificación sea detectable. Los tres primeros son entradas que aportó el usuario. Los siguientes son productos de esta corrida. Dos entradas llegaron después de la primera entrega: el metaprompt completo y el Anexo 2 de la convocatoria. La Tabla 20.11 registra cada estudio con su alcance y su estado.</w:t>
      </w:r>
    </w:p>
    <w:p>
      <w:pPr>
        <w:pStyle w:val="TablaRotulo"/>
      </w:pPr>
      <w:bookmarkStart w:id="9401" w:name="rot_Tabla_20_11"/>
      <w:r>
        <w:rPr>
          <w:b/>
          <w:bCs/>
        </w:rPr>
        <w:t xml:space="preserve">Tabla 20.11</w:t>
      </w:r>
      <w:bookmarkEnd w:id="9401"/>
    </w:p>
    <w:p>
      <w:pPr>
        <w:pStyle w:val="TablaTitulo"/>
      </w:pPr>
      <w:r>
        <w:rPr>
          <w:i/>
          <w:iCs/>
        </w:rPr>
        <w:t xml:space="preserve">Registro de estudios previos con huella SHA-256</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20"/>
        <w:gridCol w:w="792"/>
        <w:gridCol w:w="396"/>
        <w:gridCol w:w="2706"/>
        <w:gridCol w:w="2706"/>
      </w:tblGrid>
      <w:tr>
        <w:trPr>
          <w:cantSplit/>
          <w:tblHeader/>
        </w:trPr>
        <w:tc>
          <w:tcPr>
            <w:shd w:val="clear" w:color="auto" w:fill="00B050"/>
          </w:tcPr>
          <w:p>
            <w:pPr>
              <w:pStyle w:val="Tabla8"/>
              <w:jc w:val="center"/>
            </w:pPr>
            <w:r>
              <w:rPr>
                <w:b/>
                <w:color w:val="FFFFFF"/>
              </w:rPr>
              <w:t xml:space="preserve">Archivo</w:t>
            </w:r>
          </w:p>
        </w:tc>
        <w:tc>
          <w:tcPr>
            <w:shd w:val="clear" w:color="auto" w:fill="00B050"/>
          </w:tcPr>
          <w:p>
            <w:pPr>
              <w:pStyle w:val="Tabla8"/>
              <w:jc w:val="center"/>
            </w:pPr>
            <w:r>
              <w:rPr>
                <w:b/>
                <w:color w:val="FFFFFF"/>
              </w:rPr>
              <w:t xml:space="preserve">Alcance</w:t>
            </w:r>
          </w:p>
        </w:tc>
        <w:tc>
          <w:tcPr>
            <w:shd w:val="clear" w:color="auto" w:fill="00B050"/>
          </w:tcPr>
          <w:p>
            <w:pPr>
              <w:pStyle w:val="Tabla8"/>
              <w:jc w:val="center"/>
            </w:pPr>
            <w:r>
              <w:rPr>
                <w:b/>
                <w:color w:val="FFFFFF"/>
              </w:rPr>
              <w:t xml:space="preserve">Origen</w:t>
            </w:r>
          </w:p>
        </w:tc>
        <w:tc>
          <w:tcPr>
            <w:shd w:val="clear" w:color="auto" w:fill="00B050"/>
          </w:tcPr>
          <w:p>
            <w:pPr>
              <w:pStyle w:val="Tabla8"/>
              <w:jc w:val="center"/>
            </w:pPr>
            <w:r>
              <w:rPr>
                <w:b/>
                <w:color w:val="FFFFFF"/>
              </w:rPr>
              <w:t xml:space="preserve">SHA-256</w:t>
            </w:r>
          </w:p>
        </w:tc>
        <w:tc>
          <w:tcPr>
            <w:shd w:val="clear" w:color="auto" w:fill="00B050"/>
          </w:tcPr>
          <w:p>
            <w:pPr>
              <w:pStyle w:val="Tabla8"/>
              <w:jc w:val="center"/>
            </w:pPr>
            <w:r>
              <w:rPr>
                <w:b/>
                <w:color w:val="FFFFFF"/>
              </w:rPr>
              <w:t xml:space="preserve">Estado</w:t>
            </w:r>
          </w:p>
        </w:tc>
      </w:tr>
      <w:tr>
        <w:trPr>
          <w:cantSplit/>
        </w:trPr>
        <w:tc>
          <w:tcPr/>
          <w:p>
            <w:pPr>
              <w:pStyle w:val="Tabla8"/>
              <w:jc w:val="left"/>
            </w:pPr>
            <w:r>
              <w:t xml:space="preserve">Problematica_E3-P00.docx</w:t>
            </w:r>
          </w:p>
        </w:tc>
        <w:tc>
          <w:tcPr/>
          <w:p>
            <w:pPr>
              <w:pStyle w:val="Tabla8"/>
              <w:jc w:val="left"/>
            </w:pPr>
            <w:r>
              <w:t xml:space="preserve">Expediente E3-P00 con pasos 1 a 6 y capítulos del usuario</w:t>
            </w:r>
          </w:p>
        </w:tc>
        <w:tc>
          <w:tcPr/>
          <w:p>
            <w:pPr>
              <w:pStyle w:val="Tabla8"/>
              <w:jc w:val="left"/>
            </w:pPr>
            <w:r>
              <w:t xml:space="preserve">Entrada del usuario</w:t>
            </w:r>
          </w:p>
        </w:tc>
        <w:tc>
          <w:tcPr/>
          <w:p>
            <w:pPr>
              <w:pStyle w:val="Tabla8"/>
              <w:jc w:val="left"/>
            </w:pPr>
            <w:r>
              <w:t xml:space="preserve">ad06c90bd70a4d9217567f8eb4aff4771f3c92b5d961b7e60e8d90a126bd6801</w:t>
            </w:r>
          </w:p>
        </w:tc>
        <w:tc>
          <w:tcPr/>
          <w:p>
            <w:pPr>
              <w:pStyle w:val="Tabla8"/>
              <w:jc w:val="left"/>
            </w:pPr>
            <w:r>
              <w:t xml:space="preserve">DECLARADO; revisado en 36 hallazgos</w:t>
            </w:r>
          </w:p>
        </w:tc>
      </w:tr>
      <w:tr>
        <w:trPr>
          <w:cantSplit/>
        </w:trPr>
        <w:tc>
          <w:tcPr/>
          <w:p>
            <w:pPr>
              <w:pStyle w:val="Tabla8"/>
              <w:jc w:val="left"/>
            </w:pPr>
            <w:r>
              <w:t xml:space="preserve">informe_FINAL.docx</w:t>
            </w:r>
          </w:p>
        </w:tc>
        <w:tc>
          <w:tcPr/>
          <w:p>
            <w:pPr>
              <w:pStyle w:val="Tabla8"/>
              <w:jc w:val="left"/>
            </w:pPr>
            <w:r>
              <w:t xml:space="preserve">Vigilancia tecnológica y bibliometría de 42 documentos</w:t>
            </w:r>
          </w:p>
        </w:tc>
        <w:tc>
          <w:tcPr/>
          <w:p>
            <w:pPr>
              <w:pStyle w:val="Tabla8"/>
              <w:jc w:val="left"/>
            </w:pPr>
            <w:r>
              <w:t xml:space="preserve">Entrada del usuario</w:t>
            </w:r>
          </w:p>
        </w:tc>
        <w:tc>
          <w:tcPr/>
          <w:p>
            <w:pPr>
              <w:pStyle w:val="Tabla8"/>
              <w:jc w:val="left"/>
            </w:pPr>
            <w:r>
              <w:t xml:space="preserve">29f443a909e831b751fb39f0f43d5aec838a55177b32a5a89eb34cbbd7b4fc0b</w:t>
            </w:r>
          </w:p>
        </w:tc>
        <w:tc>
          <w:tcPr/>
          <w:p>
            <w:pPr>
              <w:pStyle w:val="Tabla8"/>
              <w:jc w:val="left"/>
            </w:pPr>
            <w:r>
              <w:t xml:space="preserve">DECLARADO; no verificado de forma independiente</w:t>
            </w:r>
          </w:p>
        </w:tc>
      </w:tr>
      <w:tr>
        <w:trPr>
          <w:cantSplit/>
        </w:trPr>
        <w:tc>
          <w:tcPr/>
          <w:p>
            <w:pPr>
              <w:pStyle w:val="Tabla8"/>
              <w:jc w:val="left"/>
            </w:pPr>
            <w:r>
              <w:t xml:space="preserve">Vester_MICMAC_Plantilla_15_vacia.xlsx</w:t>
            </w:r>
          </w:p>
        </w:tc>
        <w:tc>
          <w:tcPr/>
          <w:p>
            <w:pPr>
              <w:pStyle w:val="Tabla8"/>
              <w:jc w:val="left"/>
            </w:pPr>
            <w:r>
              <w:t xml:space="preserve">Plantilla de 15 variables para el análisis estructural</w:t>
            </w:r>
          </w:p>
        </w:tc>
        <w:tc>
          <w:tcPr/>
          <w:p>
            <w:pPr>
              <w:pStyle w:val="Tabla8"/>
              <w:jc w:val="left"/>
            </w:pPr>
            <w:r>
              <w:t xml:space="preserve">Entrada del usuario</w:t>
            </w:r>
          </w:p>
        </w:tc>
        <w:tc>
          <w:tcPr/>
          <w:p>
            <w:pPr>
              <w:pStyle w:val="Tabla8"/>
              <w:jc w:val="left"/>
            </w:pPr>
            <w:r>
              <w:t xml:space="preserve">9155d355c7cc29b02eeb2c64b826768deb605a3bac6e59a84c87b2927ede1497</w:t>
            </w:r>
          </w:p>
        </w:tc>
        <w:tc>
          <w:tcPr/>
          <w:p>
            <w:pPr>
              <w:pStyle w:val="Tabla8"/>
              <w:jc w:val="left"/>
            </w:pPr>
            <w:r>
              <w:t xml:space="preserve">Plantilla vacía</w:t>
            </w:r>
          </w:p>
        </w:tc>
      </w:tr>
      <w:tr>
        <w:trPr>
          <w:cantSplit/>
        </w:trPr>
        <w:tc>
          <w:tcPr/>
          <w:p>
            <w:pPr>
              <w:pStyle w:val="Tabla8"/>
              <w:jc w:val="left"/>
            </w:pPr>
            <w:r>
              <w:t xml:space="preserve">anexo_2._documento_tecnico_15.docx</w:t>
            </w:r>
          </w:p>
        </w:tc>
        <w:tc>
          <w:tcPr/>
          <w:p>
            <w:pPr>
              <w:pStyle w:val="Tabla8"/>
              <w:jc w:val="left"/>
            </w:pPr>
            <w:r>
              <w:t xml:space="preserve">Anexo 2 de la convocatoria: documento técnico</w:t>
            </w:r>
          </w:p>
        </w:tc>
        <w:tc>
          <w:tcPr/>
          <w:p>
            <w:pPr>
              <w:pStyle w:val="Tabla8"/>
              <w:jc w:val="left"/>
            </w:pPr>
            <w:r>
              <w:t xml:space="preserve">Entrada del usuario</w:t>
            </w:r>
          </w:p>
        </w:tc>
        <w:tc>
          <w:tcPr/>
          <w:p>
            <w:pPr>
              <w:pStyle w:val="Tabla8"/>
              <w:jc w:val="left"/>
            </w:pPr>
            <w:r>
              <w:t xml:space="preserve">f2b93ddb5ed2937ac624d7d33f69bbae1a9a50976ae4d55d023fd668bc920699</w:t>
            </w:r>
          </w:p>
        </w:tc>
        <w:tc>
          <w:tcPr/>
          <w:p>
            <w:pPr>
              <w:pStyle w:val="Tabla8"/>
              <w:jc w:val="left"/>
            </w:pPr>
            <w:r>
              <w:t xml:space="preserve">DECLARADO; recibido después de la primera entrega</w:t>
            </w:r>
          </w:p>
        </w:tc>
      </w:tr>
      <w:tr>
        <w:trPr>
          <w:cantSplit/>
        </w:trPr>
        <w:tc>
          <w:tcPr/>
          <w:p>
            <w:pPr>
              <w:pStyle w:val="Tabla8"/>
              <w:jc w:val="left"/>
            </w:pPr>
            <w:r>
              <w:t xml:space="preserve">GENESIS_CTeI_v36_10_RC2 (XML completo)</w:t>
            </w:r>
          </w:p>
        </w:tc>
        <w:tc>
          <w:tcPr/>
          <w:p>
            <w:pPr>
              <w:pStyle w:val="Tabla8"/>
              <w:jc w:val="left"/>
            </w:pPr>
            <w:r>
              <w:t xml:space="preserve">Metaprompt GENESIS-CTeI 36.10 RC2</w:t>
            </w:r>
          </w:p>
        </w:tc>
        <w:tc>
          <w:tcPr/>
          <w:p>
            <w:pPr>
              <w:pStyle w:val="Tabla8"/>
              <w:jc w:val="left"/>
            </w:pPr>
            <w:r>
              <w:t xml:space="preserve">Entrada del usuario</w:t>
            </w:r>
          </w:p>
        </w:tc>
        <w:tc>
          <w:tcPr/>
          <w:p>
            <w:pPr>
              <w:pStyle w:val="Tabla8"/>
              <w:jc w:val="left"/>
            </w:pPr>
            <w:r>
              <w:t xml:space="preserve">9838e6d8318c5a7c0b209bdeb029ac806fbe635de7c97dac72800ed42e3b1260</w:t>
            </w:r>
          </w:p>
        </w:tc>
        <w:tc>
          <w:tcPr/>
          <w:p>
            <w:pPr>
              <w:pStyle w:val="Tabla8"/>
              <w:jc w:val="left"/>
            </w:pPr>
            <w:r>
              <w:t xml:space="preserve">Archivo completo; la huella del texto extraído en la primera corrida era 685a73f45ba1d3011a3b1ba3a1722482c46d8b9a68ffe5cbc4dbe131e4603ba8</w:t>
            </w:r>
          </w:p>
        </w:tc>
      </w:tr>
      <w:tr>
        <w:trPr>
          <w:cantSplit/>
        </w:trPr>
        <w:tc>
          <w:tcPr/>
          <w:p>
            <w:pPr>
              <w:pStyle w:val="Tabla8"/>
              <w:jc w:val="left"/>
            </w:pPr>
            <w:r>
              <w:t xml:space="preserve">00_INFORME_DE_REVISION_E3-P00.md</w:t>
            </w:r>
          </w:p>
        </w:tc>
        <w:tc>
          <w:tcPr/>
          <w:p>
            <w:pPr>
              <w:pStyle w:val="Tabla8"/>
              <w:jc w:val="left"/>
            </w:pPr>
            <w:r>
              <w:t xml:space="preserve">Revisión del expediente: 36 hallazgos, compuertas GS-01 a GS-08</w:t>
            </w:r>
          </w:p>
        </w:tc>
        <w:tc>
          <w:tcPr/>
          <w:p>
            <w:pPr>
              <w:pStyle w:val="Tabla8"/>
              <w:jc w:val="left"/>
            </w:pPr>
            <w:r>
              <w:t xml:space="preserve">Producto de la corrida</w:t>
            </w:r>
          </w:p>
        </w:tc>
        <w:tc>
          <w:tcPr/>
          <w:p>
            <w:pPr>
              <w:pStyle w:val="Tabla8"/>
              <w:jc w:val="left"/>
            </w:pPr>
            <w:r>
              <w:t xml:space="preserve">464e140dcff3bacb9943636646445b43e9ec838f203449ab003ef267fddd4ee2</w:t>
            </w:r>
          </w:p>
        </w:tc>
        <w:tc>
          <w:tcPr/>
          <w:p>
            <w:pPr>
              <w:pStyle w:val="Tabla8"/>
              <w:jc w:val="left"/>
            </w:pPr>
            <w:r>
              <w:t xml:space="preserve">Borrador con vacíos</w:t>
            </w:r>
          </w:p>
        </w:tc>
      </w:tr>
      <w:tr>
        <w:trPr>
          <w:cantSplit/>
        </w:trPr>
        <w:tc>
          <w:tcPr/>
          <w:p>
            <w:pPr>
              <w:pStyle w:val="Tabla8"/>
              <w:jc w:val="left"/>
            </w:pPr>
            <w:r>
              <w:t xml:space="preserve">01_ADMISION_TV1_GATE0_Y_ALCANCE.md</w:t>
            </w:r>
          </w:p>
        </w:tc>
        <w:tc>
          <w:tcPr/>
          <w:p>
            <w:pPr>
              <w:pStyle w:val="Tabla8"/>
              <w:jc w:val="left"/>
            </w:pPr>
            <w:r>
              <w:t xml:space="preserve">Admisión TV-1, Gate 0 y alcance</w:t>
            </w:r>
          </w:p>
        </w:tc>
        <w:tc>
          <w:tcPr/>
          <w:p>
            <w:pPr>
              <w:pStyle w:val="Tabla8"/>
              <w:jc w:val="left"/>
            </w:pPr>
            <w:r>
              <w:t xml:space="preserve">Producto de la corrida</w:t>
            </w:r>
          </w:p>
        </w:tc>
        <w:tc>
          <w:tcPr/>
          <w:p>
            <w:pPr>
              <w:pStyle w:val="Tabla8"/>
              <w:jc w:val="left"/>
            </w:pPr>
            <w:r>
              <w:t xml:space="preserve">3ed7940d51c80a6bc857ec5e517675c50c3a499cf0aaac1e7f07e2ed02113ad4</w:t>
            </w:r>
          </w:p>
        </w:tc>
        <w:tc>
          <w:tcPr/>
          <w:p>
            <w:pPr>
              <w:pStyle w:val="Tabla8"/>
              <w:jc w:val="left"/>
            </w:pPr>
            <w:r>
              <w:t xml:space="preserve">Gate 0 no aprobado</w:t>
            </w:r>
          </w:p>
        </w:tc>
      </w:tr>
      <w:tr>
        <w:trPr>
          <w:cantSplit/>
        </w:trPr>
        <w:tc>
          <w:tcPr/>
          <w:p>
            <w:pPr>
              <w:pStyle w:val="Tabla8"/>
              <w:jc w:val="left"/>
            </w:pPr>
            <w:r>
              <w:t xml:space="preserve">SECCION_4_3_SGR_CONV56_AIRE.md</w:t>
            </w:r>
          </w:p>
        </w:tc>
        <w:tc>
          <w:tcPr/>
          <w:p>
            <w:pPr>
              <w:pStyle w:val="Tabla8"/>
              <w:jc w:val="left"/>
            </w:pPr>
            <w:r>
              <w:t xml:space="preserve">Clasificación de variables para inferencia causal</w:t>
            </w:r>
          </w:p>
        </w:tc>
        <w:tc>
          <w:tcPr/>
          <w:p>
            <w:pPr>
              <w:pStyle w:val="Tabla8"/>
              <w:jc w:val="left"/>
            </w:pPr>
            <w:r>
              <w:t xml:space="preserve">Producto de la corrida</w:t>
            </w:r>
          </w:p>
        </w:tc>
        <w:tc>
          <w:tcPr/>
          <w:p>
            <w:pPr>
              <w:pStyle w:val="Tabla8"/>
              <w:jc w:val="left"/>
            </w:pPr>
            <w:r>
              <w:t xml:space="preserve">819ac18380f5957060adabdc7b04ffbcc44b835f1d6d00114035792307417ab4</w:t>
            </w:r>
          </w:p>
        </w:tc>
        <w:tc>
          <w:tcPr/>
          <w:p>
            <w:pPr>
              <w:pStyle w:val="Tabla8"/>
              <w:jc w:val="left"/>
            </w:pPr>
            <w:r>
              <w:t xml:space="preserve">Borrador con vacíos</w:t>
            </w:r>
          </w:p>
        </w:tc>
      </w:tr>
      <w:tr>
        <w:trPr>
          <w:cantSplit/>
        </w:trPr>
        <w:tc>
          <w:tcPr/>
          <w:p>
            <w:pPr>
              <w:pStyle w:val="Tabla8"/>
              <w:jc w:val="left"/>
            </w:pPr>
            <w:r>
              <w:t xml:space="preserve">SECCION_4_4_SGR_CONV56_AIRE.md</w:t>
            </w:r>
          </w:p>
        </w:tc>
        <w:tc>
          <w:tcPr/>
          <w:p>
            <w:pPr>
              <w:pStyle w:val="Tabla8"/>
              <w:jc w:val="left"/>
            </w:pPr>
            <w:r>
              <w:t xml:space="preserve">Vester y MICMAC paritario: 105 fichas, cinco escenarios</w:t>
            </w:r>
          </w:p>
        </w:tc>
        <w:tc>
          <w:tcPr/>
          <w:p>
            <w:pPr>
              <w:pStyle w:val="Tabla8"/>
              <w:jc w:val="left"/>
            </w:pPr>
            <w:r>
              <w:t xml:space="preserve">Producto de la corrida</w:t>
            </w:r>
          </w:p>
        </w:tc>
        <w:tc>
          <w:tcPr/>
          <w:p>
            <w:pPr>
              <w:pStyle w:val="Tabla8"/>
              <w:jc w:val="left"/>
            </w:pPr>
            <w:r>
              <w:t xml:space="preserve">623ae50cf0472b7bf6b4a38283ad733713d1b85dd0acbad39fd477e6eac516ea</w:t>
            </w:r>
          </w:p>
        </w:tc>
        <w:tc>
          <w:tcPr/>
          <w:p>
            <w:pPr>
              <w:pStyle w:val="Tabla8"/>
              <w:jc w:val="left"/>
            </w:pPr>
            <w:r>
              <w:t xml:space="preserve">Sin ratificación de fichas</w:t>
            </w:r>
          </w:p>
        </w:tc>
      </w:tr>
      <w:tr>
        <w:trPr>
          <w:cantSplit/>
        </w:trPr>
        <w:tc>
          <w:tcPr/>
          <w:p>
            <w:pPr>
              <w:pStyle w:val="Tabla8"/>
              <w:jc w:val="left"/>
            </w:pPr>
            <w:r>
              <w:t xml:space="preserve">SECCION_4_4_MDR_SGR_CONV56_AIRE.md</w:t>
            </w:r>
          </w:p>
        </w:tc>
        <w:tc>
          <w:tcPr/>
          <w:p>
            <w:pPr>
              <w:pStyle w:val="Tabla8"/>
              <w:jc w:val="left"/>
            </w:pPr>
            <w:r>
              <w:t xml:space="preserve">Metodología integrada de decisión y resolución</w:t>
            </w:r>
          </w:p>
        </w:tc>
        <w:tc>
          <w:tcPr/>
          <w:p>
            <w:pPr>
              <w:pStyle w:val="Tabla8"/>
              <w:jc w:val="left"/>
            </w:pPr>
            <w:r>
              <w:t xml:space="preserve">Producto de la corrida</w:t>
            </w:r>
          </w:p>
        </w:tc>
        <w:tc>
          <w:tcPr/>
          <w:p>
            <w:pPr>
              <w:pStyle w:val="Tabla8"/>
              <w:jc w:val="left"/>
            </w:pPr>
            <w:r>
              <w:t xml:space="preserve">534e3535d16e81318c0918ad547dbb8a35ccb9e7d6d5a3052e570cf502bdf5ad</w:t>
            </w:r>
          </w:p>
        </w:tc>
        <w:tc>
          <w:tcPr/>
          <w:p>
            <w:pPr>
              <w:pStyle w:val="Tabla8"/>
              <w:jc w:val="left"/>
            </w:pPr>
            <w:r>
              <w:t xml:space="preserve">Probabilidades sin fuente</w:t>
            </w:r>
          </w:p>
        </w:tc>
      </w:tr>
      <w:tr>
        <w:trPr>
          <w:cantSplit/>
        </w:trPr>
        <w:tc>
          <w:tcPr/>
          <w:p>
            <w:pPr>
              <w:pStyle w:val="Tabla8"/>
              <w:jc w:val="left"/>
            </w:pPr>
            <w:r>
              <w:t xml:space="preserve">EXPEDIENTE_MDR_SGR_CONV56_AIRE.md</w:t>
            </w:r>
          </w:p>
        </w:tc>
        <w:tc>
          <w:tcPr/>
          <w:p>
            <w:pPr>
              <w:pStyle w:val="Tabla8"/>
              <w:jc w:val="left"/>
            </w:pPr>
            <w:r>
              <w:t xml:space="preserve">Expediente técnico de 4.4-MDR (K01 a K32, S01 a S40)</w:t>
            </w:r>
          </w:p>
        </w:tc>
        <w:tc>
          <w:tcPr/>
          <w:p>
            <w:pPr>
              <w:pStyle w:val="Tabla8"/>
              <w:jc w:val="left"/>
            </w:pPr>
            <w:r>
              <w:t xml:space="preserve">Producto de la corrida</w:t>
            </w:r>
          </w:p>
        </w:tc>
        <w:tc>
          <w:tcPr/>
          <w:p>
            <w:pPr>
              <w:pStyle w:val="Tabla8"/>
              <w:jc w:val="left"/>
            </w:pPr>
            <w:r>
              <w:t xml:space="preserve">ab1fb035d5862c602c7944d88872c5b8547fdbca57df829a014bb67ad00a0fe2</w:t>
            </w:r>
          </w:p>
        </w:tc>
        <w:tc>
          <w:tcPr/>
          <w:p>
            <w:pPr>
              <w:pStyle w:val="Tabla8"/>
              <w:jc w:val="left"/>
            </w:pPr>
            <w:r>
              <w:t xml:space="preserve">Borrador con vacíos</w:t>
            </w:r>
          </w:p>
        </w:tc>
      </w:tr>
      <w:tr>
        <w:trPr>
          <w:cantSplit/>
        </w:trPr>
        <w:tc>
          <w:tcPr/>
          <w:p>
            <w:pPr>
              <w:pStyle w:val="Tabla8"/>
              <w:jc w:val="left"/>
            </w:pPr>
            <w:r>
              <w:t xml:space="preserve">SECCION_4_5_SGR_CONV56_AIRE.md</w:t>
            </w:r>
          </w:p>
        </w:tc>
        <w:tc>
          <w:tcPr/>
          <w:p>
            <w:pPr>
              <w:pStyle w:val="Tabla8"/>
              <w:jc w:val="left"/>
            </w:pPr>
            <w:r>
              <w:t xml:space="preserve">Árbol de problemas A-PROB</w:t>
            </w:r>
          </w:p>
        </w:tc>
        <w:tc>
          <w:tcPr/>
          <w:p>
            <w:pPr>
              <w:pStyle w:val="Tabla8"/>
              <w:jc w:val="left"/>
            </w:pPr>
            <w:r>
              <w:t xml:space="preserve">Producto de la corrida</w:t>
            </w:r>
          </w:p>
        </w:tc>
        <w:tc>
          <w:tcPr/>
          <w:p>
            <w:pPr>
              <w:pStyle w:val="Tabla8"/>
              <w:jc w:val="left"/>
            </w:pPr>
            <w:r>
              <w:t xml:space="preserve">a34185340e5924e71e812fe96eb9ba0ac86b5ec5ce10fbdc9922a23a84e580b3</w:t>
            </w:r>
          </w:p>
        </w:tc>
        <w:tc>
          <w:tcPr/>
          <w:p>
            <w:pPr>
              <w:pStyle w:val="Tabla8"/>
              <w:jc w:val="left"/>
            </w:pPr>
            <w:r>
              <w:t xml:space="preserve">Borrador con vacíos</w:t>
            </w:r>
          </w:p>
        </w:tc>
      </w:tr>
      <w:tr>
        <w:trPr>
          <w:cantSplit/>
        </w:trPr>
        <w:tc>
          <w:tcPr/>
          <w:p>
            <w:pPr>
              <w:pStyle w:val="Tabla8"/>
              <w:jc w:val="left"/>
            </w:pPr>
            <w:r>
              <w:t xml:space="preserve">RESPALDO_SGR_CONV56_AIRE_CP_20261013_E4_4_5_01.zip</w:t>
            </w:r>
          </w:p>
        </w:tc>
        <w:tc>
          <w:tcPr/>
          <w:p>
            <w:pPr>
              <w:pStyle w:val="Tabla8"/>
              <w:jc w:val="left"/>
            </w:pPr>
            <w:r>
              <w:t xml:space="preserve">Respaldo de continuidad con inventario y huellas</w:t>
            </w:r>
          </w:p>
        </w:tc>
        <w:tc>
          <w:tcPr/>
          <w:p>
            <w:pPr>
              <w:pStyle w:val="Tabla8"/>
              <w:jc w:val="left"/>
            </w:pPr>
            <w:r>
              <w:t xml:space="preserve">Producto de la corrida</w:t>
            </w:r>
          </w:p>
        </w:tc>
        <w:tc>
          <w:tcPr/>
          <w:p>
            <w:pPr>
              <w:pStyle w:val="Tabla8"/>
              <w:jc w:val="left"/>
            </w:pPr>
            <w:r>
              <w:t xml:space="preserve">9453917c8301d109f24a79bf340a288fef8a8b4ef5dc408240d04277e8d58ed2</w:t>
            </w:r>
          </w:p>
        </w:tc>
        <w:tc>
          <w:tcPr/>
          <w:p>
            <w:pPr>
              <w:pStyle w:val="Tabla8"/>
              <w:jc w:val="left"/>
            </w:pPr>
            <w:r>
              <w:t xml:space="preserve">Vigente</w:t>
            </w:r>
          </w:p>
        </w:tc>
      </w:tr>
      <w:tr>
        <w:trPr>
          <w:cantSplit/>
        </w:trPr>
        <w:tc>
          <w:tcPr/>
          <w:p>
            <w:pPr>
              <w:pStyle w:val="Tabla8"/>
              <w:jc w:val="left"/>
            </w:pPr>
            <w:r>
              <w:t xml:space="preserve">DOCUMENTO_UNIFICADO_SGR_CONV56_AIRE.docx</w:t>
            </w:r>
          </w:p>
        </w:tc>
        <w:tc>
          <w:tcPr/>
          <w:p>
            <w:pPr>
              <w:pStyle w:val="Tabla8"/>
              <w:jc w:val="left"/>
            </w:pPr>
            <w:r>
              <w:t xml:space="preserve">Documento unificado de las secciones 4.3 a 4.5 (vista derivada)</w:t>
            </w:r>
          </w:p>
        </w:tc>
        <w:tc>
          <w:tcPr/>
          <w:p>
            <w:pPr>
              <w:pStyle w:val="Tabla8"/>
              <w:jc w:val="left"/>
            </w:pPr>
            <w:r>
              <w:t xml:space="preserve">Producto de la corrida</w:t>
            </w:r>
          </w:p>
        </w:tc>
        <w:tc>
          <w:tcPr/>
          <w:p>
            <w:pPr>
              <w:pStyle w:val="Tabla8"/>
              <w:jc w:val="left"/>
            </w:pPr>
            <w:r>
              <w:t xml:space="preserve">d1013c4dca9702fab42b811a5d9859112d674ed8283be65adae2a5f1fc7a90d5</w:t>
            </w:r>
          </w:p>
        </w:tc>
        <w:tc>
          <w:tcPr/>
          <w:p>
            <w:pPr>
              <w:pStyle w:val="Tabla8"/>
              <w:jc w:val="left"/>
            </w:pPr>
            <w:r>
              <w:t xml:space="preserve">Vista derivada</w:t>
            </w:r>
          </w:p>
        </w:tc>
      </w:tr>
      <w:tr>
        <w:trPr>
          <w:cantSplit/>
        </w:trPr>
        <w:tc>
          <w:tcPr/>
          <w:p>
            <w:pPr>
              <w:pStyle w:val="Tabla8"/>
              <w:jc w:val="left"/>
            </w:pPr>
            <w:r>
              <w:t xml:space="preserve">DOCUMENTO_UNIFICADO_SGR_CONV56_AIRE.pdf</w:t>
            </w:r>
          </w:p>
        </w:tc>
        <w:tc>
          <w:tcPr/>
          <w:p>
            <w:pPr>
              <w:pStyle w:val="Tabla8"/>
              <w:jc w:val="left"/>
            </w:pPr>
            <w:r>
              <w:t xml:space="preserve">Versión de lectura fija del documento unificado</w:t>
            </w:r>
          </w:p>
        </w:tc>
        <w:tc>
          <w:tcPr/>
          <w:p>
            <w:pPr>
              <w:pStyle w:val="Tabla8"/>
              <w:jc w:val="left"/>
            </w:pPr>
            <w:r>
              <w:t xml:space="preserve">Producto de la corrida</w:t>
            </w:r>
          </w:p>
        </w:tc>
        <w:tc>
          <w:tcPr/>
          <w:p>
            <w:pPr>
              <w:pStyle w:val="Tabla8"/>
              <w:jc w:val="left"/>
            </w:pPr>
            <w:r>
              <w:t xml:space="preserve">08f9ce77802f0733ecc863471e157bdcc066a8160c66f14af76d31f1731296d0</w:t>
            </w:r>
          </w:p>
        </w:tc>
        <w:tc>
          <w:tcPr/>
          <w:p>
            <w:pPr>
              <w:pStyle w:val="Tabla8"/>
              <w:jc w:val="left"/>
            </w:pPr>
            <w:r>
              <w:t xml:space="preserve">Vista derivada</w:t>
            </w:r>
          </w:p>
        </w:tc>
      </w:tr>
    </w:tbl>
    <w:p>
      <w:pPr>
        <w:pStyle w:val="TablaNota"/>
      </w:pPr>
      <w:r>
        <w:rPr>
          <w:i/>
          <w:iCs/>
        </w:rPr>
        <w:t xml:space="preserve">Nota.</w:t>
      </w:r>
      <w:r>
        <w:t xml:space="preserve"> </w:t>
      </w:r>
      <w:r>
        <w:t xml:space="preserve">Elaboración propia. Las huellas se calcularon con SHA-256 sobre los archivos tal como están en el repositorio y en la entrega del usuario. La diferencia entre las dos huellas del metaprompt se explica porque la primera corrida extrajo el texto de la conversación y no el archivo completo; no se afirma equivalencia entre ambas.</w:t>
      </w:r>
    </w:p>
    <w:p>
      <w:pPr>
        <w:pStyle w:val="BodyText"/>
      </w:pPr>
      <w:r>
        <w:t xml:space="preserve">El registro muestra que la formulación descansa en cinco insumos del usuario y en diez productos de la corrida. Ningún insumo del usuario se verificó de forma independiente. El expediente E3-P00 se revisó y se corrigió en 36 hallazgos, pero sus cifras no corregidas siguen DECLARADO. El informe de vigilancia tecnológica sustenta el estado del arte. Su corpus de 42 documentos incluye patentes y artículos de 2025 y 2026 que se citan con la página del informe.</w:t>
      </w:r>
    </w:p>
    <w:bookmarkEnd w:id="699"/>
    <w:bookmarkStart w:id="700" w:name="X9c0103aa84d531a3bfee3ef7e6f702259530840"/>
    <w:p>
      <w:pPr>
        <w:pStyle w:val="Heading2"/>
      </w:pPr>
      <w:r>
        <w:t xml:space="preserve">Anexo J. Otros documentos según convocatoria</w:t>
      </w:r>
    </w:p>
    <w:p>
      <w:pPr>
        <w:pStyle w:val="FirstParagraph"/>
      </w:pPr>
      <w:r>
        <w:t xml:space="preserve">El Anexo 2 de la convocatoria remite a otros documentos que forman parte de los términos de referencia. Esos documentos no se aportaron y condicionan elementos de la formulación. La Tabla 20.12 los lista con la sección del Anexo 2 que los menciona y el efecto de su ausencia.</w:t>
      </w:r>
    </w:p>
    <w:p>
      <w:pPr>
        <w:pStyle w:val="TablaRotulo"/>
      </w:pPr>
      <w:bookmarkStart w:id="9402" w:name="rot_Tabla_20_12"/>
      <w:r>
        <w:rPr>
          <w:b/>
          <w:bCs/>
        </w:rPr>
        <w:t xml:space="preserve">Tabla 20.12</w:t>
      </w:r>
      <w:bookmarkEnd w:id="9402"/>
    </w:p>
    <w:p>
      <w:pPr>
        <w:pStyle w:val="TablaTitulo"/>
      </w:pPr>
      <w:r>
        <w:rPr>
          <w:i/>
          <w:iCs/>
        </w:rPr>
        <w:t xml:space="preserve">Documentos de la convocatoria no aportados y efecto de su ausencia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98"/>
        <w:gridCol w:w="2662"/>
        <w:gridCol w:w="2196"/>
        <w:gridCol w:w="2462"/>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Documento</w:t>
            </w:r>
          </w:p>
        </w:tc>
        <w:tc>
          <w:tcPr>
            <w:shd w:val="clear" w:color="auto" w:fill="00B050"/>
          </w:tcPr>
          <w:p>
            <w:pPr>
              <w:pStyle w:val="Tabla9"/>
              <w:jc w:val="center"/>
            </w:pPr>
            <w:r>
              <w:rPr>
                <w:b/>
                <w:color w:val="FFFFFF"/>
              </w:rPr>
              <w:t xml:space="preserve">Sección del Anexo 2</w:t>
            </w:r>
          </w:p>
        </w:tc>
        <w:tc>
          <w:tcPr>
            <w:shd w:val="clear" w:color="auto" w:fill="00B050"/>
          </w:tcPr>
          <w:p>
            <w:pPr>
              <w:pStyle w:val="Tabla9"/>
              <w:jc w:val="center"/>
            </w:pPr>
            <w:r>
              <w:rPr>
                <w:b/>
                <w:color w:val="FFFFFF"/>
              </w:rPr>
              <w:t xml:space="preserve">Efecto de la ausencia</w:t>
            </w:r>
          </w:p>
        </w:tc>
      </w:tr>
      <w:tr>
        <w:trPr>
          <w:cantSplit/>
        </w:trPr>
        <w:tc>
          <w:tcPr/>
          <w:p>
            <w:pPr>
              <w:pStyle w:val="Tabla9"/>
              <w:jc w:val="left"/>
            </w:pPr>
            <w:r>
              <w:t xml:space="preserve">J1</w:t>
            </w:r>
          </w:p>
        </w:tc>
        <w:tc>
          <w:tcPr/>
          <w:p>
            <w:pPr>
              <w:pStyle w:val="Tabla9"/>
              <w:jc w:val="left"/>
            </w:pPr>
            <w:r>
              <w:t xml:space="preserve">Términos de referencia completos de la convocatoria</w:t>
            </w:r>
          </w:p>
        </w:tc>
        <w:tc>
          <w:tcPr/>
          <w:p>
            <w:pPr>
              <w:pStyle w:val="Tabla9"/>
              <w:jc w:val="left"/>
            </w:pPr>
            <w:r>
              <w:t xml:space="preserve">Notas generales; secciones 8 y 14</w:t>
            </w:r>
          </w:p>
        </w:tc>
        <w:tc>
          <w:tcPr/>
          <w:p>
            <w:pPr>
              <w:pStyle w:val="Tabla9"/>
              <w:jc w:val="left"/>
            </w:pPr>
            <w:r>
              <w:t xml:space="preserve">Línea temática, alcance de los componentes, topes y rubros admisibles sin verificar</w:t>
            </w:r>
          </w:p>
        </w:tc>
      </w:tr>
      <w:tr>
        <w:trPr>
          <w:cantSplit/>
        </w:trPr>
        <w:tc>
          <w:tcPr/>
          <w:p>
            <w:pPr>
              <w:pStyle w:val="Tabla9"/>
              <w:jc w:val="left"/>
            </w:pPr>
            <w:r>
              <w:t xml:space="preserve">J2</w:t>
            </w:r>
          </w:p>
        </w:tc>
        <w:tc>
          <w:tcPr/>
          <w:p>
            <w:pPr>
              <w:pStyle w:val="Tabla9"/>
              <w:jc w:val="left"/>
            </w:pPr>
            <w:r>
              <w:t xml:space="preserve">Anexo 4: plan bienal de convocatorias 2023-2024, retos y demandas territoriales</w:t>
            </w:r>
          </w:p>
        </w:tc>
        <w:tc>
          <w:tcPr/>
          <w:p>
            <w:pPr>
              <w:pStyle w:val="Tabla9"/>
              <w:jc w:val="left"/>
            </w:pPr>
            <w:r>
              <w:t xml:space="preserve">Sección 8</w:t>
            </w:r>
          </w:p>
        </w:tc>
        <w:tc>
          <w:tcPr/>
          <w:p>
            <w:pPr>
              <w:pStyle w:val="Tabla9"/>
              <w:jc w:val="left"/>
            </w:pPr>
            <w:r>
              <w:t xml:space="preserve">La demanda territorial del proyecto queda sin código</w:t>
            </w:r>
          </w:p>
        </w:tc>
      </w:tr>
      <w:tr>
        <w:trPr>
          <w:cantSplit/>
        </w:trPr>
        <w:tc>
          <w:tcPr/>
          <w:p>
            <w:pPr>
              <w:pStyle w:val="Tabla9"/>
              <w:jc w:val="left"/>
            </w:pPr>
            <w:r>
              <w:t xml:space="preserve">J3</w:t>
            </w:r>
          </w:p>
        </w:tc>
        <w:tc>
          <w:tcPr/>
          <w:p>
            <w:pPr>
              <w:pStyle w:val="Tabla9"/>
              <w:jc w:val="left"/>
            </w:pPr>
            <w:r>
              <w:t xml:space="preserve">Anexo 10: lineamientos para el enfoque de apropiación social del conocimiento</w:t>
            </w:r>
          </w:p>
        </w:tc>
        <w:tc>
          <w:tcPr/>
          <w:p>
            <w:pPr>
              <w:pStyle w:val="Tabla9"/>
              <w:jc w:val="left"/>
            </w:pPr>
            <w:r>
              <w:t xml:space="preserve">Sección 19</w:t>
            </w:r>
          </w:p>
        </w:tc>
        <w:tc>
          <w:tcPr/>
          <w:p>
            <w:pPr>
              <w:pStyle w:val="Tabla9"/>
              <w:jc w:val="left"/>
            </w:pPr>
            <w:r>
              <w:t xml:space="preserve">La estrategia de ASC se formuló con el metaprompt y no con el anexo</w:t>
            </w:r>
          </w:p>
        </w:tc>
      </w:tr>
      <w:tr>
        <w:trPr>
          <w:cantSplit/>
        </w:trPr>
        <w:tc>
          <w:tcPr/>
          <w:p>
            <w:pPr>
              <w:pStyle w:val="Tabla9"/>
              <w:jc w:val="left"/>
            </w:pPr>
            <w:r>
              <w:t xml:space="preserve">J4</w:t>
            </w:r>
          </w:p>
        </w:tc>
        <w:tc>
          <w:tcPr/>
          <w:p>
            <w:pPr>
              <w:pStyle w:val="Tabla9"/>
              <w:jc w:val="left"/>
            </w:pPr>
            <w:r>
              <w:t xml:space="preserve">Anexo 12: categorías de enfoque diferencial e interseccional</w:t>
            </w:r>
          </w:p>
        </w:tc>
        <w:tc>
          <w:tcPr/>
          <w:p>
            <w:pPr>
              <w:pStyle w:val="Tabla9"/>
              <w:jc w:val="left"/>
            </w:pPr>
            <w:r>
              <w:t xml:space="preserve">Sección 11.4</w:t>
            </w:r>
          </w:p>
        </w:tc>
        <w:tc>
          <w:tcPr/>
          <w:p>
            <w:pPr>
              <w:pStyle w:val="Tabla9"/>
              <w:jc w:val="left"/>
            </w:pPr>
            <w:r>
              <w:t xml:space="preserve">El porcentaje de equipo con enfoque diferencial queda sin determinar</w:t>
            </w:r>
          </w:p>
        </w:tc>
      </w:tr>
      <w:tr>
        <w:trPr>
          <w:cantSplit/>
        </w:trPr>
        <w:tc>
          <w:tcPr/>
          <w:p>
            <w:pPr>
              <w:pStyle w:val="Tabla9"/>
              <w:jc w:val="left"/>
            </w:pPr>
            <w:r>
              <w:t xml:space="preserve">J5</w:t>
            </w:r>
          </w:p>
        </w:tc>
        <w:tc>
          <w:tcPr/>
          <w:p>
            <w:pPr>
              <w:pStyle w:val="Tabla9"/>
              <w:jc w:val="left"/>
            </w:pPr>
            <w:r>
              <w:t xml:space="preserve">Carta aval, compromiso institucional y modelo de gobernanza</w:t>
            </w:r>
          </w:p>
        </w:tc>
        <w:tc>
          <w:tcPr/>
          <w:p>
            <w:pPr>
              <w:pStyle w:val="Tabla9"/>
              <w:jc w:val="left"/>
            </w:pPr>
            <w:r>
              <w:t xml:space="preserve">Secciones 26 y 28</w:t>
            </w:r>
          </w:p>
        </w:tc>
        <w:tc>
          <w:tcPr/>
          <w:p>
            <w:pPr>
              <w:pStyle w:val="Tabla9"/>
              <w:jc w:val="left"/>
            </w:pPr>
            <w:r>
              <w:t xml:space="preserve">La coherencia entre aportes y presupuesto no se verifica</w:t>
            </w:r>
          </w:p>
        </w:tc>
      </w:tr>
      <w:tr>
        <w:trPr>
          <w:cantSplit/>
        </w:trPr>
        <w:tc>
          <w:tcPr/>
          <w:p>
            <w:pPr>
              <w:pStyle w:val="Tabla9"/>
              <w:jc w:val="left"/>
            </w:pPr>
            <w:r>
              <w:t xml:space="preserve">J6</w:t>
            </w:r>
          </w:p>
        </w:tc>
        <w:tc>
          <w:tcPr/>
          <w:p>
            <w:pPr>
              <w:pStyle w:val="Tabla9"/>
              <w:jc w:val="left"/>
            </w:pPr>
            <w:r>
              <w:t xml:space="preserve">Reportes oficiales de afectación por la emergencia y diagnósticos técnicos sectoriales</w:t>
            </w:r>
          </w:p>
        </w:tc>
        <w:tc>
          <w:tcPr/>
          <w:p>
            <w:pPr>
              <w:pStyle w:val="Tabla9"/>
              <w:jc w:val="left"/>
            </w:pPr>
            <w:r>
              <w:t xml:space="preserve">Secciones 1 y 4</w:t>
            </w:r>
          </w:p>
        </w:tc>
        <w:tc>
          <w:tcPr/>
          <w:p>
            <w:pPr>
              <w:pStyle w:val="Tabla9"/>
              <w:jc w:val="left"/>
            </w:pPr>
            <w:r>
              <w:t xml:space="preserve">La afectación y su relación con la emergencia quedan sin soporte oficial</w:t>
            </w:r>
          </w:p>
        </w:tc>
      </w:tr>
      <w:tr>
        <w:trPr>
          <w:cantSplit/>
        </w:trPr>
        <w:tc>
          <w:tcPr/>
          <w:p>
            <w:pPr>
              <w:pStyle w:val="Tabla9"/>
              <w:jc w:val="left"/>
            </w:pPr>
            <w:r>
              <w:t xml:space="preserve">J7</w:t>
            </w:r>
          </w:p>
        </w:tc>
        <w:tc>
          <w:tcPr/>
          <w:p>
            <w:pPr>
              <w:pStyle w:val="Tabla9"/>
              <w:jc w:val="left"/>
            </w:pPr>
            <w:r>
              <w:t xml:space="preserve">Planes de desarrollo departamental y municipal vigentes</w:t>
            </w:r>
          </w:p>
        </w:tc>
        <w:tc>
          <w:tcPr/>
          <w:p>
            <w:pPr>
              <w:pStyle w:val="Tabla9"/>
              <w:jc w:val="left"/>
            </w:pPr>
            <w:r>
              <w:t xml:space="preserve">Sección 4</w:t>
            </w:r>
          </w:p>
        </w:tc>
        <w:tc>
          <w:tcPr/>
          <w:p>
            <w:pPr>
              <w:pStyle w:val="Tabla9"/>
              <w:jc w:val="left"/>
            </w:pPr>
            <w:r>
              <w:t xml:space="preserve">La alineación con política pública queda sin verificar</w:t>
            </w:r>
          </w:p>
        </w:tc>
      </w:tr>
      <w:tr>
        <w:trPr>
          <w:cantSplit/>
        </w:trPr>
        <w:tc>
          <w:tcPr/>
          <w:p>
            <w:pPr>
              <w:pStyle w:val="Tabla9"/>
              <w:jc w:val="left"/>
            </w:pPr>
            <w:r>
              <w:t xml:space="preserve">J8</w:t>
            </w:r>
          </w:p>
        </w:tc>
        <w:tc>
          <w:tcPr/>
          <w:p>
            <w:pPr>
              <w:pStyle w:val="Tabla9"/>
              <w:jc w:val="left"/>
            </w:pPr>
            <w:r>
              <w:t xml:space="preserve">Catálogo de productos de la MGA, sector 39, programa 3906</w:t>
            </w:r>
          </w:p>
        </w:tc>
        <w:tc>
          <w:tcPr/>
          <w:p>
            <w:pPr>
              <w:pStyle w:val="Tabla9"/>
              <w:jc w:val="left"/>
            </w:pPr>
            <w:r>
              <w:t xml:space="preserve">Sección 20</w:t>
            </w:r>
          </w:p>
        </w:tc>
        <w:tc>
          <w:tcPr/>
          <w:p>
            <w:pPr>
              <w:pStyle w:val="Tabla9"/>
              <w:jc w:val="left"/>
            </w:pPr>
            <w:r>
              <w:t xml:space="preserve">La asignación de productos MGA es PROPUESTO</w:t>
            </w:r>
          </w:p>
        </w:tc>
      </w:tr>
      <w:tr>
        <w:trPr>
          <w:cantSplit/>
        </w:trPr>
        <w:tc>
          <w:tcPr/>
          <w:p>
            <w:pPr>
              <w:pStyle w:val="Tabla9"/>
              <w:jc w:val="left"/>
            </w:pPr>
            <w:r>
              <w:t xml:space="preserve">J9</w:t>
            </w:r>
          </w:p>
        </w:tc>
        <w:tc>
          <w:tcPr/>
          <w:p>
            <w:pPr>
              <w:pStyle w:val="Tabla9"/>
              <w:jc w:val="left"/>
            </w:pPr>
            <w:r>
              <w:t xml:space="preserve">Código SIGP del proyecto</w:t>
            </w:r>
          </w:p>
        </w:tc>
        <w:tc>
          <w:tcPr/>
          <w:p>
            <w:pPr>
              <w:pStyle w:val="Tabla9"/>
              <w:jc w:val="left"/>
            </w:pPr>
            <w:r>
              <w:t xml:space="preserve">Sección 1</w:t>
            </w:r>
          </w:p>
        </w:tc>
        <w:tc>
          <w:tcPr/>
          <w:p>
            <w:pPr>
              <w:pStyle w:val="Tabla9"/>
              <w:jc w:val="left"/>
            </w:pPr>
            <w:r>
              <w:t xml:space="preserve">El proyecto no tiene código de registro</w:t>
            </w:r>
          </w:p>
        </w:tc>
      </w:tr>
      <w:tr>
        <w:trPr>
          <w:cantSplit/>
        </w:trPr>
        <w:tc>
          <w:tcPr/>
          <w:p>
            <w:pPr>
              <w:pStyle w:val="Tabla9"/>
              <w:jc w:val="left"/>
            </w:pPr>
            <w:r>
              <w:t xml:space="preserve">J10</w:t>
            </w:r>
          </w:p>
        </w:tc>
        <w:tc>
          <w:tcPr/>
          <w:p>
            <w:pPr>
              <w:pStyle w:val="Tabla9"/>
              <w:jc w:val="left"/>
            </w:pPr>
            <w:r>
              <w:t xml:space="preserve">Certificados de existencia y representación, RUT o NIT de las entidades</w:t>
            </w:r>
          </w:p>
        </w:tc>
        <w:tc>
          <w:tcPr/>
          <w:p>
            <w:pPr>
              <w:pStyle w:val="Tabla9"/>
              <w:jc w:val="left"/>
            </w:pPr>
            <w:r>
              <w:t xml:space="preserve">Requisitos administrativos</w:t>
            </w:r>
          </w:p>
        </w:tc>
        <w:tc>
          <w:tcPr/>
          <w:p>
            <w:pPr>
              <w:pStyle w:val="Tabla9"/>
              <w:jc w:val="left"/>
            </w:pPr>
            <w:r>
              <w:t xml:space="preserve">La habilitación jurídica de las entidades no se verifica</w:t>
            </w:r>
          </w:p>
        </w:tc>
      </w:tr>
      <w:tr>
        <w:trPr>
          <w:cantSplit/>
        </w:trPr>
        <w:tc>
          <w:tcPr/>
          <w:p>
            <w:pPr>
              <w:pStyle w:val="Tabla9"/>
              <w:jc w:val="left"/>
            </w:pPr>
            <w:r>
              <w:t xml:space="preserve">J11</w:t>
            </w:r>
          </w:p>
        </w:tc>
        <w:tc>
          <w:tcPr/>
          <w:p>
            <w:pPr>
              <w:pStyle w:val="Tabla9"/>
              <w:jc w:val="left"/>
            </w:pPr>
            <w:r>
              <w:t xml:space="preserve">Análisis de licencias y permisos específicos del proyecto</w:t>
            </w:r>
          </w:p>
        </w:tc>
        <w:tc>
          <w:tcPr/>
          <w:p>
            <w:pPr>
              <w:pStyle w:val="Tabla9"/>
              <w:jc w:val="left"/>
            </w:pPr>
            <w:r>
              <w:t xml:space="preserve">Sección 27</w:t>
            </w:r>
          </w:p>
        </w:tc>
        <w:tc>
          <w:tcPr/>
          <w:p>
            <w:pPr>
              <w:pStyle w:val="Tabla9"/>
              <w:jc w:val="left"/>
            </w:pPr>
            <w:r>
              <w:t xml:space="preserve">Se identifican como PROPUESTO en el anexo N</w:t>
            </w:r>
          </w:p>
        </w:tc>
      </w:tr>
    </w:tbl>
    <w:p>
      <w:pPr>
        <w:pStyle w:val="TablaNota"/>
      </w:pPr>
      <w:r>
        <w:rPr>
          <w:i/>
          <w:iCs/>
        </w:rPr>
        <w:t xml:space="preserve">Nota.</w:t>
      </w:r>
      <w:r>
        <w:t xml:space="preserve"> </w:t>
      </w:r>
      <w:r>
        <w:t xml:space="preserve">Elaboración propia con el Anexo 2 de la convocatoria. Todos los documentos están en estado VACIO [DATO_USUARIO: documentos de la convocatoria]. MGA: Metodología General Ajustada; SIGP: plataforma de registro de proyectos mencionada en el Anexo 2.</w:t>
      </w:r>
    </w:p>
    <w:bookmarkEnd w:id="700"/>
    <w:bookmarkStart w:id="701" w:name="X60af0a4d6d943c42b51a0e806ce417f70d07afe"/>
    <w:p>
      <w:pPr>
        <w:pStyle w:val="Heading2"/>
      </w:pPr>
      <w:r>
        <w:t xml:space="preserve">Anexo K. Fichas bidireccionales del análisis estructural</w:t>
      </w:r>
    </w:p>
    <w:p>
      <w:pPr>
        <w:pStyle w:val="FirstParagraph"/>
      </w:pPr>
      <w:r>
        <w:t xml:space="preserve">El Anexo K reproduce las 105 fichas bidireccionales de la sección F4.4.4 en el orden del plan paritario. Cada ficha registra los dos sentidos de influencia de un par de variables, con sus mecanismos, fundamentos, valores propuestos y estados. Los valores son juicios PROPUESTOS por la instancia analítica y ninguno equivale a una adjudicación independiente.</w:t>
      </w:r>
    </w:p>
    <w:p>
      <w:pPr>
        <w:pStyle w:val="BodyText"/>
      </w:pPr>
      <w:r>
        <w:t xml:space="preserve">**Ficha 001 · V04__V08 · clase INTER**</w:t>
      </w:r>
    </w:p>
    <w:p>
      <w:pPr>
        <w:pStyle w:val="Compact"/>
        <w:numPr>
          <w:ilvl w:val="0"/>
          <w:numId w:val="1020"/>
        </w:numPr>
      </w:pPr>
      <w:r>
        <w:rPr>
          <w:b/>
          <w:bCs/>
        </w:rPr>
        <w:t xml:space="preserve">V04→V08</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021"/>
        </w:numPr>
      </w:pPr>
      <w:r>
        <w:t xml:space="preserve">Mecanismo: Ráfagas fuertes desalinean antenas y mástiles temporales y elevan la pérdida de paquetes y el retraso de entrega.</w:t>
      </w:r>
    </w:p>
    <w:p>
      <w:pPr>
        <w:pStyle w:val="Compact"/>
        <w:numPr>
          <w:ilvl w:val="1"/>
          <w:numId w:val="1021"/>
        </w:numPr>
      </w:pPr>
      <w:r>
        <w:t xml:space="preserve">Fundamento: Premisa de la iteración previa del documento (F4.4.4). La fuente que esa iteración cita, Ali et al. (2022), es una solicitud de patente sin datos de desempeño según F-INF. La cita no respalda el mecanismo.</w:t>
      </w:r>
    </w:p>
    <w:p>
      <w:pPr>
        <w:pStyle w:val="Compact"/>
        <w:numPr>
          <w:ilvl w:val="1"/>
          <w:numId w:val="1021"/>
        </w:numPr>
      </w:pPr>
      <w:r>
        <w:t xml:space="preserve">Fuentes: F-INF, §1.3 hallazgo 3 y §2.3: las patentes del corpus, incluida Ali et al. (2022), no reportan datos de desempeño (alcance: Muestra que la cita de la iteración previa no respalda el mecanismo)</w:t>
      </w:r>
    </w:p>
    <w:p>
      <w:pPr>
        <w:pStyle w:val="Compact"/>
        <w:numPr>
          <w:ilvl w:val="1"/>
          <w:numId w:val="1021"/>
        </w:numPr>
      </w:pPr>
      <w:r>
        <w:t xml:space="preserve">Premisas: P-V04-V08: las cargas de viento sobre mástiles y antenas degradan el enlace (supuesto de escenario).</w:t>
      </w:r>
    </w:p>
    <w:p>
      <w:pPr>
        <w:pStyle w:val="Compact"/>
        <w:numPr>
          <w:ilvl w:val="1"/>
          <w:numId w:val="1021"/>
        </w:numPr>
      </w:pPr>
      <w:r>
        <w:t xml:space="preserve">Justificación del valor: Se asigna 1: el efecto es esporádico y afecta a los enlaces con antena direccional. Se descarta 2 por falta de evidencia.</w:t>
      </w:r>
    </w:p>
    <w:p>
      <w:pPr>
        <w:pStyle w:val="Compact"/>
        <w:numPr>
          <w:ilvl w:val="1"/>
          <w:numId w:val="1021"/>
        </w:numPr>
      </w:pPr>
      <w:r>
        <w:t xml:space="preserve">Ancla comparada: Igual a ANC-1. Menor que ANC-2.</w:t>
      </w:r>
    </w:p>
    <w:p>
      <w:pPr>
        <w:pStyle w:val="Compact"/>
        <w:numPr>
          <w:ilvl w:val="1"/>
          <w:numId w:val="1021"/>
        </w:numPr>
      </w:pPr>
      <w:r>
        <w:t xml:space="preserve">Explicación rival: Con antenas omnidireccionales y mástiles reforzados el valor sería 0.</w:t>
      </w:r>
    </w:p>
    <w:p>
      <w:pPr>
        <w:pStyle w:val="Compact"/>
        <w:numPr>
          <w:ilvl w:val="1"/>
          <w:numId w:val="1021"/>
        </w:numPr>
      </w:pPr>
      <w:r>
        <w:t xml:space="preserve">Mediadores del modelo: ninguno</w:t>
      </w:r>
    </w:p>
    <w:p>
      <w:pPr>
        <w:pStyle w:val="Compact"/>
        <w:numPr>
          <w:ilvl w:val="1"/>
          <w:numId w:val="1021"/>
        </w:numPr>
      </w:pPr>
      <w:r>
        <w:t xml:space="preserve">Motivo de la confianza: Cita previa invalidada. Mecanismo plausible sin fuente.</w:t>
      </w:r>
    </w:p>
    <w:p>
      <w:pPr>
        <w:pStyle w:val="Compact"/>
        <w:numPr>
          <w:ilvl w:val="0"/>
          <w:numId w:val="1020"/>
        </w:numPr>
      </w:pPr>
      <w:r>
        <w:rPr>
          <w:b/>
          <w:bCs/>
        </w:rPr>
        <w:t xml:space="preserve">V08→V04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22"/>
        </w:numPr>
      </w:pPr>
      <w:r>
        <w:t xml:space="preserve">Razón del cero: El retraso de datos no modifica el viento.</w:t>
      </w:r>
    </w:p>
    <w:p>
      <w:pPr>
        <w:pStyle w:val="Compact"/>
        <w:numPr>
          <w:ilvl w:val="1"/>
          <w:numId w:val="1022"/>
        </w:numPr>
      </w:pPr>
      <w:r>
        <w:t xml:space="preserve">Fundamento: Premisa P-0: no existe mecanismo físico, informático ni institucional que conecte V08 con V04 dentro de la frontera y el horizonte declarados.</w:t>
      </w:r>
    </w:p>
    <w:p>
      <w:pPr>
        <w:pStyle w:val="Compact"/>
        <w:numPr>
          <w:ilvl w:val="1"/>
          <w:numId w:val="1022"/>
        </w:numPr>
      </w:pPr>
      <w:r>
        <w:t xml:space="preserve">Justificación del valor: Se asigna 0 porque el retraso de datos no modifica el viento.</w:t>
      </w:r>
    </w:p>
    <w:p>
      <w:pPr>
        <w:pStyle w:val="Compact"/>
        <w:numPr>
          <w:ilvl w:val="1"/>
          <w:numId w:val="1022"/>
        </w:numPr>
      </w:pPr>
      <w:r>
        <w:t xml:space="preserve">Ancla comparada: ANC-0 (ver F4.4.2).</w:t>
      </w:r>
    </w:p>
    <w:p>
      <w:pPr>
        <w:pStyle w:val="Compact"/>
        <w:numPr>
          <w:ilvl w:val="1"/>
          <w:numId w:val="1022"/>
        </w:numPr>
      </w:pPr>
      <w:r>
        <w:t xml:space="preserve">Explicación rival: Ninguna alternativa plausible dentro de la frontera.</w:t>
      </w:r>
    </w:p>
    <w:p>
      <w:pPr>
        <w:pStyle w:val="Compact"/>
        <w:numPr>
          <w:ilvl w:val="1"/>
          <w:numId w:val="1022"/>
        </w:numPr>
      </w:pPr>
      <w:r>
        <w:t xml:space="preserve">Mediadores del modelo: ninguno</w:t>
      </w:r>
    </w:p>
    <w:p>
      <w:pPr>
        <w:pStyle w:val="Compact"/>
        <w:numPr>
          <w:ilvl w:val="1"/>
          <w:numId w:val="1022"/>
        </w:numPr>
      </w:pPr>
      <w:r>
        <w:t xml:space="preserve">Motivo de la confianza: Ausencia de mecanismo por razonamiento físico. Sin medición ni fuente específica.</w:t>
      </w:r>
    </w:p>
    <w:p>
      <w:pPr>
        <w:pStyle w:val="FirstParagraph"/>
      </w:pPr>
      <w:r>
        <w:t xml:space="preserve">**Ficha 002 · V07__V09 · clase INTRA**</w:t>
      </w:r>
    </w:p>
    <w:p>
      <w:pPr>
        <w:pStyle w:val="Compact"/>
        <w:numPr>
          <w:ilvl w:val="0"/>
          <w:numId w:val="1023"/>
        </w:numPr>
      </w:pPr>
      <w:r>
        <w:rPr>
          <w:b/>
          <w:bCs/>
        </w:rPr>
        <w:t xml:space="preserve">V07→V09</w:t>
      </w:r>
      <w:r>
        <w:t xml:space="preserve"> </w:t>
      </w:r>
      <w:r>
        <w:t xml:space="preserve">· valor</w:t>
      </w:r>
      <w:r>
        <w:t xml:space="preserve"> </w:t>
      </w:r>
      <w:r>
        <w:rPr>
          <w:b/>
          <w:bCs/>
        </w:rPr>
        <w:t xml:space="preserve">1</w:t>
      </w:r>
      <w:r>
        <w:t xml:space="preserve"> </w:t>
      </w:r>
      <w:r>
        <w:t xml:space="preserve">(admisibles: 0, 1, 2) · signo - · naturaleza INFERIDO · estado PROPUESTO · confianza MEDIA</w:t>
      </w:r>
    </w:p>
    <w:p>
      <w:pPr>
        <w:pStyle w:val="Compact"/>
        <w:numPr>
          <w:ilvl w:val="1"/>
          <w:numId w:val="1024"/>
        </w:numPr>
      </w:pPr>
      <w:r>
        <w:t xml:space="preserve">Mecanismo: La calibración consume energía y puede sacar el nodo de línea durante reinicios de software.</w:t>
      </w:r>
    </w:p>
    <w:p>
      <w:pPr>
        <w:pStyle w:val="Compact"/>
        <w:numPr>
          <w:ilvl w:val="1"/>
          <w:numId w:val="1024"/>
        </w:numPr>
      </w:pPr>
      <w:r>
        <w:t xml:space="preserve">Fundamento: Ledger E3-P04, fila V07-&gt;V09 (PROPUESTO, magnitud 1, signo -).</w:t>
      </w:r>
    </w:p>
    <w:p>
      <w:pPr>
        <w:pStyle w:val="Compact"/>
        <w:numPr>
          <w:ilvl w:val="1"/>
          <w:numId w:val="1024"/>
        </w:numPr>
      </w:pPr>
      <w:r>
        <w:t xml:space="preserve">Fuentes: F-E3, E3-P04 §12, fila V07-&gt;V09 (alcance: Valor heredado)</w:t>
      </w:r>
    </w:p>
    <w:p>
      <w:pPr>
        <w:pStyle w:val="Compact"/>
        <w:numPr>
          <w:ilvl w:val="1"/>
          <w:numId w:val="1024"/>
        </w:numPr>
      </w:pPr>
      <w:r>
        <w:t xml:space="preserve">Justificación del valor: Se asigna 1: el costo es periódico y breve. Se descarta 2 porque el modelo ligero ejecuta pocos ciclos.</w:t>
      </w:r>
    </w:p>
    <w:p>
      <w:pPr>
        <w:pStyle w:val="Compact"/>
        <w:numPr>
          <w:ilvl w:val="1"/>
          <w:numId w:val="1024"/>
        </w:numPr>
      </w:pPr>
      <w:r>
        <w:t xml:space="preserve">Ancla comparada: Igual a ANC-1.</w:t>
      </w:r>
    </w:p>
    <w:p>
      <w:pPr>
        <w:pStyle w:val="Compact"/>
        <w:numPr>
          <w:ilvl w:val="1"/>
          <w:numId w:val="1024"/>
        </w:numPr>
      </w:pPr>
      <w:r>
        <w:t xml:space="preserve">Explicación rival: Con calibración sin reinicio el valor sería 0.</w:t>
      </w:r>
    </w:p>
    <w:p>
      <w:pPr>
        <w:pStyle w:val="Compact"/>
        <w:numPr>
          <w:ilvl w:val="1"/>
          <w:numId w:val="1024"/>
        </w:numPr>
      </w:pPr>
      <w:r>
        <w:t xml:space="preserve">Mediadores del modelo: ninguno</w:t>
      </w:r>
    </w:p>
    <w:p>
      <w:pPr>
        <w:pStyle w:val="Compact"/>
        <w:numPr>
          <w:ilvl w:val="1"/>
          <w:numId w:val="1024"/>
        </w:numPr>
      </w:pPr>
      <w:r>
        <w:t xml:space="preserve">Motivo de la confianza: Valor heredado y consistente con el diseño de bajo consumo.</w:t>
      </w:r>
    </w:p>
    <w:p>
      <w:pPr>
        <w:pStyle w:val="Compact"/>
        <w:numPr>
          <w:ilvl w:val="0"/>
          <w:numId w:val="1023"/>
        </w:numPr>
      </w:pPr>
      <w:r>
        <w:rPr>
          <w:b/>
          <w:bCs/>
        </w:rPr>
        <w:t xml:space="preserve">V09→V07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25"/>
        </w:numPr>
      </w:pPr>
      <w:r>
        <w:t xml:space="preserve">Razón del cero: La disponibilidad de nodos no fija la frecuencia de calibración por nodo.</w:t>
      </w:r>
    </w:p>
    <w:p>
      <w:pPr>
        <w:pStyle w:val="Compact"/>
        <w:numPr>
          <w:ilvl w:val="1"/>
          <w:numId w:val="1025"/>
        </w:numPr>
      </w:pPr>
      <w:r>
        <w:t xml:space="preserve">Fundamento: Premisa P-0: no existe mecanismo físico, informático ni institucional que conecte V09 con V07 dentro de la frontera y el horizonte declarados.</w:t>
      </w:r>
    </w:p>
    <w:p>
      <w:pPr>
        <w:pStyle w:val="Compact"/>
        <w:numPr>
          <w:ilvl w:val="1"/>
          <w:numId w:val="1025"/>
        </w:numPr>
      </w:pPr>
      <w:r>
        <w:t xml:space="preserve">Justificación del valor: Se asigna 0 porque la disponibilidad de nodos no fija la frecuencia de calibración por nodo.</w:t>
      </w:r>
    </w:p>
    <w:p>
      <w:pPr>
        <w:pStyle w:val="Compact"/>
        <w:numPr>
          <w:ilvl w:val="1"/>
          <w:numId w:val="1025"/>
        </w:numPr>
      </w:pPr>
      <w:r>
        <w:t xml:space="preserve">Ancla comparada: ANC-0 (ver F4.4.2).</w:t>
      </w:r>
    </w:p>
    <w:p>
      <w:pPr>
        <w:pStyle w:val="Compact"/>
        <w:numPr>
          <w:ilvl w:val="1"/>
          <w:numId w:val="1025"/>
        </w:numPr>
      </w:pPr>
      <w:r>
        <w:t xml:space="preserve">Explicación rival: Menos nodos disminuyen la carga total de calibración. La frecuencia por nodo no cambia.</w:t>
      </w:r>
    </w:p>
    <w:p>
      <w:pPr>
        <w:pStyle w:val="Compact"/>
        <w:numPr>
          <w:ilvl w:val="1"/>
          <w:numId w:val="1025"/>
        </w:numPr>
      </w:pPr>
      <w:r>
        <w:t xml:space="preserve">Mediadores del modelo: ninguno</w:t>
      </w:r>
    </w:p>
    <w:p>
      <w:pPr>
        <w:pStyle w:val="Compact"/>
        <w:numPr>
          <w:ilvl w:val="1"/>
          <w:numId w:val="1025"/>
        </w:numPr>
      </w:pPr>
      <w:r>
        <w:t xml:space="preserve">Motivo de la confianza: Ausencia de mecanismo por razonamiento físico. Sin medición ni fuente específica.</w:t>
      </w:r>
    </w:p>
    <w:p>
      <w:pPr>
        <w:pStyle w:val="FirstParagraph"/>
      </w:pPr>
      <w:r>
        <w:t xml:space="preserve">**Ficha 003 · V06__V14 · clase INTER**</w:t>
      </w:r>
    </w:p>
    <w:p>
      <w:pPr>
        <w:pStyle w:val="Compact"/>
        <w:numPr>
          <w:ilvl w:val="0"/>
          <w:numId w:val="1026"/>
        </w:numPr>
      </w:pPr>
      <w:r>
        <w:rPr>
          <w:b/>
          <w:bCs/>
        </w:rPr>
        <w:t xml:space="preserve">V06→V14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27"/>
        </w:numPr>
      </w:pPr>
      <w:r>
        <w:t xml:space="preserve">Razón del cero: El error afecta la protección efectiva mediante el índice (V11) y las alertas (V12). No actúa de forma directa.</w:t>
      </w:r>
    </w:p>
    <w:p>
      <w:pPr>
        <w:pStyle w:val="Compact"/>
        <w:numPr>
          <w:ilvl w:val="1"/>
          <w:numId w:val="1027"/>
        </w:numPr>
      </w:pPr>
      <w:r>
        <w:t xml:space="preserve">Fundamento: Premisa P-M: la influencia de V06 sobre V14 opera solo a través de V11, V12. Se puntúa en los pares V06→V11 y V11→V14, V06→V12 y V12→V14. No se duplica aquí.</w:t>
      </w:r>
    </w:p>
    <w:p>
      <w:pPr>
        <w:pStyle w:val="Compact"/>
        <w:numPr>
          <w:ilvl w:val="1"/>
          <w:numId w:val="1027"/>
        </w:numPr>
      </w:pPr>
      <w:r>
        <w:t xml:space="preserve">Justificación del valor: Se asigna 0 porque el error afecta la protección efectiva mediante el índice (V11) y las alertas (V12). No actúa de forma directa.</w:t>
      </w:r>
    </w:p>
    <w:p>
      <w:pPr>
        <w:pStyle w:val="Compact"/>
        <w:numPr>
          <w:ilvl w:val="1"/>
          <w:numId w:val="1027"/>
        </w:numPr>
      </w:pPr>
      <w:r>
        <w:t xml:space="preserve">Ancla comparada: ANC-0 (ver F4.4.2).</w:t>
      </w:r>
    </w:p>
    <w:p>
      <w:pPr>
        <w:pStyle w:val="Compact"/>
        <w:numPr>
          <w:ilvl w:val="1"/>
          <w:numId w:val="1027"/>
        </w:numPr>
      </w:pPr>
      <w:r>
        <w:t xml:space="preserve">Explicación rival: Ninguna alternativa plausible dentro de la frontera.</w:t>
      </w:r>
    </w:p>
    <w:p>
      <w:pPr>
        <w:pStyle w:val="Compact"/>
        <w:numPr>
          <w:ilvl w:val="1"/>
          <w:numId w:val="1027"/>
        </w:numPr>
      </w:pPr>
      <w:r>
        <w:t xml:space="preserve">Mediadores del modelo: V11, V12</w:t>
      </w:r>
    </w:p>
    <w:p>
      <w:pPr>
        <w:pStyle w:val="Compact"/>
        <w:numPr>
          <w:ilvl w:val="1"/>
          <w:numId w:val="1027"/>
        </w:numPr>
      </w:pPr>
      <w:r>
        <w:t xml:space="preserve">Motivo de la confianza: Ruta indirecta explícita en el modelo.</w:t>
      </w:r>
    </w:p>
    <w:p>
      <w:pPr>
        <w:pStyle w:val="Compact"/>
        <w:numPr>
          <w:ilvl w:val="0"/>
          <w:numId w:val="1026"/>
        </w:numPr>
      </w:pPr>
      <w:r>
        <w:rPr>
          <w:b/>
          <w:bCs/>
        </w:rPr>
        <w:t xml:space="preserve">V14→V06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28"/>
        </w:numPr>
      </w:pPr>
      <w:r>
        <w:t xml:space="preserve">Razón del cero: El número de personas protegidas no modifica el error del sensor.</w:t>
      </w:r>
    </w:p>
    <w:p>
      <w:pPr>
        <w:pStyle w:val="Compact"/>
        <w:numPr>
          <w:ilvl w:val="1"/>
          <w:numId w:val="1028"/>
        </w:numPr>
      </w:pPr>
      <w:r>
        <w:t xml:space="preserve">Fundamento: Premisa P-0: no existe mecanismo físico, informático ni institucional que conecte V14 con V06 dentro de la frontera y el horizonte declarados.</w:t>
      </w:r>
    </w:p>
    <w:p>
      <w:pPr>
        <w:pStyle w:val="Compact"/>
        <w:numPr>
          <w:ilvl w:val="1"/>
          <w:numId w:val="1028"/>
        </w:numPr>
      </w:pPr>
      <w:r>
        <w:t xml:space="preserve">Justificación del valor: Se asigna 0 porque el número de personas protegidas no modifica el error del sensor.</w:t>
      </w:r>
    </w:p>
    <w:p>
      <w:pPr>
        <w:pStyle w:val="Compact"/>
        <w:numPr>
          <w:ilvl w:val="1"/>
          <w:numId w:val="1028"/>
        </w:numPr>
      </w:pPr>
      <w:r>
        <w:t xml:space="preserve">Ancla comparada: ANC-0 (ver F4.4.2).</w:t>
      </w:r>
    </w:p>
    <w:p>
      <w:pPr>
        <w:pStyle w:val="Compact"/>
        <w:numPr>
          <w:ilvl w:val="1"/>
          <w:numId w:val="1028"/>
        </w:numPr>
      </w:pPr>
      <w:r>
        <w:t xml:space="preserve">Explicación rival: Ninguna alternativa plausible dentro de la frontera.</w:t>
      </w:r>
    </w:p>
    <w:p>
      <w:pPr>
        <w:pStyle w:val="Compact"/>
        <w:numPr>
          <w:ilvl w:val="1"/>
          <w:numId w:val="1028"/>
        </w:numPr>
      </w:pPr>
      <w:r>
        <w:t xml:space="preserve">Mediadores del modelo: ninguno</w:t>
      </w:r>
    </w:p>
    <w:p>
      <w:pPr>
        <w:pStyle w:val="Compact"/>
        <w:numPr>
          <w:ilvl w:val="1"/>
          <w:numId w:val="1028"/>
        </w:numPr>
      </w:pPr>
      <w:r>
        <w:t xml:space="preserve">Motivo de la confianza: Ausencia de mecanismo por razonamiento físico. Sin medición ni fuente específica.</w:t>
      </w:r>
    </w:p>
    <w:p>
      <w:pPr>
        <w:pStyle w:val="FirstParagraph"/>
      </w:pPr>
      <w:r>
        <w:t xml:space="preserve">**Ficha 004 · V06__V08 · clase INTRA**</w:t>
      </w:r>
    </w:p>
    <w:p>
      <w:pPr>
        <w:pStyle w:val="Compact"/>
        <w:numPr>
          <w:ilvl w:val="0"/>
          <w:numId w:val="1029"/>
        </w:numPr>
      </w:pPr>
      <w:r>
        <w:rPr>
          <w:b/>
          <w:bCs/>
        </w:rPr>
        <w:t xml:space="preserve">V06→V08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0"/>
        </w:numPr>
      </w:pPr>
      <w:r>
        <w:t xml:space="preserve">Razón del cero: El error de medición no cambia el retraso de transmisión.</w:t>
      </w:r>
    </w:p>
    <w:p>
      <w:pPr>
        <w:pStyle w:val="Compact"/>
        <w:numPr>
          <w:ilvl w:val="1"/>
          <w:numId w:val="1030"/>
        </w:numPr>
      </w:pPr>
      <w:r>
        <w:t xml:space="preserve">Fundamento: Premisa P-0: no existe mecanismo físico, informático ni institucional que conecte V06 con V08 dentro de la frontera y el horizonte declarados.</w:t>
      </w:r>
    </w:p>
    <w:p>
      <w:pPr>
        <w:pStyle w:val="Compact"/>
        <w:numPr>
          <w:ilvl w:val="1"/>
          <w:numId w:val="1030"/>
        </w:numPr>
      </w:pPr>
      <w:r>
        <w:t xml:space="preserve">Justificación del valor: Se asigna 0 porque el error de medición no cambia el retraso de transmisión.</w:t>
      </w:r>
    </w:p>
    <w:p>
      <w:pPr>
        <w:pStyle w:val="Compact"/>
        <w:numPr>
          <w:ilvl w:val="1"/>
          <w:numId w:val="1030"/>
        </w:numPr>
      </w:pPr>
      <w:r>
        <w:t xml:space="preserve">Ancla comparada: ANC-0 (ver F4.4.2).</w:t>
      </w:r>
    </w:p>
    <w:p>
      <w:pPr>
        <w:pStyle w:val="Compact"/>
        <w:numPr>
          <w:ilvl w:val="1"/>
          <w:numId w:val="1030"/>
        </w:numPr>
      </w:pPr>
      <w:r>
        <w:t xml:space="preserve">Explicación rival: Los disparos espurios por error aumentan el tráfico. El efecto es de segundo orden y se refleja en V06-&gt;V09.</w:t>
      </w:r>
    </w:p>
    <w:p>
      <w:pPr>
        <w:pStyle w:val="Compact"/>
        <w:numPr>
          <w:ilvl w:val="1"/>
          <w:numId w:val="1030"/>
        </w:numPr>
      </w:pPr>
      <w:r>
        <w:t xml:space="preserve">Mediadores del modelo: ninguno</w:t>
      </w:r>
    </w:p>
    <w:p>
      <w:pPr>
        <w:pStyle w:val="Compact"/>
        <w:numPr>
          <w:ilvl w:val="1"/>
          <w:numId w:val="1030"/>
        </w:numPr>
      </w:pPr>
      <w:r>
        <w:t xml:space="preserve">Motivo de la confianza: Ausencia de mecanismo por razonamiento físico. Sin medición ni fuente específica.</w:t>
      </w:r>
    </w:p>
    <w:p>
      <w:pPr>
        <w:pStyle w:val="Compact"/>
        <w:numPr>
          <w:ilvl w:val="0"/>
          <w:numId w:val="1029"/>
        </w:numPr>
      </w:pPr>
      <w:r>
        <w:rPr>
          <w:b/>
          <w:bCs/>
        </w:rPr>
        <w:t xml:space="preserve">V08→V06</w:t>
      </w:r>
      <w:r>
        <w:t xml:space="preserve"> </w:t>
      </w:r>
      <w:r>
        <w:t xml:space="preserve">· valor</w:t>
      </w:r>
      <w:r>
        <w:t xml:space="preserve"> </w:t>
      </w:r>
      <w:r>
        <w:rPr>
          <w:b/>
          <w:bCs/>
        </w:rPr>
        <w:t xml:space="preserve">0</w:t>
      </w:r>
      <w:r>
        <w:t xml:space="preserve"> </w:t>
      </w:r>
      <w:r>
        <w:t xml:space="preserve">(admisibles: 0, 1, 2) · signo NO_APLICA · naturaleza INFERIDO · estado PROPUESTO · confianza MEDIA</w:t>
      </w:r>
    </w:p>
    <w:p>
      <w:pPr>
        <w:pStyle w:val="Compact"/>
        <w:numPr>
          <w:ilvl w:val="1"/>
          <w:numId w:val="1031"/>
        </w:numPr>
      </w:pPr>
      <w:r>
        <w:t xml:space="preserve">Razón del cero: El retraso de transmisión no cambia el error del sensor si el nodo estampa el tiempo en origen. Solo afecta la calibración cuando la marca de tiempo se asigna a la llegada del paquete.</w:t>
      </w:r>
    </w:p>
    <w:p>
      <w:pPr>
        <w:pStyle w:val="Compact"/>
        <w:numPr>
          <w:ilvl w:val="1"/>
          <w:numId w:val="1031"/>
        </w:numPr>
      </w:pPr>
      <w:r>
        <w:t xml:space="preserve">Fundamento: Premisa P-0: no existe mecanismo físico, informático ni institucional que conecte V08 con V06 dentro de la frontera y el horizonte declarados.</w:t>
      </w:r>
    </w:p>
    <w:p>
      <w:pPr>
        <w:pStyle w:val="Compact"/>
        <w:numPr>
          <w:ilvl w:val="1"/>
          <w:numId w:val="1031"/>
        </w:numPr>
      </w:pPr>
      <w:r>
        <w:t xml:space="preserve">Justificación del valor: Se asigna 0 porque el retraso de transmisión no cambia el error del sensor si el nodo estampa el tiempo en origen. Solo afecta la calibración cuando la marca de tiempo se asigna a la llegada del paquete.</w:t>
      </w:r>
    </w:p>
    <w:p>
      <w:pPr>
        <w:pStyle w:val="Compact"/>
        <w:numPr>
          <w:ilvl w:val="1"/>
          <w:numId w:val="1031"/>
        </w:numPr>
      </w:pPr>
      <w:r>
        <w:t xml:space="preserve">Ancla comparada: ANC-0 (ver F4.4.2).</w:t>
      </w:r>
    </w:p>
    <w:p>
      <w:pPr>
        <w:pStyle w:val="Compact"/>
        <w:numPr>
          <w:ilvl w:val="1"/>
          <w:numId w:val="1031"/>
        </w:numPr>
      </w:pPr>
      <w:r>
        <w:t xml:space="preserve">Explicación rival: La iteración previa asigna 2 apoyándose en el desfase de 35 minutos de Bang et al.. Ese desfase es temporal entre sensor y estación, no latencia de red (hallazgo H-AH de la revisión).</w:t>
      </w:r>
    </w:p>
    <w:p>
      <w:pPr>
        <w:pStyle w:val="Compact"/>
        <w:numPr>
          <w:ilvl w:val="1"/>
          <w:numId w:val="1031"/>
        </w:numPr>
      </w:pPr>
      <w:r>
        <w:t xml:space="preserve">Mediadores del modelo: ninguno</w:t>
      </w:r>
    </w:p>
    <w:p>
      <w:pPr>
        <w:pStyle w:val="Compact"/>
        <w:numPr>
          <w:ilvl w:val="1"/>
          <w:numId w:val="1031"/>
        </w:numPr>
      </w:pPr>
      <w:r>
        <w:t xml:space="preserve">Motivo de la confianza: Depende de si el sello de tiempo se asigna en origen. Diseño no fijado en el expediente.</w:t>
      </w:r>
    </w:p>
    <w:p>
      <w:pPr>
        <w:pStyle w:val="FirstParagraph"/>
      </w:pPr>
      <w:r>
        <w:t xml:space="preserve">**Ficha 005 · V05__V10 · clase INTER**</w:t>
      </w:r>
    </w:p>
    <w:p>
      <w:pPr>
        <w:pStyle w:val="Compact"/>
        <w:numPr>
          <w:ilvl w:val="0"/>
          <w:numId w:val="1032"/>
        </w:numPr>
      </w:pPr>
      <w:r>
        <w:rPr>
          <w:b/>
          <w:bCs/>
        </w:rPr>
        <w:t xml:space="preserve">V05→V10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3"/>
        </w:numPr>
      </w:pPr>
      <w:r>
        <w:t xml:space="preserve">Razón del cero: El volumen de escombros no cambia la cantidad de nodos por km² diseñada. La pérdida física se puntúa en V05-&gt;V09.</w:t>
      </w:r>
    </w:p>
    <w:p>
      <w:pPr>
        <w:pStyle w:val="Compact"/>
        <w:numPr>
          <w:ilvl w:val="1"/>
          <w:numId w:val="1033"/>
        </w:numPr>
      </w:pPr>
      <w:r>
        <w:t xml:space="preserve">Fundamento: Premisa P-0: no existe mecanismo físico, informático ni institucional que conecte V05 con V10 dentro de la frontera y el horizonte declarados.</w:t>
      </w:r>
    </w:p>
    <w:p>
      <w:pPr>
        <w:pStyle w:val="Compact"/>
        <w:numPr>
          <w:ilvl w:val="1"/>
          <w:numId w:val="1033"/>
        </w:numPr>
      </w:pPr>
      <w:r>
        <w:t xml:space="preserve">Justificación del valor: Se asigna 0 porque el volumen de escombros no cambia la cantidad de nodos por km² diseñada. La pérdida física se puntúa en V05-&gt;V09.</w:t>
      </w:r>
    </w:p>
    <w:p>
      <w:pPr>
        <w:pStyle w:val="Compact"/>
        <w:numPr>
          <w:ilvl w:val="1"/>
          <w:numId w:val="1033"/>
        </w:numPr>
      </w:pPr>
      <w:r>
        <w:t xml:space="preserve">Ancla comparada: ANC-0 (ver F4.4.2).</w:t>
      </w:r>
    </w:p>
    <w:p>
      <w:pPr>
        <w:pStyle w:val="Compact"/>
        <w:numPr>
          <w:ilvl w:val="1"/>
          <w:numId w:val="1033"/>
        </w:numPr>
      </w:pPr>
      <w:r>
        <w:t xml:space="preserve">Explicación rival: Ninguna alternativa plausible dentro de la frontera.</w:t>
      </w:r>
    </w:p>
    <w:p>
      <w:pPr>
        <w:pStyle w:val="Compact"/>
        <w:numPr>
          <w:ilvl w:val="1"/>
          <w:numId w:val="1033"/>
        </w:numPr>
      </w:pPr>
      <w:r>
        <w:t xml:space="preserve">Mediadores del modelo: ninguno</w:t>
      </w:r>
    </w:p>
    <w:p>
      <w:pPr>
        <w:pStyle w:val="Compact"/>
        <w:numPr>
          <w:ilvl w:val="1"/>
          <w:numId w:val="1033"/>
        </w:numPr>
      </w:pPr>
      <w:r>
        <w:t xml:space="preserve">Motivo de la confianza: Ausencia de mecanismo por razonamiento físico. Sin medición ni fuente específica.</w:t>
      </w:r>
    </w:p>
    <w:p>
      <w:pPr>
        <w:pStyle w:val="Compact"/>
        <w:numPr>
          <w:ilvl w:val="0"/>
          <w:numId w:val="1032"/>
        </w:numPr>
      </w:pPr>
      <w:r>
        <w:rPr>
          <w:b/>
          <w:bCs/>
        </w:rPr>
        <w:t xml:space="preserve">V10→V05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4"/>
        </w:numPr>
      </w:pPr>
      <w:r>
        <w:t xml:space="preserve">Razón del cero: La densidad de nodos no cambia las toneladas de escombros removidas.</w:t>
      </w:r>
    </w:p>
    <w:p>
      <w:pPr>
        <w:pStyle w:val="Compact"/>
        <w:numPr>
          <w:ilvl w:val="1"/>
          <w:numId w:val="1034"/>
        </w:numPr>
      </w:pPr>
      <w:r>
        <w:t xml:space="preserve">Fundamento: Premisa P-0: no existe mecanismo físico, informático ni institucional que conecte V10 con V05 dentro de la frontera y el horizonte declarados.</w:t>
      </w:r>
    </w:p>
    <w:p>
      <w:pPr>
        <w:pStyle w:val="Compact"/>
        <w:numPr>
          <w:ilvl w:val="1"/>
          <w:numId w:val="1034"/>
        </w:numPr>
      </w:pPr>
      <w:r>
        <w:t xml:space="preserve">Justificación del valor: Se asigna 0 porque la densidad de nodos no cambia las toneladas de escombros removidas.</w:t>
      </w:r>
    </w:p>
    <w:p>
      <w:pPr>
        <w:pStyle w:val="Compact"/>
        <w:numPr>
          <w:ilvl w:val="1"/>
          <w:numId w:val="1034"/>
        </w:numPr>
      </w:pPr>
      <w:r>
        <w:t xml:space="preserve">Ancla comparada: ANC-0 (ver F4.4.2).</w:t>
      </w:r>
    </w:p>
    <w:p>
      <w:pPr>
        <w:pStyle w:val="Compact"/>
        <w:numPr>
          <w:ilvl w:val="1"/>
          <w:numId w:val="1034"/>
        </w:numPr>
      </w:pPr>
      <w:r>
        <w:t xml:space="preserve">Explicación rival: Ninguna alternativa plausible dentro de la frontera.</w:t>
      </w:r>
    </w:p>
    <w:p>
      <w:pPr>
        <w:pStyle w:val="Compact"/>
        <w:numPr>
          <w:ilvl w:val="1"/>
          <w:numId w:val="1034"/>
        </w:numPr>
      </w:pPr>
      <w:r>
        <w:t xml:space="preserve">Mediadores del modelo: ninguno</w:t>
      </w:r>
    </w:p>
    <w:p>
      <w:pPr>
        <w:pStyle w:val="Compact"/>
        <w:numPr>
          <w:ilvl w:val="1"/>
          <w:numId w:val="1034"/>
        </w:numPr>
      </w:pPr>
      <w:r>
        <w:t xml:space="preserve">Motivo de la confianza: Ausencia de mecanismo por razonamiento físico. Sin medición ni fuente específica.</w:t>
      </w:r>
    </w:p>
    <w:p>
      <w:pPr>
        <w:pStyle w:val="FirstParagraph"/>
      </w:pPr>
      <w:r>
        <w:t xml:space="preserve">**Ficha 006 · V14__V15 · clase INTRA**</w:t>
      </w:r>
    </w:p>
    <w:p>
      <w:pPr>
        <w:pStyle w:val="Compact"/>
        <w:numPr>
          <w:ilvl w:val="0"/>
          <w:numId w:val="1035"/>
        </w:numPr>
      </w:pPr>
      <w:r>
        <w:rPr>
          <w:b/>
          <w:bCs/>
        </w:rPr>
        <w:t xml:space="preserve">V14→V15</w:t>
      </w:r>
      <w:r>
        <w:t xml:space="preserve"> </w:t>
      </w:r>
      <w:r>
        <w:t xml:space="preserve">· valor</w:t>
      </w:r>
      <w:r>
        <w:t xml:space="preserve"> </w:t>
      </w:r>
      <w:r>
        <w:rPr>
          <w:b/>
          <w:bCs/>
        </w:rPr>
        <w:t xml:space="preserve">2</w:t>
      </w:r>
      <w:r>
        <w:t xml:space="preserve"> </w:t>
      </w:r>
      <w:r>
        <w:t xml:space="preserve">(admisibles: 1, 2) · signo + · naturaleza INFERIDO · estado PROPUESTO · confianza MEDIA</w:t>
      </w:r>
    </w:p>
    <w:p>
      <w:pPr>
        <w:pStyle w:val="Compact"/>
        <w:numPr>
          <w:ilvl w:val="1"/>
          <w:numId w:val="1036"/>
        </w:numPr>
      </w:pPr>
      <w:r>
        <w:t xml:space="preserve">Mecanismo: La protección demostrada de personas legitima el sistema ante las autoridades y sostiene su uso y su financiamiento.</w:t>
      </w:r>
    </w:p>
    <w:p>
      <w:pPr>
        <w:pStyle w:val="Compact"/>
        <w:numPr>
          <w:ilvl w:val="1"/>
          <w:numId w:val="1036"/>
        </w:numPr>
      </w:pPr>
      <w:r>
        <w:t xml:space="preserve">Fundamento: Ledger E3-P04, fila V14-&gt;V15 (INFERIDO, magnitud 2). F-INF §2.3 y §1.3 señalan como falsa causa la atribución de efectividad de SIATA. El caso asocia ausencia de víctimas con inversión (Ruiz-Carrascal et al., 2026, pp. 3 y 5).</w:t>
      </w:r>
    </w:p>
    <w:p>
      <w:pPr>
        <w:pStyle w:val="Compact"/>
        <w:numPr>
          <w:ilvl w:val="1"/>
          <w:numId w:val="1036"/>
        </w:numPr>
      </w:pPr>
      <w:r>
        <w:t xml:space="preserve">Fuentes: F-E3, E3-P04 §12, fila V14-&gt;V15 (alcance: Valor heredado); F-INF, §2.3 (falsa causa en Ruiz-Carrascal et al., 2026, pp. 3 y 5) (alcance: Cita secundaria sobre atribución de efectividad)</w:t>
      </w:r>
    </w:p>
    <w:p>
      <w:pPr>
        <w:pStyle w:val="Compact"/>
        <w:numPr>
          <w:ilvl w:val="1"/>
          <w:numId w:val="1036"/>
        </w:numPr>
      </w:pPr>
      <w:r>
        <w:t xml:space="preserve">Justificación del valor: Se asigna 2. La cobertura reportada sirve como argumento de legitimidad. El cálculo de beneficios es incierto y el ciclo presupuestal modera el efecto.</w:t>
      </w:r>
    </w:p>
    <w:p>
      <w:pPr>
        <w:pStyle w:val="Compact"/>
        <w:numPr>
          <w:ilvl w:val="1"/>
          <w:numId w:val="1036"/>
        </w:numPr>
      </w:pPr>
      <w:r>
        <w:t xml:space="preserve">Ancla comparada: Igual a ANC-2.</w:t>
      </w:r>
    </w:p>
    <w:p>
      <w:pPr>
        <w:pStyle w:val="Compact"/>
        <w:numPr>
          <w:ilvl w:val="1"/>
          <w:numId w:val="1036"/>
        </w:numPr>
      </w:pPr>
      <w:r>
        <w:t xml:space="preserve">Explicación rival: Si las instituciones solo valoran resultados de salud medidos, el valor sería 1 durante los primeros 24 meses.</w:t>
      </w:r>
    </w:p>
    <w:p>
      <w:pPr>
        <w:pStyle w:val="Compact"/>
        <w:numPr>
          <w:ilvl w:val="1"/>
          <w:numId w:val="1036"/>
        </w:numPr>
      </w:pPr>
      <w:r>
        <w:t xml:space="preserve">Mediadores del modelo: ninguno</w:t>
      </w:r>
    </w:p>
    <w:p>
      <w:pPr>
        <w:pStyle w:val="Compact"/>
        <w:numPr>
          <w:ilvl w:val="1"/>
          <w:numId w:val="1036"/>
        </w:numPr>
      </w:pPr>
      <w:r>
        <w:t xml:space="preserve">Motivo de la confianza: Mecanismo plausible. La atribución de efectividad en el caso de referencia es frágil.</w:t>
      </w:r>
    </w:p>
    <w:p>
      <w:pPr>
        <w:pStyle w:val="Compact"/>
        <w:numPr>
          <w:ilvl w:val="0"/>
          <w:numId w:val="1035"/>
        </w:numPr>
      </w:pPr>
      <w:r>
        <w:rPr>
          <w:b/>
          <w:bCs/>
        </w:rPr>
        <w:t xml:space="preserve">V15→V14</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037"/>
        </w:numPr>
      </w:pPr>
      <w:r>
        <w:t xml:space="preserve">Mecanismo: Las instituciones que usan el tablero ejecutan protocolos en el Puesto de Mando Unificado y difunden alertas a cuadrillas y comunidades. Sin ese uso el índice no llega a las personas.</w:t>
      </w:r>
    </w:p>
    <w:p>
      <w:pPr>
        <w:pStyle w:val="Compact"/>
        <w:numPr>
          <w:ilvl w:val="1"/>
          <w:numId w:val="1037"/>
        </w:numPr>
      </w:pPr>
      <w:r>
        <w:t xml:space="preserve">Fundamento: E3-P17: las alcaldías son responsables de la emisión de alertas (matriz RACI); E3-P18, artefactos P17 y P22.</w:t>
      </w:r>
    </w:p>
    <w:p>
      <w:pPr>
        <w:pStyle w:val="Compact"/>
        <w:numPr>
          <w:ilvl w:val="1"/>
          <w:numId w:val="1037"/>
        </w:numPr>
      </w:pPr>
      <w:r>
        <w:t xml:space="preserve">Fuentes: F-E3, E3-P17 §12 (fila Emisión de alertas M4: Alcaldías A); E3-P18, P17 y P22 (alcance: Responsabilidad propuesta, no firmada)</w:t>
      </w:r>
    </w:p>
    <w:p>
      <w:pPr>
        <w:pStyle w:val="Compact"/>
        <w:numPr>
          <w:ilvl w:val="1"/>
          <w:numId w:val="1037"/>
        </w:numPr>
      </w:pPr>
      <w:r>
        <w:t xml:space="preserve">Justificación del valor: Se asigna 2: el uso institucional es condición para que la información llegue a las personas. El canal puede suplirse parcialmente con comunicación directa a las cuadrillas.</w:t>
      </w:r>
    </w:p>
    <w:p>
      <w:pPr>
        <w:pStyle w:val="Compact"/>
        <w:numPr>
          <w:ilvl w:val="1"/>
          <w:numId w:val="1037"/>
        </w:numPr>
      </w:pPr>
      <w:r>
        <w:t xml:space="preserve">Ancla comparada: Igual a ANC-2.</w:t>
      </w:r>
    </w:p>
    <w:p>
      <w:pPr>
        <w:pStyle w:val="Compact"/>
        <w:numPr>
          <w:ilvl w:val="1"/>
          <w:numId w:val="1037"/>
        </w:numPr>
      </w:pPr>
      <w:r>
        <w:t xml:space="preserve">Explicación rival: Si la protección depende solo de la comunicación directa a las cuadrillas, el valor sería 1.</w:t>
      </w:r>
    </w:p>
    <w:p>
      <w:pPr>
        <w:pStyle w:val="Compact"/>
        <w:numPr>
          <w:ilvl w:val="1"/>
          <w:numId w:val="1037"/>
        </w:numPr>
      </w:pPr>
      <w:r>
        <w:t xml:space="preserve">Mediadores del modelo: ninguno</w:t>
      </w:r>
    </w:p>
    <w:p>
      <w:pPr>
        <w:pStyle w:val="Compact"/>
        <w:numPr>
          <w:ilvl w:val="1"/>
          <w:numId w:val="1037"/>
        </w:numPr>
      </w:pPr>
      <w:r>
        <w:t xml:space="preserve">Motivo de la confianza: Condición institucional descrita en el diseño. Sin protocolo vigente.</w:t>
      </w:r>
    </w:p>
    <w:p>
      <w:pPr>
        <w:pStyle w:val="FirstParagraph"/>
      </w:pPr>
      <w:r>
        <w:t xml:space="preserve">**Ficha 007 · V03__V11 · clase INTER**</w:t>
      </w:r>
    </w:p>
    <w:p>
      <w:pPr>
        <w:pStyle w:val="Compact"/>
        <w:numPr>
          <w:ilvl w:val="0"/>
          <w:numId w:val="1038"/>
        </w:numPr>
      </w:pPr>
      <w:r>
        <w:rPr>
          <w:b/>
          <w:bCs/>
        </w:rPr>
        <w:t xml:space="preserve">V03→V11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39"/>
        </w:numPr>
      </w:pPr>
      <w:r>
        <w:t xml:space="preserve">Razón del cero: La humedad no entra al cálculo del índice de peligro de PM. Su efecto aparece por el sesgo de medición (V06) o la concentración (V01, V02).</w:t>
      </w:r>
    </w:p>
    <w:p>
      <w:pPr>
        <w:pStyle w:val="Compact"/>
        <w:numPr>
          <w:ilvl w:val="1"/>
          <w:numId w:val="1039"/>
        </w:numPr>
      </w:pPr>
      <w:r>
        <w:t xml:space="preserve">Fundamento: Premisa P-M: la influencia de V03 sobre V11 opera solo a través de V06, V01, V02. Se puntúa en los pares V03→V06 y V06→V11, V03→V01 y V01→V11, V03→V02 y V02→V11. No se duplica aquí.</w:t>
      </w:r>
    </w:p>
    <w:p>
      <w:pPr>
        <w:pStyle w:val="Compact"/>
        <w:numPr>
          <w:ilvl w:val="1"/>
          <w:numId w:val="1039"/>
        </w:numPr>
      </w:pPr>
      <w:r>
        <w:t xml:space="preserve">Justificación del valor: Se asigna 0 porque la humedad no entra al cálculo del índice de peligro de PM. Su efecto aparece por el sesgo de medición (V06) o la concentración (V01, V02).</w:t>
      </w:r>
    </w:p>
    <w:p>
      <w:pPr>
        <w:pStyle w:val="Compact"/>
        <w:numPr>
          <w:ilvl w:val="1"/>
          <w:numId w:val="1039"/>
        </w:numPr>
      </w:pPr>
      <w:r>
        <w:t xml:space="preserve">Ancla comparada: ANC-0 (ver F4.4.2).</w:t>
      </w:r>
    </w:p>
    <w:p>
      <w:pPr>
        <w:pStyle w:val="Compact"/>
        <w:numPr>
          <w:ilvl w:val="1"/>
          <w:numId w:val="1039"/>
        </w:numPr>
      </w:pPr>
      <w:r>
        <w:t xml:space="preserve">Explicación rival: Un índice que corrigiera por humedad la incorporaría. El expediente no lo describe así.</w:t>
      </w:r>
    </w:p>
    <w:p>
      <w:pPr>
        <w:pStyle w:val="Compact"/>
        <w:numPr>
          <w:ilvl w:val="1"/>
          <w:numId w:val="1039"/>
        </w:numPr>
      </w:pPr>
      <w:r>
        <w:t xml:space="preserve">Mediadores del modelo: V06, V01, V02</w:t>
      </w:r>
    </w:p>
    <w:p>
      <w:pPr>
        <w:pStyle w:val="Compact"/>
        <w:numPr>
          <w:ilvl w:val="1"/>
          <w:numId w:val="1039"/>
        </w:numPr>
      </w:pPr>
      <w:r>
        <w:t xml:space="preserve">Motivo de la confianza: Ruta indirecta explícita en el modelo.</w:t>
      </w:r>
    </w:p>
    <w:p>
      <w:pPr>
        <w:pStyle w:val="Compact"/>
        <w:numPr>
          <w:ilvl w:val="0"/>
          <w:numId w:val="1038"/>
        </w:numPr>
      </w:pPr>
      <w:r>
        <w:rPr>
          <w:b/>
          <w:bCs/>
        </w:rPr>
        <w:t xml:space="preserve">V11→V03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0"/>
        </w:numPr>
      </w:pPr>
      <w:r>
        <w:t xml:space="preserve">Razón del cero: El índice emitido en pantalla no modifica la humedad relativa.</w:t>
      </w:r>
    </w:p>
    <w:p>
      <w:pPr>
        <w:pStyle w:val="Compact"/>
        <w:numPr>
          <w:ilvl w:val="1"/>
          <w:numId w:val="1040"/>
        </w:numPr>
      </w:pPr>
      <w:r>
        <w:t xml:space="preserve">Fundamento: Premisa P-0: no existe mecanismo físico, informático ni institucional que conecte V11 con V03 dentro de la frontera y el horizonte declarados.</w:t>
      </w:r>
    </w:p>
    <w:p>
      <w:pPr>
        <w:pStyle w:val="Compact"/>
        <w:numPr>
          <w:ilvl w:val="1"/>
          <w:numId w:val="1040"/>
        </w:numPr>
      </w:pPr>
      <w:r>
        <w:t xml:space="preserve">Justificación del valor: Se asigna 0 porque el índice emitido en pantalla no modifica la humedad relativa.</w:t>
      </w:r>
    </w:p>
    <w:p>
      <w:pPr>
        <w:pStyle w:val="Compact"/>
        <w:numPr>
          <w:ilvl w:val="1"/>
          <w:numId w:val="1040"/>
        </w:numPr>
      </w:pPr>
      <w:r>
        <w:t xml:space="preserve">Ancla comparada: ANC-0 (ver F4.4.2).</w:t>
      </w:r>
    </w:p>
    <w:p>
      <w:pPr>
        <w:pStyle w:val="Compact"/>
        <w:numPr>
          <w:ilvl w:val="1"/>
          <w:numId w:val="1040"/>
        </w:numPr>
      </w:pPr>
      <w:r>
        <w:t xml:space="preserve">Explicación rival: Ninguna alternativa plausible dentro de la frontera.</w:t>
      </w:r>
    </w:p>
    <w:p>
      <w:pPr>
        <w:pStyle w:val="Compact"/>
        <w:numPr>
          <w:ilvl w:val="1"/>
          <w:numId w:val="1040"/>
        </w:numPr>
      </w:pPr>
      <w:r>
        <w:t xml:space="preserve">Mediadores del modelo: ninguno</w:t>
      </w:r>
    </w:p>
    <w:p>
      <w:pPr>
        <w:pStyle w:val="Compact"/>
        <w:numPr>
          <w:ilvl w:val="1"/>
          <w:numId w:val="1040"/>
        </w:numPr>
      </w:pPr>
      <w:r>
        <w:t xml:space="preserve">Motivo de la confianza: Ausencia de mecanismo por razonamiento físico. Sin medición ni fuente específica.</w:t>
      </w:r>
    </w:p>
    <w:p>
      <w:pPr>
        <w:pStyle w:val="FirstParagraph"/>
      </w:pPr>
      <w:r>
        <w:t xml:space="preserve">**Ficha 008 · V06__V07 · clase INTRA**</w:t>
      </w:r>
    </w:p>
    <w:p>
      <w:pPr>
        <w:pStyle w:val="Compact"/>
        <w:numPr>
          <w:ilvl w:val="0"/>
          <w:numId w:val="1041"/>
        </w:numPr>
      </w:pPr>
      <w:r>
        <w:rPr>
          <w:b/>
          <w:bCs/>
        </w:rPr>
        <w:t xml:space="preserve">V06→V07</w:t>
      </w:r>
      <w:r>
        <w:t xml:space="preserve"> </w:t>
      </w:r>
      <w:r>
        <w:t xml:space="preserve">· valor</w:t>
      </w:r>
      <w:r>
        <w:t xml:space="preserve"> </w:t>
      </w:r>
      <w:r>
        <w:rPr>
          <w:b/>
          <w:bCs/>
        </w:rPr>
        <w:t xml:space="preserve">1</w:t>
      </w:r>
      <w:r>
        <w:t xml:space="preserve"> </w:t>
      </w:r>
      <w:r>
        <w:t xml:space="preserve">(admisibles: 0, 1, 2) · signo + · naturaleza PROPUESTO · estado PROPUESTO · confianza MEDIA</w:t>
      </w:r>
    </w:p>
    <w:p>
      <w:pPr>
        <w:pStyle w:val="Compact"/>
        <w:numPr>
          <w:ilvl w:val="1"/>
          <w:numId w:val="1042"/>
        </w:numPr>
      </w:pPr>
      <w:r>
        <w:t xml:space="preserve">Mecanismo: Un error por encima del umbral dispara el reentrenamiento o la recalibración del modelo de corrección.</w:t>
      </w:r>
    </w:p>
    <w:p>
      <w:pPr>
        <w:pStyle w:val="Compact"/>
        <w:numPr>
          <w:ilvl w:val="1"/>
          <w:numId w:val="1042"/>
        </w:numPr>
      </w:pPr>
      <w:r>
        <w:t xml:space="preserve">Fundamento: Regla de disparo del Capítulo 10 (Tabla E3-10.4, R-TEC-01: NMAE mayor que 15 % durante 48 horas reentrena los pesos) y Hito 2 del Capítulo 9. La regla es una propuesta no ejecutada.</w:t>
      </w:r>
    </w:p>
    <w:p>
      <w:pPr>
        <w:pStyle w:val="Compact"/>
        <w:numPr>
          <w:ilvl w:val="1"/>
          <w:numId w:val="1042"/>
        </w:numPr>
      </w:pPr>
      <w:r>
        <w:t xml:space="preserve">Fuentes: F-E3, Capítulo 10, Tabla E3-10.4, fila R-TEC-01; Capítulo 9, Tabla E3-9.1, Hito 2 (alcance: Regla de disparo propuesta); F-E3, Capítulo 8, Tabla E3-8.3, fila Monitores gravimétricos patrón (3 unidades) (alcance: Cantidad de referencias presupuestadas)</w:t>
      </w:r>
    </w:p>
    <w:p>
      <w:pPr>
        <w:pStyle w:val="Compact"/>
        <w:numPr>
          <w:ilvl w:val="1"/>
          <w:numId w:val="1042"/>
        </w:numPr>
      </w:pPr>
      <w:r>
        <w:t xml:space="preserve">Justificación del valor: Se asigna 1: el disparo exige una referencia para medir el error, y el diseño dispone de solo 3 monitores gravimétricos (Tabla E3-8.3). La retroalimentación cubre pocos nodos.</w:t>
      </w:r>
    </w:p>
    <w:p>
      <w:pPr>
        <w:pStyle w:val="Compact"/>
        <w:numPr>
          <w:ilvl w:val="1"/>
          <w:numId w:val="1042"/>
        </w:numPr>
      </w:pPr>
      <w:r>
        <w:t xml:space="preserve">Ancla comparada: Igual a ANC-1.</w:t>
      </w:r>
    </w:p>
    <w:p>
      <w:pPr>
        <w:pStyle w:val="Compact"/>
        <w:numPr>
          <w:ilvl w:val="1"/>
          <w:numId w:val="1042"/>
        </w:numPr>
      </w:pPr>
      <w:r>
        <w:t xml:space="preserve">Explicación rival: Si la calibración se ejecuta por calendario fijo, el valor sería 0.</w:t>
      </w:r>
    </w:p>
    <w:p>
      <w:pPr>
        <w:pStyle w:val="Compact"/>
        <w:numPr>
          <w:ilvl w:val="1"/>
          <w:numId w:val="1042"/>
        </w:numPr>
      </w:pPr>
      <w:r>
        <w:t xml:space="preserve">Mediadores del modelo: ninguno</w:t>
      </w:r>
    </w:p>
    <w:p>
      <w:pPr>
        <w:pStyle w:val="Compact"/>
        <w:numPr>
          <w:ilvl w:val="1"/>
          <w:numId w:val="1042"/>
        </w:numPr>
      </w:pPr>
      <w:r>
        <w:t xml:space="preserve">Motivo de la confianza: Regla documentada como propuesta en el expediente. Cobertura de referencias limitada.</w:t>
      </w:r>
    </w:p>
    <w:p>
      <w:pPr>
        <w:pStyle w:val="Compact"/>
        <w:numPr>
          <w:ilvl w:val="0"/>
          <w:numId w:val="1041"/>
        </w:numPr>
      </w:pPr>
      <w:r>
        <w:rPr>
          <w:b/>
          <w:bCs/>
        </w:rPr>
        <w:t xml:space="preserve">V07→V06</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043"/>
        </w:numPr>
      </w:pPr>
      <w:r>
        <w:t xml:space="preserve">Mecanismo: La calibración dinámica con referencia estima el sesgo higroscópico y la deriva, y los resta de la lectura. Reduce el error del sensor.</w:t>
      </w:r>
    </w:p>
    <w:p>
      <w:pPr>
        <w:pStyle w:val="Compact"/>
        <w:numPr>
          <w:ilvl w:val="1"/>
          <w:numId w:val="1043"/>
        </w:numPr>
      </w:pPr>
      <w:r>
        <w:t xml:space="preserve">Fundamento: F-INF §3.1 documenta en una red urbana de Seúl una mejora de R2 de menos de 0,2 a 0,81 (Bang et al., 2026, pp. 6-8). La corrección usó una estación cercana y 35 minutos de desfase. F-INF §11.6 plantea la hipótesis H1 (más sofisticación, menos error) como hipótesis no probada.</w:t>
      </w:r>
    </w:p>
    <w:p>
      <w:pPr>
        <w:pStyle w:val="Compact"/>
        <w:numPr>
          <w:ilvl w:val="1"/>
          <w:numId w:val="1043"/>
        </w:numPr>
      </w:pPr>
      <w:r>
        <w:t xml:space="preserve">Fuentes: F-INF, §3.1 y §1.3 hallazgo 3 (Bang et al., 2026, pp. 6-8): R2 de menos de 0,2 a 0,81 (alcance: Cita secundaria; método de corrección, no frecuencia); F-INF, §11.6, hipótesis H1 y H2 (alcance: Hipótesis del informe, sin resultado); F-E3, E3-P04 §12, fila V07-&gt;V06 (PROPUESTO, magnitud 3) (alcance: Valor heredado)</w:t>
      </w:r>
    </w:p>
    <w:p>
      <w:pPr>
        <w:pStyle w:val="Compact"/>
        <w:numPr>
          <w:ilvl w:val="1"/>
          <w:numId w:val="1043"/>
        </w:numPr>
      </w:pPr>
      <w:r>
        <w:t xml:space="preserve">Justificación del valor: Se asigna 3 porque la corrección actúa directamente sobre el sesgo sin intermediario, con efecto grande en el caso documentado. El valor supone que existen referencias disponibles.</w:t>
      </w:r>
    </w:p>
    <w:p>
      <w:pPr>
        <w:pStyle w:val="Compact"/>
        <w:numPr>
          <w:ilvl w:val="1"/>
          <w:numId w:val="1043"/>
        </w:numPr>
      </w:pPr>
      <w:r>
        <w:t xml:space="preserve">Ancla comparada: Igual a ANC-3 en nivel.</w:t>
      </w:r>
    </w:p>
    <w:p>
      <w:pPr>
        <w:pStyle w:val="Compact"/>
        <w:numPr>
          <w:ilvl w:val="1"/>
          <w:numId w:val="1043"/>
        </w:numPr>
      </w:pPr>
      <w:r>
        <w:t xml:space="preserve">Explicación rival: La variable explicativa del informe es el método de corrección y la distancia a la referencia. La frecuencia puede tener rendimientos decrecientes y un efecto menor.</w:t>
      </w:r>
    </w:p>
    <w:p>
      <w:pPr>
        <w:pStyle w:val="Compact"/>
        <w:numPr>
          <w:ilvl w:val="1"/>
          <w:numId w:val="1043"/>
        </w:numPr>
      </w:pPr>
      <w:r>
        <w:t xml:space="preserve">Mediadores del modelo: ninguno</w:t>
      </w:r>
    </w:p>
    <w:p>
      <w:pPr>
        <w:pStyle w:val="Compact"/>
        <w:numPr>
          <w:ilvl w:val="1"/>
          <w:numId w:val="1043"/>
        </w:numPr>
      </w:pPr>
      <w:r>
        <w:t xml:space="preserve">Motivo de la confianza: Efecto documentado en otra red con otro método. La frecuencia de ajuste no fue la variable estudiada.</w:t>
      </w:r>
    </w:p>
    <w:p>
      <w:pPr>
        <w:pStyle w:val="FirstParagraph"/>
      </w:pPr>
      <w:r>
        <w:t xml:space="preserve">**Ficha 009 · V04__V14 · clase INTER**</w:t>
      </w:r>
    </w:p>
    <w:p>
      <w:pPr>
        <w:pStyle w:val="Compact"/>
        <w:numPr>
          <w:ilvl w:val="0"/>
          <w:numId w:val="1044"/>
        </w:numPr>
      </w:pPr>
      <w:r>
        <w:rPr>
          <w:b/>
          <w:bCs/>
        </w:rPr>
        <w:t xml:space="preserve">V04→V14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5"/>
        </w:numPr>
      </w:pPr>
      <w:r>
        <w:t xml:space="preserve">Razón del cero: El viento no cambia directamente el número de personas protegidas.</w:t>
      </w:r>
    </w:p>
    <w:p>
      <w:pPr>
        <w:pStyle w:val="Compact"/>
        <w:numPr>
          <w:ilvl w:val="1"/>
          <w:numId w:val="1045"/>
        </w:numPr>
      </w:pPr>
      <w:r>
        <w:t xml:space="preserve">Fundamento: Premisa P-0: no existe mecanismo físico, informático ni institucional que conecte V04 con V14 dentro de la frontera y el horizonte declarados.</w:t>
      </w:r>
    </w:p>
    <w:p>
      <w:pPr>
        <w:pStyle w:val="Compact"/>
        <w:numPr>
          <w:ilvl w:val="1"/>
          <w:numId w:val="1045"/>
        </w:numPr>
      </w:pPr>
      <w:r>
        <w:t xml:space="preserve">Justificación del valor: Se asigna 0 porque el viento no cambia directamente el número de personas protegidas.</w:t>
      </w:r>
    </w:p>
    <w:p>
      <w:pPr>
        <w:pStyle w:val="Compact"/>
        <w:numPr>
          <w:ilvl w:val="1"/>
          <w:numId w:val="1045"/>
        </w:numPr>
      </w:pPr>
      <w:r>
        <w:t xml:space="preserve">Ancla comparada: ANC-0 (ver F4.4.2).</w:t>
      </w:r>
    </w:p>
    <w:p>
      <w:pPr>
        <w:pStyle w:val="Compact"/>
        <w:numPr>
          <w:ilvl w:val="1"/>
          <w:numId w:val="1045"/>
        </w:numPr>
      </w:pPr>
      <w:r>
        <w:t xml:space="preserve">Explicación rival: Ninguna alternativa plausible dentro de la frontera.</w:t>
      </w:r>
    </w:p>
    <w:p>
      <w:pPr>
        <w:pStyle w:val="Compact"/>
        <w:numPr>
          <w:ilvl w:val="1"/>
          <w:numId w:val="1045"/>
        </w:numPr>
      </w:pPr>
      <w:r>
        <w:t xml:space="preserve">Mediadores del modelo: ninguno</w:t>
      </w:r>
    </w:p>
    <w:p>
      <w:pPr>
        <w:pStyle w:val="Compact"/>
        <w:numPr>
          <w:ilvl w:val="1"/>
          <w:numId w:val="1045"/>
        </w:numPr>
      </w:pPr>
      <w:r>
        <w:t xml:space="preserve">Motivo de la confianza: Ausencia de mecanismo por razonamiento físico. Sin medición ni fuente específica.</w:t>
      </w:r>
    </w:p>
    <w:p>
      <w:pPr>
        <w:pStyle w:val="Compact"/>
        <w:numPr>
          <w:ilvl w:val="0"/>
          <w:numId w:val="1044"/>
        </w:numPr>
      </w:pPr>
      <w:r>
        <w:rPr>
          <w:b/>
          <w:bCs/>
        </w:rPr>
        <w:t xml:space="preserve">V14→V04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6"/>
        </w:numPr>
      </w:pPr>
      <w:r>
        <w:t xml:space="preserve">Razón del cero: El número de personas protegidas no modifica el viento superficial.</w:t>
      </w:r>
    </w:p>
    <w:p>
      <w:pPr>
        <w:pStyle w:val="Compact"/>
        <w:numPr>
          <w:ilvl w:val="1"/>
          <w:numId w:val="1046"/>
        </w:numPr>
      </w:pPr>
      <w:r>
        <w:t xml:space="preserve">Fundamento: Premisa P-0: no existe mecanismo físico, informático ni institucional que conecte V14 con V04 dentro de la frontera y el horizonte declarados.</w:t>
      </w:r>
    </w:p>
    <w:p>
      <w:pPr>
        <w:pStyle w:val="Compact"/>
        <w:numPr>
          <w:ilvl w:val="1"/>
          <w:numId w:val="1046"/>
        </w:numPr>
      </w:pPr>
      <w:r>
        <w:t xml:space="preserve">Justificación del valor: Se asigna 0 porque el número de personas protegidas no modifica el viento superficial.</w:t>
      </w:r>
    </w:p>
    <w:p>
      <w:pPr>
        <w:pStyle w:val="Compact"/>
        <w:numPr>
          <w:ilvl w:val="1"/>
          <w:numId w:val="1046"/>
        </w:numPr>
      </w:pPr>
      <w:r>
        <w:t xml:space="preserve">Ancla comparada: ANC-0 (ver F4.4.2).</w:t>
      </w:r>
    </w:p>
    <w:p>
      <w:pPr>
        <w:pStyle w:val="Compact"/>
        <w:numPr>
          <w:ilvl w:val="1"/>
          <w:numId w:val="1046"/>
        </w:numPr>
      </w:pPr>
      <w:r>
        <w:t xml:space="preserve">Explicación rival: Ninguna alternativa plausible dentro de la frontera.</w:t>
      </w:r>
    </w:p>
    <w:p>
      <w:pPr>
        <w:pStyle w:val="Compact"/>
        <w:numPr>
          <w:ilvl w:val="1"/>
          <w:numId w:val="1046"/>
        </w:numPr>
      </w:pPr>
      <w:r>
        <w:t xml:space="preserve">Mediadores del modelo: ninguno</w:t>
      </w:r>
    </w:p>
    <w:p>
      <w:pPr>
        <w:pStyle w:val="Compact"/>
        <w:numPr>
          <w:ilvl w:val="1"/>
          <w:numId w:val="1046"/>
        </w:numPr>
      </w:pPr>
      <w:r>
        <w:t xml:space="preserve">Motivo de la confianza: Ausencia de mecanismo por razonamiento físico. Sin medición ni fuente específica.</w:t>
      </w:r>
    </w:p>
    <w:p>
      <w:pPr>
        <w:pStyle w:val="FirstParagraph"/>
      </w:pPr>
      <w:r>
        <w:t xml:space="preserve">**Ficha 010 · V03__V05 · clase INTRA**</w:t>
      </w:r>
    </w:p>
    <w:p>
      <w:pPr>
        <w:pStyle w:val="Compact"/>
        <w:numPr>
          <w:ilvl w:val="0"/>
          <w:numId w:val="1047"/>
        </w:numPr>
      </w:pPr>
      <w:r>
        <w:rPr>
          <w:b/>
          <w:bCs/>
        </w:rPr>
        <w:t xml:space="preserve">V03→V05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048"/>
        </w:numPr>
      </w:pPr>
      <w:r>
        <w:t xml:space="preserve">Razón del cero: La humedad relativa no cambia el volumen de escombros removidos. La lluvia, que sí detiene obras, no figura como variable del modelo.</w:t>
      </w:r>
    </w:p>
    <w:p>
      <w:pPr>
        <w:pStyle w:val="Compact"/>
        <w:numPr>
          <w:ilvl w:val="1"/>
          <w:numId w:val="1048"/>
        </w:numPr>
      </w:pPr>
      <w:r>
        <w:t xml:space="preserve">Fundamento: Premisa P-E: V05 es exógena al sistema de monitoreo dentro de H. Responde a procesos fuera de V01-V15.</w:t>
      </w:r>
    </w:p>
    <w:p>
      <w:pPr>
        <w:pStyle w:val="Compact"/>
        <w:numPr>
          <w:ilvl w:val="1"/>
          <w:numId w:val="1048"/>
        </w:numPr>
      </w:pPr>
      <w:r>
        <w:t xml:space="preserve">Justificación del valor: Se asigna 0 porque la humedad relativa no cambia el volumen de escombros removidos. La lluvia, que sí detiene obras, no figura como variable del modelo.</w:t>
      </w:r>
    </w:p>
    <w:p>
      <w:pPr>
        <w:pStyle w:val="Compact"/>
        <w:numPr>
          <w:ilvl w:val="1"/>
          <w:numId w:val="1048"/>
        </w:numPr>
      </w:pPr>
      <w:r>
        <w:t xml:space="preserve">Ancla comparada: ANC-0 (ver F4.4.2).</w:t>
      </w:r>
    </w:p>
    <w:p>
      <w:pPr>
        <w:pStyle w:val="Compact"/>
        <w:numPr>
          <w:ilvl w:val="1"/>
          <w:numId w:val="1048"/>
        </w:numPr>
      </w:pPr>
      <w:r>
        <w:t xml:space="preserve">Explicación rival: La lluvia asociada a alta humedad detiene la remoción. Sin variable de precipitación, esa ruta queda fuera de la frontera (VACIO V-LLUVIA-01).</w:t>
      </w:r>
    </w:p>
    <w:p>
      <w:pPr>
        <w:pStyle w:val="Compact"/>
        <w:numPr>
          <w:ilvl w:val="1"/>
          <w:numId w:val="1048"/>
        </w:numPr>
      </w:pPr>
      <w:r>
        <w:t xml:space="preserve">Mediadores del modelo: ninguno</w:t>
      </w:r>
    </w:p>
    <w:p>
      <w:pPr>
        <w:pStyle w:val="Compact"/>
        <w:numPr>
          <w:ilvl w:val="1"/>
          <w:numId w:val="1048"/>
        </w:numPr>
      </w:pPr>
      <w:r>
        <w:t xml:space="preserve">Motivo de la confianza: Exogeneidad por razonamiento. Sin fuente específica.</w:t>
      </w:r>
    </w:p>
    <w:p>
      <w:pPr>
        <w:pStyle w:val="Compact"/>
        <w:numPr>
          <w:ilvl w:val="0"/>
          <w:numId w:val="1047"/>
        </w:numPr>
      </w:pPr>
      <w:r>
        <w:rPr>
          <w:b/>
          <w:bCs/>
        </w:rPr>
        <w:t xml:space="preserve">V05→V03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9"/>
        </w:numPr>
      </w:pPr>
      <w:r>
        <w:t xml:space="preserve">Razón del cero: El volumen de escombros removidos no modifica la humedad relativa del aire a escala de sitio.</w:t>
      </w:r>
    </w:p>
    <w:p>
      <w:pPr>
        <w:pStyle w:val="Compact"/>
        <w:numPr>
          <w:ilvl w:val="1"/>
          <w:numId w:val="1049"/>
        </w:numPr>
      </w:pPr>
      <w:r>
        <w:t xml:space="preserve">Fundamento: Premisa P-0: no existe mecanismo físico, informático ni institucional que conecte V05 con V03 dentro de la frontera y el horizonte declarados.</w:t>
      </w:r>
    </w:p>
    <w:p>
      <w:pPr>
        <w:pStyle w:val="Compact"/>
        <w:numPr>
          <w:ilvl w:val="1"/>
          <w:numId w:val="1049"/>
        </w:numPr>
      </w:pPr>
      <w:r>
        <w:t xml:space="preserve">Justificación del valor: Se asigna 0 porque el volumen de escombros removidos no modifica la humedad relativa del aire a escala de sitio.</w:t>
      </w:r>
    </w:p>
    <w:p>
      <w:pPr>
        <w:pStyle w:val="Compact"/>
        <w:numPr>
          <w:ilvl w:val="1"/>
          <w:numId w:val="1049"/>
        </w:numPr>
      </w:pPr>
      <w:r>
        <w:t xml:space="preserve">Ancla comparada: ANC-0 (ver F4.4.2).</w:t>
      </w:r>
    </w:p>
    <w:p>
      <w:pPr>
        <w:pStyle w:val="Compact"/>
        <w:numPr>
          <w:ilvl w:val="1"/>
          <w:numId w:val="1049"/>
        </w:numPr>
      </w:pPr>
      <w:r>
        <w:t xml:space="preserve">Explicación rival: El rociado de agua aumenta la humedad local de forma marginal. No se considera en H.</w:t>
      </w:r>
    </w:p>
    <w:p>
      <w:pPr>
        <w:pStyle w:val="Compact"/>
        <w:numPr>
          <w:ilvl w:val="1"/>
          <w:numId w:val="1049"/>
        </w:numPr>
      </w:pPr>
      <w:r>
        <w:t xml:space="preserve">Mediadores del modelo: ninguno</w:t>
      </w:r>
    </w:p>
    <w:p>
      <w:pPr>
        <w:pStyle w:val="Compact"/>
        <w:numPr>
          <w:ilvl w:val="1"/>
          <w:numId w:val="1049"/>
        </w:numPr>
      </w:pPr>
      <w:r>
        <w:t xml:space="preserve">Motivo de la confianza: Ausencia de mecanismo por razonamiento físico. Sin medición ni fuente específica.</w:t>
      </w:r>
    </w:p>
    <w:p>
      <w:pPr>
        <w:pStyle w:val="FirstParagraph"/>
      </w:pPr>
      <w:r>
        <w:t xml:space="preserve">**Ficha 011 · V03__V14 · clase INTER**</w:t>
      </w:r>
    </w:p>
    <w:p>
      <w:pPr>
        <w:pStyle w:val="Compact"/>
        <w:numPr>
          <w:ilvl w:val="0"/>
          <w:numId w:val="1050"/>
        </w:numPr>
      </w:pPr>
      <w:r>
        <w:rPr>
          <w:b/>
          <w:bCs/>
        </w:rPr>
        <w:t xml:space="preserve">V03→V14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1"/>
        </w:numPr>
      </w:pPr>
      <w:r>
        <w:t xml:space="preserve">Razón del cero: La humedad no cambia el número de personas protegidas.</w:t>
      </w:r>
    </w:p>
    <w:p>
      <w:pPr>
        <w:pStyle w:val="Compact"/>
        <w:numPr>
          <w:ilvl w:val="1"/>
          <w:numId w:val="1051"/>
        </w:numPr>
      </w:pPr>
      <w:r>
        <w:t xml:space="preserve">Fundamento: Premisa P-0: no existe mecanismo físico, informático ni institucional que conecte V03 con V14 dentro de la frontera y el horizonte declarados.</w:t>
      </w:r>
    </w:p>
    <w:p>
      <w:pPr>
        <w:pStyle w:val="Compact"/>
        <w:numPr>
          <w:ilvl w:val="1"/>
          <w:numId w:val="1051"/>
        </w:numPr>
      </w:pPr>
      <w:r>
        <w:t xml:space="preserve">Justificación del valor: Se asigna 0 porque la humedad no cambia el número de personas protegidas.</w:t>
      </w:r>
    </w:p>
    <w:p>
      <w:pPr>
        <w:pStyle w:val="Compact"/>
        <w:numPr>
          <w:ilvl w:val="1"/>
          <w:numId w:val="1051"/>
        </w:numPr>
      </w:pPr>
      <w:r>
        <w:t xml:space="preserve">Ancla comparada: ANC-0 (ver F4.4.2).</w:t>
      </w:r>
    </w:p>
    <w:p>
      <w:pPr>
        <w:pStyle w:val="Compact"/>
        <w:numPr>
          <w:ilvl w:val="1"/>
          <w:numId w:val="1051"/>
        </w:numPr>
      </w:pPr>
      <w:r>
        <w:t xml:space="preserve">Explicación rival: Ninguna alternativa plausible dentro de la frontera.</w:t>
      </w:r>
    </w:p>
    <w:p>
      <w:pPr>
        <w:pStyle w:val="Compact"/>
        <w:numPr>
          <w:ilvl w:val="1"/>
          <w:numId w:val="1051"/>
        </w:numPr>
      </w:pPr>
      <w:r>
        <w:t xml:space="preserve">Mediadores del modelo: ninguno</w:t>
      </w:r>
    </w:p>
    <w:p>
      <w:pPr>
        <w:pStyle w:val="Compact"/>
        <w:numPr>
          <w:ilvl w:val="1"/>
          <w:numId w:val="1051"/>
        </w:numPr>
      </w:pPr>
      <w:r>
        <w:t xml:space="preserve">Motivo de la confianza: Ausencia de mecanismo por razonamiento físico. Sin medición ni fuente específica.</w:t>
      </w:r>
    </w:p>
    <w:p>
      <w:pPr>
        <w:pStyle w:val="Compact"/>
        <w:numPr>
          <w:ilvl w:val="0"/>
          <w:numId w:val="1050"/>
        </w:numPr>
      </w:pPr>
      <w:r>
        <w:rPr>
          <w:b/>
          <w:bCs/>
        </w:rPr>
        <w:t xml:space="preserve">V14→V03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2"/>
        </w:numPr>
      </w:pPr>
      <w:r>
        <w:t xml:space="preserve">Razón del cero: El número de personas protegidas no modifica la humedad relativa.</w:t>
      </w:r>
    </w:p>
    <w:p>
      <w:pPr>
        <w:pStyle w:val="Compact"/>
        <w:numPr>
          <w:ilvl w:val="1"/>
          <w:numId w:val="1052"/>
        </w:numPr>
      </w:pPr>
      <w:r>
        <w:t xml:space="preserve">Fundamento: Premisa P-0: no existe mecanismo físico, informático ni institucional que conecte V14 con V03 dentro de la frontera y el horizonte declarados.</w:t>
      </w:r>
    </w:p>
    <w:p>
      <w:pPr>
        <w:pStyle w:val="Compact"/>
        <w:numPr>
          <w:ilvl w:val="1"/>
          <w:numId w:val="1052"/>
        </w:numPr>
      </w:pPr>
      <w:r>
        <w:t xml:space="preserve">Justificación del valor: Se asigna 0 porque el número de personas protegidas no modifica la humedad relativa.</w:t>
      </w:r>
    </w:p>
    <w:p>
      <w:pPr>
        <w:pStyle w:val="Compact"/>
        <w:numPr>
          <w:ilvl w:val="1"/>
          <w:numId w:val="1052"/>
        </w:numPr>
      </w:pPr>
      <w:r>
        <w:t xml:space="preserve">Ancla comparada: ANC-0 (ver F4.4.2).</w:t>
      </w:r>
    </w:p>
    <w:p>
      <w:pPr>
        <w:pStyle w:val="Compact"/>
        <w:numPr>
          <w:ilvl w:val="1"/>
          <w:numId w:val="1052"/>
        </w:numPr>
      </w:pPr>
      <w:r>
        <w:t xml:space="preserve">Explicación rival: Ninguna alternativa plausible dentro de la frontera.</w:t>
      </w:r>
    </w:p>
    <w:p>
      <w:pPr>
        <w:pStyle w:val="Compact"/>
        <w:numPr>
          <w:ilvl w:val="1"/>
          <w:numId w:val="1052"/>
        </w:numPr>
      </w:pPr>
      <w:r>
        <w:t xml:space="preserve">Mediadores del modelo: ninguno</w:t>
      </w:r>
    </w:p>
    <w:p>
      <w:pPr>
        <w:pStyle w:val="Compact"/>
        <w:numPr>
          <w:ilvl w:val="1"/>
          <w:numId w:val="1052"/>
        </w:numPr>
      </w:pPr>
      <w:r>
        <w:t xml:space="preserve">Motivo de la confianza: Ausencia de mecanismo por razonamiento físico. Sin medición ni fuente específica.</w:t>
      </w:r>
    </w:p>
    <w:p>
      <w:pPr>
        <w:pStyle w:val="FirstParagraph"/>
      </w:pPr>
      <w:r>
        <w:t xml:space="preserve">**Ficha 012 · V01__V03 · clase INTRA**</w:t>
      </w:r>
    </w:p>
    <w:p>
      <w:pPr>
        <w:pStyle w:val="Compact"/>
        <w:numPr>
          <w:ilvl w:val="0"/>
          <w:numId w:val="1053"/>
        </w:numPr>
      </w:pPr>
      <w:r>
        <w:rPr>
          <w:b/>
          <w:bCs/>
        </w:rPr>
        <w:t xml:space="preserve">V01→V03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54"/>
        </w:numPr>
      </w:pPr>
      <w:r>
        <w:t xml:space="preserve">Razón del cero: La masa de PM2,5 no modifica la humedad relativa del aire a escala de sitio dentro de H.</w:t>
      </w:r>
    </w:p>
    <w:p>
      <w:pPr>
        <w:pStyle w:val="Compact"/>
        <w:numPr>
          <w:ilvl w:val="1"/>
          <w:numId w:val="1054"/>
        </w:numPr>
      </w:pPr>
      <w:r>
        <w:t xml:space="preserve">Fundamento: Premisa P-0: no existe mecanismo físico, informático ni institucional que conecte V01 con V03 dentro de la frontera y el horizonte declarados.</w:t>
      </w:r>
    </w:p>
    <w:p>
      <w:pPr>
        <w:pStyle w:val="Compact"/>
        <w:numPr>
          <w:ilvl w:val="1"/>
          <w:numId w:val="1054"/>
        </w:numPr>
      </w:pPr>
      <w:r>
        <w:t xml:space="preserve">Justificación del valor: Se asigna 0 porque la masa de PM2,5 no modifica la humedad relativa del aire a escala de sitio dentro de H.</w:t>
      </w:r>
    </w:p>
    <w:p>
      <w:pPr>
        <w:pStyle w:val="Compact"/>
        <w:numPr>
          <w:ilvl w:val="1"/>
          <w:numId w:val="1054"/>
        </w:numPr>
      </w:pPr>
      <w:r>
        <w:t xml:space="preserve">Ancla comparada: ANC-0 (ver F4.4.2).</w:t>
      </w:r>
    </w:p>
    <w:p>
      <w:pPr>
        <w:pStyle w:val="Compact"/>
        <w:numPr>
          <w:ilvl w:val="1"/>
          <w:numId w:val="1054"/>
        </w:numPr>
      </w:pPr>
      <w:r>
        <w:t xml:space="preserve">Explicación rival: Los aerosoles higroscópicos actúan como núcleos de condensación, pero el efecto sobre la humedad ambiental de un sitio abierto es despreciable.</w:t>
      </w:r>
    </w:p>
    <w:p>
      <w:pPr>
        <w:pStyle w:val="Compact"/>
        <w:numPr>
          <w:ilvl w:val="1"/>
          <w:numId w:val="1054"/>
        </w:numPr>
      </w:pPr>
      <w:r>
        <w:t xml:space="preserve">Mediadores del modelo: ninguno</w:t>
      </w:r>
    </w:p>
    <w:p>
      <w:pPr>
        <w:pStyle w:val="Compact"/>
        <w:numPr>
          <w:ilvl w:val="1"/>
          <w:numId w:val="1054"/>
        </w:numPr>
      </w:pPr>
      <w:r>
        <w:t xml:space="preserve">Motivo de la confianza: Ausencia de mecanismo por razonamiento físico. Sin medición ni fuente específica.</w:t>
      </w:r>
    </w:p>
    <w:p>
      <w:pPr>
        <w:pStyle w:val="Compact"/>
        <w:numPr>
          <w:ilvl w:val="0"/>
          <w:numId w:val="1053"/>
        </w:numPr>
      </w:pPr>
      <w:r>
        <w:rPr>
          <w:b/>
          <w:bCs/>
        </w:rPr>
        <w:t xml:space="preserve">V03→V01</w:t>
      </w:r>
      <w:r>
        <w:t xml:space="preserve"> </w:t>
      </w:r>
      <w:r>
        <w:t xml:space="preserve">· valor</w:t>
      </w:r>
      <w:r>
        <w:t xml:space="preserve"> </w:t>
      </w:r>
      <w:r>
        <w:rPr>
          <w:b/>
          <w:bCs/>
        </w:rPr>
        <w:t xml:space="preserve">1</w:t>
      </w:r>
      <w:r>
        <w:t xml:space="preserve"> </w:t>
      </w:r>
      <w:r>
        <w:t xml:space="preserve">(admisibles: 0, 1) · signo MIXTO · naturaleza INFERIDO · estado PROPUESTO · confianza BAJA</w:t>
      </w:r>
    </w:p>
    <w:p>
      <w:pPr>
        <w:pStyle w:val="Compact"/>
        <w:numPr>
          <w:ilvl w:val="1"/>
          <w:numId w:val="1055"/>
        </w:numPr>
      </w:pPr>
      <w:r>
        <w:t xml:space="preserve">Mecanismo: La humedad modifica el tamaño de las partículas por crecimiento higroscópico y favorece la deposición húmeda. El efecto sobre la masa de PM2,5 tiene signo variable.</w:t>
      </w:r>
    </w:p>
    <w:p>
      <w:pPr>
        <w:pStyle w:val="Compact"/>
        <w:numPr>
          <w:ilvl w:val="1"/>
          <w:numId w:val="1055"/>
        </w:numPr>
      </w:pPr>
      <w:r>
        <w:t xml:space="preserve">Fundamento: Procesos físicos generales de aerosoles. E3-P04 lo rotula DOCUMENTADO con signo (+) sin localizador. La revisión no encontró la fuente en F-INF.</w:t>
      </w:r>
    </w:p>
    <w:p>
      <w:pPr>
        <w:pStyle w:val="Compact"/>
        <w:numPr>
          <w:ilvl w:val="1"/>
          <w:numId w:val="1055"/>
        </w:numPr>
      </w:pPr>
      <w:r>
        <w:t xml:space="preserve">Fuentes: F-E3, E3-P04 §12, fila V03-&gt;V01 (rotulada DOCUMENTADO sin localizador) (alcance: Valor heredado; el rótulo DOCUMENTADO no se acepta sin localizador)</w:t>
      </w:r>
    </w:p>
    <w:p>
      <w:pPr>
        <w:pStyle w:val="Compact"/>
        <w:numPr>
          <w:ilvl w:val="1"/>
          <w:numId w:val="1055"/>
        </w:numPr>
      </w:pPr>
      <w:r>
        <w:t xml:space="preserve">Premisas: P-V03-V01: la humedad altera el reparto de masa entre tamaños y la deposición húmeda remueve partículas (conocimiento general de aerosoles).</w:t>
      </w:r>
    </w:p>
    <w:p>
      <w:pPr>
        <w:pStyle w:val="Compact"/>
        <w:numPr>
          <w:ilvl w:val="1"/>
          <w:numId w:val="1055"/>
        </w:numPr>
      </w:pPr>
      <w:r>
        <w:t xml:space="preserve">Justificación del valor: Se asigna 1: la masa seca no cambia con la humedad, pero sí la distribución por tamaño y la remoción. Efecto débil y de signo mixto.</w:t>
      </w:r>
    </w:p>
    <w:p>
      <w:pPr>
        <w:pStyle w:val="Compact"/>
        <w:numPr>
          <w:ilvl w:val="1"/>
          <w:numId w:val="1055"/>
        </w:numPr>
      </w:pPr>
      <w:r>
        <w:t xml:space="preserve">Ancla comparada: Igual a ANC-1 en nivel.</w:t>
      </w:r>
    </w:p>
    <w:p>
      <w:pPr>
        <w:pStyle w:val="Compact"/>
        <w:numPr>
          <w:ilvl w:val="1"/>
          <w:numId w:val="1055"/>
        </w:numPr>
      </w:pPr>
      <w:r>
        <w:t xml:space="preserve">Explicación rival: Para sensores ópticos el efecto aparente sobre la lectura es mayor. Ese efecto se puntúa en V03-&gt;V06, no aquí.</w:t>
      </w:r>
    </w:p>
    <w:p>
      <w:pPr>
        <w:pStyle w:val="Compact"/>
        <w:numPr>
          <w:ilvl w:val="1"/>
          <w:numId w:val="1055"/>
        </w:numPr>
      </w:pPr>
      <w:r>
        <w:t xml:space="preserve">Mediadores del modelo: ninguno</w:t>
      </w:r>
    </w:p>
    <w:p>
      <w:pPr>
        <w:pStyle w:val="Compact"/>
        <w:numPr>
          <w:ilvl w:val="1"/>
          <w:numId w:val="1055"/>
        </w:numPr>
      </w:pPr>
      <w:r>
        <w:t xml:space="preserve">Motivo de la confianza: Mecanismo general. Sin fuente localizada. Signo mixto.</w:t>
      </w:r>
    </w:p>
    <w:p>
      <w:pPr>
        <w:pStyle w:val="FirstParagraph"/>
      </w:pPr>
      <w:r>
        <w:t xml:space="preserve">**Ficha 013 · V05__V11 · clase INTER**</w:t>
      </w:r>
    </w:p>
    <w:p>
      <w:pPr>
        <w:pStyle w:val="Compact"/>
        <w:numPr>
          <w:ilvl w:val="0"/>
          <w:numId w:val="1056"/>
        </w:numPr>
      </w:pPr>
      <w:r>
        <w:rPr>
          <w:b/>
          <w:bCs/>
        </w:rPr>
        <w:t xml:space="preserve">V05→V11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7"/>
        </w:numPr>
      </w:pPr>
      <w:r>
        <w:t xml:space="preserve">Razón del cero: El volumen de escombros afecta el índice por la concentración que genera (V01, V02), no de forma directa.</w:t>
      </w:r>
    </w:p>
    <w:p>
      <w:pPr>
        <w:pStyle w:val="Compact"/>
        <w:numPr>
          <w:ilvl w:val="1"/>
          <w:numId w:val="1057"/>
        </w:numPr>
      </w:pPr>
      <w:r>
        <w:t xml:space="preserve">Fundamento: Premisa P-M: la influencia de V05 sobre V11 opera solo a través de V01, V02. Se puntúa en los pares V05→V01 y V01→V11, V05→V02 y V02→V11. No se duplica aquí.</w:t>
      </w:r>
    </w:p>
    <w:p>
      <w:pPr>
        <w:pStyle w:val="Compact"/>
        <w:numPr>
          <w:ilvl w:val="1"/>
          <w:numId w:val="1057"/>
        </w:numPr>
      </w:pPr>
      <w:r>
        <w:t xml:space="preserve">Justificación del valor: Se asigna 0 porque el volumen de escombros afecta el índice por la concentración que genera (V01, V02), no de forma directa.</w:t>
      </w:r>
    </w:p>
    <w:p>
      <w:pPr>
        <w:pStyle w:val="Compact"/>
        <w:numPr>
          <w:ilvl w:val="1"/>
          <w:numId w:val="1057"/>
        </w:numPr>
      </w:pPr>
      <w:r>
        <w:t xml:space="preserve">Ancla comparada: ANC-0 (ver F4.4.2).</w:t>
      </w:r>
    </w:p>
    <w:p>
      <w:pPr>
        <w:pStyle w:val="Compact"/>
        <w:numPr>
          <w:ilvl w:val="1"/>
          <w:numId w:val="1057"/>
        </w:numPr>
      </w:pPr>
      <w:r>
        <w:t xml:space="preserve">Explicación rival: Ninguna alternativa plausible dentro de la frontera.</w:t>
      </w:r>
    </w:p>
    <w:p>
      <w:pPr>
        <w:pStyle w:val="Compact"/>
        <w:numPr>
          <w:ilvl w:val="1"/>
          <w:numId w:val="1057"/>
        </w:numPr>
      </w:pPr>
      <w:r>
        <w:t xml:space="preserve">Mediadores del modelo: V01, V02</w:t>
      </w:r>
    </w:p>
    <w:p>
      <w:pPr>
        <w:pStyle w:val="Compact"/>
        <w:numPr>
          <w:ilvl w:val="1"/>
          <w:numId w:val="1057"/>
        </w:numPr>
      </w:pPr>
      <w:r>
        <w:t xml:space="preserve">Motivo de la confianza: Ruta indirecta explícita en el modelo.</w:t>
      </w:r>
    </w:p>
    <w:p>
      <w:pPr>
        <w:pStyle w:val="Compact"/>
        <w:numPr>
          <w:ilvl w:val="0"/>
          <w:numId w:val="1056"/>
        </w:numPr>
      </w:pPr>
      <w:r>
        <w:rPr>
          <w:b/>
          <w:bCs/>
        </w:rPr>
        <w:t xml:space="preserve">V11→V05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58"/>
        </w:numPr>
      </w:pPr>
      <w:r>
        <w:t xml:space="preserve">Razón del cero: El índice no cambia por sí solo las toneladas removidas. Una orden de pausa o rociado requiere decisión institucional.</w:t>
      </w:r>
    </w:p>
    <w:p>
      <w:pPr>
        <w:pStyle w:val="Compact"/>
        <w:numPr>
          <w:ilvl w:val="1"/>
          <w:numId w:val="1058"/>
        </w:numPr>
      </w:pPr>
      <w:r>
        <w:t xml:space="preserve">Fundamento: Premisa P-M: la influencia de V11 sobre V05 opera solo a través de V15. Se puntúa en los pares V11→V15 y V15→V05. No se duplica aquí.</w:t>
      </w:r>
    </w:p>
    <w:p>
      <w:pPr>
        <w:pStyle w:val="Compact"/>
        <w:numPr>
          <w:ilvl w:val="1"/>
          <w:numId w:val="1058"/>
        </w:numPr>
      </w:pPr>
      <w:r>
        <w:t xml:space="preserve">Justificación del valor: Se asigna 0 porque el índice no cambia por sí solo las toneladas removidas. Una orden de pausa o rociado requiere decisión institucional.</w:t>
      </w:r>
    </w:p>
    <w:p>
      <w:pPr>
        <w:pStyle w:val="Compact"/>
        <w:numPr>
          <w:ilvl w:val="1"/>
          <w:numId w:val="1058"/>
        </w:numPr>
      </w:pPr>
      <w:r>
        <w:t xml:space="preserve">Ancla comparada: ANC-0 (ver F4.4.2).</w:t>
      </w:r>
    </w:p>
    <w:p>
      <w:pPr>
        <w:pStyle w:val="Compact"/>
        <w:numPr>
          <w:ilvl w:val="1"/>
          <w:numId w:val="1058"/>
        </w:numPr>
      </w:pPr>
      <w:r>
        <w:t xml:space="preserve">Explicación rival: La orden de cese basada en el índice se puntúa en V15-&gt;V05.</w:t>
      </w:r>
    </w:p>
    <w:p>
      <w:pPr>
        <w:pStyle w:val="Compact"/>
        <w:numPr>
          <w:ilvl w:val="1"/>
          <w:numId w:val="1058"/>
        </w:numPr>
      </w:pPr>
      <w:r>
        <w:t xml:space="preserve">Mediadores del modelo: V15</w:t>
      </w:r>
    </w:p>
    <w:p>
      <w:pPr>
        <w:pStyle w:val="Compact"/>
        <w:numPr>
          <w:ilvl w:val="1"/>
          <w:numId w:val="1058"/>
        </w:numPr>
      </w:pPr>
      <w:r>
        <w:t xml:space="preserve">Motivo de la confianza: Ruta indirecta explícita en el modelo.</w:t>
      </w:r>
    </w:p>
    <w:p>
      <w:pPr>
        <w:pStyle w:val="FirstParagraph"/>
      </w:pPr>
      <w:r>
        <w:t xml:space="preserve">**Ficha 014 · V12__V13 · clase INTRA**</w:t>
      </w:r>
    </w:p>
    <w:p>
      <w:pPr>
        <w:pStyle w:val="Compact"/>
        <w:numPr>
          <w:ilvl w:val="0"/>
          <w:numId w:val="1059"/>
        </w:numPr>
      </w:pPr>
      <w:r>
        <w:rPr>
          <w:b/>
          <w:bCs/>
        </w:rPr>
        <w:t xml:space="preserve">V12→V13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0"/>
        </w:numPr>
      </w:pPr>
      <w:r>
        <w:t xml:space="preserve">Razón del cero: Las falsas alarmas no cambian el tiempo de aviso.</w:t>
      </w:r>
    </w:p>
    <w:p>
      <w:pPr>
        <w:pStyle w:val="Compact"/>
        <w:numPr>
          <w:ilvl w:val="1"/>
          <w:numId w:val="1060"/>
        </w:numPr>
      </w:pPr>
      <w:r>
        <w:t xml:space="preserve">Fundamento: Premisa P-0: no existe mecanismo físico, informático ni institucional que conecte V12 con V13 dentro de la frontera y el horizonte declarados.</w:t>
      </w:r>
    </w:p>
    <w:p>
      <w:pPr>
        <w:pStyle w:val="Compact"/>
        <w:numPr>
          <w:ilvl w:val="1"/>
          <w:numId w:val="1060"/>
        </w:numPr>
      </w:pPr>
      <w:r>
        <w:t xml:space="preserve">Justificación del valor: Se asigna 0 porque las falsas alarmas no cambian el tiempo de aviso.</w:t>
      </w:r>
    </w:p>
    <w:p>
      <w:pPr>
        <w:pStyle w:val="Compact"/>
        <w:numPr>
          <w:ilvl w:val="1"/>
          <w:numId w:val="1060"/>
        </w:numPr>
      </w:pPr>
      <w:r>
        <w:t xml:space="preserve">Ancla comparada: ANC-0 (ver F4.4.2).</w:t>
      </w:r>
    </w:p>
    <w:p>
      <w:pPr>
        <w:pStyle w:val="Compact"/>
        <w:numPr>
          <w:ilvl w:val="1"/>
          <w:numId w:val="1060"/>
        </w:numPr>
      </w:pPr>
      <w:r>
        <w:t xml:space="preserve">Explicación rival: Ninguna alternativa plausible dentro de la frontera.</w:t>
      </w:r>
    </w:p>
    <w:p>
      <w:pPr>
        <w:pStyle w:val="Compact"/>
        <w:numPr>
          <w:ilvl w:val="1"/>
          <w:numId w:val="1060"/>
        </w:numPr>
      </w:pPr>
      <w:r>
        <w:t xml:space="preserve">Mediadores del modelo: ninguno</w:t>
      </w:r>
    </w:p>
    <w:p>
      <w:pPr>
        <w:pStyle w:val="Compact"/>
        <w:numPr>
          <w:ilvl w:val="1"/>
          <w:numId w:val="1060"/>
        </w:numPr>
      </w:pPr>
      <w:r>
        <w:t xml:space="preserve">Motivo de la confianza: Ausencia de mecanismo por razonamiento físico. Sin medición ni fuente específica.</w:t>
      </w:r>
    </w:p>
    <w:p>
      <w:pPr>
        <w:pStyle w:val="Compact"/>
        <w:numPr>
          <w:ilvl w:val="0"/>
          <w:numId w:val="1059"/>
        </w:numPr>
      </w:pPr>
      <w:r>
        <w:rPr>
          <w:b/>
          <w:bCs/>
        </w:rPr>
        <w:t xml:space="preserve">V13→V12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1"/>
        </w:numPr>
      </w:pPr>
      <w:r>
        <w:t xml:space="preserve">Razón del cero: El tiempo de aviso no modifica la tasa de falsas alarmas.</w:t>
      </w:r>
    </w:p>
    <w:p>
      <w:pPr>
        <w:pStyle w:val="Compact"/>
        <w:numPr>
          <w:ilvl w:val="1"/>
          <w:numId w:val="1061"/>
        </w:numPr>
      </w:pPr>
      <w:r>
        <w:t xml:space="preserve">Fundamento: Premisa P-0: no existe mecanismo físico, informático ni institucional que conecte V13 con V12 dentro de la frontera y el horizonte declarados.</w:t>
      </w:r>
    </w:p>
    <w:p>
      <w:pPr>
        <w:pStyle w:val="Compact"/>
        <w:numPr>
          <w:ilvl w:val="1"/>
          <w:numId w:val="1061"/>
        </w:numPr>
      </w:pPr>
      <w:r>
        <w:t xml:space="preserve">Justificación del valor: Se asigna 0 porque el tiempo de aviso no modifica la tasa de falsas alarmas.</w:t>
      </w:r>
    </w:p>
    <w:p>
      <w:pPr>
        <w:pStyle w:val="Compact"/>
        <w:numPr>
          <w:ilvl w:val="1"/>
          <w:numId w:val="1061"/>
        </w:numPr>
      </w:pPr>
      <w:r>
        <w:t xml:space="preserve">Ancla comparada: ANC-0 (ver F4.4.2).</w:t>
      </w:r>
    </w:p>
    <w:p>
      <w:pPr>
        <w:pStyle w:val="Compact"/>
        <w:numPr>
          <w:ilvl w:val="1"/>
          <w:numId w:val="1061"/>
        </w:numPr>
      </w:pPr>
      <w:r>
        <w:t xml:space="preserve">Explicación rival: Ninguna alternativa plausible dentro de la frontera.</w:t>
      </w:r>
    </w:p>
    <w:p>
      <w:pPr>
        <w:pStyle w:val="Compact"/>
        <w:numPr>
          <w:ilvl w:val="1"/>
          <w:numId w:val="1061"/>
        </w:numPr>
      </w:pPr>
      <w:r>
        <w:t xml:space="preserve">Mediadores del modelo: ninguno</w:t>
      </w:r>
    </w:p>
    <w:p>
      <w:pPr>
        <w:pStyle w:val="Compact"/>
        <w:numPr>
          <w:ilvl w:val="1"/>
          <w:numId w:val="1061"/>
        </w:numPr>
      </w:pPr>
      <w:r>
        <w:t xml:space="preserve">Motivo de la confianza: Ausencia de mecanismo por razonamiento físico. Sin medición ni fuente específica.</w:t>
      </w:r>
    </w:p>
    <w:p>
      <w:pPr>
        <w:pStyle w:val="FirstParagraph"/>
      </w:pPr>
      <w:r>
        <w:t xml:space="preserve">**Ficha 015 · V09__V11 · clase INTER**</w:t>
      </w:r>
    </w:p>
    <w:p>
      <w:pPr>
        <w:pStyle w:val="Compact"/>
        <w:numPr>
          <w:ilvl w:val="0"/>
          <w:numId w:val="1062"/>
        </w:numPr>
      </w:pPr>
      <w:r>
        <w:rPr>
          <w:b/>
          <w:bCs/>
        </w:rPr>
        <w:t xml:space="preserve">V09→V11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63"/>
        </w:numPr>
      </w:pPr>
      <w:r>
        <w:t xml:space="preserve">Razón del cero: La pérdida de nodos afecta el índice mediante la densidad y la representatividad (V10).</w:t>
      </w:r>
    </w:p>
    <w:p>
      <w:pPr>
        <w:pStyle w:val="Compact"/>
        <w:numPr>
          <w:ilvl w:val="1"/>
          <w:numId w:val="1063"/>
        </w:numPr>
      </w:pPr>
      <w:r>
        <w:t xml:space="preserve">Fundamento: Premisa P-M: la influencia de V09 sobre V11 opera solo a través de V10. Se puntúa en los pares V09→V10 y V10→V11. No se duplica aquí.</w:t>
      </w:r>
    </w:p>
    <w:p>
      <w:pPr>
        <w:pStyle w:val="Compact"/>
        <w:numPr>
          <w:ilvl w:val="1"/>
          <w:numId w:val="1063"/>
        </w:numPr>
      </w:pPr>
      <w:r>
        <w:t xml:space="preserve">Justificación del valor: Se asigna 0 porque la pérdida de nodos afecta el índice mediante la densidad y la representatividad (V10).</w:t>
      </w:r>
    </w:p>
    <w:p>
      <w:pPr>
        <w:pStyle w:val="Compact"/>
        <w:numPr>
          <w:ilvl w:val="1"/>
          <w:numId w:val="1063"/>
        </w:numPr>
      </w:pPr>
      <w:r>
        <w:t xml:space="preserve">Ancla comparada: ANC-0 (ver F4.4.2).</w:t>
      </w:r>
    </w:p>
    <w:p>
      <w:pPr>
        <w:pStyle w:val="Compact"/>
        <w:numPr>
          <w:ilvl w:val="1"/>
          <w:numId w:val="1063"/>
        </w:numPr>
      </w:pPr>
      <w:r>
        <w:t xml:space="preserve">Explicación rival: Ninguna alternativa plausible dentro de la frontera.</w:t>
      </w:r>
    </w:p>
    <w:p>
      <w:pPr>
        <w:pStyle w:val="Compact"/>
        <w:numPr>
          <w:ilvl w:val="1"/>
          <w:numId w:val="1063"/>
        </w:numPr>
      </w:pPr>
      <w:r>
        <w:t xml:space="preserve">Mediadores del modelo: V10</w:t>
      </w:r>
    </w:p>
    <w:p>
      <w:pPr>
        <w:pStyle w:val="Compact"/>
        <w:numPr>
          <w:ilvl w:val="1"/>
          <w:numId w:val="1063"/>
        </w:numPr>
      </w:pPr>
      <w:r>
        <w:t xml:space="preserve">Motivo de la confianza: Ruta indirecta explícita en el modelo.</w:t>
      </w:r>
    </w:p>
    <w:p>
      <w:pPr>
        <w:pStyle w:val="Compact"/>
        <w:numPr>
          <w:ilvl w:val="0"/>
          <w:numId w:val="1062"/>
        </w:numPr>
      </w:pPr>
      <w:r>
        <w:rPr>
          <w:b/>
          <w:bCs/>
        </w:rPr>
        <w:t xml:space="preserve">V11→V09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4"/>
        </w:numPr>
      </w:pPr>
      <w:r>
        <w:t xml:space="preserve">Razón del cero: El nivel del índice no cambia la disponibilidad de los nodos.</w:t>
      </w:r>
    </w:p>
    <w:p>
      <w:pPr>
        <w:pStyle w:val="Compact"/>
        <w:numPr>
          <w:ilvl w:val="1"/>
          <w:numId w:val="1064"/>
        </w:numPr>
      </w:pPr>
      <w:r>
        <w:t xml:space="preserve">Fundamento: Premisa P-0: no existe mecanismo físico, informático ni institucional que conecte V11 con V09 dentro de la frontera y el horizonte declarados.</w:t>
      </w:r>
    </w:p>
    <w:p>
      <w:pPr>
        <w:pStyle w:val="Compact"/>
        <w:numPr>
          <w:ilvl w:val="1"/>
          <w:numId w:val="1064"/>
        </w:numPr>
      </w:pPr>
      <w:r>
        <w:t xml:space="preserve">Justificación del valor: Se asigna 0 porque el nivel del índice no cambia la disponibilidad de los nodos.</w:t>
      </w:r>
    </w:p>
    <w:p>
      <w:pPr>
        <w:pStyle w:val="Compact"/>
        <w:numPr>
          <w:ilvl w:val="1"/>
          <w:numId w:val="1064"/>
        </w:numPr>
      </w:pPr>
      <w:r>
        <w:t xml:space="preserve">Ancla comparada: ANC-0 (ver F4.4.2).</w:t>
      </w:r>
    </w:p>
    <w:p>
      <w:pPr>
        <w:pStyle w:val="Compact"/>
        <w:numPr>
          <w:ilvl w:val="1"/>
          <w:numId w:val="1064"/>
        </w:numPr>
      </w:pPr>
      <w:r>
        <w:t xml:space="preserve">Explicación rival: Ninguna alternativa plausible dentro de la frontera.</w:t>
      </w:r>
    </w:p>
    <w:p>
      <w:pPr>
        <w:pStyle w:val="Compact"/>
        <w:numPr>
          <w:ilvl w:val="1"/>
          <w:numId w:val="1064"/>
        </w:numPr>
      </w:pPr>
      <w:r>
        <w:t xml:space="preserve">Mediadores del modelo: ninguno</w:t>
      </w:r>
    </w:p>
    <w:p>
      <w:pPr>
        <w:pStyle w:val="Compact"/>
        <w:numPr>
          <w:ilvl w:val="1"/>
          <w:numId w:val="1064"/>
        </w:numPr>
      </w:pPr>
      <w:r>
        <w:t xml:space="preserve">Motivo de la confianza: Ausencia de mecanismo por razonamiento físico. Sin medición ni fuente específica.</w:t>
      </w:r>
    </w:p>
    <w:p>
      <w:pPr>
        <w:pStyle w:val="FirstParagraph"/>
      </w:pPr>
      <w:r>
        <w:t xml:space="preserve">**Ficha 016 · V13__V15 · clase INTRA**</w:t>
      </w:r>
    </w:p>
    <w:p>
      <w:pPr>
        <w:pStyle w:val="Compact"/>
        <w:numPr>
          <w:ilvl w:val="0"/>
          <w:numId w:val="1065"/>
        </w:numPr>
      </w:pPr>
      <w:r>
        <w:rPr>
          <w:b/>
          <w:bCs/>
        </w:rPr>
        <w:t xml:space="preserve">V13→V15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66"/>
        </w:numPr>
      </w:pPr>
      <w:r>
        <w:t xml:space="preserve">Razón del cero: El tiempo de aviso afecta el uso institucional mediante la protección lograda (V14), no de forma directa.</w:t>
      </w:r>
    </w:p>
    <w:p>
      <w:pPr>
        <w:pStyle w:val="Compact"/>
        <w:numPr>
          <w:ilvl w:val="1"/>
          <w:numId w:val="1066"/>
        </w:numPr>
      </w:pPr>
      <w:r>
        <w:t xml:space="preserve">Fundamento: Premisa P-M: la influencia de V13 sobre V15 opera solo a través de V14. Se puntúa en los pares V13→V14 y V14→V15. No se duplica aquí.</w:t>
      </w:r>
    </w:p>
    <w:p>
      <w:pPr>
        <w:pStyle w:val="Compact"/>
        <w:numPr>
          <w:ilvl w:val="1"/>
          <w:numId w:val="1066"/>
        </w:numPr>
      </w:pPr>
      <w:r>
        <w:t xml:space="preserve">Justificación del valor: Se asigna 0 porque el tiempo de aviso afecta el uso institucional mediante la protección lograda (V14), no de forma directa.</w:t>
      </w:r>
    </w:p>
    <w:p>
      <w:pPr>
        <w:pStyle w:val="Compact"/>
        <w:numPr>
          <w:ilvl w:val="1"/>
          <w:numId w:val="1066"/>
        </w:numPr>
      </w:pPr>
      <w:r>
        <w:t xml:space="preserve">Ancla comparada: ANC-0 (ver F4.4.2).</w:t>
      </w:r>
    </w:p>
    <w:p>
      <w:pPr>
        <w:pStyle w:val="Compact"/>
        <w:numPr>
          <w:ilvl w:val="1"/>
          <w:numId w:val="1066"/>
        </w:numPr>
      </w:pPr>
      <w:r>
        <w:t xml:space="preserve">Explicación rival: Ninguna alternativa plausible dentro de la frontera.</w:t>
      </w:r>
    </w:p>
    <w:p>
      <w:pPr>
        <w:pStyle w:val="Compact"/>
        <w:numPr>
          <w:ilvl w:val="1"/>
          <w:numId w:val="1066"/>
        </w:numPr>
      </w:pPr>
      <w:r>
        <w:t xml:space="preserve">Mediadores del modelo: V14</w:t>
      </w:r>
    </w:p>
    <w:p>
      <w:pPr>
        <w:pStyle w:val="Compact"/>
        <w:numPr>
          <w:ilvl w:val="1"/>
          <w:numId w:val="1066"/>
        </w:numPr>
      </w:pPr>
      <w:r>
        <w:t xml:space="preserve">Motivo de la confianza: Ruta indirecta explícita en el modelo.</w:t>
      </w:r>
    </w:p>
    <w:p>
      <w:pPr>
        <w:pStyle w:val="Compact"/>
        <w:numPr>
          <w:ilvl w:val="0"/>
          <w:numId w:val="1065"/>
        </w:numPr>
      </w:pPr>
      <w:r>
        <w:rPr>
          <w:b/>
          <w:bCs/>
        </w:rPr>
        <w:t xml:space="preserve">V15→V13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067"/>
        </w:numPr>
      </w:pPr>
      <w:r>
        <w:t xml:space="preserve">Razón del cero: La adopción institucional no cambia el tiempo físico de aviso. Podría reducir el tiempo de decisión, efecto que no está modelado.</w:t>
      </w:r>
    </w:p>
    <w:p>
      <w:pPr>
        <w:pStyle w:val="Compact"/>
        <w:numPr>
          <w:ilvl w:val="1"/>
          <w:numId w:val="1067"/>
        </w:numPr>
      </w:pPr>
      <w:r>
        <w:t xml:space="preserve">Fundamento: Premisa P-0: no existe mecanismo físico, informático ni institucional que conecte V15 con V13 dentro de la frontera y el horizonte declarados.</w:t>
      </w:r>
    </w:p>
    <w:p>
      <w:pPr>
        <w:pStyle w:val="Compact"/>
        <w:numPr>
          <w:ilvl w:val="1"/>
          <w:numId w:val="1067"/>
        </w:numPr>
      </w:pPr>
      <w:r>
        <w:t xml:space="preserve">Justificación del valor: Se asigna 0 porque la adopción institucional no cambia el tiempo físico de aviso. Podría reducir el tiempo de decisión, efecto que no está modelado.</w:t>
      </w:r>
    </w:p>
    <w:p>
      <w:pPr>
        <w:pStyle w:val="Compact"/>
        <w:numPr>
          <w:ilvl w:val="1"/>
          <w:numId w:val="1067"/>
        </w:numPr>
      </w:pPr>
      <w:r>
        <w:t xml:space="preserve">Ancla comparada: ANC-0 (ver F4.4.2).</w:t>
      </w:r>
    </w:p>
    <w:p>
      <w:pPr>
        <w:pStyle w:val="Compact"/>
        <w:numPr>
          <w:ilvl w:val="1"/>
          <w:numId w:val="1067"/>
        </w:numPr>
      </w:pPr>
      <w:r>
        <w:t xml:space="preserve">Explicación rival: Un protocolo en el Puesto de Mando Unificado acorta la decisión. El diseño lo trata como parte de V14.</w:t>
      </w:r>
    </w:p>
    <w:p>
      <w:pPr>
        <w:pStyle w:val="Compact"/>
        <w:numPr>
          <w:ilvl w:val="1"/>
          <w:numId w:val="1067"/>
        </w:numPr>
      </w:pPr>
      <w:r>
        <w:t xml:space="preserve">Mediadores del modelo: ninguno</w:t>
      </w:r>
    </w:p>
    <w:p>
      <w:pPr>
        <w:pStyle w:val="Compact"/>
        <w:numPr>
          <w:ilvl w:val="1"/>
          <w:numId w:val="1067"/>
        </w:numPr>
      </w:pPr>
      <w:r>
        <w:t xml:space="preserve">Motivo de la confianza: Ausencia de mecanismo por razonamiento físico. Sin medición ni fuente específica.</w:t>
      </w:r>
    </w:p>
    <w:p>
      <w:pPr>
        <w:pStyle w:val="FirstParagraph"/>
      </w:pPr>
      <w:r>
        <w:t xml:space="preserve">**Ficha 017 · V02__V09 · clase INTER**</w:t>
      </w:r>
    </w:p>
    <w:p>
      <w:pPr>
        <w:pStyle w:val="Compact"/>
        <w:numPr>
          <w:ilvl w:val="0"/>
          <w:numId w:val="1068"/>
        </w:numPr>
      </w:pPr>
      <w:r>
        <w:rPr>
          <w:b/>
          <w:bCs/>
        </w:rPr>
        <w:t xml:space="preserve">V02→V09</w:t>
      </w:r>
      <w:r>
        <w:t xml:space="preserve"> </w:t>
      </w:r>
      <w:r>
        <w:t xml:space="preserve">· valor</w:t>
      </w:r>
      <w:r>
        <w:t xml:space="preserve"> </w:t>
      </w:r>
      <w:r>
        <w:rPr>
          <w:b/>
          <w:bCs/>
        </w:rPr>
        <w:t xml:space="preserve">1</w:t>
      </w:r>
      <w:r>
        <w:t xml:space="preserve"> </w:t>
      </w:r>
      <w:r>
        <w:t xml:space="preserve">(admisibles: 0, 1) · signo - · naturaleza INFERIDO · estado PROPUESTO · confianza BAJA</w:t>
      </w:r>
    </w:p>
    <w:p>
      <w:pPr>
        <w:pStyle w:val="Compact"/>
        <w:numPr>
          <w:ilvl w:val="1"/>
          <w:numId w:val="1069"/>
        </w:numPr>
      </w:pPr>
      <w:r>
        <w:t xml:space="preserve">Mecanismo: El polvo grueso se deposita sobre paneles solares y entradas de aire, reduce la carga disponible y obliga a limpiezas que sacan nodos de servicio.</w:t>
      </w:r>
    </w:p>
    <w:p>
      <w:pPr>
        <w:pStyle w:val="Compact"/>
        <w:numPr>
          <w:ilvl w:val="1"/>
          <w:numId w:val="1069"/>
        </w:numPr>
      </w:pPr>
      <w:r>
        <w:t xml:space="preserve">Fundamento: Premisa general de ensuciamiento fotovoltaico. Sin fuente en el expediente. F-INF no reporta datos de energía de nodos.</w:t>
      </w:r>
    </w:p>
    <w:p>
      <w:pPr>
        <w:pStyle w:val="Compact"/>
        <w:numPr>
          <w:ilvl w:val="1"/>
          <w:numId w:val="1069"/>
        </w:numPr>
      </w:pPr>
      <w:r>
        <w:t xml:space="preserve">Fuentes: F-E3, Capítulo 10, Tabla E3-10.5, fila Mes 6: pivote por baterías o módulos fotovoltaicos (alcance: Indica que el diseño contempla energía solar; no cuantifica el efecto del polvo)</w:t>
      </w:r>
    </w:p>
    <w:p>
      <w:pPr>
        <w:pStyle w:val="Compact"/>
        <w:numPr>
          <w:ilvl w:val="1"/>
          <w:numId w:val="1069"/>
        </w:numPr>
      </w:pPr>
      <w:r>
        <w:t xml:space="preserve">Premisas: P-V02-V09: el depósito de polvo reduce la generación fotovoltaica y bloquea ventilación (conocimiento técnico general).</w:t>
      </w:r>
    </w:p>
    <w:p>
      <w:pPr>
        <w:pStyle w:val="Compact"/>
        <w:numPr>
          <w:ilvl w:val="1"/>
          <w:numId w:val="1069"/>
        </w:numPr>
      </w:pPr>
      <w:r>
        <w:t xml:space="preserve">Justificación del valor: Se asigna 1: el efecto es gradual y mitigable con limpieza, comparable con ANC-1 (V03-&gt;V09). Se descarta 2 porque no destruye el nodo.</w:t>
      </w:r>
    </w:p>
    <w:p>
      <w:pPr>
        <w:pStyle w:val="Compact"/>
        <w:numPr>
          <w:ilvl w:val="1"/>
          <w:numId w:val="1069"/>
        </w:numPr>
      </w:pPr>
      <w:r>
        <w:t xml:space="preserve">Ancla comparada: Igual a ANC-1.</w:t>
      </w:r>
    </w:p>
    <w:p>
      <w:pPr>
        <w:pStyle w:val="Compact"/>
        <w:numPr>
          <w:ilvl w:val="1"/>
          <w:numId w:val="1069"/>
        </w:numPr>
      </w:pPr>
      <w:r>
        <w:t xml:space="preserve">Explicación rival: Si los nodos usan solo batería primaria sin panel, el efecto es 0. El expediente cita módulos fotovoltaicos en el plan de pivote (Tabla E3-10.5).</w:t>
      </w:r>
    </w:p>
    <w:p>
      <w:pPr>
        <w:pStyle w:val="Compact"/>
        <w:numPr>
          <w:ilvl w:val="1"/>
          <w:numId w:val="1069"/>
        </w:numPr>
      </w:pPr>
      <w:r>
        <w:t xml:space="preserve">Mediadores del modelo: ninguno</w:t>
      </w:r>
    </w:p>
    <w:p>
      <w:pPr>
        <w:pStyle w:val="Compact"/>
        <w:numPr>
          <w:ilvl w:val="1"/>
          <w:numId w:val="1069"/>
        </w:numPr>
      </w:pPr>
      <w:r>
        <w:t xml:space="preserve">Motivo de la confianza: Premisa general. Tecnología de alimentación no definida.</w:t>
      </w:r>
    </w:p>
    <w:p>
      <w:pPr>
        <w:pStyle w:val="Compact"/>
        <w:numPr>
          <w:ilvl w:val="0"/>
          <w:numId w:val="1068"/>
        </w:numPr>
      </w:pPr>
      <w:r>
        <w:rPr>
          <w:b/>
          <w:bCs/>
        </w:rPr>
        <w:t xml:space="preserve">V09→V02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0"/>
        </w:numPr>
      </w:pPr>
      <w:r>
        <w:t xml:space="preserve">Razón del cero: La disponibilidad de nodos no modifica la masa de PM10 del aire.</w:t>
      </w:r>
    </w:p>
    <w:p>
      <w:pPr>
        <w:pStyle w:val="Compact"/>
        <w:numPr>
          <w:ilvl w:val="1"/>
          <w:numId w:val="1070"/>
        </w:numPr>
      </w:pPr>
      <w:r>
        <w:t xml:space="preserve">Fundamento: Premisa P-0: no existe mecanismo físico, informático ni institucional que conecte V09 con V02 dentro de la frontera y el horizonte declarados.</w:t>
      </w:r>
    </w:p>
    <w:p>
      <w:pPr>
        <w:pStyle w:val="Compact"/>
        <w:numPr>
          <w:ilvl w:val="1"/>
          <w:numId w:val="1070"/>
        </w:numPr>
      </w:pPr>
      <w:r>
        <w:t xml:space="preserve">Justificación del valor: Se asigna 0 porque la disponibilidad de nodos no modifica la masa de PM10 del aire.</w:t>
      </w:r>
    </w:p>
    <w:p>
      <w:pPr>
        <w:pStyle w:val="Compact"/>
        <w:numPr>
          <w:ilvl w:val="1"/>
          <w:numId w:val="1070"/>
        </w:numPr>
      </w:pPr>
      <w:r>
        <w:t xml:space="preserve">Ancla comparada: ANC-0 (ver F4.4.2).</w:t>
      </w:r>
    </w:p>
    <w:p>
      <w:pPr>
        <w:pStyle w:val="Compact"/>
        <w:numPr>
          <w:ilvl w:val="1"/>
          <w:numId w:val="1070"/>
        </w:numPr>
      </w:pPr>
      <w:r>
        <w:t xml:space="preserve">Explicación rival: Ninguna alternativa plausible dentro de la frontera.</w:t>
      </w:r>
    </w:p>
    <w:p>
      <w:pPr>
        <w:pStyle w:val="Compact"/>
        <w:numPr>
          <w:ilvl w:val="1"/>
          <w:numId w:val="1070"/>
        </w:numPr>
      </w:pPr>
      <w:r>
        <w:t xml:space="preserve">Mediadores del modelo: ninguno</w:t>
      </w:r>
    </w:p>
    <w:p>
      <w:pPr>
        <w:pStyle w:val="Compact"/>
        <w:numPr>
          <w:ilvl w:val="1"/>
          <w:numId w:val="1070"/>
        </w:numPr>
      </w:pPr>
      <w:r>
        <w:t xml:space="preserve">Motivo de la confianza: Ausencia de mecanismo por razonamiento físico. Sin medición ni fuente específica.</w:t>
      </w:r>
    </w:p>
    <w:p>
      <w:pPr>
        <w:pStyle w:val="FirstParagraph"/>
      </w:pPr>
      <w:r>
        <w:t xml:space="preserve">**Ficha 018 · V13__V14 · clase INTRA**</w:t>
      </w:r>
    </w:p>
    <w:p>
      <w:pPr>
        <w:pStyle w:val="Compact"/>
        <w:numPr>
          <w:ilvl w:val="0"/>
          <w:numId w:val="1071"/>
        </w:numPr>
      </w:pPr>
      <w:r>
        <w:rPr>
          <w:b/>
          <w:bCs/>
        </w:rPr>
        <w:t xml:space="preserve">V13→V14</w:t>
      </w:r>
      <w:r>
        <w:t xml:space="preserve"> </w:t>
      </w:r>
      <w:r>
        <w:t xml:space="preserve">· valor</w:t>
      </w:r>
      <w:r>
        <w:t xml:space="preserve"> </w:t>
      </w:r>
      <w:r>
        <w:rPr>
          <w:b/>
          <w:bCs/>
        </w:rPr>
        <w:t xml:space="preserve">2</w:t>
      </w:r>
      <w:r>
        <w:t xml:space="preserve"> </w:t>
      </w:r>
      <w:r>
        <w:t xml:space="preserve">(admisibles: 2, 3) · signo + · naturaleza INFERIDO · estado PROPUESTO · confianza MEDIA</w:t>
      </w:r>
    </w:p>
    <w:p>
      <w:pPr>
        <w:pStyle w:val="Compact"/>
        <w:numPr>
          <w:ilvl w:val="1"/>
          <w:numId w:val="1072"/>
        </w:numPr>
      </w:pPr>
      <w:r>
        <w:t xml:space="preserve">Mecanismo: Más tiempo de aviso permite que más operarios y residentes adopten medidas de protección antes del impacto.</w:t>
      </w:r>
    </w:p>
    <w:p>
      <w:pPr>
        <w:pStyle w:val="Compact"/>
        <w:numPr>
          <w:ilvl w:val="1"/>
          <w:numId w:val="1072"/>
        </w:numPr>
      </w:pPr>
      <w:r>
        <w:t xml:space="preserve">Fundamento: Ledger E3-P04, fila V13-&gt;V14 (INFERIDO, magnitud 3). F-INF §1.3 hallazgo 2: ningún documento de alertas reporta anticipación, por lo que no hay curva empírica aviso-protección.</w:t>
      </w:r>
    </w:p>
    <w:p>
      <w:pPr>
        <w:pStyle w:val="Compact"/>
        <w:numPr>
          <w:ilvl w:val="1"/>
          <w:numId w:val="1072"/>
        </w:numPr>
      </w:pPr>
      <w:r>
        <w:t xml:space="preserve">Fuentes: F-E3, E3-P04 §12, fila V13-&gt;V14 (alcance: Valor heredado; la revisión lo modifica); F-INF, §1.3 hallazgo 2 (alcance: Ausencia de evidencia sobre anticipación)</w:t>
      </w:r>
    </w:p>
    <w:p>
      <w:pPr>
        <w:pStyle w:val="Compact"/>
        <w:numPr>
          <w:ilvl w:val="1"/>
          <w:numId w:val="1072"/>
        </w:numPr>
      </w:pPr>
      <w:r>
        <w:t xml:space="preserve">Justificación del valor: Se asigna 2 y no 3: el efecto crece hasta superar el tiempo de respuesta (colocar mascarilla, evacuar) y luego satura. Para operarios con mascarilla disponible el rendimiento marginal es bajo.</w:t>
      </w:r>
    </w:p>
    <w:p>
      <w:pPr>
        <w:pStyle w:val="Compact"/>
        <w:numPr>
          <w:ilvl w:val="1"/>
          <w:numId w:val="1072"/>
        </w:numPr>
      </w:pPr>
      <w:r>
        <w:t xml:space="preserve">Ancla comparada: Igual a ANC-2.</w:t>
      </w:r>
    </w:p>
    <w:p>
      <w:pPr>
        <w:pStyle w:val="Compact"/>
        <w:numPr>
          <w:ilvl w:val="1"/>
          <w:numId w:val="1072"/>
        </w:numPr>
      </w:pPr>
      <w:r>
        <w:t xml:space="preserve">Explicación rival: Para evacuación de comunidades el aviso es crítico y el valor sería 3.</w:t>
      </w:r>
    </w:p>
    <w:p>
      <w:pPr>
        <w:pStyle w:val="Compact"/>
        <w:numPr>
          <w:ilvl w:val="1"/>
          <w:numId w:val="1072"/>
        </w:numPr>
      </w:pPr>
      <w:r>
        <w:t xml:space="preserve">Mediadores del modelo: ninguno</w:t>
      </w:r>
    </w:p>
    <w:p>
      <w:pPr>
        <w:pStyle w:val="Compact"/>
        <w:numPr>
          <w:ilvl w:val="1"/>
          <w:numId w:val="1072"/>
        </w:numPr>
      </w:pPr>
      <w:r>
        <w:t xml:space="preserve">Motivo de la confianza: Mecanismo lógico con saturación. Sin curva empírica.</w:t>
      </w:r>
    </w:p>
    <w:p>
      <w:pPr>
        <w:pStyle w:val="Compact"/>
        <w:numPr>
          <w:ilvl w:val="0"/>
          <w:numId w:val="1071"/>
        </w:numPr>
      </w:pPr>
      <w:r>
        <w:rPr>
          <w:b/>
          <w:bCs/>
        </w:rPr>
        <w:t xml:space="preserve">V14→V13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3"/>
        </w:numPr>
      </w:pPr>
      <w:r>
        <w:t xml:space="preserve">Razón del cero: El número de personas protegidas no modifica el tiempo de aviso.</w:t>
      </w:r>
    </w:p>
    <w:p>
      <w:pPr>
        <w:pStyle w:val="Compact"/>
        <w:numPr>
          <w:ilvl w:val="1"/>
          <w:numId w:val="1073"/>
        </w:numPr>
      </w:pPr>
      <w:r>
        <w:t xml:space="preserve">Fundamento: Premisa P-0: no existe mecanismo físico, informático ni institucional que conecte V14 con V13 dentro de la frontera y el horizonte declarados.</w:t>
      </w:r>
    </w:p>
    <w:p>
      <w:pPr>
        <w:pStyle w:val="Compact"/>
        <w:numPr>
          <w:ilvl w:val="1"/>
          <w:numId w:val="1073"/>
        </w:numPr>
      </w:pPr>
      <w:r>
        <w:t xml:space="preserve">Justificación del valor: Se asigna 0 porque el número de personas protegidas no modifica el tiempo de aviso.</w:t>
      </w:r>
    </w:p>
    <w:p>
      <w:pPr>
        <w:pStyle w:val="Compact"/>
        <w:numPr>
          <w:ilvl w:val="1"/>
          <w:numId w:val="1073"/>
        </w:numPr>
      </w:pPr>
      <w:r>
        <w:t xml:space="preserve">Ancla comparada: ANC-0 (ver F4.4.2).</w:t>
      </w:r>
    </w:p>
    <w:p>
      <w:pPr>
        <w:pStyle w:val="Compact"/>
        <w:numPr>
          <w:ilvl w:val="1"/>
          <w:numId w:val="1073"/>
        </w:numPr>
      </w:pPr>
      <w:r>
        <w:t xml:space="preserve">Explicación rival: Ninguna alternativa plausible dentro de la frontera.</w:t>
      </w:r>
    </w:p>
    <w:p>
      <w:pPr>
        <w:pStyle w:val="Compact"/>
        <w:numPr>
          <w:ilvl w:val="1"/>
          <w:numId w:val="1073"/>
        </w:numPr>
      </w:pPr>
      <w:r>
        <w:t xml:space="preserve">Mediadores del modelo: ninguno</w:t>
      </w:r>
    </w:p>
    <w:p>
      <w:pPr>
        <w:pStyle w:val="Compact"/>
        <w:numPr>
          <w:ilvl w:val="1"/>
          <w:numId w:val="1073"/>
        </w:numPr>
      </w:pPr>
      <w:r>
        <w:t xml:space="preserve">Motivo de la confianza: Ausencia de mecanismo por razonamiento físico. Sin medición ni fuente específica.</w:t>
      </w:r>
    </w:p>
    <w:p>
      <w:pPr>
        <w:pStyle w:val="FirstParagraph"/>
      </w:pPr>
      <w:r>
        <w:t xml:space="preserve">**Ficha 019 · V03__V06 · clase INTER**</w:t>
      </w:r>
    </w:p>
    <w:p>
      <w:pPr>
        <w:pStyle w:val="Compact"/>
        <w:numPr>
          <w:ilvl w:val="0"/>
          <w:numId w:val="1074"/>
        </w:numPr>
      </w:pPr>
      <w:r>
        <w:rPr>
          <w:b/>
          <w:bCs/>
        </w:rPr>
        <w:t xml:space="preserve">V03→V06</w:t>
      </w:r>
      <w:r>
        <w:t xml:space="preserve"> </w:t>
      </w:r>
      <w:r>
        <w:t xml:space="preserve">· valor</w:t>
      </w:r>
      <w:r>
        <w:t xml:space="preserve"> </w:t>
      </w:r>
      <w:r>
        <w:rPr>
          <w:b/>
          <w:bCs/>
        </w:rPr>
        <w:t xml:space="preserve">3</w:t>
      </w:r>
      <w:r>
        <w:t xml:space="preserve"> </w:t>
      </w:r>
      <w:r>
        <w:t xml:space="preserve">(admisibles: 2, 3) · signo + · naturaleza DOCUMENTADO · estado PROPUESTO · confianza MEDIA</w:t>
      </w:r>
    </w:p>
    <w:p>
      <w:pPr>
        <w:pStyle w:val="Compact"/>
        <w:numPr>
          <w:ilvl w:val="1"/>
          <w:numId w:val="1075"/>
        </w:numPr>
      </w:pPr>
      <w:r>
        <w:t xml:space="preserve">Mecanismo: El crecimiento higroscópico infla el tamaño aparente de las partículas y las gotas dispersan la luz del contador láser. El resultado es un sesgo positivo en la lectura óptica.</w:t>
      </w:r>
    </w:p>
    <w:p>
      <w:pPr>
        <w:pStyle w:val="Compact"/>
        <w:numPr>
          <w:ilvl w:val="1"/>
          <w:numId w:val="1075"/>
        </w:numPr>
      </w:pPr>
      <w:r>
        <w:t xml:space="preserve">Fundamento: F-INF §1.3 hallazgo 3 y §3.1 registran una correlación de 0,73 entre partículas y humedad en una mina a cielo abierto (Suresh et al., 2025, p. 30). El valor documentado es una correlación, no el NMAE.</w:t>
      </w:r>
    </w:p>
    <w:p>
      <w:pPr>
        <w:pStyle w:val="Compact"/>
        <w:numPr>
          <w:ilvl w:val="1"/>
          <w:numId w:val="1075"/>
        </w:numPr>
      </w:pPr>
      <w:r>
        <w:t xml:space="preserve">Fuentes: F-INF, §1.3 hallazgo 3 y §3.1 (Suresh et al., 2025, p. 30): correlación PM-humedad = 0,73 (alcance: Cita secundaria; alcance: sesgo por humedad en mina a cielo abierto); F-INF, §3.1 (Bang et al., 2026, pp. 6-8): R2 de &lt;0,2 a 0,81 con corrección por estación cercana (alcance: Respalda que el sesgo corregible existe en una red urbana)</w:t>
      </w:r>
    </w:p>
    <w:p>
      <w:pPr>
        <w:pStyle w:val="Compact"/>
        <w:numPr>
          <w:ilvl w:val="1"/>
          <w:numId w:val="1075"/>
        </w:numPr>
      </w:pPr>
      <w:r>
        <w:t xml:space="preserve">Premisas: P-V03-V06: la dispersión de luz por gotas y partículas hidratadas aumenta la señal óptica a igual masa seca (principio físico de los contadores ópticos).</w:t>
      </w:r>
    </w:p>
    <w:p>
      <w:pPr>
        <w:pStyle w:val="Compact"/>
        <w:numPr>
          <w:ilvl w:val="1"/>
          <w:numId w:val="1075"/>
        </w:numPr>
      </w:pPr>
      <w:r>
        <w:t xml:space="preserve">Justificación del valor: Se asigna 3 porque la humedad determina de forma crítica el sesgo del sensor óptico en las condiciones de interés, sin intermediario. Es el vínculo mejor respaldado del modelo.</w:t>
      </w:r>
    </w:p>
    <w:p>
      <w:pPr>
        <w:pStyle w:val="Compact"/>
        <w:numPr>
          <w:ilvl w:val="1"/>
          <w:numId w:val="1075"/>
        </w:numPr>
      </w:pPr>
      <w:r>
        <w:t xml:space="preserve">Ancla comparada: Igual a ANC-3 en nivel. Mayor que ANC-1 porque el efecto es medido y no solo gradual.</w:t>
      </w:r>
    </w:p>
    <w:p>
      <w:pPr>
        <w:pStyle w:val="Compact"/>
        <w:numPr>
          <w:ilvl w:val="1"/>
          <w:numId w:val="1075"/>
        </w:numPr>
      </w:pPr>
      <w:r>
        <w:t xml:space="preserve">Explicación rival: La corrección con referencia cercana puede neutralizar el sesgo. Eso se puntúa en V07-&gt;V06. La correlación 0,73 podría reflejar covariación estacional de PM y humedad.</w:t>
      </w:r>
    </w:p>
    <w:p>
      <w:pPr>
        <w:pStyle w:val="Compact"/>
        <w:numPr>
          <w:ilvl w:val="1"/>
          <w:numId w:val="1075"/>
        </w:numPr>
      </w:pPr>
      <w:r>
        <w:t xml:space="preserve">Mediadores del modelo: ninguno</w:t>
      </w:r>
    </w:p>
    <w:p>
      <w:pPr>
        <w:pStyle w:val="Compact"/>
        <w:numPr>
          <w:ilvl w:val="1"/>
          <w:numId w:val="1075"/>
        </w:numPr>
      </w:pPr>
      <w:r>
        <w:t xml:space="preserve">Motivo de la confianza: Fuente secundaria localizada. Correlación en mina, no NMAE en escombreras. El artículo original no fue leído.</w:t>
      </w:r>
    </w:p>
    <w:p>
      <w:pPr>
        <w:pStyle w:val="Compact"/>
        <w:numPr>
          <w:ilvl w:val="0"/>
          <w:numId w:val="1074"/>
        </w:numPr>
      </w:pPr>
      <w:r>
        <w:rPr>
          <w:b/>
          <w:bCs/>
        </w:rPr>
        <w:t xml:space="preserve">V06→V03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6"/>
        </w:numPr>
      </w:pPr>
      <w:r>
        <w:t xml:space="preserve">Razón del cero: El error del sensor óptico no modifica la humedad relativa del aire.</w:t>
      </w:r>
    </w:p>
    <w:p>
      <w:pPr>
        <w:pStyle w:val="Compact"/>
        <w:numPr>
          <w:ilvl w:val="1"/>
          <w:numId w:val="1076"/>
        </w:numPr>
      </w:pPr>
      <w:r>
        <w:t xml:space="preserve">Fundamento: Premisa P-0: no existe mecanismo físico, informático ni institucional que conecte V06 con V03 dentro de la frontera y el horizonte declarados.</w:t>
      </w:r>
    </w:p>
    <w:p>
      <w:pPr>
        <w:pStyle w:val="Compact"/>
        <w:numPr>
          <w:ilvl w:val="1"/>
          <w:numId w:val="1076"/>
        </w:numPr>
      </w:pPr>
      <w:r>
        <w:t xml:space="preserve">Justificación del valor: Se asigna 0 porque el error del sensor óptico no modifica la humedad relativa del aire.</w:t>
      </w:r>
    </w:p>
    <w:p>
      <w:pPr>
        <w:pStyle w:val="Compact"/>
        <w:numPr>
          <w:ilvl w:val="1"/>
          <w:numId w:val="1076"/>
        </w:numPr>
      </w:pPr>
      <w:r>
        <w:t xml:space="preserve">Ancla comparada: ANC-0 (ver F4.4.2).</w:t>
      </w:r>
    </w:p>
    <w:p>
      <w:pPr>
        <w:pStyle w:val="Compact"/>
        <w:numPr>
          <w:ilvl w:val="1"/>
          <w:numId w:val="1076"/>
        </w:numPr>
      </w:pPr>
      <w:r>
        <w:t xml:space="preserve">Explicación rival: Ninguna alternativa plausible dentro de la frontera.</w:t>
      </w:r>
    </w:p>
    <w:p>
      <w:pPr>
        <w:pStyle w:val="Compact"/>
        <w:numPr>
          <w:ilvl w:val="1"/>
          <w:numId w:val="1076"/>
        </w:numPr>
      </w:pPr>
      <w:r>
        <w:t xml:space="preserve">Mediadores del modelo: ninguno</w:t>
      </w:r>
    </w:p>
    <w:p>
      <w:pPr>
        <w:pStyle w:val="Compact"/>
        <w:numPr>
          <w:ilvl w:val="1"/>
          <w:numId w:val="1076"/>
        </w:numPr>
      </w:pPr>
      <w:r>
        <w:t xml:space="preserve">Motivo de la confianza: Ausencia de mecanismo por razonamiento físico. Sin medición ni fuente específica.</w:t>
      </w:r>
    </w:p>
    <w:p>
      <w:pPr>
        <w:pStyle w:val="FirstParagraph"/>
      </w:pPr>
      <w:r>
        <w:t xml:space="preserve">**Ficha 020 · V11__V15 · clase INTRA**</w:t>
      </w:r>
    </w:p>
    <w:p>
      <w:pPr>
        <w:pStyle w:val="Compact"/>
        <w:numPr>
          <w:ilvl w:val="0"/>
          <w:numId w:val="1077"/>
        </w:numPr>
      </w:pPr>
      <w:r>
        <w:rPr>
          <w:b/>
          <w:bCs/>
        </w:rPr>
        <w:t xml:space="preserve">V11→V15</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078"/>
        </w:numPr>
      </w:pPr>
      <w:r>
        <w:t xml:space="preserve">Mecanismo: Un índice comprensible y útil incentiva el uso del tablero por parte de las alcaldías y la UNGRD.</w:t>
      </w:r>
    </w:p>
    <w:p>
      <w:pPr>
        <w:pStyle w:val="Compact"/>
        <w:numPr>
          <w:ilvl w:val="1"/>
          <w:numId w:val="1078"/>
        </w:numPr>
      </w:pPr>
      <w:r>
        <w:t xml:space="preserve">Fundamento: Premisa de utilidad percibida; F-INF §8.4 D-05 recomienda validar un índice local con desenlaces, lo que indica que la utilidad aún no está demostrada.</w:t>
      </w:r>
    </w:p>
    <w:p>
      <w:pPr>
        <w:pStyle w:val="Compact"/>
        <w:numPr>
          <w:ilvl w:val="1"/>
          <w:numId w:val="1078"/>
        </w:numPr>
      </w:pPr>
      <w:r>
        <w:t xml:space="preserve">Fuentes: F-INF, §8.4 D-05 (alcance: Recomienda validar el índice local)</w:t>
      </w:r>
    </w:p>
    <w:p>
      <w:pPr>
        <w:pStyle w:val="Compact"/>
        <w:numPr>
          <w:ilvl w:val="1"/>
          <w:numId w:val="1078"/>
        </w:numPr>
      </w:pPr>
      <w:r>
        <w:t xml:space="preserve">Premisas: P-V11-V15: la utilidad percibida del indicador principal sostiene el uso institucional (supuesto de escenario).</w:t>
      </w:r>
    </w:p>
    <w:p>
      <w:pPr>
        <w:pStyle w:val="Compact"/>
        <w:numPr>
          <w:ilvl w:val="1"/>
          <w:numId w:val="1078"/>
        </w:numPr>
      </w:pPr>
      <w:r>
        <w:t xml:space="preserve">Justificación del valor: Se asigna 1: el uso depende más del mandato formal y de la confiabilidad que del nivel del índice.</w:t>
      </w:r>
    </w:p>
    <w:p>
      <w:pPr>
        <w:pStyle w:val="Compact"/>
        <w:numPr>
          <w:ilvl w:val="1"/>
          <w:numId w:val="1078"/>
        </w:numPr>
      </w:pPr>
      <w:r>
        <w:t xml:space="preserve">Ancla comparada: Igual a ANC-1.</w:t>
      </w:r>
    </w:p>
    <w:p>
      <w:pPr>
        <w:pStyle w:val="Compact"/>
        <w:numPr>
          <w:ilvl w:val="1"/>
          <w:numId w:val="1078"/>
        </w:numPr>
      </w:pPr>
      <w:r>
        <w:t xml:space="preserve">Explicación rival: Si el índice se considera la razón principal del tablero, el valor sería 2.</w:t>
      </w:r>
    </w:p>
    <w:p>
      <w:pPr>
        <w:pStyle w:val="Compact"/>
        <w:numPr>
          <w:ilvl w:val="1"/>
          <w:numId w:val="1078"/>
        </w:numPr>
      </w:pPr>
      <w:r>
        <w:t xml:space="preserve">Mediadores del modelo: ninguno</w:t>
      </w:r>
    </w:p>
    <w:p>
      <w:pPr>
        <w:pStyle w:val="Compact"/>
        <w:numPr>
          <w:ilvl w:val="1"/>
          <w:numId w:val="1078"/>
        </w:numPr>
      </w:pPr>
      <w:r>
        <w:t xml:space="preserve">Motivo de la confianza: Premisa sin medición.</w:t>
      </w:r>
    </w:p>
    <w:p>
      <w:pPr>
        <w:pStyle w:val="Compact"/>
        <w:numPr>
          <w:ilvl w:val="0"/>
          <w:numId w:val="1077"/>
        </w:numPr>
      </w:pPr>
      <w:r>
        <w:rPr>
          <w:b/>
          <w:bCs/>
        </w:rPr>
        <w:t xml:space="preserve">V15→V11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79"/>
        </w:numPr>
      </w:pPr>
      <w:r>
        <w:t xml:space="preserve">Razón del cero: La adopción institucional no cambia el valor del índice emitido.</w:t>
      </w:r>
    </w:p>
    <w:p>
      <w:pPr>
        <w:pStyle w:val="Compact"/>
        <w:numPr>
          <w:ilvl w:val="1"/>
          <w:numId w:val="1079"/>
        </w:numPr>
      </w:pPr>
      <w:r>
        <w:t xml:space="preserve">Fundamento: Premisa P-0: no existe mecanismo físico, informático ni institucional que conecte V15 con V11 dentro de la frontera y el horizonte declarados.</w:t>
      </w:r>
    </w:p>
    <w:p>
      <w:pPr>
        <w:pStyle w:val="Compact"/>
        <w:numPr>
          <w:ilvl w:val="1"/>
          <w:numId w:val="1079"/>
        </w:numPr>
      </w:pPr>
      <w:r>
        <w:t xml:space="preserve">Justificación del valor: Se asigna 0 porque la adopción institucional no cambia el valor del índice emitido.</w:t>
      </w:r>
    </w:p>
    <w:p>
      <w:pPr>
        <w:pStyle w:val="Compact"/>
        <w:numPr>
          <w:ilvl w:val="1"/>
          <w:numId w:val="1079"/>
        </w:numPr>
      </w:pPr>
      <w:r>
        <w:t xml:space="preserve">Ancla comparada: ANC-0 (ver F4.4.2).</w:t>
      </w:r>
    </w:p>
    <w:p>
      <w:pPr>
        <w:pStyle w:val="Compact"/>
        <w:numPr>
          <w:ilvl w:val="1"/>
          <w:numId w:val="1079"/>
        </w:numPr>
      </w:pPr>
      <w:r>
        <w:t xml:space="preserve">Explicación rival: Las instituciones podrían modificar la fórmula. Sería una decisión explícita fuera de esta relación.</w:t>
      </w:r>
    </w:p>
    <w:p>
      <w:pPr>
        <w:pStyle w:val="Compact"/>
        <w:numPr>
          <w:ilvl w:val="1"/>
          <w:numId w:val="1079"/>
        </w:numPr>
      </w:pPr>
      <w:r>
        <w:t xml:space="preserve">Mediadores del modelo: ninguno</w:t>
      </w:r>
    </w:p>
    <w:p>
      <w:pPr>
        <w:pStyle w:val="Compact"/>
        <w:numPr>
          <w:ilvl w:val="1"/>
          <w:numId w:val="1079"/>
        </w:numPr>
      </w:pPr>
      <w:r>
        <w:t xml:space="preserve">Motivo de la confianza: Ausencia de mecanismo por razonamiento físico. Sin medición ni fuente específica.</w:t>
      </w:r>
    </w:p>
    <w:p>
      <w:pPr>
        <w:pStyle w:val="FirstParagraph"/>
      </w:pPr>
      <w:r>
        <w:t xml:space="preserve">**Ficha 021 · V07__V13 · clase INTER**</w:t>
      </w:r>
    </w:p>
    <w:p>
      <w:pPr>
        <w:pStyle w:val="Compact"/>
        <w:numPr>
          <w:ilvl w:val="0"/>
          <w:numId w:val="1080"/>
        </w:numPr>
      </w:pPr>
      <w:r>
        <w:rPr>
          <w:b/>
          <w:bCs/>
        </w:rPr>
        <w:t xml:space="preserve">V07→V13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1"/>
        </w:numPr>
      </w:pPr>
      <w:r>
        <w:t xml:space="preserve">Razón del cero: La calibración no cambia el tiempo de aviso.</w:t>
      </w:r>
    </w:p>
    <w:p>
      <w:pPr>
        <w:pStyle w:val="Compact"/>
        <w:numPr>
          <w:ilvl w:val="1"/>
          <w:numId w:val="1081"/>
        </w:numPr>
      </w:pPr>
      <w:r>
        <w:t xml:space="preserve">Fundamento: Premisa P-0: no existe mecanismo físico, informático ni institucional que conecte V07 con V13 dentro de la frontera y el horizonte declarados.</w:t>
      </w:r>
    </w:p>
    <w:p>
      <w:pPr>
        <w:pStyle w:val="Compact"/>
        <w:numPr>
          <w:ilvl w:val="1"/>
          <w:numId w:val="1081"/>
        </w:numPr>
      </w:pPr>
      <w:r>
        <w:t xml:space="preserve">Justificación del valor: Se asigna 0 porque la calibración no cambia el tiempo de aviso.</w:t>
      </w:r>
    </w:p>
    <w:p>
      <w:pPr>
        <w:pStyle w:val="Compact"/>
        <w:numPr>
          <w:ilvl w:val="1"/>
          <w:numId w:val="1081"/>
        </w:numPr>
      </w:pPr>
      <w:r>
        <w:t xml:space="preserve">Ancla comparada: ANC-0 (ver F4.4.2).</w:t>
      </w:r>
    </w:p>
    <w:p>
      <w:pPr>
        <w:pStyle w:val="Compact"/>
        <w:numPr>
          <w:ilvl w:val="1"/>
          <w:numId w:val="1081"/>
        </w:numPr>
      </w:pPr>
      <w:r>
        <w:t xml:space="preserve">Explicación rival: Ninguna alternativa plausible dentro de la frontera.</w:t>
      </w:r>
    </w:p>
    <w:p>
      <w:pPr>
        <w:pStyle w:val="Compact"/>
        <w:numPr>
          <w:ilvl w:val="1"/>
          <w:numId w:val="1081"/>
        </w:numPr>
      </w:pPr>
      <w:r>
        <w:t xml:space="preserve">Mediadores del modelo: ninguno</w:t>
      </w:r>
    </w:p>
    <w:p>
      <w:pPr>
        <w:pStyle w:val="Compact"/>
        <w:numPr>
          <w:ilvl w:val="1"/>
          <w:numId w:val="1081"/>
        </w:numPr>
      </w:pPr>
      <w:r>
        <w:t xml:space="preserve">Motivo de la confianza: Ausencia de mecanismo por razonamiento físico. Sin medición ni fuente específica.</w:t>
      </w:r>
    </w:p>
    <w:p>
      <w:pPr>
        <w:pStyle w:val="Compact"/>
        <w:numPr>
          <w:ilvl w:val="0"/>
          <w:numId w:val="1080"/>
        </w:numPr>
      </w:pPr>
      <w:r>
        <w:rPr>
          <w:b/>
          <w:bCs/>
        </w:rPr>
        <w:t xml:space="preserve">V13→V07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2"/>
        </w:numPr>
      </w:pPr>
      <w:r>
        <w:t xml:space="preserve">Razón del cero: El tiempo de aviso no modifica la frecuencia de calibración.</w:t>
      </w:r>
    </w:p>
    <w:p>
      <w:pPr>
        <w:pStyle w:val="Compact"/>
        <w:numPr>
          <w:ilvl w:val="1"/>
          <w:numId w:val="1082"/>
        </w:numPr>
      </w:pPr>
      <w:r>
        <w:t xml:space="preserve">Fundamento: Premisa P-0: no existe mecanismo físico, informático ni institucional que conecte V13 con V07 dentro de la frontera y el horizonte declarados.</w:t>
      </w:r>
    </w:p>
    <w:p>
      <w:pPr>
        <w:pStyle w:val="Compact"/>
        <w:numPr>
          <w:ilvl w:val="1"/>
          <w:numId w:val="1082"/>
        </w:numPr>
      </w:pPr>
      <w:r>
        <w:t xml:space="preserve">Justificación del valor: Se asigna 0 porque el tiempo de aviso no modifica la frecuencia de calibración.</w:t>
      </w:r>
    </w:p>
    <w:p>
      <w:pPr>
        <w:pStyle w:val="Compact"/>
        <w:numPr>
          <w:ilvl w:val="1"/>
          <w:numId w:val="1082"/>
        </w:numPr>
      </w:pPr>
      <w:r>
        <w:t xml:space="preserve">Ancla comparada: ANC-0 (ver F4.4.2).</w:t>
      </w:r>
    </w:p>
    <w:p>
      <w:pPr>
        <w:pStyle w:val="Compact"/>
        <w:numPr>
          <w:ilvl w:val="1"/>
          <w:numId w:val="1082"/>
        </w:numPr>
      </w:pPr>
      <w:r>
        <w:t xml:space="preserve">Explicación rival: Ninguna alternativa plausible dentro de la frontera.</w:t>
      </w:r>
    </w:p>
    <w:p>
      <w:pPr>
        <w:pStyle w:val="Compact"/>
        <w:numPr>
          <w:ilvl w:val="1"/>
          <w:numId w:val="1082"/>
        </w:numPr>
      </w:pPr>
      <w:r>
        <w:t xml:space="preserve">Mediadores del modelo: ninguno</w:t>
      </w:r>
    </w:p>
    <w:p>
      <w:pPr>
        <w:pStyle w:val="Compact"/>
        <w:numPr>
          <w:ilvl w:val="1"/>
          <w:numId w:val="1082"/>
        </w:numPr>
      </w:pPr>
      <w:r>
        <w:t xml:space="preserve">Motivo de la confianza: Ausencia de mecanismo por razonamiento físico. Sin medición ni fuente específica.</w:t>
      </w:r>
    </w:p>
    <w:p>
      <w:pPr>
        <w:pStyle w:val="FirstParagraph"/>
      </w:pPr>
      <w:r>
        <w:t xml:space="preserve">**Ficha 022 · V01__V02 · clase INTRA**</w:t>
      </w:r>
    </w:p>
    <w:p>
      <w:pPr>
        <w:pStyle w:val="Compact"/>
        <w:numPr>
          <w:ilvl w:val="0"/>
          <w:numId w:val="1083"/>
        </w:numPr>
      </w:pPr>
      <w:r>
        <w:rPr>
          <w:b/>
          <w:bCs/>
        </w:rPr>
        <w:t xml:space="preserve">V01→V02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4"/>
        </w:numPr>
      </w:pPr>
      <w:r>
        <w:t xml:space="preserve">Razón del cero: PM2,5 está contenida en PM10 por definición de tamaño (partículas &lt;2,5 µm dentro de las &lt;10 µm). La inclusión no es influencia causal.</w:t>
      </w:r>
    </w:p>
    <w:p>
      <w:pPr>
        <w:pStyle w:val="Compact"/>
        <w:numPr>
          <w:ilvl w:val="1"/>
          <w:numId w:val="1084"/>
        </w:numPr>
      </w:pPr>
      <w:r>
        <w:t xml:space="preserve">Fundamento: Premisa P-D: la relación entre V01 y V02 es definicional (inclusión matemática). Una inclusión no justifica una flecha causal.</w:t>
      </w:r>
    </w:p>
    <w:p>
      <w:pPr>
        <w:pStyle w:val="Compact"/>
        <w:numPr>
          <w:ilvl w:val="1"/>
          <w:numId w:val="1084"/>
        </w:numPr>
      </w:pPr>
      <w:r>
        <w:t xml:space="preserve">Justificación del valor: Se asigna 0 porque pM2,5 está contenida en PM10 por definición de tamaño (partículas &lt;2,5 µm dentro de las &lt;10 µm). La inclusión no es influencia causal.</w:t>
      </w:r>
    </w:p>
    <w:p>
      <w:pPr>
        <w:pStyle w:val="Compact"/>
        <w:numPr>
          <w:ilvl w:val="1"/>
          <w:numId w:val="1084"/>
        </w:numPr>
      </w:pPr>
      <w:r>
        <w:t xml:space="preserve">Ancla comparada: ANC-0 (ver F4.4.2).</w:t>
      </w:r>
    </w:p>
    <w:p>
      <w:pPr>
        <w:pStyle w:val="Compact"/>
        <w:numPr>
          <w:ilvl w:val="1"/>
          <w:numId w:val="1084"/>
        </w:numPr>
      </w:pPr>
      <w:r>
        <w:t xml:space="preserve">Explicación rival: Una lectura causal supondría que más PM2,5 genera PM10. La masa fina ya está sumada en PM10 y no crea masa gruesa.</w:t>
      </w:r>
    </w:p>
    <w:p>
      <w:pPr>
        <w:pStyle w:val="Compact"/>
        <w:numPr>
          <w:ilvl w:val="1"/>
          <w:numId w:val="1084"/>
        </w:numPr>
      </w:pPr>
      <w:r>
        <w:t xml:space="preserve">Mediadores del modelo: ninguno</w:t>
      </w:r>
    </w:p>
    <w:p>
      <w:pPr>
        <w:pStyle w:val="Compact"/>
        <w:numPr>
          <w:ilvl w:val="1"/>
          <w:numId w:val="1084"/>
        </w:numPr>
      </w:pPr>
      <w:r>
        <w:t xml:space="preserve">Motivo de la confianza: Relación definicional verificable en el diccionario.</w:t>
      </w:r>
    </w:p>
    <w:p>
      <w:pPr>
        <w:pStyle w:val="Compact"/>
        <w:numPr>
          <w:ilvl w:val="0"/>
          <w:numId w:val="1083"/>
        </w:numPr>
      </w:pPr>
      <w:r>
        <w:rPr>
          <w:b/>
          <w:bCs/>
        </w:rPr>
        <w:t xml:space="preserve">V02→V01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5"/>
        </w:numPr>
      </w:pPr>
      <w:r>
        <w:t xml:space="preserve">Razón del cero: PM10 incluye la masa de PM2,5 por definición de tamaño; PM10 no genera PM2,5 y la inclusión no es una flecha causal.</w:t>
      </w:r>
    </w:p>
    <w:p>
      <w:pPr>
        <w:pStyle w:val="Compact"/>
        <w:numPr>
          <w:ilvl w:val="1"/>
          <w:numId w:val="1085"/>
        </w:numPr>
      </w:pPr>
      <w:r>
        <w:t xml:space="preserve">Fundamento: Premisa P-D: la relación entre V02 y V01 es definicional (inclusión matemática). Una inclusión no justifica una flecha causal.</w:t>
      </w:r>
    </w:p>
    <w:p>
      <w:pPr>
        <w:pStyle w:val="Compact"/>
        <w:numPr>
          <w:ilvl w:val="1"/>
          <w:numId w:val="1085"/>
        </w:numPr>
      </w:pPr>
      <w:r>
        <w:t xml:space="preserve">Justificación del valor: Se asigna 0 porque pM10 incluye la masa de PM2,5 por definición de tamaño; PM10 no genera PM2,5 y la inclusión no es una flecha causal.</w:t>
      </w:r>
    </w:p>
    <w:p>
      <w:pPr>
        <w:pStyle w:val="Compact"/>
        <w:numPr>
          <w:ilvl w:val="1"/>
          <w:numId w:val="1085"/>
        </w:numPr>
      </w:pPr>
      <w:r>
        <w:t xml:space="preserve">Ancla comparada: ANC-0 (ver F4.4.2).</w:t>
      </w:r>
    </w:p>
    <w:p>
      <w:pPr>
        <w:pStyle w:val="Compact"/>
        <w:numPr>
          <w:ilvl w:val="1"/>
          <w:numId w:val="1085"/>
        </w:numPr>
      </w:pPr>
      <w:r>
        <w:t xml:space="preserve">Explicación rival: La fragmentación de partículas gruesas produce algo de masa fina. Su magnitud es despreciable dentro de H y se contabiliza en V05-&gt;V01.</w:t>
      </w:r>
    </w:p>
    <w:p>
      <w:pPr>
        <w:pStyle w:val="Compact"/>
        <w:numPr>
          <w:ilvl w:val="1"/>
          <w:numId w:val="1085"/>
        </w:numPr>
      </w:pPr>
      <w:r>
        <w:t xml:space="preserve">Mediadores del modelo: ninguno</w:t>
      </w:r>
    </w:p>
    <w:p>
      <w:pPr>
        <w:pStyle w:val="Compact"/>
        <w:numPr>
          <w:ilvl w:val="1"/>
          <w:numId w:val="1085"/>
        </w:numPr>
      </w:pPr>
      <w:r>
        <w:t xml:space="preserve">Motivo de la confianza: Relación definicional verificable en el diccionario.</w:t>
      </w:r>
    </w:p>
    <w:p>
      <w:pPr>
        <w:pStyle w:val="FirstParagraph"/>
      </w:pPr>
      <w:r>
        <w:t xml:space="preserve">**Ficha 023 · V01__V14 · clase INTER**</w:t>
      </w:r>
    </w:p>
    <w:p>
      <w:pPr>
        <w:pStyle w:val="Compact"/>
        <w:numPr>
          <w:ilvl w:val="0"/>
          <w:numId w:val="1086"/>
        </w:numPr>
      </w:pPr>
      <w:r>
        <w:rPr>
          <w:b/>
          <w:bCs/>
        </w:rPr>
        <w:t xml:space="preserve">V01→V14</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087"/>
        </w:numPr>
      </w:pPr>
      <w:r>
        <w:t xml:space="preserve">Mecanismo: La bruma visible por PM2,5 alerta a operarios y vecinos sin intervención del sistema y los lleva a protegerse.</w:t>
      </w:r>
    </w:p>
    <w:p>
      <w:pPr>
        <w:pStyle w:val="Compact"/>
        <w:numPr>
          <w:ilvl w:val="1"/>
          <w:numId w:val="1087"/>
        </w:numPr>
      </w:pPr>
      <w:r>
        <w:t xml:space="preserve">Fundamento: Premisa visual de la iteración previa del documento (Paso 4, F4.4.4), de naturaleza INFERIDA. Sin fuente en el corpus. Aquí se rotula SUPUESTO.</w:t>
      </w:r>
    </w:p>
    <w:p>
      <w:pPr>
        <w:pStyle w:val="Compact"/>
        <w:numPr>
          <w:ilvl w:val="1"/>
          <w:numId w:val="1087"/>
        </w:numPr>
      </w:pPr>
      <w:r>
        <w:t xml:space="preserve">Premisas: P-V01-V14: la reducción de visibilidad por partículas finas induce conductas de protección sin mediación del sistema de alerta (supuesto de escenario).</w:t>
      </w:r>
    </w:p>
    <w:p>
      <w:pPr>
        <w:pStyle w:val="Compact"/>
        <w:numPr>
          <w:ilvl w:val="1"/>
          <w:numId w:val="1087"/>
        </w:numPr>
      </w:pPr>
      <w:r>
        <w:t xml:space="preserve">Justificación del valor: Se asigna 1 y no 0 porque la señal sensorial puede inducir protección autónoma. Se descarta 2 porque la bruma fina es menos perceptible que la nube de polvo grueso y no activa un protocolo.</w:t>
      </w:r>
    </w:p>
    <w:p>
      <w:pPr>
        <w:pStyle w:val="Compact"/>
        <w:numPr>
          <w:ilvl w:val="1"/>
          <w:numId w:val="1087"/>
        </w:numPr>
      </w:pPr>
      <w:r>
        <w:t xml:space="preserve">Ancla comparada: Igual en nivel a ANC-1. Menor que ANC-2 por ausencia de mecanismo institucional.</w:t>
      </w:r>
    </w:p>
    <w:p>
      <w:pPr>
        <w:pStyle w:val="Compact"/>
        <w:numPr>
          <w:ilvl w:val="1"/>
          <w:numId w:val="1087"/>
        </w:numPr>
      </w:pPr>
      <w:r>
        <w:t xml:space="preserve">Explicación rival: V14 cuenta personas protegidas por alerta. La protección autónoma podría quedar fuera de su definición, y entonces el valor sería 0.</w:t>
      </w:r>
    </w:p>
    <w:p>
      <w:pPr>
        <w:pStyle w:val="Compact"/>
        <w:numPr>
          <w:ilvl w:val="1"/>
          <w:numId w:val="1087"/>
        </w:numPr>
      </w:pPr>
      <w:r>
        <w:t xml:space="preserve">Mediadores del modelo: ninguno</w:t>
      </w:r>
    </w:p>
    <w:p>
      <w:pPr>
        <w:pStyle w:val="Compact"/>
        <w:numPr>
          <w:ilvl w:val="1"/>
          <w:numId w:val="1087"/>
        </w:numPr>
      </w:pPr>
      <w:r>
        <w:t xml:space="preserve">Motivo de la confianza: Premisa visual sin fuente. Ambigüedad en la definición de V14.</w:t>
      </w:r>
    </w:p>
    <w:p>
      <w:pPr>
        <w:pStyle w:val="Compact"/>
        <w:numPr>
          <w:ilvl w:val="0"/>
          <w:numId w:val="1086"/>
        </w:numPr>
      </w:pPr>
      <w:r>
        <w:rPr>
          <w:b/>
          <w:bCs/>
        </w:rPr>
        <w:t xml:space="preserve">V14→V01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8"/>
        </w:numPr>
      </w:pPr>
      <w:r>
        <w:t xml:space="preserve">Razón del cero: El número de personas protegidas no modifica la masa de PM2,5 del aire.</w:t>
      </w:r>
    </w:p>
    <w:p>
      <w:pPr>
        <w:pStyle w:val="Compact"/>
        <w:numPr>
          <w:ilvl w:val="1"/>
          <w:numId w:val="1088"/>
        </w:numPr>
      </w:pPr>
      <w:r>
        <w:t xml:space="preserve">Fundamento: Premisa P-0: no existe mecanismo físico, informático ni institucional que conecte V14 con V01 dentro de la frontera y el horizonte declarados.</w:t>
      </w:r>
    </w:p>
    <w:p>
      <w:pPr>
        <w:pStyle w:val="Compact"/>
        <w:numPr>
          <w:ilvl w:val="1"/>
          <w:numId w:val="1088"/>
        </w:numPr>
      </w:pPr>
      <w:r>
        <w:t xml:space="preserve">Justificación del valor: Se asigna 0 porque el número de personas protegidas no modifica la masa de PM2,5 del aire.</w:t>
      </w:r>
    </w:p>
    <w:p>
      <w:pPr>
        <w:pStyle w:val="Compact"/>
        <w:numPr>
          <w:ilvl w:val="1"/>
          <w:numId w:val="1088"/>
        </w:numPr>
      </w:pPr>
      <w:r>
        <w:t xml:space="preserve">Ancla comparada: ANC-0 (ver F4.4.2).</w:t>
      </w:r>
    </w:p>
    <w:p>
      <w:pPr>
        <w:pStyle w:val="Compact"/>
        <w:numPr>
          <w:ilvl w:val="1"/>
          <w:numId w:val="1088"/>
        </w:numPr>
      </w:pPr>
      <w:r>
        <w:t xml:space="preserve">Explicación rival: Ninguna alternativa plausible dentro de la frontera.</w:t>
      </w:r>
    </w:p>
    <w:p>
      <w:pPr>
        <w:pStyle w:val="Compact"/>
        <w:numPr>
          <w:ilvl w:val="1"/>
          <w:numId w:val="1088"/>
        </w:numPr>
      </w:pPr>
      <w:r>
        <w:t xml:space="preserve">Mediadores del modelo: ninguno</w:t>
      </w:r>
    </w:p>
    <w:p>
      <w:pPr>
        <w:pStyle w:val="Compact"/>
        <w:numPr>
          <w:ilvl w:val="1"/>
          <w:numId w:val="1088"/>
        </w:numPr>
      </w:pPr>
      <w:r>
        <w:t xml:space="preserve">Motivo de la confianza: Ausencia de mecanismo por razonamiento físico. Sin medición ni fuente específica.</w:t>
      </w:r>
    </w:p>
    <w:p>
      <w:pPr>
        <w:pStyle w:val="FirstParagraph"/>
      </w:pPr>
      <w:r>
        <w:t xml:space="preserve">**Ficha 024 · V11__V14 · clase INTRA**</w:t>
      </w:r>
    </w:p>
    <w:p>
      <w:pPr>
        <w:pStyle w:val="Compact"/>
        <w:numPr>
          <w:ilvl w:val="0"/>
          <w:numId w:val="1089"/>
        </w:numPr>
      </w:pPr>
      <w:r>
        <w:rPr>
          <w:b/>
          <w:bCs/>
        </w:rPr>
        <w:t xml:space="preserve">V11→V14</w:t>
      </w:r>
      <w:r>
        <w:t xml:space="preserve"> </w:t>
      </w:r>
      <w:r>
        <w:t xml:space="preserve">· valor</w:t>
      </w:r>
      <w:r>
        <w:t xml:space="preserve"> </w:t>
      </w:r>
      <w:r>
        <w:rPr>
          <w:b/>
          <w:bCs/>
        </w:rPr>
        <w:t xml:space="preserve">2</w:t>
      </w:r>
      <w:r>
        <w:t xml:space="preserve"> </w:t>
      </w:r>
      <w:r>
        <w:t xml:space="preserve">(admisibles: 1, 2, 3) · signo + · naturaleza PROPUESTO · estado PROPUESTO · confianza MEDIA</w:t>
      </w:r>
    </w:p>
    <w:p>
      <w:pPr>
        <w:pStyle w:val="Compact"/>
        <w:numPr>
          <w:ilvl w:val="1"/>
          <w:numId w:val="1090"/>
        </w:numPr>
      </w:pPr>
      <w:r>
        <w:t xml:space="preserve">Mecanismo: Un nivel alto activa el protocolo de alerta. La protección efectiva exige que el protocolo exista y se ejecute.</w:t>
      </w:r>
    </w:p>
    <w:p>
      <w:pPr>
        <w:pStyle w:val="Compact"/>
        <w:numPr>
          <w:ilvl w:val="1"/>
          <w:numId w:val="1090"/>
        </w:numPr>
      </w:pPr>
      <w:r>
        <w:t xml:space="preserve">Fundamento: Ledger E3-P04 asigna 3 (PROPUESTO). F-INF §1.3 hallazgo 9 cita a Rendón-Marín et al. (2024, p. 8). En estudiantes de Medellín, el conocimiento no se asocia de forma directa con la práctica.</w:t>
      </w:r>
    </w:p>
    <w:p>
      <w:pPr>
        <w:pStyle w:val="Compact"/>
        <w:numPr>
          <w:ilvl w:val="1"/>
          <w:numId w:val="1090"/>
        </w:numPr>
      </w:pPr>
      <w:r>
        <w:t xml:space="preserve">Fuentes: F-E3, E3-P04 §12, fila V11-&gt;V14; E3-P18 tabla de artefactos, P17 Protocolo de Alertas (alcance: Valor heredado y protocolo propuesto); F-INF, §1.3 hallazgo 9 (Rendón-Marín et al., 2024, p. 8) (alcance: Cita secundaria; población de estudiantes de medicina)</w:t>
      </w:r>
    </w:p>
    <w:p>
      <w:pPr>
        <w:pStyle w:val="Compact"/>
        <w:numPr>
          <w:ilvl w:val="1"/>
          <w:numId w:val="1090"/>
        </w:numPr>
      </w:pPr>
      <w:r>
        <w:t xml:space="preserve">Justificación del valor: Se asigna 2 y no 3: la información es necesaria pero no suficiente para producir conducta protectora. El efecto depende además del protocolo y del mensaje.</w:t>
      </w:r>
    </w:p>
    <w:p>
      <w:pPr>
        <w:pStyle w:val="Compact"/>
        <w:numPr>
          <w:ilvl w:val="1"/>
          <w:numId w:val="1090"/>
        </w:numPr>
      </w:pPr>
      <w:r>
        <w:t xml:space="preserve">Ancla comparada: Mayor que ANC-1. Igual a ANC-2.</w:t>
      </w:r>
    </w:p>
    <w:p>
      <w:pPr>
        <w:pStyle w:val="Compact"/>
        <w:numPr>
          <w:ilvl w:val="1"/>
          <w:numId w:val="1090"/>
        </w:numPr>
      </w:pPr>
      <w:r>
        <w:t xml:space="preserve">Explicación rival: Si el protocolo obligatorio (E3-P18, artefacto P17) activa medidas automáticas, el valor sería 3.</w:t>
      </w:r>
    </w:p>
    <w:p>
      <w:pPr>
        <w:pStyle w:val="Compact"/>
        <w:numPr>
          <w:ilvl w:val="1"/>
          <w:numId w:val="1090"/>
        </w:numPr>
      </w:pPr>
      <w:r>
        <w:t xml:space="preserve">Mediadores del modelo: ninguno</w:t>
      </w:r>
    </w:p>
    <w:p>
      <w:pPr>
        <w:pStyle w:val="Compact"/>
        <w:numPr>
          <w:ilvl w:val="1"/>
          <w:numId w:val="1090"/>
        </w:numPr>
      </w:pPr>
      <w:r>
        <w:t xml:space="preserve">Motivo de la confianza: Mecanismo plausible. Evidencia indirecta de brecha conocimiento-conducta.</w:t>
      </w:r>
    </w:p>
    <w:p>
      <w:pPr>
        <w:pStyle w:val="Compact"/>
        <w:numPr>
          <w:ilvl w:val="0"/>
          <w:numId w:val="1089"/>
        </w:numPr>
      </w:pPr>
      <w:r>
        <w:rPr>
          <w:b/>
          <w:bCs/>
        </w:rPr>
        <w:t xml:space="preserve">V14→V11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91"/>
        </w:numPr>
      </w:pPr>
      <w:r>
        <w:t xml:space="preserve">Razón del cero: El número de personas protegidas no modifica el valor del índice.</w:t>
      </w:r>
    </w:p>
    <w:p>
      <w:pPr>
        <w:pStyle w:val="Compact"/>
        <w:numPr>
          <w:ilvl w:val="1"/>
          <w:numId w:val="1091"/>
        </w:numPr>
      </w:pPr>
      <w:r>
        <w:t xml:space="preserve">Fundamento: Premisa P-0: no existe mecanismo físico, informático ni institucional que conecte V14 con V11 dentro de la frontera y el horizonte declarados.</w:t>
      </w:r>
    </w:p>
    <w:p>
      <w:pPr>
        <w:pStyle w:val="Compact"/>
        <w:numPr>
          <w:ilvl w:val="1"/>
          <w:numId w:val="1091"/>
        </w:numPr>
      </w:pPr>
      <w:r>
        <w:t xml:space="preserve">Justificación del valor: Se asigna 0 porque el número de personas protegidas no modifica el valor del índice.</w:t>
      </w:r>
    </w:p>
    <w:p>
      <w:pPr>
        <w:pStyle w:val="Compact"/>
        <w:numPr>
          <w:ilvl w:val="1"/>
          <w:numId w:val="1091"/>
        </w:numPr>
      </w:pPr>
      <w:r>
        <w:t xml:space="preserve">Ancla comparada: ANC-0 (ver F4.4.2).</w:t>
      </w:r>
    </w:p>
    <w:p>
      <w:pPr>
        <w:pStyle w:val="Compact"/>
        <w:numPr>
          <w:ilvl w:val="1"/>
          <w:numId w:val="1091"/>
        </w:numPr>
      </w:pPr>
      <w:r>
        <w:t xml:space="preserve">Explicación rival: Ninguna alternativa plausible dentro de la frontera.</w:t>
      </w:r>
    </w:p>
    <w:p>
      <w:pPr>
        <w:pStyle w:val="Compact"/>
        <w:numPr>
          <w:ilvl w:val="1"/>
          <w:numId w:val="1091"/>
        </w:numPr>
      </w:pPr>
      <w:r>
        <w:t xml:space="preserve">Mediadores del modelo: ninguno</w:t>
      </w:r>
    </w:p>
    <w:p>
      <w:pPr>
        <w:pStyle w:val="Compact"/>
        <w:numPr>
          <w:ilvl w:val="1"/>
          <w:numId w:val="1091"/>
        </w:numPr>
      </w:pPr>
      <w:r>
        <w:t xml:space="preserve">Motivo de la confianza: Ausencia de mecanismo por razonamiento físico. Sin medición ni fuente específica.</w:t>
      </w:r>
    </w:p>
    <w:p>
      <w:pPr>
        <w:pStyle w:val="FirstParagraph"/>
      </w:pPr>
      <w:r>
        <w:t xml:space="preserve">**Ficha 025 · V07__V11 · clase INTER**</w:t>
      </w:r>
    </w:p>
    <w:p>
      <w:pPr>
        <w:pStyle w:val="Compact"/>
        <w:numPr>
          <w:ilvl w:val="0"/>
          <w:numId w:val="1092"/>
        </w:numPr>
      </w:pPr>
      <w:r>
        <w:rPr>
          <w:b/>
          <w:bCs/>
        </w:rPr>
        <w:t xml:space="preserve">V07→V11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93"/>
        </w:numPr>
      </w:pPr>
      <w:r>
        <w:t xml:space="preserve">Razón del cero: La calibración afecta el índice mediante el error (V06), no de forma directa.</w:t>
      </w:r>
    </w:p>
    <w:p>
      <w:pPr>
        <w:pStyle w:val="Compact"/>
        <w:numPr>
          <w:ilvl w:val="1"/>
          <w:numId w:val="1093"/>
        </w:numPr>
      </w:pPr>
      <w:r>
        <w:t xml:space="preserve">Fundamento: Premisa P-M: la influencia de V07 sobre V11 opera solo a través de V06. Se puntúa en los pares V07→V06 y V06→V11. No se duplica aquí.</w:t>
      </w:r>
    </w:p>
    <w:p>
      <w:pPr>
        <w:pStyle w:val="Compact"/>
        <w:numPr>
          <w:ilvl w:val="1"/>
          <w:numId w:val="1093"/>
        </w:numPr>
      </w:pPr>
      <w:r>
        <w:t xml:space="preserve">Justificación del valor: Se asigna 0 porque la calibración afecta el índice mediante el error (V06), no de forma directa.</w:t>
      </w:r>
    </w:p>
    <w:p>
      <w:pPr>
        <w:pStyle w:val="Compact"/>
        <w:numPr>
          <w:ilvl w:val="1"/>
          <w:numId w:val="1093"/>
        </w:numPr>
      </w:pPr>
      <w:r>
        <w:t xml:space="preserve">Ancla comparada: ANC-0 (ver F4.4.2).</w:t>
      </w:r>
    </w:p>
    <w:p>
      <w:pPr>
        <w:pStyle w:val="Compact"/>
        <w:numPr>
          <w:ilvl w:val="1"/>
          <w:numId w:val="1093"/>
        </w:numPr>
      </w:pPr>
      <w:r>
        <w:t xml:space="preserve">Explicación rival: Ninguna alternativa plausible dentro de la frontera.</w:t>
      </w:r>
    </w:p>
    <w:p>
      <w:pPr>
        <w:pStyle w:val="Compact"/>
        <w:numPr>
          <w:ilvl w:val="1"/>
          <w:numId w:val="1093"/>
        </w:numPr>
      </w:pPr>
      <w:r>
        <w:t xml:space="preserve">Mediadores del modelo: V06</w:t>
      </w:r>
    </w:p>
    <w:p>
      <w:pPr>
        <w:pStyle w:val="Compact"/>
        <w:numPr>
          <w:ilvl w:val="1"/>
          <w:numId w:val="1093"/>
        </w:numPr>
      </w:pPr>
      <w:r>
        <w:t xml:space="preserve">Motivo de la confianza: Ruta indirecta explícita en el modelo.</w:t>
      </w:r>
    </w:p>
    <w:p>
      <w:pPr>
        <w:pStyle w:val="Compact"/>
        <w:numPr>
          <w:ilvl w:val="0"/>
          <w:numId w:val="1092"/>
        </w:numPr>
      </w:pPr>
      <w:r>
        <w:rPr>
          <w:b/>
          <w:bCs/>
        </w:rPr>
        <w:t xml:space="preserve">V11→V07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94"/>
        </w:numPr>
      </w:pPr>
      <w:r>
        <w:t xml:space="preserve">Razón del cero: El nivel del índice no fija la frecuencia de calibración.</w:t>
      </w:r>
    </w:p>
    <w:p>
      <w:pPr>
        <w:pStyle w:val="Compact"/>
        <w:numPr>
          <w:ilvl w:val="1"/>
          <w:numId w:val="1094"/>
        </w:numPr>
      </w:pPr>
      <w:r>
        <w:t xml:space="preserve">Fundamento: Premisa P-0: no existe mecanismo físico, informático ni institucional que conecte V11 con V07 dentro de la frontera y el horizonte declarados.</w:t>
      </w:r>
    </w:p>
    <w:p>
      <w:pPr>
        <w:pStyle w:val="Compact"/>
        <w:numPr>
          <w:ilvl w:val="1"/>
          <w:numId w:val="1094"/>
        </w:numPr>
      </w:pPr>
      <w:r>
        <w:t xml:space="preserve">Justificación del valor: Se asigna 0 porque el nivel del índice no fija la frecuencia de calibración.</w:t>
      </w:r>
    </w:p>
    <w:p>
      <w:pPr>
        <w:pStyle w:val="Compact"/>
        <w:numPr>
          <w:ilvl w:val="1"/>
          <w:numId w:val="1094"/>
        </w:numPr>
      </w:pPr>
      <w:r>
        <w:t xml:space="preserve">Ancla comparada: ANC-0 (ver F4.4.2).</w:t>
      </w:r>
    </w:p>
    <w:p>
      <w:pPr>
        <w:pStyle w:val="Compact"/>
        <w:numPr>
          <w:ilvl w:val="1"/>
          <w:numId w:val="1094"/>
        </w:numPr>
      </w:pPr>
      <w:r>
        <w:t xml:space="preserve">Explicación rival: Un índice alto sostenido podría motivar auditoría de sensores. Esa ruta pasa por V12 y V06.</w:t>
      </w:r>
    </w:p>
    <w:p>
      <w:pPr>
        <w:pStyle w:val="Compact"/>
        <w:numPr>
          <w:ilvl w:val="1"/>
          <w:numId w:val="1094"/>
        </w:numPr>
      </w:pPr>
      <w:r>
        <w:t xml:space="preserve">Mediadores del modelo: ninguno</w:t>
      </w:r>
    </w:p>
    <w:p>
      <w:pPr>
        <w:pStyle w:val="Compact"/>
        <w:numPr>
          <w:ilvl w:val="1"/>
          <w:numId w:val="1094"/>
        </w:numPr>
      </w:pPr>
      <w:r>
        <w:t xml:space="preserve">Motivo de la confianza: Ausencia de mecanismo por razonamiento físico. Sin medición ni fuente específica.</w:t>
      </w:r>
    </w:p>
    <w:p>
      <w:pPr>
        <w:pStyle w:val="FirstParagraph"/>
      </w:pPr>
      <w:r>
        <w:t xml:space="preserve">**Ficha 026 · V02__V05 · clase INTRA**</w:t>
      </w:r>
    </w:p>
    <w:p>
      <w:pPr>
        <w:pStyle w:val="Compact"/>
        <w:numPr>
          <w:ilvl w:val="0"/>
          <w:numId w:val="1095"/>
        </w:numPr>
      </w:pPr>
      <w:r>
        <w:rPr>
          <w:b/>
          <w:bCs/>
        </w:rPr>
        <w:t xml:space="preserve">V02→V05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96"/>
        </w:numPr>
      </w:pPr>
      <w:r>
        <w:t xml:space="preserve">Razón del cero: La concentración de PM10 no cambia por sí sola las toneladas removidas. La suspensión de obras exige una decisión institucional.</w:t>
      </w:r>
    </w:p>
    <w:p>
      <w:pPr>
        <w:pStyle w:val="Compact"/>
        <w:numPr>
          <w:ilvl w:val="1"/>
          <w:numId w:val="1096"/>
        </w:numPr>
      </w:pPr>
      <w:r>
        <w:t xml:space="preserve">Fundamento: Premisa P-M: la influencia de V02 sobre V05 opera solo a través de V11, V15. Se puntúa en los pares V02→V11 y V11→V05, V02→V15 y V15→V05. No se duplica aquí.</w:t>
      </w:r>
    </w:p>
    <w:p>
      <w:pPr>
        <w:pStyle w:val="Compact"/>
        <w:numPr>
          <w:ilvl w:val="1"/>
          <w:numId w:val="1096"/>
        </w:numPr>
      </w:pPr>
      <w:r>
        <w:t xml:space="preserve">Justificación del valor: Se asigna 0 porque la concentración de PM10 no cambia por sí sola las toneladas removidas. La suspensión de obras exige una decisión institucional.</w:t>
      </w:r>
    </w:p>
    <w:p>
      <w:pPr>
        <w:pStyle w:val="Compact"/>
        <w:numPr>
          <w:ilvl w:val="1"/>
          <w:numId w:val="1096"/>
        </w:numPr>
      </w:pPr>
      <w:r>
        <w:t xml:space="preserve">Ancla comparada: ANC-0 (ver F4.4.2).</w:t>
      </w:r>
    </w:p>
    <w:p>
      <w:pPr>
        <w:pStyle w:val="Compact"/>
        <w:numPr>
          <w:ilvl w:val="1"/>
          <w:numId w:val="1096"/>
        </w:numPr>
      </w:pPr>
      <w:r>
        <w:t xml:space="preserve">Explicación rival: Una nube densa puede detener la maquinaria por seguridad visual. Esa decisión se puntúa en V15-&gt;V05.</w:t>
      </w:r>
    </w:p>
    <w:p>
      <w:pPr>
        <w:pStyle w:val="Compact"/>
        <w:numPr>
          <w:ilvl w:val="1"/>
          <w:numId w:val="1096"/>
        </w:numPr>
      </w:pPr>
      <w:r>
        <w:t xml:space="preserve">Mediadores del modelo: V11, V15</w:t>
      </w:r>
    </w:p>
    <w:p>
      <w:pPr>
        <w:pStyle w:val="Compact"/>
        <w:numPr>
          <w:ilvl w:val="1"/>
          <w:numId w:val="1096"/>
        </w:numPr>
      </w:pPr>
      <w:r>
        <w:t xml:space="preserve">Motivo de la confianza: Ruta indirecta explícita en el modelo.</w:t>
      </w:r>
    </w:p>
    <w:p>
      <w:pPr>
        <w:pStyle w:val="Compact"/>
        <w:numPr>
          <w:ilvl w:val="0"/>
          <w:numId w:val="1095"/>
        </w:numPr>
      </w:pPr>
      <w:r>
        <w:rPr>
          <w:b/>
          <w:bCs/>
        </w:rPr>
        <w:t xml:space="preserve">V05→V02</w:t>
      </w:r>
      <w:r>
        <w:t xml:space="preserve"> </w:t>
      </w:r>
      <w:r>
        <w:t xml:space="preserve">· valor</w:t>
      </w:r>
      <w:r>
        <w:t xml:space="preserve"> </w:t>
      </w:r>
      <w:r>
        <w:rPr>
          <w:b/>
          <w:bCs/>
        </w:rPr>
        <w:t xml:space="preserve">3</w:t>
      </w:r>
      <w:r>
        <w:t xml:space="preserve"> </w:t>
      </w:r>
      <w:r>
        <w:t xml:space="preserve">(admisibles: 2, 3) · signo + · naturaleza INFERIDO · estado PROPUESTO · confianza ALTA</w:t>
      </w:r>
    </w:p>
    <w:p>
      <w:pPr>
        <w:pStyle w:val="Compact"/>
        <w:numPr>
          <w:ilvl w:val="1"/>
          <w:numId w:val="1097"/>
        </w:numPr>
      </w:pPr>
      <w:r>
        <w:t xml:space="preserve">Mecanismo: La demolición, carga y transporte de escombros resuspenden y generan polvo grueso en proporción directa al volumen movido.</w:t>
      </w:r>
    </w:p>
    <w:p>
      <w:pPr>
        <w:pStyle w:val="Compact"/>
        <w:numPr>
          <w:ilvl w:val="1"/>
          <w:numId w:val="1097"/>
        </w:numPr>
      </w:pPr>
      <w:r>
        <w:t xml:space="preserve">Fundamento: E3-P04 asigna 3 (INFERIDO). El cociente PM2,5/PM10 de 0,88 de la mina (F-INF) indica un régimen distinto. Para escombros se espera fracción gruesa mayoritaria.</w:t>
      </w:r>
    </w:p>
    <w:p>
      <w:pPr>
        <w:pStyle w:val="Compact"/>
        <w:numPr>
          <w:ilvl w:val="1"/>
          <w:numId w:val="1097"/>
        </w:numPr>
      </w:pPr>
      <w:r>
        <w:t xml:space="preserve">Fuentes: F-E3, E3-P04 §12, fila V05-&gt;V02 (INFERIDO, magnitud 3); Paso 4, F4.4.2, ancla del valor 3 (alcance: Define el ancla)</w:t>
      </w:r>
    </w:p>
    <w:p>
      <w:pPr>
        <w:pStyle w:val="Compact"/>
        <w:numPr>
          <w:ilvl w:val="1"/>
          <w:numId w:val="1097"/>
        </w:numPr>
      </w:pPr>
      <w:r>
        <w:t xml:space="preserve">Premisas: P-V05-V02: la emisión de polvo por manejo de material granular crece con la masa movida (inventarios de emisión, conocimiento general).</w:t>
      </w:r>
    </w:p>
    <w:p>
      <w:pPr>
        <w:pStyle w:val="Compact"/>
        <w:numPr>
          <w:ilvl w:val="1"/>
          <w:numId w:val="1097"/>
        </w:numPr>
      </w:pPr>
      <w:r>
        <w:t xml:space="preserve">Justificación del valor: Se asigna 3 porque el movimiento de material produce polvo grueso de forma casi mecánica, sin intermediario: es el ancla ANC-3.</w:t>
      </w:r>
    </w:p>
    <w:p>
      <w:pPr>
        <w:pStyle w:val="Compact"/>
        <w:numPr>
          <w:ilvl w:val="1"/>
          <w:numId w:val="1097"/>
        </w:numPr>
      </w:pPr>
      <w:r>
        <w:t xml:space="preserve">Ancla comparada: Es ANC-3.</w:t>
      </w:r>
    </w:p>
    <w:p>
      <w:pPr>
        <w:pStyle w:val="Compact"/>
        <w:numPr>
          <w:ilvl w:val="1"/>
          <w:numId w:val="1097"/>
        </w:numPr>
      </w:pPr>
      <w:r>
        <w:t xml:space="preserve">Explicación rival: El rociado de agua y los cerramientos pueden reducir la emisión. Eso sería una intervención sobre V05, no un cambio de esta relación.</w:t>
      </w:r>
    </w:p>
    <w:p>
      <w:pPr>
        <w:pStyle w:val="Compact"/>
        <w:numPr>
          <w:ilvl w:val="1"/>
          <w:numId w:val="1097"/>
        </w:numPr>
      </w:pPr>
      <w:r>
        <w:t xml:space="preserve">Mediadores del modelo: ninguno</w:t>
      </w:r>
    </w:p>
    <w:p>
      <w:pPr>
        <w:pStyle w:val="Compact"/>
        <w:numPr>
          <w:ilvl w:val="1"/>
          <w:numId w:val="1097"/>
        </w:numPr>
      </w:pPr>
      <w:r>
        <w:t xml:space="preserve">Motivo de la confianza: Mecanismo físico directo. Magnitud exacta dependiente de la tarea.</w:t>
      </w:r>
    </w:p>
    <w:p>
      <w:pPr>
        <w:pStyle w:val="FirstParagraph"/>
      </w:pPr>
      <w:r>
        <w:t xml:space="preserve">**Ficha 027 · V04__V06 · clase INTER**</w:t>
      </w:r>
    </w:p>
    <w:p>
      <w:pPr>
        <w:pStyle w:val="Compact"/>
        <w:numPr>
          <w:ilvl w:val="0"/>
          <w:numId w:val="1098"/>
        </w:numPr>
      </w:pPr>
      <w:r>
        <w:rPr>
          <w:b/>
          <w:bCs/>
        </w:rPr>
        <w:t xml:space="preserve">V04→V06</w:t>
      </w:r>
      <w:r>
        <w:t xml:space="preserve"> </w:t>
      </w:r>
      <w:r>
        <w:t xml:space="preserve">· valor</w:t>
      </w:r>
      <w:r>
        <w:t xml:space="preserve"> </w:t>
      </w:r>
      <w:r>
        <w:rPr>
          <w:b/>
          <w:bCs/>
        </w:rPr>
        <w:t xml:space="preserve">1</w:t>
      </w:r>
      <w:r>
        <w:t xml:space="preserve"> </w:t>
      </w:r>
      <w:r>
        <w:t xml:space="preserve">(admisibles: 0, 1) · signo MIXTO · naturaleza INFERIDO · estado PROPUESTO · confianza BAJA</w:t>
      </w:r>
    </w:p>
    <w:p>
      <w:pPr>
        <w:pStyle w:val="Compact"/>
        <w:numPr>
          <w:ilvl w:val="1"/>
          <w:numId w:val="1099"/>
        </w:numPr>
      </w:pPr>
      <w:r>
        <w:t xml:space="preserve">Mecanismo: El viento modifica el flujo de aire en la entrada del sensor. Cambia la eficiencia de captura de partículas y sesga la lectura.</w:t>
      </w:r>
    </w:p>
    <w:p>
      <w:pPr>
        <w:pStyle w:val="Compact"/>
        <w:numPr>
          <w:ilvl w:val="1"/>
          <w:numId w:val="1099"/>
        </w:numPr>
      </w:pPr>
      <w:r>
        <w:t xml:space="preserve">Fundamento: Efecto conocido de la meteorología sobre sensores de bajo costo. El expediente lo incluye como control (F-INF §11.4 lista el viento como control del error).</w:t>
      </w:r>
    </w:p>
    <w:p>
      <w:pPr>
        <w:pStyle w:val="Compact"/>
        <w:numPr>
          <w:ilvl w:val="1"/>
          <w:numId w:val="1099"/>
        </w:numPr>
      </w:pPr>
      <w:r>
        <w:t xml:space="preserve">Fuentes: F-INF, §11.4 Modelo conceptual causal: el viento figura entre los controles del NMAE (alcance: Respalda la inclusión como control; no cuantifica el efecto)</w:t>
      </w:r>
    </w:p>
    <w:p>
      <w:pPr>
        <w:pStyle w:val="Compact"/>
        <w:numPr>
          <w:ilvl w:val="1"/>
          <w:numId w:val="1099"/>
        </w:numPr>
      </w:pPr>
      <w:r>
        <w:t xml:space="preserve">Premisas: P-V04-V06: la velocidad del aire en la entrada del sensor altera la eficiencia de muestreo (conocimiento técnico general).</w:t>
      </w:r>
    </w:p>
    <w:p>
      <w:pPr>
        <w:pStyle w:val="Compact"/>
        <w:numPr>
          <w:ilvl w:val="1"/>
          <w:numId w:val="1099"/>
        </w:numPr>
      </w:pPr>
      <w:r>
        <w:t xml:space="preserve">Justificación del valor: Se asigna 1: el efecto es secundario frente a la humedad y su sentido depende del diseño del inlet.</w:t>
      </w:r>
    </w:p>
    <w:p>
      <w:pPr>
        <w:pStyle w:val="Compact"/>
        <w:numPr>
          <w:ilvl w:val="1"/>
          <w:numId w:val="1099"/>
        </w:numPr>
      </w:pPr>
      <w:r>
        <w:t xml:space="preserve">Ancla comparada: Igual a ANC-1.</w:t>
      </w:r>
    </w:p>
    <w:p>
      <w:pPr>
        <w:pStyle w:val="Compact"/>
        <w:numPr>
          <w:ilvl w:val="1"/>
          <w:numId w:val="1099"/>
        </w:numPr>
      </w:pPr>
      <w:r>
        <w:t xml:space="preserve">Explicación rival: Con inlet protegido el valor tiende a 0.</w:t>
      </w:r>
    </w:p>
    <w:p>
      <w:pPr>
        <w:pStyle w:val="Compact"/>
        <w:numPr>
          <w:ilvl w:val="1"/>
          <w:numId w:val="1099"/>
        </w:numPr>
      </w:pPr>
      <w:r>
        <w:t xml:space="preserve">Mediadores del modelo: ninguno</w:t>
      </w:r>
    </w:p>
    <w:p>
      <w:pPr>
        <w:pStyle w:val="Compact"/>
        <w:numPr>
          <w:ilvl w:val="1"/>
          <w:numId w:val="1099"/>
        </w:numPr>
      </w:pPr>
      <w:r>
        <w:t xml:space="preserve">Motivo de la confianza: Control declarado en el diseño del informe. Magnitud desconocida.</w:t>
      </w:r>
    </w:p>
    <w:p>
      <w:pPr>
        <w:pStyle w:val="Compact"/>
        <w:numPr>
          <w:ilvl w:val="0"/>
          <w:numId w:val="1098"/>
        </w:numPr>
      </w:pPr>
      <w:r>
        <w:rPr>
          <w:b/>
          <w:bCs/>
        </w:rPr>
        <w:t xml:space="preserve">V06→V04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0"/>
        </w:numPr>
      </w:pPr>
      <w:r>
        <w:t xml:space="preserve">Razón del cero: El error del sensor no modifica el viento superficial.</w:t>
      </w:r>
    </w:p>
    <w:p>
      <w:pPr>
        <w:pStyle w:val="Compact"/>
        <w:numPr>
          <w:ilvl w:val="1"/>
          <w:numId w:val="1100"/>
        </w:numPr>
      </w:pPr>
      <w:r>
        <w:t xml:space="preserve">Fundamento: Premisa P-0: no existe mecanismo físico, informático ni institucional que conecte V06 con V04 dentro de la frontera y el horizonte declarados.</w:t>
      </w:r>
    </w:p>
    <w:p>
      <w:pPr>
        <w:pStyle w:val="Compact"/>
        <w:numPr>
          <w:ilvl w:val="1"/>
          <w:numId w:val="1100"/>
        </w:numPr>
      </w:pPr>
      <w:r>
        <w:t xml:space="preserve">Justificación del valor: Se asigna 0 porque el error del sensor no modifica el viento superficial.</w:t>
      </w:r>
    </w:p>
    <w:p>
      <w:pPr>
        <w:pStyle w:val="Compact"/>
        <w:numPr>
          <w:ilvl w:val="1"/>
          <w:numId w:val="1100"/>
        </w:numPr>
      </w:pPr>
      <w:r>
        <w:t xml:space="preserve">Ancla comparada: ANC-0 (ver F4.4.2).</w:t>
      </w:r>
    </w:p>
    <w:p>
      <w:pPr>
        <w:pStyle w:val="Compact"/>
        <w:numPr>
          <w:ilvl w:val="1"/>
          <w:numId w:val="1100"/>
        </w:numPr>
      </w:pPr>
      <w:r>
        <w:t xml:space="preserve">Explicación rival: Ninguna alternativa plausible dentro de la frontera.</w:t>
      </w:r>
    </w:p>
    <w:p>
      <w:pPr>
        <w:pStyle w:val="Compact"/>
        <w:numPr>
          <w:ilvl w:val="1"/>
          <w:numId w:val="1100"/>
        </w:numPr>
      </w:pPr>
      <w:r>
        <w:t xml:space="preserve">Mediadores del modelo: ninguno</w:t>
      </w:r>
    </w:p>
    <w:p>
      <w:pPr>
        <w:pStyle w:val="Compact"/>
        <w:numPr>
          <w:ilvl w:val="1"/>
          <w:numId w:val="1100"/>
        </w:numPr>
      </w:pPr>
      <w:r>
        <w:t xml:space="preserve">Motivo de la confianza: Ausencia de mecanismo por razonamiento físico. Sin medición ni fuente específica.</w:t>
      </w:r>
    </w:p>
    <w:p>
      <w:pPr>
        <w:pStyle w:val="FirstParagraph"/>
      </w:pPr>
      <w:r>
        <w:t xml:space="preserve">**Ficha 028 · V07__V10 · clase INTRA**</w:t>
      </w:r>
    </w:p>
    <w:p>
      <w:pPr>
        <w:pStyle w:val="Compact"/>
        <w:numPr>
          <w:ilvl w:val="0"/>
          <w:numId w:val="1101"/>
        </w:numPr>
      </w:pPr>
      <w:r>
        <w:rPr>
          <w:b/>
          <w:bCs/>
        </w:rPr>
        <w:t xml:space="preserve">V07→V10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2"/>
        </w:numPr>
      </w:pPr>
      <w:r>
        <w:t xml:space="preserve">Razón del cero: La calibración no cambia la cantidad de nodos por km² diseñada.</w:t>
      </w:r>
    </w:p>
    <w:p>
      <w:pPr>
        <w:pStyle w:val="Compact"/>
        <w:numPr>
          <w:ilvl w:val="1"/>
          <w:numId w:val="1102"/>
        </w:numPr>
      </w:pPr>
      <w:r>
        <w:t xml:space="preserve">Fundamento: Premisa P-0: no existe mecanismo físico, informático ni institucional que conecte V07 con V10 dentro de la frontera y el horizonte declarados.</w:t>
      </w:r>
    </w:p>
    <w:p>
      <w:pPr>
        <w:pStyle w:val="Compact"/>
        <w:numPr>
          <w:ilvl w:val="1"/>
          <w:numId w:val="1102"/>
        </w:numPr>
      </w:pPr>
      <w:r>
        <w:t xml:space="preserve">Justificación del valor: Se asigna 0 porque la calibración no cambia la cantidad de nodos por km² diseñada.</w:t>
      </w:r>
    </w:p>
    <w:p>
      <w:pPr>
        <w:pStyle w:val="Compact"/>
        <w:numPr>
          <w:ilvl w:val="1"/>
          <w:numId w:val="1102"/>
        </w:numPr>
      </w:pPr>
      <w:r>
        <w:t xml:space="preserve">Ancla comparada: ANC-0 (ver F4.4.2).</w:t>
      </w:r>
    </w:p>
    <w:p>
      <w:pPr>
        <w:pStyle w:val="Compact"/>
        <w:numPr>
          <w:ilvl w:val="1"/>
          <w:numId w:val="1102"/>
        </w:numPr>
      </w:pPr>
      <w:r>
        <w:t xml:space="preserve">Explicación rival: Ninguna alternativa plausible dentro de la frontera.</w:t>
      </w:r>
    </w:p>
    <w:p>
      <w:pPr>
        <w:pStyle w:val="Compact"/>
        <w:numPr>
          <w:ilvl w:val="1"/>
          <w:numId w:val="1102"/>
        </w:numPr>
      </w:pPr>
      <w:r>
        <w:t xml:space="preserve">Mediadores del modelo: ninguno</w:t>
      </w:r>
    </w:p>
    <w:p>
      <w:pPr>
        <w:pStyle w:val="Compact"/>
        <w:numPr>
          <w:ilvl w:val="1"/>
          <w:numId w:val="1102"/>
        </w:numPr>
      </w:pPr>
      <w:r>
        <w:t xml:space="preserve">Motivo de la confianza: Ausencia de mecanismo por razonamiento físico. Sin medición ni fuente específica.</w:t>
      </w:r>
    </w:p>
    <w:p>
      <w:pPr>
        <w:pStyle w:val="Compact"/>
        <w:numPr>
          <w:ilvl w:val="0"/>
          <w:numId w:val="1101"/>
        </w:numPr>
      </w:pPr>
      <w:r>
        <w:rPr>
          <w:b/>
          <w:bCs/>
        </w:rPr>
        <w:t xml:space="preserve">V10→V07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03"/>
        </w:numPr>
      </w:pPr>
      <w:r>
        <w:t xml:space="preserve">Razón del cero: La densidad de nodos no fija la frecuencia de calibración por nodo.</w:t>
      </w:r>
    </w:p>
    <w:p>
      <w:pPr>
        <w:pStyle w:val="Compact"/>
        <w:numPr>
          <w:ilvl w:val="1"/>
          <w:numId w:val="1103"/>
        </w:numPr>
      </w:pPr>
      <w:r>
        <w:t xml:space="preserve">Fundamento: Premisa P-0: no existe mecanismo físico, informático ni institucional que conecte V10 con V07 dentro de la frontera y el horizonte declarados.</w:t>
      </w:r>
    </w:p>
    <w:p>
      <w:pPr>
        <w:pStyle w:val="Compact"/>
        <w:numPr>
          <w:ilvl w:val="1"/>
          <w:numId w:val="1103"/>
        </w:numPr>
      </w:pPr>
      <w:r>
        <w:t xml:space="preserve">Justificación del valor: Se asigna 0 porque la densidad de nodos no fija la frecuencia de calibración por nodo.</w:t>
      </w:r>
    </w:p>
    <w:p>
      <w:pPr>
        <w:pStyle w:val="Compact"/>
        <w:numPr>
          <w:ilvl w:val="1"/>
          <w:numId w:val="1103"/>
        </w:numPr>
      </w:pPr>
      <w:r>
        <w:t xml:space="preserve">Ancla comparada: ANC-0 (ver F4.4.2).</w:t>
      </w:r>
    </w:p>
    <w:p>
      <w:pPr>
        <w:pStyle w:val="Compact"/>
        <w:numPr>
          <w:ilvl w:val="1"/>
          <w:numId w:val="1103"/>
        </w:numPr>
      </w:pPr>
      <w:r>
        <w:t xml:space="preserve">Explicación rival: Más nodos aumentan la carga de calibración. La frecuencia por nodo no cambia.</w:t>
      </w:r>
    </w:p>
    <w:p>
      <w:pPr>
        <w:pStyle w:val="Compact"/>
        <w:numPr>
          <w:ilvl w:val="1"/>
          <w:numId w:val="1103"/>
        </w:numPr>
      </w:pPr>
      <w:r>
        <w:t xml:space="preserve">Mediadores del modelo: ninguno</w:t>
      </w:r>
    </w:p>
    <w:p>
      <w:pPr>
        <w:pStyle w:val="Compact"/>
        <w:numPr>
          <w:ilvl w:val="1"/>
          <w:numId w:val="1103"/>
        </w:numPr>
      </w:pPr>
      <w:r>
        <w:t xml:space="preserve">Motivo de la confianza: Ausencia de mecanismo por razonamiento físico. Sin medición ni fuente específica.</w:t>
      </w:r>
    </w:p>
    <w:p>
      <w:pPr>
        <w:pStyle w:val="FirstParagraph"/>
      </w:pPr>
      <w:r>
        <w:t xml:space="preserve">**Ficha 029 · V03__V07 · clase INTER**</w:t>
      </w:r>
    </w:p>
    <w:p>
      <w:pPr>
        <w:pStyle w:val="Compact"/>
        <w:numPr>
          <w:ilvl w:val="0"/>
          <w:numId w:val="1104"/>
        </w:numPr>
      </w:pPr>
      <w:r>
        <w:rPr>
          <w:b/>
          <w:bCs/>
        </w:rPr>
        <w:t xml:space="preserve">V03→V07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05"/>
        </w:numPr>
      </w:pPr>
      <w:r>
        <w:t xml:space="preserve">Razón del cero: La humedad relativa no fija la frecuencia de calibración. La calibración depende de la regla operativa y de la deriva detectada.</w:t>
      </w:r>
    </w:p>
    <w:p>
      <w:pPr>
        <w:pStyle w:val="Compact"/>
        <w:numPr>
          <w:ilvl w:val="1"/>
          <w:numId w:val="1105"/>
        </w:numPr>
      </w:pPr>
      <w:r>
        <w:t xml:space="preserve">Fundamento: Premisa P-0: no existe mecanismo físico, informático ni institucional que conecte V03 con V07 dentro de la frontera y el horizonte declarados.</w:t>
      </w:r>
    </w:p>
    <w:p>
      <w:pPr>
        <w:pStyle w:val="Compact"/>
        <w:numPr>
          <w:ilvl w:val="1"/>
          <w:numId w:val="1105"/>
        </w:numPr>
      </w:pPr>
      <w:r>
        <w:t xml:space="preserve">Justificación del valor: Se asigna 0 porque la humedad relativa no fija la frecuencia de calibración. La calibración depende de la regla operativa y de la deriva detectada.</w:t>
      </w:r>
    </w:p>
    <w:p>
      <w:pPr>
        <w:pStyle w:val="Compact"/>
        <w:numPr>
          <w:ilvl w:val="1"/>
          <w:numId w:val="1105"/>
        </w:numPr>
      </w:pPr>
      <w:r>
        <w:t xml:space="preserve">Ancla comparada: ANC-0 (ver F4.4.2).</w:t>
      </w:r>
    </w:p>
    <w:p>
      <w:pPr>
        <w:pStyle w:val="Compact"/>
        <w:numPr>
          <w:ilvl w:val="1"/>
          <w:numId w:val="1105"/>
        </w:numPr>
      </w:pPr>
      <w:r>
        <w:t xml:space="preserve">Explicación rival: Una regla de recalibración por umbral de humedad la haría depender de V03. El diseño del expediente no la establece.</w:t>
      </w:r>
    </w:p>
    <w:p>
      <w:pPr>
        <w:pStyle w:val="Compact"/>
        <w:numPr>
          <w:ilvl w:val="1"/>
          <w:numId w:val="1105"/>
        </w:numPr>
      </w:pPr>
      <w:r>
        <w:t xml:space="preserve">Mediadores del modelo: ninguno</w:t>
      </w:r>
    </w:p>
    <w:p>
      <w:pPr>
        <w:pStyle w:val="Compact"/>
        <w:numPr>
          <w:ilvl w:val="1"/>
          <w:numId w:val="1105"/>
        </w:numPr>
      </w:pPr>
      <w:r>
        <w:t xml:space="preserve">Motivo de la confianza: Ausencia de mecanismo por razonamiento físico. Sin medición ni fuente específica.</w:t>
      </w:r>
    </w:p>
    <w:p>
      <w:pPr>
        <w:pStyle w:val="Compact"/>
        <w:numPr>
          <w:ilvl w:val="0"/>
          <w:numId w:val="1104"/>
        </w:numPr>
      </w:pPr>
      <w:r>
        <w:rPr>
          <w:b/>
          <w:bCs/>
        </w:rPr>
        <w:t xml:space="preserve">V07→V03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6"/>
        </w:numPr>
      </w:pPr>
      <w:r>
        <w:t xml:space="preserve">Razón del cero: La calibración no modifica la humedad relativa del aire.</w:t>
      </w:r>
    </w:p>
    <w:p>
      <w:pPr>
        <w:pStyle w:val="Compact"/>
        <w:numPr>
          <w:ilvl w:val="1"/>
          <w:numId w:val="1106"/>
        </w:numPr>
      </w:pPr>
      <w:r>
        <w:t xml:space="preserve">Fundamento: Premisa P-0: no existe mecanismo físico, informático ni institucional que conecte V07 con V03 dentro de la frontera y el horizonte declarados.</w:t>
      </w:r>
    </w:p>
    <w:p>
      <w:pPr>
        <w:pStyle w:val="Compact"/>
        <w:numPr>
          <w:ilvl w:val="1"/>
          <w:numId w:val="1106"/>
        </w:numPr>
      </w:pPr>
      <w:r>
        <w:t xml:space="preserve">Justificación del valor: Se asigna 0 porque la calibración no modifica la humedad relativa del aire.</w:t>
      </w:r>
    </w:p>
    <w:p>
      <w:pPr>
        <w:pStyle w:val="Compact"/>
        <w:numPr>
          <w:ilvl w:val="1"/>
          <w:numId w:val="1106"/>
        </w:numPr>
      </w:pPr>
      <w:r>
        <w:t xml:space="preserve">Ancla comparada: ANC-0 (ver F4.4.2).</w:t>
      </w:r>
    </w:p>
    <w:p>
      <w:pPr>
        <w:pStyle w:val="Compact"/>
        <w:numPr>
          <w:ilvl w:val="1"/>
          <w:numId w:val="1106"/>
        </w:numPr>
      </w:pPr>
      <w:r>
        <w:t xml:space="preserve">Explicación rival: Ninguna alternativa plausible dentro de la frontera.</w:t>
      </w:r>
    </w:p>
    <w:p>
      <w:pPr>
        <w:pStyle w:val="Compact"/>
        <w:numPr>
          <w:ilvl w:val="1"/>
          <w:numId w:val="1106"/>
        </w:numPr>
      </w:pPr>
      <w:r>
        <w:t xml:space="preserve">Mediadores del modelo: ninguno</w:t>
      </w:r>
    </w:p>
    <w:p>
      <w:pPr>
        <w:pStyle w:val="Compact"/>
        <w:numPr>
          <w:ilvl w:val="1"/>
          <w:numId w:val="1106"/>
        </w:numPr>
      </w:pPr>
      <w:r>
        <w:t xml:space="preserve">Motivo de la confianza: Ausencia de mecanismo por razonamiento físico. Sin medición ni fuente específica.</w:t>
      </w:r>
    </w:p>
    <w:p>
      <w:pPr>
        <w:pStyle w:val="FirstParagraph"/>
      </w:pPr>
      <w:r>
        <w:t xml:space="preserve">**Ficha 030 · V02__V03 · clase INTRA**</w:t>
      </w:r>
    </w:p>
    <w:p>
      <w:pPr>
        <w:pStyle w:val="Compact"/>
        <w:numPr>
          <w:ilvl w:val="0"/>
          <w:numId w:val="1107"/>
        </w:numPr>
      </w:pPr>
      <w:r>
        <w:rPr>
          <w:b/>
          <w:bCs/>
        </w:rPr>
        <w:t xml:space="preserve">V02→V03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8"/>
        </w:numPr>
      </w:pPr>
      <w:r>
        <w:t xml:space="preserve">Razón del cero: La masa de PM10 no modifica la humedad relativa del aire a escala de sitio.</w:t>
      </w:r>
    </w:p>
    <w:p>
      <w:pPr>
        <w:pStyle w:val="Compact"/>
        <w:numPr>
          <w:ilvl w:val="1"/>
          <w:numId w:val="1108"/>
        </w:numPr>
      </w:pPr>
      <w:r>
        <w:t xml:space="preserve">Fundamento: Premisa P-0: no existe mecanismo físico, informático ni institucional que conecte V02 con V03 dentro de la frontera y el horizonte declarados.</w:t>
      </w:r>
    </w:p>
    <w:p>
      <w:pPr>
        <w:pStyle w:val="Compact"/>
        <w:numPr>
          <w:ilvl w:val="1"/>
          <w:numId w:val="1108"/>
        </w:numPr>
      </w:pPr>
      <w:r>
        <w:t xml:space="preserve">Justificación del valor: Se asigna 0 porque la masa de PM10 no modifica la humedad relativa del aire a escala de sitio.</w:t>
      </w:r>
    </w:p>
    <w:p>
      <w:pPr>
        <w:pStyle w:val="Compact"/>
        <w:numPr>
          <w:ilvl w:val="1"/>
          <w:numId w:val="1108"/>
        </w:numPr>
      </w:pPr>
      <w:r>
        <w:t xml:space="preserve">Ancla comparada: ANC-0 (ver F4.4.2).</w:t>
      </w:r>
    </w:p>
    <w:p>
      <w:pPr>
        <w:pStyle w:val="Compact"/>
        <w:numPr>
          <w:ilvl w:val="1"/>
          <w:numId w:val="1108"/>
        </w:numPr>
      </w:pPr>
      <w:r>
        <w:t xml:space="preserve">Explicación rival: Ninguna alternativa plausible dentro de la frontera.</w:t>
      </w:r>
    </w:p>
    <w:p>
      <w:pPr>
        <w:pStyle w:val="Compact"/>
        <w:numPr>
          <w:ilvl w:val="1"/>
          <w:numId w:val="1108"/>
        </w:numPr>
      </w:pPr>
      <w:r>
        <w:t xml:space="preserve">Mediadores del modelo: ninguno</w:t>
      </w:r>
    </w:p>
    <w:p>
      <w:pPr>
        <w:pStyle w:val="Compact"/>
        <w:numPr>
          <w:ilvl w:val="1"/>
          <w:numId w:val="1108"/>
        </w:numPr>
      </w:pPr>
      <w:r>
        <w:t xml:space="preserve">Motivo de la confianza: Ausencia de mecanismo por razonamiento físico. Sin medición ni fuente específica.</w:t>
      </w:r>
    </w:p>
    <w:p>
      <w:pPr>
        <w:pStyle w:val="Compact"/>
        <w:numPr>
          <w:ilvl w:val="0"/>
          <w:numId w:val="1107"/>
        </w:numPr>
      </w:pPr>
      <w:r>
        <w:rPr>
          <w:b/>
          <w:bCs/>
        </w:rPr>
        <w:t xml:space="preserve">V03→V02</w:t>
      </w:r>
      <w:r>
        <w:t xml:space="preserve"> </w:t>
      </w:r>
      <w:r>
        <w:t xml:space="preserve">· valor</w:t>
      </w:r>
      <w:r>
        <w:t xml:space="preserve"> </w:t>
      </w:r>
      <w:r>
        <w:rPr>
          <w:b/>
          <w:bCs/>
        </w:rPr>
        <w:t xml:space="preserve">1</w:t>
      </w:r>
      <w:r>
        <w:t xml:space="preserve"> </w:t>
      </w:r>
      <w:r>
        <w:t xml:space="preserve">(admisibles: 0, 1) · signo - · naturaleza INFERIDO · estado PROPUESTO · confianza BAJA</w:t>
      </w:r>
    </w:p>
    <w:p>
      <w:pPr>
        <w:pStyle w:val="Compact"/>
        <w:numPr>
          <w:ilvl w:val="1"/>
          <w:numId w:val="1109"/>
        </w:numPr>
      </w:pPr>
      <w:r>
        <w:t xml:space="preserve">Mecanismo: La humedad del aire y del material reduce la resuspensión de polvo y favorece su sedimentación.</w:t>
      </w:r>
    </w:p>
    <w:p>
      <w:pPr>
        <w:pStyle w:val="Compact"/>
        <w:numPr>
          <w:ilvl w:val="1"/>
          <w:numId w:val="1109"/>
        </w:numPr>
      </w:pPr>
      <w:r>
        <w:t xml:space="preserve">Fundamento: Principio de supresión de polvo por humedad del material (práctica de rociado en obras). E3-P04 asigna signo (+) por condensación. La revisión invierte el signo.</w:t>
      </w:r>
    </w:p>
    <w:p>
      <w:pPr>
        <w:pStyle w:val="Compact"/>
        <w:numPr>
          <w:ilvl w:val="1"/>
          <w:numId w:val="1109"/>
        </w:numPr>
      </w:pPr>
      <w:r>
        <w:t xml:space="preserve">Premisas: P-V03-V02: la humedad superficial del material y del aire reduce la emisión por resuspensión (práctica de control de polvo).</w:t>
      </w:r>
    </w:p>
    <w:p>
      <w:pPr>
        <w:pStyle w:val="Compact"/>
        <w:numPr>
          <w:ilvl w:val="1"/>
          <w:numId w:val="1109"/>
        </w:numPr>
      </w:pPr>
      <w:r>
        <w:t xml:space="preserve">Justificación del valor: Se asigna 1: la humedad ambiental se asocia a humedad superficial solo de forma parcial. Efecto débil.</w:t>
      </w:r>
    </w:p>
    <w:p>
      <w:pPr>
        <w:pStyle w:val="Compact"/>
        <w:numPr>
          <w:ilvl w:val="1"/>
          <w:numId w:val="1109"/>
        </w:numPr>
      </w:pPr>
      <w:r>
        <w:t xml:space="preserve">Ancla comparada: Igual a ANC-1.</w:t>
      </w:r>
    </w:p>
    <w:p>
      <w:pPr>
        <w:pStyle w:val="Compact"/>
        <w:numPr>
          <w:ilvl w:val="1"/>
          <w:numId w:val="1109"/>
        </w:numPr>
      </w:pPr>
      <w:r>
        <w:t xml:space="preserve">Explicación rival: El rociado de agua sobre escombros es una intervención (V05 modificado), no la humedad relativa del aire.</w:t>
      </w:r>
    </w:p>
    <w:p>
      <w:pPr>
        <w:pStyle w:val="Compact"/>
        <w:numPr>
          <w:ilvl w:val="1"/>
          <w:numId w:val="1109"/>
        </w:numPr>
      </w:pPr>
      <w:r>
        <w:t xml:space="preserve">Mediadores del modelo: ninguno</w:t>
      </w:r>
    </w:p>
    <w:p>
      <w:pPr>
        <w:pStyle w:val="Compact"/>
        <w:numPr>
          <w:ilvl w:val="1"/>
          <w:numId w:val="1109"/>
        </w:numPr>
      </w:pPr>
      <w:r>
        <w:t xml:space="preserve">Motivo de la confianza: Mecanismo conocido en práctica de obra. Correlato entre humedad del aire y del material es parcial.</w:t>
      </w:r>
    </w:p>
    <w:p>
      <w:pPr>
        <w:pStyle w:val="FirstParagraph"/>
      </w:pPr>
      <w:r>
        <w:t xml:space="preserve">**Ficha 031 · V08__V11 · clase INTER**</w:t>
      </w:r>
    </w:p>
    <w:p>
      <w:pPr>
        <w:pStyle w:val="Compact"/>
        <w:numPr>
          <w:ilvl w:val="0"/>
          <w:numId w:val="1110"/>
        </w:numPr>
      </w:pPr>
      <w:r>
        <w:rPr>
          <w:b/>
          <w:bCs/>
        </w:rPr>
        <w:t xml:space="preserve">V08→V11</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11"/>
        </w:numPr>
      </w:pPr>
      <w:r>
        <w:t xml:space="preserve">Razón del cero: La latencia retrasa la actualización del índice pero no cambia su valor para un instante dado. La oportunidad se mide en V13.</w:t>
      </w:r>
    </w:p>
    <w:p>
      <w:pPr>
        <w:pStyle w:val="Compact"/>
        <w:numPr>
          <w:ilvl w:val="1"/>
          <w:numId w:val="1111"/>
        </w:numPr>
      </w:pPr>
      <w:r>
        <w:t xml:space="preserve">Fundamento: Premisa P-0: no existe mecanismo físico, informático ni institucional que conecte V08 con V11 dentro de la frontera y el horizonte declarados.</w:t>
      </w:r>
    </w:p>
    <w:p>
      <w:pPr>
        <w:pStyle w:val="Compact"/>
        <w:numPr>
          <w:ilvl w:val="1"/>
          <w:numId w:val="1111"/>
        </w:numPr>
      </w:pPr>
      <w:r>
        <w:t xml:space="preserve">Justificación del valor: Se asigna 0 porque la latencia retrasa la actualización del índice pero no cambia su valor para un instante dado. La oportunidad se mide en V13.</w:t>
      </w:r>
    </w:p>
    <w:p>
      <w:pPr>
        <w:pStyle w:val="Compact"/>
        <w:numPr>
          <w:ilvl w:val="1"/>
          <w:numId w:val="1111"/>
        </w:numPr>
      </w:pPr>
      <w:r>
        <w:t xml:space="preserve">Ancla comparada: ANC-0 (ver F4.4.2).</w:t>
      </w:r>
    </w:p>
    <w:p>
      <w:pPr>
        <w:pStyle w:val="Compact"/>
        <w:numPr>
          <w:ilvl w:val="1"/>
          <w:numId w:val="1111"/>
        </w:numPr>
      </w:pPr>
      <w:r>
        <w:t xml:space="preserve">Explicación rival: Un índice basado en datos rezagados describe un instante anterior. Esa pérdida de vigencia se capta en V13.</w:t>
      </w:r>
    </w:p>
    <w:p>
      <w:pPr>
        <w:pStyle w:val="Compact"/>
        <w:numPr>
          <w:ilvl w:val="1"/>
          <w:numId w:val="1111"/>
        </w:numPr>
      </w:pPr>
      <w:r>
        <w:t xml:space="preserve">Mediadores del modelo: ninguno</w:t>
      </w:r>
    </w:p>
    <w:p>
      <w:pPr>
        <w:pStyle w:val="Compact"/>
        <w:numPr>
          <w:ilvl w:val="1"/>
          <w:numId w:val="1111"/>
        </w:numPr>
      </w:pPr>
      <w:r>
        <w:t xml:space="preserve">Motivo de la confianza: Ausencia de mecanismo por razonamiento físico. Sin medición ni fuente específica.</w:t>
      </w:r>
    </w:p>
    <w:p>
      <w:pPr>
        <w:pStyle w:val="Compact"/>
        <w:numPr>
          <w:ilvl w:val="0"/>
          <w:numId w:val="1110"/>
        </w:numPr>
      </w:pPr>
      <w:r>
        <w:rPr>
          <w:b/>
          <w:bCs/>
        </w:rPr>
        <w:t xml:space="preserve">V11→V08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2"/>
        </w:numPr>
      </w:pPr>
      <w:r>
        <w:t xml:space="preserve">Razón del cero: El nivel del índice no cambia el retraso de transmisión.</w:t>
      </w:r>
    </w:p>
    <w:p>
      <w:pPr>
        <w:pStyle w:val="Compact"/>
        <w:numPr>
          <w:ilvl w:val="1"/>
          <w:numId w:val="1112"/>
        </w:numPr>
      </w:pPr>
      <w:r>
        <w:t xml:space="preserve">Fundamento: Premisa P-0: no existe mecanismo físico, informático ni institucional que conecte V11 con V08 dentro de la frontera y el horizonte declarados.</w:t>
      </w:r>
    </w:p>
    <w:p>
      <w:pPr>
        <w:pStyle w:val="Compact"/>
        <w:numPr>
          <w:ilvl w:val="1"/>
          <w:numId w:val="1112"/>
        </w:numPr>
      </w:pPr>
      <w:r>
        <w:t xml:space="preserve">Justificación del valor: Se asigna 0 porque el nivel del índice no cambia el retraso de transmisión.</w:t>
      </w:r>
    </w:p>
    <w:p>
      <w:pPr>
        <w:pStyle w:val="Compact"/>
        <w:numPr>
          <w:ilvl w:val="1"/>
          <w:numId w:val="1112"/>
        </w:numPr>
      </w:pPr>
      <w:r>
        <w:t xml:space="preserve">Ancla comparada: ANC-0 (ver F4.4.2).</w:t>
      </w:r>
    </w:p>
    <w:p>
      <w:pPr>
        <w:pStyle w:val="Compact"/>
        <w:numPr>
          <w:ilvl w:val="1"/>
          <w:numId w:val="1112"/>
        </w:numPr>
      </w:pPr>
      <w:r>
        <w:t xml:space="preserve">Explicación rival: Ninguna alternativa plausible dentro de la frontera.</w:t>
      </w:r>
    </w:p>
    <w:p>
      <w:pPr>
        <w:pStyle w:val="Compact"/>
        <w:numPr>
          <w:ilvl w:val="1"/>
          <w:numId w:val="1112"/>
        </w:numPr>
      </w:pPr>
      <w:r>
        <w:t xml:space="preserve">Mediadores del modelo: ninguno</w:t>
      </w:r>
    </w:p>
    <w:p>
      <w:pPr>
        <w:pStyle w:val="Compact"/>
        <w:numPr>
          <w:ilvl w:val="1"/>
          <w:numId w:val="1112"/>
        </w:numPr>
      </w:pPr>
      <w:r>
        <w:t xml:space="preserve">Motivo de la confianza: Ausencia de mecanismo por razonamiento físico. Sin medición ni fuente específica.</w:t>
      </w:r>
    </w:p>
    <w:p>
      <w:pPr>
        <w:pStyle w:val="FirstParagraph"/>
      </w:pPr>
      <w:r>
        <w:t xml:space="preserve">**Ficha 032 · V03__V04 · clase INTRA**</w:t>
      </w:r>
    </w:p>
    <w:p>
      <w:pPr>
        <w:pStyle w:val="Compact"/>
        <w:numPr>
          <w:ilvl w:val="0"/>
          <w:numId w:val="1113"/>
        </w:numPr>
      </w:pPr>
      <w:r>
        <w:rPr>
          <w:b/>
          <w:bCs/>
        </w:rPr>
        <w:t xml:space="preserve">V03→V04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4"/>
        </w:numPr>
      </w:pPr>
      <w:r>
        <w:t xml:space="preserve">Razón del cero: La humedad relativa no altera la velocidad del viento superficial a escala de sitio.</w:t>
      </w:r>
    </w:p>
    <w:p>
      <w:pPr>
        <w:pStyle w:val="Compact"/>
        <w:numPr>
          <w:ilvl w:val="1"/>
          <w:numId w:val="1114"/>
        </w:numPr>
      </w:pPr>
      <w:r>
        <w:t xml:space="preserve">Fundamento: Premisa P-0: no existe mecanismo físico, informático ni institucional que conecte V03 con V04 dentro de la frontera y el horizonte declarados.</w:t>
      </w:r>
    </w:p>
    <w:p>
      <w:pPr>
        <w:pStyle w:val="Compact"/>
        <w:numPr>
          <w:ilvl w:val="1"/>
          <w:numId w:val="1114"/>
        </w:numPr>
      </w:pPr>
      <w:r>
        <w:t xml:space="preserve">Justificación del valor: Se asigna 0 porque la humedad relativa no altera la velocidad del viento superficial a escala de sitio.</w:t>
      </w:r>
    </w:p>
    <w:p>
      <w:pPr>
        <w:pStyle w:val="Compact"/>
        <w:numPr>
          <w:ilvl w:val="1"/>
          <w:numId w:val="1114"/>
        </w:numPr>
      </w:pPr>
      <w:r>
        <w:t xml:space="preserve">Ancla comparada: ANC-0 (ver F4.4.2).</w:t>
      </w:r>
    </w:p>
    <w:p>
      <w:pPr>
        <w:pStyle w:val="Compact"/>
        <w:numPr>
          <w:ilvl w:val="1"/>
          <w:numId w:val="1114"/>
        </w:numPr>
      </w:pPr>
      <w:r>
        <w:t xml:space="preserve">Explicación rival: La convección húmeda modifica el viento regional. No es relevante dentro de H a escala de sitio.</w:t>
      </w:r>
    </w:p>
    <w:p>
      <w:pPr>
        <w:pStyle w:val="Compact"/>
        <w:numPr>
          <w:ilvl w:val="1"/>
          <w:numId w:val="1114"/>
        </w:numPr>
      </w:pPr>
      <w:r>
        <w:t xml:space="preserve">Mediadores del modelo: ninguno</w:t>
      </w:r>
    </w:p>
    <w:p>
      <w:pPr>
        <w:pStyle w:val="Compact"/>
        <w:numPr>
          <w:ilvl w:val="1"/>
          <w:numId w:val="1114"/>
        </w:numPr>
      </w:pPr>
      <w:r>
        <w:t xml:space="preserve">Motivo de la confianza: Ausencia de mecanismo por razonamiento físico. Sin medición ni fuente específica.</w:t>
      </w:r>
    </w:p>
    <w:p>
      <w:pPr>
        <w:pStyle w:val="Compact"/>
        <w:numPr>
          <w:ilvl w:val="0"/>
          <w:numId w:val="1113"/>
        </w:numPr>
      </w:pPr>
      <w:r>
        <w:rPr>
          <w:b/>
          <w:bCs/>
        </w:rPr>
        <w:t xml:space="preserve">V04→V03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15"/>
        </w:numPr>
      </w:pPr>
      <w:r>
        <w:t xml:space="preserve">Razón del cero: La velocidad del viento no modifica la humedad relativa a escala de sitio en H. La dirección del viento sí la modifica por advección de masas de aire.</w:t>
      </w:r>
    </w:p>
    <w:p>
      <w:pPr>
        <w:pStyle w:val="Compact"/>
        <w:numPr>
          <w:ilvl w:val="1"/>
          <w:numId w:val="1115"/>
        </w:numPr>
      </w:pPr>
      <w:r>
        <w:t xml:space="preserve">Fundamento: Premisa P-0: no existe mecanismo físico, informático ni institucional que conecte V04 con V03 dentro de la frontera y el horizonte declarados.</w:t>
      </w:r>
    </w:p>
    <w:p>
      <w:pPr>
        <w:pStyle w:val="Compact"/>
        <w:numPr>
          <w:ilvl w:val="1"/>
          <w:numId w:val="1115"/>
        </w:numPr>
      </w:pPr>
      <w:r>
        <w:t xml:space="preserve">Justificación del valor: Se asigna 0 porque la velocidad del viento no modifica la humedad relativa a escala de sitio en H. La dirección del viento sí la modifica por advección de masas de aire.</w:t>
      </w:r>
    </w:p>
    <w:p>
      <w:pPr>
        <w:pStyle w:val="Compact"/>
        <w:numPr>
          <w:ilvl w:val="1"/>
          <w:numId w:val="1115"/>
        </w:numPr>
      </w:pPr>
      <w:r>
        <w:t xml:space="preserve">Ancla comparada: ANC-0 (ver F4.4.2).</w:t>
      </w:r>
    </w:p>
    <w:p>
      <w:pPr>
        <w:pStyle w:val="Compact"/>
        <w:numPr>
          <w:ilvl w:val="1"/>
          <w:numId w:val="1115"/>
        </w:numPr>
      </w:pPr>
      <w:r>
        <w:t xml:space="preserve">Explicación rival: La advección de aire húmedo cambia la humedad. Depende de la dirección y de las masas de aire, no de la velocidad.</w:t>
      </w:r>
    </w:p>
    <w:p>
      <w:pPr>
        <w:pStyle w:val="Compact"/>
        <w:numPr>
          <w:ilvl w:val="1"/>
          <w:numId w:val="1115"/>
        </w:numPr>
      </w:pPr>
      <w:r>
        <w:t xml:space="preserve">Mediadores del modelo: ninguno</w:t>
      </w:r>
    </w:p>
    <w:p>
      <w:pPr>
        <w:pStyle w:val="Compact"/>
        <w:numPr>
          <w:ilvl w:val="1"/>
          <w:numId w:val="1115"/>
        </w:numPr>
      </w:pPr>
      <w:r>
        <w:t xml:space="preserve">Motivo de la confianza: Ausencia de mecanismo por razonamiento físico. Sin medición ni fuente específica.</w:t>
      </w:r>
    </w:p>
    <w:p>
      <w:pPr>
        <w:pStyle w:val="FirstParagraph"/>
      </w:pPr>
      <w:r>
        <w:t xml:space="preserve">**Ficha 033 · V03__V09 · clase INTER**</w:t>
      </w:r>
    </w:p>
    <w:p>
      <w:pPr>
        <w:pStyle w:val="Compact"/>
        <w:numPr>
          <w:ilvl w:val="0"/>
          <w:numId w:val="1116"/>
        </w:numPr>
      </w:pPr>
      <w:r>
        <w:rPr>
          <w:b/>
          <w:bCs/>
        </w:rPr>
        <w:t xml:space="preserve">V03→V09</w:t>
      </w:r>
      <w:r>
        <w:t xml:space="preserve"> </w:t>
      </w:r>
      <w:r>
        <w:t xml:space="preserve">· valor</w:t>
      </w:r>
      <w:r>
        <w:t xml:space="preserve"> </w:t>
      </w:r>
      <w:r>
        <w:rPr>
          <w:b/>
          <w:bCs/>
        </w:rPr>
        <w:t xml:space="preserve">1</w:t>
      </w:r>
      <w:r>
        <w:t xml:space="preserve"> </w:t>
      </w:r>
      <w:r>
        <w:t xml:space="preserve">(admisibles: 0, 1, 2) · signo - · naturaleza INFERIDO · estado PROPUESTO · confianza MEDIA</w:t>
      </w:r>
    </w:p>
    <w:p>
      <w:pPr>
        <w:pStyle w:val="Compact"/>
        <w:numPr>
          <w:ilvl w:val="1"/>
          <w:numId w:val="1117"/>
        </w:numPr>
      </w:pPr>
      <w:r>
        <w:t xml:space="preserve">Mecanismo: La humedad sostenida condensa y corroe carcasas y conectores, y reduce la vida útil de la electrónica de bajo costo.</w:t>
      </w:r>
    </w:p>
    <w:p>
      <w:pPr>
        <w:pStyle w:val="Compact"/>
        <w:numPr>
          <w:ilvl w:val="1"/>
          <w:numId w:val="1117"/>
        </w:numPr>
      </w:pPr>
      <w:r>
        <w:t xml:space="preserve">Fundamento: Mismo vínculo que el ancla ANC-1 definida en el Paso 4 del documento (F4.4.2). F-INF cita 96 de 570 estaciones inactivas en Brasil (Tavella et al., 2026, p. 6) sin atribuir causa.</w:t>
      </w:r>
    </w:p>
    <w:p>
      <w:pPr>
        <w:pStyle w:val="Compact"/>
        <w:numPr>
          <w:ilvl w:val="1"/>
          <w:numId w:val="1117"/>
        </w:numPr>
      </w:pPr>
      <w:r>
        <w:t xml:space="preserve">Fuentes: F-E3, Paso 4, F4.4.2, ancla del valor 1; Capítulo 8, Tabla E3-8.4 (kits NEMA 4X) (alcance: Define el ancla y la mitigación presupuestada); F-INF, §3.1 (Tavella et al., 2026, p. 6): 96 de 570 estaciones inactivas o sin estado (16,8 %) (alcance: No atribuye la inactividad a la humedad)</w:t>
      </w:r>
    </w:p>
    <w:p>
      <w:pPr>
        <w:pStyle w:val="Compact"/>
        <w:numPr>
          <w:ilvl w:val="1"/>
          <w:numId w:val="1117"/>
        </w:numPr>
      </w:pPr>
      <w:r>
        <w:t xml:space="preserve">Justificación del valor: Se asigna 1: el efecto es gradual y las carcasas NEMA 4X (Tabla E3-8.4) lo mitigan. Es el ancla del valor 1.</w:t>
      </w:r>
    </w:p>
    <w:p>
      <w:pPr>
        <w:pStyle w:val="Compact"/>
        <w:numPr>
          <w:ilvl w:val="1"/>
          <w:numId w:val="1117"/>
        </w:numPr>
      </w:pPr>
      <w:r>
        <w:t xml:space="preserve">Ancla comparada: Es ANC-1.</w:t>
      </w:r>
    </w:p>
    <w:p>
      <w:pPr>
        <w:pStyle w:val="Compact"/>
        <w:numPr>
          <w:ilvl w:val="1"/>
          <w:numId w:val="1117"/>
        </w:numPr>
      </w:pPr>
      <w:r>
        <w:t xml:space="preserve">Explicación rival: Con carcasas bien selladas el valor tiende a 0. Con sellos defectuosos puede subir a 2.</w:t>
      </w:r>
    </w:p>
    <w:p>
      <w:pPr>
        <w:pStyle w:val="Compact"/>
        <w:numPr>
          <w:ilvl w:val="1"/>
          <w:numId w:val="1117"/>
        </w:numPr>
      </w:pPr>
      <w:r>
        <w:t xml:space="preserve">Mediadores del modelo: ninguno</w:t>
      </w:r>
    </w:p>
    <w:p>
      <w:pPr>
        <w:pStyle w:val="Compact"/>
        <w:numPr>
          <w:ilvl w:val="1"/>
          <w:numId w:val="1117"/>
        </w:numPr>
      </w:pPr>
      <w:r>
        <w:t xml:space="preserve">Motivo de la confianza: Mecanismo conocido. Mitigación presupuestada. Sin dato de falla por humedad.</w:t>
      </w:r>
    </w:p>
    <w:p>
      <w:pPr>
        <w:pStyle w:val="Compact"/>
        <w:numPr>
          <w:ilvl w:val="0"/>
          <w:numId w:val="1116"/>
        </w:numPr>
      </w:pPr>
      <w:r>
        <w:rPr>
          <w:b/>
          <w:bCs/>
        </w:rPr>
        <w:t xml:space="preserve">V09→V03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8"/>
        </w:numPr>
      </w:pPr>
      <w:r>
        <w:t xml:space="preserve">Razón del cero: La disponibilidad de nodos no modifica la humedad relativa.</w:t>
      </w:r>
    </w:p>
    <w:p>
      <w:pPr>
        <w:pStyle w:val="Compact"/>
        <w:numPr>
          <w:ilvl w:val="1"/>
          <w:numId w:val="1118"/>
        </w:numPr>
      </w:pPr>
      <w:r>
        <w:t xml:space="preserve">Fundamento: Premisa P-0: no existe mecanismo físico, informático ni institucional que conecte V09 con V03 dentro de la frontera y el horizonte declarados.</w:t>
      </w:r>
    </w:p>
    <w:p>
      <w:pPr>
        <w:pStyle w:val="Compact"/>
        <w:numPr>
          <w:ilvl w:val="1"/>
          <w:numId w:val="1118"/>
        </w:numPr>
      </w:pPr>
      <w:r>
        <w:t xml:space="preserve">Justificación del valor: Se asigna 0 porque la disponibilidad de nodos no modifica la humedad relativa.</w:t>
      </w:r>
    </w:p>
    <w:p>
      <w:pPr>
        <w:pStyle w:val="Compact"/>
        <w:numPr>
          <w:ilvl w:val="1"/>
          <w:numId w:val="1118"/>
        </w:numPr>
      </w:pPr>
      <w:r>
        <w:t xml:space="preserve">Ancla comparada: ANC-0 (ver F4.4.2).</w:t>
      </w:r>
    </w:p>
    <w:p>
      <w:pPr>
        <w:pStyle w:val="Compact"/>
        <w:numPr>
          <w:ilvl w:val="1"/>
          <w:numId w:val="1118"/>
        </w:numPr>
      </w:pPr>
      <w:r>
        <w:t xml:space="preserve">Explicación rival: Ninguna alternativa plausible dentro de la frontera.</w:t>
      </w:r>
    </w:p>
    <w:p>
      <w:pPr>
        <w:pStyle w:val="Compact"/>
        <w:numPr>
          <w:ilvl w:val="1"/>
          <w:numId w:val="1118"/>
        </w:numPr>
      </w:pPr>
      <w:r>
        <w:t xml:space="preserve">Mediadores del modelo: ninguno</w:t>
      </w:r>
    </w:p>
    <w:p>
      <w:pPr>
        <w:pStyle w:val="Compact"/>
        <w:numPr>
          <w:ilvl w:val="1"/>
          <w:numId w:val="1118"/>
        </w:numPr>
      </w:pPr>
      <w:r>
        <w:t xml:space="preserve">Motivo de la confianza: Ausencia de mecanismo por razonamiento físico. Sin medición ni fuente específica.</w:t>
      </w:r>
    </w:p>
    <w:p>
      <w:pPr>
        <w:pStyle w:val="FirstParagraph"/>
      </w:pPr>
      <w:r>
        <w:t xml:space="preserve">**Ficha 034 · V09__V10 · clase INTRA**</w:t>
      </w:r>
    </w:p>
    <w:p>
      <w:pPr>
        <w:pStyle w:val="Compact"/>
        <w:numPr>
          <w:ilvl w:val="0"/>
          <w:numId w:val="1119"/>
        </w:numPr>
      </w:pPr>
      <w:r>
        <w:rPr>
          <w:b/>
          <w:bCs/>
        </w:rPr>
        <w:t xml:space="preserve">V09→V10</w:t>
      </w:r>
      <w:r>
        <w:t xml:space="preserve"> </w:t>
      </w:r>
      <w:r>
        <w:t xml:space="preserve">· valor</w:t>
      </w:r>
      <w:r>
        <w:t xml:space="preserve"> </w:t>
      </w:r>
      <w:r>
        <w:rPr>
          <w:b/>
          <w:bCs/>
        </w:rPr>
        <w:t xml:space="preserve">3</w:t>
      </w:r>
      <w:r>
        <w:t xml:space="preserve"> </w:t>
      </w:r>
      <w:r>
        <w:t xml:space="preserve">(admisibles: 0, 2, 3) · signo + · naturaleza INFERIDO · estado PROPUESTO · confianza MEDIA</w:t>
      </w:r>
    </w:p>
    <w:p>
      <w:pPr>
        <w:pStyle w:val="Compact"/>
        <w:numPr>
          <w:ilvl w:val="1"/>
          <w:numId w:val="1120"/>
        </w:numPr>
      </w:pPr>
      <w:r>
        <w:t xml:space="preserve">Mecanismo: Si V10 mide la resolución efectiva del mapa, la cantidad de nodos activos determina aritméticamente los nodos por km² con datos.</w:t>
      </w:r>
    </w:p>
    <w:p>
      <w:pPr>
        <w:pStyle w:val="Compact"/>
        <w:numPr>
          <w:ilvl w:val="1"/>
          <w:numId w:val="1120"/>
        </w:numPr>
      </w:pPr>
      <w:r>
        <w:t xml:space="preserve">Fundamento: Ledger E3-P04, fila V09-&gt;V10 (PROPUESTO, magnitud 3). El diccionario define V10 como resolución del mapa predictivo (nodos/km²) sin precisar si es nominal o efectiva (VACIO V-DIC-02).</w:t>
      </w:r>
    </w:p>
    <w:p>
      <w:pPr>
        <w:pStyle w:val="Compact"/>
        <w:numPr>
          <w:ilvl w:val="1"/>
          <w:numId w:val="1120"/>
        </w:numPr>
      </w:pPr>
      <w:r>
        <w:t xml:space="preserve">Fuentes: F-E3, E3-P04 §12, fila V09-&gt;V10; Paso 4, F4.4.2, ancla del valor 2 (alcance: Muestra la incoherencia del documento previo)</w:t>
      </w:r>
    </w:p>
    <w:p>
      <w:pPr>
        <w:pStyle w:val="Compact"/>
        <w:numPr>
          <w:ilvl w:val="1"/>
          <w:numId w:val="1120"/>
        </w:numPr>
      </w:pPr>
      <w:r>
        <w:t xml:space="preserve">Justificación del valor: Se asigna 3 bajo la lectura efectiva: la relación es definicional y sin intermediario (ancla ANC-3). El documento previo usa el mismo vínculo como ancla del valor 2, lo que es incoherente con su propio ledger.</w:t>
      </w:r>
    </w:p>
    <w:p>
      <w:pPr>
        <w:pStyle w:val="Compact"/>
        <w:numPr>
          <w:ilvl w:val="1"/>
          <w:numId w:val="1120"/>
        </w:numPr>
      </w:pPr>
      <w:r>
        <w:t xml:space="preserve">Ancla comparada: Es ANC-3 bajo la lectura efectiva.</w:t>
      </w:r>
    </w:p>
    <w:p>
      <w:pPr>
        <w:pStyle w:val="Compact"/>
        <w:numPr>
          <w:ilvl w:val="1"/>
          <w:numId w:val="1120"/>
        </w:numPr>
      </w:pPr>
      <w:r>
        <w:t xml:space="preserve">Explicación rival: Si V10 es la densidad nominal de diseño, el valor es 0.</w:t>
      </w:r>
    </w:p>
    <w:p>
      <w:pPr>
        <w:pStyle w:val="Compact"/>
        <w:numPr>
          <w:ilvl w:val="1"/>
          <w:numId w:val="1120"/>
        </w:numPr>
      </w:pPr>
      <w:r>
        <w:t xml:space="preserve">Mediadores del modelo: ninguno</w:t>
      </w:r>
    </w:p>
    <w:p>
      <w:pPr>
        <w:pStyle w:val="Compact"/>
        <w:numPr>
          <w:ilvl w:val="1"/>
          <w:numId w:val="1120"/>
        </w:numPr>
      </w:pPr>
      <w:r>
        <w:t xml:space="preserve">Motivo de la confianza: Depende de una ambigüedad del diccionario (V-DIC-02).</w:t>
      </w:r>
    </w:p>
    <w:p>
      <w:pPr>
        <w:pStyle w:val="Compact"/>
        <w:numPr>
          <w:ilvl w:val="0"/>
          <w:numId w:val="1119"/>
        </w:numPr>
      </w:pPr>
      <w:r>
        <w:rPr>
          <w:b/>
          <w:bCs/>
        </w:rPr>
        <w:t xml:space="preserve">V10→V09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21"/>
        </w:numPr>
      </w:pPr>
      <w:r>
        <w:t xml:space="preserve">Razón del cero: La densidad de diseño no cambia el porcentaje de nodos activos.</w:t>
      </w:r>
    </w:p>
    <w:p>
      <w:pPr>
        <w:pStyle w:val="Compact"/>
        <w:numPr>
          <w:ilvl w:val="1"/>
          <w:numId w:val="1121"/>
        </w:numPr>
      </w:pPr>
      <w:r>
        <w:t xml:space="preserve">Fundamento: Premisa P-0: no existe mecanismo físico, informático ni institucional que conecte V10 con V09 dentro de la frontera y el horizonte declarados.</w:t>
      </w:r>
    </w:p>
    <w:p>
      <w:pPr>
        <w:pStyle w:val="Compact"/>
        <w:numPr>
          <w:ilvl w:val="1"/>
          <w:numId w:val="1121"/>
        </w:numPr>
      </w:pPr>
      <w:r>
        <w:t xml:space="preserve">Justificación del valor: Se asigna 0 porque la densidad de diseño no cambia el porcentaje de nodos activos.</w:t>
      </w:r>
    </w:p>
    <w:p>
      <w:pPr>
        <w:pStyle w:val="Compact"/>
        <w:numPr>
          <w:ilvl w:val="1"/>
          <w:numId w:val="1121"/>
        </w:numPr>
      </w:pPr>
      <w:r>
        <w:t xml:space="preserve">Ancla comparada: ANC-0 (ver F4.4.2).</w:t>
      </w:r>
    </w:p>
    <w:p>
      <w:pPr>
        <w:pStyle w:val="Compact"/>
        <w:numPr>
          <w:ilvl w:val="1"/>
          <w:numId w:val="1121"/>
        </w:numPr>
      </w:pPr>
      <w:r>
        <w:t xml:space="preserve">Explicación rival: Ninguna alternativa plausible dentro de la frontera.</w:t>
      </w:r>
    </w:p>
    <w:p>
      <w:pPr>
        <w:pStyle w:val="Compact"/>
        <w:numPr>
          <w:ilvl w:val="1"/>
          <w:numId w:val="1121"/>
        </w:numPr>
      </w:pPr>
      <w:r>
        <w:t xml:space="preserve">Mediadores del modelo: ninguno</w:t>
      </w:r>
    </w:p>
    <w:p>
      <w:pPr>
        <w:pStyle w:val="Compact"/>
        <w:numPr>
          <w:ilvl w:val="1"/>
          <w:numId w:val="1121"/>
        </w:numPr>
      </w:pPr>
      <w:r>
        <w:t xml:space="preserve">Motivo de la confianza: Ausencia de mecanismo por razonamiento físico. Sin medición ni fuente específica.</w:t>
      </w:r>
    </w:p>
    <w:p>
      <w:pPr>
        <w:pStyle w:val="FirstParagraph"/>
      </w:pPr>
      <w:r>
        <w:t xml:space="preserve">**Ficha 035 · V02__V14 · clase INTER**</w:t>
      </w:r>
    </w:p>
    <w:p>
      <w:pPr>
        <w:pStyle w:val="Compact"/>
        <w:numPr>
          <w:ilvl w:val="0"/>
          <w:numId w:val="1122"/>
        </w:numPr>
      </w:pPr>
      <w:r>
        <w:rPr>
          <w:b/>
          <w:bCs/>
        </w:rPr>
        <w:t xml:space="preserve">V02→V14</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23"/>
        </w:numPr>
      </w:pPr>
      <w:r>
        <w:t xml:space="preserve">Mecanismo: La nube de polvo grueso visible alerta a las cuadrillas, que se resguardan o usan mascarilla sin esperar el sistema.</w:t>
      </w:r>
    </w:p>
    <w:p>
      <w:pPr>
        <w:pStyle w:val="Compact"/>
        <w:numPr>
          <w:ilvl w:val="1"/>
          <w:numId w:val="1123"/>
        </w:numPr>
      </w:pPr>
      <w:r>
        <w:t xml:space="preserve">Fundamento: Premisa visual de la iteración previa del documento (Paso 4, F4.4.4), INFERIDA. Sin fuente en el corpus. Aquí se rotula SUPUESTO.</w:t>
      </w:r>
    </w:p>
    <w:p>
      <w:pPr>
        <w:pStyle w:val="Compact"/>
        <w:numPr>
          <w:ilvl w:val="1"/>
          <w:numId w:val="1123"/>
        </w:numPr>
      </w:pPr>
      <w:r>
        <w:t xml:space="preserve">Premisas: P-V02-V14: la nube de polvo visible induce conductas de protección sin mediación del sistema de alerta (supuesto de escenario).</w:t>
      </w:r>
    </w:p>
    <w:p>
      <w:pPr>
        <w:pStyle w:val="Compact"/>
        <w:numPr>
          <w:ilvl w:val="1"/>
          <w:numId w:val="1123"/>
        </w:numPr>
      </w:pPr>
      <w:r>
        <w:t xml:space="preserve">Justificación del valor: Se asigna 1: la nube visible es más perceptible que la bruma fina, pero no equivale a una alerta protocolizada. Se descarta 2 por esa razón.</w:t>
      </w:r>
    </w:p>
    <w:p>
      <w:pPr>
        <w:pStyle w:val="Compact"/>
        <w:numPr>
          <w:ilvl w:val="1"/>
          <w:numId w:val="1123"/>
        </w:numPr>
      </w:pPr>
      <w:r>
        <w:t xml:space="preserve">Ancla comparada: Igual en nivel a ANC-1. Menor que ANC-2.</w:t>
      </w:r>
    </w:p>
    <w:p>
      <w:pPr>
        <w:pStyle w:val="Compact"/>
        <w:numPr>
          <w:ilvl w:val="1"/>
          <w:numId w:val="1123"/>
        </w:numPr>
      </w:pPr>
      <w:r>
        <w:t xml:space="preserve">Explicación rival: Si V14 solo cuenta personas protegidas por alerta del sistema, el valor sería 0.</w:t>
      </w:r>
    </w:p>
    <w:p>
      <w:pPr>
        <w:pStyle w:val="Compact"/>
        <w:numPr>
          <w:ilvl w:val="1"/>
          <w:numId w:val="1123"/>
        </w:numPr>
      </w:pPr>
      <w:r>
        <w:t xml:space="preserve">Mediadores del modelo: ninguno</w:t>
      </w:r>
    </w:p>
    <w:p>
      <w:pPr>
        <w:pStyle w:val="Compact"/>
        <w:numPr>
          <w:ilvl w:val="1"/>
          <w:numId w:val="1123"/>
        </w:numPr>
      </w:pPr>
      <w:r>
        <w:t xml:space="preserve">Motivo de la confianza: Premisa visual sin fuente. Definición de V14 ambigua.</w:t>
      </w:r>
    </w:p>
    <w:p>
      <w:pPr>
        <w:pStyle w:val="Compact"/>
        <w:numPr>
          <w:ilvl w:val="0"/>
          <w:numId w:val="1122"/>
        </w:numPr>
      </w:pPr>
      <w:r>
        <w:rPr>
          <w:b/>
          <w:bCs/>
        </w:rPr>
        <w:t xml:space="preserve">V14→V02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24"/>
        </w:numPr>
      </w:pPr>
      <w:r>
        <w:t xml:space="preserve">Razón del cero: El número de personas protegidas no modifica la masa de PM10 del aire.</w:t>
      </w:r>
    </w:p>
    <w:p>
      <w:pPr>
        <w:pStyle w:val="Compact"/>
        <w:numPr>
          <w:ilvl w:val="1"/>
          <w:numId w:val="1124"/>
        </w:numPr>
      </w:pPr>
      <w:r>
        <w:t xml:space="preserve">Fundamento: Premisa P-0: no existe mecanismo físico, informático ni institucional que conecte V14 con V02 dentro de la frontera y el horizonte declarados.</w:t>
      </w:r>
    </w:p>
    <w:p>
      <w:pPr>
        <w:pStyle w:val="Compact"/>
        <w:numPr>
          <w:ilvl w:val="1"/>
          <w:numId w:val="1124"/>
        </w:numPr>
      </w:pPr>
      <w:r>
        <w:t xml:space="preserve">Justificación del valor: Se asigna 0 porque el número de personas protegidas no modifica la masa de PM10 del aire.</w:t>
      </w:r>
    </w:p>
    <w:p>
      <w:pPr>
        <w:pStyle w:val="Compact"/>
        <w:numPr>
          <w:ilvl w:val="1"/>
          <w:numId w:val="1124"/>
        </w:numPr>
      </w:pPr>
      <w:r>
        <w:t xml:space="preserve">Ancla comparada: ANC-0 (ver F4.4.2).</w:t>
      </w:r>
    </w:p>
    <w:p>
      <w:pPr>
        <w:pStyle w:val="Compact"/>
        <w:numPr>
          <w:ilvl w:val="1"/>
          <w:numId w:val="1124"/>
        </w:numPr>
      </w:pPr>
      <w:r>
        <w:t xml:space="preserve">Explicación rival: Ninguna alternativa plausible dentro de la frontera.</w:t>
      </w:r>
    </w:p>
    <w:p>
      <w:pPr>
        <w:pStyle w:val="Compact"/>
        <w:numPr>
          <w:ilvl w:val="1"/>
          <w:numId w:val="1124"/>
        </w:numPr>
      </w:pPr>
      <w:r>
        <w:t xml:space="preserve">Mediadores del modelo: ninguno</w:t>
      </w:r>
    </w:p>
    <w:p>
      <w:pPr>
        <w:pStyle w:val="Compact"/>
        <w:numPr>
          <w:ilvl w:val="1"/>
          <w:numId w:val="1124"/>
        </w:numPr>
      </w:pPr>
      <w:r>
        <w:t xml:space="preserve">Motivo de la confianza: Ausencia de mecanismo por razonamiento físico. Sin medición ni fuente específica.</w:t>
      </w:r>
    </w:p>
    <w:p>
      <w:pPr>
        <w:pStyle w:val="FirstParagraph"/>
      </w:pPr>
      <w:r>
        <w:t xml:space="preserve">**Ficha 036 · V06__V10 · clase INTRA**</w:t>
      </w:r>
    </w:p>
    <w:p>
      <w:pPr>
        <w:pStyle w:val="Compact"/>
        <w:numPr>
          <w:ilvl w:val="0"/>
          <w:numId w:val="1125"/>
        </w:numPr>
      </w:pPr>
      <w:r>
        <w:rPr>
          <w:b/>
          <w:bCs/>
        </w:rPr>
        <w:t xml:space="preserve">V06→V10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26"/>
        </w:numPr>
      </w:pPr>
      <w:r>
        <w:t xml:space="preserve">Razón del cero: El error de medición no cambia la cantidad de nodos por km² diseñada.</w:t>
      </w:r>
    </w:p>
    <w:p>
      <w:pPr>
        <w:pStyle w:val="Compact"/>
        <w:numPr>
          <w:ilvl w:val="1"/>
          <w:numId w:val="1126"/>
        </w:numPr>
      </w:pPr>
      <w:r>
        <w:t xml:space="preserve">Fundamento: Premisa P-0: no existe mecanismo físico, informático ni institucional que conecte V06 con V10 dentro de la frontera y el horizonte declarados.</w:t>
      </w:r>
    </w:p>
    <w:p>
      <w:pPr>
        <w:pStyle w:val="Compact"/>
        <w:numPr>
          <w:ilvl w:val="1"/>
          <w:numId w:val="1126"/>
        </w:numPr>
      </w:pPr>
      <w:r>
        <w:t xml:space="preserve">Justificación del valor: Se asigna 0 porque el error de medición no cambia la cantidad de nodos por km² diseñada.</w:t>
      </w:r>
    </w:p>
    <w:p>
      <w:pPr>
        <w:pStyle w:val="Compact"/>
        <w:numPr>
          <w:ilvl w:val="1"/>
          <w:numId w:val="1126"/>
        </w:numPr>
      </w:pPr>
      <w:r>
        <w:t xml:space="preserve">Ancla comparada: ANC-0 (ver F4.4.2).</w:t>
      </w:r>
    </w:p>
    <w:p>
      <w:pPr>
        <w:pStyle w:val="Compact"/>
        <w:numPr>
          <w:ilvl w:val="1"/>
          <w:numId w:val="1126"/>
        </w:numPr>
      </w:pPr>
      <w:r>
        <w:t xml:space="preserve">Explicación rival: Ninguna alternativa plausible dentro de la frontera.</w:t>
      </w:r>
    </w:p>
    <w:p>
      <w:pPr>
        <w:pStyle w:val="Compact"/>
        <w:numPr>
          <w:ilvl w:val="1"/>
          <w:numId w:val="1126"/>
        </w:numPr>
      </w:pPr>
      <w:r>
        <w:t xml:space="preserve">Mediadores del modelo: ninguno</w:t>
      </w:r>
    </w:p>
    <w:p>
      <w:pPr>
        <w:pStyle w:val="Compact"/>
        <w:numPr>
          <w:ilvl w:val="1"/>
          <w:numId w:val="1126"/>
        </w:numPr>
      </w:pPr>
      <w:r>
        <w:t xml:space="preserve">Motivo de la confianza: Ausencia de mecanismo por razonamiento físico. Sin medición ni fuente específica.</w:t>
      </w:r>
    </w:p>
    <w:p>
      <w:pPr>
        <w:pStyle w:val="Compact"/>
        <w:numPr>
          <w:ilvl w:val="0"/>
          <w:numId w:val="1125"/>
        </w:numPr>
      </w:pPr>
      <w:r>
        <w:rPr>
          <w:b/>
          <w:bCs/>
        </w:rPr>
        <w:t xml:space="preserve">V10→V06</w:t>
      </w:r>
      <w:r>
        <w:t xml:space="preserve"> </w:t>
      </w:r>
      <w:r>
        <w:t xml:space="preserve">· valor</w:t>
      </w:r>
      <w:r>
        <w:t xml:space="preserve"> </w:t>
      </w:r>
      <w:r>
        <w:rPr>
          <w:b/>
          <w:bCs/>
        </w:rPr>
        <w:t xml:space="preserve">1</w:t>
      </w:r>
      <w:r>
        <w:t xml:space="preserve"> </w:t>
      </w:r>
      <w:r>
        <w:t xml:space="preserve">(admisibles: 0, 1, 2) · signo - · naturaleza INFERIDO · estado PROPUESTO · confianza BAJA</w:t>
      </w:r>
    </w:p>
    <w:p>
      <w:pPr>
        <w:pStyle w:val="Compact"/>
        <w:numPr>
          <w:ilvl w:val="1"/>
          <w:numId w:val="1127"/>
        </w:numPr>
      </w:pPr>
      <w:r>
        <w:t xml:space="preserve">Mecanismo: Una red densa permite validación cruzada entre vecinos y corrección de valores atípicos. Reduce el error del producto de red más que el del sensor individual.</w:t>
      </w:r>
    </w:p>
    <w:p>
      <w:pPr>
        <w:pStyle w:val="Compact"/>
        <w:numPr>
          <w:ilvl w:val="1"/>
          <w:numId w:val="1127"/>
        </w:numPr>
      </w:pPr>
      <w:r>
        <w:t xml:space="preserve">Fundamento: Ledger E3-P04, fila V10-&gt;V06 (PROPUESTO, magnitud 2, signo -). El diccionario define V06 como desfase metrológico del sensor láser, es decir, del sensor individual.</w:t>
      </w:r>
    </w:p>
    <w:p>
      <w:pPr>
        <w:pStyle w:val="Compact"/>
        <w:numPr>
          <w:ilvl w:val="1"/>
          <w:numId w:val="1127"/>
        </w:numPr>
      </w:pPr>
      <w:r>
        <w:t xml:space="preserve">Fuentes: F-E3, E3-P04 §12, fila V10-&gt;V06; Paso 4, F4.4.2, definición de V06 (alcance: Valor heredado y definición)</w:t>
      </w:r>
    </w:p>
    <w:p>
      <w:pPr>
        <w:pStyle w:val="Compact"/>
        <w:numPr>
          <w:ilvl w:val="1"/>
          <w:numId w:val="1127"/>
        </w:numPr>
      </w:pPr>
      <w:r>
        <w:t xml:space="preserve">Justificación del valor: Se asigna 1. Bajo la definición de V06 como error de cada sensor, la densidad no lo cambia. Actúa solo mediante correcciones de red. Se baja el valor heredado de 2.</w:t>
      </w:r>
    </w:p>
    <w:p>
      <w:pPr>
        <w:pStyle w:val="Compact"/>
        <w:numPr>
          <w:ilvl w:val="1"/>
          <w:numId w:val="1127"/>
        </w:numPr>
      </w:pPr>
      <w:r>
        <w:t xml:space="preserve">Ancla comparada: Igual a ANC-1.</w:t>
      </w:r>
    </w:p>
    <w:p>
      <w:pPr>
        <w:pStyle w:val="Compact"/>
        <w:numPr>
          <w:ilvl w:val="1"/>
          <w:numId w:val="1127"/>
        </w:numPr>
      </w:pPr>
      <w:r>
        <w:t xml:space="preserve">Explicación rival: Si V06 se redefine como error del producto de red, el valor sería 2.</w:t>
      </w:r>
    </w:p>
    <w:p>
      <w:pPr>
        <w:pStyle w:val="Compact"/>
        <w:numPr>
          <w:ilvl w:val="1"/>
          <w:numId w:val="1127"/>
        </w:numPr>
      </w:pPr>
      <w:r>
        <w:t xml:space="preserve">Mediadores del modelo: ninguno</w:t>
      </w:r>
    </w:p>
    <w:p>
      <w:pPr>
        <w:pStyle w:val="Compact"/>
        <w:numPr>
          <w:ilvl w:val="1"/>
          <w:numId w:val="1127"/>
        </w:numPr>
      </w:pPr>
      <w:r>
        <w:t xml:space="preserve">Motivo de la confianza: Depende de la definición de V06 (VACIO V-DIC-03).</w:t>
      </w:r>
    </w:p>
    <w:p>
      <w:pPr>
        <w:pStyle w:val="FirstParagraph"/>
      </w:pPr>
      <w:r>
        <w:t xml:space="preserve">**Ficha 037 · V09__V13 · clase INTER**</w:t>
      </w:r>
    </w:p>
    <w:p>
      <w:pPr>
        <w:pStyle w:val="Compact"/>
        <w:numPr>
          <w:ilvl w:val="0"/>
          <w:numId w:val="1128"/>
        </w:numPr>
      </w:pPr>
      <w:r>
        <w:rPr>
          <w:b/>
          <w:bCs/>
        </w:rPr>
        <w:t xml:space="preserve">V09→V13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29"/>
        </w:numPr>
      </w:pPr>
      <w:r>
        <w:t xml:space="preserve">Razón del cero: La pérdida de nodos afecta el aviso mediante la capacidad de detección temprana (V10).</w:t>
      </w:r>
    </w:p>
    <w:p>
      <w:pPr>
        <w:pStyle w:val="Compact"/>
        <w:numPr>
          <w:ilvl w:val="1"/>
          <w:numId w:val="1129"/>
        </w:numPr>
      </w:pPr>
      <w:r>
        <w:t xml:space="preserve">Fundamento: Premisa P-M: la influencia de V09 sobre V13 opera solo a través de V10. Se puntúa en los pares V09→V10 y V10→V13. No se duplica aquí.</w:t>
      </w:r>
    </w:p>
    <w:p>
      <w:pPr>
        <w:pStyle w:val="Compact"/>
        <w:numPr>
          <w:ilvl w:val="1"/>
          <w:numId w:val="1129"/>
        </w:numPr>
      </w:pPr>
      <w:r>
        <w:t xml:space="preserve">Justificación del valor: Se asigna 0 porque la pérdida de nodos afecta el aviso mediante la capacidad de detección temprana (V10).</w:t>
      </w:r>
    </w:p>
    <w:p>
      <w:pPr>
        <w:pStyle w:val="Compact"/>
        <w:numPr>
          <w:ilvl w:val="1"/>
          <w:numId w:val="1129"/>
        </w:numPr>
      </w:pPr>
      <w:r>
        <w:t xml:space="preserve">Ancla comparada: ANC-0 (ver F4.4.2).</w:t>
      </w:r>
    </w:p>
    <w:p>
      <w:pPr>
        <w:pStyle w:val="Compact"/>
        <w:numPr>
          <w:ilvl w:val="1"/>
          <w:numId w:val="1129"/>
        </w:numPr>
      </w:pPr>
      <w:r>
        <w:t xml:space="preserve">Explicación rival: Ninguna alternativa plausible dentro de la frontera.</w:t>
      </w:r>
    </w:p>
    <w:p>
      <w:pPr>
        <w:pStyle w:val="Compact"/>
        <w:numPr>
          <w:ilvl w:val="1"/>
          <w:numId w:val="1129"/>
        </w:numPr>
      </w:pPr>
      <w:r>
        <w:t xml:space="preserve">Mediadores del modelo: V10</w:t>
      </w:r>
    </w:p>
    <w:p>
      <w:pPr>
        <w:pStyle w:val="Compact"/>
        <w:numPr>
          <w:ilvl w:val="1"/>
          <w:numId w:val="1129"/>
        </w:numPr>
      </w:pPr>
      <w:r>
        <w:t xml:space="preserve">Motivo de la confianza: Ruta indirecta explícita en el modelo.</w:t>
      </w:r>
    </w:p>
    <w:p>
      <w:pPr>
        <w:pStyle w:val="Compact"/>
        <w:numPr>
          <w:ilvl w:val="0"/>
          <w:numId w:val="1128"/>
        </w:numPr>
      </w:pPr>
      <w:r>
        <w:rPr>
          <w:b/>
          <w:bCs/>
        </w:rPr>
        <w:t xml:space="preserve">V13→V09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0"/>
        </w:numPr>
      </w:pPr>
      <w:r>
        <w:t xml:space="preserve">Razón del cero: El tiempo de aviso no modifica la disponibilidad de nodos.</w:t>
      </w:r>
    </w:p>
    <w:p>
      <w:pPr>
        <w:pStyle w:val="Compact"/>
        <w:numPr>
          <w:ilvl w:val="1"/>
          <w:numId w:val="1130"/>
        </w:numPr>
      </w:pPr>
      <w:r>
        <w:t xml:space="preserve">Fundamento: Premisa P-0: no existe mecanismo físico, informático ni institucional que conecte V13 con V09 dentro de la frontera y el horizonte declarados.</w:t>
      </w:r>
    </w:p>
    <w:p>
      <w:pPr>
        <w:pStyle w:val="Compact"/>
        <w:numPr>
          <w:ilvl w:val="1"/>
          <w:numId w:val="1130"/>
        </w:numPr>
      </w:pPr>
      <w:r>
        <w:t xml:space="preserve">Justificación del valor: Se asigna 0 porque el tiempo de aviso no modifica la disponibilidad de nodos.</w:t>
      </w:r>
    </w:p>
    <w:p>
      <w:pPr>
        <w:pStyle w:val="Compact"/>
        <w:numPr>
          <w:ilvl w:val="1"/>
          <w:numId w:val="1130"/>
        </w:numPr>
      </w:pPr>
      <w:r>
        <w:t xml:space="preserve">Ancla comparada: ANC-0 (ver F4.4.2).</w:t>
      </w:r>
    </w:p>
    <w:p>
      <w:pPr>
        <w:pStyle w:val="Compact"/>
        <w:numPr>
          <w:ilvl w:val="1"/>
          <w:numId w:val="1130"/>
        </w:numPr>
      </w:pPr>
      <w:r>
        <w:t xml:space="preserve">Explicación rival: Ninguna alternativa plausible dentro de la frontera.</w:t>
      </w:r>
    </w:p>
    <w:p>
      <w:pPr>
        <w:pStyle w:val="Compact"/>
        <w:numPr>
          <w:ilvl w:val="1"/>
          <w:numId w:val="1130"/>
        </w:numPr>
      </w:pPr>
      <w:r>
        <w:t xml:space="preserve">Mediadores del modelo: ninguno</w:t>
      </w:r>
    </w:p>
    <w:p>
      <w:pPr>
        <w:pStyle w:val="Compact"/>
        <w:numPr>
          <w:ilvl w:val="1"/>
          <w:numId w:val="1130"/>
        </w:numPr>
      </w:pPr>
      <w:r>
        <w:t xml:space="preserve">Motivo de la confianza: Ausencia de mecanismo por razonamiento físico. Sin medición ni fuente específica.</w:t>
      </w:r>
    </w:p>
    <w:p>
      <w:pPr>
        <w:pStyle w:val="FirstParagraph"/>
      </w:pPr>
      <w:r>
        <w:t xml:space="preserve">**Ficha 038 · V01__V05 · clase INTRA**</w:t>
      </w:r>
    </w:p>
    <w:p>
      <w:pPr>
        <w:pStyle w:val="Compact"/>
        <w:numPr>
          <w:ilvl w:val="0"/>
          <w:numId w:val="1131"/>
        </w:numPr>
      </w:pPr>
      <w:r>
        <w:rPr>
          <w:b/>
          <w:bCs/>
        </w:rPr>
        <w:t xml:space="preserve">V01→V05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32"/>
        </w:numPr>
      </w:pPr>
      <w:r>
        <w:t xml:space="preserve">Razón del cero: La concentración de PM2,5 no cambia por sí sola las toneladas removidas por día. Una suspensión de obras depende de una decisión institucional.</w:t>
      </w:r>
    </w:p>
    <w:p>
      <w:pPr>
        <w:pStyle w:val="Compact"/>
        <w:numPr>
          <w:ilvl w:val="1"/>
          <w:numId w:val="1132"/>
        </w:numPr>
      </w:pPr>
      <w:r>
        <w:t xml:space="preserve">Fundamento: Premisa P-M: la influencia de V01 sobre V05 opera solo a través de V11, V15. Se puntúa en los pares V01→V11 y V11→V05, V01→V15 y V15→V05. No se duplica aquí.</w:t>
      </w:r>
    </w:p>
    <w:p>
      <w:pPr>
        <w:pStyle w:val="Compact"/>
        <w:numPr>
          <w:ilvl w:val="1"/>
          <w:numId w:val="1132"/>
        </w:numPr>
      </w:pPr>
      <w:r>
        <w:t xml:space="preserve">Justificación del valor: Se asigna 0 porque la concentración de PM2,5 no cambia por sí sola las toneladas removidas por día. Una suspensión de obras depende de una decisión institucional.</w:t>
      </w:r>
    </w:p>
    <w:p>
      <w:pPr>
        <w:pStyle w:val="Compact"/>
        <w:numPr>
          <w:ilvl w:val="1"/>
          <w:numId w:val="1132"/>
        </w:numPr>
      </w:pPr>
      <w:r>
        <w:t xml:space="preserve">Ancla comparada: ANC-0 (ver F4.4.2).</w:t>
      </w:r>
    </w:p>
    <w:p>
      <w:pPr>
        <w:pStyle w:val="Compact"/>
        <w:numPr>
          <w:ilvl w:val="1"/>
          <w:numId w:val="1132"/>
        </w:numPr>
      </w:pPr>
      <w:r>
        <w:t xml:space="preserve">Explicación rival: Una orden de cese basada en el índice reduciría V05. Esa ruta se puntúa en V15-&gt;V05.</w:t>
      </w:r>
    </w:p>
    <w:p>
      <w:pPr>
        <w:pStyle w:val="Compact"/>
        <w:numPr>
          <w:ilvl w:val="1"/>
          <w:numId w:val="1132"/>
        </w:numPr>
      </w:pPr>
      <w:r>
        <w:t xml:space="preserve">Mediadores del modelo: V11, V15</w:t>
      </w:r>
    </w:p>
    <w:p>
      <w:pPr>
        <w:pStyle w:val="Compact"/>
        <w:numPr>
          <w:ilvl w:val="1"/>
          <w:numId w:val="1132"/>
        </w:numPr>
      </w:pPr>
      <w:r>
        <w:t xml:space="preserve">Motivo de la confianza: Ruta indirecta explícita en el modelo.</w:t>
      </w:r>
    </w:p>
    <w:p>
      <w:pPr>
        <w:pStyle w:val="Compact"/>
        <w:numPr>
          <w:ilvl w:val="0"/>
          <w:numId w:val="1131"/>
        </w:numPr>
      </w:pPr>
      <w:r>
        <w:rPr>
          <w:b/>
          <w:bCs/>
        </w:rPr>
        <w:t xml:space="preserve">V05→V01</w:t>
      </w:r>
      <w:r>
        <w:t xml:space="preserve"> </w:t>
      </w:r>
      <w:r>
        <w:t xml:space="preserve">· valor</w:t>
      </w:r>
      <w:r>
        <w:t xml:space="preserve"> </w:t>
      </w:r>
      <w:r>
        <w:rPr>
          <w:b/>
          <w:bCs/>
        </w:rPr>
        <w:t xml:space="preserve">2</w:t>
      </w:r>
      <w:r>
        <w:t xml:space="preserve"> </w:t>
      </w:r>
      <w:r>
        <w:t xml:space="preserve">(admisibles: 2, 3) · signo + · naturaleza INFERIDO · estado PROPUESTO · confianza MEDIA</w:t>
      </w:r>
    </w:p>
    <w:p>
      <w:pPr>
        <w:pStyle w:val="Compact"/>
        <w:numPr>
          <w:ilvl w:val="1"/>
          <w:numId w:val="1133"/>
        </w:numPr>
      </w:pPr>
      <w:r>
        <w:t xml:space="preserve">Mecanismo: La demolición, trituración y carga de escombros emiten partículas finas, y la maquinaria diésel suma PM2,5 de combustión.</w:t>
      </w:r>
    </w:p>
    <w:p>
      <w:pPr>
        <w:pStyle w:val="Compact"/>
        <w:numPr>
          <w:ilvl w:val="1"/>
          <w:numId w:val="1133"/>
        </w:numPr>
      </w:pPr>
      <w:r>
        <w:t xml:space="preserve">Fundamento: E3-P04 asigna 3 (INFERIDO). La revisión baja a 2: la masa de la emisión por demolición es principalmente gruesa y la fracción fina es menor; F-INF cita decisión sobre flota diésel (D-08 del informe) sin cuantificar.</w:t>
      </w:r>
    </w:p>
    <w:p>
      <w:pPr>
        <w:pStyle w:val="Compact"/>
        <w:numPr>
          <w:ilvl w:val="1"/>
          <w:numId w:val="1133"/>
        </w:numPr>
      </w:pPr>
      <w:r>
        <w:t xml:space="preserve">Fuentes: F-E3, E3-P04 §12, fila V05-&gt;V01 (INFERIDO, magnitud 3) (alcance: Valor heredado; la revisión lo modifica); F-INF, §1.4 y §8.4 (flota diésel con emisiones como decisión del informe) (alcance: Respalda la relevancia de las emisiones de la maquinaria; no cuantifica)</w:t>
      </w:r>
    </w:p>
    <w:p>
      <w:pPr>
        <w:pStyle w:val="Compact"/>
        <w:numPr>
          <w:ilvl w:val="1"/>
          <w:numId w:val="1133"/>
        </w:numPr>
      </w:pPr>
      <w:r>
        <w:t xml:space="preserve">Premisas: P-V05-V01: la demolición y la combustión diésel generan PM2,5 en proporción al trabajo mecánico (inventarios de emisión, conocimiento general).</w:t>
      </w:r>
    </w:p>
    <w:p>
      <w:pPr>
        <w:pStyle w:val="Compact"/>
        <w:numPr>
          <w:ilvl w:val="1"/>
          <w:numId w:val="1133"/>
        </w:numPr>
      </w:pPr>
      <w:r>
        <w:t xml:space="preserve">Justificación del valor: Se asigna 2 y no 3: la emisión es directa, pero la fracción fina es menor que la gruesa (V05-&gt;V02).</w:t>
      </w:r>
    </w:p>
    <w:p>
      <w:pPr>
        <w:pStyle w:val="Compact"/>
        <w:numPr>
          <w:ilvl w:val="1"/>
          <w:numId w:val="1133"/>
        </w:numPr>
      </w:pPr>
      <w:r>
        <w:t xml:space="preserve">Ancla comparada: Menor que ANC-3 (V05-&gt;V02). Mayor que ANC-1.</w:t>
      </w:r>
    </w:p>
    <w:p>
      <w:pPr>
        <w:pStyle w:val="Compact"/>
        <w:numPr>
          <w:ilvl w:val="1"/>
          <w:numId w:val="1133"/>
        </w:numPr>
      </w:pPr>
      <w:r>
        <w:t xml:space="preserve">Explicación rival: Con maquinaria eléctrica o con rociado de agua el valor sería menor. Con trituración de concreto sin control podría ser 3.</w:t>
      </w:r>
    </w:p>
    <w:p>
      <w:pPr>
        <w:pStyle w:val="Compact"/>
        <w:numPr>
          <w:ilvl w:val="1"/>
          <w:numId w:val="1133"/>
        </w:numPr>
      </w:pPr>
      <w:r>
        <w:t xml:space="preserve">Mediadores del modelo: ninguno</w:t>
      </w:r>
    </w:p>
    <w:p>
      <w:pPr>
        <w:pStyle w:val="Compact"/>
        <w:numPr>
          <w:ilvl w:val="1"/>
          <w:numId w:val="1133"/>
        </w:numPr>
      </w:pPr>
      <w:r>
        <w:t xml:space="preserve">Motivo de la confianza: Mecanismo físico sólido. Cociente fino/grueso del escombro local desconocido (VACIO).</w:t>
      </w:r>
    </w:p>
    <w:p>
      <w:pPr>
        <w:pStyle w:val="FirstParagraph"/>
      </w:pPr>
      <w:r>
        <w:t xml:space="preserve">**Ficha 039 · V03__V15 · clase INTER**</w:t>
      </w:r>
    </w:p>
    <w:p>
      <w:pPr>
        <w:pStyle w:val="Compact"/>
        <w:numPr>
          <w:ilvl w:val="0"/>
          <w:numId w:val="1134"/>
        </w:numPr>
      </w:pPr>
      <w:r>
        <w:rPr>
          <w:b/>
          <w:bCs/>
        </w:rPr>
        <w:t xml:space="preserve">V03→V15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5"/>
        </w:numPr>
      </w:pPr>
      <w:r>
        <w:t xml:space="preserve">Razón del cero: La humedad no determina el uso institucional del tablero.</w:t>
      </w:r>
    </w:p>
    <w:p>
      <w:pPr>
        <w:pStyle w:val="Compact"/>
        <w:numPr>
          <w:ilvl w:val="1"/>
          <w:numId w:val="1135"/>
        </w:numPr>
      </w:pPr>
      <w:r>
        <w:t xml:space="preserve">Fundamento: Premisa P-0: no existe mecanismo físico, informático ni institucional que conecte V03 con V15 dentro de la frontera y el horizonte declarados.</w:t>
      </w:r>
    </w:p>
    <w:p>
      <w:pPr>
        <w:pStyle w:val="Compact"/>
        <w:numPr>
          <w:ilvl w:val="1"/>
          <w:numId w:val="1135"/>
        </w:numPr>
      </w:pPr>
      <w:r>
        <w:t xml:space="preserve">Justificación del valor: Se asigna 0 porque la humedad no determina el uso institucional del tablero.</w:t>
      </w:r>
    </w:p>
    <w:p>
      <w:pPr>
        <w:pStyle w:val="Compact"/>
        <w:numPr>
          <w:ilvl w:val="1"/>
          <w:numId w:val="1135"/>
        </w:numPr>
      </w:pPr>
      <w:r>
        <w:t xml:space="preserve">Ancla comparada: ANC-0 (ver F4.4.2).</w:t>
      </w:r>
    </w:p>
    <w:p>
      <w:pPr>
        <w:pStyle w:val="Compact"/>
        <w:numPr>
          <w:ilvl w:val="1"/>
          <w:numId w:val="1135"/>
        </w:numPr>
      </w:pPr>
      <w:r>
        <w:t xml:space="preserve">Explicación rival: Ninguna alternativa plausible dentro de la frontera.</w:t>
      </w:r>
    </w:p>
    <w:p>
      <w:pPr>
        <w:pStyle w:val="Compact"/>
        <w:numPr>
          <w:ilvl w:val="1"/>
          <w:numId w:val="1135"/>
        </w:numPr>
      </w:pPr>
      <w:r>
        <w:t xml:space="preserve">Mediadores del modelo: ninguno</w:t>
      </w:r>
    </w:p>
    <w:p>
      <w:pPr>
        <w:pStyle w:val="Compact"/>
        <w:numPr>
          <w:ilvl w:val="1"/>
          <w:numId w:val="1135"/>
        </w:numPr>
      </w:pPr>
      <w:r>
        <w:t xml:space="preserve">Motivo de la confianza: Ausencia de mecanismo por razonamiento físico. Sin medición ni fuente específica.</w:t>
      </w:r>
    </w:p>
    <w:p>
      <w:pPr>
        <w:pStyle w:val="Compact"/>
        <w:numPr>
          <w:ilvl w:val="0"/>
          <w:numId w:val="1134"/>
        </w:numPr>
      </w:pPr>
      <w:r>
        <w:rPr>
          <w:b/>
          <w:bCs/>
        </w:rPr>
        <w:t xml:space="preserve">V15→V03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6"/>
        </w:numPr>
      </w:pPr>
      <w:r>
        <w:t xml:space="preserve">Razón del cero: El uso institucional del tablero no modifica la humedad relativa.</w:t>
      </w:r>
    </w:p>
    <w:p>
      <w:pPr>
        <w:pStyle w:val="Compact"/>
        <w:numPr>
          <w:ilvl w:val="1"/>
          <w:numId w:val="1136"/>
        </w:numPr>
      </w:pPr>
      <w:r>
        <w:t xml:space="preserve">Fundamento: Premisa P-0: no existe mecanismo físico, informático ni institucional que conecte V15 con V03 dentro de la frontera y el horizonte declarados.</w:t>
      </w:r>
    </w:p>
    <w:p>
      <w:pPr>
        <w:pStyle w:val="Compact"/>
        <w:numPr>
          <w:ilvl w:val="1"/>
          <w:numId w:val="1136"/>
        </w:numPr>
      </w:pPr>
      <w:r>
        <w:t xml:space="preserve">Justificación del valor: Se asigna 0 porque el uso institucional del tablero no modifica la humedad relativa.</w:t>
      </w:r>
    </w:p>
    <w:p>
      <w:pPr>
        <w:pStyle w:val="Compact"/>
        <w:numPr>
          <w:ilvl w:val="1"/>
          <w:numId w:val="1136"/>
        </w:numPr>
      </w:pPr>
      <w:r>
        <w:t xml:space="preserve">Ancla comparada: ANC-0 (ver F4.4.2).</w:t>
      </w:r>
    </w:p>
    <w:p>
      <w:pPr>
        <w:pStyle w:val="Compact"/>
        <w:numPr>
          <w:ilvl w:val="1"/>
          <w:numId w:val="1136"/>
        </w:numPr>
      </w:pPr>
      <w:r>
        <w:t xml:space="preserve">Explicación rival: Las órdenes de rociado afectan las emisiones por V05, no la humedad ambiental.</w:t>
      </w:r>
    </w:p>
    <w:p>
      <w:pPr>
        <w:pStyle w:val="Compact"/>
        <w:numPr>
          <w:ilvl w:val="1"/>
          <w:numId w:val="1136"/>
        </w:numPr>
      </w:pPr>
      <w:r>
        <w:t xml:space="preserve">Mediadores del modelo: ninguno</w:t>
      </w:r>
    </w:p>
    <w:p>
      <w:pPr>
        <w:pStyle w:val="Compact"/>
        <w:numPr>
          <w:ilvl w:val="1"/>
          <w:numId w:val="1136"/>
        </w:numPr>
      </w:pPr>
      <w:r>
        <w:t xml:space="preserve">Motivo de la confianza: Ausencia de mecanismo por razonamiento físico. Sin medición ni fuente específica.</w:t>
      </w:r>
    </w:p>
    <w:p>
      <w:pPr>
        <w:pStyle w:val="FirstParagraph"/>
      </w:pPr>
      <w:r>
        <w:t xml:space="preserve">**Ficha 040 · V08__V10 · clase INTRA**</w:t>
      </w:r>
    </w:p>
    <w:p>
      <w:pPr>
        <w:pStyle w:val="Compact"/>
        <w:numPr>
          <w:ilvl w:val="0"/>
          <w:numId w:val="1137"/>
        </w:numPr>
      </w:pPr>
      <w:r>
        <w:rPr>
          <w:b/>
          <w:bCs/>
        </w:rPr>
        <w:t xml:space="preserve">V08→V10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8"/>
        </w:numPr>
      </w:pPr>
      <w:r>
        <w:t xml:space="preserve">Razón del cero: El retraso no cambia la cantidad de nodos por km² diseñada.</w:t>
      </w:r>
    </w:p>
    <w:p>
      <w:pPr>
        <w:pStyle w:val="Compact"/>
        <w:numPr>
          <w:ilvl w:val="1"/>
          <w:numId w:val="1138"/>
        </w:numPr>
      </w:pPr>
      <w:r>
        <w:t xml:space="preserve">Fundamento: Premisa P-0: no existe mecanismo físico, informático ni institucional que conecte V08 con V10 dentro de la frontera y el horizonte declarados.</w:t>
      </w:r>
    </w:p>
    <w:p>
      <w:pPr>
        <w:pStyle w:val="Compact"/>
        <w:numPr>
          <w:ilvl w:val="1"/>
          <w:numId w:val="1138"/>
        </w:numPr>
      </w:pPr>
      <w:r>
        <w:t xml:space="preserve">Justificación del valor: Se asigna 0 porque el retraso no cambia la cantidad de nodos por km² diseñada.</w:t>
      </w:r>
    </w:p>
    <w:p>
      <w:pPr>
        <w:pStyle w:val="Compact"/>
        <w:numPr>
          <w:ilvl w:val="1"/>
          <w:numId w:val="1138"/>
        </w:numPr>
      </w:pPr>
      <w:r>
        <w:t xml:space="preserve">Ancla comparada: ANC-0 (ver F4.4.2).</w:t>
      </w:r>
    </w:p>
    <w:p>
      <w:pPr>
        <w:pStyle w:val="Compact"/>
        <w:numPr>
          <w:ilvl w:val="1"/>
          <w:numId w:val="1138"/>
        </w:numPr>
      </w:pPr>
      <w:r>
        <w:t xml:space="preserve">Explicación rival: Ninguna alternativa plausible dentro de la frontera.</w:t>
      </w:r>
    </w:p>
    <w:p>
      <w:pPr>
        <w:pStyle w:val="Compact"/>
        <w:numPr>
          <w:ilvl w:val="1"/>
          <w:numId w:val="1138"/>
        </w:numPr>
      </w:pPr>
      <w:r>
        <w:t xml:space="preserve">Mediadores del modelo: ninguno</w:t>
      </w:r>
    </w:p>
    <w:p>
      <w:pPr>
        <w:pStyle w:val="Compact"/>
        <w:numPr>
          <w:ilvl w:val="1"/>
          <w:numId w:val="1138"/>
        </w:numPr>
      </w:pPr>
      <w:r>
        <w:t xml:space="preserve">Motivo de la confianza: Ausencia de mecanismo por razonamiento físico. Sin medición ni fuente específica.</w:t>
      </w:r>
    </w:p>
    <w:p>
      <w:pPr>
        <w:pStyle w:val="Compact"/>
        <w:numPr>
          <w:ilvl w:val="0"/>
          <w:numId w:val="1137"/>
        </w:numPr>
      </w:pPr>
      <w:r>
        <w:rPr>
          <w:b/>
          <w:bCs/>
        </w:rPr>
        <w:t xml:space="preserve">V10→V08</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39"/>
        </w:numPr>
      </w:pPr>
      <w:r>
        <w:t xml:space="preserve">Razón del cero: Con 100 nodos, la densidad no satura los enlaces ni cambia el retraso de forma apreciable.</w:t>
      </w:r>
    </w:p>
    <w:p>
      <w:pPr>
        <w:pStyle w:val="Compact"/>
        <w:numPr>
          <w:ilvl w:val="1"/>
          <w:numId w:val="1139"/>
        </w:numPr>
      </w:pPr>
      <w:r>
        <w:t xml:space="preserve">Fundamento: Premisa P-0: no existe mecanismo físico, informático ni institucional que conecte V10 con V08 dentro de la frontera y el horizonte declarados.</w:t>
      </w:r>
    </w:p>
    <w:p>
      <w:pPr>
        <w:pStyle w:val="Compact"/>
        <w:numPr>
          <w:ilvl w:val="1"/>
          <w:numId w:val="1139"/>
        </w:numPr>
      </w:pPr>
      <w:r>
        <w:t xml:space="preserve">Justificación del valor: Se asigna 0 porque con 100 nodos, la densidad no satura los enlaces ni cambia el retraso de forma apreciable.</w:t>
      </w:r>
    </w:p>
    <w:p>
      <w:pPr>
        <w:pStyle w:val="Compact"/>
        <w:numPr>
          <w:ilvl w:val="1"/>
          <w:numId w:val="1139"/>
        </w:numPr>
      </w:pPr>
      <w:r>
        <w:t xml:space="preserve">Ancla comparada: ANC-0 (ver F4.4.2).</w:t>
      </w:r>
    </w:p>
    <w:p>
      <w:pPr>
        <w:pStyle w:val="Compact"/>
        <w:numPr>
          <w:ilvl w:val="1"/>
          <w:numId w:val="1139"/>
        </w:numPr>
      </w:pPr>
      <w:r>
        <w:t xml:space="preserve">Explicación rival: Redes de más de mil nodos (S-Dot de Seúl, 1.138 sitios) podrían congestionar enlaces. No es el caso de 100 nodos.</w:t>
      </w:r>
    </w:p>
    <w:p>
      <w:pPr>
        <w:pStyle w:val="Compact"/>
        <w:numPr>
          <w:ilvl w:val="1"/>
          <w:numId w:val="1139"/>
        </w:numPr>
      </w:pPr>
      <w:r>
        <w:t xml:space="preserve">Mediadores del modelo: ninguno</w:t>
      </w:r>
    </w:p>
    <w:p>
      <w:pPr>
        <w:pStyle w:val="Compact"/>
        <w:numPr>
          <w:ilvl w:val="1"/>
          <w:numId w:val="1139"/>
        </w:numPr>
      </w:pPr>
      <w:r>
        <w:t xml:space="preserve">Motivo de la confianza: Ausencia de mecanismo por razonamiento físico. Sin medición ni fuente específica.</w:t>
      </w:r>
    </w:p>
    <w:p>
      <w:pPr>
        <w:pStyle w:val="FirstParagraph"/>
      </w:pPr>
      <w:r>
        <w:t xml:space="preserve">**Ficha 041 · V02__V10 · clase INTER**</w:t>
      </w:r>
    </w:p>
    <w:p>
      <w:pPr>
        <w:pStyle w:val="Compact"/>
        <w:numPr>
          <w:ilvl w:val="0"/>
          <w:numId w:val="1140"/>
        </w:numPr>
      </w:pPr>
      <w:r>
        <w:rPr>
          <w:b/>
          <w:bCs/>
        </w:rPr>
        <w:t xml:space="preserve">V02→V10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1"/>
        </w:numPr>
      </w:pPr>
      <w:r>
        <w:t xml:space="preserve">Razón del cero: La concentración no cambia la cantidad de nodos por km² del gemelo.</w:t>
      </w:r>
    </w:p>
    <w:p>
      <w:pPr>
        <w:pStyle w:val="Compact"/>
        <w:numPr>
          <w:ilvl w:val="1"/>
          <w:numId w:val="1141"/>
        </w:numPr>
      </w:pPr>
      <w:r>
        <w:t xml:space="preserve">Fundamento: Premisa P-0: no existe mecanismo físico, informático ni institucional que conecte V02 con V10 dentro de la frontera y el horizonte declarados.</w:t>
      </w:r>
    </w:p>
    <w:p>
      <w:pPr>
        <w:pStyle w:val="Compact"/>
        <w:numPr>
          <w:ilvl w:val="1"/>
          <w:numId w:val="1141"/>
        </w:numPr>
      </w:pPr>
      <w:r>
        <w:t xml:space="preserve">Justificación del valor: Se asigna 0 porque la concentración no cambia la cantidad de nodos por km² del gemelo.</w:t>
      </w:r>
    </w:p>
    <w:p>
      <w:pPr>
        <w:pStyle w:val="Compact"/>
        <w:numPr>
          <w:ilvl w:val="1"/>
          <w:numId w:val="1141"/>
        </w:numPr>
      </w:pPr>
      <w:r>
        <w:t xml:space="preserve">Ancla comparada: ANC-0 (ver F4.4.2).</w:t>
      </w:r>
    </w:p>
    <w:p>
      <w:pPr>
        <w:pStyle w:val="Compact"/>
        <w:numPr>
          <w:ilvl w:val="1"/>
          <w:numId w:val="1141"/>
        </w:numPr>
      </w:pPr>
      <w:r>
        <w:t xml:space="preserve">Explicación rival: Ninguna alternativa plausible dentro de la frontera.</w:t>
      </w:r>
    </w:p>
    <w:p>
      <w:pPr>
        <w:pStyle w:val="Compact"/>
        <w:numPr>
          <w:ilvl w:val="1"/>
          <w:numId w:val="1141"/>
        </w:numPr>
      </w:pPr>
      <w:r>
        <w:t xml:space="preserve">Mediadores del modelo: ninguno</w:t>
      </w:r>
    </w:p>
    <w:p>
      <w:pPr>
        <w:pStyle w:val="Compact"/>
        <w:numPr>
          <w:ilvl w:val="1"/>
          <w:numId w:val="1141"/>
        </w:numPr>
      </w:pPr>
      <w:r>
        <w:t xml:space="preserve">Motivo de la confianza: Ausencia de mecanismo por razonamiento físico. Sin medición ni fuente específica.</w:t>
      </w:r>
    </w:p>
    <w:p>
      <w:pPr>
        <w:pStyle w:val="Compact"/>
        <w:numPr>
          <w:ilvl w:val="0"/>
          <w:numId w:val="1140"/>
        </w:numPr>
      </w:pPr>
      <w:r>
        <w:rPr>
          <w:b/>
          <w:bCs/>
        </w:rPr>
        <w:t xml:space="preserve">V10→V02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2"/>
        </w:numPr>
      </w:pPr>
      <w:r>
        <w:t xml:space="preserve">Razón del cero: La densidad de nodos no modifica la masa de PM10 del aire.</w:t>
      </w:r>
    </w:p>
    <w:p>
      <w:pPr>
        <w:pStyle w:val="Compact"/>
        <w:numPr>
          <w:ilvl w:val="1"/>
          <w:numId w:val="1142"/>
        </w:numPr>
      </w:pPr>
      <w:r>
        <w:t xml:space="preserve">Fundamento: Premisa P-0: no existe mecanismo físico, informático ni institucional que conecte V10 con V02 dentro de la frontera y el horizonte declarados.</w:t>
      </w:r>
    </w:p>
    <w:p>
      <w:pPr>
        <w:pStyle w:val="Compact"/>
        <w:numPr>
          <w:ilvl w:val="1"/>
          <w:numId w:val="1142"/>
        </w:numPr>
      </w:pPr>
      <w:r>
        <w:t xml:space="preserve">Justificación del valor: Se asigna 0 porque la densidad de nodos no modifica la masa de PM10 del aire.</w:t>
      </w:r>
    </w:p>
    <w:p>
      <w:pPr>
        <w:pStyle w:val="Compact"/>
        <w:numPr>
          <w:ilvl w:val="1"/>
          <w:numId w:val="1142"/>
        </w:numPr>
      </w:pPr>
      <w:r>
        <w:t xml:space="preserve">Ancla comparada: ANC-0 (ver F4.4.2).</w:t>
      </w:r>
    </w:p>
    <w:p>
      <w:pPr>
        <w:pStyle w:val="Compact"/>
        <w:numPr>
          <w:ilvl w:val="1"/>
          <w:numId w:val="1142"/>
        </w:numPr>
      </w:pPr>
      <w:r>
        <w:t xml:space="preserve">Explicación rival: Ninguna alternativa plausible dentro de la frontera.</w:t>
      </w:r>
    </w:p>
    <w:p>
      <w:pPr>
        <w:pStyle w:val="Compact"/>
        <w:numPr>
          <w:ilvl w:val="1"/>
          <w:numId w:val="1142"/>
        </w:numPr>
      </w:pPr>
      <w:r>
        <w:t xml:space="preserve">Mediadores del modelo: ninguno</w:t>
      </w:r>
    </w:p>
    <w:p>
      <w:pPr>
        <w:pStyle w:val="Compact"/>
        <w:numPr>
          <w:ilvl w:val="1"/>
          <w:numId w:val="1142"/>
        </w:numPr>
      </w:pPr>
      <w:r>
        <w:t xml:space="preserve">Motivo de la confianza: Ausencia de mecanismo por razonamiento físico. Sin medición ni fuente específica.</w:t>
      </w:r>
    </w:p>
    <w:p>
      <w:pPr>
        <w:pStyle w:val="FirstParagraph"/>
      </w:pPr>
      <w:r>
        <w:t xml:space="preserve">**Ficha 042 · V01__V04 · clase INTRA**</w:t>
      </w:r>
    </w:p>
    <w:p>
      <w:pPr>
        <w:pStyle w:val="Compact"/>
        <w:numPr>
          <w:ilvl w:val="0"/>
          <w:numId w:val="1143"/>
        </w:numPr>
      </w:pPr>
      <w:r>
        <w:rPr>
          <w:b/>
          <w:bCs/>
        </w:rPr>
        <w:t xml:space="preserve">V01→V04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4"/>
        </w:numPr>
      </w:pPr>
      <w:r>
        <w:t xml:space="preserve">Razón del cero: La concentración de partículas no altera la velocidad del viento superficial.</w:t>
      </w:r>
    </w:p>
    <w:p>
      <w:pPr>
        <w:pStyle w:val="Compact"/>
        <w:numPr>
          <w:ilvl w:val="1"/>
          <w:numId w:val="1144"/>
        </w:numPr>
      </w:pPr>
      <w:r>
        <w:t xml:space="preserve">Fundamento: Premisa P-0: no existe mecanismo físico, informático ni institucional que conecte V01 con V04 dentro de la frontera y el horizonte declarados.</w:t>
      </w:r>
    </w:p>
    <w:p>
      <w:pPr>
        <w:pStyle w:val="Compact"/>
        <w:numPr>
          <w:ilvl w:val="1"/>
          <w:numId w:val="1144"/>
        </w:numPr>
      </w:pPr>
      <w:r>
        <w:t xml:space="preserve">Justificación del valor: Se asigna 0 porque la concentración de partículas no altera la velocidad del viento superficial.</w:t>
      </w:r>
    </w:p>
    <w:p>
      <w:pPr>
        <w:pStyle w:val="Compact"/>
        <w:numPr>
          <w:ilvl w:val="1"/>
          <w:numId w:val="1144"/>
        </w:numPr>
      </w:pPr>
      <w:r>
        <w:t xml:space="preserve">Ancla comparada: ANC-0 (ver F4.4.2).</w:t>
      </w:r>
    </w:p>
    <w:p>
      <w:pPr>
        <w:pStyle w:val="Compact"/>
        <w:numPr>
          <w:ilvl w:val="1"/>
          <w:numId w:val="1144"/>
        </w:numPr>
      </w:pPr>
      <w:r>
        <w:t xml:space="preserve">Explicación rival: El forzamiento radiativo de los aerosoles modifica la circulación solo a escalas regionales y a plazos mayores que H.</w:t>
      </w:r>
    </w:p>
    <w:p>
      <w:pPr>
        <w:pStyle w:val="Compact"/>
        <w:numPr>
          <w:ilvl w:val="1"/>
          <w:numId w:val="1144"/>
        </w:numPr>
      </w:pPr>
      <w:r>
        <w:t xml:space="preserve">Mediadores del modelo: ninguno</w:t>
      </w:r>
    </w:p>
    <w:p>
      <w:pPr>
        <w:pStyle w:val="Compact"/>
        <w:numPr>
          <w:ilvl w:val="1"/>
          <w:numId w:val="1144"/>
        </w:numPr>
      </w:pPr>
      <w:r>
        <w:t xml:space="preserve">Motivo de la confianza: Ausencia de mecanismo por razonamiento físico. Sin medición ni fuente específica.</w:t>
      </w:r>
    </w:p>
    <w:p>
      <w:pPr>
        <w:pStyle w:val="Compact"/>
        <w:numPr>
          <w:ilvl w:val="0"/>
          <w:numId w:val="1143"/>
        </w:numPr>
      </w:pPr>
      <w:r>
        <w:rPr>
          <w:b/>
          <w:bCs/>
        </w:rPr>
        <w:t xml:space="preserve">V04→V01</w:t>
      </w:r>
      <w:r>
        <w:t xml:space="preserve"> </w:t>
      </w:r>
      <w:r>
        <w:t xml:space="preserve">· valor</w:t>
      </w:r>
      <w:r>
        <w:t xml:space="preserve"> </w:t>
      </w:r>
      <w:r>
        <w:rPr>
          <w:b/>
          <w:bCs/>
        </w:rPr>
        <w:t xml:space="preserve">2</w:t>
      </w:r>
      <w:r>
        <w:t xml:space="preserve"> </w:t>
      </w:r>
      <w:r>
        <w:t xml:space="preserve">(admisibles: 1, 2, 3) · signo - · naturaleza DOCUMENTADO · estado PROPUESTO · confianza MEDIA</w:t>
      </w:r>
    </w:p>
    <w:p>
      <w:pPr>
        <w:pStyle w:val="Compact"/>
        <w:numPr>
          <w:ilvl w:val="1"/>
          <w:numId w:val="1145"/>
        </w:numPr>
      </w:pPr>
      <w:r>
        <w:t xml:space="preserve">Mecanismo: El viento advecta y dispersa las partículas. Reduce la concentración local de PM2,5 y modula los episodios regionales.</w:t>
      </w:r>
    </w:p>
    <w:p>
      <w:pPr>
        <w:pStyle w:val="Compact"/>
        <w:numPr>
          <w:ilvl w:val="1"/>
          <w:numId w:val="1145"/>
        </w:numPr>
      </w:pPr>
      <w:r>
        <w:t xml:space="preserve">Fundamento: F-INF §1.3 hallazgo 9: el episodio de 2022 del Valle de Aburrá se explicó por advección (Ayala-Parra et al., 2026, pp. 7-10). El hallazgo documenta transporte regional, no dispersión local de plumas de escombros.</w:t>
      </w:r>
    </w:p>
    <w:p>
      <w:pPr>
        <w:pStyle w:val="Compact"/>
        <w:numPr>
          <w:ilvl w:val="1"/>
          <w:numId w:val="1145"/>
        </w:numPr>
      </w:pPr>
      <w:r>
        <w:t xml:space="preserve">Fuentes: F-INF, §1.3 hallazgo 9 (Ayala-Parra et al., 2026, pp. 7-10): advección explica el episodio de 2022 (alcance: Cita secundaria; transporte regional)</w:t>
      </w:r>
    </w:p>
    <w:p>
      <w:pPr>
        <w:pStyle w:val="Compact"/>
        <w:numPr>
          <w:ilvl w:val="1"/>
          <w:numId w:val="1145"/>
        </w:numPr>
      </w:pPr>
      <w:r>
        <w:t xml:space="preserve">Premisas: P-V04-V01: la dilución por mezcla y arrastre reduce la concentración a sotavento (principio de dispersión atmosférica).</w:t>
      </w:r>
    </w:p>
    <w:p>
      <w:pPr>
        <w:pStyle w:val="Compact"/>
        <w:numPr>
          <w:ilvl w:val="1"/>
          <w:numId w:val="1145"/>
        </w:numPr>
      </w:pPr>
      <w:r>
        <w:t xml:space="preserve">Justificación del valor: Se asigna 2 y no 3: la dispersión depende de la estabilidad atmosférica y de la distancia a la fuente, que el modelo no incluye. El efecto es moderado y variable.</w:t>
      </w:r>
    </w:p>
    <w:p>
      <w:pPr>
        <w:pStyle w:val="Compact"/>
        <w:numPr>
          <w:ilvl w:val="1"/>
          <w:numId w:val="1145"/>
        </w:numPr>
      </w:pPr>
      <w:r>
        <w:t xml:space="preserve">Ancla comparada: Mayor que ANC-1. Menor que ANC-3 porque la relación no es mecánica.</w:t>
      </w:r>
    </w:p>
    <w:p>
      <w:pPr>
        <w:pStyle w:val="Compact"/>
        <w:numPr>
          <w:ilvl w:val="1"/>
          <w:numId w:val="1145"/>
        </w:numPr>
      </w:pPr>
      <w:r>
        <w:t xml:space="preserve">Explicación rival: A baja velocidad el viento no dispersa y acumula. El signo depende del régimen.</w:t>
      </w:r>
    </w:p>
    <w:p>
      <w:pPr>
        <w:pStyle w:val="Compact"/>
        <w:numPr>
          <w:ilvl w:val="1"/>
          <w:numId w:val="1145"/>
        </w:numPr>
      </w:pPr>
      <w:r>
        <w:t xml:space="preserve">Mediadores del modelo: ninguno</w:t>
      </w:r>
    </w:p>
    <w:p>
      <w:pPr>
        <w:pStyle w:val="Compact"/>
        <w:numPr>
          <w:ilvl w:val="1"/>
          <w:numId w:val="1145"/>
        </w:numPr>
      </w:pPr>
      <w:r>
        <w:t xml:space="preserve">Motivo de la confianza: Fuente secundaria sobre transporte. Falta evidencia local de dispersión de plumas de obra.</w:t>
      </w:r>
    </w:p>
    <w:p>
      <w:pPr>
        <w:pStyle w:val="FirstParagraph"/>
      </w:pPr>
      <w:r>
        <w:t xml:space="preserve">**Ficha 043 · V06__V12 · clase INTER**</w:t>
      </w:r>
    </w:p>
    <w:p>
      <w:pPr>
        <w:pStyle w:val="Compact"/>
        <w:numPr>
          <w:ilvl w:val="0"/>
          <w:numId w:val="1146"/>
        </w:numPr>
      </w:pPr>
      <w:r>
        <w:rPr>
          <w:b/>
          <w:bCs/>
        </w:rPr>
        <w:t xml:space="preserve">V06→V12</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47"/>
        </w:numPr>
      </w:pPr>
      <w:r>
        <w:t xml:space="preserve">Mecanismo: En el protocolo por eventos, los picos falsos por sesgo o ruido disparan la alerta local antes de agregar el índice.</w:t>
      </w:r>
    </w:p>
    <w:p>
      <w:pPr>
        <w:pStyle w:val="Compact"/>
        <w:numPr>
          <w:ilvl w:val="1"/>
          <w:numId w:val="1147"/>
        </w:numPr>
      </w:pPr>
      <w:r>
        <w:t xml:space="preserve">Fundamento: Ledger E3-P04 asigna 3 (INFERIDO). La revisión baja a 2 para no duplicar la ruta por V11. La alerta parte del índice (V11-&gt;V12) y, en el nodo, del umbral estadístico (ruta directa).</w:t>
      </w:r>
    </w:p>
    <w:p>
      <w:pPr>
        <w:pStyle w:val="Compact"/>
        <w:numPr>
          <w:ilvl w:val="1"/>
          <w:numId w:val="1147"/>
        </w:numPr>
      </w:pPr>
      <w:r>
        <w:t xml:space="preserve">Fuentes: F-E3, E3-P04 §12, fila V06-&gt;V12 (INFERIDO, magnitud 3) (alcance: Valor heredado; la revisión lo modifica); F-INF, §1.3 hallazgo 2: ninguno de los cinco documentos de alertas reporta falsas alarmas (alcance: Muestra ausencia de evidencia empírica sobre falsas alarmas en el corpus)</w:t>
      </w:r>
    </w:p>
    <w:p>
      <w:pPr>
        <w:pStyle w:val="Compact"/>
        <w:numPr>
          <w:ilvl w:val="1"/>
          <w:numId w:val="1147"/>
        </w:numPr>
      </w:pPr>
      <w:r>
        <w:t xml:space="preserve">Justificación del valor: Se asigna 2: solo la porción directa, el disparo por umbral en el nodo, se atribuye a V06-&gt;V12. La porción mediada por el índice se cuenta en V06-&gt;V11 y V11-&gt;V12.</w:t>
      </w:r>
    </w:p>
    <w:p>
      <w:pPr>
        <w:pStyle w:val="Compact"/>
        <w:numPr>
          <w:ilvl w:val="1"/>
          <w:numId w:val="1147"/>
        </w:numPr>
      </w:pPr>
      <w:r>
        <w:t xml:space="preserve">Ancla comparada: Igual a ANC-2.</w:t>
      </w:r>
    </w:p>
    <w:p>
      <w:pPr>
        <w:pStyle w:val="Compact"/>
        <w:numPr>
          <w:ilvl w:val="1"/>
          <w:numId w:val="1147"/>
        </w:numPr>
      </w:pPr>
      <w:r>
        <w:t xml:space="preserve">Explicación rival: Si todas las alertas parten del índice agregado, el valor directo sería 0 o 1.</w:t>
      </w:r>
    </w:p>
    <w:p>
      <w:pPr>
        <w:pStyle w:val="Compact"/>
        <w:numPr>
          <w:ilvl w:val="1"/>
          <w:numId w:val="1147"/>
        </w:numPr>
      </w:pPr>
      <w:r>
        <w:t xml:space="preserve">Mediadores del modelo: V11</w:t>
      </w:r>
    </w:p>
    <w:p>
      <w:pPr>
        <w:pStyle w:val="Compact"/>
        <w:numPr>
          <w:ilvl w:val="1"/>
          <w:numId w:val="1147"/>
        </w:numPr>
      </w:pPr>
      <w:r>
        <w:t xml:space="preserve">Motivo de la confianza: Depende de dónde se evalúa el umbral. Arquitectura de alertas no fijada.</w:t>
      </w:r>
    </w:p>
    <w:p>
      <w:pPr>
        <w:pStyle w:val="Compact"/>
        <w:numPr>
          <w:ilvl w:val="0"/>
          <w:numId w:val="1146"/>
        </w:numPr>
      </w:pPr>
      <w:r>
        <w:rPr>
          <w:b/>
          <w:bCs/>
        </w:rPr>
        <w:t xml:space="preserve">V12→V06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8"/>
        </w:numPr>
      </w:pPr>
      <w:r>
        <w:t xml:space="preserve">Razón del cero: Las falsas alarmas no modifican el error del sensor.</w:t>
      </w:r>
    </w:p>
    <w:p>
      <w:pPr>
        <w:pStyle w:val="Compact"/>
        <w:numPr>
          <w:ilvl w:val="1"/>
          <w:numId w:val="1148"/>
        </w:numPr>
      </w:pPr>
      <w:r>
        <w:t xml:space="preserve">Fundamento: Premisa P-0: no existe mecanismo físico, informático ni institucional que conecte V12 con V06 dentro de la frontera y el horizonte declarados.</w:t>
      </w:r>
    </w:p>
    <w:p>
      <w:pPr>
        <w:pStyle w:val="Compact"/>
        <w:numPr>
          <w:ilvl w:val="1"/>
          <w:numId w:val="1148"/>
        </w:numPr>
      </w:pPr>
      <w:r>
        <w:t xml:space="preserve">Justificación del valor: Se asigna 0 porque las falsas alarmas no modifican el error del sensor.</w:t>
      </w:r>
    </w:p>
    <w:p>
      <w:pPr>
        <w:pStyle w:val="Compact"/>
        <w:numPr>
          <w:ilvl w:val="1"/>
          <w:numId w:val="1148"/>
        </w:numPr>
      </w:pPr>
      <w:r>
        <w:t xml:space="preserve">Ancla comparada: ANC-0 (ver F4.4.2).</w:t>
      </w:r>
    </w:p>
    <w:p>
      <w:pPr>
        <w:pStyle w:val="Compact"/>
        <w:numPr>
          <w:ilvl w:val="1"/>
          <w:numId w:val="1148"/>
        </w:numPr>
      </w:pPr>
      <w:r>
        <w:t xml:space="preserve">Explicación rival: Ninguna alternativa plausible dentro de la frontera.</w:t>
      </w:r>
    </w:p>
    <w:p>
      <w:pPr>
        <w:pStyle w:val="Compact"/>
        <w:numPr>
          <w:ilvl w:val="1"/>
          <w:numId w:val="1148"/>
        </w:numPr>
      </w:pPr>
      <w:r>
        <w:t xml:space="preserve">Mediadores del modelo: ninguno</w:t>
      </w:r>
    </w:p>
    <w:p>
      <w:pPr>
        <w:pStyle w:val="Compact"/>
        <w:numPr>
          <w:ilvl w:val="1"/>
          <w:numId w:val="1148"/>
        </w:numPr>
      </w:pPr>
      <w:r>
        <w:t xml:space="preserve">Motivo de la confianza: Ausencia de mecanismo por razonamiento físico. Sin medición ni fuente específica.</w:t>
      </w:r>
    </w:p>
    <w:p>
      <w:pPr>
        <w:pStyle w:val="FirstParagraph"/>
      </w:pPr>
      <w:r>
        <w:t xml:space="preserve">**Ficha 044 · V12__V15 · clase INTRA**</w:t>
      </w:r>
    </w:p>
    <w:p>
      <w:pPr>
        <w:pStyle w:val="Compact"/>
        <w:numPr>
          <w:ilvl w:val="0"/>
          <w:numId w:val="1149"/>
        </w:numPr>
      </w:pPr>
      <w:r>
        <w:rPr>
          <w:b/>
          <w:bCs/>
        </w:rPr>
        <w:t xml:space="preserve">V12→V15</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50"/>
        </w:numPr>
      </w:pPr>
      <w:r>
        <w:t xml:space="preserve">Mecanismo: Las alertas inútiles generan fatiga de alarma y los municipios reducen o suspenden el uso del tablero.</w:t>
      </w:r>
    </w:p>
    <w:p>
      <w:pPr>
        <w:pStyle w:val="Compact"/>
        <w:numPr>
          <w:ilvl w:val="1"/>
          <w:numId w:val="1150"/>
        </w:numPr>
      </w:pPr>
      <w:r>
        <w:t xml:space="preserve">Fundamento: Ledger E3-P04, fila V12-&gt;V15 (INFERIDO, magnitud 3, signo -). La revisión baja a 2 porque el uso institucional también depende de un mandato formal (E3-P18, artefacto P22) que amortigua el abandono.</w:t>
      </w:r>
    </w:p>
    <w:p>
      <w:pPr>
        <w:pStyle w:val="Compact"/>
        <w:numPr>
          <w:ilvl w:val="1"/>
          <w:numId w:val="1150"/>
        </w:numPr>
      </w:pPr>
      <w:r>
        <w:t xml:space="preserve">Fuentes: F-E3, E3-P04 §12, fila V12-&gt;V15; E3-P18, artefacto P22 (resolución de adopción) (alcance: Valor heredado y mandato propuesto)</w:t>
      </w:r>
    </w:p>
    <w:p>
      <w:pPr>
        <w:pStyle w:val="Compact"/>
        <w:numPr>
          <w:ilvl w:val="1"/>
          <w:numId w:val="1150"/>
        </w:numPr>
      </w:pPr>
      <w:r>
        <w:t xml:space="preserve">Justificación del valor: Se asigna 2 y no 3: el efecto es fuerte pero el mandato administrativo y la contrapartida contractual retienen el uso. No se declara el máximo sin haberlo examinado.</w:t>
      </w:r>
    </w:p>
    <w:p>
      <w:pPr>
        <w:pStyle w:val="Compact"/>
        <w:numPr>
          <w:ilvl w:val="1"/>
          <w:numId w:val="1150"/>
        </w:numPr>
      </w:pPr>
      <w:r>
        <w:t xml:space="preserve">Ancla comparada: Igual a ANC-2. Menor que ANC-3.</w:t>
      </w:r>
    </w:p>
    <w:p>
      <w:pPr>
        <w:pStyle w:val="Compact"/>
        <w:numPr>
          <w:ilvl w:val="1"/>
          <w:numId w:val="1150"/>
        </w:numPr>
      </w:pPr>
      <w:r>
        <w:t xml:space="preserve">Explicación rival: Si un municipio suspende el uso tras dos episodios, el valor sería 3.</w:t>
      </w:r>
    </w:p>
    <w:p>
      <w:pPr>
        <w:pStyle w:val="Compact"/>
        <w:numPr>
          <w:ilvl w:val="1"/>
          <w:numId w:val="1150"/>
        </w:numPr>
      </w:pPr>
      <w:r>
        <w:t xml:space="preserve">Mediadores del modelo: ninguno</w:t>
      </w:r>
    </w:p>
    <w:p>
      <w:pPr>
        <w:pStyle w:val="Compact"/>
        <w:numPr>
          <w:ilvl w:val="1"/>
          <w:numId w:val="1150"/>
        </w:numPr>
      </w:pPr>
      <w:r>
        <w:t xml:space="preserve">Motivo de la confianza: Mecanismo conocido en alertas. Sin evidencia local. Amortiguación por mandato supuesta.</w:t>
      </w:r>
    </w:p>
    <w:p>
      <w:pPr>
        <w:pStyle w:val="Compact"/>
        <w:numPr>
          <w:ilvl w:val="0"/>
          <w:numId w:val="1149"/>
        </w:numPr>
      </w:pPr>
      <w:r>
        <w:rPr>
          <w:b/>
          <w:bCs/>
        </w:rPr>
        <w:t xml:space="preserve">V15→V12</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51"/>
        </w:numPr>
      </w:pPr>
      <w:r>
        <w:t xml:space="preserve">Razón del cero: La adopción institucional no cambia por sí sola la tasa de falsas alarmas.</w:t>
      </w:r>
    </w:p>
    <w:p>
      <w:pPr>
        <w:pStyle w:val="Compact"/>
        <w:numPr>
          <w:ilvl w:val="1"/>
          <w:numId w:val="1151"/>
        </w:numPr>
      </w:pPr>
      <w:r>
        <w:t xml:space="preserve">Fundamento: Premisa P-0: no existe mecanismo físico, informático ni institucional que conecte V15 con V12 dentro de la frontera y el horizonte declarados.</w:t>
      </w:r>
    </w:p>
    <w:p>
      <w:pPr>
        <w:pStyle w:val="Compact"/>
        <w:numPr>
          <w:ilvl w:val="1"/>
          <w:numId w:val="1151"/>
        </w:numPr>
      </w:pPr>
      <w:r>
        <w:t xml:space="preserve">Justificación del valor: Se asigna 0 porque la adopción institucional no cambia por sí sola la tasa de falsas alarmas.</w:t>
      </w:r>
    </w:p>
    <w:p>
      <w:pPr>
        <w:pStyle w:val="Compact"/>
        <w:numPr>
          <w:ilvl w:val="1"/>
          <w:numId w:val="1151"/>
        </w:numPr>
      </w:pPr>
      <w:r>
        <w:t xml:space="preserve">Ancla comparada: ANC-0 (ver F4.4.2).</w:t>
      </w:r>
    </w:p>
    <w:p>
      <w:pPr>
        <w:pStyle w:val="Compact"/>
        <w:numPr>
          <w:ilvl w:val="1"/>
          <w:numId w:val="1151"/>
        </w:numPr>
      </w:pPr>
      <w:r>
        <w:t xml:space="preserve">Explicación rival: El uso sostenido genera retroalimentación para ajustar umbrales. El diseño no lo establece.</w:t>
      </w:r>
    </w:p>
    <w:p>
      <w:pPr>
        <w:pStyle w:val="Compact"/>
        <w:numPr>
          <w:ilvl w:val="1"/>
          <w:numId w:val="1151"/>
        </w:numPr>
      </w:pPr>
      <w:r>
        <w:t xml:space="preserve">Mediadores del modelo: ninguno</w:t>
      </w:r>
    </w:p>
    <w:p>
      <w:pPr>
        <w:pStyle w:val="Compact"/>
        <w:numPr>
          <w:ilvl w:val="1"/>
          <w:numId w:val="1151"/>
        </w:numPr>
      </w:pPr>
      <w:r>
        <w:t xml:space="preserve">Motivo de la confianza: Ausencia de mecanismo por razonamiento físico. Sin medición ni fuente específica.</w:t>
      </w:r>
    </w:p>
    <w:p>
      <w:pPr>
        <w:pStyle w:val="FirstParagraph"/>
      </w:pPr>
      <w:r>
        <w:t xml:space="preserve">**Ficha 045 · V05__V12 · clase INTER**</w:t>
      </w:r>
    </w:p>
    <w:p>
      <w:pPr>
        <w:pStyle w:val="Compact"/>
        <w:numPr>
          <w:ilvl w:val="0"/>
          <w:numId w:val="1152"/>
        </w:numPr>
      </w:pPr>
      <w:r>
        <w:rPr>
          <w:b/>
          <w:bCs/>
        </w:rPr>
        <w:t xml:space="preserve">V05→V12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53"/>
        </w:numPr>
      </w:pPr>
      <w:r>
        <w:t xml:space="preserve">Razón del cero: El volumen de escombros no determina las falsas alarmas.</w:t>
      </w:r>
    </w:p>
    <w:p>
      <w:pPr>
        <w:pStyle w:val="Compact"/>
        <w:numPr>
          <w:ilvl w:val="1"/>
          <w:numId w:val="1153"/>
        </w:numPr>
      </w:pPr>
      <w:r>
        <w:t xml:space="preserve">Fundamento: Premisa P-0: no existe mecanismo físico, informático ni institucional que conecte V05 con V12 dentro de la frontera y el horizonte declarados.</w:t>
      </w:r>
    </w:p>
    <w:p>
      <w:pPr>
        <w:pStyle w:val="Compact"/>
        <w:numPr>
          <w:ilvl w:val="1"/>
          <w:numId w:val="1153"/>
        </w:numPr>
      </w:pPr>
      <w:r>
        <w:t xml:space="preserve">Justificación del valor: Se asigna 0 porque el volumen de escombros no determina las falsas alarmas.</w:t>
      </w:r>
    </w:p>
    <w:p>
      <w:pPr>
        <w:pStyle w:val="Compact"/>
        <w:numPr>
          <w:ilvl w:val="1"/>
          <w:numId w:val="1153"/>
        </w:numPr>
      </w:pPr>
      <w:r>
        <w:t xml:space="preserve">Ancla comparada: ANC-0 (ver F4.4.2).</w:t>
      </w:r>
    </w:p>
    <w:p>
      <w:pPr>
        <w:pStyle w:val="Compact"/>
        <w:numPr>
          <w:ilvl w:val="1"/>
          <w:numId w:val="1153"/>
        </w:numPr>
      </w:pPr>
      <w:r>
        <w:t xml:space="preserve">Explicación rival: Ninguna alternativa plausible dentro de la frontera.</w:t>
      </w:r>
    </w:p>
    <w:p>
      <w:pPr>
        <w:pStyle w:val="Compact"/>
        <w:numPr>
          <w:ilvl w:val="1"/>
          <w:numId w:val="1153"/>
        </w:numPr>
      </w:pPr>
      <w:r>
        <w:t xml:space="preserve">Mediadores del modelo: ninguno</w:t>
      </w:r>
    </w:p>
    <w:p>
      <w:pPr>
        <w:pStyle w:val="Compact"/>
        <w:numPr>
          <w:ilvl w:val="1"/>
          <w:numId w:val="1153"/>
        </w:numPr>
      </w:pPr>
      <w:r>
        <w:t xml:space="preserve">Motivo de la confianza: Ausencia de mecanismo por razonamiento físico. Sin medición ni fuente específica.</w:t>
      </w:r>
    </w:p>
    <w:p>
      <w:pPr>
        <w:pStyle w:val="Compact"/>
        <w:numPr>
          <w:ilvl w:val="0"/>
          <w:numId w:val="1152"/>
        </w:numPr>
      </w:pPr>
      <w:r>
        <w:rPr>
          <w:b/>
          <w:bCs/>
        </w:rPr>
        <w:t xml:space="preserve">V12→V05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54"/>
        </w:numPr>
      </w:pPr>
      <w:r>
        <w:t xml:space="preserve">Razón del cero: Las falsas alarmas no cambian por sí solas las toneladas removidas. Podrían inducir pausas innecesarias por decisión institucional (V15).</w:t>
      </w:r>
    </w:p>
    <w:p>
      <w:pPr>
        <w:pStyle w:val="Compact"/>
        <w:numPr>
          <w:ilvl w:val="1"/>
          <w:numId w:val="1154"/>
        </w:numPr>
      </w:pPr>
      <w:r>
        <w:t xml:space="preserve">Fundamento: Premisa P-M: la influencia de V12 sobre V05 opera solo a través de V15. Se puntúa en los pares V12→V15 y V15→V05. No se duplica aquí.</w:t>
      </w:r>
    </w:p>
    <w:p>
      <w:pPr>
        <w:pStyle w:val="Compact"/>
        <w:numPr>
          <w:ilvl w:val="1"/>
          <w:numId w:val="1154"/>
        </w:numPr>
      </w:pPr>
      <w:r>
        <w:t xml:space="preserve">Justificación del valor: Se asigna 0 porque las falsas alarmas no cambian por sí solas las toneladas removidas. Podrían inducir pausas innecesarias por decisión institucional (V15).</w:t>
      </w:r>
    </w:p>
    <w:p>
      <w:pPr>
        <w:pStyle w:val="Compact"/>
        <w:numPr>
          <w:ilvl w:val="1"/>
          <w:numId w:val="1154"/>
        </w:numPr>
      </w:pPr>
      <w:r>
        <w:t xml:space="preserve">Ancla comparada: ANC-0 (ver F4.4.2).</w:t>
      </w:r>
    </w:p>
    <w:p>
      <w:pPr>
        <w:pStyle w:val="Compact"/>
        <w:numPr>
          <w:ilvl w:val="1"/>
          <w:numId w:val="1154"/>
        </w:numPr>
      </w:pPr>
      <w:r>
        <w:t xml:space="preserve">Explicación rival: La pausa innecesaria se puntúa en V15-&gt;V05.</w:t>
      </w:r>
    </w:p>
    <w:p>
      <w:pPr>
        <w:pStyle w:val="Compact"/>
        <w:numPr>
          <w:ilvl w:val="1"/>
          <w:numId w:val="1154"/>
        </w:numPr>
      </w:pPr>
      <w:r>
        <w:t xml:space="preserve">Mediadores del modelo: V15</w:t>
      </w:r>
    </w:p>
    <w:p>
      <w:pPr>
        <w:pStyle w:val="Compact"/>
        <w:numPr>
          <w:ilvl w:val="1"/>
          <w:numId w:val="1154"/>
        </w:numPr>
      </w:pPr>
      <w:r>
        <w:t xml:space="preserve">Motivo de la confianza: Ruta indirecta explícita en el modelo.</w:t>
      </w:r>
    </w:p>
    <w:p>
      <w:pPr>
        <w:pStyle w:val="FirstParagraph"/>
      </w:pPr>
      <w:r>
        <w:t xml:space="preserve">**Ficha 046 · V02__V04 · clase INTRA**</w:t>
      </w:r>
    </w:p>
    <w:p>
      <w:pPr>
        <w:pStyle w:val="Compact"/>
        <w:numPr>
          <w:ilvl w:val="0"/>
          <w:numId w:val="1155"/>
        </w:numPr>
      </w:pPr>
      <w:r>
        <w:rPr>
          <w:b/>
          <w:bCs/>
        </w:rPr>
        <w:t xml:space="preserve">V02→V04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56"/>
        </w:numPr>
      </w:pPr>
      <w:r>
        <w:t xml:space="preserve">Razón del cero: La concentración de polvo no altera la velocidad del viento superficial.</w:t>
      </w:r>
    </w:p>
    <w:p>
      <w:pPr>
        <w:pStyle w:val="Compact"/>
        <w:numPr>
          <w:ilvl w:val="1"/>
          <w:numId w:val="1156"/>
        </w:numPr>
      </w:pPr>
      <w:r>
        <w:t xml:space="preserve">Fundamento: Premisa P-0: no existe mecanismo físico, informático ni institucional que conecte V02 con V04 dentro de la frontera y el horizonte declarados.</w:t>
      </w:r>
    </w:p>
    <w:p>
      <w:pPr>
        <w:pStyle w:val="Compact"/>
        <w:numPr>
          <w:ilvl w:val="1"/>
          <w:numId w:val="1156"/>
        </w:numPr>
      </w:pPr>
      <w:r>
        <w:t xml:space="preserve">Justificación del valor: Se asigna 0 porque la concentración de polvo no altera la velocidad del viento superficial.</w:t>
      </w:r>
    </w:p>
    <w:p>
      <w:pPr>
        <w:pStyle w:val="Compact"/>
        <w:numPr>
          <w:ilvl w:val="1"/>
          <w:numId w:val="1156"/>
        </w:numPr>
      </w:pPr>
      <w:r>
        <w:t xml:space="preserve">Ancla comparada: ANC-0 (ver F4.4.2).</w:t>
      </w:r>
    </w:p>
    <w:p>
      <w:pPr>
        <w:pStyle w:val="Compact"/>
        <w:numPr>
          <w:ilvl w:val="1"/>
          <w:numId w:val="1156"/>
        </w:numPr>
      </w:pPr>
      <w:r>
        <w:t xml:space="preserve">Explicación rival: Ninguna alternativa plausible a escala de sitio.</w:t>
      </w:r>
    </w:p>
    <w:p>
      <w:pPr>
        <w:pStyle w:val="Compact"/>
        <w:numPr>
          <w:ilvl w:val="1"/>
          <w:numId w:val="1156"/>
        </w:numPr>
      </w:pPr>
      <w:r>
        <w:t xml:space="preserve">Mediadores del modelo: ninguno</w:t>
      </w:r>
    </w:p>
    <w:p>
      <w:pPr>
        <w:pStyle w:val="Compact"/>
        <w:numPr>
          <w:ilvl w:val="1"/>
          <w:numId w:val="1156"/>
        </w:numPr>
      </w:pPr>
      <w:r>
        <w:t xml:space="preserve">Motivo de la confianza: Ausencia de mecanismo por razonamiento físico. Sin medición ni fuente específica.</w:t>
      </w:r>
    </w:p>
    <w:p>
      <w:pPr>
        <w:pStyle w:val="Compact"/>
        <w:numPr>
          <w:ilvl w:val="0"/>
          <w:numId w:val="1155"/>
        </w:numPr>
      </w:pPr>
      <w:r>
        <w:rPr>
          <w:b/>
          <w:bCs/>
        </w:rPr>
        <w:t xml:space="preserve">V04→V02</w:t>
      </w:r>
      <w:r>
        <w:t xml:space="preserve"> </w:t>
      </w:r>
      <w:r>
        <w:t xml:space="preserve">· valor</w:t>
      </w:r>
      <w:r>
        <w:t xml:space="preserve"> </w:t>
      </w:r>
      <w:r>
        <w:rPr>
          <w:b/>
          <w:bCs/>
        </w:rPr>
        <w:t xml:space="preserve">2</w:t>
      </w:r>
      <w:r>
        <w:t xml:space="preserve"> </w:t>
      </w:r>
      <w:r>
        <w:t xml:space="preserve">(admisibles: 1, 2, 3) · signo MIXTO · naturaleza INFERIDO · estado PROPUESTO · confianza BAJA</w:t>
      </w:r>
    </w:p>
    <w:p>
      <w:pPr>
        <w:pStyle w:val="Compact"/>
        <w:numPr>
          <w:ilvl w:val="1"/>
          <w:numId w:val="1157"/>
        </w:numPr>
      </w:pPr>
      <w:r>
        <w:t xml:space="preserve">Mecanismo: El viento dispersa el polvo, pero también lo resuspende desde superficies expuestas y suma emisión. El signo neto depende de la velocidad.</w:t>
      </w:r>
    </w:p>
    <w:p>
      <w:pPr>
        <w:pStyle w:val="Compact"/>
        <w:numPr>
          <w:ilvl w:val="1"/>
          <w:numId w:val="1157"/>
        </w:numPr>
      </w:pPr>
      <w:r>
        <w:t xml:space="preserve">Fundamento: E3-P04 asigna signo (-) por dispersión. La revisión añade la resuspensión eólica de polvo grueso.</w:t>
      </w:r>
    </w:p>
    <w:p>
      <w:pPr>
        <w:pStyle w:val="Compact"/>
        <w:numPr>
          <w:ilvl w:val="1"/>
          <w:numId w:val="1157"/>
        </w:numPr>
      </w:pPr>
      <w:r>
        <w:t xml:space="preserve">Fuentes: F-E3, E3-P04 §12, fila V04-&gt;V02 (INFERIDO, magnitud 2, signo -) (alcance: Valor heredado)</w:t>
      </w:r>
    </w:p>
    <w:p>
      <w:pPr>
        <w:pStyle w:val="Compact"/>
        <w:numPr>
          <w:ilvl w:val="1"/>
          <w:numId w:val="1157"/>
        </w:numPr>
      </w:pPr>
      <w:r>
        <w:t xml:space="preserve">Premisas: P-V04-V02: la velocidad del viento supera el umbral de arrastre del polvo seco y lo resuspende. A la vez lo diluye (aerodinámica de partículas).</w:t>
      </w:r>
    </w:p>
    <w:p>
      <w:pPr>
        <w:pStyle w:val="Compact"/>
        <w:numPr>
          <w:ilvl w:val="1"/>
          <w:numId w:val="1157"/>
        </w:numPr>
      </w:pPr>
      <w:r>
        <w:t xml:space="preserve">Justificación del valor: Se asigna 2: el viento actúa directamente sobre la emisión y la dilución del polvo grueso. No se asigna 3 por el signo variable.</w:t>
      </w:r>
    </w:p>
    <w:p>
      <w:pPr>
        <w:pStyle w:val="Compact"/>
        <w:numPr>
          <w:ilvl w:val="1"/>
          <w:numId w:val="1157"/>
        </w:numPr>
      </w:pPr>
      <w:r>
        <w:t xml:space="preserve">Ancla comparada: Mayor que ANC-1. Menor que ANC-3.</w:t>
      </w:r>
    </w:p>
    <w:p>
      <w:pPr>
        <w:pStyle w:val="Compact"/>
        <w:numPr>
          <w:ilvl w:val="1"/>
          <w:numId w:val="1157"/>
        </w:numPr>
      </w:pPr>
      <w:r>
        <w:t xml:space="preserve">Explicación rival: Con superficies húmedas o cubiertas la resuspensión es nula y el signo es (-).</w:t>
      </w:r>
    </w:p>
    <w:p>
      <w:pPr>
        <w:pStyle w:val="Compact"/>
        <w:numPr>
          <w:ilvl w:val="1"/>
          <w:numId w:val="1157"/>
        </w:numPr>
      </w:pPr>
      <w:r>
        <w:t xml:space="preserve">Mediadores del modelo: ninguno</w:t>
      </w:r>
    </w:p>
    <w:p>
      <w:pPr>
        <w:pStyle w:val="Compact"/>
        <w:numPr>
          <w:ilvl w:val="1"/>
          <w:numId w:val="1157"/>
        </w:numPr>
      </w:pPr>
      <w:r>
        <w:t xml:space="preserve">Motivo de la confianza: Dos mecanismos opuestos. Sin datos de campo.</w:t>
      </w:r>
    </w:p>
    <w:p>
      <w:pPr>
        <w:pStyle w:val="FirstParagraph"/>
      </w:pPr>
      <w:r>
        <w:t xml:space="preserve">**Ficha 047 · V06__V15 · clase INTER**</w:t>
      </w:r>
    </w:p>
    <w:p>
      <w:pPr>
        <w:pStyle w:val="Compact"/>
        <w:numPr>
          <w:ilvl w:val="0"/>
          <w:numId w:val="1158"/>
        </w:numPr>
      </w:pPr>
      <w:r>
        <w:rPr>
          <w:b/>
          <w:bCs/>
        </w:rPr>
        <w:t xml:space="preserve">V06→V15</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59"/>
        </w:numPr>
      </w:pPr>
      <w:r>
        <w:t xml:space="preserve">Mecanismo: Técnicos y usuarios detectan discrepancias con instrumentos de referencia y restan credibilidad a los datos aunque no haya falsas alarmas.</w:t>
      </w:r>
    </w:p>
    <w:p>
      <w:pPr>
        <w:pStyle w:val="Compact"/>
        <w:numPr>
          <w:ilvl w:val="1"/>
          <w:numId w:val="1159"/>
        </w:numPr>
      </w:pPr>
      <w:r>
        <w:t xml:space="preserve">Fundamento: Supuesto de escenario. La Tabla E3-5.3 del Paso 5 lista la confianza de la UNGRD en el AQHI como riesgo si persiste el sesgo.</w:t>
      </w:r>
    </w:p>
    <w:p>
      <w:pPr>
        <w:pStyle w:val="Compact"/>
        <w:numPr>
          <w:ilvl w:val="1"/>
          <w:numId w:val="1159"/>
        </w:numPr>
      </w:pPr>
      <w:r>
        <w:t xml:space="preserve">Fuentes: F-E3, Paso 5, Tabla E3-5.3, fila Tasa de adopción institucional (V15) (alcance: Plantea el riesgo; no mide el efecto)</w:t>
      </w:r>
    </w:p>
    <w:p>
      <w:pPr>
        <w:pStyle w:val="Compact"/>
        <w:numPr>
          <w:ilvl w:val="1"/>
          <w:numId w:val="1159"/>
        </w:numPr>
      </w:pPr>
      <w:r>
        <w:t xml:space="preserve">Premisas: P-V06-V15: la divergencia observable entre el sensor y la referencia reduce la confianza institucional en el dato (supuesto de escenario).</w:t>
      </w:r>
    </w:p>
    <w:p>
      <w:pPr>
        <w:pStyle w:val="Compact"/>
        <w:numPr>
          <w:ilvl w:val="1"/>
          <w:numId w:val="1159"/>
        </w:numPr>
      </w:pPr>
      <w:r>
        <w:t xml:space="preserve">Justificación del valor: Se asigna 1: el efecto de credibilidad se expresa sobre todo por las falsas alarmas (V12-&gt;V15), que se puntúan aparte.</w:t>
      </w:r>
    </w:p>
    <w:p>
      <w:pPr>
        <w:pStyle w:val="Compact"/>
        <w:numPr>
          <w:ilvl w:val="1"/>
          <w:numId w:val="1159"/>
        </w:numPr>
      </w:pPr>
      <w:r>
        <w:t xml:space="preserve">Ancla comparada: Igual a ANC-1.</w:t>
      </w:r>
    </w:p>
    <w:p>
      <w:pPr>
        <w:pStyle w:val="Compact"/>
        <w:numPr>
          <w:ilvl w:val="1"/>
          <w:numId w:val="1159"/>
        </w:numPr>
      </w:pPr>
      <w:r>
        <w:t xml:space="preserve">Explicación rival: Si los usuarios solo observan alertas y no cotejan datos, el valor sería 0.</w:t>
      </w:r>
    </w:p>
    <w:p>
      <w:pPr>
        <w:pStyle w:val="Compact"/>
        <w:numPr>
          <w:ilvl w:val="1"/>
          <w:numId w:val="1159"/>
        </w:numPr>
      </w:pPr>
      <w:r>
        <w:t xml:space="preserve">Mediadores del modelo: ninguno</w:t>
      </w:r>
    </w:p>
    <w:p>
      <w:pPr>
        <w:pStyle w:val="Compact"/>
        <w:numPr>
          <w:ilvl w:val="1"/>
          <w:numId w:val="1159"/>
        </w:numPr>
      </w:pPr>
      <w:r>
        <w:t xml:space="preserve">Motivo de la confianza: Supuesto sin fuente. Comportamiento de usuarios no observado.</w:t>
      </w:r>
    </w:p>
    <w:p>
      <w:pPr>
        <w:pStyle w:val="Compact"/>
        <w:numPr>
          <w:ilvl w:val="0"/>
          <w:numId w:val="1158"/>
        </w:numPr>
      </w:pPr>
      <w:r>
        <w:rPr>
          <w:b/>
          <w:bCs/>
        </w:rPr>
        <w:t xml:space="preserve">V15→V06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0"/>
        </w:numPr>
      </w:pPr>
      <w:r>
        <w:t xml:space="preserve">Razón del cero: La adopción institucional no cambia el error del sensor individual. Actúa mediante el financiamiento de calibración y mantenimiento (V07, V09).</w:t>
      </w:r>
    </w:p>
    <w:p>
      <w:pPr>
        <w:pStyle w:val="Compact"/>
        <w:numPr>
          <w:ilvl w:val="1"/>
          <w:numId w:val="1160"/>
        </w:numPr>
      </w:pPr>
      <w:r>
        <w:t xml:space="preserve">Fundamento: Premisa P-M: la influencia de V15 sobre V06 opera solo a través de V07, V09. Se puntúa en los pares V15→V07 y V07→V06, V15→V09 y V09→V06. No se duplica aquí.</w:t>
      </w:r>
    </w:p>
    <w:p>
      <w:pPr>
        <w:pStyle w:val="Compact"/>
        <w:numPr>
          <w:ilvl w:val="1"/>
          <w:numId w:val="1160"/>
        </w:numPr>
      </w:pPr>
      <w:r>
        <w:t xml:space="preserve">Justificación del valor: Se asigna 0 porque la adopción institucional no cambia el error del sensor individual. Actúa mediante el financiamiento de calibración y mantenimiento (V07, V09).</w:t>
      </w:r>
    </w:p>
    <w:p>
      <w:pPr>
        <w:pStyle w:val="Compact"/>
        <w:numPr>
          <w:ilvl w:val="1"/>
          <w:numId w:val="1160"/>
        </w:numPr>
      </w:pPr>
      <w:r>
        <w:t xml:space="preserve">Ancla comparada: ANC-0 (ver F4.4.2).</w:t>
      </w:r>
    </w:p>
    <w:p>
      <w:pPr>
        <w:pStyle w:val="Compact"/>
        <w:numPr>
          <w:ilvl w:val="1"/>
          <w:numId w:val="1160"/>
        </w:numPr>
      </w:pPr>
      <w:r>
        <w:t xml:space="preserve">Explicación rival: Ninguna alternativa plausible dentro de la frontera.</w:t>
      </w:r>
    </w:p>
    <w:p>
      <w:pPr>
        <w:pStyle w:val="Compact"/>
        <w:numPr>
          <w:ilvl w:val="1"/>
          <w:numId w:val="1160"/>
        </w:numPr>
      </w:pPr>
      <w:r>
        <w:t xml:space="preserve">Mediadores del modelo: V07, V09</w:t>
      </w:r>
    </w:p>
    <w:p>
      <w:pPr>
        <w:pStyle w:val="Compact"/>
        <w:numPr>
          <w:ilvl w:val="1"/>
          <w:numId w:val="1160"/>
        </w:numPr>
      </w:pPr>
      <w:r>
        <w:t xml:space="preserve">Motivo de la confianza: Ruta indirecta explícita en el modelo.</w:t>
      </w:r>
    </w:p>
    <w:p>
      <w:pPr>
        <w:pStyle w:val="FirstParagraph"/>
      </w:pPr>
      <w:r>
        <w:t xml:space="preserve">**Ficha 048 · V08__V09 · clase INTRA**</w:t>
      </w:r>
    </w:p>
    <w:p>
      <w:pPr>
        <w:pStyle w:val="Compact"/>
        <w:numPr>
          <w:ilvl w:val="0"/>
          <w:numId w:val="1161"/>
        </w:numPr>
      </w:pPr>
      <w:r>
        <w:rPr>
          <w:b/>
          <w:bCs/>
        </w:rPr>
        <w:t xml:space="preserve">V08→V09</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62"/>
        </w:numPr>
      </w:pPr>
      <w:r>
        <w:t xml:space="preserve">Razón del cero: El retraso no descarga la batería. La retransmisión por enlace pobre sí, pero es un efecto de segundo orden.</w:t>
      </w:r>
    </w:p>
    <w:p>
      <w:pPr>
        <w:pStyle w:val="Compact"/>
        <w:numPr>
          <w:ilvl w:val="1"/>
          <w:numId w:val="1162"/>
        </w:numPr>
      </w:pPr>
      <w:r>
        <w:t xml:space="preserve">Fundamento: Premisa P-0: no existe mecanismo físico, informático ni institucional que conecte V08 con V09 dentro de la frontera y el horizonte declarados.</w:t>
      </w:r>
    </w:p>
    <w:p>
      <w:pPr>
        <w:pStyle w:val="Compact"/>
        <w:numPr>
          <w:ilvl w:val="1"/>
          <w:numId w:val="1162"/>
        </w:numPr>
      </w:pPr>
      <w:r>
        <w:t xml:space="preserve">Justificación del valor: Se asigna 0 porque el retraso no descarga la batería. La retransmisión por enlace pobre sí, pero es un efecto de segundo orden.</w:t>
      </w:r>
    </w:p>
    <w:p>
      <w:pPr>
        <w:pStyle w:val="Compact"/>
        <w:numPr>
          <w:ilvl w:val="1"/>
          <w:numId w:val="1162"/>
        </w:numPr>
      </w:pPr>
      <w:r>
        <w:t xml:space="preserve">Ancla comparada: ANC-0 (ver F4.4.2).</w:t>
      </w:r>
    </w:p>
    <w:p>
      <w:pPr>
        <w:pStyle w:val="Compact"/>
        <w:numPr>
          <w:ilvl w:val="1"/>
          <w:numId w:val="1162"/>
        </w:numPr>
      </w:pPr>
      <w:r>
        <w:t xml:space="preserve">Explicación rival: Enlaces con retransmisiones frecuentes consumirían más energía. No hay dato del enlace.</w:t>
      </w:r>
    </w:p>
    <w:p>
      <w:pPr>
        <w:pStyle w:val="Compact"/>
        <w:numPr>
          <w:ilvl w:val="1"/>
          <w:numId w:val="1162"/>
        </w:numPr>
      </w:pPr>
      <w:r>
        <w:t xml:space="preserve">Mediadores del modelo: ninguno</w:t>
      </w:r>
    </w:p>
    <w:p>
      <w:pPr>
        <w:pStyle w:val="Compact"/>
        <w:numPr>
          <w:ilvl w:val="1"/>
          <w:numId w:val="1162"/>
        </w:numPr>
      </w:pPr>
      <w:r>
        <w:t xml:space="preserve">Motivo de la confianza: Ausencia de mecanismo por razonamiento físico. Sin medición ni fuente específica.</w:t>
      </w:r>
    </w:p>
    <w:p>
      <w:pPr>
        <w:pStyle w:val="Compact"/>
        <w:numPr>
          <w:ilvl w:val="0"/>
          <w:numId w:val="1161"/>
        </w:numPr>
      </w:pPr>
      <w:r>
        <w:rPr>
          <w:b/>
          <w:bCs/>
        </w:rPr>
        <w:t xml:space="preserve">V09→V08</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3"/>
        </w:numPr>
      </w:pPr>
      <w:r>
        <w:t xml:space="preserve">Razón del cero: La caída de nodos no cambia el retraso de los nodos activos de forma directa.</w:t>
      </w:r>
    </w:p>
    <w:p>
      <w:pPr>
        <w:pStyle w:val="Compact"/>
        <w:numPr>
          <w:ilvl w:val="1"/>
          <w:numId w:val="1163"/>
        </w:numPr>
      </w:pPr>
      <w:r>
        <w:t xml:space="preserve">Fundamento: Premisa P-0: no existe mecanismo físico, informático ni institucional que conecte V09 con V08 dentro de la frontera y el horizonte declarados.</w:t>
      </w:r>
    </w:p>
    <w:p>
      <w:pPr>
        <w:pStyle w:val="Compact"/>
        <w:numPr>
          <w:ilvl w:val="1"/>
          <w:numId w:val="1163"/>
        </w:numPr>
      </w:pPr>
      <w:r>
        <w:t xml:space="preserve">Justificación del valor: Se asigna 0 porque la caída de nodos no cambia el retraso de los nodos activos de forma directa.</w:t>
      </w:r>
    </w:p>
    <w:p>
      <w:pPr>
        <w:pStyle w:val="Compact"/>
        <w:numPr>
          <w:ilvl w:val="1"/>
          <w:numId w:val="1163"/>
        </w:numPr>
      </w:pPr>
      <w:r>
        <w:t xml:space="preserve">Ancla comparada: ANC-0 (ver F4.4.2).</w:t>
      </w:r>
    </w:p>
    <w:p>
      <w:pPr>
        <w:pStyle w:val="Compact"/>
        <w:numPr>
          <w:ilvl w:val="1"/>
          <w:numId w:val="1163"/>
        </w:numPr>
      </w:pPr>
      <w:r>
        <w:t xml:space="preserve">Explicación rival: La congestión baja con menos nodos. El efecto es despreciable con 100 nodos.</w:t>
      </w:r>
    </w:p>
    <w:p>
      <w:pPr>
        <w:pStyle w:val="Compact"/>
        <w:numPr>
          <w:ilvl w:val="1"/>
          <w:numId w:val="1163"/>
        </w:numPr>
      </w:pPr>
      <w:r>
        <w:t xml:space="preserve">Mediadores del modelo: ninguno</w:t>
      </w:r>
    </w:p>
    <w:p>
      <w:pPr>
        <w:pStyle w:val="Compact"/>
        <w:numPr>
          <w:ilvl w:val="1"/>
          <w:numId w:val="1163"/>
        </w:numPr>
      </w:pPr>
      <w:r>
        <w:t xml:space="preserve">Motivo de la confianza: Ausencia de mecanismo por razonamiento físico. Sin medición ni fuente específica.</w:t>
      </w:r>
    </w:p>
    <w:p>
      <w:pPr>
        <w:pStyle w:val="FirstParagraph"/>
      </w:pPr>
      <w:r>
        <w:t xml:space="preserve">**Ficha 049 · V01__V09 · clase INTER**</w:t>
      </w:r>
    </w:p>
    <w:p>
      <w:pPr>
        <w:pStyle w:val="Compact"/>
        <w:numPr>
          <w:ilvl w:val="0"/>
          <w:numId w:val="1164"/>
        </w:numPr>
      </w:pPr>
      <w:r>
        <w:rPr>
          <w:b/>
          <w:bCs/>
        </w:rPr>
        <w:t xml:space="preserve">V01→V09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5"/>
        </w:numPr>
      </w:pPr>
      <w:r>
        <w:t xml:space="preserve">Razón del cero: La masa de PM2,5 no daña ni descarga los nodos. El depósito relevante para la energía y los lentes corresponde a la fracción gruesa (V02-&gt;V09).</w:t>
      </w:r>
    </w:p>
    <w:p>
      <w:pPr>
        <w:pStyle w:val="Compact"/>
        <w:numPr>
          <w:ilvl w:val="1"/>
          <w:numId w:val="1165"/>
        </w:numPr>
      </w:pPr>
      <w:r>
        <w:t xml:space="preserve">Fundamento: Premisa P-0: no existe mecanismo físico, informático ni institucional que conecte V01 con V09 dentro de la frontera y el horizonte declarados.</w:t>
      </w:r>
    </w:p>
    <w:p>
      <w:pPr>
        <w:pStyle w:val="Compact"/>
        <w:numPr>
          <w:ilvl w:val="1"/>
          <w:numId w:val="1165"/>
        </w:numPr>
      </w:pPr>
      <w:r>
        <w:t xml:space="preserve">Justificación del valor: Se asigna 0 porque la masa de PM2,5 no daña ni descarga los nodos. El depósito relevante para la energía y los lentes corresponde a la fracción gruesa (V02-&gt;V09).</w:t>
      </w:r>
    </w:p>
    <w:p>
      <w:pPr>
        <w:pStyle w:val="Compact"/>
        <w:numPr>
          <w:ilvl w:val="1"/>
          <w:numId w:val="1165"/>
        </w:numPr>
      </w:pPr>
      <w:r>
        <w:t xml:space="preserve">Ancla comparada: ANC-0 (ver F4.4.2).</w:t>
      </w:r>
    </w:p>
    <w:p>
      <w:pPr>
        <w:pStyle w:val="Compact"/>
        <w:numPr>
          <w:ilvl w:val="1"/>
          <w:numId w:val="1165"/>
        </w:numPr>
      </w:pPr>
      <w:r>
        <w:t xml:space="preserve">Explicación rival: El depósito fino en lentes y ventiladores podría acortar la vida útil. Se considera cubierto por V02-&gt;V09.</w:t>
      </w:r>
    </w:p>
    <w:p>
      <w:pPr>
        <w:pStyle w:val="Compact"/>
        <w:numPr>
          <w:ilvl w:val="1"/>
          <w:numId w:val="1165"/>
        </w:numPr>
      </w:pPr>
      <w:r>
        <w:t xml:space="preserve">Mediadores del modelo: ninguno</w:t>
      </w:r>
    </w:p>
    <w:p>
      <w:pPr>
        <w:pStyle w:val="Compact"/>
        <w:numPr>
          <w:ilvl w:val="1"/>
          <w:numId w:val="1165"/>
        </w:numPr>
      </w:pPr>
      <w:r>
        <w:t xml:space="preserve">Motivo de la confianza: Ausencia de mecanismo por razonamiento físico. Sin medición ni fuente específica.</w:t>
      </w:r>
    </w:p>
    <w:p>
      <w:pPr>
        <w:pStyle w:val="Compact"/>
        <w:numPr>
          <w:ilvl w:val="0"/>
          <w:numId w:val="1164"/>
        </w:numPr>
      </w:pPr>
      <w:r>
        <w:rPr>
          <w:b/>
          <w:bCs/>
        </w:rPr>
        <w:t xml:space="preserve">V09→V01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66"/>
        </w:numPr>
      </w:pPr>
      <w:r>
        <w:t xml:space="preserve">Razón del cero: La disponibilidad de nodos no modifica la masa de PM2,5 del aire.</w:t>
      </w:r>
    </w:p>
    <w:p>
      <w:pPr>
        <w:pStyle w:val="Compact"/>
        <w:numPr>
          <w:ilvl w:val="1"/>
          <w:numId w:val="1166"/>
        </w:numPr>
      </w:pPr>
      <w:r>
        <w:t xml:space="preserve">Fundamento: Premisa P-0: no existe mecanismo físico, informático ni institucional que conecte V09 con V01 dentro de la frontera y el horizonte declarados.</w:t>
      </w:r>
    </w:p>
    <w:p>
      <w:pPr>
        <w:pStyle w:val="Compact"/>
        <w:numPr>
          <w:ilvl w:val="1"/>
          <w:numId w:val="1166"/>
        </w:numPr>
      </w:pPr>
      <w:r>
        <w:t xml:space="preserve">Justificación del valor: Se asigna 0 porque la disponibilidad de nodos no modifica la masa de PM2,5 del aire.</w:t>
      </w:r>
    </w:p>
    <w:p>
      <w:pPr>
        <w:pStyle w:val="Compact"/>
        <w:numPr>
          <w:ilvl w:val="1"/>
          <w:numId w:val="1166"/>
        </w:numPr>
      </w:pPr>
      <w:r>
        <w:t xml:space="preserve">Ancla comparada: ANC-0 (ver F4.4.2).</w:t>
      </w:r>
    </w:p>
    <w:p>
      <w:pPr>
        <w:pStyle w:val="Compact"/>
        <w:numPr>
          <w:ilvl w:val="1"/>
          <w:numId w:val="1166"/>
        </w:numPr>
      </w:pPr>
      <w:r>
        <w:t xml:space="preserve">Explicación rival: Ninguna alternativa plausible dentro de la frontera.</w:t>
      </w:r>
    </w:p>
    <w:p>
      <w:pPr>
        <w:pStyle w:val="Compact"/>
        <w:numPr>
          <w:ilvl w:val="1"/>
          <w:numId w:val="1166"/>
        </w:numPr>
      </w:pPr>
      <w:r>
        <w:t xml:space="preserve">Mediadores del modelo: ninguno</w:t>
      </w:r>
    </w:p>
    <w:p>
      <w:pPr>
        <w:pStyle w:val="Compact"/>
        <w:numPr>
          <w:ilvl w:val="1"/>
          <w:numId w:val="1166"/>
        </w:numPr>
      </w:pPr>
      <w:r>
        <w:t xml:space="preserve">Motivo de la confianza: Ausencia de mecanismo por razonamiento físico. Sin medición ni fuente específica.</w:t>
      </w:r>
    </w:p>
    <w:p>
      <w:pPr>
        <w:pStyle w:val="FirstParagraph"/>
      </w:pPr>
      <w:r>
        <w:t xml:space="preserve">**Ficha 050 · V07__V08 · clase INTRA**</w:t>
      </w:r>
    </w:p>
    <w:p>
      <w:pPr>
        <w:pStyle w:val="Compact"/>
        <w:numPr>
          <w:ilvl w:val="0"/>
          <w:numId w:val="1167"/>
        </w:numPr>
      </w:pPr>
      <w:r>
        <w:rPr>
          <w:b/>
          <w:bCs/>
        </w:rPr>
        <w:t xml:space="preserve">V07→V08</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68"/>
        </w:numPr>
      </w:pPr>
      <w:r>
        <w:t xml:space="preserve">Mecanismo: El cómputo de calibración y la descarga de pesos usan CPU y ancho de banda y retrasan la emisión de otros paquetes.</w:t>
      </w:r>
    </w:p>
    <w:p>
      <w:pPr>
        <w:pStyle w:val="Compact"/>
        <w:numPr>
          <w:ilvl w:val="1"/>
          <w:numId w:val="1168"/>
        </w:numPr>
      </w:pPr>
      <w:r>
        <w:t xml:space="preserve">Fundamento: Premisa de la iteración previa del documento (F4.4.4, V07-&gt;V08 = 1, mecanismo de software). Sin medición en el expediente.</w:t>
      </w:r>
    </w:p>
    <w:p>
      <w:pPr>
        <w:pStyle w:val="Compact"/>
        <w:numPr>
          <w:ilvl w:val="1"/>
          <w:numId w:val="1168"/>
        </w:numPr>
      </w:pPr>
      <w:r>
        <w:t xml:space="preserve">Premisas: P-V07-V08: la actualización de pesos compite por CPU y canal con la telemetría (supuesto de diseño).</w:t>
      </w:r>
    </w:p>
    <w:p>
      <w:pPr>
        <w:pStyle w:val="Compact"/>
        <w:numPr>
          <w:ilvl w:val="1"/>
          <w:numId w:val="1168"/>
        </w:numPr>
      </w:pPr>
      <w:r>
        <w:t xml:space="preserve">Justificación del valor: Se asigna 1: la carga adicional es pequeña para 100 nodos y para actualizaciones espaciadas.</w:t>
      </w:r>
    </w:p>
    <w:p>
      <w:pPr>
        <w:pStyle w:val="Compact"/>
        <w:numPr>
          <w:ilvl w:val="1"/>
          <w:numId w:val="1168"/>
        </w:numPr>
      </w:pPr>
      <w:r>
        <w:t xml:space="preserve">Ancla comparada: Igual a ANC-1.</w:t>
      </w:r>
    </w:p>
    <w:p>
      <w:pPr>
        <w:pStyle w:val="Compact"/>
        <w:numPr>
          <w:ilvl w:val="1"/>
          <w:numId w:val="1168"/>
        </w:numPr>
      </w:pPr>
      <w:r>
        <w:t xml:space="preserve">Explicación rival: Con actualizaciones fuera de ventanas de transmisión el valor sería 0.</w:t>
      </w:r>
    </w:p>
    <w:p>
      <w:pPr>
        <w:pStyle w:val="Compact"/>
        <w:numPr>
          <w:ilvl w:val="1"/>
          <w:numId w:val="1168"/>
        </w:numPr>
      </w:pPr>
      <w:r>
        <w:t xml:space="preserve">Mediadores del modelo: ninguno</w:t>
      </w:r>
    </w:p>
    <w:p>
      <w:pPr>
        <w:pStyle w:val="Compact"/>
        <w:numPr>
          <w:ilvl w:val="1"/>
          <w:numId w:val="1168"/>
        </w:numPr>
      </w:pPr>
      <w:r>
        <w:t xml:space="preserve">Motivo de la confianza: Premisa de software sin medición.</w:t>
      </w:r>
    </w:p>
    <w:p>
      <w:pPr>
        <w:pStyle w:val="Compact"/>
        <w:numPr>
          <w:ilvl w:val="0"/>
          <w:numId w:val="1167"/>
        </w:numPr>
      </w:pPr>
      <w:r>
        <w:rPr>
          <w:b/>
          <w:bCs/>
        </w:rPr>
        <w:t xml:space="preserve">V08→V07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9"/>
        </w:numPr>
      </w:pPr>
      <w:r>
        <w:t xml:space="preserve">Razón del cero: El retraso de datos no fija la frecuencia de calibración.</w:t>
      </w:r>
    </w:p>
    <w:p>
      <w:pPr>
        <w:pStyle w:val="Compact"/>
        <w:numPr>
          <w:ilvl w:val="1"/>
          <w:numId w:val="1169"/>
        </w:numPr>
      </w:pPr>
      <w:r>
        <w:t xml:space="preserve">Fundamento: Premisa P-0: no existe mecanismo físico, informático ni institucional que conecte V08 con V07 dentro de la frontera y el horizonte declarados.</w:t>
      </w:r>
    </w:p>
    <w:p>
      <w:pPr>
        <w:pStyle w:val="Compact"/>
        <w:numPr>
          <w:ilvl w:val="1"/>
          <w:numId w:val="1169"/>
        </w:numPr>
      </w:pPr>
      <w:r>
        <w:t xml:space="preserve">Justificación del valor: Se asigna 0 porque el retraso de datos no fija la frecuencia de calibración.</w:t>
      </w:r>
    </w:p>
    <w:p>
      <w:pPr>
        <w:pStyle w:val="Compact"/>
        <w:numPr>
          <w:ilvl w:val="1"/>
          <w:numId w:val="1169"/>
        </w:numPr>
      </w:pPr>
      <w:r>
        <w:t xml:space="preserve">Ancla comparada: ANC-0 (ver F4.4.2).</w:t>
      </w:r>
    </w:p>
    <w:p>
      <w:pPr>
        <w:pStyle w:val="Compact"/>
        <w:numPr>
          <w:ilvl w:val="1"/>
          <w:numId w:val="1169"/>
        </w:numPr>
      </w:pPr>
      <w:r>
        <w:t xml:space="preserve">Explicación rival: La descarga tardía de pesos puede retrasar un ajuste. El efecto es de segundo orden.</w:t>
      </w:r>
    </w:p>
    <w:p>
      <w:pPr>
        <w:pStyle w:val="Compact"/>
        <w:numPr>
          <w:ilvl w:val="1"/>
          <w:numId w:val="1169"/>
        </w:numPr>
      </w:pPr>
      <w:r>
        <w:t xml:space="preserve">Mediadores del modelo: ninguno</w:t>
      </w:r>
    </w:p>
    <w:p>
      <w:pPr>
        <w:pStyle w:val="Compact"/>
        <w:numPr>
          <w:ilvl w:val="1"/>
          <w:numId w:val="1169"/>
        </w:numPr>
      </w:pPr>
      <w:r>
        <w:t xml:space="preserve">Motivo de la confianza: Ausencia de mecanismo por razonamiento físico. Sin medición ni fuente específica.</w:t>
      </w:r>
    </w:p>
    <w:p>
      <w:pPr>
        <w:pStyle w:val="FirstParagraph"/>
      </w:pPr>
      <w:r>
        <w:t xml:space="preserve">**Ficha 051 · V01__V13 · clase INTER**</w:t>
      </w:r>
    </w:p>
    <w:p>
      <w:pPr>
        <w:pStyle w:val="Compact"/>
        <w:numPr>
          <w:ilvl w:val="0"/>
          <w:numId w:val="1170"/>
        </w:numPr>
      </w:pPr>
      <w:r>
        <w:rPr>
          <w:b/>
          <w:bCs/>
        </w:rPr>
        <w:t xml:space="preserve">V01→V13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1"/>
        </w:numPr>
      </w:pPr>
      <w:r>
        <w:t xml:space="preserve">Razón del cero: La concentración no cambia el tiempo de aviso, que depende de la detección temprana, el enlace y el pronóstico.</w:t>
      </w:r>
    </w:p>
    <w:p>
      <w:pPr>
        <w:pStyle w:val="Compact"/>
        <w:numPr>
          <w:ilvl w:val="1"/>
          <w:numId w:val="1171"/>
        </w:numPr>
      </w:pPr>
      <w:r>
        <w:t xml:space="preserve">Fundamento: Premisa P-0: no existe mecanismo físico, informático ni institucional que conecte V01 con V13 dentro de la frontera y el horizonte declarados.</w:t>
      </w:r>
    </w:p>
    <w:p>
      <w:pPr>
        <w:pStyle w:val="Compact"/>
        <w:numPr>
          <w:ilvl w:val="1"/>
          <w:numId w:val="1171"/>
        </w:numPr>
      </w:pPr>
      <w:r>
        <w:t xml:space="preserve">Justificación del valor: Se asigna 0 porque la concentración no cambia el tiempo de aviso, que depende de la detección temprana, el enlace y el pronóstico.</w:t>
      </w:r>
    </w:p>
    <w:p>
      <w:pPr>
        <w:pStyle w:val="Compact"/>
        <w:numPr>
          <w:ilvl w:val="1"/>
          <w:numId w:val="1171"/>
        </w:numPr>
      </w:pPr>
      <w:r>
        <w:t xml:space="preserve">Ancla comparada: ANC-0 (ver F4.4.2).</w:t>
      </w:r>
    </w:p>
    <w:p>
      <w:pPr>
        <w:pStyle w:val="Compact"/>
        <w:numPr>
          <w:ilvl w:val="1"/>
          <w:numId w:val="1171"/>
        </w:numPr>
      </w:pPr>
      <w:r>
        <w:t xml:space="preserve">Explicación rival: Concentraciones altas podrían acelerar la detección. La detección depende de la densidad (V10) y de la latencia (V08).</w:t>
      </w:r>
    </w:p>
    <w:p>
      <w:pPr>
        <w:pStyle w:val="Compact"/>
        <w:numPr>
          <w:ilvl w:val="1"/>
          <w:numId w:val="1171"/>
        </w:numPr>
      </w:pPr>
      <w:r>
        <w:t xml:space="preserve">Mediadores del modelo: ninguno</w:t>
      </w:r>
    </w:p>
    <w:p>
      <w:pPr>
        <w:pStyle w:val="Compact"/>
        <w:numPr>
          <w:ilvl w:val="1"/>
          <w:numId w:val="1171"/>
        </w:numPr>
      </w:pPr>
      <w:r>
        <w:t xml:space="preserve">Motivo de la confianza: Ausencia de mecanismo por razonamiento físico. Sin medición ni fuente específica.</w:t>
      </w:r>
    </w:p>
    <w:p>
      <w:pPr>
        <w:pStyle w:val="Compact"/>
        <w:numPr>
          <w:ilvl w:val="0"/>
          <w:numId w:val="1170"/>
        </w:numPr>
      </w:pPr>
      <w:r>
        <w:rPr>
          <w:b/>
          <w:bCs/>
        </w:rPr>
        <w:t xml:space="preserve">V13→V01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2"/>
        </w:numPr>
      </w:pPr>
      <w:r>
        <w:t xml:space="preserve">Razón del cero: El tiempo de aviso no modifica la masa de PM2,5 del aire.</w:t>
      </w:r>
    </w:p>
    <w:p>
      <w:pPr>
        <w:pStyle w:val="Compact"/>
        <w:numPr>
          <w:ilvl w:val="1"/>
          <w:numId w:val="1172"/>
        </w:numPr>
      </w:pPr>
      <w:r>
        <w:t xml:space="preserve">Fundamento: Premisa P-0: no existe mecanismo físico, informático ni institucional que conecte V13 con V01 dentro de la frontera y el horizonte declarados.</w:t>
      </w:r>
    </w:p>
    <w:p>
      <w:pPr>
        <w:pStyle w:val="Compact"/>
        <w:numPr>
          <w:ilvl w:val="1"/>
          <w:numId w:val="1172"/>
        </w:numPr>
      </w:pPr>
      <w:r>
        <w:t xml:space="preserve">Justificación del valor: Se asigna 0 porque el tiempo de aviso no modifica la masa de PM2,5 del aire.</w:t>
      </w:r>
    </w:p>
    <w:p>
      <w:pPr>
        <w:pStyle w:val="Compact"/>
        <w:numPr>
          <w:ilvl w:val="1"/>
          <w:numId w:val="1172"/>
        </w:numPr>
      </w:pPr>
      <w:r>
        <w:t xml:space="preserve">Ancla comparada: ANC-0 (ver F4.4.2).</w:t>
      </w:r>
    </w:p>
    <w:p>
      <w:pPr>
        <w:pStyle w:val="Compact"/>
        <w:numPr>
          <w:ilvl w:val="1"/>
          <w:numId w:val="1172"/>
        </w:numPr>
      </w:pPr>
      <w:r>
        <w:t xml:space="preserve">Explicación rival: Ninguna alternativa plausible dentro de la frontera.</w:t>
      </w:r>
    </w:p>
    <w:p>
      <w:pPr>
        <w:pStyle w:val="Compact"/>
        <w:numPr>
          <w:ilvl w:val="1"/>
          <w:numId w:val="1172"/>
        </w:numPr>
      </w:pPr>
      <w:r>
        <w:t xml:space="preserve">Mediadores del modelo: ninguno</w:t>
      </w:r>
    </w:p>
    <w:p>
      <w:pPr>
        <w:pStyle w:val="Compact"/>
        <w:numPr>
          <w:ilvl w:val="1"/>
          <w:numId w:val="1172"/>
        </w:numPr>
      </w:pPr>
      <w:r>
        <w:t xml:space="preserve">Motivo de la confianza: Ausencia de mecanismo por razonamiento físico. Sin medición ni fuente específica.</w:t>
      </w:r>
    </w:p>
    <w:p>
      <w:pPr>
        <w:pStyle w:val="FirstParagraph"/>
      </w:pPr>
      <w:r>
        <w:t xml:space="preserve">**Ficha 052 · V12__V14 · clase INTRA**</w:t>
      </w:r>
    </w:p>
    <w:p>
      <w:pPr>
        <w:pStyle w:val="Compact"/>
        <w:numPr>
          <w:ilvl w:val="0"/>
          <w:numId w:val="1173"/>
        </w:numPr>
      </w:pPr>
      <w:r>
        <w:rPr>
          <w:b/>
          <w:bCs/>
        </w:rPr>
        <w:t xml:space="preserve">V12→V14</w:t>
      </w:r>
      <w:r>
        <w:t xml:space="preserve"> </w:t>
      </w:r>
      <w:r>
        <w:t xml:space="preserve">· valor</w:t>
      </w:r>
      <w:r>
        <w:t xml:space="preserve"> </w:t>
      </w:r>
      <w:r>
        <w:rPr>
          <w:b/>
          <w:bCs/>
        </w:rPr>
        <w:t xml:space="preserve">1</w:t>
      </w:r>
      <w:r>
        <w:t xml:space="preserve"> </w:t>
      </w:r>
      <w:r>
        <w:t xml:space="preserve">(admisibles: 0, 1, 2) · signo - · naturaleza SUPUESTO · estado PROPUESTO · confianza BAJA</w:t>
      </w:r>
    </w:p>
    <w:p>
      <w:pPr>
        <w:pStyle w:val="Compact"/>
        <w:numPr>
          <w:ilvl w:val="1"/>
          <w:numId w:val="1174"/>
        </w:numPr>
      </w:pPr>
      <w:r>
        <w:t xml:space="preserve">Mecanismo: Tras falsas alarmas repetidas, cuadrillas y población atienden menos las alertas siguientes y la protección efectiva baja.</w:t>
      </w:r>
    </w:p>
    <w:p>
      <w:pPr>
        <w:pStyle w:val="Compact"/>
        <w:numPr>
          <w:ilvl w:val="1"/>
          <w:numId w:val="1174"/>
        </w:numPr>
      </w:pPr>
      <w:r>
        <w:t xml:space="preserve">Fundamento: Efecto de alarma falsa repetida descrito en la literatura general de alertas; F-INF no lo documenta y reporta ausencia de datos de falsas alarmas en el corpus.</w:t>
      </w:r>
    </w:p>
    <w:p>
      <w:pPr>
        <w:pStyle w:val="Compact"/>
        <w:numPr>
          <w:ilvl w:val="1"/>
          <w:numId w:val="1174"/>
        </w:numPr>
      </w:pPr>
      <w:r>
        <w:t xml:space="preserve">Fuentes: F-INF, §1.3 hallazgo 2 (alcance: Ausencia de datos de falsas alarmas en el corpus)</w:t>
      </w:r>
    </w:p>
    <w:p>
      <w:pPr>
        <w:pStyle w:val="Compact"/>
        <w:numPr>
          <w:ilvl w:val="1"/>
          <w:numId w:val="1174"/>
        </w:numPr>
      </w:pPr>
      <w:r>
        <w:t xml:space="preserve">Premisas: P-V12-V14: la repetición de alertas falsas reduce el cumplimiento de alertas posteriores (efecto de alarma falsa repetida).</w:t>
      </w:r>
    </w:p>
    <w:p>
      <w:pPr>
        <w:pStyle w:val="Compact"/>
        <w:numPr>
          <w:ilvl w:val="1"/>
          <w:numId w:val="1174"/>
        </w:numPr>
      </w:pPr>
      <w:r>
        <w:t xml:space="preserve">Justificación del valor: Se asigna 1: el efecto aparece tras varios episodios, no en los primeros meses, y se amortigua con protocolos obligatorios.</w:t>
      </w:r>
    </w:p>
    <w:p>
      <w:pPr>
        <w:pStyle w:val="Compact"/>
        <w:numPr>
          <w:ilvl w:val="1"/>
          <w:numId w:val="1174"/>
        </w:numPr>
      </w:pPr>
      <w:r>
        <w:t xml:space="preserve">Ancla comparada: Igual a ANC-1.</w:t>
      </w:r>
    </w:p>
    <w:p>
      <w:pPr>
        <w:pStyle w:val="Compact"/>
        <w:numPr>
          <w:ilvl w:val="1"/>
          <w:numId w:val="1174"/>
        </w:numPr>
      </w:pPr>
      <w:r>
        <w:t xml:space="preserve">Explicación rival: En un entorno de mando estricto, con uso obligatorio de protección, el valor sería 0.</w:t>
      </w:r>
    </w:p>
    <w:p>
      <w:pPr>
        <w:pStyle w:val="Compact"/>
        <w:numPr>
          <w:ilvl w:val="1"/>
          <w:numId w:val="1174"/>
        </w:numPr>
      </w:pPr>
      <w:r>
        <w:t xml:space="preserve">Mediadores del modelo: ninguno</w:t>
      </w:r>
    </w:p>
    <w:p>
      <w:pPr>
        <w:pStyle w:val="Compact"/>
        <w:numPr>
          <w:ilvl w:val="1"/>
          <w:numId w:val="1174"/>
        </w:numPr>
      </w:pPr>
      <w:r>
        <w:t xml:space="preserve">Motivo de la confianza: Mecanismo general sin evidencia local.</w:t>
      </w:r>
    </w:p>
    <w:p>
      <w:pPr>
        <w:pStyle w:val="Compact"/>
        <w:numPr>
          <w:ilvl w:val="0"/>
          <w:numId w:val="1173"/>
        </w:numPr>
      </w:pPr>
      <w:r>
        <w:rPr>
          <w:b/>
          <w:bCs/>
        </w:rPr>
        <w:t xml:space="preserve">V14→V12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5"/>
        </w:numPr>
      </w:pPr>
      <w:r>
        <w:t xml:space="preserve">Razón del cero: El número de personas protegidas no modifica la tasa de falsas alarmas.</w:t>
      </w:r>
    </w:p>
    <w:p>
      <w:pPr>
        <w:pStyle w:val="Compact"/>
        <w:numPr>
          <w:ilvl w:val="1"/>
          <w:numId w:val="1175"/>
        </w:numPr>
      </w:pPr>
      <w:r>
        <w:t xml:space="preserve">Fundamento: Premisa P-0: no existe mecanismo físico, informático ni institucional que conecte V14 con V12 dentro de la frontera y el horizonte declarados.</w:t>
      </w:r>
    </w:p>
    <w:p>
      <w:pPr>
        <w:pStyle w:val="Compact"/>
        <w:numPr>
          <w:ilvl w:val="1"/>
          <w:numId w:val="1175"/>
        </w:numPr>
      </w:pPr>
      <w:r>
        <w:t xml:space="preserve">Justificación del valor: Se asigna 0 porque el número de personas protegidas no modifica la tasa de falsas alarmas.</w:t>
      </w:r>
    </w:p>
    <w:p>
      <w:pPr>
        <w:pStyle w:val="Compact"/>
        <w:numPr>
          <w:ilvl w:val="1"/>
          <w:numId w:val="1175"/>
        </w:numPr>
      </w:pPr>
      <w:r>
        <w:t xml:space="preserve">Ancla comparada: ANC-0 (ver F4.4.2).</w:t>
      </w:r>
    </w:p>
    <w:p>
      <w:pPr>
        <w:pStyle w:val="Compact"/>
        <w:numPr>
          <w:ilvl w:val="1"/>
          <w:numId w:val="1175"/>
        </w:numPr>
      </w:pPr>
      <w:r>
        <w:t xml:space="preserve">Explicación rival: Ninguna alternativa plausible dentro de la frontera.</w:t>
      </w:r>
    </w:p>
    <w:p>
      <w:pPr>
        <w:pStyle w:val="Compact"/>
        <w:numPr>
          <w:ilvl w:val="1"/>
          <w:numId w:val="1175"/>
        </w:numPr>
      </w:pPr>
      <w:r>
        <w:t xml:space="preserve">Mediadores del modelo: ninguno</w:t>
      </w:r>
    </w:p>
    <w:p>
      <w:pPr>
        <w:pStyle w:val="Compact"/>
        <w:numPr>
          <w:ilvl w:val="1"/>
          <w:numId w:val="1175"/>
        </w:numPr>
      </w:pPr>
      <w:r>
        <w:t xml:space="preserve">Motivo de la confianza: Ausencia de mecanismo por razonamiento físico. Sin medición ni fuente específica.</w:t>
      </w:r>
    </w:p>
    <w:p>
      <w:pPr>
        <w:pStyle w:val="FirstParagraph"/>
      </w:pPr>
      <w:r>
        <w:t xml:space="preserve">**Ficha 053 · V04__V10 · clase INTER**</w:t>
      </w:r>
    </w:p>
    <w:p>
      <w:pPr>
        <w:pStyle w:val="Compact"/>
        <w:numPr>
          <w:ilvl w:val="0"/>
          <w:numId w:val="1176"/>
        </w:numPr>
      </w:pPr>
      <w:r>
        <w:rPr>
          <w:b/>
          <w:bCs/>
        </w:rPr>
        <w:t xml:space="preserve">V04→V10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7"/>
        </w:numPr>
      </w:pPr>
      <w:r>
        <w:t xml:space="preserve">Razón del cero: La velocidad del viento no cambia la cantidad de nodos por km² diseñada.</w:t>
      </w:r>
    </w:p>
    <w:p>
      <w:pPr>
        <w:pStyle w:val="Compact"/>
        <w:numPr>
          <w:ilvl w:val="1"/>
          <w:numId w:val="1177"/>
        </w:numPr>
      </w:pPr>
      <w:r>
        <w:t xml:space="preserve">Fundamento: Premisa P-0: no existe mecanismo físico, informático ni institucional que conecte V04 con V10 dentro de la frontera y el horizonte declarados.</w:t>
      </w:r>
    </w:p>
    <w:p>
      <w:pPr>
        <w:pStyle w:val="Compact"/>
        <w:numPr>
          <w:ilvl w:val="1"/>
          <w:numId w:val="1177"/>
        </w:numPr>
      </w:pPr>
      <w:r>
        <w:t xml:space="preserve">Justificación del valor: Se asigna 0 porque la velocidad del viento no cambia la cantidad de nodos por km² diseñada.</w:t>
      </w:r>
    </w:p>
    <w:p>
      <w:pPr>
        <w:pStyle w:val="Compact"/>
        <w:numPr>
          <w:ilvl w:val="1"/>
          <w:numId w:val="1177"/>
        </w:numPr>
      </w:pPr>
      <w:r>
        <w:t xml:space="preserve">Ancla comparada: ANC-0 (ver F4.4.2).</w:t>
      </w:r>
    </w:p>
    <w:p>
      <w:pPr>
        <w:pStyle w:val="Compact"/>
        <w:numPr>
          <w:ilvl w:val="1"/>
          <w:numId w:val="1177"/>
        </w:numPr>
      </w:pPr>
      <w:r>
        <w:t xml:space="preserve">Explicación rival: Ninguna alternativa plausible dentro de la frontera.</w:t>
      </w:r>
    </w:p>
    <w:p>
      <w:pPr>
        <w:pStyle w:val="Compact"/>
        <w:numPr>
          <w:ilvl w:val="1"/>
          <w:numId w:val="1177"/>
        </w:numPr>
      </w:pPr>
      <w:r>
        <w:t xml:space="preserve">Mediadores del modelo: ninguno</w:t>
      </w:r>
    </w:p>
    <w:p>
      <w:pPr>
        <w:pStyle w:val="Compact"/>
        <w:numPr>
          <w:ilvl w:val="1"/>
          <w:numId w:val="1177"/>
        </w:numPr>
      </w:pPr>
      <w:r>
        <w:t xml:space="preserve">Motivo de la confianza: Ausencia de mecanismo por razonamiento físico. Sin medición ni fuente específica.</w:t>
      </w:r>
    </w:p>
    <w:p>
      <w:pPr>
        <w:pStyle w:val="Compact"/>
        <w:numPr>
          <w:ilvl w:val="0"/>
          <w:numId w:val="1176"/>
        </w:numPr>
      </w:pPr>
      <w:r>
        <w:rPr>
          <w:b/>
          <w:bCs/>
        </w:rPr>
        <w:t xml:space="preserve">V10→V04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8"/>
        </w:numPr>
      </w:pPr>
      <w:r>
        <w:t xml:space="preserve">Razón del cero: La densidad de nodos no modifica el viento.</w:t>
      </w:r>
    </w:p>
    <w:p>
      <w:pPr>
        <w:pStyle w:val="Compact"/>
        <w:numPr>
          <w:ilvl w:val="1"/>
          <w:numId w:val="1178"/>
        </w:numPr>
      </w:pPr>
      <w:r>
        <w:t xml:space="preserve">Fundamento: Premisa P-0: no existe mecanismo físico, informático ni institucional que conecte V10 con V04 dentro de la frontera y el horizonte declarados.</w:t>
      </w:r>
    </w:p>
    <w:p>
      <w:pPr>
        <w:pStyle w:val="Compact"/>
        <w:numPr>
          <w:ilvl w:val="1"/>
          <w:numId w:val="1178"/>
        </w:numPr>
      </w:pPr>
      <w:r>
        <w:t xml:space="preserve">Justificación del valor: Se asigna 0 porque la densidad de nodos no modifica el viento.</w:t>
      </w:r>
    </w:p>
    <w:p>
      <w:pPr>
        <w:pStyle w:val="Compact"/>
        <w:numPr>
          <w:ilvl w:val="1"/>
          <w:numId w:val="1178"/>
        </w:numPr>
      </w:pPr>
      <w:r>
        <w:t xml:space="preserve">Ancla comparada: ANC-0 (ver F4.4.2).</w:t>
      </w:r>
    </w:p>
    <w:p>
      <w:pPr>
        <w:pStyle w:val="Compact"/>
        <w:numPr>
          <w:ilvl w:val="1"/>
          <w:numId w:val="1178"/>
        </w:numPr>
      </w:pPr>
      <w:r>
        <w:t xml:space="preserve">Explicación rival: Ninguna alternativa plausible dentro de la frontera.</w:t>
      </w:r>
    </w:p>
    <w:p>
      <w:pPr>
        <w:pStyle w:val="Compact"/>
        <w:numPr>
          <w:ilvl w:val="1"/>
          <w:numId w:val="1178"/>
        </w:numPr>
      </w:pPr>
      <w:r>
        <w:t xml:space="preserve">Mediadores del modelo: ninguno</w:t>
      </w:r>
    </w:p>
    <w:p>
      <w:pPr>
        <w:pStyle w:val="Compact"/>
        <w:numPr>
          <w:ilvl w:val="1"/>
          <w:numId w:val="1178"/>
        </w:numPr>
      </w:pPr>
      <w:r>
        <w:t xml:space="preserve">Motivo de la confianza: Ausencia de mecanismo por razonamiento físico. Sin medición ni fuente específica.</w:t>
      </w:r>
    </w:p>
    <w:p>
      <w:pPr>
        <w:pStyle w:val="FirstParagraph"/>
      </w:pPr>
      <w:r>
        <w:t xml:space="preserve">**Ficha 054 · V04__V05 · clase INTRA**</w:t>
      </w:r>
    </w:p>
    <w:p>
      <w:pPr>
        <w:pStyle w:val="Compact"/>
        <w:numPr>
          <w:ilvl w:val="0"/>
          <w:numId w:val="1179"/>
        </w:numPr>
      </w:pPr>
      <w:r>
        <w:rPr>
          <w:b/>
          <w:bCs/>
        </w:rPr>
        <w:t xml:space="preserve">V04→V05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180"/>
        </w:numPr>
      </w:pPr>
      <w:r>
        <w:t xml:space="preserve">Razón del cero: La velocidad del viento no cambia las toneladas de escombros removidas, salvo condiciones extremas sin umbral documentado.</w:t>
      </w:r>
    </w:p>
    <w:p>
      <w:pPr>
        <w:pStyle w:val="Compact"/>
        <w:numPr>
          <w:ilvl w:val="1"/>
          <w:numId w:val="1180"/>
        </w:numPr>
      </w:pPr>
      <w:r>
        <w:t xml:space="preserve">Fundamento: Premisa P-0: no existe mecanismo físico, informático ni institucional que conecte V04 con V05 dentro de la frontera y el horizonte declarados.</w:t>
      </w:r>
    </w:p>
    <w:p>
      <w:pPr>
        <w:pStyle w:val="Compact"/>
        <w:numPr>
          <w:ilvl w:val="1"/>
          <w:numId w:val="1180"/>
        </w:numPr>
      </w:pPr>
      <w:r>
        <w:t xml:space="preserve">Justificación del valor: Se asigna 0 porque la velocidad del viento no cambia las toneladas de escombros removidas, salvo condiciones extremas sin umbral documentado.</w:t>
      </w:r>
    </w:p>
    <w:p>
      <w:pPr>
        <w:pStyle w:val="Compact"/>
        <w:numPr>
          <w:ilvl w:val="1"/>
          <w:numId w:val="1180"/>
        </w:numPr>
      </w:pPr>
      <w:r>
        <w:t xml:space="preserve">Ancla comparada: ANC-0 (ver F4.4.2).</w:t>
      </w:r>
    </w:p>
    <w:p>
      <w:pPr>
        <w:pStyle w:val="Compact"/>
        <w:numPr>
          <w:ilvl w:val="1"/>
          <w:numId w:val="1180"/>
        </w:numPr>
      </w:pPr>
      <w:r>
        <w:t xml:space="preserve">Explicación rival: Vientos fuertes detienen grúas y demolición. El umbral operativo no figura en el expediente (VACIO V-VIENTO-01).</w:t>
      </w:r>
    </w:p>
    <w:p>
      <w:pPr>
        <w:pStyle w:val="Compact"/>
        <w:numPr>
          <w:ilvl w:val="1"/>
          <w:numId w:val="1180"/>
        </w:numPr>
      </w:pPr>
      <w:r>
        <w:t xml:space="preserve">Mediadores del modelo: ninguno</w:t>
      </w:r>
    </w:p>
    <w:p>
      <w:pPr>
        <w:pStyle w:val="Compact"/>
        <w:numPr>
          <w:ilvl w:val="1"/>
          <w:numId w:val="1180"/>
        </w:numPr>
      </w:pPr>
      <w:r>
        <w:t xml:space="preserve">Motivo de la confianza: Ausencia de mecanismo por razonamiento físico. Sin medición ni fuente específica.</w:t>
      </w:r>
    </w:p>
    <w:p>
      <w:pPr>
        <w:pStyle w:val="Compact"/>
        <w:numPr>
          <w:ilvl w:val="0"/>
          <w:numId w:val="1179"/>
        </w:numPr>
      </w:pPr>
      <w:r>
        <w:rPr>
          <w:b/>
          <w:bCs/>
        </w:rPr>
        <w:t xml:space="preserve">V05→V04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81"/>
        </w:numPr>
      </w:pPr>
      <w:r>
        <w:t xml:space="preserve">Razón del cero: El volumen de escombros removidos no altera la velocidad del viento a escala de sitio.</w:t>
      </w:r>
    </w:p>
    <w:p>
      <w:pPr>
        <w:pStyle w:val="Compact"/>
        <w:numPr>
          <w:ilvl w:val="1"/>
          <w:numId w:val="1181"/>
        </w:numPr>
      </w:pPr>
      <w:r>
        <w:t xml:space="preserve">Fundamento: Premisa P-0: no existe mecanismo físico, informático ni institucional que conecte V05 con V04 dentro de la frontera y el horizonte declarados.</w:t>
      </w:r>
    </w:p>
    <w:p>
      <w:pPr>
        <w:pStyle w:val="Compact"/>
        <w:numPr>
          <w:ilvl w:val="1"/>
          <w:numId w:val="1181"/>
        </w:numPr>
      </w:pPr>
      <w:r>
        <w:t xml:space="preserve">Justificación del valor: Se asigna 0 porque el volumen de escombros removidos no altera la velocidad del viento a escala de sitio.</w:t>
      </w:r>
    </w:p>
    <w:p>
      <w:pPr>
        <w:pStyle w:val="Compact"/>
        <w:numPr>
          <w:ilvl w:val="1"/>
          <w:numId w:val="1181"/>
        </w:numPr>
      </w:pPr>
      <w:r>
        <w:t xml:space="preserve">Ancla comparada: ANC-0 (ver F4.4.2).</w:t>
      </w:r>
    </w:p>
    <w:p>
      <w:pPr>
        <w:pStyle w:val="Compact"/>
        <w:numPr>
          <w:ilvl w:val="1"/>
          <w:numId w:val="1181"/>
        </w:numPr>
      </w:pPr>
      <w:r>
        <w:t xml:space="preserve">Explicación rival: Las pilas de escombros cambian la rugosidad local. El efecto es despreciable para el modelo.</w:t>
      </w:r>
    </w:p>
    <w:p>
      <w:pPr>
        <w:pStyle w:val="Compact"/>
        <w:numPr>
          <w:ilvl w:val="1"/>
          <w:numId w:val="1181"/>
        </w:numPr>
      </w:pPr>
      <w:r>
        <w:t xml:space="preserve">Mediadores del modelo: ninguno</w:t>
      </w:r>
    </w:p>
    <w:p>
      <w:pPr>
        <w:pStyle w:val="Compact"/>
        <w:numPr>
          <w:ilvl w:val="1"/>
          <w:numId w:val="1181"/>
        </w:numPr>
      </w:pPr>
      <w:r>
        <w:t xml:space="preserve">Motivo de la confianza: Ausencia de mecanismo por razonamiento físico. Sin medición ni fuente específica.</w:t>
      </w:r>
    </w:p>
    <w:p>
      <w:pPr>
        <w:pStyle w:val="FirstParagraph"/>
      </w:pPr>
      <w:r>
        <w:t xml:space="preserve">**Ficha 055 · V10__V14 · clase INTER**</w:t>
      </w:r>
    </w:p>
    <w:p>
      <w:pPr>
        <w:pStyle w:val="Compact"/>
        <w:numPr>
          <w:ilvl w:val="0"/>
          <w:numId w:val="1182"/>
        </w:numPr>
      </w:pPr>
      <w:r>
        <w:rPr>
          <w:b/>
          <w:bCs/>
        </w:rPr>
        <w:t xml:space="preserve">V10→V14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3"/>
        </w:numPr>
      </w:pPr>
      <w:r>
        <w:t xml:space="preserve">Razón del cero: La densidad afecta la protección efectiva mediante el índice (V11) y el aviso (V13).</w:t>
      </w:r>
    </w:p>
    <w:p>
      <w:pPr>
        <w:pStyle w:val="Compact"/>
        <w:numPr>
          <w:ilvl w:val="1"/>
          <w:numId w:val="1183"/>
        </w:numPr>
      </w:pPr>
      <w:r>
        <w:t xml:space="preserve">Fundamento: Premisa P-M: la influencia de V10 sobre V14 opera solo a través de V11, V13. Se puntúa en los pares V10→V11 y V11→V14, V10→V13 y V13→V14. No se duplica aquí.</w:t>
      </w:r>
    </w:p>
    <w:p>
      <w:pPr>
        <w:pStyle w:val="Compact"/>
        <w:numPr>
          <w:ilvl w:val="1"/>
          <w:numId w:val="1183"/>
        </w:numPr>
      </w:pPr>
      <w:r>
        <w:t xml:space="preserve">Justificación del valor: Se asigna 0 porque la densidad afecta la protección efectiva mediante el índice (V11) y el aviso (V13).</w:t>
      </w:r>
    </w:p>
    <w:p>
      <w:pPr>
        <w:pStyle w:val="Compact"/>
        <w:numPr>
          <w:ilvl w:val="1"/>
          <w:numId w:val="1183"/>
        </w:numPr>
      </w:pPr>
      <w:r>
        <w:t xml:space="preserve">Ancla comparada: ANC-0 (ver F4.4.2).</w:t>
      </w:r>
    </w:p>
    <w:p>
      <w:pPr>
        <w:pStyle w:val="Compact"/>
        <w:numPr>
          <w:ilvl w:val="1"/>
          <w:numId w:val="1183"/>
        </w:numPr>
      </w:pPr>
      <w:r>
        <w:t xml:space="preserve">Explicación rival: Ninguna alternativa plausible dentro de la frontera.</w:t>
      </w:r>
    </w:p>
    <w:p>
      <w:pPr>
        <w:pStyle w:val="Compact"/>
        <w:numPr>
          <w:ilvl w:val="1"/>
          <w:numId w:val="1183"/>
        </w:numPr>
      </w:pPr>
      <w:r>
        <w:t xml:space="preserve">Mediadores del modelo: V11, V13</w:t>
      </w:r>
    </w:p>
    <w:p>
      <w:pPr>
        <w:pStyle w:val="Compact"/>
        <w:numPr>
          <w:ilvl w:val="1"/>
          <w:numId w:val="1183"/>
        </w:numPr>
      </w:pPr>
      <w:r>
        <w:t xml:space="preserve">Motivo de la confianza: Ruta indirecta explícita en el modelo.</w:t>
      </w:r>
    </w:p>
    <w:p>
      <w:pPr>
        <w:pStyle w:val="Compact"/>
        <w:numPr>
          <w:ilvl w:val="0"/>
          <w:numId w:val="1182"/>
        </w:numPr>
      </w:pPr>
      <w:r>
        <w:rPr>
          <w:b/>
          <w:bCs/>
        </w:rPr>
        <w:t xml:space="preserve">V14→V10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84"/>
        </w:numPr>
      </w:pPr>
      <w:r>
        <w:t xml:space="preserve">Razón del cero: El número de personas protegidas no modifica la cantidad de nodos por km² diseñada.</w:t>
      </w:r>
    </w:p>
    <w:p>
      <w:pPr>
        <w:pStyle w:val="Compact"/>
        <w:numPr>
          <w:ilvl w:val="1"/>
          <w:numId w:val="1184"/>
        </w:numPr>
      </w:pPr>
      <w:r>
        <w:t xml:space="preserve">Fundamento: Premisa P-0: no existe mecanismo físico, informático ni institucional que conecte V14 con V10 dentro de la frontera y el horizonte declarados.</w:t>
      </w:r>
    </w:p>
    <w:p>
      <w:pPr>
        <w:pStyle w:val="Compact"/>
        <w:numPr>
          <w:ilvl w:val="1"/>
          <w:numId w:val="1184"/>
        </w:numPr>
      </w:pPr>
      <w:r>
        <w:t xml:space="preserve">Justificación del valor: Se asigna 0 porque el número de personas protegidas no modifica la cantidad de nodos por km² diseñada.</w:t>
      </w:r>
    </w:p>
    <w:p>
      <w:pPr>
        <w:pStyle w:val="Compact"/>
        <w:numPr>
          <w:ilvl w:val="1"/>
          <w:numId w:val="1184"/>
        </w:numPr>
      </w:pPr>
      <w:r>
        <w:t xml:space="preserve">Ancla comparada: ANC-0 (ver F4.4.2).</w:t>
      </w:r>
    </w:p>
    <w:p>
      <w:pPr>
        <w:pStyle w:val="Compact"/>
        <w:numPr>
          <w:ilvl w:val="1"/>
          <w:numId w:val="1184"/>
        </w:numPr>
      </w:pPr>
      <w:r>
        <w:t xml:space="preserve">Explicación rival: Ninguna alternativa plausible dentro de la frontera.</w:t>
      </w:r>
    </w:p>
    <w:p>
      <w:pPr>
        <w:pStyle w:val="Compact"/>
        <w:numPr>
          <w:ilvl w:val="1"/>
          <w:numId w:val="1184"/>
        </w:numPr>
      </w:pPr>
      <w:r>
        <w:t xml:space="preserve">Mediadores del modelo: ninguno</w:t>
      </w:r>
    </w:p>
    <w:p>
      <w:pPr>
        <w:pStyle w:val="Compact"/>
        <w:numPr>
          <w:ilvl w:val="1"/>
          <w:numId w:val="1184"/>
        </w:numPr>
      </w:pPr>
      <w:r>
        <w:t xml:space="preserve">Motivo de la confianza: Ausencia de mecanismo por razonamiento físico. Sin medición ni fuente específica.</w:t>
      </w:r>
    </w:p>
    <w:p>
      <w:pPr>
        <w:pStyle w:val="FirstParagraph"/>
      </w:pPr>
      <w:r>
        <w:t xml:space="preserve">**Ficha 056 · V06__V09 · clase INTRA**</w:t>
      </w:r>
    </w:p>
    <w:p>
      <w:pPr>
        <w:pStyle w:val="Compact"/>
        <w:numPr>
          <w:ilvl w:val="0"/>
          <w:numId w:val="1185"/>
        </w:numPr>
      </w:pPr>
      <w:r>
        <w:rPr>
          <w:b/>
          <w:bCs/>
        </w:rPr>
        <w:t xml:space="preserve">V06→V09</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186"/>
        </w:numPr>
      </w:pPr>
      <w:r>
        <w:t xml:space="preserve">Mecanismo: En el protocolo por eventos, el ruido y el sesgo generan disparos espurios de transmisión que consumen batería.</w:t>
      </w:r>
    </w:p>
    <w:p>
      <w:pPr>
        <w:pStyle w:val="Compact"/>
        <w:numPr>
          <w:ilvl w:val="1"/>
          <w:numId w:val="1186"/>
        </w:numPr>
      </w:pPr>
      <w:r>
        <w:t xml:space="preserve">Fundamento: Premisa de arquitectura de ALT-03: el nodo transmite al superar umbrales estadísticos (Paso 1, sección C del documento). No hay medición de consumo en el expediente.</w:t>
      </w:r>
    </w:p>
    <w:p>
      <w:pPr>
        <w:pStyle w:val="Compact"/>
        <w:numPr>
          <w:ilvl w:val="1"/>
          <w:numId w:val="1186"/>
        </w:numPr>
      </w:pPr>
      <w:r>
        <w:t xml:space="preserve">Fuentes: F-E3, Paso 1, sección C (solución propuesta): transmisión por umbrales estadísticos (alcance: Describe el protocolo; no mide consumo)</w:t>
      </w:r>
    </w:p>
    <w:p>
      <w:pPr>
        <w:pStyle w:val="Compact"/>
        <w:numPr>
          <w:ilvl w:val="1"/>
          <w:numId w:val="1186"/>
        </w:numPr>
      </w:pPr>
      <w:r>
        <w:t xml:space="preserve">Premisas: P-V06-V09: cada transmisión adicional consume energía del nodo en proporción a la cantidad de eventos espurios (modelo energético general).</w:t>
      </w:r>
    </w:p>
    <w:p>
      <w:pPr>
        <w:pStyle w:val="Compact"/>
        <w:numPr>
          <w:ilvl w:val="1"/>
          <w:numId w:val="1186"/>
        </w:numPr>
      </w:pPr>
      <w:r>
        <w:t xml:space="preserve">Justificación del valor: Se asigna 1: el costo energético depende del umbral y del filtrado local. No se asigna 2 porque un nodo con consenso previo no transmite por ruido.</w:t>
      </w:r>
    </w:p>
    <w:p>
      <w:pPr>
        <w:pStyle w:val="Compact"/>
        <w:numPr>
          <w:ilvl w:val="1"/>
          <w:numId w:val="1186"/>
        </w:numPr>
      </w:pPr>
      <w:r>
        <w:t xml:space="preserve">Ancla comparada: Igual a ANC-1.</w:t>
      </w:r>
    </w:p>
    <w:p>
      <w:pPr>
        <w:pStyle w:val="Compact"/>
        <w:numPr>
          <w:ilvl w:val="1"/>
          <w:numId w:val="1186"/>
        </w:numPr>
      </w:pPr>
      <w:r>
        <w:t xml:space="preserve">Explicación rival: Con consenso multinodo previo a la transmisión el valor sería 0.</w:t>
      </w:r>
    </w:p>
    <w:p>
      <w:pPr>
        <w:pStyle w:val="Compact"/>
        <w:numPr>
          <w:ilvl w:val="1"/>
          <w:numId w:val="1186"/>
        </w:numPr>
      </w:pPr>
      <w:r>
        <w:t xml:space="preserve">Mediadores del modelo: ninguno</w:t>
      </w:r>
    </w:p>
    <w:p>
      <w:pPr>
        <w:pStyle w:val="Compact"/>
        <w:numPr>
          <w:ilvl w:val="1"/>
          <w:numId w:val="1186"/>
        </w:numPr>
      </w:pPr>
      <w:r>
        <w:t xml:space="preserve">Motivo de la confianza: Premisa de diseño sin medición.</w:t>
      </w:r>
    </w:p>
    <w:p>
      <w:pPr>
        <w:pStyle w:val="Compact"/>
        <w:numPr>
          <w:ilvl w:val="0"/>
          <w:numId w:val="1185"/>
        </w:numPr>
      </w:pPr>
      <w:r>
        <w:rPr>
          <w:b/>
          <w:bCs/>
        </w:rPr>
        <w:t xml:space="preserve">V09→V06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7"/>
        </w:numPr>
      </w:pPr>
      <w:r>
        <w:t xml:space="preserve">Razón del cero: La pérdida de nodos no cambia el error del sensor individual. Reduce la corrección entre vecinos, efecto que pasa por la densidad (V10).</w:t>
      </w:r>
    </w:p>
    <w:p>
      <w:pPr>
        <w:pStyle w:val="Compact"/>
        <w:numPr>
          <w:ilvl w:val="1"/>
          <w:numId w:val="1187"/>
        </w:numPr>
      </w:pPr>
      <w:r>
        <w:t xml:space="preserve">Fundamento: Premisa P-M: la influencia de V09 sobre V06 opera solo a través de V10. Se puntúa en los pares V09→V10 y V10→V06. No se duplica aquí.</w:t>
      </w:r>
    </w:p>
    <w:p>
      <w:pPr>
        <w:pStyle w:val="Compact"/>
        <w:numPr>
          <w:ilvl w:val="1"/>
          <w:numId w:val="1187"/>
        </w:numPr>
      </w:pPr>
      <w:r>
        <w:t xml:space="preserve">Justificación del valor: Se asigna 0 porque la pérdida de nodos no cambia el error del sensor individual. Reduce la corrección entre vecinos, efecto que pasa por la densidad (V10).</w:t>
      </w:r>
    </w:p>
    <w:p>
      <w:pPr>
        <w:pStyle w:val="Compact"/>
        <w:numPr>
          <w:ilvl w:val="1"/>
          <w:numId w:val="1187"/>
        </w:numPr>
      </w:pPr>
      <w:r>
        <w:t xml:space="preserve">Ancla comparada: ANC-0 (ver F4.4.2).</w:t>
      </w:r>
    </w:p>
    <w:p>
      <w:pPr>
        <w:pStyle w:val="Compact"/>
        <w:numPr>
          <w:ilvl w:val="1"/>
          <w:numId w:val="1187"/>
        </w:numPr>
      </w:pPr>
      <w:r>
        <w:t xml:space="preserve">Explicación rival: Ninguna alternativa plausible dentro de la frontera.</w:t>
      </w:r>
    </w:p>
    <w:p>
      <w:pPr>
        <w:pStyle w:val="Compact"/>
        <w:numPr>
          <w:ilvl w:val="1"/>
          <w:numId w:val="1187"/>
        </w:numPr>
      </w:pPr>
      <w:r>
        <w:t xml:space="preserve">Mediadores del modelo: V10</w:t>
      </w:r>
    </w:p>
    <w:p>
      <w:pPr>
        <w:pStyle w:val="Compact"/>
        <w:numPr>
          <w:ilvl w:val="1"/>
          <w:numId w:val="1187"/>
        </w:numPr>
      </w:pPr>
      <w:r>
        <w:t xml:space="preserve">Motivo de la confianza: Ruta indirecta explícita en el modelo.</w:t>
      </w:r>
    </w:p>
    <w:p>
      <w:pPr>
        <w:pStyle w:val="FirstParagraph"/>
      </w:pPr>
      <w:r>
        <w:t xml:space="preserve">**Ficha 057 · V01__V07 · clase INTER**</w:t>
      </w:r>
    </w:p>
    <w:p>
      <w:pPr>
        <w:pStyle w:val="Compact"/>
        <w:numPr>
          <w:ilvl w:val="0"/>
          <w:numId w:val="1188"/>
        </w:numPr>
      </w:pPr>
      <w:r>
        <w:rPr>
          <w:b/>
          <w:bCs/>
        </w:rPr>
        <w:t xml:space="preserve">V01→V07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9"/>
        </w:numPr>
      </w:pPr>
      <w:r>
        <w:t xml:space="preserve">Razón del cero: La concentración de PM2,5 no fija la frecuencia de calibración, que es una decisión operativa y de diseño.</w:t>
      </w:r>
    </w:p>
    <w:p>
      <w:pPr>
        <w:pStyle w:val="Compact"/>
        <w:numPr>
          <w:ilvl w:val="1"/>
          <w:numId w:val="1189"/>
        </w:numPr>
      </w:pPr>
      <w:r>
        <w:t xml:space="preserve">Fundamento: Premisa P-M: la influencia de V01 sobre V07 opera solo a través de V06. Se puntúa en los pares V01→V06 y V06→V07. No se duplica aquí.</w:t>
      </w:r>
    </w:p>
    <w:p>
      <w:pPr>
        <w:pStyle w:val="Compact"/>
        <w:numPr>
          <w:ilvl w:val="1"/>
          <w:numId w:val="1189"/>
        </w:numPr>
      </w:pPr>
      <w:r>
        <w:t xml:space="preserve">Justificación del valor: Se asigna 0 porque la concentración de PM2,5 no fija la frecuencia de calibración, que es una decisión operativa y de diseño.</w:t>
      </w:r>
    </w:p>
    <w:p>
      <w:pPr>
        <w:pStyle w:val="Compact"/>
        <w:numPr>
          <w:ilvl w:val="1"/>
          <w:numId w:val="1189"/>
        </w:numPr>
      </w:pPr>
      <w:r>
        <w:t xml:space="preserve">Ancla comparada: ANC-0 (ver F4.4.2).</w:t>
      </w:r>
    </w:p>
    <w:p>
      <w:pPr>
        <w:pStyle w:val="Compact"/>
        <w:numPr>
          <w:ilvl w:val="1"/>
          <w:numId w:val="1189"/>
        </w:numPr>
      </w:pPr>
      <w:r>
        <w:t xml:space="preserve">Explicación rival: Un episodio extremo podría motivar calibraciones adicionales. Esa respuesta pasa por el error observado (V06) y por la decisión institucional.</w:t>
      </w:r>
    </w:p>
    <w:p>
      <w:pPr>
        <w:pStyle w:val="Compact"/>
        <w:numPr>
          <w:ilvl w:val="1"/>
          <w:numId w:val="1189"/>
        </w:numPr>
      </w:pPr>
      <w:r>
        <w:t xml:space="preserve">Mediadores del modelo: V06</w:t>
      </w:r>
    </w:p>
    <w:p>
      <w:pPr>
        <w:pStyle w:val="Compact"/>
        <w:numPr>
          <w:ilvl w:val="1"/>
          <w:numId w:val="1189"/>
        </w:numPr>
      </w:pPr>
      <w:r>
        <w:t xml:space="preserve">Motivo de la confianza: Ruta indirecta explícita en el modelo.</w:t>
      </w:r>
    </w:p>
    <w:p>
      <w:pPr>
        <w:pStyle w:val="Compact"/>
        <w:numPr>
          <w:ilvl w:val="0"/>
          <w:numId w:val="1188"/>
        </w:numPr>
      </w:pPr>
      <w:r>
        <w:rPr>
          <w:b/>
          <w:bCs/>
        </w:rPr>
        <w:t xml:space="preserve">V07→V01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0"/>
        </w:numPr>
      </w:pPr>
      <w:r>
        <w:t xml:space="preserve">Razón del cero: La calibración algorítmica corrige la lectura, no la masa de PM2,5 del aire.</w:t>
      </w:r>
    </w:p>
    <w:p>
      <w:pPr>
        <w:pStyle w:val="Compact"/>
        <w:numPr>
          <w:ilvl w:val="1"/>
          <w:numId w:val="1190"/>
        </w:numPr>
      </w:pPr>
      <w:r>
        <w:t xml:space="preserve">Fundamento: Premisa P-0: no existe mecanismo físico, informático ni institucional que conecte V07 con V01 dentro de la frontera y el horizonte declarados.</w:t>
      </w:r>
    </w:p>
    <w:p>
      <w:pPr>
        <w:pStyle w:val="Compact"/>
        <w:numPr>
          <w:ilvl w:val="1"/>
          <w:numId w:val="1190"/>
        </w:numPr>
      </w:pPr>
      <w:r>
        <w:t xml:space="preserve">Justificación del valor: Se asigna 0 porque la calibración algorítmica corrige la lectura, no la masa de PM2,5 del aire.</w:t>
      </w:r>
    </w:p>
    <w:p>
      <w:pPr>
        <w:pStyle w:val="Compact"/>
        <w:numPr>
          <w:ilvl w:val="1"/>
          <w:numId w:val="1190"/>
        </w:numPr>
      </w:pPr>
      <w:r>
        <w:t xml:space="preserve">Ancla comparada: ANC-0 (ver F4.4.2).</w:t>
      </w:r>
    </w:p>
    <w:p>
      <w:pPr>
        <w:pStyle w:val="Compact"/>
        <w:numPr>
          <w:ilvl w:val="1"/>
          <w:numId w:val="1190"/>
        </w:numPr>
      </w:pPr>
      <w:r>
        <w:t xml:space="preserve">Explicación rival: Ninguna alternativa plausible dentro de la frontera.</w:t>
      </w:r>
    </w:p>
    <w:p>
      <w:pPr>
        <w:pStyle w:val="Compact"/>
        <w:numPr>
          <w:ilvl w:val="1"/>
          <w:numId w:val="1190"/>
        </w:numPr>
      </w:pPr>
      <w:r>
        <w:t xml:space="preserve">Mediadores del modelo: ninguno</w:t>
      </w:r>
    </w:p>
    <w:p>
      <w:pPr>
        <w:pStyle w:val="Compact"/>
        <w:numPr>
          <w:ilvl w:val="1"/>
          <w:numId w:val="1190"/>
        </w:numPr>
      </w:pPr>
      <w:r>
        <w:t xml:space="preserve">Motivo de la confianza: Ausencia de mecanismo por razonamiento físico. Sin medición ni fuente específica.</w:t>
      </w:r>
    </w:p>
    <w:p>
      <w:pPr>
        <w:pStyle w:val="FirstParagraph"/>
      </w:pPr>
      <w:r>
        <w:t xml:space="preserve">**Ficha 058 · V11__V13 · clase INTRA**</w:t>
      </w:r>
    </w:p>
    <w:p>
      <w:pPr>
        <w:pStyle w:val="Compact"/>
        <w:numPr>
          <w:ilvl w:val="0"/>
          <w:numId w:val="1191"/>
        </w:numPr>
      </w:pPr>
      <w:r>
        <w:rPr>
          <w:b/>
          <w:bCs/>
        </w:rPr>
        <w:t xml:space="preserve">V11→V13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92"/>
        </w:numPr>
      </w:pPr>
      <w:r>
        <w:t xml:space="preserve">Razón del cero: El nivel del índice no cambia el tiempo de aviso. Un índice con pronóstico sí lo haría, pero el diseño no lo incluye.</w:t>
      </w:r>
    </w:p>
    <w:p>
      <w:pPr>
        <w:pStyle w:val="Compact"/>
        <w:numPr>
          <w:ilvl w:val="1"/>
          <w:numId w:val="1192"/>
        </w:numPr>
      </w:pPr>
      <w:r>
        <w:t xml:space="preserve">Fundamento: Premisa P-0: no existe mecanismo físico, informático ni institucional que conecte V11 con V13 dentro de la frontera y el horizonte declarados.</w:t>
      </w:r>
    </w:p>
    <w:p>
      <w:pPr>
        <w:pStyle w:val="Compact"/>
        <w:numPr>
          <w:ilvl w:val="1"/>
          <w:numId w:val="1192"/>
        </w:numPr>
      </w:pPr>
      <w:r>
        <w:t xml:space="preserve">Justificación del valor: Se asigna 0 porque el nivel del índice no cambia el tiempo de aviso. Un índice con pronóstico sí lo haría, pero el diseño no lo incluye.</w:t>
      </w:r>
    </w:p>
    <w:p>
      <w:pPr>
        <w:pStyle w:val="Compact"/>
        <w:numPr>
          <w:ilvl w:val="1"/>
          <w:numId w:val="1192"/>
        </w:numPr>
      </w:pPr>
      <w:r>
        <w:t xml:space="preserve">Ancla comparada: ANC-0 (ver F4.4.2).</w:t>
      </w:r>
    </w:p>
    <w:p>
      <w:pPr>
        <w:pStyle w:val="Compact"/>
        <w:numPr>
          <w:ilvl w:val="1"/>
          <w:numId w:val="1192"/>
        </w:numPr>
      </w:pPr>
      <w:r>
        <w:t xml:space="preserve">Explicación rival: Un índice predictivo cambiaría el aviso. Se evalúa como alternativa en F4.4-MDR.</w:t>
      </w:r>
    </w:p>
    <w:p>
      <w:pPr>
        <w:pStyle w:val="Compact"/>
        <w:numPr>
          <w:ilvl w:val="1"/>
          <w:numId w:val="1192"/>
        </w:numPr>
      </w:pPr>
      <w:r>
        <w:t xml:space="preserve">Mediadores del modelo: ninguno</w:t>
      </w:r>
    </w:p>
    <w:p>
      <w:pPr>
        <w:pStyle w:val="Compact"/>
        <w:numPr>
          <w:ilvl w:val="1"/>
          <w:numId w:val="1192"/>
        </w:numPr>
      </w:pPr>
      <w:r>
        <w:t xml:space="preserve">Motivo de la confianza: Ausencia de mecanismo por razonamiento físico. Sin medición ni fuente específica.</w:t>
      </w:r>
    </w:p>
    <w:p>
      <w:pPr>
        <w:pStyle w:val="Compact"/>
        <w:numPr>
          <w:ilvl w:val="0"/>
          <w:numId w:val="1191"/>
        </w:numPr>
      </w:pPr>
      <w:r>
        <w:rPr>
          <w:b/>
          <w:bCs/>
        </w:rPr>
        <w:t xml:space="preserve">V13→V11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3"/>
        </w:numPr>
      </w:pPr>
      <w:r>
        <w:t xml:space="preserve">Razón del cero: El tiempo de aviso no modifica el valor del índice.</w:t>
      </w:r>
    </w:p>
    <w:p>
      <w:pPr>
        <w:pStyle w:val="Compact"/>
        <w:numPr>
          <w:ilvl w:val="1"/>
          <w:numId w:val="1193"/>
        </w:numPr>
      </w:pPr>
      <w:r>
        <w:t xml:space="preserve">Fundamento: Premisa P-0: no existe mecanismo físico, informático ni institucional que conecte V13 con V11 dentro de la frontera y el horizonte declarados.</w:t>
      </w:r>
    </w:p>
    <w:p>
      <w:pPr>
        <w:pStyle w:val="Compact"/>
        <w:numPr>
          <w:ilvl w:val="1"/>
          <w:numId w:val="1193"/>
        </w:numPr>
      </w:pPr>
      <w:r>
        <w:t xml:space="preserve">Justificación del valor: Se asigna 0 porque el tiempo de aviso no modifica el valor del índice.</w:t>
      </w:r>
    </w:p>
    <w:p>
      <w:pPr>
        <w:pStyle w:val="Compact"/>
        <w:numPr>
          <w:ilvl w:val="1"/>
          <w:numId w:val="1193"/>
        </w:numPr>
      </w:pPr>
      <w:r>
        <w:t xml:space="preserve">Ancla comparada: ANC-0 (ver F4.4.2).</w:t>
      </w:r>
    </w:p>
    <w:p>
      <w:pPr>
        <w:pStyle w:val="Compact"/>
        <w:numPr>
          <w:ilvl w:val="1"/>
          <w:numId w:val="1193"/>
        </w:numPr>
      </w:pPr>
      <w:r>
        <w:t xml:space="preserve">Explicación rival: Ninguna alternativa plausible dentro de la frontera.</w:t>
      </w:r>
    </w:p>
    <w:p>
      <w:pPr>
        <w:pStyle w:val="Compact"/>
        <w:numPr>
          <w:ilvl w:val="1"/>
          <w:numId w:val="1193"/>
        </w:numPr>
      </w:pPr>
      <w:r>
        <w:t xml:space="preserve">Mediadores del modelo: ninguno</w:t>
      </w:r>
    </w:p>
    <w:p>
      <w:pPr>
        <w:pStyle w:val="Compact"/>
        <w:numPr>
          <w:ilvl w:val="1"/>
          <w:numId w:val="1193"/>
        </w:numPr>
      </w:pPr>
      <w:r>
        <w:t xml:space="preserve">Motivo de la confianza: Ausencia de mecanismo por razonamiento físico. Sin medición ni fuente específica.</w:t>
      </w:r>
    </w:p>
    <w:p>
      <w:pPr>
        <w:pStyle w:val="FirstParagraph"/>
      </w:pPr>
      <w:r>
        <w:t xml:space="preserve">**Ficha 059 · V04__V15 · clase INTER**</w:t>
      </w:r>
    </w:p>
    <w:p>
      <w:pPr>
        <w:pStyle w:val="Compact"/>
        <w:numPr>
          <w:ilvl w:val="0"/>
          <w:numId w:val="1194"/>
        </w:numPr>
      </w:pPr>
      <w:r>
        <w:rPr>
          <w:b/>
          <w:bCs/>
        </w:rPr>
        <w:t xml:space="preserve">V04→V15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5"/>
        </w:numPr>
      </w:pPr>
      <w:r>
        <w:t xml:space="preserve">Razón del cero: El viento no determina el uso institucional del tablero.</w:t>
      </w:r>
    </w:p>
    <w:p>
      <w:pPr>
        <w:pStyle w:val="Compact"/>
        <w:numPr>
          <w:ilvl w:val="1"/>
          <w:numId w:val="1195"/>
        </w:numPr>
      </w:pPr>
      <w:r>
        <w:t xml:space="preserve">Fundamento: Premisa P-0: no existe mecanismo físico, informático ni institucional que conecte V04 con V15 dentro de la frontera y el horizonte declarados.</w:t>
      </w:r>
    </w:p>
    <w:p>
      <w:pPr>
        <w:pStyle w:val="Compact"/>
        <w:numPr>
          <w:ilvl w:val="1"/>
          <w:numId w:val="1195"/>
        </w:numPr>
      </w:pPr>
      <w:r>
        <w:t xml:space="preserve">Justificación del valor: Se asigna 0 porque el viento no determina el uso institucional del tablero.</w:t>
      </w:r>
    </w:p>
    <w:p>
      <w:pPr>
        <w:pStyle w:val="Compact"/>
        <w:numPr>
          <w:ilvl w:val="1"/>
          <w:numId w:val="1195"/>
        </w:numPr>
      </w:pPr>
      <w:r>
        <w:t xml:space="preserve">Ancla comparada: ANC-0 (ver F4.4.2).</w:t>
      </w:r>
    </w:p>
    <w:p>
      <w:pPr>
        <w:pStyle w:val="Compact"/>
        <w:numPr>
          <w:ilvl w:val="1"/>
          <w:numId w:val="1195"/>
        </w:numPr>
      </w:pPr>
      <w:r>
        <w:t xml:space="preserve">Explicación rival: Ninguna alternativa plausible dentro de la frontera.</w:t>
      </w:r>
    </w:p>
    <w:p>
      <w:pPr>
        <w:pStyle w:val="Compact"/>
        <w:numPr>
          <w:ilvl w:val="1"/>
          <w:numId w:val="1195"/>
        </w:numPr>
      </w:pPr>
      <w:r>
        <w:t xml:space="preserve">Mediadores del modelo: ninguno</w:t>
      </w:r>
    </w:p>
    <w:p>
      <w:pPr>
        <w:pStyle w:val="Compact"/>
        <w:numPr>
          <w:ilvl w:val="1"/>
          <w:numId w:val="1195"/>
        </w:numPr>
      </w:pPr>
      <w:r>
        <w:t xml:space="preserve">Motivo de la confianza: Ausencia de mecanismo por razonamiento físico. Sin medición ni fuente específica.</w:t>
      </w:r>
    </w:p>
    <w:p>
      <w:pPr>
        <w:pStyle w:val="Compact"/>
        <w:numPr>
          <w:ilvl w:val="0"/>
          <w:numId w:val="1194"/>
        </w:numPr>
      </w:pPr>
      <w:r>
        <w:rPr>
          <w:b/>
          <w:bCs/>
        </w:rPr>
        <w:t xml:space="preserve">V15→V04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6"/>
        </w:numPr>
      </w:pPr>
      <w:r>
        <w:t xml:space="preserve">Razón del cero: El uso institucional del tablero no modifica el viento superficial.</w:t>
      </w:r>
    </w:p>
    <w:p>
      <w:pPr>
        <w:pStyle w:val="Compact"/>
        <w:numPr>
          <w:ilvl w:val="1"/>
          <w:numId w:val="1196"/>
        </w:numPr>
      </w:pPr>
      <w:r>
        <w:t xml:space="preserve">Fundamento: Premisa P-0: no existe mecanismo físico, informático ni institucional que conecte V15 con V04 dentro de la frontera y el horizonte declarados.</w:t>
      </w:r>
    </w:p>
    <w:p>
      <w:pPr>
        <w:pStyle w:val="Compact"/>
        <w:numPr>
          <w:ilvl w:val="1"/>
          <w:numId w:val="1196"/>
        </w:numPr>
      </w:pPr>
      <w:r>
        <w:t xml:space="preserve">Justificación del valor: Se asigna 0 porque el uso institucional del tablero no modifica el viento superficial.</w:t>
      </w:r>
    </w:p>
    <w:p>
      <w:pPr>
        <w:pStyle w:val="Compact"/>
        <w:numPr>
          <w:ilvl w:val="1"/>
          <w:numId w:val="1196"/>
        </w:numPr>
      </w:pPr>
      <w:r>
        <w:t xml:space="preserve">Ancla comparada: ANC-0 (ver F4.4.2).</w:t>
      </w:r>
    </w:p>
    <w:p>
      <w:pPr>
        <w:pStyle w:val="Compact"/>
        <w:numPr>
          <w:ilvl w:val="1"/>
          <w:numId w:val="1196"/>
        </w:numPr>
      </w:pPr>
      <w:r>
        <w:t xml:space="preserve">Explicación rival: Las órdenes de rociado afectan las emisiones por V05, no la humedad ambiental.</w:t>
      </w:r>
    </w:p>
    <w:p>
      <w:pPr>
        <w:pStyle w:val="Compact"/>
        <w:numPr>
          <w:ilvl w:val="1"/>
          <w:numId w:val="1196"/>
        </w:numPr>
      </w:pPr>
      <w:r>
        <w:t xml:space="preserve">Mediadores del modelo: ninguno</w:t>
      </w:r>
    </w:p>
    <w:p>
      <w:pPr>
        <w:pStyle w:val="Compact"/>
        <w:numPr>
          <w:ilvl w:val="1"/>
          <w:numId w:val="1196"/>
        </w:numPr>
      </w:pPr>
      <w:r>
        <w:t xml:space="preserve">Motivo de la confianza: Ausencia de mecanismo por razonamiento físico. Sin medición ni fuente específica.</w:t>
      </w:r>
    </w:p>
    <w:p>
      <w:pPr>
        <w:pStyle w:val="FirstParagraph"/>
      </w:pPr>
      <w:r>
        <w:t xml:space="preserve">**Ficha 060 · V11__V12 · clase INTRA**</w:t>
      </w:r>
    </w:p>
    <w:p>
      <w:pPr>
        <w:pStyle w:val="Compact"/>
        <w:numPr>
          <w:ilvl w:val="0"/>
          <w:numId w:val="1197"/>
        </w:numPr>
      </w:pPr>
      <w:r>
        <w:rPr>
          <w:b/>
          <w:bCs/>
        </w:rPr>
        <w:t xml:space="preserve">V11→V12</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98"/>
        </w:numPr>
      </w:pPr>
      <w:r>
        <w:t xml:space="preserve">Mecanismo: El umbral del índice define qué se considera alerta. Umbrales bajos o índices hipersensibles aumentan la proporción de alertas sin superación de umbral real.</w:t>
      </w:r>
    </w:p>
    <w:p>
      <w:pPr>
        <w:pStyle w:val="Compact"/>
        <w:numPr>
          <w:ilvl w:val="1"/>
          <w:numId w:val="1198"/>
        </w:numPr>
      </w:pPr>
      <w:r>
        <w:t xml:space="preserve">Fundamento: Ledger E3-P04, fila V11-&gt;V12 (INFERIDO, magnitud 2, signo +). F-INF §1.3 hallazgo 2: ningún documento de alertas reporta falsas alarmas, por lo que no existe línea base empírica.</w:t>
      </w:r>
    </w:p>
    <w:p>
      <w:pPr>
        <w:pStyle w:val="Compact"/>
        <w:numPr>
          <w:ilvl w:val="1"/>
          <w:numId w:val="1198"/>
        </w:numPr>
      </w:pPr>
      <w:r>
        <w:t xml:space="preserve">Fuentes: F-E3, E3-P04 §12, fila V11-&gt;V12 (alcance: Valor heredado); F-INF, §1.3 hallazgo 2; §8.4 D-05 (validar un índice local AQHI) (alcance: Respalda la ausencia de validación y la recomendación de validar)</w:t>
      </w:r>
    </w:p>
    <w:p>
      <w:pPr>
        <w:pStyle w:val="Compact"/>
        <w:numPr>
          <w:ilvl w:val="1"/>
          <w:numId w:val="1198"/>
        </w:numPr>
      </w:pPr>
      <w:r>
        <w:t xml:space="preserve">Justificación del valor: Se asigna 2. El umbral es un parámetro de diseño que modifica la tasa sin agente intermedio. Una validación adecuada acota su efecto.</w:t>
      </w:r>
    </w:p>
    <w:p>
      <w:pPr>
        <w:pStyle w:val="Compact"/>
        <w:numPr>
          <w:ilvl w:val="1"/>
          <w:numId w:val="1198"/>
        </w:numPr>
      </w:pPr>
      <w:r>
        <w:t xml:space="preserve">Ancla comparada: Igual a ANC-2.</w:t>
      </w:r>
    </w:p>
    <w:p>
      <w:pPr>
        <w:pStyle w:val="Compact"/>
        <w:numPr>
          <w:ilvl w:val="1"/>
          <w:numId w:val="1198"/>
        </w:numPr>
      </w:pPr>
      <w:r>
        <w:t xml:space="preserve">Explicación rival: Si el umbral se calibra con curva ROC y verdad de referencia, el índice no aumenta por sí mismo las falsas alarmas. El valor sería 0 o 1.</w:t>
      </w:r>
    </w:p>
    <w:p>
      <w:pPr>
        <w:pStyle w:val="Compact"/>
        <w:numPr>
          <w:ilvl w:val="1"/>
          <w:numId w:val="1198"/>
        </w:numPr>
      </w:pPr>
      <w:r>
        <w:t xml:space="preserve">Mediadores del modelo: ninguno</w:t>
      </w:r>
    </w:p>
    <w:p>
      <w:pPr>
        <w:pStyle w:val="Compact"/>
        <w:numPr>
          <w:ilvl w:val="1"/>
          <w:numId w:val="1198"/>
        </w:numPr>
      </w:pPr>
      <w:r>
        <w:t xml:space="preserve">Motivo de la confianza: Mecanismo de diseño. Sin línea base empírica en el corpus.</w:t>
      </w:r>
    </w:p>
    <w:p>
      <w:pPr>
        <w:pStyle w:val="Compact"/>
        <w:numPr>
          <w:ilvl w:val="0"/>
          <w:numId w:val="1197"/>
        </w:numPr>
      </w:pPr>
      <w:r>
        <w:rPr>
          <w:b/>
          <w:bCs/>
        </w:rPr>
        <w:t xml:space="preserve">V12→V11</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199"/>
        </w:numPr>
      </w:pPr>
      <w:r>
        <w:t xml:space="preserve">Mecanismo: Ante falsas alarmas repetidas, los responsables ajustan a la baja la sensibilidad del índice para evitar pánico y desgaste.</w:t>
      </w:r>
    </w:p>
    <w:p>
      <w:pPr>
        <w:pStyle w:val="Compact"/>
        <w:numPr>
          <w:ilvl w:val="1"/>
          <w:numId w:val="1199"/>
        </w:numPr>
      </w:pPr>
      <w:r>
        <w:t xml:space="preserve">Fundamento: Premisa de la iteración previa del documento (F4.4.4, V12-&gt;V11 = 1, mecanismo algorítmico). Sin fuente en el corpus.</w:t>
      </w:r>
    </w:p>
    <w:p>
      <w:pPr>
        <w:pStyle w:val="Compact"/>
        <w:numPr>
          <w:ilvl w:val="1"/>
          <w:numId w:val="1199"/>
        </w:numPr>
      </w:pPr>
      <w:r>
        <w:t xml:space="preserve">Premisas: P-V12-V11: los operadores del índice reajustan umbrales en respuesta a la tasa de falsas alarmas observada (práctica de gestión).</w:t>
      </w:r>
    </w:p>
    <w:p>
      <w:pPr>
        <w:pStyle w:val="Compact"/>
        <w:numPr>
          <w:ilvl w:val="1"/>
          <w:numId w:val="1199"/>
        </w:numPr>
      </w:pPr>
      <w:r>
        <w:t xml:space="preserve">Justificación del valor: Se asigna 1: el ajuste es una respuesta de gestión posible pero no automática ni inmediata.</w:t>
      </w:r>
    </w:p>
    <w:p>
      <w:pPr>
        <w:pStyle w:val="Compact"/>
        <w:numPr>
          <w:ilvl w:val="1"/>
          <w:numId w:val="1199"/>
        </w:numPr>
      </w:pPr>
      <w:r>
        <w:t xml:space="preserve">Ancla comparada: Igual a ANC-1.</w:t>
      </w:r>
    </w:p>
    <w:p>
      <w:pPr>
        <w:pStyle w:val="Compact"/>
        <w:numPr>
          <w:ilvl w:val="1"/>
          <w:numId w:val="1199"/>
        </w:numPr>
      </w:pPr>
      <w:r>
        <w:t xml:space="preserve">Explicación rival: Si los umbrales están fijados por norma, el valor sería 0.</w:t>
      </w:r>
    </w:p>
    <w:p>
      <w:pPr>
        <w:pStyle w:val="Compact"/>
        <w:numPr>
          <w:ilvl w:val="1"/>
          <w:numId w:val="1199"/>
        </w:numPr>
      </w:pPr>
      <w:r>
        <w:t xml:space="preserve">Mediadores del modelo: ninguno</w:t>
      </w:r>
    </w:p>
    <w:p>
      <w:pPr>
        <w:pStyle w:val="Compact"/>
        <w:numPr>
          <w:ilvl w:val="1"/>
          <w:numId w:val="1199"/>
        </w:numPr>
      </w:pPr>
      <w:r>
        <w:t xml:space="preserve">Motivo de la confianza: Premisa de gestión sin evidencia.</w:t>
      </w:r>
    </w:p>
    <w:p>
      <w:pPr>
        <w:pStyle w:val="FirstParagraph"/>
      </w:pPr>
      <w:r>
        <w:t xml:space="preserve">**Ficha 061 · V10__V15 · clase INTER**</w:t>
      </w:r>
    </w:p>
    <w:p>
      <w:pPr>
        <w:pStyle w:val="Compact"/>
        <w:numPr>
          <w:ilvl w:val="0"/>
          <w:numId w:val="1200"/>
        </w:numPr>
      </w:pPr>
      <w:r>
        <w:rPr>
          <w:b/>
          <w:bCs/>
        </w:rPr>
        <w:t xml:space="preserve">V10→V15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01"/>
        </w:numPr>
      </w:pPr>
      <w:r>
        <w:t xml:space="preserve">Razón del cero: La densidad no determina el uso institucional del tablero de forma directa.</w:t>
      </w:r>
    </w:p>
    <w:p>
      <w:pPr>
        <w:pStyle w:val="Compact"/>
        <w:numPr>
          <w:ilvl w:val="1"/>
          <w:numId w:val="1201"/>
        </w:numPr>
      </w:pPr>
      <w:r>
        <w:t xml:space="preserve">Fundamento: Premisa P-0: no existe mecanismo físico, informático ni institucional que conecte V10 con V15 dentro de la frontera y el horizonte declarados.</w:t>
      </w:r>
    </w:p>
    <w:p>
      <w:pPr>
        <w:pStyle w:val="Compact"/>
        <w:numPr>
          <w:ilvl w:val="1"/>
          <w:numId w:val="1201"/>
        </w:numPr>
      </w:pPr>
      <w:r>
        <w:t xml:space="preserve">Justificación del valor: Se asigna 0 porque la densidad no determina el uso institucional del tablero de forma directa.</w:t>
      </w:r>
    </w:p>
    <w:p>
      <w:pPr>
        <w:pStyle w:val="Compact"/>
        <w:numPr>
          <w:ilvl w:val="1"/>
          <w:numId w:val="1201"/>
        </w:numPr>
      </w:pPr>
      <w:r>
        <w:t xml:space="preserve">Ancla comparada: ANC-0 (ver F4.4.2).</w:t>
      </w:r>
    </w:p>
    <w:p>
      <w:pPr>
        <w:pStyle w:val="Compact"/>
        <w:numPr>
          <w:ilvl w:val="1"/>
          <w:numId w:val="1201"/>
        </w:numPr>
      </w:pPr>
      <w:r>
        <w:t xml:space="preserve">Explicación rival: Una mayor resolución puede aumentar la utilidad percibida. Ese efecto pasa por V11.</w:t>
      </w:r>
    </w:p>
    <w:p>
      <w:pPr>
        <w:pStyle w:val="Compact"/>
        <w:numPr>
          <w:ilvl w:val="1"/>
          <w:numId w:val="1201"/>
        </w:numPr>
      </w:pPr>
      <w:r>
        <w:t xml:space="preserve">Mediadores del modelo: ninguno</w:t>
      </w:r>
    </w:p>
    <w:p>
      <w:pPr>
        <w:pStyle w:val="Compact"/>
        <w:numPr>
          <w:ilvl w:val="1"/>
          <w:numId w:val="1201"/>
        </w:numPr>
      </w:pPr>
      <w:r>
        <w:t xml:space="preserve">Motivo de la confianza: Ausencia de mecanismo por razonamiento físico. Sin medición ni fuente específica.</w:t>
      </w:r>
    </w:p>
    <w:p>
      <w:pPr>
        <w:pStyle w:val="Compact"/>
        <w:numPr>
          <w:ilvl w:val="0"/>
          <w:numId w:val="1200"/>
        </w:numPr>
      </w:pPr>
      <w:r>
        <w:rPr>
          <w:b/>
          <w:bCs/>
        </w:rPr>
        <w:t xml:space="preserve">V15→V10</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202"/>
        </w:numPr>
      </w:pPr>
      <w:r>
        <w:t xml:space="preserve">Mecanismo: Las entidades que adoptan el sistema pueden financiar nodos adicionales y ampliar la resolución del gemelo.</w:t>
      </w:r>
    </w:p>
    <w:p>
      <w:pPr>
        <w:pStyle w:val="Compact"/>
        <w:numPr>
          <w:ilvl w:val="1"/>
          <w:numId w:val="1202"/>
        </w:numPr>
      </w:pPr>
      <w:r>
        <w:t xml:space="preserve">Fundamento: Paso 5, Tabla E3-5.0: indicador del PDD de Caldas con línea base 12 y meta 40 estaciones. El documento lo rotula Verificado sin aportar fuente.</w:t>
      </w:r>
    </w:p>
    <w:p>
      <w:pPr>
        <w:pStyle w:val="Compact"/>
        <w:numPr>
          <w:ilvl w:val="1"/>
          <w:numId w:val="1202"/>
        </w:numPr>
      </w:pPr>
      <w:r>
        <w:t xml:space="preserve">Fuentes: F-E3, Paso 5, Tabla E3-5.0, fila Indicador del PDD asociado (alcance: Indicador citado sin fuente en el expediente)</w:t>
      </w:r>
    </w:p>
    <w:p>
      <w:pPr>
        <w:pStyle w:val="Compact"/>
        <w:numPr>
          <w:ilvl w:val="1"/>
          <w:numId w:val="1202"/>
        </w:numPr>
      </w:pPr>
      <w:r>
        <w:t xml:space="preserve">Justificación del valor: Se asigna 1: la ampliación es una opción posterior a la adopción y depende de ciclos presupuestales de dos años.</w:t>
      </w:r>
    </w:p>
    <w:p>
      <w:pPr>
        <w:pStyle w:val="Compact"/>
        <w:numPr>
          <w:ilvl w:val="1"/>
          <w:numId w:val="1202"/>
        </w:numPr>
      </w:pPr>
      <w:r>
        <w:t xml:space="preserve">Ancla comparada: Igual a ANC-1.</w:t>
      </w:r>
    </w:p>
    <w:p>
      <w:pPr>
        <w:pStyle w:val="Compact"/>
        <w:numPr>
          <w:ilvl w:val="1"/>
          <w:numId w:val="1202"/>
        </w:numPr>
      </w:pPr>
      <w:r>
        <w:t xml:space="preserve">Explicación rival: Sin recursos de expansión el valor sería 0.</w:t>
      </w:r>
    </w:p>
    <w:p>
      <w:pPr>
        <w:pStyle w:val="Compact"/>
        <w:numPr>
          <w:ilvl w:val="1"/>
          <w:numId w:val="1202"/>
        </w:numPr>
      </w:pPr>
      <w:r>
        <w:t xml:space="preserve">Mediadores del modelo: ninguno</w:t>
      </w:r>
    </w:p>
    <w:p>
      <w:pPr>
        <w:pStyle w:val="Compact"/>
        <w:numPr>
          <w:ilvl w:val="1"/>
          <w:numId w:val="1202"/>
        </w:numPr>
      </w:pPr>
      <w:r>
        <w:t xml:space="preserve">Motivo de la confianza: Meta territorial sin verificación. El territorio es un SUPUESTO.</w:t>
      </w:r>
    </w:p>
    <w:p>
      <w:pPr>
        <w:pStyle w:val="FirstParagraph"/>
      </w:pPr>
      <w:r>
        <w:t xml:space="preserve">**Ficha 062 · V02__V11 · clase INTER**</w:t>
      </w:r>
    </w:p>
    <w:p>
      <w:pPr>
        <w:pStyle w:val="Compact"/>
        <w:numPr>
          <w:ilvl w:val="0"/>
          <w:numId w:val="1203"/>
        </w:numPr>
      </w:pPr>
      <w:r>
        <w:rPr>
          <w:b/>
          <w:bCs/>
        </w:rPr>
        <w:t xml:space="preserve">V02→V11</w:t>
      </w:r>
      <w:r>
        <w:t xml:space="preserve"> </w:t>
      </w:r>
      <w:r>
        <w:t xml:space="preserve">· valor</w:t>
      </w:r>
      <w:r>
        <w:t xml:space="preserve"> </w:t>
      </w:r>
      <w:r>
        <w:rPr>
          <w:b/>
          <w:bCs/>
        </w:rPr>
        <w:t xml:space="preserve">2</w:t>
      </w:r>
      <w:r>
        <w:t xml:space="preserve"> </w:t>
      </w:r>
      <w:r>
        <w:t xml:space="preserve">(admisibles: 0, 2, 3) · signo + · naturaleza INFERIDO · estado PROPUESTO · confianza BAJA</w:t>
      </w:r>
    </w:p>
    <w:p>
      <w:pPr>
        <w:pStyle w:val="Compact"/>
        <w:numPr>
          <w:ilvl w:val="1"/>
          <w:numId w:val="1204"/>
        </w:numPr>
      </w:pPr>
      <w:r>
        <w:t xml:space="preserve">Mecanismo: Las formulaciones de AQHI con PM10 incorporan el polvo grueso al nivel de peligro. En actividades de demolición el PM10 predomina en la exposición ocupacional.</w:t>
      </w:r>
    </w:p>
    <w:p>
      <w:pPr>
        <w:pStyle w:val="Compact"/>
        <w:numPr>
          <w:ilvl w:val="1"/>
          <w:numId w:val="1204"/>
        </w:numPr>
      </w:pPr>
      <w:r>
        <w:t xml:space="preserve">Fundamento: Mismas bases que V01-&gt;V11. La participación del PM10 en la fórmula local es VACIO V-AQHI-01.</w:t>
      </w:r>
    </w:p>
    <w:p>
      <w:pPr>
        <w:pStyle w:val="Compact"/>
        <w:numPr>
          <w:ilvl w:val="1"/>
          <w:numId w:val="1204"/>
        </w:numPr>
      </w:pPr>
      <w:r>
        <w:t xml:space="preserve">Fuentes: F-INF, §1.3 hallazgo 5 (Liao et al., 2026, pp. 6 y 8) (alcance: Respalda la existencia de la familia de índices; no la composición local)</w:t>
      </w:r>
    </w:p>
    <w:p>
      <w:pPr>
        <w:pStyle w:val="Compact"/>
        <w:numPr>
          <w:ilvl w:val="1"/>
          <w:numId w:val="1204"/>
        </w:numPr>
      </w:pPr>
      <w:r>
        <w:t xml:space="preserve">Premisas: P-AQHI: el índice del proyecto usa PM2,5 y PM10 como insumos (descripción del tablero en E3-P09 y E3-P11).</w:t>
      </w:r>
    </w:p>
    <w:p>
      <w:pPr>
        <w:pStyle w:val="Compact"/>
        <w:numPr>
          <w:ilvl w:val="1"/>
          <w:numId w:val="1204"/>
        </w:numPr>
      </w:pPr>
      <w:r>
        <w:t xml:space="preserve">Justificación del valor: Se asigna 2 y no 3. El PM10 entra al índice con menor peso de mortalidad que el PM2,5 en las formulaciones conocidas. Su participación local es incierta.</w:t>
      </w:r>
    </w:p>
    <w:p>
      <w:pPr>
        <w:pStyle w:val="Compact"/>
        <w:numPr>
          <w:ilvl w:val="1"/>
          <w:numId w:val="1204"/>
        </w:numPr>
      </w:pPr>
      <w:r>
        <w:t xml:space="preserve">Ancla comparada: Menor que ANC-3. Mayor que ANC-2 porque el efecto es directo, no una resta parcial.</w:t>
      </w:r>
    </w:p>
    <w:p>
      <w:pPr>
        <w:pStyle w:val="Compact"/>
        <w:numPr>
          <w:ilvl w:val="1"/>
          <w:numId w:val="1204"/>
        </w:numPr>
      </w:pPr>
      <w:r>
        <w:t xml:space="preserve">Explicación rival: Si el índice usa solo PM2,5, el valor sería 0. Si el tablero reporta PM10 como índice separado, el valor sería 3.</w:t>
      </w:r>
    </w:p>
    <w:p>
      <w:pPr>
        <w:pStyle w:val="Compact"/>
        <w:numPr>
          <w:ilvl w:val="1"/>
          <w:numId w:val="1204"/>
        </w:numPr>
      </w:pPr>
      <w:r>
        <w:t xml:space="preserve">Mediadores del modelo: ninguno</w:t>
      </w:r>
    </w:p>
    <w:p>
      <w:pPr>
        <w:pStyle w:val="Compact"/>
        <w:numPr>
          <w:ilvl w:val="1"/>
          <w:numId w:val="1204"/>
        </w:numPr>
      </w:pPr>
      <w:r>
        <w:t xml:space="preserve">Motivo de la confianza: Fórmula local no disponible.</w:t>
      </w:r>
    </w:p>
    <w:p>
      <w:pPr>
        <w:pStyle w:val="Compact"/>
        <w:numPr>
          <w:ilvl w:val="0"/>
          <w:numId w:val="1203"/>
        </w:numPr>
      </w:pPr>
      <w:r>
        <w:rPr>
          <w:b/>
          <w:bCs/>
        </w:rPr>
        <w:t xml:space="preserve">V11→V02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05"/>
        </w:numPr>
      </w:pPr>
      <w:r>
        <w:t xml:space="preserve">Razón del cero: El índice emitido en pantalla no modifica la masa de PM10 del aire.</w:t>
      </w:r>
    </w:p>
    <w:p>
      <w:pPr>
        <w:pStyle w:val="Compact"/>
        <w:numPr>
          <w:ilvl w:val="1"/>
          <w:numId w:val="1205"/>
        </w:numPr>
      </w:pPr>
      <w:r>
        <w:t xml:space="preserve">Fundamento: Premisa P-0: no existe mecanismo físico, informático ni institucional que conecte V11 con V02 dentro de la frontera y el horizonte declarados.</w:t>
      </w:r>
    </w:p>
    <w:p>
      <w:pPr>
        <w:pStyle w:val="Compact"/>
        <w:numPr>
          <w:ilvl w:val="1"/>
          <w:numId w:val="1205"/>
        </w:numPr>
      </w:pPr>
      <w:r>
        <w:t xml:space="preserve">Justificación del valor: Se asigna 0 porque el índice emitido en pantalla no modifica la masa de PM10 del aire.</w:t>
      </w:r>
    </w:p>
    <w:p>
      <w:pPr>
        <w:pStyle w:val="Compact"/>
        <w:numPr>
          <w:ilvl w:val="1"/>
          <w:numId w:val="1205"/>
        </w:numPr>
      </w:pPr>
      <w:r>
        <w:t xml:space="preserve">Ancla comparada: ANC-0 (ver F4.4.2).</w:t>
      </w:r>
    </w:p>
    <w:p>
      <w:pPr>
        <w:pStyle w:val="Compact"/>
        <w:numPr>
          <w:ilvl w:val="1"/>
          <w:numId w:val="1205"/>
        </w:numPr>
      </w:pPr>
      <w:r>
        <w:t xml:space="preserve">Explicación rival: Ninguna alternativa plausible dentro de la frontera.</w:t>
      </w:r>
    </w:p>
    <w:p>
      <w:pPr>
        <w:pStyle w:val="Compact"/>
        <w:numPr>
          <w:ilvl w:val="1"/>
          <w:numId w:val="1205"/>
        </w:numPr>
      </w:pPr>
      <w:r>
        <w:t xml:space="preserve">Mediadores del modelo: ninguno</w:t>
      </w:r>
    </w:p>
    <w:p>
      <w:pPr>
        <w:pStyle w:val="Compact"/>
        <w:numPr>
          <w:ilvl w:val="1"/>
          <w:numId w:val="1205"/>
        </w:numPr>
      </w:pPr>
      <w:r>
        <w:t xml:space="preserve">Motivo de la confianza: Ausencia de mecanismo por razonamiento físico. Sin medición ni fuente específica.</w:t>
      </w:r>
    </w:p>
    <w:p>
      <w:pPr>
        <w:pStyle w:val="FirstParagraph"/>
      </w:pPr>
      <w:r>
        <w:t xml:space="preserve">**Ficha 063 · V10__V12 · clase INTER**</w:t>
      </w:r>
    </w:p>
    <w:p>
      <w:pPr>
        <w:pStyle w:val="Compact"/>
        <w:numPr>
          <w:ilvl w:val="0"/>
          <w:numId w:val="1206"/>
        </w:numPr>
      </w:pPr>
      <w:r>
        <w:rPr>
          <w:b/>
          <w:bCs/>
        </w:rPr>
        <w:t xml:space="preserve">V10→V12</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07"/>
        </w:numPr>
      </w:pPr>
      <w:r>
        <w:t xml:space="preserve">Mecanismo: El consenso entre nodos vecinos filtra picos espurios antes de emitir una alerta.</w:t>
      </w:r>
    </w:p>
    <w:p>
      <w:pPr>
        <w:pStyle w:val="Compact"/>
        <w:numPr>
          <w:ilvl w:val="1"/>
          <w:numId w:val="1207"/>
        </w:numPr>
      </w:pPr>
      <w:r>
        <w:t xml:space="preserve">Fundamento: Paso 4, Tabla E3-4.2, fila C11 (V12): alternativa imaginable de suprimir alertas espurias con lógica de consenso multinodo (decisión Cuestionar).</w:t>
      </w:r>
    </w:p>
    <w:p>
      <w:pPr>
        <w:pStyle w:val="Compact"/>
        <w:numPr>
          <w:ilvl w:val="1"/>
          <w:numId w:val="1207"/>
        </w:numPr>
      </w:pPr>
      <w:r>
        <w:t xml:space="preserve">Fuentes: F-E3, Paso 4, Tabla E3-4.2, fila C11 (V12) (alcance: Propuesta de diseño)</w:t>
      </w:r>
    </w:p>
    <w:p>
      <w:pPr>
        <w:pStyle w:val="Compact"/>
        <w:numPr>
          <w:ilvl w:val="1"/>
          <w:numId w:val="1207"/>
        </w:numPr>
      </w:pPr>
      <w:r>
        <w:t xml:space="preserve">Justificación del valor: Se asigna 1: el consenso requiere vecinos cercanos y sensores independientes, condición que 100 nodos en tres departamentos cumplen solo en parte.</w:t>
      </w:r>
    </w:p>
    <w:p>
      <w:pPr>
        <w:pStyle w:val="Compact"/>
        <w:numPr>
          <w:ilvl w:val="1"/>
          <w:numId w:val="1207"/>
        </w:numPr>
      </w:pPr>
      <w:r>
        <w:t xml:space="preserve">Ancla comparada: Igual a ANC-1.</w:t>
      </w:r>
    </w:p>
    <w:p>
      <w:pPr>
        <w:pStyle w:val="Compact"/>
        <w:numPr>
          <w:ilvl w:val="1"/>
          <w:numId w:val="1207"/>
        </w:numPr>
      </w:pPr>
      <w:r>
        <w:t xml:space="preserve">Explicación rival: Con nodos dispersos sin vecinos, el valor sería 0.</w:t>
      </w:r>
    </w:p>
    <w:p>
      <w:pPr>
        <w:pStyle w:val="Compact"/>
        <w:numPr>
          <w:ilvl w:val="1"/>
          <w:numId w:val="1207"/>
        </w:numPr>
      </w:pPr>
      <w:r>
        <w:t xml:space="preserve">Mediadores del modelo: ninguno</w:t>
      </w:r>
    </w:p>
    <w:p>
      <w:pPr>
        <w:pStyle w:val="Compact"/>
        <w:numPr>
          <w:ilvl w:val="1"/>
          <w:numId w:val="1207"/>
        </w:numPr>
      </w:pPr>
      <w:r>
        <w:t xml:space="preserve">Motivo de la confianza: Alternativa de diseño sin evidencia empírica.</w:t>
      </w:r>
    </w:p>
    <w:p>
      <w:pPr>
        <w:pStyle w:val="Compact"/>
        <w:numPr>
          <w:ilvl w:val="0"/>
          <w:numId w:val="1206"/>
        </w:numPr>
      </w:pPr>
      <w:r>
        <w:rPr>
          <w:b/>
          <w:bCs/>
        </w:rPr>
        <w:t xml:space="preserve">V12→V10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08"/>
        </w:numPr>
      </w:pPr>
      <w:r>
        <w:t xml:space="preserve">Razón del cero: Las falsas alarmas no cambian la cantidad de nodos por km² diseñada.</w:t>
      </w:r>
    </w:p>
    <w:p>
      <w:pPr>
        <w:pStyle w:val="Compact"/>
        <w:numPr>
          <w:ilvl w:val="1"/>
          <w:numId w:val="1208"/>
        </w:numPr>
      </w:pPr>
      <w:r>
        <w:t xml:space="preserve">Fundamento: Premisa P-0: no existe mecanismo físico, informático ni institucional que conecte V12 con V10 dentro de la frontera y el horizonte declarados.</w:t>
      </w:r>
    </w:p>
    <w:p>
      <w:pPr>
        <w:pStyle w:val="Compact"/>
        <w:numPr>
          <w:ilvl w:val="1"/>
          <w:numId w:val="1208"/>
        </w:numPr>
      </w:pPr>
      <w:r>
        <w:t xml:space="preserve">Justificación del valor: Se asigna 0 porque las falsas alarmas no cambian la cantidad de nodos por km² diseñada.</w:t>
      </w:r>
    </w:p>
    <w:p>
      <w:pPr>
        <w:pStyle w:val="Compact"/>
        <w:numPr>
          <w:ilvl w:val="1"/>
          <w:numId w:val="1208"/>
        </w:numPr>
      </w:pPr>
      <w:r>
        <w:t xml:space="preserve">Ancla comparada: ANC-0 (ver F4.4.2).</w:t>
      </w:r>
    </w:p>
    <w:p>
      <w:pPr>
        <w:pStyle w:val="Compact"/>
        <w:numPr>
          <w:ilvl w:val="1"/>
          <w:numId w:val="1208"/>
        </w:numPr>
      </w:pPr>
      <w:r>
        <w:t xml:space="preserve">Explicación rival: Ninguna alternativa plausible dentro de la frontera.</w:t>
      </w:r>
    </w:p>
    <w:p>
      <w:pPr>
        <w:pStyle w:val="Compact"/>
        <w:numPr>
          <w:ilvl w:val="1"/>
          <w:numId w:val="1208"/>
        </w:numPr>
      </w:pPr>
      <w:r>
        <w:t xml:space="preserve">Mediadores del modelo: ninguno</w:t>
      </w:r>
    </w:p>
    <w:p>
      <w:pPr>
        <w:pStyle w:val="Compact"/>
        <w:numPr>
          <w:ilvl w:val="1"/>
          <w:numId w:val="1208"/>
        </w:numPr>
      </w:pPr>
      <w:r>
        <w:t xml:space="preserve">Motivo de la confianza: Ausencia de mecanismo por razonamiento físico. Sin medición ni fuente específica.</w:t>
      </w:r>
    </w:p>
    <w:p>
      <w:pPr>
        <w:pStyle w:val="FirstParagraph"/>
      </w:pPr>
      <w:r>
        <w:t xml:space="preserve">**Ficha 064 · V02__V07 · clase INTER**</w:t>
      </w:r>
    </w:p>
    <w:p>
      <w:pPr>
        <w:pStyle w:val="Compact"/>
        <w:numPr>
          <w:ilvl w:val="0"/>
          <w:numId w:val="1209"/>
        </w:numPr>
      </w:pPr>
      <w:r>
        <w:rPr>
          <w:b/>
          <w:bCs/>
        </w:rPr>
        <w:t xml:space="preserve">V02→V07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0"/>
        </w:numPr>
      </w:pPr>
      <w:r>
        <w:t xml:space="preserve">Razón del cero: La concentración de PM10 no fija la frecuencia de calibración. Esta es una decisión operativa.</w:t>
      </w:r>
    </w:p>
    <w:p>
      <w:pPr>
        <w:pStyle w:val="Compact"/>
        <w:numPr>
          <w:ilvl w:val="1"/>
          <w:numId w:val="1210"/>
        </w:numPr>
      </w:pPr>
      <w:r>
        <w:t xml:space="preserve">Fundamento: Premisa P-M: la influencia de V02 sobre V07 opera solo a través de V06. Se puntúa en los pares V02→V06 y V06→V07. No se duplica aquí.</w:t>
      </w:r>
    </w:p>
    <w:p>
      <w:pPr>
        <w:pStyle w:val="Compact"/>
        <w:numPr>
          <w:ilvl w:val="1"/>
          <w:numId w:val="1210"/>
        </w:numPr>
      </w:pPr>
      <w:r>
        <w:t xml:space="preserve">Justificación del valor: Se asigna 0 porque la concentración de PM10 no fija la frecuencia de calibración. Esta es una decisión operativa.</w:t>
      </w:r>
    </w:p>
    <w:p>
      <w:pPr>
        <w:pStyle w:val="Compact"/>
        <w:numPr>
          <w:ilvl w:val="1"/>
          <w:numId w:val="1210"/>
        </w:numPr>
      </w:pPr>
      <w:r>
        <w:t xml:space="preserve">Ancla comparada: ANC-0 (ver F4.4.2).</w:t>
      </w:r>
    </w:p>
    <w:p>
      <w:pPr>
        <w:pStyle w:val="Compact"/>
        <w:numPr>
          <w:ilvl w:val="1"/>
          <w:numId w:val="1210"/>
        </w:numPr>
      </w:pPr>
      <w:r>
        <w:t xml:space="preserve">Explicación rival: Un episodio extremo podría motivar calibraciones adicionales mediante el error observado (V06).</w:t>
      </w:r>
    </w:p>
    <w:p>
      <w:pPr>
        <w:pStyle w:val="Compact"/>
        <w:numPr>
          <w:ilvl w:val="1"/>
          <w:numId w:val="1210"/>
        </w:numPr>
      </w:pPr>
      <w:r>
        <w:t xml:space="preserve">Mediadores del modelo: V06</w:t>
      </w:r>
    </w:p>
    <w:p>
      <w:pPr>
        <w:pStyle w:val="Compact"/>
        <w:numPr>
          <w:ilvl w:val="1"/>
          <w:numId w:val="1210"/>
        </w:numPr>
      </w:pPr>
      <w:r>
        <w:t xml:space="preserve">Motivo de la confianza: Ruta indirecta explícita en el modelo.</w:t>
      </w:r>
    </w:p>
    <w:p>
      <w:pPr>
        <w:pStyle w:val="Compact"/>
        <w:numPr>
          <w:ilvl w:val="0"/>
          <w:numId w:val="1209"/>
        </w:numPr>
      </w:pPr>
      <w:r>
        <w:rPr>
          <w:b/>
          <w:bCs/>
        </w:rPr>
        <w:t xml:space="preserve">V07→V02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1"/>
        </w:numPr>
      </w:pPr>
      <w:r>
        <w:t xml:space="preserve">Razón del cero: La calibración algorítmica corrige la lectura, no la masa de PM10 del aire.</w:t>
      </w:r>
    </w:p>
    <w:p>
      <w:pPr>
        <w:pStyle w:val="Compact"/>
        <w:numPr>
          <w:ilvl w:val="1"/>
          <w:numId w:val="1211"/>
        </w:numPr>
      </w:pPr>
      <w:r>
        <w:t xml:space="preserve">Fundamento: Premisa P-0: no existe mecanismo físico, informático ni institucional que conecte V07 con V02 dentro de la frontera y el horizonte declarados.</w:t>
      </w:r>
    </w:p>
    <w:p>
      <w:pPr>
        <w:pStyle w:val="Compact"/>
        <w:numPr>
          <w:ilvl w:val="1"/>
          <w:numId w:val="1211"/>
        </w:numPr>
      </w:pPr>
      <w:r>
        <w:t xml:space="preserve">Justificación del valor: Se asigna 0 porque la calibración algorítmica corrige la lectura, no la masa de PM10 del aire.</w:t>
      </w:r>
    </w:p>
    <w:p>
      <w:pPr>
        <w:pStyle w:val="Compact"/>
        <w:numPr>
          <w:ilvl w:val="1"/>
          <w:numId w:val="1211"/>
        </w:numPr>
      </w:pPr>
      <w:r>
        <w:t xml:space="preserve">Ancla comparada: ANC-0 (ver F4.4.2).</w:t>
      </w:r>
    </w:p>
    <w:p>
      <w:pPr>
        <w:pStyle w:val="Compact"/>
        <w:numPr>
          <w:ilvl w:val="1"/>
          <w:numId w:val="1211"/>
        </w:numPr>
      </w:pPr>
      <w:r>
        <w:t xml:space="preserve">Explicación rival: Ninguna alternativa plausible dentro de la frontera.</w:t>
      </w:r>
    </w:p>
    <w:p>
      <w:pPr>
        <w:pStyle w:val="Compact"/>
        <w:numPr>
          <w:ilvl w:val="1"/>
          <w:numId w:val="1211"/>
        </w:numPr>
      </w:pPr>
      <w:r>
        <w:t xml:space="preserve">Mediadores del modelo: ninguno</w:t>
      </w:r>
    </w:p>
    <w:p>
      <w:pPr>
        <w:pStyle w:val="Compact"/>
        <w:numPr>
          <w:ilvl w:val="1"/>
          <w:numId w:val="1211"/>
        </w:numPr>
      </w:pPr>
      <w:r>
        <w:t xml:space="preserve">Motivo de la confianza: Ausencia de mecanismo por razonamiento físico. Sin medición ni fuente específica.</w:t>
      </w:r>
    </w:p>
    <w:p>
      <w:pPr>
        <w:pStyle w:val="FirstParagraph"/>
      </w:pPr>
      <w:r>
        <w:t xml:space="preserve">**Ficha 065 · V03__V08 · clase INTER**</w:t>
      </w:r>
    </w:p>
    <w:p>
      <w:pPr>
        <w:pStyle w:val="Compact"/>
        <w:numPr>
          <w:ilvl w:val="0"/>
          <w:numId w:val="1212"/>
        </w:numPr>
      </w:pPr>
      <w:r>
        <w:rPr>
          <w:b/>
          <w:bCs/>
        </w:rPr>
        <w:t xml:space="preserve">V03→V08</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3"/>
        </w:numPr>
      </w:pPr>
      <w:r>
        <w:t xml:space="preserve">Razón del cero: La humedad relativa no altera el retraso de transmisión en los enlaces sub-GHz y celulares considerados.</w:t>
      </w:r>
    </w:p>
    <w:p>
      <w:pPr>
        <w:pStyle w:val="Compact"/>
        <w:numPr>
          <w:ilvl w:val="1"/>
          <w:numId w:val="1213"/>
        </w:numPr>
      </w:pPr>
      <w:r>
        <w:t xml:space="preserve">Fundamento: Premisa P-0: no existe mecanismo físico, informático ni institucional que conecte V03 con V08 dentro de la frontera y el horizonte declarados.</w:t>
      </w:r>
    </w:p>
    <w:p>
      <w:pPr>
        <w:pStyle w:val="Compact"/>
        <w:numPr>
          <w:ilvl w:val="1"/>
          <w:numId w:val="1213"/>
        </w:numPr>
      </w:pPr>
      <w:r>
        <w:t xml:space="preserve">Justificación del valor: Se asigna 0 porque la humedad relativa no altera el retraso de transmisión en los enlaces sub-GHz y celulares considerados.</w:t>
      </w:r>
    </w:p>
    <w:p>
      <w:pPr>
        <w:pStyle w:val="Compact"/>
        <w:numPr>
          <w:ilvl w:val="1"/>
          <w:numId w:val="1213"/>
        </w:numPr>
      </w:pPr>
      <w:r>
        <w:t xml:space="preserve">Ancla comparada: ANC-0 (ver F4.4.2).</w:t>
      </w:r>
    </w:p>
    <w:p>
      <w:pPr>
        <w:pStyle w:val="Compact"/>
        <w:numPr>
          <w:ilvl w:val="1"/>
          <w:numId w:val="1213"/>
        </w:numPr>
      </w:pPr>
      <w:r>
        <w:t xml:space="preserve">Explicación rival: La lluvia degrada enlaces de microondas. No aplica a los enlaces del diseño y la lluvia no está en el modelo.</w:t>
      </w:r>
    </w:p>
    <w:p>
      <w:pPr>
        <w:pStyle w:val="Compact"/>
        <w:numPr>
          <w:ilvl w:val="1"/>
          <w:numId w:val="1213"/>
        </w:numPr>
      </w:pPr>
      <w:r>
        <w:t xml:space="preserve">Mediadores del modelo: ninguno</w:t>
      </w:r>
    </w:p>
    <w:p>
      <w:pPr>
        <w:pStyle w:val="Compact"/>
        <w:numPr>
          <w:ilvl w:val="1"/>
          <w:numId w:val="1213"/>
        </w:numPr>
      </w:pPr>
      <w:r>
        <w:t xml:space="preserve">Motivo de la confianza: Ausencia de mecanismo por razonamiento físico. Sin medición ni fuente específica.</w:t>
      </w:r>
    </w:p>
    <w:p>
      <w:pPr>
        <w:pStyle w:val="Compact"/>
        <w:numPr>
          <w:ilvl w:val="0"/>
          <w:numId w:val="1212"/>
        </w:numPr>
      </w:pPr>
      <w:r>
        <w:rPr>
          <w:b/>
          <w:bCs/>
        </w:rPr>
        <w:t xml:space="preserve">V08→V03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4"/>
        </w:numPr>
      </w:pPr>
      <w:r>
        <w:t xml:space="preserve">Razón del cero: El retraso de datos no modifica la humedad relativa.</w:t>
      </w:r>
    </w:p>
    <w:p>
      <w:pPr>
        <w:pStyle w:val="Compact"/>
        <w:numPr>
          <w:ilvl w:val="1"/>
          <w:numId w:val="1214"/>
        </w:numPr>
      </w:pPr>
      <w:r>
        <w:t xml:space="preserve">Fundamento: Premisa P-0: no existe mecanismo físico, informático ni institucional que conecte V08 con V03 dentro de la frontera y el horizonte declarados.</w:t>
      </w:r>
    </w:p>
    <w:p>
      <w:pPr>
        <w:pStyle w:val="Compact"/>
        <w:numPr>
          <w:ilvl w:val="1"/>
          <w:numId w:val="1214"/>
        </w:numPr>
      </w:pPr>
      <w:r>
        <w:t xml:space="preserve">Justificación del valor: Se asigna 0 porque el retraso de datos no modifica la humedad relativa.</w:t>
      </w:r>
    </w:p>
    <w:p>
      <w:pPr>
        <w:pStyle w:val="Compact"/>
        <w:numPr>
          <w:ilvl w:val="1"/>
          <w:numId w:val="1214"/>
        </w:numPr>
      </w:pPr>
      <w:r>
        <w:t xml:space="preserve">Ancla comparada: ANC-0 (ver F4.4.2).</w:t>
      </w:r>
    </w:p>
    <w:p>
      <w:pPr>
        <w:pStyle w:val="Compact"/>
        <w:numPr>
          <w:ilvl w:val="1"/>
          <w:numId w:val="1214"/>
        </w:numPr>
      </w:pPr>
      <w:r>
        <w:t xml:space="preserve">Explicación rival: Ninguna alternativa plausible dentro de la frontera.</w:t>
      </w:r>
    </w:p>
    <w:p>
      <w:pPr>
        <w:pStyle w:val="Compact"/>
        <w:numPr>
          <w:ilvl w:val="1"/>
          <w:numId w:val="1214"/>
        </w:numPr>
      </w:pPr>
      <w:r>
        <w:t xml:space="preserve">Mediadores del modelo: ninguno</w:t>
      </w:r>
    </w:p>
    <w:p>
      <w:pPr>
        <w:pStyle w:val="Compact"/>
        <w:numPr>
          <w:ilvl w:val="1"/>
          <w:numId w:val="1214"/>
        </w:numPr>
      </w:pPr>
      <w:r>
        <w:t xml:space="preserve">Motivo de la confianza: Ausencia de mecanismo por razonamiento físico. Sin medición ni fuente específica.</w:t>
      </w:r>
    </w:p>
    <w:p>
      <w:pPr>
        <w:pStyle w:val="FirstParagraph"/>
      </w:pPr>
      <w:r>
        <w:t xml:space="preserve">**Ficha 066 · V02__V15 · clase INTER**</w:t>
      </w:r>
    </w:p>
    <w:p>
      <w:pPr>
        <w:pStyle w:val="Compact"/>
        <w:numPr>
          <w:ilvl w:val="0"/>
          <w:numId w:val="1215"/>
        </w:numPr>
      </w:pPr>
      <w:r>
        <w:rPr>
          <w:b/>
          <w:bCs/>
        </w:rPr>
        <w:t xml:space="preserve">V02→V15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6"/>
        </w:numPr>
      </w:pPr>
      <w:r>
        <w:t xml:space="preserve">Razón del cero: La concentración de polvo no determina el uso institucional del tablero.</w:t>
      </w:r>
    </w:p>
    <w:p>
      <w:pPr>
        <w:pStyle w:val="Compact"/>
        <w:numPr>
          <w:ilvl w:val="1"/>
          <w:numId w:val="1216"/>
        </w:numPr>
      </w:pPr>
      <w:r>
        <w:t xml:space="preserve">Fundamento: Premisa P-0: no existe mecanismo físico, informático ni institucional que conecte V02 con V15 dentro de la frontera y el horizonte declarados.</w:t>
      </w:r>
    </w:p>
    <w:p>
      <w:pPr>
        <w:pStyle w:val="Compact"/>
        <w:numPr>
          <w:ilvl w:val="1"/>
          <w:numId w:val="1216"/>
        </w:numPr>
      </w:pPr>
      <w:r>
        <w:t xml:space="preserve">Justificación del valor: Se asigna 0 porque la concentración de polvo no determina el uso institucional del tablero.</w:t>
      </w:r>
    </w:p>
    <w:p>
      <w:pPr>
        <w:pStyle w:val="Compact"/>
        <w:numPr>
          <w:ilvl w:val="1"/>
          <w:numId w:val="1216"/>
        </w:numPr>
      </w:pPr>
      <w:r>
        <w:t xml:space="preserve">Ancla comparada: ANC-0 (ver F4.4.2).</w:t>
      </w:r>
    </w:p>
    <w:p>
      <w:pPr>
        <w:pStyle w:val="Compact"/>
        <w:numPr>
          <w:ilvl w:val="1"/>
          <w:numId w:val="1216"/>
        </w:numPr>
      </w:pPr>
      <w:r>
        <w:t xml:space="preserve">Explicación rival: Una exposición visible podría aumentar la demanda de información. Esa demanda se expresa por V11.</w:t>
      </w:r>
    </w:p>
    <w:p>
      <w:pPr>
        <w:pStyle w:val="Compact"/>
        <w:numPr>
          <w:ilvl w:val="1"/>
          <w:numId w:val="1216"/>
        </w:numPr>
      </w:pPr>
      <w:r>
        <w:t xml:space="preserve">Mediadores del modelo: ninguno</w:t>
      </w:r>
    </w:p>
    <w:p>
      <w:pPr>
        <w:pStyle w:val="Compact"/>
        <w:numPr>
          <w:ilvl w:val="1"/>
          <w:numId w:val="1216"/>
        </w:numPr>
      </w:pPr>
      <w:r>
        <w:t xml:space="preserve">Motivo de la confianza: Ausencia de mecanismo por razonamiento físico. Sin medición ni fuente específica.</w:t>
      </w:r>
    </w:p>
    <w:p>
      <w:pPr>
        <w:pStyle w:val="Compact"/>
        <w:numPr>
          <w:ilvl w:val="0"/>
          <w:numId w:val="1215"/>
        </w:numPr>
      </w:pPr>
      <w:r>
        <w:rPr>
          <w:b/>
          <w:bCs/>
        </w:rPr>
        <w:t xml:space="preserve">V15→V02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7"/>
        </w:numPr>
      </w:pPr>
      <w:r>
        <w:t xml:space="preserve">Razón del cero: El uso institucional del tablero no modifica la masa de PM10 del aire.</w:t>
      </w:r>
    </w:p>
    <w:p>
      <w:pPr>
        <w:pStyle w:val="Compact"/>
        <w:numPr>
          <w:ilvl w:val="1"/>
          <w:numId w:val="1217"/>
        </w:numPr>
      </w:pPr>
      <w:r>
        <w:t xml:space="preserve">Fundamento: Premisa P-0: no existe mecanismo físico, informático ni institucional que conecte V15 con V02 dentro de la frontera y el horizonte declarados.</w:t>
      </w:r>
    </w:p>
    <w:p>
      <w:pPr>
        <w:pStyle w:val="Compact"/>
        <w:numPr>
          <w:ilvl w:val="1"/>
          <w:numId w:val="1217"/>
        </w:numPr>
      </w:pPr>
      <w:r>
        <w:t xml:space="preserve">Justificación del valor: Se asigna 0 porque el uso institucional del tablero no modifica la masa de PM10 del aire.</w:t>
      </w:r>
    </w:p>
    <w:p>
      <w:pPr>
        <w:pStyle w:val="Compact"/>
        <w:numPr>
          <w:ilvl w:val="1"/>
          <w:numId w:val="1217"/>
        </w:numPr>
      </w:pPr>
      <w:r>
        <w:t xml:space="preserve">Ancla comparada: ANC-0 (ver F4.4.2).</w:t>
      </w:r>
    </w:p>
    <w:p>
      <w:pPr>
        <w:pStyle w:val="Compact"/>
        <w:numPr>
          <w:ilvl w:val="1"/>
          <w:numId w:val="1217"/>
        </w:numPr>
      </w:pPr>
      <w:r>
        <w:t xml:space="preserve">Explicación rival: Las órdenes de rociado afectan las emisiones por V05, no la humedad ambiental.</w:t>
      </w:r>
    </w:p>
    <w:p>
      <w:pPr>
        <w:pStyle w:val="Compact"/>
        <w:numPr>
          <w:ilvl w:val="1"/>
          <w:numId w:val="1217"/>
        </w:numPr>
      </w:pPr>
      <w:r>
        <w:t xml:space="preserve">Mediadores del modelo: ninguno</w:t>
      </w:r>
    </w:p>
    <w:p>
      <w:pPr>
        <w:pStyle w:val="Compact"/>
        <w:numPr>
          <w:ilvl w:val="1"/>
          <w:numId w:val="1217"/>
        </w:numPr>
      </w:pPr>
      <w:r>
        <w:t xml:space="preserve">Motivo de la confianza: Ausencia de mecanismo por razonamiento físico. Sin medición ni fuente específica.</w:t>
      </w:r>
    </w:p>
    <w:p>
      <w:pPr>
        <w:pStyle w:val="FirstParagraph"/>
      </w:pPr>
      <w:r>
        <w:t xml:space="preserve">**Ficha 067 · V08__V15 · clase INTER**</w:t>
      </w:r>
    </w:p>
    <w:p>
      <w:pPr>
        <w:pStyle w:val="Compact"/>
        <w:numPr>
          <w:ilvl w:val="0"/>
          <w:numId w:val="1218"/>
        </w:numPr>
      </w:pPr>
      <w:r>
        <w:rPr>
          <w:b/>
          <w:bCs/>
        </w:rPr>
        <w:t xml:space="preserve">V08→V15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219"/>
        </w:numPr>
      </w:pPr>
      <w:r>
        <w:t xml:space="preserve">Razón del cero: El retraso no determina el uso institucional del tablero de forma directa.</w:t>
      </w:r>
    </w:p>
    <w:p>
      <w:pPr>
        <w:pStyle w:val="Compact"/>
        <w:numPr>
          <w:ilvl w:val="1"/>
          <w:numId w:val="1219"/>
        </w:numPr>
      </w:pPr>
      <w:r>
        <w:t xml:space="preserve">Fundamento: Premisa P-0: no existe mecanismo físico, informático ni institucional que conecte V08 con V15 dentro de la frontera y el horizonte declarados.</w:t>
      </w:r>
    </w:p>
    <w:p>
      <w:pPr>
        <w:pStyle w:val="Compact"/>
        <w:numPr>
          <w:ilvl w:val="1"/>
          <w:numId w:val="1219"/>
        </w:numPr>
      </w:pPr>
      <w:r>
        <w:t xml:space="preserve">Justificación del valor: Se asigna 0 porque el retraso no determina el uso institucional del tablero de forma directa.</w:t>
      </w:r>
    </w:p>
    <w:p>
      <w:pPr>
        <w:pStyle w:val="Compact"/>
        <w:numPr>
          <w:ilvl w:val="1"/>
          <w:numId w:val="1219"/>
        </w:numPr>
      </w:pPr>
      <w:r>
        <w:t xml:space="preserve">Ancla comparada: ANC-0 (ver F4.4.2).</w:t>
      </w:r>
    </w:p>
    <w:p>
      <w:pPr>
        <w:pStyle w:val="Compact"/>
        <w:numPr>
          <w:ilvl w:val="1"/>
          <w:numId w:val="1219"/>
        </w:numPr>
      </w:pPr>
      <w:r>
        <w:t xml:space="preserve">Explicación rival: Latencias perceptibles pueden desmotivar el uso. No hay evidencia en el expediente.</w:t>
      </w:r>
    </w:p>
    <w:p>
      <w:pPr>
        <w:pStyle w:val="Compact"/>
        <w:numPr>
          <w:ilvl w:val="1"/>
          <w:numId w:val="1219"/>
        </w:numPr>
      </w:pPr>
      <w:r>
        <w:t xml:space="preserve">Mediadores del modelo: ninguno</w:t>
      </w:r>
    </w:p>
    <w:p>
      <w:pPr>
        <w:pStyle w:val="Compact"/>
        <w:numPr>
          <w:ilvl w:val="1"/>
          <w:numId w:val="1219"/>
        </w:numPr>
      </w:pPr>
      <w:r>
        <w:t xml:space="preserve">Motivo de la confianza: Ausencia de mecanismo por razonamiento físico. Sin medición ni fuente específica.</w:t>
      </w:r>
    </w:p>
    <w:p>
      <w:pPr>
        <w:pStyle w:val="Compact"/>
        <w:numPr>
          <w:ilvl w:val="0"/>
          <w:numId w:val="1218"/>
        </w:numPr>
      </w:pPr>
      <w:r>
        <w:rPr>
          <w:b/>
          <w:bCs/>
        </w:rPr>
        <w:t xml:space="preserve">V15→V08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0"/>
        </w:numPr>
      </w:pPr>
      <w:r>
        <w:t xml:space="preserve">Razón del cero: La adopción institucional no cambia el retraso de transmisión.</w:t>
      </w:r>
    </w:p>
    <w:p>
      <w:pPr>
        <w:pStyle w:val="Compact"/>
        <w:numPr>
          <w:ilvl w:val="1"/>
          <w:numId w:val="1220"/>
        </w:numPr>
      </w:pPr>
      <w:r>
        <w:t xml:space="preserve">Fundamento: Premisa P-0: no existe mecanismo físico, informático ni institucional que conecte V15 con V08 dentro de la frontera y el horizonte declarados.</w:t>
      </w:r>
    </w:p>
    <w:p>
      <w:pPr>
        <w:pStyle w:val="Compact"/>
        <w:numPr>
          <w:ilvl w:val="1"/>
          <w:numId w:val="1220"/>
        </w:numPr>
      </w:pPr>
      <w:r>
        <w:t xml:space="preserve">Justificación del valor: Se asigna 0 porque la adopción institucional no cambia el retraso de transmisión.</w:t>
      </w:r>
    </w:p>
    <w:p>
      <w:pPr>
        <w:pStyle w:val="Compact"/>
        <w:numPr>
          <w:ilvl w:val="1"/>
          <w:numId w:val="1220"/>
        </w:numPr>
      </w:pPr>
      <w:r>
        <w:t xml:space="preserve">Ancla comparada: ANC-0 (ver F4.4.2).</w:t>
      </w:r>
    </w:p>
    <w:p>
      <w:pPr>
        <w:pStyle w:val="Compact"/>
        <w:numPr>
          <w:ilvl w:val="1"/>
          <w:numId w:val="1220"/>
        </w:numPr>
      </w:pPr>
      <w:r>
        <w:t xml:space="preserve">Explicación rival: Ninguna alternativa plausible dentro de la frontera.</w:t>
      </w:r>
    </w:p>
    <w:p>
      <w:pPr>
        <w:pStyle w:val="Compact"/>
        <w:numPr>
          <w:ilvl w:val="1"/>
          <w:numId w:val="1220"/>
        </w:numPr>
      </w:pPr>
      <w:r>
        <w:t xml:space="preserve">Mediadores del modelo: ninguno</w:t>
      </w:r>
    </w:p>
    <w:p>
      <w:pPr>
        <w:pStyle w:val="Compact"/>
        <w:numPr>
          <w:ilvl w:val="1"/>
          <w:numId w:val="1220"/>
        </w:numPr>
      </w:pPr>
      <w:r>
        <w:t xml:space="preserve">Motivo de la confianza: Ausencia de mecanismo por razonamiento físico. Sin medición ni fuente específica.</w:t>
      </w:r>
    </w:p>
    <w:p>
      <w:pPr>
        <w:pStyle w:val="FirstParagraph"/>
      </w:pPr>
      <w:r>
        <w:t xml:space="preserve">**Ficha 068 · V02__V12 · clase INTER**</w:t>
      </w:r>
    </w:p>
    <w:p>
      <w:pPr>
        <w:pStyle w:val="Compact"/>
        <w:numPr>
          <w:ilvl w:val="0"/>
          <w:numId w:val="1221"/>
        </w:numPr>
      </w:pPr>
      <w:r>
        <w:rPr>
          <w:b/>
          <w:bCs/>
        </w:rPr>
        <w:t xml:space="preserve">V02→V12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2"/>
        </w:numPr>
      </w:pPr>
      <w:r>
        <w:t xml:space="preserve">Razón del cero: Una concentración real alta genera alertas verdaderas. La falsa alarma proviene del error de medición o del umbral.</w:t>
      </w:r>
    </w:p>
    <w:p>
      <w:pPr>
        <w:pStyle w:val="Compact"/>
        <w:numPr>
          <w:ilvl w:val="1"/>
          <w:numId w:val="1222"/>
        </w:numPr>
      </w:pPr>
      <w:r>
        <w:t xml:space="preserve">Fundamento: Premisa P-M: la influencia de V02 sobre V12 opera solo a través de V06, V11. Se puntúa en los pares V02→V06 y V06→V12, V02→V11 y V11→V12. No se duplica aquí.</w:t>
      </w:r>
    </w:p>
    <w:p>
      <w:pPr>
        <w:pStyle w:val="Compact"/>
        <w:numPr>
          <w:ilvl w:val="1"/>
          <w:numId w:val="1222"/>
        </w:numPr>
      </w:pPr>
      <w:r>
        <w:t xml:space="preserve">Justificación del valor: Se asigna 0 porque una concentración real alta genera alertas verdaderas. La falsa alarma proviene del error de medición o del umbral.</w:t>
      </w:r>
    </w:p>
    <w:p>
      <w:pPr>
        <w:pStyle w:val="Compact"/>
        <w:numPr>
          <w:ilvl w:val="1"/>
          <w:numId w:val="1222"/>
        </w:numPr>
      </w:pPr>
      <w:r>
        <w:t xml:space="preserve">Ancla comparada: ANC-0 (ver F4.4.2).</w:t>
      </w:r>
    </w:p>
    <w:p>
      <w:pPr>
        <w:pStyle w:val="Compact"/>
        <w:numPr>
          <w:ilvl w:val="1"/>
          <w:numId w:val="1222"/>
        </w:numPr>
      </w:pPr>
      <w:r>
        <w:t xml:space="preserve">Explicación rival: Cerca del umbral, una concentración alta aumenta la probabilidad de clasificar mal. Ese efecto opera por V06 y V11.</w:t>
      </w:r>
    </w:p>
    <w:p>
      <w:pPr>
        <w:pStyle w:val="Compact"/>
        <w:numPr>
          <w:ilvl w:val="1"/>
          <w:numId w:val="1222"/>
        </w:numPr>
      </w:pPr>
      <w:r>
        <w:t xml:space="preserve">Mediadores del modelo: V06, V11</w:t>
      </w:r>
    </w:p>
    <w:p>
      <w:pPr>
        <w:pStyle w:val="Compact"/>
        <w:numPr>
          <w:ilvl w:val="1"/>
          <w:numId w:val="1222"/>
        </w:numPr>
      </w:pPr>
      <w:r>
        <w:t xml:space="preserve">Motivo de la confianza: Ruta indirecta explícita en el modelo.</w:t>
      </w:r>
    </w:p>
    <w:p>
      <w:pPr>
        <w:pStyle w:val="Compact"/>
        <w:numPr>
          <w:ilvl w:val="0"/>
          <w:numId w:val="1221"/>
        </w:numPr>
      </w:pPr>
      <w:r>
        <w:rPr>
          <w:b/>
          <w:bCs/>
        </w:rPr>
        <w:t xml:space="preserve">V12→V02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3"/>
        </w:numPr>
      </w:pPr>
      <w:r>
        <w:t xml:space="preserve">Razón del cero: Las falsas alarmas no modifican la masa de PM10 del aire.</w:t>
      </w:r>
    </w:p>
    <w:p>
      <w:pPr>
        <w:pStyle w:val="Compact"/>
        <w:numPr>
          <w:ilvl w:val="1"/>
          <w:numId w:val="1223"/>
        </w:numPr>
      </w:pPr>
      <w:r>
        <w:t xml:space="preserve">Fundamento: Premisa P-0: no existe mecanismo físico, informático ni institucional que conecte V12 con V02 dentro de la frontera y el horizonte declarados.</w:t>
      </w:r>
    </w:p>
    <w:p>
      <w:pPr>
        <w:pStyle w:val="Compact"/>
        <w:numPr>
          <w:ilvl w:val="1"/>
          <w:numId w:val="1223"/>
        </w:numPr>
      </w:pPr>
      <w:r>
        <w:t xml:space="preserve">Justificación del valor: Se asigna 0 porque las falsas alarmas no modifican la masa de PM10 del aire.</w:t>
      </w:r>
    </w:p>
    <w:p>
      <w:pPr>
        <w:pStyle w:val="Compact"/>
        <w:numPr>
          <w:ilvl w:val="1"/>
          <w:numId w:val="1223"/>
        </w:numPr>
      </w:pPr>
      <w:r>
        <w:t xml:space="preserve">Ancla comparada: ANC-0 (ver F4.4.2).</w:t>
      </w:r>
    </w:p>
    <w:p>
      <w:pPr>
        <w:pStyle w:val="Compact"/>
        <w:numPr>
          <w:ilvl w:val="1"/>
          <w:numId w:val="1223"/>
        </w:numPr>
      </w:pPr>
      <w:r>
        <w:t xml:space="preserve">Explicación rival: Ninguna alternativa plausible dentro de la frontera.</w:t>
      </w:r>
    </w:p>
    <w:p>
      <w:pPr>
        <w:pStyle w:val="Compact"/>
        <w:numPr>
          <w:ilvl w:val="1"/>
          <w:numId w:val="1223"/>
        </w:numPr>
      </w:pPr>
      <w:r>
        <w:t xml:space="preserve">Mediadores del modelo: ninguno</w:t>
      </w:r>
    </w:p>
    <w:p>
      <w:pPr>
        <w:pStyle w:val="Compact"/>
        <w:numPr>
          <w:ilvl w:val="1"/>
          <w:numId w:val="1223"/>
        </w:numPr>
      </w:pPr>
      <w:r>
        <w:t xml:space="preserve">Motivo de la confianza: Ausencia de mecanismo por razonamiento físico. Sin medición ni fuente específica.</w:t>
      </w:r>
    </w:p>
    <w:p>
      <w:pPr>
        <w:pStyle w:val="FirstParagraph"/>
      </w:pPr>
      <w:r>
        <w:t xml:space="preserve">**Ficha 069 · V04__V11 · clase INTER**</w:t>
      </w:r>
    </w:p>
    <w:p>
      <w:pPr>
        <w:pStyle w:val="Compact"/>
        <w:numPr>
          <w:ilvl w:val="0"/>
          <w:numId w:val="1224"/>
        </w:numPr>
      </w:pPr>
      <w:r>
        <w:rPr>
          <w:b/>
          <w:bCs/>
        </w:rPr>
        <w:t xml:space="preserve">V04→V11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5"/>
        </w:numPr>
      </w:pPr>
      <w:r>
        <w:t xml:space="preserve">Razón del cero: El viento afecta el índice a través de la concentración (V01, V02), no directamente.</w:t>
      </w:r>
    </w:p>
    <w:p>
      <w:pPr>
        <w:pStyle w:val="Compact"/>
        <w:numPr>
          <w:ilvl w:val="1"/>
          <w:numId w:val="1225"/>
        </w:numPr>
      </w:pPr>
      <w:r>
        <w:t xml:space="preserve">Fundamento: Premisa P-M: la influencia de V04 sobre V11 opera solo a través de V01, V02. Se puntúa en los pares V04→V01 y V01→V11, V04→V02 y V02→V11. No se duplica aquí.</w:t>
      </w:r>
    </w:p>
    <w:p>
      <w:pPr>
        <w:pStyle w:val="Compact"/>
        <w:numPr>
          <w:ilvl w:val="1"/>
          <w:numId w:val="1225"/>
        </w:numPr>
      </w:pPr>
      <w:r>
        <w:t xml:space="preserve">Justificación del valor: Se asigna 0 porque el viento afecta el índice a través de la concentración (V01, V02), no directamente.</w:t>
      </w:r>
    </w:p>
    <w:p>
      <w:pPr>
        <w:pStyle w:val="Compact"/>
        <w:numPr>
          <w:ilvl w:val="1"/>
          <w:numId w:val="1225"/>
        </w:numPr>
      </w:pPr>
      <w:r>
        <w:t xml:space="preserve">Ancla comparada: ANC-0 (ver F4.4.2).</w:t>
      </w:r>
    </w:p>
    <w:p>
      <w:pPr>
        <w:pStyle w:val="Compact"/>
        <w:numPr>
          <w:ilvl w:val="1"/>
          <w:numId w:val="1225"/>
        </w:numPr>
      </w:pPr>
      <w:r>
        <w:t xml:space="preserve">Explicación rival: Un pronóstico de viento integrado al índice cambiaría la relación. El expediente no lo describe.</w:t>
      </w:r>
    </w:p>
    <w:p>
      <w:pPr>
        <w:pStyle w:val="Compact"/>
        <w:numPr>
          <w:ilvl w:val="1"/>
          <w:numId w:val="1225"/>
        </w:numPr>
      </w:pPr>
      <w:r>
        <w:t xml:space="preserve">Mediadores del modelo: V01, V02</w:t>
      </w:r>
    </w:p>
    <w:p>
      <w:pPr>
        <w:pStyle w:val="Compact"/>
        <w:numPr>
          <w:ilvl w:val="1"/>
          <w:numId w:val="1225"/>
        </w:numPr>
      </w:pPr>
      <w:r>
        <w:t xml:space="preserve">Motivo de la confianza: Ruta indirecta explícita en el modelo.</w:t>
      </w:r>
    </w:p>
    <w:p>
      <w:pPr>
        <w:pStyle w:val="Compact"/>
        <w:numPr>
          <w:ilvl w:val="0"/>
          <w:numId w:val="1224"/>
        </w:numPr>
      </w:pPr>
      <w:r>
        <w:rPr>
          <w:b/>
          <w:bCs/>
        </w:rPr>
        <w:t xml:space="preserve">V11→V04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6"/>
        </w:numPr>
      </w:pPr>
      <w:r>
        <w:t xml:space="preserve">Razón del cero: El índice emitido en pantalla no modifica el viento superficial.</w:t>
      </w:r>
    </w:p>
    <w:p>
      <w:pPr>
        <w:pStyle w:val="Compact"/>
        <w:numPr>
          <w:ilvl w:val="1"/>
          <w:numId w:val="1226"/>
        </w:numPr>
      </w:pPr>
      <w:r>
        <w:t xml:space="preserve">Fundamento: Premisa P-0: no existe mecanismo físico, informático ni institucional que conecte V11 con V04 dentro de la frontera y el horizonte declarados.</w:t>
      </w:r>
    </w:p>
    <w:p>
      <w:pPr>
        <w:pStyle w:val="Compact"/>
        <w:numPr>
          <w:ilvl w:val="1"/>
          <w:numId w:val="1226"/>
        </w:numPr>
      </w:pPr>
      <w:r>
        <w:t xml:space="preserve">Justificación del valor: Se asigna 0 porque el índice emitido en pantalla no modifica el viento superficial.</w:t>
      </w:r>
    </w:p>
    <w:p>
      <w:pPr>
        <w:pStyle w:val="Compact"/>
        <w:numPr>
          <w:ilvl w:val="1"/>
          <w:numId w:val="1226"/>
        </w:numPr>
      </w:pPr>
      <w:r>
        <w:t xml:space="preserve">Ancla comparada: ANC-0 (ver F4.4.2).</w:t>
      </w:r>
    </w:p>
    <w:p>
      <w:pPr>
        <w:pStyle w:val="Compact"/>
        <w:numPr>
          <w:ilvl w:val="1"/>
          <w:numId w:val="1226"/>
        </w:numPr>
      </w:pPr>
      <w:r>
        <w:t xml:space="preserve">Explicación rival: Ninguna alternativa plausible dentro de la frontera.</w:t>
      </w:r>
    </w:p>
    <w:p>
      <w:pPr>
        <w:pStyle w:val="Compact"/>
        <w:numPr>
          <w:ilvl w:val="1"/>
          <w:numId w:val="1226"/>
        </w:numPr>
      </w:pPr>
      <w:r>
        <w:t xml:space="preserve">Mediadores del modelo: ninguno</w:t>
      </w:r>
    </w:p>
    <w:p>
      <w:pPr>
        <w:pStyle w:val="Compact"/>
        <w:numPr>
          <w:ilvl w:val="1"/>
          <w:numId w:val="1226"/>
        </w:numPr>
      </w:pPr>
      <w:r>
        <w:t xml:space="preserve">Motivo de la confianza: Ausencia de mecanismo por razonamiento físico. Sin medición ni fuente específica.</w:t>
      </w:r>
    </w:p>
    <w:p>
      <w:pPr>
        <w:pStyle w:val="FirstParagraph"/>
      </w:pPr>
      <w:r>
        <w:t xml:space="preserve">**Ficha 070 · V07__V12 · clase INTER**</w:t>
      </w:r>
    </w:p>
    <w:p>
      <w:pPr>
        <w:pStyle w:val="Compact"/>
        <w:numPr>
          <w:ilvl w:val="0"/>
          <w:numId w:val="1227"/>
        </w:numPr>
      </w:pPr>
      <w:r>
        <w:rPr>
          <w:b/>
          <w:bCs/>
        </w:rPr>
        <w:t xml:space="preserve">V07→V12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8"/>
        </w:numPr>
      </w:pPr>
      <w:r>
        <w:t xml:space="preserve">Razón del cero: La calibración reduce las falsas alarmas mediante el error (V06) y el índice (V11).</w:t>
      </w:r>
    </w:p>
    <w:p>
      <w:pPr>
        <w:pStyle w:val="Compact"/>
        <w:numPr>
          <w:ilvl w:val="1"/>
          <w:numId w:val="1228"/>
        </w:numPr>
      </w:pPr>
      <w:r>
        <w:t xml:space="preserve">Fundamento: Premisa P-M: la influencia de V07 sobre V12 opera solo a través de V06, V11. Se puntúa en los pares V07→V06 y V06→V12, V07→V11 y V11→V12. No se duplica aquí.</w:t>
      </w:r>
    </w:p>
    <w:p>
      <w:pPr>
        <w:pStyle w:val="Compact"/>
        <w:numPr>
          <w:ilvl w:val="1"/>
          <w:numId w:val="1228"/>
        </w:numPr>
      </w:pPr>
      <w:r>
        <w:t xml:space="preserve">Justificación del valor: Se asigna 0 porque la calibración reduce las falsas alarmas mediante el error (V06) y el índice (V11).</w:t>
      </w:r>
    </w:p>
    <w:p>
      <w:pPr>
        <w:pStyle w:val="Compact"/>
        <w:numPr>
          <w:ilvl w:val="1"/>
          <w:numId w:val="1228"/>
        </w:numPr>
      </w:pPr>
      <w:r>
        <w:t xml:space="preserve">Ancla comparada: ANC-0 (ver F4.4.2).</w:t>
      </w:r>
    </w:p>
    <w:p>
      <w:pPr>
        <w:pStyle w:val="Compact"/>
        <w:numPr>
          <w:ilvl w:val="1"/>
          <w:numId w:val="1228"/>
        </w:numPr>
      </w:pPr>
      <w:r>
        <w:t xml:space="preserve">Explicación rival: Ninguna alternativa plausible dentro de la frontera.</w:t>
      </w:r>
    </w:p>
    <w:p>
      <w:pPr>
        <w:pStyle w:val="Compact"/>
        <w:numPr>
          <w:ilvl w:val="1"/>
          <w:numId w:val="1228"/>
        </w:numPr>
      </w:pPr>
      <w:r>
        <w:t xml:space="preserve">Mediadores del modelo: V06, V11</w:t>
      </w:r>
    </w:p>
    <w:p>
      <w:pPr>
        <w:pStyle w:val="Compact"/>
        <w:numPr>
          <w:ilvl w:val="1"/>
          <w:numId w:val="1228"/>
        </w:numPr>
      </w:pPr>
      <w:r>
        <w:t xml:space="preserve">Motivo de la confianza: Ruta indirecta explícita en el modelo.</w:t>
      </w:r>
    </w:p>
    <w:p>
      <w:pPr>
        <w:pStyle w:val="Compact"/>
        <w:numPr>
          <w:ilvl w:val="0"/>
          <w:numId w:val="1227"/>
        </w:numPr>
      </w:pPr>
      <w:r>
        <w:rPr>
          <w:b/>
          <w:bCs/>
        </w:rPr>
        <w:t xml:space="preserve">V12→V07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9"/>
        </w:numPr>
      </w:pPr>
      <w:r>
        <w:t xml:space="preserve">Razón del cero: Las falsas alarmas no fijan la frecuencia de calibración. La revisión técnica de alertas espurias se realiza mediante el error detectado (V06).</w:t>
      </w:r>
    </w:p>
    <w:p>
      <w:pPr>
        <w:pStyle w:val="Compact"/>
        <w:numPr>
          <w:ilvl w:val="1"/>
          <w:numId w:val="1229"/>
        </w:numPr>
      </w:pPr>
      <w:r>
        <w:t xml:space="preserve">Fundamento: Premisa P-M: la influencia de V12 sobre V07 opera solo a través de V06. Se puntúa en los pares V12→V06 y V06→V07. No se duplica aquí.</w:t>
      </w:r>
    </w:p>
    <w:p>
      <w:pPr>
        <w:pStyle w:val="Compact"/>
        <w:numPr>
          <w:ilvl w:val="1"/>
          <w:numId w:val="1229"/>
        </w:numPr>
      </w:pPr>
      <w:r>
        <w:t xml:space="preserve">Justificación del valor: Se asigna 0 porque las falsas alarmas no fijan la frecuencia de calibración. La revisión técnica de alertas espurias se realiza mediante el error detectado (V06).</w:t>
      </w:r>
    </w:p>
    <w:p>
      <w:pPr>
        <w:pStyle w:val="Compact"/>
        <w:numPr>
          <w:ilvl w:val="1"/>
          <w:numId w:val="1229"/>
        </w:numPr>
      </w:pPr>
      <w:r>
        <w:t xml:space="preserve">Ancla comparada: ANC-0 (ver F4.4.2).</w:t>
      </w:r>
    </w:p>
    <w:p>
      <w:pPr>
        <w:pStyle w:val="Compact"/>
        <w:numPr>
          <w:ilvl w:val="1"/>
          <w:numId w:val="1229"/>
        </w:numPr>
      </w:pPr>
      <w:r>
        <w:t xml:space="preserve">Explicación rival: Una política de auditoría tras cada falsa alarma elevaría la frecuencia. No está definida.</w:t>
      </w:r>
    </w:p>
    <w:p>
      <w:pPr>
        <w:pStyle w:val="Compact"/>
        <w:numPr>
          <w:ilvl w:val="1"/>
          <w:numId w:val="1229"/>
        </w:numPr>
      </w:pPr>
      <w:r>
        <w:t xml:space="preserve">Mediadores del modelo: V06</w:t>
      </w:r>
    </w:p>
    <w:p>
      <w:pPr>
        <w:pStyle w:val="Compact"/>
        <w:numPr>
          <w:ilvl w:val="1"/>
          <w:numId w:val="1229"/>
        </w:numPr>
      </w:pPr>
      <w:r>
        <w:t xml:space="preserve">Motivo de la confianza: Ruta indirecta explícita en el modelo.</w:t>
      </w:r>
    </w:p>
    <w:p>
      <w:pPr>
        <w:pStyle w:val="FirstParagraph"/>
      </w:pPr>
      <w:r>
        <w:t xml:space="preserve">**Ficha 071 · V09__V12 · clase INTER**</w:t>
      </w:r>
    </w:p>
    <w:p>
      <w:pPr>
        <w:pStyle w:val="Compact"/>
        <w:numPr>
          <w:ilvl w:val="0"/>
          <w:numId w:val="1230"/>
        </w:numPr>
      </w:pPr>
      <w:r>
        <w:rPr>
          <w:b/>
          <w:bCs/>
        </w:rPr>
        <w:t xml:space="preserve">V09→V12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1"/>
        </w:numPr>
      </w:pPr>
      <w:r>
        <w:t xml:space="preserve">Razón del cero: La pérdida de nodos afecta las falsas alarmas mediante la capacidad de consenso (V10).</w:t>
      </w:r>
    </w:p>
    <w:p>
      <w:pPr>
        <w:pStyle w:val="Compact"/>
        <w:numPr>
          <w:ilvl w:val="1"/>
          <w:numId w:val="1231"/>
        </w:numPr>
      </w:pPr>
      <w:r>
        <w:t xml:space="preserve">Fundamento: Premisa P-M: la influencia de V09 sobre V12 opera solo a través de V10. Se puntúa en los pares V09→V10 y V10→V12. No se duplica aquí.</w:t>
      </w:r>
    </w:p>
    <w:p>
      <w:pPr>
        <w:pStyle w:val="Compact"/>
        <w:numPr>
          <w:ilvl w:val="1"/>
          <w:numId w:val="1231"/>
        </w:numPr>
      </w:pPr>
      <w:r>
        <w:t xml:space="preserve">Justificación del valor: Se asigna 0 porque la pérdida de nodos afecta las falsas alarmas mediante la capacidad de consenso (V10).</w:t>
      </w:r>
    </w:p>
    <w:p>
      <w:pPr>
        <w:pStyle w:val="Compact"/>
        <w:numPr>
          <w:ilvl w:val="1"/>
          <w:numId w:val="1231"/>
        </w:numPr>
      </w:pPr>
      <w:r>
        <w:t xml:space="preserve">Ancla comparada: ANC-0 (ver F4.4.2).</w:t>
      </w:r>
    </w:p>
    <w:p>
      <w:pPr>
        <w:pStyle w:val="Compact"/>
        <w:numPr>
          <w:ilvl w:val="1"/>
          <w:numId w:val="1231"/>
        </w:numPr>
      </w:pPr>
      <w:r>
        <w:t xml:space="preserve">Explicación rival: Ninguna alternativa plausible dentro de la frontera.</w:t>
      </w:r>
    </w:p>
    <w:p>
      <w:pPr>
        <w:pStyle w:val="Compact"/>
        <w:numPr>
          <w:ilvl w:val="1"/>
          <w:numId w:val="1231"/>
        </w:numPr>
      </w:pPr>
      <w:r>
        <w:t xml:space="preserve">Mediadores del modelo: V10</w:t>
      </w:r>
    </w:p>
    <w:p>
      <w:pPr>
        <w:pStyle w:val="Compact"/>
        <w:numPr>
          <w:ilvl w:val="1"/>
          <w:numId w:val="1231"/>
        </w:numPr>
      </w:pPr>
      <w:r>
        <w:t xml:space="preserve">Motivo de la confianza: Ruta indirecta explícita en el modelo.</w:t>
      </w:r>
    </w:p>
    <w:p>
      <w:pPr>
        <w:pStyle w:val="Compact"/>
        <w:numPr>
          <w:ilvl w:val="0"/>
          <w:numId w:val="1230"/>
        </w:numPr>
      </w:pPr>
      <w:r>
        <w:rPr>
          <w:b/>
          <w:bCs/>
        </w:rPr>
        <w:t xml:space="preserve">V12→V09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2"/>
        </w:numPr>
      </w:pPr>
      <w:r>
        <w:t xml:space="preserve">Razón del cero: Las falsas alarmas no cambian la disponibilidad de nodos.</w:t>
      </w:r>
    </w:p>
    <w:p>
      <w:pPr>
        <w:pStyle w:val="Compact"/>
        <w:numPr>
          <w:ilvl w:val="1"/>
          <w:numId w:val="1232"/>
        </w:numPr>
      </w:pPr>
      <w:r>
        <w:t xml:space="preserve">Fundamento: Premisa P-0: no existe mecanismo físico, informático ni institucional que conecte V12 con V09 dentro de la frontera y el horizonte declarados.</w:t>
      </w:r>
    </w:p>
    <w:p>
      <w:pPr>
        <w:pStyle w:val="Compact"/>
        <w:numPr>
          <w:ilvl w:val="1"/>
          <w:numId w:val="1232"/>
        </w:numPr>
      </w:pPr>
      <w:r>
        <w:t xml:space="preserve">Justificación del valor: Se asigna 0 porque las falsas alarmas no cambian la disponibilidad de nodos.</w:t>
      </w:r>
    </w:p>
    <w:p>
      <w:pPr>
        <w:pStyle w:val="Compact"/>
        <w:numPr>
          <w:ilvl w:val="1"/>
          <w:numId w:val="1232"/>
        </w:numPr>
      </w:pPr>
      <w:r>
        <w:t xml:space="preserve">Ancla comparada: ANC-0 (ver F4.4.2).</w:t>
      </w:r>
    </w:p>
    <w:p>
      <w:pPr>
        <w:pStyle w:val="Compact"/>
        <w:numPr>
          <w:ilvl w:val="1"/>
          <w:numId w:val="1232"/>
        </w:numPr>
      </w:pPr>
      <w:r>
        <w:t xml:space="preserve">Explicación rival: Las transmisiones por alerta consumen batería. El efecto es el de V06-&gt;V09.</w:t>
      </w:r>
    </w:p>
    <w:p>
      <w:pPr>
        <w:pStyle w:val="Compact"/>
        <w:numPr>
          <w:ilvl w:val="1"/>
          <w:numId w:val="1232"/>
        </w:numPr>
      </w:pPr>
      <w:r>
        <w:t xml:space="preserve">Mediadores del modelo: ninguno</w:t>
      </w:r>
    </w:p>
    <w:p>
      <w:pPr>
        <w:pStyle w:val="Compact"/>
        <w:numPr>
          <w:ilvl w:val="1"/>
          <w:numId w:val="1232"/>
        </w:numPr>
      </w:pPr>
      <w:r>
        <w:t xml:space="preserve">Motivo de la confianza: Ausencia de mecanismo por razonamiento físico. Sin medición ni fuente específica.</w:t>
      </w:r>
    </w:p>
    <w:p>
      <w:pPr>
        <w:pStyle w:val="FirstParagraph"/>
      </w:pPr>
      <w:r>
        <w:t xml:space="preserve">**Ficha 072 · V05__V08 · clase INTER**</w:t>
      </w:r>
    </w:p>
    <w:p>
      <w:pPr>
        <w:pStyle w:val="Compact"/>
        <w:numPr>
          <w:ilvl w:val="0"/>
          <w:numId w:val="1233"/>
        </w:numPr>
      </w:pPr>
      <w:r>
        <w:rPr>
          <w:b/>
          <w:bCs/>
        </w:rPr>
        <w:t xml:space="preserve">V05→V08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4"/>
        </w:numPr>
      </w:pPr>
      <w:r>
        <w:t xml:space="preserve">Razón del cero: El volumen de escombros no cambia el retraso de transmisión.</w:t>
      </w:r>
    </w:p>
    <w:p>
      <w:pPr>
        <w:pStyle w:val="Compact"/>
        <w:numPr>
          <w:ilvl w:val="1"/>
          <w:numId w:val="1234"/>
        </w:numPr>
      </w:pPr>
      <w:r>
        <w:t xml:space="preserve">Fundamento: Premisa P-0: no existe mecanismo físico, informático ni institucional que conecte V05 con V08 dentro de la frontera y el horizonte declarados.</w:t>
      </w:r>
    </w:p>
    <w:p>
      <w:pPr>
        <w:pStyle w:val="Compact"/>
        <w:numPr>
          <w:ilvl w:val="1"/>
          <w:numId w:val="1234"/>
        </w:numPr>
      </w:pPr>
      <w:r>
        <w:t xml:space="preserve">Justificación del valor: Se asigna 0 porque el volumen de escombros no cambia el retraso de transmisión.</w:t>
      </w:r>
    </w:p>
    <w:p>
      <w:pPr>
        <w:pStyle w:val="Compact"/>
        <w:numPr>
          <w:ilvl w:val="1"/>
          <w:numId w:val="1234"/>
        </w:numPr>
      </w:pPr>
      <w:r>
        <w:t xml:space="preserve">Ancla comparada: ANC-0 (ver F4.4.2).</w:t>
      </w:r>
    </w:p>
    <w:p>
      <w:pPr>
        <w:pStyle w:val="Compact"/>
        <w:numPr>
          <w:ilvl w:val="1"/>
          <w:numId w:val="1234"/>
        </w:numPr>
      </w:pPr>
      <w:r>
        <w:t xml:space="preserve">Explicación rival: Ninguna alternativa plausible dentro de la frontera.</w:t>
      </w:r>
    </w:p>
    <w:p>
      <w:pPr>
        <w:pStyle w:val="Compact"/>
        <w:numPr>
          <w:ilvl w:val="1"/>
          <w:numId w:val="1234"/>
        </w:numPr>
      </w:pPr>
      <w:r>
        <w:t xml:space="preserve">Mediadores del modelo: ninguno</w:t>
      </w:r>
    </w:p>
    <w:p>
      <w:pPr>
        <w:pStyle w:val="Compact"/>
        <w:numPr>
          <w:ilvl w:val="1"/>
          <w:numId w:val="1234"/>
        </w:numPr>
      </w:pPr>
      <w:r>
        <w:t xml:space="preserve">Motivo de la confianza: Ausencia de mecanismo por razonamiento físico. Sin medición ni fuente específica.</w:t>
      </w:r>
    </w:p>
    <w:p>
      <w:pPr>
        <w:pStyle w:val="Compact"/>
        <w:numPr>
          <w:ilvl w:val="0"/>
          <w:numId w:val="1233"/>
        </w:numPr>
      </w:pPr>
      <w:r>
        <w:rPr>
          <w:b/>
          <w:bCs/>
        </w:rPr>
        <w:t xml:space="preserve">V08→V05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5"/>
        </w:numPr>
      </w:pPr>
      <w:r>
        <w:t xml:space="preserve">Razón del cero: El retraso de datos no cambia las toneladas de escombros removidas.</w:t>
      </w:r>
    </w:p>
    <w:p>
      <w:pPr>
        <w:pStyle w:val="Compact"/>
        <w:numPr>
          <w:ilvl w:val="1"/>
          <w:numId w:val="1235"/>
        </w:numPr>
      </w:pPr>
      <w:r>
        <w:t xml:space="preserve">Fundamento: Premisa P-0: no existe mecanismo físico, informático ni institucional que conecte V08 con V05 dentro de la frontera y el horizonte declarados.</w:t>
      </w:r>
    </w:p>
    <w:p>
      <w:pPr>
        <w:pStyle w:val="Compact"/>
        <w:numPr>
          <w:ilvl w:val="1"/>
          <w:numId w:val="1235"/>
        </w:numPr>
      </w:pPr>
      <w:r>
        <w:t xml:space="preserve">Justificación del valor: Se asigna 0 porque el retraso de datos no cambia las toneladas de escombros removidas.</w:t>
      </w:r>
    </w:p>
    <w:p>
      <w:pPr>
        <w:pStyle w:val="Compact"/>
        <w:numPr>
          <w:ilvl w:val="1"/>
          <w:numId w:val="1235"/>
        </w:numPr>
      </w:pPr>
      <w:r>
        <w:t xml:space="preserve">Ancla comparada: ANC-0 (ver F4.4.2).</w:t>
      </w:r>
    </w:p>
    <w:p>
      <w:pPr>
        <w:pStyle w:val="Compact"/>
        <w:numPr>
          <w:ilvl w:val="1"/>
          <w:numId w:val="1235"/>
        </w:numPr>
      </w:pPr>
      <w:r>
        <w:t xml:space="preserve">Explicación rival: Ninguna alternativa plausible dentro de la frontera.</w:t>
      </w:r>
    </w:p>
    <w:p>
      <w:pPr>
        <w:pStyle w:val="Compact"/>
        <w:numPr>
          <w:ilvl w:val="1"/>
          <w:numId w:val="1235"/>
        </w:numPr>
      </w:pPr>
      <w:r>
        <w:t xml:space="preserve">Mediadores del modelo: ninguno</w:t>
      </w:r>
    </w:p>
    <w:p>
      <w:pPr>
        <w:pStyle w:val="Compact"/>
        <w:numPr>
          <w:ilvl w:val="1"/>
          <w:numId w:val="1235"/>
        </w:numPr>
      </w:pPr>
      <w:r>
        <w:t xml:space="preserve">Motivo de la confianza: Ausencia de mecanismo por razonamiento físico. Sin medición ni fuente específica.</w:t>
      </w:r>
    </w:p>
    <w:p>
      <w:pPr>
        <w:pStyle w:val="FirstParagraph"/>
      </w:pPr>
      <w:r>
        <w:t xml:space="preserve">**Ficha 073 · V07__V14 · clase INTER**</w:t>
      </w:r>
    </w:p>
    <w:p>
      <w:pPr>
        <w:pStyle w:val="Compact"/>
        <w:numPr>
          <w:ilvl w:val="0"/>
          <w:numId w:val="1236"/>
        </w:numPr>
      </w:pPr>
      <w:r>
        <w:rPr>
          <w:b/>
          <w:bCs/>
        </w:rPr>
        <w:t xml:space="preserve">V07→V14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7"/>
        </w:numPr>
      </w:pPr>
      <w:r>
        <w:t xml:space="preserve">Razón del cero: La calibración afecta la protección efectiva mediante V06, V11 y V12.</w:t>
      </w:r>
    </w:p>
    <w:p>
      <w:pPr>
        <w:pStyle w:val="Compact"/>
        <w:numPr>
          <w:ilvl w:val="1"/>
          <w:numId w:val="1237"/>
        </w:numPr>
      </w:pPr>
      <w:r>
        <w:t xml:space="preserve">Fundamento: Premisa P-M: la influencia de V07 sobre V14 opera solo a través de V06, V11. Se puntúa en los pares V07→V06 y V06→V14, V07→V11 y V11→V14. No se duplica aquí.</w:t>
      </w:r>
    </w:p>
    <w:p>
      <w:pPr>
        <w:pStyle w:val="Compact"/>
        <w:numPr>
          <w:ilvl w:val="1"/>
          <w:numId w:val="1237"/>
        </w:numPr>
      </w:pPr>
      <w:r>
        <w:t xml:space="preserve">Justificación del valor: Se asigna 0 porque la calibración afecta la protección efectiva mediante V06, V11 y V12.</w:t>
      </w:r>
    </w:p>
    <w:p>
      <w:pPr>
        <w:pStyle w:val="Compact"/>
        <w:numPr>
          <w:ilvl w:val="1"/>
          <w:numId w:val="1237"/>
        </w:numPr>
      </w:pPr>
      <w:r>
        <w:t xml:space="preserve">Ancla comparada: ANC-0 (ver F4.4.2).</w:t>
      </w:r>
    </w:p>
    <w:p>
      <w:pPr>
        <w:pStyle w:val="Compact"/>
        <w:numPr>
          <w:ilvl w:val="1"/>
          <w:numId w:val="1237"/>
        </w:numPr>
      </w:pPr>
      <w:r>
        <w:t xml:space="preserve">Explicación rival: Ninguna alternativa plausible dentro de la frontera.</w:t>
      </w:r>
    </w:p>
    <w:p>
      <w:pPr>
        <w:pStyle w:val="Compact"/>
        <w:numPr>
          <w:ilvl w:val="1"/>
          <w:numId w:val="1237"/>
        </w:numPr>
      </w:pPr>
      <w:r>
        <w:t xml:space="preserve">Mediadores del modelo: V06, V11</w:t>
      </w:r>
    </w:p>
    <w:p>
      <w:pPr>
        <w:pStyle w:val="Compact"/>
        <w:numPr>
          <w:ilvl w:val="1"/>
          <w:numId w:val="1237"/>
        </w:numPr>
      </w:pPr>
      <w:r>
        <w:t xml:space="preserve">Motivo de la confianza: Ruta indirecta explícita en el modelo.</w:t>
      </w:r>
    </w:p>
    <w:p>
      <w:pPr>
        <w:pStyle w:val="Compact"/>
        <w:numPr>
          <w:ilvl w:val="0"/>
          <w:numId w:val="1236"/>
        </w:numPr>
      </w:pPr>
      <w:r>
        <w:rPr>
          <w:b/>
          <w:bCs/>
        </w:rPr>
        <w:t xml:space="preserve">V14→V07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8"/>
        </w:numPr>
      </w:pPr>
      <w:r>
        <w:t xml:space="preserve">Razón del cero: El número de personas protegidas no modifica la frecuencia de calibración.</w:t>
      </w:r>
    </w:p>
    <w:p>
      <w:pPr>
        <w:pStyle w:val="Compact"/>
        <w:numPr>
          <w:ilvl w:val="1"/>
          <w:numId w:val="1238"/>
        </w:numPr>
      </w:pPr>
      <w:r>
        <w:t xml:space="preserve">Fundamento: Premisa P-0: no existe mecanismo físico, informático ni institucional que conecte V14 con V07 dentro de la frontera y el horizonte declarados.</w:t>
      </w:r>
    </w:p>
    <w:p>
      <w:pPr>
        <w:pStyle w:val="Compact"/>
        <w:numPr>
          <w:ilvl w:val="1"/>
          <w:numId w:val="1238"/>
        </w:numPr>
      </w:pPr>
      <w:r>
        <w:t xml:space="preserve">Justificación del valor: Se asigna 0 porque el número de personas protegidas no modifica la frecuencia de calibración.</w:t>
      </w:r>
    </w:p>
    <w:p>
      <w:pPr>
        <w:pStyle w:val="Compact"/>
        <w:numPr>
          <w:ilvl w:val="1"/>
          <w:numId w:val="1238"/>
        </w:numPr>
      </w:pPr>
      <w:r>
        <w:t xml:space="preserve">Ancla comparada: ANC-0 (ver F4.4.2).</w:t>
      </w:r>
    </w:p>
    <w:p>
      <w:pPr>
        <w:pStyle w:val="Compact"/>
        <w:numPr>
          <w:ilvl w:val="1"/>
          <w:numId w:val="1238"/>
        </w:numPr>
      </w:pPr>
      <w:r>
        <w:t xml:space="preserve">Explicación rival: Ninguna alternativa plausible dentro de la frontera.</w:t>
      </w:r>
    </w:p>
    <w:p>
      <w:pPr>
        <w:pStyle w:val="Compact"/>
        <w:numPr>
          <w:ilvl w:val="1"/>
          <w:numId w:val="1238"/>
        </w:numPr>
      </w:pPr>
      <w:r>
        <w:t xml:space="preserve">Mediadores del modelo: ninguno</w:t>
      </w:r>
    </w:p>
    <w:p>
      <w:pPr>
        <w:pStyle w:val="Compact"/>
        <w:numPr>
          <w:ilvl w:val="1"/>
          <w:numId w:val="1238"/>
        </w:numPr>
      </w:pPr>
      <w:r>
        <w:t xml:space="preserve">Motivo de la confianza: Ausencia de mecanismo por razonamiento físico. Sin medición ni fuente específica.</w:t>
      </w:r>
    </w:p>
    <w:p>
      <w:pPr>
        <w:pStyle w:val="FirstParagraph"/>
      </w:pPr>
      <w:r>
        <w:t xml:space="preserve">**Ficha 074 · V03__V12 · clase INTER**</w:t>
      </w:r>
    </w:p>
    <w:p>
      <w:pPr>
        <w:pStyle w:val="Compact"/>
        <w:numPr>
          <w:ilvl w:val="0"/>
          <w:numId w:val="1239"/>
        </w:numPr>
      </w:pPr>
      <w:r>
        <w:rPr>
          <w:b/>
          <w:bCs/>
        </w:rPr>
        <w:t xml:space="preserve">V03→V12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40"/>
        </w:numPr>
      </w:pPr>
      <w:r>
        <w:t xml:space="preserve">Razón del cero: La humedad produce falsas alarmas al sesgar la lectura óptica. La ruta pasa por V06.</w:t>
      </w:r>
    </w:p>
    <w:p>
      <w:pPr>
        <w:pStyle w:val="Compact"/>
        <w:numPr>
          <w:ilvl w:val="1"/>
          <w:numId w:val="1240"/>
        </w:numPr>
      </w:pPr>
      <w:r>
        <w:t xml:space="preserve">Fundamento: Premisa P-M: la influencia de V03 sobre V12 opera solo a través de V06. Se puntúa en los pares V03→V06 y V06→V12. No se duplica aquí.</w:t>
      </w:r>
    </w:p>
    <w:p>
      <w:pPr>
        <w:pStyle w:val="Compact"/>
        <w:numPr>
          <w:ilvl w:val="1"/>
          <w:numId w:val="1240"/>
        </w:numPr>
      </w:pPr>
      <w:r>
        <w:t xml:space="preserve">Justificación del valor: Se asigna 0 porque la humedad produce falsas alarmas al sesgar la lectura óptica. La ruta pasa por V06.</w:t>
      </w:r>
    </w:p>
    <w:p>
      <w:pPr>
        <w:pStyle w:val="Compact"/>
        <w:numPr>
          <w:ilvl w:val="1"/>
          <w:numId w:val="1240"/>
        </w:numPr>
      </w:pPr>
      <w:r>
        <w:t xml:space="preserve">Ancla comparada: ANC-0 (ver F4.4.2).</w:t>
      </w:r>
    </w:p>
    <w:p>
      <w:pPr>
        <w:pStyle w:val="Compact"/>
        <w:numPr>
          <w:ilvl w:val="1"/>
          <w:numId w:val="1240"/>
        </w:numPr>
      </w:pPr>
      <w:r>
        <w:t xml:space="preserve">Explicación rival: Un umbral dependiente de la humedad cambiaría la relación. No existe en el expediente.</w:t>
      </w:r>
    </w:p>
    <w:p>
      <w:pPr>
        <w:pStyle w:val="Compact"/>
        <w:numPr>
          <w:ilvl w:val="1"/>
          <w:numId w:val="1240"/>
        </w:numPr>
      </w:pPr>
      <w:r>
        <w:t xml:space="preserve">Mediadores del modelo: V06</w:t>
      </w:r>
    </w:p>
    <w:p>
      <w:pPr>
        <w:pStyle w:val="Compact"/>
        <w:numPr>
          <w:ilvl w:val="1"/>
          <w:numId w:val="1240"/>
        </w:numPr>
      </w:pPr>
      <w:r>
        <w:t xml:space="preserve">Motivo de la confianza: Ruta indirecta explícita en el modelo.</w:t>
      </w:r>
    </w:p>
    <w:p>
      <w:pPr>
        <w:pStyle w:val="Compact"/>
        <w:numPr>
          <w:ilvl w:val="0"/>
          <w:numId w:val="1239"/>
        </w:numPr>
      </w:pPr>
      <w:r>
        <w:rPr>
          <w:b/>
          <w:bCs/>
        </w:rPr>
        <w:t xml:space="preserve">V12→V03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41"/>
        </w:numPr>
      </w:pPr>
      <w:r>
        <w:t xml:space="preserve">Razón del cero: Las falsas alarmas no modifican la humedad relativa.</w:t>
      </w:r>
    </w:p>
    <w:p>
      <w:pPr>
        <w:pStyle w:val="Compact"/>
        <w:numPr>
          <w:ilvl w:val="1"/>
          <w:numId w:val="1241"/>
        </w:numPr>
      </w:pPr>
      <w:r>
        <w:t xml:space="preserve">Fundamento: Premisa P-0: no existe mecanismo físico, informático ni institucional que conecte V12 con V03 dentro de la frontera y el horizonte declarados.</w:t>
      </w:r>
    </w:p>
    <w:p>
      <w:pPr>
        <w:pStyle w:val="Compact"/>
        <w:numPr>
          <w:ilvl w:val="1"/>
          <w:numId w:val="1241"/>
        </w:numPr>
      </w:pPr>
      <w:r>
        <w:t xml:space="preserve">Justificación del valor: Se asigna 0 porque las falsas alarmas no modifican la humedad relativa.</w:t>
      </w:r>
    </w:p>
    <w:p>
      <w:pPr>
        <w:pStyle w:val="Compact"/>
        <w:numPr>
          <w:ilvl w:val="1"/>
          <w:numId w:val="1241"/>
        </w:numPr>
      </w:pPr>
      <w:r>
        <w:t xml:space="preserve">Ancla comparada: ANC-0 (ver F4.4.2).</w:t>
      </w:r>
    </w:p>
    <w:p>
      <w:pPr>
        <w:pStyle w:val="Compact"/>
        <w:numPr>
          <w:ilvl w:val="1"/>
          <w:numId w:val="1241"/>
        </w:numPr>
      </w:pPr>
      <w:r>
        <w:t xml:space="preserve">Explicación rival: Ninguna alternativa plausible dentro de la frontera.</w:t>
      </w:r>
    </w:p>
    <w:p>
      <w:pPr>
        <w:pStyle w:val="Compact"/>
        <w:numPr>
          <w:ilvl w:val="1"/>
          <w:numId w:val="1241"/>
        </w:numPr>
      </w:pPr>
      <w:r>
        <w:t xml:space="preserve">Mediadores del modelo: ninguno</w:t>
      </w:r>
    </w:p>
    <w:p>
      <w:pPr>
        <w:pStyle w:val="Compact"/>
        <w:numPr>
          <w:ilvl w:val="1"/>
          <w:numId w:val="1241"/>
        </w:numPr>
      </w:pPr>
      <w:r>
        <w:t xml:space="preserve">Motivo de la confianza: Ausencia de mecanismo por razonamiento físico. Sin medición ni fuente específica.</w:t>
      </w:r>
    </w:p>
    <w:p>
      <w:pPr>
        <w:pStyle w:val="FirstParagraph"/>
      </w:pPr>
      <w:r>
        <w:t xml:space="preserve">**Ficha 075 · V10__V11 · clase INTER**</w:t>
      </w:r>
    </w:p>
    <w:p>
      <w:pPr>
        <w:pStyle w:val="Compact"/>
        <w:numPr>
          <w:ilvl w:val="0"/>
          <w:numId w:val="1242"/>
        </w:numPr>
      </w:pPr>
      <w:r>
        <w:rPr>
          <w:b/>
          <w:bCs/>
        </w:rPr>
        <w:t xml:space="preserve">V10→V11</w:t>
      </w:r>
      <w:r>
        <w:t xml:space="preserve"> </w:t>
      </w:r>
      <w:r>
        <w:t xml:space="preserve">· valor</w:t>
      </w:r>
      <w:r>
        <w:t xml:space="preserve"> </w:t>
      </w:r>
      <w:r>
        <w:rPr>
          <w:b/>
          <w:bCs/>
        </w:rPr>
        <w:t xml:space="preserve">2</w:t>
      </w:r>
      <w:r>
        <w:t xml:space="preserve"> </w:t>
      </w:r>
      <w:r>
        <w:t xml:space="preserve">(admisibles: 1, 2, 3) · signo NO_IDENTIFICADO · naturaleza PROPUESTO · estado PROPUESTO · confianza BAJA</w:t>
      </w:r>
    </w:p>
    <w:p>
      <w:pPr>
        <w:pStyle w:val="Compact"/>
        <w:numPr>
          <w:ilvl w:val="1"/>
          <w:numId w:val="1243"/>
        </w:numPr>
      </w:pPr>
      <w:r>
        <w:t xml:space="preserve">Mecanismo: Mayor resolución espacial representa mejor la exposición local y cambia el valor del índice asignado a cada sitio.</w:t>
      </w:r>
    </w:p>
    <w:p>
      <w:pPr>
        <w:pStyle w:val="Compact"/>
        <w:numPr>
          <w:ilvl w:val="1"/>
          <w:numId w:val="1243"/>
        </w:numPr>
      </w:pPr>
      <w:r>
        <w:t xml:space="preserve">Fundamento: Ledger E3-P04, fila V10-&gt;V11 (PROPUESTO, magnitud 3, signo +). El sentido de la influencia no es un aumento del nivel del índice sino un cambio de su fidelidad.</w:t>
      </w:r>
    </w:p>
    <w:p>
      <w:pPr>
        <w:pStyle w:val="Compact"/>
        <w:numPr>
          <w:ilvl w:val="1"/>
          <w:numId w:val="1243"/>
        </w:numPr>
      </w:pPr>
      <w:r>
        <w:t xml:space="preserve">Fuentes: F-E3, E3-P04 §12, fila V10-&gt;V11 (alcance: Valor heredado; la revisión lo modifica)</w:t>
      </w:r>
    </w:p>
    <w:p>
      <w:pPr>
        <w:pStyle w:val="Compact"/>
        <w:numPr>
          <w:ilvl w:val="1"/>
          <w:numId w:val="1243"/>
        </w:numPr>
      </w:pPr>
      <w:r>
        <w:t xml:space="preserve">Justificación del valor: Se asigna 2 y no 3: la resolución mejora la representatividad pero no altera la fórmula. El efecto es moderado y su signo no es identificable.</w:t>
      </w:r>
    </w:p>
    <w:p>
      <w:pPr>
        <w:pStyle w:val="Compact"/>
        <w:numPr>
          <w:ilvl w:val="1"/>
          <w:numId w:val="1243"/>
        </w:numPr>
      </w:pPr>
      <w:r>
        <w:t xml:space="preserve">Ancla comparada: Igual a ANC-2.</w:t>
      </w:r>
    </w:p>
    <w:p>
      <w:pPr>
        <w:pStyle w:val="Compact"/>
        <w:numPr>
          <w:ilvl w:val="1"/>
          <w:numId w:val="1243"/>
        </w:numPr>
      </w:pPr>
      <w:r>
        <w:t xml:space="preserve">Explicación rival: Con interpolación pobre entre nodos, la densidad no mejoraría la fidelidad y el valor sería 1.</w:t>
      </w:r>
    </w:p>
    <w:p>
      <w:pPr>
        <w:pStyle w:val="Compact"/>
        <w:numPr>
          <w:ilvl w:val="1"/>
          <w:numId w:val="1243"/>
        </w:numPr>
      </w:pPr>
      <w:r>
        <w:t xml:space="preserve">Mediadores del modelo: ninguno</w:t>
      </w:r>
    </w:p>
    <w:p>
      <w:pPr>
        <w:pStyle w:val="Compact"/>
        <w:numPr>
          <w:ilvl w:val="1"/>
          <w:numId w:val="1243"/>
        </w:numPr>
      </w:pPr>
      <w:r>
        <w:t xml:space="preserve">Motivo de la confianza: Relación de fidelidad, no de magnitud. Sin dato de representatividad.</w:t>
      </w:r>
    </w:p>
    <w:p>
      <w:pPr>
        <w:pStyle w:val="Compact"/>
        <w:numPr>
          <w:ilvl w:val="0"/>
          <w:numId w:val="1242"/>
        </w:numPr>
      </w:pPr>
      <w:r>
        <w:rPr>
          <w:b/>
          <w:bCs/>
        </w:rPr>
        <w:t xml:space="preserve">V11→V10</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44"/>
        </w:numPr>
      </w:pPr>
      <w:r>
        <w:t xml:space="preserve">Razón del cero: El nivel del índice no cambia la cantidad de nodos por km² diseñada.</w:t>
      </w:r>
    </w:p>
    <w:p>
      <w:pPr>
        <w:pStyle w:val="Compact"/>
        <w:numPr>
          <w:ilvl w:val="1"/>
          <w:numId w:val="1244"/>
        </w:numPr>
      </w:pPr>
      <w:r>
        <w:t xml:space="preserve">Fundamento: Premisa P-0: no existe mecanismo físico, informático ni institucional que conecte V11 con V10 dentro de la frontera y el horizonte declarados.</w:t>
      </w:r>
    </w:p>
    <w:p>
      <w:pPr>
        <w:pStyle w:val="Compact"/>
        <w:numPr>
          <w:ilvl w:val="1"/>
          <w:numId w:val="1244"/>
        </w:numPr>
      </w:pPr>
      <w:r>
        <w:t xml:space="preserve">Justificación del valor: Se asigna 0 porque el nivel del índice no cambia la cantidad de nodos por km² diseñada.</w:t>
      </w:r>
    </w:p>
    <w:p>
      <w:pPr>
        <w:pStyle w:val="Compact"/>
        <w:numPr>
          <w:ilvl w:val="1"/>
          <w:numId w:val="1244"/>
        </w:numPr>
      </w:pPr>
      <w:r>
        <w:t xml:space="preserve">Ancla comparada: ANC-0 (ver F4.4.2).</w:t>
      </w:r>
    </w:p>
    <w:p>
      <w:pPr>
        <w:pStyle w:val="Compact"/>
        <w:numPr>
          <w:ilvl w:val="1"/>
          <w:numId w:val="1244"/>
        </w:numPr>
      </w:pPr>
      <w:r>
        <w:t xml:space="preserve">Explicación rival: Un índice crítico podría justificar más nodos. Esa decisión pasa por V15-&gt;V10.</w:t>
      </w:r>
    </w:p>
    <w:p>
      <w:pPr>
        <w:pStyle w:val="Compact"/>
        <w:numPr>
          <w:ilvl w:val="1"/>
          <w:numId w:val="1244"/>
        </w:numPr>
      </w:pPr>
      <w:r>
        <w:t xml:space="preserve">Mediadores del modelo: ninguno</w:t>
      </w:r>
    </w:p>
    <w:p>
      <w:pPr>
        <w:pStyle w:val="Compact"/>
        <w:numPr>
          <w:ilvl w:val="1"/>
          <w:numId w:val="1244"/>
        </w:numPr>
      </w:pPr>
      <w:r>
        <w:t xml:space="preserve">Motivo de la confianza: Ausencia de mecanismo por razonamiento físico. Sin medición ni fuente específica.</w:t>
      </w:r>
    </w:p>
    <w:p>
      <w:pPr>
        <w:pStyle w:val="FirstParagraph"/>
      </w:pPr>
      <w:r>
        <w:t xml:space="preserve">**Ficha 076 · V10__V13 · clase INTER**</w:t>
      </w:r>
    </w:p>
    <w:p>
      <w:pPr>
        <w:pStyle w:val="Compact"/>
        <w:numPr>
          <w:ilvl w:val="0"/>
          <w:numId w:val="1245"/>
        </w:numPr>
      </w:pPr>
      <w:r>
        <w:rPr>
          <w:b/>
          <w:bCs/>
        </w:rPr>
        <w:t xml:space="preserve">V10→V13</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46"/>
        </w:numPr>
      </w:pPr>
      <w:r>
        <w:t xml:space="preserve">Mecanismo: Una red más densa detecta la pluma aguas arriba y alarga el aviso a los receptores.</w:t>
      </w:r>
    </w:p>
    <w:p>
      <w:pPr>
        <w:pStyle w:val="Compact"/>
        <w:numPr>
          <w:ilvl w:val="1"/>
          <w:numId w:val="1246"/>
        </w:numPr>
      </w:pPr>
      <w:r>
        <w:t xml:space="preserve">Fundamento: Relación geométrica entre la distancia de detección y los receptores (P-V04-V13).</w:t>
      </w:r>
    </w:p>
    <w:p>
      <w:pPr>
        <w:pStyle w:val="Compact"/>
        <w:numPr>
          <w:ilvl w:val="1"/>
          <w:numId w:val="1246"/>
        </w:numPr>
      </w:pPr>
      <w:r>
        <w:t xml:space="preserve">Premisas: P-V10-V13: más puntos de detección reducen la distancia media entre la pluma y el sensor más cercano (relación geométrica).</w:t>
      </w:r>
    </w:p>
    <w:p>
      <w:pPr>
        <w:pStyle w:val="Compact"/>
        <w:numPr>
          <w:ilvl w:val="1"/>
          <w:numId w:val="1246"/>
        </w:numPr>
      </w:pPr>
      <w:r>
        <w:t xml:space="preserve">Justificación del valor: Se asigna 1: el beneficio depende de la geometría fuente-receptor, no definida.</w:t>
      </w:r>
    </w:p>
    <w:p>
      <w:pPr>
        <w:pStyle w:val="Compact"/>
        <w:numPr>
          <w:ilvl w:val="1"/>
          <w:numId w:val="1246"/>
        </w:numPr>
      </w:pPr>
      <w:r>
        <w:t xml:space="preserve">Ancla comparada: Igual a ANC-1.</w:t>
      </w:r>
    </w:p>
    <w:p>
      <w:pPr>
        <w:pStyle w:val="Compact"/>
        <w:numPr>
          <w:ilvl w:val="1"/>
          <w:numId w:val="1246"/>
        </w:numPr>
      </w:pPr>
      <w:r>
        <w:t xml:space="preserve">Explicación rival: Para exposición dentro del sitio el valor sería 0.</w:t>
      </w:r>
    </w:p>
    <w:p>
      <w:pPr>
        <w:pStyle w:val="Compact"/>
        <w:numPr>
          <w:ilvl w:val="1"/>
          <w:numId w:val="1246"/>
        </w:numPr>
      </w:pPr>
      <w:r>
        <w:t xml:space="preserve">Mediadores del modelo: ninguno</w:t>
      </w:r>
    </w:p>
    <w:p>
      <w:pPr>
        <w:pStyle w:val="Compact"/>
        <w:numPr>
          <w:ilvl w:val="1"/>
          <w:numId w:val="1246"/>
        </w:numPr>
      </w:pPr>
      <w:r>
        <w:t xml:space="preserve">Motivo de la confianza: Relación geométrica sin diseño de ubicación.</w:t>
      </w:r>
    </w:p>
    <w:p>
      <w:pPr>
        <w:pStyle w:val="Compact"/>
        <w:numPr>
          <w:ilvl w:val="0"/>
          <w:numId w:val="1245"/>
        </w:numPr>
      </w:pPr>
      <w:r>
        <w:rPr>
          <w:b/>
          <w:bCs/>
        </w:rPr>
        <w:t xml:space="preserve">V13→V10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47"/>
        </w:numPr>
      </w:pPr>
      <w:r>
        <w:t xml:space="preserve">Razón del cero: El tiempo de aviso no modifica la cantidad de nodos por km² diseñada.</w:t>
      </w:r>
    </w:p>
    <w:p>
      <w:pPr>
        <w:pStyle w:val="Compact"/>
        <w:numPr>
          <w:ilvl w:val="1"/>
          <w:numId w:val="1247"/>
        </w:numPr>
      </w:pPr>
      <w:r>
        <w:t xml:space="preserve">Fundamento: Premisa P-0: no existe mecanismo físico, informático ni institucional que conecte V13 con V10 dentro de la frontera y el horizonte declarados.</w:t>
      </w:r>
    </w:p>
    <w:p>
      <w:pPr>
        <w:pStyle w:val="Compact"/>
        <w:numPr>
          <w:ilvl w:val="1"/>
          <w:numId w:val="1247"/>
        </w:numPr>
      </w:pPr>
      <w:r>
        <w:t xml:space="preserve">Justificación del valor: Se asigna 0 porque el tiempo de aviso no modifica la cantidad de nodos por km² diseñada.</w:t>
      </w:r>
    </w:p>
    <w:p>
      <w:pPr>
        <w:pStyle w:val="Compact"/>
        <w:numPr>
          <w:ilvl w:val="1"/>
          <w:numId w:val="1247"/>
        </w:numPr>
      </w:pPr>
      <w:r>
        <w:t xml:space="preserve">Ancla comparada: ANC-0 (ver F4.4.2).</w:t>
      </w:r>
    </w:p>
    <w:p>
      <w:pPr>
        <w:pStyle w:val="Compact"/>
        <w:numPr>
          <w:ilvl w:val="1"/>
          <w:numId w:val="1247"/>
        </w:numPr>
      </w:pPr>
      <w:r>
        <w:t xml:space="preserve">Explicación rival: Ninguna alternativa plausible dentro de la frontera.</w:t>
      </w:r>
    </w:p>
    <w:p>
      <w:pPr>
        <w:pStyle w:val="Compact"/>
        <w:numPr>
          <w:ilvl w:val="1"/>
          <w:numId w:val="1247"/>
        </w:numPr>
      </w:pPr>
      <w:r>
        <w:t xml:space="preserve">Mediadores del modelo: ninguno</w:t>
      </w:r>
    </w:p>
    <w:p>
      <w:pPr>
        <w:pStyle w:val="Compact"/>
        <w:numPr>
          <w:ilvl w:val="1"/>
          <w:numId w:val="1247"/>
        </w:numPr>
      </w:pPr>
      <w:r>
        <w:t xml:space="preserve">Motivo de la confianza: Ausencia de mecanismo por razonamiento físico. Sin medición ni fuente específica.</w:t>
      </w:r>
    </w:p>
    <w:p>
      <w:pPr>
        <w:pStyle w:val="FirstParagraph"/>
      </w:pPr>
      <w:r>
        <w:t xml:space="preserve">**Ficha 077 · V09__V15 · clase INTER**</w:t>
      </w:r>
    </w:p>
    <w:p>
      <w:pPr>
        <w:pStyle w:val="Compact"/>
        <w:numPr>
          <w:ilvl w:val="0"/>
          <w:numId w:val="1248"/>
        </w:numPr>
      </w:pPr>
      <w:r>
        <w:rPr>
          <w:b/>
          <w:bCs/>
        </w:rPr>
        <w:t xml:space="preserve">V09→V15</w:t>
      </w:r>
      <w:r>
        <w:t xml:space="preserve"> </w:t>
      </w:r>
      <w:r>
        <w:t xml:space="preserve">· valor</w:t>
      </w:r>
      <w:r>
        <w:t xml:space="preserve"> </w:t>
      </w:r>
      <w:r>
        <w:rPr>
          <w:b/>
          <w:bCs/>
        </w:rPr>
        <w:t xml:space="preserve">1</w:t>
      </w:r>
      <w:r>
        <w:t xml:space="preserve"> </w:t>
      </w:r>
      <w:r>
        <w:t xml:space="preserve">(admisibles: 0, 1, 2) · signo + · naturaleza SUPUESTO · estado PROPUESTO · confianza BAJA</w:t>
      </w:r>
    </w:p>
    <w:p>
      <w:pPr>
        <w:pStyle w:val="Compact"/>
        <w:numPr>
          <w:ilvl w:val="1"/>
          <w:numId w:val="1249"/>
        </w:numPr>
      </w:pPr>
      <w:r>
        <w:t xml:space="preserve">Mecanismo: Un tablero con huecos por nodos inactivos pierde utilidad percibida. La confiabilidad del servicio sostiene el uso institucional.</w:t>
      </w:r>
    </w:p>
    <w:p>
      <w:pPr>
        <w:pStyle w:val="Compact"/>
        <w:numPr>
          <w:ilvl w:val="1"/>
          <w:numId w:val="1249"/>
        </w:numPr>
      </w:pPr>
      <w:r>
        <w:t xml:space="preserve">Fundamento: Supuesto de escenario. F-INF §3.1 documenta 96 de 570 estaciones inactivas o sin estado en Brasil (Tavella et al., 2026, p. 6). No mide su efecto sobre el uso.</w:t>
      </w:r>
    </w:p>
    <w:p>
      <w:pPr>
        <w:pStyle w:val="Compact"/>
        <w:numPr>
          <w:ilvl w:val="1"/>
          <w:numId w:val="1249"/>
        </w:numPr>
      </w:pPr>
      <w:r>
        <w:t xml:space="preserve">Fuentes: F-INF, §3.1 (Tavella et al., 2026, p. 6): 96 de 570 estaciones inactivas o sin estado (alcance: Cita secundaria; no mide efecto sobre uso)</w:t>
      </w:r>
    </w:p>
    <w:p>
      <w:pPr>
        <w:pStyle w:val="Compact"/>
        <w:numPr>
          <w:ilvl w:val="1"/>
          <w:numId w:val="1249"/>
        </w:numPr>
      </w:pPr>
      <w:r>
        <w:t xml:space="preserve">Premisas: P-V09-V15: la percepción de falla del servicio reduce el uso del tablero (supuesto de escenario).</w:t>
      </w:r>
    </w:p>
    <w:p>
      <w:pPr>
        <w:pStyle w:val="Compact"/>
        <w:numPr>
          <w:ilvl w:val="1"/>
          <w:numId w:val="1249"/>
        </w:numPr>
      </w:pPr>
      <w:r>
        <w:t xml:space="preserve">Justificación del valor: Se asigna 1: la relación es plausible y directa, pero el uso depende más del mandato formal y de la utilidad del índice.</w:t>
      </w:r>
    </w:p>
    <w:p>
      <w:pPr>
        <w:pStyle w:val="Compact"/>
        <w:numPr>
          <w:ilvl w:val="1"/>
          <w:numId w:val="1249"/>
        </w:numPr>
      </w:pPr>
      <w:r>
        <w:t xml:space="preserve">Ancla comparada: Igual a ANC-1.</w:t>
      </w:r>
    </w:p>
    <w:p>
      <w:pPr>
        <w:pStyle w:val="Compact"/>
        <w:numPr>
          <w:ilvl w:val="1"/>
          <w:numId w:val="1249"/>
        </w:numPr>
      </w:pPr>
      <w:r>
        <w:t xml:space="preserve">Explicación rival: Con cobertura redundante la caída de nodos no sería visible para el usuario y el valor sería 0.</w:t>
      </w:r>
    </w:p>
    <w:p>
      <w:pPr>
        <w:pStyle w:val="Compact"/>
        <w:numPr>
          <w:ilvl w:val="1"/>
          <w:numId w:val="1249"/>
        </w:numPr>
      </w:pPr>
      <w:r>
        <w:t xml:space="preserve">Mediadores del modelo: ninguno</w:t>
      </w:r>
    </w:p>
    <w:p>
      <w:pPr>
        <w:pStyle w:val="Compact"/>
        <w:numPr>
          <w:ilvl w:val="1"/>
          <w:numId w:val="1249"/>
        </w:numPr>
      </w:pPr>
      <w:r>
        <w:t xml:space="preserve">Motivo de la confianza: Supuesto sin medición. El efecto sobre el uso no se estudia en el corpus.</w:t>
      </w:r>
    </w:p>
    <w:p>
      <w:pPr>
        <w:pStyle w:val="Compact"/>
        <w:numPr>
          <w:ilvl w:val="0"/>
          <w:numId w:val="1248"/>
        </w:numPr>
      </w:pPr>
      <w:r>
        <w:rPr>
          <w:b/>
          <w:bCs/>
        </w:rPr>
        <w:t xml:space="preserve">V15→V09</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50"/>
        </w:numPr>
      </w:pPr>
      <w:r>
        <w:t xml:space="preserve">Mecanismo: La adopción institucional legitima el gasto en cuadrillas de mantenimiento que reponen baterías y nodos, y sostiene la disponibilidad.</w:t>
      </w:r>
    </w:p>
    <w:p>
      <w:pPr>
        <w:pStyle w:val="Compact"/>
        <w:numPr>
          <w:ilvl w:val="1"/>
          <w:numId w:val="1250"/>
        </w:numPr>
      </w:pPr>
      <w:r>
        <w:t xml:space="preserve">Fundamento: Iteración previa del documento (F4.4.4, V15-&gt;V09 = 2). La Tabla E3-14.2 presupuesta mantenimiento FRU de 25 a 45 M por año con convenios con ARL y corporación. F-INF cita 96 de 570 estaciones inactivas en Brasil (Tavella et al., 2026, p. 6).</w:t>
      </w:r>
    </w:p>
    <w:p>
      <w:pPr>
        <w:pStyle w:val="Compact"/>
        <w:numPr>
          <w:ilvl w:val="1"/>
          <w:numId w:val="1250"/>
        </w:numPr>
      </w:pPr>
      <w:r>
        <w:t xml:space="preserve">Fuentes: F-E3, Capítulo 14, Tabla E3-14.2, fila Mantenimiento FRU (alcance: Propuesta de financiamiento); F-INF, §3.1 y §10.2 (Tavella et al., 2026, p. 6): pérdida de datos por falta de mantenimiento (alcance: Cita secundaria)</w:t>
      </w:r>
    </w:p>
    <w:p>
      <w:pPr>
        <w:pStyle w:val="Compact"/>
        <w:numPr>
          <w:ilvl w:val="1"/>
          <w:numId w:val="1250"/>
        </w:numPr>
      </w:pPr>
      <w:r>
        <w:t xml:space="preserve">Justificación del valor: Se asigna 2: el mantenimiento depende de presupuesto recurrente de quien adopta. Es una condición clara pero no mecánica de la disponibilidad.</w:t>
      </w:r>
    </w:p>
    <w:p>
      <w:pPr>
        <w:pStyle w:val="Compact"/>
        <w:numPr>
          <w:ilvl w:val="1"/>
          <w:numId w:val="1250"/>
        </w:numPr>
      </w:pPr>
      <w:r>
        <w:t xml:space="preserve">Ancla comparada: Igual a ANC-2.</w:t>
      </w:r>
    </w:p>
    <w:p>
      <w:pPr>
        <w:pStyle w:val="Compact"/>
        <w:numPr>
          <w:ilvl w:val="1"/>
          <w:numId w:val="1250"/>
        </w:numPr>
      </w:pPr>
      <w:r>
        <w:t xml:space="preserve">Explicación rival: Si el mantenimiento lo cubre la empresa por contrato, el valor sería 1.</w:t>
      </w:r>
    </w:p>
    <w:p>
      <w:pPr>
        <w:pStyle w:val="Compact"/>
        <w:numPr>
          <w:ilvl w:val="1"/>
          <w:numId w:val="1250"/>
        </w:numPr>
      </w:pPr>
      <w:r>
        <w:t xml:space="preserve">Mediadores del modelo: ninguno</w:t>
      </w:r>
    </w:p>
    <w:p>
      <w:pPr>
        <w:pStyle w:val="Compact"/>
        <w:numPr>
          <w:ilvl w:val="1"/>
          <w:numId w:val="1250"/>
        </w:numPr>
      </w:pPr>
      <w:r>
        <w:t xml:space="preserve">Motivo de la confianza: Mecanismo coherente con la evidencia de inactividad por falta de mantenimiento. Sin compromiso firmado.</w:t>
      </w:r>
    </w:p>
    <w:p>
      <w:pPr>
        <w:pStyle w:val="FirstParagraph"/>
      </w:pPr>
      <w:r>
        <w:t xml:space="preserve">**Ficha 078 · V08__V14 · clase INTER**</w:t>
      </w:r>
    </w:p>
    <w:p>
      <w:pPr>
        <w:pStyle w:val="Compact"/>
        <w:numPr>
          <w:ilvl w:val="0"/>
          <w:numId w:val="1251"/>
        </w:numPr>
      </w:pPr>
      <w:r>
        <w:rPr>
          <w:b/>
          <w:bCs/>
        </w:rPr>
        <w:t xml:space="preserve">V08→V14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52"/>
        </w:numPr>
      </w:pPr>
      <w:r>
        <w:t xml:space="preserve">Razón del cero: El retraso afecta la protección efectiva mediante el tiempo de aviso (V13).</w:t>
      </w:r>
    </w:p>
    <w:p>
      <w:pPr>
        <w:pStyle w:val="Compact"/>
        <w:numPr>
          <w:ilvl w:val="1"/>
          <w:numId w:val="1252"/>
        </w:numPr>
      </w:pPr>
      <w:r>
        <w:t xml:space="preserve">Fundamento: Premisa P-M: la influencia de V08 sobre V14 opera solo a través de V13. Se puntúa en los pares V08→V13 y V13→V14. No se duplica aquí.</w:t>
      </w:r>
    </w:p>
    <w:p>
      <w:pPr>
        <w:pStyle w:val="Compact"/>
        <w:numPr>
          <w:ilvl w:val="1"/>
          <w:numId w:val="1252"/>
        </w:numPr>
      </w:pPr>
      <w:r>
        <w:t xml:space="preserve">Justificación del valor: Se asigna 0 porque el retraso afecta la protección efectiva mediante el tiempo de aviso (V13).</w:t>
      </w:r>
    </w:p>
    <w:p>
      <w:pPr>
        <w:pStyle w:val="Compact"/>
        <w:numPr>
          <w:ilvl w:val="1"/>
          <w:numId w:val="1252"/>
        </w:numPr>
      </w:pPr>
      <w:r>
        <w:t xml:space="preserve">Ancla comparada: ANC-0 (ver F4.4.2).</w:t>
      </w:r>
    </w:p>
    <w:p>
      <w:pPr>
        <w:pStyle w:val="Compact"/>
        <w:numPr>
          <w:ilvl w:val="1"/>
          <w:numId w:val="1252"/>
        </w:numPr>
      </w:pPr>
      <w:r>
        <w:t xml:space="preserve">Explicación rival: Ninguna alternativa plausible dentro de la frontera.</w:t>
      </w:r>
    </w:p>
    <w:p>
      <w:pPr>
        <w:pStyle w:val="Compact"/>
        <w:numPr>
          <w:ilvl w:val="1"/>
          <w:numId w:val="1252"/>
        </w:numPr>
      </w:pPr>
      <w:r>
        <w:t xml:space="preserve">Mediadores del modelo: V13</w:t>
      </w:r>
    </w:p>
    <w:p>
      <w:pPr>
        <w:pStyle w:val="Compact"/>
        <w:numPr>
          <w:ilvl w:val="1"/>
          <w:numId w:val="1252"/>
        </w:numPr>
      </w:pPr>
      <w:r>
        <w:t xml:space="preserve">Motivo de la confianza: Ruta indirecta explícita en el modelo.</w:t>
      </w:r>
    </w:p>
    <w:p>
      <w:pPr>
        <w:pStyle w:val="Compact"/>
        <w:numPr>
          <w:ilvl w:val="0"/>
          <w:numId w:val="1251"/>
        </w:numPr>
      </w:pPr>
      <w:r>
        <w:rPr>
          <w:b/>
          <w:bCs/>
        </w:rPr>
        <w:t xml:space="preserve">V14→V08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3"/>
        </w:numPr>
      </w:pPr>
      <w:r>
        <w:t xml:space="preserve">Razón del cero: El número de personas protegidas no modifica el retraso de transmisión.</w:t>
      </w:r>
    </w:p>
    <w:p>
      <w:pPr>
        <w:pStyle w:val="Compact"/>
        <w:numPr>
          <w:ilvl w:val="1"/>
          <w:numId w:val="1253"/>
        </w:numPr>
      </w:pPr>
      <w:r>
        <w:t xml:space="preserve">Fundamento: Premisa P-0: no existe mecanismo físico, informático ni institucional que conecte V14 con V08 dentro de la frontera y el horizonte declarados.</w:t>
      </w:r>
    </w:p>
    <w:p>
      <w:pPr>
        <w:pStyle w:val="Compact"/>
        <w:numPr>
          <w:ilvl w:val="1"/>
          <w:numId w:val="1253"/>
        </w:numPr>
      </w:pPr>
      <w:r>
        <w:t xml:space="preserve">Justificación del valor: Se asigna 0 porque el número de personas protegidas no modifica el retraso de transmisión.</w:t>
      </w:r>
    </w:p>
    <w:p>
      <w:pPr>
        <w:pStyle w:val="Compact"/>
        <w:numPr>
          <w:ilvl w:val="1"/>
          <w:numId w:val="1253"/>
        </w:numPr>
      </w:pPr>
      <w:r>
        <w:t xml:space="preserve">Ancla comparada: ANC-0 (ver F4.4.2).</w:t>
      </w:r>
    </w:p>
    <w:p>
      <w:pPr>
        <w:pStyle w:val="Compact"/>
        <w:numPr>
          <w:ilvl w:val="1"/>
          <w:numId w:val="1253"/>
        </w:numPr>
      </w:pPr>
      <w:r>
        <w:t xml:space="preserve">Explicación rival: Ninguna alternativa plausible dentro de la frontera.</w:t>
      </w:r>
    </w:p>
    <w:p>
      <w:pPr>
        <w:pStyle w:val="Compact"/>
        <w:numPr>
          <w:ilvl w:val="1"/>
          <w:numId w:val="1253"/>
        </w:numPr>
      </w:pPr>
      <w:r>
        <w:t xml:space="preserve">Mediadores del modelo: ninguno</w:t>
      </w:r>
    </w:p>
    <w:p>
      <w:pPr>
        <w:pStyle w:val="Compact"/>
        <w:numPr>
          <w:ilvl w:val="1"/>
          <w:numId w:val="1253"/>
        </w:numPr>
      </w:pPr>
      <w:r>
        <w:t xml:space="preserve">Motivo de la confianza: Ausencia de mecanismo por razonamiento físico. Sin medición ni fuente específica.</w:t>
      </w:r>
    </w:p>
    <w:p>
      <w:pPr>
        <w:pStyle w:val="FirstParagraph"/>
      </w:pPr>
      <w:r>
        <w:t xml:space="preserve">**Ficha 079 · V06__V11 · clase INTER**</w:t>
      </w:r>
    </w:p>
    <w:p>
      <w:pPr>
        <w:pStyle w:val="Compact"/>
        <w:numPr>
          <w:ilvl w:val="0"/>
          <w:numId w:val="1254"/>
        </w:numPr>
      </w:pPr>
      <w:r>
        <w:rPr>
          <w:b/>
          <w:bCs/>
        </w:rPr>
        <w:t xml:space="preserve">V06→V11</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255"/>
        </w:numPr>
      </w:pPr>
      <w:r>
        <w:t xml:space="preserve">Mecanismo: El error del hardware entra al cálculo del índice sin intermediario humano y desplaza su nivel de peligro.</w:t>
      </w:r>
    </w:p>
    <w:p>
      <w:pPr>
        <w:pStyle w:val="Compact"/>
        <w:numPr>
          <w:ilvl w:val="1"/>
          <w:numId w:val="1255"/>
        </w:numPr>
      </w:pPr>
      <w:r>
        <w:t xml:space="preserve">Fundamento: Ledger E3-P04, fila V06-&gt;V11 (INFERIDO, magnitud 3). F-INF documenta que los índices carecen de validación (9,4 % con partición de datos). Las patentes de calificación cambian de valor con reglas de datos faltantes.</w:t>
      </w:r>
    </w:p>
    <w:p>
      <w:pPr>
        <w:pStyle w:val="Compact"/>
        <w:numPr>
          <w:ilvl w:val="1"/>
          <w:numId w:val="1255"/>
        </w:numPr>
      </w:pPr>
      <w:r>
        <w:t xml:space="preserve">Fuentes: F-E3, E3-P04 §12, fila V06-&gt;V11; Paso 4, F4.4.2, ancla del valor 3 (alcance: Define el ancla); F-INF, §1.3 hallazgo 5 (Liao et al., 2026, pp. 6 y 8; Wilson et al., 2024, p. 108) (alcance: Respalda la sensibilidad de los índices a las reglas de datos; no cuantifica la propagación del error)</w:t>
      </w:r>
    </w:p>
    <w:p>
      <w:pPr>
        <w:pStyle w:val="Compact"/>
        <w:numPr>
          <w:ilvl w:val="1"/>
          <w:numId w:val="1255"/>
        </w:numPr>
      </w:pPr>
      <w:r>
        <w:t xml:space="preserve">Justificación del valor: Se asigna 3 porque la propagación es aritmética y no tiene paso humano intermedio: es el ancla ANC-3.</w:t>
      </w:r>
    </w:p>
    <w:p>
      <w:pPr>
        <w:pStyle w:val="Compact"/>
        <w:numPr>
          <w:ilvl w:val="1"/>
          <w:numId w:val="1255"/>
        </w:numPr>
      </w:pPr>
      <w:r>
        <w:t xml:space="preserve">Ancla comparada: Es ANC-3.</w:t>
      </w:r>
    </w:p>
    <w:p>
      <w:pPr>
        <w:pStyle w:val="Compact"/>
        <w:numPr>
          <w:ilvl w:val="1"/>
          <w:numId w:val="1255"/>
        </w:numPr>
      </w:pPr>
      <w:r>
        <w:t xml:space="preserve">Explicación rival: Un índice con filtros de calidad de dato que descarte lecturas dudosas amortiguaría la propagación. El expediente no los describe.</w:t>
      </w:r>
    </w:p>
    <w:p>
      <w:pPr>
        <w:pStyle w:val="Compact"/>
        <w:numPr>
          <w:ilvl w:val="1"/>
          <w:numId w:val="1255"/>
        </w:numPr>
      </w:pPr>
      <w:r>
        <w:t xml:space="preserve">Mediadores del modelo: ninguno</w:t>
      </w:r>
    </w:p>
    <w:p>
      <w:pPr>
        <w:pStyle w:val="Compact"/>
        <w:numPr>
          <w:ilvl w:val="1"/>
          <w:numId w:val="1255"/>
        </w:numPr>
      </w:pPr>
      <w:r>
        <w:t xml:space="preserve">Motivo de la confianza: Mecanismo aritmético. Filtros de calidad no descritos.</w:t>
      </w:r>
    </w:p>
    <w:p>
      <w:pPr>
        <w:pStyle w:val="Compact"/>
        <w:numPr>
          <w:ilvl w:val="0"/>
          <w:numId w:val="1254"/>
        </w:numPr>
      </w:pPr>
      <w:r>
        <w:rPr>
          <w:b/>
          <w:bCs/>
        </w:rPr>
        <w:t xml:space="preserve">V11→V06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6"/>
        </w:numPr>
      </w:pPr>
      <w:r>
        <w:t xml:space="preserve">Razón del cero: El nivel del índice no cambia el error del sensor.</w:t>
      </w:r>
    </w:p>
    <w:p>
      <w:pPr>
        <w:pStyle w:val="Compact"/>
        <w:numPr>
          <w:ilvl w:val="1"/>
          <w:numId w:val="1256"/>
        </w:numPr>
      </w:pPr>
      <w:r>
        <w:t xml:space="preserve">Fundamento: Premisa P-0: no existe mecanismo físico, informático ni institucional que conecte V11 con V06 dentro de la frontera y el horizonte declarados.</w:t>
      </w:r>
    </w:p>
    <w:p>
      <w:pPr>
        <w:pStyle w:val="Compact"/>
        <w:numPr>
          <w:ilvl w:val="1"/>
          <w:numId w:val="1256"/>
        </w:numPr>
      </w:pPr>
      <w:r>
        <w:t xml:space="preserve">Justificación del valor: Se asigna 0 porque el nivel del índice no cambia el error del sensor.</w:t>
      </w:r>
    </w:p>
    <w:p>
      <w:pPr>
        <w:pStyle w:val="Compact"/>
        <w:numPr>
          <w:ilvl w:val="1"/>
          <w:numId w:val="1256"/>
        </w:numPr>
      </w:pPr>
      <w:r>
        <w:t xml:space="preserve">Ancla comparada: ANC-0 (ver F4.4.2).</w:t>
      </w:r>
    </w:p>
    <w:p>
      <w:pPr>
        <w:pStyle w:val="Compact"/>
        <w:numPr>
          <w:ilvl w:val="1"/>
          <w:numId w:val="1256"/>
        </w:numPr>
      </w:pPr>
      <w:r>
        <w:t xml:space="preserve">Explicación rival: Ninguna alternativa plausible dentro de la frontera.</w:t>
      </w:r>
    </w:p>
    <w:p>
      <w:pPr>
        <w:pStyle w:val="Compact"/>
        <w:numPr>
          <w:ilvl w:val="1"/>
          <w:numId w:val="1256"/>
        </w:numPr>
      </w:pPr>
      <w:r>
        <w:t xml:space="preserve">Mediadores del modelo: ninguno</w:t>
      </w:r>
    </w:p>
    <w:p>
      <w:pPr>
        <w:pStyle w:val="Compact"/>
        <w:numPr>
          <w:ilvl w:val="1"/>
          <w:numId w:val="1256"/>
        </w:numPr>
      </w:pPr>
      <w:r>
        <w:t xml:space="preserve">Motivo de la confianza: Ausencia de mecanismo por razonamiento físico. Sin medición ni fuente específica.</w:t>
      </w:r>
    </w:p>
    <w:p>
      <w:pPr>
        <w:pStyle w:val="FirstParagraph"/>
      </w:pPr>
      <w:r>
        <w:t xml:space="preserve">**Ficha 080 · V01__V08 · clase INTER**</w:t>
      </w:r>
    </w:p>
    <w:p>
      <w:pPr>
        <w:pStyle w:val="Compact"/>
        <w:numPr>
          <w:ilvl w:val="0"/>
          <w:numId w:val="1257"/>
        </w:numPr>
      </w:pPr>
      <w:r>
        <w:rPr>
          <w:b/>
          <w:bCs/>
        </w:rPr>
        <w:t xml:space="preserve">V01→V08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8"/>
        </w:numPr>
      </w:pPr>
      <w:r>
        <w:t xml:space="preserve">Razón del cero: La concentración no cambia el retraso de transmisión de los paquetes. El contenido del dato no altera el enlace.</w:t>
      </w:r>
    </w:p>
    <w:p>
      <w:pPr>
        <w:pStyle w:val="Compact"/>
        <w:numPr>
          <w:ilvl w:val="1"/>
          <w:numId w:val="1258"/>
        </w:numPr>
      </w:pPr>
      <w:r>
        <w:t xml:space="preserve">Fundamento: Premisa P-0: no existe mecanismo físico, informático ni institucional que conecte V01 con V08 dentro de la frontera y el horizonte declarados.</w:t>
      </w:r>
    </w:p>
    <w:p>
      <w:pPr>
        <w:pStyle w:val="Compact"/>
        <w:numPr>
          <w:ilvl w:val="1"/>
          <w:numId w:val="1258"/>
        </w:numPr>
      </w:pPr>
      <w:r>
        <w:t xml:space="preserve">Justificación del valor: Se asigna 0 porque la concentración no cambia el retraso de transmisión de los paquetes. El contenido del dato no altera el enlace.</w:t>
      </w:r>
    </w:p>
    <w:p>
      <w:pPr>
        <w:pStyle w:val="Compact"/>
        <w:numPr>
          <w:ilvl w:val="1"/>
          <w:numId w:val="1258"/>
        </w:numPr>
      </w:pPr>
      <w:r>
        <w:t xml:space="preserve">Ancla comparada: ANC-0 (ver F4.4.2).</w:t>
      </w:r>
    </w:p>
    <w:p>
      <w:pPr>
        <w:pStyle w:val="Compact"/>
        <w:numPr>
          <w:ilvl w:val="1"/>
          <w:numId w:val="1258"/>
        </w:numPr>
      </w:pPr>
      <w:r>
        <w:t xml:space="preserve">Explicación rival: Ninguna alternativa plausible dentro de la frontera.</w:t>
      </w:r>
    </w:p>
    <w:p>
      <w:pPr>
        <w:pStyle w:val="Compact"/>
        <w:numPr>
          <w:ilvl w:val="1"/>
          <w:numId w:val="1258"/>
        </w:numPr>
      </w:pPr>
      <w:r>
        <w:t xml:space="preserve">Mediadores del modelo: ninguno</w:t>
      </w:r>
    </w:p>
    <w:p>
      <w:pPr>
        <w:pStyle w:val="Compact"/>
        <w:numPr>
          <w:ilvl w:val="1"/>
          <w:numId w:val="1258"/>
        </w:numPr>
      </w:pPr>
      <w:r>
        <w:t xml:space="preserve">Motivo de la confianza: Ausencia de mecanismo por razonamiento físico. Sin medición ni fuente específica.</w:t>
      </w:r>
    </w:p>
    <w:p>
      <w:pPr>
        <w:pStyle w:val="Compact"/>
        <w:numPr>
          <w:ilvl w:val="0"/>
          <w:numId w:val="1257"/>
        </w:numPr>
      </w:pPr>
      <w:r>
        <w:rPr>
          <w:b/>
          <w:bCs/>
        </w:rPr>
        <w:t xml:space="preserve">V08→V01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9"/>
        </w:numPr>
      </w:pPr>
      <w:r>
        <w:t xml:space="preserve">Razón del cero: El retraso de datos no modifica la masa de PM2,5 del aire.</w:t>
      </w:r>
    </w:p>
    <w:p>
      <w:pPr>
        <w:pStyle w:val="Compact"/>
        <w:numPr>
          <w:ilvl w:val="1"/>
          <w:numId w:val="1259"/>
        </w:numPr>
      </w:pPr>
      <w:r>
        <w:t xml:space="preserve">Fundamento: Premisa P-0: no existe mecanismo físico, informático ni institucional que conecte V08 con V01 dentro de la frontera y el horizonte declarados.</w:t>
      </w:r>
    </w:p>
    <w:p>
      <w:pPr>
        <w:pStyle w:val="Compact"/>
        <w:numPr>
          <w:ilvl w:val="1"/>
          <w:numId w:val="1259"/>
        </w:numPr>
      </w:pPr>
      <w:r>
        <w:t xml:space="preserve">Justificación del valor: Se asigna 0 porque el retraso de datos no modifica la masa de PM2,5 del aire.</w:t>
      </w:r>
    </w:p>
    <w:p>
      <w:pPr>
        <w:pStyle w:val="Compact"/>
        <w:numPr>
          <w:ilvl w:val="1"/>
          <w:numId w:val="1259"/>
        </w:numPr>
      </w:pPr>
      <w:r>
        <w:t xml:space="preserve">Ancla comparada: ANC-0 (ver F4.4.2).</w:t>
      </w:r>
    </w:p>
    <w:p>
      <w:pPr>
        <w:pStyle w:val="Compact"/>
        <w:numPr>
          <w:ilvl w:val="1"/>
          <w:numId w:val="1259"/>
        </w:numPr>
      </w:pPr>
      <w:r>
        <w:t xml:space="preserve">Explicación rival: Ninguna alternativa plausible dentro de la frontera.</w:t>
      </w:r>
    </w:p>
    <w:p>
      <w:pPr>
        <w:pStyle w:val="Compact"/>
        <w:numPr>
          <w:ilvl w:val="1"/>
          <w:numId w:val="1259"/>
        </w:numPr>
      </w:pPr>
      <w:r>
        <w:t xml:space="preserve">Mediadores del modelo: ninguno</w:t>
      </w:r>
    </w:p>
    <w:p>
      <w:pPr>
        <w:pStyle w:val="Compact"/>
        <w:numPr>
          <w:ilvl w:val="1"/>
          <w:numId w:val="1259"/>
        </w:numPr>
      </w:pPr>
      <w:r>
        <w:t xml:space="preserve">Motivo de la confianza: Ausencia de mecanismo por razonamiento físico. Sin medición ni fuente específica.</w:t>
      </w:r>
    </w:p>
    <w:p>
      <w:pPr>
        <w:pStyle w:val="FirstParagraph"/>
      </w:pPr>
      <w:r>
        <w:t xml:space="preserve">**Ficha 081 · V09__V14 · clase INTER**</w:t>
      </w:r>
    </w:p>
    <w:p>
      <w:pPr>
        <w:pStyle w:val="Compact"/>
        <w:numPr>
          <w:ilvl w:val="0"/>
          <w:numId w:val="1260"/>
        </w:numPr>
      </w:pPr>
      <w:r>
        <w:rPr>
          <w:b/>
          <w:bCs/>
        </w:rPr>
        <w:t xml:space="preserve">V09→V14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61"/>
        </w:numPr>
      </w:pPr>
      <w:r>
        <w:t xml:space="preserve">Razón del cero: La pérdida de nodos afecta la protección efectiva mediante el índice (V11) y el aviso (V13).</w:t>
      </w:r>
    </w:p>
    <w:p>
      <w:pPr>
        <w:pStyle w:val="Compact"/>
        <w:numPr>
          <w:ilvl w:val="1"/>
          <w:numId w:val="1261"/>
        </w:numPr>
      </w:pPr>
      <w:r>
        <w:t xml:space="preserve">Fundamento: Premisa P-M: la influencia de V09 sobre V14 opera solo a través de V11, V13. Se puntúa en los pares V09→V11 y V11→V14, V09→V13 y V13→V14. No se duplica aquí.</w:t>
      </w:r>
    </w:p>
    <w:p>
      <w:pPr>
        <w:pStyle w:val="Compact"/>
        <w:numPr>
          <w:ilvl w:val="1"/>
          <w:numId w:val="1261"/>
        </w:numPr>
      </w:pPr>
      <w:r>
        <w:t xml:space="preserve">Justificación del valor: Se asigna 0 porque la pérdida de nodos afecta la protección efectiva mediante el índice (V11) y el aviso (V13).</w:t>
      </w:r>
    </w:p>
    <w:p>
      <w:pPr>
        <w:pStyle w:val="Compact"/>
        <w:numPr>
          <w:ilvl w:val="1"/>
          <w:numId w:val="1261"/>
        </w:numPr>
      </w:pPr>
      <w:r>
        <w:t xml:space="preserve">Ancla comparada: ANC-0 (ver F4.4.2).</w:t>
      </w:r>
    </w:p>
    <w:p>
      <w:pPr>
        <w:pStyle w:val="Compact"/>
        <w:numPr>
          <w:ilvl w:val="1"/>
          <w:numId w:val="1261"/>
        </w:numPr>
      </w:pPr>
      <w:r>
        <w:t xml:space="preserve">Explicación rival: Ninguna alternativa plausible dentro de la frontera.</w:t>
      </w:r>
    </w:p>
    <w:p>
      <w:pPr>
        <w:pStyle w:val="Compact"/>
        <w:numPr>
          <w:ilvl w:val="1"/>
          <w:numId w:val="1261"/>
        </w:numPr>
      </w:pPr>
      <w:r>
        <w:t xml:space="preserve">Mediadores del modelo: V11, V13</w:t>
      </w:r>
    </w:p>
    <w:p>
      <w:pPr>
        <w:pStyle w:val="Compact"/>
        <w:numPr>
          <w:ilvl w:val="1"/>
          <w:numId w:val="1261"/>
        </w:numPr>
      </w:pPr>
      <w:r>
        <w:t xml:space="preserve">Motivo de la confianza: Ruta indirecta explícita en el modelo.</w:t>
      </w:r>
    </w:p>
    <w:p>
      <w:pPr>
        <w:pStyle w:val="Compact"/>
        <w:numPr>
          <w:ilvl w:val="0"/>
          <w:numId w:val="1260"/>
        </w:numPr>
      </w:pPr>
      <w:r>
        <w:rPr>
          <w:b/>
          <w:bCs/>
        </w:rPr>
        <w:t xml:space="preserve">V14→V09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2"/>
        </w:numPr>
      </w:pPr>
      <w:r>
        <w:t xml:space="preserve">Razón del cero: El número de personas protegidas no modifica la disponibilidad de nodos.</w:t>
      </w:r>
    </w:p>
    <w:p>
      <w:pPr>
        <w:pStyle w:val="Compact"/>
        <w:numPr>
          <w:ilvl w:val="1"/>
          <w:numId w:val="1262"/>
        </w:numPr>
      </w:pPr>
      <w:r>
        <w:t xml:space="preserve">Fundamento: Premisa P-0: no existe mecanismo físico, informático ni institucional que conecte V14 con V09 dentro de la frontera y el horizonte declarados.</w:t>
      </w:r>
    </w:p>
    <w:p>
      <w:pPr>
        <w:pStyle w:val="Compact"/>
        <w:numPr>
          <w:ilvl w:val="1"/>
          <w:numId w:val="1262"/>
        </w:numPr>
      </w:pPr>
      <w:r>
        <w:t xml:space="preserve">Justificación del valor: Se asigna 0 porque el número de personas protegidas no modifica la disponibilidad de nodos.</w:t>
      </w:r>
    </w:p>
    <w:p>
      <w:pPr>
        <w:pStyle w:val="Compact"/>
        <w:numPr>
          <w:ilvl w:val="1"/>
          <w:numId w:val="1262"/>
        </w:numPr>
      </w:pPr>
      <w:r>
        <w:t xml:space="preserve">Ancla comparada: ANC-0 (ver F4.4.2).</w:t>
      </w:r>
    </w:p>
    <w:p>
      <w:pPr>
        <w:pStyle w:val="Compact"/>
        <w:numPr>
          <w:ilvl w:val="1"/>
          <w:numId w:val="1262"/>
        </w:numPr>
      </w:pPr>
      <w:r>
        <w:t xml:space="preserve">Explicación rival: Ninguna alternativa plausible dentro de la frontera.</w:t>
      </w:r>
    </w:p>
    <w:p>
      <w:pPr>
        <w:pStyle w:val="Compact"/>
        <w:numPr>
          <w:ilvl w:val="1"/>
          <w:numId w:val="1262"/>
        </w:numPr>
      </w:pPr>
      <w:r>
        <w:t xml:space="preserve">Mediadores del modelo: ninguno</w:t>
      </w:r>
    </w:p>
    <w:p>
      <w:pPr>
        <w:pStyle w:val="Compact"/>
        <w:numPr>
          <w:ilvl w:val="1"/>
          <w:numId w:val="1262"/>
        </w:numPr>
      </w:pPr>
      <w:r>
        <w:t xml:space="preserve">Motivo de la confianza: Ausencia de mecanismo por razonamiento físico. Sin medición ni fuente específica.</w:t>
      </w:r>
    </w:p>
    <w:p>
      <w:pPr>
        <w:pStyle w:val="FirstParagraph"/>
      </w:pPr>
      <w:r>
        <w:t xml:space="preserve">**Ficha 082 · V05__V07 · clase INTER**</w:t>
      </w:r>
    </w:p>
    <w:p>
      <w:pPr>
        <w:pStyle w:val="Compact"/>
        <w:numPr>
          <w:ilvl w:val="0"/>
          <w:numId w:val="1263"/>
        </w:numPr>
      </w:pPr>
      <w:r>
        <w:rPr>
          <w:b/>
          <w:bCs/>
        </w:rPr>
        <w:t xml:space="preserve">V05→V07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4"/>
        </w:numPr>
      </w:pPr>
      <w:r>
        <w:t xml:space="preserve">Razón del cero: El volumen de escombros no fija la frecuencia de calibración.</w:t>
      </w:r>
    </w:p>
    <w:p>
      <w:pPr>
        <w:pStyle w:val="Compact"/>
        <w:numPr>
          <w:ilvl w:val="1"/>
          <w:numId w:val="1264"/>
        </w:numPr>
      </w:pPr>
      <w:r>
        <w:t xml:space="preserve">Fundamento: Premisa P-0: no existe mecanismo físico, informático ni institucional que conecte V05 con V07 dentro de la frontera y el horizonte declarados.</w:t>
      </w:r>
    </w:p>
    <w:p>
      <w:pPr>
        <w:pStyle w:val="Compact"/>
        <w:numPr>
          <w:ilvl w:val="1"/>
          <w:numId w:val="1264"/>
        </w:numPr>
      </w:pPr>
      <w:r>
        <w:t xml:space="preserve">Justificación del valor: Se asigna 0 porque el volumen de escombros no fija la frecuencia de calibración.</w:t>
      </w:r>
    </w:p>
    <w:p>
      <w:pPr>
        <w:pStyle w:val="Compact"/>
        <w:numPr>
          <w:ilvl w:val="1"/>
          <w:numId w:val="1264"/>
        </w:numPr>
      </w:pPr>
      <w:r>
        <w:t xml:space="preserve">Ancla comparada: ANC-0 (ver F4.4.2).</w:t>
      </w:r>
    </w:p>
    <w:p>
      <w:pPr>
        <w:pStyle w:val="Compact"/>
        <w:numPr>
          <w:ilvl w:val="1"/>
          <w:numId w:val="1264"/>
        </w:numPr>
      </w:pPr>
      <w:r>
        <w:t xml:space="preserve">Explicación rival: Ninguna alternativa plausible dentro de la frontera.</w:t>
      </w:r>
    </w:p>
    <w:p>
      <w:pPr>
        <w:pStyle w:val="Compact"/>
        <w:numPr>
          <w:ilvl w:val="1"/>
          <w:numId w:val="1264"/>
        </w:numPr>
      </w:pPr>
      <w:r>
        <w:t xml:space="preserve">Mediadores del modelo: ninguno</w:t>
      </w:r>
    </w:p>
    <w:p>
      <w:pPr>
        <w:pStyle w:val="Compact"/>
        <w:numPr>
          <w:ilvl w:val="1"/>
          <w:numId w:val="1264"/>
        </w:numPr>
      </w:pPr>
      <w:r>
        <w:t xml:space="preserve">Motivo de la confianza: Ausencia de mecanismo por razonamiento físico. Sin medición ni fuente específica.</w:t>
      </w:r>
    </w:p>
    <w:p>
      <w:pPr>
        <w:pStyle w:val="Compact"/>
        <w:numPr>
          <w:ilvl w:val="0"/>
          <w:numId w:val="1263"/>
        </w:numPr>
      </w:pPr>
      <w:r>
        <w:rPr>
          <w:b/>
          <w:bCs/>
        </w:rPr>
        <w:t xml:space="preserve">V07→V05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5"/>
        </w:numPr>
      </w:pPr>
      <w:r>
        <w:t xml:space="preserve">Razón del cero: La calibración no cambia las toneladas de escombros removidas.</w:t>
      </w:r>
    </w:p>
    <w:p>
      <w:pPr>
        <w:pStyle w:val="Compact"/>
        <w:numPr>
          <w:ilvl w:val="1"/>
          <w:numId w:val="1265"/>
        </w:numPr>
      </w:pPr>
      <w:r>
        <w:t xml:space="preserve">Fundamento: Premisa P-0: no existe mecanismo físico, informático ni institucional que conecte V07 con V05 dentro de la frontera y el horizonte declarados.</w:t>
      </w:r>
    </w:p>
    <w:p>
      <w:pPr>
        <w:pStyle w:val="Compact"/>
        <w:numPr>
          <w:ilvl w:val="1"/>
          <w:numId w:val="1265"/>
        </w:numPr>
      </w:pPr>
      <w:r>
        <w:t xml:space="preserve">Justificación del valor: Se asigna 0 porque la calibración no cambia las toneladas de escombros removidas.</w:t>
      </w:r>
    </w:p>
    <w:p>
      <w:pPr>
        <w:pStyle w:val="Compact"/>
        <w:numPr>
          <w:ilvl w:val="1"/>
          <w:numId w:val="1265"/>
        </w:numPr>
      </w:pPr>
      <w:r>
        <w:t xml:space="preserve">Ancla comparada: ANC-0 (ver F4.4.2).</w:t>
      </w:r>
    </w:p>
    <w:p>
      <w:pPr>
        <w:pStyle w:val="Compact"/>
        <w:numPr>
          <w:ilvl w:val="1"/>
          <w:numId w:val="1265"/>
        </w:numPr>
      </w:pPr>
      <w:r>
        <w:t xml:space="preserve">Explicación rival: Ninguna alternativa plausible dentro de la frontera.</w:t>
      </w:r>
    </w:p>
    <w:p>
      <w:pPr>
        <w:pStyle w:val="Compact"/>
        <w:numPr>
          <w:ilvl w:val="1"/>
          <w:numId w:val="1265"/>
        </w:numPr>
      </w:pPr>
      <w:r>
        <w:t xml:space="preserve">Mediadores del modelo: ninguno</w:t>
      </w:r>
    </w:p>
    <w:p>
      <w:pPr>
        <w:pStyle w:val="Compact"/>
        <w:numPr>
          <w:ilvl w:val="1"/>
          <w:numId w:val="1265"/>
        </w:numPr>
      </w:pPr>
      <w:r>
        <w:t xml:space="preserve">Motivo de la confianza: Ausencia de mecanismo por razonamiento físico. Sin medición ni fuente específica.</w:t>
      </w:r>
    </w:p>
    <w:p>
      <w:pPr>
        <w:pStyle w:val="FirstParagraph"/>
      </w:pPr>
      <w:r>
        <w:t xml:space="preserve">**Ficha 083 · V05__V09 · clase INTER**</w:t>
      </w:r>
    </w:p>
    <w:p>
      <w:pPr>
        <w:pStyle w:val="Compact"/>
        <w:numPr>
          <w:ilvl w:val="0"/>
          <w:numId w:val="1266"/>
        </w:numPr>
      </w:pPr>
      <w:r>
        <w:rPr>
          <w:b/>
          <w:bCs/>
        </w:rPr>
        <w:t xml:space="preserve">V05→V09</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67"/>
        </w:numPr>
      </w:pPr>
      <w:r>
        <w:t xml:space="preserve">Mecanismo: La maquinaria pesada golpea, entierra o desplaza nodos instalados cerca del frente de obra, y el vandalismo aumenta con la actividad.</w:t>
      </w:r>
    </w:p>
    <w:p>
      <w:pPr>
        <w:pStyle w:val="Compact"/>
        <w:numPr>
          <w:ilvl w:val="1"/>
          <w:numId w:val="1267"/>
        </w:numPr>
      </w:pPr>
      <w:r>
        <w:t xml:space="preserve">Fundamento: Premisa de la iteración previa (F4.4.4, V05-&gt;V09 = 2) citada a Ruiz-Carrascal et al. (2026, p. 14), cuya página no figura en F-INF (F-INF cita pp. 3, 5, 6 y 8). El mecanismo es plausible y coherente con los riesgos de vandalismo y antivandálicos del expediente.</w:t>
      </w:r>
    </w:p>
    <w:p>
      <w:pPr>
        <w:pStyle w:val="Compact"/>
        <w:numPr>
          <w:ilvl w:val="1"/>
          <w:numId w:val="1267"/>
        </w:numPr>
      </w:pPr>
      <w:r>
        <w:t xml:space="preserve">Fuentes: F-E3, Paso 4, F4.4.4, fila V05-&gt;V09; Capítulo 10 R-TEC; Capítulo 8 Tabla E3-8.4 (antivandálico) (alcance: El expediente anticipa vandalismo y daño físico); F-INF, §1.3 hallazgo 4 y §3.1: SIATA opera 535 equipos (Ruiz-Carrascal et al., 2026, p. 8) (alcance: No reporta pérdidas por maquinaria)</w:t>
      </w:r>
    </w:p>
    <w:p>
      <w:pPr>
        <w:pStyle w:val="Compact"/>
        <w:numPr>
          <w:ilvl w:val="1"/>
          <w:numId w:val="1267"/>
        </w:numPr>
      </w:pPr>
      <w:r>
        <w:t xml:space="preserve">Premisas: P-V05-V09: los nodos en el frente de obra enfrentan tránsito de maquinaria pesada y movimiento de material (condición del sitio).</w:t>
      </w:r>
    </w:p>
    <w:p>
      <w:pPr>
        <w:pStyle w:val="Compact"/>
        <w:numPr>
          <w:ilvl w:val="1"/>
          <w:numId w:val="1267"/>
        </w:numPr>
      </w:pPr>
      <w:r>
        <w:t xml:space="preserve">Justificación del valor: Se asigna 2. La pérdida física de nodos es una falla propia del sitio. Es mayor que la corrosión gradual (ANC-1) y menor que una destrucción total de la red.</w:t>
      </w:r>
    </w:p>
    <w:p>
      <w:pPr>
        <w:pStyle w:val="Compact"/>
        <w:numPr>
          <w:ilvl w:val="1"/>
          <w:numId w:val="1267"/>
        </w:numPr>
      </w:pPr>
      <w:r>
        <w:t xml:space="preserve">Ancla comparada: Mayor que ANC-1. Igual a ANC-2 en nivel.</w:t>
      </w:r>
    </w:p>
    <w:p>
      <w:pPr>
        <w:pStyle w:val="Compact"/>
        <w:numPr>
          <w:ilvl w:val="1"/>
          <w:numId w:val="1267"/>
        </w:numPr>
      </w:pPr>
      <w:r>
        <w:t xml:space="preserve">Explicación rival: Con ubicación acordada fuera del frente de obra (P03) el valor sería 1.</w:t>
      </w:r>
    </w:p>
    <w:p>
      <w:pPr>
        <w:pStyle w:val="Compact"/>
        <w:numPr>
          <w:ilvl w:val="1"/>
          <w:numId w:val="1267"/>
        </w:numPr>
      </w:pPr>
      <w:r>
        <w:t xml:space="preserve">Mediadores del modelo: ninguno</w:t>
      </w:r>
    </w:p>
    <w:p>
      <w:pPr>
        <w:pStyle w:val="Compact"/>
        <w:numPr>
          <w:ilvl w:val="1"/>
          <w:numId w:val="1267"/>
        </w:numPr>
      </w:pPr>
      <w:r>
        <w:t xml:space="preserve">Motivo de la confianza: Mecanismo plausible. Cita previa no verificable en F-INF. Sin tasa de pérdida.</w:t>
      </w:r>
    </w:p>
    <w:p>
      <w:pPr>
        <w:pStyle w:val="Compact"/>
        <w:numPr>
          <w:ilvl w:val="0"/>
          <w:numId w:val="1266"/>
        </w:numPr>
      </w:pPr>
      <w:r>
        <w:rPr>
          <w:b/>
          <w:bCs/>
        </w:rPr>
        <w:t xml:space="preserve">V09→V05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8"/>
        </w:numPr>
      </w:pPr>
      <w:r>
        <w:t xml:space="preserve">Razón del cero: La disponibilidad de nodos no cambia las toneladas de escombros removidas.</w:t>
      </w:r>
    </w:p>
    <w:p>
      <w:pPr>
        <w:pStyle w:val="Compact"/>
        <w:numPr>
          <w:ilvl w:val="1"/>
          <w:numId w:val="1268"/>
        </w:numPr>
      </w:pPr>
      <w:r>
        <w:t xml:space="preserve">Fundamento: Premisa P-0: no existe mecanismo físico, informático ni institucional que conecte V09 con V05 dentro de la frontera y el horizonte declarados.</w:t>
      </w:r>
    </w:p>
    <w:p>
      <w:pPr>
        <w:pStyle w:val="Compact"/>
        <w:numPr>
          <w:ilvl w:val="1"/>
          <w:numId w:val="1268"/>
        </w:numPr>
      </w:pPr>
      <w:r>
        <w:t xml:space="preserve">Justificación del valor: Se asigna 0 porque la disponibilidad de nodos no cambia las toneladas de escombros removidas.</w:t>
      </w:r>
    </w:p>
    <w:p>
      <w:pPr>
        <w:pStyle w:val="Compact"/>
        <w:numPr>
          <w:ilvl w:val="1"/>
          <w:numId w:val="1268"/>
        </w:numPr>
      </w:pPr>
      <w:r>
        <w:t xml:space="preserve">Ancla comparada: ANC-0 (ver F4.4.2).</w:t>
      </w:r>
    </w:p>
    <w:p>
      <w:pPr>
        <w:pStyle w:val="Compact"/>
        <w:numPr>
          <w:ilvl w:val="1"/>
          <w:numId w:val="1268"/>
        </w:numPr>
      </w:pPr>
      <w:r>
        <w:t xml:space="preserve">Explicación rival: Ninguna alternativa plausible dentro de la frontera.</w:t>
      </w:r>
    </w:p>
    <w:p>
      <w:pPr>
        <w:pStyle w:val="Compact"/>
        <w:numPr>
          <w:ilvl w:val="1"/>
          <w:numId w:val="1268"/>
        </w:numPr>
      </w:pPr>
      <w:r>
        <w:t xml:space="preserve">Mediadores del modelo: ninguno</w:t>
      </w:r>
    </w:p>
    <w:p>
      <w:pPr>
        <w:pStyle w:val="Compact"/>
        <w:numPr>
          <w:ilvl w:val="1"/>
          <w:numId w:val="1268"/>
        </w:numPr>
      </w:pPr>
      <w:r>
        <w:t xml:space="preserve">Motivo de la confianza: Ausencia de mecanismo por razonamiento físico. Sin medición ni fuente específica.</w:t>
      </w:r>
    </w:p>
    <w:p>
      <w:pPr>
        <w:pStyle w:val="FirstParagraph"/>
      </w:pPr>
      <w:r>
        <w:t xml:space="preserve">**Ficha 084 · V04__V09 · clase INTER**</w:t>
      </w:r>
    </w:p>
    <w:p>
      <w:pPr>
        <w:pStyle w:val="Compact"/>
        <w:numPr>
          <w:ilvl w:val="0"/>
          <w:numId w:val="1269"/>
        </w:numPr>
      </w:pPr>
      <w:r>
        <w:rPr>
          <w:b/>
          <w:bCs/>
        </w:rPr>
        <w:t xml:space="preserve">V04→V09</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270"/>
        </w:numPr>
      </w:pPr>
      <w:r>
        <w:t xml:space="preserve">Mecanismo: El viento fuerte derriba o daña mástiles y carcasas montadas sobre escombros inestables.</w:t>
      </w:r>
    </w:p>
    <w:p>
      <w:pPr>
        <w:pStyle w:val="Compact"/>
        <w:numPr>
          <w:ilvl w:val="1"/>
          <w:numId w:val="1270"/>
        </w:numPr>
      </w:pPr>
      <w:r>
        <w:t xml:space="preserve">Fundamento: Premisa de ingeniería. El expediente presupuesta mástiles NEMA 4X antivandálicos (Tabla E3-8.4) sin carga de viento declarada.</w:t>
      </w:r>
    </w:p>
    <w:p>
      <w:pPr>
        <w:pStyle w:val="Compact"/>
        <w:numPr>
          <w:ilvl w:val="1"/>
          <w:numId w:val="1270"/>
        </w:numPr>
      </w:pPr>
      <w:r>
        <w:t xml:space="preserve">Fuentes: F-E3, Capítulo 8, Tabla E3-8.4 (kits de cerramiento NEMA 4X y mástiles) (alcance: Muestra la existencia de mástiles; no declara cargas de viento)</w:t>
      </w:r>
    </w:p>
    <w:p>
      <w:pPr>
        <w:pStyle w:val="Compact"/>
        <w:numPr>
          <w:ilvl w:val="1"/>
          <w:numId w:val="1270"/>
        </w:numPr>
      </w:pPr>
      <w:r>
        <w:t xml:space="preserve">Premisas: P-V04-V09: las ráfagas generan cargas sobre estructuras ligeras en terreno inestable (conocimiento de ingeniería general).</w:t>
      </w:r>
    </w:p>
    <w:p>
      <w:pPr>
        <w:pStyle w:val="Compact"/>
        <w:numPr>
          <w:ilvl w:val="1"/>
          <w:numId w:val="1270"/>
        </w:numPr>
      </w:pPr>
      <w:r>
        <w:t xml:space="preserve">Justificación del valor: Se asigna 1: la falla por viento es esporádica. La causa principal de pérdida física es la maquinaria (V05-&gt;V09).</w:t>
      </w:r>
    </w:p>
    <w:p>
      <w:pPr>
        <w:pStyle w:val="Compact"/>
        <w:numPr>
          <w:ilvl w:val="1"/>
          <w:numId w:val="1270"/>
        </w:numPr>
      </w:pPr>
      <w:r>
        <w:t xml:space="preserve">Ancla comparada: Igual a ANC-1.</w:t>
      </w:r>
    </w:p>
    <w:p>
      <w:pPr>
        <w:pStyle w:val="Compact"/>
        <w:numPr>
          <w:ilvl w:val="1"/>
          <w:numId w:val="1270"/>
        </w:numPr>
      </w:pPr>
      <w:r>
        <w:t xml:space="preserve">Explicación rival: Con cimentación adecuada el valor sería 0.</w:t>
      </w:r>
    </w:p>
    <w:p>
      <w:pPr>
        <w:pStyle w:val="Compact"/>
        <w:numPr>
          <w:ilvl w:val="1"/>
          <w:numId w:val="1270"/>
        </w:numPr>
      </w:pPr>
      <w:r>
        <w:t xml:space="preserve">Mediadores del modelo: ninguno</w:t>
      </w:r>
    </w:p>
    <w:p>
      <w:pPr>
        <w:pStyle w:val="Compact"/>
        <w:numPr>
          <w:ilvl w:val="1"/>
          <w:numId w:val="1270"/>
        </w:numPr>
      </w:pPr>
      <w:r>
        <w:t xml:space="preserve">Motivo de la confianza: Sin dato de diseño estructural.</w:t>
      </w:r>
    </w:p>
    <w:p>
      <w:pPr>
        <w:pStyle w:val="Compact"/>
        <w:numPr>
          <w:ilvl w:val="0"/>
          <w:numId w:val="1269"/>
        </w:numPr>
      </w:pPr>
      <w:r>
        <w:rPr>
          <w:b/>
          <w:bCs/>
        </w:rPr>
        <w:t xml:space="preserve">V09→V04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1"/>
        </w:numPr>
      </w:pPr>
      <w:r>
        <w:t xml:space="preserve">Razón del cero: La disponibilidad de nodos no modifica el viento.</w:t>
      </w:r>
    </w:p>
    <w:p>
      <w:pPr>
        <w:pStyle w:val="Compact"/>
        <w:numPr>
          <w:ilvl w:val="1"/>
          <w:numId w:val="1271"/>
        </w:numPr>
      </w:pPr>
      <w:r>
        <w:t xml:space="preserve">Fundamento: Premisa P-0: no existe mecanismo físico, informático ni institucional que conecte V09 con V04 dentro de la frontera y el horizonte declarados.</w:t>
      </w:r>
    </w:p>
    <w:p>
      <w:pPr>
        <w:pStyle w:val="Compact"/>
        <w:numPr>
          <w:ilvl w:val="1"/>
          <w:numId w:val="1271"/>
        </w:numPr>
      </w:pPr>
      <w:r>
        <w:t xml:space="preserve">Justificación del valor: Se asigna 0 porque la disponibilidad de nodos no modifica el viento.</w:t>
      </w:r>
    </w:p>
    <w:p>
      <w:pPr>
        <w:pStyle w:val="Compact"/>
        <w:numPr>
          <w:ilvl w:val="1"/>
          <w:numId w:val="1271"/>
        </w:numPr>
      </w:pPr>
      <w:r>
        <w:t xml:space="preserve">Ancla comparada: ANC-0 (ver F4.4.2).</w:t>
      </w:r>
    </w:p>
    <w:p>
      <w:pPr>
        <w:pStyle w:val="Compact"/>
        <w:numPr>
          <w:ilvl w:val="1"/>
          <w:numId w:val="1271"/>
        </w:numPr>
      </w:pPr>
      <w:r>
        <w:t xml:space="preserve">Explicación rival: Ninguna alternativa plausible dentro de la frontera.</w:t>
      </w:r>
    </w:p>
    <w:p>
      <w:pPr>
        <w:pStyle w:val="Compact"/>
        <w:numPr>
          <w:ilvl w:val="1"/>
          <w:numId w:val="1271"/>
        </w:numPr>
      </w:pPr>
      <w:r>
        <w:t xml:space="preserve">Mediadores del modelo: ninguno</w:t>
      </w:r>
    </w:p>
    <w:p>
      <w:pPr>
        <w:pStyle w:val="Compact"/>
        <w:numPr>
          <w:ilvl w:val="1"/>
          <w:numId w:val="1271"/>
        </w:numPr>
      </w:pPr>
      <w:r>
        <w:t xml:space="preserve">Motivo de la confianza: Ausencia de mecanismo por razonamiento físico. Sin medición ni fuente específica.</w:t>
      </w:r>
    </w:p>
    <w:p>
      <w:pPr>
        <w:pStyle w:val="FirstParagraph"/>
      </w:pPr>
      <w:r>
        <w:t xml:space="preserve">**Ficha 085 · V01__V12 · clase INTER**</w:t>
      </w:r>
    </w:p>
    <w:p>
      <w:pPr>
        <w:pStyle w:val="Compact"/>
        <w:numPr>
          <w:ilvl w:val="0"/>
          <w:numId w:val="1272"/>
        </w:numPr>
      </w:pPr>
      <w:r>
        <w:rPr>
          <w:b/>
          <w:bCs/>
        </w:rPr>
        <w:t xml:space="preserve">V01→V12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73"/>
        </w:numPr>
      </w:pPr>
      <w:r>
        <w:t xml:space="preserve">Razón del cero: Una concentración real alta genera alertas verdaderas. La falsa alarma proviene del error de medición o del umbral, no de la concentración.</w:t>
      </w:r>
    </w:p>
    <w:p>
      <w:pPr>
        <w:pStyle w:val="Compact"/>
        <w:numPr>
          <w:ilvl w:val="1"/>
          <w:numId w:val="1273"/>
        </w:numPr>
      </w:pPr>
      <w:r>
        <w:t xml:space="preserve">Fundamento: Premisa P-M: la influencia de V01 sobre V12 opera solo a través de V06, V11. Se puntúa en los pares V01→V06 y V06→V12, V01→V11 y V11→V12. No se duplica aquí.</w:t>
      </w:r>
    </w:p>
    <w:p>
      <w:pPr>
        <w:pStyle w:val="Compact"/>
        <w:numPr>
          <w:ilvl w:val="1"/>
          <w:numId w:val="1273"/>
        </w:numPr>
      </w:pPr>
      <w:r>
        <w:t xml:space="preserve">Justificación del valor: Se asigna 0 porque una concentración real alta genera alertas verdaderas. La falsa alarma proviene del error de medición o del umbral, no de la concentración.</w:t>
      </w:r>
    </w:p>
    <w:p>
      <w:pPr>
        <w:pStyle w:val="Compact"/>
        <w:numPr>
          <w:ilvl w:val="1"/>
          <w:numId w:val="1273"/>
        </w:numPr>
      </w:pPr>
      <w:r>
        <w:t xml:space="preserve">Ancla comparada: ANC-0 (ver F4.4.2).</w:t>
      </w:r>
    </w:p>
    <w:p>
      <w:pPr>
        <w:pStyle w:val="Compact"/>
        <w:numPr>
          <w:ilvl w:val="1"/>
          <w:numId w:val="1273"/>
        </w:numPr>
      </w:pPr>
      <w:r>
        <w:t xml:space="preserve">Explicación rival: Cerca del umbral, una concentración alta aumenta la probabilidad de clasificar mal. Ese efecto opera por V06 y V11.</w:t>
      </w:r>
    </w:p>
    <w:p>
      <w:pPr>
        <w:pStyle w:val="Compact"/>
        <w:numPr>
          <w:ilvl w:val="1"/>
          <w:numId w:val="1273"/>
        </w:numPr>
      </w:pPr>
      <w:r>
        <w:t xml:space="preserve">Mediadores del modelo: V06, V11</w:t>
      </w:r>
    </w:p>
    <w:p>
      <w:pPr>
        <w:pStyle w:val="Compact"/>
        <w:numPr>
          <w:ilvl w:val="1"/>
          <w:numId w:val="1273"/>
        </w:numPr>
      </w:pPr>
      <w:r>
        <w:t xml:space="preserve">Motivo de la confianza: Ruta indirecta explícita en el modelo.</w:t>
      </w:r>
    </w:p>
    <w:p>
      <w:pPr>
        <w:pStyle w:val="Compact"/>
        <w:numPr>
          <w:ilvl w:val="0"/>
          <w:numId w:val="1272"/>
        </w:numPr>
      </w:pPr>
      <w:r>
        <w:rPr>
          <w:b/>
          <w:bCs/>
        </w:rPr>
        <w:t xml:space="preserve">V12→V01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4"/>
        </w:numPr>
      </w:pPr>
      <w:r>
        <w:t xml:space="preserve">Razón del cero: Las falsas alarmas no modifican la masa de PM2,5 del aire.</w:t>
      </w:r>
    </w:p>
    <w:p>
      <w:pPr>
        <w:pStyle w:val="Compact"/>
        <w:numPr>
          <w:ilvl w:val="1"/>
          <w:numId w:val="1274"/>
        </w:numPr>
      </w:pPr>
      <w:r>
        <w:t xml:space="preserve">Fundamento: Premisa P-0: no existe mecanismo físico, informático ni institucional que conecte V12 con V01 dentro de la frontera y el horizonte declarados.</w:t>
      </w:r>
    </w:p>
    <w:p>
      <w:pPr>
        <w:pStyle w:val="Compact"/>
        <w:numPr>
          <w:ilvl w:val="1"/>
          <w:numId w:val="1274"/>
        </w:numPr>
      </w:pPr>
      <w:r>
        <w:t xml:space="preserve">Justificación del valor: Se asigna 0 porque las falsas alarmas no modifican la masa de PM2,5 del aire.</w:t>
      </w:r>
    </w:p>
    <w:p>
      <w:pPr>
        <w:pStyle w:val="Compact"/>
        <w:numPr>
          <w:ilvl w:val="1"/>
          <w:numId w:val="1274"/>
        </w:numPr>
      </w:pPr>
      <w:r>
        <w:t xml:space="preserve">Ancla comparada: ANC-0 (ver F4.4.2).</w:t>
      </w:r>
    </w:p>
    <w:p>
      <w:pPr>
        <w:pStyle w:val="Compact"/>
        <w:numPr>
          <w:ilvl w:val="1"/>
          <w:numId w:val="1274"/>
        </w:numPr>
      </w:pPr>
      <w:r>
        <w:t xml:space="preserve">Explicación rival: Ninguna alternativa plausible dentro de la frontera.</w:t>
      </w:r>
    </w:p>
    <w:p>
      <w:pPr>
        <w:pStyle w:val="Compact"/>
        <w:numPr>
          <w:ilvl w:val="1"/>
          <w:numId w:val="1274"/>
        </w:numPr>
      </w:pPr>
      <w:r>
        <w:t xml:space="preserve">Mediadores del modelo: ninguno</w:t>
      </w:r>
    </w:p>
    <w:p>
      <w:pPr>
        <w:pStyle w:val="Compact"/>
        <w:numPr>
          <w:ilvl w:val="1"/>
          <w:numId w:val="1274"/>
        </w:numPr>
      </w:pPr>
      <w:r>
        <w:t xml:space="preserve">Motivo de la confianza: Ausencia de mecanismo por razonamiento físico. Sin medición ni fuente específica.</w:t>
      </w:r>
    </w:p>
    <w:p>
      <w:pPr>
        <w:pStyle w:val="FirstParagraph"/>
      </w:pPr>
      <w:r>
        <w:t xml:space="preserve">**Ficha 086 · V03__V10 · clase INTER**</w:t>
      </w:r>
    </w:p>
    <w:p>
      <w:pPr>
        <w:pStyle w:val="Compact"/>
        <w:numPr>
          <w:ilvl w:val="0"/>
          <w:numId w:val="1275"/>
        </w:numPr>
      </w:pPr>
      <w:r>
        <w:rPr>
          <w:b/>
          <w:bCs/>
        </w:rPr>
        <w:t xml:space="preserve">V03→V10</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76"/>
        </w:numPr>
      </w:pPr>
      <w:r>
        <w:t xml:space="preserve">Razón del cero: La humedad no cambia la cantidad de nodos por km² del gemelo diseñada.</w:t>
      </w:r>
    </w:p>
    <w:p>
      <w:pPr>
        <w:pStyle w:val="Compact"/>
        <w:numPr>
          <w:ilvl w:val="1"/>
          <w:numId w:val="1276"/>
        </w:numPr>
      </w:pPr>
      <w:r>
        <w:t xml:space="preserve">Fundamento: Premisa P-0: no existe mecanismo físico, informático ni institucional que conecte V03 con V10 dentro de la frontera y el horizonte declarados.</w:t>
      </w:r>
    </w:p>
    <w:p>
      <w:pPr>
        <w:pStyle w:val="Compact"/>
        <w:numPr>
          <w:ilvl w:val="1"/>
          <w:numId w:val="1276"/>
        </w:numPr>
      </w:pPr>
      <w:r>
        <w:t xml:space="preserve">Justificación del valor: Se asigna 0 porque la humedad no cambia la cantidad de nodos por km² del gemelo diseñada.</w:t>
      </w:r>
    </w:p>
    <w:p>
      <w:pPr>
        <w:pStyle w:val="Compact"/>
        <w:numPr>
          <w:ilvl w:val="1"/>
          <w:numId w:val="1276"/>
        </w:numPr>
      </w:pPr>
      <w:r>
        <w:t xml:space="preserve">Ancla comparada: ANC-0 (ver F4.4.2).</w:t>
      </w:r>
    </w:p>
    <w:p>
      <w:pPr>
        <w:pStyle w:val="Compact"/>
        <w:numPr>
          <w:ilvl w:val="1"/>
          <w:numId w:val="1276"/>
        </w:numPr>
      </w:pPr>
      <w:r>
        <w:t xml:space="preserve">Explicación rival: Si V10 midiera densidad efectiva, la humedad actuaría por V09. Ese vínculo se puntúa allí.</w:t>
      </w:r>
    </w:p>
    <w:p>
      <w:pPr>
        <w:pStyle w:val="Compact"/>
        <w:numPr>
          <w:ilvl w:val="1"/>
          <w:numId w:val="1276"/>
        </w:numPr>
      </w:pPr>
      <w:r>
        <w:t xml:space="preserve">Mediadores del modelo: V09</w:t>
      </w:r>
    </w:p>
    <w:p>
      <w:pPr>
        <w:pStyle w:val="Compact"/>
        <w:numPr>
          <w:ilvl w:val="1"/>
          <w:numId w:val="1276"/>
        </w:numPr>
      </w:pPr>
      <w:r>
        <w:t xml:space="preserve">Motivo de la confianza: Ausencia de mecanismo por razonamiento físico. Sin medición ni fuente específica.</w:t>
      </w:r>
    </w:p>
    <w:p>
      <w:pPr>
        <w:pStyle w:val="Compact"/>
        <w:numPr>
          <w:ilvl w:val="0"/>
          <w:numId w:val="1275"/>
        </w:numPr>
      </w:pPr>
      <w:r>
        <w:rPr>
          <w:b/>
          <w:bCs/>
        </w:rPr>
        <w:t xml:space="preserve">V10→V03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7"/>
        </w:numPr>
      </w:pPr>
      <w:r>
        <w:t xml:space="preserve">Razón del cero: La densidad de nodos no modifica la humedad relativa.</w:t>
      </w:r>
    </w:p>
    <w:p>
      <w:pPr>
        <w:pStyle w:val="Compact"/>
        <w:numPr>
          <w:ilvl w:val="1"/>
          <w:numId w:val="1277"/>
        </w:numPr>
      </w:pPr>
      <w:r>
        <w:t xml:space="preserve">Fundamento: Premisa P-0: no existe mecanismo físico, informático ni institucional que conecte V10 con V03 dentro de la frontera y el horizonte declarados.</w:t>
      </w:r>
    </w:p>
    <w:p>
      <w:pPr>
        <w:pStyle w:val="Compact"/>
        <w:numPr>
          <w:ilvl w:val="1"/>
          <w:numId w:val="1277"/>
        </w:numPr>
      </w:pPr>
      <w:r>
        <w:t xml:space="preserve">Justificación del valor: Se asigna 0 porque la densidad de nodos no modifica la humedad relativa.</w:t>
      </w:r>
    </w:p>
    <w:p>
      <w:pPr>
        <w:pStyle w:val="Compact"/>
        <w:numPr>
          <w:ilvl w:val="1"/>
          <w:numId w:val="1277"/>
        </w:numPr>
      </w:pPr>
      <w:r>
        <w:t xml:space="preserve">Ancla comparada: ANC-0 (ver F4.4.2).</w:t>
      </w:r>
    </w:p>
    <w:p>
      <w:pPr>
        <w:pStyle w:val="Compact"/>
        <w:numPr>
          <w:ilvl w:val="1"/>
          <w:numId w:val="1277"/>
        </w:numPr>
      </w:pPr>
      <w:r>
        <w:t xml:space="preserve">Explicación rival: Ninguna alternativa plausible dentro de la frontera.</w:t>
      </w:r>
    </w:p>
    <w:p>
      <w:pPr>
        <w:pStyle w:val="Compact"/>
        <w:numPr>
          <w:ilvl w:val="1"/>
          <w:numId w:val="1277"/>
        </w:numPr>
      </w:pPr>
      <w:r>
        <w:t xml:space="preserve">Mediadores del modelo: ninguno</w:t>
      </w:r>
    </w:p>
    <w:p>
      <w:pPr>
        <w:pStyle w:val="Compact"/>
        <w:numPr>
          <w:ilvl w:val="1"/>
          <w:numId w:val="1277"/>
        </w:numPr>
      </w:pPr>
      <w:r>
        <w:t xml:space="preserve">Motivo de la confianza: Ausencia de mecanismo por razonamiento físico. Sin medición ni fuente específica.</w:t>
      </w:r>
    </w:p>
    <w:p>
      <w:pPr>
        <w:pStyle w:val="FirstParagraph"/>
      </w:pPr>
      <w:r>
        <w:t xml:space="preserve">**Ficha 087 · V02__V06 · clase INTER**</w:t>
      </w:r>
    </w:p>
    <w:p>
      <w:pPr>
        <w:pStyle w:val="Compact"/>
        <w:numPr>
          <w:ilvl w:val="0"/>
          <w:numId w:val="1278"/>
        </w:numPr>
      </w:pPr>
      <w:r>
        <w:rPr>
          <w:b/>
          <w:bCs/>
        </w:rPr>
        <w:t xml:space="preserve">V02→V06</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279"/>
        </w:numPr>
      </w:pPr>
      <w:r>
        <w:t xml:space="preserve">Mecanismo: El polvo grueso ensucia lentes y entradas de aire del sensor. El canal de PM10 de los sensores de bajo costo tiene eficiencia de captura limitada. Ambos efectos elevan el error sistemático.</w:t>
      </w:r>
    </w:p>
    <w:p>
      <w:pPr>
        <w:pStyle w:val="Compact"/>
        <w:numPr>
          <w:ilvl w:val="1"/>
          <w:numId w:val="1279"/>
        </w:numPr>
      </w:pPr>
      <w:r>
        <w:t xml:space="preserve">Fundamento: Mecanismo de ensuciamiento de lente del ledger E3-P04 (INFERIDO, magnitud 3). F-INF registra en una mina a cielo abierto un PM2,5 medio de 159,11 µg/m3 y un cociente PM2,5/PM10 de 0,88. Eso muestra carga de polvo alta en sitios de operación.</w:t>
      </w:r>
    </w:p>
    <w:p>
      <w:pPr>
        <w:pStyle w:val="Compact"/>
        <w:numPr>
          <w:ilvl w:val="1"/>
          <w:numId w:val="1279"/>
        </w:numPr>
      </w:pPr>
      <w:r>
        <w:t xml:space="preserve">Fuentes: F-INF, §3.1 Tabla maestra de KPI (Suresh et al., 2025, pp. 10, 22 y 30): PM2,5 medio 159,11 µg/m3; PM2,5/PM10 = 0,88 (alcance: Respalda la carga de polvo en sitio de mina; no mide ensuciamiento de lente); F-E3, E3-P04 §12, fila V02-&gt;V06 (INFERIDO, magnitud 3) (alcance: Valor heredado)</w:t>
      </w:r>
    </w:p>
    <w:p>
      <w:pPr>
        <w:pStyle w:val="Compact"/>
        <w:numPr>
          <w:ilvl w:val="1"/>
          <w:numId w:val="1279"/>
        </w:numPr>
      </w:pPr>
      <w:r>
        <w:t xml:space="preserve">Premisas: P-V02-V06: el depósito de partículas sobre la óptica del sensor aumenta con la exposición acumulada y degrada la lectura (conocimiento técnico general).</w:t>
      </w:r>
    </w:p>
    <w:p>
      <w:pPr>
        <w:pStyle w:val="Compact"/>
        <w:numPr>
          <w:ilvl w:val="1"/>
          <w:numId w:val="1279"/>
        </w:numPr>
      </w:pPr>
      <w:r>
        <w:t xml:space="preserve">Justificación del valor: Se asigna 3. El depósito de polvo grueso degrada la medición de forma persistente y obliga a limpiar o sustituir. Difiere del efecto gradual de ANC-1.</w:t>
      </w:r>
    </w:p>
    <w:p>
      <w:pPr>
        <w:pStyle w:val="Compact"/>
        <w:numPr>
          <w:ilvl w:val="1"/>
          <w:numId w:val="1279"/>
        </w:numPr>
      </w:pPr>
      <w:r>
        <w:t xml:space="preserve">Ancla comparada: Menor o igual que ANC-3: el ensuciamiento actúa con el tiempo de exposición, no de forma instantánea.</w:t>
      </w:r>
    </w:p>
    <w:p>
      <w:pPr>
        <w:pStyle w:val="Compact"/>
        <w:numPr>
          <w:ilvl w:val="1"/>
          <w:numId w:val="1279"/>
        </w:numPr>
      </w:pPr>
      <w:r>
        <w:t xml:space="preserve">Explicación rival: Los sensores con inlet protegido y limpieza programada reducen el efecto. El valor sería 2 si el mantenimiento preventivo (P05) se cumple.</w:t>
      </w:r>
    </w:p>
    <w:p>
      <w:pPr>
        <w:pStyle w:val="Compact"/>
        <w:numPr>
          <w:ilvl w:val="1"/>
          <w:numId w:val="1279"/>
        </w:numPr>
      </w:pPr>
      <w:r>
        <w:t xml:space="preserve">Mediadores del modelo: ninguno</w:t>
      </w:r>
    </w:p>
    <w:p>
      <w:pPr>
        <w:pStyle w:val="Compact"/>
        <w:numPr>
          <w:ilvl w:val="1"/>
          <w:numId w:val="1279"/>
        </w:numPr>
      </w:pPr>
      <w:r>
        <w:t xml:space="preserve">Motivo de la confianza: Mecanismo físico plausible. Evidencia indirecta de carga de polvo. Efecto del mantenimiento desconocido.</w:t>
      </w:r>
    </w:p>
    <w:p>
      <w:pPr>
        <w:pStyle w:val="Compact"/>
        <w:numPr>
          <w:ilvl w:val="0"/>
          <w:numId w:val="1278"/>
        </w:numPr>
      </w:pPr>
      <w:r>
        <w:rPr>
          <w:b/>
          <w:bCs/>
        </w:rPr>
        <w:t xml:space="preserve">V06→V02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80"/>
        </w:numPr>
      </w:pPr>
      <w:r>
        <w:t xml:space="preserve">Razón del cero: El error del sensor altera la medición de PM10. No altera la masa de partículas que el diccionario define como V02.</w:t>
      </w:r>
    </w:p>
    <w:p>
      <w:pPr>
        <w:pStyle w:val="Compact"/>
        <w:numPr>
          <w:ilvl w:val="1"/>
          <w:numId w:val="1280"/>
        </w:numPr>
      </w:pPr>
      <w:r>
        <w:t xml:space="preserve">Fundamento: Premisa P-0: no existe mecanismo físico, informático ni institucional que conecte V06 con V02 dentro de la frontera y el horizonte declarados.</w:t>
      </w:r>
    </w:p>
    <w:p>
      <w:pPr>
        <w:pStyle w:val="Compact"/>
        <w:numPr>
          <w:ilvl w:val="1"/>
          <w:numId w:val="1280"/>
        </w:numPr>
      </w:pPr>
      <w:r>
        <w:t xml:space="preserve">Justificación del valor: Se asigna 0 porque el error del sensor altera la medición de PM10. No altera la masa de partículas que el diccionario define como V02.</w:t>
      </w:r>
    </w:p>
    <w:p>
      <w:pPr>
        <w:pStyle w:val="Compact"/>
        <w:numPr>
          <w:ilvl w:val="1"/>
          <w:numId w:val="1280"/>
        </w:numPr>
      </w:pPr>
      <w:r>
        <w:t xml:space="preserve">Ancla comparada: ANC-0 (ver F4.4.2).</w:t>
      </w:r>
    </w:p>
    <w:p>
      <w:pPr>
        <w:pStyle w:val="Compact"/>
        <w:numPr>
          <w:ilvl w:val="1"/>
          <w:numId w:val="1280"/>
        </w:numPr>
      </w:pPr>
      <w:r>
        <w:t xml:space="preserve">Explicación rival: Si V02 se leyera como concentración medida por la red, el error la modificaría (VACIO V-DIC-01).</w:t>
      </w:r>
    </w:p>
    <w:p>
      <w:pPr>
        <w:pStyle w:val="Compact"/>
        <w:numPr>
          <w:ilvl w:val="1"/>
          <w:numId w:val="1280"/>
        </w:numPr>
      </w:pPr>
      <w:r>
        <w:t xml:space="preserve">Mediadores del modelo: ninguno</w:t>
      </w:r>
    </w:p>
    <w:p>
      <w:pPr>
        <w:pStyle w:val="Compact"/>
        <w:numPr>
          <w:ilvl w:val="1"/>
          <w:numId w:val="1280"/>
        </w:numPr>
      </w:pPr>
      <w:r>
        <w:t xml:space="preserve">Motivo de la confianza: Ausencia de mecanismo por razonamiento físico. Sin medición ni fuente específica.</w:t>
      </w:r>
    </w:p>
    <w:p>
      <w:pPr>
        <w:pStyle w:val="FirstParagraph"/>
      </w:pPr>
      <w:r>
        <w:t xml:space="preserve">**Ficha 088 · V04__V13 · clase INTER**</w:t>
      </w:r>
    </w:p>
    <w:p>
      <w:pPr>
        <w:pStyle w:val="Compact"/>
        <w:numPr>
          <w:ilvl w:val="0"/>
          <w:numId w:val="1281"/>
        </w:numPr>
      </w:pPr>
      <w:r>
        <w:rPr>
          <w:b/>
          <w:bCs/>
        </w:rPr>
        <w:t xml:space="preserve">V04→V13</w:t>
      </w:r>
      <w:r>
        <w:t xml:space="preserve"> </w:t>
      </w:r>
      <w:r>
        <w:t xml:space="preserve">· valor</w:t>
      </w:r>
      <w:r>
        <w:t xml:space="preserve"> </w:t>
      </w:r>
      <w:r>
        <w:rPr>
          <w:b/>
          <w:bCs/>
        </w:rPr>
        <w:t xml:space="preserve">1</w:t>
      </w:r>
      <w:r>
        <w:t xml:space="preserve"> </w:t>
      </w:r>
      <w:r>
        <w:t xml:space="preserve">(admisibles: 0, 1, 2) · signo - · naturaleza INFERIDO · estado PROPUESTO · confianza BAJA</w:t>
      </w:r>
    </w:p>
    <w:p>
      <w:pPr>
        <w:pStyle w:val="Compact"/>
        <w:numPr>
          <w:ilvl w:val="1"/>
          <w:numId w:val="1282"/>
        </w:numPr>
      </w:pPr>
      <w:r>
        <w:t xml:space="preserve">Mecanismo: La velocidad del viento determina el tiempo de transporte de una pluma entre la detección aguas arriba y la llegada a receptores. Mayor velocidad reduce el aviso útil.</w:t>
      </w:r>
    </w:p>
    <w:p>
      <w:pPr>
        <w:pStyle w:val="Compact"/>
        <w:numPr>
          <w:ilvl w:val="1"/>
          <w:numId w:val="1282"/>
        </w:numPr>
      </w:pPr>
      <w:r>
        <w:t xml:space="preserve">Fundamento: Relación geométrica distancia/velocidad. Aplica a receptores a sotavento, no a operarios dentro de la propia nube.</w:t>
      </w:r>
    </w:p>
    <w:p>
      <w:pPr>
        <w:pStyle w:val="Compact"/>
        <w:numPr>
          <w:ilvl w:val="1"/>
          <w:numId w:val="1282"/>
        </w:numPr>
      </w:pPr>
      <w:r>
        <w:t xml:space="preserve">Premisas: P-V04-V13: tiempo de aviso aguas abajo = distancia entre detección y receptor dividida por velocidad de advección (relación cinemática).</w:t>
      </w:r>
    </w:p>
    <w:p>
      <w:pPr>
        <w:pStyle w:val="Compact"/>
        <w:numPr>
          <w:ilvl w:val="1"/>
          <w:numId w:val="1282"/>
        </w:numPr>
      </w:pPr>
      <w:r>
        <w:t xml:space="preserve">Justificación del valor: Se asigna 1. El efecto es real para comunidades vecinas, no para el personal en el sitio. Depende de la geometría de la red.</w:t>
      </w:r>
    </w:p>
    <w:p>
      <w:pPr>
        <w:pStyle w:val="Compact"/>
        <w:numPr>
          <w:ilvl w:val="1"/>
          <w:numId w:val="1282"/>
        </w:numPr>
      </w:pPr>
      <w:r>
        <w:t xml:space="preserve">Ancla comparada: Menor que ANC-2 (V08-&gt;V13). Igual a ANC-1 en nivel.</w:t>
      </w:r>
    </w:p>
    <w:p>
      <w:pPr>
        <w:pStyle w:val="Compact"/>
        <w:numPr>
          <w:ilvl w:val="1"/>
          <w:numId w:val="1282"/>
        </w:numPr>
      </w:pPr>
      <w:r>
        <w:t xml:space="preserve">Explicación rival: Para exposición in situ el valor sería 0.</w:t>
      </w:r>
    </w:p>
    <w:p>
      <w:pPr>
        <w:pStyle w:val="Compact"/>
        <w:numPr>
          <w:ilvl w:val="1"/>
          <w:numId w:val="1282"/>
        </w:numPr>
      </w:pPr>
      <w:r>
        <w:t xml:space="preserve">Mediadores del modelo: ninguno</w:t>
      </w:r>
    </w:p>
    <w:p>
      <w:pPr>
        <w:pStyle w:val="Compact"/>
        <w:numPr>
          <w:ilvl w:val="1"/>
          <w:numId w:val="1282"/>
        </w:numPr>
      </w:pPr>
      <w:r>
        <w:t xml:space="preserve">Motivo de la confianza: Relación geométrica. Depende de la ubicación de nodos y receptores, no definida.</w:t>
      </w:r>
    </w:p>
    <w:p>
      <w:pPr>
        <w:pStyle w:val="Compact"/>
        <w:numPr>
          <w:ilvl w:val="0"/>
          <w:numId w:val="1281"/>
        </w:numPr>
      </w:pPr>
      <w:r>
        <w:rPr>
          <w:b/>
          <w:bCs/>
        </w:rPr>
        <w:t xml:space="preserve">V13→V04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3"/>
        </w:numPr>
      </w:pPr>
      <w:r>
        <w:t xml:space="preserve">Razón del cero: El tiempo de aviso no modifica el viento superficial.</w:t>
      </w:r>
    </w:p>
    <w:p>
      <w:pPr>
        <w:pStyle w:val="Compact"/>
        <w:numPr>
          <w:ilvl w:val="1"/>
          <w:numId w:val="1283"/>
        </w:numPr>
      </w:pPr>
      <w:r>
        <w:t xml:space="preserve">Fundamento: Premisa P-0: no existe mecanismo físico, informático ni institucional que conecte V13 con V04 dentro de la frontera y el horizonte declarados.</w:t>
      </w:r>
    </w:p>
    <w:p>
      <w:pPr>
        <w:pStyle w:val="Compact"/>
        <w:numPr>
          <w:ilvl w:val="1"/>
          <w:numId w:val="1283"/>
        </w:numPr>
      </w:pPr>
      <w:r>
        <w:t xml:space="preserve">Justificación del valor: Se asigna 0 porque el tiempo de aviso no modifica el viento superficial.</w:t>
      </w:r>
    </w:p>
    <w:p>
      <w:pPr>
        <w:pStyle w:val="Compact"/>
        <w:numPr>
          <w:ilvl w:val="1"/>
          <w:numId w:val="1283"/>
        </w:numPr>
      </w:pPr>
      <w:r>
        <w:t xml:space="preserve">Ancla comparada: ANC-0 (ver F4.4.2).</w:t>
      </w:r>
    </w:p>
    <w:p>
      <w:pPr>
        <w:pStyle w:val="Compact"/>
        <w:numPr>
          <w:ilvl w:val="1"/>
          <w:numId w:val="1283"/>
        </w:numPr>
      </w:pPr>
      <w:r>
        <w:t xml:space="preserve">Explicación rival: Ninguna alternativa plausible dentro de la frontera.</w:t>
      </w:r>
    </w:p>
    <w:p>
      <w:pPr>
        <w:pStyle w:val="Compact"/>
        <w:numPr>
          <w:ilvl w:val="1"/>
          <w:numId w:val="1283"/>
        </w:numPr>
      </w:pPr>
      <w:r>
        <w:t xml:space="preserve">Mediadores del modelo: ninguno</w:t>
      </w:r>
    </w:p>
    <w:p>
      <w:pPr>
        <w:pStyle w:val="Compact"/>
        <w:numPr>
          <w:ilvl w:val="1"/>
          <w:numId w:val="1283"/>
        </w:numPr>
      </w:pPr>
      <w:r>
        <w:t xml:space="preserve">Motivo de la confianza: Ausencia de mecanismo por razonamiento físico. Sin medición ni fuente específica.</w:t>
      </w:r>
    </w:p>
    <w:p>
      <w:pPr>
        <w:pStyle w:val="FirstParagraph"/>
      </w:pPr>
      <w:r>
        <w:t xml:space="preserve">**Ficha 089 · V02__V13 · clase INTER**</w:t>
      </w:r>
    </w:p>
    <w:p>
      <w:pPr>
        <w:pStyle w:val="Compact"/>
        <w:numPr>
          <w:ilvl w:val="0"/>
          <w:numId w:val="1284"/>
        </w:numPr>
      </w:pPr>
      <w:r>
        <w:rPr>
          <w:b/>
          <w:bCs/>
        </w:rPr>
        <w:t xml:space="preserve">V02→V13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5"/>
        </w:numPr>
      </w:pPr>
      <w:r>
        <w:t xml:space="preserve">Razón del cero: La concentración de polvo no cambia el tiempo de aviso.</w:t>
      </w:r>
    </w:p>
    <w:p>
      <w:pPr>
        <w:pStyle w:val="Compact"/>
        <w:numPr>
          <w:ilvl w:val="1"/>
          <w:numId w:val="1285"/>
        </w:numPr>
      </w:pPr>
      <w:r>
        <w:t xml:space="preserve">Fundamento: Premisa P-0: no existe mecanismo físico, informático ni institucional que conecte V02 con V13 dentro de la frontera y el horizonte declarados.</w:t>
      </w:r>
    </w:p>
    <w:p>
      <w:pPr>
        <w:pStyle w:val="Compact"/>
        <w:numPr>
          <w:ilvl w:val="1"/>
          <w:numId w:val="1285"/>
        </w:numPr>
      </w:pPr>
      <w:r>
        <w:t xml:space="preserve">Justificación del valor: Se asigna 0 porque la concentración de polvo no cambia el tiempo de aviso.</w:t>
      </w:r>
    </w:p>
    <w:p>
      <w:pPr>
        <w:pStyle w:val="Compact"/>
        <w:numPr>
          <w:ilvl w:val="1"/>
          <w:numId w:val="1285"/>
        </w:numPr>
      </w:pPr>
      <w:r>
        <w:t xml:space="preserve">Ancla comparada: ANC-0 (ver F4.4.2).</w:t>
      </w:r>
    </w:p>
    <w:p>
      <w:pPr>
        <w:pStyle w:val="Compact"/>
        <w:numPr>
          <w:ilvl w:val="1"/>
          <w:numId w:val="1285"/>
        </w:numPr>
      </w:pPr>
      <w:r>
        <w:t xml:space="preserve">Explicación rival: Ninguna alternativa plausible dentro de la frontera.</w:t>
      </w:r>
    </w:p>
    <w:p>
      <w:pPr>
        <w:pStyle w:val="Compact"/>
        <w:numPr>
          <w:ilvl w:val="1"/>
          <w:numId w:val="1285"/>
        </w:numPr>
      </w:pPr>
      <w:r>
        <w:t xml:space="preserve">Mediadores del modelo: ninguno</w:t>
      </w:r>
    </w:p>
    <w:p>
      <w:pPr>
        <w:pStyle w:val="Compact"/>
        <w:numPr>
          <w:ilvl w:val="1"/>
          <w:numId w:val="1285"/>
        </w:numPr>
      </w:pPr>
      <w:r>
        <w:t xml:space="preserve">Motivo de la confianza: Ausencia de mecanismo por razonamiento físico. Sin medición ni fuente específica.</w:t>
      </w:r>
    </w:p>
    <w:p>
      <w:pPr>
        <w:pStyle w:val="Compact"/>
        <w:numPr>
          <w:ilvl w:val="0"/>
          <w:numId w:val="1284"/>
        </w:numPr>
      </w:pPr>
      <w:r>
        <w:rPr>
          <w:b/>
          <w:bCs/>
        </w:rPr>
        <w:t xml:space="preserve">V13→V02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6"/>
        </w:numPr>
      </w:pPr>
      <w:r>
        <w:t xml:space="preserve">Razón del cero: El tiempo de aviso no modifica la masa de PM10 del aire.</w:t>
      </w:r>
    </w:p>
    <w:p>
      <w:pPr>
        <w:pStyle w:val="Compact"/>
        <w:numPr>
          <w:ilvl w:val="1"/>
          <w:numId w:val="1286"/>
        </w:numPr>
      </w:pPr>
      <w:r>
        <w:t xml:space="preserve">Fundamento: Premisa P-0: no existe mecanismo físico, informático ni institucional que conecte V13 con V02 dentro de la frontera y el horizonte declarados.</w:t>
      </w:r>
    </w:p>
    <w:p>
      <w:pPr>
        <w:pStyle w:val="Compact"/>
        <w:numPr>
          <w:ilvl w:val="1"/>
          <w:numId w:val="1286"/>
        </w:numPr>
      </w:pPr>
      <w:r>
        <w:t xml:space="preserve">Justificación del valor: Se asigna 0 porque el tiempo de aviso no modifica la masa de PM10 del aire.</w:t>
      </w:r>
    </w:p>
    <w:p>
      <w:pPr>
        <w:pStyle w:val="Compact"/>
        <w:numPr>
          <w:ilvl w:val="1"/>
          <w:numId w:val="1286"/>
        </w:numPr>
      </w:pPr>
      <w:r>
        <w:t xml:space="preserve">Ancla comparada: ANC-0 (ver F4.4.2).</w:t>
      </w:r>
    </w:p>
    <w:p>
      <w:pPr>
        <w:pStyle w:val="Compact"/>
        <w:numPr>
          <w:ilvl w:val="1"/>
          <w:numId w:val="1286"/>
        </w:numPr>
      </w:pPr>
      <w:r>
        <w:t xml:space="preserve">Explicación rival: Ninguna alternativa plausible dentro de la frontera.</w:t>
      </w:r>
    </w:p>
    <w:p>
      <w:pPr>
        <w:pStyle w:val="Compact"/>
        <w:numPr>
          <w:ilvl w:val="1"/>
          <w:numId w:val="1286"/>
        </w:numPr>
      </w:pPr>
      <w:r>
        <w:t xml:space="preserve">Mediadores del modelo: ninguno</w:t>
      </w:r>
    </w:p>
    <w:p>
      <w:pPr>
        <w:pStyle w:val="Compact"/>
        <w:numPr>
          <w:ilvl w:val="1"/>
          <w:numId w:val="1286"/>
        </w:numPr>
      </w:pPr>
      <w:r>
        <w:t xml:space="preserve">Motivo de la confianza: Ausencia de mecanismo por razonamiento físico. Sin medición ni fuente específica.</w:t>
      </w:r>
    </w:p>
    <w:p>
      <w:pPr>
        <w:pStyle w:val="FirstParagraph"/>
      </w:pPr>
      <w:r>
        <w:t xml:space="preserve">**Ficha 090 · V03__V13 · clase INTER**</w:t>
      </w:r>
    </w:p>
    <w:p>
      <w:pPr>
        <w:pStyle w:val="Compact"/>
        <w:numPr>
          <w:ilvl w:val="0"/>
          <w:numId w:val="1287"/>
        </w:numPr>
      </w:pPr>
      <w:r>
        <w:rPr>
          <w:b/>
          <w:bCs/>
        </w:rPr>
        <w:t xml:space="preserve">V03→V13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8"/>
        </w:numPr>
      </w:pPr>
      <w:r>
        <w:t xml:space="preserve">Razón del cero: La humedad no cambia el tiempo de aviso.</w:t>
      </w:r>
    </w:p>
    <w:p>
      <w:pPr>
        <w:pStyle w:val="Compact"/>
        <w:numPr>
          <w:ilvl w:val="1"/>
          <w:numId w:val="1288"/>
        </w:numPr>
      </w:pPr>
      <w:r>
        <w:t xml:space="preserve">Fundamento: Premisa P-0: no existe mecanismo físico, informático ni institucional que conecte V03 con V13 dentro de la frontera y el horizonte declarados.</w:t>
      </w:r>
    </w:p>
    <w:p>
      <w:pPr>
        <w:pStyle w:val="Compact"/>
        <w:numPr>
          <w:ilvl w:val="1"/>
          <w:numId w:val="1288"/>
        </w:numPr>
      </w:pPr>
      <w:r>
        <w:t xml:space="preserve">Justificación del valor: Se asigna 0 porque la humedad no cambia el tiempo de aviso.</w:t>
      </w:r>
    </w:p>
    <w:p>
      <w:pPr>
        <w:pStyle w:val="Compact"/>
        <w:numPr>
          <w:ilvl w:val="1"/>
          <w:numId w:val="1288"/>
        </w:numPr>
      </w:pPr>
      <w:r>
        <w:t xml:space="preserve">Ancla comparada: ANC-0 (ver F4.4.2).</w:t>
      </w:r>
    </w:p>
    <w:p>
      <w:pPr>
        <w:pStyle w:val="Compact"/>
        <w:numPr>
          <w:ilvl w:val="1"/>
          <w:numId w:val="1288"/>
        </w:numPr>
      </w:pPr>
      <w:r>
        <w:t xml:space="preserve">Explicación rival: Ninguna alternativa plausible dentro de la frontera.</w:t>
      </w:r>
    </w:p>
    <w:p>
      <w:pPr>
        <w:pStyle w:val="Compact"/>
        <w:numPr>
          <w:ilvl w:val="1"/>
          <w:numId w:val="1288"/>
        </w:numPr>
      </w:pPr>
      <w:r>
        <w:t xml:space="preserve">Mediadores del modelo: ninguno</w:t>
      </w:r>
    </w:p>
    <w:p>
      <w:pPr>
        <w:pStyle w:val="Compact"/>
        <w:numPr>
          <w:ilvl w:val="1"/>
          <w:numId w:val="1288"/>
        </w:numPr>
      </w:pPr>
      <w:r>
        <w:t xml:space="preserve">Motivo de la confianza: Ausencia de mecanismo por razonamiento físico. Sin medición ni fuente específica.</w:t>
      </w:r>
    </w:p>
    <w:p>
      <w:pPr>
        <w:pStyle w:val="Compact"/>
        <w:numPr>
          <w:ilvl w:val="0"/>
          <w:numId w:val="1287"/>
        </w:numPr>
      </w:pPr>
      <w:r>
        <w:rPr>
          <w:b/>
          <w:bCs/>
        </w:rPr>
        <w:t xml:space="preserve">V13→V03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9"/>
        </w:numPr>
      </w:pPr>
      <w:r>
        <w:t xml:space="preserve">Razón del cero: El tiempo de aviso no modifica la humedad relativa.</w:t>
      </w:r>
    </w:p>
    <w:p>
      <w:pPr>
        <w:pStyle w:val="Compact"/>
        <w:numPr>
          <w:ilvl w:val="1"/>
          <w:numId w:val="1289"/>
        </w:numPr>
      </w:pPr>
      <w:r>
        <w:t xml:space="preserve">Fundamento: Premisa P-0: no existe mecanismo físico, informático ni institucional que conecte V13 con V03 dentro de la frontera y el horizonte declarados.</w:t>
      </w:r>
    </w:p>
    <w:p>
      <w:pPr>
        <w:pStyle w:val="Compact"/>
        <w:numPr>
          <w:ilvl w:val="1"/>
          <w:numId w:val="1289"/>
        </w:numPr>
      </w:pPr>
      <w:r>
        <w:t xml:space="preserve">Justificación del valor: Se asigna 0 porque el tiempo de aviso no modifica la humedad relativa.</w:t>
      </w:r>
    </w:p>
    <w:p>
      <w:pPr>
        <w:pStyle w:val="Compact"/>
        <w:numPr>
          <w:ilvl w:val="1"/>
          <w:numId w:val="1289"/>
        </w:numPr>
      </w:pPr>
      <w:r>
        <w:t xml:space="preserve">Ancla comparada: ANC-0 (ver F4.4.2).</w:t>
      </w:r>
    </w:p>
    <w:p>
      <w:pPr>
        <w:pStyle w:val="Compact"/>
        <w:numPr>
          <w:ilvl w:val="1"/>
          <w:numId w:val="1289"/>
        </w:numPr>
      </w:pPr>
      <w:r>
        <w:t xml:space="preserve">Explicación rival: Ninguna alternativa plausible dentro de la frontera.</w:t>
      </w:r>
    </w:p>
    <w:p>
      <w:pPr>
        <w:pStyle w:val="Compact"/>
        <w:numPr>
          <w:ilvl w:val="1"/>
          <w:numId w:val="1289"/>
        </w:numPr>
      </w:pPr>
      <w:r>
        <w:t xml:space="preserve">Mediadores del modelo: ninguno</w:t>
      </w:r>
    </w:p>
    <w:p>
      <w:pPr>
        <w:pStyle w:val="Compact"/>
        <w:numPr>
          <w:ilvl w:val="1"/>
          <w:numId w:val="1289"/>
        </w:numPr>
      </w:pPr>
      <w:r>
        <w:t xml:space="preserve">Motivo de la confianza: Ausencia de mecanismo por razonamiento físico. Sin medición ni fuente específica.</w:t>
      </w:r>
    </w:p>
    <w:p>
      <w:pPr>
        <w:pStyle w:val="FirstParagraph"/>
      </w:pPr>
      <w:r>
        <w:t xml:space="preserve">**Ficha 091 · V08__V13 · clase INTER**</w:t>
      </w:r>
    </w:p>
    <w:p>
      <w:pPr>
        <w:pStyle w:val="Compact"/>
        <w:numPr>
          <w:ilvl w:val="0"/>
          <w:numId w:val="1290"/>
        </w:numPr>
      </w:pPr>
      <w:r>
        <w:rPr>
          <w:b/>
          <w:bCs/>
        </w:rPr>
        <w:t xml:space="preserve">V08→V13</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91"/>
        </w:numPr>
      </w:pPr>
      <w:r>
        <w:t xml:space="preserve">Mecanismo: El retraso de datos resta minutos al tiempo útil de aviso desde la detección hasta el impacto.</w:t>
      </w:r>
    </w:p>
    <w:p>
      <w:pPr>
        <w:pStyle w:val="Compact"/>
        <w:numPr>
          <w:ilvl w:val="1"/>
          <w:numId w:val="1291"/>
        </w:numPr>
      </w:pPr>
      <w:r>
        <w:t xml:space="preserve">Fundamento: Ledger E3-P04, fila V08-&gt;V13 (PROPUESTO, magnitud 2, signo -). F-INF §1.3 hallazgo 2 informa que ningún documento de alertas reporta anticipación, por lo que no hay línea base empírica.</w:t>
      </w:r>
    </w:p>
    <w:p>
      <w:pPr>
        <w:pStyle w:val="Compact"/>
        <w:numPr>
          <w:ilvl w:val="1"/>
          <w:numId w:val="1291"/>
        </w:numPr>
      </w:pPr>
      <w:r>
        <w:t xml:space="preserve">Fuentes: F-E3, E3-P04 §12, fila V08-&gt;V13; Paso 4, F4.4.2, ancla del valor 2 (alcance: Define el ancla); F-INF, §1.3 hallazgo 2 (alcance: Ausencia de línea base de anticipación)</w:t>
      </w:r>
    </w:p>
    <w:p>
      <w:pPr>
        <w:pStyle w:val="Compact"/>
        <w:numPr>
          <w:ilvl w:val="1"/>
          <w:numId w:val="1291"/>
        </w:numPr>
      </w:pPr>
      <w:r>
        <w:t xml:space="preserve">Justificación del valor: Se asigna 2. La relación es aritmética: tiempo de aviso igual a tiempo de impacto menos tiempo de detección menos latencia. Es parcial cuando el aviso se mide en horas.</w:t>
      </w:r>
    </w:p>
    <w:p>
      <w:pPr>
        <w:pStyle w:val="Compact"/>
        <w:numPr>
          <w:ilvl w:val="1"/>
          <w:numId w:val="1291"/>
        </w:numPr>
      </w:pPr>
      <w:r>
        <w:t xml:space="preserve">Ancla comparada: Es ANC-2.</w:t>
      </w:r>
    </w:p>
    <w:p>
      <w:pPr>
        <w:pStyle w:val="Compact"/>
        <w:numPr>
          <w:ilvl w:val="1"/>
          <w:numId w:val="1291"/>
        </w:numPr>
      </w:pPr>
      <w:r>
        <w:t xml:space="preserve">Explicación rival: Con aviso medido en horas y latencia de minutos la porción relativa es pequeña y el valor sería 1.</w:t>
      </w:r>
    </w:p>
    <w:p>
      <w:pPr>
        <w:pStyle w:val="Compact"/>
        <w:numPr>
          <w:ilvl w:val="1"/>
          <w:numId w:val="1291"/>
        </w:numPr>
      </w:pPr>
      <w:r>
        <w:t xml:space="preserve">Mediadores del modelo: ninguno</w:t>
      </w:r>
    </w:p>
    <w:p>
      <w:pPr>
        <w:pStyle w:val="Compact"/>
        <w:numPr>
          <w:ilvl w:val="1"/>
          <w:numId w:val="1291"/>
        </w:numPr>
      </w:pPr>
      <w:r>
        <w:t xml:space="preserve">Motivo de la confianza: Relación aritmética. Magnitudes de aviso y latencia sin medición.</w:t>
      </w:r>
    </w:p>
    <w:p>
      <w:pPr>
        <w:pStyle w:val="Compact"/>
        <w:numPr>
          <w:ilvl w:val="0"/>
          <w:numId w:val="1290"/>
        </w:numPr>
      </w:pPr>
      <w:r>
        <w:rPr>
          <w:b/>
          <w:bCs/>
        </w:rPr>
        <w:t xml:space="preserve">V13→V08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92"/>
        </w:numPr>
      </w:pPr>
      <w:r>
        <w:t xml:space="preserve">Razón del cero: El tiempo de aviso no modifica el retraso de transmisión.</w:t>
      </w:r>
    </w:p>
    <w:p>
      <w:pPr>
        <w:pStyle w:val="Compact"/>
        <w:numPr>
          <w:ilvl w:val="1"/>
          <w:numId w:val="1292"/>
        </w:numPr>
      </w:pPr>
      <w:r>
        <w:t xml:space="preserve">Fundamento: Premisa P-0: no existe mecanismo físico, informático ni institucional que conecte V13 con V08 dentro de la frontera y el horizonte declarados.</w:t>
      </w:r>
    </w:p>
    <w:p>
      <w:pPr>
        <w:pStyle w:val="Compact"/>
        <w:numPr>
          <w:ilvl w:val="1"/>
          <w:numId w:val="1292"/>
        </w:numPr>
      </w:pPr>
      <w:r>
        <w:t xml:space="preserve">Justificación del valor: Se asigna 0 porque el tiempo de aviso no modifica el retraso de transmisión.</w:t>
      </w:r>
    </w:p>
    <w:p>
      <w:pPr>
        <w:pStyle w:val="Compact"/>
        <w:numPr>
          <w:ilvl w:val="1"/>
          <w:numId w:val="1292"/>
        </w:numPr>
      </w:pPr>
      <w:r>
        <w:t xml:space="preserve">Ancla comparada: ANC-0 (ver F4.4.2).</w:t>
      </w:r>
    </w:p>
    <w:p>
      <w:pPr>
        <w:pStyle w:val="Compact"/>
        <w:numPr>
          <w:ilvl w:val="1"/>
          <w:numId w:val="1292"/>
        </w:numPr>
      </w:pPr>
      <w:r>
        <w:t xml:space="preserve">Explicación rival: Ninguna alternativa plausible dentro de la frontera.</w:t>
      </w:r>
    </w:p>
    <w:p>
      <w:pPr>
        <w:pStyle w:val="Compact"/>
        <w:numPr>
          <w:ilvl w:val="1"/>
          <w:numId w:val="1292"/>
        </w:numPr>
      </w:pPr>
      <w:r>
        <w:t xml:space="preserve">Mediadores del modelo: ninguno</w:t>
      </w:r>
    </w:p>
    <w:p>
      <w:pPr>
        <w:pStyle w:val="Compact"/>
        <w:numPr>
          <w:ilvl w:val="1"/>
          <w:numId w:val="1292"/>
        </w:numPr>
      </w:pPr>
      <w:r>
        <w:t xml:space="preserve">Motivo de la confianza: Ausencia de mecanismo por razonamiento físico. Sin medición ni fuente específica.</w:t>
      </w:r>
    </w:p>
    <w:p>
      <w:pPr>
        <w:pStyle w:val="FirstParagraph"/>
      </w:pPr>
      <w:r>
        <w:t xml:space="preserve">**Ficha 092 · V07__V15 · clase INTER**</w:t>
      </w:r>
    </w:p>
    <w:p>
      <w:pPr>
        <w:pStyle w:val="Compact"/>
        <w:numPr>
          <w:ilvl w:val="0"/>
          <w:numId w:val="1293"/>
        </w:numPr>
      </w:pPr>
      <w:r>
        <w:rPr>
          <w:b/>
          <w:bCs/>
        </w:rPr>
        <w:t xml:space="preserve">V07→V15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94"/>
        </w:numPr>
      </w:pPr>
      <w:r>
        <w:t xml:space="preserve">Razón del cero: El uso institucional depende de la calidad percibida del dato, que la calibración mejora por V06 y V12.</w:t>
      </w:r>
    </w:p>
    <w:p>
      <w:pPr>
        <w:pStyle w:val="Compact"/>
        <w:numPr>
          <w:ilvl w:val="1"/>
          <w:numId w:val="1294"/>
        </w:numPr>
      </w:pPr>
      <w:r>
        <w:t xml:space="preserve">Fundamento: Premisa P-M: la influencia de V07 sobre V15 opera solo a través de V06, V12. Se puntúa en los pares V07→V06 y V06→V15, V07→V12 y V12→V15. No se duplica aquí.</w:t>
      </w:r>
    </w:p>
    <w:p>
      <w:pPr>
        <w:pStyle w:val="Compact"/>
        <w:numPr>
          <w:ilvl w:val="1"/>
          <w:numId w:val="1294"/>
        </w:numPr>
      </w:pPr>
      <w:r>
        <w:t xml:space="preserve">Justificación del valor: Se asigna 0 porque el uso institucional depende de la calidad percibida del dato, que la calibración mejora por V06 y V12.</w:t>
      </w:r>
    </w:p>
    <w:p>
      <w:pPr>
        <w:pStyle w:val="Compact"/>
        <w:numPr>
          <w:ilvl w:val="1"/>
          <w:numId w:val="1294"/>
        </w:numPr>
      </w:pPr>
      <w:r>
        <w:t xml:space="preserve">Ancla comparada: ANC-0 (ver F4.4.2).</w:t>
      </w:r>
    </w:p>
    <w:p>
      <w:pPr>
        <w:pStyle w:val="Compact"/>
        <w:numPr>
          <w:ilvl w:val="1"/>
          <w:numId w:val="1294"/>
        </w:numPr>
      </w:pPr>
      <w:r>
        <w:t xml:space="preserve">Explicación rival: Ninguna alternativa plausible dentro de la frontera.</w:t>
      </w:r>
    </w:p>
    <w:p>
      <w:pPr>
        <w:pStyle w:val="Compact"/>
        <w:numPr>
          <w:ilvl w:val="1"/>
          <w:numId w:val="1294"/>
        </w:numPr>
      </w:pPr>
      <w:r>
        <w:t xml:space="preserve">Mediadores del modelo: V06, V12</w:t>
      </w:r>
    </w:p>
    <w:p>
      <w:pPr>
        <w:pStyle w:val="Compact"/>
        <w:numPr>
          <w:ilvl w:val="1"/>
          <w:numId w:val="1294"/>
        </w:numPr>
      </w:pPr>
      <w:r>
        <w:t xml:space="preserve">Motivo de la confianza: Ruta indirecta explícita en el modelo.</w:t>
      </w:r>
    </w:p>
    <w:p>
      <w:pPr>
        <w:pStyle w:val="Compact"/>
        <w:numPr>
          <w:ilvl w:val="0"/>
          <w:numId w:val="1293"/>
        </w:numPr>
      </w:pPr>
      <w:r>
        <w:rPr>
          <w:b/>
          <w:bCs/>
        </w:rPr>
        <w:t xml:space="preserve">V15→V07</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95"/>
        </w:numPr>
      </w:pPr>
      <w:r>
        <w:t xml:space="preserve">Mecanismo: Con presupuesto operativo de las alcaldías se sostienen científicos de datos y ciclos de actualización de la calibración.</w:t>
      </w:r>
    </w:p>
    <w:p>
      <w:pPr>
        <w:pStyle w:val="Compact"/>
        <w:numPr>
          <w:ilvl w:val="1"/>
          <w:numId w:val="1295"/>
        </w:numPr>
      </w:pPr>
      <w:r>
        <w:t xml:space="preserve">Fundamento: Iteración previa del documento (F4.4.4, V15-&gt;V07 = 2). La Tabla E3-14.2 asigna 120 M anuales de soporte de algoritmos a la IES y la UNGRD en especie.</w:t>
      </w:r>
    </w:p>
    <w:p>
      <w:pPr>
        <w:pStyle w:val="Compact"/>
        <w:numPr>
          <w:ilvl w:val="1"/>
          <w:numId w:val="1295"/>
        </w:numPr>
      </w:pPr>
      <w:r>
        <w:t xml:space="preserve">Fuentes: F-E3, Capítulo 14, Tabla E3-14.2, fila Personal técnico y soporte de algoritmos; Paso 4, F4.4.4 (alcance: Propuesta de financiamiento; no hay compromiso)</w:t>
      </w:r>
    </w:p>
    <w:p>
      <w:pPr>
        <w:pStyle w:val="Compact"/>
        <w:numPr>
          <w:ilvl w:val="1"/>
          <w:numId w:val="1295"/>
        </w:numPr>
      </w:pPr>
      <w:r>
        <w:t xml:space="preserve">Justificación del valor: Se asigna 1 y no 2: la calibración puede contratarse con la IES o la empresa independientemente del uso institucional durante H. El vínculo cobra fuerza en la fase posproyecto.</w:t>
      </w:r>
    </w:p>
    <w:p>
      <w:pPr>
        <w:pStyle w:val="Compact"/>
        <w:numPr>
          <w:ilvl w:val="1"/>
          <w:numId w:val="1295"/>
        </w:numPr>
      </w:pPr>
      <w:r>
        <w:t xml:space="preserve">Ancla comparada: Igual a ANC-1.</w:t>
      </w:r>
    </w:p>
    <w:p>
      <w:pPr>
        <w:pStyle w:val="Compact"/>
        <w:numPr>
          <w:ilvl w:val="1"/>
          <w:numId w:val="1295"/>
        </w:numPr>
      </w:pPr>
      <w:r>
        <w:t xml:space="preserve">Explicación rival: Bajo la premisa PD-0 (continuidad sin receptor público único), el financiamiento posproyecto de calibración depende de la adopción y el valor sería 2.</w:t>
      </w:r>
    </w:p>
    <w:p>
      <w:pPr>
        <w:pStyle w:val="Compact"/>
        <w:numPr>
          <w:ilvl w:val="1"/>
          <w:numId w:val="1295"/>
        </w:numPr>
      </w:pPr>
      <w:r>
        <w:t xml:space="preserve">Mediadores del modelo: ninguno</w:t>
      </w:r>
    </w:p>
    <w:p>
      <w:pPr>
        <w:pStyle w:val="Compact"/>
        <w:numPr>
          <w:ilvl w:val="1"/>
          <w:numId w:val="1295"/>
        </w:numPr>
      </w:pPr>
      <w:r>
        <w:t xml:space="preserve">Motivo de la confianza: Depende del diseño de sostenibilidad aún no ratificado.</w:t>
      </w:r>
    </w:p>
    <w:p>
      <w:pPr>
        <w:pStyle w:val="FirstParagraph"/>
      </w:pPr>
      <w:r>
        <w:t xml:space="preserve">**Ficha 093 · V01__V15 · clase INTER**</w:t>
      </w:r>
    </w:p>
    <w:p>
      <w:pPr>
        <w:pStyle w:val="Compact"/>
        <w:numPr>
          <w:ilvl w:val="0"/>
          <w:numId w:val="1296"/>
        </w:numPr>
      </w:pPr>
      <w:r>
        <w:rPr>
          <w:b/>
          <w:bCs/>
        </w:rPr>
        <w:t xml:space="preserve">V01→V15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97"/>
        </w:numPr>
      </w:pPr>
      <w:r>
        <w:t xml:space="preserve">Razón del cero: La concentración no determina el uso institucional del tablero. El uso depende de la utilidad percibida y del mandato (V11, V12, V14).</w:t>
      </w:r>
    </w:p>
    <w:p>
      <w:pPr>
        <w:pStyle w:val="Compact"/>
        <w:numPr>
          <w:ilvl w:val="1"/>
          <w:numId w:val="1297"/>
        </w:numPr>
      </w:pPr>
      <w:r>
        <w:t xml:space="preserve">Fundamento: Premisa P-0: no existe mecanismo físico, informático ni institucional que conecte V01 con V15 dentro de la frontera y el horizonte declarados.</w:t>
      </w:r>
    </w:p>
    <w:p>
      <w:pPr>
        <w:pStyle w:val="Compact"/>
        <w:numPr>
          <w:ilvl w:val="1"/>
          <w:numId w:val="1297"/>
        </w:numPr>
      </w:pPr>
      <w:r>
        <w:t xml:space="preserve">Justificación del valor: Se asigna 0 porque la concentración no determina el uso institucional del tablero. El uso depende de la utilidad percibida y del mandato (V11, V12, V14).</w:t>
      </w:r>
    </w:p>
    <w:p>
      <w:pPr>
        <w:pStyle w:val="Compact"/>
        <w:numPr>
          <w:ilvl w:val="1"/>
          <w:numId w:val="1297"/>
        </w:numPr>
      </w:pPr>
      <w:r>
        <w:t xml:space="preserve">Ancla comparada: ANC-0 (ver F4.4.2).</w:t>
      </w:r>
    </w:p>
    <w:p>
      <w:pPr>
        <w:pStyle w:val="Compact"/>
        <w:numPr>
          <w:ilvl w:val="1"/>
          <w:numId w:val="1297"/>
        </w:numPr>
      </w:pPr>
      <w:r>
        <w:t xml:space="preserve">Explicación rival: Una exposición visible podría aumentar la demanda de información. Esa demanda se expresa mediante la utilidad del índice (V11).</w:t>
      </w:r>
    </w:p>
    <w:p>
      <w:pPr>
        <w:pStyle w:val="Compact"/>
        <w:numPr>
          <w:ilvl w:val="1"/>
          <w:numId w:val="1297"/>
        </w:numPr>
      </w:pPr>
      <w:r>
        <w:t xml:space="preserve">Mediadores del modelo: ninguno</w:t>
      </w:r>
    </w:p>
    <w:p>
      <w:pPr>
        <w:pStyle w:val="Compact"/>
        <w:numPr>
          <w:ilvl w:val="1"/>
          <w:numId w:val="1297"/>
        </w:numPr>
      </w:pPr>
      <w:r>
        <w:t xml:space="preserve">Motivo de la confianza: Ausencia de mecanismo por razonamiento físico. Sin medición ni fuente específica.</w:t>
      </w:r>
    </w:p>
    <w:p>
      <w:pPr>
        <w:pStyle w:val="Compact"/>
        <w:numPr>
          <w:ilvl w:val="0"/>
          <w:numId w:val="1296"/>
        </w:numPr>
      </w:pPr>
      <w:r>
        <w:rPr>
          <w:b/>
          <w:bCs/>
        </w:rPr>
        <w:t xml:space="preserve">V15→V01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98"/>
        </w:numPr>
      </w:pPr>
      <w:r>
        <w:t xml:space="preserve">Razón del cero: El uso institucional del tablero no modifica la masa de PM2,5 del aire.</w:t>
      </w:r>
    </w:p>
    <w:p>
      <w:pPr>
        <w:pStyle w:val="Compact"/>
        <w:numPr>
          <w:ilvl w:val="1"/>
          <w:numId w:val="1298"/>
        </w:numPr>
      </w:pPr>
      <w:r>
        <w:t xml:space="preserve">Fundamento: Premisa P-0: no existe mecanismo físico, informático ni institucional que conecte V15 con V01 dentro de la frontera y el horizonte declarados.</w:t>
      </w:r>
    </w:p>
    <w:p>
      <w:pPr>
        <w:pStyle w:val="Compact"/>
        <w:numPr>
          <w:ilvl w:val="1"/>
          <w:numId w:val="1298"/>
        </w:numPr>
      </w:pPr>
      <w:r>
        <w:t xml:space="preserve">Justificación del valor: Se asigna 0 porque el uso institucional del tablero no modifica la masa de PM2,5 del aire.</w:t>
      </w:r>
    </w:p>
    <w:p>
      <w:pPr>
        <w:pStyle w:val="Compact"/>
        <w:numPr>
          <w:ilvl w:val="1"/>
          <w:numId w:val="1298"/>
        </w:numPr>
      </w:pPr>
      <w:r>
        <w:t xml:space="preserve">Ancla comparada: ANC-0 (ver F4.4.2).</w:t>
      </w:r>
    </w:p>
    <w:p>
      <w:pPr>
        <w:pStyle w:val="Compact"/>
        <w:numPr>
          <w:ilvl w:val="1"/>
          <w:numId w:val="1298"/>
        </w:numPr>
      </w:pPr>
      <w:r>
        <w:t xml:space="preserve">Explicación rival: Las órdenes de rociado afectan las emisiones por V05, no la humedad ambiental.</w:t>
      </w:r>
    </w:p>
    <w:p>
      <w:pPr>
        <w:pStyle w:val="Compact"/>
        <w:numPr>
          <w:ilvl w:val="1"/>
          <w:numId w:val="1298"/>
        </w:numPr>
      </w:pPr>
      <w:r>
        <w:t xml:space="preserve">Mediadores del modelo: ninguno</w:t>
      </w:r>
    </w:p>
    <w:p>
      <w:pPr>
        <w:pStyle w:val="Compact"/>
        <w:numPr>
          <w:ilvl w:val="1"/>
          <w:numId w:val="1298"/>
        </w:numPr>
      </w:pPr>
      <w:r>
        <w:t xml:space="preserve">Motivo de la confianza: Ausencia de mecanismo por razonamiento físico. Sin medición ni fuente específica.</w:t>
      </w:r>
    </w:p>
    <w:p>
      <w:pPr>
        <w:pStyle w:val="FirstParagraph"/>
      </w:pPr>
      <w:r>
        <w:t xml:space="preserve">**Ficha 094 · V05__V15 · clase INTER**</w:t>
      </w:r>
    </w:p>
    <w:p>
      <w:pPr>
        <w:pStyle w:val="Compact"/>
        <w:numPr>
          <w:ilvl w:val="0"/>
          <w:numId w:val="1299"/>
        </w:numPr>
      </w:pPr>
      <w:r>
        <w:rPr>
          <w:b/>
          <w:bCs/>
        </w:rPr>
        <w:t xml:space="preserve">V05→V15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0"/>
        </w:numPr>
      </w:pPr>
      <w:r>
        <w:t xml:space="preserve">Razón del cero: El volumen de escombros no determina el uso institucional del tablero.</w:t>
      </w:r>
    </w:p>
    <w:p>
      <w:pPr>
        <w:pStyle w:val="Compact"/>
        <w:numPr>
          <w:ilvl w:val="1"/>
          <w:numId w:val="1300"/>
        </w:numPr>
      </w:pPr>
      <w:r>
        <w:t xml:space="preserve">Fundamento: Premisa P-0: no existe mecanismo físico, informático ni institucional que conecte V05 con V15 dentro de la frontera y el horizonte declarados.</w:t>
      </w:r>
    </w:p>
    <w:p>
      <w:pPr>
        <w:pStyle w:val="Compact"/>
        <w:numPr>
          <w:ilvl w:val="1"/>
          <w:numId w:val="1300"/>
        </w:numPr>
      </w:pPr>
      <w:r>
        <w:t xml:space="preserve">Justificación del valor: Se asigna 0 porque el volumen de escombros no determina el uso institucional del tablero.</w:t>
      </w:r>
    </w:p>
    <w:p>
      <w:pPr>
        <w:pStyle w:val="Compact"/>
        <w:numPr>
          <w:ilvl w:val="1"/>
          <w:numId w:val="1300"/>
        </w:numPr>
      </w:pPr>
      <w:r>
        <w:t xml:space="preserve">Ancla comparada: ANC-0 (ver F4.4.2).</w:t>
      </w:r>
    </w:p>
    <w:p>
      <w:pPr>
        <w:pStyle w:val="Compact"/>
        <w:numPr>
          <w:ilvl w:val="1"/>
          <w:numId w:val="1300"/>
        </w:numPr>
      </w:pPr>
      <w:r>
        <w:t xml:space="preserve">Explicación rival: Ninguna alternativa plausible dentro de la frontera.</w:t>
      </w:r>
    </w:p>
    <w:p>
      <w:pPr>
        <w:pStyle w:val="Compact"/>
        <w:numPr>
          <w:ilvl w:val="1"/>
          <w:numId w:val="1300"/>
        </w:numPr>
      </w:pPr>
      <w:r>
        <w:t xml:space="preserve">Mediadores del modelo: ninguno</w:t>
      </w:r>
    </w:p>
    <w:p>
      <w:pPr>
        <w:pStyle w:val="Compact"/>
        <w:numPr>
          <w:ilvl w:val="1"/>
          <w:numId w:val="1300"/>
        </w:numPr>
      </w:pPr>
      <w:r>
        <w:t xml:space="preserve">Motivo de la confianza: Ausencia de mecanismo por razonamiento físico. Sin medición ni fuente específica.</w:t>
      </w:r>
    </w:p>
    <w:p>
      <w:pPr>
        <w:pStyle w:val="Compact"/>
        <w:numPr>
          <w:ilvl w:val="0"/>
          <w:numId w:val="1299"/>
        </w:numPr>
      </w:pPr>
      <w:r>
        <w:rPr>
          <w:b/>
          <w:bCs/>
        </w:rPr>
        <w:t xml:space="preserve">V15→V05</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301"/>
        </w:numPr>
      </w:pPr>
      <w:r>
        <w:t xml:space="preserve">Mecanismo: Las autoridades que usan el tablero pueden ordenar rociado, reprogramación o pausas de obra que reducen el volumen removido.</w:t>
      </w:r>
    </w:p>
    <w:p>
      <w:pPr>
        <w:pStyle w:val="Compact"/>
        <w:numPr>
          <w:ilvl w:val="1"/>
          <w:numId w:val="1301"/>
        </w:numPr>
      </w:pPr>
      <w:r>
        <w:t xml:space="preserve">Fundamento: Registro RDG ND-16 del Capítulo 12 del documento: orden de cese de actividades basada en el dato como condición de eficacia. No hay norma de umbrales de PM para pausar obras en el expediente.</w:t>
      </w:r>
    </w:p>
    <w:p>
      <w:pPr>
        <w:pStyle w:val="Compact"/>
        <w:numPr>
          <w:ilvl w:val="1"/>
          <w:numId w:val="1301"/>
        </w:numPr>
      </w:pPr>
      <w:r>
        <w:t xml:space="preserve">Fuentes: F-E3, Capítulo 12, registro RDG ND-16, campo NODOS_GRISES (alcance: Plantea la orden de cese como condición de eficacia)</w:t>
      </w:r>
    </w:p>
    <w:p>
      <w:pPr>
        <w:pStyle w:val="Compact"/>
        <w:numPr>
          <w:ilvl w:val="1"/>
          <w:numId w:val="1301"/>
        </w:numPr>
      </w:pPr>
      <w:r>
        <w:t xml:space="preserve">Justificación del valor: Se asigna 1: la remoción es una prioridad de reconstrucción y las pausas serían excepcionales y localizadas.</w:t>
      </w:r>
    </w:p>
    <w:p>
      <w:pPr>
        <w:pStyle w:val="Compact"/>
        <w:numPr>
          <w:ilvl w:val="1"/>
          <w:numId w:val="1301"/>
        </w:numPr>
      </w:pPr>
      <w:r>
        <w:t xml:space="preserve">Ancla comparada: Igual a ANC-1.</w:t>
      </w:r>
    </w:p>
    <w:p>
      <w:pPr>
        <w:pStyle w:val="Compact"/>
        <w:numPr>
          <w:ilvl w:val="1"/>
          <w:numId w:val="1301"/>
        </w:numPr>
      </w:pPr>
      <w:r>
        <w:t xml:space="preserve">Explicación rival: Si las órdenes se limitan a la evacuación de personas sin pausar la remoción, el valor sería 0.</w:t>
      </w:r>
    </w:p>
    <w:p>
      <w:pPr>
        <w:pStyle w:val="Compact"/>
        <w:numPr>
          <w:ilvl w:val="1"/>
          <w:numId w:val="1301"/>
        </w:numPr>
      </w:pPr>
      <w:r>
        <w:t xml:space="preserve">Mediadores del modelo: ninguno</w:t>
      </w:r>
    </w:p>
    <w:p>
      <w:pPr>
        <w:pStyle w:val="Compact"/>
        <w:numPr>
          <w:ilvl w:val="1"/>
          <w:numId w:val="1301"/>
        </w:numPr>
      </w:pPr>
      <w:r>
        <w:t xml:space="preserve">Motivo de la confianza: Premisa de gestión. Sin umbral normativo.</w:t>
      </w:r>
    </w:p>
    <w:p>
      <w:pPr>
        <w:pStyle w:val="FirstParagraph"/>
      </w:pPr>
      <w:r>
        <w:t xml:space="preserve">**Ficha 095 · V06__V13 · clase INTER**</w:t>
      </w:r>
    </w:p>
    <w:p>
      <w:pPr>
        <w:pStyle w:val="Compact"/>
        <w:numPr>
          <w:ilvl w:val="0"/>
          <w:numId w:val="1302"/>
        </w:numPr>
      </w:pPr>
      <w:r>
        <w:rPr>
          <w:b/>
          <w:bCs/>
        </w:rPr>
        <w:t xml:space="preserve">V06→V13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03"/>
        </w:numPr>
      </w:pPr>
      <w:r>
        <w:t xml:space="preserve">Razón del cero: El error de medición no cambia el tiempo de aviso.</w:t>
      </w:r>
    </w:p>
    <w:p>
      <w:pPr>
        <w:pStyle w:val="Compact"/>
        <w:numPr>
          <w:ilvl w:val="1"/>
          <w:numId w:val="1303"/>
        </w:numPr>
      </w:pPr>
      <w:r>
        <w:t xml:space="preserve">Fundamento: Premisa P-0: no existe mecanismo físico, informático ni institucional que conecte V06 con V13 dentro de la frontera y el horizonte declarados.</w:t>
      </w:r>
    </w:p>
    <w:p>
      <w:pPr>
        <w:pStyle w:val="Compact"/>
        <w:numPr>
          <w:ilvl w:val="1"/>
          <w:numId w:val="1303"/>
        </w:numPr>
      </w:pPr>
      <w:r>
        <w:t xml:space="preserve">Justificación del valor: Se asigna 0 porque el error de medición no cambia el tiempo de aviso.</w:t>
      </w:r>
    </w:p>
    <w:p>
      <w:pPr>
        <w:pStyle w:val="Compact"/>
        <w:numPr>
          <w:ilvl w:val="1"/>
          <w:numId w:val="1303"/>
        </w:numPr>
      </w:pPr>
      <w:r>
        <w:t xml:space="preserve">Ancla comparada: ANC-0 (ver F4.4.2).</w:t>
      </w:r>
    </w:p>
    <w:p>
      <w:pPr>
        <w:pStyle w:val="Compact"/>
        <w:numPr>
          <w:ilvl w:val="1"/>
          <w:numId w:val="1303"/>
        </w:numPr>
      </w:pPr>
      <w:r>
        <w:t xml:space="preserve">Explicación rival: Un error grande puede retrasar la confirmación de una alerta. El efecto es de segundo orden.</w:t>
      </w:r>
    </w:p>
    <w:p>
      <w:pPr>
        <w:pStyle w:val="Compact"/>
        <w:numPr>
          <w:ilvl w:val="1"/>
          <w:numId w:val="1303"/>
        </w:numPr>
      </w:pPr>
      <w:r>
        <w:t xml:space="preserve">Mediadores del modelo: ninguno</w:t>
      </w:r>
    </w:p>
    <w:p>
      <w:pPr>
        <w:pStyle w:val="Compact"/>
        <w:numPr>
          <w:ilvl w:val="1"/>
          <w:numId w:val="1303"/>
        </w:numPr>
      </w:pPr>
      <w:r>
        <w:t xml:space="preserve">Motivo de la confianza: Ausencia de mecanismo por razonamiento físico. Sin medición ni fuente específica.</w:t>
      </w:r>
    </w:p>
    <w:p>
      <w:pPr>
        <w:pStyle w:val="Compact"/>
        <w:numPr>
          <w:ilvl w:val="0"/>
          <w:numId w:val="1302"/>
        </w:numPr>
      </w:pPr>
      <w:r>
        <w:rPr>
          <w:b/>
          <w:bCs/>
        </w:rPr>
        <w:t xml:space="preserve">V13→V06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4"/>
        </w:numPr>
      </w:pPr>
      <w:r>
        <w:t xml:space="preserve">Razón del cero: El tiempo de aviso no modifica el error del sensor.</w:t>
      </w:r>
    </w:p>
    <w:p>
      <w:pPr>
        <w:pStyle w:val="Compact"/>
        <w:numPr>
          <w:ilvl w:val="1"/>
          <w:numId w:val="1304"/>
        </w:numPr>
      </w:pPr>
      <w:r>
        <w:t xml:space="preserve">Fundamento: Premisa P-0: no existe mecanismo físico, informático ni institucional que conecte V13 con V06 dentro de la frontera y el horizonte declarados.</w:t>
      </w:r>
    </w:p>
    <w:p>
      <w:pPr>
        <w:pStyle w:val="Compact"/>
        <w:numPr>
          <w:ilvl w:val="1"/>
          <w:numId w:val="1304"/>
        </w:numPr>
      </w:pPr>
      <w:r>
        <w:t xml:space="preserve">Justificación del valor: Se asigna 0 porque el tiempo de aviso no modifica el error del sensor.</w:t>
      </w:r>
    </w:p>
    <w:p>
      <w:pPr>
        <w:pStyle w:val="Compact"/>
        <w:numPr>
          <w:ilvl w:val="1"/>
          <w:numId w:val="1304"/>
        </w:numPr>
      </w:pPr>
      <w:r>
        <w:t xml:space="preserve">Ancla comparada: ANC-0 (ver F4.4.2).</w:t>
      </w:r>
    </w:p>
    <w:p>
      <w:pPr>
        <w:pStyle w:val="Compact"/>
        <w:numPr>
          <w:ilvl w:val="1"/>
          <w:numId w:val="1304"/>
        </w:numPr>
      </w:pPr>
      <w:r>
        <w:t xml:space="preserve">Explicación rival: Ninguna alternativa plausible dentro de la frontera.</w:t>
      </w:r>
    </w:p>
    <w:p>
      <w:pPr>
        <w:pStyle w:val="Compact"/>
        <w:numPr>
          <w:ilvl w:val="1"/>
          <w:numId w:val="1304"/>
        </w:numPr>
      </w:pPr>
      <w:r>
        <w:t xml:space="preserve">Mediadores del modelo: ninguno</w:t>
      </w:r>
    </w:p>
    <w:p>
      <w:pPr>
        <w:pStyle w:val="Compact"/>
        <w:numPr>
          <w:ilvl w:val="1"/>
          <w:numId w:val="1304"/>
        </w:numPr>
      </w:pPr>
      <w:r>
        <w:t xml:space="preserve">Motivo de la confianza: Ausencia de mecanismo por razonamiento físico. Sin medición ni fuente específica.</w:t>
      </w:r>
    </w:p>
    <w:p>
      <w:pPr>
        <w:pStyle w:val="FirstParagraph"/>
      </w:pPr>
      <w:r>
        <w:t xml:space="preserve">**Ficha 096 · V02__V08 · clase INTER**</w:t>
      </w:r>
    </w:p>
    <w:p>
      <w:pPr>
        <w:pStyle w:val="Compact"/>
        <w:numPr>
          <w:ilvl w:val="0"/>
          <w:numId w:val="1305"/>
        </w:numPr>
      </w:pPr>
      <w:r>
        <w:rPr>
          <w:b/>
          <w:bCs/>
        </w:rPr>
        <w:t xml:space="preserve">V02→V08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6"/>
        </w:numPr>
      </w:pPr>
      <w:r>
        <w:t xml:space="preserve">Razón del cero: La concentración de polvo no cambia el retraso de transmisión.</w:t>
      </w:r>
    </w:p>
    <w:p>
      <w:pPr>
        <w:pStyle w:val="Compact"/>
        <w:numPr>
          <w:ilvl w:val="1"/>
          <w:numId w:val="1306"/>
        </w:numPr>
      </w:pPr>
      <w:r>
        <w:t xml:space="preserve">Fundamento: Premisa P-0: no existe mecanismo físico, informático ni institucional que conecte V02 con V08 dentro de la frontera y el horizonte declarados.</w:t>
      </w:r>
    </w:p>
    <w:p>
      <w:pPr>
        <w:pStyle w:val="Compact"/>
        <w:numPr>
          <w:ilvl w:val="1"/>
          <w:numId w:val="1306"/>
        </w:numPr>
      </w:pPr>
      <w:r>
        <w:t xml:space="preserve">Justificación del valor: Se asigna 0 porque la concentración de polvo no cambia el retraso de transmisión.</w:t>
      </w:r>
    </w:p>
    <w:p>
      <w:pPr>
        <w:pStyle w:val="Compact"/>
        <w:numPr>
          <w:ilvl w:val="1"/>
          <w:numId w:val="1306"/>
        </w:numPr>
      </w:pPr>
      <w:r>
        <w:t xml:space="preserve">Ancla comparada: ANC-0 (ver F4.4.2).</w:t>
      </w:r>
    </w:p>
    <w:p>
      <w:pPr>
        <w:pStyle w:val="Compact"/>
        <w:numPr>
          <w:ilvl w:val="1"/>
          <w:numId w:val="1306"/>
        </w:numPr>
      </w:pPr>
      <w:r>
        <w:t xml:space="preserve">Explicación rival: Ninguna alternativa plausible dentro de la frontera.</w:t>
      </w:r>
    </w:p>
    <w:p>
      <w:pPr>
        <w:pStyle w:val="Compact"/>
        <w:numPr>
          <w:ilvl w:val="1"/>
          <w:numId w:val="1306"/>
        </w:numPr>
      </w:pPr>
      <w:r>
        <w:t xml:space="preserve">Mediadores del modelo: ninguno</w:t>
      </w:r>
    </w:p>
    <w:p>
      <w:pPr>
        <w:pStyle w:val="Compact"/>
        <w:numPr>
          <w:ilvl w:val="1"/>
          <w:numId w:val="1306"/>
        </w:numPr>
      </w:pPr>
      <w:r>
        <w:t xml:space="preserve">Motivo de la confianza: Ausencia de mecanismo por razonamiento físico. Sin medición ni fuente específica.</w:t>
      </w:r>
    </w:p>
    <w:p>
      <w:pPr>
        <w:pStyle w:val="Compact"/>
        <w:numPr>
          <w:ilvl w:val="0"/>
          <w:numId w:val="1305"/>
        </w:numPr>
      </w:pPr>
      <w:r>
        <w:rPr>
          <w:b/>
          <w:bCs/>
        </w:rPr>
        <w:t xml:space="preserve">V08→V02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7"/>
        </w:numPr>
      </w:pPr>
      <w:r>
        <w:t xml:space="preserve">Razón del cero: El retraso de datos no modifica la masa de PM10 del aire.</w:t>
      </w:r>
    </w:p>
    <w:p>
      <w:pPr>
        <w:pStyle w:val="Compact"/>
        <w:numPr>
          <w:ilvl w:val="1"/>
          <w:numId w:val="1307"/>
        </w:numPr>
      </w:pPr>
      <w:r>
        <w:t xml:space="preserve">Fundamento: Premisa P-0: no existe mecanismo físico, informático ni institucional que conecte V08 con V02 dentro de la frontera y el horizonte declarados.</w:t>
      </w:r>
    </w:p>
    <w:p>
      <w:pPr>
        <w:pStyle w:val="Compact"/>
        <w:numPr>
          <w:ilvl w:val="1"/>
          <w:numId w:val="1307"/>
        </w:numPr>
      </w:pPr>
      <w:r>
        <w:t xml:space="preserve">Justificación del valor: Se asigna 0 porque el retraso de datos no modifica la masa de PM10 del aire.</w:t>
      </w:r>
    </w:p>
    <w:p>
      <w:pPr>
        <w:pStyle w:val="Compact"/>
        <w:numPr>
          <w:ilvl w:val="1"/>
          <w:numId w:val="1307"/>
        </w:numPr>
      </w:pPr>
      <w:r>
        <w:t xml:space="preserve">Ancla comparada: ANC-0 (ver F4.4.2).</w:t>
      </w:r>
    </w:p>
    <w:p>
      <w:pPr>
        <w:pStyle w:val="Compact"/>
        <w:numPr>
          <w:ilvl w:val="1"/>
          <w:numId w:val="1307"/>
        </w:numPr>
      </w:pPr>
      <w:r>
        <w:t xml:space="preserve">Explicación rival: Ninguna alternativa plausible dentro de la frontera.</w:t>
      </w:r>
    </w:p>
    <w:p>
      <w:pPr>
        <w:pStyle w:val="Compact"/>
        <w:numPr>
          <w:ilvl w:val="1"/>
          <w:numId w:val="1307"/>
        </w:numPr>
      </w:pPr>
      <w:r>
        <w:t xml:space="preserve">Mediadores del modelo: ninguno</w:t>
      </w:r>
    </w:p>
    <w:p>
      <w:pPr>
        <w:pStyle w:val="Compact"/>
        <w:numPr>
          <w:ilvl w:val="1"/>
          <w:numId w:val="1307"/>
        </w:numPr>
      </w:pPr>
      <w:r>
        <w:t xml:space="preserve">Motivo de la confianza: Ausencia de mecanismo por razonamiento físico. Sin medición ni fuente específica.</w:t>
      </w:r>
    </w:p>
    <w:p>
      <w:pPr>
        <w:pStyle w:val="FirstParagraph"/>
      </w:pPr>
      <w:r>
        <w:t xml:space="preserve">**Ficha 097 · V04__V12 · clase INTER**</w:t>
      </w:r>
    </w:p>
    <w:p>
      <w:pPr>
        <w:pStyle w:val="Compact"/>
        <w:numPr>
          <w:ilvl w:val="0"/>
          <w:numId w:val="1308"/>
        </w:numPr>
      </w:pPr>
      <w:r>
        <w:rPr>
          <w:b/>
          <w:bCs/>
        </w:rPr>
        <w:t xml:space="preserve">V04→V12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09"/>
        </w:numPr>
      </w:pPr>
      <w:r>
        <w:t xml:space="preserve">Razón del cero: El viento no determina las falsas alarmas, que dependen del error y del umbral.</w:t>
      </w:r>
    </w:p>
    <w:p>
      <w:pPr>
        <w:pStyle w:val="Compact"/>
        <w:numPr>
          <w:ilvl w:val="1"/>
          <w:numId w:val="1309"/>
        </w:numPr>
      </w:pPr>
      <w:r>
        <w:t xml:space="preserve">Fundamento: Premisa P-0: no existe mecanismo físico, informático ni institucional que conecte V04 con V12 dentro de la frontera y el horizonte declarados.</w:t>
      </w:r>
    </w:p>
    <w:p>
      <w:pPr>
        <w:pStyle w:val="Compact"/>
        <w:numPr>
          <w:ilvl w:val="1"/>
          <w:numId w:val="1309"/>
        </w:numPr>
      </w:pPr>
      <w:r>
        <w:t xml:space="preserve">Justificación del valor: Se asigna 0 porque el viento no determina las falsas alarmas, que dependen del error y del umbral.</w:t>
      </w:r>
    </w:p>
    <w:p>
      <w:pPr>
        <w:pStyle w:val="Compact"/>
        <w:numPr>
          <w:ilvl w:val="1"/>
          <w:numId w:val="1309"/>
        </w:numPr>
      </w:pPr>
      <w:r>
        <w:t xml:space="preserve">Ancla comparada: ANC-0 (ver F4.4.2).</w:t>
      </w:r>
    </w:p>
    <w:p>
      <w:pPr>
        <w:pStyle w:val="Compact"/>
        <w:numPr>
          <w:ilvl w:val="1"/>
          <w:numId w:val="1309"/>
        </w:numPr>
      </w:pPr>
      <w:r>
        <w:t xml:space="preserve">Explicación rival: Ninguna alternativa plausible dentro de la frontera.</w:t>
      </w:r>
    </w:p>
    <w:p>
      <w:pPr>
        <w:pStyle w:val="Compact"/>
        <w:numPr>
          <w:ilvl w:val="1"/>
          <w:numId w:val="1309"/>
        </w:numPr>
      </w:pPr>
      <w:r>
        <w:t xml:space="preserve">Mediadores del modelo: ninguno</w:t>
      </w:r>
    </w:p>
    <w:p>
      <w:pPr>
        <w:pStyle w:val="Compact"/>
        <w:numPr>
          <w:ilvl w:val="1"/>
          <w:numId w:val="1309"/>
        </w:numPr>
      </w:pPr>
      <w:r>
        <w:t xml:space="preserve">Motivo de la confianza: Ausencia de mecanismo por razonamiento físico. Sin medición ni fuente específica.</w:t>
      </w:r>
    </w:p>
    <w:p>
      <w:pPr>
        <w:pStyle w:val="Compact"/>
        <w:numPr>
          <w:ilvl w:val="0"/>
          <w:numId w:val="1308"/>
        </w:numPr>
      </w:pPr>
      <w:r>
        <w:rPr>
          <w:b/>
          <w:bCs/>
        </w:rPr>
        <w:t xml:space="preserve">V12→V04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0"/>
        </w:numPr>
      </w:pPr>
      <w:r>
        <w:t xml:space="preserve">Razón del cero: Las falsas alarmas no modifican el viento superficial.</w:t>
      </w:r>
    </w:p>
    <w:p>
      <w:pPr>
        <w:pStyle w:val="Compact"/>
        <w:numPr>
          <w:ilvl w:val="1"/>
          <w:numId w:val="1310"/>
        </w:numPr>
      </w:pPr>
      <w:r>
        <w:t xml:space="preserve">Fundamento: Premisa P-0: no existe mecanismo físico, informático ni institucional que conecte V12 con V04 dentro de la frontera y el horizonte declarados.</w:t>
      </w:r>
    </w:p>
    <w:p>
      <w:pPr>
        <w:pStyle w:val="Compact"/>
        <w:numPr>
          <w:ilvl w:val="1"/>
          <w:numId w:val="1310"/>
        </w:numPr>
      </w:pPr>
      <w:r>
        <w:t xml:space="preserve">Justificación del valor: Se asigna 0 porque las falsas alarmas no modifican el viento superficial.</w:t>
      </w:r>
    </w:p>
    <w:p>
      <w:pPr>
        <w:pStyle w:val="Compact"/>
        <w:numPr>
          <w:ilvl w:val="1"/>
          <w:numId w:val="1310"/>
        </w:numPr>
      </w:pPr>
      <w:r>
        <w:t xml:space="preserve">Ancla comparada: ANC-0 (ver F4.4.2).</w:t>
      </w:r>
    </w:p>
    <w:p>
      <w:pPr>
        <w:pStyle w:val="Compact"/>
        <w:numPr>
          <w:ilvl w:val="1"/>
          <w:numId w:val="1310"/>
        </w:numPr>
      </w:pPr>
      <w:r>
        <w:t xml:space="preserve">Explicación rival: Ninguna alternativa plausible dentro de la frontera.</w:t>
      </w:r>
    </w:p>
    <w:p>
      <w:pPr>
        <w:pStyle w:val="Compact"/>
        <w:numPr>
          <w:ilvl w:val="1"/>
          <w:numId w:val="1310"/>
        </w:numPr>
      </w:pPr>
      <w:r>
        <w:t xml:space="preserve">Mediadores del modelo: ninguno</w:t>
      </w:r>
    </w:p>
    <w:p>
      <w:pPr>
        <w:pStyle w:val="Compact"/>
        <w:numPr>
          <w:ilvl w:val="1"/>
          <w:numId w:val="1310"/>
        </w:numPr>
      </w:pPr>
      <w:r>
        <w:t xml:space="preserve">Motivo de la confianza: Ausencia de mecanismo por razonamiento físico. Sin medición ni fuente específica.</w:t>
      </w:r>
    </w:p>
    <w:p>
      <w:pPr>
        <w:pStyle w:val="FirstParagraph"/>
      </w:pPr>
      <w:r>
        <w:t xml:space="preserve">**Ficha 098 · V01__V11 · clase INTER**</w:t>
      </w:r>
    </w:p>
    <w:p>
      <w:pPr>
        <w:pStyle w:val="Compact"/>
        <w:numPr>
          <w:ilvl w:val="0"/>
          <w:numId w:val="1311"/>
        </w:numPr>
      </w:pPr>
      <w:r>
        <w:rPr>
          <w:b/>
          <w:bCs/>
        </w:rPr>
        <w:t xml:space="preserve">V01→V11</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312"/>
        </w:numPr>
      </w:pPr>
      <w:r>
        <w:t xml:space="preserve">Mecanismo: El AQHI se calcula a partir de concentraciones ponderadas por riesgo. El PM2,5 entra directamente a la fórmula del índice sin acción humana intermedia.</w:t>
      </w:r>
    </w:p>
    <w:p>
      <w:pPr>
        <w:pStyle w:val="Compact"/>
        <w:numPr>
          <w:ilvl w:val="1"/>
          <w:numId w:val="1312"/>
        </w:numPr>
      </w:pPr>
      <w:r>
        <w:t xml:space="preserve">Fundamento: Definición de los índices de calidad del aire y salud (conocimiento técnico general). La fórmula local de V11 no figura en el expediente: VACIO V-AQHI-01. F-INF documenta la familia de índices AQHI y su baja validación.</w:t>
      </w:r>
    </w:p>
    <w:p>
      <w:pPr>
        <w:pStyle w:val="Compact"/>
        <w:numPr>
          <w:ilvl w:val="1"/>
          <w:numId w:val="1312"/>
        </w:numPr>
      </w:pPr>
      <w:r>
        <w:t xml:space="preserve">Fuentes: F-INF, §1.3 hallazgo 5 (Liao et al., 2026, pp. 6 y 8): 53 estudios de índices; 9,4 % con partición de datos (alcance: Respalda la existencia y baja validación de la familia de índices; no la fórmula local)</w:t>
      </w:r>
    </w:p>
    <w:p>
      <w:pPr>
        <w:pStyle w:val="Compact"/>
        <w:numPr>
          <w:ilvl w:val="1"/>
          <w:numId w:val="1312"/>
        </w:numPr>
      </w:pPr>
      <w:r>
        <w:t xml:space="preserve">Premisas: P-AQHI: el índice del proyecto usa PM2,5 y PM10 como insumos. E3-P09 y E3-P11 describen un tablero AQHI alimentado por los nodos de material particulado.</w:t>
      </w:r>
    </w:p>
    <w:p>
      <w:pPr>
        <w:pStyle w:val="Compact"/>
        <w:numPr>
          <w:ilvl w:val="1"/>
          <w:numId w:val="1312"/>
        </w:numPr>
      </w:pPr>
      <w:r>
        <w:t xml:space="preserve">Justificación del valor: Se asigna 3 porque un cambio en PM2,5 modifica el valor del índice de forma casi mecánica, igual que el ancla ANC-3. E3-P04 omitió este vínculo (hallazgo H-E de la revisión).</w:t>
      </w:r>
    </w:p>
    <w:p>
      <w:pPr>
        <w:pStyle w:val="Compact"/>
        <w:numPr>
          <w:ilvl w:val="1"/>
          <w:numId w:val="1312"/>
        </w:numPr>
      </w:pPr>
      <w:r>
        <w:t xml:space="preserve">Ancla comparada: Igual a ANC-3 (V06-&gt;V11).</w:t>
      </w:r>
    </w:p>
    <w:p>
      <w:pPr>
        <w:pStyle w:val="Compact"/>
        <w:numPr>
          <w:ilvl w:val="1"/>
          <w:numId w:val="1312"/>
        </w:numPr>
      </w:pPr>
      <w:r>
        <w:t xml:space="preserve">Explicación rival: Si el índice local se basara solo en NO2 y O3, la influencia sería 0. El expediente describe un tablero alimentado por nodos de material particulado.</w:t>
      </w:r>
    </w:p>
    <w:p>
      <w:pPr>
        <w:pStyle w:val="Compact"/>
        <w:numPr>
          <w:ilvl w:val="1"/>
          <w:numId w:val="1312"/>
        </w:numPr>
      </w:pPr>
      <w:r>
        <w:t xml:space="preserve">Mediadores del modelo: ninguno</w:t>
      </w:r>
    </w:p>
    <w:p>
      <w:pPr>
        <w:pStyle w:val="Compact"/>
        <w:numPr>
          <w:ilvl w:val="1"/>
          <w:numId w:val="1312"/>
        </w:numPr>
      </w:pPr>
      <w:r>
        <w:t xml:space="preserve">Motivo de la confianza: Mecanismo definicional. Fórmula local no disponible. Los demás contaminantes no están en el modelo.</w:t>
      </w:r>
    </w:p>
    <w:p>
      <w:pPr>
        <w:pStyle w:val="Compact"/>
        <w:numPr>
          <w:ilvl w:val="0"/>
          <w:numId w:val="1311"/>
        </w:numPr>
      </w:pPr>
      <w:r>
        <w:rPr>
          <w:b/>
          <w:bCs/>
        </w:rPr>
        <w:t xml:space="preserve">V11→V01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3"/>
        </w:numPr>
      </w:pPr>
      <w:r>
        <w:t xml:space="preserve">Razón del cero: El índice emitido en pantalla no modifica la masa de PM2,5 del aire.</w:t>
      </w:r>
    </w:p>
    <w:p>
      <w:pPr>
        <w:pStyle w:val="Compact"/>
        <w:numPr>
          <w:ilvl w:val="1"/>
          <w:numId w:val="1313"/>
        </w:numPr>
      </w:pPr>
      <w:r>
        <w:t xml:space="preserve">Fundamento: Premisa P-0: no existe mecanismo físico, informático ni institucional que conecte V11 con V01 dentro de la frontera y el horizonte declarados.</w:t>
      </w:r>
    </w:p>
    <w:p>
      <w:pPr>
        <w:pStyle w:val="Compact"/>
        <w:numPr>
          <w:ilvl w:val="1"/>
          <w:numId w:val="1313"/>
        </w:numPr>
      </w:pPr>
      <w:r>
        <w:t xml:space="preserve">Justificación del valor: Se asigna 0 porque el índice emitido en pantalla no modifica la masa de PM2,5 del aire.</w:t>
      </w:r>
    </w:p>
    <w:p>
      <w:pPr>
        <w:pStyle w:val="Compact"/>
        <w:numPr>
          <w:ilvl w:val="1"/>
          <w:numId w:val="1313"/>
        </w:numPr>
      </w:pPr>
      <w:r>
        <w:t xml:space="preserve">Ancla comparada: ANC-0 (ver F4.4.2).</w:t>
      </w:r>
    </w:p>
    <w:p>
      <w:pPr>
        <w:pStyle w:val="Compact"/>
        <w:numPr>
          <w:ilvl w:val="1"/>
          <w:numId w:val="1313"/>
        </w:numPr>
      </w:pPr>
      <w:r>
        <w:t xml:space="preserve">Explicación rival: Ninguna alternativa plausible dentro de la frontera.</w:t>
      </w:r>
    </w:p>
    <w:p>
      <w:pPr>
        <w:pStyle w:val="Compact"/>
        <w:numPr>
          <w:ilvl w:val="1"/>
          <w:numId w:val="1313"/>
        </w:numPr>
      </w:pPr>
      <w:r>
        <w:t xml:space="preserve">Mediadores del modelo: ninguno</w:t>
      </w:r>
    </w:p>
    <w:p>
      <w:pPr>
        <w:pStyle w:val="Compact"/>
        <w:numPr>
          <w:ilvl w:val="1"/>
          <w:numId w:val="1313"/>
        </w:numPr>
      </w:pPr>
      <w:r>
        <w:t xml:space="preserve">Motivo de la confianza: Ausencia de mecanismo por razonamiento físico. Sin medición ni fuente específica.</w:t>
      </w:r>
    </w:p>
    <w:p>
      <w:pPr>
        <w:pStyle w:val="FirstParagraph"/>
      </w:pPr>
      <w:r>
        <w:t xml:space="preserve">**Ficha 099 · V01__V10 · clase INTER**</w:t>
      </w:r>
    </w:p>
    <w:p>
      <w:pPr>
        <w:pStyle w:val="Compact"/>
        <w:numPr>
          <w:ilvl w:val="0"/>
          <w:numId w:val="1314"/>
        </w:numPr>
      </w:pPr>
      <w:r>
        <w:rPr>
          <w:b/>
          <w:bCs/>
        </w:rPr>
        <w:t xml:space="preserve">V01→V10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5"/>
        </w:numPr>
      </w:pPr>
      <w:r>
        <w:t xml:space="preserve">Razón del cero: La concentración no cambia la cantidad de nodos por km² del gemelo.</w:t>
      </w:r>
    </w:p>
    <w:p>
      <w:pPr>
        <w:pStyle w:val="Compact"/>
        <w:numPr>
          <w:ilvl w:val="1"/>
          <w:numId w:val="1315"/>
        </w:numPr>
      </w:pPr>
      <w:r>
        <w:t xml:space="preserve">Fundamento: Premisa P-0: no existe mecanismo físico, informático ni institucional que conecte V01 con V10 dentro de la frontera y el horizonte declarados.</w:t>
      </w:r>
    </w:p>
    <w:p>
      <w:pPr>
        <w:pStyle w:val="Compact"/>
        <w:numPr>
          <w:ilvl w:val="1"/>
          <w:numId w:val="1315"/>
        </w:numPr>
      </w:pPr>
      <w:r>
        <w:t xml:space="preserve">Justificación del valor: Se asigna 0 porque la concentración no cambia la cantidad de nodos por km² del gemelo.</w:t>
      </w:r>
    </w:p>
    <w:p>
      <w:pPr>
        <w:pStyle w:val="Compact"/>
        <w:numPr>
          <w:ilvl w:val="1"/>
          <w:numId w:val="1315"/>
        </w:numPr>
      </w:pPr>
      <w:r>
        <w:t xml:space="preserve">Ancla comparada: ANC-0 (ver F4.4.2).</w:t>
      </w:r>
    </w:p>
    <w:p>
      <w:pPr>
        <w:pStyle w:val="Compact"/>
        <w:numPr>
          <w:ilvl w:val="1"/>
          <w:numId w:val="1315"/>
        </w:numPr>
      </w:pPr>
      <w:r>
        <w:t xml:space="preserve">Explicación rival: Ninguna alternativa plausible dentro de la frontera.</w:t>
      </w:r>
    </w:p>
    <w:p>
      <w:pPr>
        <w:pStyle w:val="Compact"/>
        <w:numPr>
          <w:ilvl w:val="1"/>
          <w:numId w:val="1315"/>
        </w:numPr>
      </w:pPr>
      <w:r>
        <w:t xml:space="preserve">Mediadores del modelo: ninguno</w:t>
      </w:r>
    </w:p>
    <w:p>
      <w:pPr>
        <w:pStyle w:val="Compact"/>
        <w:numPr>
          <w:ilvl w:val="1"/>
          <w:numId w:val="1315"/>
        </w:numPr>
      </w:pPr>
      <w:r>
        <w:t xml:space="preserve">Motivo de la confianza: Ausencia de mecanismo por razonamiento físico. Sin medición ni fuente específica.</w:t>
      </w:r>
    </w:p>
    <w:p>
      <w:pPr>
        <w:pStyle w:val="Compact"/>
        <w:numPr>
          <w:ilvl w:val="0"/>
          <w:numId w:val="1314"/>
        </w:numPr>
      </w:pPr>
      <w:r>
        <w:rPr>
          <w:b/>
          <w:bCs/>
        </w:rPr>
        <w:t xml:space="preserve">V10→V01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6"/>
        </w:numPr>
      </w:pPr>
      <w:r>
        <w:t xml:space="preserve">Razón del cero: La densidad de nodos no modifica la masa de PM2,5 del aire.</w:t>
      </w:r>
    </w:p>
    <w:p>
      <w:pPr>
        <w:pStyle w:val="Compact"/>
        <w:numPr>
          <w:ilvl w:val="1"/>
          <w:numId w:val="1316"/>
        </w:numPr>
      </w:pPr>
      <w:r>
        <w:t xml:space="preserve">Fundamento: Premisa P-0: no existe mecanismo físico, informático ni institucional que conecte V10 con V01 dentro de la frontera y el horizonte declarados.</w:t>
      </w:r>
    </w:p>
    <w:p>
      <w:pPr>
        <w:pStyle w:val="Compact"/>
        <w:numPr>
          <w:ilvl w:val="1"/>
          <w:numId w:val="1316"/>
        </w:numPr>
      </w:pPr>
      <w:r>
        <w:t xml:space="preserve">Justificación del valor: Se asigna 0 porque la densidad de nodos no modifica la masa de PM2,5 del aire.</w:t>
      </w:r>
    </w:p>
    <w:p>
      <w:pPr>
        <w:pStyle w:val="Compact"/>
        <w:numPr>
          <w:ilvl w:val="1"/>
          <w:numId w:val="1316"/>
        </w:numPr>
      </w:pPr>
      <w:r>
        <w:t xml:space="preserve">Ancla comparada: ANC-0 (ver F4.4.2).</w:t>
      </w:r>
    </w:p>
    <w:p>
      <w:pPr>
        <w:pStyle w:val="Compact"/>
        <w:numPr>
          <w:ilvl w:val="1"/>
          <w:numId w:val="1316"/>
        </w:numPr>
      </w:pPr>
      <w:r>
        <w:t xml:space="preserve">Explicación rival: Ninguna alternativa plausible dentro de la frontera.</w:t>
      </w:r>
    </w:p>
    <w:p>
      <w:pPr>
        <w:pStyle w:val="Compact"/>
        <w:numPr>
          <w:ilvl w:val="1"/>
          <w:numId w:val="1316"/>
        </w:numPr>
      </w:pPr>
      <w:r>
        <w:t xml:space="preserve">Mediadores del modelo: ninguno</w:t>
      </w:r>
    </w:p>
    <w:p>
      <w:pPr>
        <w:pStyle w:val="Compact"/>
        <w:numPr>
          <w:ilvl w:val="1"/>
          <w:numId w:val="1316"/>
        </w:numPr>
      </w:pPr>
      <w:r>
        <w:t xml:space="preserve">Motivo de la confianza: Ausencia de mecanismo por razonamiento físico. Sin medición ni fuente específica.</w:t>
      </w:r>
    </w:p>
    <w:p>
      <w:pPr>
        <w:pStyle w:val="FirstParagraph"/>
      </w:pPr>
      <w:r>
        <w:t xml:space="preserve">**Ficha 100 · V08__V12 · clase INTER**</w:t>
      </w:r>
    </w:p>
    <w:p>
      <w:pPr>
        <w:pStyle w:val="Compact"/>
        <w:numPr>
          <w:ilvl w:val="0"/>
          <w:numId w:val="1317"/>
        </w:numPr>
      </w:pPr>
      <w:r>
        <w:rPr>
          <w:b/>
          <w:bCs/>
        </w:rPr>
        <w:t xml:space="preserve">V08→V12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18"/>
        </w:numPr>
      </w:pPr>
      <w:r>
        <w:t xml:space="preserve">Razón del cero: El retraso no determina la tasa de alertas sin superación de umbral real.</w:t>
      </w:r>
    </w:p>
    <w:p>
      <w:pPr>
        <w:pStyle w:val="Compact"/>
        <w:numPr>
          <w:ilvl w:val="1"/>
          <w:numId w:val="1318"/>
        </w:numPr>
      </w:pPr>
      <w:r>
        <w:t xml:space="preserve">Fundamento: Premisa P-0: no existe mecanismo físico, informático ni institucional que conecte V08 con V12 dentro de la frontera y el horizonte declarados.</w:t>
      </w:r>
    </w:p>
    <w:p>
      <w:pPr>
        <w:pStyle w:val="Compact"/>
        <w:numPr>
          <w:ilvl w:val="1"/>
          <w:numId w:val="1318"/>
        </w:numPr>
      </w:pPr>
      <w:r>
        <w:t xml:space="preserve">Justificación del valor: Se asigna 0 porque el retraso no determina la tasa de alertas sin superación de umbral real.</w:t>
      </w:r>
    </w:p>
    <w:p>
      <w:pPr>
        <w:pStyle w:val="Compact"/>
        <w:numPr>
          <w:ilvl w:val="1"/>
          <w:numId w:val="1318"/>
        </w:numPr>
      </w:pPr>
      <w:r>
        <w:t xml:space="preserve">Ancla comparada: ANC-0 (ver F4.4.2).</w:t>
      </w:r>
    </w:p>
    <w:p>
      <w:pPr>
        <w:pStyle w:val="Compact"/>
        <w:numPr>
          <w:ilvl w:val="1"/>
          <w:numId w:val="1318"/>
        </w:numPr>
      </w:pPr>
      <w:r>
        <w:t xml:space="preserve">Explicación rival: Datos rezagados podrían disparar alertas sobre condiciones ya superadas. El efecto es de segundo orden.</w:t>
      </w:r>
    </w:p>
    <w:p>
      <w:pPr>
        <w:pStyle w:val="Compact"/>
        <w:numPr>
          <w:ilvl w:val="1"/>
          <w:numId w:val="1318"/>
        </w:numPr>
      </w:pPr>
      <w:r>
        <w:t xml:space="preserve">Mediadores del modelo: ninguno</w:t>
      </w:r>
    </w:p>
    <w:p>
      <w:pPr>
        <w:pStyle w:val="Compact"/>
        <w:numPr>
          <w:ilvl w:val="1"/>
          <w:numId w:val="1318"/>
        </w:numPr>
      </w:pPr>
      <w:r>
        <w:t xml:space="preserve">Motivo de la confianza: Ausencia de mecanismo por razonamiento físico. Sin medición ni fuente específica.</w:t>
      </w:r>
    </w:p>
    <w:p>
      <w:pPr>
        <w:pStyle w:val="Compact"/>
        <w:numPr>
          <w:ilvl w:val="0"/>
          <w:numId w:val="1317"/>
        </w:numPr>
      </w:pPr>
      <w:r>
        <w:rPr>
          <w:b/>
          <w:bCs/>
        </w:rPr>
        <w:t xml:space="preserve">V12→V08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9"/>
        </w:numPr>
      </w:pPr>
      <w:r>
        <w:t xml:space="preserve">Razón del cero: Las falsas alarmas no cambian el retraso de transmisión.</w:t>
      </w:r>
    </w:p>
    <w:p>
      <w:pPr>
        <w:pStyle w:val="Compact"/>
        <w:numPr>
          <w:ilvl w:val="1"/>
          <w:numId w:val="1319"/>
        </w:numPr>
      </w:pPr>
      <w:r>
        <w:t xml:space="preserve">Fundamento: Premisa P-0: no existe mecanismo físico, informático ni institucional que conecte V12 con V08 dentro de la frontera y el horizonte declarados.</w:t>
      </w:r>
    </w:p>
    <w:p>
      <w:pPr>
        <w:pStyle w:val="Compact"/>
        <w:numPr>
          <w:ilvl w:val="1"/>
          <w:numId w:val="1319"/>
        </w:numPr>
      </w:pPr>
      <w:r>
        <w:t xml:space="preserve">Justificación del valor: Se asigna 0 porque las falsas alarmas no cambian el retraso de transmisión.</w:t>
      </w:r>
    </w:p>
    <w:p>
      <w:pPr>
        <w:pStyle w:val="Compact"/>
        <w:numPr>
          <w:ilvl w:val="1"/>
          <w:numId w:val="1319"/>
        </w:numPr>
      </w:pPr>
      <w:r>
        <w:t xml:space="preserve">Ancla comparada: ANC-0 (ver F4.4.2).</w:t>
      </w:r>
    </w:p>
    <w:p>
      <w:pPr>
        <w:pStyle w:val="Compact"/>
        <w:numPr>
          <w:ilvl w:val="1"/>
          <w:numId w:val="1319"/>
        </w:numPr>
      </w:pPr>
      <w:r>
        <w:t xml:space="preserve">Explicación rival: Ninguna alternativa plausible dentro de la frontera.</w:t>
      </w:r>
    </w:p>
    <w:p>
      <w:pPr>
        <w:pStyle w:val="Compact"/>
        <w:numPr>
          <w:ilvl w:val="1"/>
          <w:numId w:val="1319"/>
        </w:numPr>
      </w:pPr>
      <w:r>
        <w:t xml:space="preserve">Mediadores del modelo: ninguno</w:t>
      </w:r>
    </w:p>
    <w:p>
      <w:pPr>
        <w:pStyle w:val="Compact"/>
        <w:numPr>
          <w:ilvl w:val="1"/>
          <w:numId w:val="1319"/>
        </w:numPr>
      </w:pPr>
      <w:r>
        <w:t xml:space="preserve">Motivo de la confianza: Ausencia de mecanismo por razonamiento físico. Sin medición ni fuente específica.</w:t>
      </w:r>
    </w:p>
    <w:p>
      <w:pPr>
        <w:pStyle w:val="FirstParagraph"/>
      </w:pPr>
      <w:r>
        <w:t xml:space="preserve">**Ficha 101 · V05__V06 · clase INTER**</w:t>
      </w:r>
    </w:p>
    <w:p>
      <w:pPr>
        <w:pStyle w:val="Compact"/>
        <w:numPr>
          <w:ilvl w:val="0"/>
          <w:numId w:val="1320"/>
        </w:numPr>
      </w:pPr>
      <w:r>
        <w:rPr>
          <w:b/>
          <w:bCs/>
        </w:rPr>
        <w:t xml:space="preserve">V05→V06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1"/>
        </w:numPr>
      </w:pPr>
      <w:r>
        <w:t xml:space="preserve">Razón del cero: El volumen de escombros afecta el error de medición por la carga de partículas (V01, V02), no de forma directa.</w:t>
      </w:r>
    </w:p>
    <w:p>
      <w:pPr>
        <w:pStyle w:val="Compact"/>
        <w:numPr>
          <w:ilvl w:val="1"/>
          <w:numId w:val="1321"/>
        </w:numPr>
      </w:pPr>
      <w:r>
        <w:t xml:space="preserve">Fundamento: Premisa P-M: la influencia de V05 sobre V06 opera solo a través de V01, V02. Se puntúa en los pares V05→V01 y V01→V06, V05→V02 y V02→V06. No se duplica aquí.</w:t>
      </w:r>
    </w:p>
    <w:p>
      <w:pPr>
        <w:pStyle w:val="Compact"/>
        <w:numPr>
          <w:ilvl w:val="1"/>
          <w:numId w:val="1321"/>
        </w:numPr>
      </w:pPr>
      <w:r>
        <w:t xml:space="preserve">Justificación del valor: Se asigna 0 porque el volumen de escombros afecta el error de medición por la carga de partículas (V01, V02), no de forma directa.</w:t>
      </w:r>
    </w:p>
    <w:p>
      <w:pPr>
        <w:pStyle w:val="Compact"/>
        <w:numPr>
          <w:ilvl w:val="1"/>
          <w:numId w:val="1321"/>
        </w:numPr>
      </w:pPr>
      <w:r>
        <w:t xml:space="preserve">Ancla comparada: ANC-0 (ver F4.4.2).</w:t>
      </w:r>
    </w:p>
    <w:p>
      <w:pPr>
        <w:pStyle w:val="Compact"/>
        <w:numPr>
          <w:ilvl w:val="1"/>
          <w:numId w:val="1321"/>
        </w:numPr>
      </w:pPr>
      <w:r>
        <w:t xml:space="preserve">Explicación rival: La vibración de la maquinaria puede afectar el sensor. El efecto es despreciable frente al polvo.</w:t>
      </w:r>
    </w:p>
    <w:p>
      <w:pPr>
        <w:pStyle w:val="Compact"/>
        <w:numPr>
          <w:ilvl w:val="1"/>
          <w:numId w:val="1321"/>
        </w:numPr>
      </w:pPr>
      <w:r>
        <w:t xml:space="preserve">Mediadores del modelo: V01, V02</w:t>
      </w:r>
    </w:p>
    <w:p>
      <w:pPr>
        <w:pStyle w:val="Compact"/>
        <w:numPr>
          <w:ilvl w:val="1"/>
          <w:numId w:val="1321"/>
        </w:numPr>
      </w:pPr>
      <w:r>
        <w:t xml:space="preserve">Motivo de la confianza: Ruta indirecta explícita en el modelo.</w:t>
      </w:r>
    </w:p>
    <w:p>
      <w:pPr>
        <w:pStyle w:val="Compact"/>
        <w:numPr>
          <w:ilvl w:val="0"/>
          <w:numId w:val="1320"/>
        </w:numPr>
      </w:pPr>
      <w:r>
        <w:rPr>
          <w:b/>
          <w:bCs/>
        </w:rPr>
        <w:t xml:space="preserve">V06→V05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22"/>
        </w:numPr>
      </w:pPr>
      <w:r>
        <w:t xml:space="preserve">Razón del cero: El error del sensor no cambia las toneladas de escombros removidas.</w:t>
      </w:r>
    </w:p>
    <w:p>
      <w:pPr>
        <w:pStyle w:val="Compact"/>
        <w:numPr>
          <w:ilvl w:val="1"/>
          <w:numId w:val="1322"/>
        </w:numPr>
      </w:pPr>
      <w:r>
        <w:t xml:space="preserve">Fundamento: Premisa P-0: no existe mecanismo físico, informático ni institucional que conecte V06 con V05 dentro de la frontera y el horizonte declarados.</w:t>
      </w:r>
    </w:p>
    <w:p>
      <w:pPr>
        <w:pStyle w:val="Compact"/>
        <w:numPr>
          <w:ilvl w:val="1"/>
          <w:numId w:val="1322"/>
        </w:numPr>
      </w:pPr>
      <w:r>
        <w:t xml:space="preserve">Justificación del valor: Se asigna 0 porque el error del sensor no cambia las toneladas de escombros removidas.</w:t>
      </w:r>
    </w:p>
    <w:p>
      <w:pPr>
        <w:pStyle w:val="Compact"/>
        <w:numPr>
          <w:ilvl w:val="1"/>
          <w:numId w:val="1322"/>
        </w:numPr>
      </w:pPr>
      <w:r>
        <w:t xml:space="preserve">Ancla comparada: ANC-0 (ver F4.4.2).</w:t>
      </w:r>
    </w:p>
    <w:p>
      <w:pPr>
        <w:pStyle w:val="Compact"/>
        <w:numPr>
          <w:ilvl w:val="1"/>
          <w:numId w:val="1322"/>
        </w:numPr>
      </w:pPr>
      <w:r>
        <w:t xml:space="preserve">Explicación rival: Una decisión de obra basada en datos erróneos modificaría V05 por la vía institucional. Se puntúa en V15-&gt;V05.</w:t>
      </w:r>
    </w:p>
    <w:p>
      <w:pPr>
        <w:pStyle w:val="Compact"/>
        <w:numPr>
          <w:ilvl w:val="1"/>
          <w:numId w:val="1322"/>
        </w:numPr>
      </w:pPr>
      <w:r>
        <w:t xml:space="preserve">Mediadores del modelo: ninguno</w:t>
      </w:r>
    </w:p>
    <w:p>
      <w:pPr>
        <w:pStyle w:val="Compact"/>
        <w:numPr>
          <w:ilvl w:val="1"/>
          <w:numId w:val="1322"/>
        </w:numPr>
      </w:pPr>
      <w:r>
        <w:t xml:space="preserve">Motivo de la confianza: Ausencia de mecanismo por razonamiento físico. Sin medición ni fuente específica.</w:t>
      </w:r>
    </w:p>
    <w:p>
      <w:pPr>
        <w:pStyle w:val="FirstParagraph"/>
      </w:pPr>
      <w:r>
        <w:t xml:space="preserve">**Ficha 102 · V01__V06 · clase INTER**</w:t>
      </w:r>
    </w:p>
    <w:p>
      <w:pPr>
        <w:pStyle w:val="Compact"/>
        <w:numPr>
          <w:ilvl w:val="0"/>
          <w:numId w:val="1323"/>
        </w:numPr>
      </w:pPr>
      <w:r>
        <w:rPr>
          <w:b/>
          <w:bCs/>
        </w:rPr>
        <w:t xml:space="preserve">V01→V06</w:t>
      </w:r>
      <w:r>
        <w:t xml:space="preserve"> </w:t>
      </w:r>
      <w:r>
        <w:t xml:space="preserve">· valor</w:t>
      </w:r>
      <w:r>
        <w:t xml:space="preserve"> </w:t>
      </w:r>
      <w:r>
        <w:rPr>
          <w:b/>
          <w:bCs/>
        </w:rPr>
        <w:t xml:space="preserve">2</w:t>
      </w:r>
      <w:r>
        <w:t xml:space="preserve"> </w:t>
      </w:r>
      <w:r>
        <w:t xml:space="preserve">(admisibles: 1, 2, 3) · signo + · naturaleza INFERIDO · estado PROPUESTO · confianza BAJA</w:t>
      </w:r>
    </w:p>
    <w:p>
      <w:pPr>
        <w:pStyle w:val="Compact"/>
        <w:numPr>
          <w:ilvl w:val="1"/>
          <w:numId w:val="1324"/>
        </w:numPr>
      </w:pPr>
      <w:r>
        <w:t xml:space="preserve">Mecanismo: Concentraciones muy altas saturan el contador óptico y elevan el error de coincidencia frente a la referencia gravimétrica.</w:t>
      </w:r>
    </w:p>
    <w:p>
      <w:pPr>
        <w:pStyle w:val="Compact"/>
        <w:numPr>
          <w:ilvl w:val="1"/>
          <w:numId w:val="1324"/>
        </w:numPr>
      </w:pPr>
      <w:r>
        <w:t xml:space="preserve">Fundamento: Mecanismo de saturación del contador láser del ledger E3-P04 (INFERIDO, magnitud 2). El umbral de saturación del sensor no figura en el expediente: VACIO.</w:t>
      </w:r>
    </w:p>
    <w:p>
      <w:pPr>
        <w:pStyle w:val="Compact"/>
        <w:numPr>
          <w:ilvl w:val="1"/>
          <w:numId w:val="1324"/>
        </w:numPr>
      </w:pPr>
      <w:r>
        <w:t xml:space="preserve">Fuentes: F-E3, E3-P04 §12, fila V01-&gt;V06 (INFERIDO, magnitud 2) (alcance: Documenta el valor heredado, no su veracidad)</w:t>
      </w:r>
    </w:p>
    <w:p>
      <w:pPr>
        <w:pStyle w:val="Compact"/>
        <w:numPr>
          <w:ilvl w:val="1"/>
          <w:numId w:val="1324"/>
        </w:numPr>
      </w:pPr>
      <w:r>
        <w:t xml:space="preserve">Premisas: P-V01-V06: el contador láser tiene un límite superior de detección. Sobre él la lectura se satura o se subestima (conocimiento técnico general, no fuente del expediente).</w:t>
      </w:r>
    </w:p>
    <w:p>
      <w:pPr>
        <w:pStyle w:val="Compact"/>
        <w:numPr>
          <w:ilvl w:val="1"/>
          <w:numId w:val="1324"/>
        </w:numPr>
      </w:pPr>
      <w:r>
        <w:t xml:space="preserve">Justificación del valor: Se asigna 2 y no 3: el error crece con la concentración solo sobre un umbral de saturación del sensor que se desconoce. Sobre él la influencia sería mayor.</w:t>
      </w:r>
    </w:p>
    <w:p>
      <w:pPr>
        <w:pStyle w:val="Compact"/>
        <w:numPr>
          <w:ilvl w:val="1"/>
          <w:numId w:val="1324"/>
        </w:numPr>
      </w:pPr>
      <w:r>
        <w:t xml:space="preserve">Ancla comparada: Mayor que ANC-1 (V03-&gt;V09, efecto gradual) y menor que ANC-3 (V06-&gt;V11, determinación sin intermediario).</w:t>
      </w:r>
    </w:p>
    <w:p>
      <w:pPr>
        <w:pStyle w:val="Compact"/>
        <w:numPr>
          <w:ilvl w:val="1"/>
          <w:numId w:val="1324"/>
        </w:numPr>
      </w:pPr>
      <w:r>
        <w:t xml:space="preserve">Explicación rival: El error normalizado puede disminuir con la concentración, porque el cociente se divide por un denominador mayor. El signo podría ser MIXTO.</w:t>
      </w:r>
    </w:p>
    <w:p>
      <w:pPr>
        <w:pStyle w:val="Compact"/>
        <w:numPr>
          <w:ilvl w:val="1"/>
          <w:numId w:val="1324"/>
        </w:numPr>
      </w:pPr>
      <w:r>
        <w:t xml:space="preserve">Mediadores del modelo: ninguno</w:t>
      </w:r>
    </w:p>
    <w:p>
      <w:pPr>
        <w:pStyle w:val="Compact"/>
        <w:numPr>
          <w:ilvl w:val="1"/>
          <w:numId w:val="1324"/>
        </w:numPr>
      </w:pPr>
      <w:r>
        <w:t xml:space="preserve">Motivo de la confianza: Sin ficha técnica del sensor. Mecanismo plausible. Dominio admisible amplio.</w:t>
      </w:r>
    </w:p>
    <w:p>
      <w:pPr>
        <w:pStyle w:val="Compact"/>
        <w:numPr>
          <w:ilvl w:val="0"/>
          <w:numId w:val="1323"/>
        </w:numPr>
      </w:pPr>
      <w:r>
        <w:rPr>
          <w:b/>
          <w:bCs/>
        </w:rPr>
        <w:t xml:space="preserve">V06→V01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5"/>
        </w:numPr>
      </w:pPr>
      <w:r>
        <w:t xml:space="preserve">Razón del cero: El error del sensor altera la medición de PM2,5. No altera la masa de partículas que el diccionario define como V01.</w:t>
      </w:r>
    </w:p>
    <w:p>
      <w:pPr>
        <w:pStyle w:val="Compact"/>
        <w:numPr>
          <w:ilvl w:val="1"/>
          <w:numId w:val="1325"/>
        </w:numPr>
      </w:pPr>
      <w:r>
        <w:t xml:space="preserve">Fundamento: Premisa P-0: no existe mecanismo físico, informático ni institucional que conecte V06 con V01 dentro de la frontera y el horizonte declarados.</w:t>
      </w:r>
    </w:p>
    <w:p>
      <w:pPr>
        <w:pStyle w:val="Compact"/>
        <w:numPr>
          <w:ilvl w:val="1"/>
          <w:numId w:val="1325"/>
        </w:numPr>
      </w:pPr>
      <w:r>
        <w:t xml:space="preserve">Justificación del valor: Se asigna 0 porque el error del sensor altera la medición de PM2,5. No altera la masa de partículas que el diccionario define como V01.</w:t>
      </w:r>
    </w:p>
    <w:p>
      <w:pPr>
        <w:pStyle w:val="Compact"/>
        <w:numPr>
          <w:ilvl w:val="1"/>
          <w:numId w:val="1325"/>
        </w:numPr>
      </w:pPr>
      <w:r>
        <w:t xml:space="preserve">Ancla comparada: ANC-0 (ver F4.4.2).</w:t>
      </w:r>
    </w:p>
    <w:p>
      <w:pPr>
        <w:pStyle w:val="Compact"/>
        <w:numPr>
          <w:ilvl w:val="1"/>
          <w:numId w:val="1325"/>
        </w:numPr>
      </w:pPr>
      <w:r>
        <w:t xml:space="preserve">Explicación rival: Si V01 se leyera como concentración medida por la red, el error la modificaría. El diccionario E3-P01 la define como masa física (VACIO V-DIC-01).</w:t>
      </w:r>
    </w:p>
    <w:p>
      <w:pPr>
        <w:pStyle w:val="Compact"/>
        <w:numPr>
          <w:ilvl w:val="1"/>
          <w:numId w:val="1325"/>
        </w:numPr>
      </w:pPr>
      <w:r>
        <w:t xml:space="preserve">Mediadores del modelo: ninguno</w:t>
      </w:r>
    </w:p>
    <w:p>
      <w:pPr>
        <w:pStyle w:val="Compact"/>
        <w:numPr>
          <w:ilvl w:val="1"/>
          <w:numId w:val="1325"/>
        </w:numPr>
      </w:pPr>
      <w:r>
        <w:t xml:space="preserve">Motivo de la confianza: Ausencia de mecanismo por razonamiento físico. Sin medición ni fuente específica.</w:t>
      </w:r>
    </w:p>
    <w:p>
      <w:pPr>
        <w:pStyle w:val="FirstParagraph"/>
      </w:pPr>
      <w:r>
        <w:t xml:space="preserve">**Ficha 103 · V05__V13 · clase INTER**</w:t>
      </w:r>
    </w:p>
    <w:p>
      <w:pPr>
        <w:pStyle w:val="Compact"/>
        <w:numPr>
          <w:ilvl w:val="0"/>
          <w:numId w:val="1326"/>
        </w:numPr>
      </w:pPr>
      <w:r>
        <w:rPr>
          <w:b/>
          <w:bCs/>
        </w:rPr>
        <w:t xml:space="preserve">V05→V13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27"/>
        </w:numPr>
      </w:pPr>
      <w:r>
        <w:t xml:space="preserve">Razón del cero: El volumen de escombros no cambia el tiempo de aviso.</w:t>
      </w:r>
    </w:p>
    <w:p>
      <w:pPr>
        <w:pStyle w:val="Compact"/>
        <w:numPr>
          <w:ilvl w:val="1"/>
          <w:numId w:val="1327"/>
        </w:numPr>
      </w:pPr>
      <w:r>
        <w:t xml:space="preserve">Fundamento: Premisa P-0: no existe mecanismo físico, informático ni institucional que conecte V05 con V13 dentro de la frontera y el horizonte declarados.</w:t>
      </w:r>
    </w:p>
    <w:p>
      <w:pPr>
        <w:pStyle w:val="Compact"/>
        <w:numPr>
          <w:ilvl w:val="1"/>
          <w:numId w:val="1327"/>
        </w:numPr>
      </w:pPr>
      <w:r>
        <w:t xml:space="preserve">Justificación del valor: Se asigna 0 porque el volumen de escombros no cambia el tiempo de aviso.</w:t>
      </w:r>
    </w:p>
    <w:p>
      <w:pPr>
        <w:pStyle w:val="Compact"/>
        <w:numPr>
          <w:ilvl w:val="1"/>
          <w:numId w:val="1327"/>
        </w:numPr>
      </w:pPr>
      <w:r>
        <w:t xml:space="preserve">Ancla comparada: ANC-0 (ver F4.4.2).</w:t>
      </w:r>
    </w:p>
    <w:p>
      <w:pPr>
        <w:pStyle w:val="Compact"/>
        <w:numPr>
          <w:ilvl w:val="1"/>
          <w:numId w:val="1327"/>
        </w:numPr>
      </w:pPr>
      <w:r>
        <w:t xml:space="preserve">Explicación rival: Ninguna alternativa plausible dentro de la frontera.</w:t>
      </w:r>
    </w:p>
    <w:p>
      <w:pPr>
        <w:pStyle w:val="Compact"/>
        <w:numPr>
          <w:ilvl w:val="1"/>
          <w:numId w:val="1327"/>
        </w:numPr>
      </w:pPr>
      <w:r>
        <w:t xml:space="preserve">Mediadores del modelo: ninguno</w:t>
      </w:r>
    </w:p>
    <w:p>
      <w:pPr>
        <w:pStyle w:val="Compact"/>
        <w:numPr>
          <w:ilvl w:val="1"/>
          <w:numId w:val="1327"/>
        </w:numPr>
      </w:pPr>
      <w:r>
        <w:t xml:space="preserve">Motivo de la confianza: Ausencia de mecanismo por razonamiento físico. Sin medición ni fuente específica.</w:t>
      </w:r>
    </w:p>
    <w:p>
      <w:pPr>
        <w:pStyle w:val="Compact"/>
        <w:numPr>
          <w:ilvl w:val="0"/>
          <w:numId w:val="1326"/>
        </w:numPr>
      </w:pPr>
      <w:r>
        <w:rPr>
          <w:b/>
          <w:bCs/>
        </w:rPr>
        <w:t xml:space="preserve">V13→V05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8"/>
        </w:numPr>
      </w:pPr>
      <w:r>
        <w:t xml:space="preserve">Razón del cero: El tiempo de aviso no cambia por sí solo las toneladas removidas. Una pausa programada exige decisión institucional (V15).</w:t>
      </w:r>
    </w:p>
    <w:p>
      <w:pPr>
        <w:pStyle w:val="Compact"/>
        <w:numPr>
          <w:ilvl w:val="1"/>
          <w:numId w:val="1328"/>
        </w:numPr>
      </w:pPr>
      <w:r>
        <w:t xml:space="preserve">Fundamento: Premisa P-M: la influencia de V13 sobre V05 opera solo a través de V15. Se puntúa en los pares V13→V15 y V15→V05. No se duplica aquí.</w:t>
      </w:r>
    </w:p>
    <w:p>
      <w:pPr>
        <w:pStyle w:val="Compact"/>
        <w:numPr>
          <w:ilvl w:val="1"/>
          <w:numId w:val="1328"/>
        </w:numPr>
      </w:pPr>
      <w:r>
        <w:t xml:space="preserve">Justificación del valor: Se asigna 0 porque el tiempo de aviso no cambia por sí solo las toneladas removidas. Una pausa programada exige decisión institucional (V15).</w:t>
      </w:r>
    </w:p>
    <w:p>
      <w:pPr>
        <w:pStyle w:val="Compact"/>
        <w:numPr>
          <w:ilvl w:val="1"/>
          <w:numId w:val="1328"/>
        </w:numPr>
      </w:pPr>
      <w:r>
        <w:t xml:space="preserve">Ancla comparada: ANC-0 (ver F4.4.2).</w:t>
      </w:r>
    </w:p>
    <w:p>
      <w:pPr>
        <w:pStyle w:val="Compact"/>
        <w:numPr>
          <w:ilvl w:val="1"/>
          <w:numId w:val="1328"/>
        </w:numPr>
      </w:pPr>
      <w:r>
        <w:t xml:space="preserve">Explicación rival: La pausa programada se puntúa en V15-&gt;V05.</w:t>
      </w:r>
    </w:p>
    <w:p>
      <w:pPr>
        <w:pStyle w:val="Compact"/>
        <w:numPr>
          <w:ilvl w:val="1"/>
          <w:numId w:val="1328"/>
        </w:numPr>
      </w:pPr>
      <w:r>
        <w:t xml:space="preserve">Mediadores del modelo: V15</w:t>
      </w:r>
    </w:p>
    <w:p>
      <w:pPr>
        <w:pStyle w:val="Compact"/>
        <w:numPr>
          <w:ilvl w:val="1"/>
          <w:numId w:val="1328"/>
        </w:numPr>
      </w:pPr>
      <w:r>
        <w:t xml:space="preserve">Motivo de la confianza: Ruta indirecta explícita en el modelo.</w:t>
      </w:r>
    </w:p>
    <w:p>
      <w:pPr>
        <w:pStyle w:val="FirstParagraph"/>
      </w:pPr>
      <w:r>
        <w:t xml:space="preserve">**Ficha 104 · V05__V14 · clase INTER**</w:t>
      </w:r>
    </w:p>
    <w:p>
      <w:pPr>
        <w:pStyle w:val="Compact"/>
        <w:numPr>
          <w:ilvl w:val="0"/>
          <w:numId w:val="1329"/>
        </w:numPr>
      </w:pPr>
      <w:r>
        <w:rPr>
          <w:b/>
          <w:bCs/>
        </w:rPr>
        <w:t xml:space="preserve">V05→V14</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330"/>
        </w:numPr>
      </w:pPr>
      <w:r>
        <w:t xml:space="preserve">Razón del cero: El volumen de escombros no cambia directamente el número de personas protegidas. La población expuesta es un dato de contexto fuera del modelo.</w:t>
      </w:r>
    </w:p>
    <w:p>
      <w:pPr>
        <w:pStyle w:val="Compact"/>
        <w:numPr>
          <w:ilvl w:val="1"/>
          <w:numId w:val="1330"/>
        </w:numPr>
      </w:pPr>
      <w:r>
        <w:t xml:space="preserve">Fundamento: Premisa P-0: no existe mecanismo físico, informático ni institucional que conecte V05 con V14 dentro de la frontera y el horizonte declarados.</w:t>
      </w:r>
    </w:p>
    <w:p>
      <w:pPr>
        <w:pStyle w:val="Compact"/>
        <w:numPr>
          <w:ilvl w:val="1"/>
          <w:numId w:val="1330"/>
        </w:numPr>
      </w:pPr>
      <w:r>
        <w:t xml:space="preserve">Justificación del valor: Se asigna 0 porque el volumen de escombros no cambia directamente el número de personas protegidas. La población expuesta es un dato de contexto fuera del modelo.</w:t>
      </w:r>
    </w:p>
    <w:p>
      <w:pPr>
        <w:pStyle w:val="Compact"/>
        <w:numPr>
          <w:ilvl w:val="1"/>
          <w:numId w:val="1330"/>
        </w:numPr>
      </w:pPr>
      <w:r>
        <w:t xml:space="preserve">Ancla comparada: ANC-0 (ver F4.4.2).</w:t>
      </w:r>
    </w:p>
    <w:p>
      <w:pPr>
        <w:pStyle w:val="Compact"/>
        <w:numPr>
          <w:ilvl w:val="1"/>
          <w:numId w:val="1330"/>
        </w:numPr>
      </w:pPr>
      <w:r>
        <w:t xml:space="preserve">Explicación rival: Más trabajo implica más operarios expuestos. La variable V14 mide protección efectiva, no exposición.</w:t>
      </w:r>
    </w:p>
    <w:p>
      <w:pPr>
        <w:pStyle w:val="Compact"/>
        <w:numPr>
          <w:ilvl w:val="1"/>
          <w:numId w:val="1330"/>
        </w:numPr>
      </w:pPr>
      <w:r>
        <w:t xml:space="preserve">Mediadores del modelo: ninguno</w:t>
      </w:r>
    </w:p>
    <w:p>
      <w:pPr>
        <w:pStyle w:val="Compact"/>
        <w:numPr>
          <w:ilvl w:val="1"/>
          <w:numId w:val="1330"/>
        </w:numPr>
      </w:pPr>
      <w:r>
        <w:t xml:space="preserve">Motivo de la confianza: Ausencia de mecanismo por razonamiento físico. Sin medición ni fuente específica.</w:t>
      </w:r>
    </w:p>
    <w:p>
      <w:pPr>
        <w:pStyle w:val="Compact"/>
        <w:numPr>
          <w:ilvl w:val="0"/>
          <w:numId w:val="1329"/>
        </w:numPr>
      </w:pPr>
      <w:r>
        <w:rPr>
          <w:b/>
          <w:bCs/>
        </w:rPr>
        <w:t xml:space="preserve">V14→V05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31"/>
        </w:numPr>
      </w:pPr>
      <w:r>
        <w:t xml:space="preserve">Razón del cero: El número de personas protegidas no cambia por sí solo las toneladas removidas. La protección podría imponer pausas por decisión institucional (V15).</w:t>
      </w:r>
    </w:p>
    <w:p>
      <w:pPr>
        <w:pStyle w:val="Compact"/>
        <w:numPr>
          <w:ilvl w:val="1"/>
          <w:numId w:val="1331"/>
        </w:numPr>
      </w:pPr>
      <w:r>
        <w:t xml:space="preserve">Fundamento: Premisa P-M: la influencia de V14 sobre V05 opera solo a través de V15. Se puntúa en los pares V14→V15 y V15→V05. No se duplica aquí.</w:t>
      </w:r>
    </w:p>
    <w:p>
      <w:pPr>
        <w:pStyle w:val="Compact"/>
        <w:numPr>
          <w:ilvl w:val="1"/>
          <w:numId w:val="1331"/>
        </w:numPr>
      </w:pPr>
      <w:r>
        <w:t xml:space="preserve">Justificación del valor: Se asigna 0 porque el número de personas protegidas no cambia por sí solo las toneladas removidas. La protección podría imponer pausas por decisión institucional (V15).</w:t>
      </w:r>
    </w:p>
    <w:p>
      <w:pPr>
        <w:pStyle w:val="Compact"/>
        <w:numPr>
          <w:ilvl w:val="1"/>
          <w:numId w:val="1331"/>
        </w:numPr>
      </w:pPr>
      <w:r>
        <w:t xml:space="preserve">Ancla comparada: ANC-0 (ver F4.4.2).</w:t>
      </w:r>
    </w:p>
    <w:p>
      <w:pPr>
        <w:pStyle w:val="Compact"/>
        <w:numPr>
          <w:ilvl w:val="1"/>
          <w:numId w:val="1331"/>
        </w:numPr>
      </w:pPr>
      <w:r>
        <w:t xml:space="preserve">Explicación rival: La pausa se puntúa en V15-&gt;V05.</w:t>
      </w:r>
    </w:p>
    <w:p>
      <w:pPr>
        <w:pStyle w:val="Compact"/>
        <w:numPr>
          <w:ilvl w:val="1"/>
          <w:numId w:val="1331"/>
        </w:numPr>
      </w:pPr>
      <w:r>
        <w:t xml:space="preserve">Mediadores del modelo: V15</w:t>
      </w:r>
    </w:p>
    <w:p>
      <w:pPr>
        <w:pStyle w:val="Compact"/>
        <w:numPr>
          <w:ilvl w:val="1"/>
          <w:numId w:val="1331"/>
        </w:numPr>
      </w:pPr>
      <w:r>
        <w:t xml:space="preserve">Motivo de la confianza: Ruta indirecta explícita en el modelo.</w:t>
      </w:r>
    </w:p>
    <w:p>
      <w:pPr>
        <w:pStyle w:val="FirstParagraph"/>
      </w:pPr>
      <w:r>
        <w:t xml:space="preserve">**Ficha 105 · V04__V07 · clase INTER**</w:t>
      </w:r>
    </w:p>
    <w:p>
      <w:pPr>
        <w:pStyle w:val="Compact"/>
        <w:numPr>
          <w:ilvl w:val="0"/>
          <w:numId w:val="1332"/>
        </w:numPr>
      </w:pPr>
      <w:r>
        <w:rPr>
          <w:b/>
          <w:bCs/>
        </w:rPr>
        <w:t xml:space="preserve">V04→V07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33"/>
        </w:numPr>
      </w:pPr>
      <w:r>
        <w:t xml:space="preserve">Razón del cero: La velocidad del viento no fija la frecuencia de calibración.</w:t>
      </w:r>
    </w:p>
    <w:p>
      <w:pPr>
        <w:pStyle w:val="Compact"/>
        <w:numPr>
          <w:ilvl w:val="1"/>
          <w:numId w:val="1333"/>
        </w:numPr>
      </w:pPr>
      <w:r>
        <w:t xml:space="preserve">Fundamento: Premisa P-0: no existe mecanismo físico, informático ni institucional que conecte V04 con V07 dentro de la frontera y el horizonte declarados.</w:t>
      </w:r>
    </w:p>
    <w:p>
      <w:pPr>
        <w:pStyle w:val="Compact"/>
        <w:numPr>
          <w:ilvl w:val="1"/>
          <w:numId w:val="1333"/>
        </w:numPr>
      </w:pPr>
      <w:r>
        <w:t xml:space="preserve">Justificación del valor: Se asigna 0 porque la velocidad del viento no fija la frecuencia de calibración.</w:t>
      </w:r>
    </w:p>
    <w:p>
      <w:pPr>
        <w:pStyle w:val="Compact"/>
        <w:numPr>
          <w:ilvl w:val="1"/>
          <w:numId w:val="1333"/>
        </w:numPr>
      </w:pPr>
      <w:r>
        <w:t xml:space="preserve">Ancla comparada: ANC-0 (ver F4.4.2).</w:t>
      </w:r>
    </w:p>
    <w:p>
      <w:pPr>
        <w:pStyle w:val="Compact"/>
        <w:numPr>
          <w:ilvl w:val="1"/>
          <w:numId w:val="1333"/>
        </w:numPr>
      </w:pPr>
      <w:r>
        <w:t xml:space="preserve">Explicación rival: Ninguna alternativa plausible dentro de la frontera.</w:t>
      </w:r>
    </w:p>
    <w:p>
      <w:pPr>
        <w:pStyle w:val="Compact"/>
        <w:numPr>
          <w:ilvl w:val="1"/>
          <w:numId w:val="1333"/>
        </w:numPr>
      </w:pPr>
      <w:r>
        <w:t xml:space="preserve">Mediadores del modelo: ninguno</w:t>
      </w:r>
    </w:p>
    <w:p>
      <w:pPr>
        <w:pStyle w:val="Compact"/>
        <w:numPr>
          <w:ilvl w:val="1"/>
          <w:numId w:val="1333"/>
        </w:numPr>
      </w:pPr>
      <w:r>
        <w:t xml:space="preserve">Motivo de la confianza: Ausencia de mecanismo por razonamiento físico. Sin medición ni fuente específica.</w:t>
      </w:r>
    </w:p>
    <w:p>
      <w:pPr>
        <w:pStyle w:val="Compact"/>
        <w:numPr>
          <w:ilvl w:val="0"/>
          <w:numId w:val="1332"/>
        </w:numPr>
      </w:pPr>
      <w:r>
        <w:rPr>
          <w:b/>
          <w:bCs/>
        </w:rPr>
        <w:t xml:space="preserve">V07→V04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34"/>
        </w:numPr>
      </w:pPr>
      <w:r>
        <w:t xml:space="preserve">Razón del cero: La calibración no modifica el viento.</w:t>
      </w:r>
    </w:p>
    <w:p>
      <w:pPr>
        <w:pStyle w:val="Compact"/>
        <w:numPr>
          <w:ilvl w:val="1"/>
          <w:numId w:val="1334"/>
        </w:numPr>
      </w:pPr>
      <w:r>
        <w:t xml:space="preserve">Fundamento: Premisa P-0: no existe mecanismo físico, informático ni institucional que conecte V07 con V04 dentro de la frontera y el horizonte declarados.</w:t>
      </w:r>
    </w:p>
    <w:p>
      <w:pPr>
        <w:pStyle w:val="Compact"/>
        <w:numPr>
          <w:ilvl w:val="1"/>
          <w:numId w:val="1334"/>
        </w:numPr>
      </w:pPr>
      <w:r>
        <w:t xml:space="preserve">Justificación del valor: Se asigna 0 porque la calibración no modifica el viento.</w:t>
      </w:r>
    </w:p>
    <w:p>
      <w:pPr>
        <w:pStyle w:val="Compact"/>
        <w:numPr>
          <w:ilvl w:val="1"/>
          <w:numId w:val="1334"/>
        </w:numPr>
      </w:pPr>
      <w:r>
        <w:t xml:space="preserve">Ancla comparada: ANC-0 (ver F4.4.2).</w:t>
      </w:r>
    </w:p>
    <w:p>
      <w:pPr>
        <w:pStyle w:val="Compact"/>
        <w:numPr>
          <w:ilvl w:val="1"/>
          <w:numId w:val="1334"/>
        </w:numPr>
      </w:pPr>
      <w:r>
        <w:t xml:space="preserve">Explicación rival: Ninguna alternativa plausible dentro de la frontera.</w:t>
      </w:r>
    </w:p>
    <w:p>
      <w:pPr>
        <w:pStyle w:val="Compact"/>
        <w:numPr>
          <w:ilvl w:val="1"/>
          <w:numId w:val="1334"/>
        </w:numPr>
      </w:pPr>
      <w:r>
        <w:t xml:space="preserve">Mediadores del modelo: ninguno</w:t>
      </w:r>
    </w:p>
    <w:p>
      <w:pPr>
        <w:pStyle w:val="Compact"/>
        <w:numPr>
          <w:ilvl w:val="1"/>
          <w:numId w:val="1334"/>
        </w:numPr>
      </w:pPr>
      <w:r>
        <w:t xml:space="preserve">Motivo de la confianza: Ausencia de mecanismo por razonamiento físico. Sin medición ni fuente específica.</w:t>
      </w:r>
    </w:p>
    <w:bookmarkEnd w:id="701"/>
    <w:bookmarkStart w:id="705" w:name="X945c2a7d702d0316eeac1ffa170c22ce66305b3"/>
    <w:p>
      <w:pPr>
        <w:pStyle w:val="Heading2"/>
      </w:pPr>
      <w:r>
        <w:t xml:space="preserve">Anexo L. JSON canónico de los árboles A-DEC, A-TDC y A-PROB</w:t>
      </w:r>
    </w:p>
    <w:p>
      <w:pPr>
        <w:pStyle w:val="FirstParagraph"/>
      </w:pPr>
      <w:r>
        <w:t xml:space="preserve">Los tres árboles se regeneran con la herramienta de referencia a partir de su JSON canónico. El texto de cada bloque coincide con el del archivo correspondiente del repositorio.</w:t>
      </w:r>
    </w:p>
    <w:bookmarkStart w:id="702" w:name="X3c6e38f6b4aa4013e809ed4e60c3e767a3be08f"/>
    <w:p>
      <w:pPr>
        <w:pStyle w:val="Heading3"/>
      </w:pPr>
      <w:r>
        <w:t xml:space="preserve">L.1 JSON canónico del árbol A-DEC (ARBOL_1_SGR_CONV56_AIRE.json)</w:t>
      </w:r>
    </w:p>
    <w:p>
      <w:pPr>
        <w:pStyle w:val="SourceCode"/>
      </w:pPr>
      <w:r>
        <w:rPr>
          <w:rStyle w:val="VerbatimChar"/>
        </w:rPr>
        <w:t xml:space="preserve">{</w:t>
      </w:r>
      <w:r>
        <w:br/>
      </w:r>
      <w:r>
        <w:rPr>
          <w:rStyle w:val="VerbatimChar"/>
        </w:rPr>
        <w:t xml:space="preserve"> "tipo": "DECISION",</w:t>
      </w:r>
      <w:r>
        <w:br/>
      </w:r>
      <w:r>
        <w:rPr>
          <w:rStyle w:val="VerbatimChar"/>
        </w:rPr>
        <w:t xml:space="preserve"> "rol": "A-DEC",</w:t>
      </w:r>
      <w:r>
        <w:br/>
      </w:r>
      <w:r>
        <w:rPr>
          <w:rStyle w:val="VerbatimChar"/>
        </w:rPr>
        <w:t xml:space="preserve"> "titulo": "A-DEC: estrategia de resolución y custodia posproyecto de la red de vigilancia de material particulado",</w:t>
      </w:r>
      <w:r>
        <w:br/>
      </w:r>
      <w:r>
        <w:rPr>
          <w:rStyle w:val="VerbatimChar"/>
        </w:rPr>
        <w:t xml:space="preserve"> "naturaleza": "PROPUESTO",</w:t>
      </w:r>
      <w:r>
        <w:br/>
      </w:r>
      <w:r>
        <w:rPr>
          <w:rStyle w:val="VerbatimChar"/>
        </w:rPr>
        <w:t xml:space="preserve"> "fuente": "Sección 4.4 (escenario S2), E3-P00 a E3-P21 y MDR v3.0; probabilidades y utilidades no declaradas",</w:t>
      </w:r>
      <w:r>
        <w:br/>
      </w:r>
      <w:r>
        <w:rPr>
          <w:rStyle w:val="VerbatimChar"/>
        </w:rPr>
        <w:t xml:space="preserve"> "pregunta": "¿Qué estrategia adopta el proyecto: no intervenir, transferir a un receptor público único o desplegar por tramos con custodia distribuida?",</w:t>
      </w:r>
      <w:r>
        <w:br/>
      </w:r>
      <w:r>
        <w:rPr>
          <w:rStyle w:val="VerbatimChar"/>
        </w:rPr>
        <w:t xml:space="preserve"> "descripcion": "Árbol de decisión cualitativo con tres alternativas: R0 sin intervención, R3 transferencia al receptor público único y R4 despliegue por tramos bajo la premisa de diseño sin receptor público único. Cuatro supuestos críticos en cadena: SC-1 medición, SC-2 energía y enlace, SC-3 uso institucional y SC-4 custodia. Los resultados indican el nivel de la cadena alcanzado. Sin probabilidades ni utilidades declaradas, el valor esperado es NO_CALCULABLE y no se marca ninguna rama elegida.",</w:t>
      </w:r>
      <w:r>
        <w:br/>
      </w:r>
      <w:r>
        <w:rPr>
          <w:rStyle w:val="VerbatimChar"/>
        </w:rPr>
        <w:t xml:space="preserve"> "raiz": {</w:t>
      </w:r>
      <w:r>
        <w:br/>
      </w:r>
      <w:r>
        <w:rPr>
          <w:rStyle w:val="VerbatimChar"/>
        </w:rPr>
        <w:t xml:space="preserve">  "id": "D1",</w:t>
      </w:r>
      <w:r>
        <w:br/>
      </w:r>
      <w:r>
        <w:rPr>
          <w:rStyle w:val="VerbatimChar"/>
        </w:rPr>
        <w:t xml:space="preserve">  "tipo": "DECISION",</w:t>
      </w:r>
      <w:r>
        <w:br/>
      </w:r>
      <w:r>
        <w:rPr>
          <w:rStyle w:val="VerbatimChar"/>
        </w:rPr>
        <w:t xml:space="preserve">  "etiqueta": "Estrategia de resolución y custodia",</w:t>
      </w:r>
      <w:r>
        <w:br/>
      </w:r>
      <w:r>
        <w:rPr>
          <w:rStyle w:val="VerbatimChar"/>
        </w:rPr>
        <w:t xml:space="preserve">  "hijos": [</w:t>
      </w:r>
      <w:r>
        <w:br/>
      </w:r>
      <w:r>
        <w:rPr>
          <w:rStyle w:val="VerbatimChar"/>
        </w:rPr>
        <w:t xml:space="preserve">   {</w:t>
      </w:r>
      <w:r>
        <w:br/>
      </w:r>
      <w:r>
        <w:rPr>
          <w:rStyle w:val="VerbatimChar"/>
        </w:rPr>
        <w:t xml:space="preserve">    "rama": "R4 Despliegue por tramos con piloto de contraste y custodia distribuida",</w:t>
      </w:r>
      <w:r>
        <w:br/>
      </w:r>
      <w:r>
        <w:rPr>
          <w:rStyle w:val="VerbatimChar"/>
        </w:rPr>
        <w:t xml:space="preserve">    "nodo": {</w:t>
      </w:r>
      <w:r>
        <w:br/>
      </w:r>
      <w:r>
        <w:rPr>
          <w:rStyle w:val="VerbatimChar"/>
        </w:rPr>
        <w:t xml:space="preserve">     "id": "A1",</w:t>
      </w:r>
      <w:r>
        <w:br/>
      </w:r>
      <w:r>
        <w:rPr>
          <w:rStyle w:val="VerbatimChar"/>
        </w:rPr>
        <w:t xml:space="preserve">     "tipo": "AZAR",</w:t>
      </w:r>
      <w:r>
        <w:br/>
      </w:r>
      <w:r>
        <w:rPr>
          <w:rStyle w:val="VerbatimChar"/>
        </w:rPr>
        <w:t xml:space="preserve">     "supuesto": "SC-1",</w:t>
      </w:r>
      <w:r>
        <w:br/>
      </w:r>
      <w:r>
        <w:rPr>
          <w:rStyle w:val="VerbatimChar"/>
        </w:rPr>
        <w:t xml:space="preserve">     "etiqueta": "Medición: la corrección local reduce el error frente a la lectura sin corrección dinámica",</w:t>
      </w:r>
      <w:r>
        <w:br/>
      </w:r>
      <w:r>
        <w:rPr>
          <w:rStyle w:val="VerbatimChar"/>
        </w:rPr>
        <w:t xml:space="preserve">     "hijos": [</w:t>
      </w:r>
      <w:r>
        <w:br/>
      </w:r>
      <w:r>
        <w:rPr>
          <w:rStyle w:val="VerbatimChar"/>
        </w:rPr>
        <w:t xml:space="preserve">      {</w:t>
      </w:r>
      <w:r>
        <w:br/>
      </w:r>
      <w:r>
        <w:rPr>
          <w:rStyle w:val="VerbatimChar"/>
        </w:rPr>
        <w:t xml:space="preserve">       "rama": "SC-1 se cumple",</w:t>
      </w:r>
      <w:r>
        <w:br/>
      </w:r>
      <w:r>
        <w:rPr>
          <w:rStyle w:val="VerbatimChar"/>
        </w:rPr>
        <w:t xml:space="preserve">       "nodo": {</w:t>
      </w:r>
      <w:r>
        <w:br/>
      </w:r>
      <w:r>
        <w:rPr>
          <w:rStyle w:val="VerbatimChar"/>
        </w:rPr>
        <w:t xml:space="preserve">        "id": "A2",</w:t>
      </w:r>
      <w:r>
        <w:br/>
      </w:r>
      <w:r>
        <w:rPr>
          <w:rStyle w:val="VerbatimChar"/>
        </w:rPr>
        <w:t xml:space="preserve">        "tipo": "AZAR",</w:t>
      </w:r>
      <w:r>
        <w:br/>
      </w:r>
      <w:r>
        <w:rPr>
          <w:rStyle w:val="VerbatimChar"/>
        </w:rPr>
        <w:t xml:space="preserve">        "supuesto": "SC-2",</w:t>
      </w:r>
      <w:r>
        <w:br/>
      </w:r>
      <w:r>
        <w:rPr>
          <w:rStyle w:val="VerbatimChar"/>
        </w:rPr>
        <w:t xml:space="preserve">        "etiqueta": "Energía y enlace: nodos activos suficientes bajo maquinaria y humedad",</w:t>
      </w:r>
      <w:r>
        <w:br/>
      </w:r>
      <w:r>
        <w:rPr>
          <w:rStyle w:val="VerbatimChar"/>
        </w:rPr>
        <w:t xml:space="preserve">        "hijos": [</w:t>
      </w:r>
      <w:r>
        <w:br/>
      </w:r>
      <w:r>
        <w:rPr>
          <w:rStyle w:val="VerbatimChar"/>
        </w:rPr>
        <w:t xml:space="preserve">         {</w:t>
      </w:r>
      <w:r>
        <w:br/>
      </w:r>
      <w:r>
        <w:rPr>
          <w:rStyle w:val="VerbatimChar"/>
        </w:rPr>
        <w:t xml:space="preserve">          "rama": "SC-2 se cumple",</w:t>
      </w:r>
      <w:r>
        <w:br/>
      </w:r>
      <w:r>
        <w:rPr>
          <w:rStyle w:val="VerbatimChar"/>
        </w:rPr>
        <w:t xml:space="preserve">          "nodo": {</w:t>
      </w:r>
      <w:r>
        <w:br/>
      </w:r>
      <w:r>
        <w:rPr>
          <w:rStyle w:val="VerbatimChar"/>
        </w:rPr>
        <w:t xml:space="preserve">           "id": "A3",</w:t>
      </w:r>
      <w:r>
        <w:br/>
      </w:r>
      <w:r>
        <w:rPr>
          <w:rStyle w:val="VerbatimChar"/>
        </w:rPr>
        <w:t xml:space="preserve">           "tipo": "AZAR",</w:t>
      </w:r>
      <w:r>
        <w:br/>
      </w:r>
      <w:r>
        <w:rPr>
          <w:rStyle w:val="VerbatimChar"/>
        </w:rPr>
        <w:t xml:space="preserve">           "supuesto": "SC-3",</w:t>
      </w:r>
      <w:r>
        <w:br/>
      </w:r>
      <w:r>
        <w:rPr>
          <w:rStyle w:val="VerbatimChar"/>
        </w:rPr>
        <w:t xml:space="preserve">           "etiqueta": "Uso: autoridades adoptan umbrales de alerta validados en sus protocolos",</w:t>
      </w:r>
      <w:r>
        <w:br/>
      </w:r>
      <w:r>
        <w:rPr>
          <w:rStyle w:val="VerbatimChar"/>
        </w:rPr>
        <w:t xml:space="preserve">           "hijos": [</w:t>
      </w:r>
      <w:r>
        <w:br/>
      </w:r>
      <w:r>
        <w:rPr>
          <w:rStyle w:val="VerbatimChar"/>
        </w:rPr>
        <w:t xml:space="preserve">            {</w:t>
      </w:r>
      <w:r>
        <w:br/>
      </w:r>
      <w:r>
        <w:rPr>
          <w:rStyle w:val="VerbatimChar"/>
        </w:rPr>
        <w:t xml:space="preserve">             "rama": "SC-3 se cumple",</w:t>
      </w:r>
      <w:r>
        <w:br/>
      </w:r>
      <w:r>
        <w:rPr>
          <w:rStyle w:val="VerbatimChar"/>
        </w:rPr>
        <w:t xml:space="preserve">             "nodo": {</w:t>
      </w:r>
      <w:r>
        <w:br/>
      </w:r>
      <w:r>
        <w:rPr>
          <w:rStyle w:val="VerbatimChar"/>
        </w:rPr>
        <w:t xml:space="preserve">              "id": "A4",</w:t>
      </w:r>
      <w:r>
        <w:br/>
      </w:r>
      <w:r>
        <w:rPr>
          <w:rStyle w:val="VerbatimChar"/>
        </w:rPr>
        <w:t xml:space="preserve">              "tipo": "AZAR",</w:t>
      </w:r>
      <w:r>
        <w:br/>
      </w:r>
      <w:r>
        <w:rPr>
          <w:rStyle w:val="VerbatimChar"/>
        </w:rPr>
        <w:t xml:space="preserve">              "supuesto": "SC-4",</w:t>
      </w:r>
      <w:r>
        <w:br/>
      </w:r>
      <w:r>
        <w:rPr>
          <w:rStyle w:val="VerbatimChar"/>
        </w:rPr>
        <w:t xml:space="preserve">              "etiqueta": "Custodia: al menos un custodio por componente demuestra capacidad de absorción antes de cada tramo",</w:t>
      </w:r>
      <w:r>
        <w:br/>
      </w:r>
      <w:r>
        <w:rPr>
          <w:rStyle w:val="VerbatimChar"/>
        </w:rPr>
        <w:t xml:space="preserve">              "hijos": [</w:t>
      </w:r>
      <w:r>
        <w:br/>
      </w:r>
      <w:r>
        <w:rPr>
          <w:rStyle w:val="VerbatimChar"/>
        </w:rPr>
        <w:t xml:space="preserve">               {</w:t>
      </w:r>
      <w:r>
        <w:br/>
      </w:r>
      <w:r>
        <w:rPr>
          <w:rStyle w:val="VerbatimChar"/>
        </w:rPr>
        <w:t xml:space="preserve">                "rama": "SC-4 se cumple",</w:t>
      </w:r>
      <w:r>
        <w:br/>
      </w:r>
      <w:r>
        <w:rPr>
          <w:rStyle w:val="VerbatimChar"/>
        </w:rPr>
        <w:t xml:space="preserve">                "nodo": {</w:t>
      </w:r>
      <w:r>
        <w:br/>
      </w:r>
      <w:r>
        <w:rPr>
          <w:rStyle w:val="VerbatimChar"/>
        </w:rPr>
        <w:t xml:space="preserve">                 "id": "AT5",</w:t>
      </w:r>
      <w:r>
        <w:br/>
      </w:r>
      <w:r>
        <w:rPr>
          <w:rStyle w:val="VerbatimChar"/>
        </w:rPr>
        <w:t xml:space="preserve">                 "tipo": "TERMINAL",</w:t>
      </w:r>
      <w:r>
        <w:br/>
      </w:r>
      <w:r>
        <w:rPr>
          <w:rStyle w:val="VerbatimChar"/>
        </w:rPr>
        <w:t xml:space="preserve">                 "etiqueta": "Servicio de vigilancia sostenido con custodia distribuida; protección contribuida con otros actores",</w:t>
      </w:r>
      <w:r>
        <w:br/>
      </w:r>
      <w:r>
        <w:rPr>
          <w:rStyle w:val="VerbatimChar"/>
        </w:rPr>
        <w:t xml:space="preserve">                 "nivel_tdc": "IMPACTO",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"SC-4 falla",</w:t>
      </w:r>
      <w:r>
        <w:br/>
      </w:r>
      <w:r>
        <w:rPr>
          <w:rStyle w:val="VerbatimChar"/>
        </w:rPr>
        <w:t xml:space="preserve">                "nodo": {</w:t>
      </w:r>
      <w:r>
        <w:br/>
      </w:r>
      <w:r>
        <w:rPr>
          <w:rStyle w:val="VerbatimChar"/>
        </w:rPr>
        <w:t xml:space="preserve">                 "id": "AT4",</w:t>
      </w:r>
      <w:r>
        <w:br/>
      </w:r>
      <w:r>
        <w:rPr>
          <w:rStyle w:val="VerbatimChar"/>
        </w:rPr>
        <w:t xml:space="preserve">                 "tipo": "TERMINAL",</w:t>
      </w:r>
      <w:r>
        <w:br/>
      </w:r>
      <w:r>
        <w:rPr>
          <w:rStyle w:val="VerbatimChar"/>
        </w:rPr>
        <w:t xml:space="preserve">                 "etiqueta": "Uso institucional sin custodio demostrado; cláusula de apertura y servicio mínimo",</w:t>
      </w:r>
      <w:r>
        <w:br/>
      </w:r>
      <w:r>
        <w:rPr>
          <w:rStyle w:val="VerbatimChar"/>
        </w:rPr>
        <w:t xml:space="preserve">                 "nivel_tdc": "RESULTADO_INTERMEDIO",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"SC-3 falla",</w:t>
      </w:r>
      <w:r>
        <w:br/>
      </w:r>
      <w:r>
        <w:rPr>
          <w:rStyle w:val="VerbatimChar"/>
        </w:rPr>
        <w:t xml:space="preserve">             "nodo": {</w:t>
      </w:r>
      <w:r>
        <w:br/>
      </w:r>
      <w:r>
        <w:rPr>
          <w:rStyle w:val="VerbatimChar"/>
        </w:rPr>
        <w:t xml:space="preserve">              "id": "AT3",</w:t>
      </w:r>
      <w:r>
        <w:br/>
      </w:r>
      <w:r>
        <w:rPr>
          <w:rStyle w:val="VerbatimChar"/>
        </w:rPr>
        <w:t xml:space="preserve">              "tipo": "TERMINAL",</w:t>
      </w:r>
      <w:r>
        <w:br/>
      </w:r>
      <w:r>
        <w:rPr>
          <w:rStyle w:val="VerbatimChar"/>
        </w:rPr>
        <w:t xml:space="preserve">              "etiqueta": "Mediciones verificadas sin uso institucional; tramo siguiente condicionado a la adopción de umbrales",</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"SC-2 falla",</w:t>
      </w:r>
      <w:r>
        <w:br/>
      </w:r>
      <w:r>
        <w:rPr>
          <w:rStyle w:val="VerbatimChar"/>
        </w:rPr>
        <w:t xml:space="preserve">          "nodo": {</w:t>
      </w:r>
      <w:r>
        <w:br/>
      </w:r>
      <w:r>
        <w:rPr>
          <w:rStyle w:val="VerbatimChar"/>
        </w:rPr>
        <w:t xml:space="preserve">           "id": "AT2",</w:t>
      </w:r>
      <w:r>
        <w:br/>
      </w:r>
      <w:r>
        <w:rPr>
          <w:rStyle w:val="VerbatimChar"/>
        </w:rPr>
        <w:t xml:space="preserve">           "tipo": "TERMINAL",</w:t>
      </w:r>
      <w:r>
        <w:br/>
      </w:r>
      <w:r>
        <w:rPr>
          <w:rStyle w:val="VerbatimChar"/>
        </w:rPr>
        <w:t xml:space="preserve">           "etiqueta": "Error reducido y verificado, con cobertura insuficiente; rediseño del enlace o la energía antes del segundo tramo",</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"SC-1 falla",</w:t>
      </w:r>
      <w:r>
        <w:br/>
      </w:r>
      <w:r>
        <w:rPr>
          <w:rStyle w:val="VerbatimChar"/>
        </w:rPr>
        <w:t xml:space="preserve">       "nodo": {</w:t>
      </w:r>
      <w:r>
        <w:br/>
      </w:r>
      <w:r>
        <w:rPr>
          <w:rStyle w:val="VerbatimChar"/>
        </w:rPr>
        <w:t xml:space="preserve">        "id": "AT1",</w:t>
      </w:r>
      <w:r>
        <w:br/>
      </w:r>
      <w:r>
        <w:rPr>
          <w:rStyle w:val="VerbatimChar"/>
        </w:rPr>
        <w:t xml:space="preserve">        "tipo": "TERMINAL",</w:t>
      </w:r>
      <w:r>
        <w:br/>
      </w:r>
      <w:r>
        <w:rPr>
          <w:rStyle w:val="VerbatimChar"/>
        </w:rPr>
        <w:t xml:space="preserve">        "etiqueta": "Expansión detenida tras el piloto; inversión limitada al primer tramo; conocimiento negativo documentado",</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"R3 Red del E3 con transferencia a las alcaldías al mes 25 (receptor único)",</w:t>
      </w:r>
      <w:r>
        <w:br/>
      </w:r>
      <w:r>
        <w:rPr>
          <w:rStyle w:val="VerbatimChar"/>
        </w:rPr>
        <w:t xml:space="preserve">    "nodo": {</w:t>
      </w:r>
      <w:r>
        <w:br/>
      </w:r>
      <w:r>
        <w:rPr>
          <w:rStyle w:val="VerbatimChar"/>
        </w:rPr>
        <w:t xml:space="preserve">     "id": "B1",</w:t>
      </w:r>
      <w:r>
        <w:br/>
      </w:r>
      <w:r>
        <w:rPr>
          <w:rStyle w:val="VerbatimChar"/>
        </w:rPr>
        <w:t xml:space="preserve">     "tipo": "AZAR",</w:t>
      </w:r>
      <w:r>
        <w:br/>
      </w:r>
      <w:r>
        <w:rPr>
          <w:rStyle w:val="VerbatimChar"/>
        </w:rPr>
        <w:t xml:space="preserve">     "supuesto": "SC-1",</w:t>
      </w:r>
      <w:r>
        <w:br/>
      </w:r>
      <w:r>
        <w:rPr>
          <w:rStyle w:val="VerbatimChar"/>
        </w:rPr>
        <w:t xml:space="preserve">     "etiqueta": "Medición: la corrección local reduce el error frente a la lectura sin corrección dinámica",</w:t>
      </w:r>
      <w:r>
        <w:br/>
      </w:r>
      <w:r>
        <w:rPr>
          <w:rStyle w:val="VerbatimChar"/>
        </w:rPr>
        <w:t xml:space="preserve">     "hijos": [</w:t>
      </w:r>
      <w:r>
        <w:br/>
      </w:r>
      <w:r>
        <w:rPr>
          <w:rStyle w:val="VerbatimChar"/>
        </w:rPr>
        <w:t xml:space="preserve">      {</w:t>
      </w:r>
      <w:r>
        <w:br/>
      </w:r>
      <w:r>
        <w:rPr>
          <w:rStyle w:val="VerbatimChar"/>
        </w:rPr>
        <w:t xml:space="preserve">       "rama": "SC-1 se cumple",</w:t>
      </w:r>
      <w:r>
        <w:br/>
      </w:r>
      <w:r>
        <w:rPr>
          <w:rStyle w:val="VerbatimChar"/>
        </w:rPr>
        <w:t xml:space="preserve">       "nodo": {</w:t>
      </w:r>
      <w:r>
        <w:br/>
      </w:r>
      <w:r>
        <w:rPr>
          <w:rStyle w:val="VerbatimChar"/>
        </w:rPr>
        <w:t xml:space="preserve">        "id": "B2",</w:t>
      </w:r>
      <w:r>
        <w:br/>
      </w:r>
      <w:r>
        <w:rPr>
          <w:rStyle w:val="VerbatimChar"/>
        </w:rPr>
        <w:t xml:space="preserve">        "tipo": "AZAR",</w:t>
      </w:r>
      <w:r>
        <w:br/>
      </w:r>
      <w:r>
        <w:rPr>
          <w:rStyle w:val="VerbatimChar"/>
        </w:rPr>
        <w:t xml:space="preserve">        "supuesto": "SC-2",</w:t>
      </w:r>
      <w:r>
        <w:br/>
      </w:r>
      <w:r>
        <w:rPr>
          <w:rStyle w:val="VerbatimChar"/>
        </w:rPr>
        <w:t xml:space="preserve">        "etiqueta": "Energía y enlace: nodos activos suficientes bajo maquinaria y humedad",</w:t>
      </w:r>
      <w:r>
        <w:br/>
      </w:r>
      <w:r>
        <w:rPr>
          <w:rStyle w:val="VerbatimChar"/>
        </w:rPr>
        <w:t xml:space="preserve">        "hijos": [</w:t>
      </w:r>
      <w:r>
        <w:br/>
      </w:r>
      <w:r>
        <w:rPr>
          <w:rStyle w:val="VerbatimChar"/>
        </w:rPr>
        <w:t xml:space="preserve">         {</w:t>
      </w:r>
      <w:r>
        <w:br/>
      </w:r>
      <w:r>
        <w:rPr>
          <w:rStyle w:val="VerbatimChar"/>
        </w:rPr>
        <w:t xml:space="preserve">          "rama": "SC-2 se cumple",</w:t>
      </w:r>
      <w:r>
        <w:br/>
      </w:r>
      <w:r>
        <w:rPr>
          <w:rStyle w:val="VerbatimChar"/>
        </w:rPr>
        <w:t xml:space="preserve">          "nodo": {</w:t>
      </w:r>
      <w:r>
        <w:br/>
      </w:r>
      <w:r>
        <w:rPr>
          <w:rStyle w:val="VerbatimChar"/>
        </w:rPr>
        <w:t xml:space="preserve">           "id": "B3",</w:t>
      </w:r>
      <w:r>
        <w:br/>
      </w:r>
      <w:r>
        <w:rPr>
          <w:rStyle w:val="VerbatimChar"/>
        </w:rPr>
        <w:t xml:space="preserve">           "tipo": "AZAR",</w:t>
      </w:r>
      <w:r>
        <w:br/>
      </w:r>
      <w:r>
        <w:rPr>
          <w:rStyle w:val="VerbatimChar"/>
        </w:rPr>
        <w:t xml:space="preserve">           "supuesto": "SC-3",</w:t>
      </w:r>
      <w:r>
        <w:br/>
      </w:r>
      <w:r>
        <w:rPr>
          <w:rStyle w:val="VerbatimChar"/>
        </w:rPr>
        <w:t xml:space="preserve">           "etiqueta": "Uso: autoridades adoptan umbrales de alerta validados en sus protocolos",</w:t>
      </w:r>
      <w:r>
        <w:br/>
      </w:r>
      <w:r>
        <w:rPr>
          <w:rStyle w:val="VerbatimChar"/>
        </w:rPr>
        <w:t xml:space="preserve">           "hijos": [</w:t>
      </w:r>
      <w:r>
        <w:br/>
      </w:r>
      <w:r>
        <w:rPr>
          <w:rStyle w:val="VerbatimChar"/>
        </w:rPr>
        <w:t xml:space="preserve">            {</w:t>
      </w:r>
      <w:r>
        <w:br/>
      </w:r>
      <w:r>
        <w:rPr>
          <w:rStyle w:val="VerbatimChar"/>
        </w:rPr>
        <w:t xml:space="preserve">             "rama": "SC-3 se cumple",</w:t>
      </w:r>
      <w:r>
        <w:br/>
      </w:r>
      <w:r>
        <w:rPr>
          <w:rStyle w:val="VerbatimChar"/>
        </w:rPr>
        <w:t xml:space="preserve">             "nodo": {</w:t>
      </w:r>
      <w:r>
        <w:br/>
      </w:r>
      <w:r>
        <w:rPr>
          <w:rStyle w:val="VerbatimChar"/>
        </w:rPr>
        <w:t xml:space="preserve">              "id": "B4",</w:t>
      </w:r>
      <w:r>
        <w:br/>
      </w:r>
      <w:r>
        <w:rPr>
          <w:rStyle w:val="VerbatimChar"/>
        </w:rPr>
        <w:t xml:space="preserve">              "tipo": "AZAR",</w:t>
      </w:r>
      <w:r>
        <w:br/>
      </w:r>
      <w:r>
        <w:rPr>
          <w:rStyle w:val="VerbatimChar"/>
        </w:rPr>
        <w:t xml:space="preserve">              "supuesto": "SC-4",</w:t>
      </w:r>
      <w:r>
        <w:br/>
      </w:r>
      <w:r>
        <w:rPr>
          <w:rStyle w:val="VerbatimChar"/>
        </w:rPr>
        <w:t xml:space="preserve">              "etiqueta": "Custodia: al menos un custodio por componente demuestra capacidad de absorción antes de cada tramo",</w:t>
      </w:r>
      <w:r>
        <w:br/>
      </w:r>
      <w:r>
        <w:rPr>
          <w:rStyle w:val="VerbatimChar"/>
        </w:rPr>
        <w:t xml:space="preserve">              "hijos": [</w:t>
      </w:r>
      <w:r>
        <w:br/>
      </w:r>
      <w:r>
        <w:rPr>
          <w:rStyle w:val="VerbatimChar"/>
        </w:rPr>
        <w:t xml:space="preserve">               {</w:t>
      </w:r>
      <w:r>
        <w:br/>
      </w:r>
      <w:r>
        <w:rPr>
          <w:rStyle w:val="VerbatimChar"/>
        </w:rPr>
        <w:t xml:space="preserve">                "rama": "SC-4 se cumple",</w:t>
      </w:r>
      <w:r>
        <w:br/>
      </w:r>
      <w:r>
        <w:rPr>
          <w:rStyle w:val="VerbatimChar"/>
        </w:rPr>
        <w:t xml:space="preserve">                "nodo": {</w:t>
      </w:r>
      <w:r>
        <w:br/>
      </w:r>
      <w:r>
        <w:rPr>
          <w:rStyle w:val="VerbatimChar"/>
        </w:rPr>
        <w:t xml:space="preserve">                 "id": "BT5",</w:t>
      </w:r>
      <w:r>
        <w:br/>
      </w:r>
      <w:r>
        <w:rPr>
          <w:rStyle w:val="VerbatimChar"/>
        </w:rPr>
        <w:t xml:space="preserve">                 "tipo": "TERMINAL",</w:t>
      </w:r>
      <w:r>
        <w:br/>
      </w:r>
      <w:r>
        <w:rPr>
          <w:rStyle w:val="VerbatimChar"/>
        </w:rPr>
        <w:t xml:space="preserve">                 "etiqueta": "Servicio continuado con receptor público único; protección contribuida con otros actores",</w:t>
      </w:r>
      <w:r>
        <w:br/>
      </w:r>
      <w:r>
        <w:rPr>
          <w:rStyle w:val="VerbatimChar"/>
        </w:rPr>
        <w:t xml:space="preserve">                 "nivel_tdc": "IMPACTO",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"SC-4 falla",</w:t>
      </w:r>
      <w:r>
        <w:br/>
      </w:r>
      <w:r>
        <w:rPr>
          <w:rStyle w:val="VerbatimChar"/>
        </w:rPr>
        <w:t xml:space="preserve">                "nodo": {</w:t>
      </w:r>
      <w:r>
        <w:br/>
      </w:r>
      <w:r>
        <w:rPr>
          <w:rStyle w:val="VerbatimChar"/>
        </w:rPr>
        <w:t xml:space="preserve">                 "id": "BT4",</w:t>
      </w:r>
      <w:r>
        <w:br/>
      </w:r>
      <w:r>
        <w:rPr>
          <w:rStyle w:val="VerbatimChar"/>
        </w:rPr>
        <w:t xml:space="preserve">                 "tipo": "TERMINAL",</w:t>
      </w:r>
      <w:r>
        <w:br/>
      </w:r>
      <w:r>
        <w:rPr>
          <w:rStyle w:val="VerbatimChar"/>
        </w:rPr>
        <w:t xml:space="preserve">                 "etiqueta": "Orfandad después del mes 24: la red queda sin receptor que la opere",</w:t>
      </w:r>
      <w:r>
        <w:br/>
      </w:r>
      <w:r>
        <w:rPr>
          <w:rStyle w:val="VerbatimChar"/>
        </w:rPr>
        <w:t xml:space="preserve">                 "nivel_tdc": "RESULTADO_INTERMEDIO",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"SC-3 falla",</w:t>
      </w:r>
      <w:r>
        <w:br/>
      </w:r>
      <w:r>
        <w:rPr>
          <w:rStyle w:val="VerbatimChar"/>
        </w:rPr>
        <w:t xml:space="preserve">             "nodo": {</w:t>
      </w:r>
      <w:r>
        <w:br/>
      </w:r>
      <w:r>
        <w:rPr>
          <w:rStyle w:val="VerbatimChar"/>
        </w:rPr>
        <w:t xml:space="preserve">              "id": "BT3",</w:t>
      </w:r>
      <w:r>
        <w:br/>
      </w:r>
      <w:r>
        <w:rPr>
          <w:rStyle w:val="VerbatimChar"/>
        </w:rPr>
        <w:t xml:space="preserve">              "tipo": "TERMINAL",</w:t>
      </w:r>
      <w:r>
        <w:br/>
      </w:r>
      <w:r>
        <w:rPr>
          <w:rStyle w:val="VerbatimChar"/>
        </w:rPr>
        <w:t xml:space="preserve">              "etiqueta": "Mediciones sin uso institucional con la inversión completa realizada",</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"SC-2 falla",</w:t>
      </w:r>
      <w:r>
        <w:br/>
      </w:r>
      <w:r>
        <w:rPr>
          <w:rStyle w:val="VerbatimChar"/>
        </w:rPr>
        <w:t xml:space="preserve">          "nodo": {</w:t>
      </w:r>
      <w:r>
        <w:br/>
      </w:r>
      <w:r>
        <w:rPr>
          <w:rStyle w:val="VerbatimChar"/>
        </w:rPr>
        <w:t xml:space="preserve">           "id": "BT2",</w:t>
      </w:r>
      <w:r>
        <w:br/>
      </w:r>
      <w:r>
        <w:rPr>
          <w:rStyle w:val="VerbatimChar"/>
        </w:rPr>
        <w:t xml:space="preserve">           "tipo": "TERMINAL",</w:t>
      </w:r>
      <w:r>
        <w:br/>
      </w:r>
      <w:r>
        <w:rPr>
          <w:rStyle w:val="VerbatimChar"/>
        </w:rPr>
        <w:t xml:space="preserve">           "etiqueta": "Red parcialmente inoperante con la inversión completa realizada",</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"SC-1 falla",</w:t>
      </w:r>
      <w:r>
        <w:br/>
      </w:r>
      <w:r>
        <w:rPr>
          <w:rStyle w:val="VerbatimChar"/>
        </w:rPr>
        <w:t xml:space="preserve">       "nodo": {</w:t>
      </w:r>
      <w:r>
        <w:br/>
      </w:r>
      <w:r>
        <w:rPr>
          <w:rStyle w:val="VerbatimChar"/>
        </w:rPr>
        <w:t xml:space="preserve">        "id": "BT1",</w:t>
      </w:r>
      <w:r>
        <w:br/>
      </w:r>
      <w:r>
        <w:rPr>
          <w:rStyle w:val="VerbatimChar"/>
        </w:rPr>
        <w:t xml:space="preserve">        "tipo": "TERMINAL",</w:t>
      </w:r>
      <w:r>
        <w:br/>
      </w:r>
      <w:r>
        <w:rPr>
          <w:rStyle w:val="VerbatimChar"/>
        </w:rPr>
        <w:t xml:space="preserve">        "etiqueta": "Inversión completa comprometida sin evidencia de reducción del error; red desplegada",</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"R0 Sin intervención del proyecto",</w:t>
      </w:r>
      <w:r>
        <w:br/>
      </w:r>
      <w:r>
        <w:rPr>
          <w:rStyle w:val="VerbatimChar"/>
        </w:rPr>
        <w:t xml:space="preserve">    "nodo": {</w:t>
      </w:r>
      <w:r>
        <w:br/>
      </w:r>
      <w:r>
        <w:rPr>
          <w:rStyle w:val="VerbatimChar"/>
        </w:rPr>
        <w:t xml:space="preserve">     "id": "C0",</w:t>
      </w:r>
      <w:r>
        <w:br/>
      </w:r>
      <w:r>
        <w:rPr>
          <w:rStyle w:val="VerbatimChar"/>
        </w:rPr>
        <w:t xml:space="preserve">     "tipo": "TERMINAL",</w:t>
      </w:r>
      <w:r>
        <w:br/>
      </w:r>
      <w:r>
        <w:rPr>
          <w:rStyle w:val="VerbatimChar"/>
        </w:rPr>
        <w:t xml:space="preserve">     "etiqueta": "Se mantiene la línea base: sensores aislados sin corrección dinámica ni custodia",</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702"/>
    <w:bookmarkStart w:id="703" w:name="X18c000bed8049b9fb087dc8d35a274ef755bdcb"/>
    <w:p>
      <w:pPr>
        <w:pStyle w:val="Heading3"/>
      </w:pPr>
      <w:r>
        <w:t xml:space="preserve">L.2 JSON canónico del árbol A-TDC (ARBOL_4_SGR_CONV56_AIRE.json)</w:t>
      </w:r>
    </w:p>
    <w:p>
      <w:pPr>
        <w:pStyle w:val="SourceCode"/>
      </w:pPr>
      <w:r>
        <w:rPr>
          <w:rStyle w:val="VerbatimChar"/>
        </w:rPr>
        <w:t xml:space="preserve">{</w:t>
      </w:r>
      <w:r>
        <w:br/>
      </w:r>
      <w:r>
        <w:rPr>
          <w:rStyle w:val="VerbatimChar"/>
        </w:rPr>
        <w:t xml:space="preserve"> "tipo": "TDC",</w:t>
      </w:r>
      <w:r>
        <w:br/>
      </w:r>
      <w:r>
        <w:rPr>
          <w:rStyle w:val="VerbatimChar"/>
        </w:rPr>
        <w:t xml:space="preserve"> "rol": "A-TDC",</w:t>
      </w:r>
      <w:r>
        <w:br/>
      </w:r>
      <w:r>
        <w:rPr>
          <w:rStyle w:val="VerbatimChar"/>
        </w:rPr>
        <w:t xml:space="preserve"> "nivel_detalle": "EJECUTIVA",</w:t>
      </w:r>
      <w:r>
        <w:br/>
      </w:r>
      <w:r>
        <w:rPr>
          <w:rStyle w:val="VerbatimChar"/>
        </w:rPr>
        <w:t xml:space="preserve"> "titulo": "A-TDC: teoría del cambio de la red de vigilancia con custodia distribuida",</w:t>
      </w:r>
      <w:r>
        <w:br/>
      </w:r>
      <w:r>
        <w:rPr>
          <w:rStyle w:val="VerbatimChar"/>
        </w:rPr>
        <w:t xml:space="preserve"> "naturaleza": "PROPUESTO",</w:t>
      </w:r>
      <w:r>
        <w:br/>
      </w:r>
      <w:r>
        <w:rPr>
          <w:rStyle w:val="VerbatimChar"/>
        </w:rPr>
        <w:t xml:space="preserve"> "fuente": "Sección 4.4 (S2), E3-P00 a E3-P21 y MDR v3.0",</w:t>
      </w:r>
      <w:r>
        <w:br/>
      </w:r>
      <w:r>
        <w:rPr>
          <w:rStyle w:val="VerbatimChar"/>
        </w:rPr>
        <w:t xml:space="preserve"> "pregunta": "¿Qué cadena causal lleva de los productos del proyecto a la protección de operarios y comunidades, y dónde termina la rendición de cuentas?",</w:t>
      </w:r>
      <w:r>
        <w:br/>
      </w:r>
      <w:r>
        <w:rPr>
          <w:rStyle w:val="VerbatimChar"/>
        </w:rPr>
        <w:t xml:space="preserve"> "descripcion": "Teoría del cambio de cuatro niveles y once resultados. Los productos y resultados inmediatos quedan bajo control del proyecto; los resultados intermedios y el impacto dependen de otros actores. Cuatro supuestos SC-1 a SC-4 rotulan las flechas críticas. La retroalimentación del uso institucional hacia los acuerdos de custodia representa el bucle de demanda. El panel declara dominio, arquitectura, efectos y riesgo de desajuste.",</w:t>
      </w:r>
      <w:r>
        <w:br/>
      </w:r>
      <w:r>
        <w:rPr>
          <w:rStyle w:val="VerbatimChar"/>
        </w:rPr>
        <w:t xml:space="preserve"> "niveles": [</w:t>
      </w:r>
      <w:r>
        <w:br/>
      </w:r>
      <w:r>
        <w:rPr>
          <w:rStyle w:val="VerbatimChar"/>
        </w:rPr>
        <w:t xml:space="preserve">  "Productos",</w:t>
      </w:r>
      <w:r>
        <w:br/>
      </w:r>
      <w:r>
        <w:rPr>
          <w:rStyle w:val="VerbatimChar"/>
        </w:rPr>
        <w:t xml:space="preserve">  "Resultados inmediatos",</w:t>
      </w:r>
      <w:r>
        <w:br/>
      </w:r>
      <w:r>
        <w:rPr>
          <w:rStyle w:val="VerbatimChar"/>
        </w:rPr>
        <w:t xml:space="preserve">  "Resultados intermedios",</w:t>
      </w:r>
      <w:r>
        <w:br/>
      </w:r>
      <w:r>
        <w:rPr>
          <w:rStyle w:val="VerbatimChar"/>
        </w:rPr>
        <w:t xml:space="preserve">  "Impacto"</w:t>
      </w:r>
      <w:r>
        <w:br/>
      </w:r>
      <w:r>
        <w:rPr>
          <w:rStyle w:val="VerbatimChar"/>
        </w:rPr>
        <w:t xml:space="preserve"> ],</w:t>
      </w:r>
      <w:r>
        <w:br/>
      </w:r>
      <w:r>
        <w:rPr>
          <w:rStyle w:val="VerbatimChar"/>
        </w:rPr>
        <w:t xml:space="preserve"> "techo_despues_de": 1,</w:t>
      </w:r>
      <w:r>
        <w:br/>
      </w:r>
      <w:r>
        <w:rPr>
          <w:rStyle w:val="VerbatimChar"/>
        </w:rPr>
        <w:t xml:space="preserve"> "nodos": [</w:t>
      </w:r>
      <w:r>
        <w:br/>
      </w:r>
      <w:r>
        <w:rPr>
          <w:rStyle w:val="VerbatimChar"/>
        </w:rPr>
        <w:t xml:space="preserve">  {</w:t>
      </w:r>
      <w:r>
        <w:br/>
      </w:r>
      <w:r>
        <w:rPr>
          <w:rStyle w:val="VerbatimChar"/>
        </w:rPr>
        <w:t xml:space="preserve">   "id": "P1",</w:t>
      </w:r>
      <w:r>
        <w:br/>
      </w:r>
      <w:r>
        <w:rPr>
          <w:rStyle w:val="VerbatimChar"/>
        </w:rPr>
        <w:t xml:space="preserve">   "nivel": 0,</w:t>
      </w:r>
      <w:r>
        <w:br/>
      </w:r>
      <w:r>
        <w:rPr>
          <w:rStyle w:val="VerbatimChar"/>
        </w:rPr>
        <w:t xml:space="preserve">   "texto": "Red de nodos con corrección local desplegada y repuestos disponibles"</w:t>
      </w:r>
      <w:r>
        <w:br/>
      </w:r>
      <w:r>
        <w:rPr>
          <w:rStyle w:val="VerbatimChar"/>
        </w:rPr>
        <w:t xml:space="preserve">  },</w:t>
      </w:r>
      <w:r>
        <w:br/>
      </w:r>
      <w:r>
        <w:rPr>
          <w:rStyle w:val="VerbatimChar"/>
        </w:rPr>
        <w:t xml:space="preserve">  {</w:t>
      </w:r>
      <w:r>
        <w:br/>
      </w:r>
      <w:r>
        <w:rPr>
          <w:rStyle w:val="VerbatimChar"/>
        </w:rPr>
        <w:t xml:space="preserve">   "id": "P2",</w:t>
      </w:r>
      <w:r>
        <w:br/>
      </w:r>
      <w:r>
        <w:rPr>
          <w:rStyle w:val="VerbatimChar"/>
        </w:rPr>
        <w:t xml:space="preserve">   "nivel": 0,</w:t>
      </w:r>
      <w:r>
        <w:br/>
      </w:r>
      <w:r>
        <w:rPr>
          <w:rStyle w:val="VerbatimChar"/>
        </w:rPr>
        <w:t xml:space="preserve">   "texto": "Referencia gravimétrica, protocolo de calibración y sorteo semanal en operación"</w:t>
      </w:r>
      <w:r>
        <w:br/>
      </w:r>
      <w:r>
        <w:rPr>
          <w:rStyle w:val="VerbatimChar"/>
        </w:rPr>
        <w:t xml:space="preserve">  },</w:t>
      </w:r>
      <w:r>
        <w:br/>
      </w:r>
      <w:r>
        <w:rPr>
          <w:rStyle w:val="VerbatimChar"/>
        </w:rPr>
        <w:t xml:space="preserve">  {</w:t>
      </w:r>
      <w:r>
        <w:br/>
      </w:r>
      <w:r>
        <w:rPr>
          <w:rStyle w:val="VerbatimChar"/>
        </w:rPr>
        <w:t xml:space="preserve">   "id": "P3",</w:t>
      </w:r>
      <w:r>
        <w:br/>
      </w:r>
      <w:r>
        <w:rPr>
          <w:rStyle w:val="VerbatimChar"/>
        </w:rPr>
        <w:t xml:space="preserve">   "nivel": 0,</w:t>
      </w:r>
      <w:r>
        <w:br/>
      </w:r>
      <w:r>
        <w:rPr>
          <w:rStyle w:val="VerbatimChar"/>
        </w:rPr>
        <w:t xml:space="preserve">   "texto": "Gemelo digital y tablero con umbrales de alerta propuestos"</w:t>
      </w:r>
      <w:r>
        <w:br/>
      </w:r>
      <w:r>
        <w:rPr>
          <w:rStyle w:val="VerbatimChar"/>
        </w:rPr>
        <w:t xml:space="preserve">  },</w:t>
      </w:r>
      <w:r>
        <w:br/>
      </w:r>
      <w:r>
        <w:rPr>
          <w:rStyle w:val="VerbatimChar"/>
        </w:rPr>
        <w:t xml:space="preserve">  {</w:t>
      </w:r>
      <w:r>
        <w:br/>
      </w:r>
      <w:r>
        <w:rPr>
          <w:rStyle w:val="VerbatimChar"/>
        </w:rPr>
        <w:t xml:space="preserve">   "id": "P4",</w:t>
      </w:r>
      <w:r>
        <w:br/>
      </w:r>
      <w:r>
        <w:rPr>
          <w:rStyle w:val="VerbatimChar"/>
        </w:rPr>
        <w:t xml:space="preserve">   "nivel": 0,</w:t>
      </w:r>
      <w:r>
        <w:br/>
      </w:r>
      <w:r>
        <w:rPr>
          <w:rStyle w:val="VerbatimChar"/>
        </w:rPr>
        <w:t xml:space="preserve">   "texto": "Acuerdos de custodia por tramos y portafolio de financiación constituidos"</w:t>
      </w:r>
      <w:r>
        <w:br/>
      </w:r>
      <w:r>
        <w:rPr>
          <w:rStyle w:val="VerbatimChar"/>
        </w:rPr>
        <w:t xml:space="preserve">  },</w:t>
      </w:r>
      <w:r>
        <w:br/>
      </w:r>
      <w:r>
        <w:rPr>
          <w:rStyle w:val="VerbatimChar"/>
        </w:rPr>
        <w:t xml:space="preserve">  {</w:t>
      </w:r>
      <w:r>
        <w:br/>
      </w:r>
      <w:r>
        <w:rPr>
          <w:rStyle w:val="VerbatimChar"/>
        </w:rPr>
        <w:t xml:space="preserve">   "id": "R1",</w:t>
      </w:r>
      <w:r>
        <w:br/>
      </w:r>
      <w:r>
        <w:rPr>
          <w:rStyle w:val="VerbatimChar"/>
        </w:rPr>
        <w:t xml:space="preserve">   "nivel": 1,</w:t>
      </w:r>
      <w:r>
        <w:br/>
      </w:r>
      <w:r>
        <w:rPr>
          <w:rStyle w:val="VerbatimChar"/>
        </w:rPr>
        <w:t xml:space="preserve">   "texto": "Error de medición reducido y verificable frente a la referencia"</w:t>
      </w:r>
      <w:r>
        <w:br/>
      </w:r>
      <w:r>
        <w:rPr>
          <w:rStyle w:val="VerbatimChar"/>
        </w:rPr>
        <w:t xml:space="preserve">  },</w:t>
      </w:r>
      <w:r>
        <w:br/>
      </w:r>
      <w:r>
        <w:rPr>
          <w:rStyle w:val="VerbatimChar"/>
        </w:rPr>
        <w:t xml:space="preserve">  {</w:t>
      </w:r>
      <w:r>
        <w:br/>
      </w:r>
      <w:r>
        <w:rPr>
          <w:rStyle w:val="VerbatimChar"/>
        </w:rPr>
        <w:t xml:space="preserve">   "id": "R2",</w:t>
      </w:r>
      <w:r>
        <w:br/>
      </w:r>
      <w:r>
        <w:rPr>
          <w:rStyle w:val="VerbatimChar"/>
        </w:rPr>
        <w:t xml:space="preserve">   "nivel": 1,</w:t>
      </w:r>
      <w:r>
        <w:br/>
      </w:r>
      <w:r>
        <w:rPr>
          <w:rStyle w:val="VerbatimChar"/>
        </w:rPr>
        <w:t xml:space="preserve">   "texto": "Datos suficientes: nodos activos y latencia dentro de lo especificado"</w:t>
      </w:r>
      <w:r>
        <w:br/>
      </w:r>
      <w:r>
        <w:rPr>
          <w:rStyle w:val="VerbatimChar"/>
        </w:rPr>
        <w:t xml:space="preserve">  },</w:t>
      </w:r>
      <w:r>
        <w:br/>
      </w:r>
      <w:r>
        <w:rPr>
          <w:rStyle w:val="VerbatimChar"/>
        </w:rPr>
        <w:t xml:space="preserve">  {</w:t>
      </w:r>
      <w:r>
        <w:br/>
      </w:r>
      <w:r>
        <w:rPr>
          <w:rStyle w:val="VerbatimChar"/>
        </w:rPr>
        <w:t xml:space="preserve">   "id": "R3",</w:t>
      </w:r>
      <w:r>
        <w:br/>
      </w:r>
      <w:r>
        <w:rPr>
          <w:rStyle w:val="VerbatimChar"/>
        </w:rPr>
        <w:t xml:space="preserve">   "nivel": 1,</w:t>
      </w:r>
      <w:r>
        <w:br/>
      </w:r>
      <w:r>
        <w:rPr>
          <w:rStyle w:val="VerbatimChar"/>
        </w:rPr>
        <w:t xml:space="preserve">   "texto": "Fórmula local del índice y umbrales validados con la autoridad de salud"</w:t>
      </w:r>
      <w:r>
        <w:br/>
      </w:r>
      <w:r>
        <w:rPr>
          <w:rStyle w:val="VerbatimChar"/>
        </w:rPr>
        <w:t xml:space="preserve">  },</w:t>
      </w:r>
      <w:r>
        <w:br/>
      </w:r>
      <w:r>
        <w:rPr>
          <w:rStyle w:val="VerbatimChar"/>
        </w:rPr>
        <w:t xml:space="preserve">  {</w:t>
      </w:r>
      <w:r>
        <w:br/>
      </w:r>
      <w:r>
        <w:rPr>
          <w:rStyle w:val="VerbatimChar"/>
        </w:rPr>
        <w:t xml:space="preserve">   "id": "I1",</w:t>
      </w:r>
      <w:r>
        <w:br/>
      </w:r>
      <w:r>
        <w:rPr>
          <w:rStyle w:val="VerbatimChar"/>
        </w:rPr>
        <w:t xml:space="preserve">   "nivel": 2,</w:t>
      </w:r>
      <w:r>
        <w:br/>
      </w:r>
      <w:r>
        <w:rPr>
          <w:rStyle w:val="VerbatimChar"/>
        </w:rPr>
        <w:t xml:space="preserve">   "texto": "Protocolos de gestión del riesgo y de salud incorporan las alertas"</w:t>
      </w:r>
      <w:r>
        <w:br/>
      </w:r>
      <w:r>
        <w:rPr>
          <w:rStyle w:val="VerbatimChar"/>
        </w:rPr>
        <w:t xml:space="preserve">  },</w:t>
      </w:r>
      <w:r>
        <w:br/>
      </w:r>
      <w:r>
        <w:rPr>
          <w:rStyle w:val="VerbatimChar"/>
        </w:rPr>
        <w:t xml:space="preserve">  {</w:t>
      </w:r>
      <w:r>
        <w:br/>
      </w:r>
      <w:r>
        <w:rPr>
          <w:rStyle w:val="VerbatimChar"/>
        </w:rPr>
        <w:t xml:space="preserve">   "id": "I2",</w:t>
      </w:r>
      <w:r>
        <w:br/>
      </w:r>
      <w:r>
        <w:rPr>
          <w:rStyle w:val="VerbatimChar"/>
        </w:rPr>
        <w:t xml:space="preserve">   "nivel": 2,</w:t>
      </w:r>
      <w:r>
        <w:br/>
      </w:r>
      <w:r>
        <w:rPr>
          <w:rStyle w:val="VerbatimChar"/>
        </w:rPr>
        <w:t xml:space="preserve">   "texto": "Alertas oportunas con falsas alarmas dentro del umbral acordado"</w:t>
      </w:r>
      <w:r>
        <w:br/>
      </w:r>
      <w:r>
        <w:rPr>
          <w:rStyle w:val="VerbatimChar"/>
        </w:rPr>
        <w:t xml:space="preserve">  },</w:t>
      </w:r>
      <w:r>
        <w:br/>
      </w:r>
      <w:r>
        <w:rPr>
          <w:rStyle w:val="VerbatimChar"/>
        </w:rPr>
        <w:t xml:space="preserve">  {</w:t>
      </w:r>
      <w:r>
        <w:br/>
      </w:r>
      <w:r>
        <w:rPr>
          <w:rStyle w:val="VerbatimChar"/>
        </w:rPr>
        <w:t xml:space="preserve">   "id": "I3",</w:t>
      </w:r>
      <w:r>
        <w:br/>
      </w:r>
      <w:r>
        <w:rPr>
          <w:rStyle w:val="VerbatimChar"/>
        </w:rPr>
        <w:t xml:space="preserve">   "nivel": 2,</w:t>
      </w:r>
      <w:r>
        <w:br/>
      </w:r>
      <w:r>
        <w:rPr>
          <w:rStyle w:val="VerbatimChar"/>
        </w:rPr>
        <w:t xml:space="preserve">   "texto": "Servicio operando con custodios después del mes 24"</w:t>
      </w:r>
      <w:r>
        <w:br/>
      </w:r>
      <w:r>
        <w:rPr>
          <w:rStyle w:val="VerbatimChar"/>
        </w:rPr>
        <w:t xml:space="preserve">  },</w:t>
      </w:r>
      <w:r>
        <w:br/>
      </w:r>
      <w:r>
        <w:rPr>
          <w:rStyle w:val="VerbatimChar"/>
        </w:rPr>
        <w:t xml:space="preserve">  {</w:t>
      </w:r>
      <w:r>
        <w:br/>
      </w:r>
      <w:r>
        <w:rPr>
          <w:rStyle w:val="VerbatimChar"/>
        </w:rPr>
        <w:t xml:space="preserve">   "id": "IM",</w:t>
      </w:r>
      <w:r>
        <w:br/>
      </w:r>
      <w:r>
        <w:rPr>
          <w:rStyle w:val="VerbatimChar"/>
        </w:rPr>
        <w:t xml:space="preserve">   "nivel": 3,</w:t>
      </w:r>
      <w:r>
        <w:br/>
      </w:r>
      <w:r>
        <w:rPr>
          <w:rStyle w:val="VerbatimChar"/>
        </w:rPr>
        <w:t xml:space="preserve">   "texto": "Operarios y comunidades de los sitios de remoción protegidos por alertas basadas en mediciones verificadas",</w:t>
      </w:r>
      <w:r>
        <w:br/>
      </w:r>
      <w:r>
        <w:rPr>
          <w:rStyle w:val="VerbatimChar"/>
        </w:rPr>
        <w:t xml:space="preserve">   "destacado": true</w:t>
      </w:r>
      <w:r>
        <w:br/>
      </w:r>
      <w:r>
        <w:rPr>
          <w:rStyle w:val="VerbatimChar"/>
        </w:rPr>
        <w:t xml:space="preserve">  }</w:t>
      </w:r>
      <w:r>
        <w:br/>
      </w:r>
      <w:r>
        <w:rPr>
          <w:rStyle w:val="VerbatimChar"/>
        </w:rPr>
        <w:t xml:space="preserve"> ],</w:t>
      </w:r>
      <w:r>
        <w:br/>
      </w:r>
      <w:r>
        <w:rPr>
          <w:rStyle w:val="VerbatimChar"/>
        </w:rPr>
        <w:t xml:space="preserve"> "enlaces": [</w:t>
      </w:r>
      <w:r>
        <w:br/>
      </w:r>
      <w:r>
        <w:rPr>
          <w:rStyle w:val="VerbatimChar"/>
        </w:rPr>
        <w:t xml:space="preserve">  {</w:t>
      </w:r>
      <w:r>
        <w:br/>
      </w:r>
      <w:r>
        <w:rPr>
          <w:rStyle w:val="VerbatimChar"/>
        </w:rPr>
        <w:t xml:space="preserve">   "de": "P3",</w:t>
      </w:r>
      <w:r>
        <w:br/>
      </w:r>
      <w:r>
        <w:rPr>
          <w:rStyle w:val="VerbatimChar"/>
        </w:rPr>
        <w:t xml:space="preserve">   "a": "R3",</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"P1",</w:t>
      </w:r>
      <w:r>
        <w:br/>
      </w:r>
      <w:r>
        <w:rPr>
          <w:rStyle w:val="VerbatimChar"/>
        </w:rPr>
        <w:t xml:space="preserve">   "a": "R2",</w:t>
      </w:r>
      <w:r>
        <w:br/>
      </w:r>
      <w:r>
        <w:rPr>
          <w:rStyle w:val="VerbatimChar"/>
        </w:rPr>
        <w:t xml:space="preserve">   "supuesto": "SC-2"</w:t>
      </w:r>
      <w:r>
        <w:br/>
      </w:r>
      <w:r>
        <w:rPr>
          <w:rStyle w:val="VerbatimChar"/>
        </w:rPr>
        <w:t xml:space="preserve">  },</w:t>
      </w:r>
      <w:r>
        <w:br/>
      </w:r>
      <w:r>
        <w:rPr>
          <w:rStyle w:val="VerbatimChar"/>
        </w:rPr>
        <w:t xml:space="preserve">  {</w:t>
      </w:r>
      <w:r>
        <w:br/>
      </w:r>
      <w:r>
        <w:rPr>
          <w:rStyle w:val="VerbatimChar"/>
        </w:rPr>
        <w:t xml:space="preserve">   "de": "P1",</w:t>
      </w:r>
      <w:r>
        <w:br/>
      </w:r>
      <w:r>
        <w:rPr>
          <w:rStyle w:val="VerbatimChar"/>
        </w:rPr>
        <w:t xml:space="preserve">   "a": "R1",</w:t>
      </w:r>
      <w:r>
        <w:br/>
      </w:r>
      <w:r>
        <w:rPr>
          <w:rStyle w:val="VerbatimChar"/>
        </w:rPr>
        <w:t xml:space="preserve">   "supuesto": "SC-1"</w:t>
      </w:r>
      <w:r>
        <w:br/>
      </w:r>
      <w:r>
        <w:rPr>
          <w:rStyle w:val="VerbatimChar"/>
        </w:rPr>
        <w:t xml:space="preserve">  },</w:t>
      </w:r>
      <w:r>
        <w:br/>
      </w:r>
      <w:r>
        <w:rPr>
          <w:rStyle w:val="VerbatimChar"/>
        </w:rPr>
        <w:t xml:space="preserve">  {</w:t>
      </w:r>
      <w:r>
        <w:br/>
      </w:r>
      <w:r>
        <w:rPr>
          <w:rStyle w:val="VerbatimChar"/>
        </w:rPr>
        <w:t xml:space="preserve">   "de": "P2",</w:t>
      </w:r>
      <w:r>
        <w:br/>
      </w:r>
      <w:r>
        <w:rPr>
          <w:rStyle w:val="VerbatimChar"/>
        </w:rPr>
        <w:t xml:space="preserve">   "a": "R1",</w:t>
      </w:r>
      <w:r>
        <w:br/>
      </w:r>
      <w:r>
        <w:rPr>
          <w:rStyle w:val="VerbatimChar"/>
        </w:rPr>
        <w:t xml:space="preserve">   "supuesto": "SC-1"</w:t>
      </w:r>
      <w:r>
        <w:br/>
      </w:r>
      <w:r>
        <w:rPr>
          <w:rStyle w:val="VerbatimChar"/>
        </w:rPr>
        <w:t xml:space="preserve">  },</w:t>
      </w:r>
      <w:r>
        <w:br/>
      </w:r>
      <w:r>
        <w:rPr>
          <w:rStyle w:val="VerbatimChar"/>
        </w:rPr>
        <w:t xml:space="preserve">  {</w:t>
      </w:r>
      <w:r>
        <w:br/>
      </w:r>
      <w:r>
        <w:rPr>
          <w:rStyle w:val="VerbatimChar"/>
        </w:rPr>
        <w:t xml:space="preserve">   "de": "P4",</w:t>
      </w:r>
      <w:r>
        <w:br/>
      </w:r>
      <w:r>
        <w:rPr>
          <w:rStyle w:val="VerbatimChar"/>
        </w:rPr>
        <w:t xml:space="preserve">   "a": "I3",</w:t>
      </w:r>
      <w:r>
        <w:br/>
      </w:r>
      <w:r>
        <w:rPr>
          <w:rStyle w:val="VerbatimChar"/>
        </w:rPr>
        <w:t xml:space="preserve">   "supuesto": "SC-4"</w:t>
      </w:r>
      <w:r>
        <w:br/>
      </w:r>
      <w:r>
        <w:rPr>
          <w:rStyle w:val="VerbatimChar"/>
        </w:rPr>
        <w:t xml:space="preserve">  },</w:t>
      </w:r>
      <w:r>
        <w:br/>
      </w:r>
      <w:r>
        <w:rPr>
          <w:rStyle w:val="VerbatimChar"/>
        </w:rPr>
        <w:t xml:space="preserve">  {</w:t>
      </w:r>
      <w:r>
        <w:br/>
      </w:r>
      <w:r>
        <w:rPr>
          <w:rStyle w:val="VerbatimChar"/>
        </w:rPr>
        <w:t xml:space="preserve">   "de": "R3",</w:t>
      </w:r>
      <w:r>
        <w:br/>
      </w:r>
      <w:r>
        <w:rPr>
          <w:rStyle w:val="VerbatimChar"/>
        </w:rPr>
        <w:t xml:space="preserve">   "a": "I1",</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"R1",</w:t>
      </w:r>
      <w:r>
        <w:br/>
      </w:r>
      <w:r>
        <w:rPr>
          <w:rStyle w:val="VerbatimChar"/>
        </w:rPr>
        <w:t xml:space="preserve">   "a": "I2"</w:t>
      </w:r>
      <w:r>
        <w:br/>
      </w:r>
      <w:r>
        <w:rPr>
          <w:rStyle w:val="VerbatimChar"/>
        </w:rPr>
        <w:t xml:space="preserve">  },</w:t>
      </w:r>
      <w:r>
        <w:br/>
      </w:r>
      <w:r>
        <w:rPr>
          <w:rStyle w:val="VerbatimChar"/>
        </w:rPr>
        <w:t xml:space="preserve">  {</w:t>
      </w:r>
      <w:r>
        <w:br/>
      </w:r>
      <w:r>
        <w:rPr>
          <w:rStyle w:val="VerbatimChar"/>
        </w:rPr>
        <w:t xml:space="preserve">   "de": "R2",</w:t>
      </w:r>
      <w:r>
        <w:br/>
      </w:r>
      <w:r>
        <w:rPr>
          <w:rStyle w:val="VerbatimChar"/>
        </w:rPr>
        <w:t xml:space="preserve">   "a": "I2"</w:t>
      </w:r>
      <w:r>
        <w:br/>
      </w:r>
      <w:r>
        <w:rPr>
          <w:rStyle w:val="VerbatimChar"/>
        </w:rPr>
        <w:t xml:space="preserve">  },</w:t>
      </w:r>
      <w:r>
        <w:br/>
      </w:r>
      <w:r>
        <w:rPr>
          <w:rStyle w:val="VerbatimChar"/>
        </w:rPr>
        <w:t xml:space="preserve">  {</w:t>
      </w:r>
      <w:r>
        <w:br/>
      </w:r>
      <w:r>
        <w:rPr>
          <w:rStyle w:val="VerbatimChar"/>
        </w:rPr>
        <w:t xml:space="preserve">   "de": "I1",</w:t>
      </w:r>
      <w:r>
        <w:br/>
      </w:r>
      <w:r>
        <w:rPr>
          <w:rStyle w:val="VerbatimChar"/>
        </w:rPr>
        <w:t xml:space="preserve">   "a": "IM",</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"I2",</w:t>
      </w:r>
      <w:r>
        <w:br/>
      </w:r>
      <w:r>
        <w:rPr>
          <w:rStyle w:val="VerbatimChar"/>
        </w:rPr>
        <w:t xml:space="preserve">   "a": "IM"</w:t>
      </w:r>
      <w:r>
        <w:br/>
      </w:r>
      <w:r>
        <w:rPr>
          <w:rStyle w:val="VerbatimChar"/>
        </w:rPr>
        <w:t xml:space="preserve">  },</w:t>
      </w:r>
      <w:r>
        <w:br/>
      </w:r>
      <w:r>
        <w:rPr>
          <w:rStyle w:val="VerbatimChar"/>
        </w:rPr>
        <w:t xml:space="preserve">  {</w:t>
      </w:r>
      <w:r>
        <w:br/>
      </w:r>
      <w:r>
        <w:rPr>
          <w:rStyle w:val="VerbatimChar"/>
        </w:rPr>
        <w:t xml:space="preserve">   "de": "I3",</w:t>
      </w:r>
      <w:r>
        <w:br/>
      </w:r>
      <w:r>
        <w:rPr>
          <w:rStyle w:val="VerbatimChar"/>
        </w:rPr>
        <w:t xml:space="preserve">   "a": "IM",</w:t>
      </w:r>
      <w:r>
        <w:br/>
      </w:r>
      <w:r>
        <w:rPr>
          <w:rStyle w:val="VerbatimChar"/>
        </w:rPr>
        <w:t xml:space="preserve">   "supuesto": "SC-4"</w:t>
      </w:r>
      <w:r>
        <w:br/>
      </w:r>
      <w:r>
        <w:rPr>
          <w:rStyle w:val="VerbatimChar"/>
        </w:rPr>
        <w:t xml:space="preserve">  },</w:t>
      </w:r>
      <w:r>
        <w:br/>
      </w:r>
      <w:r>
        <w:rPr>
          <w:rStyle w:val="VerbatimChar"/>
        </w:rPr>
        <w:t xml:space="preserve">  {</w:t>
      </w:r>
      <w:r>
        <w:br/>
      </w:r>
      <w:r>
        <w:rPr>
          <w:rStyle w:val="VerbatimChar"/>
        </w:rPr>
        <w:t xml:space="preserve">   "de": "I1",</w:t>
      </w:r>
      <w:r>
        <w:br/>
      </w:r>
      <w:r>
        <w:rPr>
          <w:rStyle w:val="VerbatimChar"/>
        </w:rPr>
        <w:t xml:space="preserve">   "a": "P4"</w:t>
      </w:r>
      <w:r>
        <w:br/>
      </w:r>
      <w:r>
        <w:rPr>
          <w:rStyle w:val="VerbatimChar"/>
        </w:rPr>
        <w:t xml:space="preserve">  }</w:t>
      </w:r>
      <w:r>
        <w:br/>
      </w:r>
      <w:r>
        <w:rPr>
          <w:rStyle w:val="VerbatimChar"/>
        </w:rPr>
        <w:t xml:space="preserve"> ],</w:t>
      </w:r>
      <w:r>
        <w:br/>
      </w:r>
      <w:r>
        <w:rPr>
          <w:rStyle w:val="VerbatimChar"/>
        </w:rPr>
        <w:t xml:space="preserve"> "supuestos": [</w:t>
      </w:r>
      <w:r>
        <w:br/>
      </w:r>
      <w:r>
        <w:rPr>
          <w:rStyle w:val="VerbatimChar"/>
        </w:rPr>
        <w:t xml:space="preserve">  {</w:t>
      </w:r>
      <w:r>
        <w:br/>
      </w:r>
      <w:r>
        <w:rPr>
          <w:rStyle w:val="VerbatimChar"/>
        </w:rPr>
        <w:t xml:space="preserve">   "id": "SC-1",</w:t>
      </w:r>
      <w:r>
        <w:br/>
      </w:r>
      <w:r>
        <w:rPr>
          <w:rStyle w:val="VerbatimChar"/>
        </w:rPr>
        <w:t xml:space="preserve">   "si": "los nodos con corrección local se comparan por sorteo semanal con la lectura sin corrección dinámica y con una referencia gravimétrica",</w:t>
      </w:r>
      <w:r>
        <w:br/>
      </w:r>
      <w:r>
        <w:rPr>
          <w:rStyle w:val="VerbatimChar"/>
        </w:rPr>
        <w:t xml:space="preserve">   "entonces": "el error normalizado de los nodos corregidos resulta menor y la diferencia es detectable",</w:t>
      </w:r>
      <w:r>
        <w:br/>
      </w:r>
      <w:r>
        <w:rPr>
          <w:rStyle w:val="VerbatimChar"/>
        </w:rPr>
        <w:t xml:space="preserve">   "porque": "la humedad y el sesgo por tamaño de partícula explican parte del error (V03→V06 = 3 en S2) y la corrección local los compensa antes de la transmisión",</w:t>
      </w:r>
      <w:r>
        <w:br/>
      </w:r>
      <w:r>
        <w:rPr>
          <w:rStyle w:val="VerbatimChar"/>
        </w:rPr>
        <w:t xml:space="preserve">   "naturaleza": "SUPUESTO",</w:t>
      </w:r>
      <w:r>
        <w:br/>
      </w:r>
      <w:r>
        <w:rPr>
          <w:rStyle w:val="VerbatimChar"/>
        </w:rPr>
        <w:t xml:space="preserve">   "nodo_arbol": "A1 y B1"</w:t>
      </w:r>
      <w:r>
        <w:br/>
      </w:r>
      <w:r>
        <w:rPr>
          <w:rStyle w:val="VerbatimChar"/>
        </w:rPr>
        <w:t xml:space="preserve">  },</w:t>
      </w:r>
      <w:r>
        <w:br/>
      </w:r>
      <w:r>
        <w:rPr>
          <w:rStyle w:val="VerbatimChar"/>
        </w:rPr>
        <w:t xml:space="preserve">  {</w:t>
      </w:r>
      <w:r>
        <w:br/>
      </w:r>
      <w:r>
        <w:rPr>
          <w:rStyle w:val="VerbatimChar"/>
        </w:rPr>
        <w:t xml:space="preserve">   "id": "SC-2",</w:t>
      </w:r>
      <w:r>
        <w:br/>
      </w:r>
      <w:r>
        <w:rPr>
          <w:rStyle w:val="VerbatimChar"/>
        </w:rPr>
        <w:t xml:space="preserve">   "si": "los nodos conservan energía y enlace intermitente bajo maquinaria, polvo y humedad",</w:t>
      </w:r>
      <w:r>
        <w:br/>
      </w:r>
      <w:r>
        <w:rPr>
          <w:rStyle w:val="VerbatimChar"/>
        </w:rPr>
        <w:t xml:space="preserve">   "entonces": "el gemelo digital recibe datos suficientes para el mapa y el tablero",</w:t>
      </w:r>
      <w:r>
        <w:br/>
      </w:r>
      <w:r>
        <w:rPr>
          <w:rStyle w:val="VerbatimChar"/>
        </w:rPr>
        <w:t xml:space="preserve">   "porque": "la transmisión por eventos reduce el consumo, los nodos averiados se reponen y la maquinaria destruye nodos con peso 2 (V05→V09) que el plan de repuestos absorbe",</w:t>
      </w:r>
      <w:r>
        <w:br/>
      </w:r>
      <w:r>
        <w:rPr>
          <w:rStyle w:val="VerbatimChar"/>
        </w:rPr>
        <w:t xml:space="preserve">   "naturaleza": "SUPUESTO",</w:t>
      </w:r>
      <w:r>
        <w:br/>
      </w:r>
      <w:r>
        <w:rPr>
          <w:rStyle w:val="VerbatimChar"/>
        </w:rPr>
        <w:t xml:space="preserve">   "nodo_arbol": "A2 y B2"</w:t>
      </w:r>
      <w:r>
        <w:br/>
      </w:r>
      <w:r>
        <w:rPr>
          <w:rStyle w:val="VerbatimChar"/>
        </w:rPr>
        <w:t xml:space="preserve">  },</w:t>
      </w:r>
      <w:r>
        <w:br/>
      </w:r>
      <w:r>
        <w:rPr>
          <w:rStyle w:val="VerbatimChar"/>
        </w:rPr>
        <w:t xml:space="preserve">  {</w:t>
      </w:r>
      <w:r>
        <w:br/>
      </w:r>
      <w:r>
        <w:rPr>
          <w:rStyle w:val="VerbatimChar"/>
        </w:rPr>
        <w:t xml:space="preserve">   "id": "SC-3",</w:t>
      </w:r>
      <w:r>
        <w:br/>
      </w:r>
      <w:r>
        <w:rPr>
          <w:rStyle w:val="VerbatimChar"/>
        </w:rPr>
        <w:t xml:space="preserve">   "si": "la autoridad de salud valida una fórmula local del índice y los umbrales, y los puestos de mando los incorporan en sus protocolos",</w:t>
      </w:r>
      <w:r>
        <w:br/>
      </w:r>
      <w:r>
        <w:rPr>
          <w:rStyle w:val="VerbatimChar"/>
        </w:rPr>
        <w:t xml:space="preserve">   "entonces": "las alertas inducen acciones de protección y aumenta la población protegida",</w:t>
      </w:r>
      <w:r>
        <w:br/>
      </w:r>
      <w:r>
        <w:rPr>
          <w:rStyle w:val="VerbatimChar"/>
        </w:rPr>
        <w:t xml:space="preserve">   "porque": "una alerta sin portador de decisión no modifica la conducta; en S2 V11→V14 y V13→V14 tienen peso 2 y son hipótesis de influencia",</w:t>
      </w:r>
      <w:r>
        <w:br/>
      </w:r>
      <w:r>
        <w:rPr>
          <w:rStyle w:val="VerbatimChar"/>
        </w:rPr>
        <w:t xml:space="preserve">   "naturaleza": "SUPUESTO",</w:t>
      </w:r>
      <w:r>
        <w:br/>
      </w:r>
      <w:r>
        <w:rPr>
          <w:rStyle w:val="VerbatimChar"/>
        </w:rPr>
        <w:t xml:space="preserve">   "nodo_arbol": "A3 y B3"</w:t>
      </w:r>
      <w:r>
        <w:br/>
      </w:r>
      <w:r>
        <w:rPr>
          <w:rStyle w:val="VerbatimChar"/>
        </w:rPr>
        <w:t xml:space="preserve">  },</w:t>
      </w:r>
      <w:r>
        <w:br/>
      </w:r>
      <w:r>
        <w:rPr>
          <w:rStyle w:val="VerbatimChar"/>
        </w:rPr>
        <w:t xml:space="preserve">  {</w:t>
      </w:r>
      <w:r>
        <w:br/>
      </w:r>
      <w:r>
        <w:rPr>
          <w:rStyle w:val="VerbatimChar"/>
        </w:rPr>
        <w:t xml:space="preserve">   "id": "SC-4",</w:t>
      </w:r>
      <w:r>
        <w:br/>
      </w:r>
      <w:r>
        <w:rPr>
          <w:rStyle w:val="VerbatimChar"/>
        </w:rPr>
        <w:t xml:space="preserve">   "si": "al menos un custodio por componente demuestra capacidad de absorción antes de cada tramo de transferencia",</w:t>
      </w:r>
      <w:r>
        <w:br/>
      </w:r>
      <w:r>
        <w:rPr>
          <w:rStyle w:val="VerbatimChar"/>
        </w:rPr>
        <w:t xml:space="preserve">   "entonces": "el servicio continúa después del mes 24 sin receptor público único",</w:t>
      </w:r>
      <w:r>
        <w:br/>
      </w:r>
      <w:r>
        <w:rPr>
          <w:rStyle w:val="VerbatimChar"/>
        </w:rPr>
        <w:t xml:space="preserve">   "porque": "cada tramo exige presupuesto aprobado, personal designado y competencia jurídica documentada; sin ellos rige la cláusula de apertura",</w:t>
      </w:r>
      <w:r>
        <w:br/>
      </w:r>
      <w:r>
        <w:rPr>
          <w:rStyle w:val="VerbatimChar"/>
        </w:rPr>
        <w:t xml:space="preserve">   "naturaleza": "SUPUESTO",</w:t>
      </w:r>
      <w:r>
        <w:br/>
      </w:r>
      <w:r>
        <w:rPr>
          <w:rStyle w:val="VerbatimChar"/>
        </w:rPr>
        <w:t xml:space="preserve">   "nodo_arbol": "A4 y B4"</w:t>
      </w:r>
      <w:r>
        <w:br/>
      </w:r>
      <w:r>
        <w:rPr>
          <w:rStyle w:val="VerbatimChar"/>
        </w:rPr>
        <w:t xml:space="preserve">  }</w:t>
      </w:r>
      <w:r>
        <w:br/>
      </w:r>
      <w:r>
        <w:rPr>
          <w:rStyle w:val="VerbatimChar"/>
        </w:rPr>
        <w:t xml:space="preserve"> ],</w:t>
      </w:r>
      <w:r>
        <w:br/>
      </w:r>
      <w:r>
        <w:rPr>
          <w:rStyle w:val="VerbatimChar"/>
        </w:rPr>
        <w:t xml:space="preserve"> "enfoque": {</w:t>
      </w:r>
      <w:r>
        <w:br/>
      </w:r>
      <w:r>
        <w:rPr>
          <w:rStyle w:val="VerbatimChar"/>
        </w:rPr>
        <w:t xml:space="preserve">  "dominio": "COMPLICADO en la medición y COMPLEJO en la adopción y la custodia",</w:t>
      </w:r>
      <w:r>
        <w:br/>
      </w:r>
      <w:r>
        <w:rPr>
          <w:rStyle w:val="VerbatimChar"/>
        </w:rPr>
        <w:t xml:space="preserve">  "naturaleza_dominio": "INFERIDO",</w:t>
      </w:r>
      <w:r>
        <w:br/>
      </w:r>
      <w:r>
        <w:rPr>
          <w:rStyle w:val="VerbatimChar"/>
        </w:rPr>
        <w:t xml:space="preserve">  "arquitectura": "TdC anidada: ejecutiva y por componente",</w:t>
      </w:r>
      <w:r>
        <w:br/>
      </w:r>
      <w:r>
        <w:rPr>
          <w:rStyle w:val="VerbatimChar"/>
        </w:rPr>
        <w:t xml:space="preserve">  "efectos": [</w:t>
      </w:r>
      <w:r>
        <w:br/>
      </w:r>
      <w:r>
        <w:rPr>
          <w:rStyle w:val="VerbatimChar"/>
        </w:rPr>
        <w:t xml:space="preserve">   {</w:t>
      </w:r>
      <w:r>
        <w:br/>
      </w:r>
      <w:r>
        <w:rPr>
          <w:rStyle w:val="VerbatimChar"/>
        </w:rPr>
        <w:t xml:space="preserve">    "dimension": "Formulación",</w:t>
      </w:r>
      <w:r>
        <w:br/>
      </w:r>
      <w:r>
        <w:rPr>
          <w:rStyle w:val="VerbatimChar"/>
        </w:rPr>
        <w:t xml:space="preserve">    "efecto": "TdC ejecutiva de once nodos y cadena propia para medición, alertas y custodia"</w:t>
      </w:r>
      <w:r>
        <w:br/>
      </w:r>
      <w:r>
        <w:rPr>
          <w:rStyle w:val="VerbatimChar"/>
        </w:rPr>
        <w:t xml:space="preserve">   },</w:t>
      </w:r>
      <w:r>
        <w:br/>
      </w:r>
      <w:r>
        <w:rPr>
          <w:rStyle w:val="VerbatimChar"/>
        </w:rPr>
        <w:t xml:space="preserve">   {</w:t>
      </w:r>
      <w:r>
        <w:br/>
      </w:r>
      <w:r>
        <w:rPr>
          <w:rStyle w:val="VerbatimChar"/>
        </w:rPr>
        <w:t xml:space="preserve">    "dimension": "Presupuesto",</w:t>
      </w:r>
      <w:r>
        <w:br/>
      </w:r>
      <w:r>
        <w:rPr>
          <w:rStyle w:val="VerbatimChar"/>
        </w:rPr>
        <w:t xml:space="preserve">    "efecto": "Por componente con reasignación interna regulada y tramos condicionados"</w:t>
      </w:r>
      <w:r>
        <w:br/>
      </w:r>
      <w:r>
        <w:rPr>
          <w:rStyle w:val="VerbatimChar"/>
        </w:rPr>
        <w:t xml:space="preserve">   },</w:t>
      </w:r>
      <w:r>
        <w:br/>
      </w:r>
      <w:r>
        <w:rPr>
          <w:rStyle w:val="VerbatimChar"/>
        </w:rPr>
        <w:t xml:space="preserve">   {</w:t>
      </w:r>
      <w:r>
        <w:br/>
      </w:r>
      <w:r>
        <w:rPr>
          <w:rStyle w:val="VerbatimChar"/>
        </w:rPr>
        <w:t xml:space="preserve">    "dimension": "Indicadores",</w:t>
      </w:r>
      <w:r>
        <w:br/>
      </w:r>
      <w:r>
        <w:rPr>
          <w:rStyle w:val="VerbatimChar"/>
        </w:rPr>
        <w:t xml:space="preserve">    "efecto": "Por componente y agregados; metas comprometidas solo bajo el techo"</w:t>
      </w:r>
      <w:r>
        <w:br/>
      </w:r>
      <w:r>
        <w:rPr>
          <w:rStyle w:val="VerbatimChar"/>
        </w:rPr>
        <w:t xml:space="preserve">   },</w:t>
      </w:r>
      <w:r>
        <w:br/>
      </w:r>
      <w:r>
        <w:rPr>
          <w:rStyle w:val="VerbatimChar"/>
        </w:rPr>
        <w:t xml:space="preserve">   {</w:t>
      </w:r>
      <w:r>
        <w:br/>
      </w:r>
      <w:r>
        <w:rPr>
          <w:rStyle w:val="VerbatimChar"/>
        </w:rPr>
        <w:t xml:space="preserve">    "dimension": "Evaluación",</w:t>
      </w:r>
      <w:r>
        <w:br/>
      </w:r>
      <w:r>
        <w:rPr>
          <w:rStyle w:val="VerbatimChar"/>
        </w:rPr>
        <w:t xml:space="preserve">    "efecto": "Contraste con sorteo en la medición; contribución en adopción y custodia"</w:t>
      </w:r>
      <w:r>
        <w:br/>
      </w:r>
      <w:r>
        <w:rPr>
          <w:rStyle w:val="VerbatimChar"/>
        </w:rPr>
        <w:t xml:space="preserve">   },</w:t>
      </w:r>
      <w:r>
        <w:br/>
      </w:r>
      <w:r>
        <w:rPr>
          <w:rStyle w:val="VerbatimChar"/>
        </w:rPr>
        <w:t xml:space="preserve">   {</w:t>
      </w:r>
      <w:r>
        <w:br/>
      </w:r>
      <w:r>
        <w:rPr>
          <w:rStyle w:val="VerbatimChar"/>
        </w:rPr>
        <w:t xml:space="preserve">    "dimension": "Gobernanza",</w:t>
      </w:r>
      <w:r>
        <w:br/>
      </w:r>
      <w:r>
        <w:rPr>
          <w:rStyle w:val="VerbatimChar"/>
        </w:rPr>
        <w:t xml:space="preserve">    "efecto": "Comités por componente y comité integrador con revisión trimestral de supuestos"</w:t>
      </w:r>
      <w:r>
        <w:br/>
      </w:r>
      <w:r>
        <w:rPr>
          <w:rStyle w:val="VerbatimChar"/>
        </w:rPr>
        <w:t xml:space="preserve">   },</w:t>
      </w:r>
      <w:r>
        <w:br/>
      </w:r>
      <w:r>
        <w:rPr>
          <w:rStyle w:val="VerbatimChar"/>
        </w:rPr>
        <w:t xml:space="preserve">   {</w:t>
      </w:r>
      <w:r>
        <w:br/>
      </w:r>
      <w:r>
        <w:rPr>
          <w:rStyle w:val="VerbatimChar"/>
        </w:rPr>
        <w:t xml:space="preserve">    "dimension": "Sostenibilidad",</w:t>
      </w:r>
      <w:r>
        <w:br/>
      </w:r>
      <w:r>
        <w:rPr>
          <w:rStyle w:val="VerbatimChar"/>
        </w:rPr>
        <w:t xml:space="preserve">    "efecto": "Custodia distribuida por componente con cláusula de apertura"</w:t>
      </w:r>
      <w:r>
        <w:br/>
      </w:r>
      <w:r>
        <w:rPr>
          <w:rStyle w:val="VerbatimChar"/>
        </w:rPr>
        <w:t xml:space="preserve">   }</w:t>
      </w:r>
      <w:r>
        <w:br/>
      </w:r>
      <w:r>
        <w:rPr>
          <w:rStyle w:val="VerbatimChar"/>
        </w:rPr>
        <w:t xml:space="preserve">  ],</w:t>
      </w:r>
      <w:r>
        <w:br/>
      </w:r>
      <w:r>
        <w:rPr>
          <w:rStyle w:val="VerbatimChar"/>
        </w:rPr>
        <w:t xml:space="preserve">  "riesgo_desajuste": "Si la adopción es CLARA y no COMPLEJA, la revisión trimestral genera sobrecosto; si es CAOTICA, la coordinación por componente es lenta"</w:t>
      </w:r>
      <w:r>
        <w:br/>
      </w:r>
      <w:r>
        <w:rPr>
          <w:rStyle w:val="VerbatimChar"/>
        </w:rPr>
        <w:t xml:space="preserve"> }</w:t>
      </w:r>
      <w:r>
        <w:br/>
      </w:r>
      <w:r>
        <w:rPr>
          <w:rStyle w:val="VerbatimChar"/>
        </w:rPr>
        <w:t xml:space="preserve">}</w:t>
      </w:r>
    </w:p>
    <w:bookmarkEnd w:id="703"/>
    <w:bookmarkStart w:id="704" w:name="Xb0af26d9cada72747bb3b3a737878e82d0842cd"/>
    <w:p>
      <w:pPr>
        <w:pStyle w:val="Heading3"/>
      </w:pPr>
      <w:r>
        <w:t xml:space="preserve">L.3 JSON canónico del árbol A-PROB (ARBOL_5_SGR_CONV56_AIRE.json)</w:t>
      </w:r>
    </w:p>
    <w:p>
      <w:pPr>
        <w:pStyle w:val="SourceCode"/>
      </w:pPr>
      <w:r>
        <w:rPr>
          <w:rStyle w:val="VerbatimChar"/>
        </w:rPr>
        <w:t xml:space="preserve">{</w:t>
      </w:r>
      <w:r>
        <w:br/>
      </w:r>
      <w:r>
        <w:rPr>
          <w:rStyle w:val="VerbatimChar"/>
        </w:rPr>
        <w:t xml:space="preserve"> "tipo": "PROBLEMAS",</w:t>
      </w:r>
      <w:r>
        <w:br/>
      </w:r>
      <w:r>
        <w:rPr>
          <w:rStyle w:val="VerbatimChar"/>
        </w:rPr>
        <w:t xml:space="preserve"> "rol": "A-PROB",</w:t>
      </w:r>
      <w:r>
        <w:br/>
      </w:r>
      <w:r>
        <w:rPr>
          <w:rStyle w:val="VerbatimChar"/>
        </w:rPr>
        <w:t xml:space="preserve"> "titulo": "A-PROB: árbol de problemas de la vigilancia de material particulado en sitios de remoción de escombros",</w:t>
      </w:r>
      <w:r>
        <w:br/>
      </w:r>
      <w:r>
        <w:rPr>
          <w:rStyle w:val="VerbatimChar"/>
        </w:rPr>
        <w:t xml:space="preserve"> "naturaleza": "PROPUESTO",</w:t>
      </w:r>
      <w:r>
        <w:br/>
      </w:r>
      <w:r>
        <w:rPr>
          <w:rStyle w:val="VerbatimChar"/>
        </w:rPr>
        <w:t xml:space="preserve"> "fuente": "Sección 4.4 (S2), 4.4-MDR y E3-P00 a E3-P21; relaciones con estatuto HIE",</w:t>
      </w:r>
      <w:r>
        <w:br/>
      </w:r>
      <w:r>
        <w:rPr>
          <w:rStyle w:val="VerbatimChar"/>
        </w:rPr>
        <w:t xml:space="preserve"> "pregunta": "¿Qué estados problemáticos, causas y efectos sustentan el error de medición sin verificar como problema central?",</w:t>
      </w:r>
      <w:r>
        <w:br/>
      </w:r>
      <w:r>
        <w:rPr>
          <w:rStyle w:val="VerbatimChar"/>
        </w:rPr>
        <w:t xml:space="preserve"> "descripcion": "Árbol de problemas con diez nodos y diez relaciones en cinco niveles. El problema central es el error de medición sin verificar frente a una referencia (V06). Las causas directas son humedad, PM10, PM2,5 y frecuencia de calibración. La causa indirecta es la remoción de escombros. Los efectos son un índice sin fórmula local, falsas alarmas sin medir, baja adopción institucional y personas sin protección efectiva. Todas las relaciones son hipótesis de influencia estructural sin efecto estimado.",</w:t>
      </w:r>
      <w:r>
        <w:br/>
      </w:r>
      <w:r>
        <w:rPr>
          <w:rStyle w:val="VerbatimChar"/>
        </w:rPr>
        <w:t xml:space="preserve"> "niveles": [</w:t>
      </w:r>
      <w:r>
        <w:br/>
      </w:r>
      <w:r>
        <w:rPr>
          <w:rStyle w:val="VerbatimChar"/>
        </w:rPr>
        <w:t xml:space="preserve">  "Efectos indirectos",</w:t>
      </w:r>
      <w:r>
        <w:br/>
      </w:r>
      <w:r>
        <w:rPr>
          <w:rStyle w:val="VerbatimChar"/>
        </w:rPr>
        <w:t xml:space="preserve">  "Efectos directos",</w:t>
      </w:r>
      <w:r>
        <w:br/>
      </w:r>
      <w:r>
        <w:rPr>
          <w:rStyle w:val="VerbatimChar"/>
        </w:rPr>
        <w:t xml:space="preserve">  "Problema central",</w:t>
      </w:r>
      <w:r>
        <w:br/>
      </w:r>
      <w:r>
        <w:rPr>
          <w:rStyle w:val="VerbatimChar"/>
        </w:rPr>
        <w:t xml:space="preserve">  "Causas directas",</w:t>
      </w:r>
      <w:r>
        <w:br/>
      </w:r>
      <w:r>
        <w:rPr>
          <w:rStyle w:val="VerbatimChar"/>
        </w:rPr>
        <w:t xml:space="preserve">  "Causas indirectas"</w:t>
      </w:r>
      <w:r>
        <w:br/>
      </w:r>
      <w:r>
        <w:rPr>
          <w:rStyle w:val="VerbatimChar"/>
        </w:rPr>
        <w:t xml:space="preserve"> ],</w:t>
      </w:r>
      <w:r>
        <w:br/>
      </w:r>
      <w:r>
        <w:rPr>
          <w:rStyle w:val="VerbatimChar"/>
        </w:rPr>
        <w:t xml:space="preserve"> "nodos": [</w:t>
      </w:r>
      <w:r>
        <w:br/>
      </w:r>
      <w:r>
        <w:rPr>
          <w:rStyle w:val="VerbatimChar"/>
        </w:rPr>
        <w:t xml:space="preserve">  {</w:t>
      </w:r>
      <w:r>
        <w:br/>
      </w:r>
      <w:r>
        <w:rPr>
          <w:rStyle w:val="VerbatimChar"/>
        </w:rPr>
        <w:t xml:space="preserve">   "id": "V14",</w:t>
      </w:r>
      <w:r>
        <w:br/>
      </w:r>
      <w:r>
        <w:rPr>
          <w:rStyle w:val="VerbatimChar"/>
        </w:rPr>
        <w:t xml:space="preserve">   "nivel": 0,</w:t>
      </w:r>
      <w:r>
        <w:br/>
      </w:r>
      <w:r>
        <w:rPr>
          <w:rStyle w:val="VerbatimChar"/>
        </w:rPr>
        <w:t xml:space="preserve">   "texto": "Personas sin protección efectiva por alertas confiables (V14)"</w:t>
      </w:r>
      <w:r>
        <w:br/>
      </w:r>
      <w:r>
        <w:rPr>
          <w:rStyle w:val="VerbatimChar"/>
        </w:rPr>
        <w:t xml:space="preserve">  },</w:t>
      </w:r>
      <w:r>
        <w:br/>
      </w:r>
      <w:r>
        <w:rPr>
          <w:rStyle w:val="VerbatimChar"/>
        </w:rPr>
        <w:t xml:space="preserve">  {</w:t>
      </w:r>
      <w:r>
        <w:br/>
      </w:r>
      <w:r>
        <w:rPr>
          <w:rStyle w:val="VerbatimChar"/>
        </w:rPr>
        <w:t xml:space="preserve">   "id": "V15",</w:t>
      </w:r>
      <w:r>
        <w:br/>
      </w:r>
      <w:r>
        <w:rPr>
          <w:rStyle w:val="VerbatimChar"/>
        </w:rPr>
        <w:t xml:space="preserve">   "nivel": 0,</w:t>
      </w:r>
      <w:r>
        <w:br/>
      </w:r>
      <w:r>
        <w:rPr>
          <w:rStyle w:val="VerbatimChar"/>
        </w:rPr>
        <w:t xml:space="preserve">   "texto": "Baja adopción institucional del tablero y de las alertas (V15)"</w:t>
      </w:r>
      <w:r>
        <w:br/>
      </w:r>
      <w:r>
        <w:rPr>
          <w:rStyle w:val="VerbatimChar"/>
        </w:rPr>
        <w:t xml:space="preserve">  },</w:t>
      </w:r>
      <w:r>
        <w:br/>
      </w:r>
      <w:r>
        <w:rPr>
          <w:rStyle w:val="VerbatimChar"/>
        </w:rPr>
        <w:t xml:space="preserve">  {</w:t>
      </w:r>
      <w:r>
        <w:br/>
      </w:r>
      <w:r>
        <w:rPr>
          <w:rStyle w:val="VerbatimChar"/>
        </w:rPr>
        <w:t xml:space="preserve">   "id": "V11",</w:t>
      </w:r>
      <w:r>
        <w:br/>
      </w:r>
      <w:r>
        <w:rPr>
          <w:rStyle w:val="VerbatimChar"/>
        </w:rPr>
        <w:t xml:space="preserve">   "nivel": 1,</w:t>
      </w:r>
      <w:r>
        <w:br/>
      </w:r>
      <w:r>
        <w:rPr>
          <w:rStyle w:val="VerbatimChar"/>
        </w:rPr>
        <w:t xml:space="preserve">   "texto": "Índice AQHI sin fórmula local validada y con error de entrada (V11)"</w:t>
      </w:r>
      <w:r>
        <w:br/>
      </w:r>
      <w:r>
        <w:rPr>
          <w:rStyle w:val="VerbatimChar"/>
        </w:rPr>
        <w:t xml:space="preserve">  },</w:t>
      </w:r>
      <w:r>
        <w:br/>
      </w:r>
      <w:r>
        <w:rPr>
          <w:rStyle w:val="VerbatimChar"/>
        </w:rPr>
        <w:t xml:space="preserve">  {</w:t>
      </w:r>
      <w:r>
        <w:br/>
      </w:r>
      <w:r>
        <w:rPr>
          <w:rStyle w:val="VerbatimChar"/>
        </w:rPr>
        <w:t xml:space="preserve">   "id": "V12",</w:t>
      </w:r>
      <w:r>
        <w:br/>
      </w:r>
      <w:r>
        <w:rPr>
          <w:rStyle w:val="VerbatimChar"/>
        </w:rPr>
        <w:t xml:space="preserve">   "nivel": 1,</w:t>
      </w:r>
      <w:r>
        <w:br/>
      </w:r>
      <w:r>
        <w:rPr>
          <w:rStyle w:val="VerbatimChar"/>
        </w:rPr>
        <w:t xml:space="preserve">   "texto": "Tasa de falsas alarmas sin medir (V12)"</w:t>
      </w:r>
      <w:r>
        <w:br/>
      </w:r>
      <w:r>
        <w:rPr>
          <w:rStyle w:val="VerbatimChar"/>
        </w:rPr>
        <w:t xml:space="preserve">  },</w:t>
      </w:r>
      <w:r>
        <w:br/>
      </w:r>
      <w:r>
        <w:rPr>
          <w:rStyle w:val="VerbatimChar"/>
        </w:rPr>
        <w:t xml:space="preserve">  {</w:t>
      </w:r>
      <w:r>
        <w:br/>
      </w:r>
      <w:r>
        <w:rPr>
          <w:rStyle w:val="VerbatimChar"/>
        </w:rPr>
        <w:t xml:space="preserve">   "id": "V06",</w:t>
      </w:r>
      <w:r>
        <w:br/>
      </w:r>
      <w:r>
        <w:rPr>
          <w:rStyle w:val="VerbatimChar"/>
        </w:rPr>
        <w:t xml:space="preserve">   "nivel": 2,</w:t>
      </w:r>
      <w:r>
        <w:br/>
      </w:r>
      <w:r>
        <w:rPr>
          <w:rStyle w:val="VerbatimChar"/>
        </w:rPr>
        <w:t xml:space="preserve">   "texto": "Error de medición de PM2,5 y PM10 sin verificar frente a una referencia (V06)",</w:t>
      </w:r>
      <w:r>
        <w:br/>
      </w:r>
      <w:r>
        <w:rPr>
          <w:rStyle w:val="VerbatimChar"/>
        </w:rPr>
        <w:t xml:space="preserve">   "destacado": true</w:t>
      </w:r>
      <w:r>
        <w:br/>
      </w:r>
      <w:r>
        <w:rPr>
          <w:rStyle w:val="VerbatimChar"/>
        </w:rPr>
        <w:t xml:space="preserve">  },</w:t>
      </w:r>
      <w:r>
        <w:br/>
      </w:r>
      <w:r>
        <w:rPr>
          <w:rStyle w:val="VerbatimChar"/>
        </w:rPr>
        <w:t xml:space="preserve">  {</w:t>
      </w:r>
      <w:r>
        <w:br/>
      </w:r>
      <w:r>
        <w:rPr>
          <w:rStyle w:val="VerbatimChar"/>
        </w:rPr>
        <w:t xml:space="preserve">   "id": "V03",</w:t>
      </w:r>
      <w:r>
        <w:br/>
      </w:r>
      <w:r>
        <w:rPr>
          <w:rStyle w:val="VerbatimChar"/>
        </w:rPr>
        <w:t xml:space="preserve">   "nivel": 3,</w:t>
      </w:r>
      <w:r>
        <w:br/>
      </w:r>
      <w:r>
        <w:rPr>
          <w:rStyle w:val="VerbatimChar"/>
        </w:rPr>
        <w:t xml:space="preserve">   "texto": "Humedad relativa alta en los sitios de remoción (V03)"</w:t>
      </w:r>
      <w:r>
        <w:br/>
      </w:r>
      <w:r>
        <w:rPr>
          <w:rStyle w:val="VerbatimChar"/>
        </w:rPr>
        <w:t xml:space="preserve">  },</w:t>
      </w:r>
      <w:r>
        <w:br/>
      </w:r>
      <w:r>
        <w:rPr>
          <w:rStyle w:val="VerbatimChar"/>
        </w:rPr>
        <w:t xml:space="preserve">  {</w:t>
      </w:r>
      <w:r>
        <w:br/>
      </w:r>
      <w:r>
        <w:rPr>
          <w:rStyle w:val="VerbatimChar"/>
        </w:rPr>
        <w:t xml:space="preserve">   "id": "V02",</w:t>
      </w:r>
      <w:r>
        <w:br/>
      </w:r>
      <w:r>
        <w:rPr>
          <w:rStyle w:val="VerbatimChar"/>
        </w:rPr>
        <w:t xml:space="preserve">   "nivel": 3,</w:t>
      </w:r>
      <w:r>
        <w:br/>
      </w:r>
      <w:r>
        <w:rPr>
          <w:rStyle w:val="VerbatimChar"/>
        </w:rPr>
        <w:t xml:space="preserve">   "texto": "Concentración de PM10 con fracción gruesa (V02)"</w:t>
      </w:r>
      <w:r>
        <w:br/>
      </w:r>
      <w:r>
        <w:rPr>
          <w:rStyle w:val="VerbatimChar"/>
        </w:rPr>
        <w:t xml:space="preserve">  },</w:t>
      </w:r>
      <w:r>
        <w:br/>
      </w:r>
      <w:r>
        <w:rPr>
          <w:rStyle w:val="VerbatimChar"/>
        </w:rPr>
        <w:t xml:space="preserve">  {</w:t>
      </w:r>
      <w:r>
        <w:br/>
      </w:r>
      <w:r>
        <w:rPr>
          <w:rStyle w:val="VerbatimChar"/>
        </w:rPr>
        <w:t xml:space="preserve">   "id": "V01",</w:t>
      </w:r>
      <w:r>
        <w:br/>
      </w:r>
      <w:r>
        <w:rPr>
          <w:rStyle w:val="VerbatimChar"/>
        </w:rPr>
        <w:t xml:space="preserve">   "nivel": 3,</w:t>
      </w:r>
      <w:r>
        <w:br/>
      </w:r>
      <w:r>
        <w:rPr>
          <w:rStyle w:val="VerbatimChar"/>
        </w:rPr>
        <w:t xml:space="preserve">   "texto": "Concentración de PM2,5 (V01)"</w:t>
      </w:r>
      <w:r>
        <w:br/>
      </w:r>
      <w:r>
        <w:rPr>
          <w:rStyle w:val="VerbatimChar"/>
        </w:rPr>
        <w:t xml:space="preserve">  },</w:t>
      </w:r>
      <w:r>
        <w:br/>
      </w:r>
      <w:r>
        <w:rPr>
          <w:rStyle w:val="VerbatimChar"/>
        </w:rPr>
        <w:t xml:space="preserve">  {</w:t>
      </w:r>
      <w:r>
        <w:br/>
      </w:r>
      <w:r>
        <w:rPr>
          <w:rStyle w:val="VerbatimChar"/>
        </w:rPr>
        <w:t xml:space="preserve">   "id": "V07",</w:t>
      </w:r>
      <w:r>
        <w:br/>
      </w:r>
      <w:r>
        <w:rPr>
          <w:rStyle w:val="VerbatimChar"/>
        </w:rPr>
        <w:t xml:space="preserve">   "nivel": 3,</w:t>
      </w:r>
      <w:r>
        <w:br/>
      </w:r>
      <w:r>
        <w:rPr>
          <w:rStyle w:val="VerbatimChar"/>
        </w:rPr>
        <w:t xml:space="preserve">   "texto": "Frecuencia de calibración de los nodos baja o nula (V07)"</w:t>
      </w:r>
      <w:r>
        <w:br/>
      </w:r>
      <w:r>
        <w:rPr>
          <w:rStyle w:val="VerbatimChar"/>
        </w:rPr>
        <w:t xml:space="preserve">  },</w:t>
      </w:r>
      <w:r>
        <w:br/>
      </w:r>
      <w:r>
        <w:rPr>
          <w:rStyle w:val="VerbatimChar"/>
        </w:rPr>
        <w:t xml:space="preserve">  {</w:t>
      </w:r>
      <w:r>
        <w:br/>
      </w:r>
      <w:r>
        <w:rPr>
          <w:rStyle w:val="VerbatimChar"/>
        </w:rPr>
        <w:t xml:space="preserve">   "id": "V05",</w:t>
      </w:r>
      <w:r>
        <w:br/>
      </w:r>
      <w:r>
        <w:rPr>
          <w:rStyle w:val="VerbatimChar"/>
        </w:rPr>
        <w:t xml:space="preserve">   "nivel": 4,</w:t>
      </w:r>
      <w:r>
        <w:br/>
      </w:r>
      <w:r>
        <w:rPr>
          <w:rStyle w:val="VerbatimChar"/>
        </w:rPr>
        <w:t xml:space="preserve">   "texto": "Remoción de escombros en curso (V05)"</w:t>
      </w:r>
      <w:r>
        <w:br/>
      </w:r>
      <w:r>
        <w:rPr>
          <w:rStyle w:val="VerbatimChar"/>
        </w:rPr>
        <w:t xml:space="preserve">  }</w:t>
      </w:r>
      <w:r>
        <w:br/>
      </w:r>
      <w:r>
        <w:rPr>
          <w:rStyle w:val="VerbatimChar"/>
        </w:rPr>
        <w:t xml:space="preserve"> ],</w:t>
      </w:r>
      <w:r>
        <w:br/>
      </w:r>
      <w:r>
        <w:rPr>
          <w:rStyle w:val="VerbatimChar"/>
        </w:rPr>
        <w:t xml:space="preserve"> "enlaces": [</w:t>
      </w:r>
      <w:r>
        <w:br/>
      </w:r>
      <w:r>
        <w:rPr>
          <w:rStyle w:val="VerbatimChar"/>
        </w:rPr>
        <w:t xml:space="preserve">  {</w:t>
      </w:r>
      <w:r>
        <w:br/>
      </w:r>
      <w:r>
        <w:rPr>
          <w:rStyle w:val="VerbatimChar"/>
        </w:rPr>
        <w:t xml:space="preserve">   "de": "V05",</w:t>
      </w:r>
      <w:r>
        <w:br/>
      </w:r>
      <w:r>
        <w:rPr>
          <w:rStyle w:val="VerbatimChar"/>
        </w:rPr>
        <w:t xml:space="preserve">   "a": "V02"</w:t>
      </w:r>
      <w:r>
        <w:br/>
      </w:r>
      <w:r>
        <w:rPr>
          <w:rStyle w:val="VerbatimChar"/>
        </w:rPr>
        <w:t xml:space="preserve">  },</w:t>
      </w:r>
      <w:r>
        <w:br/>
      </w:r>
      <w:r>
        <w:rPr>
          <w:rStyle w:val="VerbatimChar"/>
        </w:rPr>
        <w:t xml:space="preserve">  {</w:t>
      </w:r>
      <w:r>
        <w:br/>
      </w:r>
      <w:r>
        <w:rPr>
          <w:rStyle w:val="VerbatimChar"/>
        </w:rPr>
        <w:t xml:space="preserve">   "de": "V05",</w:t>
      </w:r>
      <w:r>
        <w:br/>
      </w:r>
      <w:r>
        <w:rPr>
          <w:rStyle w:val="VerbatimChar"/>
        </w:rPr>
        <w:t xml:space="preserve">   "a": "V01"</w:t>
      </w:r>
      <w:r>
        <w:br/>
      </w:r>
      <w:r>
        <w:rPr>
          <w:rStyle w:val="VerbatimChar"/>
        </w:rPr>
        <w:t xml:space="preserve">  },</w:t>
      </w:r>
      <w:r>
        <w:br/>
      </w:r>
      <w:r>
        <w:rPr>
          <w:rStyle w:val="VerbatimChar"/>
        </w:rPr>
        <w:t xml:space="preserve">  {</w:t>
      </w:r>
      <w:r>
        <w:br/>
      </w:r>
      <w:r>
        <w:rPr>
          <w:rStyle w:val="VerbatimChar"/>
        </w:rPr>
        <w:t xml:space="preserve">   "de": "V03",</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"V02",</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"V01",</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"V07",</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"V06",</w:t>
      </w:r>
      <w:r>
        <w:br/>
      </w:r>
      <w:r>
        <w:rPr>
          <w:rStyle w:val="VerbatimChar"/>
        </w:rPr>
        <w:t xml:space="preserve">   "a": "V11"</w:t>
      </w:r>
      <w:r>
        <w:br/>
      </w:r>
      <w:r>
        <w:rPr>
          <w:rStyle w:val="VerbatimChar"/>
        </w:rPr>
        <w:t xml:space="preserve">  },</w:t>
      </w:r>
      <w:r>
        <w:br/>
      </w:r>
      <w:r>
        <w:rPr>
          <w:rStyle w:val="VerbatimChar"/>
        </w:rPr>
        <w:t xml:space="preserve">  {</w:t>
      </w:r>
      <w:r>
        <w:br/>
      </w:r>
      <w:r>
        <w:rPr>
          <w:rStyle w:val="VerbatimChar"/>
        </w:rPr>
        <w:t xml:space="preserve">   "de": "V06",</w:t>
      </w:r>
      <w:r>
        <w:br/>
      </w:r>
      <w:r>
        <w:rPr>
          <w:rStyle w:val="VerbatimChar"/>
        </w:rPr>
        <w:t xml:space="preserve">   "a": "V12"</w:t>
      </w:r>
      <w:r>
        <w:br/>
      </w:r>
      <w:r>
        <w:rPr>
          <w:rStyle w:val="VerbatimChar"/>
        </w:rPr>
        <w:t xml:space="preserve">  },</w:t>
      </w:r>
      <w:r>
        <w:br/>
      </w:r>
      <w:r>
        <w:rPr>
          <w:rStyle w:val="VerbatimChar"/>
        </w:rPr>
        <w:t xml:space="preserve">  {</w:t>
      </w:r>
      <w:r>
        <w:br/>
      </w:r>
      <w:r>
        <w:rPr>
          <w:rStyle w:val="VerbatimChar"/>
        </w:rPr>
        <w:t xml:space="preserve">   "de": "V11",</w:t>
      </w:r>
      <w:r>
        <w:br/>
      </w:r>
      <w:r>
        <w:rPr>
          <w:rStyle w:val="VerbatimChar"/>
        </w:rPr>
        <w:t xml:space="preserve">   "a": "V14"</w:t>
      </w:r>
      <w:r>
        <w:br/>
      </w:r>
      <w:r>
        <w:rPr>
          <w:rStyle w:val="VerbatimChar"/>
        </w:rPr>
        <w:t xml:space="preserve">  },</w:t>
      </w:r>
      <w:r>
        <w:br/>
      </w:r>
      <w:r>
        <w:rPr>
          <w:rStyle w:val="VerbatimChar"/>
        </w:rPr>
        <w:t xml:space="preserve">  {</w:t>
      </w:r>
      <w:r>
        <w:br/>
      </w:r>
      <w:r>
        <w:rPr>
          <w:rStyle w:val="VerbatimChar"/>
        </w:rPr>
        <w:t xml:space="preserve">   "de": "V12",</w:t>
      </w:r>
      <w:r>
        <w:br/>
      </w:r>
      <w:r>
        <w:rPr>
          <w:rStyle w:val="VerbatimChar"/>
        </w:rPr>
        <w:t xml:space="preserve">   "a": "V15"</w:t>
      </w:r>
      <w:r>
        <w:br/>
      </w:r>
      <w:r>
        <w:rPr>
          <w:rStyle w:val="VerbatimChar"/>
        </w:rPr>
        <w:t xml:space="preserve">  }</w:t>
      </w:r>
      <w:r>
        <w:br/>
      </w:r>
      <w:r>
        <w:rPr>
          <w:rStyle w:val="VerbatimChar"/>
        </w:rPr>
        <w:t xml:space="preserve"> ]</w:t>
      </w:r>
      <w:r>
        <w:br/>
      </w:r>
      <w:r>
        <w:rPr>
          <w:rStyle w:val="VerbatimChar"/>
        </w:rPr>
        <w:t xml:space="preserve">}</w:t>
      </w:r>
    </w:p>
    <w:bookmarkEnd w:id="704"/>
    <w:bookmarkEnd w:id="705"/>
    <w:bookmarkStart w:id="706" w:name="X6dbbfc97de1eb81d2985b7cf50b12f22bf5985e"/>
    <w:p>
      <w:pPr>
        <w:pStyle w:val="Heading2"/>
      </w:pPr>
      <w:r>
        <w:t xml:space="preserve">Anexo M. Inventario de archivos de la sección 4</w:t>
      </w:r>
    </w:p>
    <w:p>
      <w:pPr>
        <w:pStyle w:val="FirstParagraph"/>
      </w:pPr>
      <w:r>
        <w:t xml:space="preserve">El manifiesto del respaldo CP_20261013_E4_4_5_01 registra 107 archivos con su huella SHA-256 calculada sobre los bytes. El manifiesto no incluye su propio hash. El método declarado es SHA256_EJECUTADO_SOBRE_BYTES. La Tabla 20.13 permite verificar que los archivos fuente del repositorio coinciden con los que originan las secciones F4.3 a F4.5.</w:t>
      </w:r>
    </w:p>
    <w:p>
      <w:pPr>
        <w:pStyle w:val="TablaRotulo"/>
      </w:pPr>
      <w:bookmarkStart w:id="9403" w:name="rot_Tabla_20_13"/>
      <w:r>
        <w:rPr>
          <w:b/>
          <w:bCs/>
        </w:rPr>
        <w:t xml:space="preserve">Tabla 20.13</w:t>
      </w:r>
      <w:bookmarkEnd w:id="9403"/>
    </w:p>
    <w:p>
      <w:pPr>
        <w:pStyle w:val="TablaTitulo"/>
      </w:pPr>
      <w:r>
        <w:rPr>
          <w:i/>
          <w:iCs/>
        </w:rPr>
        <w:t xml:space="preserve">Inventario de archivos del respaldo con huella SHA-256</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848"/>
        <w:gridCol w:w="1848"/>
        <w:gridCol w:w="462"/>
        <w:gridCol w:w="3762"/>
      </w:tblGrid>
      <w:tr>
        <w:trPr>
          <w:cantSplit/>
          <w:tblHeader/>
        </w:trPr>
        <w:tc>
          <w:tcPr>
            <w:shd w:val="clear" w:color="auto" w:fill="00B050"/>
          </w:tcPr>
          <w:p>
            <w:pPr>
              <w:pStyle w:val="Tabla8"/>
              <w:jc w:val="center"/>
            </w:pPr>
            <w:r>
              <w:rPr>
                <w:b/>
                <w:color w:val="FFFFFF"/>
              </w:rPr>
              <w:t xml:space="preserve">Archivo</w:t>
            </w:r>
          </w:p>
        </w:tc>
        <w:tc>
          <w:tcPr>
            <w:shd w:val="clear" w:color="auto" w:fill="00B050"/>
          </w:tcPr>
          <w:p>
            <w:pPr>
              <w:pStyle w:val="Tabla8"/>
              <w:jc w:val="center"/>
            </w:pPr>
            <w:r>
              <w:rPr>
                <w:b/>
                <w:color w:val="FFFFFF"/>
              </w:rPr>
              <w:t xml:space="preserve">Clase</w:t>
            </w:r>
          </w:p>
        </w:tc>
        <w:tc>
          <w:tcPr>
            <w:shd w:val="clear" w:color="auto" w:fill="00B050"/>
          </w:tcPr>
          <w:p>
            <w:pPr>
              <w:pStyle w:val="Tabla8"/>
              <w:jc w:val="center"/>
            </w:pPr>
            <w:r>
              <w:rPr>
                <w:b/>
                <w:color w:val="FFFFFF"/>
              </w:rPr>
              <w:t xml:space="preserve">Bytes</w:t>
            </w:r>
          </w:p>
        </w:tc>
        <w:tc>
          <w:tcPr>
            <w:shd w:val="clear" w:color="auto" w:fill="00B050"/>
          </w:tcPr>
          <w:p>
            <w:pPr>
              <w:pStyle w:val="Tabla8"/>
              <w:jc w:val="center"/>
            </w:pPr>
            <w:r>
              <w:rPr>
                <w:b/>
                <w:color w:val="FFFFFF"/>
              </w:rPr>
              <w:t xml:space="preserve">SHA-256</w:t>
            </w:r>
          </w:p>
        </w:tc>
      </w:tr>
      <w:tr>
        <w:trPr>
          <w:cantSplit/>
        </w:trPr>
        <w:tc>
          <w:tcPr/>
          <w:p>
            <w:pPr>
              <w:pStyle w:val="Tabla8"/>
              <w:jc w:val="left"/>
            </w:pPr>
            <w:r>
              <w:t xml:space="preserve">INFORMES/00_INFORME_DE_REVISION_E3-P00.md</w:t>
            </w:r>
          </w:p>
        </w:tc>
        <w:tc>
          <w:tcPr/>
          <w:p>
            <w:pPr>
              <w:pStyle w:val="Tabla8"/>
              <w:jc w:val="left"/>
            </w:pPr>
            <w:r>
              <w:t xml:space="preserve">ENTREGADO</w:t>
            </w:r>
          </w:p>
        </w:tc>
        <w:tc>
          <w:tcPr/>
          <w:p>
            <w:pPr>
              <w:pStyle w:val="Tabla8"/>
              <w:jc w:val="left"/>
            </w:pPr>
            <w:r>
              <w:t xml:space="preserve">37998</w:t>
            </w:r>
          </w:p>
        </w:tc>
        <w:tc>
          <w:tcPr/>
          <w:p>
            <w:pPr>
              <w:pStyle w:val="Tabla8"/>
              <w:jc w:val="left"/>
            </w:pPr>
            <w:r>
              <w:t xml:space="preserve">464e140dcff3bacb9943636646445b43e9ec838f203449ab003ef267fddd4ee2</w:t>
            </w:r>
          </w:p>
        </w:tc>
      </w:tr>
      <w:tr>
        <w:trPr>
          <w:cantSplit/>
        </w:trPr>
        <w:tc>
          <w:tcPr/>
          <w:p>
            <w:pPr>
              <w:pStyle w:val="Tabla8"/>
              <w:jc w:val="left"/>
            </w:pPr>
            <w:r>
              <w:t xml:space="preserve">INFORMES/01_ADMISION_TV1_GATE0_Y_ALCANCE.md</w:t>
            </w:r>
          </w:p>
        </w:tc>
        <w:tc>
          <w:tcPr/>
          <w:p>
            <w:pPr>
              <w:pStyle w:val="Tabla8"/>
              <w:jc w:val="left"/>
            </w:pPr>
            <w:r>
              <w:t xml:space="preserve">ENTREGADO</w:t>
            </w:r>
          </w:p>
        </w:tc>
        <w:tc>
          <w:tcPr/>
          <w:p>
            <w:pPr>
              <w:pStyle w:val="Tabla8"/>
              <w:jc w:val="left"/>
            </w:pPr>
            <w:r>
              <w:t xml:space="preserve">12098</w:t>
            </w:r>
          </w:p>
        </w:tc>
        <w:tc>
          <w:tcPr/>
          <w:p>
            <w:pPr>
              <w:pStyle w:val="Tabla8"/>
              <w:jc w:val="left"/>
            </w:pPr>
            <w:r>
              <w:t xml:space="preserve">3ed7940d51c80a6bc857ec5e517675c50c3a499cf0aaac1e7f07e2ed02113ad4</w:t>
            </w:r>
          </w:p>
        </w:tc>
      </w:tr>
      <w:tr>
        <w:trPr>
          <w:cantSplit/>
        </w:trPr>
        <w:tc>
          <w:tcPr/>
          <w:p>
            <w:pPr>
              <w:pStyle w:val="Tabla8"/>
              <w:jc w:val="left"/>
            </w:pPr>
            <w:r>
              <w:t xml:space="preserve">INFORMES/REGISTRO_ENTREGAS.json</w:t>
            </w:r>
          </w:p>
        </w:tc>
        <w:tc>
          <w:tcPr/>
          <w:p>
            <w:pPr>
              <w:pStyle w:val="Tabla8"/>
              <w:jc w:val="left"/>
            </w:pPr>
            <w:r>
              <w:t xml:space="preserve">RESULTADO</w:t>
            </w:r>
          </w:p>
        </w:tc>
        <w:tc>
          <w:tcPr/>
          <w:p>
            <w:pPr>
              <w:pStyle w:val="Tabla8"/>
              <w:jc w:val="left"/>
            </w:pPr>
            <w:r>
              <w:t xml:space="preserve">9679</w:t>
            </w:r>
          </w:p>
        </w:tc>
        <w:tc>
          <w:tcPr/>
          <w:p>
            <w:pPr>
              <w:pStyle w:val="Tabla8"/>
              <w:jc w:val="left"/>
            </w:pPr>
            <w:r>
              <w:t xml:space="preserve">89bc1974874324a010003029c4f30b13a15b7e460b691c6c9de50e085a062992</w:t>
            </w:r>
          </w:p>
        </w:tc>
      </w:tr>
      <w:tr>
        <w:trPr>
          <w:cantSplit/>
        </w:trPr>
        <w:tc>
          <w:tcPr/>
          <w:p>
            <w:pPr>
              <w:pStyle w:val="Tabla8"/>
              <w:jc w:val="left"/>
            </w:pPr>
            <w:r>
              <w:t xml:space="preserve">INFORMES/REGISTRO_ENTREGAS.md</w:t>
            </w:r>
          </w:p>
        </w:tc>
        <w:tc>
          <w:tcPr/>
          <w:p>
            <w:pPr>
              <w:pStyle w:val="Tabla8"/>
              <w:jc w:val="left"/>
            </w:pPr>
            <w:r>
              <w:t xml:space="preserve">ENTREGADO</w:t>
            </w:r>
          </w:p>
        </w:tc>
        <w:tc>
          <w:tcPr/>
          <w:p>
            <w:pPr>
              <w:pStyle w:val="Tabla8"/>
              <w:jc w:val="left"/>
            </w:pPr>
            <w:r>
              <w:t xml:space="preserve">4368</w:t>
            </w:r>
          </w:p>
        </w:tc>
        <w:tc>
          <w:tcPr/>
          <w:p>
            <w:pPr>
              <w:pStyle w:val="Tabla8"/>
              <w:jc w:val="left"/>
            </w:pPr>
            <w:r>
              <w:t xml:space="preserve">52efc45cfb4534a5058e25c1a201ed7337caedae84eb1926f7a71530d34d56e5</w:t>
            </w:r>
          </w:p>
        </w:tc>
      </w:tr>
      <w:tr>
        <w:trPr>
          <w:cantSplit/>
        </w:trPr>
        <w:tc>
          <w:tcPr/>
          <w:p>
            <w:pPr>
              <w:pStyle w:val="Tabla8"/>
              <w:jc w:val="left"/>
            </w:pPr>
            <w:r>
              <w:t xml:space="preserve">README.md</w:t>
            </w:r>
          </w:p>
        </w:tc>
        <w:tc>
          <w:tcPr/>
          <w:p>
            <w:pPr>
              <w:pStyle w:val="Tabla8"/>
              <w:jc w:val="left"/>
            </w:pPr>
            <w:r>
              <w:t xml:space="preserve">ENTREGADO</w:t>
            </w:r>
          </w:p>
        </w:tc>
        <w:tc>
          <w:tcPr/>
          <w:p>
            <w:pPr>
              <w:pStyle w:val="Tabla8"/>
              <w:jc w:val="left"/>
            </w:pPr>
            <w:r>
              <w:t xml:space="preserve">4273</w:t>
            </w:r>
          </w:p>
        </w:tc>
        <w:tc>
          <w:tcPr/>
          <w:p>
            <w:pPr>
              <w:pStyle w:val="Tabla8"/>
              <w:jc w:val="left"/>
            </w:pPr>
            <w:r>
              <w:t xml:space="preserve">7103b1a7e3345fb8d78a4a6c9e5e76ca80e3d145a438b6a9a6ec7467105f4ebd</w:t>
            </w:r>
          </w:p>
        </w:tc>
      </w:tr>
      <w:tr>
        <w:trPr>
          <w:cantSplit/>
        </w:trPr>
        <w:tc>
          <w:tcPr/>
          <w:p>
            <w:pPr>
              <w:pStyle w:val="Tabla8"/>
              <w:jc w:val="left"/>
            </w:pPr>
            <w:r>
              <w:t xml:space="preserve">SECCION_4_3/DAG_E1.alt.md</w:t>
            </w:r>
          </w:p>
        </w:tc>
        <w:tc>
          <w:tcPr/>
          <w:p>
            <w:pPr>
              <w:pStyle w:val="Tabla8"/>
              <w:jc w:val="left"/>
            </w:pPr>
            <w:r>
              <w:t xml:space="preserve">GRAFICO</w:t>
            </w:r>
          </w:p>
        </w:tc>
        <w:tc>
          <w:tcPr/>
          <w:p>
            <w:pPr>
              <w:pStyle w:val="Tabla8"/>
              <w:jc w:val="left"/>
            </w:pPr>
            <w:r>
              <w:t xml:space="preserve">471</w:t>
            </w:r>
          </w:p>
        </w:tc>
        <w:tc>
          <w:tcPr/>
          <w:p>
            <w:pPr>
              <w:pStyle w:val="Tabla8"/>
              <w:jc w:val="left"/>
            </w:pPr>
            <w:r>
              <w:t xml:space="preserve">19ca54cb6e264dfa7da132c4c516707406b7a9fd00d32cad6f924a0d16fa75c0</w:t>
            </w:r>
          </w:p>
        </w:tc>
      </w:tr>
      <w:tr>
        <w:trPr>
          <w:cantSplit/>
        </w:trPr>
        <w:tc>
          <w:tcPr/>
          <w:p>
            <w:pPr>
              <w:pStyle w:val="Tabla8"/>
              <w:jc w:val="left"/>
            </w:pPr>
            <w:r>
              <w:t xml:space="preserve">SECCION_4_3/DAG_E1.svg</w:t>
            </w:r>
          </w:p>
        </w:tc>
        <w:tc>
          <w:tcPr/>
          <w:p>
            <w:pPr>
              <w:pStyle w:val="Tabla8"/>
              <w:jc w:val="left"/>
            </w:pPr>
            <w:r>
              <w:t xml:space="preserve">GRAFICO</w:t>
            </w:r>
          </w:p>
        </w:tc>
        <w:tc>
          <w:tcPr/>
          <w:p>
            <w:pPr>
              <w:pStyle w:val="Tabla8"/>
              <w:jc w:val="left"/>
            </w:pPr>
            <w:r>
              <w:t xml:space="preserve">9014</w:t>
            </w:r>
          </w:p>
        </w:tc>
        <w:tc>
          <w:tcPr/>
          <w:p>
            <w:pPr>
              <w:pStyle w:val="Tabla8"/>
              <w:jc w:val="left"/>
            </w:pPr>
            <w:r>
              <w:t xml:space="preserve">dc705481b850e7e60ca11afcb4349115c056be25c3648c0201a2f51221b8938c</w:t>
            </w:r>
          </w:p>
        </w:tc>
      </w:tr>
      <w:tr>
        <w:trPr>
          <w:cantSplit/>
        </w:trPr>
        <w:tc>
          <w:tcPr/>
          <w:p>
            <w:pPr>
              <w:pStyle w:val="Tabla8"/>
              <w:jc w:val="left"/>
            </w:pPr>
            <w:r>
              <w:t xml:space="preserve">SECCION_4_3/SECCION_4_3_SGR_CONV56_AIRE.md</w:t>
            </w:r>
          </w:p>
        </w:tc>
        <w:tc>
          <w:tcPr/>
          <w:p>
            <w:pPr>
              <w:pStyle w:val="Tabla8"/>
              <w:jc w:val="left"/>
            </w:pPr>
            <w:r>
              <w:t xml:space="preserve">ENTREGADO</w:t>
            </w:r>
          </w:p>
        </w:tc>
        <w:tc>
          <w:tcPr/>
          <w:p>
            <w:pPr>
              <w:pStyle w:val="Tabla8"/>
              <w:jc w:val="left"/>
            </w:pPr>
            <w:r>
              <w:t xml:space="preserve">18116</w:t>
            </w:r>
          </w:p>
        </w:tc>
        <w:tc>
          <w:tcPr/>
          <w:p>
            <w:pPr>
              <w:pStyle w:val="Tabla8"/>
              <w:jc w:val="left"/>
            </w:pPr>
            <w:r>
              <w:t xml:space="preserve">819ac18380f5957060adabdc7b04ffbcc44b835f1d6d00114035792307417ab4</w:t>
            </w:r>
          </w:p>
        </w:tc>
      </w:tr>
      <w:tr>
        <w:trPr>
          <w:cantSplit/>
        </w:trPr>
        <w:tc>
          <w:tcPr/>
          <w:p>
            <w:pPr>
              <w:pStyle w:val="Tabla8"/>
              <w:jc w:val="left"/>
            </w:pPr>
            <w:r>
              <w:t xml:space="preserve">SECCION_4_4/ANALISIS_COMPLEMENTARIO.json</w:t>
            </w:r>
          </w:p>
        </w:tc>
        <w:tc>
          <w:tcPr/>
          <w:p>
            <w:pPr>
              <w:pStyle w:val="Tabla8"/>
              <w:jc w:val="left"/>
            </w:pPr>
            <w:r>
              <w:t xml:space="preserve">RESULTADO</w:t>
            </w:r>
          </w:p>
        </w:tc>
        <w:tc>
          <w:tcPr/>
          <w:p>
            <w:pPr>
              <w:pStyle w:val="Tabla8"/>
              <w:jc w:val="left"/>
            </w:pPr>
            <w:r>
              <w:t xml:space="preserve">32414</w:t>
            </w:r>
          </w:p>
        </w:tc>
        <w:tc>
          <w:tcPr/>
          <w:p>
            <w:pPr>
              <w:pStyle w:val="Tabla8"/>
              <w:jc w:val="left"/>
            </w:pPr>
            <w:r>
              <w:t xml:space="preserve">ca89bb46a81c953a99bd2f2dec6d6ca75a0b25664c8f08e2bbb6ca77bc908076</w:t>
            </w:r>
          </w:p>
        </w:tc>
      </w:tr>
      <w:tr>
        <w:trPr>
          <w:cantSplit/>
        </w:trPr>
        <w:tc>
          <w:tcPr/>
          <w:p>
            <w:pPr>
              <w:pStyle w:val="Tabla8"/>
              <w:jc w:val="left"/>
            </w:pPr>
            <w:r>
              <w:t xml:space="preserve">SECCION_4_4/CHECKPOINT_MOTOR.json</w:t>
            </w:r>
          </w:p>
        </w:tc>
        <w:tc>
          <w:tcPr/>
          <w:p>
            <w:pPr>
              <w:pStyle w:val="Tabla8"/>
              <w:jc w:val="left"/>
            </w:pPr>
            <w:r>
              <w:t xml:space="preserve">RESULTADO</w:t>
            </w:r>
          </w:p>
        </w:tc>
        <w:tc>
          <w:tcPr/>
          <w:p>
            <w:pPr>
              <w:pStyle w:val="Tabla8"/>
              <w:jc w:val="left"/>
            </w:pPr>
            <w:r>
              <w:t xml:space="preserve">900</w:t>
            </w:r>
          </w:p>
        </w:tc>
        <w:tc>
          <w:tcPr/>
          <w:p>
            <w:pPr>
              <w:pStyle w:val="Tabla8"/>
              <w:jc w:val="left"/>
            </w:pPr>
            <w:r>
              <w:t xml:space="preserve">f4e2e51022d3f9618f7aa6ceb3d3eb39528863f7343edc7d9d4fd2e61f089458</w:t>
            </w:r>
          </w:p>
        </w:tc>
      </w:tr>
      <w:tr>
        <w:trPr>
          <w:cantSplit/>
        </w:trPr>
        <w:tc>
          <w:tcPr/>
          <w:p>
            <w:pPr>
              <w:pStyle w:val="Tabla8"/>
              <w:jc w:val="left"/>
            </w:pPr>
            <w:r>
              <w:t xml:space="preserve">SECCION_4_4/ENTRADA_MOTOR.json</w:t>
            </w:r>
          </w:p>
        </w:tc>
        <w:tc>
          <w:tcPr/>
          <w:p>
            <w:pPr>
              <w:pStyle w:val="Tabla8"/>
              <w:jc w:val="left"/>
            </w:pPr>
            <w:r>
              <w:t xml:space="preserve">RESULTADO</w:t>
            </w:r>
          </w:p>
        </w:tc>
        <w:tc>
          <w:tcPr/>
          <w:p>
            <w:pPr>
              <w:pStyle w:val="Tabla8"/>
              <w:jc w:val="left"/>
            </w:pPr>
            <w:r>
              <w:t xml:space="preserve">428502</w:t>
            </w:r>
          </w:p>
        </w:tc>
        <w:tc>
          <w:tcPr/>
          <w:p>
            <w:pPr>
              <w:pStyle w:val="Tabla8"/>
              <w:jc w:val="left"/>
            </w:pPr>
            <w:r>
              <w:t xml:space="preserve">959c1fa7af9abbde9cd84624ce92e2d48aa628b813595043f8aa669f0a5d29c1</w:t>
            </w:r>
          </w:p>
        </w:tc>
      </w:tr>
      <w:tr>
        <w:trPr>
          <w:cantSplit/>
        </w:trPr>
        <w:tc>
          <w:tcPr/>
          <w:p>
            <w:pPr>
              <w:pStyle w:val="Tabla8"/>
              <w:jc w:val="left"/>
            </w:pPr>
            <w:r>
              <w:t xml:space="preserve">SECCION_4_4/FICHAS_PARITARIAS.csv</w:t>
            </w:r>
          </w:p>
        </w:tc>
        <w:tc>
          <w:tcPr/>
          <w:p>
            <w:pPr>
              <w:pStyle w:val="Tabla8"/>
              <w:jc w:val="left"/>
            </w:pPr>
            <w:r>
              <w:t xml:space="preserve">FICHA</w:t>
            </w:r>
          </w:p>
        </w:tc>
        <w:tc>
          <w:tcPr/>
          <w:p>
            <w:pPr>
              <w:pStyle w:val="Tabla8"/>
              <w:jc w:val="left"/>
            </w:pPr>
            <w:r>
              <w:t xml:space="preserve">151537</w:t>
            </w:r>
          </w:p>
        </w:tc>
        <w:tc>
          <w:tcPr/>
          <w:p>
            <w:pPr>
              <w:pStyle w:val="Tabla8"/>
              <w:jc w:val="left"/>
            </w:pPr>
            <w:r>
              <w:t xml:space="preserve">aff75d88fd8f0a94a4e1c8c5cebbb5eee917571e61100e68711dfd255d909c76</w:t>
            </w:r>
          </w:p>
        </w:tc>
      </w:tr>
      <w:tr>
        <w:trPr>
          <w:cantSplit/>
        </w:trPr>
        <w:tc>
          <w:tcPr/>
          <w:p>
            <w:pPr>
              <w:pStyle w:val="Tabla8"/>
              <w:jc w:val="left"/>
            </w:pPr>
            <w:r>
              <w:t xml:space="preserve">SECCION_4_4/FICHAS_PARITARIAS.json</w:t>
            </w:r>
          </w:p>
        </w:tc>
        <w:tc>
          <w:tcPr/>
          <w:p>
            <w:pPr>
              <w:pStyle w:val="Tabla8"/>
              <w:jc w:val="left"/>
            </w:pPr>
            <w:r>
              <w:t xml:space="preserve">FICHA</w:t>
            </w:r>
          </w:p>
        </w:tc>
        <w:tc>
          <w:tcPr/>
          <w:p>
            <w:pPr>
              <w:pStyle w:val="Tabla8"/>
              <w:jc w:val="left"/>
            </w:pPr>
            <w:r>
              <w:t xml:space="preserve">410996</w:t>
            </w:r>
          </w:p>
        </w:tc>
        <w:tc>
          <w:tcPr/>
          <w:p>
            <w:pPr>
              <w:pStyle w:val="Tabla8"/>
              <w:jc w:val="left"/>
            </w:pPr>
            <w:r>
              <w:t xml:space="preserve">68aff6b7443a52caf0847ac1fe45df66d0c30e5e5ef65e01c22b11d41d9fcd83</w:t>
            </w:r>
          </w:p>
        </w:tc>
      </w:tr>
      <w:tr>
        <w:trPr>
          <w:cantSplit/>
        </w:trPr>
        <w:tc>
          <w:tcPr/>
          <w:p>
            <w:pPr>
              <w:pStyle w:val="Tabla8"/>
              <w:jc w:val="left"/>
            </w:pPr>
            <w:r>
              <w:t xml:space="preserve">SECCION_4_4/MICMAC_S0_HISTORICO_CONDICIONADO.svg</w:t>
            </w:r>
          </w:p>
        </w:tc>
        <w:tc>
          <w:tcPr/>
          <w:p>
            <w:pPr>
              <w:pStyle w:val="Tabla8"/>
              <w:jc w:val="left"/>
            </w:pPr>
            <w:r>
              <w:t xml:space="preserve">GRAFICO</w:t>
            </w:r>
          </w:p>
        </w:tc>
        <w:tc>
          <w:tcPr/>
          <w:p>
            <w:pPr>
              <w:pStyle w:val="Tabla8"/>
              <w:jc w:val="left"/>
            </w:pPr>
            <w:r>
              <w:t xml:space="preserve">2268</w:t>
            </w:r>
          </w:p>
        </w:tc>
        <w:tc>
          <w:tcPr/>
          <w:p>
            <w:pPr>
              <w:pStyle w:val="Tabla8"/>
              <w:jc w:val="left"/>
            </w:pPr>
            <w:r>
              <w:t xml:space="preserve">48d61aef71e348e4f1b1ce92b05e891b54325c278d3a7ac83ef1fcb51770c201</w:t>
            </w:r>
          </w:p>
        </w:tc>
      </w:tr>
      <w:tr>
        <w:trPr>
          <w:cantSplit/>
        </w:trPr>
        <w:tc>
          <w:tcPr/>
          <w:p>
            <w:pPr>
              <w:pStyle w:val="Tabla8"/>
              <w:jc w:val="left"/>
            </w:pPr>
            <w:r>
              <w:t xml:space="preserve">SECCION_4_4/MICMAC_S1_PREVIO_DOC.svg</w:t>
            </w:r>
          </w:p>
        </w:tc>
        <w:tc>
          <w:tcPr/>
          <w:p>
            <w:pPr>
              <w:pStyle w:val="Tabla8"/>
              <w:jc w:val="left"/>
            </w:pPr>
            <w:r>
              <w:t xml:space="preserve">GRAFICO</w:t>
            </w:r>
          </w:p>
        </w:tc>
        <w:tc>
          <w:tcPr/>
          <w:p>
            <w:pPr>
              <w:pStyle w:val="Tabla8"/>
              <w:jc w:val="left"/>
            </w:pPr>
            <w:r>
              <w:t xml:space="preserve">3761</w:t>
            </w:r>
          </w:p>
        </w:tc>
        <w:tc>
          <w:tcPr/>
          <w:p>
            <w:pPr>
              <w:pStyle w:val="Tabla8"/>
              <w:jc w:val="left"/>
            </w:pPr>
            <w:r>
              <w:t xml:space="preserve">e5d581d8a4e42171280fa57edd7e784bdf128cbc7e1a545861c19345ca21d1c2</w:t>
            </w:r>
          </w:p>
        </w:tc>
      </w:tr>
      <w:tr>
        <w:trPr>
          <w:cantSplit/>
        </w:trPr>
        <w:tc>
          <w:tcPr/>
          <w:p>
            <w:pPr>
              <w:pStyle w:val="Tabla8"/>
              <w:jc w:val="left"/>
            </w:pPr>
            <w:r>
              <w:t xml:space="preserve">SECCION_4_4/MICMAC_S3_ENVOLVENTE_ADMISIBLE_BAJA.svg</w:t>
            </w:r>
          </w:p>
        </w:tc>
        <w:tc>
          <w:tcPr/>
          <w:p>
            <w:pPr>
              <w:pStyle w:val="Tabla8"/>
              <w:jc w:val="left"/>
            </w:pPr>
            <w:r>
              <w:t xml:space="preserve">GRAFICO</w:t>
            </w:r>
          </w:p>
        </w:tc>
        <w:tc>
          <w:tcPr/>
          <w:p>
            <w:pPr>
              <w:pStyle w:val="Tabla8"/>
              <w:jc w:val="left"/>
            </w:pPr>
            <w:r>
              <w:t xml:space="preserve">3159</w:t>
            </w:r>
          </w:p>
        </w:tc>
        <w:tc>
          <w:tcPr/>
          <w:p>
            <w:pPr>
              <w:pStyle w:val="Tabla8"/>
              <w:jc w:val="left"/>
            </w:pPr>
            <w:r>
              <w:t xml:space="preserve">0ec7de5bde98992b7a44590edba7941a8e633f50b0c912c40b7673784f7064de</w:t>
            </w:r>
          </w:p>
        </w:tc>
      </w:tr>
      <w:tr>
        <w:trPr>
          <w:cantSplit/>
        </w:trPr>
        <w:tc>
          <w:tcPr/>
          <w:p>
            <w:pPr>
              <w:pStyle w:val="Tabla8"/>
              <w:jc w:val="left"/>
            </w:pPr>
            <w:r>
              <w:t xml:space="preserve">SECCION_4_4/MICMAC_S4_ENVOLVENTE_ADMISIBLE_ALTA.svg</w:t>
            </w:r>
          </w:p>
        </w:tc>
        <w:tc>
          <w:tcPr/>
          <w:p>
            <w:pPr>
              <w:pStyle w:val="Tabla8"/>
              <w:jc w:val="left"/>
            </w:pPr>
            <w:r>
              <w:t xml:space="preserve">GRAFICO</w:t>
            </w:r>
          </w:p>
        </w:tc>
        <w:tc>
          <w:tcPr/>
          <w:p>
            <w:pPr>
              <w:pStyle w:val="Tabla8"/>
              <w:jc w:val="left"/>
            </w:pPr>
            <w:r>
              <w:t xml:space="preserve">3793</w:t>
            </w:r>
          </w:p>
        </w:tc>
        <w:tc>
          <w:tcPr/>
          <w:p>
            <w:pPr>
              <w:pStyle w:val="Tabla8"/>
              <w:jc w:val="left"/>
            </w:pPr>
            <w:r>
              <w:t xml:space="preserve">10c13e62e9fffebde79e07c9b25a5cf154551a7d98693a9925c90817582f6d4c</w:t>
            </w:r>
          </w:p>
        </w:tc>
      </w:tr>
      <w:tr>
        <w:trPr>
          <w:cantSplit/>
        </w:trPr>
        <w:tc>
          <w:tcPr/>
          <w:p>
            <w:pPr>
              <w:pStyle w:val="Tabla8"/>
              <w:jc w:val="left"/>
            </w:pPr>
            <w:r>
              <w:t xml:space="preserve">SECCION_4_4/MICMAC_S_TRABAJO_PROPUESTO.svg</w:t>
            </w:r>
          </w:p>
        </w:tc>
        <w:tc>
          <w:tcPr/>
          <w:p>
            <w:pPr>
              <w:pStyle w:val="Tabla8"/>
              <w:jc w:val="left"/>
            </w:pPr>
            <w:r>
              <w:t xml:space="preserve">GRAFICO</w:t>
            </w:r>
          </w:p>
        </w:tc>
        <w:tc>
          <w:tcPr/>
          <w:p>
            <w:pPr>
              <w:pStyle w:val="Tabla8"/>
              <w:jc w:val="left"/>
            </w:pPr>
            <w:r>
              <w:t xml:space="preserve">3774</w:t>
            </w:r>
          </w:p>
        </w:tc>
        <w:tc>
          <w:tcPr/>
          <w:p>
            <w:pPr>
              <w:pStyle w:val="Tabla8"/>
              <w:jc w:val="left"/>
            </w:pPr>
            <w:r>
              <w:t xml:space="preserve">17b2ab7eb18f664ec27eaa7cb03421c54349273d03cd3206fc364ae1237af2b3</w:t>
            </w:r>
          </w:p>
        </w:tc>
      </w:tr>
      <w:tr>
        <w:trPr>
          <w:cantSplit/>
        </w:trPr>
        <w:tc>
          <w:tcPr/>
          <w:p>
            <w:pPr>
              <w:pStyle w:val="Tabla8"/>
              <w:jc w:val="left"/>
            </w:pPr>
            <w:r>
              <w:t xml:space="preserve">SECCION_4_4/MID_FORMAL.csv</w:t>
            </w:r>
          </w:p>
        </w:tc>
        <w:tc>
          <w:tcPr/>
          <w:p>
            <w:pPr>
              <w:pStyle w:val="Tabla8"/>
              <w:jc w:val="left"/>
            </w:pPr>
            <w:r>
              <w:t xml:space="preserve">MATRIZ</w:t>
            </w:r>
          </w:p>
        </w:tc>
        <w:tc>
          <w:tcPr/>
          <w:p>
            <w:pPr>
              <w:pStyle w:val="Tabla8"/>
              <w:jc w:val="left"/>
            </w:pPr>
            <w:r>
              <w:t xml:space="preserve">923</w:t>
            </w:r>
          </w:p>
        </w:tc>
        <w:tc>
          <w:tcPr/>
          <w:p>
            <w:pPr>
              <w:pStyle w:val="Tabla8"/>
              <w:jc w:val="left"/>
            </w:pPr>
            <w:r>
              <w:t xml:space="preserve">76995024e4e89975d4df2b378c0b683e6090ad6b81e0e43468a79948c66b8232</w:t>
            </w:r>
          </w:p>
        </w:tc>
      </w:tr>
      <w:tr>
        <w:trPr>
          <w:cantSplit/>
        </w:trPr>
        <w:tc>
          <w:tcPr/>
          <w:p>
            <w:pPr>
              <w:pStyle w:val="Tabla8"/>
              <w:jc w:val="left"/>
            </w:pPr>
            <w:r>
              <w:t xml:space="preserve">SECCION_4_4/MID_S0_HISTORICO_CONDICIONADO.csv</w:t>
            </w:r>
          </w:p>
        </w:tc>
        <w:tc>
          <w:tcPr/>
          <w:p>
            <w:pPr>
              <w:pStyle w:val="Tabla8"/>
              <w:jc w:val="left"/>
            </w:pPr>
            <w:r>
              <w:t xml:space="preserve">MATRIZ</w:t>
            </w:r>
          </w:p>
        </w:tc>
        <w:tc>
          <w:tcPr/>
          <w:p>
            <w:pPr>
              <w:pStyle w:val="Tabla8"/>
              <w:jc w:val="left"/>
            </w:pPr>
            <w:r>
              <w:t xml:space="preserve">677</w:t>
            </w:r>
          </w:p>
        </w:tc>
        <w:tc>
          <w:tcPr/>
          <w:p>
            <w:pPr>
              <w:pStyle w:val="Tabla8"/>
              <w:jc w:val="left"/>
            </w:pPr>
            <w:r>
              <w:t xml:space="preserve">6d5645b4c7b744890c9a114128547cad0c8614f650319570ad9d48c32ca4c3ae</w:t>
            </w:r>
          </w:p>
        </w:tc>
      </w:tr>
      <w:tr>
        <w:trPr>
          <w:cantSplit/>
        </w:trPr>
        <w:tc>
          <w:tcPr/>
          <w:p>
            <w:pPr>
              <w:pStyle w:val="Tabla8"/>
              <w:jc w:val="left"/>
            </w:pPr>
            <w:r>
              <w:t xml:space="preserve">SECCION_4_4/MID_S1_PREVIO_DOC.csv</w:t>
            </w:r>
          </w:p>
        </w:tc>
        <w:tc>
          <w:tcPr/>
          <w:p>
            <w:pPr>
              <w:pStyle w:val="Tabla8"/>
              <w:jc w:val="left"/>
            </w:pPr>
            <w:r>
              <w:t xml:space="preserve">MATRIZ</w:t>
            </w:r>
          </w:p>
        </w:tc>
        <w:tc>
          <w:tcPr/>
          <w:p>
            <w:pPr>
              <w:pStyle w:val="Tabla8"/>
              <w:jc w:val="left"/>
            </w:pPr>
            <w:r>
              <w:t xml:space="preserve">677</w:t>
            </w:r>
          </w:p>
        </w:tc>
        <w:tc>
          <w:tcPr/>
          <w:p>
            <w:pPr>
              <w:pStyle w:val="Tabla8"/>
              <w:jc w:val="left"/>
            </w:pPr>
            <w:r>
              <w:t xml:space="preserve">19c90418a21154004a6053db3b90a87ae7f4ee60e7748b64fbc6f57a0d3ce3b8</w:t>
            </w:r>
          </w:p>
        </w:tc>
      </w:tr>
      <w:tr>
        <w:trPr>
          <w:cantSplit/>
        </w:trPr>
        <w:tc>
          <w:tcPr/>
          <w:p>
            <w:pPr>
              <w:pStyle w:val="Tabla8"/>
              <w:jc w:val="left"/>
            </w:pPr>
            <w:r>
              <w:t xml:space="preserve">SECCION_4_4/MID_S3_ENVOLVENTE_ADMISIBLE_BAJA.csv</w:t>
            </w:r>
          </w:p>
        </w:tc>
        <w:tc>
          <w:tcPr/>
          <w:p>
            <w:pPr>
              <w:pStyle w:val="Tabla8"/>
              <w:jc w:val="left"/>
            </w:pPr>
            <w:r>
              <w:t xml:space="preserve">MATRIZ</w:t>
            </w:r>
          </w:p>
        </w:tc>
        <w:tc>
          <w:tcPr/>
          <w:p>
            <w:pPr>
              <w:pStyle w:val="Tabla8"/>
              <w:jc w:val="left"/>
            </w:pPr>
            <w:r>
              <w:t xml:space="preserve">676</w:t>
            </w:r>
          </w:p>
        </w:tc>
        <w:tc>
          <w:tcPr/>
          <w:p>
            <w:pPr>
              <w:pStyle w:val="Tabla8"/>
              <w:jc w:val="left"/>
            </w:pPr>
            <w:r>
              <w:t xml:space="preserve">7282cd08a256021d99e07ea81c1c613b73a9543eb8788a522a9c21d66569e6dd</w:t>
            </w:r>
          </w:p>
        </w:tc>
      </w:tr>
      <w:tr>
        <w:trPr>
          <w:cantSplit/>
        </w:trPr>
        <w:tc>
          <w:tcPr/>
          <w:p>
            <w:pPr>
              <w:pStyle w:val="Tabla8"/>
              <w:jc w:val="left"/>
            </w:pPr>
            <w:r>
              <w:t xml:space="preserve">SECCION_4_4/MID_S4_ENVOLVENTE_ADMISIBLE_ALTA.csv</w:t>
            </w:r>
          </w:p>
        </w:tc>
        <w:tc>
          <w:tcPr/>
          <w:p>
            <w:pPr>
              <w:pStyle w:val="Tabla8"/>
              <w:jc w:val="left"/>
            </w:pPr>
            <w:r>
              <w:t xml:space="preserve">MATRIZ</w:t>
            </w:r>
          </w:p>
        </w:tc>
        <w:tc>
          <w:tcPr/>
          <w:p>
            <w:pPr>
              <w:pStyle w:val="Tabla8"/>
              <w:jc w:val="left"/>
            </w:pPr>
            <w:r>
              <w:t xml:space="preserve">687</w:t>
            </w:r>
          </w:p>
        </w:tc>
        <w:tc>
          <w:tcPr/>
          <w:p>
            <w:pPr>
              <w:pStyle w:val="Tabla8"/>
              <w:jc w:val="left"/>
            </w:pPr>
            <w:r>
              <w:t xml:space="preserve">593158f040bf81361bf3adab964370207ce593820866c0b9f7a4a64ef487385a</w:t>
            </w:r>
          </w:p>
        </w:tc>
      </w:tr>
      <w:tr>
        <w:trPr>
          <w:cantSplit/>
        </w:trPr>
        <w:tc>
          <w:tcPr/>
          <w:p>
            <w:pPr>
              <w:pStyle w:val="Tabla8"/>
              <w:jc w:val="left"/>
            </w:pPr>
            <w:r>
              <w:t xml:space="preserve">SECCION_4_4/MID_S_TRABAJO_PROPUESTO.csv</w:t>
            </w:r>
          </w:p>
        </w:tc>
        <w:tc>
          <w:tcPr/>
          <w:p>
            <w:pPr>
              <w:pStyle w:val="Tabla8"/>
              <w:jc w:val="left"/>
            </w:pPr>
            <w:r>
              <w:t xml:space="preserve">MATRIZ</w:t>
            </w:r>
          </w:p>
        </w:tc>
        <w:tc>
          <w:tcPr/>
          <w:p>
            <w:pPr>
              <w:pStyle w:val="Tabla8"/>
              <w:jc w:val="left"/>
            </w:pPr>
            <w:r>
              <w:t xml:space="preserve">678</w:t>
            </w:r>
          </w:p>
        </w:tc>
        <w:tc>
          <w:tcPr/>
          <w:p>
            <w:pPr>
              <w:pStyle w:val="Tabla8"/>
              <w:jc w:val="left"/>
            </w:pPr>
            <w:r>
              <w:t xml:space="preserve">4527524414ed9404c4e36f3e357568ab13bdb74cb5b8dddc5479b31d13df2a89</w:t>
            </w:r>
          </w:p>
        </w:tc>
      </w:tr>
      <w:tr>
        <w:trPr>
          <w:cantSplit/>
        </w:trPr>
        <w:tc>
          <w:tcPr/>
          <w:p>
            <w:pPr>
              <w:pStyle w:val="Tabla8"/>
              <w:jc w:val="left"/>
            </w:pPr>
            <w:r>
              <w:t xml:space="preserve">SECCION_4_4/PLAN_PARITARIO.csv</w:t>
            </w:r>
          </w:p>
        </w:tc>
        <w:tc>
          <w:tcPr/>
          <w:p>
            <w:pPr>
              <w:pStyle w:val="Tabla8"/>
              <w:jc w:val="left"/>
            </w:pPr>
            <w:r>
              <w:t xml:space="preserve">MATRIZ</w:t>
            </w:r>
          </w:p>
        </w:tc>
        <w:tc>
          <w:tcPr/>
          <w:p>
            <w:pPr>
              <w:pStyle w:val="Tabla8"/>
              <w:jc w:val="left"/>
            </w:pPr>
            <w:r>
              <w:t xml:space="preserve">2873</w:t>
            </w:r>
          </w:p>
        </w:tc>
        <w:tc>
          <w:tcPr/>
          <w:p>
            <w:pPr>
              <w:pStyle w:val="Tabla8"/>
              <w:jc w:val="left"/>
            </w:pPr>
            <w:r>
              <w:t xml:space="preserve">882db0ada826d41f73d2826294929f99d4a859c0672311a6e8787a565f41d11d</w:t>
            </w:r>
          </w:p>
        </w:tc>
      </w:tr>
      <w:tr>
        <w:trPr>
          <w:cantSplit/>
        </w:trPr>
        <w:tc>
          <w:tcPr/>
          <w:p>
            <w:pPr>
              <w:pStyle w:val="Tabla8"/>
              <w:jc w:val="left"/>
            </w:pPr>
            <w:r>
              <w:t xml:space="preserve">SECCION_4_4/REGISTRO_DIRECCIONES.csv</w:t>
            </w:r>
          </w:p>
        </w:tc>
        <w:tc>
          <w:tcPr/>
          <w:p>
            <w:pPr>
              <w:pStyle w:val="Tabla8"/>
              <w:jc w:val="left"/>
            </w:pPr>
            <w:r>
              <w:t xml:space="preserve">MATRIZ</w:t>
            </w:r>
          </w:p>
        </w:tc>
        <w:tc>
          <w:tcPr/>
          <w:p>
            <w:pPr>
              <w:pStyle w:val="Tabla8"/>
              <w:jc w:val="left"/>
            </w:pPr>
            <w:r>
              <w:t xml:space="preserve">9406</w:t>
            </w:r>
          </w:p>
        </w:tc>
        <w:tc>
          <w:tcPr/>
          <w:p>
            <w:pPr>
              <w:pStyle w:val="Tabla8"/>
              <w:jc w:val="left"/>
            </w:pPr>
            <w:r>
              <w:t xml:space="preserve">068fc3b505c27ca078bb4892ae99f03dcc86763e126b18ff711e9ba5fbe963ef</w:t>
            </w:r>
          </w:p>
        </w:tc>
      </w:tr>
      <w:tr>
        <w:trPr>
          <w:cantSplit/>
        </w:trPr>
        <w:tc>
          <w:tcPr/>
          <w:p>
            <w:pPr>
              <w:pStyle w:val="Tabla8"/>
              <w:jc w:val="left"/>
            </w:pPr>
            <w:r>
              <w:t xml:space="preserve">SECCION_4_4/RESULTADOS.json</w:t>
            </w:r>
          </w:p>
        </w:tc>
        <w:tc>
          <w:tcPr/>
          <w:p>
            <w:pPr>
              <w:pStyle w:val="Tabla8"/>
              <w:jc w:val="left"/>
            </w:pPr>
            <w:r>
              <w:t xml:space="preserve">RESULTADO</w:t>
            </w:r>
          </w:p>
        </w:tc>
        <w:tc>
          <w:tcPr/>
          <w:p>
            <w:pPr>
              <w:pStyle w:val="Tabla8"/>
              <w:jc w:val="left"/>
            </w:pPr>
            <w:r>
              <w:t xml:space="preserve">884791</w:t>
            </w:r>
          </w:p>
        </w:tc>
        <w:tc>
          <w:tcPr/>
          <w:p>
            <w:pPr>
              <w:pStyle w:val="Tabla8"/>
              <w:jc w:val="left"/>
            </w:pPr>
            <w:r>
              <w:t xml:space="preserve">452990c1f3ef37bec031172afb9a88bc991e21ef15f23b39734e0d1caad9ec19</w:t>
            </w:r>
          </w:p>
        </w:tc>
      </w:tr>
      <w:tr>
        <w:trPr>
          <w:cantSplit/>
        </w:trPr>
        <w:tc>
          <w:tcPr/>
          <w:p>
            <w:pPr>
              <w:pStyle w:val="Tabla8"/>
              <w:jc w:val="left"/>
            </w:pPr>
            <w:r>
              <w:t xml:space="preserve">SECCION_4_4/REVISION_SOLAPAMIENTO.csv</w:t>
            </w:r>
          </w:p>
        </w:tc>
        <w:tc>
          <w:tcPr/>
          <w:p>
            <w:pPr>
              <w:pStyle w:val="Tabla8"/>
              <w:jc w:val="left"/>
            </w:pPr>
            <w:r>
              <w:t xml:space="preserve">MATRIZ</w:t>
            </w:r>
          </w:p>
        </w:tc>
        <w:tc>
          <w:tcPr/>
          <w:p>
            <w:pPr>
              <w:pStyle w:val="Tabla8"/>
              <w:jc w:val="left"/>
            </w:pPr>
            <w:r>
              <w:t xml:space="preserve">13678</w:t>
            </w:r>
          </w:p>
        </w:tc>
        <w:tc>
          <w:tcPr/>
          <w:p>
            <w:pPr>
              <w:pStyle w:val="Tabla8"/>
              <w:jc w:val="left"/>
            </w:pPr>
            <w:r>
              <w:t xml:space="preserve">d0e7b9ac6ab3eed38b4aaf7338373111bcf5c33507c3452f61e845e60460ed59</w:t>
            </w:r>
          </w:p>
        </w:tc>
      </w:tr>
      <w:tr>
        <w:trPr>
          <w:cantSplit/>
        </w:trPr>
        <w:tc>
          <w:tcPr/>
          <w:p>
            <w:pPr>
              <w:pStyle w:val="Tabla8"/>
              <w:jc w:val="left"/>
            </w:pPr>
            <w:r>
              <w:t xml:space="preserve">SECCION_4_4/RUTAS_Y_CICLOS.json</w:t>
            </w:r>
          </w:p>
        </w:tc>
        <w:tc>
          <w:tcPr/>
          <w:p>
            <w:pPr>
              <w:pStyle w:val="Tabla8"/>
              <w:jc w:val="left"/>
            </w:pPr>
            <w:r>
              <w:t xml:space="preserve">RESULTADO</w:t>
            </w:r>
          </w:p>
        </w:tc>
        <w:tc>
          <w:tcPr/>
          <w:p>
            <w:pPr>
              <w:pStyle w:val="Tabla8"/>
              <w:jc w:val="left"/>
            </w:pPr>
            <w:r>
              <w:t xml:space="preserve">24835</w:t>
            </w:r>
          </w:p>
        </w:tc>
        <w:tc>
          <w:tcPr/>
          <w:p>
            <w:pPr>
              <w:pStyle w:val="Tabla8"/>
              <w:jc w:val="left"/>
            </w:pPr>
            <w:r>
              <w:t xml:space="preserve">5f20fd459ab12a19947aadb8f126c5d8253561c1ed5cc431897f88e0a0350d91</w:t>
            </w:r>
          </w:p>
        </w:tc>
      </w:tr>
      <w:tr>
        <w:trPr>
          <w:cantSplit/>
        </w:trPr>
        <w:tc>
          <w:tcPr/>
          <w:p>
            <w:pPr>
              <w:pStyle w:val="Tabla8"/>
              <w:jc w:val="left"/>
            </w:pPr>
            <w:r>
              <w:t xml:space="preserve">SECCION_4_4/SECCION_4_4_SALIDA_CRUDA_DEL_MOTOR.md</w:t>
            </w:r>
          </w:p>
        </w:tc>
        <w:tc>
          <w:tcPr/>
          <w:p>
            <w:pPr>
              <w:pStyle w:val="Tabla8"/>
              <w:jc w:val="left"/>
            </w:pPr>
            <w:r>
              <w:t xml:space="preserve">ENTREGADO</w:t>
            </w:r>
          </w:p>
        </w:tc>
        <w:tc>
          <w:tcPr/>
          <w:p>
            <w:pPr>
              <w:pStyle w:val="Tabla8"/>
              <w:jc w:val="left"/>
            </w:pPr>
            <w:r>
              <w:t xml:space="preserve">25224</w:t>
            </w:r>
          </w:p>
        </w:tc>
        <w:tc>
          <w:tcPr/>
          <w:p>
            <w:pPr>
              <w:pStyle w:val="Tabla8"/>
              <w:jc w:val="left"/>
            </w:pPr>
            <w:r>
              <w:t xml:space="preserve">96b93455593c0e1b0bf8e2e4e4465eaf0b347fc72720a943a78bfd8b5aa38ffb</w:t>
            </w:r>
          </w:p>
        </w:tc>
      </w:tr>
      <w:tr>
        <w:trPr>
          <w:cantSplit/>
        </w:trPr>
        <w:tc>
          <w:tcPr/>
          <w:p>
            <w:pPr>
              <w:pStyle w:val="Tabla8"/>
              <w:jc w:val="left"/>
            </w:pPr>
            <w:r>
              <w:t xml:space="preserve">SECCION_4_4/SECCION_4_4_SGR_CONV56_AIRE.md</w:t>
            </w:r>
          </w:p>
        </w:tc>
        <w:tc>
          <w:tcPr/>
          <w:p>
            <w:pPr>
              <w:pStyle w:val="Tabla8"/>
              <w:jc w:val="left"/>
            </w:pPr>
            <w:r>
              <w:t xml:space="preserve">ENTREGADO</w:t>
            </w:r>
          </w:p>
        </w:tc>
        <w:tc>
          <w:tcPr/>
          <w:p>
            <w:pPr>
              <w:pStyle w:val="Tabla8"/>
              <w:jc w:val="left"/>
            </w:pPr>
            <w:r>
              <w:t xml:space="preserve">262374</w:t>
            </w:r>
          </w:p>
        </w:tc>
        <w:tc>
          <w:tcPr/>
          <w:p>
            <w:pPr>
              <w:pStyle w:val="Tabla8"/>
              <w:jc w:val="left"/>
            </w:pPr>
            <w:r>
              <w:t xml:space="preserve">623ae50cf0472b7bf6b4a38283ad733713d1b85dd0acbad39fd477e6eac516ea</w:t>
            </w:r>
          </w:p>
        </w:tc>
      </w:tr>
      <w:tr>
        <w:trPr>
          <w:cantSplit/>
        </w:trPr>
        <w:tc>
          <w:tcPr/>
          <w:p>
            <w:pPr>
              <w:pStyle w:val="Tabla8"/>
              <w:jc w:val="left"/>
            </w:pPr>
            <w:r>
              <w:t xml:space="preserve">SECCION_4_4/SECCION_4_4_orquestador.json</w:t>
            </w:r>
          </w:p>
        </w:tc>
        <w:tc>
          <w:tcPr/>
          <w:p>
            <w:pPr>
              <w:pStyle w:val="Tabla8"/>
              <w:jc w:val="left"/>
            </w:pPr>
            <w:r>
              <w:t xml:space="preserve">RESULTADO</w:t>
            </w:r>
          </w:p>
        </w:tc>
        <w:tc>
          <w:tcPr/>
          <w:p>
            <w:pPr>
              <w:pStyle w:val="Tabla8"/>
              <w:jc w:val="left"/>
            </w:pPr>
            <w:r>
              <w:t xml:space="preserve">527</w:t>
            </w:r>
          </w:p>
        </w:tc>
        <w:tc>
          <w:tcPr/>
          <w:p>
            <w:pPr>
              <w:pStyle w:val="Tabla8"/>
              <w:jc w:val="left"/>
            </w:pPr>
            <w:r>
              <w:t xml:space="preserve">6161364f6fb4a81537b46b49e3b0a653f3b6611b2ce7c11ccc0179e3cf2d2785</w:t>
            </w:r>
          </w:p>
        </w:tc>
      </w:tr>
      <w:tr>
        <w:trPr>
          <w:cantSplit/>
        </w:trPr>
        <w:tc>
          <w:tcPr/>
          <w:p>
            <w:pPr>
              <w:pStyle w:val="Tabla8"/>
              <w:jc w:val="left"/>
            </w:pPr>
            <w:r>
              <w:t xml:space="preserve">SECCION_4_4/SECCION_4_4_scope_guard.json</w:t>
            </w:r>
          </w:p>
        </w:tc>
        <w:tc>
          <w:tcPr/>
          <w:p>
            <w:pPr>
              <w:pStyle w:val="Tabla8"/>
              <w:jc w:val="left"/>
            </w:pPr>
            <w:r>
              <w:t xml:space="preserve">RESULTADO</w:t>
            </w:r>
          </w:p>
        </w:tc>
        <w:tc>
          <w:tcPr/>
          <w:p>
            <w:pPr>
              <w:pStyle w:val="Tabla8"/>
              <w:jc w:val="left"/>
            </w:pPr>
            <w:r>
              <w:t xml:space="preserve">527</w:t>
            </w:r>
          </w:p>
        </w:tc>
        <w:tc>
          <w:tcPr/>
          <w:p>
            <w:pPr>
              <w:pStyle w:val="Tabla8"/>
              <w:jc w:val="left"/>
            </w:pPr>
            <w:r>
              <w:t xml:space="preserve">6161364f6fb4a81537b46b49e3b0a653f3b6611b2ce7c11ccc0179e3cf2d2785</w:t>
            </w:r>
          </w:p>
        </w:tc>
      </w:tr>
      <w:tr>
        <w:trPr>
          <w:cantSplit/>
        </w:trPr>
        <w:tc>
          <w:tcPr/>
          <w:p>
            <w:pPr>
              <w:pStyle w:val="Tabla8"/>
              <w:jc w:val="left"/>
            </w:pPr>
            <w:r>
              <w:t xml:space="preserve">SECCION_4_4/SENSIBILIDAD_ORDINAL.json</w:t>
            </w:r>
          </w:p>
        </w:tc>
        <w:tc>
          <w:tcPr/>
          <w:p>
            <w:pPr>
              <w:pStyle w:val="Tabla8"/>
              <w:jc w:val="left"/>
            </w:pPr>
            <w:r>
              <w:t xml:space="preserve">RESULTADO</w:t>
            </w:r>
          </w:p>
        </w:tc>
        <w:tc>
          <w:tcPr/>
          <w:p>
            <w:pPr>
              <w:pStyle w:val="Tabla8"/>
              <w:jc w:val="left"/>
            </w:pPr>
            <w:r>
              <w:t xml:space="preserve">209573</w:t>
            </w:r>
          </w:p>
        </w:tc>
        <w:tc>
          <w:tcPr/>
          <w:p>
            <w:pPr>
              <w:pStyle w:val="Tabla8"/>
              <w:jc w:val="left"/>
            </w:pPr>
            <w:r>
              <w:t xml:space="preserve">7040991d2a3db239623e1f2bb8e3021e6bd9cf4da0f9d7fe814fac296bc39409</w:t>
            </w:r>
          </w:p>
        </w:tc>
      </w:tr>
      <w:tr>
        <w:trPr>
          <w:cantSplit/>
        </w:trPr>
        <w:tc>
          <w:tcPr/>
          <w:p>
            <w:pPr>
              <w:pStyle w:val="Tabla8"/>
              <w:jc w:val="left"/>
            </w:pPr>
            <w:r>
              <w:t xml:space="preserve">SECCION_4_4/VESTER_S0_HISTORICO_CONDICIONADO.svg</w:t>
            </w:r>
          </w:p>
        </w:tc>
        <w:tc>
          <w:tcPr/>
          <w:p>
            <w:pPr>
              <w:pStyle w:val="Tabla8"/>
              <w:jc w:val="left"/>
            </w:pPr>
            <w:r>
              <w:t xml:space="preserve">GRAFICO</w:t>
            </w:r>
          </w:p>
        </w:tc>
        <w:tc>
          <w:tcPr/>
          <w:p>
            <w:pPr>
              <w:pStyle w:val="Tabla8"/>
              <w:jc w:val="left"/>
            </w:pPr>
            <w:r>
              <w:t xml:space="preserve">3500</w:t>
            </w:r>
          </w:p>
        </w:tc>
        <w:tc>
          <w:tcPr/>
          <w:p>
            <w:pPr>
              <w:pStyle w:val="Tabla8"/>
              <w:jc w:val="left"/>
            </w:pPr>
            <w:r>
              <w:t xml:space="preserve">6f9498af263cc33e40afb62e3201f6645693a9ac7ce5b13798abfc4ec3b108ad</w:t>
            </w:r>
          </w:p>
        </w:tc>
      </w:tr>
      <w:tr>
        <w:trPr>
          <w:cantSplit/>
        </w:trPr>
        <w:tc>
          <w:tcPr/>
          <w:p>
            <w:pPr>
              <w:pStyle w:val="Tabla8"/>
              <w:jc w:val="left"/>
            </w:pPr>
            <w:r>
              <w:t xml:space="preserve">SECCION_4_4/VESTER_S1_PREVIO_DOC.svg</w:t>
            </w:r>
          </w:p>
        </w:tc>
        <w:tc>
          <w:tcPr/>
          <w:p>
            <w:pPr>
              <w:pStyle w:val="Tabla8"/>
              <w:jc w:val="left"/>
            </w:pPr>
            <w:r>
              <w:t xml:space="preserve">GRAFICO</w:t>
            </w:r>
          </w:p>
        </w:tc>
        <w:tc>
          <w:tcPr/>
          <w:p>
            <w:pPr>
              <w:pStyle w:val="Tabla8"/>
              <w:jc w:val="left"/>
            </w:pPr>
            <w:r>
              <w:t xml:space="preserve">3489</w:t>
            </w:r>
          </w:p>
        </w:tc>
        <w:tc>
          <w:tcPr/>
          <w:p>
            <w:pPr>
              <w:pStyle w:val="Tabla8"/>
              <w:jc w:val="left"/>
            </w:pPr>
            <w:r>
              <w:t xml:space="preserve">c090fd603f800cb0f6a2bb6bb5ddbd73e780976147b99d6d4283b48f6ac3e80e</w:t>
            </w:r>
          </w:p>
        </w:tc>
      </w:tr>
      <w:tr>
        <w:trPr>
          <w:cantSplit/>
        </w:trPr>
        <w:tc>
          <w:tcPr/>
          <w:p>
            <w:pPr>
              <w:pStyle w:val="Tabla8"/>
              <w:jc w:val="left"/>
            </w:pPr>
            <w:r>
              <w:t xml:space="preserve">SECCION_4_4/VESTER_S3_ENVOLVENTE_ADMISIBLE_BAJA.svg</w:t>
            </w:r>
          </w:p>
        </w:tc>
        <w:tc>
          <w:tcPr/>
          <w:p>
            <w:pPr>
              <w:pStyle w:val="Tabla8"/>
              <w:jc w:val="left"/>
            </w:pPr>
            <w:r>
              <w:t xml:space="preserve">GRAFICO</w:t>
            </w:r>
          </w:p>
        </w:tc>
        <w:tc>
          <w:tcPr/>
          <w:p>
            <w:pPr>
              <w:pStyle w:val="Tabla8"/>
              <w:jc w:val="left"/>
            </w:pPr>
            <w:r>
              <w:t xml:space="preserve">3394</w:t>
            </w:r>
          </w:p>
        </w:tc>
        <w:tc>
          <w:tcPr/>
          <w:p>
            <w:pPr>
              <w:pStyle w:val="Tabla8"/>
              <w:jc w:val="left"/>
            </w:pPr>
            <w:r>
              <w:t xml:space="preserve">033a24d182b53a9a392250bec425f01e636867ffebe2979198b3dc0adbb961b3</w:t>
            </w:r>
          </w:p>
        </w:tc>
      </w:tr>
      <w:tr>
        <w:trPr>
          <w:cantSplit/>
        </w:trPr>
        <w:tc>
          <w:tcPr/>
          <w:p>
            <w:pPr>
              <w:pStyle w:val="Tabla8"/>
              <w:jc w:val="left"/>
            </w:pPr>
            <w:r>
              <w:t xml:space="preserve">SECCION_4_4/VESTER_S4_ENVOLVENTE_ADMISIBLE_ALTA.svg</w:t>
            </w:r>
          </w:p>
        </w:tc>
        <w:tc>
          <w:tcPr/>
          <w:p>
            <w:pPr>
              <w:pStyle w:val="Tabla8"/>
              <w:jc w:val="left"/>
            </w:pPr>
            <w:r>
              <w:t xml:space="preserve">GRAFICO</w:t>
            </w:r>
          </w:p>
        </w:tc>
        <w:tc>
          <w:tcPr/>
          <w:p>
            <w:pPr>
              <w:pStyle w:val="Tabla8"/>
              <w:jc w:val="left"/>
            </w:pPr>
            <w:r>
              <w:t xml:space="preserve">3779</w:t>
            </w:r>
          </w:p>
        </w:tc>
        <w:tc>
          <w:tcPr/>
          <w:p>
            <w:pPr>
              <w:pStyle w:val="Tabla8"/>
              <w:jc w:val="left"/>
            </w:pPr>
            <w:r>
              <w:t xml:space="preserve">9444a9ab6dcc78bf75fedea600d2a58978dcfb644b0d0962f2ceae8f2c85bf14</w:t>
            </w:r>
          </w:p>
        </w:tc>
      </w:tr>
      <w:tr>
        <w:trPr>
          <w:cantSplit/>
        </w:trPr>
        <w:tc>
          <w:tcPr/>
          <w:p>
            <w:pPr>
              <w:pStyle w:val="Tabla8"/>
              <w:jc w:val="left"/>
            </w:pPr>
            <w:r>
              <w:t xml:space="preserve">SECCION_4_4/VESTER_S_TRABAJO_PROPUESTO.svg</w:t>
            </w:r>
          </w:p>
        </w:tc>
        <w:tc>
          <w:tcPr/>
          <w:p>
            <w:pPr>
              <w:pStyle w:val="Tabla8"/>
              <w:jc w:val="left"/>
            </w:pPr>
            <w:r>
              <w:t xml:space="preserve">GRAFICO</w:t>
            </w:r>
          </w:p>
        </w:tc>
        <w:tc>
          <w:tcPr/>
          <w:p>
            <w:pPr>
              <w:pStyle w:val="Tabla8"/>
              <w:jc w:val="left"/>
            </w:pPr>
            <w:r>
              <w:t xml:space="preserve">3738</w:t>
            </w:r>
          </w:p>
        </w:tc>
        <w:tc>
          <w:tcPr/>
          <w:p>
            <w:pPr>
              <w:pStyle w:val="Tabla8"/>
              <w:jc w:val="left"/>
            </w:pPr>
            <w:r>
              <w:t xml:space="preserve">c67821e03cda9f5b63036e07b2072d66c633c6c1cee07d76eca8993f2b5119d4</w:t>
            </w:r>
          </w:p>
        </w:tc>
      </w:tr>
      <w:tr>
        <w:trPr>
          <w:cantSplit/>
        </w:trPr>
        <w:tc>
          <w:tcPr/>
          <w:p>
            <w:pPr>
              <w:pStyle w:val="Tabla8"/>
              <w:jc w:val="left"/>
            </w:pPr>
            <w:r>
              <w:t xml:space="preserve">SECCION_4_4/potencias/S0_HISTORICO_CONDICIONADO_A01.csv</w:t>
            </w:r>
          </w:p>
        </w:tc>
        <w:tc>
          <w:tcPr/>
          <w:p>
            <w:pPr>
              <w:pStyle w:val="Tabla8"/>
              <w:jc w:val="left"/>
            </w:pPr>
            <w:r>
              <w:t xml:space="preserve">RESULTADO</w:t>
            </w:r>
          </w:p>
        </w:tc>
        <w:tc>
          <w:tcPr/>
          <w:p>
            <w:pPr>
              <w:pStyle w:val="Tabla8"/>
              <w:jc w:val="left"/>
            </w:pPr>
            <w:r>
              <w:t xml:space="preserve">677</w:t>
            </w:r>
          </w:p>
        </w:tc>
        <w:tc>
          <w:tcPr/>
          <w:p>
            <w:pPr>
              <w:pStyle w:val="Tabla8"/>
              <w:jc w:val="left"/>
            </w:pPr>
            <w:r>
              <w:t xml:space="preserve">6d5645b4c7b744890c9a114128547cad0c8614f650319570ad9d48c32ca4c3ae</w:t>
            </w:r>
          </w:p>
        </w:tc>
      </w:tr>
      <w:tr>
        <w:trPr>
          <w:cantSplit/>
        </w:trPr>
        <w:tc>
          <w:tcPr/>
          <w:p>
            <w:pPr>
              <w:pStyle w:val="Tabla8"/>
              <w:jc w:val="left"/>
            </w:pPr>
            <w:r>
              <w:t xml:space="preserve">SECCION_4_4/potencias/S0_HISTORICO_CONDICIONADO_A02.csv</w:t>
            </w:r>
          </w:p>
        </w:tc>
        <w:tc>
          <w:tcPr/>
          <w:p>
            <w:pPr>
              <w:pStyle w:val="Tabla8"/>
              <w:jc w:val="left"/>
            </w:pPr>
            <w:r>
              <w:t xml:space="preserve">RESULTADO</w:t>
            </w:r>
          </w:p>
        </w:tc>
        <w:tc>
          <w:tcPr/>
          <w:p>
            <w:pPr>
              <w:pStyle w:val="Tabla8"/>
              <w:jc w:val="left"/>
            </w:pPr>
            <w:r>
              <w:t xml:space="preserve">696</w:t>
            </w:r>
          </w:p>
        </w:tc>
        <w:tc>
          <w:tcPr/>
          <w:p>
            <w:pPr>
              <w:pStyle w:val="Tabla8"/>
              <w:jc w:val="left"/>
            </w:pPr>
            <w:r>
              <w:t xml:space="preserve">4e77ae546a20f68a68f1013c7c6e3e20a7d83281bcb25ce0516670dfcd009328</w:t>
            </w:r>
          </w:p>
        </w:tc>
      </w:tr>
      <w:tr>
        <w:trPr>
          <w:cantSplit/>
        </w:trPr>
        <w:tc>
          <w:tcPr/>
          <w:p>
            <w:pPr>
              <w:pStyle w:val="Tabla8"/>
              <w:jc w:val="left"/>
            </w:pPr>
            <w:r>
              <w:t xml:space="preserve">SECCION_4_4/potencias/S0_HISTORICO_CONDICIONADO_A03.csv</w:t>
            </w:r>
          </w:p>
        </w:tc>
        <w:tc>
          <w:tcPr/>
          <w:p>
            <w:pPr>
              <w:pStyle w:val="Tabla8"/>
              <w:jc w:val="left"/>
            </w:pPr>
            <w:r>
              <w:t xml:space="preserve">RESULTADO</w:t>
            </w:r>
          </w:p>
        </w:tc>
        <w:tc>
          <w:tcPr/>
          <w:p>
            <w:pPr>
              <w:pStyle w:val="Tabla8"/>
              <w:jc w:val="left"/>
            </w:pPr>
            <w:r>
              <w:t xml:space="preserve">721</w:t>
            </w:r>
          </w:p>
        </w:tc>
        <w:tc>
          <w:tcPr/>
          <w:p>
            <w:pPr>
              <w:pStyle w:val="Tabla8"/>
              <w:jc w:val="left"/>
            </w:pPr>
            <w:r>
              <w:t xml:space="preserve">02388ad8ef4ff7d21ea6274f37b7bc94dc1c1e1fc1fc9c8f24fdca11ade9698d</w:t>
            </w:r>
          </w:p>
        </w:tc>
      </w:tr>
      <w:tr>
        <w:trPr>
          <w:cantSplit/>
        </w:trPr>
        <w:tc>
          <w:tcPr/>
          <w:p>
            <w:pPr>
              <w:pStyle w:val="Tabla8"/>
              <w:jc w:val="left"/>
            </w:pPr>
            <w:r>
              <w:t xml:space="preserve">SECCION_4_4/potencias/S0_HISTORICO_CONDICIONADO_A04.csv</w:t>
            </w:r>
          </w:p>
        </w:tc>
        <w:tc>
          <w:tcPr/>
          <w:p>
            <w:pPr>
              <w:pStyle w:val="Tabla8"/>
              <w:jc w:val="left"/>
            </w:pPr>
            <w:r>
              <w:t xml:space="preserve">RESULTADO</w:t>
            </w:r>
          </w:p>
        </w:tc>
        <w:tc>
          <w:tcPr/>
          <w:p>
            <w:pPr>
              <w:pStyle w:val="Tabla8"/>
              <w:jc w:val="left"/>
            </w:pPr>
            <w:r>
              <w:t xml:space="preserve">724</w:t>
            </w:r>
          </w:p>
        </w:tc>
        <w:tc>
          <w:tcPr/>
          <w:p>
            <w:pPr>
              <w:pStyle w:val="Tabla8"/>
              <w:jc w:val="left"/>
            </w:pPr>
            <w:r>
              <w:t xml:space="preserve">ce3f3bca8de259d6e3243ddc53a6058246d30d07df33d2bbe9820605232aaf48</w:t>
            </w:r>
          </w:p>
        </w:tc>
      </w:tr>
      <w:tr>
        <w:trPr>
          <w:cantSplit/>
        </w:trPr>
        <w:tc>
          <w:tcPr/>
          <w:p>
            <w:pPr>
              <w:pStyle w:val="Tabla8"/>
              <w:jc w:val="left"/>
            </w:pPr>
            <w:r>
              <w:t xml:space="preserve">SECCION_4_4/potencias/S0_HISTORICO_CONDICIONADO_A05.csv</w:t>
            </w:r>
          </w:p>
        </w:tc>
        <w:tc>
          <w:tcPr/>
          <w:p>
            <w:pPr>
              <w:pStyle w:val="Tabla8"/>
              <w:jc w:val="left"/>
            </w:pPr>
            <w:r>
              <w:t xml:space="preserve">RESULTADO</w:t>
            </w:r>
          </w:p>
        </w:tc>
        <w:tc>
          <w:tcPr/>
          <w:p>
            <w:pPr>
              <w:pStyle w:val="Tabla8"/>
              <w:jc w:val="left"/>
            </w:pPr>
            <w:r>
              <w:t xml:space="preserve">705</w:t>
            </w:r>
          </w:p>
        </w:tc>
        <w:tc>
          <w:tcPr/>
          <w:p>
            <w:pPr>
              <w:pStyle w:val="Tabla8"/>
              <w:jc w:val="left"/>
            </w:pPr>
            <w:r>
              <w:t xml:space="preserve">c2ab163f1c94a11b974f4a6623aaca7a7c7ea478670f1dd8a399c11990c5dcf6</w:t>
            </w:r>
          </w:p>
        </w:tc>
      </w:tr>
      <w:tr>
        <w:trPr>
          <w:cantSplit/>
        </w:trPr>
        <w:tc>
          <w:tcPr/>
          <w:p>
            <w:pPr>
              <w:pStyle w:val="Tabla8"/>
              <w:jc w:val="left"/>
            </w:pPr>
            <w:r>
              <w:t xml:space="preserve">SECCION_4_4/potencias/S0_HISTORICO_CONDICIONADO_A06.csv</w:t>
            </w:r>
          </w:p>
        </w:tc>
        <w:tc>
          <w:tcPr/>
          <w:p>
            <w:pPr>
              <w:pStyle w:val="Tabla8"/>
              <w:jc w:val="left"/>
            </w:pPr>
            <w:r>
              <w:t xml:space="preserve">RESULTADO</w:t>
            </w:r>
          </w:p>
        </w:tc>
        <w:tc>
          <w:tcPr/>
          <w:p>
            <w:pPr>
              <w:pStyle w:val="Tabla8"/>
              <w:jc w:val="left"/>
            </w:pPr>
            <w:r>
              <w:t xml:space="preserve">683</w:t>
            </w:r>
          </w:p>
        </w:tc>
        <w:tc>
          <w:tcPr/>
          <w:p>
            <w:pPr>
              <w:pStyle w:val="Tabla8"/>
              <w:jc w:val="left"/>
            </w:pPr>
            <w:r>
              <w:t xml:space="preserve">5144e36bf9761694a3b2ad600e42b796006b9f3f307d35cbcd069f1ea69da1fa</w:t>
            </w:r>
          </w:p>
        </w:tc>
      </w:tr>
      <w:tr>
        <w:trPr>
          <w:cantSplit/>
        </w:trPr>
        <w:tc>
          <w:tcPr/>
          <w:p>
            <w:pPr>
              <w:pStyle w:val="Tabla8"/>
              <w:jc w:val="left"/>
            </w:pPr>
            <w:r>
              <w:t xml:space="preserve">SECCION_4_4/potencias/S0_HISTORICO_CONDICIONADO_A07.csv</w:t>
            </w:r>
          </w:p>
        </w:tc>
        <w:tc>
          <w:tcPr/>
          <w:p>
            <w:pPr>
              <w:pStyle w:val="Tabla8"/>
              <w:jc w:val="left"/>
            </w:pPr>
            <w:r>
              <w:t xml:space="preserve">RESULTADO</w:t>
            </w:r>
          </w:p>
        </w:tc>
        <w:tc>
          <w:tcPr/>
          <w:p>
            <w:pPr>
              <w:pStyle w:val="Tabla8"/>
              <w:jc w:val="left"/>
            </w:pPr>
            <w:r>
              <w:t xml:space="preserve">675</w:t>
            </w:r>
          </w:p>
        </w:tc>
        <w:tc>
          <w:tcPr/>
          <w:p>
            <w:pPr>
              <w:pStyle w:val="Tabla8"/>
              <w:jc w:val="left"/>
            </w:pPr>
            <w:r>
              <w:t xml:space="preserve">c0519fa1a1acc69b28eae2b03f796f5495681167a345319c2940f777c90202f5</w:t>
            </w:r>
          </w:p>
        </w:tc>
      </w:tr>
      <w:tr>
        <w:trPr>
          <w:cantSplit/>
        </w:trPr>
        <w:tc>
          <w:tcPr/>
          <w:p>
            <w:pPr>
              <w:pStyle w:val="Tabla8"/>
              <w:jc w:val="left"/>
            </w:pPr>
            <w:r>
              <w:t xml:space="preserve">SECCION_4_4/potencias/S1_PREVIO_DOC_A01.csv</w:t>
            </w:r>
          </w:p>
        </w:tc>
        <w:tc>
          <w:tcPr/>
          <w:p>
            <w:pPr>
              <w:pStyle w:val="Tabla8"/>
              <w:jc w:val="left"/>
            </w:pPr>
            <w:r>
              <w:t xml:space="preserve">RESULTADO</w:t>
            </w:r>
          </w:p>
        </w:tc>
        <w:tc>
          <w:tcPr/>
          <w:p>
            <w:pPr>
              <w:pStyle w:val="Tabla8"/>
              <w:jc w:val="left"/>
            </w:pPr>
            <w:r>
              <w:t xml:space="preserve">677</w:t>
            </w:r>
          </w:p>
        </w:tc>
        <w:tc>
          <w:tcPr/>
          <w:p>
            <w:pPr>
              <w:pStyle w:val="Tabla8"/>
              <w:jc w:val="left"/>
            </w:pPr>
            <w:r>
              <w:t xml:space="preserve">19c90418a21154004a6053db3b90a87ae7f4ee60e7748b64fbc6f57a0d3ce3b8</w:t>
            </w:r>
          </w:p>
        </w:tc>
      </w:tr>
      <w:tr>
        <w:trPr>
          <w:cantSplit/>
        </w:trPr>
        <w:tc>
          <w:tcPr/>
          <w:p>
            <w:pPr>
              <w:pStyle w:val="Tabla8"/>
              <w:jc w:val="left"/>
            </w:pPr>
            <w:r>
              <w:t xml:space="preserve">SECCION_4_4/potencias/S1_PREVIO_DOC_A02.csv</w:t>
            </w:r>
          </w:p>
        </w:tc>
        <w:tc>
          <w:tcPr/>
          <w:p>
            <w:pPr>
              <w:pStyle w:val="Tabla8"/>
              <w:jc w:val="left"/>
            </w:pPr>
            <w:r>
              <w:t xml:space="preserve">RESULTADO</w:t>
            </w:r>
          </w:p>
        </w:tc>
        <w:tc>
          <w:tcPr/>
          <w:p>
            <w:pPr>
              <w:pStyle w:val="Tabla8"/>
              <w:jc w:val="left"/>
            </w:pPr>
            <w:r>
              <w:t xml:space="preserve">702</w:t>
            </w:r>
          </w:p>
        </w:tc>
        <w:tc>
          <w:tcPr/>
          <w:p>
            <w:pPr>
              <w:pStyle w:val="Tabla8"/>
              <w:jc w:val="left"/>
            </w:pPr>
            <w:r>
              <w:t xml:space="preserve">b2762c4a8e0f9a25afff5de9c88307d9792c91f3000bfb19dfe99c6b743f4cc0</w:t>
            </w:r>
          </w:p>
        </w:tc>
      </w:tr>
      <w:tr>
        <w:trPr>
          <w:cantSplit/>
        </w:trPr>
        <w:tc>
          <w:tcPr/>
          <w:p>
            <w:pPr>
              <w:pStyle w:val="Tabla8"/>
              <w:jc w:val="left"/>
            </w:pPr>
            <w:r>
              <w:t xml:space="preserve">SECCION_4_4/potencias/S1_PREVIO_DOC_A03.csv</w:t>
            </w:r>
          </w:p>
        </w:tc>
        <w:tc>
          <w:tcPr/>
          <w:p>
            <w:pPr>
              <w:pStyle w:val="Tabla8"/>
              <w:jc w:val="left"/>
            </w:pPr>
            <w:r>
              <w:t xml:space="preserve">RESULTADO</w:t>
            </w:r>
          </w:p>
        </w:tc>
        <w:tc>
          <w:tcPr/>
          <w:p>
            <w:pPr>
              <w:pStyle w:val="Tabla8"/>
              <w:jc w:val="left"/>
            </w:pPr>
            <w:r>
              <w:t xml:space="preserve">754</w:t>
            </w:r>
          </w:p>
        </w:tc>
        <w:tc>
          <w:tcPr/>
          <w:p>
            <w:pPr>
              <w:pStyle w:val="Tabla8"/>
              <w:jc w:val="left"/>
            </w:pPr>
            <w:r>
              <w:t xml:space="preserve">bc7de9aaa81b4b42790eced547689723c7cf843a7d371e395b76f53865a584b2</w:t>
            </w:r>
          </w:p>
        </w:tc>
      </w:tr>
      <w:tr>
        <w:trPr>
          <w:cantSplit/>
        </w:trPr>
        <w:tc>
          <w:tcPr/>
          <w:p>
            <w:pPr>
              <w:pStyle w:val="Tabla8"/>
              <w:jc w:val="left"/>
            </w:pPr>
            <w:r>
              <w:t xml:space="preserve">SECCION_4_4/potencias/S1_PREVIO_DOC_A04.csv</w:t>
            </w:r>
          </w:p>
        </w:tc>
        <w:tc>
          <w:tcPr/>
          <w:p>
            <w:pPr>
              <w:pStyle w:val="Tabla8"/>
              <w:jc w:val="left"/>
            </w:pPr>
            <w:r>
              <w:t xml:space="preserve">RESULTADO</w:t>
            </w:r>
          </w:p>
        </w:tc>
        <w:tc>
          <w:tcPr/>
          <w:p>
            <w:pPr>
              <w:pStyle w:val="Tabla8"/>
              <w:jc w:val="left"/>
            </w:pPr>
            <w:r>
              <w:t xml:space="preserve">829</w:t>
            </w:r>
          </w:p>
        </w:tc>
        <w:tc>
          <w:tcPr/>
          <w:p>
            <w:pPr>
              <w:pStyle w:val="Tabla8"/>
              <w:jc w:val="left"/>
            </w:pPr>
            <w:r>
              <w:t xml:space="preserve">73c7f275a22394ea735ad0dfb8c3e0687172395ec0ee033af9a911a99114bd4d</w:t>
            </w:r>
          </w:p>
        </w:tc>
      </w:tr>
      <w:tr>
        <w:trPr>
          <w:cantSplit/>
        </w:trPr>
        <w:tc>
          <w:tcPr/>
          <w:p>
            <w:pPr>
              <w:pStyle w:val="Tabla8"/>
              <w:jc w:val="left"/>
            </w:pPr>
            <w:r>
              <w:t xml:space="preserve">SECCION_4_4/potencias/S1_PREVIO_DOC_A05.csv</w:t>
            </w:r>
          </w:p>
        </w:tc>
        <w:tc>
          <w:tcPr/>
          <w:p>
            <w:pPr>
              <w:pStyle w:val="Tabla8"/>
              <w:jc w:val="left"/>
            </w:pPr>
            <w:r>
              <w:t xml:space="preserve">RESULTADO</w:t>
            </w:r>
          </w:p>
        </w:tc>
        <w:tc>
          <w:tcPr/>
          <w:p>
            <w:pPr>
              <w:pStyle w:val="Tabla8"/>
              <w:jc w:val="left"/>
            </w:pPr>
            <w:r>
              <w:t xml:space="preserve">939</w:t>
            </w:r>
          </w:p>
        </w:tc>
        <w:tc>
          <w:tcPr/>
          <w:p>
            <w:pPr>
              <w:pStyle w:val="Tabla8"/>
              <w:jc w:val="left"/>
            </w:pPr>
            <w:r>
              <w:t xml:space="preserve">63844b154e48ed58b1ad97f47bba6912eb2c435c8873a2f5e233b0c776518f30</w:t>
            </w:r>
          </w:p>
        </w:tc>
      </w:tr>
      <w:tr>
        <w:trPr>
          <w:cantSplit/>
        </w:trPr>
        <w:tc>
          <w:tcPr/>
          <w:p>
            <w:pPr>
              <w:pStyle w:val="Tabla8"/>
              <w:jc w:val="left"/>
            </w:pPr>
            <w:r>
              <w:t xml:space="preserve">SECCION_4_4/potencias/S1_PREVIO_DOC_A06.csv</w:t>
            </w:r>
          </w:p>
        </w:tc>
        <w:tc>
          <w:tcPr/>
          <w:p>
            <w:pPr>
              <w:pStyle w:val="Tabla8"/>
              <w:jc w:val="left"/>
            </w:pPr>
            <w:r>
              <w:t xml:space="preserve">RESULTADO</w:t>
            </w:r>
          </w:p>
        </w:tc>
        <w:tc>
          <w:tcPr/>
          <w:p>
            <w:pPr>
              <w:pStyle w:val="Tabla8"/>
              <w:jc w:val="left"/>
            </w:pPr>
            <w:r>
              <w:t xml:space="preserve">1043</w:t>
            </w:r>
          </w:p>
        </w:tc>
        <w:tc>
          <w:tcPr/>
          <w:p>
            <w:pPr>
              <w:pStyle w:val="Tabla8"/>
              <w:jc w:val="left"/>
            </w:pPr>
            <w:r>
              <w:t xml:space="preserve">db0b67cbf3f7e3b17db230d22a6263aeb44da2264671b3ff655c3a20b06de5a7</w:t>
            </w:r>
          </w:p>
        </w:tc>
      </w:tr>
      <w:tr>
        <w:trPr>
          <w:cantSplit/>
        </w:trPr>
        <w:tc>
          <w:tcPr/>
          <w:p>
            <w:pPr>
              <w:pStyle w:val="Tabla8"/>
              <w:jc w:val="left"/>
            </w:pPr>
            <w:r>
              <w:t xml:space="preserve">SECCION_4_4/potencias/S1_PREVIO_DOC_A07.csv</w:t>
            </w:r>
          </w:p>
        </w:tc>
        <w:tc>
          <w:tcPr/>
          <w:p>
            <w:pPr>
              <w:pStyle w:val="Tabla8"/>
              <w:jc w:val="left"/>
            </w:pPr>
            <w:r>
              <w:t xml:space="preserve">RESULTADO</w:t>
            </w:r>
          </w:p>
        </w:tc>
        <w:tc>
          <w:tcPr/>
          <w:p>
            <w:pPr>
              <w:pStyle w:val="Tabla8"/>
              <w:jc w:val="left"/>
            </w:pPr>
            <w:r>
              <w:t xml:space="preserve">1156</w:t>
            </w:r>
          </w:p>
        </w:tc>
        <w:tc>
          <w:tcPr/>
          <w:p>
            <w:pPr>
              <w:pStyle w:val="Tabla8"/>
              <w:jc w:val="left"/>
            </w:pPr>
            <w:r>
              <w:t xml:space="preserve">a9a4d4b2d6fda87249a6280b2e73cfcf28ea1783d9728bba0a913fc3d1f290a4</w:t>
            </w:r>
          </w:p>
        </w:tc>
      </w:tr>
      <w:tr>
        <w:trPr>
          <w:cantSplit/>
        </w:trPr>
        <w:tc>
          <w:tcPr/>
          <w:p>
            <w:pPr>
              <w:pStyle w:val="Tabla8"/>
              <w:jc w:val="left"/>
            </w:pPr>
            <w:r>
              <w:t xml:space="preserve">SECCION_4_4/potencias/S1_PREVIO_DOC_A08.csv</w:t>
            </w:r>
          </w:p>
        </w:tc>
        <w:tc>
          <w:tcPr/>
          <w:p>
            <w:pPr>
              <w:pStyle w:val="Tabla8"/>
              <w:jc w:val="left"/>
            </w:pPr>
            <w:r>
              <w:t xml:space="preserve">RESULTADO</w:t>
            </w:r>
          </w:p>
        </w:tc>
        <w:tc>
          <w:tcPr/>
          <w:p>
            <w:pPr>
              <w:pStyle w:val="Tabla8"/>
              <w:jc w:val="left"/>
            </w:pPr>
            <w:r>
              <w:t xml:space="preserve">1279</w:t>
            </w:r>
          </w:p>
        </w:tc>
        <w:tc>
          <w:tcPr/>
          <w:p>
            <w:pPr>
              <w:pStyle w:val="Tabla8"/>
              <w:jc w:val="left"/>
            </w:pPr>
            <w:r>
              <w:t xml:space="preserve">a1e9dd055d541be08fc16f486946efbfa27f6973cd10797b2d747ff8bbf54303</w:t>
            </w:r>
          </w:p>
        </w:tc>
      </w:tr>
      <w:tr>
        <w:trPr>
          <w:cantSplit/>
        </w:trPr>
        <w:tc>
          <w:tcPr/>
          <w:p>
            <w:pPr>
              <w:pStyle w:val="Tabla8"/>
              <w:jc w:val="left"/>
            </w:pPr>
            <w:r>
              <w:t xml:space="preserve">SECCION_4_4/potencias/S1_PREVIO_DOC_A09.csv</w:t>
            </w:r>
          </w:p>
        </w:tc>
        <w:tc>
          <w:tcPr/>
          <w:p>
            <w:pPr>
              <w:pStyle w:val="Tabla8"/>
              <w:jc w:val="left"/>
            </w:pPr>
            <w:r>
              <w:t xml:space="preserve">RESULTADO</w:t>
            </w:r>
          </w:p>
        </w:tc>
        <w:tc>
          <w:tcPr/>
          <w:p>
            <w:pPr>
              <w:pStyle w:val="Tabla8"/>
              <w:jc w:val="left"/>
            </w:pPr>
            <w:r>
              <w:t xml:space="preserve">1383</w:t>
            </w:r>
          </w:p>
        </w:tc>
        <w:tc>
          <w:tcPr/>
          <w:p>
            <w:pPr>
              <w:pStyle w:val="Tabla8"/>
              <w:jc w:val="left"/>
            </w:pPr>
            <w:r>
              <w:t xml:space="preserve">fd7c6cd9daf930ed138bf0c9f17bd1952c21ecb46d56148add7238e9d3f681bd</w:t>
            </w:r>
          </w:p>
        </w:tc>
      </w:tr>
      <w:tr>
        <w:trPr>
          <w:cantSplit/>
        </w:trPr>
        <w:tc>
          <w:tcPr/>
          <w:p>
            <w:pPr>
              <w:pStyle w:val="Tabla8"/>
              <w:jc w:val="left"/>
            </w:pPr>
            <w:r>
              <w:t xml:space="preserve">SECCION_4_4/potencias/S1_PREVIO_DOC_A10.csv</w:t>
            </w:r>
          </w:p>
        </w:tc>
        <w:tc>
          <w:tcPr/>
          <w:p>
            <w:pPr>
              <w:pStyle w:val="Tabla8"/>
              <w:jc w:val="left"/>
            </w:pPr>
            <w:r>
              <w:t xml:space="preserve">RESULTADO</w:t>
            </w:r>
          </w:p>
        </w:tc>
        <w:tc>
          <w:tcPr/>
          <w:p>
            <w:pPr>
              <w:pStyle w:val="Tabla8"/>
              <w:jc w:val="left"/>
            </w:pPr>
            <w:r>
              <w:t xml:space="preserve">1518</w:t>
            </w:r>
          </w:p>
        </w:tc>
        <w:tc>
          <w:tcPr/>
          <w:p>
            <w:pPr>
              <w:pStyle w:val="Tabla8"/>
              <w:jc w:val="left"/>
            </w:pPr>
            <w:r>
              <w:t xml:space="preserve">aa83c20856a8b10abeb5331982ea4d7618854ccbe380b75827e52e2d027c7f21</w:t>
            </w:r>
          </w:p>
        </w:tc>
      </w:tr>
      <w:tr>
        <w:trPr>
          <w:cantSplit/>
        </w:trPr>
        <w:tc>
          <w:tcPr/>
          <w:p>
            <w:pPr>
              <w:pStyle w:val="Tabla8"/>
              <w:jc w:val="left"/>
            </w:pPr>
            <w:r>
              <w:t xml:space="preserve">SECCION_4_4/potencias/S3_ENVOLVENTE_ADMISIBLE_BAJA_A01.csv</w:t>
            </w:r>
          </w:p>
        </w:tc>
        <w:tc>
          <w:tcPr/>
          <w:p>
            <w:pPr>
              <w:pStyle w:val="Tabla8"/>
              <w:jc w:val="left"/>
            </w:pPr>
            <w:r>
              <w:t xml:space="preserve">RESULTADO</w:t>
            </w:r>
          </w:p>
        </w:tc>
        <w:tc>
          <w:tcPr/>
          <w:p>
            <w:pPr>
              <w:pStyle w:val="Tabla8"/>
              <w:jc w:val="left"/>
            </w:pPr>
            <w:r>
              <w:t xml:space="preserve">676</w:t>
            </w:r>
          </w:p>
        </w:tc>
        <w:tc>
          <w:tcPr/>
          <w:p>
            <w:pPr>
              <w:pStyle w:val="Tabla8"/>
              <w:jc w:val="left"/>
            </w:pPr>
            <w:r>
              <w:t xml:space="preserve">7282cd08a256021d99e07ea81c1c613b73a9543eb8788a522a9c21d66569e6dd</w:t>
            </w:r>
          </w:p>
        </w:tc>
      </w:tr>
      <w:tr>
        <w:trPr>
          <w:cantSplit/>
        </w:trPr>
        <w:tc>
          <w:tcPr/>
          <w:p>
            <w:pPr>
              <w:pStyle w:val="Tabla8"/>
              <w:jc w:val="left"/>
            </w:pPr>
            <w:r>
              <w:t xml:space="preserve">SECCION_4_4/potencias/S3_ENVOLVENTE_ADMISIBLE_BAJA_A02.csv</w:t>
            </w:r>
          </w:p>
        </w:tc>
        <w:tc>
          <w:tcPr/>
          <w:p>
            <w:pPr>
              <w:pStyle w:val="Tabla8"/>
              <w:jc w:val="left"/>
            </w:pPr>
            <w:r>
              <w:t xml:space="preserve">RESULTADO</w:t>
            </w:r>
          </w:p>
        </w:tc>
        <w:tc>
          <w:tcPr/>
          <w:p>
            <w:pPr>
              <w:pStyle w:val="Tabla8"/>
              <w:jc w:val="left"/>
            </w:pPr>
            <w:r>
              <w:t xml:space="preserve">679</w:t>
            </w:r>
          </w:p>
        </w:tc>
        <w:tc>
          <w:tcPr/>
          <w:p>
            <w:pPr>
              <w:pStyle w:val="Tabla8"/>
              <w:jc w:val="left"/>
            </w:pPr>
            <w:r>
              <w:t xml:space="preserve">ba33656876892a3c8af7adc3620d3e46441536a6073535b80a96e6edca33d8bf</w:t>
            </w:r>
          </w:p>
        </w:tc>
      </w:tr>
      <w:tr>
        <w:trPr>
          <w:cantSplit/>
        </w:trPr>
        <w:tc>
          <w:tcPr/>
          <w:p>
            <w:pPr>
              <w:pStyle w:val="Tabla8"/>
              <w:jc w:val="left"/>
            </w:pPr>
            <w:r>
              <w:t xml:space="preserve">SECCION_4_4/potencias/S3_ENVOLVENTE_ADMISIBLE_BAJA_A03.csv</w:t>
            </w:r>
          </w:p>
        </w:tc>
        <w:tc>
          <w:tcPr/>
          <w:p>
            <w:pPr>
              <w:pStyle w:val="Tabla8"/>
              <w:jc w:val="left"/>
            </w:pPr>
            <w:r>
              <w:t xml:space="preserve">RESULTADO</w:t>
            </w:r>
          </w:p>
        </w:tc>
        <w:tc>
          <w:tcPr/>
          <w:p>
            <w:pPr>
              <w:pStyle w:val="Tabla8"/>
              <w:jc w:val="left"/>
            </w:pPr>
            <w:r>
              <w:t xml:space="preserve">688</w:t>
            </w:r>
          </w:p>
        </w:tc>
        <w:tc>
          <w:tcPr/>
          <w:p>
            <w:pPr>
              <w:pStyle w:val="Tabla8"/>
              <w:jc w:val="left"/>
            </w:pPr>
            <w:r>
              <w:t xml:space="preserve">0cde5796daef9ae3a6167b74a9434695062abe33d79272d671398858b4a0cfbc</w:t>
            </w:r>
          </w:p>
        </w:tc>
      </w:tr>
      <w:tr>
        <w:trPr>
          <w:cantSplit/>
        </w:trPr>
        <w:tc>
          <w:tcPr/>
          <w:p>
            <w:pPr>
              <w:pStyle w:val="Tabla8"/>
              <w:jc w:val="left"/>
            </w:pPr>
            <w:r>
              <w:t xml:space="preserve">SECCION_4_4/potencias/S3_ENVOLVENTE_ADMISIBLE_BAJA_A04.csv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9fb7e35efd11ec8c150d9625253c9e1b77596cbb9d65d8ed9976c006d79bd4ed</w:t>
            </w:r>
          </w:p>
        </w:tc>
      </w:tr>
      <w:tr>
        <w:trPr>
          <w:cantSplit/>
        </w:trPr>
        <w:tc>
          <w:tcPr/>
          <w:p>
            <w:pPr>
              <w:pStyle w:val="Tabla8"/>
              <w:jc w:val="left"/>
            </w:pPr>
            <w:r>
              <w:t xml:space="preserve">SECCION_4_4/potencias/S3_ENVOLVENTE_ADMISIBLE_BAJA_A05.csv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p>
            <w:pPr>
              <w:pStyle w:val="Tabla8"/>
              <w:jc w:val="left"/>
            </w:pPr>
            <w:r>
              <w:t xml:space="preserve">SECCION_4_4/potencias/S3_ENVOLVENTE_ADMISIBLE_BAJA_A06.csv</w:t>
            </w:r>
          </w:p>
        </w:tc>
        <w:tc>
          <w:tcPr/>
          <w:p>
            <w:pPr>
              <w:pStyle w:val="Tabla8"/>
              <w:jc w:val="left"/>
            </w:pPr>
            <w:r>
              <w:t xml:space="preserve">RESULTADO</w:t>
            </w:r>
          </w:p>
        </w:tc>
        <w:tc>
          <w:tcPr/>
          <w:p>
            <w:pPr>
              <w:pStyle w:val="Tabla8"/>
              <w:jc w:val="left"/>
            </w:pPr>
            <w:r>
              <w:t xml:space="preserve">691</w:t>
            </w:r>
          </w:p>
        </w:tc>
        <w:tc>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SECCION_4_4/potencias/S3_ENVOLVENTE_ADMISIBLE_BAJA_A07.csv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p>
            <w:pPr>
              <w:pStyle w:val="Tabla8"/>
              <w:jc w:val="left"/>
            </w:pPr>
            <w:r>
              <w:t xml:space="preserve">SECCION_4_4/potencias/S3_ENVOLVENTE_ADMISIBLE_BAJA_A08.csv</w:t>
            </w:r>
          </w:p>
        </w:tc>
        <w:tc>
          <w:tcPr/>
          <w:p>
            <w:pPr>
              <w:pStyle w:val="Tabla8"/>
              <w:jc w:val="left"/>
            </w:pPr>
            <w:r>
              <w:t xml:space="preserve">RESULTADO</w:t>
            </w:r>
          </w:p>
        </w:tc>
        <w:tc>
          <w:tcPr/>
          <w:p>
            <w:pPr>
              <w:pStyle w:val="Tabla8"/>
              <w:jc w:val="left"/>
            </w:pPr>
            <w:r>
              <w:t xml:space="preserve">691</w:t>
            </w:r>
          </w:p>
        </w:tc>
        <w:tc>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SECCION_4_4/potencias/S3_ENVOLVENTE_ADMISIBLE_BAJA_A09.csv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p>
            <w:pPr>
              <w:pStyle w:val="Tabla8"/>
              <w:jc w:val="left"/>
            </w:pPr>
            <w:r>
              <w:t xml:space="preserve">SECCION_4_4/potencias/S3_ENVOLVENTE_ADMISIBLE_BAJA_A10.csv</w:t>
            </w:r>
          </w:p>
        </w:tc>
        <w:tc>
          <w:tcPr/>
          <w:p>
            <w:pPr>
              <w:pStyle w:val="Tabla8"/>
              <w:jc w:val="left"/>
            </w:pPr>
            <w:r>
              <w:t xml:space="preserve">RESULTADO</w:t>
            </w:r>
          </w:p>
        </w:tc>
        <w:tc>
          <w:tcPr/>
          <w:p>
            <w:pPr>
              <w:pStyle w:val="Tabla8"/>
              <w:jc w:val="left"/>
            </w:pPr>
            <w:r>
              <w:t xml:space="preserve">691</w:t>
            </w:r>
          </w:p>
        </w:tc>
        <w:tc>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SECCION_4_4/potencias/S4_ENVOLVENTE_ADMISIBLE_ALTA_A01.csv</w:t>
            </w:r>
          </w:p>
        </w:tc>
        <w:tc>
          <w:tcPr/>
          <w:p>
            <w:pPr>
              <w:pStyle w:val="Tabla8"/>
              <w:jc w:val="left"/>
            </w:pPr>
            <w:r>
              <w:t xml:space="preserve">RESULTADO</w:t>
            </w:r>
          </w:p>
        </w:tc>
        <w:tc>
          <w:tcPr/>
          <w:p>
            <w:pPr>
              <w:pStyle w:val="Tabla8"/>
              <w:jc w:val="left"/>
            </w:pPr>
            <w:r>
              <w:t xml:space="preserve">687</w:t>
            </w:r>
          </w:p>
        </w:tc>
        <w:tc>
          <w:tcPr/>
          <w:p>
            <w:pPr>
              <w:pStyle w:val="Tabla8"/>
              <w:jc w:val="left"/>
            </w:pPr>
            <w:r>
              <w:t xml:space="preserve">593158f040bf81361bf3adab964370207ce593820866c0b9f7a4a64ef487385a</w:t>
            </w:r>
          </w:p>
        </w:tc>
      </w:tr>
      <w:tr>
        <w:trPr>
          <w:cantSplit/>
        </w:trPr>
        <w:tc>
          <w:tcPr/>
          <w:p>
            <w:pPr>
              <w:pStyle w:val="Tabla8"/>
              <w:jc w:val="left"/>
            </w:pPr>
            <w:r>
              <w:t xml:space="preserve">SECCION_4_4/potencias/S4_ENVOLVENTE_ADMISIBLE_ALTA_A02.csv</w:t>
            </w:r>
          </w:p>
        </w:tc>
        <w:tc>
          <w:tcPr/>
          <w:p>
            <w:pPr>
              <w:pStyle w:val="Tabla8"/>
              <w:jc w:val="left"/>
            </w:pPr>
            <w:r>
              <w:t xml:space="preserve">RESULTADO</w:t>
            </w:r>
          </w:p>
        </w:tc>
        <w:tc>
          <w:tcPr/>
          <w:p>
            <w:pPr>
              <w:pStyle w:val="Tabla8"/>
              <w:jc w:val="left"/>
            </w:pPr>
            <w:r>
              <w:t xml:space="preserve">732</w:t>
            </w:r>
          </w:p>
        </w:tc>
        <w:tc>
          <w:tcPr/>
          <w:p>
            <w:pPr>
              <w:pStyle w:val="Tabla8"/>
              <w:jc w:val="left"/>
            </w:pPr>
            <w:r>
              <w:t xml:space="preserve">ecd4e48835279e0c12e4ecc3c5a6c64df58120b479aa01eb7aa8834aac946890</w:t>
            </w:r>
          </w:p>
        </w:tc>
      </w:tr>
      <w:tr>
        <w:trPr>
          <w:cantSplit/>
        </w:trPr>
        <w:tc>
          <w:tcPr/>
          <w:p>
            <w:pPr>
              <w:pStyle w:val="Tabla8"/>
              <w:jc w:val="left"/>
            </w:pPr>
            <w:r>
              <w:t xml:space="preserve">SECCION_4_4/potencias/S4_ENVOLVENTE_ADMISIBLE_ALTA_A03.csv</w:t>
            </w:r>
          </w:p>
        </w:tc>
        <w:tc>
          <w:tcPr/>
          <w:p>
            <w:pPr>
              <w:pStyle w:val="Tabla8"/>
              <w:jc w:val="left"/>
            </w:pPr>
            <w:r>
              <w:t xml:space="preserve">RESULTADO</w:t>
            </w:r>
          </w:p>
        </w:tc>
        <w:tc>
          <w:tcPr/>
          <w:p>
            <w:pPr>
              <w:pStyle w:val="Tabla8"/>
              <w:jc w:val="left"/>
            </w:pPr>
            <w:r>
              <w:t xml:space="preserve">879</w:t>
            </w:r>
          </w:p>
        </w:tc>
        <w:tc>
          <w:tcPr/>
          <w:p>
            <w:pPr>
              <w:pStyle w:val="Tabla8"/>
              <w:jc w:val="left"/>
            </w:pPr>
            <w:r>
              <w:t xml:space="preserve">feb37c669e4df60a66f778c6122cf41887d0d2ee5d6a63c906355142e3747142</w:t>
            </w:r>
          </w:p>
        </w:tc>
      </w:tr>
      <w:tr>
        <w:trPr>
          <w:cantSplit/>
        </w:trPr>
        <w:tc>
          <w:tcPr/>
          <w:p>
            <w:pPr>
              <w:pStyle w:val="Tabla8"/>
              <w:jc w:val="left"/>
            </w:pPr>
            <w:r>
              <w:t xml:space="preserve">SECCION_4_4/potencias/S4_ENVOLVENTE_ADMISIBLE_ALTA_A04.csv</w:t>
            </w:r>
          </w:p>
        </w:tc>
        <w:tc>
          <w:tcPr/>
          <w:p>
            <w:pPr>
              <w:pStyle w:val="Tabla8"/>
              <w:jc w:val="left"/>
            </w:pPr>
            <w:r>
              <w:t xml:space="preserve">RESULTADO</w:t>
            </w:r>
          </w:p>
        </w:tc>
        <w:tc>
          <w:tcPr/>
          <w:p>
            <w:pPr>
              <w:pStyle w:val="Tabla8"/>
              <w:jc w:val="left"/>
            </w:pPr>
            <w:r>
              <w:t xml:space="preserve">1074</w:t>
            </w:r>
          </w:p>
        </w:tc>
        <w:tc>
          <w:tcPr/>
          <w:p>
            <w:pPr>
              <w:pStyle w:val="Tabla8"/>
              <w:jc w:val="left"/>
            </w:pPr>
            <w:r>
              <w:t xml:space="preserve">fb86bb833a1149086b85dac049ca93de36e8092dced8bb40c879e0c4c8bb43e1</w:t>
            </w:r>
          </w:p>
        </w:tc>
      </w:tr>
      <w:tr>
        <w:trPr>
          <w:cantSplit/>
        </w:trPr>
        <w:tc>
          <w:tcPr/>
          <w:p>
            <w:pPr>
              <w:pStyle w:val="Tabla8"/>
              <w:jc w:val="left"/>
            </w:pPr>
            <w:r>
              <w:t xml:space="preserve">SECCION_4_4/potencias/S4_ENVOLVENTE_ADMISIBLE_ALTA_A05.csv</w:t>
            </w:r>
          </w:p>
        </w:tc>
        <w:tc>
          <w:tcPr/>
          <w:p>
            <w:pPr>
              <w:pStyle w:val="Tabla8"/>
              <w:jc w:val="left"/>
            </w:pPr>
            <w:r>
              <w:t xml:space="preserve">RESULTADO</w:t>
            </w:r>
          </w:p>
        </w:tc>
        <w:tc>
          <w:tcPr/>
          <w:p>
            <w:pPr>
              <w:pStyle w:val="Tabla8"/>
              <w:jc w:val="left"/>
            </w:pPr>
            <w:r>
              <w:t xml:space="preserve">1286</w:t>
            </w:r>
          </w:p>
        </w:tc>
        <w:tc>
          <w:tcPr/>
          <w:p>
            <w:pPr>
              <w:pStyle w:val="Tabla8"/>
              <w:jc w:val="left"/>
            </w:pPr>
            <w:r>
              <w:t xml:space="preserve">cad1f114f1d9ae3459ce0c9dfbd0a9fc5b6d810927f3ef5e8ddbfd2c8cc5c272</w:t>
            </w:r>
          </w:p>
        </w:tc>
      </w:tr>
      <w:tr>
        <w:trPr>
          <w:cantSplit/>
        </w:trPr>
        <w:tc>
          <w:tcPr/>
          <w:p>
            <w:pPr>
              <w:pStyle w:val="Tabla8"/>
              <w:jc w:val="left"/>
            </w:pPr>
            <w:r>
              <w:t xml:space="preserve">SECCION_4_4/potencias/S4_ENVOLVENTE_ADMISIBLE_ALTA_A06.csv</w:t>
            </w:r>
          </w:p>
        </w:tc>
        <w:tc>
          <w:tcPr/>
          <w:p>
            <w:pPr>
              <w:pStyle w:val="Tabla8"/>
              <w:jc w:val="left"/>
            </w:pPr>
            <w:r>
              <w:t xml:space="preserve">RESULTADO</w:t>
            </w:r>
          </w:p>
        </w:tc>
        <w:tc>
          <w:tcPr/>
          <w:p>
            <w:pPr>
              <w:pStyle w:val="Tabla8"/>
              <w:jc w:val="left"/>
            </w:pPr>
            <w:r>
              <w:t xml:space="preserve">1489</w:t>
            </w:r>
          </w:p>
        </w:tc>
        <w:tc>
          <w:tcPr/>
          <w:p>
            <w:pPr>
              <w:pStyle w:val="Tabla8"/>
              <w:jc w:val="left"/>
            </w:pPr>
            <w:r>
              <w:t xml:space="preserve">a33352dc5a7f0dada3664c87a1436b91cfff4c0e8baf8a335d2ab0a1808d5d1d</w:t>
            </w:r>
          </w:p>
        </w:tc>
      </w:tr>
      <w:tr>
        <w:trPr>
          <w:cantSplit/>
        </w:trPr>
        <w:tc>
          <w:tcPr/>
          <w:p>
            <w:pPr>
              <w:pStyle w:val="Tabla8"/>
              <w:jc w:val="left"/>
            </w:pPr>
            <w:r>
              <w:t xml:space="preserve">SECCION_4_4/potencias/S4_ENVOLVENTE_ADMISIBLE_ALTA_A07.csv</w:t>
            </w:r>
          </w:p>
        </w:tc>
        <w:tc>
          <w:tcPr/>
          <w:p>
            <w:pPr>
              <w:pStyle w:val="Tabla8"/>
              <w:jc w:val="left"/>
            </w:pPr>
            <w:r>
              <w:t xml:space="preserve">RESULTADO</w:t>
            </w:r>
          </w:p>
        </w:tc>
        <w:tc>
          <w:tcPr/>
          <w:p>
            <w:pPr>
              <w:pStyle w:val="Tabla8"/>
              <w:jc w:val="left"/>
            </w:pPr>
            <w:r>
              <w:t xml:space="preserve">1657</w:t>
            </w:r>
          </w:p>
        </w:tc>
        <w:tc>
          <w:tcPr/>
          <w:p>
            <w:pPr>
              <w:pStyle w:val="Tabla8"/>
              <w:jc w:val="left"/>
            </w:pPr>
            <w:r>
              <w:t xml:space="preserve">ae80549323f340524a7cebfd6c5ececc52c34783b061bee9d2ada18b35cccba4</w:t>
            </w:r>
          </w:p>
        </w:tc>
      </w:tr>
      <w:tr>
        <w:trPr>
          <w:cantSplit/>
        </w:trPr>
        <w:tc>
          <w:tcPr/>
          <w:p>
            <w:pPr>
              <w:pStyle w:val="Tabla8"/>
              <w:jc w:val="left"/>
            </w:pPr>
            <w:r>
              <w:t xml:space="preserve">SECCION_4_4/potencias/S4_ENVOLVENTE_ADMISIBLE_ALTA_A08.csv</w:t>
            </w:r>
          </w:p>
        </w:tc>
        <w:tc>
          <w:tcPr/>
          <w:p>
            <w:pPr>
              <w:pStyle w:val="Tabla8"/>
              <w:jc w:val="left"/>
            </w:pPr>
            <w:r>
              <w:t xml:space="preserve">RESULTADO</w:t>
            </w:r>
          </w:p>
        </w:tc>
        <w:tc>
          <w:tcPr/>
          <w:p>
            <w:pPr>
              <w:pStyle w:val="Tabla8"/>
              <w:jc w:val="left"/>
            </w:pPr>
            <w:r>
              <w:t xml:space="preserve">1833</w:t>
            </w:r>
          </w:p>
        </w:tc>
        <w:tc>
          <w:tcPr/>
          <w:p>
            <w:pPr>
              <w:pStyle w:val="Tabla8"/>
              <w:jc w:val="left"/>
            </w:pPr>
            <w:r>
              <w:t xml:space="preserve">2c5eb3e2671e0d7289482fea7f512f293a25ee6e7d0a87b8ae117e81eab0ade3</w:t>
            </w:r>
          </w:p>
        </w:tc>
      </w:tr>
      <w:tr>
        <w:trPr>
          <w:cantSplit/>
        </w:trPr>
        <w:tc>
          <w:tcPr/>
          <w:p>
            <w:pPr>
              <w:pStyle w:val="Tabla8"/>
              <w:jc w:val="left"/>
            </w:pPr>
            <w:r>
              <w:t xml:space="preserve">SECCION_4_4/potencias/S4_ENVOLVENTE_ADMISIBLE_ALTA_A09.csv</w:t>
            </w:r>
          </w:p>
        </w:tc>
        <w:tc>
          <w:tcPr/>
          <w:p>
            <w:pPr>
              <w:pStyle w:val="Tabla8"/>
              <w:jc w:val="left"/>
            </w:pPr>
            <w:r>
              <w:t xml:space="preserve">RESULTADO</w:t>
            </w:r>
          </w:p>
        </w:tc>
        <w:tc>
          <w:tcPr/>
          <w:p>
            <w:pPr>
              <w:pStyle w:val="Tabla8"/>
              <w:jc w:val="left"/>
            </w:pPr>
            <w:r>
              <w:t xml:space="preserve">2014</w:t>
            </w:r>
          </w:p>
        </w:tc>
        <w:tc>
          <w:tcPr/>
          <w:p>
            <w:pPr>
              <w:pStyle w:val="Tabla8"/>
              <w:jc w:val="left"/>
            </w:pPr>
            <w:r>
              <w:t xml:space="preserve">aa8332c28b3847ec539ad6b7f67ae42f7984c1b04f61eff243decc1ed814a10e</w:t>
            </w:r>
          </w:p>
        </w:tc>
      </w:tr>
      <w:tr>
        <w:trPr>
          <w:cantSplit/>
        </w:trPr>
        <w:tc>
          <w:tcPr/>
          <w:p>
            <w:pPr>
              <w:pStyle w:val="Tabla8"/>
              <w:jc w:val="left"/>
            </w:pPr>
            <w:r>
              <w:t xml:space="preserve">SECCION_4_4/potencias/S4_ENVOLVENTE_ADMISIBLE_ALTA_A10.csv</w:t>
            </w:r>
          </w:p>
        </w:tc>
        <w:tc>
          <w:tcPr/>
          <w:p>
            <w:pPr>
              <w:pStyle w:val="Tabla8"/>
              <w:jc w:val="left"/>
            </w:pPr>
            <w:r>
              <w:t xml:space="preserve">RESULTADO</w:t>
            </w:r>
          </w:p>
        </w:tc>
        <w:tc>
          <w:tcPr/>
          <w:p>
            <w:pPr>
              <w:pStyle w:val="Tabla8"/>
              <w:jc w:val="left"/>
            </w:pPr>
            <w:r>
              <w:t xml:space="preserve">2205</w:t>
            </w:r>
          </w:p>
        </w:tc>
        <w:tc>
          <w:tcPr/>
          <w:p>
            <w:pPr>
              <w:pStyle w:val="Tabla8"/>
              <w:jc w:val="left"/>
            </w:pPr>
            <w:r>
              <w:t xml:space="preserve">c4f8be6c32088634054286079d896787b0520362b03ff0b18d4fefb75206824b</w:t>
            </w:r>
          </w:p>
        </w:tc>
      </w:tr>
      <w:tr>
        <w:trPr>
          <w:cantSplit/>
        </w:trPr>
        <w:tc>
          <w:tcPr/>
          <w:p>
            <w:pPr>
              <w:pStyle w:val="Tabla8"/>
              <w:jc w:val="left"/>
            </w:pPr>
            <w:r>
              <w:t xml:space="preserve">SECCION_4_4/potencias/S_TRABAJO_PROPUESTO_A01.csv</w:t>
            </w:r>
          </w:p>
        </w:tc>
        <w:tc>
          <w:tcPr/>
          <w:p>
            <w:pPr>
              <w:pStyle w:val="Tabla8"/>
              <w:jc w:val="left"/>
            </w:pPr>
            <w:r>
              <w:t xml:space="preserve">RESULTADO</w:t>
            </w:r>
          </w:p>
        </w:tc>
        <w:tc>
          <w:tcPr/>
          <w:p>
            <w:pPr>
              <w:pStyle w:val="Tabla8"/>
              <w:jc w:val="left"/>
            </w:pPr>
            <w:r>
              <w:t xml:space="preserve">678</w:t>
            </w:r>
          </w:p>
        </w:tc>
        <w:tc>
          <w:tcPr/>
          <w:p>
            <w:pPr>
              <w:pStyle w:val="Tabla8"/>
              <w:jc w:val="left"/>
            </w:pPr>
            <w:r>
              <w:t xml:space="preserve">4527524414ed9404c4e36f3e357568ab13bdb74cb5b8dddc5479b31d13df2a89</w:t>
            </w:r>
          </w:p>
        </w:tc>
      </w:tr>
      <w:tr>
        <w:trPr>
          <w:cantSplit/>
        </w:trPr>
        <w:tc>
          <w:tcPr/>
          <w:p>
            <w:pPr>
              <w:pStyle w:val="Tabla8"/>
              <w:jc w:val="left"/>
            </w:pPr>
            <w:r>
              <w:t xml:space="preserve">SECCION_4_4/potencias/S_TRABAJO_PROPUESTO_A02.csv</w:t>
            </w:r>
          </w:p>
        </w:tc>
        <w:tc>
          <w:tcPr/>
          <w:p>
            <w:pPr>
              <w:pStyle w:val="Tabla8"/>
              <w:jc w:val="left"/>
            </w:pPr>
            <w:r>
              <w:t xml:space="preserve">RESULTADO</w:t>
            </w:r>
          </w:p>
        </w:tc>
        <w:tc>
          <w:tcPr/>
          <w:p>
            <w:pPr>
              <w:pStyle w:val="Tabla8"/>
              <w:jc w:val="left"/>
            </w:pPr>
            <w:r>
              <w:t xml:space="preserve">706</w:t>
            </w:r>
          </w:p>
        </w:tc>
        <w:tc>
          <w:tcPr/>
          <w:p>
            <w:pPr>
              <w:pStyle w:val="Tabla8"/>
              <w:jc w:val="left"/>
            </w:pPr>
            <w:r>
              <w:t xml:space="preserve">bb99bf8d0b3b77d550c7d78bddd8b75362a814a1c13d84e452458ee08c685a14</w:t>
            </w:r>
          </w:p>
        </w:tc>
      </w:tr>
      <w:tr>
        <w:trPr>
          <w:cantSplit/>
        </w:trPr>
        <w:tc>
          <w:tcPr/>
          <w:p>
            <w:pPr>
              <w:pStyle w:val="Tabla8"/>
              <w:jc w:val="left"/>
            </w:pPr>
            <w:r>
              <w:t xml:space="preserve">SECCION_4_4/potencias/S_TRABAJO_PROPUESTO_A03.csv</w:t>
            </w:r>
          </w:p>
        </w:tc>
        <w:tc>
          <w:tcPr/>
          <w:p>
            <w:pPr>
              <w:pStyle w:val="Tabla8"/>
              <w:jc w:val="left"/>
            </w:pPr>
            <w:r>
              <w:t xml:space="preserve">RESULTADO</w:t>
            </w:r>
          </w:p>
        </w:tc>
        <w:tc>
          <w:tcPr/>
          <w:p>
            <w:pPr>
              <w:pStyle w:val="Tabla8"/>
              <w:jc w:val="left"/>
            </w:pPr>
            <w:r>
              <w:t xml:space="preserve">794</w:t>
            </w:r>
          </w:p>
        </w:tc>
        <w:tc>
          <w:tcPr/>
          <w:p>
            <w:pPr>
              <w:pStyle w:val="Tabla8"/>
              <w:jc w:val="left"/>
            </w:pPr>
            <w:r>
              <w:t xml:space="preserve">f2f0161cd375030e95d3ad6a9a45f78ba15d53935bb2155be8bff31b88e3eb26</w:t>
            </w:r>
          </w:p>
        </w:tc>
      </w:tr>
      <w:tr>
        <w:trPr>
          <w:cantSplit/>
        </w:trPr>
        <w:tc>
          <w:tcPr/>
          <w:p>
            <w:pPr>
              <w:pStyle w:val="Tabla8"/>
              <w:jc w:val="left"/>
            </w:pPr>
            <w:r>
              <w:t xml:space="preserve">SECCION_4_4/potencias/S_TRABAJO_PROPUESTO_A04.csv</w:t>
            </w:r>
          </w:p>
        </w:tc>
        <w:tc>
          <w:tcPr/>
          <w:p>
            <w:pPr>
              <w:pStyle w:val="Tabla8"/>
              <w:jc w:val="left"/>
            </w:pPr>
            <w:r>
              <w:t xml:space="preserve">RESULTADO</w:t>
            </w:r>
          </w:p>
        </w:tc>
        <w:tc>
          <w:tcPr/>
          <w:p>
            <w:pPr>
              <w:pStyle w:val="Tabla8"/>
              <w:jc w:val="left"/>
            </w:pPr>
            <w:r>
              <w:t xml:space="preserve">918</w:t>
            </w:r>
          </w:p>
        </w:tc>
        <w:tc>
          <w:tcPr/>
          <w:p>
            <w:pPr>
              <w:pStyle w:val="Tabla8"/>
              <w:jc w:val="left"/>
            </w:pPr>
            <w:r>
              <w:t xml:space="preserve">29cd4e14dc26bb1fde8c68beb3127218ea89280359454896ceb263a0776d2f1b</w:t>
            </w:r>
          </w:p>
        </w:tc>
      </w:tr>
      <w:tr>
        <w:trPr>
          <w:cantSplit/>
        </w:trPr>
        <w:tc>
          <w:tcPr/>
          <w:p>
            <w:pPr>
              <w:pStyle w:val="Tabla8"/>
              <w:jc w:val="left"/>
            </w:pPr>
            <w:r>
              <w:t xml:space="preserve">SECCION_4_4/potencias/S_TRABAJO_PROPUESTO_A05.csv</w:t>
            </w:r>
          </w:p>
        </w:tc>
        <w:tc>
          <w:tcPr/>
          <w:p>
            <w:pPr>
              <w:pStyle w:val="Tabla8"/>
              <w:jc w:val="left"/>
            </w:pPr>
            <w:r>
              <w:t xml:space="preserve">RESULTADO</w:t>
            </w:r>
          </w:p>
        </w:tc>
        <w:tc>
          <w:tcPr/>
          <w:p>
            <w:pPr>
              <w:pStyle w:val="Tabla8"/>
              <w:jc w:val="left"/>
            </w:pPr>
            <w:r>
              <w:t xml:space="preserve">1068</w:t>
            </w:r>
          </w:p>
        </w:tc>
        <w:tc>
          <w:tcPr/>
          <w:p>
            <w:pPr>
              <w:pStyle w:val="Tabla8"/>
              <w:jc w:val="left"/>
            </w:pPr>
            <w:r>
              <w:t xml:space="preserve">ab60c9efd45ab2d8357f30dc87d94ea9394335827c1e42ac557f87d05379c06d</w:t>
            </w:r>
          </w:p>
        </w:tc>
      </w:tr>
      <w:tr>
        <w:trPr>
          <w:cantSplit/>
        </w:trPr>
        <w:tc>
          <w:tcPr/>
          <w:p>
            <w:pPr>
              <w:pStyle w:val="Tabla8"/>
              <w:jc w:val="left"/>
            </w:pPr>
            <w:r>
              <w:t xml:space="preserve">SECCION_4_4/potencias/S_TRABAJO_PROPUESTO_A06.csv</w:t>
            </w:r>
          </w:p>
        </w:tc>
        <w:tc>
          <w:tcPr/>
          <w:p>
            <w:pPr>
              <w:pStyle w:val="Tabla8"/>
              <w:jc w:val="left"/>
            </w:pPr>
            <w:r>
              <w:t xml:space="preserve">RESULTADO</w:t>
            </w:r>
          </w:p>
        </w:tc>
        <w:tc>
          <w:tcPr/>
          <w:p>
            <w:pPr>
              <w:pStyle w:val="Tabla8"/>
              <w:jc w:val="left"/>
            </w:pPr>
            <w:r>
              <w:t xml:space="preserve">1241</w:t>
            </w:r>
          </w:p>
        </w:tc>
        <w:tc>
          <w:tcPr/>
          <w:p>
            <w:pPr>
              <w:pStyle w:val="Tabla8"/>
              <w:jc w:val="left"/>
            </w:pPr>
            <w:r>
              <w:t xml:space="preserve">6e7d8416374a27ca3ea670dd188a676379453358817b656d48ddd48d528569a5</w:t>
            </w:r>
          </w:p>
        </w:tc>
      </w:tr>
      <w:tr>
        <w:trPr>
          <w:cantSplit/>
        </w:trPr>
        <w:tc>
          <w:tcPr/>
          <w:p>
            <w:pPr>
              <w:pStyle w:val="Tabla8"/>
              <w:jc w:val="left"/>
            </w:pPr>
            <w:r>
              <w:t xml:space="preserve">SECCION_4_4/potencias/S_TRABAJO_PROPUESTO_A07.csv</w:t>
            </w:r>
          </w:p>
        </w:tc>
        <w:tc>
          <w:tcPr/>
          <w:p>
            <w:pPr>
              <w:pStyle w:val="Tabla8"/>
              <w:jc w:val="left"/>
            </w:pPr>
            <w:r>
              <w:t xml:space="preserve">RESULTADO</w:t>
            </w:r>
          </w:p>
        </w:tc>
        <w:tc>
          <w:tcPr/>
          <w:p>
            <w:pPr>
              <w:pStyle w:val="Tabla8"/>
              <w:jc w:val="left"/>
            </w:pPr>
            <w:r>
              <w:t xml:space="preserve">1395</w:t>
            </w:r>
          </w:p>
        </w:tc>
        <w:tc>
          <w:tcPr/>
          <w:p>
            <w:pPr>
              <w:pStyle w:val="Tabla8"/>
              <w:jc w:val="left"/>
            </w:pPr>
            <w:r>
              <w:t xml:space="preserve">31de5205d6de0e3eec9c283fa794fee3033dd28163cecd504c4828e55bd77442</w:t>
            </w:r>
          </w:p>
        </w:tc>
      </w:tr>
      <w:tr>
        <w:trPr>
          <w:cantSplit/>
        </w:trPr>
        <w:tc>
          <w:tcPr/>
          <w:p>
            <w:pPr>
              <w:pStyle w:val="Tabla8"/>
              <w:jc w:val="left"/>
            </w:pPr>
            <w:r>
              <w:t xml:space="preserve">SECCION_4_4/potencias/S_TRABAJO_PROPUESTO_A08.csv</w:t>
            </w:r>
          </w:p>
        </w:tc>
        <w:tc>
          <w:tcPr/>
          <w:p>
            <w:pPr>
              <w:pStyle w:val="Tabla8"/>
              <w:jc w:val="left"/>
            </w:pPr>
            <w:r>
              <w:t xml:space="preserve">RESULTADO</w:t>
            </w:r>
          </w:p>
        </w:tc>
        <w:tc>
          <w:tcPr/>
          <w:p>
            <w:pPr>
              <w:pStyle w:val="Tabla8"/>
              <w:jc w:val="left"/>
            </w:pPr>
            <w:r>
              <w:t xml:space="preserve">1524</w:t>
            </w:r>
          </w:p>
        </w:tc>
        <w:tc>
          <w:tcPr/>
          <w:p>
            <w:pPr>
              <w:pStyle w:val="Tabla8"/>
              <w:jc w:val="left"/>
            </w:pPr>
            <w:r>
              <w:t xml:space="preserve">ce66001f639fdfe829852b517356de76680d9bb315932e9312885576ca445ca5</w:t>
            </w:r>
          </w:p>
        </w:tc>
      </w:tr>
      <w:tr>
        <w:trPr>
          <w:cantSplit/>
        </w:trPr>
        <w:tc>
          <w:tcPr/>
          <w:p>
            <w:pPr>
              <w:pStyle w:val="Tabla8"/>
              <w:jc w:val="left"/>
            </w:pPr>
            <w:r>
              <w:t xml:space="preserve">SECCION_4_4/potencias/S_TRABAJO_PROPUESTO_A09.csv</w:t>
            </w:r>
          </w:p>
        </w:tc>
        <w:tc>
          <w:tcPr/>
          <w:p>
            <w:pPr>
              <w:pStyle w:val="Tabla8"/>
              <w:jc w:val="left"/>
            </w:pPr>
            <w:r>
              <w:t xml:space="preserve">RESULTADO</w:t>
            </w:r>
          </w:p>
        </w:tc>
        <w:tc>
          <w:tcPr/>
          <w:p>
            <w:pPr>
              <w:pStyle w:val="Tabla8"/>
              <w:jc w:val="left"/>
            </w:pPr>
            <w:r>
              <w:t xml:space="preserve">1701</w:t>
            </w:r>
          </w:p>
        </w:tc>
        <w:tc>
          <w:tcPr/>
          <w:p>
            <w:pPr>
              <w:pStyle w:val="Tabla8"/>
              <w:jc w:val="left"/>
            </w:pPr>
            <w:r>
              <w:t xml:space="preserve">a8adabfc46de968d61ff67cd42cc0161342dfe341703bca0f677fe60345355fa</w:t>
            </w:r>
          </w:p>
        </w:tc>
      </w:tr>
      <w:tr>
        <w:trPr>
          <w:cantSplit/>
        </w:trPr>
        <w:tc>
          <w:tcPr/>
          <w:p>
            <w:pPr>
              <w:pStyle w:val="Tabla8"/>
              <w:jc w:val="left"/>
            </w:pPr>
            <w:r>
              <w:t xml:space="preserve">SECCION_4_4/potencias/S_TRABAJO_PROPUESTO_A10.csv</w:t>
            </w:r>
          </w:p>
        </w:tc>
        <w:tc>
          <w:tcPr/>
          <w:p>
            <w:pPr>
              <w:pStyle w:val="Tabla8"/>
              <w:jc w:val="left"/>
            </w:pPr>
            <w:r>
              <w:t xml:space="preserve">RESULTADO</w:t>
            </w:r>
          </w:p>
        </w:tc>
        <w:tc>
          <w:tcPr/>
          <w:p>
            <w:pPr>
              <w:pStyle w:val="Tabla8"/>
              <w:jc w:val="left"/>
            </w:pPr>
            <w:r>
              <w:t xml:space="preserve">1861</w:t>
            </w:r>
          </w:p>
        </w:tc>
        <w:tc>
          <w:tcPr/>
          <w:p>
            <w:pPr>
              <w:pStyle w:val="Tabla8"/>
              <w:jc w:val="left"/>
            </w:pPr>
            <w:r>
              <w:t xml:space="preserve">6ff11654fae4fc88dd3b51ebaa96f1815ecb230a489be7b8c9f256d6c82b4dc5</w:t>
            </w:r>
          </w:p>
        </w:tc>
      </w:tr>
      <w:tr>
        <w:trPr>
          <w:cantSplit/>
        </w:trPr>
        <w:tc>
          <w:tcPr/>
          <w:p>
            <w:pPr>
              <w:pStyle w:val="Tabla8"/>
              <w:jc w:val="left"/>
            </w:pPr>
            <w:r>
              <w:t xml:space="preserve">SECCION_4_4/xlsx/Vester_MICMAC_S0_historico.xlsx</w:t>
            </w:r>
          </w:p>
        </w:tc>
        <w:tc>
          <w:tcPr/>
          <w:p>
            <w:pPr>
              <w:pStyle w:val="Tabla8"/>
              <w:jc w:val="left"/>
            </w:pPr>
            <w:r>
              <w:t xml:space="preserve">MATRIZ</w:t>
            </w:r>
          </w:p>
        </w:tc>
        <w:tc>
          <w:tcPr/>
          <w:p>
            <w:pPr>
              <w:pStyle w:val="Tabla8"/>
              <w:jc w:val="left"/>
            </w:pPr>
            <w:r>
              <w:t xml:space="preserve">327092</w:t>
            </w:r>
          </w:p>
        </w:tc>
        <w:tc>
          <w:tcPr/>
          <w:p>
            <w:pPr>
              <w:pStyle w:val="Tabla8"/>
              <w:jc w:val="left"/>
            </w:pPr>
            <w:r>
              <w:t xml:space="preserve">f0649acf1e2c557117207aefb3435aad49ca9a8da050ea3f4af67af0865f9123</w:t>
            </w:r>
          </w:p>
        </w:tc>
      </w:tr>
      <w:tr>
        <w:trPr>
          <w:cantSplit/>
        </w:trPr>
        <w:tc>
          <w:tcPr/>
          <w:p>
            <w:pPr>
              <w:pStyle w:val="Tabla8"/>
              <w:jc w:val="left"/>
            </w:pPr>
            <w:r>
              <w:t xml:space="preserve">SECCION_4_4/xlsx/Vester_MICMAC_S1_previo_doc.xlsx</w:t>
            </w:r>
          </w:p>
        </w:tc>
        <w:tc>
          <w:tcPr/>
          <w:p>
            <w:pPr>
              <w:pStyle w:val="Tabla8"/>
              <w:jc w:val="left"/>
            </w:pPr>
            <w:r>
              <w:t xml:space="preserve">MATRIZ</w:t>
            </w:r>
          </w:p>
        </w:tc>
        <w:tc>
          <w:tcPr/>
          <w:p>
            <w:pPr>
              <w:pStyle w:val="Tabla8"/>
              <w:jc w:val="left"/>
            </w:pPr>
            <w:r>
              <w:t xml:space="preserve">327106</w:t>
            </w:r>
          </w:p>
        </w:tc>
        <w:tc>
          <w:tcPr/>
          <w:p>
            <w:pPr>
              <w:pStyle w:val="Tabla8"/>
              <w:jc w:val="left"/>
            </w:pPr>
            <w:r>
              <w:t xml:space="preserve">adb24f0dd6551abd8cff2684aa252f5919ebe8f997b2221feb84589c73bf88ad</w:t>
            </w:r>
          </w:p>
        </w:tc>
      </w:tr>
      <w:tr>
        <w:trPr>
          <w:cantSplit/>
        </w:trPr>
        <w:tc>
          <w:tcPr/>
          <w:p>
            <w:pPr>
              <w:pStyle w:val="Tabla8"/>
              <w:jc w:val="left"/>
            </w:pPr>
            <w:r>
              <w:t xml:space="preserve">SECCION_4_4/xlsx/Vester_MICMAC_S2_trabajo_propuesto.xlsx</w:t>
            </w:r>
          </w:p>
        </w:tc>
        <w:tc>
          <w:tcPr/>
          <w:p>
            <w:pPr>
              <w:pStyle w:val="Tabla8"/>
              <w:jc w:val="left"/>
            </w:pPr>
            <w:r>
              <w:t xml:space="preserve">MATRIZ</w:t>
            </w:r>
          </w:p>
        </w:tc>
        <w:tc>
          <w:tcPr/>
          <w:p>
            <w:pPr>
              <w:pStyle w:val="Tabla8"/>
              <w:jc w:val="left"/>
            </w:pPr>
            <w:r>
              <w:t xml:space="preserve">327130</w:t>
            </w:r>
          </w:p>
        </w:tc>
        <w:tc>
          <w:tcPr/>
          <w:p>
            <w:pPr>
              <w:pStyle w:val="Tabla8"/>
              <w:jc w:val="left"/>
            </w:pPr>
            <w:r>
              <w:t xml:space="preserve">568b961d032caf6d62c4969db89eca0bc3da1eb2489cee6de4140bbd2608e663</w:t>
            </w:r>
          </w:p>
        </w:tc>
      </w:tr>
      <w:tr>
        <w:trPr>
          <w:cantSplit/>
        </w:trPr>
        <w:tc>
          <w:tcPr/>
          <w:p>
            <w:pPr>
              <w:pStyle w:val="Tabla8"/>
              <w:jc w:val="left"/>
            </w:pPr>
            <w:r>
              <w:t xml:space="preserve">SECCION_4_4_MDR/ARBOL_1_SGR_CONV56_AIRE.alt.md</w:t>
            </w:r>
          </w:p>
        </w:tc>
        <w:tc>
          <w:tcPr/>
          <w:p>
            <w:pPr>
              <w:pStyle w:val="Tabla8"/>
              <w:jc w:val="left"/>
            </w:pPr>
            <w:r>
              <w:t xml:space="preserve">GRAFICO</w:t>
            </w:r>
          </w:p>
        </w:tc>
        <w:tc>
          <w:tcPr/>
          <w:p>
            <w:pPr>
              <w:pStyle w:val="Tabla8"/>
              <w:jc w:val="left"/>
            </w:pPr>
            <w:r>
              <w:t xml:space="preserve">3488</w:t>
            </w:r>
          </w:p>
        </w:tc>
        <w:tc>
          <w:tcPr/>
          <w:p>
            <w:pPr>
              <w:pStyle w:val="Tabla8"/>
              <w:jc w:val="left"/>
            </w:pPr>
            <w:r>
              <w:t xml:space="preserve">fe72e08b63a603461224d9b172079cb6ac44a50817aad714f3a9ee44a2d6ec84</w:t>
            </w:r>
          </w:p>
        </w:tc>
      </w:tr>
      <w:tr>
        <w:trPr>
          <w:cantSplit/>
        </w:trPr>
        <w:tc>
          <w:tcPr/>
          <w:p>
            <w:pPr>
              <w:pStyle w:val="Tabla8"/>
              <w:jc w:val="left"/>
            </w:pPr>
            <w:r>
              <w:t xml:space="preserve">SECCION_4_4_MDR/ARBOL_1_SGR_CONV56_AIRE.json</w:t>
            </w:r>
          </w:p>
        </w:tc>
        <w:tc>
          <w:tcPr/>
          <w:p>
            <w:pPr>
              <w:pStyle w:val="Tabla8"/>
              <w:jc w:val="left"/>
            </w:pPr>
            <w:r>
              <w:t xml:space="preserve">RESULTADO</w:t>
            </w:r>
          </w:p>
        </w:tc>
        <w:tc>
          <w:tcPr/>
          <w:p>
            <w:pPr>
              <w:pStyle w:val="Tabla8"/>
              <w:jc w:val="left"/>
            </w:pPr>
            <w:r>
              <w:t xml:space="preserve">7779</w:t>
            </w:r>
          </w:p>
        </w:tc>
        <w:tc>
          <w:tcPr/>
          <w:p>
            <w:pPr>
              <w:pStyle w:val="Tabla8"/>
              <w:jc w:val="left"/>
            </w:pPr>
            <w:r>
              <w:t xml:space="preserve">56bbfcf900417513e0affb3f63beb78501c032da4b77cabbcac2fa615360aa5c</w:t>
            </w:r>
          </w:p>
        </w:tc>
      </w:tr>
      <w:tr>
        <w:trPr>
          <w:cantSplit/>
        </w:trPr>
        <w:tc>
          <w:tcPr/>
          <w:p>
            <w:pPr>
              <w:pStyle w:val="Tabla8"/>
              <w:jc w:val="left"/>
            </w:pPr>
            <w:r>
              <w:t xml:space="preserve">SECCION_4_4_MDR/ARBOL_1_SGR_CONV56_AIRE.svg</w:t>
            </w:r>
          </w:p>
        </w:tc>
        <w:tc>
          <w:tcPr/>
          <w:p>
            <w:pPr>
              <w:pStyle w:val="Tabla8"/>
              <w:jc w:val="left"/>
            </w:pPr>
            <w:r>
              <w:t xml:space="preserve">GRAFICO</w:t>
            </w:r>
          </w:p>
        </w:tc>
        <w:tc>
          <w:tcPr/>
          <w:p>
            <w:pPr>
              <w:pStyle w:val="Tabla8"/>
              <w:jc w:val="left"/>
            </w:pPr>
            <w:r>
              <w:t xml:space="preserve">26353</w:t>
            </w:r>
          </w:p>
        </w:tc>
        <w:tc>
          <w:tcPr/>
          <w:p>
            <w:pPr>
              <w:pStyle w:val="Tabla8"/>
              <w:jc w:val="left"/>
            </w:pPr>
            <w:r>
              <w:t xml:space="preserve">9bf2357debcd55c9fefb3ff8730cebe43c14fd61e318de94236e36054fe0df9f</w:t>
            </w:r>
          </w:p>
        </w:tc>
      </w:tr>
      <w:tr>
        <w:trPr>
          <w:cantSplit/>
        </w:trPr>
        <w:tc>
          <w:tcPr/>
          <w:p>
            <w:pPr>
              <w:pStyle w:val="Tabla8"/>
              <w:jc w:val="left"/>
            </w:pPr>
            <w:r>
              <w:t xml:space="preserve">SECCION_4_4_MDR/ARBOL_4_SGR_CONV56_AIRE.alt.md</w:t>
            </w:r>
          </w:p>
        </w:tc>
        <w:tc>
          <w:tcPr/>
          <w:p>
            <w:pPr>
              <w:pStyle w:val="Tabla8"/>
              <w:jc w:val="left"/>
            </w:pPr>
            <w:r>
              <w:t xml:space="preserve">GRAFICO</w:t>
            </w:r>
          </w:p>
        </w:tc>
        <w:tc>
          <w:tcPr/>
          <w:p>
            <w:pPr>
              <w:pStyle w:val="Tabla8"/>
              <w:jc w:val="left"/>
            </w:pPr>
            <w:r>
              <w:t xml:space="preserve">3602</w:t>
            </w:r>
          </w:p>
        </w:tc>
        <w:tc>
          <w:tcPr/>
          <w:p>
            <w:pPr>
              <w:pStyle w:val="Tabla8"/>
              <w:jc w:val="left"/>
            </w:pPr>
            <w:r>
              <w:t xml:space="preserve">b56f43df8133e428c4e7e67bbd9462ad9fee6545e9425163843e49bf2af707e0</w:t>
            </w:r>
          </w:p>
        </w:tc>
      </w:tr>
      <w:tr>
        <w:trPr>
          <w:cantSplit/>
        </w:trPr>
        <w:tc>
          <w:tcPr/>
          <w:p>
            <w:pPr>
              <w:pStyle w:val="Tabla8"/>
              <w:jc w:val="left"/>
            </w:pPr>
            <w:r>
              <w:t xml:space="preserve">SECCION_4_4_MDR/ARBOL_4_SGR_CONV56_AIRE.json</w:t>
            </w:r>
          </w:p>
        </w:tc>
        <w:tc>
          <w:tcPr/>
          <w:p>
            <w:pPr>
              <w:pStyle w:val="Tabla8"/>
              <w:jc w:val="left"/>
            </w:pPr>
            <w:r>
              <w:t xml:space="preserve">RESULTADO</w:t>
            </w:r>
          </w:p>
        </w:tc>
        <w:tc>
          <w:tcPr/>
          <w:p>
            <w:pPr>
              <w:pStyle w:val="Tabla8"/>
              <w:jc w:val="left"/>
            </w:pPr>
            <w:r>
              <w:t xml:space="preserve">6102</w:t>
            </w:r>
          </w:p>
        </w:tc>
        <w:tc>
          <w:tcPr/>
          <w:p>
            <w:pPr>
              <w:pStyle w:val="Tabla8"/>
              <w:jc w:val="left"/>
            </w:pPr>
            <w:r>
              <w:t xml:space="preserve">35781fb46115dcf27addcb35cc47da4cfa5e9f6e748c275d3ebccc9eff045211</w:t>
            </w:r>
          </w:p>
        </w:tc>
      </w:tr>
      <w:tr>
        <w:trPr>
          <w:cantSplit/>
        </w:trPr>
        <w:tc>
          <w:tcPr/>
          <w:p>
            <w:pPr>
              <w:pStyle w:val="Tabla8"/>
              <w:jc w:val="left"/>
            </w:pPr>
            <w:r>
              <w:t xml:space="preserve">SECCION_4_4_MDR/ARBOL_4_SGR_CONV56_AIRE.svg</w:t>
            </w:r>
          </w:p>
        </w:tc>
        <w:tc>
          <w:tcPr/>
          <w:p>
            <w:pPr>
              <w:pStyle w:val="Tabla8"/>
              <w:jc w:val="left"/>
            </w:pPr>
            <w:r>
              <w:t xml:space="preserve">GRAFICO</w:t>
            </w:r>
          </w:p>
        </w:tc>
        <w:tc>
          <w:tcPr/>
          <w:p>
            <w:pPr>
              <w:pStyle w:val="Tabla8"/>
              <w:jc w:val="left"/>
            </w:pPr>
            <w:r>
              <w:t xml:space="preserve">20727</w:t>
            </w:r>
          </w:p>
        </w:tc>
        <w:tc>
          <w:tcPr/>
          <w:p>
            <w:pPr>
              <w:pStyle w:val="Tabla8"/>
              <w:jc w:val="left"/>
            </w:pPr>
            <w:r>
              <w:t xml:space="preserve">0de6c7603bbbad0f11fa28d4866bea99b399a78c18ef02b8adcb942b31691636</w:t>
            </w:r>
          </w:p>
        </w:tc>
      </w:tr>
      <w:tr>
        <w:trPr>
          <w:cantSplit/>
        </w:trPr>
        <w:tc>
          <w:tcPr/>
          <w:p>
            <w:pPr>
              <w:pStyle w:val="Tabla8"/>
              <w:jc w:val="left"/>
            </w:pPr>
            <w:r>
              <w:t xml:space="preserve">SECCION_4_4_MDR/CONTROL_MDR_SGR_CONV56_AIRE.json</w:t>
            </w:r>
          </w:p>
        </w:tc>
        <w:tc>
          <w:tcPr/>
          <w:p>
            <w:pPr>
              <w:pStyle w:val="Tabla8"/>
              <w:jc w:val="left"/>
            </w:pPr>
            <w:r>
              <w:t xml:space="preserve">RESULTADO</w:t>
            </w:r>
          </w:p>
        </w:tc>
        <w:tc>
          <w:tcPr/>
          <w:p>
            <w:pPr>
              <w:pStyle w:val="Tabla8"/>
              <w:jc w:val="left"/>
            </w:pPr>
            <w:r>
              <w:t xml:space="preserve">13294</w:t>
            </w:r>
          </w:p>
        </w:tc>
        <w:tc>
          <w:tcPr/>
          <w:p>
            <w:pPr>
              <w:pStyle w:val="Tabla8"/>
              <w:jc w:val="left"/>
            </w:pPr>
            <w:r>
              <w:t xml:space="preserve">ce3ba55f023d670d838a9c890b8059ef4266229aeffa889784d1f8e473586352</w:t>
            </w:r>
          </w:p>
        </w:tc>
      </w:tr>
      <w:tr>
        <w:trPr>
          <w:cantSplit/>
        </w:trPr>
        <w:tc>
          <w:tcPr/>
          <w:p>
            <w:pPr>
              <w:pStyle w:val="Tabla8"/>
              <w:jc w:val="left"/>
            </w:pPr>
            <w:r>
              <w:t xml:space="preserve">SECCION_4_4_MDR/EXPEDIENTE_MDR_SGR_CONV56_AIRE.json</w:t>
            </w:r>
          </w:p>
        </w:tc>
        <w:tc>
          <w:tcPr/>
          <w:p>
            <w:pPr>
              <w:pStyle w:val="Tabla8"/>
              <w:jc w:val="left"/>
            </w:pPr>
            <w:r>
              <w:t xml:space="preserve">RESULTADO</w:t>
            </w:r>
          </w:p>
        </w:tc>
        <w:tc>
          <w:tcPr/>
          <w:p>
            <w:pPr>
              <w:pStyle w:val="Tabla8"/>
              <w:jc w:val="left"/>
            </w:pPr>
            <w:r>
              <w:t xml:space="preserve">65840</w:t>
            </w:r>
          </w:p>
        </w:tc>
        <w:tc>
          <w:tcPr/>
          <w:p>
            <w:pPr>
              <w:pStyle w:val="Tabla8"/>
              <w:jc w:val="left"/>
            </w:pPr>
            <w:r>
              <w:t xml:space="preserve">e4424b08473d69186aaea9f6d1de88e0b0b254acbd5f4b182641fff83f011808</w:t>
            </w:r>
          </w:p>
        </w:tc>
      </w:tr>
      <w:tr>
        <w:trPr>
          <w:cantSplit/>
        </w:trPr>
        <w:tc>
          <w:tcPr/>
          <w:p>
            <w:pPr>
              <w:pStyle w:val="Tabla8"/>
              <w:jc w:val="left"/>
            </w:pPr>
            <w:r>
              <w:t xml:space="preserve">SECCION_4_4_MDR/EXPEDIENTE_MDR_SGR_CONV56_AIRE.md</w:t>
            </w:r>
          </w:p>
        </w:tc>
        <w:tc>
          <w:tcPr/>
          <w:p>
            <w:pPr>
              <w:pStyle w:val="Tabla8"/>
              <w:jc w:val="left"/>
            </w:pPr>
            <w:r>
              <w:t xml:space="preserve">ENTREGADO</w:t>
            </w:r>
          </w:p>
        </w:tc>
        <w:tc>
          <w:tcPr/>
          <w:p>
            <w:pPr>
              <w:pStyle w:val="Tabla8"/>
              <w:jc w:val="left"/>
            </w:pPr>
            <w:r>
              <w:t xml:space="preserve">34379</w:t>
            </w:r>
          </w:p>
        </w:tc>
        <w:tc>
          <w:tcPr/>
          <w:p>
            <w:pPr>
              <w:pStyle w:val="Tabla8"/>
              <w:jc w:val="left"/>
            </w:pPr>
            <w:r>
              <w:t xml:space="preserve">ab1fb035d5862c602c7944d88872c5b8547fdbca57df829a014bb67ad00a0fe2</w:t>
            </w:r>
          </w:p>
        </w:tc>
      </w:tr>
      <w:tr>
        <w:trPr>
          <w:cantSplit/>
        </w:trPr>
        <w:tc>
          <w:tcPr/>
          <w:p>
            <w:pPr>
              <w:pStyle w:val="Tabla8"/>
              <w:jc w:val="left"/>
            </w:pPr>
            <w:r>
              <w:t xml:space="preserve">SECCION_4_4_MDR/REGISTRO_CONTRASTE_ARBOL_SGR_CONV56_AIRE.csv</w:t>
            </w:r>
          </w:p>
        </w:tc>
        <w:tc>
          <w:tcPr/>
          <w:p>
            <w:pPr>
              <w:pStyle w:val="Tabla8"/>
              <w:jc w:val="left"/>
            </w:pPr>
            <w:r>
              <w:t xml:space="preserve">MATRIZ</w:t>
            </w:r>
          </w:p>
        </w:tc>
        <w:tc>
          <w:tcPr/>
          <w:p>
            <w:pPr>
              <w:pStyle w:val="Tabla8"/>
              <w:jc w:val="left"/>
            </w:pPr>
            <w:r>
              <w:t xml:space="preserve">17171</w:t>
            </w:r>
          </w:p>
        </w:tc>
        <w:tc>
          <w:tcPr/>
          <w:p>
            <w:pPr>
              <w:pStyle w:val="Tabla8"/>
              <w:jc w:val="left"/>
            </w:pPr>
            <w:r>
              <w:t xml:space="preserve">8789733645dbaeb5462b053a197497372efa9d5c08969e056986ea5575f895c4</w:t>
            </w:r>
          </w:p>
        </w:tc>
      </w:tr>
      <w:tr>
        <w:trPr>
          <w:cantSplit/>
        </w:trPr>
        <w:tc>
          <w:tcPr/>
          <w:p>
            <w:pPr>
              <w:pStyle w:val="Tabla8"/>
              <w:jc w:val="left"/>
            </w:pPr>
            <w:r>
              <w:t xml:space="preserve">SECCION_4_4_MDR/SECCION_4_4_MDR_SGR_CONV56_AIRE.md</w:t>
            </w:r>
          </w:p>
        </w:tc>
        <w:tc>
          <w:tcPr/>
          <w:p>
            <w:pPr>
              <w:pStyle w:val="Tabla8"/>
              <w:jc w:val="left"/>
            </w:pPr>
            <w:r>
              <w:t xml:space="preserve">ENTREGADO</w:t>
            </w:r>
          </w:p>
        </w:tc>
        <w:tc>
          <w:tcPr/>
          <w:p>
            <w:pPr>
              <w:pStyle w:val="Tabla8"/>
              <w:jc w:val="left"/>
            </w:pPr>
            <w:r>
              <w:t xml:space="preserve">116668</w:t>
            </w:r>
          </w:p>
        </w:tc>
        <w:tc>
          <w:tcPr/>
          <w:p>
            <w:pPr>
              <w:pStyle w:val="Tabla8"/>
              <w:jc w:val="left"/>
            </w:pPr>
            <w:r>
              <w:t xml:space="preserve">534e3535d16e81318c0918ad547dbb8a35ccb9e7d6d5a3052e570cf502bdf5ad</w:t>
            </w:r>
          </w:p>
        </w:tc>
      </w:tr>
      <w:tr>
        <w:trPr>
          <w:cantSplit/>
        </w:trPr>
        <w:tc>
          <w:tcPr/>
          <w:p>
            <w:pPr>
              <w:pStyle w:val="Tabla8"/>
              <w:jc w:val="left"/>
            </w:pPr>
            <w:r>
              <w:t xml:space="preserve">SECCION_4_5/ARBOL_5_SGR_CONV56_AIRE.alt.md</w:t>
            </w:r>
          </w:p>
        </w:tc>
        <w:tc>
          <w:tcPr/>
          <w:p>
            <w:pPr>
              <w:pStyle w:val="Tabla8"/>
              <w:jc w:val="left"/>
            </w:pPr>
            <w:r>
              <w:t xml:space="preserve">GRAFICO</w:t>
            </w:r>
          </w:p>
        </w:tc>
        <w:tc>
          <w:tcPr/>
          <w:p>
            <w:pPr>
              <w:pStyle w:val="Tabla8"/>
              <w:jc w:val="left"/>
            </w:pPr>
            <w:r>
              <w:t xml:space="preserve">1666</w:t>
            </w:r>
          </w:p>
        </w:tc>
        <w:tc>
          <w:tcPr/>
          <w:p>
            <w:pPr>
              <w:pStyle w:val="Tabla8"/>
              <w:jc w:val="left"/>
            </w:pPr>
            <w:r>
              <w:t xml:space="preserve">024a4dd59dbe0c867226b15f9b03bd2e089cee8c9ed8a05277b31ffab4060ef0</w:t>
            </w:r>
          </w:p>
        </w:tc>
      </w:tr>
      <w:tr>
        <w:trPr>
          <w:cantSplit/>
        </w:trPr>
        <w:tc>
          <w:tcPr/>
          <w:p>
            <w:pPr>
              <w:pStyle w:val="Tabla8"/>
              <w:jc w:val="left"/>
            </w:pPr>
            <w:r>
              <w:t xml:space="preserve">SECCION_4_5/ARBOL_5_SGR_CONV56_AIRE.json</w:t>
            </w:r>
          </w:p>
        </w:tc>
        <w:tc>
          <w:tcPr/>
          <w:p>
            <w:pPr>
              <w:pStyle w:val="Tabla8"/>
              <w:jc w:val="left"/>
            </w:pPr>
            <w:r>
              <w:t xml:space="preserve">RESULTADO</w:t>
            </w:r>
          </w:p>
        </w:tc>
        <w:tc>
          <w:tcPr/>
          <w:p>
            <w:pPr>
              <w:pStyle w:val="Tabla8"/>
              <w:jc w:val="left"/>
            </w:pPr>
            <w:r>
              <w:t xml:space="preserve">2595</w:t>
            </w:r>
          </w:p>
        </w:tc>
        <w:tc>
          <w:tcPr/>
          <w:p>
            <w:pPr>
              <w:pStyle w:val="Tabla8"/>
              <w:jc w:val="left"/>
            </w:pPr>
            <w:r>
              <w:t xml:space="preserve">b2d8a131eb0591fae251894d1101594f757ba302409c3bb331757e4137c6641b</w:t>
            </w:r>
          </w:p>
        </w:tc>
      </w:tr>
      <w:tr>
        <w:trPr>
          <w:cantSplit/>
        </w:trPr>
        <w:tc>
          <w:tcPr/>
          <w:p>
            <w:pPr>
              <w:pStyle w:val="Tabla8"/>
              <w:jc w:val="left"/>
            </w:pPr>
            <w:r>
              <w:t xml:space="preserve">SECCION_4_5/ARBOL_5_SGR_CONV56_AIRE.svg</w:t>
            </w:r>
          </w:p>
        </w:tc>
        <w:tc>
          <w:tcPr/>
          <w:p>
            <w:pPr>
              <w:pStyle w:val="Tabla8"/>
              <w:jc w:val="left"/>
            </w:pPr>
            <w:r>
              <w:t xml:space="preserve">GRAFICO</w:t>
            </w:r>
          </w:p>
        </w:tc>
        <w:tc>
          <w:tcPr/>
          <w:p>
            <w:pPr>
              <w:pStyle w:val="Tabla8"/>
              <w:jc w:val="left"/>
            </w:pPr>
            <w:r>
              <w:t xml:space="preserve">10403</w:t>
            </w:r>
          </w:p>
        </w:tc>
        <w:tc>
          <w:tcPr/>
          <w:p>
            <w:pPr>
              <w:pStyle w:val="Tabla8"/>
              <w:jc w:val="left"/>
            </w:pPr>
            <w:r>
              <w:t xml:space="preserve">eb4db09aaf836283cde81ebeef9f6d7e3887e5a90a618e380192e23a46e847e1</w:t>
            </w:r>
          </w:p>
        </w:tc>
      </w:tr>
      <w:tr>
        <w:trPr>
          <w:cantSplit/>
        </w:trPr>
        <w:tc>
          <w:tcPr/>
          <w:p>
            <w:pPr>
              <w:pStyle w:val="Tabla8"/>
              <w:jc w:val="left"/>
            </w:pPr>
            <w:r>
              <w:t xml:space="preserve">SECCION_4_5/SECCION_4_5_SGR_CONV56_AIRE.md</w:t>
            </w:r>
          </w:p>
        </w:tc>
        <w:tc>
          <w:tcPr/>
          <w:p>
            <w:pPr>
              <w:pStyle w:val="Tabla8"/>
              <w:jc w:val="left"/>
            </w:pPr>
            <w:r>
              <w:t xml:space="preserve">ENTREGADO</w:t>
            </w:r>
          </w:p>
        </w:tc>
        <w:tc>
          <w:tcPr/>
          <w:p>
            <w:pPr>
              <w:pStyle w:val="Tabla8"/>
              <w:jc w:val="left"/>
            </w:pPr>
            <w:r>
              <w:t xml:space="preserve">14620</w:t>
            </w:r>
          </w:p>
        </w:tc>
        <w:tc>
          <w:tcPr/>
          <w:p>
            <w:pPr>
              <w:pStyle w:val="Tabla8"/>
              <w:jc w:val="left"/>
            </w:pPr>
            <w:r>
              <w:t xml:space="preserve">a34185340e5924e71e812fe96eb9ba0ac86b5ec5ce10fbdc9922a23a84e580b3</w:t>
            </w:r>
          </w:p>
        </w:tc>
      </w:tr>
      <w:tr>
        <w:trPr>
          <w:cantSplit/>
        </w:trPr>
        <w:tc>
          <w:tcPr/>
          <w:p>
            <w:pPr>
              <w:pStyle w:val="Tabla8"/>
              <w:jc w:val="left"/>
            </w:pPr>
            <w:r>
              <w:t xml:space="preserve">ESTADO.json</w:t>
            </w:r>
          </w:p>
        </w:tc>
        <w:tc>
          <w:tcPr/>
          <w:p>
            <w:pPr>
              <w:pStyle w:val="Tabla8"/>
              <w:jc w:val="left"/>
            </w:pPr>
            <w:r>
              <w:t xml:space="preserve">ESTADO</w:t>
            </w:r>
          </w:p>
        </w:tc>
        <w:tc>
          <w:tcPr/>
          <w:p>
            <w:pPr>
              <w:pStyle w:val="Tabla8"/>
              <w:jc w:val="left"/>
            </w:pPr>
            <w:r>
              <w:t xml:space="preserve">55993</w:t>
            </w:r>
          </w:p>
        </w:tc>
        <w:tc>
          <w:tcPr/>
          <w:p>
            <w:pPr>
              <w:pStyle w:val="Tabla8"/>
              <w:jc w:val="left"/>
            </w:pPr>
            <w:r>
              <w:t xml:space="preserve">051e300781ebd41b24a11fd4fce3327319eaf26c7770cb1b1b98b4a6e5368525</w:t>
            </w:r>
          </w:p>
        </w:tc>
      </w:tr>
      <w:tr>
        <w:trPr>
          <w:cantSplit/>
        </w:trPr>
        <w:tc>
          <w:tcPr/>
          <w:p>
            <w:pPr>
              <w:pStyle w:val="Tabla8"/>
              <w:jc w:val="left"/>
            </w:pPr>
            <w:r>
              <w:t xml:space="preserve">CAPSULA.json</w:t>
            </w:r>
          </w:p>
        </w:tc>
        <w:tc>
          <w:tcPr/>
          <w:p>
            <w:pPr>
              <w:pStyle w:val="Tabla8"/>
              <w:jc w:val="left"/>
            </w:pPr>
            <w:r>
              <w:t xml:space="preserve">INDICE_DE_REANUDACION</w:t>
            </w:r>
          </w:p>
        </w:tc>
        <w:tc>
          <w:tcPr/>
          <w:p>
            <w:pPr>
              <w:pStyle w:val="Tabla8"/>
              <w:jc w:val="left"/>
            </w:pPr>
            <w:r>
              <w:t xml:space="preserve">13418</w:t>
            </w:r>
          </w:p>
        </w:tc>
        <w:tc>
          <w:tcPr/>
          <w:p>
            <w:pPr>
              <w:pStyle w:val="Tabla8"/>
              <w:jc w:val="left"/>
            </w:pPr>
            <w:r>
              <w:t xml:space="preserve">7a61d3af1cb4b795e479df33f4fe07c5a1d8e0934075d05062fa17885e92e98e</w:t>
            </w:r>
          </w:p>
        </w:tc>
      </w:tr>
      <w:tr>
        <w:trPr>
          <w:cantSplit/>
        </w:trPr>
        <w:tc>
          <w:tcPr/>
          <w:p>
            <w:pPr>
              <w:pStyle w:val="Tabla8"/>
              <w:jc w:val="left"/>
            </w:pPr>
            <w:r>
              <w:t xml:space="preserve">LEEME_REANUDAR.txt</w:t>
            </w:r>
          </w:p>
        </w:tc>
        <w:tc>
          <w:tcPr/>
          <w:p>
            <w:pPr>
              <w:pStyle w:val="Tabla8"/>
              <w:jc w:val="left"/>
            </w:pPr>
            <w:r>
              <w:t xml:space="preserve">INSTRUCCION</w:t>
            </w:r>
          </w:p>
        </w:tc>
        <w:tc>
          <w:tcPr/>
          <w:p>
            <w:pPr>
              <w:pStyle w:val="Tabla8"/>
              <w:jc w:val="left"/>
            </w:pPr>
            <w:r>
              <w:t xml:space="preserve">458</w:t>
            </w:r>
          </w:p>
        </w:tc>
        <w:tc>
          <w:tcPr/>
          <w:p>
            <w:pPr>
              <w:pStyle w:val="Tabla8"/>
              <w:jc w:val="left"/>
            </w:pPr>
            <w:r>
              <w:t xml:space="preserve">6d831509cb6f8bfe93dbfd2770d7e9e2135518ef8955588436639034946635d5</w:t>
            </w:r>
          </w:p>
        </w:tc>
      </w:tr>
    </w:tbl>
    <w:p>
      <w:pPr>
        <w:pStyle w:val="TablaNota"/>
      </w:pPr>
      <w:r>
        <w:rPr>
          <w:i/>
          <w:iCs/>
        </w:rPr>
        <w:t xml:space="preserve">Nota.</w:t>
      </w:r>
      <w:r>
        <w:t xml:space="preserve"> </w:t>
      </w:r>
      <w:r>
        <w:t xml:space="preserve">Elaboración propia con MANIFIESTO.json del respaldo RESPALDO_SGR_CONV56_AIRE_CP_20261013_E4_4_5_01.zip.</w:t>
      </w:r>
    </w:p>
    <w:bookmarkEnd w:id="706"/>
    <w:bookmarkStart w:id="707" w:name="X51142eda916ed7f346e503ff5e323db8f4f3ce2"/>
    <w:p>
      <w:pPr>
        <w:pStyle w:val="Heading2"/>
      </w:pPr>
      <w:r>
        <w:t xml:space="preserve">Anexo N. Correspondencia con el Anexo 2 de la convocatoria</w:t>
      </w:r>
    </w:p>
    <w:p>
      <w:pPr>
        <w:pStyle w:val="FirstParagraph"/>
      </w:pPr>
      <w:r>
        <w:t xml:space="preserve">El Anexo 2 de la convocatoria define la estructura mínima del documento técnico. Tiene 30 secciones y sigue la lógica del marco lógico de la Metodología General Ajustada (MGA). El usuario lo aportó después de la primera entrega. El documento se formuló con la estructura del metaprompt y no con la de la convocatoria. Este anexo cruza ambas estructuras. Indica, sección por sección, dónde está el contenido, qué estado tiene y qué falta. Los términos de referencia completos y los anexos 4, 10 y 12 siguen sin aportarse. La decisión DEC-F01 se actualiza. La estructura de 21 capítulos del metaprompt sigue vigente como estructura de trabajo. El Anexo 2 gobierna la estructura de radicación.</w:t>
      </w:r>
    </w:p>
    <w:p>
      <w:pPr>
        <w:pStyle w:val="BodyText"/>
      </w:pPr>
      <w:r>
        <w:t xml:space="preserve">La Tabla 20.14 presenta la correspondencia de las 30 secciones. Los estados son CUBIERTO, cuando el contenido existe y coincide con lo pedido; PARCIAL, cuando existe con vacíos o con otro formato; y VACIO, cuando solo el usuario puede aportar el dato. La columna final indica la acción para la radicación.</w:t>
      </w:r>
    </w:p>
    <w:p>
      <w:pPr>
        <w:pStyle w:val="TablaRotulo"/>
      </w:pPr>
      <w:bookmarkStart w:id="9404" w:name="rot_Tabla_20_14"/>
      <w:r>
        <w:rPr>
          <w:b/>
          <w:bCs/>
        </w:rPr>
        <w:t xml:space="preserve">Tabla 20.14</w:t>
      </w:r>
      <w:bookmarkEnd w:id="9404"/>
    </w:p>
    <w:p>
      <w:pPr>
        <w:pStyle w:val="TablaTitulo"/>
      </w:pPr>
      <w:r>
        <w:rPr>
          <w:i/>
          <w:iCs/>
        </w:rPr>
        <w:t xml:space="preserve">Correspondencia entre las 30 secciones del Anexo 2 y el documento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90"/>
        <w:gridCol w:w="1782"/>
        <w:gridCol w:w="1320"/>
        <w:gridCol w:w="1452"/>
        <w:gridCol w:w="2376"/>
      </w:tblGrid>
      <w:tr>
        <w:trPr>
          <w:cantSplit/>
          <w:tblHeader/>
        </w:trPr>
        <w:tc>
          <w:tcPr>
            <w:shd w:val="clear" w:color="auto" w:fill="00B050"/>
          </w:tcPr>
          <w:p>
            <w:pPr>
              <w:pStyle w:val="Tabla9"/>
              <w:jc w:val="center"/>
            </w:pPr>
            <w:r>
              <w:rPr>
                <w:b/>
                <w:color w:val="FFFFFF"/>
              </w:rPr>
              <w:t xml:space="preserve">Sección</w:t>
            </w:r>
          </w:p>
        </w:tc>
        <w:tc>
          <w:tcPr>
            <w:shd w:val="clear" w:color="auto" w:fill="00B050"/>
          </w:tcPr>
          <w:p>
            <w:pPr>
              <w:pStyle w:val="Tabla9"/>
              <w:jc w:val="center"/>
            </w:pPr>
            <w:r>
              <w:rPr>
                <w:b/>
                <w:color w:val="FFFFFF"/>
              </w:rPr>
              <w:t xml:space="preserve">Requisito del Anexo 2</w:t>
            </w:r>
          </w:p>
        </w:tc>
        <w:tc>
          <w:tcPr>
            <w:shd w:val="clear" w:color="auto" w:fill="00B050"/>
          </w:tcPr>
          <w:p>
            <w:pPr>
              <w:pStyle w:val="Tabla9"/>
              <w:jc w:val="center"/>
            </w:pPr>
            <w:r>
              <w:rPr>
                <w:b/>
                <w:color w:val="FFFFFF"/>
              </w:rPr>
              <w:t xml:space="preserve">Ubicación en el documento</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Brecha o acción</w:t>
            </w:r>
          </w:p>
        </w:tc>
      </w:tr>
      <w:tr>
        <w:trPr>
          <w:cantSplit/>
        </w:trPr>
        <w:tc>
          <w:tcPr/>
          <w:p>
            <w:pPr>
              <w:pStyle w:val="Tabla9"/>
              <w:jc w:val="left"/>
            </w:pPr>
            <w:r>
              <w:t xml:space="preserve">1</w:t>
            </w:r>
          </w:p>
        </w:tc>
        <w:tc>
          <w:tcPr/>
          <w:p>
            <w:pPr>
              <w:pStyle w:val="Tabla9"/>
              <w:jc w:val="left"/>
            </w:pPr>
            <w:r>
              <w:t xml:space="preserve">Identificación del proyecto: nombre, entidades, SIGP, tiempo, localización, demanda, línea temática, grupos</w:t>
            </w:r>
          </w:p>
        </w:tc>
        <w:tc>
          <w:tcPr/>
          <w:p>
            <w:pPr>
              <w:pStyle w:val="Tabla9"/>
              <w:jc w:val="left"/>
            </w:pPr>
            <w:r>
              <w:t xml:space="preserve">Paso 1; anexos A, D y J</w:t>
            </w:r>
          </w:p>
        </w:tc>
        <w:tc>
          <w:tcPr/>
          <w:p>
            <w:pPr>
              <w:pStyle w:val="Tabla9"/>
              <w:jc w:val="left"/>
            </w:pPr>
            <w:r>
              <w:t xml:space="preserve">PARCIAL</w:t>
            </w:r>
          </w:p>
        </w:tc>
        <w:tc>
          <w:tcPr/>
          <w:p>
            <w:pPr>
              <w:pStyle w:val="Tabla9"/>
              <w:jc w:val="left"/>
            </w:pPr>
            <w:r>
              <w:t xml:space="preserve">Faltan municipios, región SGR, categoría de las entidades, código SIGP, línea temática y grupos. El título no incluye la localización que el Anexo 2 sugiere.</w:t>
            </w:r>
          </w:p>
        </w:tc>
      </w:tr>
      <w:tr>
        <w:trPr>
          <w:cantSplit/>
        </w:trPr>
        <w:tc>
          <w:tcPr/>
          <w:p>
            <w:pPr>
              <w:pStyle w:val="Tabla9"/>
              <w:jc w:val="left"/>
            </w:pPr>
            <w:r>
              <w:t xml:space="preserve">2</w:t>
            </w:r>
          </w:p>
        </w:tc>
        <w:tc>
          <w:tcPr/>
          <w:p>
            <w:pPr>
              <w:pStyle w:val="Tabla9"/>
              <w:jc w:val="left"/>
            </w:pPr>
            <w:r>
              <w:t xml:space="preserve">Resumen ejecutivo</w:t>
            </w:r>
          </w:p>
        </w:tc>
        <w:tc>
          <w:tcPr/>
          <w:p>
            <w:pPr>
              <w:pStyle w:val="Tabla9"/>
              <w:jc w:val="left"/>
            </w:pPr>
            <w:r>
              <w:t xml:space="preserve">Documento 1000X-01</w:t>
            </w:r>
          </w:p>
        </w:tc>
        <w:tc>
          <w:tcPr/>
          <w:p>
            <w:pPr>
              <w:pStyle w:val="Tabla9"/>
              <w:jc w:val="left"/>
            </w:pPr>
            <w:r>
              <w:t xml:space="preserve">CUBIERTO</w:t>
            </w:r>
          </w:p>
        </w:tc>
        <w:tc>
          <w:tcPr/>
          <w:p>
            <w:pPr>
              <w:pStyle w:val="Tabla9"/>
              <w:jc w:val="left"/>
            </w:pPr>
            <w:r>
              <w:t xml:space="preserve">Ajustar a la extensión que fije el formulario de radicación.</w:t>
            </w:r>
          </w:p>
        </w:tc>
      </w:tr>
      <w:tr>
        <w:trPr>
          <w:cantSplit/>
        </w:trPr>
        <w:tc>
          <w:tcPr/>
          <w:p>
            <w:pPr>
              <w:pStyle w:val="Tabla9"/>
              <w:jc w:val="left"/>
            </w:pPr>
            <w:r>
              <w:t xml:space="preserve">3</w:t>
            </w:r>
          </w:p>
        </w:tc>
        <w:tc>
          <w:tcPr/>
          <w:p>
            <w:pPr>
              <w:pStyle w:val="Tabla9"/>
              <w:jc w:val="left"/>
            </w:pPr>
            <w:r>
              <w:t xml:space="preserve">Palabras clave (máximo seis)</w:t>
            </w:r>
          </w:p>
        </w:tc>
        <w:tc>
          <w:tcPr/>
          <w:p>
            <w:pPr>
              <w:pStyle w:val="Tabla9"/>
              <w:jc w:val="left"/>
            </w:pPr>
            <w:r>
              <w:t xml:space="preserve">Paso 1</w:t>
            </w:r>
          </w:p>
        </w:tc>
        <w:tc>
          <w:tcPr/>
          <w:p>
            <w:pPr>
              <w:pStyle w:val="Tabla9"/>
              <w:jc w:val="left"/>
            </w:pPr>
            <w:r>
              <w:t xml:space="preserve">PARCIAL</w:t>
            </w:r>
          </w:p>
        </w:tc>
        <w:tc>
          <w:tcPr/>
          <w:p>
            <w:pPr>
              <w:pStyle w:val="Tabla9"/>
              <w:jc w:val="left"/>
            </w:pPr>
            <w:r>
              <w:t xml:space="preserve">El Paso 1 lista siete. Se sugiere retirar TinyML, que no corresponde al diseño con corrección en el gateway.</w:t>
            </w:r>
          </w:p>
        </w:tc>
      </w:tr>
      <w:tr>
        <w:trPr>
          <w:cantSplit/>
        </w:trPr>
        <w:tc>
          <w:tcPr/>
          <w:p>
            <w:pPr>
              <w:pStyle w:val="Tabla9"/>
              <w:jc w:val="left"/>
            </w:pPr>
            <w:r>
              <w:t xml:space="preserve">4</w:t>
            </w:r>
          </w:p>
        </w:tc>
        <w:tc>
          <w:tcPr/>
          <w:p>
            <w:pPr>
              <w:pStyle w:val="Tabla9"/>
              <w:jc w:val="left"/>
            </w:pPr>
            <w:r>
              <w:t xml:space="preserve">Alineación con la política pública y afectación por la emergencia</w:t>
            </w:r>
          </w:p>
        </w:tc>
        <w:tc>
          <w:tcPr/>
          <w:p>
            <w:pPr>
              <w:pStyle w:val="Tabla9"/>
              <w:jc w:val="left"/>
            </w:pPr>
            <w:r>
              <w:t xml:space="preserve">Capítulo 5; Paso 5.0</w:t>
            </w:r>
          </w:p>
        </w:tc>
        <w:tc>
          <w:tcPr/>
          <w:p>
            <w:pPr>
              <w:pStyle w:val="Tabla9"/>
              <w:jc w:val="left"/>
            </w:pPr>
            <w:r>
              <w:t xml:space="preserve">PARCIAL</w:t>
            </w:r>
          </w:p>
        </w:tc>
        <w:tc>
          <w:tcPr/>
          <w:p>
            <w:pPr>
              <w:pStyle w:val="Tabla9"/>
              <w:jc w:val="left"/>
            </w:pPr>
            <w:r>
              <w:t xml:space="preserve">Falta el soporte oficial de afectación, los planes departamentales y municipales, y la alineación con el Plan Nacional de Desarrollo vigente.</w:t>
            </w:r>
          </w:p>
        </w:tc>
      </w:tr>
      <w:tr>
        <w:trPr>
          <w:cantSplit/>
        </w:trPr>
        <w:tc>
          <w:tcPr/>
          <w:p>
            <w:pPr>
              <w:pStyle w:val="Tabla9"/>
              <w:jc w:val="left"/>
            </w:pPr>
            <w:r>
              <w:t xml:space="preserve">5</w:t>
            </w:r>
          </w:p>
        </w:tc>
        <w:tc>
          <w:tcPr/>
          <w:p>
            <w:pPr>
              <w:pStyle w:val="Tabla9"/>
              <w:jc w:val="left"/>
            </w:pPr>
            <w:r>
              <w:t xml:space="preserve">Problema central, descripción, magnitud y árbol de problemas</w:t>
            </w:r>
          </w:p>
        </w:tc>
        <w:tc>
          <w:tcPr/>
          <w:p>
            <w:pPr>
              <w:pStyle w:val="Tabla9"/>
              <w:jc w:val="left"/>
            </w:pPr>
            <w:r>
              <w:t xml:space="preserve">Capítulo 1; Pasos 4 y 5; sección 4.5</w:t>
            </w:r>
          </w:p>
        </w:tc>
        <w:tc>
          <w:tcPr/>
          <w:p>
            <w:pPr>
              <w:pStyle w:val="Tabla9"/>
              <w:jc w:val="left"/>
            </w:pPr>
            <w:r>
              <w:t xml:space="preserve">CUBIERTO</w:t>
            </w:r>
          </w:p>
        </w:tc>
        <w:tc>
          <w:tcPr/>
          <w:p>
            <w:pPr>
              <w:pStyle w:val="Tabla9"/>
              <w:jc w:val="left"/>
            </w:pPr>
            <w:r>
              <w:t xml:space="preserve">La línea base de error se mide en el tramo 1 (VACIO).</w:t>
            </w:r>
          </w:p>
        </w:tc>
      </w:tr>
      <w:tr>
        <w:trPr>
          <w:cantSplit/>
        </w:trPr>
        <w:tc>
          <w:tcPr/>
          <w:p>
            <w:pPr>
              <w:pStyle w:val="Tabla9"/>
              <w:jc w:val="left"/>
            </w:pPr>
            <w:r>
              <w:t xml:space="preserve">6</w:t>
            </w:r>
          </w:p>
        </w:tc>
        <w:tc>
          <w:tcPr/>
          <w:p>
            <w:pPr>
              <w:pStyle w:val="Tabla9"/>
              <w:jc w:val="left"/>
            </w:pPr>
            <w:r>
              <w:t xml:space="preserve">Antecedentes</w:t>
            </w:r>
          </w:p>
        </w:tc>
        <w:tc>
          <w:tcPr/>
          <w:p>
            <w:pPr>
              <w:pStyle w:val="Tabla9"/>
              <w:jc w:val="left"/>
            </w:pPr>
            <w:r>
              <w:t xml:space="preserve">Capítulos 1 y 2</w:t>
            </w:r>
          </w:p>
        </w:tc>
        <w:tc>
          <w:tcPr/>
          <w:p>
            <w:pPr>
              <w:pStyle w:val="Tabla9"/>
              <w:jc w:val="left"/>
            </w:pPr>
            <w:r>
              <w:t xml:space="preserve">CUBIERTO</w:t>
            </w:r>
          </w:p>
        </w:tc>
        <w:tc>
          <w:tcPr/>
          <w:p>
            <w:pPr>
              <w:pStyle w:val="Tabla9"/>
              <w:jc w:val="left"/>
            </w:pPr>
            <w:r>
              <w:t xml:space="preserve">Sin acción.</w:t>
            </w:r>
          </w:p>
        </w:tc>
      </w:tr>
      <w:tr>
        <w:trPr>
          <w:cantSplit/>
        </w:trPr>
        <w:tc>
          <w:tcPr/>
          <w:p>
            <w:pPr>
              <w:pStyle w:val="Tabla9"/>
              <w:jc w:val="left"/>
            </w:pPr>
            <w:r>
              <w:t xml:space="preserve">7</w:t>
            </w:r>
          </w:p>
        </w:tc>
        <w:tc>
          <w:tcPr/>
          <w:p>
            <w:pPr>
              <w:pStyle w:val="Tabla9"/>
              <w:jc w:val="left"/>
            </w:pPr>
            <w:r>
              <w:t xml:space="preserve">Justificación</w:t>
            </w:r>
          </w:p>
        </w:tc>
        <w:tc>
          <w:tcPr/>
          <w:p>
            <w:pPr>
              <w:pStyle w:val="Tabla9"/>
              <w:jc w:val="left"/>
            </w:pPr>
            <w:r>
              <w:t xml:space="preserve">Capítulo 5</w:t>
            </w:r>
          </w:p>
        </w:tc>
        <w:tc>
          <w:tcPr/>
          <w:p>
            <w:pPr>
              <w:pStyle w:val="Tabla9"/>
              <w:jc w:val="left"/>
            </w:pPr>
            <w:r>
              <w:t xml:space="preserve">CUBIERTO</w:t>
            </w:r>
          </w:p>
        </w:tc>
        <w:tc>
          <w:tcPr/>
          <w:p>
            <w:pPr>
              <w:pStyle w:val="Tabla9"/>
              <w:jc w:val="left"/>
            </w:pPr>
            <w:r>
              <w:t xml:space="preserve">Sin acción.</w:t>
            </w:r>
          </w:p>
        </w:tc>
      </w:tr>
      <w:tr>
        <w:trPr>
          <w:cantSplit/>
        </w:trPr>
        <w:tc>
          <w:tcPr/>
          <w:p>
            <w:pPr>
              <w:pStyle w:val="Tabla9"/>
              <w:jc w:val="left"/>
            </w:pPr>
            <w:r>
              <w:t xml:space="preserve">8</w:t>
            </w:r>
          </w:p>
        </w:tc>
        <w:tc>
          <w:tcPr/>
          <w:p>
            <w:pPr>
              <w:pStyle w:val="Tabla9"/>
              <w:jc w:val="left"/>
            </w:pPr>
            <w:r>
              <w:t xml:space="preserve">Articulación con retos y demandas territoriales</w:t>
            </w:r>
          </w:p>
        </w:tc>
        <w:tc>
          <w:tcPr/>
          <w:p>
            <w:pPr>
              <w:pStyle w:val="Tabla9"/>
              <w:jc w:val="left"/>
            </w:pPr>
            <w:r>
              <w:t xml:space="preserve">Paso 5.0</w:t>
            </w:r>
          </w:p>
        </w:tc>
        <w:tc>
          <w:tcPr/>
          <w:p>
            <w:pPr>
              <w:pStyle w:val="Tabla9"/>
              <w:jc w:val="left"/>
            </w:pPr>
            <w:r>
              <w:t xml:space="preserve">VACIO</w:t>
            </w:r>
          </w:p>
        </w:tc>
        <w:tc>
          <w:tcPr/>
          <w:p>
            <w:pPr>
              <w:pStyle w:val="Tabla9"/>
              <w:jc w:val="left"/>
            </w:pPr>
            <w:r>
              <w:t xml:space="preserve">Exige el Anexo 4 y los términos de referencia.</w:t>
            </w:r>
          </w:p>
        </w:tc>
      </w:tr>
      <w:tr>
        <w:trPr>
          <w:cantSplit/>
        </w:trPr>
        <w:tc>
          <w:tcPr/>
          <w:p>
            <w:pPr>
              <w:pStyle w:val="Tabla9"/>
              <w:jc w:val="left"/>
            </w:pPr>
            <w:r>
              <w:t xml:space="preserve">9</w:t>
            </w:r>
          </w:p>
        </w:tc>
        <w:tc>
          <w:tcPr/>
          <w:p>
            <w:pPr>
              <w:pStyle w:val="Tabla9"/>
              <w:jc w:val="left"/>
            </w:pPr>
            <w:r>
              <w:t xml:space="preserve">Marco conceptual, de política y normativo</w:t>
            </w:r>
          </w:p>
        </w:tc>
        <w:tc>
          <w:tcPr/>
          <w:p>
            <w:pPr>
              <w:pStyle w:val="Tabla9"/>
              <w:jc w:val="left"/>
            </w:pPr>
            <w:r>
              <w:t xml:space="preserve">Capítulo 4</w:t>
            </w:r>
          </w:p>
        </w:tc>
        <w:tc>
          <w:tcPr/>
          <w:p>
            <w:pPr>
              <w:pStyle w:val="Tabla9"/>
              <w:jc w:val="left"/>
            </w:pPr>
            <w:r>
              <w:t xml:space="preserve">CUBIERTO</w:t>
            </w:r>
          </w:p>
        </w:tc>
        <w:tc>
          <w:tcPr/>
          <w:p>
            <w:pPr>
              <w:pStyle w:val="Tabla9"/>
              <w:jc w:val="left"/>
            </w:pPr>
            <w:r>
              <w:t xml:space="preserve">Sin acción.</w:t>
            </w:r>
          </w:p>
        </w:tc>
      </w:tr>
      <w:tr>
        <w:trPr>
          <w:cantSplit/>
        </w:trPr>
        <w:tc>
          <w:tcPr/>
          <w:p>
            <w:pPr>
              <w:pStyle w:val="Tabla9"/>
              <w:jc w:val="left"/>
            </w:pPr>
            <w:r>
              <w:t xml:space="preserve">10</w:t>
            </w:r>
          </w:p>
        </w:tc>
        <w:tc>
          <w:tcPr/>
          <w:p>
            <w:pPr>
              <w:pStyle w:val="Tabla9"/>
              <w:jc w:val="left"/>
            </w:pPr>
            <w:r>
              <w:t xml:space="preserve">Análisis de participantes: beneficiario, cooperante, oponente, perjudicado</w:t>
            </w:r>
          </w:p>
        </w:tc>
        <w:tc>
          <w:tcPr/>
          <w:p>
            <w:pPr>
              <w:pStyle w:val="Tabla9"/>
              <w:jc w:val="left"/>
            </w:pPr>
            <w:r>
              <w:t xml:space="preserve">Documento 1000X-08; sección 4.4-MDR.5</w:t>
            </w:r>
          </w:p>
        </w:tc>
        <w:tc>
          <w:tcPr/>
          <w:p>
            <w:pPr>
              <w:pStyle w:val="Tabla9"/>
              <w:jc w:val="left"/>
            </w:pPr>
            <w:r>
              <w:t xml:space="preserve">PARCIAL</w:t>
            </w:r>
          </w:p>
        </w:tc>
        <w:tc>
          <w:tcPr/>
          <w:p>
            <w:pPr>
              <w:pStyle w:val="Tabla9"/>
              <w:jc w:val="left"/>
            </w:pPr>
            <w:r>
              <w:t xml:space="preserve">Reclasificar a las cuatro categorías. Verificar que ninguna entidad sea a la vez cooperante y beneficiaria.</w:t>
            </w:r>
          </w:p>
        </w:tc>
      </w:tr>
      <w:tr>
        <w:trPr>
          <w:cantSplit/>
        </w:trPr>
        <w:tc>
          <w:tcPr/>
          <w:p>
            <w:pPr>
              <w:pStyle w:val="Tabla9"/>
              <w:jc w:val="left"/>
            </w:pPr>
            <w:r>
              <w:t xml:space="preserve">11</w:t>
            </w:r>
          </w:p>
        </w:tc>
        <w:tc>
          <w:tcPr/>
          <w:p>
            <w:pPr>
              <w:pStyle w:val="Tabla9"/>
              <w:jc w:val="left"/>
            </w:pPr>
            <w:r>
              <w:t xml:space="preserve">Población afectada, objetivo, características y enfoque diferencial</w:t>
            </w:r>
          </w:p>
        </w:tc>
        <w:tc>
          <w:tcPr/>
          <w:p>
            <w:pPr>
              <w:pStyle w:val="Tabla9"/>
              <w:jc w:val="left"/>
            </w:pPr>
            <w:r>
              <w:t xml:space="preserve">Paso 1; capítulos 5 y 6</w:t>
            </w:r>
          </w:p>
        </w:tc>
        <w:tc>
          <w:tcPr/>
          <w:p>
            <w:pPr>
              <w:pStyle w:val="Tabla9"/>
              <w:jc w:val="left"/>
            </w:pPr>
            <w:r>
              <w:t xml:space="preserve">PARCIAL</w:t>
            </w:r>
          </w:p>
        </w:tc>
        <w:tc>
          <w:tcPr/>
          <w:p>
            <w:pPr>
              <w:pStyle w:val="Tabla9"/>
              <w:jc w:val="left"/>
            </w:pPr>
            <w:r>
              <w:t xml:space="preserve">Población afectada y enfoque diferencial son VACIO; la población objetivo es SUPUESTO (150 funcionarios, 15 comités).</w:t>
            </w:r>
          </w:p>
        </w:tc>
      </w:tr>
      <w:tr>
        <w:trPr>
          <w:cantSplit/>
        </w:trPr>
        <w:tc>
          <w:tcPr/>
          <w:p>
            <w:pPr>
              <w:pStyle w:val="Tabla9"/>
              <w:jc w:val="left"/>
            </w:pPr>
            <w:r>
              <w:t xml:space="preserve">12</w:t>
            </w:r>
          </w:p>
        </w:tc>
        <w:tc>
          <w:tcPr/>
          <w:p>
            <w:pPr>
              <w:pStyle w:val="Tabla9"/>
              <w:jc w:val="left"/>
            </w:pPr>
            <w:r>
              <w:t xml:space="preserve">Objetivos y árbol de objetivos</w:t>
            </w:r>
          </w:p>
        </w:tc>
        <w:tc>
          <w:tcPr/>
          <w:p>
            <w:pPr>
              <w:pStyle w:val="Tabla9"/>
              <w:jc w:val="left"/>
            </w:pPr>
            <w:r>
              <w:t xml:space="preserve">Capítulo 3; Paso 6.1</w:t>
            </w:r>
          </w:p>
        </w:tc>
        <w:tc>
          <w:tcPr/>
          <w:p>
            <w:pPr>
              <w:pStyle w:val="Tabla9"/>
              <w:jc w:val="left"/>
            </w:pPr>
            <w:r>
              <w:t xml:space="preserve">CUBIERTO</w:t>
            </w:r>
          </w:p>
        </w:tc>
        <w:tc>
          <w:tcPr/>
          <w:p>
            <w:pPr>
              <w:pStyle w:val="Tabla9"/>
              <w:jc w:val="left"/>
            </w:pPr>
            <w:r>
              <w:t xml:space="preserve">Sin acción.</w:t>
            </w:r>
          </w:p>
        </w:tc>
      </w:tr>
      <w:tr>
        <w:trPr>
          <w:cantSplit/>
        </w:trPr>
        <w:tc>
          <w:tcPr/>
          <w:p>
            <w:pPr>
              <w:pStyle w:val="Tabla9"/>
              <w:jc w:val="left"/>
            </w:pPr>
            <w:r>
              <w:t xml:space="preserve">13</w:t>
            </w:r>
          </w:p>
        </w:tc>
        <w:tc>
          <w:tcPr/>
          <w:p>
            <w:pPr>
              <w:pStyle w:val="Tabla9"/>
              <w:jc w:val="left"/>
            </w:pPr>
            <w:r>
              <w:t xml:space="preserve">Alternativas, análisis técnico y madurez tecnológica</w:t>
            </w:r>
          </w:p>
        </w:tc>
        <w:tc>
          <w:tcPr/>
          <w:p>
            <w:pPr>
              <w:pStyle w:val="Tabla9"/>
              <w:jc w:val="left"/>
            </w:pPr>
            <w:r>
              <w:t xml:space="preserve">Paso 6; capítulos 2 y 6</w:t>
            </w:r>
          </w:p>
        </w:tc>
        <w:tc>
          <w:tcPr/>
          <w:p>
            <w:pPr>
              <w:pStyle w:val="Tabla9"/>
              <w:jc w:val="left"/>
            </w:pPr>
            <w:r>
              <w:t xml:space="preserve">PARCIAL</w:t>
            </w:r>
          </w:p>
        </w:tc>
        <w:tc>
          <w:tcPr/>
          <w:p>
            <w:pPr>
              <w:pStyle w:val="Tabla9"/>
              <w:jc w:val="left"/>
            </w:pPr>
            <w:r>
              <w:t xml:space="preserve">El Anexo 2 prioriza soluciones con TRL 9. El proyecto compromete TRL 7. Ver el hallazgo G1.</w:t>
            </w:r>
          </w:p>
        </w:tc>
      </w:tr>
      <w:tr>
        <w:trPr>
          <w:cantSplit/>
        </w:trPr>
        <w:tc>
          <w:tcPr/>
          <w:p>
            <w:pPr>
              <w:pStyle w:val="Tabla9"/>
              <w:jc w:val="left"/>
            </w:pPr>
            <w:r>
              <w:t xml:space="preserve">14</w:t>
            </w:r>
          </w:p>
        </w:tc>
        <w:tc>
          <w:tcPr/>
          <w:p>
            <w:pPr>
              <w:pStyle w:val="Tabla9"/>
              <w:jc w:val="left"/>
            </w:pPr>
            <w:r>
              <w:t xml:space="preserve">Metodología con responsables, tareas, resultados y verificación</w:t>
            </w:r>
          </w:p>
        </w:tc>
        <w:tc>
          <w:tcPr/>
          <w:p>
            <w:pPr>
              <w:pStyle w:val="Tabla9"/>
              <w:jc w:val="left"/>
            </w:pPr>
            <w:r>
              <w:t xml:space="preserve">Capítulo 6</w:t>
            </w:r>
          </w:p>
        </w:tc>
        <w:tc>
          <w:tcPr/>
          <w:p>
            <w:pPr>
              <w:pStyle w:val="Tabla9"/>
              <w:jc w:val="left"/>
            </w:pPr>
            <w:r>
              <w:t xml:space="preserve">PARCIAL</w:t>
            </w:r>
          </w:p>
        </w:tc>
        <w:tc>
          <w:tcPr/>
          <w:p>
            <w:pPr>
              <w:pStyle w:val="Tabla9"/>
              <w:jc w:val="left"/>
            </w:pPr>
            <w:r>
              <w:t xml:space="preserve">Falta la actividad Administración y apoyo a la supervisión por objetivo. Ver el hallazgo G3.</w:t>
            </w:r>
          </w:p>
        </w:tc>
      </w:tr>
      <w:tr>
        <w:trPr>
          <w:cantSplit/>
        </w:trPr>
        <w:tc>
          <w:tcPr/>
          <w:p>
            <w:pPr>
              <w:pStyle w:val="Tabla9"/>
              <w:jc w:val="left"/>
            </w:pPr>
            <w:r>
              <w:t xml:space="preserve">15</w:t>
            </w:r>
          </w:p>
        </w:tc>
        <w:tc>
          <w:tcPr/>
          <w:p>
            <w:pPr>
              <w:pStyle w:val="Tabla9"/>
              <w:jc w:val="left"/>
            </w:pPr>
            <w:r>
              <w:t xml:space="preserve">Cadena de valor</w:t>
            </w:r>
          </w:p>
        </w:tc>
        <w:tc>
          <w:tcPr/>
          <w:p>
            <w:pPr>
              <w:pStyle w:val="Tabla9"/>
              <w:jc w:val="left"/>
            </w:pPr>
            <w:r>
              <w:t xml:space="preserve">Capítulos 8, 11 y 18; Tabla 20.15</w:t>
            </w:r>
          </w:p>
        </w:tc>
        <w:tc>
          <w:tcPr/>
          <w:p>
            <w:pPr>
              <w:pStyle w:val="Tabla9"/>
              <w:jc w:val="left"/>
            </w:pPr>
            <w:r>
              <w:t xml:space="preserve">PARCIAL</w:t>
            </w:r>
          </w:p>
        </w:tc>
        <w:tc>
          <w:tcPr/>
          <w:p>
            <w:pPr>
              <w:pStyle w:val="Tabla9"/>
              <w:jc w:val="left"/>
            </w:pPr>
            <w:r>
              <w:t xml:space="preserve">La Tabla 20.15 propone el formato; los valores por actividad deben coincidir con el presupuesto.</w:t>
            </w:r>
          </w:p>
        </w:tc>
      </w:tr>
      <w:tr>
        <w:trPr>
          <w:cantSplit/>
        </w:trPr>
        <w:tc>
          <w:tcPr/>
          <w:p>
            <w:pPr>
              <w:pStyle w:val="Tabla9"/>
              <w:jc w:val="left"/>
            </w:pPr>
            <w:r>
              <w:t xml:space="preserve">16</w:t>
            </w:r>
          </w:p>
        </w:tc>
        <w:tc>
          <w:tcPr/>
          <w:p>
            <w:pPr>
              <w:pStyle w:val="Tabla9"/>
              <w:jc w:val="left"/>
            </w:pPr>
            <w:r>
              <w:t xml:space="preserve">Sostenibilidad social y ambiental</w:t>
            </w:r>
          </w:p>
        </w:tc>
        <w:tc>
          <w:tcPr/>
          <w:p>
            <w:pPr>
              <w:pStyle w:val="Tabla9"/>
              <w:jc w:val="left"/>
            </w:pPr>
            <w:r>
              <w:t xml:space="preserve">Capítulos 13 y 14</w:t>
            </w:r>
          </w:p>
        </w:tc>
        <w:tc>
          <w:tcPr/>
          <w:p>
            <w:pPr>
              <w:pStyle w:val="Tabla9"/>
              <w:jc w:val="left"/>
            </w:pPr>
            <w:r>
              <w:t xml:space="preserve">CUBIERTO</w:t>
            </w:r>
          </w:p>
        </w:tc>
        <w:tc>
          <w:tcPr/>
          <w:p>
            <w:pPr>
              <w:pStyle w:val="Tabla9"/>
              <w:jc w:val="left"/>
            </w:pPr>
            <w:r>
              <w:t xml:space="preserve">Sin acción.</w:t>
            </w:r>
          </w:p>
        </w:tc>
      </w:tr>
      <w:tr>
        <w:trPr>
          <w:cantSplit/>
        </w:trPr>
        <w:tc>
          <w:tcPr/>
          <w:p>
            <w:pPr>
              <w:pStyle w:val="Tabla9"/>
              <w:jc w:val="left"/>
            </w:pPr>
            <w:r>
              <w:t xml:space="preserve">17</w:t>
            </w:r>
          </w:p>
        </w:tc>
        <w:tc>
          <w:tcPr/>
          <w:p>
            <w:pPr>
              <w:pStyle w:val="Tabla9"/>
              <w:jc w:val="left"/>
            </w:pPr>
            <w:r>
              <w:t xml:space="preserve">Resultados e impactos para el departamento</w:t>
            </w:r>
          </w:p>
        </w:tc>
        <w:tc>
          <w:tcPr/>
          <w:p>
            <w:pPr>
              <w:pStyle w:val="Tabla9"/>
              <w:jc w:val="left"/>
            </w:pPr>
            <w:r>
              <w:t xml:space="preserve">Capítulos 11 y 13</w:t>
            </w:r>
          </w:p>
        </w:tc>
        <w:tc>
          <w:tcPr/>
          <w:p>
            <w:pPr>
              <w:pStyle w:val="Tabla9"/>
              <w:jc w:val="left"/>
            </w:pPr>
            <w:r>
              <w:t xml:space="preserve">CUBIERTO</w:t>
            </w:r>
          </w:p>
        </w:tc>
        <w:tc>
          <w:tcPr/>
          <w:p>
            <w:pPr>
              <w:pStyle w:val="Tabla9"/>
              <w:jc w:val="left"/>
            </w:pPr>
            <w:r>
              <w:t xml:space="preserve">Los impactos son institucionales; no se afirman efectos en salud.</w:t>
            </w:r>
          </w:p>
        </w:tc>
      </w:tr>
      <w:tr>
        <w:trPr>
          <w:cantSplit/>
        </w:trPr>
        <w:tc>
          <w:tcPr/>
          <w:p>
            <w:pPr>
              <w:pStyle w:val="Tabla9"/>
              <w:jc w:val="left"/>
            </w:pPr>
            <w:r>
              <w:t xml:space="preserve">18</w:t>
            </w:r>
          </w:p>
        </w:tc>
        <w:tc>
          <w:tcPr/>
          <w:p>
            <w:pPr>
              <w:pStyle w:val="Tabla9"/>
              <w:jc w:val="left"/>
            </w:pPr>
            <w:r>
              <w:t xml:space="preserve">Transferencia, adopción y valoración tecnológica con 1 % de recursos</w:t>
            </w:r>
          </w:p>
        </w:tc>
        <w:tc>
          <w:tcPr/>
          <w:p>
            <w:pPr>
              <w:pStyle w:val="Tabla9"/>
              <w:jc w:val="left"/>
            </w:pPr>
            <w:r>
              <w:t xml:space="preserve">Capítulo 15</w:t>
            </w:r>
          </w:p>
        </w:tc>
        <w:tc>
          <w:tcPr/>
          <w:p>
            <w:pPr>
              <w:pStyle w:val="Tabla9"/>
              <w:jc w:val="left"/>
            </w:pPr>
            <w:r>
              <w:t xml:space="preserve">PARCIAL</w:t>
            </w:r>
          </w:p>
        </w:tc>
        <w:tc>
          <w:tcPr/>
          <w:p>
            <w:pPr>
              <w:pStyle w:val="Tabla9"/>
              <w:jc w:val="left"/>
            </w:pPr>
            <w:r>
              <w:t xml:space="preserve">Falta el plan en el formato del Anexo 2. Ver el hallazgo G2.</w:t>
            </w:r>
          </w:p>
        </w:tc>
      </w:tr>
      <w:tr>
        <w:trPr>
          <w:cantSplit/>
        </w:trPr>
        <w:tc>
          <w:tcPr/>
          <w:p>
            <w:pPr>
              <w:pStyle w:val="Tabla9"/>
              <w:jc w:val="left"/>
            </w:pPr>
            <w:r>
              <w:t xml:space="preserve">19</w:t>
            </w:r>
          </w:p>
        </w:tc>
        <w:tc>
          <w:tcPr/>
          <w:p>
            <w:pPr>
              <w:pStyle w:val="Tabla9"/>
              <w:jc w:val="left"/>
            </w:pPr>
            <w:r>
              <w:t xml:space="preserve">Apropiación social del conocimiento</w:t>
            </w:r>
          </w:p>
        </w:tc>
        <w:tc>
          <w:tcPr/>
          <w:p>
            <w:pPr>
              <w:pStyle w:val="Tabla9"/>
              <w:jc w:val="left"/>
            </w:pPr>
            <w:r>
              <w:t xml:space="preserve">Capítulo 16</w:t>
            </w:r>
          </w:p>
        </w:tc>
        <w:tc>
          <w:tcPr/>
          <w:p>
            <w:pPr>
              <w:pStyle w:val="Tabla9"/>
              <w:jc w:val="left"/>
            </w:pPr>
            <w:r>
              <w:t xml:space="preserve">PARCIAL</w:t>
            </w:r>
          </w:p>
        </w:tc>
        <w:tc>
          <w:tcPr/>
          <w:p>
            <w:pPr>
              <w:pStyle w:val="Tabla9"/>
              <w:jc w:val="left"/>
            </w:pPr>
            <w:r>
              <w:t xml:space="preserve">Falta contrastar con el Anexo 10.</w:t>
            </w:r>
          </w:p>
        </w:tc>
      </w:tr>
      <w:tr>
        <w:trPr>
          <w:cantSplit/>
        </w:trPr>
        <w:tc>
          <w:tcPr/>
          <w:p>
            <w:pPr>
              <w:pStyle w:val="Tabla9"/>
              <w:jc w:val="left"/>
            </w:pPr>
            <w:r>
              <w:t xml:space="preserve">20</w:t>
            </w:r>
          </w:p>
        </w:tc>
        <w:tc>
          <w:tcPr/>
          <w:p>
            <w:pPr>
              <w:pStyle w:val="Tabla9"/>
              <w:jc w:val="left"/>
            </w:pPr>
            <w:r>
              <w:t xml:space="preserve">Productos esperados del catálogo MGA, programa 3906</w:t>
            </w:r>
          </w:p>
        </w:tc>
        <w:tc>
          <w:tcPr/>
          <w:p>
            <w:pPr>
              <w:pStyle w:val="Tabla9"/>
              <w:jc w:val="left"/>
            </w:pPr>
            <w:r>
              <w:t xml:space="preserve">Capítulo 11; Tabla 20.16</w:t>
            </w:r>
          </w:p>
        </w:tc>
        <w:tc>
          <w:tcPr/>
          <w:p>
            <w:pPr>
              <w:pStyle w:val="Tabla9"/>
              <w:jc w:val="left"/>
            </w:pPr>
            <w:r>
              <w:t xml:space="preserve">PARCIAL</w:t>
            </w:r>
          </w:p>
        </w:tc>
        <w:tc>
          <w:tcPr/>
          <w:p>
            <w:pPr>
              <w:pStyle w:val="Tabla9"/>
              <w:jc w:val="left"/>
            </w:pPr>
            <w:r>
              <w:t xml:space="preserve">La asignación de la Tabla 20.16 es PROPUESTO y exige verificar el catálogo.</w:t>
            </w:r>
          </w:p>
        </w:tc>
      </w:tr>
      <w:tr>
        <w:trPr>
          <w:cantSplit/>
        </w:trPr>
        <w:tc>
          <w:tcPr/>
          <w:p>
            <w:pPr>
              <w:pStyle w:val="Tabla9"/>
              <w:jc w:val="left"/>
            </w:pPr>
            <w:r>
              <w:t xml:space="preserve">21</w:t>
            </w:r>
          </w:p>
        </w:tc>
        <w:tc>
          <w:tcPr/>
          <w:p>
            <w:pPr>
              <w:pStyle w:val="Tabla9"/>
              <w:jc w:val="left"/>
            </w:pPr>
            <w:r>
              <w:t xml:space="preserve">Cronograma en meses por objetivo, producto y actividad</w:t>
            </w:r>
          </w:p>
        </w:tc>
        <w:tc>
          <w:tcPr/>
          <w:p>
            <w:pPr>
              <w:pStyle w:val="Tabla9"/>
              <w:jc w:val="left"/>
            </w:pPr>
            <w:r>
              <w:t xml:space="preserve">Capítulo 9; anexo H</w:t>
            </w:r>
          </w:p>
        </w:tc>
        <w:tc>
          <w:tcPr/>
          <w:p>
            <w:pPr>
              <w:pStyle w:val="Tabla9"/>
              <w:jc w:val="left"/>
            </w:pPr>
            <w:r>
              <w:t xml:space="preserve">PARCIAL</w:t>
            </w:r>
          </w:p>
        </w:tc>
        <w:tc>
          <w:tcPr/>
          <w:p>
            <w:pPr>
              <w:pStyle w:val="Tabla9"/>
              <w:jc w:val="left"/>
            </w:pPr>
            <w:r>
              <w:t xml:space="preserve">El cronograma está en semanas y trimestres. Convertir a meses en la radicación.</w:t>
            </w:r>
          </w:p>
        </w:tc>
      </w:tr>
      <w:tr>
        <w:trPr>
          <w:cantSplit/>
        </w:trPr>
        <w:tc>
          <w:tcPr/>
          <w:p>
            <w:pPr>
              <w:pStyle w:val="Tabla9"/>
              <w:jc w:val="left"/>
            </w:pPr>
            <w:r>
              <w:t xml:space="preserve">22</w:t>
            </w:r>
          </w:p>
        </w:tc>
        <w:tc>
          <w:tcPr/>
          <w:p>
            <w:pPr>
              <w:pStyle w:val="Tabla9"/>
              <w:jc w:val="left"/>
            </w:pPr>
            <w:r>
              <w:t xml:space="preserve">Análisis de riesgos con tipo, probabilidad, impacto y mitigación</w:t>
            </w:r>
          </w:p>
        </w:tc>
        <w:tc>
          <w:tcPr/>
          <w:p>
            <w:pPr>
              <w:pStyle w:val="Tabla9"/>
              <w:jc w:val="left"/>
            </w:pPr>
            <w:r>
              <w:t xml:space="preserve">Capítulo 10; Tabla 20.17</w:t>
            </w:r>
          </w:p>
        </w:tc>
        <w:tc>
          <w:tcPr/>
          <w:p>
            <w:pPr>
              <w:pStyle w:val="Tabla9"/>
              <w:jc w:val="left"/>
            </w:pPr>
            <w:r>
              <w:t xml:space="preserve">PARCIAL</w:t>
            </w:r>
          </w:p>
        </w:tc>
        <w:tc>
          <w:tcPr/>
          <w:p>
            <w:pPr>
              <w:pStyle w:val="Tabla9"/>
              <w:jc w:val="left"/>
            </w:pPr>
            <w:r>
              <w:t xml:space="preserve">La Tabla 20.17 convierte el registro al formato. Falta el riesgo sanitario del personal de campo.</w:t>
            </w:r>
          </w:p>
        </w:tc>
      </w:tr>
      <w:tr>
        <w:trPr>
          <w:cantSplit/>
        </w:trPr>
        <w:tc>
          <w:tcPr/>
          <w:p>
            <w:pPr>
              <w:pStyle w:val="Tabla9"/>
              <w:jc w:val="left"/>
            </w:pPr>
            <w:r>
              <w:t xml:space="preserve">23</w:t>
            </w:r>
          </w:p>
        </w:tc>
        <w:tc>
          <w:tcPr/>
          <w:p>
            <w:pPr>
              <w:pStyle w:val="Tabla9"/>
              <w:jc w:val="left"/>
            </w:pPr>
            <w:r>
              <w:t xml:space="preserve">Indicadores de gestión: informes trimestrales</w:t>
            </w:r>
          </w:p>
        </w:tc>
        <w:tc>
          <w:tcPr/>
          <w:p>
            <w:pPr>
              <w:pStyle w:val="Tabla9"/>
              <w:jc w:val="left"/>
            </w:pPr>
            <w:r>
              <w:t xml:space="preserve">Capítulo 12; PERS-R06</w:t>
            </w:r>
          </w:p>
        </w:tc>
        <w:tc>
          <w:tcPr/>
          <w:p>
            <w:pPr>
              <w:pStyle w:val="Tabla9"/>
              <w:jc w:val="left"/>
            </w:pPr>
            <w:r>
              <w:t xml:space="preserve">CUBIERTO</w:t>
            </w:r>
          </w:p>
        </w:tc>
        <w:tc>
          <w:tcPr/>
          <w:p>
            <w:pPr>
              <w:pStyle w:val="Tabla9"/>
              <w:jc w:val="left"/>
            </w:pPr>
            <w:r>
              <w:t xml:space="preserve">Hay 8 informes trimestrales y 24 mensuales.</w:t>
            </w:r>
          </w:p>
        </w:tc>
      </w:tr>
      <w:tr>
        <w:trPr>
          <w:cantSplit/>
        </w:trPr>
        <w:tc>
          <w:tcPr/>
          <w:p>
            <w:pPr>
              <w:pStyle w:val="Tabla9"/>
              <w:jc w:val="left"/>
            </w:pPr>
            <w:r>
              <w:t xml:space="preserve">24</w:t>
            </w:r>
          </w:p>
        </w:tc>
        <w:tc>
          <w:tcPr/>
          <w:p>
            <w:pPr>
              <w:pStyle w:val="Tabla9"/>
              <w:jc w:val="left"/>
            </w:pPr>
            <w:r>
              <w:t xml:space="preserve">Indicadores de producto</w:t>
            </w:r>
          </w:p>
        </w:tc>
        <w:tc>
          <w:tcPr/>
          <w:p>
            <w:pPr>
              <w:pStyle w:val="Tabla9"/>
              <w:jc w:val="left"/>
            </w:pPr>
            <w:r>
              <w:t xml:space="preserve">Capítulo 12; PERS-P01 a P04</w:t>
            </w:r>
          </w:p>
        </w:tc>
        <w:tc>
          <w:tcPr/>
          <w:p>
            <w:pPr>
              <w:pStyle w:val="Tabla9"/>
              <w:jc w:val="left"/>
            </w:pPr>
            <w:r>
              <w:t xml:space="preserve">CUBIERTO</w:t>
            </w:r>
          </w:p>
        </w:tc>
        <w:tc>
          <w:tcPr/>
          <w:p>
            <w:pPr>
              <w:pStyle w:val="Tabla9"/>
              <w:jc w:val="left"/>
            </w:pPr>
            <w:r>
              <w:t xml:space="preserve">Alinear los nombres con el catálogo MGA.</w:t>
            </w:r>
          </w:p>
        </w:tc>
      </w:tr>
      <w:tr>
        <w:trPr>
          <w:cantSplit/>
        </w:trPr>
        <w:tc>
          <w:tcPr/>
          <w:p>
            <w:pPr>
              <w:pStyle w:val="Tabla9"/>
              <w:jc w:val="left"/>
            </w:pPr>
            <w:r>
              <w:t xml:space="preserve">25</w:t>
            </w:r>
          </w:p>
        </w:tc>
        <w:tc>
          <w:tcPr/>
          <w:p>
            <w:pPr>
              <w:pStyle w:val="Tabla9"/>
              <w:jc w:val="left"/>
            </w:pPr>
            <w:r>
              <w:t xml:space="preserve">Aspectos éticos</w:t>
            </w:r>
          </w:p>
        </w:tc>
        <w:tc>
          <w:tcPr/>
          <w:p>
            <w:pPr>
              <w:pStyle w:val="Tabla9"/>
              <w:jc w:val="left"/>
            </w:pPr>
            <w:r>
              <w:t xml:space="preserve">Capítulo 6; anexo F</w:t>
            </w:r>
          </w:p>
        </w:tc>
        <w:tc>
          <w:tcPr/>
          <w:p>
            <w:pPr>
              <w:pStyle w:val="Tabla9"/>
              <w:jc w:val="left"/>
            </w:pPr>
            <w:r>
              <w:t xml:space="preserve">PARCIAL</w:t>
            </w:r>
          </w:p>
        </w:tc>
        <w:tc>
          <w:tcPr/>
          <w:p>
            <w:pPr>
              <w:pStyle w:val="Tabla9"/>
              <w:jc w:val="left"/>
            </w:pPr>
            <w:r>
              <w:t xml:space="preserve">Falta el aval de un comité de ética.</w:t>
            </w:r>
          </w:p>
        </w:tc>
      </w:tr>
      <w:tr>
        <w:trPr>
          <w:cantSplit/>
        </w:trPr>
        <w:tc>
          <w:tcPr/>
          <w:p>
            <w:pPr>
              <w:pStyle w:val="Tabla9"/>
              <w:jc w:val="left"/>
            </w:pPr>
            <w:r>
              <w:t xml:space="preserve">26</w:t>
            </w:r>
          </w:p>
        </w:tc>
        <w:tc>
          <w:tcPr/>
          <w:p>
            <w:pPr>
              <w:pStyle w:val="Tabla9"/>
              <w:jc w:val="left"/>
            </w:pPr>
            <w:r>
              <w:t xml:space="preserve">Idoneidad y trayectoria de la entidad y los aliados</w:t>
            </w:r>
          </w:p>
        </w:tc>
        <w:tc>
          <w:tcPr/>
          <w:p>
            <w:pPr>
              <w:pStyle w:val="Tabla9"/>
              <w:jc w:val="left"/>
            </w:pPr>
            <w:r>
              <w:t xml:space="preserve">Capítulo 17; anexos A y B</w:t>
            </w:r>
          </w:p>
        </w:tc>
        <w:tc>
          <w:tcPr/>
          <w:p>
            <w:pPr>
              <w:pStyle w:val="Tabla9"/>
              <w:jc w:val="left"/>
            </w:pPr>
            <w:r>
              <w:t xml:space="preserve">VACIO</w:t>
            </w:r>
          </w:p>
        </w:tc>
        <w:tc>
          <w:tcPr/>
          <w:p>
            <w:pPr>
              <w:pStyle w:val="Tabla9"/>
              <w:jc w:val="left"/>
            </w:pPr>
            <w:r>
              <w:t xml:space="preserve">Exige cartas, hojas de vida y trayectoria de las entidades.</w:t>
            </w:r>
          </w:p>
        </w:tc>
      </w:tr>
      <w:tr>
        <w:trPr>
          <w:cantSplit/>
        </w:trPr>
        <w:tc>
          <w:tcPr/>
          <w:p>
            <w:pPr>
              <w:pStyle w:val="Tabla9"/>
              <w:jc w:val="left"/>
            </w:pPr>
            <w:r>
              <w:t xml:space="preserve">27</w:t>
            </w:r>
          </w:p>
        </w:tc>
        <w:tc>
          <w:tcPr/>
          <w:p>
            <w:pPr>
              <w:pStyle w:val="Tabla9"/>
              <w:jc w:val="left"/>
            </w:pPr>
            <w:r>
              <w:t xml:space="preserve">Licencias y permisos</w:t>
            </w:r>
          </w:p>
        </w:tc>
        <w:tc>
          <w:tcPr/>
          <w:p>
            <w:pPr>
              <w:pStyle w:val="Tabla9"/>
              <w:jc w:val="left"/>
            </w:pPr>
            <w:r>
              <w:t xml:space="preserve">Tabla 20.18</w:t>
            </w:r>
          </w:p>
        </w:tc>
        <w:tc>
          <w:tcPr/>
          <w:p>
            <w:pPr>
              <w:pStyle w:val="Tabla9"/>
              <w:jc w:val="left"/>
            </w:pPr>
            <w:r>
              <w:t xml:space="preserve">PARCIAL</w:t>
            </w:r>
          </w:p>
        </w:tc>
        <w:tc>
          <w:tcPr/>
          <w:p>
            <w:pPr>
              <w:pStyle w:val="Tabla9"/>
              <w:jc w:val="left"/>
            </w:pPr>
            <w:r>
              <w:t xml:space="preserve">Los permisos de la Tabla 20.18 son PROPUESTO y NO_VERIFICADO.</w:t>
            </w:r>
          </w:p>
        </w:tc>
      </w:tr>
      <w:tr>
        <w:trPr>
          <w:cantSplit/>
        </w:trPr>
        <w:tc>
          <w:tcPr/>
          <w:p>
            <w:pPr>
              <w:pStyle w:val="Tabla9"/>
              <w:jc w:val="left"/>
            </w:pPr>
            <w:r>
              <w:t xml:space="preserve">28</w:t>
            </w:r>
          </w:p>
        </w:tc>
        <w:tc>
          <w:tcPr/>
          <w:p>
            <w:pPr>
              <w:pStyle w:val="Tabla9"/>
              <w:jc w:val="left"/>
            </w:pPr>
            <w:r>
              <w:t xml:space="preserve">Resumen de fuentes de financiación</w:t>
            </w:r>
          </w:p>
        </w:tc>
        <w:tc>
          <w:tcPr/>
          <w:p>
            <w:pPr>
              <w:pStyle w:val="Tabla9"/>
              <w:jc w:val="left"/>
            </w:pPr>
            <w:r>
              <w:t xml:space="preserve">Capítulos 8 y 21</w:t>
            </w:r>
          </w:p>
        </w:tc>
        <w:tc>
          <w:tcPr/>
          <w:p>
            <w:pPr>
              <w:pStyle w:val="Tabla9"/>
              <w:jc w:val="left"/>
            </w:pPr>
            <w:r>
              <w:t xml:space="preserve">CUBIERTO</w:t>
            </w:r>
          </w:p>
        </w:tc>
        <w:tc>
          <w:tcPr/>
          <w:p>
            <w:pPr>
              <w:pStyle w:val="Tabla9"/>
              <w:jc w:val="left"/>
            </w:pPr>
            <w:r>
              <w:t xml:space="preserve">Certificar la contrapartida.</w:t>
            </w:r>
          </w:p>
        </w:tc>
      </w:tr>
      <w:tr>
        <w:trPr>
          <w:cantSplit/>
        </w:trPr>
        <w:tc>
          <w:tcPr/>
          <w:p>
            <w:pPr>
              <w:pStyle w:val="Tabla9"/>
              <w:jc w:val="left"/>
            </w:pPr>
            <w:r>
              <w:t xml:space="preserve">29</w:t>
            </w:r>
          </w:p>
        </w:tc>
        <w:tc>
          <w:tcPr/>
          <w:p>
            <w:pPr>
              <w:pStyle w:val="Tabla9"/>
              <w:jc w:val="left"/>
            </w:pPr>
            <w:r>
              <w:t xml:space="preserve">Bibliografía de obras citadas</w:t>
            </w:r>
          </w:p>
        </w:tc>
        <w:tc>
          <w:tcPr/>
          <w:p>
            <w:pPr>
              <w:pStyle w:val="Tabla9"/>
              <w:jc w:val="left"/>
            </w:pPr>
            <w:r>
              <w:t xml:space="preserve">Capítulo 19</w:t>
            </w:r>
          </w:p>
        </w:tc>
        <w:tc>
          <w:tcPr/>
          <w:p>
            <w:pPr>
              <w:pStyle w:val="Tabla9"/>
              <w:jc w:val="left"/>
            </w:pPr>
            <w:r>
              <w:t xml:space="preserve">CUBIERTO</w:t>
            </w:r>
          </w:p>
        </w:tc>
        <w:tc>
          <w:tcPr/>
          <w:p>
            <w:pPr>
              <w:pStyle w:val="Tabla9"/>
              <w:jc w:val="left"/>
            </w:pPr>
            <w:r>
              <w:t xml:space="preserve">Verificar las referencias NO_VERIFICADO.</w:t>
            </w:r>
          </w:p>
        </w:tc>
      </w:tr>
      <w:tr>
        <w:trPr>
          <w:cantSplit/>
        </w:trPr>
        <w:tc>
          <w:tcPr/>
          <w:p>
            <w:pPr>
              <w:pStyle w:val="Tabla9"/>
              <w:jc w:val="left"/>
            </w:pPr>
            <w:r>
              <w:t xml:space="preserve">30</w:t>
            </w:r>
          </w:p>
        </w:tc>
        <w:tc>
          <w:tcPr/>
          <w:p>
            <w:pPr>
              <w:pStyle w:val="Tabla9"/>
              <w:jc w:val="left"/>
            </w:pPr>
            <w:r>
              <w:t xml:space="preserve">Anexos de requisitos sectoriales</w:t>
            </w:r>
          </w:p>
        </w:tc>
        <w:tc>
          <w:tcPr/>
          <w:p>
            <w:pPr>
              <w:pStyle w:val="Tabla9"/>
              <w:jc w:val="left"/>
            </w:pPr>
            <w:r>
              <w:t xml:space="preserve">Anexos A a M</w:t>
            </w:r>
          </w:p>
        </w:tc>
        <w:tc>
          <w:tcPr/>
          <w:p>
            <w:pPr>
              <w:pStyle w:val="Tabla9"/>
              <w:jc w:val="left"/>
            </w:pPr>
            <w:r>
              <w:t xml:space="preserve">VACIO</w:t>
            </w:r>
          </w:p>
        </w:tc>
        <w:tc>
          <w:tcPr/>
          <w:p>
            <w:pPr>
              <w:pStyle w:val="Tabla9"/>
              <w:jc w:val="left"/>
            </w:pPr>
            <w:r>
              <w:t xml:space="preserve">Seguir el portal de la MGA.</w:t>
            </w:r>
          </w:p>
        </w:tc>
      </w:tr>
    </w:tbl>
    <w:p>
      <w:pPr>
        <w:pStyle w:val="TablaNota"/>
      </w:pPr>
      <w:r>
        <w:rPr>
          <w:i/>
          <w:iCs/>
        </w:rPr>
        <w:t xml:space="preserve">Nota.</w:t>
      </w:r>
      <w:r>
        <w:t xml:space="preserve"> </w:t>
      </w:r>
      <w:r>
        <w:t xml:space="preserve">Elaboración propia con el Anexo 2 de la convocatoria (documento técnico) y la estructura del documento. CUBIERTO: el contenido existe; PARCIAL: existe con vacíos o en otro formato; VACIO: depende de datos del usuario. MGA: Metodología General Ajustada; SIGP: plataforma de registro de proyectos; ASC: apropiación social del conocimiento.</w:t>
      </w:r>
    </w:p>
    <w:p>
      <w:pPr>
        <w:pStyle w:val="BodyText"/>
      </w:pPr>
      <w:r>
        <w:t xml:space="preserve">El cruce da 12 secciones cubiertas, 15 parciales y 3 vacías. Las vacías dependen de documentos que el usuario no aportó. Las parciales se resuelven con trabajo de formato y con datos del usuario. Ninguna sección exige rehacer el diseño técnico, con la excepción de la madurez tecnológica, que plantea una decisión de fondo. La Tabla 20.15 propone la cadena de valor en el formato del Anexo 2, y la Tabla 20.16 asigna los productos del catálogo MGA.</w:t>
      </w:r>
    </w:p>
    <w:p>
      <w:pPr>
        <w:pStyle w:val="TablaRotulo"/>
      </w:pPr>
      <w:bookmarkStart w:id="9405" w:name="rot_Tabla_20_15"/>
      <w:r>
        <w:rPr>
          <w:b/>
          <w:bCs/>
        </w:rPr>
        <w:t xml:space="preserve">Tabla 20.15</w:t>
      </w:r>
      <w:bookmarkEnd w:id="9405"/>
    </w:p>
    <w:p>
      <w:pPr>
        <w:pStyle w:val="TablaTitulo"/>
      </w:pPr>
      <w:r>
        <w:rPr>
          <w:i/>
          <w:iCs/>
        </w:rPr>
        <w:t xml:space="preserve">Cadena de valor propuesta en el formato del Anexo 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84"/>
        <w:gridCol w:w="2178"/>
        <w:gridCol w:w="1452"/>
        <w:gridCol w:w="1386"/>
        <w:gridCol w:w="1320"/>
      </w:tblGrid>
      <w:tr>
        <w:trPr>
          <w:cantSplit/>
          <w:tblHeader/>
        </w:trPr>
        <w:tc>
          <w:tcPr>
            <w:shd w:val="clear" w:color="auto" w:fill="00B050"/>
          </w:tcPr>
          <w:p>
            <w:pPr>
              <w:pStyle w:val="Tabla9"/>
              <w:jc w:val="center"/>
            </w:pPr>
            <w:r>
              <w:rPr>
                <w:b/>
                <w:color w:val="FFFFFF"/>
              </w:rPr>
              <w:t xml:space="preserve">Objetivo específico</w:t>
            </w:r>
          </w:p>
        </w:tc>
        <w:tc>
          <w:tcPr>
            <w:shd w:val="clear" w:color="auto" w:fill="00B050"/>
          </w:tcPr>
          <w:p>
            <w:pPr>
              <w:pStyle w:val="Tabla9"/>
              <w:jc w:val="center"/>
            </w:pPr>
            <w:r>
              <w:rPr>
                <w:b/>
                <w:color w:val="FFFFFF"/>
              </w:rPr>
              <w:t xml:space="preserve">Producto</w:t>
            </w:r>
          </w:p>
        </w:tc>
        <w:tc>
          <w:tcPr>
            <w:shd w:val="clear" w:color="auto" w:fill="00B050"/>
          </w:tcPr>
          <w:p>
            <w:pPr>
              <w:pStyle w:val="Tabla9"/>
              <w:jc w:val="center"/>
            </w:pPr>
            <w:r>
              <w:rPr>
                <w:b/>
                <w:color w:val="FFFFFF"/>
              </w:rPr>
              <w:t xml:space="preserve">Medido a través de</w:t>
            </w:r>
          </w:p>
        </w:tc>
        <w:tc>
          <w:tcPr>
            <w:shd w:val="clear" w:color="auto" w:fill="00B050"/>
          </w:tcPr>
          <w:p>
            <w:pPr>
              <w:pStyle w:val="Tabla9"/>
              <w:jc w:val="center"/>
            </w:pPr>
            <w:r>
              <w:rPr>
                <w:b/>
                <w:color w:val="FFFFFF"/>
              </w:rPr>
              <w:t xml:space="preserve">Cantidad o meta</w:t>
            </w:r>
          </w:p>
        </w:tc>
        <w:tc>
          <w:tcPr>
            <w:shd w:val="clear" w:color="auto" w:fill="00B050"/>
          </w:tcPr>
          <w:p>
            <w:pPr>
              <w:pStyle w:val="Tabla9"/>
              <w:jc w:val="center"/>
            </w:pPr>
            <w:r>
              <w:rPr>
                <w:b/>
                <w:color w:val="FFFFFF"/>
              </w:rPr>
              <w:t xml:space="preserve">Actividades asociadas</w:t>
            </w:r>
          </w:p>
        </w:tc>
      </w:tr>
      <w:tr>
        <w:trPr>
          <w:cantSplit/>
        </w:trPr>
        <w:tc>
          <w:tcPr/>
          <w:p>
            <w:pPr>
              <w:pStyle w:val="Tabla9"/>
              <w:jc w:val="left"/>
            </w:pPr>
            <w:r>
              <w:t xml:space="preserve">OE1: medición verificada</w:t>
            </w:r>
          </w:p>
        </w:tc>
        <w:tc>
          <w:tcPr/>
          <w:p>
            <w:pPr>
              <w:pStyle w:val="Tabla9"/>
              <w:jc w:val="left"/>
            </w:pPr>
            <w:r>
              <w:t xml:space="preserve">Documentos de investigación (programa 3906)</w:t>
            </w:r>
          </w:p>
        </w:tc>
        <w:tc>
          <w:tcPr/>
          <w:p>
            <w:pPr>
              <w:pStyle w:val="Tabla9"/>
              <w:jc w:val="left"/>
            </w:pPr>
            <w:r>
              <w:t xml:space="preserve">Número de artículos aceptados o sometidos</w:t>
            </w:r>
          </w:p>
        </w:tc>
        <w:tc>
          <w:tcPr/>
          <w:p>
            <w:pPr>
              <w:pStyle w:val="Tabla9"/>
              <w:jc w:val="left"/>
            </w:pPr>
            <w:r>
              <w:t xml:space="preserve">2 sometidos y al menos 1 aceptado</w:t>
            </w:r>
          </w:p>
        </w:tc>
        <w:tc>
          <w:tcPr/>
          <w:p>
            <w:pPr>
              <w:pStyle w:val="Tabla9"/>
              <w:jc w:val="left"/>
            </w:pPr>
            <w:r>
              <w:t xml:space="preserve">A1.4, A1.6</w:t>
            </w:r>
          </w:p>
        </w:tc>
      </w:tr>
      <w:tr>
        <w:trPr>
          <w:cantSplit/>
        </w:trPr>
        <w:tc>
          <w:tcPr/>
          <w:p>
            <w:pPr>
              <w:pStyle w:val="Tabla9"/>
              <w:jc w:val="left"/>
            </w:pPr>
            <w:r>
              <w:t xml:space="preserve">OE1: medición verificada</w:t>
            </w:r>
          </w:p>
        </w:tc>
        <w:tc>
          <w:tcPr/>
          <w:p>
            <w:pPr>
              <w:pStyle w:val="Tabla9"/>
              <w:jc w:val="left"/>
            </w:pPr>
            <w:r>
              <w:t xml:space="preserve">[DATO_USUARIO: producto del catálogo para el modelo de corrección y el software registrado]</w:t>
            </w:r>
          </w:p>
        </w:tc>
        <w:tc>
          <w:tcPr/>
          <w:p>
            <w:pPr>
              <w:pStyle w:val="Tabla9"/>
              <w:jc w:val="left"/>
            </w:pPr>
            <w:r>
              <w:t xml:space="preserve">Registros de software vigentes</w:t>
            </w:r>
          </w:p>
        </w:tc>
        <w:tc>
          <w:tcPr/>
          <w:p>
            <w:pPr>
              <w:pStyle w:val="Tabla9"/>
              <w:jc w:val="left"/>
            </w:pPr>
            <w:r>
              <w:t xml:space="preserve">1</w:t>
            </w:r>
          </w:p>
        </w:tc>
        <w:tc>
          <w:tcPr/>
          <w:p>
            <w:pPr>
              <w:pStyle w:val="Tabla9"/>
              <w:jc w:val="left"/>
            </w:pPr>
            <w:r>
              <w:t xml:space="preserve">A1.2, A1.3, A1.4, A1.5, A2.2</w:t>
            </w:r>
          </w:p>
        </w:tc>
      </w:tr>
      <w:tr>
        <w:trPr>
          <w:cantSplit/>
        </w:trPr>
        <w:tc>
          <w:tcPr/>
          <w:p>
            <w:pPr>
              <w:pStyle w:val="Tabla9"/>
              <w:jc w:val="left"/>
            </w:pPr>
            <w:r>
              <w:t xml:space="preserve">OE1: medición verificada</w:t>
            </w:r>
          </w:p>
        </w:tc>
        <w:tc>
          <w:tcPr/>
          <w:p>
            <w:pPr>
              <w:pStyle w:val="Tabla9"/>
              <w:jc w:val="left"/>
            </w:pPr>
            <w:r>
              <w:t xml:space="preserve">Administración y apoyo a la supervisión del objetivo 1</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r>
        <w:trPr>
          <w:cantSplit/>
        </w:trPr>
        <w:tc>
          <w:tcPr/>
          <w:p>
            <w:pPr>
              <w:pStyle w:val="Tabla9"/>
              <w:jc w:val="left"/>
            </w:pPr>
            <w:r>
              <w:t xml:space="preserve">OE2: disponibilidad de la red</w:t>
            </w:r>
          </w:p>
        </w:tc>
        <w:tc>
          <w:tcPr/>
          <w:p>
            <w:pPr>
              <w:pStyle w:val="Tabla9"/>
              <w:jc w:val="left"/>
            </w:pPr>
            <w:r>
              <w:t xml:space="preserve">Servicio de apoyo para la generación de prototipos de materiales, productos o dispositivos</w:t>
            </w:r>
          </w:p>
        </w:tc>
        <w:tc>
          <w:tcPr/>
          <w:p>
            <w:pPr>
              <w:pStyle w:val="Tabla9"/>
              <w:jc w:val="left"/>
            </w:pPr>
            <w:r>
              <w:t xml:space="preserve">Prototipo funcional de red operativa</w:t>
            </w:r>
          </w:p>
        </w:tc>
        <w:tc>
          <w:tcPr/>
          <w:p>
            <w:pPr>
              <w:pStyle w:val="Tabla9"/>
              <w:jc w:val="left"/>
            </w:pPr>
            <w:r>
              <w:t xml:space="preserve">100 nodos y 10 gateways</w:t>
            </w:r>
          </w:p>
        </w:tc>
        <w:tc>
          <w:tcPr/>
          <w:p>
            <w:pPr>
              <w:pStyle w:val="Tabla9"/>
              <w:jc w:val="left"/>
            </w:pPr>
            <w:r>
              <w:t xml:space="preserve">A2.1, A2.3, A2.4, A1.6</w:t>
            </w:r>
          </w:p>
        </w:tc>
      </w:tr>
      <w:tr>
        <w:trPr>
          <w:cantSplit/>
        </w:trPr>
        <w:tc>
          <w:tcPr/>
          <w:p>
            <w:pPr>
              <w:pStyle w:val="Tabla9"/>
              <w:jc w:val="left"/>
            </w:pPr>
            <w:r>
              <w:t xml:space="preserve">OE2: disponibilidad de la red</w:t>
            </w:r>
          </w:p>
        </w:tc>
        <w:tc>
          <w:tcPr/>
          <w:p>
            <w:pPr>
              <w:pStyle w:val="Tabla9"/>
              <w:jc w:val="left"/>
            </w:pPr>
            <w:r>
              <w:t xml:space="preserve">Administración y apoyo a la supervisión del objetivo 2</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r>
        <w:trPr>
          <w:cantSplit/>
        </w:trPr>
        <w:tc>
          <w:tcPr/>
          <w:p>
            <w:pPr>
              <w:pStyle w:val="Tabla9"/>
              <w:jc w:val="left"/>
            </w:pPr>
            <w:r>
              <w:t xml:space="preserve">OE3: uso institucional</w:t>
            </w:r>
          </w:p>
        </w:tc>
        <w:tc>
          <w:tcPr/>
          <w:p>
            <w:pPr>
              <w:pStyle w:val="Tabla9"/>
              <w:jc w:val="left"/>
            </w:pPr>
            <w:r>
              <w:t xml:space="preserve">Servicio de apropiación social del conocimiento</w:t>
            </w:r>
          </w:p>
        </w:tc>
        <w:tc>
          <w:tcPr/>
          <w:p>
            <w:pPr>
              <w:pStyle w:val="Tabla9"/>
              <w:jc w:val="left"/>
            </w:pPr>
            <w:r>
              <w:t xml:space="preserve">Actividades de apropiación documentadas</w:t>
            </w:r>
          </w:p>
        </w:tc>
        <w:tc>
          <w:tcPr/>
          <w:p>
            <w:pPr>
              <w:pStyle w:val="Tabla9"/>
              <w:jc w:val="left"/>
            </w:pPr>
            <w:r>
              <w:t xml:space="preserve">29 (20 talleres y 9 jornadas)</w:t>
            </w:r>
          </w:p>
        </w:tc>
        <w:tc>
          <w:tcPr/>
          <w:p>
            <w:pPr>
              <w:pStyle w:val="Tabla9"/>
              <w:jc w:val="left"/>
            </w:pPr>
            <w:r>
              <w:t xml:space="preserve">A3.1, A3.2</w:t>
            </w:r>
          </w:p>
        </w:tc>
      </w:tr>
      <w:tr>
        <w:trPr>
          <w:cantSplit/>
        </w:trPr>
        <w:tc>
          <w:tcPr/>
          <w:p>
            <w:pPr>
              <w:pStyle w:val="Tabla9"/>
              <w:jc w:val="left"/>
            </w:pPr>
            <w:r>
              <w:t xml:space="preserve">OE3: uso institucional</w:t>
            </w:r>
          </w:p>
        </w:tc>
        <w:tc>
          <w:tcPr/>
          <w:p>
            <w:pPr>
              <w:pStyle w:val="Tabla9"/>
              <w:jc w:val="left"/>
            </w:pPr>
            <w:r>
              <w:t xml:space="preserve">Servicio de asistencia técnica</w:t>
            </w:r>
          </w:p>
        </w:tc>
        <w:tc>
          <w:tcPr/>
          <w:p>
            <w:pPr>
              <w:pStyle w:val="Tabla9"/>
              <w:jc w:val="left"/>
            </w:pPr>
            <w:r>
              <w:t xml:space="preserve">Personas certificadas en operación y mantenimiento</w:t>
            </w:r>
          </w:p>
        </w:tc>
        <w:tc>
          <w:tcPr/>
          <w:p>
            <w:pPr>
              <w:pStyle w:val="Tabla9"/>
              <w:jc w:val="left"/>
            </w:pPr>
            <w:r>
              <w:t xml:space="preserve">60 personas o más</w:t>
            </w:r>
          </w:p>
        </w:tc>
        <w:tc>
          <w:tcPr/>
          <w:p>
            <w:pPr>
              <w:pStyle w:val="Tabla9"/>
              <w:jc w:val="left"/>
            </w:pPr>
            <w:r>
              <w:t xml:space="preserve">A3.3</w:t>
            </w:r>
          </w:p>
        </w:tc>
      </w:tr>
      <w:tr>
        <w:trPr>
          <w:cantSplit/>
        </w:trPr>
        <w:tc>
          <w:tcPr/>
          <w:p>
            <w:pPr>
              <w:pStyle w:val="Tabla9"/>
              <w:jc w:val="left"/>
            </w:pPr>
            <w:r>
              <w:t xml:space="preserve">OE3: uso institucional</w:t>
            </w:r>
          </w:p>
        </w:tc>
        <w:tc>
          <w:tcPr/>
          <w:p>
            <w:pPr>
              <w:pStyle w:val="Tabla9"/>
              <w:jc w:val="left"/>
            </w:pPr>
            <w:r>
              <w:t xml:space="preserve">Documentos de planeación</w:t>
            </w:r>
          </w:p>
        </w:tc>
        <w:tc>
          <w:tcPr/>
          <w:p>
            <w:pPr>
              <w:pStyle w:val="Tabla9"/>
              <w:jc w:val="left"/>
            </w:pPr>
            <w:r>
              <w:t xml:space="preserve">Convenios de custodia con partida</w:t>
            </w:r>
          </w:p>
        </w:tc>
        <w:tc>
          <w:tcPr/>
          <w:p>
            <w:pPr>
              <w:pStyle w:val="Tabla9"/>
              <w:jc w:val="left"/>
            </w:pPr>
            <w:r>
              <w:t xml:space="preserve">3 (uno por tramo)</w:t>
            </w:r>
          </w:p>
        </w:tc>
        <w:tc>
          <w:tcPr/>
          <w:p>
            <w:pPr>
              <w:pStyle w:val="Tabla9"/>
              <w:jc w:val="left"/>
            </w:pPr>
            <w:r>
              <w:t xml:space="preserve">A3.3, A3.4</w:t>
            </w:r>
          </w:p>
        </w:tc>
      </w:tr>
      <w:tr>
        <w:trPr>
          <w:cantSplit/>
        </w:trPr>
        <w:tc>
          <w:tcPr/>
          <w:p>
            <w:pPr>
              <w:pStyle w:val="Tabla9"/>
              <w:jc w:val="left"/>
            </w:pPr>
            <w:r>
              <w:t xml:space="preserve">OE3: uso institucional</w:t>
            </w:r>
          </w:p>
        </w:tc>
        <w:tc>
          <w:tcPr/>
          <w:p>
            <w:pPr>
              <w:pStyle w:val="Tabla9"/>
              <w:jc w:val="left"/>
            </w:pPr>
            <w:r>
              <w:t xml:space="preserve">Administración y apoyo a la supervisión del objetivo 3</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bl>
    <w:p>
      <w:pPr>
        <w:pStyle w:val="TablaNota"/>
      </w:pPr>
      <w:r>
        <w:rPr>
          <w:i/>
          <w:iCs/>
        </w:rPr>
        <w:t xml:space="preserve">Nota.</w:t>
      </w:r>
      <w:r>
        <w:t xml:space="preserve"> </w:t>
      </w:r>
      <w:r>
        <w:t xml:space="preserve">Elaboración propia con el Anexo 2 (sección 15), la ficha maestra y el cronograma del capítulo 9. Los nombres de producto MGA proceden de la lista que cita el Anexo 2 y requieren verificación contra el catálogo (NO_VERIFICADO). El Anexo 2 no permite repetir productos ni mezclar programas. Las actividades de administración son PROPUESTO y su valor debe coincidir con la línea O05 y las líneas de gerencia.</w:t>
      </w:r>
    </w:p>
    <w:p>
      <w:pPr>
        <w:pStyle w:val="BodyText"/>
      </w:pPr>
      <w:r>
        <w:t xml:space="preserve">La cadena de valor muestra que el proyecto cubre seis productos del catálogo y deja uno sin asignar. El modelo de corrección y el software registrado no tienen un producto evidente en la lista que cita el Anexo 2. Esa asignación depende del catálogo completo. La tabla evita repetir el producto de prototipos entre los objetivos 1 y 2, porque la MGA no admite productos repetidos. La red operativa se asigna al objetivo 2 como prototipo funcional.</w:t>
      </w:r>
    </w:p>
    <w:p>
      <w:pPr>
        <w:pStyle w:val="TablaRotulo"/>
      </w:pPr>
      <w:bookmarkStart w:id="9406" w:name="rot_Tabla_20_16"/>
      <w:r>
        <w:rPr>
          <w:b/>
          <w:bCs/>
        </w:rPr>
        <w:t xml:space="preserve">Tabla 20.16</w:t>
      </w:r>
      <w:bookmarkEnd w:id="9406"/>
    </w:p>
    <w:p>
      <w:pPr>
        <w:pStyle w:val="TablaTitulo"/>
      </w:pPr>
      <w:r>
        <w:rPr>
          <w:i/>
          <w:iCs/>
        </w:rPr>
        <w:t xml:space="preserve">Asignación propuesta de productos del catálogo MGA, sector 39 y programa 3906</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78"/>
        <w:gridCol w:w="1570"/>
        <w:gridCol w:w="1570"/>
        <w:gridCol w:w="2094"/>
        <w:gridCol w:w="1505"/>
      </w:tblGrid>
      <w:tr>
        <w:trPr>
          <w:cantSplit/>
          <w:tblHeader/>
        </w:trPr>
        <w:tc>
          <w:tcPr>
            <w:shd w:val="clear" w:color="auto" w:fill="00B050"/>
          </w:tcPr>
          <w:p>
            <w:pPr>
              <w:pStyle w:val="Tabla9"/>
              <w:jc w:val="center"/>
            </w:pPr>
            <w:r>
              <w:rPr>
                <w:b/>
                <w:color w:val="FFFFFF"/>
              </w:rPr>
              <w:t xml:space="preserve">Origen</w:t>
            </w:r>
          </w:p>
        </w:tc>
        <w:tc>
          <w:tcPr>
            <w:shd w:val="clear" w:color="auto" w:fill="00B050"/>
          </w:tcPr>
          <w:p>
            <w:pPr>
              <w:pStyle w:val="Tabla9"/>
              <w:jc w:val="center"/>
            </w:pPr>
            <w:r>
              <w:rPr>
                <w:b/>
                <w:color w:val="FFFFFF"/>
              </w:rPr>
              <w:t xml:space="preserve">Producto del proyecto</w:t>
            </w:r>
          </w:p>
        </w:tc>
        <w:tc>
          <w:tcPr>
            <w:shd w:val="clear" w:color="auto" w:fill="00B050"/>
          </w:tcPr>
          <w:p>
            <w:pPr>
              <w:pStyle w:val="Tabla9"/>
              <w:jc w:val="center"/>
            </w:pPr>
            <w:r>
              <w:rPr>
                <w:b/>
                <w:color w:val="FFFFFF"/>
              </w:rPr>
              <w:t xml:space="preserve">Código MMG 2021</w:t>
            </w:r>
          </w:p>
        </w:tc>
        <w:tc>
          <w:tcPr>
            <w:shd w:val="clear" w:color="auto" w:fill="00B050"/>
          </w:tcPr>
          <w:p>
            <w:pPr>
              <w:pStyle w:val="Tabla9"/>
              <w:jc w:val="center"/>
            </w:pPr>
            <w:r>
              <w:rPr>
                <w:b/>
                <w:color w:val="FFFFFF"/>
              </w:rPr>
              <w:t xml:space="preserve">Producto del catálogo MGA</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PERS-P01</w:t>
            </w:r>
          </w:p>
        </w:tc>
        <w:tc>
          <w:tcPr/>
          <w:p>
            <w:pPr>
              <w:pStyle w:val="Tabla9"/>
              <w:jc w:val="left"/>
            </w:pPr>
            <w:r>
              <w:t xml:space="preserve">Red de 100 nodos y 10 gateways operativa</w:t>
            </w:r>
          </w:p>
        </w:tc>
        <w:tc>
          <w:tcPr/>
          <w:p>
            <w:pPr>
              <w:pStyle w:val="Tabla9"/>
              <w:jc w:val="left"/>
            </w:pPr>
            <w:r>
              <w:t xml:space="preserve">PROT-FUNC</w:t>
            </w:r>
          </w:p>
        </w:tc>
        <w:tc>
          <w:tcPr/>
          <w:p>
            <w:pPr>
              <w:pStyle w:val="Tabla9"/>
              <w:jc w:val="left"/>
            </w:pPr>
            <w:r>
              <w:t xml:space="preserve">Servicio de apoyo para la generación de prototipos de materiales, productos o dispositivos</w:t>
            </w:r>
          </w:p>
        </w:tc>
        <w:tc>
          <w:tcPr/>
          <w:p>
            <w:pPr>
              <w:pStyle w:val="Tabla9"/>
              <w:jc w:val="left"/>
            </w:pPr>
            <w:r>
              <w:t xml:space="preserve">PROPUESTO</w:t>
            </w:r>
          </w:p>
        </w:tc>
      </w:tr>
      <w:tr>
        <w:trPr>
          <w:cantSplit/>
        </w:trPr>
        <w:tc>
          <w:tcPr/>
          <w:p>
            <w:pPr>
              <w:pStyle w:val="Tabla9"/>
              <w:jc w:val="left"/>
            </w:pPr>
            <w:r>
              <w:t xml:space="preserve">PERS-P02</w:t>
            </w:r>
          </w:p>
        </w:tc>
        <w:tc>
          <w:tcPr/>
          <w:p>
            <w:pPr>
              <w:pStyle w:val="Tabla9"/>
              <w:jc w:val="left"/>
            </w:pPr>
            <w:r>
              <w:t xml:space="preserve">Software de corrección y gemelo digital registrado</w:t>
            </w:r>
          </w:p>
        </w:tc>
        <w:tc>
          <w:tcPr/>
          <w:p>
            <w:pPr>
              <w:pStyle w:val="Tabla9"/>
              <w:jc w:val="left"/>
            </w:pPr>
            <w:r>
              <w:t xml:space="preserve">SW-REG</w:t>
            </w:r>
          </w:p>
        </w:tc>
        <w:tc>
          <w:tcPr/>
          <w:p>
            <w:pPr>
              <w:pStyle w:val="Tabla9"/>
              <w:jc w:val="left"/>
            </w:pPr>
            <w:r>
              <w:t xml:space="preserve">[DATO_USUARIO: producto del catálogo para software]</w:t>
            </w:r>
          </w:p>
        </w:tc>
        <w:tc>
          <w:tcPr/>
          <w:p>
            <w:pPr>
              <w:pStyle w:val="Tabla9"/>
              <w:jc w:val="left"/>
            </w:pPr>
            <w:r>
              <w:t xml:space="preserve">VACIO</w:t>
            </w:r>
          </w:p>
        </w:tc>
      </w:tr>
      <w:tr>
        <w:trPr>
          <w:cantSplit/>
        </w:trPr>
        <w:tc>
          <w:tcPr/>
          <w:p>
            <w:pPr>
              <w:pStyle w:val="Tabla9"/>
              <w:jc w:val="left"/>
            </w:pPr>
            <w:r>
              <w:t xml:space="preserve">PERS-P03</w:t>
            </w:r>
          </w:p>
        </w:tc>
        <w:tc>
          <w:tcPr/>
          <w:p>
            <w:pPr>
              <w:pStyle w:val="Tabla9"/>
              <w:jc w:val="left"/>
            </w:pPr>
            <w:r>
              <w:t xml:space="preserve">Artículos científicos en revistas Q1 o Q2</w:t>
            </w:r>
          </w:p>
        </w:tc>
        <w:tc>
          <w:tcPr/>
          <w:p>
            <w:pPr>
              <w:pStyle w:val="Tabla9"/>
              <w:jc w:val="left"/>
            </w:pPr>
            <w:r>
              <w:t xml:space="preserve">ART-A1 / ART-A2</w:t>
            </w:r>
          </w:p>
        </w:tc>
        <w:tc>
          <w:tcPr/>
          <w:p>
            <w:pPr>
              <w:pStyle w:val="Tabla9"/>
              <w:jc w:val="left"/>
            </w:pPr>
            <w:r>
              <w:t xml:space="preserve">Documentos de investigación</w:t>
            </w:r>
          </w:p>
        </w:tc>
        <w:tc>
          <w:tcPr/>
          <w:p>
            <w:pPr>
              <w:pStyle w:val="Tabla9"/>
              <w:jc w:val="left"/>
            </w:pPr>
            <w:r>
              <w:t xml:space="preserve">PROPUESTO</w:t>
            </w:r>
          </w:p>
        </w:tc>
      </w:tr>
      <w:tr>
        <w:trPr>
          <w:cantSplit/>
        </w:trPr>
        <w:tc>
          <w:tcPr/>
          <w:p>
            <w:pPr>
              <w:pStyle w:val="Tabla9"/>
              <w:jc w:val="left"/>
            </w:pPr>
            <w:r>
              <w:t xml:space="preserve">PERS-P04</w:t>
            </w:r>
          </w:p>
        </w:tc>
        <w:tc>
          <w:tcPr/>
          <w:p>
            <w:pPr>
              <w:pStyle w:val="Tabla9"/>
              <w:jc w:val="left"/>
            </w:pPr>
            <w:r>
              <w:t xml:space="preserve">Actividades de apropiación social documentadas</w:t>
            </w:r>
          </w:p>
        </w:tc>
        <w:tc>
          <w:tcPr/>
          <w:p>
            <w:pPr>
              <w:pStyle w:val="Tabla9"/>
              <w:jc w:val="left"/>
            </w:pPr>
            <w:r>
              <w:t xml:space="preserve">ASC-PART / ASC-COM / ASC-CIRC</w:t>
            </w:r>
          </w:p>
        </w:tc>
        <w:tc>
          <w:tcPr/>
          <w:p>
            <w:pPr>
              <w:pStyle w:val="Tabla9"/>
              <w:jc w:val="left"/>
            </w:pPr>
            <w:r>
              <w:t xml:space="preserve">Servicio de apropiación social del conocimiento</w:t>
            </w:r>
          </w:p>
        </w:tc>
        <w:tc>
          <w:tcPr/>
          <w:p>
            <w:pPr>
              <w:pStyle w:val="Tabla9"/>
              <w:jc w:val="left"/>
            </w:pPr>
            <w:r>
              <w:t xml:space="preserve">PROPUESTO</w:t>
            </w:r>
          </w:p>
        </w:tc>
      </w:tr>
      <w:tr>
        <w:trPr>
          <w:cantSplit/>
        </w:trPr>
        <w:tc>
          <w:tcPr/>
          <w:p>
            <w:pPr>
              <w:pStyle w:val="Tabla9"/>
              <w:jc w:val="left"/>
            </w:pPr>
            <w:r>
              <w:t xml:space="preserve">PERS-E03</w:t>
            </w:r>
          </w:p>
        </w:tc>
        <w:tc>
          <w:tcPr/>
          <w:p>
            <w:pPr>
              <w:pStyle w:val="Tabla9"/>
              <w:jc w:val="left"/>
            </w:pPr>
            <w:r>
              <w:t xml:space="preserve">Capacidad instalada en custodios</w:t>
            </w:r>
          </w:p>
        </w:tc>
        <w:tc>
          <w:tcPr/>
          <w:p>
            <w:pPr>
              <w:pStyle w:val="Tabla9"/>
              <w:jc w:val="left"/>
            </w:pPr>
            <w:r>
              <w:t xml:space="preserve">FORM (capacitación)</w:t>
            </w:r>
          </w:p>
        </w:tc>
        <w:tc>
          <w:tcPr/>
          <w:p>
            <w:pPr>
              <w:pStyle w:val="Tabla9"/>
              <w:jc w:val="left"/>
            </w:pPr>
            <w:r>
              <w:t xml:space="preserve">Servicio de asistencia técnica</w:t>
            </w:r>
          </w:p>
        </w:tc>
        <w:tc>
          <w:tcPr/>
          <w:p>
            <w:pPr>
              <w:pStyle w:val="Tabla9"/>
              <w:jc w:val="left"/>
            </w:pPr>
            <w:r>
              <w:t xml:space="preserve">PROPUESTO</w:t>
            </w:r>
          </w:p>
        </w:tc>
      </w:tr>
      <w:tr>
        <w:trPr>
          <w:cantSplit/>
        </w:trPr>
        <w:tc>
          <w:tcPr/>
          <w:p>
            <w:pPr>
              <w:pStyle w:val="Tabla9"/>
              <w:jc w:val="left"/>
            </w:pPr>
            <w:r>
              <w:t xml:space="preserve">Convenios de custodia</w:t>
            </w:r>
          </w:p>
        </w:tc>
        <w:tc>
          <w:tcPr/>
          <w:p>
            <w:pPr>
              <w:pStyle w:val="Tabla9"/>
              <w:jc w:val="left"/>
            </w:pPr>
            <w:r>
              <w:t xml:space="preserve">Convenios por tramo con partida</w:t>
            </w:r>
          </w:p>
        </w:tc>
        <w:tc>
          <w:tcPr/>
          <w:p>
            <w:pPr>
              <w:pStyle w:val="Tabla9"/>
              <w:jc w:val="left"/>
            </w:pPr>
            <w:r>
              <w:t xml:space="preserve">—</w:t>
            </w:r>
          </w:p>
        </w:tc>
        <w:tc>
          <w:tcPr/>
          <w:p>
            <w:pPr>
              <w:pStyle w:val="Tabla9"/>
              <w:jc w:val="left"/>
            </w:pPr>
            <w:r>
              <w:t xml:space="preserve">Documentos de planeación</w:t>
            </w:r>
          </w:p>
        </w:tc>
        <w:tc>
          <w:tcPr/>
          <w:p>
            <w:pPr>
              <w:pStyle w:val="Tabla9"/>
              <w:jc w:val="left"/>
            </w:pPr>
            <w:r>
              <w:t xml:space="preserve">PROPUESTO</w:t>
            </w:r>
          </w:p>
        </w:tc>
      </w:tr>
      <w:tr>
        <w:trPr>
          <w:cantSplit/>
        </w:trPr>
        <w:tc>
          <w:tcPr/>
          <w:p>
            <w:pPr>
              <w:pStyle w:val="Tabla9"/>
              <w:jc w:val="left"/>
            </w:pPr>
            <w:r>
              <w:t xml:space="preserve">Líneas P02 (maestría)</w:t>
            </w:r>
          </w:p>
        </w:tc>
        <w:tc>
          <w:tcPr/>
          <w:p>
            <w:pPr>
              <w:pStyle w:val="Tabla9"/>
              <w:jc w:val="left"/>
            </w:pPr>
            <w:r>
              <w:t xml:space="preserve">Dos estudiantes de maestría en el equipo</w:t>
            </w:r>
          </w:p>
        </w:tc>
        <w:tc>
          <w:tcPr/>
          <w:p>
            <w:pPr>
              <w:pStyle w:val="Tabla9"/>
              <w:jc w:val="left"/>
            </w:pPr>
            <w:r>
              <w:t xml:space="preserve">—</w:t>
            </w:r>
          </w:p>
        </w:tc>
        <w:tc>
          <w:tcPr/>
          <w:p>
            <w:pPr>
              <w:pStyle w:val="Tabla9"/>
              <w:jc w:val="left"/>
            </w:pPr>
            <w:r>
              <w:t xml:space="preserve">Servicio de apoyo financiero para la formación de maestría, modalidad de investigación</w:t>
            </w:r>
          </w:p>
        </w:tc>
        <w:tc>
          <w:tcPr/>
          <w:p>
            <w:pPr>
              <w:pStyle w:val="Tabla9"/>
              <w:jc w:val="left"/>
            </w:pPr>
            <w:r>
              <w:t xml:space="preserve">PROPUESTO</w:t>
            </w:r>
          </w:p>
        </w:tc>
      </w:tr>
      <w:tr>
        <w:trPr>
          <w:cantSplit/>
        </w:trPr>
        <w:tc>
          <w:tcPr/>
          <w:p>
            <w:pPr>
              <w:pStyle w:val="Tabla9"/>
              <w:jc w:val="left"/>
            </w:pPr>
            <w:r>
              <w:t xml:space="preserve">Líneas P01 (jóvenes)</w:t>
            </w:r>
          </w:p>
        </w:tc>
        <w:tc>
          <w:tcPr/>
          <w:p>
            <w:pPr>
              <w:pStyle w:val="Tabla9"/>
              <w:jc w:val="left"/>
            </w:pPr>
            <w:r>
              <w:t xml:space="preserve">Seis jóvenes investigadores en el equipo</w:t>
            </w:r>
          </w:p>
        </w:tc>
        <w:tc>
          <w:tcPr/>
          <w:p>
            <w:pPr>
              <w:pStyle w:val="Tabla9"/>
              <w:jc w:val="left"/>
            </w:pPr>
            <w:r>
              <w:t xml:space="preserve">—</w:t>
            </w:r>
          </w:p>
        </w:tc>
        <w:tc>
          <w:tcPr/>
          <w:p>
            <w:pPr>
              <w:pStyle w:val="Tabla9"/>
              <w:jc w:val="left"/>
            </w:pPr>
            <w:r>
              <w:t xml:space="preserve">Servicio de apoyo financiero para el fortalecimiento de las vocaciones científicas en CTI</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el Anexo 2 (sección 20) y los indicadores de la ficha maestra. La lista de productos MGA es la que reproduce el Anexo 2; el catálogo completo no se aportó. El MMG de 2021 y el catálogo MGA son clasificaciones distintas y no se igualan. NO_VERIFICADO.</w:t>
      </w:r>
    </w:p>
    <w:p>
      <w:pPr>
        <w:pStyle w:val="BodyText"/>
      </w:pPr>
      <w:r>
        <w:t xml:space="preserve">La Tabla 20.17 convierte el registro de riesgos del capítulo 10 al formato del Anexo 2. La conversión usa una regla simple. La probabilidad 1 es rara, la 2 es improbable y de 3 en adelante es probable. El impacto 4 o 5 es mayor, el 3 es moderado y de 1 a 2 es menor. La regla es PROPUESTO y pierde la resolución de la escala de cinco niveles. El tipo de riesgo se asigna por la naturaleza de la causa.</w:t>
      </w:r>
    </w:p>
    <w:p>
      <w:pPr>
        <w:pStyle w:val="TablaRotulo"/>
      </w:pPr>
      <w:bookmarkStart w:id="9407" w:name="rot_Tabla_20_17"/>
      <w:r>
        <w:rPr>
          <w:b/>
          <w:bCs/>
        </w:rPr>
        <w:t xml:space="preserve">Tabla 20.17</w:t>
      </w:r>
      <w:bookmarkEnd w:id="9407"/>
    </w:p>
    <w:p>
      <w:pPr>
        <w:pStyle w:val="TablaTitulo"/>
      </w:pPr>
      <w:r>
        <w:rPr>
          <w:i/>
          <w:iCs/>
        </w:rPr>
        <w:t xml:space="preserve">Registro de riesgos convertido al formato del Anexo 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22"/>
        <w:gridCol w:w="1452"/>
        <w:gridCol w:w="1518"/>
        <w:gridCol w:w="1320"/>
        <w:gridCol w:w="924"/>
        <w:gridCol w:w="1584"/>
      </w:tblGrid>
      <w:tr>
        <w:trPr>
          <w:cantSplit/>
          <w:tblHeader/>
        </w:trPr>
        <w:tc>
          <w:tcPr>
            <w:shd w:val="clear" w:color="auto" w:fill="00B050"/>
          </w:tcPr>
          <w:p>
            <w:pPr>
              <w:pStyle w:val="Tabla9"/>
              <w:jc w:val="center"/>
            </w:pPr>
            <w:r>
              <w:rPr>
                <w:b/>
                <w:color w:val="FFFFFF"/>
              </w:rPr>
              <w:t xml:space="preserve">Riesgo</w:t>
            </w:r>
          </w:p>
        </w:tc>
        <w:tc>
          <w:tcPr>
            <w:shd w:val="clear" w:color="auto" w:fill="00B050"/>
          </w:tcPr>
          <w:p>
            <w:pPr>
              <w:pStyle w:val="Tabla9"/>
              <w:jc w:val="center"/>
            </w:pPr>
            <w:r>
              <w:rPr>
                <w:b/>
                <w:color w:val="FFFFFF"/>
              </w:rPr>
              <w:t xml:space="preserve">Tipo (Anexo 2)</w:t>
            </w:r>
          </w:p>
        </w:tc>
        <w:tc>
          <w:tcPr>
            <w:shd w:val="clear" w:color="auto" w:fill="00B050"/>
          </w:tcPr>
          <w:p>
            <w:pPr>
              <w:pStyle w:val="Tabla9"/>
              <w:jc w:val="center"/>
            </w:pPr>
            <w:r>
              <w:rPr>
                <w:b/>
                <w:color w:val="FFFFFF"/>
              </w:rPr>
              <w:t xml:space="preserve">Descripción</w:t>
            </w:r>
          </w:p>
        </w:tc>
        <w:tc>
          <w:tcPr>
            <w:shd w:val="clear" w:color="auto" w:fill="00B050"/>
          </w:tcPr>
          <w:p>
            <w:pPr>
              <w:pStyle w:val="Tabla9"/>
              <w:jc w:val="center"/>
            </w:pPr>
            <w:r>
              <w:rPr>
                <w:b/>
                <w:color w:val="FFFFFF"/>
              </w:rPr>
              <w:t xml:space="preserve">Probabilidad</w:t>
            </w:r>
          </w:p>
        </w:tc>
        <w:tc>
          <w:tcPr>
            <w:shd w:val="clear" w:color="auto" w:fill="00B050"/>
          </w:tcPr>
          <w:p>
            <w:pPr>
              <w:pStyle w:val="Tabla9"/>
              <w:jc w:val="center"/>
            </w:pPr>
            <w:r>
              <w:rPr>
                <w:b/>
                <w:color w:val="FFFFFF"/>
              </w:rPr>
              <w:t xml:space="preserve">Impacto</w:t>
            </w:r>
          </w:p>
        </w:tc>
        <w:tc>
          <w:tcPr>
            <w:shd w:val="clear" w:color="auto" w:fill="00B050"/>
          </w:tcPr>
          <w:p>
            <w:pPr>
              <w:pStyle w:val="Tabla9"/>
              <w:jc w:val="center"/>
            </w:pPr>
            <w:r>
              <w:rPr>
                <w:b/>
                <w:color w:val="FFFFFF"/>
              </w:rPr>
              <w:t xml:space="preserve">Medida de mitigación</w:t>
            </w:r>
          </w:p>
        </w:tc>
      </w:tr>
      <w:tr>
        <w:trPr>
          <w:cantSplit/>
        </w:trPr>
        <w:tc>
          <w:tcPr/>
          <w:p>
            <w:pPr>
              <w:pStyle w:val="Tabla9"/>
              <w:jc w:val="left"/>
            </w:pPr>
            <w:r>
              <w:t xml:space="preserve">R-TEC-01</w:t>
            </w:r>
          </w:p>
        </w:tc>
        <w:tc>
          <w:tcPr/>
          <w:p>
            <w:pPr>
              <w:pStyle w:val="Tabla9"/>
              <w:jc w:val="left"/>
            </w:pPr>
            <w:r>
              <w:t xml:space="preserve">Operacionales</w:t>
            </w:r>
          </w:p>
        </w:tc>
        <w:tc>
          <w:tcPr/>
          <w:p>
            <w:pPr>
              <w:pStyle w:val="Tabla9"/>
              <w:jc w:val="left"/>
            </w:pPr>
            <w:r>
              <w:t xml:space="preserve">La humedad y el polvo saturan los cabezales ópticos y sesgan PM2,5 y PM10.</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Modelo de corrección por humedad, banco de calibración y reposición de cabezales.</w:t>
            </w:r>
          </w:p>
        </w:tc>
      </w:tr>
      <w:tr>
        <w:trPr>
          <w:cantSplit/>
        </w:trPr>
        <w:tc>
          <w:tcPr/>
          <w:p>
            <w:pPr>
              <w:pStyle w:val="Tabla9"/>
              <w:jc w:val="left"/>
            </w:pPr>
            <w:r>
              <w:t xml:space="preserve">R-TEC-02</w:t>
            </w:r>
          </w:p>
        </w:tc>
        <w:tc>
          <w:tcPr/>
          <w:p>
            <w:pPr>
              <w:pStyle w:val="Tabla9"/>
              <w:jc w:val="left"/>
            </w:pPr>
            <w:r>
              <w:t xml:space="preserve">Operacionales</w:t>
            </w:r>
          </w:p>
        </w:tc>
        <w:tc>
          <w:tcPr/>
          <w:p>
            <w:pPr>
              <w:pStyle w:val="Tabla9"/>
              <w:jc w:val="left"/>
            </w:pPr>
            <w:r>
              <w:t xml:space="preserve">Las baterías se agotan antes de 14 días sin sol y los nodos dejan de transmitir.</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Kits solares dimensionados, modo de bajo consumo y repuestos de batería.</w:t>
            </w:r>
          </w:p>
        </w:tc>
      </w:tr>
      <w:tr>
        <w:trPr>
          <w:cantSplit/>
        </w:trPr>
        <w:tc>
          <w:tcPr/>
          <w:p>
            <w:pPr>
              <w:pStyle w:val="Tabla9"/>
              <w:jc w:val="left"/>
            </w:pPr>
            <w:r>
              <w:t xml:space="preserve">R-TEC-03</w:t>
            </w:r>
          </w:p>
        </w:tc>
        <w:tc>
          <w:tcPr/>
          <w:p>
            <w:pPr>
              <w:pStyle w:val="Tabla9"/>
              <w:jc w:val="left"/>
            </w:pPr>
            <w:r>
              <w:t xml:space="preserve">Operacionales</w:t>
            </w:r>
          </w:p>
        </w:tc>
        <w:tc>
          <w:tcPr/>
          <w:p>
            <w:pPr>
              <w:pStyle w:val="Tabla9"/>
              <w:jc w:val="left"/>
            </w:pPr>
            <w:r>
              <w:t xml:space="preserve">La red celular falla en el sitio y los gateways pierden el enlace con la nube.</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Enlace satelital de respaldo y almacenamiento local de 7 días.</w:t>
            </w:r>
          </w:p>
        </w:tc>
      </w:tr>
      <w:tr>
        <w:trPr>
          <w:cantSplit/>
        </w:trPr>
        <w:tc>
          <w:tcPr/>
          <w:p>
            <w:pPr>
              <w:pStyle w:val="Tabla9"/>
              <w:jc w:val="left"/>
            </w:pPr>
            <w:r>
              <w:t xml:space="preserve">R-TEC-04</w:t>
            </w:r>
          </w:p>
        </w:tc>
        <w:tc>
          <w:tcPr/>
          <w:p>
            <w:pPr>
              <w:pStyle w:val="Tabla9"/>
              <w:jc w:val="left"/>
            </w:pPr>
            <w:r>
              <w:t xml:space="preserve">Operacionales</w:t>
            </w:r>
          </w:p>
        </w:tc>
        <w:tc>
          <w:tcPr/>
          <w:p>
            <w:pPr>
              <w:pStyle w:val="Tabla9"/>
              <w:jc w:val="left"/>
            </w:pPr>
            <w:r>
              <w:t xml:space="preserve">El modelo de corrección no generaliza entre departamentos.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Validación cruzada por departamento y reentrenamiento por tramo.</w:t>
            </w:r>
          </w:p>
        </w:tc>
      </w:tr>
      <w:tr>
        <w:trPr>
          <w:cantSplit/>
        </w:trPr>
        <w:tc>
          <w:tcPr/>
          <w:p>
            <w:pPr>
              <w:pStyle w:val="Tabla9"/>
              <w:jc w:val="left"/>
            </w:pPr>
            <w:r>
              <w:t xml:space="preserve">R-ORG-01</w:t>
            </w:r>
          </w:p>
        </w:tc>
        <w:tc>
          <w:tcPr/>
          <w:p>
            <w:pPr>
              <w:pStyle w:val="Tabla9"/>
              <w:jc w:val="left"/>
            </w:pPr>
            <w:r>
              <w:t xml:space="preserve">Operacionales</w:t>
            </w:r>
          </w:p>
        </w:tc>
        <w:tc>
          <w:tcPr/>
          <w:p>
            <w:pPr>
              <w:pStyle w:val="Tabla9"/>
              <w:jc w:val="left"/>
            </w:pPr>
            <w:r>
              <w:t xml:space="preserve">Los comités de gestión del riesgo no adoptan el tablero ni el protocolo.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Co-diseño de umbrales, formación por comité y uso piloto con registro de decisiones.</w:t>
            </w:r>
          </w:p>
        </w:tc>
      </w:tr>
      <w:tr>
        <w:trPr>
          <w:cantSplit/>
        </w:trPr>
        <w:tc>
          <w:tcPr/>
          <w:p>
            <w:pPr>
              <w:pStyle w:val="Tabla9"/>
              <w:jc w:val="left"/>
            </w:pPr>
            <w:r>
              <w:t xml:space="preserve">R-ORG-02</w:t>
            </w:r>
          </w:p>
        </w:tc>
        <w:tc>
          <w:tcPr/>
          <w:p>
            <w:pPr>
              <w:pStyle w:val="Tabla9"/>
              <w:jc w:val="left"/>
            </w:pPr>
            <w:r>
              <w:t xml:space="preserve">Financieros</w:t>
            </w:r>
          </w:p>
        </w:tc>
        <w:tc>
          <w:tcPr/>
          <w:p>
            <w:pPr>
              <w:pStyle w:val="Tabla9"/>
              <w:jc w:val="left"/>
            </w:pPr>
            <w:r>
              <w:t xml:space="preserve">Los custodios no asumen la operación en el posproyecto.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Convenios por tramo, formación de custodios y cláusula de apertura.</w:t>
            </w:r>
          </w:p>
        </w:tc>
      </w:tr>
      <w:tr>
        <w:trPr>
          <w:cantSplit/>
        </w:trPr>
        <w:tc>
          <w:tcPr/>
          <w:p>
            <w:pPr>
              <w:pStyle w:val="Tabla9"/>
              <w:jc w:val="left"/>
            </w:pPr>
            <w:r>
              <w:t xml:space="preserve">R-EXT-01</w:t>
            </w:r>
          </w:p>
        </w:tc>
        <w:tc>
          <w:tcPr/>
          <w:p>
            <w:pPr>
              <w:pStyle w:val="Tabla9"/>
              <w:jc w:val="left"/>
            </w:pPr>
            <w:r>
              <w:t xml:space="preserve">De calendario</w:t>
            </w:r>
          </w:p>
        </w:tc>
        <w:tc>
          <w:tcPr/>
          <w:p>
            <w:pPr>
              <w:pStyle w:val="Tabla9"/>
              <w:jc w:val="left"/>
            </w:pPr>
            <w:r>
              <w:t xml:space="preserve">Deslizamientos o réplicas bloquean vías y retrasan la instalación.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Instalación en ventanas secas, técnicos locales y holgura en el cronograma.</w:t>
            </w:r>
          </w:p>
        </w:tc>
      </w:tr>
      <w:tr>
        <w:trPr>
          <w:cantSplit/>
        </w:trPr>
        <w:tc>
          <w:tcPr/>
          <w:p>
            <w:pPr>
              <w:pStyle w:val="Tabla9"/>
              <w:jc w:val="left"/>
            </w:pPr>
            <w:r>
              <w:t xml:space="preserve">R-EXT-02</w:t>
            </w:r>
          </w:p>
        </w:tc>
        <w:tc>
          <w:tcPr/>
          <w:p>
            <w:pPr>
              <w:pStyle w:val="Tabla9"/>
              <w:jc w:val="left"/>
            </w:pPr>
            <w:r>
              <w:t xml:space="preserve">Operacionales</w:t>
            </w:r>
          </w:p>
        </w:tc>
        <w:tc>
          <w:tcPr/>
          <w:p>
            <w:pPr>
              <w:pStyle w:val="Tabla9"/>
              <w:jc w:val="left"/>
            </w:pPr>
            <w:r>
              <w:t xml:space="preserve">Robo o vandalismo de nodos en sitios de remoción.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Cerramientos, custodia local por sitio y seguro de equipos de la entidad ejecutora, fuera del presupuesto SGR.</w:t>
            </w:r>
          </w:p>
        </w:tc>
      </w:tr>
      <w:tr>
        <w:trPr>
          <w:cantSplit/>
        </w:trPr>
        <w:tc>
          <w:tcPr/>
          <w:p>
            <w:pPr>
              <w:pStyle w:val="Tabla9"/>
              <w:jc w:val="left"/>
            </w:pPr>
            <w:r>
              <w:t xml:space="preserve">R-FIN-01</w:t>
            </w:r>
          </w:p>
        </w:tc>
        <w:tc>
          <w:tcPr/>
          <w:p>
            <w:pPr>
              <w:pStyle w:val="Tabla9"/>
              <w:jc w:val="left"/>
            </w:pPr>
            <w:r>
              <w:t xml:space="preserve">De costos</w:t>
            </w:r>
          </w:p>
        </w:tc>
        <w:tc>
          <w:tcPr/>
          <w:p>
            <w:pPr>
              <w:pStyle w:val="Tabla9"/>
              <w:jc w:val="left"/>
            </w:pPr>
            <w:r>
              <w:t xml:space="preserve">La devaluación del peso encarece los equipos importados.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Compra por tramo con cobertura cambiaria y cotizaciones vigentes.</w:t>
            </w:r>
          </w:p>
        </w:tc>
      </w:tr>
      <w:tr>
        <w:trPr>
          <w:cantSplit/>
        </w:trPr>
        <w:tc>
          <w:tcPr/>
          <w:p>
            <w:pPr>
              <w:pStyle w:val="Tabla9"/>
              <w:jc w:val="left"/>
            </w:pPr>
            <w:r>
              <w:t xml:space="preserve">R-FIN-02</w:t>
            </w:r>
          </w:p>
        </w:tc>
        <w:tc>
          <w:tcPr/>
          <w:p>
            <w:pPr>
              <w:pStyle w:val="Tabla9"/>
              <w:jc w:val="left"/>
            </w:pPr>
            <w:r>
              <w:t xml:space="preserve">Financieros</w:t>
            </w:r>
          </w:p>
        </w:tc>
        <w:tc>
          <w:tcPr/>
          <w:p>
            <w:pPr>
              <w:pStyle w:val="Tabla9"/>
              <w:jc w:val="left"/>
            </w:pPr>
            <w:r>
              <w:t xml:space="preserve">La contrapartida en especie no se certifica a tiempo.</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Certificación de la IES y de la empresa antes del acta de inicio.</w:t>
            </w:r>
          </w:p>
        </w:tc>
      </w:tr>
      <w:tr>
        <w:trPr>
          <w:cantSplit/>
        </w:trPr>
        <w:tc>
          <w:tcPr/>
          <w:p>
            <w:pPr>
              <w:pStyle w:val="Tabla9"/>
              <w:jc w:val="left"/>
            </w:pPr>
            <w:r>
              <w:t xml:space="preserve">R-JUR-01</w:t>
            </w:r>
          </w:p>
        </w:tc>
        <w:tc>
          <w:tcPr/>
          <w:p>
            <w:pPr>
              <w:pStyle w:val="Tabla9"/>
              <w:jc w:val="left"/>
            </w:pPr>
            <w:r>
              <w:t xml:space="preserve">Legales</w:t>
            </w:r>
          </w:p>
        </w:tc>
        <w:tc>
          <w:tcPr/>
          <w:p>
            <w:pPr>
              <w:pStyle w:val="Tabla9"/>
              <w:jc w:val="left"/>
            </w:pPr>
            <w:r>
              <w:t xml:space="preserve">Una solicitud de patente de terceros afecta la libertad de operación.</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Análisis de libertad de operación y diseño alternativo del módulo afectado.</w:t>
            </w:r>
          </w:p>
        </w:tc>
      </w:tr>
      <w:tr>
        <w:trPr>
          <w:cantSplit/>
        </w:trPr>
        <w:tc>
          <w:tcPr/>
          <w:p>
            <w:pPr>
              <w:pStyle w:val="Tabla9"/>
              <w:jc w:val="left"/>
            </w:pPr>
            <w:r>
              <w:t xml:space="preserve">R-DAT-01</w:t>
            </w:r>
          </w:p>
        </w:tc>
        <w:tc>
          <w:tcPr/>
          <w:p>
            <w:pPr>
              <w:pStyle w:val="Tabla9"/>
              <w:jc w:val="left"/>
            </w:pPr>
            <w:r>
              <w:t xml:space="preserve">Operacionales</w:t>
            </w:r>
          </w:p>
        </w:tc>
        <w:tc>
          <w:tcPr/>
          <w:p>
            <w:pPr>
              <w:pStyle w:val="Tabla9"/>
              <w:jc w:val="left"/>
            </w:pPr>
            <w:r>
              <w:t xml:space="preserve">Un incidente de ciberseguridad compromete la plataforma.</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Pruebas de penetración, segmentación y copias de respaldo.</w:t>
            </w:r>
          </w:p>
        </w:tc>
      </w:tr>
    </w:tbl>
    <w:p>
      <w:pPr>
        <w:pStyle w:val="TablaNota"/>
      </w:pPr>
      <w:r>
        <w:rPr>
          <w:i/>
          <w:iCs/>
        </w:rPr>
        <w:t xml:space="preserve">Nota.</w:t>
      </w:r>
      <w:r>
        <w:t xml:space="preserve"> </w:t>
      </w:r>
      <w:r>
        <w:t xml:space="preserve">Elaboración propia con datos de maestro.py (RIESGOS) y el Anexo 2 (sección 22). Probabilidad y impacto convertidos desde la escala de 1 a 5: probabilidad 1 rara, 2 improbable, 3 a 5 probable; impacto 4 y 5 mayor, 3 moderado, 1 y 2 menor. Los tipos son operacionales, administrativos, sanitarios, legales, financieros, de costos y de calendario. El registro no incluye un riesgo sanitario.</w:t>
      </w:r>
    </w:p>
    <w:p>
      <w:pPr>
        <w:pStyle w:val="BodyText"/>
      </w:pPr>
      <w:r>
        <w:t xml:space="preserve">La Tabla 20.18 cubre la sección 27 del Anexo 2. Lista los permisos y licencias que el diseño podría requerir. Ninguno se verificó con una autoridad. La lista identifica los que probablemente aplican, los que probablemente no aplican y la acción de verificación. El documento no afirma que un permiso exista o no exista.</w:t>
      </w:r>
    </w:p>
    <w:p>
      <w:pPr>
        <w:pStyle w:val="TablaRotulo"/>
      </w:pPr>
      <w:bookmarkStart w:id="9408" w:name="rot_Tabla_20_18"/>
      <w:r>
        <w:rPr>
          <w:b/>
          <w:bCs/>
        </w:rPr>
        <w:t xml:space="preserve">Tabla 20.18</w:t>
      </w:r>
      <w:bookmarkEnd w:id="9408"/>
    </w:p>
    <w:p>
      <w:pPr>
        <w:pStyle w:val="TablaTitulo"/>
      </w:pPr>
      <w:r>
        <w:rPr>
          <w:i/>
          <w:iCs/>
        </w:rPr>
        <w:t xml:space="preserve">Licencias y permisos identificados con su acción de verificación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12"/>
        <w:gridCol w:w="1650"/>
        <w:gridCol w:w="1848"/>
        <w:gridCol w:w="2310"/>
      </w:tblGrid>
      <w:tr>
        <w:trPr>
          <w:cantSplit/>
          <w:tblHeader/>
        </w:trPr>
        <w:tc>
          <w:tcPr>
            <w:shd w:val="clear" w:color="auto" w:fill="00B050"/>
          </w:tcPr>
          <w:p>
            <w:pPr>
              <w:pStyle w:val="Tabla9"/>
              <w:jc w:val="center"/>
            </w:pPr>
            <w:r>
              <w:rPr>
                <w:b/>
                <w:color w:val="FFFFFF"/>
              </w:rPr>
              <w:t xml:space="preserve">Requisito</w:t>
            </w:r>
          </w:p>
        </w:tc>
        <w:tc>
          <w:tcPr>
            <w:shd w:val="clear" w:color="auto" w:fill="00B050"/>
          </w:tcPr>
          <w:p>
            <w:pPr>
              <w:pStyle w:val="Tabla9"/>
              <w:jc w:val="center"/>
            </w:pPr>
            <w:r>
              <w:rPr>
                <w:b/>
                <w:color w:val="FFFFFF"/>
              </w:rPr>
              <w:t xml:space="preserve">Origen en el proyecto</w:t>
            </w:r>
          </w:p>
        </w:tc>
        <w:tc>
          <w:tcPr>
            <w:shd w:val="clear" w:color="auto" w:fill="00B050"/>
          </w:tcPr>
          <w:p>
            <w:pPr>
              <w:pStyle w:val="Tabla9"/>
              <w:jc w:val="center"/>
            </w:pPr>
            <w:r>
              <w:rPr>
                <w:b/>
                <w:color w:val="FFFFFF"/>
              </w:rPr>
              <w:t xml:space="preserve">Acción de verificación</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Uso del espectro radioeléctrico para LoRa y enlace satelital</w:t>
            </w:r>
          </w:p>
        </w:tc>
        <w:tc>
          <w:tcPr/>
          <w:p>
            <w:pPr>
              <w:pStyle w:val="Tabla9"/>
              <w:jc w:val="left"/>
            </w:pPr>
            <w:r>
              <w:t xml:space="preserve">Operación de los nodos y los gateways</w:t>
            </w:r>
          </w:p>
        </w:tc>
        <w:tc>
          <w:tcPr/>
          <w:p>
            <w:pPr>
              <w:pStyle w:val="Tabla9"/>
              <w:jc w:val="left"/>
            </w:pPr>
            <w:r>
              <w:t xml:space="preserve">Verificar las condiciones de uso de bandas con la autoridad competente</w:t>
            </w:r>
          </w:p>
        </w:tc>
        <w:tc>
          <w:tcPr/>
          <w:p>
            <w:pPr>
              <w:pStyle w:val="Tabla9"/>
              <w:jc w:val="left"/>
            </w:pPr>
            <w:r>
              <w:t xml:space="preserve">NO_VERIFICADO</w:t>
            </w:r>
          </w:p>
        </w:tc>
      </w:tr>
      <w:tr>
        <w:trPr>
          <w:cantSplit/>
        </w:trPr>
        <w:tc>
          <w:tcPr/>
          <w:p>
            <w:pPr>
              <w:pStyle w:val="Tabla9"/>
              <w:jc w:val="left"/>
            </w:pPr>
            <w:r>
              <w:t xml:space="preserve">Autorización de los propietarios o administradores de cada sitio</w:t>
            </w:r>
          </w:p>
        </w:tc>
        <w:tc>
          <w:tcPr/>
          <w:p>
            <w:pPr>
              <w:pStyle w:val="Tabla9"/>
              <w:jc w:val="left"/>
            </w:pPr>
            <w:r>
              <w:t xml:space="preserve">Instalación de 100 nodos y 10 gateways</w:t>
            </w:r>
          </w:p>
        </w:tc>
        <w:tc>
          <w:tcPr/>
          <w:p>
            <w:pPr>
              <w:pStyle w:val="Tabla9"/>
              <w:jc w:val="left"/>
            </w:pPr>
            <w:r>
              <w:t xml:space="preserve">Acta de autorización por sitio, firmada por el titular</w:t>
            </w:r>
          </w:p>
        </w:tc>
        <w:tc>
          <w:tcPr/>
          <w:p>
            <w:pPr>
              <w:pStyle w:val="Tabla9"/>
              <w:jc w:val="left"/>
            </w:pPr>
            <w:r>
              <w:t xml:space="preserve">PROPUESTO</w:t>
            </w:r>
          </w:p>
        </w:tc>
      </w:tr>
      <w:tr>
        <w:trPr>
          <w:cantSplit/>
        </w:trPr>
        <w:tc>
          <w:tcPr/>
          <w:p>
            <w:pPr>
              <w:pStyle w:val="Tabla9"/>
              <w:jc w:val="left"/>
            </w:pPr>
            <w:r>
              <w:t xml:space="preserve">Permisos municipales para mástiles y obra menor</w:t>
            </w:r>
          </w:p>
        </w:tc>
        <w:tc>
          <w:tcPr/>
          <w:p>
            <w:pPr>
              <w:pStyle w:val="Tabla9"/>
              <w:jc w:val="left"/>
            </w:pPr>
            <w:r>
              <w:t xml:space="preserve">Línea S05, instalación en sitio</w:t>
            </w:r>
          </w:p>
        </w:tc>
        <w:tc>
          <w:tcPr/>
          <w:p>
            <w:pPr>
              <w:pStyle w:val="Tabla9"/>
              <w:jc w:val="left"/>
            </w:pPr>
            <w:r>
              <w:t xml:space="preserve">Verificar con cada alcaldía si se requiere licencia o permiso</w:t>
            </w:r>
          </w:p>
        </w:tc>
        <w:tc>
          <w:tcPr/>
          <w:p>
            <w:pPr>
              <w:pStyle w:val="Tabla9"/>
              <w:jc w:val="left"/>
            </w:pPr>
            <w:r>
              <w:t xml:space="preserve">NO_VERIFICADO</w:t>
            </w:r>
          </w:p>
        </w:tc>
      </w:tr>
      <w:tr>
        <w:trPr>
          <w:cantSplit/>
        </w:trPr>
        <w:tc>
          <w:tcPr/>
          <w:p>
            <w:pPr>
              <w:pStyle w:val="Tabla9"/>
              <w:jc w:val="left"/>
            </w:pPr>
            <w:r>
              <w:t xml:space="preserve">Nacionalización de equipos importados</w:t>
            </w:r>
          </w:p>
        </w:tc>
        <w:tc>
          <w:tcPr/>
          <w:p>
            <w:pPr>
              <w:pStyle w:val="Tabla9"/>
              <w:jc w:val="left"/>
            </w:pPr>
            <w:r>
              <w:t xml:space="preserve">Línea S11, tres lotes</w:t>
            </w:r>
          </w:p>
        </w:tc>
        <w:tc>
          <w:tcPr/>
          <w:p>
            <w:pPr>
              <w:pStyle w:val="Tabla9"/>
              <w:jc w:val="left"/>
            </w:pPr>
            <w:r>
              <w:t xml:space="preserve">Declaración y trámite aduanero con el agente designado</w:t>
            </w:r>
          </w:p>
        </w:tc>
        <w:tc>
          <w:tcPr/>
          <w:p>
            <w:pPr>
              <w:pStyle w:val="Tabla9"/>
              <w:jc w:val="left"/>
            </w:pPr>
            <w:r>
              <w:t xml:space="preserve">PROPUESTO</w:t>
            </w:r>
          </w:p>
        </w:tc>
      </w:tr>
      <w:tr>
        <w:trPr>
          <w:cantSplit/>
        </w:trPr>
        <w:tc>
          <w:tcPr/>
          <w:p>
            <w:pPr>
              <w:pStyle w:val="Tabla9"/>
              <w:jc w:val="left"/>
            </w:pPr>
            <w:r>
              <w:t xml:space="preserve">Protección de datos personales</w:t>
            </w:r>
          </w:p>
        </w:tc>
        <w:tc>
          <w:tcPr/>
          <w:p>
            <w:pPr>
              <w:pStyle w:val="Tabla9"/>
              <w:jc w:val="left"/>
            </w:pPr>
            <w:r>
              <w:t xml:space="preserve">Talleres, encuestas y ubicaciones de nodos</w:t>
            </w:r>
          </w:p>
        </w:tc>
        <w:tc>
          <w:tcPr/>
          <w:p>
            <w:pPr>
              <w:pStyle w:val="Tabla9"/>
              <w:jc w:val="left"/>
            </w:pPr>
            <w:r>
              <w:t xml:space="preserve">Cumplimiento de la Ley 1581 de 2012; evaluar el registro de bases de datos</w:t>
            </w:r>
          </w:p>
        </w:tc>
        <w:tc>
          <w:tcPr/>
          <w:p>
            <w:pPr>
              <w:pStyle w:val="Tabla9"/>
              <w:jc w:val="left"/>
            </w:pPr>
            <w:r>
              <w:t xml:space="preserve">PROPUESTO</w:t>
            </w:r>
          </w:p>
        </w:tc>
      </w:tr>
      <w:tr>
        <w:trPr>
          <w:cantSplit/>
        </w:trPr>
        <w:tc>
          <w:tcPr/>
          <w:p>
            <w:pPr>
              <w:pStyle w:val="Tabla9"/>
              <w:jc w:val="left"/>
            </w:pPr>
            <w:r>
              <w:t xml:space="preserve">Consentimiento informado</w:t>
            </w:r>
          </w:p>
        </w:tc>
        <w:tc>
          <w:tcPr/>
          <w:p>
            <w:pPr>
              <w:pStyle w:val="Tabla9"/>
              <w:jc w:val="left"/>
            </w:pPr>
            <w:r>
              <w:t xml:space="preserve">29 actividades de apropiación social</w:t>
            </w:r>
          </w:p>
        </w:tc>
        <w:tc>
          <w:tcPr/>
          <w:p>
            <w:pPr>
              <w:pStyle w:val="Tabla9"/>
              <w:jc w:val="left"/>
            </w:pPr>
            <w:r>
              <w:t xml:space="preserve">Formulario del anexo F por participante</w:t>
            </w:r>
          </w:p>
        </w:tc>
        <w:tc>
          <w:tcPr/>
          <w:p>
            <w:pPr>
              <w:pStyle w:val="Tabla9"/>
              <w:jc w:val="left"/>
            </w:pPr>
            <w:r>
              <w:t xml:space="preserve">PROPUESTO</w:t>
            </w:r>
          </w:p>
        </w:tc>
      </w:tr>
      <w:tr>
        <w:trPr>
          <w:cantSplit/>
        </w:trPr>
        <w:tc>
          <w:tcPr/>
          <w:p>
            <w:pPr>
              <w:pStyle w:val="Tabla9"/>
              <w:jc w:val="left"/>
            </w:pPr>
            <w:r>
              <w:t xml:space="preserve">Consulta previa con comunidades étnicas</w:t>
            </w:r>
          </w:p>
        </w:tc>
        <w:tc>
          <w:tcPr/>
          <w:p>
            <w:pPr>
              <w:pStyle w:val="Tabla9"/>
              <w:jc w:val="left"/>
            </w:pPr>
            <w:r>
              <w:t xml:space="preserve">Sitios en territorios de comunidades</w:t>
            </w:r>
          </w:p>
        </w:tc>
        <w:tc>
          <w:tcPr/>
          <w:p>
            <w:pPr>
              <w:pStyle w:val="Tabla9"/>
              <w:jc w:val="left"/>
            </w:pPr>
            <w:r>
              <w:t xml:space="preserve">Verificar si algún sitio se ubica en territorio colectivo; hoy no se identifica</w:t>
            </w:r>
          </w:p>
        </w:tc>
        <w:tc>
          <w:tcPr/>
          <w:p>
            <w:pPr>
              <w:pStyle w:val="Tabla9"/>
              <w:jc w:val="left"/>
            </w:pPr>
            <w:r>
              <w:t xml:space="preserve">NO_VERIFICADO</w:t>
            </w:r>
          </w:p>
        </w:tc>
      </w:tr>
      <w:tr>
        <w:trPr>
          <w:cantSplit/>
        </w:trPr>
        <w:tc>
          <w:tcPr/>
          <w:p>
            <w:pPr>
              <w:pStyle w:val="Tabla9"/>
              <w:jc w:val="left"/>
            </w:pPr>
            <w:r>
              <w:t xml:space="preserve">Licencia ambiental, acceso a recursos genéticos y colecciones biológicas</w:t>
            </w:r>
          </w:p>
        </w:tc>
        <w:tc>
          <w:tcPr/>
          <w:p>
            <w:pPr>
              <w:pStyle w:val="Tabla9"/>
              <w:jc w:val="left"/>
            </w:pPr>
            <w:r>
              <w:t xml:space="preserve">No aplica a una red de sensores de partículas</w:t>
            </w:r>
          </w:p>
        </w:tc>
        <w:tc>
          <w:tcPr/>
          <w:p>
            <w:pPr>
              <w:pStyle w:val="Tabla9"/>
              <w:jc w:val="left"/>
            </w:pPr>
            <w:r>
              <w:t xml:space="preserve">Confirmar la no aplicabilidad con la autoridad ambiental</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Anexo 2 (sección 27) y el diseño del proyecto. Todos los requisitos son PROPUESTO o NO_VERIFICADO. La Ley 1581 de 2012 está en el banco de referencias; las demás normas no se citan porque no se verificaron [DATO_USUARIO: normativa vigente de espectro y de permisos locales].</w:t>
      </w:r>
    </w:p>
    <w:p>
      <w:pPr>
        <w:pStyle w:val="BodyText"/>
      </w:pPr>
      <w:r>
        <w:t xml:space="preserve">El cruce produjo ocho hallazgos que el Anexo 2 hace visibles y que la primera entrega no podía ver. La Tabla 20.19 los lista con su efecto y su ruta de solución. Dos son de fondo y seis son de forma. Los de fondo son la madurez tecnológica y el mínimo de recursos de transferencia. En el segundo, las líneas de propiedad intelectual suman 60,0 millones de COP, equivalentes a 0,69 % del valor solicitado. Con la formación de custodios, línea S09, la suma sube a 210,0 millones, es decir, 2,41 % del SGR y 1,94 % del total.</w:t>
      </w:r>
    </w:p>
    <w:p>
      <w:pPr>
        <w:pStyle w:val="TablaRotulo"/>
      </w:pPr>
      <w:bookmarkStart w:id="9409" w:name="rot_Tabla_20_19"/>
      <w:r>
        <w:rPr>
          <w:b/>
          <w:bCs/>
        </w:rPr>
        <w:t xml:space="preserve">Tabla 20.19</w:t>
      </w:r>
      <w:bookmarkEnd w:id="9409"/>
    </w:p>
    <w:p>
      <w:pPr>
        <w:pStyle w:val="TablaTitulo"/>
      </w:pPr>
      <w:r>
        <w:rPr>
          <w:i/>
          <w:iCs/>
        </w:rPr>
        <w:t xml:space="preserve">Hallazgos de cumplimiento derivados del Anexo 2 y ruta de solución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458"/>
        <w:gridCol w:w="1767"/>
        <w:gridCol w:w="1701"/>
        <w:gridCol w:w="1701"/>
        <w:gridCol w:w="2290"/>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Tema</w:t>
            </w:r>
          </w:p>
        </w:tc>
        <w:tc>
          <w:tcPr>
            <w:shd w:val="clear" w:color="auto" w:fill="00B050"/>
          </w:tcPr>
          <w:p>
            <w:pPr>
              <w:pStyle w:val="Tabla9"/>
              <w:jc w:val="center"/>
            </w:pPr>
            <w:r>
              <w:rPr>
                <w:b/>
                <w:color w:val="FFFFFF"/>
              </w:rPr>
              <w:t xml:space="preserve">Hallazgo</w:t>
            </w:r>
          </w:p>
        </w:tc>
        <w:tc>
          <w:tcPr>
            <w:shd w:val="clear" w:color="auto" w:fill="00B050"/>
          </w:tcPr>
          <w:p>
            <w:pPr>
              <w:pStyle w:val="Tabla9"/>
              <w:jc w:val="center"/>
            </w:pPr>
            <w:r>
              <w:rPr>
                <w:b/>
                <w:color w:val="FFFFFF"/>
              </w:rPr>
              <w:t xml:space="preserve">Efecto</w:t>
            </w:r>
          </w:p>
        </w:tc>
        <w:tc>
          <w:tcPr>
            <w:shd w:val="clear" w:color="auto" w:fill="00B050"/>
          </w:tcPr>
          <w:p>
            <w:pPr>
              <w:pStyle w:val="Tabla9"/>
              <w:jc w:val="center"/>
            </w:pPr>
            <w:r>
              <w:rPr>
                <w:b/>
                <w:color w:val="FFFFFF"/>
              </w:rPr>
              <w:t xml:space="preserve">Ruta de solución</w:t>
            </w:r>
          </w:p>
        </w:tc>
      </w:tr>
      <w:tr>
        <w:trPr>
          <w:cantSplit/>
        </w:trPr>
        <w:tc>
          <w:tcPr/>
          <w:p>
            <w:pPr>
              <w:pStyle w:val="Tabla9"/>
              <w:jc w:val="left"/>
            </w:pPr>
            <w:r>
              <w:t xml:space="preserve">G1</w:t>
            </w:r>
          </w:p>
        </w:tc>
        <w:tc>
          <w:tcPr/>
          <w:p>
            <w:pPr>
              <w:pStyle w:val="Tabla9"/>
              <w:jc w:val="left"/>
            </w:pPr>
            <w:r>
              <w:t xml:space="preserve">Madurez tecnológica</w:t>
            </w:r>
          </w:p>
        </w:tc>
        <w:tc>
          <w:tcPr/>
          <w:p>
            <w:pPr>
              <w:pStyle w:val="Tabla9"/>
              <w:jc w:val="left"/>
            </w:pPr>
            <w:r>
              <w:t xml:space="preserve">El Anexo 2 prioriza soluciones con TRL 9 que no dependan de fases posteriores. El proyecto compromete TRL 7 (DEC-F05) y condiciona el TRL 8 a una evaluación independiente. Además exige evidencias verificables del TRL de entrada, declarado como 4.</w:t>
            </w:r>
          </w:p>
        </w:tc>
        <w:tc>
          <w:tcPr/>
          <w:p>
            <w:pPr>
              <w:pStyle w:val="Tabla9"/>
              <w:jc w:val="left"/>
            </w:pPr>
            <w:r>
              <w:t xml:space="preserve">Alto: puede afectar la elegibilidad o el puntaje</w:t>
            </w:r>
          </w:p>
        </w:tc>
        <w:tc>
          <w:tcPr/>
          <w:p>
            <w:pPr>
              <w:pStyle w:val="Tabla9"/>
              <w:jc w:val="left"/>
            </w:pPr>
            <w:r>
              <w:t xml:space="preserve">Decidir con el usuario si se mantiene TRL 7 con justificación o se rediseña la ruta hacia TRL 8 o 9. Reunir evidencias del TRL 4 actual.</w:t>
            </w:r>
          </w:p>
        </w:tc>
      </w:tr>
      <w:tr>
        <w:trPr>
          <w:cantSplit/>
        </w:trPr>
        <w:tc>
          <w:tcPr/>
          <w:p>
            <w:pPr>
              <w:pStyle w:val="Tabla9"/>
              <w:jc w:val="left"/>
            </w:pPr>
            <w:r>
              <w:t xml:space="preserve">G2</w:t>
            </w:r>
          </w:p>
        </w:tc>
        <w:tc>
          <w:tcPr/>
          <w:p>
            <w:pPr>
              <w:pStyle w:val="Tabla9"/>
              <w:jc w:val="left"/>
            </w:pPr>
            <w:r>
              <w:t xml:space="preserve">Mínimo de transferencia</w:t>
            </w:r>
          </w:p>
        </w:tc>
        <w:tc>
          <w:tcPr/>
          <w:p>
            <w:pPr>
              <w:pStyle w:val="Tabla9"/>
              <w:jc w:val="left"/>
            </w:pPr>
            <w:r>
              <w:t xml:space="preserve">El componente exige 1 % o más del valor total asignado a transferencia, adopción y valoración. El mínimo equivale a 87,3 millones sobre el SGR o 108,4 millones sobre el total. Solo las líneas de propiedad intelectual suman 60,0 millones. Con S09 suman 210,0 millones.</w:t>
            </w:r>
          </w:p>
        </w:tc>
        <w:tc>
          <w:tcPr/>
          <w:p>
            <w:pPr>
              <w:pStyle w:val="Tabla9"/>
              <w:jc w:val="left"/>
            </w:pPr>
            <w:r>
              <w:t xml:space="preserve">Medio: depende de que la formación de custodios se admita como adopción</w:t>
            </w:r>
          </w:p>
        </w:tc>
        <w:tc>
          <w:tcPr/>
          <w:p>
            <w:pPr>
              <w:pStyle w:val="Tabla9"/>
              <w:jc w:val="left"/>
            </w:pPr>
            <w:r>
              <w:t xml:space="preserve">Redactar el plan de transferencia en el formato del Anexo 2 y rotular las líneas S02, O03 y S09 como componente de transferencia. Confirmar la base de cálculo con los términos de referencia.</w:t>
            </w:r>
          </w:p>
        </w:tc>
      </w:tr>
      <w:tr>
        <w:trPr>
          <w:cantSplit/>
        </w:trPr>
        <w:tc>
          <w:tcPr/>
          <w:p>
            <w:pPr>
              <w:pStyle w:val="Tabla9"/>
              <w:jc w:val="left"/>
            </w:pPr>
            <w:r>
              <w:t xml:space="preserve">G3</w:t>
            </w:r>
          </w:p>
        </w:tc>
        <w:tc>
          <w:tcPr/>
          <w:p>
            <w:pPr>
              <w:pStyle w:val="Tabla9"/>
              <w:jc w:val="left"/>
            </w:pPr>
            <w:r>
              <w:t xml:space="preserve">Administración y apoyo a la supervisión</w:t>
            </w:r>
          </w:p>
        </w:tc>
        <w:tc>
          <w:tcPr/>
          <w:p>
            <w:pPr>
              <w:pStyle w:val="Tabla9"/>
              <w:jc w:val="left"/>
            </w:pPr>
            <w:r>
              <w:t xml:space="preserve">El Anexo 2 exige una actividad con ese nombre en cada objetivo, coherente con la cadena de valor y el presupuesto. La red actual la tiene en WP0.</w:t>
            </w:r>
          </w:p>
        </w:tc>
        <w:tc>
          <w:tcPr/>
          <w:p>
            <w:pPr>
              <w:pStyle w:val="Tabla9"/>
              <w:jc w:val="left"/>
            </w:pPr>
            <w:r>
              <w:t xml:space="preserve">Medio: incumplimiento de forma</w:t>
            </w:r>
          </w:p>
        </w:tc>
        <w:tc>
          <w:tcPr/>
          <w:p>
            <w:pPr>
              <w:pStyle w:val="Tabla9"/>
              <w:jc w:val="left"/>
            </w:pPr>
            <w:r>
              <w:t xml:space="preserve">Dividir WP0 en tres actividades, una por objetivo, con valores que sumen las líneas de gerencia y administración.</w:t>
            </w:r>
          </w:p>
        </w:tc>
      </w:tr>
      <w:tr>
        <w:trPr>
          <w:cantSplit/>
        </w:trPr>
        <w:tc>
          <w:tcPr/>
          <w:p>
            <w:pPr>
              <w:pStyle w:val="Tabla9"/>
              <w:jc w:val="left"/>
            </w:pPr>
            <w:r>
              <w:t xml:space="preserve">G4</w:t>
            </w:r>
          </w:p>
        </w:tc>
        <w:tc>
          <w:tcPr/>
          <w:p>
            <w:pPr>
              <w:pStyle w:val="Tabla9"/>
              <w:jc w:val="left"/>
            </w:pPr>
            <w:r>
              <w:t xml:space="preserve">Afectación por la emergencia</w:t>
            </w:r>
          </w:p>
        </w:tc>
        <w:tc>
          <w:tcPr/>
          <w:p>
            <w:pPr>
              <w:pStyle w:val="Tabla9"/>
              <w:jc w:val="left"/>
            </w:pPr>
            <w:r>
              <w:t xml:space="preserve">El Anexo 2 exige municipios afectados por la emergencia y soporte oficial de la afectación. El territorio es un supuesto y no hay reportes oficiales.</w:t>
            </w:r>
          </w:p>
        </w:tc>
        <w:tc>
          <w:tcPr/>
          <w:p>
            <w:pPr>
              <w:pStyle w:val="Tabla9"/>
              <w:jc w:val="left"/>
            </w:pPr>
            <w:r>
              <w:t xml:space="preserve">Alto: es condición de la convocatoria</w:t>
            </w:r>
          </w:p>
        </w:tc>
        <w:tc>
          <w:tcPr/>
          <w:p>
            <w:pPr>
              <w:pStyle w:val="Tabla9"/>
              <w:jc w:val="left"/>
            </w:pPr>
            <w:r>
              <w:t xml:space="preserve">Aportar reportes oficiales y la lista de municipios afectados [DATO_USUARIO: municipios y reportes].</w:t>
            </w:r>
          </w:p>
        </w:tc>
      </w:tr>
      <w:tr>
        <w:trPr>
          <w:cantSplit/>
        </w:trPr>
        <w:tc>
          <w:tcPr/>
          <w:p>
            <w:pPr>
              <w:pStyle w:val="Tabla9"/>
              <w:jc w:val="left"/>
            </w:pPr>
            <w:r>
              <w:t xml:space="preserve">G5</w:t>
            </w:r>
          </w:p>
        </w:tc>
        <w:tc>
          <w:tcPr/>
          <w:p>
            <w:pPr>
              <w:pStyle w:val="Tabla9"/>
              <w:jc w:val="left"/>
            </w:pPr>
            <w:r>
              <w:t xml:space="preserve">Productos MGA</w:t>
            </w:r>
          </w:p>
        </w:tc>
        <w:tc>
          <w:tcPr/>
          <w:p>
            <w:pPr>
              <w:pStyle w:val="Tabla9"/>
              <w:jc w:val="left"/>
            </w:pPr>
            <w:r>
              <w:t xml:space="preserve">Los productos deben seleccionarse del catálogo MGA, sector 39, programa 3906, sin repetirlos. El documento usa el MMG de 2021.</w:t>
            </w:r>
          </w:p>
        </w:tc>
        <w:tc>
          <w:tcPr/>
          <w:p>
            <w:pPr>
              <w:pStyle w:val="Tabla9"/>
              <w:jc w:val="left"/>
            </w:pPr>
            <w:r>
              <w:t xml:space="preserve">Medio</w:t>
            </w:r>
          </w:p>
        </w:tc>
        <w:tc>
          <w:tcPr/>
          <w:p>
            <w:pPr>
              <w:pStyle w:val="Tabla9"/>
              <w:jc w:val="left"/>
            </w:pPr>
            <w:r>
              <w:t xml:space="preserve">Adoptar la Tabla 20.16 tras verificar el catálogo completo.</w:t>
            </w:r>
          </w:p>
        </w:tc>
      </w:tr>
      <w:tr>
        <w:trPr>
          <w:cantSplit/>
        </w:trPr>
        <w:tc>
          <w:tcPr/>
          <w:p>
            <w:pPr>
              <w:pStyle w:val="Tabla9"/>
              <w:jc w:val="left"/>
            </w:pPr>
            <w:r>
              <w:t xml:space="preserve">G6</w:t>
            </w:r>
          </w:p>
        </w:tc>
        <w:tc>
          <w:tcPr/>
          <w:p>
            <w:pPr>
              <w:pStyle w:val="Tabla9"/>
              <w:jc w:val="left"/>
            </w:pPr>
            <w:r>
              <w:t xml:space="preserve">Palabras clave</w:t>
            </w:r>
          </w:p>
        </w:tc>
        <w:tc>
          <w:tcPr/>
          <w:p>
            <w:pPr>
              <w:pStyle w:val="Tabla9"/>
              <w:jc w:val="left"/>
            </w:pPr>
            <w:r>
              <w:t xml:space="preserve">El Anexo 2 admite seis palabras. El Paso 1 propone siete.</w:t>
            </w:r>
          </w:p>
        </w:tc>
        <w:tc>
          <w:tcPr/>
          <w:p>
            <w:pPr>
              <w:pStyle w:val="Tabla9"/>
              <w:jc w:val="left"/>
            </w:pPr>
            <w:r>
              <w:t xml:space="preserve">Bajo</w:t>
            </w:r>
          </w:p>
        </w:tc>
        <w:tc>
          <w:tcPr/>
          <w:p>
            <w:pPr>
              <w:pStyle w:val="Tabla9"/>
              <w:jc w:val="left"/>
            </w:pPr>
            <w:r>
              <w:t xml:space="preserve">Retirar TinyML.</w:t>
            </w:r>
          </w:p>
        </w:tc>
      </w:tr>
      <w:tr>
        <w:trPr>
          <w:cantSplit/>
        </w:trPr>
        <w:tc>
          <w:tcPr/>
          <w:p>
            <w:pPr>
              <w:pStyle w:val="Tabla9"/>
              <w:jc w:val="left"/>
            </w:pPr>
            <w:r>
              <w:t xml:space="preserve">G7</w:t>
            </w:r>
          </w:p>
        </w:tc>
        <w:tc>
          <w:tcPr/>
          <w:p>
            <w:pPr>
              <w:pStyle w:val="Tabla9"/>
              <w:jc w:val="left"/>
            </w:pPr>
            <w:r>
              <w:t xml:space="preserve">Participantes</w:t>
            </w:r>
          </w:p>
        </w:tc>
        <w:tc>
          <w:tcPr/>
          <w:p>
            <w:pPr>
              <w:pStyle w:val="Tabla9"/>
              <w:jc w:val="left"/>
            </w:pPr>
            <w:r>
              <w:t xml:space="preserve">Ninguna entidad puede ser a la vez cooperante y beneficiaria. El análisis usa otra clasificación.</w:t>
            </w:r>
          </w:p>
        </w:tc>
        <w:tc>
          <w:tcPr/>
          <w:p>
            <w:pPr>
              <w:pStyle w:val="Tabla9"/>
              <w:jc w:val="left"/>
            </w:pPr>
            <w:r>
              <w:t xml:space="preserve">Bajo</w:t>
            </w:r>
          </w:p>
        </w:tc>
        <w:tc>
          <w:tcPr/>
          <w:p>
            <w:pPr>
              <w:pStyle w:val="Tabla9"/>
              <w:jc w:val="left"/>
            </w:pPr>
            <w:r>
              <w:t xml:space="preserve">Reclasificar en el análisis de participantes y verificar el caso de las alcaldías.</w:t>
            </w:r>
          </w:p>
        </w:tc>
      </w:tr>
      <w:tr>
        <w:trPr>
          <w:cantSplit/>
        </w:trPr>
        <w:tc>
          <w:tcPr/>
          <w:p>
            <w:pPr>
              <w:pStyle w:val="Tabla9"/>
              <w:jc w:val="left"/>
            </w:pPr>
            <w:r>
              <w:t xml:space="preserve">G8</w:t>
            </w:r>
          </w:p>
        </w:tc>
        <w:tc>
          <w:tcPr/>
          <w:p>
            <w:pPr>
              <w:pStyle w:val="Tabla9"/>
              <w:jc w:val="left"/>
            </w:pPr>
            <w:r>
              <w:t xml:space="preserve">Riesgo sanitario</w:t>
            </w:r>
          </w:p>
        </w:tc>
        <w:tc>
          <w:tcPr/>
          <w:p>
            <w:pPr>
              <w:pStyle w:val="Tabla9"/>
              <w:jc w:val="left"/>
            </w:pPr>
            <w:r>
              <w:t xml:space="preserve">El formato incluye riesgos sanitarios. El registro no incluye el riesgo de exposición del personal de campo en sitios de remoción.</w:t>
            </w:r>
          </w:p>
        </w:tc>
        <w:tc>
          <w:tcPr/>
          <w:p>
            <w:pPr>
              <w:pStyle w:val="Tabla9"/>
              <w:jc w:val="left"/>
            </w:pPr>
            <w:r>
              <w:t xml:space="preserve">Medio</w:t>
            </w:r>
          </w:p>
        </w:tc>
        <w:tc>
          <w:tcPr/>
          <w:p>
            <w:pPr>
              <w:pStyle w:val="Tabla9"/>
              <w:jc w:val="left"/>
            </w:pPr>
            <w:r>
              <w:t xml:space="preserve">Añadir un riesgo con medidas de protección y póliza.</w:t>
            </w:r>
          </w:p>
        </w:tc>
      </w:tr>
    </w:tbl>
    <w:p>
      <w:pPr>
        <w:pStyle w:val="TablaNota"/>
      </w:pPr>
      <w:r>
        <w:rPr>
          <w:i/>
          <w:iCs/>
        </w:rPr>
        <w:t xml:space="preserve">Nota.</w:t>
      </w:r>
      <w:r>
        <w:t xml:space="preserve"> </w:t>
      </w:r>
      <w:r>
        <w:t xml:space="preserve">Elaboración propia con el Anexo 2 de la convocatoria y la ficha maestra. G1 y G2 son de fondo; G3 a G8 son de forma o de completitud. La base de cálculo del mínimo de 1 % (valor solicitado o total del proyecto) no se definió en el Anexo 2 y depende de los términos de referencia (NO_VERIFICADO). Decimales con coma.</w:t>
      </w:r>
    </w:p>
    <w:p>
      <w:pPr>
        <w:pStyle w:val="BodyText"/>
      </w:pPr>
      <w:r>
        <w:t xml:space="preserve">El hallazgo G1 merece una advertencia. La ficha maestra fijó el TRL final en 7 porque el sistema se demuestra en entorno operativo sin calificación formal. El plazo de 24 meses no cubre una evaluación independiente de nivel 8. Esa decisión fue razonable cuando los términos de referencia no se conocían. El Anexo 2 la pone en tensión. Cambiar el nivel exige rediseñar el cronograma, el presupuesto y los criterios de las compuertas. Por esa razón el documento no modifica las cifras y entrega la decisión al usuario con los datos necesarios.</w:t>
      </w:r>
    </w:p>
    <w:bookmarkEnd w:id="707"/>
    <w:bookmarkEnd w:id="708"/>
    <w:bookmarkStart w:id="725" w:name="_Toc00900292"/>
    <w:p>
      <w:pPr>
        <w:pStyle w:val="Heading1"/>
      </w:pPr>
      <w:r>
        <w:t xml:space="preserve">Capítulo 21. Project Charter</w:t>
      </w:r>
    </w:p>
    <w:p>
      <w:pPr>
        <w:pStyle w:val="FirstParagraph"/>
      </w:pPr>
      <w:r>
        <w:t xml:space="preserve">El acta de constitución del proyecto resume en pocas páginas lo que autoriza su ejecución. Define qué se hará, con qué recursos, en cuánto tiempo, con qué criterios de éxito y bajo la autoridad de quién. El Project Management Institute [PMI] (2021) la describe como el documento que autoriza formalmente el proyecto y otorga a la dirección la facultad de aplicar recursos. Este capítulo condensa los capítulos 1 a 20 en un instrumento que el comité directivo y el financiador pueden firmar. Todas las cifras provienen de la ficha maestra. Los datos que solo posee el usuario aparecen como [DATO_USUARIO].</w:t>
      </w:r>
    </w:p>
    <w:bookmarkStart w:id="709" w:name="_Toc00900293"/>
    <w:p>
      <w:pPr>
        <w:pStyle w:val="Heading2"/>
      </w:pPr>
      <w:r>
        <w:t xml:space="preserve">21.1 Información General</w:t>
      </w:r>
    </w:p>
    <w:p>
      <w:pPr>
        <w:pStyle w:val="FirstParagraph"/>
      </w:pPr>
      <w:r>
        <w:t xml:space="preserve">La ficha de identificación reúne los datos que no cambian durante la ejecución. Fija el título, el código del caso, la versión del acta, las fechas y las cifras totales. La versión 1.0 es una propuesta de formulación. El acta solo adquiere efecto cuando el comité directivo y el financiador la firman. La Tabla 21.1 presenta la ficha.</w:t>
      </w:r>
    </w:p>
    <w:p>
      <w:pPr>
        <w:pStyle w:val="TablaRotulo"/>
      </w:pPr>
      <w:bookmarkStart w:id="9410" w:name="rot_Tabla_21_1"/>
      <w:r>
        <w:rPr>
          <w:b/>
          <w:bCs/>
        </w:rPr>
        <w:t xml:space="preserve">Tabla 21.1</w:t>
      </w:r>
      <w:bookmarkEnd w:id="9410"/>
    </w:p>
    <w:p>
      <w:pPr>
        <w:pStyle w:val="TablaTitulo"/>
      </w:pPr>
      <w:r>
        <w:rPr>
          <w:i/>
          <w:iCs/>
        </w:rPr>
        <w:t xml:space="preserve">Ficha de identificación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10"/>
        <w:gridCol w:w="3696"/>
        <w:gridCol w:w="1914"/>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Contenido</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r>
      <w:tr>
        <w:trPr>
          <w:cantSplit/>
        </w:trPr>
        <w:tc>
          <w:tcPr/>
          <w:p>
            <w:pPr>
              <w:pStyle w:val="Tabla9"/>
              <w:jc w:val="left"/>
            </w:pPr>
            <w:r>
              <w:t xml:space="preserve">Código del caso</w:t>
            </w:r>
          </w:p>
        </w:tc>
        <w:tc>
          <w:tcPr/>
          <w:p>
            <w:pPr>
              <w:pStyle w:val="Tabla9"/>
              <w:jc w:val="left"/>
            </w:pPr>
            <w:r>
              <w:t xml:space="preserve">SGR_CONV56_AIRE</w:t>
            </w:r>
          </w:p>
        </w:tc>
        <w:tc>
          <w:tcPr/>
          <w:p>
            <w:pPr>
              <w:pStyle w:val="Tabla9"/>
              <w:jc w:val="left"/>
            </w:pPr>
            <w:r>
              <w:t xml:space="preserve">DECLARADO</w:t>
            </w:r>
          </w:p>
        </w:tc>
      </w:tr>
      <w:tr>
        <w:trPr>
          <w:cantSplit/>
        </w:trPr>
        <w:tc>
          <w:tcPr/>
          <w:p>
            <w:pPr>
              <w:pStyle w:val="Tabla9"/>
              <w:jc w:val="left"/>
            </w:pPr>
            <w:r>
              <w:t xml:space="preserve">Versión del acta de constitución</w:t>
            </w:r>
          </w:p>
        </w:tc>
        <w:tc>
          <w:tcPr/>
          <w:p>
            <w:pPr>
              <w:pStyle w:val="Tabla9"/>
              <w:jc w:val="left"/>
            </w:pPr>
            <w:r>
              <w:t xml:space="preserve">1.0 (borrador con vacíos)</w:t>
            </w:r>
          </w:p>
        </w:tc>
        <w:tc>
          <w:tcPr/>
          <w:p>
            <w:pPr>
              <w:pStyle w:val="Tabla9"/>
              <w:jc w:val="left"/>
            </w:pPr>
            <w:r>
              <w:t xml:space="preserve">PROPUESTO</w:t>
            </w:r>
          </w:p>
        </w:tc>
      </w:tr>
      <w:tr>
        <w:trPr>
          <w:cantSplit/>
        </w:trPr>
        <w:tc>
          <w:tcPr/>
          <w:p>
            <w:pPr>
              <w:pStyle w:val="Tabla9"/>
              <w:jc w:val="left"/>
            </w:pPr>
            <w:r>
              <w:t xml:space="preserve">Convocatoria</w:t>
            </w:r>
          </w:p>
        </w:tc>
        <w:tc>
          <w:tcPr/>
          <w:p>
            <w:pPr>
              <w:pStyle w:val="Tabla9"/>
              <w:jc w:val="left"/>
            </w:pPr>
            <w:r>
              <w:t xml:space="preserve">Convocatoria de Emergencia, Decreto 1414 de 2026 (SGR_CONV56)</w:t>
            </w:r>
          </w:p>
        </w:tc>
        <w:tc>
          <w:tcPr/>
          <w:p>
            <w:pPr>
              <w:pStyle w:val="Tabla9"/>
              <w:jc w:val="left"/>
            </w:pPr>
            <w:r>
              <w:t xml:space="preserve">DECLARADO</w:t>
            </w:r>
          </w:p>
        </w:tc>
      </w:tr>
      <w:tr>
        <w:trPr>
          <w:cantSplit/>
        </w:trPr>
        <w:tc>
          <w:tcPr/>
          <w:p>
            <w:pPr>
              <w:pStyle w:val="Tabla9"/>
              <w:jc w:val="left"/>
            </w:pPr>
            <w:r>
              <w:t xml:space="preserve">Financiador</w:t>
            </w:r>
          </w:p>
        </w:tc>
        <w:tc>
          <w:tcPr/>
          <w:p>
            <w:pPr>
              <w:pStyle w:val="Tabla9"/>
              <w:jc w:val="left"/>
            </w:pPr>
            <w:r>
              <w:t xml:space="preserve">Sistema General de Regalías (SGR) / Ministerio de Ciencia, Tecnología e Innovación (MinCiencias)</w:t>
            </w:r>
          </w:p>
        </w:tc>
        <w:tc>
          <w:tcPr/>
          <w:p>
            <w:pPr>
              <w:pStyle w:val="Tabla9"/>
              <w:jc w:val="left"/>
            </w:pPr>
            <w:r>
              <w:t xml:space="preserve">DECLARADO</w:t>
            </w:r>
          </w:p>
        </w:tc>
      </w:tr>
      <w:tr>
        <w:trPr>
          <w:cantSplit/>
        </w:trPr>
        <w:tc>
          <w:tcPr/>
          <w:p>
            <w:pPr>
              <w:pStyle w:val="Tabla9"/>
              <w:jc w:val="left"/>
            </w:pPr>
            <w:r>
              <w:t xml:space="preserve">Tipología</w:t>
            </w:r>
          </w:p>
        </w:tc>
        <w:tc>
          <w:tcPr/>
          <w:p>
            <w:pPr>
              <w:pStyle w:val="Tabla9"/>
              <w:jc w:val="left"/>
            </w:pPr>
            <w:r>
              <w:t xml:space="preserve">Investigación aplicada, desarrollo tecnológico e innovación</w:t>
            </w:r>
          </w:p>
        </w:tc>
        <w:tc>
          <w:tcPr/>
          <w:p>
            <w:pPr>
              <w:pStyle w:val="Tabla9"/>
              <w:jc w:val="left"/>
            </w:pPr>
            <w:r>
              <w:t xml:space="preserve">DECLARADO</w:t>
            </w:r>
          </w:p>
        </w:tc>
      </w:tr>
      <w:tr>
        <w:trPr>
          <w:cantSplit/>
        </w:trPr>
        <w:tc>
          <w:tcPr/>
          <w:p>
            <w:pPr>
              <w:pStyle w:val="Tabla9"/>
              <w:jc w:val="left"/>
            </w:pPr>
            <w:r>
              <w:t xml:space="preserve">Clasificación OCDE</w:t>
            </w:r>
          </w:p>
        </w:tc>
        <w:tc>
          <w:tcPr/>
          <w:p>
            <w:pPr>
              <w:pStyle w:val="Tabla9"/>
              <w:jc w:val="left"/>
            </w:pPr>
            <w:r>
              <w:t xml:space="preserve">1.2 Ingeniería eléctrica, electrónica e informática</w:t>
            </w:r>
          </w:p>
        </w:tc>
        <w:tc>
          <w:tcPr/>
          <w:p>
            <w:pPr>
              <w:pStyle w:val="Tabla9"/>
              <w:jc w:val="left"/>
            </w:pPr>
            <w:r>
              <w:t xml:space="preserve">DECLARADO</w:t>
            </w:r>
          </w:p>
        </w:tc>
      </w:tr>
      <w:tr>
        <w:trPr>
          <w:cantSplit/>
        </w:trPr>
        <w:tc>
          <w:tcPr/>
          <w:p>
            <w:pPr>
              <w:pStyle w:val="Tabla9"/>
              <w:jc w:val="left"/>
            </w:pPr>
            <w:r>
              <w:t xml:space="preserve">Territorio</w:t>
            </w:r>
          </w:p>
        </w:tc>
        <w:tc>
          <w:tcPr/>
          <w:p>
            <w:pPr>
              <w:pStyle w:val="Tabla9"/>
              <w:jc w:val="left"/>
            </w:pPr>
            <w:r>
              <w:t xml:space="preserve">Departamentos de Caldas, Cundinamarca y Valle del Cauca (12 municipios, 4 por departamento)</w:t>
            </w:r>
          </w:p>
        </w:tc>
        <w:tc>
          <w:tcPr/>
          <w:p>
            <w:pPr>
              <w:pStyle w:val="Tabla9"/>
              <w:jc w:val="left"/>
            </w:pPr>
            <w:r>
              <w:t xml:space="preserve">SUPUESTO</w:t>
            </w:r>
          </w:p>
        </w:tc>
      </w:tr>
      <w:tr>
        <w:trPr>
          <w:cantSplit/>
        </w:trPr>
        <w:tc>
          <w:tcPr/>
          <w:p>
            <w:pPr>
              <w:pStyle w:val="Tabla9"/>
              <w:jc w:val="left"/>
            </w:pPr>
            <w:r>
              <w:t xml:space="preserve">Duración de ejecución</w:t>
            </w:r>
          </w:p>
        </w:tc>
        <w:tc>
          <w:tcPr/>
          <w:p>
            <w:pPr>
              <w:pStyle w:val="Tabla9"/>
              <w:jc w:val="left"/>
            </w:pPr>
            <w:r>
              <w:t xml:space="preserve">24 meses (104 semanas); seguimiento posproyecto de 12 meses</w:t>
            </w:r>
          </w:p>
        </w:tc>
        <w:tc>
          <w:tcPr/>
          <w:p>
            <w:pPr>
              <w:pStyle w:val="Tabla9"/>
              <w:jc w:val="left"/>
            </w:pPr>
            <w:r>
              <w:t xml:space="preserve">PROPUESTO</w:t>
            </w:r>
          </w:p>
        </w:tc>
      </w:tr>
      <w:tr>
        <w:trPr>
          <w:cantSplit/>
        </w:trPr>
        <w:tc>
          <w:tcPr/>
          <w:p>
            <w:pPr>
              <w:pStyle w:val="Tabla9"/>
              <w:jc w:val="left"/>
            </w:pPr>
            <w:r>
              <w:t xml:space="preserve">Madurez tecnológica</w:t>
            </w:r>
          </w:p>
        </w:tc>
        <w:tc>
          <w:tcPr/>
          <w:p>
            <w:pPr>
              <w:pStyle w:val="Tabla9"/>
              <w:jc w:val="left"/>
            </w:pPr>
            <w:r>
              <w:t xml:space="preserve">TRL 4 al inicio y TRL 7 al cierre</w:t>
            </w:r>
          </w:p>
        </w:tc>
        <w:tc>
          <w:tcPr/>
          <w:p>
            <w:pPr>
              <w:pStyle w:val="Tabla9"/>
              <w:jc w:val="left"/>
            </w:pPr>
            <w:r>
              <w:t xml:space="preserve">PROPUESTO</w:t>
            </w:r>
          </w:p>
        </w:tc>
      </w:tr>
      <w:tr>
        <w:trPr>
          <w:cantSplit/>
        </w:trPr>
        <w:tc>
          <w:tcPr/>
          <w:p>
            <w:pPr>
              <w:pStyle w:val="Tabla9"/>
              <w:jc w:val="left"/>
            </w:pPr>
            <w:r>
              <w:t xml:space="preserve">Fecha de corte de la formulación</w:t>
            </w:r>
          </w:p>
        </w:tc>
        <w:tc>
          <w:tcPr/>
          <w:p>
            <w:pPr>
              <w:pStyle w:val="Tabla9"/>
              <w:jc w:val="left"/>
            </w:pPr>
            <w:r>
              <w:t xml:space="preserve">13 de octubre de 2026</w:t>
            </w:r>
          </w:p>
        </w:tc>
        <w:tc>
          <w:tcPr/>
          <w:p>
            <w:pPr>
              <w:pStyle w:val="Tabla9"/>
              <w:jc w:val="left"/>
            </w:pPr>
            <w:r>
              <w:t xml:space="preserve">DECLARADO</w:t>
            </w:r>
          </w:p>
        </w:tc>
      </w:tr>
      <w:tr>
        <w:trPr>
          <w:cantSplit/>
        </w:trPr>
        <w:tc>
          <w:tcPr/>
          <w:p>
            <w:pPr>
              <w:pStyle w:val="Tabla9"/>
              <w:jc w:val="left"/>
            </w:pPr>
            <w:r>
              <w:t xml:space="preserve">Fecha límite de la convocatoria</w:t>
            </w:r>
          </w:p>
        </w:tc>
        <w:tc>
          <w:tcPr/>
          <w:p>
            <w:pPr>
              <w:pStyle w:val="Tabla9"/>
              <w:jc w:val="left"/>
            </w:pPr>
            <w:r>
              <w:t xml:space="preserve">3 de noviembre de 2026</w:t>
            </w:r>
          </w:p>
        </w:tc>
        <w:tc>
          <w:tcPr/>
          <w:p>
            <w:pPr>
              <w:pStyle w:val="Tabla9"/>
              <w:jc w:val="left"/>
            </w:pPr>
            <w:r>
              <w:t xml:space="preserve">DECLARADO</w:t>
            </w:r>
          </w:p>
        </w:tc>
      </w:tr>
      <w:tr>
        <w:trPr>
          <w:cantSplit/>
        </w:trPr>
        <w:tc>
          <w:tcPr/>
          <w:p>
            <w:pPr>
              <w:pStyle w:val="Tabla9"/>
              <w:jc w:val="left"/>
            </w:pPr>
            <w:r>
              <w:t xml:space="preserve">Valor solicitado al SGR</w:t>
            </w:r>
          </w:p>
        </w:tc>
        <w:tc>
          <w:tcPr/>
          <w:p>
            <w:pPr>
              <w:pStyle w:val="Tabla9"/>
              <w:jc w:val="left"/>
            </w:pPr>
            <w:r>
              <w:t xml:space="preserve">$ 8.729.840.000</w:t>
            </w:r>
          </w:p>
        </w:tc>
        <w:tc>
          <w:tcPr/>
          <w:p>
            <w:pPr>
              <w:pStyle w:val="Tabla9"/>
              <w:jc w:val="left"/>
            </w:pPr>
            <w:r>
              <w:t xml:space="preserve">CALCULADO</w:t>
            </w:r>
          </w:p>
        </w:tc>
      </w:tr>
      <w:tr>
        <w:trPr>
          <w:cantSplit/>
        </w:trPr>
        <w:tc>
          <w:tcPr/>
          <w:p>
            <w:pPr>
              <w:pStyle w:val="Tabla9"/>
              <w:jc w:val="left"/>
            </w:pPr>
            <w:r>
              <w:t xml:space="preserve">Contrapartida</w:t>
            </w:r>
          </w:p>
        </w:tc>
        <w:tc>
          <w:tcPr/>
          <w:p>
            <w:pPr>
              <w:pStyle w:val="Tabla9"/>
              <w:jc w:val="left"/>
            </w:pPr>
            <w:r>
              <w:t xml:space="preserve">$ 2.110.000.000</w:t>
            </w:r>
          </w:p>
        </w:tc>
        <w:tc>
          <w:tcPr/>
          <w:p>
            <w:pPr>
              <w:pStyle w:val="Tabla9"/>
              <w:jc w:val="left"/>
            </w:pPr>
            <w:r>
              <w:t xml:space="preserve">DECLARADO</w:t>
            </w:r>
          </w:p>
        </w:tc>
      </w:tr>
      <w:tr>
        <w:trPr>
          <w:cantSplit/>
        </w:trPr>
        <w:tc>
          <w:tcPr/>
          <w:p>
            <w:pPr>
              <w:pStyle w:val="Tabla9"/>
              <w:jc w:val="left"/>
            </w:pPr>
            <w:r>
              <w:t xml:space="preserve">Total del proyecto</w:t>
            </w:r>
          </w:p>
        </w:tc>
        <w:tc>
          <w:tcPr/>
          <w:p>
            <w:pPr>
              <w:pStyle w:val="Tabla9"/>
              <w:jc w:val="left"/>
            </w:pPr>
            <w:r>
              <w:t xml:space="preserve">$ 10.839.840.000</w:t>
            </w:r>
          </w:p>
        </w:tc>
        <w:tc>
          <w:tcPr/>
          <w:p>
            <w:pPr>
              <w:pStyle w:val="Tabla9"/>
              <w:jc w:val="left"/>
            </w:pPr>
            <w:r>
              <w:t xml:space="preserve">CALCULADO</w:t>
            </w:r>
          </w:p>
        </w:tc>
      </w:tr>
      <w:tr>
        <w:trPr>
          <w:cantSplit/>
        </w:trPr>
        <w:tc>
          <w:tcPr/>
          <w:p>
            <w:pPr>
              <w:pStyle w:val="Tabla9"/>
              <w:jc w:val="left"/>
            </w:pPr>
            <w:r>
              <w:t xml:space="preserve">Entidad ejecutora</w:t>
            </w:r>
          </w:p>
        </w:tc>
        <w:tc>
          <w:tcPr/>
          <w:p>
            <w:pPr>
              <w:pStyle w:val="Tabla9"/>
              <w:jc w:val="left"/>
            </w:pPr>
            <w:r>
              <w:t xml:space="preserve">[DATO_USUARIO: nombre de la institución de educación superior ejecutora]</w:t>
            </w:r>
          </w:p>
        </w:tc>
        <w:tc>
          <w:tcPr/>
          <w:p>
            <w:pPr>
              <w:pStyle w:val="Tabla9"/>
              <w:jc w:val="left"/>
            </w:pPr>
            <w:r>
              <w:t xml:space="preserve">VACIO</w:t>
            </w:r>
          </w:p>
        </w:tc>
      </w:tr>
      <w:tr>
        <w:trPr>
          <w:cantSplit/>
        </w:trPr>
        <w:tc>
          <w:tcPr/>
          <w:p>
            <w:pPr>
              <w:pStyle w:val="Tabla9"/>
              <w:jc w:val="left"/>
            </w:pPr>
            <w:r>
              <w:t xml:space="preserve">Director del proyecto</w:t>
            </w:r>
          </w:p>
        </w:tc>
        <w:tc>
          <w:tcPr/>
          <w:p>
            <w:pPr>
              <w:pStyle w:val="Tabla9"/>
              <w:jc w:val="left"/>
            </w:pPr>
            <w:r>
              <w:t xml:space="preserve">[DATO_USUARIO: nombre y cargo]</w:t>
            </w:r>
          </w:p>
        </w:tc>
        <w:tc>
          <w:tcPr/>
          <w:p>
            <w:pPr>
              <w:pStyle w:val="Tabla9"/>
              <w:jc w:val="left"/>
            </w:pPr>
            <w:r>
              <w:t xml:space="preserve">VACIO</w:t>
            </w:r>
          </w:p>
        </w:tc>
      </w:tr>
      <w:tr>
        <w:trPr>
          <w:cantSplit/>
        </w:trPr>
        <w:tc>
          <w:tcPr/>
          <w:p>
            <w:pPr>
              <w:pStyle w:val="Tabla9"/>
              <w:jc w:val="left"/>
            </w:pPr>
            <w:r>
              <w:t xml:space="preserve">Fecha de aprobación del acta</w:t>
            </w:r>
          </w:p>
        </w:tc>
        <w:tc>
          <w:tcPr/>
          <w:p>
            <w:pPr>
              <w:pStyle w:val="Tabla9"/>
              <w:jc w:val="left"/>
            </w:pPr>
            <w:r>
              <w:t xml:space="preserve">[DATO_USUARIO: fecha de firma]</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§1 y §5. El tope declarado de la convocatoria, 14.000.000.000 COP, no se verificó porque los términos de referencia no se aportaron. SGR: Sistema General de Regalías. OCDE: Organización para la Cooperación y el Desarrollo Económicos. TRL: nivel de madurez tecnológica.</w:t>
      </w:r>
    </w:p>
    <w:p>
      <w:pPr>
        <w:pStyle w:val="BodyText"/>
      </w:pPr>
      <w:r>
        <w:t xml:space="preserve">La ficha deja tres campos en blanco: la entidad ejecutora, el director y la fecha de aprobación. Esos datos solo los posee el usuario. Sin ellos, el acta no puede firmarse. La alianza entre la entidad ejecutora y la empresa tecnológica es un supuesto por instrucción del usuario, y por eso los nombres quedan por definir. El comité directivo debe confirmar esos tres campos antes de la radicación.</w:t>
      </w:r>
    </w:p>
    <w:bookmarkEnd w:id="709"/>
    <w:bookmarkStart w:id="710" w:name="_Toc00900294"/>
    <w:p>
      <w:pPr>
        <w:pStyle w:val="Heading2"/>
      </w:pPr>
      <w:r>
        <w:t xml:space="preserve">21.2 Caso de Negocio</w:t>
      </w:r>
    </w:p>
    <w:p>
      <w:pPr>
        <w:pStyle w:val="FirstParagraph"/>
      </w:pPr>
      <w:r>
        <w:t xml:space="preserve">La justificación del proyecto parte de un problema de medición. Los sensores de bajo costo para partículas finas multiplican la cobertura de la vigilancia. Entregan lecturas de calidad desconocida cuando no se calibran en el sitio (Karagulian et al., 2019). En Colombia, 90,8 % de las 5.076 estaciones de la red nacional propuesta serían sensores sin plan de calibración (Murad Pedraza et al., 2026, pp. 10-11 y 13). La cifra es un cálculo del analista sobre el informe de vigilancia tecnológica. En el país hay 209 estaciones reportadas y 154 integradas a un sistema de vigilancia. Solo 28 de 1.122 municipios cuentan con estaciones utilizables para estimar la carga (Rodríguez-Villamizar et al., 2022, pp. 3 y 6).</w:t>
      </w:r>
    </w:p>
    <w:p>
      <w:pPr>
        <w:pStyle w:val="BodyText"/>
      </w:pPr>
      <w:r>
        <w:t xml:space="preserve">Tras un terremoto, la remoción de escombros genera material particulado que expone a operarios y comunidades. Decidir alertas con mediciones de error desconocido produce falsas alarmas o ausencia de alerta. La baja confianza reduce el uso institucional de las mediciones, y esa menor confianza perpetúa la ausencia de datos verificados. El análisis estructural de la sección 4.4 identificó ese ciclo y señaló la variable de error de medición sin verificar (V06) como problema central. El caso de negocio consiste en romper el ciclo. La red de 100 nodos se corrige en el gateway y se verifica contra tres referencias gravimétricas. Los comités de gestión del riesgo la ponen en uso.</w:t>
      </w:r>
    </w:p>
    <w:p>
      <w:pPr>
        <w:pStyle w:val="BodyText"/>
      </w:pPr>
      <w:r>
        <w:t xml:space="preserve">La viabilidad del caso de negocio depende de tres condiciones que el acta deja explícitas. La primera es técnica: que el modelo de corrección alcance los umbrales en el piloto. La segunda es institucional: que los comités usen el tablero y los custodios asuman la operación. La tercera es financiera: que el tipo de cambio y la contrapartida se mantengan dentro de lo previsto. Si falla la primera, el proyecto se detiene en C1 con una pérdida acotada al tramo 1. Si falla la segunda, el proyecto cierra con una red verificada y datos abiertos, y activa la cláusula de apertura. Si falla la tercera, ajusta el tamaño del tramo siguiente. Ninguna de las tres fallas obliga a comprometer el presupuesto restante (Boardman et al., 2018).</w:t>
      </w:r>
    </w:p>
    <w:p>
      <w:pPr>
        <w:pStyle w:val="BodyText"/>
      </w:pPr>
      <w:r>
        <w:t xml:space="preserve">La alternativa seleccionada resultó de comparar cuatro opciones en el Paso 6. ALT-00 mantiene sensores aislados sin calibración dinámica y obtuvo 4,475. ALT-01 instala estaciones fijas de referencia en los sitios y obtuvo 4,335. ALT-02 calibra de forma centralizada en la nube y obtuvo 5,150. ALT-03 combina corrección en el gateway, despliegue por tramos y custodia distribuida, y obtuvo 5,805 en una escala de 1 a 9. La ganadora no cambió en los cinco escenarios de sensibilidad de más o menos 10 % relativo. Los puntajes son juicios PROPUESTOS y no probabilidades de éxito. Un monitor de referencia en cada sitio ofrece mayor exactitud, pero a 85 millones de COP por monitor, cien monitores sumarían 8.500 millones (CALCULADO). Esa suma supera el valor solicitado y por eso ALT-01 pierde frente a la red híbrida (U.S. Environmental Protection Agency, 2021).</w:t>
      </w:r>
    </w:p>
    <w:p>
      <w:pPr>
        <w:pStyle w:val="BodyText"/>
      </w:pPr>
      <w:r>
        <w:t xml:space="preserve">La alineación estratégica se apoya en cuatro marcos. La Ley 1523 de 2012 crea el Sistema Nacional de Gestión del Riesgo de Desastres y asigna funciones a los consejos territoriales (Congreso de la República, 2012a). La Ley 2056 de 2020 regula el uso de los recursos del SGR (Congreso de la República, 2020). La política para el mejoramiento de la calidad del aire fija la vigilancia como línea de acción (Departamento Nacional de Planeación [DNP], 2018). El Marco de Sendái promueve los sistemas de alerta temprana (Oficina de las Naciones Unidas para la Reducción del Riesgo de Desastres [UNDRR], 2015). La articulación con el Plan de Desarrollo Departamental y con el Anexo 4 no se verificó, porque esos documentos no se aportaron.</w:t>
      </w:r>
    </w:p>
    <w:p>
      <w:pPr>
        <w:pStyle w:val="BodyText"/>
      </w:pPr>
      <w:r>
        <w:t xml:space="preserve">Los beneficios esperados son técnicos, institucionales y de continuidad (Funnell y Rogers, 2011). El proyecto entrega mediciones con error conocido frente a una referencia. Entrega un tablero que los comités usan en decisiones documentadas. Entrega una red que los custodios mantienen tras el cierre. No promete reducir la morbilidad ni la mortalidad, porque no incluye un diseño causal que lo identifique. La evaluación económica completa, con la comparación de costos y beneficios, no se calcula, porque los beneficios monetarios no tienen fuente (Boardman et al., 2018). La decisión de invertir descansa en el valor de la información verificada y en la opción de detener la inversión en cada compuerta.</w:t>
      </w:r>
    </w:p>
    <w:bookmarkEnd w:id="710"/>
    <w:bookmarkStart w:id="711" w:name="_Toc00900295"/>
    <w:p>
      <w:pPr>
        <w:pStyle w:val="Heading2"/>
      </w:pPr>
      <w:r>
        <w:t xml:space="preserve">21.3 Descripción del Proyecto</w:t>
      </w:r>
    </w:p>
    <w:p>
      <w:pPr>
        <w:pStyle w:val="FirstParagraph"/>
      </w:pPr>
      <w:r>
        <w:t xml:space="preserve">El proyecto implementa una red híbrida de borde y nube que mide PM2,5 y PM10 en sitios de remoción de escombros. Cien nodos hoja con sensor óptico, temperatura y humedad transmiten por LoRa a 10 gateways. Cada gateway aplica el modelo de corrección, almacena siete días de datos y reenvía por red celular, con enlace satelital alterno. Tres monitores gravimétricos, uno por departamento, sirven de referencia en la colocalización. La nube aloja el entrenamiento del modelo, el gemelo digital y el tablero del índice de calidad del aire y salud. El despliegue se hace en tres tramos de 30, 40 y 30 nodos. Las compuertas C1 y C2 liberan la compra del tramo siguiente.</w:t>
      </w:r>
    </w:p>
    <w:p>
      <w:pPr>
        <w:pStyle w:val="BodyText"/>
      </w:pPr>
      <w:r>
        <w:t xml:space="preserve">La decisión de invertir sigue un esquema por etapas y compuertas (Cooper, 2008). La madurez tecnológica avanza del nivel 4 al nivel 7 (Mankins, 1995). El nivel 4 corresponde a la validación de componentes en laboratorio. El nivel 7 corresponde a la demostración de un prototipo en entorno operativo. Entre ambos, el piloto del tramo 1 valida el modelo en un entorno relevante. El tramo 2 lo reentrena por departamento. El tramo 3 lo demuestra con 100 nodos. El proyecto no afirma el nivel 8, porque exige una calificación independiente que el plazo no cubre.</w:t>
      </w:r>
    </w:p>
    <w:p>
      <w:pPr>
        <w:pStyle w:val="BodyText"/>
      </w:pPr>
      <w:r>
        <w:t xml:space="preserve">Los entregables principales son siete. Cada uno tiene un indicador PERS, un hito y un responsable. La Tabla 21.2 los lista con su criterio de aceptación. Los requisitos de alto nivel provienen de los umbrales de desempeño. El modelo debe cumplir R² de 0,70 o más y NRMSE de 30 % o menos frente a la referencia. La pendiente debe estar entre 0,65 y 1,35 y el sesgo entre −5,0 y 5,0 µg/m³. Los nodos deben operar con autonomía de 14 días sin sol y una pérdida de paquetes de 10 % o menos. El tablero debe usarse en decisiones documentadas por 75 % o más de los comités.</w:t>
      </w:r>
    </w:p>
    <w:p>
      <w:pPr>
        <w:pStyle w:val="TablaRotulo"/>
      </w:pPr>
      <w:bookmarkStart w:id="9411" w:name="rot_Tabla_21_2"/>
      <w:r>
        <w:rPr>
          <w:b/>
          <w:bCs/>
        </w:rPr>
        <w:t xml:space="preserve">Tabla 21.2</w:t>
      </w:r>
      <w:bookmarkEnd w:id="9411"/>
    </w:p>
    <w:p>
      <w:pPr>
        <w:pStyle w:val="TablaTitulo"/>
      </w:pPr>
      <w:r>
        <w:rPr>
          <w:i/>
          <w:iCs/>
        </w:rPr>
        <w:t xml:space="preserve">Lista de entregables principales con indicador, hito y criterio de aceptación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23"/>
        <w:gridCol w:w="2421"/>
        <w:gridCol w:w="1636"/>
        <w:gridCol w:w="850"/>
        <w:gridCol w:w="2487"/>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Entregable</w:t>
            </w:r>
          </w:p>
        </w:tc>
        <w:tc>
          <w:tcPr>
            <w:shd w:val="clear" w:color="auto" w:fill="00B050"/>
          </w:tcPr>
          <w:p>
            <w:pPr>
              <w:pStyle w:val="Tabla9"/>
              <w:jc w:val="center"/>
            </w:pPr>
            <w:r>
              <w:rPr>
                <w:b/>
                <w:color w:val="FFFFFF"/>
              </w:rPr>
              <w:t xml:space="preserve">Indicador PERS</w:t>
            </w:r>
          </w:p>
        </w:tc>
        <w:tc>
          <w:tcPr>
            <w:shd w:val="clear" w:color="auto" w:fill="00B050"/>
          </w:tcPr>
          <w:p>
            <w:pPr>
              <w:pStyle w:val="Tabla9"/>
              <w:jc w:val="center"/>
            </w:pPr>
            <w:r>
              <w:rPr>
                <w:b/>
                <w:color w:val="FFFFFF"/>
              </w:rPr>
              <w:t xml:space="preserve">Hito</w:t>
            </w:r>
          </w:p>
        </w:tc>
        <w:tc>
          <w:tcPr>
            <w:shd w:val="clear" w:color="auto" w:fill="00B050"/>
          </w:tcPr>
          <w:p>
            <w:pPr>
              <w:pStyle w:val="Tabla9"/>
              <w:jc w:val="center"/>
            </w:pPr>
            <w:r>
              <w:rPr>
                <w:b/>
                <w:color w:val="FFFFFF"/>
              </w:rPr>
              <w:t xml:space="preserve">Criterio de aceptación</w:t>
            </w:r>
          </w:p>
        </w:tc>
      </w:tr>
      <w:tr>
        <w:trPr>
          <w:cantSplit/>
        </w:trPr>
        <w:tc>
          <w:tcPr/>
          <w:p>
            <w:pPr>
              <w:pStyle w:val="Tabla9"/>
              <w:jc w:val="left"/>
            </w:pPr>
            <w:r>
              <w:t xml:space="preserve">E1</w:t>
            </w:r>
          </w:p>
        </w:tc>
        <w:tc>
          <w:tcPr/>
          <w:p>
            <w:pPr>
              <w:pStyle w:val="Tabla9"/>
              <w:jc w:val="left"/>
            </w:pPr>
            <w:r>
              <w:t xml:space="preserve">Red de 100 nodos y 10 gateways operativa</w:t>
            </w:r>
          </w:p>
        </w:tc>
        <w:tc>
          <w:tcPr/>
          <w:p>
            <w:pPr>
              <w:pStyle w:val="Tabla9"/>
              <w:jc w:val="left"/>
            </w:pPr>
            <w:r>
              <w:t xml:space="preserve">PERS-P01</w:t>
            </w:r>
          </w:p>
        </w:tc>
        <w:tc>
          <w:tcPr/>
          <w:p>
            <w:pPr>
              <w:pStyle w:val="Tabla9"/>
              <w:jc w:val="left"/>
            </w:pPr>
            <w:r>
              <w:t xml:space="preserve">H6 (mes 19) y H8</w:t>
            </w:r>
          </w:p>
        </w:tc>
        <w:tc>
          <w:tcPr/>
          <w:p>
            <w:pPr>
              <w:pStyle w:val="Tabla9"/>
              <w:jc w:val="left"/>
            </w:pPr>
            <w:r>
              <w:t xml:space="preserve">100 nodos y 10 gateways con disponibilidad mensual de 90 % o más</w:t>
            </w:r>
          </w:p>
        </w:tc>
      </w:tr>
      <w:tr>
        <w:trPr>
          <w:cantSplit/>
        </w:trPr>
        <w:tc>
          <w:tcPr/>
          <w:p>
            <w:pPr>
              <w:pStyle w:val="Tabla9"/>
              <w:jc w:val="left"/>
            </w:pPr>
            <w:r>
              <w:t xml:space="preserve">E2</w:t>
            </w:r>
          </w:p>
        </w:tc>
        <w:tc>
          <w:tcPr/>
          <w:p>
            <w:pPr>
              <w:pStyle w:val="Tabla9"/>
              <w:jc w:val="left"/>
            </w:pPr>
            <w:r>
              <w:t xml:space="preserve">Modelo de corrección validado y software registrado</w:t>
            </w:r>
          </w:p>
        </w:tc>
        <w:tc>
          <w:tcPr/>
          <w:p>
            <w:pPr>
              <w:pStyle w:val="Tabla9"/>
              <w:jc w:val="left"/>
            </w:pPr>
            <w:r>
              <w:t xml:space="preserve">PERS-P02, PERS-R02</w:t>
            </w:r>
          </w:p>
        </w:tc>
        <w:tc>
          <w:tcPr/>
          <w:p>
            <w:pPr>
              <w:pStyle w:val="Tabla9"/>
              <w:jc w:val="left"/>
            </w:pPr>
            <w:r>
              <w:t xml:space="preserve">H3 (mes 12)</w:t>
            </w:r>
          </w:p>
        </w:tc>
        <w:tc>
          <w:tcPr/>
          <w:p>
            <w:pPr>
              <w:pStyle w:val="Tabla9"/>
              <w:jc w:val="left"/>
            </w:pPr>
            <w:r>
              <w:t xml:space="preserve">R² de 0,70 o más, NRMSE de 30 % o menos y 1 registro vigente</w:t>
            </w:r>
          </w:p>
        </w:tc>
      </w:tr>
      <w:tr>
        <w:trPr>
          <w:cantSplit/>
        </w:trPr>
        <w:tc>
          <w:tcPr/>
          <w:p>
            <w:pPr>
              <w:pStyle w:val="Tabla9"/>
              <w:jc w:val="left"/>
            </w:pPr>
            <w:r>
              <w:t xml:space="preserve">E3</w:t>
            </w:r>
          </w:p>
        </w:tc>
        <w:tc>
          <w:tcPr/>
          <w:p>
            <w:pPr>
              <w:pStyle w:val="Tabla9"/>
              <w:jc w:val="left"/>
            </w:pPr>
            <w:r>
              <w:t xml:space="preserve">Base de datos de colocalización y protocolo de calibración</w:t>
            </w:r>
          </w:p>
        </w:tc>
        <w:tc>
          <w:tcPr/>
          <w:p>
            <w:pPr>
              <w:pStyle w:val="Tabla9"/>
              <w:jc w:val="left"/>
            </w:pPr>
            <w:r>
              <w:t xml:space="preserve">PERS-R05</w:t>
            </w:r>
          </w:p>
        </w:tc>
        <w:tc>
          <w:tcPr/>
          <w:p>
            <w:pPr>
              <w:pStyle w:val="Tabla9"/>
              <w:jc w:val="left"/>
            </w:pPr>
            <w:r>
              <w:t xml:space="preserve">H2 (mes 10)</w:t>
            </w:r>
          </w:p>
        </w:tc>
        <w:tc>
          <w:tcPr/>
          <w:p>
            <w:pPr>
              <w:pStyle w:val="Tabla9"/>
              <w:jc w:val="left"/>
            </w:pPr>
            <w:r>
              <w:t xml:space="preserve">60.000 horas-nodo válidas y 4 rotaciones por departamento</w:t>
            </w:r>
          </w:p>
        </w:tc>
      </w:tr>
      <w:tr>
        <w:trPr>
          <w:cantSplit/>
        </w:trPr>
        <w:tc>
          <w:tcPr/>
          <w:p>
            <w:pPr>
              <w:pStyle w:val="Tabla9"/>
              <w:jc w:val="left"/>
            </w:pPr>
            <w:r>
              <w:t xml:space="preserve">E4</w:t>
            </w:r>
          </w:p>
        </w:tc>
        <w:tc>
          <w:tcPr/>
          <w:p>
            <w:pPr>
              <w:pStyle w:val="Tabla9"/>
              <w:jc w:val="left"/>
            </w:pPr>
            <w:r>
              <w:t xml:space="preserve">Tablero, protocolo de alerta y umbrales validados localmente</w:t>
            </w:r>
          </w:p>
        </w:tc>
        <w:tc>
          <w:tcPr/>
          <w:p>
            <w:pPr>
              <w:pStyle w:val="Tabla9"/>
              <w:jc w:val="left"/>
            </w:pPr>
            <w:r>
              <w:t xml:space="preserve">PERS-E01, PERS-E02</w:t>
            </w:r>
          </w:p>
        </w:tc>
        <w:tc>
          <w:tcPr/>
          <w:p>
            <w:pPr>
              <w:pStyle w:val="Tabla9"/>
              <w:jc w:val="left"/>
            </w:pPr>
            <w:r>
              <w:t xml:space="preserve">H5 (mes 17)</w:t>
            </w:r>
          </w:p>
        </w:tc>
        <w:tc>
          <w:tcPr/>
          <w:p>
            <w:pPr>
              <w:pStyle w:val="Tabla9"/>
              <w:jc w:val="left"/>
            </w:pPr>
            <w:r>
              <w:t xml:space="preserve">Uso en 75 % o más de los comités y línea base de falsas alarmas medida</w:t>
            </w:r>
          </w:p>
        </w:tc>
      </w:tr>
      <w:tr>
        <w:trPr>
          <w:cantSplit/>
        </w:trPr>
        <w:tc>
          <w:tcPr/>
          <w:p>
            <w:pPr>
              <w:pStyle w:val="Tabla9"/>
              <w:jc w:val="left"/>
            </w:pPr>
            <w:r>
              <w:t xml:space="preserve">E5</w:t>
            </w:r>
          </w:p>
        </w:tc>
        <w:tc>
          <w:tcPr/>
          <w:p>
            <w:pPr>
              <w:pStyle w:val="Tabla9"/>
              <w:jc w:val="left"/>
            </w:pPr>
            <w:r>
              <w:t xml:space="preserve">Artículos científicos en revistas Q1 o Q2</w:t>
            </w:r>
          </w:p>
        </w:tc>
        <w:tc>
          <w:tcPr/>
          <w:p>
            <w:pPr>
              <w:pStyle w:val="Tabla9"/>
              <w:jc w:val="left"/>
            </w:pPr>
            <w:r>
              <w:t xml:space="preserve">PERS-P03</w:t>
            </w:r>
          </w:p>
        </w:tc>
        <w:tc>
          <w:tcPr/>
          <w:p>
            <w:pPr>
              <w:pStyle w:val="Tabla9"/>
              <w:jc w:val="left"/>
            </w:pPr>
            <w:r>
              <w:t xml:space="preserve">H7 (mes 23)</w:t>
            </w:r>
          </w:p>
        </w:tc>
        <w:tc>
          <w:tcPr/>
          <w:p>
            <w:pPr>
              <w:pStyle w:val="Tabla9"/>
              <w:jc w:val="left"/>
            </w:pPr>
            <w:r>
              <w:t xml:space="preserve">2 sometidos y al menos 1 aceptado al mes 24</w:t>
            </w:r>
          </w:p>
        </w:tc>
      </w:tr>
      <w:tr>
        <w:trPr>
          <w:cantSplit/>
        </w:trPr>
        <w:tc>
          <w:tcPr/>
          <w:p>
            <w:pPr>
              <w:pStyle w:val="Tabla9"/>
              <w:jc w:val="left"/>
            </w:pPr>
            <w:r>
              <w:t xml:space="preserve">E6</w:t>
            </w:r>
          </w:p>
        </w:tc>
        <w:tc>
          <w:tcPr/>
          <w:p>
            <w:pPr>
              <w:pStyle w:val="Tabla9"/>
              <w:jc w:val="left"/>
            </w:pPr>
            <w:r>
              <w:t xml:space="preserve">Actividades de apropiación social y custodios formados</w:t>
            </w:r>
          </w:p>
        </w:tc>
        <w:tc>
          <w:tcPr/>
          <w:p>
            <w:pPr>
              <w:pStyle w:val="Tabla9"/>
              <w:jc w:val="left"/>
            </w:pPr>
            <w:r>
              <w:t xml:space="preserve">PERS-P04, PERS-E03</w:t>
            </w:r>
          </w:p>
        </w:tc>
        <w:tc>
          <w:tcPr/>
          <w:p>
            <w:pPr>
              <w:pStyle w:val="Tabla9"/>
              <w:jc w:val="left"/>
            </w:pPr>
            <w:r>
              <w:t xml:space="preserve">H8 (mes 24)</w:t>
            </w:r>
          </w:p>
        </w:tc>
        <w:tc>
          <w:tcPr/>
          <w:p>
            <w:pPr>
              <w:pStyle w:val="Tabla9"/>
              <w:jc w:val="left"/>
            </w:pPr>
            <w:r>
              <w:t xml:space="preserve">29 actividades documentadas y 60 personas certificadas o más</w:t>
            </w:r>
          </w:p>
        </w:tc>
      </w:tr>
      <w:tr>
        <w:trPr>
          <w:cantSplit/>
        </w:trPr>
        <w:tc>
          <w:tcPr/>
          <w:p>
            <w:pPr>
              <w:pStyle w:val="Tabla9"/>
              <w:jc w:val="left"/>
            </w:pPr>
            <w:r>
              <w:t xml:space="preserve">E7</w:t>
            </w:r>
          </w:p>
        </w:tc>
        <w:tc>
          <w:tcPr/>
          <w:p>
            <w:pPr>
              <w:pStyle w:val="Tabla9"/>
              <w:jc w:val="left"/>
            </w:pPr>
            <w:r>
              <w:t xml:space="preserve">Convenios de custodia con partida y cláusula de apertura</w:t>
            </w:r>
          </w:p>
        </w:tc>
        <w:tc>
          <w:tcPr/>
          <w:p>
            <w:pPr>
              <w:pStyle w:val="Tabla9"/>
              <w:jc w:val="left"/>
            </w:pPr>
            <w:r>
              <w:t xml:space="preserve">PERS-S01, PERS-S02</w:t>
            </w:r>
          </w:p>
        </w:tc>
        <w:tc>
          <w:tcPr/>
          <w:p>
            <w:pPr>
              <w:pStyle w:val="Tabla9"/>
              <w:jc w:val="left"/>
            </w:pPr>
            <w:r>
              <w:t xml:space="preserve">H5 y H8</w:t>
            </w:r>
          </w:p>
        </w:tc>
        <w:tc>
          <w:tcPr/>
          <w:p>
            <w:pPr>
              <w:pStyle w:val="Tabla9"/>
              <w:jc w:val="left"/>
            </w:pPr>
            <w:r>
              <w:t xml:space="preserve">Convenios firmados por tramo; 70 % de continuidad a los 12 meses del cierre</w:t>
            </w:r>
          </w:p>
        </w:tc>
      </w:tr>
    </w:tbl>
    <w:p>
      <w:pPr>
        <w:pStyle w:val="TablaNota"/>
      </w:pPr>
      <w:r>
        <w:rPr>
          <w:i/>
          <w:iCs/>
        </w:rPr>
        <w:t xml:space="preserve">Nota.</w:t>
      </w:r>
      <w:r>
        <w:t xml:space="preserve"> </w:t>
      </w:r>
      <w:r>
        <w:t xml:space="preserve">Elaboración propia con datos de la ficha maestra §4, §6 y §8 e indicadores.py. Los criterios de aceptación son PROPUESTO. Los indicadores S01 y S02 se miden después del cierre. Decimales con coma y miles con punto.</w:t>
      </w:r>
    </w:p>
    <w:p>
      <w:pPr>
        <w:pStyle w:val="BodyText"/>
      </w:pPr>
      <w:r>
        <w:t xml:space="preserve">La tabla muestra que seis de los siete entregables se verifican durante la ejecución y uno depende del posproyecto. Los entregables E1 a E4 son las condiciones de las compuertas. El entregable E5 depende de tiempos editoriales ajenos. El entregable E7 es el más expuesto, porque requiere partidas que las alcaldías aún no han comprometido. Esa exposición explica por qué la compuerta C2 exige convenios con partida antes de liberar el tramo 3.</w:t>
      </w:r>
    </w:p>
    <w:bookmarkEnd w:id="711"/>
    <w:bookmarkStart w:id="712" w:name="_Toc00900296"/>
    <w:p>
      <w:pPr>
        <w:pStyle w:val="Heading2"/>
      </w:pPr>
      <w:r>
        <w:t xml:space="preserve">21.4 Objetivos Medibles</w:t>
      </w:r>
    </w:p>
    <w:p>
      <w:pPr>
        <w:pStyle w:val="FirstParagraph"/>
      </w:pPr>
      <w:r>
        <w:t xml:space="preserve">Los criterios de éxito traducen los tres objetivos específicos en metas numéricas con plazo. Cada criterio tiene un umbral, un medio de verificación y un momento de evaluación. El éxito no se declara por completar actividades, sino por cumplir umbrales verificados por una fuente independiente. La Tabla 21.3 presenta los criterios y los indicadores clave del proyecto. Los umbrales de desempeño toman como ancla los protocolos de la U.S. Environmental Protection Agency [EPA] (2021) para uso informativo en sitio fijo.</w:t>
      </w:r>
    </w:p>
    <w:p>
      <w:pPr>
        <w:pStyle w:val="TablaRotulo"/>
      </w:pPr>
      <w:bookmarkStart w:id="9412" w:name="rot_Tabla_21_3"/>
      <w:r>
        <w:rPr>
          <w:b/>
          <w:bCs/>
        </w:rPr>
        <w:t xml:space="preserve">Tabla 21.3</w:t>
      </w:r>
      <w:bookmarkEnd w:id="9412"/>
    </w:p>
    <w:p>
      <w:pPr>
        <w:pStyle w:val="TablaTitulo"/>
      </w:pPr>
      <w:r>
        <w:rPr>
          <w:i/>
          <w:iCs/>
        </w:rPr>
        <w:t xml:space="preserve">Criterios de éxito medibles e indicadores clave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30"/>
        <w:gridCol w:w="1730"/>
        <w:gridCol w:w="1730"/>
        <w:gridCol w:w="1530"/>
        <w:gridCol w:w="1197"/>
      </w:tblGrid>
      <w:tr>
        <w:trPr>
          <w:cantSplit/>
          <w:tblHeader/>
        </w:trPr>
        <w:tc>
          <w:tcPr>
            <w:shd w:val="clear" w:color="auto" w:fill="00B050"/>
          </w:tcPr>
          <w:p>
            <w:pPr>
              <w:pStyle w:val="Tabla9"/>
              <w:jc w:val="center"/>
            </w:pPr>
            <w:r>
              <w:rPr>
                <w:b/>
                <w:color w:val="FFFFFF"/>
              </w:rPr>
              <w:t xml:space="preserve">Objetivo</w:t>
            </w:r>
          </w:p>
        </w:tc>
        <w:tc>
          <w:tcPr>
            <w:shd w:val="clear" w:color="auto" w:fill="00B050"/>
          </w:tcPr>
          <w:p>
            <w:pPr>
              <w:pStyle w:val="Tabla9"/>
              <w:jc w:val="center"/>
            </w:pPr>
            <w:r>
              <w:rPr>
                <w:b/>
                <w:color w:val="FFFFFF"/>
              </w:rPr>
              <w:t xml:space="preserve">Criterio de éxito</w:t>
            </w:r>
          </w:p>
        </w:tc>
        <w:tc>
          <w:tcPr>
            <w:shd w:val="clear" w:color="auto" w:fill="00B050"/>
          </w:tcPr>
          <w:p>
            <w:pPr>
              <w:pStyle w:val="Tabla9"/>
              <w:jc w:val="center"/>
            </w:pPr>
            <w:r>
              <w:rPr>
                <w:b/>
                <w:color w:val="FFFFFF"/>
              </w:rPr>
              <w:t xml:space="preserve">Umbral</w:t>
            </w:r>
          </w:p>
        </w:tc>
        <w:tc>
          <w:tcPr>
            <w:shd w:val="clear" w:color="auto" w:fill="00B050"/>
          </w:tcPr>
          <w:p>
            <w:pPr>
              <w:pStyle w:val="Tabla9"/>
              <w:jc w:val="center"/>
            </w:pPr>
            <w:r>
              <w:rPr>
                <w:b/>
                <w:color w:val="FFFFFF"/>
              </w:rPr>
              <w:t xml:space="preserve">Verificación</w:t>
            </w:r>
          </w:p>
        </w:tc>
        <w:tc>
          <w:tcPr>
            <w:shd w:val="clear" w:color="auto" w:fill="00B050"/>
          </w:tcPr>
          <w:p>
            <w:pPr>
              <w:pStyle w:val="Tabla9"/>
              <w:jc w:val="center"/>
            </w:pPr>
            <w:r>
              <w:rPr>
                <w:b/>
                <w:color w:val="FFFFFF"/>
              </w:rPr>
              <w:t xml:space="preserve">Momento</w:t>
            </w:r>
          </w:p>
        </w:tc>
      </w:tr>
      <w:tr>
        <w:trPr>
          <w:cantSplit/>
        </w:trPr>
        <w:tc>
          <w:tcPr/>
          <w:p>
            <w:pPr>
              <w:pStyle w:val="Tabla9"/>
              <w:jc w:val="left"/>
            </w:pPr>
            <w:r>
              <w:t xml:space="preserve">OE1: medición verificada</w:t>
            </w:r>
          </w:p>
        </w:tc>
        <w:tc>
          <w:tcPr/>
          <w:p>
            <w:pPr>
              <w:pStyle w:val="Tabla9"/>
              <w:jc w:val="left"/>
            </w:pPr>
            <w:r>
              <w:t xml:space="preserve">Error de los nodos frente a la referencia</w:t>
            </w:r>
          </w:p>
        </w:tc>
        <w:tc>
          <w:tcPr/>
          <w:p>
            <w:pPr>
              <w:pStyle w:val="Tabla9"/>
              <w:jc w:val="left"/>
            </w:pPr>
            <w:r>
              <w:t xml:space="preserve">R² de 0,70 o más y NRMSE de 30 % o menos en los tres tramos</w:t>
            </w:r>
          </w:p>
        </w:tc>
        <w:tc>
          <w:tcPr/>
          <w:p>
            <w:pPr>
              <w:pStyle w:val="Tabla9"/>
              <w:jc w:val="left"/>
            </w:pPr>
            <w:r>
              <w:t xml:space="preserve">Informe de validación y ensayo con laboratorio externo</w:t>
            </w:r>
          </w:p>
        </w:tc>
        <w:tc>
          <w:tcPr/>
          <w:p>
            <w:pPr>
              <w:pStyle w:val="Tabla9"/>
              <w:jc w:val="left"/>
            </w:pPr>
            <w:r>
              <w:t xml:space="preserve">Meses 12, 17 y 24</w:t>
            </w:r>
          </w:p>
        </w:tc>
      </w:tr>
      <w:tr>
        <w:trPr>
          <w:cantSplit/>
        </w:trPr>
        <w:tc>
          <w:tcPr/>
          <w:p>
            <w:pPr>
              <w:pStyle w:val="Tabla9"/>
              <w:jc w:val="left"/>
            </w:pPr>
            <w:r>
              <w:t xml:space="preserve">OE2: disponibilidad de la red</w:t>
            </w:r>
          </w:p>
        </w:tc>
        <w:tc>
          <w:tcPr/>
          <w:p>
            <w:pPr>
              <w:pStyle w:val="Tabla9"/>
              <w:jc w:val="left"/>
            </w:pPr>
            <w:r>
              <w:t xml:space="preserve">Disponibilidad mensual de nodos y pérdida de paquetes</w:t>
            </w:r>
          </w:p>
        </w:tc>
        <w:tc>
          <w:tcPr/>
          <w:p>
            <w:pPr>
              <w:pStyle w:val="Tabla9"/>
              <w:jc w:val="left"/>
            </w:pPr>
            <w:r>
              <w:t xml:space="preserve">Disponibilidad de 90 % o más y pérdida de 10 % o menos</w:t>
            </w:r>
          </w:p>
        </w:tc>
        <w:tc>
          <w:tcPr/>
          <w:p>
            <w:pPr>
              <w:pStyle w:val="Tabla9"/>
              <w:jc w:val="left"/>
            </w:pPr>
            <w:r>
              <w:t xml:space="preserve">Registro de la plataforma e inventario</w:t>
            </w:r>
          </w:p>
        </w:tc>
        <w:tc>
          <w:tcPr/>
          <w:p>
            <w:pPr>
              <w:pStyle w:val="Tabla9"/>
              <w:jc w:val="left"/>
            </w:pPr>
            <w:r>
              <w:t xml:space="preserve">Cada mes; compuerta C2</w:t>
            </w:r>
          </w:p>
        </w:tc>
      </w:tr>
      <w:tr>
        <w:trPr>
          <w:cantSplit/>
        </w:trPr>
        <w:tc>
          <w:tcPr/>
          <w:p>
            <w:pPr>
              <w:pStyle w:val="Tabla9"/>
              <w:jc w:val="left"/>
            </w:pPr>
            <w:r>
              <w:t xml:space="preserve">OE3: uso institucional</w:t>
            </w:r>
          </w:p>
        </w:tc>
        <w:tc>
          <w:tcPr/>
          <w:p>
            <w:pPr>
              <w:pStyle w:val="Tabla9"/>
              <w:jc w:val="left"/>
            </w:pPr>
            <w:r>
              <w:t xml:space="preserve">Comités que usan el tablero en decisiones documentadas</w:t>
            </w:r>
          </w:p>
        </w:tc>
        <w:tc>
          <w:tcPr/>
          <w:p>
            <w:pPr>
              <w:pStyle w:val="Tabla9"/>
              <w:jc w:val="left"/>
            </w:pPr>
            <w:r>
              <w:t xml:space="preserve">75 % o más de los 15 comités al mes 24</w:t>
            </w:r>
          </w:p>
        </w:tc>
        <w:tc>
          <w:tcPr/>
          <w:p>
            <w:pPr>
              <w:pStyle w:val="Tabla9"/>
              <w:jc w:val="left"/>
            </w:pPr>
            <w:r>
              <w:t xml:space="preserve">Actas de comité con referencia al tablero</w:t>
            </w:r>
          </w:p>
        </w:tc>
        <w:tc>
          <w:tcPr/>
          <w:p>
            <w:pPr>
              <w:pStyle w:val="Tabla9"/>
              <w:jc w:val="left"/>
            </w:pPr>
            <w:r>
              <w:t xml:space="preserve">Meses 12, 17 y 24</w:t>
            </w:r>
          </w:p>
        </w:tc>
      </w:tr>
      <w:tr>
        <w:trPr>
          <w:cantSplit/>
        </w:trPr>
        <w:tc>
          <w:tcPr/>
          <w:p>
            <w:pPr>
              <w:pStyle w:val="Tabla9"/>
              <w:jc w:val="left"/>
            </w:pPr>
            <w:r>
              <w:t xml:space="preserve">Gestión</w:t>
            </w:r>
          </w:p>
        </w:tc>
        <w:tc>
          <w:tcPr/>
          <w:p>
            <w:pPr>
              <w:pStyle w:val="Tabla9"/>
              <w:jc w:val="left"/>
            </w:pPr>
            <w:r>
              <w:t xml:space="preserve">Ejecución presupuestal</w:t>
            </w:r>
          </w:p>
        </w:tc>
        <w:tc>
          <w:tcPr/>
          <w:p>
            <w:pPr>
              <w:pStyle w:val="Tabla9"/>
              <w:jc w:val="left"/>
            </w:pPr>
            <w:r>
              <w:t xml:space="preserve">Desviación absoluta de 5 % o menos al cierre</w:t>
            </w:r>
          </w:p>
        </w:tc>
        <w:tc>
          <w:tcPr/>
          <w:p>
            <w:pPr>
              <w:pStyle w:val="Tabla9"/>
              <w:jc w:val="left"/>
            </w:pPr>
            <w:r>
              <w:t xml:space="preserve">Informe financiero conciliado</w:t>
            </w:r>
          </w:p>
        </w:tc>
        <w:tc>
          <w:tcPr/>
          <w:p>
            <w:pPr>
              <w:pStyle w:val="Tabla9"/>
              <w:jc w:val="left"/>
            </w:pPr>
            <w:r>
              <w:t xml:space="preserve">Cada mes</w:t>
            </w:r>
          </w:p>
        </w:tc>
      </w:tr>
      <w:tr>
        <w:trPr>
          <w:cantSplit/>
        </w:trPr>
        <w:tc>
          <w:tcPr/>
          <w:p>
            <w:pPr>
              <w:pStyle w:val="Tabla9"/>
              <w:jc w:val="left"/>
            </w:pPr>
            <w:r>
              <w:t xml:space="preserve">Capacidad</w:t>
            </w:r>
          </w:p>
        </w:tc>
        <w:tc>
          <w:tcPr/>
          <w:p>
            <w:pPr>
              <w:pStyle w:val="Tabla9"/>
              <w:jc w:val="left"/>
            </w:pPr>
            <w:r>
              <w:t xml:space="preserve">Personas certificadas en operación y mantenimiento</w:t>
            </w:r>
          </w:p>
        </w:tc>
        <w:tc>
          <w:tcPr/>
          <w:p>
            <w:pPr>
              <w:pStyle w:val="Tabla9"/>
              <w:jc w:val="left"/>
            </w:pPr>
            <w:r>
              <w:t xml:space="preserve">60 personas o más</w:t>
            </w:r>
          </w:p>
        </w:tc>
        <w:tc>
          <w:tcPr/>
          <w:p>
            <w:pPr>
              <w:pStyle w:val="Tabla9"/>
              <w:jc w:val="left"/>
            </w:pPr>
            <w:r>
              <w:t xml:space="preserve">Evaluaciones prácticas aprobadas</w:t>
            </w:r>
          </w:p>
        </w:tc>
        <w:tc>
          <w:tcPr/>
          <w:p>
            <w:pPr>
              <w:pStyle w:val="Tabla9"/>
              <w:jc w:val="left"/>
            </w:pPr>
            <w:r>
              <w:t xml:space="preserve">Semestral</w:t>
            </w:r>
          </w:p>
        </w:tc>
      </w:tr>
      <w:tr>
        <w:trPr>
          <w:cantSplit/>
        </w:trPr>
        <w:tc>
          <w:tcPr/>
          <w:p>
            <w:pPr>
              <w:pStyle w:val="Tabla9"/>
              <w:jc w:val="left"/>
            </w:pPr>
            <w:r>
              <w:t xml:space="preserve">Continuidad</w:t>
            </w:r>
          </w:p>
        </w:tc>
        <w:tc>
          <w:tcPr/>
          <w:p>
            <w:pPr>
              <w:pStyle w:val="Tabla9"/>
              <w:jc w:val="left"/>
            </w:pPr>
            <w:r>
              <w:t xml:space="preserve">Nodos operados por custodios con partida</w:t>
            </w:r>
          </w:p>
        </w:tc>
        <w:tc>
          <w:tcPr/>
          <w:p>
            <w:pPr>
              <w:pStyle w:val="Tabla9"/>
              <w:jc w:val="left"/>
            </w:pPr>
            <w:r>
              <w:t xml:space="preserve">70 % o más a los 12 meses del cierre</w:t>
            </w:r>
          </w:p>
        </w:tc>
        <w:tc>
          <w:tcPr/>
          <w:p>
            <w:pPr>
              <w:pStyle w:val="Tabla9"/>
              <w:jc w:val="left"/>
            </w:pPr>
            <w:r>
              <w:t xml:space="preserve">Evaluación externa posproyecto</w:t>
            </w:r>
          </w:p>
        </w:tc>
        <w:tc>
          <w:tcPr/>
          <w:p>
            <w:pPr>
              <w:pStyle w:val="Tabla9"/>
              <w:jc w:val="left"/>
            </w:pPr>
            <w:r>
              <w:t xml:space="preserve">Meses 30 y 36</w:t>
            </w:r>
          </w:p>
        </w:tc>
      </w:tr>
    </w:tbl>
    <w:p>
      <w:pPr>
        <w:pStyle w:val="TablaNota"/>
      </w:pPr>
      <w:r>
        <w:rPr>
          <w:i/>
          <w:iCs/>
        </w:rPr>
        <w:t xml:space="preserve">Nota.</w:t>
      </w:r>
      <w:r>
        <w:t xml:space="preserve"> </w:t>
      </w:r>
      <w:r>
        <w:t xml:space="preserve">Elaboración propia con datos de la ficha maestra §3, §6 y §8. Los umbrales de desempeño son PROPUESTO con ancla en EPA (2021). La línea base de error se mide en el tramo 1 y no existe todavía (VACIO). Decimales con coma.</w:t>
      </w:r>
    </w:p>
    <w:p>
      <w:pPr>
        <w:pStyle w:val="BodyText"/>
      </w:pPr>
      <w:r>
        <w:t xml:space="preserve">Dos criterios dependen de líneas base que aún no existen. El error de partida de los nodos se mide en el tramo 1. La reducción relativa de falsas alarmas se calcula con la tasa inicial de ese tramo. Por esa razón las metas de esos criterios son aspiraciones hasta la compuerta C1. El acta de constitución acepta esa condición porque cada compuerta convierte una aspiración en compromiso cuando la línea base existe.</w:t>
      </w:r>
    </w:p>
    <w:bookmarkEnd w:id="712"/>
    <w:bookmarkStart w:id="713" w:name="_Toc00900297"/>
    <w:p>
      <w:pPr>
        <w:pStyle w:val="Heading2"/>
      </w:pPr>
      <w:r>
        <w:t xml:space="preserve">21.5 Alcance y Exclusiones</w:t>
      </w:r>
    </w:p>
    <w:p>
      <w:pPr>
        <w:pStyle w:val="FirstParagraph"/>
      </w:pPr>
      <w:r>
        <w:t xml:space="preserve">La delimitación del alcance protege al proyecto de compromisos que no puede sostener. Lo que está dentro del alcance coincide con los siete entregables. Lo que queda fuera se declara de forma expresa. Entre las exclusiones, la más importante es la ausencia de afirmaciones sobre efectos en salud. La Tabla 21.4 presenta la matriz de alcance con supuestos y restricciones.</w:t>
      </w:r>
    </w:p>
    <w:p>
      <w:pPr>
        <w:pStyle w:val="TablaRotulo"/>
      </w:pPr>
      <w:bookmarkStart w:id="9413" w:name="rot_Tabla_21_4"/>
      <w:r>
        <w:rPr>
          <w:b/>
          <w:bCs/>
        </w:rPr>
        <w:t xml:space="preserve">Tabla 21.4</w:t>
      </w:r>
      <w:bookmarkEnd w:id="9413"/>
    </w:p>
    <w:p>
      <w:pPr>
        <w:pStyle w:val="TablaTitulo"/>
      </w:pPr>
      <w:r>
        <w:rPr>
          <w:i/>
          <w:iCs/>
        </w:rPr>
        <w:t xml:space="preserve">Matriz de alcance con inclusiones, exclusiones, supuestos y restricciones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shd w:val="clear" w:color="auto" w:fill="00B050"/>
          </w:tcPr>
          <w:p>
            <w:pPr>
              <w:pStyle w:val="Tabla9"/>
              <w:jc w:val="center"/>
            </w:pPr>
            <w:r>
              <w:rPr>
                <w:b/>
                <w:color w:val="FFFFFF"/>
              </w:rPr>
              <w:t xml:space="preserve">Categoría</w:t>
            </w:r>
          </w:p>
        </w:tc>
        <w:tc>
          <w:tcPr>
            <w:shd w:val="clear" w:color="auto" w:fill="00B050"/>
          </w:tcPr>
          <w:p>
            <w:pPr>
              <w:pStyle w:val="Tabla9"/>
              <w:jc w:val="center"/>
            </w:pPr>
            <w:r>
              <w:rPr>
                <w:b/>
                <w:color w:val="FFFFFF"/>
              </w:rPr>
              <w:t xml:space="preserve">Contenido</w:t>
            </w:r>
          </w:p>
        </w:tc>
      </w:tr>
      <w:tr>
        <w:trPr>
          <w:cantSplit/>
        </w:trPr>
        <w:tc>
          <w:tcPr/>
          <w:p>
            <w:pPr>
              <w:pStyle w:val="Tabla9"/>
              <w:jc w:val="left"/>
            </w:pPr>
            <w:r>
              <w:t xml:space="preserve">Dentro del alcance</w:t>
            </w:r>
          </w:p>
        </w:tc>
        <w:tc>
          <w:tcPr/>
          <w:p>
            <w:pPr>
              <w:pStyle w:val="Tabla9"/>
              <w:jc w:val="left"/>
            </w:pPr>
            <w:r>
              <w:t xml:space="preserve">Red de 100 nodos y 10 gateways en Caldas, Cundinamarca y Valle del Cauca; modelo de corrección en el gateway; gemelo digital y tablero; protocolo de alerta con umbrales locales; 29 actividades de apropiación social; 60 personas formadas; convenios de custodia por tramo; evaluación externa en los meses 12 y 24</w:t>
            </w:r>
          </w:p>
        </w:tc>
      </w:tr>
      <w:tr>
        <w:trPr>
          <w:cantSplit/>
        </w:trPr>
        <w:tc>
          <w:tcPr/>
          <w:p>
            <w:pPr>
              <w:pStyle w:val="Tabla9"/>
              <w:jc w:val="left"/>
            </w:pPr>
            <w:r>
              <w:t xml:space="preserve">Fuera del alcance</w:t>
            </w:r>
          </w:p>
        </w:tc>
        <w:tc>
          <w:tcPr/>
          <w:p>
            <w:pPr>
              <w:pStyle w:val="Tabla9"/>
              <w:jc w:val="left"/>
            </w:pPr>
            <w:r>
              <w:t xml:space="preserve">Efectos en salud o reducción de morbilidad; cobertura de otros departamentos; más de 100 nodos operativos; un cuarto tramo; un año adicional de custodia; calificación formal TRL 8; vigilancia de otros contaminantes; financiación de la medición posproyecto</w:t>
            </w:r>
          </w:p>
        </w:tc>
      </w:tr>
      <w:tr>
        <w:trPr>
          <w:cantSplit/>
        </w:trPr>
        <w:tc>
          <w:tcPr/>
          <w:p>
            <w:pPr>
              <w:pStyle w:val="Tabla9"/>
              <w:jc w:val="left"/>
            </w:pPr>
            <w:r>
              <w:t xml:space="preserve">Supuestos</w:t>
            </w:r>
          </w:p>
        </w:tc>
        <w:tc>
          <w:tcPr/>
          <w:p>
            <w:pPr>
              <w:pStyle w:val="Tabla9"/>
              <w:jc w:val="left"/>
            </w:pPr>
            <w:r>
              <w:t xml:space="preserve">Territorio y alianza ejecutora definidos por instrucción del usuario; compuertas C1 y C2 aprobadas en los meses 12 y 17; acceso vial en ventanas secas; comités constituidos con sesiones periódicas; custodios con competencia jurídica y partida</w:t>
            </w:r>
          </w:p>
        </w:tc>
      </w:tr>
      <w:tr>
        <w:trPr>
          <w:cantSplit/>
        </w:trPr>
        <w:tc>
          <w:tcPr/>
          <w:p>
            <w:pPr>
              <w:pStyle w:val="Tabla9"/>
              <w:jc w:val="left"/>
            </w:pPr>
            <w:r>
              <w:t xml:space="preserve">Restricciones</w:t>
            </w:r>
          </w:p>
        </w:tc>
        <w:tc>
          <w:tcPr/>
          <w:p>
            <w:pPr>
              <w:pStyle w:val="Tabla9"/>
              <w:jc w:val="left"/>
            </w:pPr>
            <w:r>
              <w:t xml:space="preserve">Duración de 24 meses y 104 semanas; tope declarado de 14.000.000.000 COP sin verificar; sin cotizaciones soportadas; términos de referencia no aportados; contrapartida sin certificar; ningún dato de salud en el diseño</w:t>
            </w:r>
          </w:p>
        </w:tc>
      </w:tr>
    </w:tbl>
    <w:p>
      <w:pPr>
        <w:pStyle w:val="TablaNota"/>
      </w:pPr>
      <w:r>
        <w:rPr>
          <w:i/>
          <w:iCs/>
        </w:rPr>
        <w:t xml:space="preserve">Nota.</w:t>
      </w:r>
      <w:r>
        <w:t xml:space="preserve"> </w:t>
      </w:r>
      <w:r>
        <w:t xml:space="preserve">Elaboración propia con la ficha maestra §1, §3, §4 y §12. Las opciones fuera del alcance son opciones de ampliación condicionadas a los términos de referencia y no se presupuestan (DEC-F06).</w:t>
      </w:r>
    </w:p>
    <w:p>
      <w:pPr>
        <w:pStyle w:val="BodyText"/>
      </w:pPr>
      <w:r>
        <w:t xml:space="preserve">Las exclusiones tienen una consecuencia práctica. Si el financiador pide ampliar la cobertura o añadir un cuarto tramo, el cambio exige una modificación formal del acta. Exige también un nuevo presupuesto y una revisión de riesgos. El acta no impide esa ampliación. La condiciona a la evidencia de las compuertas, porque ampliar antes de validar el modelo repetiría el error que el proyecto pretende corregir.</w:t>
      </w:r>
    </w:p>
    <w:p>
      <w:pPr>
        <w:pStyle w:val="BodyText"/>
      </w:pPr>
      <w:r>
        <w:t xml:space="preserve">La gestión del cambio sigue una regla simple. Todo cambio que altere el alcance, el plazo o el valor total pasa por el comité directivo. Queda registrado con su efecto sobre los criterios de éxito. Collingridge (1980) advierte que el costo de corregir una tecnología crece con el tiempo y que el control es más fácil al inicio. Por eso el acta concentra las decisiones difíciles de revertir, como la compra de equipos, en las compuertas. Deja las decisiones reversibles, como el calendario de talleres, en manos de la gerencia.</w:t>
      </w:r>
    </w:p>
    <w:bookmarkEnd w:id="713"/>
    <w:bookmarkStart w:id="714" w:name="_Toc00900298"/>
    <w:p>
      <w:pPr>
        <w:pStyle w:val="Heading2"/>
      </w:pPr>
      <w:r>
        <w:t xml:space="preserve">21.6 Riesgos de Alto Nivel</w:t>
      </w:r>
    </w:p>
    <w:p>
      <w:pPr>
        <w:pStyle w:val="FirstParagraph"/>
      </w:pPr>
      <w:r>
        <w:t xml:space="preserve">El registro del capítulo 10 contiene 12 riesgos. El acta resume los cinco de mayor valor monetario esperado. Esos cinco suman 471,0 millones de COP, que equivalen a 74,0 % de la reserva de contingencia. Se ordenan por valor esperado y no por nivel, porque el valor esperado combina probabilidad e impacto en una misma escala monetaria (ISO, 2018). La Tabla 21.5 presenta los cinco con su estrategia preliminar.</w:t>
      </w:r>
    </w:p>
    <w:p>
      <w:pPr>
        <w:pStyle w:val="TablaRotulo"/>
      </w:pPr>
      <w:bookmarkStart w:id="9414" w:name="rot_Tabla_21_5"/>
      <w:r>
        <w:rPr>
          <w:b/>
          <w:bCs/>
        </w:rPr>
        <w:t xml:space="preserve">Tabla 21.5</w:t>
      </w:r>
      <w:bookmarkEnd w:id="9414"/>
    </w:p>
    <w:p>
      <w:pPr>
        <w:pStyle w:val="TablaTitulo"/>
      </w:pPr>
      <w:r>
        <w:rPr>
          <w:i/>
          <w:iCs/>
        </w:rPr>
        <w:t xml:space="preserve">Riesgos de alto nivel con valor esperado y estrategia preliminar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20"/>
        <w:gridCol w:w="2112"/>
        <w:gridCol w:w="1386"/>
        <w:gridCol w:w="1254"/>
        <w:gridCol w:w="1848"/>
      </w:tblGrid>
      <w:tr>
        <w:trPr>
          <w:cantSplit/>
          <w:tblHeader/>
        </w:trPr>
        <w:tc>
          <w:tcPr>
            <w:shd w:val="clear" w:color="auto" w:fill="00B050"/>
          </w:tcPr>
          <w:p>
            <w:pPr>
              <w:pStyle w:val="Tabla9"/>
              <w:jc w:val="center"/>
            </w:pPr>
            <w:r>
              <w:rPr>
                <w:b/>
                <w:color w:val="FFFFFF"/>
              </w:rPr>
              <w:t xml:space="preserve">Riesgo</w:t>
            </w:r>
          </w:p>
        </w:tc>
        <w:tc>
          <w:tcPr>
            <w:shd w:val="clear" w:color="auto" w:fill="00B050"/>
          </w:tcPr>
          <w:p>
            <w:pPr>
              <w:pStyle w:val="Tabla9"/>
              <w:jc w:val="center"/>
            </w:pPr>
            <w:r>
              <w:rPr>
                <w:b/>
                <w:color w:val="FFFFFF"/>
              </w:rPr>
              <w:t xml:space="preserve">Descripción</w:t>
            </w:r>
          </w:p>
        </w:tc>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EMV (millones de COP)</w:t>
            </w:r>
          </w:p>
        </w:tc>
        <w:tc>
          <w:tcPr>
            <w:shd w:val="clear" w:color="auto" w:fill="00B050"/>
          </w:tcPr>
          <w:p>
            <w:pPr>
              <w:pStyle w:val="Tabla9"/>
              <w:jc w:val="center"/>
            </w:pPr>
            <w:r>
              <w:rPr>
                <w:b/>
                <w:color w:val="FFFFFF"/>
              </w:rPr>
              <w:t xml:space="preserve">Estrategia preliminar</w:t>
            </w:r>
          </w:p>
        </w:tc>
      </w:tr>
      <w:tr>
        <w:trPr>
          <w:cantSplit/>
        </w:trPr>
        <w:tc>
          <w:tcPr/>
          <w:p>
            <w:pPr>
              <w:pStyle w:val="Tabla9"/>
              <w:jc w:val="left"/>
            </w:pPr>
            <w:r>
              <w:t xml:space="preserve">R-FIN-01</w:t>
            </w:r>
          </w:p>
        </w:tc>
        <w:tc>
          <w:tcPr/>
          <w:p>
            <w:pPr>
              <w:pStyle w:val="Tabla9"/>
              <w:jc w:val="left"/>
            </w:pPr>
            <w:r>
              <w:t xml:space="preserve">La devaluación del peso encarece los equipos importados.</w:t>
            </w:r>
          </w:p>
        </w:tc>
        <w:tc>
          <w:tcPr/>
          <w:p>
            <w:pPr>
              <w:pStyle w:val="Tabla9"/>
              <w:jc w:val="left"/>
            </w:pPr>
            <w:r>
              <w:t xml:space="preserve">ALTO</w:t>
            </w:r>
          </w:p>
        </w:tc>
        <w:tc>
          <w:tcPr/>
          <w:p>
            <w:pPr>
              <w:pStyle w:val="Tabla9"/>
              <w:jc w:val="left"/>
            </w:pPr>
            <w:r>
              <w:t xml:space="preserve">165,0</w:t>
            </w:r>
          </w:p>
        </w:tc>
        <w:tc>
          <w:tcPr/>
          <w:p>
            <w:pPr>
              <w:pStyle w:val="Tabla9"/>
              <w:jc w:val="left"/>
            </w:pPr>
            <w:r>
              <w:t xml:space="preserve">Mitigar: Compra por tramo con cobertura cambiaria y cotizaciones vigentes.</w:t>
            </w:r>
          </w:p>
        </w:tc>
      </w:tr>
      <w:tr>
        <w:trPr>
          <w:cantSplit/>
        </w:trPr>
        <w:tc>
          <w:tcPr/>
          <w:p>
            <w:pPr>
              <w:pStyle w:val="Tabla9"/>
              <w:jc w:val="left"/>
            </w:pPr>
            <w:r>
              <w:t xml:space="preserve">R-TEC-01</w:t>
            </w:r>
          </w:p>
        </w:tc>
        <w:tc>
          <w:tcPr/>
          <w:p>
            <w:pPr>
              <w:pStyle w:val="Tabla9"/>
              <w:jc w:val="left"/>
            </w:pPr>
            <w:r>
              <w:t xml:space="preserve">La humedad y el polvo saturan los cabezales ópticos y sesgan PM2,5 y PM10.</w:t>
            </w:r>
          </w:p>
        </w:tc>
        <w:tc>
          <w:tcPr/>
          <w:p>
            <w:pPr>
              <w:pStyle w:val="Tabla9"/>
              <w:jc w:val="left"/>
            </w:pPr>
            <w:r>
              <w:t xml:space="preserve">EXTREMO</w:t>
            </w:r>
          </w:p>
        </w:tc>
        <w:tc>
          <w:tcPr/>
          <w:p>
            <w:pPr>
              <w:pStyle w:val="Tabla9"/>
              <w:jc w:val="left"/>
            </w:pPr>
            <w:r>
              <w:t xml:space="preserve">150,0</w:t>
            </w:r>
          </w:p>
        </w:tc>
        <w:tc>
          <w:tcPr/>
          <w:p>
            <w:pPr>
              <w:pStyle w:val="Tabla9"/>
              <w:jc w:val="left"/>
            </w:pPr>
            <w:r>
              <w:t xml:space="preserve">Mitigar: Modelo de corrección por humedad, banco de calibración y reposición de cabezales.</w:t>
            </w:r>
          </w:p>
        </w:tc>
      </w:tr>
      <w:tr>
        <w:trPr>
          <w:cantSplit/>
        </w:trPr>
        <w:tc>
          <w:tcPr/>
          <w:p>
            <w:pPr>
              <w:pStyle w:val="Tabla9"/>
              <w:jc w:val="left"/>
            </w:pPr>
            <w:r>
              <w:t xml:space="preserve">R-EXT-01</w:t>
            </w:r>
          </w:p>
        </w:tc>
        <w:tc>
          <w:tcPr/>
          <w:p>
            <w:pPr>
              <w:pStyle w:val="Tabla9"/>
              <w:jc w:val="left"/>
            </w:pPr>
            <w:r>
              <w:t xml:space="preserve">Deslizamientos o réplicas bloquean vías y retrasan la instalación.</w:t>
            </w:r>
          </w:p>
        </w:tc>
        <w:tc>
          <w:tcPr/>
          <w:p>
            <w:pPr>
              <w:pStyle w:val="Tabla9"/>
              <w:jc w:val="left"/>
            </w:pPr>
            <w:r>
              <w:t xml:space="preserve">ALTO</w:t>
            </w:r>
          </w:p>
        </w:tc>
        <w:tc>
          <w:tcPr/>
          <w:p>
            <w:pPr>
              <w:pStyle w:val="Tabla9"/>
              <w:jc w:val="left"/>
            </w:pPr>
            <w:r>
              <w:t xml:space="preserve">60,0</w:t>
            </w:r>
          </w:p>
        </w:tc>
        <w:tc>
          <w:tcPr/>
          <w:p>
            <w:pPr>
              <w:pStyle w:val="Tabla9"/>
              <w:jc w:val="left"/>
            </w:pPr>
            <w:r>
              <w:t xml:space="preserve">Aceptar y mitigar: Instalación en ventanas secas, técnicos locales y holgura en el cronograma.</w:t>
            </w:r>
          </w:p>
        </w:tc>
      </w:tr>
      <w:tr>
        <w:trPr>
          <w:cantSplit/>
        </w:trPr>
        <w:tc>
          <w:tcPr/>
          <w:p>
            <w:pPr>
              <w:pStyle w:val="Tabla9"/>
              <w:jc w:val="left"/>
            </w:pPr>
            <w:r>
              <w:t xml:space="preserve">R-ORG-02</w:t>
            </w:r>
          </w:p>
        </w:tc>
        <w:tc>
          <w:tcPr/>
          <w:p>
            <w:pPr>
              <w:pStyle w:val="Tabla9"/>
              <w:jc w:val="left"/>
            </w:pPr>
            <w:r>
              <w:t xml:space="preserve">Los custodios no asumen la operación en el posproyecto.</w:t>
            </w:r>
          </w:p>
        </w:tc>
        <w:tc>
          <w:tcPr/>
          <w:p>
            <w:pPr>
              <w:pStyle w:val="Tabla9"/>
              <w:jc w:val="left"/>
            </w:pPr>
            <w:r>
              <w:t xml:space="preserve">ALTO</w:t>
            </w:r>
          </w:p>
        </w:tc>
        <w:tc>
          <w:tcPr/>
          <w:p>
            <w:pPr>
              <w:pStyle w:val="Tabla9"/>
              <w:jc w:val="left"/>
            </w:pPr>
            <w:r>
              <w:t xml:space="preserve">60,0</w:t>
            </w:r>
          </w:p>
        </w:tc>
        <w:tc>
          <w:tcPr/>
          <w:p>
            <w:pPr>
              <w:pStyle w:val="Tabla9"/>
              <w:jc w:val="left"/>
            </w:pPr>
            <w:r>
              <w:t xml:space="preserve">Mitigar: Convenios por tramo, formación de custodios y cláusula de apertura.</w:t>
            </w:r>
          </w:p>
        </w:tc>
      </w:tr>
      <w:tr>
        <w:trPr>
          <w:cantSplit/>
        </w:trPr>
        <w:tc>
          <w:tcPr/>
          <w:p>
            <w:pPr>
              <w:pStyle w:val="Tabla9"/>
              <w:jc w:val="left"/>
            </w:pPr>
            <w:r>
              <w:t xml:space="preserve">R-ORG-01</w:t>
            </w:r>
          </w:p>
        </w:tc>
        <w:tc>
          <w:tcPr/>
          <w:p>
            <w:pPr>
              <w:pStyle w:val="Tabla9"/>
              <w:jc w:val="left"/>
            </w:pPr>
            <w:r>
              <w:t xml:space="preserve">Los comités de gestión del riesgo no adoptan el tablero ni el protocolo.</w:t>
            </w:r>
          </w:p>
        </w:tc>
        <w:tc>
          <w:tcPr/>
          <w:p>
            <w:pPr>
              <w:pStyle w:val="Tabla9"/>
              <w:jc w:val="left"/>
            </w:pPr>
            <w:r>
              <w:t xml:space="preserve">ALTO</w:t>
            </w:r>
          </w:p>
        </w:tc>
        <w:tc>
          <w:tcPr/>
          <w:p>
            <w:pPr>
              <w:pStyle w:val="Tabla9"/>
              <w:jc w:val="left"/>
            </w:pPr>
            <w:r>
              <w:t xml:space="preserve">36,0</w:t>
            </w:r>
          </w:p>
        </w:tc>
        <w:tc>
          <w:tcPr/>
          <w:p>
            <w:pPr>
              <w:pStyle w:val="Tabla9"/>
              <w:jc w:val="left"/>
            </w:pPr>
            <w:r>
              <w:t xml:space="preserve">Mitigar: Co-diseño de umbrales, formación por comité y uso piloto con registro de decisiones.</w:t>
            </w:r>
          </w:p>
        </w:tc>
      </w:tr>
    </w:tbl>
    <w:p>
      <w:pPr>
        <w:pStyle w:val="TablaNota"/>
      </w:pPr>
      <w:r>
        <w:rPr>
          <w:i/>
          <w:iCs/>
        </w:rPr>
        <w:t xml:space="preserve">Nota.</w:t>
      </w:r>
      <w:r>
        <w:t xml:space="preserve"> </w:t>
      </w:r>
      <w:r>
        <w:t xml:space="preserve">Elaboración propia con datos de maestro.py (RIESGOS). Probabilidad e impacto son PROPUESTO y NO_VERIFICADO; el EMV es CALCULADO. Los cinco riesgos suman 471,0 millones de COP; la reserva total es de 636,0 millones. Decimales con coma.</w:t>
      </w:r>
    </w:p>
    <w:p>
      <w:pPr>
        <w:pStyle w:val="BodyText"/>
      </w:pPr>
      <w:r>
        <w:t xml:space="preserve">Los cinco riesgos afectan las compuertas y el cronograma. R-TEC-01 amenaza la compuerta C1, porque la saturación de los cabezales sesgaría la validación. R-ORG-01 y R-ORG-02 amenazan la compuerta C2, porque el uso y los convenios dependen de actores externos. R-FIN-01 y R-EXT-01 amenazan el cronograma y el costo de cada tramo. El comité directivo recibe un informe de estos cinco riesgos en cada compuerta.</w:t>
      </w:r>
    </w:p>
    <w:bookmarkEnd w:id="714"/>
    <w:bookmarkStart w:id="718" w:name="_Toc00900299"/>
    <w:p>
      <w:pPr>
        <w:pStyle w:val="Heading2"/>
      </w:pPr>
      <w:r>
        <w:t xml:space="preserve">21.7 Hitos Principales</w:t>
      </w:r>
    </w:p>
    <w:p>
      <w:pPr>
        <w:pStyle w:val="FirstParagraph"/>
      </w:pPr>
      <w:r>
        <w:t xml:space="preserve">El cronograma de hitos reúne los nueve puntos de control del capítulo 9. Dos de ellos son compuertas de decisión, H3 en el mes 12 y H5 en el mes 17. El cierre H8 en el mes 24 es la tercera compuerta. Las compuertas liberan compras por 388,0 y 306,0 millones de COP. Las fechas exactas dependen de la fecha del acta de inicio [DATO_USUARIO: fecha del acta de inicio]. La Figura 21.1 presenta la línea de tiempo.</w:t>
      </w:r>
    </w:p>
    <w:p>
      <w:pPr>
        <w:pStyle w:val="FiguraRotulo"/>
      </w:pPr>
      <w:bookmarkStart w:id="9553" w:name="rot_Figura_21_1"/>
      <w:r>
        <w:rPr>
          <w:b/>
          <w:bCs/>
        </w:rPr>
        <w:t xml:space="preserve">Figura 21.1</w:t>
      </w:r>
      <w:bookmarkEnd w:id="9553"/>
    </w:p>
    <w:p>
      <w:pPr>
        <w:pStyle w:val="FiguraTitulo"/>
      </w:pPr>
      <w:r>
        <w:rPr>
          <w:i/>
          <w:iCs/>
        </w:rPr>
        <w:t xml:space="preserve">Nueve hitos entre el mes 2 y el mes 24; C1 y C2 liberan los tramos 2 y 3</w:t>
      </w:r>
    </w:p>
    <w:p>
      <w:pPr>
        <w:pStyle w:val="BodyText"/>
      </w:pPr>
      <w:r>
        <w:drawing>
          <wp:inline>
            <wp:extent cx="5579999" cy="2234192"/>
            <wp:effectExtent b="0" l="0" r="0" t="0"/>
            <wp:docPr descr="" title="" id="716" name="Picture"/>
            <a:graphic>
              <a:graphicData uri="http://schemas.openxmlformats.org/drawingml/2006/picture">
                <pic:pic>
                  <pic:nvPicPr>
                    <pic:cNvPr descr="/tmp/claude-0/-home-user-docs/ddf38714-2a7e-502b-92b4-1008e2832422/scratchpad/proy/figs/out/c21_f01.png" id="717" name="Picture"/>
                    <pic:cNvPicPr>
                      <a:picLocks noChangeArrowheads="1" noChangeAspect="1"/>
                    </pic:cNvPicPr>
                  </pic:nvPicPr>
                  <pic:blipFill>
                    <a:blip r:embed="rId715"/>
                    <a:stretch>
                      <a:fillRect/>
                    </a:stretch>
                  </pic:blipFill>
                  <pic:spPr bwMode="auto">
                    <a:xfrm>
                      <a:off x="0" y="0"/>
                      <a:ext cx="5579999" cy="223419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(HITOS y TRAMOS). Línea de tiempo en meses de calendario (1 mes = 52/12 semanas); hitos H0 a H8 del cronograma CPM de 104 semanas. Python 3 y matplotlib; script c21_figs.py; sin semilla; corte del 13 de octubre de 2026.</w:t>
      </w:r>
    </w:p>
    <w:p>
      <w:pPr>
        <w:pStyle w:val="BodyText"/>
      </w:pPr>
      <w:r>
        <w:t xml:space="preserve">La línea de tiempo muestra que 10 de los 24 meses transcurren antes de que exista una colocalización terminada (H2, mes 10). La evidencia que sostiene toda la decisión llega, por tanto, tarde en el plan. Esa característica es inherente a un piloto con colocalización de 16 semanas. El acta la acepta y la compensa con las compras por tramo, que limitan la exposición financiera antes de C1.</w:t>
      </w:r>
    </w:p>
    <w:bookmarkEnd w:id="718"/>
    <w:bookmarkStart w:id="719" w:name="_Toc00900300"/>
    <w:p>
      <w:pPr>
        <w:pStyle w:val="Heading2"/>
      </w:pPr>
      <w:r>
        <w:t xml:space="preserve">21.8 Presupuesto Resumido</w:t>
      </w:r>
    </w:p>
    <w:p>
      <w:pPr>
        <w:pStyle w:val="FirstParagraph"/>
      </w:pPr>
      <w:r>
        <w:t xml:space="preserve">El presupuesto resumido presenta el total, la distribución por fuente y las reservas. El valor solicitado al SGR es de 8.729.840.000 COP, que equivale a 62,4 % del tope declarado. La contrapartida es de 2.110.000.000 COP. La reserva de contingencia, de 636.000.000 COP, está incluida en el valor solicitado y suma los valores esperados de los 12 riesgos. La Tabla 21.6 presenta el resumen por rubro y por fuente.</w:t>
      </w:r>
    </w:p>
    <w:p>
      <w:pPr>
        <w:pStyle w:val="TablaRotulo"/>
      </w:pPr>
      <w:bookmarkStart w:id="9415" w:name="rot_Tabla_21_6"/>
      <w:r>
        <w:rPr>
          <w:b/>
          <w:bCs/>
        </w:rPr>
        <w:t xml:space="preserve">Tabla 21.6</w:t>
      </w:r>
      <w:bookmarkEnd w:id="9415"/>
    </w:p>
    <w:p>
      <w:pPr>
        <w:pStyle w:val="TablaTitulo"/>
      </w:pPr>
      <w:r>
        <w:rPr>
          <w:i/>
          <w:iCs/>
        </w:rPr>
        <w:t xml:space="preserve">Resumen presupuestal por rubro y por fuente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828"/>
        <w:gridCol w:w="2046"/>
        <w:gridCol w:w="2046"/>
      </w:tblGrid>
      <w:tr>
        <w:trPr>
          <w:cantSplit/>
          <w:tblHeader/>
        </w:trPr>
        <w:tc>
          <w:tcPr>
            <w:shd w:val="clear" w:color="auto" w:fill="00B050"/>
          </w:tcPr>
          <w:p>
            <w:pPr>
              <w:pStyle w:val="Tabla9"/>
              <w:jc w:val="center"/>
            </w:pPr>
            <w:r>
              <w:rPr>
                <w:b/>
                <w:color w:val="FFFFFF"/>
              </w:rPr>
              <w:t xml:space="preserve">Concepto</w:t>
            </w:r>
          </w:p>
        </w:tc>
        <w:tc>
          <w:tcPr>
            <w:shd w:val="clear" w:color="auto" w:fill="00B050"/>
          </w:tcPr>
          <w:p>
            <w:pPr>
              <w:pStyle w:val="Tabla9"/>
              <w:jc w:val="center"/>
            </w:pPr>
            <w:r>
              <w:rPr>
                <w:b/>
                <w:color w:val="FFFFFF"/>
              </w:rPr>
              <w:t xml:space="preserve">Valor (millones de COP)</w:t>
            </w:r>
          </w:p>
        </w:tc>
        <w:tc>
          <w:tcPr>
            <w:shd w:val="clear" w:color="auto" w:fill="00B050"/>
          </w:tcPr>
          <w:p>
            <w:pPr>
              <w:pStyle w:val="Tabla9"/>
              <w:jc w:val="center"/>
            </w:pPr>
            <w:r>
              <w:rPr>
                <w:b/>
                <w:color w:val="FFFFFF"/>
              </w:rPr>
              <w:t xml:space="preserve">Porcentaje del SGR</w:t>
            </w:r>
          </w:p>
        </w:tc>
      </w:tr>
      <w:tr>
        <w:trPr>
          <w:cantSplit/>
        </w:trPr>
        <w:tc>
          <w:tcPr/>
          <w:p>
            <w:pPr>
              <w:pStyle w:val="Tabla9"/>
              <w:jc w:val="left"/>
            </w:pPr>
            <w:r>
              <w:t xml:space="preserve">Personal</w:t>
            </w:r>
          </w:p>
        </w:tc>
        <w:tc>
          <w:tcPr/>
          <w:p>
            <w:pPr>
              <w:pStyle w:val="Tabla9"/>
              <w:jc w:val="left"/>
            </w:pPr>
            <w:r>
              <w:t xml:space="preserve">4.382,9</w:t>
            </w:r>
          </w:p>
        </w:tc>
        <w:tc>
          <w:tcPr/>
          <w:p>
            <w:pPr>
              <w:pStyle w:val="Tabla9"/>
              <w:jc w:val="left"/>
            </w:pPr>
            <w:r>
              <w:t xml:space="preserve">50,2 %</w:t>
            </w:r>
          </w:p>
        </w:tc>
      </w:tr>
      <w:tr>
        <w:trPr>
          <w:cantSplit/>
        </w:trPr>
        <w:tc>
          <w:tcPr/>
          <w:p>
            <w:pPr>
              <w:pStyle w:val="Tabla9"/>
              <w:jc w:val="left"/>
            </w:pPr>
            <w:r>
              <w:t xml:space="preserve">Equipos y software</w:t>
            </w:r>
          </w:p>
        </w:tc>
        <w:tc>
          <w:tcPr/>
          <w:p>
            <w:pPr>
              <w:pStyle w:val="Tabla9"/>
              <w:jc w:val="left"/>
            </w:pPr>
            <w:r>
              <w:t xml:space="preserve">1.885,6</w:t>
            </w:r>
          </w:p>
        </w:tc>
        <w:tc>
          <w:tcPr/>
          <w:p>
            <w:pPr>
              <w:pStyle w:val="Tabla9"/>
              <w:jc w:val="left"/>
            </w:pPr>
            <w:r>
              <w:t xml:space="preserve">21,6 %</w:t>
            </w:r>
          </w:p>
        </w:tc>
      </w:tr>
      <w:tr>
        <w:trPr>
          <w:cantSplit/>
        </w:trPr>
        <w:tc>
          <w:tcPr/>
          <w:p>
            <w:pPr>
              <w:pStyle w:val="Tabla9"/>
              <w:jc w:val="left"/>
            </w:pPr>
            <w:r>
              <w:t xml:space="preserve">Materiales e insumos</w:t>
            </w:r>
          </w:p>
        </w:tc>
        <w:tc>
          <w:tcPr/>
          <w:p>
            <w:pPr>
              <w:pStyle w:val="Tabla9"/>
              <w:jc w:val="left"/>
            </w:pPr>
            <w:r>
              <w:t xml:space="preserve">242,9</w:t>
            </w:r>
          </w:p>
        </w:tc>
        <w:tc>
          <w:tcPr/>
          <w:p>
            <w:pPr>
              <w:pStyle w:val="Tabla9"/>
              <w:jc w:val="left"/>
            </w:pPr>
            <w:r>
              <w:t xml:space="preserve">2,8 %</w:t>
            </w:r>
          </w:p>
        </w:tc>
      </w:tr>
      <w:tr>
        <w:trPr>
          <w:cantSplit/>
        </w:trPr>
        <w:tc>
          <w:tcPr/>
          <w:p>
            <w:pPr>
              <w:pStyle w:val="Tabla9"/>
              <w:jc w:val="left"/>
            </w:pPr>
            <w:r>
              <w:t xml:space="preserve">Servicios técnicos</w:t>
            </w:r>
          </w:p>
        </w:tc>
        <w:tc>
          <w:tcPr/>
          <w:p>
            <w:pPr>
              <w:pStyle w:val="Tabla9"/>
              <w:jc w:val="left"/>
            </w:pPr>
            <w:r>
              <w:t xml:space="preserve">846,0</w:t>
            </w:r>
          </w:p>
        </w:tc>
        <w:tc>
          <w:tcPr/>
          <w:p>
            <w:pPr>
              <w:pStyle w:val="Tabla9"/>
              <w:jc w:val="left"/>
            </w:pPr>
            <w:r>
              <w:t xml:space="preserve">9,7 %</w:t>
            </w:r>
          </w:p>
        </w:tc>
      </w:tr>
      <w:tr>
        <w:trPr>
          <w:cantSplit/>
        </w:trPr>
        <w:tc>
          <w:tcPr/>
          <w:p>
            <w:pPr>
              <w:pStyle w:val="Tabla9"/>
              <w:jc w:val="left"/>
            </w:pPr>
            <w:r>
              <w:t xml:space="preserve">Viajes y viáticos</w:t>
            </w:r>
          </w:p>
        </w:tc>
        <w:tc>
          <w:tcPr/>
          <w:p>
            <w:pPr>
              <w:pStyle w:val="Tabla9"/>
              <w:jc w:val="left"/>
            </w:pPr>
            <w:r>
              <w:t xml:space="preserve">204,5</w:t>
            </w:r>
          </w:p>
        </w:tc>
        <w:tc>
          <w:tcPr/>
          <w:p>
            <w:pPr>
              <w:pStyle w:val="Tabla9"/>
              <w:jc w:val="left"/>
            </w:pPr>
            <w:r>
              <w:t xml:space="preserve">2,3 %</w:t>
            </w:r>
          </w:p>
        </w:tc>
      </w:tr>
      <w:tr>
        <w:trPr>
          <w:cantSplit/>
        </w:trPr>
        <w:tc>
          <w:tcPr/>
          <w:p>
            <w:pPr>
              <w:pStyle w:val="Tabla9"/>
              <w:jc w:val="left"/>
            </w:pPr>
            <w:r>
              <w:t xml:space="preserve">Otros rubros</w:t>
            </w:r>
          </w:p>
        </w:tc>
        <w:tc>
          <w:tcPr/>
          <w:p>
            <w:pPr>
              <w:pStyle w:val="Tabla9"/>
              <w:jc w:val="left"/>
            </w:pPr>
            <w:r>
              <w:t xml:space="preserve">532,0</w:t>
            </w:r>
          </w:p>
        </w:tc>
        <w:tc>
          <w:tcPr/>
          <w:p>
            <w:pPr>
              <w:pStyle w:val="Tabla9"/>
              <w:jc w:val="left"/>
            </w:pPr>
            <w:r>
              <w:t xml:space="preserve">6,1 %</w:t>
            </w:r>
          </w:p>
        </w:tc>
      </w:tr>
      <w:tr>
        <w:trPr>
          <w:cantSplit/>
        </w:trPr>
        <w:tc>
          <w:tcPr/>
          <w:p>
            <w:pPr>
              <w:pStyle w:val="Tabla9"/>
              <w:jc w:val="left"/>
            </w:pPr>
            <w:r>
              <w:t xml:space="preserve">Reserva de contingencia</w:t>
            </w:r>
          </w:p>
        </w:tc>
        <w:tc>
          <w:tcPr/>
          <w:p>
            <w:pPr>
              <w:pStyle w:val="Tabla9"/>
              <w:jc w:val="left"/>
            </w:pPr>
            <w:r>
              <w:t xml:space="preserve">636,0</w:t>
            </w:r>
          </w:p>
        </w:tc>
        <w:tc>
          <w:tcPr/>
          <w:p>
            <w:pPr>
              <w:pStyle w:val="Tabla9"/>
              <w:jc w:val="left"/>
            </w:pPr>
            <w:r>
              <w:t xml:space="preserve">7,3 %</w:t>
            </w:r>
          </w:p>
        </w:tc>
      </w:tr>
      <w:tr>
        <w:trPr>
          <w:cantSplit/>
        </w:trPr>
        <w:tc>
          <w:tcPr/>
          <w:p>
            <w:pPr>
              <w:pStyle w:val="Tabla9"/>
              <w:jc w:val="left"/>
            </w:pPr>
            <w:r>
              <w:t xml:space="preserve">Total solicitado al SGR</w:t>
            </w:r>
          </w:p>
        </w:tc>
        <w:tc>
          <w:tcPr/>
          <w:p>
            <w:pPr>
              <w:pStyle w:val="Tabla9"/>
              <w:jc w:val="left"/>
            </w:pPr>
            <w:r>
              <w:t xml:space="preserve">8.729,8</w:t>
            </w:r>
          </w:p>
        </w:tc>
        <w:tc>
          <w:tcPr/>
          <w:p>
            <w:pPr>
              <w:pStyle w:val="Tabla9"/>
              <w:jc w:val="left"/>
            </w:pPr>
            <w:r>
              <w:t xml:space="preserve">100,0 %</w:t>
            </w:r>
          </w:p>
        </w:tc>
      </w:tr>
      <w:tr>
        <w:trPr>
          <w:cantSplit/>
        </w:trPr>
        <w:tc>
          <w:tcPr/>
          <w:p>
            <w:pPr>
              <w:pStyle w:val="Tabla9"/>
              <w:jc w:val="left"/>
            </w:pPr>
            <w:r>
              <w:t xml:space="preserve">Contrapartida de la entidad ejecutora (especie)</w:t>
            </w:r>
          </w:p>
        </w:tc>
        <w:tc>
          <w:tcPr/>
          <w:p>
            <w:pPr>
              <w:pStyle w:val="Tabla9"/>
              <w:jc w:val="left"/>
            </w:pPr>
            <w:r>
              <w:t xml:space="preserve">1.100,0</w:t>
            </w:r>
          </w:p>
        </w:tc>
        <w:tc>
          <w:tcPr/>
          <w:p>
            <w:pPr>
              <w:pStyle w:val="Tabla9"/>
              <w:jc w:val="left"/>
            </w:pPr>
            <w:r>
              <w:t xml:space="preserve">—</w:t>
            </w:r>
          </w:p>
        </w:tc>
      </w:tr>
      <w:tr>
        <w:trPr>
          <w:cantSplit/>
        </w:trPr>
        <w:tc>
          <w:tcPr/>
          <w:p>
            <w:pPr>
              <w:pStyle w:val="Tabla9"/>
              <w:jc w:val="left"/>
            </w:pPr>
            <w:r>
              <w:t xml:space="preserve">Contrapartida de la empresa tecnológica (efectivo y especie)</w:t>
            </w:r>
          </w:p>
        </w:tc>
        <w:tc>
          <w:tcPr/>
          <w:p>
            <w:pPr>
              <w:pStyle w:val="Tabla9"/>
              <w:jc w:val="left"/>
            </w:pPr>
            <w:r>
              <w:t xml:space="preserve">1.010,0</w:t>
            </w:r>
          </w:p>
        </w:tc>
        <w:tc>
          <w:tcPr/>
          <w:p>
            <w:pPr>
              <w:pStyle w:val="Tabla9"/>
              <w:jc w:val="left"/>
            </w:pPr>
            <w:r>
              <w:t xml:space="preserve">—</w:t>
            </w:r>
          </w:p>
        </w:tc>
      </w:tr>
      <w:tr>
        <w:trPr>
          <w:cantSplit/>
        </w:trPr>
        <w:tc>
          <w:tcPr/>
          <w:p>
            <w:pPr>
              <w:pStyle w:val="Tabla9"/>
              <w:jc w:val="left"/>
            </w:pPr>
            <w:r>
              <w:t xml:space="preserve">Total del proyecto</w:t>
            </w:r>
          </w:p>
        </w:tc>
        <w:tc>
          <w:tcPr/>
          <w:p>
            <w:pPr>
              <w:pStyle w:val="Tabla9"/>
              <w:jc w:val="left"/>
            </w:pPr>
            <w:r>
              <w:t xml:space="preserve">10.839,8</w:t>
            </w:r>
          </w:p>
        </w:tc>
        <w:tc>
          <w:tcPr/>
          <w:p>
            <w:pPr>
              <w:pStyle w:val="Tabla9"/>
              <w:jc w:val="left"/>
            </w:pPr>
            <w:r>
              <w:t xml:space="preserve">—</w:t>
            </w:r>
          </w:p>
        </w:tc>
      </w:tr>
    </w:tbl>
    <w:p>
      <w:pPr>
        <w:pStyle w:val="TablaNota"/>
      </w:pPr>
      <w:r>
        <w:rPr>
          <w:i/>
          <w:iCs/>
        </w:rPr>
        <w:t xml:space="preserve">Nota.</w:t>
      </w:r>
      <w:r>
        <w:t xml:space="preserve"> </w:t>
      </w:r>
      <w:r>
        <w:t xml:space="preserve">Elaboración propia con datos de maestro.py y de la ficha maestra §5. La reserva de contingencia depende de su admisibilidad como rubro según los términos de referencia (VACIO). La contrapartida no está certificada. Decimales con coma.</w:t>
      </w:r>
    </w:p>
    <w:p>
      <w:pPr>
        <w:pStyle w:val="BodyText"/>
      </w:pPr>
      <w:r>
        <w:t xml:space="preserve">La holgura entre lo solicitado y el tope declarado es de 5.270.160.000 COP. El acta no la presupuesta. Se describe como opciones de ampliación que dependen de los términos de referencia. Esa decisión busca que cada peso solicitado tenga una actividad que lo justifique. Si la reserva de contingencia no se admite como rubro, el valor solicitado baja a 8.631.260.000 COP y la reserva debe absorberse de otra manera. El capítulo 8 desarrolla cada línea.</w:t>
      </w:r>
    </w:p>
    <w:bookmarkEnd w:id="719"/>
    <w:bookmarkStart w:id="723" w:name="_Toc00900301"/>
    <w:p>
      <w:pPr>
        <w:pStyle w:val="Heading2"/>
      </w:pPr>
      <w:r>
        <w:t xml:space="preserve">21.9 Stakeholders Clave</w:t>
      </w:r>
    </w:p>
    <w:p>
      <w:pPr>
        <w:pStyle w:val="FirstParagraph"/>
      </w:pPr>
      <w:r>
        <w:t xml:space="preserve">El patrocinador del proyecto es el financiador, el Sistema General de Regalías con el Ministerio de Ciencia, Tecnología e Innovación. La entidad ejecutora designa al director del proyecto y responde por los resultados. Los demás interesados se agrupan según el modelo de saliencia, que combina poder, legitimidad y urgencia (Mitchell et al., 1997). El análisis de la sección 4.4-MDR.5 identificó 12 actores. El documento 1000X-08 los desagrega en 18 interesados. La Figura 21.2 presenta el mapa por tipo de relación.</w:t>
      </w:r>
    </w:p>
    <w:p>
      <w:pPr>
        <w:pStyle w:val="FiguraRotulo"/>
      </w:pPr>
      <w:bookmarkStart w:id="9554" w:name="rot_Figura_21_2"/>
      <w:r>
        <w:rPr>
          <w:b/>
          <w:bCs/>
        </w:rPr>
        <w:t xml:space="preserve">Figura 21.2</w:t>
      </w:r>
      <w:bookmarkEnd w:id="9554"/>
    </w:p>
    <w:p>
      <w:pPr>
        <w:pStyle w:val="FiguraTitulo"/>
      </w:pPr>
      <w:r>
        <w:rPr>
          <w:i/>
          <w:iCs/>
        </w:rPr>
        <w:t xml:space="preserve">Doce actores sin relevancia evaluada; solo el convocante tiene poder documentado</w:t>
      </w:r>
    </w:p>
    <w:p>
      <w:pPr>
        <w:pStyle w:val="BodyText"/>
      </w:pPr>
      <w:r>
        <w:drawing>
          <wp:inline>
            <wp:extent cx="5579999" cy="3420353"/>
            <wp:effectExtent b="0" l="0" r="0" t="0"/>
            <wp:docPr descr="" title="" id="721" name="Picture"/>
            <a:graphic>
              <a:graphicData uri="http://schemas.openxmlformats.org/drawingml/2006/picture">
                <pic:pic>
                  <pic:nvPicPr>
                    <pic:cNvPr descr="/tmp/claude-0/-home-user-docs/ddf38714-2a7e-502b-92b4-1008e2832422/scratchpad/proy/figs/out/c21_f02.png" id="722" name="Picture"/>
                    <pic:cNvPicPr>
                      <a:picLocks noChangeArrowheads="1" noChangeAspect="1"/>
                    </pic:cNvPicPr>
                  </pic:nvPicPr>
                  <pic:blipFill>
                    <a:blip r:embed="rId720"/>
                    <a:stretch>
                      <a:fillRect/>
                    </a:stretch>
                  </pic:blipFill>
                  <pic:spPr bwMode="auto">
                    <a:xfrm>
                      <a:off x="0" y="0"/>
                      <a:ext cx="5579999" cy="34203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4.4-MDR.5; sin nombres de personas. Poder, legitimidad y urgencia NO_EVALUADO salvo el poder del convocante. Borde grueso: actor con veto. Python 3 y matplotlib; script c21_figs.py; sin semilla; corte del 13 de octubre de 2026.</w:t>
      </w:r>
    </w:p>
    <w:p>
      <w:pPr>
        <w:pStyle w:val="BodyText"/>
      </w:pPr>
      <w:r>
        <w:t xml:space="preserve">Kotter (2012) recomienda formar una coalición con poder, experticia y credibilidad para liderar un cambio. El comité directivo cumple esa función en el proyecto, con representantes de la entidad ejecutora, la empresa tecnológica y el financiador. La coalición incorpora además a un representante de los comités de gestión del riesgo. Ese representante no vota en las compuertas, pero presenta el estado del uso del tablero (PROPUESTO). Esa participación aumenta la legitimidad de las decisiones y reduce el riesgo R-ORG-01. Los nombres y las funciones se definen en el acta de inicio [DATO_USUARIO: integrantes del comité directivo].</w:t>
      </w:r>
    </w:p>
    <w:p>
      <w:pPr>
        <w:pStyle w:val="BodyText"/>
      </w:pPr>
      <w:r>
        <w:t xml:space="preserve">El mapa muestra una asimetría que el acta reconoce. Solo el convocante tiene poder documentado. Las alcaldías tienen veto sobre la custodia, pero ninguna firmó un compromiso. Los comités de gestión del riesgo deciden el uso del tablero, y su participación no está asegurada. La mitigación consiste en negociar los convenios por tramo antes de cada compuerta. Incluye también a los comités en el co-diseño desde el mes 3. Ningún actor firmó compromiso alguno porque la alianza es un supuesto.</w:t>
      </w:r>
    </w:p>
    <w:bookmarkEnd w:id="723"/>
    <w:bookmarkStart w:id="724" w:name="_Toc00900302"/>
    <w:p>
      <w:pPr>
        <w:pStyle w:val="Heading2"/>
      </w:pPr>
      <w:r>
        <w:t xml:space="preserve">21.10 Autorización</w:t>
      </w:r>
    </w:p>
    <w:p>
      <w:pPr>
        <w:pStyle w:val="FirstParagraph"/>
      </w:pPr>
      <w:r>
        <w:t xml:space="preserve">La autorización requiere las firmas del patrocinador, del representante legal de la entidad ejecutora y del director del proyecto. El acta confiere al director la facultad de aplicar los recursos aprobados. Le permite reasignar dentro de los rubros del presupuesto, hasta un límite que fija el comité directivo [DATO_USUARIO: límite de reasignación sin autorización]. Cualquier cambio de alcance, plazo o valor total exige una modificación firmada. Las compuertas C1, C2 y C3 las decide el comité directivo, y no el director. La Tabla 21.7 deja los espacios de firma.</w:t>
      </w:r>
    </w:p>
    <w:p>
      <w:pPr>
        <w:pStyle w:val="BodyText"/>
      </w:pPr>
      <w:r>
        <w:t xml:space="preserve">El PMI (2021) separa dos autoridades. El director de proyecto gestiona el trabajo dentro de límites. El patrocinador aprueba los cambios que los superan. El acta adopta esa separación. El director gestiona el cronograma de las actividades con holgura, reasigna recursos dentro de un rubro y aprueba respuestas a riesgos de nivel medio. El patrocinador y el comité aprueban las compuertas, los cambios de alcance y el uso de la reserva por encima de la delegación.</w:t>
      </w:r>
    </w:p>
    <w:p>
      <w:pPr>
        <w:pStyle w:val="TablaRotulo"/>
      </w:pPr>
      <w:bookmarkStart w:id="9416" w:name="rot_Tabla_21_7"/>
      <w:r>
        <w:rPr>
          <w:b/>
          <w:bCs/>
        </w:rPr>
        <w:t xml:space="preserve">Tabla 21.7</w:t>
      </w:r>
      <w:bookmarkEnd w:id="9416"/>
    </w:p>
    <w:p>
      <w:pPr>
        <w:pStyle w:val="TablaTitulo"/>
      </w:pPr>
      <w:r>
        <w:rPr>
          <w:i/>
          <w:iCs/>
        </w:rPr>
        <w:t xml:space="preserve">Firmas de autorización del acta de constitución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08"/>
        <w:gridCol w:w="1677"/>
        <w:gridCol w:w="1677"/>
        <w:gridCol w:w="1677"/>
        <w:gridCol w:w="1677"/>
      </w:tblGrid>
      <w:tr>
        <w:trPr>
          <w:cantSplit/>
          <w:tblHeader/>
        </w:trPr>
        <w:tc>
          <w:tcPr>
            <w:shd w:val="clear" w:color="auto" w:fill="00B050"/>
          </w:tcPr>
          <w:p>
            <w:pPr>
              <w:pStyle w:val="Tabla9"/>
              <w:jc w:val="center"/>
            </w:pPr>
            <w:r>
              <w:rPr>
                <w:b/>
                <w:color w:val="FFFFFF"/>
              </w:rPr>
              <w:t xml:space="preserve">Rol</w:t>
            </w:r>
          </w:p>
        </w:tc>
        <w:tc>
          <w:tcPr>
            <w:shd w:val="clear" w:color="auto" w:fill="00B050"/>
          </w:tcPr>
          <w:p>
            <w:pPr>
              <w:pStyle w:val="Tabla9"/>
              <w:jc w:val="center"/>
            </w:pPr>
            <w:r>
              <w:rPr>
                <w:b/>
                <w:color w:val="FFFFFF"/>
              </w:rPr>
              <w:t xml:space="preserve">Nombre</w:t>
            </w:r>
          </w:p>
        </w:tc>
        <w:tc>
          <w:tcPr>
            <w:shd w:val="clear" w:color="auto" w:fill="00B050"/>
          </w:tcPr>
          <w:p>
            <w:pPr>
              <w:pStyle w:val="Tabla9"/>
              <w:jc w:val="center"/>
            </w:pPr>
            <w:r>
              <w:rPr>
                <w:b/>
                <w:color w:val="FFFFFF"/>
              </w:rPr>
              <w:t xml:space="preserve">Cargo</w:t>
            </w:r>
          </w:p>
        </w:tc>
        <w:tc>
          <w:tcPr>
            <w:shd w:val="clear" w:color="auto" w:fill="00B050"/>
          </w:tcPr>
          <w:p>
            <w:pPr>
              <w:pStyle w:val="Tabla9"/>
              <w:jc w:val="center"/>
            </w:pPr>
            <w:r>
              <w:rPr>
                <w:b/>
                <w:color w:val="FFFFFF"/>
              </w:rPr>
              <w:t xml:space="preserve">Firma</w:t>
            </w:r>
          </w:p>
        </w:tc>
        <w:tc>
          <w:tcPr>
            <w:shd w:val="clear" w:color="auto" w:fill="00B050"/>
          </w:tcPr>
          <w:p>
            <w:pPr>
              <w:pStyle w:val="Tabla9"/>
              <w:jc w:val="center"/>
            </w:pPr>
            <w:r>
              <w:rPr>
                <w:b/>
                <w:color w:val="FFFFFF"/>
              </w:rPr>
              <w:t xml:space="preserve">Fecha</w:t>
            </w:r>
          </w:p>
        </w:tc>
      </w:tr>
      <w:tr>
        <w:trPr>
          <w:cantSplit/>
        </w:trPr>
        <w:tc>
          <w:tcPr/>
          <w:p>
            <w:pPr>
              <w:pStyle w:val="Tabla9"/>
              <w:jc w:val="left"/>
            </w:pPr>
            <w:r>
              <w:t xml:space="preserve">Patrocinador (financiador)</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r>
        <w:trPr>
          <w:cantSplit/>
        </w:trPr>
        <w:tc>
          <w:tcPr/>
          <w:p>
            <w:pPr>
              <w:pStyle w:val="Tabla9"/>
              <w:jc w:val="left"/>
            </w:pPr>
            <w:r>
              <w:t xml:space="preserve">Representante legal de la entidad ejecutora</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r>
        <w:trPr>
          <w:cantSplit/>
        </w:trPr>
        <w:tc>
          <w:tcPr/>
          <w:p>
            <w:pPr>
              <w:pStyle w:val="Tabla9"/>
              <w:jc w:val="left"/>
            </w:pPr>
            <w:r>
              <w:t xml:space="preserve">Representante de la empresa tecnológica aliada</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r>
        <w:trPr>
          <w:cantSplit/>
        </w:trPr>
        <w:tc>
          <w:tcPr/>
          <w:p>
            <w:pPr>
              <w:pStyle w:val="Tabla9"/>
              <w:jc w:val="left"/>
            </w:pPr>
            <w:r>
              <w:t xml:space="preserve">Director del proyecto</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bl>
    <w:p>
      <w:pPr>
        <w:pStyle w:val="TablaNota"/>
      </w:pPr>
      <w:r>
        <w:rPr>
          <w:i/>
          <w:iCs/>
        </w:rPr>
        <w:t xml:space="preserve">Nota.</w:t>
      </w:r>
      <w:r>
        <w:t xml:space="preserve"> </w:t>
      </w:r>
      <w:r>
        <w:t xml:space="preserve">Elaboración propia. Ningún dato de esta tabla se aportó; todos los campos son VACIO. El acta no produce efectos hasta que las cuatro partes la firmen.</w:t>
      </w:r>
    </w:p>
    <w:bookmarkEnd w:id="724"/>
    <w:bookmarkEnd w:id="725"/>
    <w:bookmarkStart w:id="733" w:name="_Toc00900303"/>
    <w:p>
      <w:pPr>
        <w:pStyle w:val="Heading1"/>
      </w:pPr>
      <w:r>
        <w:t xml:space="preserve">Documento 1000X-01. Resumen ejecutivo</w:t>
      </w:r>
    </w:p>
    <w:bookmarkStart w:id="726" w:name="_Toc00900304"/>
    <w:p>
      <w:pPr>
        <w:pStyle w:val="Heading2"/>
      </w:pPr>
      <w:r>
        <w:t xml:space="preserve">X1.1 El problema</w:t>
      </w:r>
    </w:p>
    <w:p>
      <w:pPr>
        <w:pStyle w:val="FirstParagraph"/>
      </w:pPr>
      <w:r>
        <w:t xml:space="preserve">Las redes de vigilancia de la calidad del aire entregan mediciones de calidad desconocida cuando operan sin calibración local. Esa condición afecta la decisión de alertas. El problema central afecta a Caldas, Cundinamarca y Valle del Cauca, en sitios de remoción de escombros posterremoto (SUPUESTO). Allí, los comités de gestión del riesgo no disponen de mediciones de material particulado con error conocido. El material particulado se mide como PM2,5 y PM10. Las lecturas no se verifican frente a una referencia. En el país, 90,8 % de las 5.076 estaciones de la red nacional propuesta serían sensores sin plan de calibración (Murad Pedraza et al., 2026, pp. 10-11 y 13). Esa proporción es un cálculo del analista (CALCULADO). Además, solo 28 de 1.122 municipios cuentan con estaciones utilizables para estimar la carga (Rodríguez-Villamizar et al., 2022, pp. 3 y 6). Sin intervención, los comités decidirían alertas con datos sin error conocido. La baja confianza reduciría el uso institucional de las mediciones.</w:t>
      </w:r>
    </w:p>
    <w:bookmarkEnd w:id="726"/>
    <w:bookmarkStart w:id="727" w:name="_Toc00900305"/>
    <w:p>
      <w:pPr>
        <w:pStyle w:val="Heading2"/>
      </w:pPr>
      <w:r>
        <w:t xml:space="preserve">X1.2 La solución</w:t>
      </w:r>
    </w:p>
    <w:p>
      <w:pPr>
        <w:pStyle w:val="FirstParagraph"/>
      </w:pPr>
      <w:r>
        <w:t xml:space="preserve">El proyecto instala una red de 100 nodos que miden PM2,5 y PM10 con un sensor óptico de bajo costo, temperatura y humedad. Los nodos transmiten por LoRa a 10 gateways, uno por cada 10 nodos. Cada gateway aplica un modelo de corrección que usa humedad, temperatura y fracción gruesa. Luego reenvía los datos por red celular, con enlace satelital alterno y almacenamiento local de 7 días. Tres monitores gravimétricos de referencia, uno por departamento, permiten colocalizar y verificar. La nube aloja el entrenamiento del modelo y el gemelo digital. También aloja el tablero del índice de calidad del aire y salud (AQHI), con umbrales validados localmente. Los umbrales de desempeño se anclan en los protocolos de la Agencia de Protección Ambiental de Estados Unidos (EPA) para sitio fijo (EPA, 2021).</w:t>
      </w:r>
    </w:p>
    <w:p>
      <w:pPr>
        <w:pStyle w:val="BodyText"/>
      </w:pPr>
      <w:r>
        <w:t xml:space="preserve">El rasgo diferenciador combina tres decisiones. La corrección ocurre en un solo lugar, el gateway. El despliegue es por tramos y las compuertas C1, C2 y C3 liberan cada compra. La custodia es distribuida. Esta alternativa obtuvo el mayor puntaje multicriterio, 5,81 frente a 5,15 de la calibración centralizada en la nube (PROPUESTO). El nivel de madurez tecnológica (TRL) inicial es 4 y el final es 7 (PROPUESTO). El TRL 8 queda condicionado a una evaluación independiente. La innovación es de proceso y de servicio, porque propone un protocolo de calibración colocalizada con corrección en el borde y custodia institucional.</w:t>
      </w:r>
    </w:p>
    <w:bookmarkEnd w:id="727"/>
    <w:bookmarkStart w:id="728" w:name="_Toc00900306"/>
    <w:p>
      <w:pPr>
        <w:pStyle w:val="Heading2"/>
      </w:pPr>
      <w:r>
        <w:t xml:space="preserve">X1.3 Resultados esperados</w:t>
      </w:r>
    </w:p>
    <w:p>
      <w:pPr>
        <w:pStyle w:val="FirstParagraph"/>
      </w:pPr>
      <w:r>
        <w:t xml:space="preserve">El proyecto compromete cinco productos. Primero, una red de 100 nodos y 10 gateways operativa al mes 24. Segundo, un software de corrección y gemelo digital con un registro vigente. Tercero, dos artículos en revistas Q1 o Q2 sometidos y al menos uno aceptado. Cuarto, 29 actividades de apropiación social, 20 talleres y 9 jornadas. Quinto, 60 personas o más certificadas en custodia.</w:t>
      </w:r>
    </w:p>
    <w:p>
      <w:pPr>
        <w:pStyle w:val="BodyText"/>
      </w:pPr>
      <w:r>
        <w:t xml:space="preserve">El indicador de resultado principal es el uso del tablero y del protocolo de alerta. La meta es 75 % o más de los 15 comités focalizados al mes 24. La meta técnica exige un coeficiente de determinación (R²) de 0,70 o más. Exige también un error cuadrático medio normalizado (NRMSE) de 30 % o menos frente a la referencia. Los beneficiarios directos son 150 funcionarios (SUPUESTO). El proyecto no promete efectos en salud. El objetivo de desarrollo sostenible (ODS) principal propuesto es el ODS 11, ciudades y comunidades sostenibles (Organización de las Naciones Unidas [ONU], 2015).</w:t>
      </w:r>
    </w:p>
    <w:bookmarkEnd w:id="728"/>
    <w:bookmarkStart w:id="729" w:name="_Toc00900307"/>
    <w:p>
      <w:pPr>
        <w:pStyle w:val="Heading2"/>
      </w:pPr>
      <w:r>
        <w:t xml:space="preserve">X1.4 Capacidades del equipo</w:t>
      </w:r>
    </w:p>
    <w:p>
      <w:pPr>
        <w:pStyle w:val="FirstParagraph"/>
      </w:pPr>
      <w:r>
        <w:t xml:space="preserve">La entidad ejecutora es una institución de educación superior (IES) con acreditación de alta calidad [DATO_USUARIO: nombre de la IES ejecutora] (SUPUESTO). Su fortaleza principal es el aporte de personal investigador y de laboratorios, valorado en $ 1.100.000.000 en especie. La categoría de los grupos de investigación es [DATO_USUARIO: categoría de los grupos de investigación]. La experiencia en un proyecto similar es [DATO_USUARIO: proyecto similar de la IES]. Las alianzas incluyen la Unidad Nacional para la Gestión del Riesgo de Desastres (UNGRD). Las otras son una empresa tecnológica y las alcaldías. Sus nombres están pendientes [DATO_USUARIO: nombres de los aliados].</w:t>
      </w:r>
    </w:p>
    <w:bookmarkEnd w:id="729"/>
    <w:bookmarkStart w:id="730" w:name="_Toc00900308"/>
    <w:p>
      <w:pPr>
        <w:pStyle w:val="Heading2"/>
      </w:pPr>
      <w:r>
        <w:t xml:space="preserve">X1.5 Recursos y tiempo</w:t>
      </w:r>
    </w:p>
    <w:p>
      <w:pPr>
        <w:pStyle w:val="FirstParagraph"/>
      </w:pPr>
      <w:r>
        <w:t xml:space="preserve">El presupuesto total es de $ 10.839.840.000. El Sistema General de Regalías (SGR) financia $ 8.729.840.000, que equivalen a 62,4 % del tope declarado de $ 14.000.000.000 (NO_VERIFICADO). La contrapartida aporta $ 2.110.000.000. La ejecución dura 24 meses, equivalentes a 104 semanas. El SGR se reparte en $ 4.625,4 millones en el año 1 y $ 4.641,9 millones en el año 2. Los rubros principales son personal con 50,2 % del SGR, equipos y software con 21,6 % y servicios técnicos con 9,7 %. La reserva de contingencia es de $ 636,0 millones, o 7,3 % del SGR.</w:t>
      </w:r>
    </w:p>
    <w:bookmarkEnd w:id="730"/>
    <w:bookmarkStart w:id="731" w:name="_Toc00900309"/>
    <w:p>
      <w:pPr>
        <w:pStyle w:val="Heading2"/>
      </w:pPr>
      <w:r>
        <w:t xml:space="preserve">X1.6 Sostenibilidad</w:t>
      </w:r>
    </w:p>
    <w:p>
      <w:pPr>
        <w:pStyle w:val="FirstParagraph"/>
      </w:pPr>
      <w:r>
        <w:t xml:space="preserve">La sostenibilidad se apoya en la custodia distribuida por tramos y en convenios con partida, que la compuerta C2 exige antes del tramo 3. La cláusula de apertura y la salida ordenada completan la transferencia al mes 24. Las metas posproyecto se miden a los 12 meses del cierre. La primera es activar el protocolo en 80 % o más de las superaciones de umbral. La segunda es mantener en operación bajo custodia 70 % o más de los nodos entregados. El costo de sostenimiento es NO_CALCULABLE con los datos actuales. La holgura de $ 5.270.160.000 no se solicita. El escalamiento se describe como opciones sin presupuesto: más nodos, un cuarto tramo y un año adicional de custodia. El compromiso institucional depende de convenios que los aliados aún no certifican (VACIO).</w:t>
      </w:r>
    </w:p>
    <w:bookmarkEnd w:id="731"/>
    <w:bookmarkStart w:id="732" w:name="_Toc00900310"/>
    <w:p>
      <w:pPr>
        <w:pStyle w:val="Heading2"/>
      </w:pPr>
      <w:r>
        <w:t xml:space="preserve">X1.7 Datos clave</w:t>
      </w:r>
    </w:p>
    <w:p>
      <w:pPr>
        <w:pStyle w:val="FirstParagraph"/>
      </w:pPr>
      <w:r>
        <w:t xml:space="preserve">La Tabla X1.1 reúne los datos que sustentan la decisión.</w:t>
      </w:r>
    </w:p>
    <w:p>
      <w:pPr>
        <w:pStyle w:val="TablaRotulo"/>
      </w:pPr>
      <w:bookmarkStart w:id="9417" w:name="rot_Tabla_X1_1"/>
      <w:r>
        <w:rPr>
          <w:b/>
          <w:bCs/>
        </w:rPr>
        <w:t xml:space="preserve">Tabla X1.1</w:t>
      </w:r>
      <w:bookmarkEnd w:id="9417"/>
    </w:p>
    <w:p>
      <w:pPr>
        <w:pStyle w:val="TablaTitulo"/>
      </w:pPr>
      <w:r>
        <w:rPr>
          <w:i/>
          <w:iCs/>
        </w:rPr>
        <w:t xml:space="preserve">Datos clave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80"/>
        <w:gridCol w:w="3168"/>
        <w:gridCol w:w="2772"/>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Naturaleza o fuente</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Ficha maestra §1</w:t>
            </w:r>
          </w:p>
        </w:tc>
      </w:tr>
      <w:tr>
        <w:trPr>
          <w:cantSplit/>
        </w:trPr>
        <w:tc>
          <w:tcPr/>
          <w:p>
            <w:pPr>
              <w:pStyle w:val="Tabla9"/>
              <w:jc w:val="left"/>
            </w:pPr>
            <w:r>
              <w:t xml:space="preserve">Convocatoria</w:t>
            </w:r>
          </w:p>
        </w:tc>
        <w:tc>
          <w:tcPr/>
          <w:p>
            <w:pPr>
              <w:pStyle w:val="Tabla9"/>
              <w:jc w:val="left"/>
            </w:pPr>
            <w:r>
              <w:t xml:space="preserve">Convocatoria de Emergencia, Decreto 1414 de 2026 (SGR_CONV56)</w:t>
            </w:r>
          </w:p>
        </w:tc>
        <w:tc>
          <w:tcPr/>
          <w:p>
            <w:pPr>
              <w:pStyle w:val="Tabla9"/>
              <w:jc w:val="left"/>
            </w:pPr>
            <w:r>
              <w:t xml:space="preserve">Ficha maestra §1</w:t>
            </w:r>
          </w:p>
        </w:tc>
      </w:tr>
      <w:tr>
        <w:trPr>
          <w:cantSplit/>
        </w:trPr>
        <w:tc>
          <w:tcPr/>
          <w:p>
            <w:pPr>
              <w:pStyle w:val="Tabla9"/>
              <w:jc w:val="left"/>
            </w:pPr>
            <w:r>
              <w:t xml:space="preserve">Financiador</w:t>
            </w:r>
          </w:p>
        </w:tc>
        <w:tc>
          <w:tcPr/>
          <w:p>
            <w:pPr>
              <w:pStyle w:val="Tabla9"/>
              <w:jc w:val="left"/>
            </w:pPr>
            <w:r>
              <w:t xml:space="preserve">Sistema General de Regalías (SGR) y Ministerio de Ciencia, Tecnología e Innovación (MinCiencias)</w:t>
            </w:r>
          </w:p>
        </w:tc>
        <w:tc>
          <w:tcPr/>
          <w:p>
            <w:pPr>
              <w:pStyle w:val="Tabla9"/>
              <w:jc w:val="left"/>
            </w:pPr>
            <w:r>
              <w:t xml:space="preserve">Ficha maestra §1</w:t>
            </w:r>
          </w:p>
        </w:tc>
      </w:tr>
      <w:tr>
        <w:trPr>
          <w:cantSplit/>
        </w:trPr>
        <w:tc>
          <w:tcPr/>
          <w:p>
            <w:pPr>
              <w:pStyle w:val="Tabla9"/>
              <w:jc w:val="left"/>
            </w:pPr>
            <w:r>
              <w:t xml:space="preserve">Entidad ejecutora</w:t>
            </w:r>
          </w:p>
        </w:tc>
        <w:tc>
          <w:tcPr/>
          <w:p>
            <w:pPr>
              <w:pStyle w:val="Tabla9"/>
              <w:jc w:val="left"/>
            </w:pPr>
            <w:r>
              <w:t xml:space="preserve">[DATO_USUARIO: nombre de la IES ejecutora]</w:t>
            </w:r>
          </w:p>
        </w:tc>
        <w:tc>
          <w:tcPr/>
          <w:p>
            <w:pPr>
              <w:pStyle w:val="Tabla9"/>
              <w:jc w:val="left"/>
            </w:pPr>
            <w:r>
              <w:t xml:space="preserve">SUPUESTO</w:t>
            </w:r>
          </w:p>
        </w:tc>
      </w:tr>
      <w:tr>
        <w:trPr>
          <w:cantSplit/>
        </w:trPr>
        <w:tc>
          <w:tcPr/>
          <w:p>
            <w:pPr>
              <w:pStyle w:val="Tabla9"/>
              <w:jc w:val="left"/>
            </w:pPr>
            <w:r>
              <w:t xml:space="preserve">Territorio</w:t>
            </w:r>
          </w:p>
        </w:tc>
        <w:tc>
          <w:tcPr/>
          <w:p>
            <w:pPr>
              <w:pStyle w:val="Tabla9"/>
              <w:jc w:val="left"/>
            </w:pPr>
            <w:r>
              <w:t xml:space="preserve">Caldas, Cundinamarca y Valle del Cauca</w:t>
            </w:r>
          </w:p>
        </w:tc>
        <w:tc>
          <w:tcPr/>
          <w:p>
            <w:pPr>
              <w:pStyle w:val="Tabla9"/>
              <w:jc w:val="left"/>
            </w:pPr>
            <w:r>
              <w:t xml:space="preserve">SUPUESTO</w:t>
            </w:r>
          </w:p>
        </w:tc>
      </w:tr>
      <w:tr>
        <w:trPr>
          <w:cantSplit/>
        </w:trPr>
        <w:tc>
          <w:tcPr/>
          <w:p>
            <w:pPr>
              <w:pStyle w:val="Tabla9"/>
              <w:jc w:val="left"/>
            </w:pPr>
            <w:r>
              <w:t xml:space="preserve">Presupuesto total</w:t>
            </w:r>
          </w:p>
        </w:tc>
        <w:tc>
          <w:tcPr/>
          <w:p>
            <w:pPr>
              <w:pStyle w:val="Tabla9"/>
              <w:jc w:val="left"/>
            </w:pPr>
            <w:r>
              <w:t xml:space="preserve">COP 10.839.840.000</w:t>
            </w:r>
          </w:p>
        </w:tc>
        <w:tc>
          <w:tcPr/>
          <w:p>
            <w:pPr>
              <w:pStyle w:val="Tabla9"/>
              <w:jc w:val="left"/>
            </w:pPr>
            <w:r>
              <w:t xml:space="preserve">CALCULADO</w:t>
            </w:r>
          </w:p>
        </w:tc>
      </w:tr>
      <w:tr>
        <w:trPr>
          <w:cantSplit/>
        </w:trPr>
        <w:tc>
          <w:tcPr/>
          <w:p>
            <w:pPr>
              <w:pStyle w:val="Tabla9"/>
              <w:jc w:val="left"/>
            </w:pPr>
            <w:r>
              <w:t xml:space="preserve">Valor solicitado al SGR</w:t>
            </w:r>
          </w:p>
        </w:tc>
        <w:tc>
          <w:tcPr/>
          <w:p>
            <w:pPr>
              <w:pStyle w:val="Tabla9"/>
              <w:jc w:val="left"/>
            </w:pPr>
            <w:r>
              <w:t xml:space="preserve">COP 8.729.840.000 (62.4 % del tope declarado)</w:t>
            </w:r>
          </w:p>
        </w:tc>
        <w:tc>
          <w:tcPr/>
          <w:p>
            <w:pPr>
              <w:pStyle w:val="Tabla9"/>
              <w:jc w:val="left"/>
            </w:pPr>
            <w:r>
              <w:t xml:space="preserve">CALCULADO; tope NO_VERIFICADO</w:t>
            </w:r>
          </w:p>
        </w:tc>
      </w:tr>
      <w:tr>
        <w:trPr>
          <w:cantSplit/>
        </w:trPr>
        <w:tc>
          <w:tcPr/>
          <w:p>
            <w:pPr>
              <w:pStyle w:val="Tabla9"/>
              <w:jc w:val="left"/>
            </w:pPr>
            <w:r>
              <w:t xml:space="preserve">Contrapartida</w:t>
            </w:r>
          </w:p>
        </w:tc>
        <w:tc>
          <w:tcPr/>
          <w:p>
            <w:pPr>
              <w:pStyle w:val="Tabla9"/>
              <w:jc w:val="left"/>
            </w:pPr>
            <w:r>
              <w:t xml:space="preserve">COP 2.110.000.000</w:t>
            </w:r>
          </w:p>
        </w:tc>
        <w:tc>
          <w:tcPr/>
          <w:p>
            <w:pPr>
              <w:pStyle w:val="Tabla9"/>
              <w:jc w:val="left"/>
            </w:pPr>
            <w:r>
              <w:t xml:space="preserve">DECLARADO; desglose de la IES PROPUESTO</w:t>
            </w:r>
          </w:p>
        </w:tc>
      </w:tr>
      <w:tr>
        <w:trPr>
          <w:cantSplit/>
        </w:trPr>
        <w:tc>
          <w:tcPr/>
          <w:p>
            <w:pPr>
              <w:pStyle w:val="Tabla9"/>
              <w:jc w:val="left"/>
            </w:pPr>
            <w:r>
              <w:t xml:space="preserve">Duración</w:t>
            </w:r>
          </w:p>
        </w:tc>
        <w:tc>
          <w:tcPr/>
          <w:p>
            <w:pPr>
              <w:pStyle w:val="Tabla9"/>
              <w:jc w:val="left"/>
            </w:pPr>
            <w:r>
              <w:t xml:space="preserve">24 meses (104 semanas)</w:t>
            </w:r>
          </w:p>
        </w:tc>
        <w:tc>
          <w:tcPr/>
          <w:p>
            <w:pPr>
              <w:pStyle w:val="Tabla9"/>
              <w:jc w:val="left"/>
            </w:pPr>
            <w:r>
              <w:t xml:space="preserve">CALCULADO por el método de la ruta crítica</w:t>
            </w:r>
          </w:p>
        </w:tc>
      </w:tr>
      <w:tr>
        <w:trPr>
          <w:cantSplit/>
        </w:trPr>
        <w:tc>
          <w:tcPr/>
          <w:p>
            <w:pPr>
              <w:pStyle w:val="Tabla9"/>
              <w:jc w:val="left"/>
            </w:pPr>
            <w:r>
              <w:t xml:space="preserve">TRL inicial y final</w:t>
            </w:r>
          </w:p>
        </w:tc>
        <w:tc>
          <w:tcPr/>
          <w:p>
            <w:pPr>
              <w:pStyle w:val="Tabla9"/>
              <w:jc w:val="left"/>
            </w:pPr>
            <w:r>
              <w:t xml:space="preserve">4 y 7; TRL 8 condicionado</w:t>
            </w:r>
          </w:p>
        </w:tc>
        <w:tc>
          <w:tcPr/>
          <w:p>
            <w:pPr>
              <w:pStyle w:val="Tabla9"/>
              <w:jc w:val="left"/>
            </w:pPr>
            <w:r>
              <w:t xml:space="preserve">PROPUESTO</w:t>
            </w:r>
          </w:p>
        </w:tc>
      </w:tr>
      <w:tr>
        <w:trPr>
          <w:cantSplit/>
        </w:trPr>
        <w:tc>
          <w:tcPr/>
          <w:p>
            <w:pPr>
              <w:pStyle w:val="Tabla9"/>
              <w:jc w:val="left"/>
            </w:pPr>
            <w:r>
              <w:t xml:space="preserve">Beneficiarios directos</w:t>
            </w:r>
          </w:p>
        </w:tc>
        <w:tc>
          <w:tcPr/>
          <w:p>
            <w:pPr>
              <w:pStyle w:val="Tabla9"/>
              <w:jc w:val="left"/>
            </w:pPr>
            <w:r>
              <w:t xml:space="preserve">150 funcionarios en 15 comités de gestión del riesgo</w:t>
            </w:r>
          </w:p>
        </w:tc>
        <w:tc>
          <w:tcPr/>
          <w:p>
            <w:pPr>
              <w:pStyle w:val="Tabla9"/>
              <w:jc w:val="left"/>
            </w:pPr>
            <w:r>
              <w:t xml:space="preserve">SUPUESTO</w:t>
            </w:r>
          </w:p>
        </w:tc>
      </w:tr>
      <w:tr>
        <w:trPr>
          <w:cantSplit/>
        </w:trPr>
        <w:tc>
          <w:tcPr/>
          <w:p>
            <w:pPr>
              <w:pStyle w:val="Tabla9"/>
              <w:jc w:val="left"/>
            </w:pPr>
            <w:r>
              <w:t xml:space="preserve">ODS principal</w:t>
            </w:r>
          </w:p>
        </w:tc>
        <w:tc>
          <w:tcPr/>
          <w:p>
            <w:pPr>
              <w:pStyle w:val="Tabla9"/>
              <w:jc w:val="left"/>
            </w:pPr>
            <w:r>
              <w:t xml:space="preserve">ODS 11: ciudades y comunidades sostenibles</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y de maestro.py. COP = pesos colombianos. La clasificación en el ODS 11 es PROPUESTA con base en la Agenda 2030. Decimales con coma.</w:t>
      </w:r>
    </w:p>
    <w:bookmarkEnd w:id="732"/>
    <w:bookmarkEnd w:id="733"/>
    <w:bookmarkStart w:id="745" w:name="_Toc00900311"/>
    <w:p>
      <w:pPr>
        <w:pStyle w:val="Heading1"/>
      </w:pPr>
      <w:r>
        <w:t xml:space="preserve">Documento 1000X-02. One-pager</w:t>
      </w:r>
    </w:p>
    <w:bookmarkStart w:id="734" w:name="_Toc00900312"/>
    <w:p>
      <w:pPr>
        <w:pStyle w:val="Heading2"/>
      </w:pPr>
      <w:r>
        <w:t xml:space="preserve">X2.1 Encabezado</w:t>
      </w:r>
    </w:p>
    <w:p>
      <w:pPr>
        <w:pStyle w:val="FirstParagraph"/>
      </w:pPr>
      <w:r>
        <w:t xml:space="preserve">Implementación de una red IoT híbrida Edge-Cloud y gemelo digital para la gestión anticipada del riesgo por material particulado posterremoto. Convocatoria de Emergencia, Decreto 1414 de 2026 (SGR_CONV56), del Sistema General de Regalías (SGR) y del Ministerio de Ciencia, Tecnología e Innovación (MinCiencias). Logotipos: [DATO_USUARIO: logotipos de la entidad ejecutora y de los aliados].</w:t>
      </w:r>
    </w:p>
    <w:bookmarkEnd w:id="734"/>
    <w:bookmarkStart w:id="735" w:name="_Toc00900313"/>
    <w:p>
      <w:pPr>
        <w:pStyle w:val="Heading2"/>
      </w:pPr>
      <w:r>
        <w:t xml:space="preserve">X2.2 Problema</w:t>
      </w:r>
    </w:p>
    <w:p>
      <w:pPr>
        <w:pStyle w:val="FirstParagraph"/>
      </w:pPr>
      <w:r>
        <w:t xml:space="preserve">En Caldas, Cundinamarca y Valle del Cauca, los comités de gestión del riesgo no disponen de mediciones con error conocido (SUPUESTO). Se trata de PM2,5 y PM10 en sitios de remoción de escombros posterremoto. En el país, 90,8 % de las 5.076 estaciones de la red nacional propuesta serían sensores sin plan de calibración (Murad Pedraza et al., 2026, pp. 10-11 y 13). Esa proporción es un cálculo del analista. Las alertas se decidirían con datos de calidad desconocida.</w:t>
      </w:r>
    </w:p>
    <w:bookmarkEnd w:id="735"/>
    <w:bookmarkStart w:id="739" w:name="_Toc00900314"/>
    <w:p>
      <w:pPr>
        <w:pStyle w:val="Heading2"/>
      </w:pPr>
      <w:r>
        <w:t xml:space="preserve">X2.3 Solución</w:t>
      </w:r>
    </w:p>
    <w:p>
      <w:pPr>
        <w:pStyle w:val="FirstParagraph"/>
      </w:pPr>
      <w:r>
        <w:t xml:space="preserve">Una red de 100 nodos de internet de las cosas (IoT) mide PM2,5 y PM10 con un sensor óptico de bajo costo. Los nodos transmiten por LoRa a 10 gateways. Cada gateway corrige las lecturas por humedad, temperatura y fracción gruesa. Luego envía los datos a la nube por red celular, con enlace satelital alterno y almacenamiento local de 7 días. Tres monitores gravimétricos de referencia verifican el error. El gemelo digital y el tablero del índice de calidad del aire y salud (AQHI) entregan la información a los comités. La Figura X2.1 muestra la arquitectura y el despliegue.</w:t>
      </w:r>
    </w:p>
    <w:p>
      <w:pPr>
        <w:pStyle w:val="FiguraRotulo"/>
      </w:pPr>
      <w:bookmarkStart w:id="9555" w:name="rot_Figura_X2_1"/>
      <w:r>
        <w:rPr>
          <w:b/>
          <w:bCs/>
        </w:rPr>
        <w:t xml:space="preserve">Figura X2.1</w:t>
      </w:r>
      <w:bookmarkEnd w:id="9555"/>
    </w:p>
    <w:p>
      <w:pPr>
        <w:pStyle w:val="FiguraTitulo"/>
      </w:pPr>
      <w:r>
        <w:rPr>
          <w:i/>
          <w:iCs/>
        </w:rPr>
        <w:t xml:space="preserve">Una red de 100 nodos corrige en 10 gateways y entrega mediciones a 15 comités</w:t>
      </w:r>
    </w:p>
    <w:p>
      <w:pPr>
        <w:pStyle w:val="BodyText"/>
      </w:pPr>
      <w:r>
        <w:drawing>
          <wp:inline>
            <wp:extent cx="5579999" cy="3018523"/>
            <wp:effectExtent b="0" l="0" r="0" t="0"/>
            <wp:docPr descr="" title="" id="737" name="Picture"/>
            <a:graphic>
              <a:graphicData uri="http://schemas.openxmlformats.org/drawingml/2006/picture">
                <pic:pic>
                  <pic:nvPicPr>
                    <pic:cNvPr descr="/tmp/claude-0/-home-user-docs/ddf38714-2a7e-502b-92b4-1008e2832422/scratchpad/proy/figs/out/cX2_f01.png" id="738" name="Picture"/>
                    <pic:cNvPicPr>
                      <a:picLocks noChangeArrowheads="1" noChangeAspect="1"/>
                    </pic:cNvPicPr>
                  </pic:nvPicPr>
                  <pic:blipFill>
                    <a:blip r:embed="rId736"/>
                    <a:stretch>
                      <a:fillRect/>
                    </a:stretch>
                  </pic:blipFill>
                  <pic:spPr bwMode="auto">
                    <a:xfrm>
                      <a:off x="0" y="0"/>
                      <a:ext cx="5579999" cy="301852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cifras de la ficha maestra y de maestro.py. Arquitectura de nodos, gateways, nube y comités, con tres tramos y compuertas C1, C2 y C3. Python 3 y matplotlib; script cX2_f01.py; sin semilla; corte del 13 de octubre de 2026.</w:t>
      </w:r>
    </w:p>
    <w:bookmarkEnd w:id="739"/>
    <w:bookmarkStart w:id="740" w:name="_Toc00900315"/>
    <w:p>
      <w:pPr>
        <w:pStyle w:val="Heading2"/>
      </w:pPr>
      <w:r>
        <w:t xml:space="preserve">X2.4 Innovación</w:t>
      </w:r>
    </w:p>
    <w:p>
      <w:pPr>
        <w:pStyle w:val="FirstParagraph"/>
      </w:pPr>
      <w:r>
        <w:t xml:space="preserve">La corrección ocurre en un solo lugar, el gateway. El despliegue por tramos usa compuertas que liberan cada compra. La custodia es distribuida. La innovación es de proceso y de servicio.</w:t>
      </w:r>
    </w:p>
    <w:bookmarkEnd w:id="740"/>
    <w:bookmarkStart w:id="741" w:name="_Toc00900316"/>
    <w:p>
      <w:pPr>
        <w:pStyle w:val="Heading2"/>
      </w:pPr>
      <w:r>
        <w:t xml:space="preserve">X2.5 Resultados clave</w:t>
      </w:r>
    </w:p>
    <w:p>
      <w:pPr>
        <w:pStyle w:val="Compact"/>
        <w:numPr>
          <w:ilvl w:val="0"/>
          <w:numId w:val="1335"/>
        </w:numPr>
      </w:pPr>
      <w:r>
        <w:t xml:space="preserve">Red de 100 nodos y 10 gateways operativa al mes 24.</w:t>
      </w:r>
    </w:p>
    <w:p>
      <w:pPr>
        <w:pStyle w:val="Compact"/>
        <w:numPr>
          <w:ilvl w:val="0"/>
          <w:numId w:val="1335"/>
        </w:numPr>
      </w:pPr>
      <w:r>
        <w:t xml:space="preserve">Software de corrección y gemelo digital con un registro vigente.</w:t>
      </w:r>
    </w:p>
    <w:p>
      <w:pPr>
        <w:pStyle w:val="Compact"/>
        <w:numPr>
          <w:ilvl w:val="0"/>
          <w:numId w:val="1335"/>
        </w:numPr>
      </w:pPr>
      <w:r>
        <w:t xml:space="preserve">29 actividades de apropiación social y 60 personas o más certificadas en custodia.</w:t>
      </w:r>
    </w:p>
    <w:bookmarkEnd w:id="741"/>
    <w:bookmarkStart w:id="742" w:name="_Toc00900317"/>
    <w:p>
      <w:pPr>
        <w:pStyle w:val="Heading2"/>
      </w:pPr>
      <w:r>
        <w:t xml:space="preserve">X2.6 Impacto</w:t>
      </w:r>
    </w:p>
    <w:p>
      <w:pPr>
        <w:pStyle w:val="Compact"/>
        <w:numPr>
          <w:ilvl w:val="0"/>
          <w:numId w:val="1336"/>
        </w:numPr>
      </w:pPr>
      <w:r>
        <w:t xml:space="preserve">Uso del tablero en 75 % o más de los 15 comités focalizados al mes 24.</w:t>
      </w:r>
    </w:p>
    <w:p>
      <w:pPr>
        <w:pStyle w:val="Compact"/>
        <w:numPr>
          <w:ilvl w:val="0"/>
          <w:numId w:val="1336"/>
        </w:numPr>
      </w:pPr>
      <w:r>
        <w:t xml:space="preserve">Coeficiente de determinación (R²) de 0,70 o más frente a la referencia.</w:t>
      </w:r>
    </w:p>
    <w:p>
      <w:pPr>
        <w:pStyle w:val="Compact"/>
        <w:numPr>
          <w:ilvl w:val="0"/>
          <w:numId w:val="1336"/>
        </w:numPr>
      </w:pPr>
      <w:r>
        <w:t xml:space="preserve">Error cuadrático medio normalizado (NRMSE) de 30 % o menos frente a la referencia.</w:t>
      </w:r>
    </w:p>
    <w:p>
      <w:pPr>
        <w:pStyle w:val="FirstParagraph"/>
      </w:pPr>
      <w:r>
        <w:t xml:space="preserve">El proyecto no promete efectos en salud.</w:t>
      </w:r>
    </w:p>
    <w:bookmarkEnd w:id="742"/>
    <w:bookmarkStart w:id="743" w:name="_Toc00900318"/>
    <w:p>
      <w:pPr>
        <w:pStyle w:val="Heading2"/>
      </w:pPr>
      <w:r>
        <w:t xml:space="preserve">X2.7 Equipo</w:t>
      </w:r>
    </w:p>
    <w:p>
      <w:pPr>
        <w:pStyle w:val="FirstParagraph"/>
      </w:pPr>
      <w:r>
        <w:t xml:space="preserve">La entidad ejecutora es una institución de educación superior (IES) con acreditación de alta calidad [DATO_USUARIO: nombre de la IES ejecutora]. La categoría de los grupos de investigación es [DATO_USUARIO: categoría de los grupos]. Las alianzas incluyen la Unidad Nacional para la Gestión del Riesgo de Desastres (UNGRD), una empresa tecnológica y las alcaldías. Los nombres son [DATO_USUARIO: nombres de los aliados].</w:t>
      </w:r>
    </w:p>
    <w:bookmarkEnd w:id="743"/>
    <w:bookmarkStart w:id="744" w:name="_Toc00900319"/>
    <w:p>
      <w:pPr>
        <w:pStyle w:val="Heading2"/>
      </w:pPr>
      <w:r>
        <w:t xml:space="preserve">X2.8 Cifras de pie</w:t>
      </w:r>
    </w:p>
    <w:p>
      <w:pPr>
        <w:pStyle w:val="FirstParagraph"/>
      </w:pPr>
      <w:r>
        <w:t xml:space="preserve">La Tabla X2.1 resume cuatro cifras. Son el presupuesto, la duración, el nivel de madurez tecnológica (TRL) y los beneficiarios.</w:t>
      </w:r>
    </w:p>
    <w:p>
      <w:pPr>
        <w:pStyle w:val="TablaRotulo"/>
      </w:pPr>
      <w:bookmarkStart w:id="9418" w:name="rot_Tabla_X2_1"/>
      <w:r>
        <w:rPr>
          <w:b/>
          <w:bCs/>
        </w:rPr>
        <w:t xml:space="preserve">Tabla X2.1</w:t>
      </w:r>
      <w:bookmarkEnd w:id="9418"/>
    </w:p>
    <w:p>
      <w:pPr>
        <w:pStyle w:val="TablaTitulo"/>
      </w:pPr>
      <w:r>
        <w:rPr>
          <w:i/>
          <w:iCs/>
        </w:rPr>
        <w:t xml:space="preserve">Cifras de pie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994"/>
        <w:gridCol w:w="1464"/>
        <w:gridCol w:w="931"/>
        <w:gridCol w:w="2529"/>
      </w:tblGrid>
      <w:tr>
        <w:trPr>
          <w:cantSplit/>
          <w:tblHeader/>
        </w:trPr>
        <w:tc>
          <w:tcPr>
            <w:shd w:val="clear" w:color="auto" w:fill="00B050"/>
          </w:tcPr>
          <w:p>
            <w:pPr>
              <w:pStyle w:val="Tabla9"/>
              <w:jc w:val="center"/>
            </w:pPr>
            <w:r>
              <w:rPr>
                <w:b/>
                <w:color w:val="FFFFFF"/>
              </w:rPr>
              <w:t xml:space="preserve">Presupuesto</w:t>
            </w:r>
          </w:p>
        </w:tc>
        <w:tc>
          <w:tcPr>
            <w:shd w:val="clear" w:color="auto" w:fill="00B050"/>
          </w:tcPr>
          <w:p>
            <w:pPr>
              <w:pStyle w:val="Tabla9"/>
              <w:jc w:val="center"/>
            </w:pPr>
            <w:r>
              <w:rPr>
                <w:b/>
                <w:color w:val="FFFFFF"/>
              </w:rPr>
              <w:t xml:space="preserve">Duración</w:t>
            </w:r>
          </w:p>
        </w:tc>
        <w:tc>
          <w:tcPr>
            <w:shd w:val="clear" w:color="auto" w:fill="00B050"/>
          </w:tcPr>
          <w:p>
            <w:pPr>
              <w:pStyle w:val="Tabla9"/>
              <w:jc w:val="center"/>
            </w:pPr>
            <w:r>
              <w:rPr>
                <w:b/>
                <w:color w:val="FFFFFF"/>
              </w:rPr>
              <w:t xml:space="preserve">TRL</w:t>
            </w:r>
          </w:p>
        </w:tc>
        <w:tc>
          <w:tcPr>
            <w:shd w:val="clear" w:color="auto" w:fill="00B050"/>
          </w:tcPr>
          <w:p>
            <w:pPr>
              <w:pStyle w:val="Tabla9"/>
              <w:jc w:val="center"/>
            </w:pPr>
            <w:r>
              <w:rPr>
                <w:b/>
                <w:color w:val="FFFFFF"/>
              </w:rPr>
              <w:t xml:space="preserve">Beneficiarios</w:t>
            </w:r>
          </w:p>
        </w:tc>
      </w:tr>
      <w:tr>
        <w:trPr>
          <w:cantSplit/>
        </w:trPr>
        <w:tc>
          <w:tcPr/>
          <w:p>
            <w:pPr>
              <w:pStyle w:val="Tabla9"/>
              <w:jc w:val="left"/>
            </w:pPr>
            <w:r>
              <w:t xml:space="preserve">COP 10.839.840.000; SGR 8.729.840.000</w:t>
            </w:r>
          </w:p>
        </w:tc>
        <w:tc>
          <w:tcPr/>
          <w:p>
            <w:pPr>
              <w:pStyle w:val="Tabla9"/>
              <w:jc w:val="left"/>
            </w:pPr>
            <w:r>
              <w:t xml:space="preserve">24 meses</w:t>
            </w:r>
          </w:p>
        </w:tc>
        <w:tc>
          <w:tcPr/>
          <w:p>
            <w:pPr>
              <w:pStyle w:val="Tabla9"/>
              <w:jc w:val="left"/>
            </w:pPr>
            <w:r>
              <w:t xml:space="preserve">4 a 7</w:t>
            </w:r>
          </w:p>
        </w:tc>
        <w:tc>
          <w:tcPr/>
          <w:p>
            <w:pPr>
              <w:pStyle w:val="Tabla9"/>
              <w:jc w:val="left"/>
            </w:pPr>
            <w:r>
              <w:t xml:space="preserve">150 funcionarios directos</w:t>
            </w:r>
          </w:p>
        </w:tc>
      </w:tr>
    </w:tbl>
    <w:p>
      <w:pPr>
        <w:pStyle w:val="TablaNota"/>
      </w:pPr>
      <w:r>
        <w:rPr>
          <w:i/>
          <w:iCs/>
        </w:rPr>
        <w:t xml:space="preserve">Nota.</w:t>
      </w:r>
      <w:r>
        <w:t xml:space="preserve"> </w:t>
      </w:r>
      <w:r>
        <w:t xml:space="preserve">Elaboración propia con datos de la ficha maestra y de maestro.py. Presupuesto CALCULADO; duración CALCULADA por el método de la ruta crítica; TRL PROPUESTO; beneficiarios SUPUESTOS. COP = pesos colombianos.</w:t>
      </w:r>
    </w:p>
    <w:bookmarkEnd w:id="744"/>
    <w:bookmarkEnd w:id="745"/>
    <w:bookmarkStart w:id="747" w:name="_Toc00900320"/>
    <w:p>
      <w:pPr>
        <w:pStyle w:val="Heading1"/>
      </w:pPr>
      <w:r>
        <w:t xml:space="preserve">Documento 1000X-03. Pitch deck</w:t>
      </w:r>
    </w:p>
    <w:p>
      <w:pPr>
        <w:pStyle w:val="FirstParagraph"/>
      </w:pPr>
      <w:r>
        <w:t xml:space="preserve">El pitch deck presenta el proyecto en 15 diapositivas para evaluadores, comités y posibles aliados. Cada diapositiva tiene un título, un contenido breve con cifras de la ficha maestra y una nota para quien presenta. El contenido es PROPUESTO y no sustituye el formato de presentación que fije la convocatoria. El archivo de presentación acompaña a este documento en formato PPTX. El deck evita las promesas de salud y declara los vacíos en la misma diapositiva donde aparecen.</w:t>
      </w:r>
    </w:p>
    <w:bookmarkStart w:id="746" w:name="_Toc00900321"/>
    <w:p>
      <w:pPr>
        <w:pStyle w:val="Heading2"/>
      </w:pPr>
      <w:r>
        <w:t xml:space="preserve">X3.1 Estructura de las 15 diapositivas</w:t>
      </w:r>
    </w:p>
    <w:p>
      <w:pPr>
        <w:pStyle w:val="FirstParagraph"/>
      </w:pPr>
      <w:r>
        <w:t xml:space="preserve">La Tabla X3.1 lista las diapositivas en el orden de la presentación. La secuencia parte del problema y presenta la solución y su diferencia. Muestra después la madurez tecnológica, los resultados y el impacto. Cierra con equipo, alianzas, cronograma, presupuesto, sostenibilidad y solicitud. Las diapositivas 7 y 15 contienen decisiones que el usuario debe tomar antes de presentar.</w:t>
      </w:r>
    </w:p>
    <w:p>
      <w:pPr>
        <w:pStyle w:val="TablaRotulo"/>
      </w:pPr>
      <w:bookmarkStart w:id="9419" w:name="rot_Tabla_X3_1"/>
      <w:r>
        <w:rPr>
          <w:b/>
          <w:bCs/>
        </w:rPr>
        <w:t xml:space="preserve">Tabla X3.1</w:t>
      </w:r>
      <w:bookmarkEnd w:id="9419"/>
    </w:p>
    <w:p>
      <w:pPr>
        <w:pStyle w:val="TablaTitulo"/>
      </w:pPr>
      <w:r>
        <w:rPr>
          <w:i/>
          <w:iCs/>
        </w:rPr>
        <w:t xml:space="preserve">Contenido y notas de las 15 diapositivas del pitch deck</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89"/>
        <w:gridCol w:w="1898"/>
        <w:gridCol w:w="3076"/>
        <w:gridCol w:w="2356"/>
      </w:tblGrid>
      <w:tr>
        <w:trPr>
          <w:cantSplit/>
          <w:tblHeader/>
        </w:trPr>
        <w:tc>
          <w:tcPr>
            <w:shd w:val="clear" w:color="auto" w:fill="00B050"/>
          </w:tcPr>
          <w:p>
            <w:pPr>
              <w:pStyle w:val="Tabla9"/>
              <w:jc w:val="center"/>
            </w:pPr>
            <w:r>
              <w:rPr>
                <w:b/>
                <w:color w:val="FFFFFF"/>
              </w:rPr>
              <w:t xml:space="preserve">N.º</w:t>
            </w:r>
          </w:p>
        </w:tc>
        <w:tc>
          <w:tcPr>
            <w:shd w:val="clear" w:color="auto" w:fill="00B050"/>
          </w:tcPr>
          <w:p>
            <w:pPr>
              <w:pStyle w:val="Tabla9"/>
              <w:jc w:val="center"/>
            </w:pPr>
            <w:r>
              <w:rPr>
                <w:b/>
                <w:color w:val="FFFFFF"/>
              </w:rPr>
              <w:t xml:space="preserve">Diapositiva</w:t>
            </w:r>
          </w:p>
        </w:tc>
        <w:tc>
          <w:tcPr>
            <w:shd w:val="clear" w:color="auto" w:fill="00B050"/>
          </w:tcPr>
          <w:p>
            <w:pPr>
              <w:pStyle w:val="Tabla9"/>
              <w:jc w:val="center"/>
            </w:pPr>
            <w:r>
              <w:rPr>
                <w:b/>
                <w:color w:val="FFFFFF"/>
              </w:rPr>
              <w:t xml:space="preserve">Contenido</w:t>
            </w:r>
          </w:p>
        </w:tc>
        <w:tc>
          <w:tcPr>
            <w:shd w:val="clear" w:color="auto" w:fill="00B050"/>
          </w:tcPr>
          <w:p>
            <w:pPr>
              <w:pStyle w:val="Tabla9"/>
              <w:jc w:val="center"/>
            </w:pPr>
            <w:r>
              <w:rPr>
                <w:b/>
                <w:color w:val="FFFFFF"/>
              </w:rPr>
              <w:t xml:space="preserve">Nota para quien presenta</w:t>
            </w:r>
          </w:p>
        </w:tc>
      </w:tr>
      <w:tr>
        <w:trPr>
          <w:cantSplit/>
        </w:trPr>
        <w:tc>
          <w:tcPr/>
          <w:p>
            <w:pPr>
              <w:pStyle w:val="Tabla9"/>
              <w:jc w:val="left"/>
            </w:pPr>
            <w:r>
              <w:t xml:space="preserve">1</w:t>
            </w:r>
          </w:p>
        </w:tc>
        <w:tc>
          <w:tcPr/>
          <w:p>
            <w:pPr>
              <w:pStyle w:val="Tabla9"/>
              <w:jc w:val="left"/>
            </w:pPr>
            <w:r>
              <w:t xml:space="preserve">Portada</w:t>
            </w:r>
          </w:p>
        </w:tc>
        <w:tc>
          <w:tcPr/>
          <w:p>
            <w:pPr>
              <w:pStyle w:val="Tabla9"/>
              <w:jc w:val="left"/>
            </w:pPr>
            <w:r>
              <w:t xml:space="preserve">Título: Implementación de una red IoT híbrida Edge-Cloud y gemelo digital para la gestión anticipada del riesgo por material particulado posterremoto; Convocatoria de Emergencia, Decreto 1414 de 2026 (SGR_CONV56); Fecha de corte: 13 de octubre de 2026; fecha límite: 3 de noviembre de 2026; Logotipos: [DATO_USUARIO: logotipos de la entidad ejecutora y de los aliados]</w:t>
            </w:r>
          </w:p>
        </w:tc>
        <w:tc>
          <w:tcPr/>
          <w:p>
            <w:pPr>
              <w:pStyle w:val="Tabla9"/>
              <w:jc w:val="left"/>
            </w:pPr>
            <w:r>
              <w:t xml:space="preserve">Visual limpio y sin texto adicional.</w:t>
            </w:r>
          </w:p>
        </w:tc>
      </w:tr>
      <w:tr>
        <w:trPr>
          <w:cantSplit/>
        </w:trPr>
        <w:tc>
          <w:tcPr/>
          <w:p>
            <w:pPr>
              <w:pStyle w:val="Tabla9"/>
              <w:jc w:val="left"/>
            </w:pPr>
            <w:r>
              <w:t xml:space="preserve">2</w:t>
            </w:r>
          </w:p>
        </w:tc>
        <w:tc>
          <w:tcPr/>
          <w:p>
            <w:pPr>
              <w:pStyle w:val="Tabla9"/>
              <w:jc w:val="left"/>
            </w:pPr>
            <w:r>
              <w:t xml:space="preserve">El problema</w:t>
            </w:r>
          </w:p>
        </w:tc>
        <w:tc>
          <w:tcPr/>
          <w:p>
            <w:pPr>
              <w:pStyle w:val="Tabla9"/>
              <w:jc w:val="left"/>
            </w:pPr>
            <w:r>
              <w:t xml:space="preserve">Dato central: 90,8 % de las 5.076 estaciones de la red nacional propuesta serían sensores sin plan de calibración (Murad Pedraza et al., 2026; cálculo del analista); La remoción de escombros posterremoto genera PM2,5 y PM10; Los sensores de bajo costo sin calibración local entregan error desconocido; Los comités deciden alertas con datos de calidad desconocida</w:t>
            </w:r>
          </w:p>
        </w:tc>
        <w:tc>
          <w:tcPr/>
          <w:p>
            <w:pPr>
              <w:pStyle w:val="Tabla9"/>
              <w:jc w:val="left"/>
            </w:pPr>
            <w:r>
              <w:t xml:space="preserve">Abrir con el dato y no con la cifra de salud. El proyecto no afirma efectos en salud.</w:t>
            </w:r>
          </w:p>
        </w:tc>
      </w:tr>
      <w:tr>
        <w:trPr>
          <w:cantSplit/>
        </w:trPr>
        <w:tc>
          <w:tcPr/>
          <w:p>
            <w:pPr>
              <w:pStyle w:val="Tabla9"/>
              <w:jc w:val="left"/>
            </w:pPr>
            <w:r>
              <w:t xml:space="preserve">3</w:t>
            </w:r>
          </w:p>
        </w:tc>
        <w:tc>
          <w:tcPr/>
          <w:p>
            <w:pPr>
              <w:pStyle w:val="Tabla9"/>
              <w:jc w:val="left"/>
            </w:pPr>
            <w:r>
              <w:t xml:space="preserve">Magnitud del problema</w:t>
            </w:r>
          </w:p>
        </w:tc>
        <w:tc>
          <w:tcPr/>
          <w:p>
            <w:pPr>
              <w:pStyle w:val="Tabla9"/>
              <w:jc w:val="left"/>
            </w:pPr>
            <w:r>
              <w:t xml:space="preserve">En el país hay 209 estaciones reportadas y 154 integradas a un sistema de vigilancia (Rodríguez-Villamizar et al., 2022); Solo 28 de 1.122 municipios cuentan con estaciones utilizables para estimar la carga; Línea base propia de error: se mide en el tramo 1 (VACIO); Proyección sin intervención: NO_CALCULABLE por falta de fuente</w:t>
            </w:r>
          </w:p>
        </w:tc>
        <w:tc>
          <w:tcPr/>
          <w:p>
            <w:pPr>
              <w:pStyle w:val="Tabla9"/>
              <w:jc w:val="left"/>
            </w:pPr>
            <w:r>
              <w:t xml:space="preserve">Mostrar la cobertura insuficiente y declarar lo que no se sabe.</w:t>
            </w:r>
          </w:p>
        </w:tc>
      </w:tr>
      <w:tr>
        <w:trPr>
          <w:cantSplit/>
        </w:trPr>
        <w:tc>
          <w:tcPr/>
          <w:p>
            <w:pPr>
              <w:pStyle w:val="Tabla9"/>
              <w:jc w:val="left"/>
            </w:pPr>
            <w:r>
              <w:t xml:space="preserve">4</w:t>
            </w:r>
          </w:p>
        </w:tc>
        <w:tc>
          <w:tcPr/>
          <w:p>
            <w:pPr>
              <w:pStyle w:val="Tabla9"/>
              <w:jc w:val="left"/>
            </w:pPr>
            <w:r>
              <w:t xml:space="preserve">Nuestra solución</w:t>
            </w:r>
          </w:p>
        </w:tc>
        <w:tc>
          <w:tcPr/>
          <w:p>
            <w:pPr>
              <w:pStyle w:val="Tabla9"/>
              <w:jc w:val="left"/>
            </w:pPr>
            <w:r>
              <w:t xml:space="preserve">Una red de 100 nodos que se corrige en el gateway, se verifica contra tres referencias gravimétricas y se pone en uso en 15 comités; Corrección de humedad y fracción gruesa en 10 gateways; Energía solar con 14 días de autonomía y enlace satelital alterno; Tablero y protocolo de alerta con umbrales validados localmente</w:t>
            </w:r>
          </w:p>
        </w:tc>
        <w:tc>
          <w:tcPr/>
          <w:p>
            <w:pPr>
              <w:pStyle w:val="Tabla9"/>
              <w:jc w:val="left"/>
            </w:pPr>
            <w:r>
              <w:t xml:space="preserve">Una sola oración de propuesta y tres rasgos distintivos.</w:t>
            </w:r>
          </w:p>
        </w:tc>
      </w:tr>
      <w:tr>
        <w:trPr>
          <w:cantSplit/>
        </w:trPr>
        <w:tc>
          <w:tcPr/>
          <w:p>
            <w:pPr>
              <w:pStyle w:val="Tabla9"/>
              <w:jc w:val="left"/>
            </w:pPr>
            <w:r>
              <w:t xml:space="preserve">5</w:t>
            </w:r>
          </w:p>
        </w:tc>
        <w:tc>
          <w:tcPr/>
          <w:p>
            <w:pPr>
              <w:pStyle w:val="Tabla9"/>
              <w:jc w:val="left"/>
            </w:pPr>
            <w:r>
              <w:t xml:space="preserve">¿Por qué es diferente?</w:t>
            </w:r>
          </w:p>
        </w:tc>
        <w:tc>
          <w:tcPr/>
          <w:p>
            <w:pPr>
              <w:pStyle w:val="Tabla9"/>
              <w:jc w:val="left"/>
            </w:pPr>
            <w:r>
              <w:t xml:space="preserve">Despliegue por tramos: cada compuerta libera la compra siguiente solo con evidencia; Custodia distribuida por componente, con cláusula de apertura; Frente a estaciones fijas (puntaje 4,335), calibración central (5,150) y statu quo (4,475), la red híbrida obtiene 5,805 en una escala de 1 a 9; El puntaje no es una probabilidad de éxito</w:t>
            </w:r>
          </w:p>
        </w:tc>
        <w:tc>
          <w:tcPr/>
          <w:p>
            <w:pPr>
              <w:pStyle w:val="Tabla9"/>
              <w:jc w:val="left"/>
            </w:pPr>
            <w:r>
              <w:t xml:space="preserve">Mostrar la alternativa contrainductiva y su comparación.</w:t>
            </w:r>
          </w:p>
        </w:tc>
      </w:tr>
      <w:tr>
        <w:trPr>
          <w:cantSplit/>
        </w:trPr>
        <w:tc>
          <w:tcPr/>
          <w:p>
            <w:pPr>
              <w:pStyle w:val="Tabla9"/>
              <w:jc w:val="left"/>
            </w:pPr>
            <w:r>
              <w:t xml:space="preserve">6</w:t>
            </w:r>
          </w:p>
        </w:tc>
        <w:tc>
          <w:tcPr/>
          <w:p>
            <w:pPr>
              <w:pStyle w:val="Tabla9"/>
              <w:jc w:val="left"/>
            </w:pPr>
            <w:r>
              <w:t xml:space="preserve">¿Cómo funciona?</w:t>
            </w:r>
          </w:p>
        </w:tc>
        <w:tc>
          <w:tcPr/>
          <w:p>
            <w:pPr>
              <w:pStyle w:val="Tabla9"/>
              <w:jc w:val="left"/>
            </w:pPr>
            <w:r>
              <w:t xml:space="preserve">Nodo hoja con sensor óptico, temperatura y humedad; Transmisión LoRa al gateway; Corrección en el gateway y almacenamiento local de 7 días; Reenvío por red celular o satélite a la nube; Gemelo digital y tablero del índice de calidad del aire y salud</w:t>
            </w:r>
          </w:p>
        </w:tc>
        <w:tc>
          <w:tcPr/>
          <w:p>
            <w:pPr>
              <w:pStyle w:val="Tabla9"/>
              <w:jc w:val="left"/>
            </w:pPr>
            <w:r>
              <w:t xml:space="preserve">Diagrama de flujo de cinco pasos.</w:t>
            </w:r>
          </w:p>
        </w:tc>
      </w:tr>
      <w:tr>
        <w:trPr>
          <w:cantSplit/>
        </w:trPr>
        <w:tc>
          <w:tcPr/>
          <w:p>
            <w:pPr>
              <w:pStyle w:val="Tabla9"/>
              <w:jc w:val="left"/>
            </w:pPr>
            <w:r>
              <w:t xml:space="preserve">7</w:t>
            </w:r>
          </w:p>
        </w:tc>
        <w:tc>
          <w:tcPr/>
          <w:p>
            <w:pPr>
              <w:pStyle w:val="Tabla9"/>
              <w:jc w:val="left"/>
            </w:pPr>
            <w:r>
              <w:t xml:space="preserve">Avance TRL</w:t>
            </w:r>
          </w:p>
        </w:tc>
        <w:tc>
          <w:tcPr/>
          <w:p>
            <w:pPr>
              <w:pStyle w:val="Tabla9"/>
              <w:jc w:val="left"/>
            </w:pPr>
            <w:r>
              <w:t xml:space="preserve">TRL de entrada: 4 (declarado; evidencia técnica pendiente); TRL final: 7 al mes 24 (PROPUESTO); TRL 8 condicionado a una evaluación independiente que el plazo no cubre; El Anexo 2 prioriza soluciones de TRL 9: decisión pendiente del usuario</w:t>
            </w:r>
          </w:p>
        </w:tc>
        <w:tc>
          <w:tcPr/>
          <w:p>
            <w:pPr>
              <w:pStyle w:val="Tabla9"/>
              <w:jc w:val="left"/>
            </w:pPr>
            <w:r>
              <w:t xml:space="preserve">Declarar con honestidad la brecha frente a la convocatoria.</w:t>
            </w:r>
          </w:p>
        </w:tc>
      </w:tr>
      <w:tr>
        <w:trPr>
          <w:cantSplit/>
        </w:trPr>
        <w:tc>
          <w:tcPr/>
          <w:p>
            <w:pPr>
              <w:pStyle w:val="Tabla9"/>
              <w:jc w:val="left"/>
            </w:pPr>
            <w:r>
              <w:t xml:space="preserve">8</w:t>
            </w:r>
          </w:p>
        </w:tc>
        <w:tc>
          <w:tcPr/>
          <w:p>
            <w:pPr>
              <w:pStyle w:val="Tabla9"/>
              <w:jc w:val="left"/>
            </w:pPr>
            <w:r>
              <w:t xml:space="preserve">Resultados esperados</w:t>
            </w:r>
          </w:p>
        </w:tc>
        <w:tc>
          <w:tcPr/>
          <w:p>
            <w:pPr>
              <w:pStyle w:val="Tabla9"/>
              <w:jc w:val="left"/>
            </w:pPr>
            <w:r>
              <w:t xml:space="preserve">Red de 100 nodos y 10 gateways operativa (PERS-P01); Modelo de corrección y gemelo digital con registro de software (PERS-P02); 2 artículos en revistas Q1 o Q2, al menos 1 aceptado (PERS-P03); 29 actividades de apropiación social (PERS-P04); 60 personas certificadas en operación y mantenimiento (PERS-E03)</w:t>
            </w:r>
          </w:p>
        </w:tc>
        <w:tc>
          <w:tcPr/>
          <w:p>
            <w:pPr>
              <w:pStyle w:val="Tabla9"/>
              <w:jc w:val="left"/>
            </w:pPr>
            <w:r>
              <w:t xml:space="preserve">Productos tipificados con indicador y meta.</w:t>
            </w:r>
          </w:p>
        </w:tc>
      </w:tr>
      <w:tr>
        <w:trPr>
          <w:cantSplit/>
        </w:trPr>
        <w:tc>
          <w:tcPr/>
          <w:p>
            <w:pPr>
              <w:pStyle w:val="Tabla9"/>
              <w:jc w:val="left"/>
            </w:pPr>
            <w:r>
              <w:t xml:space="preserve">9</w:t>
            </w:r>
          </w:p>
        </w:tc>
        <w:tc>
          <w:tcPr/>
          <w:p>
            <w:pPr>
              <w:pStyle w:val="Tabla9"/>
              <w:jc w:val="left"/>
            </w:pPr>
            <w:r>
              <w:t xml:space="preserve">Impacto</w:t>
            </w:r>
          </w:p>
        </w:tc>
        <w:tc>
          <w:tcPr/>
          <w:p>
            <w:pPr>
              <w:pStyle w:val="Tabla9"/>
              <w:jc w:val="left"/>
            </w:pPr>
            <w:r>
              <w:t xml:space="preserve">Indicador principal: 75 % o más de los 15 comités usan el tablero en decisiones documentadas al mes 24 (PERS-E01); Beneficiarios directos: 150 funcionarios, 10 por comité (SUPUESTO); Continuidad: 70 % o más de la red bajo custodia a los 12 meses del cierre (PERS-S02); ODS 11 (principal), ODS 9, ODS 17 y ODS 3 (indirecto)</w:t>
            </w:r>
          </w:p>
        </w:tc>
        <w:tc>
          <w:tcPr/>
          <w:p>
            <w:pPr>
              <w:pStyle w:val="Tabla9"/>
              <w:jc w:val="left"/>
            </w:pPr>
            <w:r>
              <w:t xml:space="preserve">Impactos institucionales; ninguna promesa de salud.</w:t>
            </w:r>
          </w:p>
        </w:tc>
      </w:tr>
      <w:tr>
        <w:trPr>
          <w:cantSplit/>
        </w:trPr>
        <w:tc>
          <w:tcPr/>
          <w:p>
            <w:pPr>
              <w:pStyle w:val="Tabla9"/>
              <w:jc w:val="left"/>
            </w:pPr>
            <w:r>
              <w:t xml:space="preserve">10</w:t>
            </w:r>
          </w:p>
        </w:tc>
        <w:tc>
          <w:tcPr/>
          <w:p>
            <w:pPr>
              <w:pStyle w:val="Tabla9"/>
              <w:jc w:val="left"/>
            </w:pPr>
            <w:r>
              <w:t xml:space="preserve">El equipo</w:t>
            </w:r>
          </w:p>
        </w:tc>
        <w:tc>
          <w:tcPr/>
          <w:p>
            <w:pPr>
              <w:pStyle w:val="Tabla9"/>
              <w:jc w:val="left"/>
            </w:pPr>
            <w:r>
              <w:t xml:space="preserve">29 cargos y 624 persona-mes en cuatro paquetes de trabajo; Dirección científica de la entidad ejecutora en contrapartida; Categoría de los grupos de investigación: [DATO_USUARIO: categoría MinCiencias]; Nombres y fotos: [DATO_USUARIO: líderes del equipo]</w:t>
            </w:r>
          </w:p>
        </w:tc>
        <w:tc>
          <w:tcPr/>
          <w:p>
            <w:pPr>
              <w:pStyle w:val="Tabla9"/>
              <w:jc w:val="left"/>
            </w:pPr>
            <w:r>
              <w:t xml:space="preserve">Credibilidad del equipo con datos que aporta el usuario.</w:t>
            </w:r>
          </w:p>
        </w:tc>
      </w:tr>
      <w:tr>
        <w:trPr>
          <w:cantSplit/>
        </w:trPr>
        <w:tc>
          <w:tcPr/>
          <w:p>
            <w:pPr>
              <w:pStyle w:val="Tabla9"/>
              <w:jc w:val="left"/>
            </w:pPr>
            <w:r>
              <w:t xml:space="preserve">11</w:t>
            </w:r>
          </w:p>
        </w:tc>
        <w:tc>
          <w:tcPr/>
          <w:p>
            <w:pPr>
              <w:pStyle w:val="Tabla9"/>
              <w:jc w:val="left"/>
            </w:pPr>
            <w:r>
              <w:t xml:space="preserve">Alianzas</w:t>
            </w:r>
          </w:p>
        </w:tc>
        <w:tc>
          <w:tcPr/>
          <w:p>
            <w:pPr>
              <w:pStyle w:val="Tabla9"/>
              <w:jc w:val="left"/>
            </w:pPr>
            <w:r>
              <w:t xml:space="preserve">Entidad ejecutora: aporta 1.100 millones de COP en especie; Empresa tecnológica: 210 millones en efectivo y 800 millones en especie; Alcaldías, gobernaciones y UNGRD: cartas por obtener; Certificaciones de contrapartida pendientes</w:t>
            </w:r>
          </w:p>
        </w:tc>
        <w:tc>
          <w:tcPr/>
          <w:p>
            <w:pPr>
              <w:pStyle w:val="Tabla9"/>
              <w:jc w:val="left"/>
            </w:pPr>
            <w:r>
              <w:t xml:space="preserve">La alianza es un supuesto por instrucción del usuario.</w:t>
            </w:r>
          </w:p>
        </w:tc>
      </w:tr>
      <w:tr>
        <w:trPr>
          <w:cantSplit/>
        </w:trPr>
        <w:tc>
          <w:tcPr/>
          <w:p>
            <w:pPr>
              <w:pStyle w:val="Tabla9"/>
              <w:jc w:val="left"/>
            </w:pPr>
            <w:r>
              <w:t xml:space="preserve">12</w:t>
            </w:r>
          </w:p>
        </w:tc>
        <w:tc>
          <w:tcPr/>
          <w:p>
            <w:pPr>
              <w:pStyle w:val="Tabla9"/>
              <w:jc w:val="left"/>
            </w:pPr>
            <w:r>
              <w:t xml:space="preserve">Cronograma</w:t>
            </w:r>
          </w:p>
        </w:tc>
        <w:tc>
          <w:tcPr/>
          <w:p>
            <w:pPr>
              <w:pStyle w:val="Tabla9"/>
              <w:jc w:val="left"/>
            </w:pPr>
            <w:r>
              <w:t xml:space="preserve">24 meses y 104 semanas con ruta crítica de 13 actividades; Tres tramos: meses 1 a 12, 13 a 17 y 18 a 24; Compuertas C1 (mes 12), C2 (mes 17) y C3 (mes 24); Nueve hitos de H0 a H8</w:t>
            </w:r>
          </w:p>
        </w:tc>
        <w:tc>
          <w:tcPr/>
          <w:p>
            <w:pPr>
              <w:pStyle w:val="Tabla9"/>
              <w:jc w:val="left"/>
            </w:pPr>
            <w:r>
              <w:t xml:space="preserve">Línea de tiempo con hitos.</w:t>
            </w:r>
          </w:p>
        </w:tc>
      </w:tr>
      <w:tr>
        <w:trPr>
          <w:cantSplit/>
        </w:trPr>
        <w:tc>
          <w:tcPr/>
          <w:p>
            <w:pPr>
              <w:pStyle w:val="Tabla9"/>
              <w:jc w:val="left"/>
            </w:pPr>
            <w:r>
              <w:t xml:space="preserve">13</w:t>
            </w:r>
          </w:p>
        </w:tc>
        <w:tc>
          <w:tcPr/>
          <w:p>
            <w:pPr>
              <w:pStyle w:val="Tabla9"/>
              <w:jc w:val="left"/>
            </w:pPr>
            <w:r>
              <w:t xml:space="preserve">Presupuesto</w:t>
            </w:r>
          </w:p>
        </w:tc>
        <w:tc>
          <w:tcPr/>
          <w:p>
            <w:pPr>
              <w:pStyle w:val="Tabla9"/>
              <w:jc w:val="left"/>
            </w:pPr>
            <w:r>
              <w:t xml:space="preserve">Total: $ 10.839.840.000; SGR: $ 8.729.840.000 (62,4 % del tope declarado); Contrapartida: $ 2.110.000.000; Personal 50,2 %; equipos y software 21,6 %; reserva de contingencia 7,3 %; Relación costo-beneficio: NO_CALCULABLE sin fuente de beneficios</w:t>
            </w:r>
          </w:p>
        </w:tc>
        <w:tc>
          <w:tcPr/>
          <w:p>
            <w:pPr>
              <w:pStyle w:val="Tabla9"/>
              <w:jc w:val="left"/>
            </w:pPr>
            <w:r>
              <w:t xml:space="preserve">Mostrar eficiencia en el uso de recursos y la reserva de 636 millones.</w:t>
            </w:r>
          </w:p>
        </w:tc>
      </w:tr>
      <w:tr>
        <w:trPr>
          <w:cantSplit/>
        </w:trPr>
        <w:tc>
          <w:tcPr/>
          <w:p>
            <w:pPr>
              <w:pStyle w:val="Tabla9"/>
              <w:jc w:val="left"/>
            </w:pPr>
            <w:r>
              <w:t xml:space="preserve">14</w:t>
            </w:r>
          </w:p>
        </w:tc>
        <w:tc>
          <w:tcPr/>
          <w:p>
            <w:pPr>
              <w:pStyle w:val="Tabla9"/>
              <w:jc w:val="left"/>
            </w:pPr>
            <w:r>
              <w:t xml:space="preserve">Sostenibilidad</w:t>
            </w:r>
          </w:p>
        </w:tc>
        <w:tc>
          <w:tcPr/>
          <w:p>
            <w:pPr>
              <w:pStyle w:val="Tabla9"/>
              <w:jc w:val="left"/>
            </w:pPr>
            <w:r>
              <w:t xml:space="preserve">Transferencia por tramos con convenios de custodia y partida; Cláusula de apertura: datos y código abiertos si ningún custodio demuestra capacidad; Activación del protocolo de 80 % o más a los 12 meses del cierre (PERS-S01); Índice de capacidad de absorción y costo de sostenimiento: NO_CALCULABLE</w:t>
            </w:r>
          </w:p>
        </w:tc>
        <w:tc>
          <w:tcPr/>
          <w:p>
            <w:pPr>
              <w:pStyle w:val="Tabla9"/>
              <w:jc w:val="left"/>
            </w:pPr>
            <w:r>
              <w:t xml:space="preserve">Visión de largo plazo con vacíos declarados.</w:t>
            </w:r>
          </w:p>
        </w:tc>
      </w:tr>
      <w:tr>
        <w:trPr>
          <w:cantSplit/>
        </w:trPr>
        <w:tc>
          <w:tcPr/>
          <w:p>
            <w:pPr>
              <w:pStyle w:val="Tabla9"/>
              <w:jc w:val="left"/>
            </w:pPr>
            <w:r>
              <w:t xml:space="preserve">15</w:t>
            </w:r>
          </w:p>
        </w:tc>
        <w:tc>
          <w:tcPr/>
          <w:p>
            <w:pPr>
              <w:pStyle w:val="Tabla9"/>
              <w:jc w:val="left"/>
            </w:pPr>
            <w:r>
              <w:t xml:space="preserve">Llamado a la acción</w:t>
            </w:r>
          </w:p>
        </w:tc>
        <w:tc>
          <w:tcPr/>
          <w:p>
            <w:pPr>
              <w:pStyle w:val="Tabla9"/>
              <w:jc w:val="left"/>
            </w:pPr>
            <w:r>
              <w:t xml:space="preserve">Solicitud: aprobar y financiar $ 8.729.840.000 con liberación por compuertas; Decisión inmediata: confirmar el TRL objetivo y los términos de referencia; Próximos pasos: cartas de compromiso, cotizaciones, línea base de error y municipios afectados; Contacto: [DATO_USUARIO: persona de contacto]</w:t>
            </w:r>
          </w:p>
        </w:tc>
        <w:tc>
          <w:tcPr/>
          <w:p>
            <w:pPr>
              <w:pStyle w:val="Tabla9"/>
              <w:jc w:val="left"/>
            </w:pPr>
            <w:r>
              <w:t xml:space="preserve">Cierre con una solicitud concreta y las condiciones de la decisión.</w:t>
            </w:r>
          </w:p>
        </w:tc>
      </w:tr>
    </w:tbl>
    <w:p>
      <w:pPr>
        <w:pStyle w:val="TablaNota"/>
      </w:pPr>
      <w:r>
        <w:rPr>
          <w:i/>
          <w:iCs/>
        </w:rPr>
        <w:t xml:space="preserve">Nota.</w:t>
      </w:r>
      <w:r>
        <w:t xml:space="preserve"> </w:t>
      </w:r>
      <w:r>
        <w:t xml:space="preserve">Elaboración propia con datos de la ficha maestra y del informe de vigilancia tecnológica (Murad Pedraza et al., 2026; Rodríguez-Villamizar et al., 2022). Las cifras de las diapositivas 2 y 3 provienen del informe; el 90,8 % es un cálculo del analista. Los campos entre corchetes son VACIO. Decimales con coma.</w:t>
      </w:r>
    </w:p>
    <w:p>
      <w:pPr>
        <w:pStyle w:val="BodyText"/>
      </w:pPr>
      <w:r>
        <w:t xml:space="preserve">La diapositiva 7 es la más sensible. El Anexo 2 de la convocatoria prioriza soluciones con madurez tecnológica de nivel 9, y el proyecto compromete el nivel 7. Presentar esa brecha con claridad protege la credibilidad ante un panel técnico. Ocultarla expondría al proyecto a una objeción que no podría responder. La diapositiva 15 pide una decisión concreta y enumera tres condiciones. Son confirmar el nivel de madurez, aportar los términos de referencia y reunir cartas y cotizaciones.</w:t>
      </w:r>
    </w:p>
    <w:p>
      <w:pPr>
        <w:pStyle w:val="BodyText"/>
      </w:pPr>
      <w:r>
        <w:t xml:space="preserve">El guion de presentación sigue una regla de tiempo de 15 minutos, un minuto por diapositiva. Las diapositivas 2 a 4 establecen el problema y la solución en tres minutos. Las diapositivas 5 a 9 sostienen la diferencia, la madurez y los resultados en cinco minutos. Las diapositivas 10 a 14 acreditan la capacidad de ejecución en cinco minutos. La diapositiva 15 deja dos minutos para la solicitud y las preguntas. Esa distribución es una propuesta y se ajusta al tiempo real que otorgue la convocatoria [DATO_USUARIO: tiempo de presentación asignado].</w:t>
      </w:r>
    </w:p>
    <w:bookmarkEnd w:id="746"/>
    <w:bookmarkEnd w:id="747"/>
    <w:bookmarkStart w:id="803" w:name="X6944cc304dd99182a757dc915bf28eb87d2c419"/>
    <w:p>
      <w:pPr>
        <w:pStyle w:val="Heading1"/>
      </w:pPr>
      <w:r>
        <w:t xml:space="preserve">Documento 1000X-04. Capítulo de estrategia</w:t>
      </w:r>
    </w:p>
    <w:bookmarkStart w:id="748" w:name="_Toc00900322"/>
    <w:p>
      <w:pPr>
        <w:pStyle w:val="Heading2"/>
      </w:pPr>
      <w:r>
        <w:t xml:space="preserve">Introducción</w:t>
      </w:r>
    </w:p>
    <w:p>
      <w:pPr>
        <w:pStyle w:val="FirstParagraph"/>
      </w:pPr>
      <w:r>
        <w:t xml:space="preserve">Este capítulo fundamenta la estrategia del proyecto con tres marcos teóricos y tres herramientas de planificación. Los marcos son la innovación por disrupción (Christensen, 2016), la gestión del cambio (Kotter, 2012) y el aprendizaje organizacional (Argyris, 1999). Las herramientas son el premortem, los escenarios y los planes de contingencia. Cada marco responde una pregunta distinta. Christensen indica dónde se ubica el proyecto frente a las soluciones existentes. Kotter ordena cómo se logra la adopción institucional. Argyris define cómo se corrigen los errores y los supuestos.</w:t>
      </w:r>
    </w:p>
    <w:p>
      <w:pPr>
        <w:pStyle w:val="BodyText"/>
      </w:pPr>
      <w:r>
        <w:t xml:space="preserve">El proyecto implementa una red híbrida Edge-Cloud del Internet de las cosas (IoT) con gemelo digital. La red vigila material particulado (PM2,5 y PM10) en sitios de remoción de escombros posterremoto. Los sitios están en Caldas, Cundinamarca y Valle del Cauca (SUPUESTO). La red suma 100 nodos, 10 gateways y 3 monitores de referencia. Se despliega en tres tramos durante 24 meses. Dos compuertas, C1 en el mes 12 y C2 en el mes 17, condicionan la compra del tramo siguiente. El nivel de madurez tecnológica (TRL) pasa de 4 a 7 (PROPUESTO). El proyecto no promete efectos en salud. Promete mediciones verificadas, uso institucional y continuidad.</w:t>
      </w:r>
    </w:p>
    <w:p>
      <w:pPr>
        <w:pStyle w:val="BodyText"/>
      </w:pPr>
      <w:r>
        <w:t xml:space="preserve">La base probatoria de esta estrategia presenta límites explícitos. El territorio y la alianza son SUPUESTO por instrucción del usuario. Los términos de referencia (TdR) de la Convocatoria de Emergencia, Decreto 1414 de 2026, no se aportaron, de modo que su contenido es NO_VERIFICADO. Los nombres de personas y entidades quedan como [DATO_USUARIO: nombre de la persona o de la entidad]. Toda cifra cardinal procede del libro maestro de datos del proyecto o del informe de vigilancia tecnológica y bibliometría (F-INF) con su página. Las decisiones de este capítulo son PROPUESTO y requieren ratificación. Los supuestos críticos SC-1 a SC-4 de la sección 4.4-MDR.8 cubren la medición, la energía y el enlace, el uso institucional y la custodia. Los objetivos específicos son OE1 a OE3.</w:t>
      </w:r>
    </w:p>
    <w:p>
      <w:pPr>
        <w:pStyle w:val="BodyText"/>
      </w:pPr>
      <w:r>
        <w:t xml:space="preserve">El capítulo sigue seis secciones. La sección E1 posiciona el proyecto con el marco de Christensen. La sección E2 planifica la adopción con el marco de Kotter. La sección E3 diseña el aprendizaje con el marco de Argyris. La sección E4 aplica el premortem y los planes de contingencia. La sección E5 describe cuatro escenarios sin probabilidades, según la decisión DEC-F11 del registro de formulación. La sección E6 integra los tres marcos en un mapa estratégico y en un tablero de control. Los meses son relativos al acta de inicio, porque el calendario real de ejecución es VACIO. Los hitos H0 a H8 y las compuertas C1, C2 y C3 son los del cronograma del proyecto.</w:t>
      </w:r>
    </w:p>
    <w:bookmarkEnd w:id="748"/>
    <w:bookmarkStart w:id="762" w:name="X5898fb0d02097dcfbd95311e2921fe9b21dee3c"/>
    <w:p>
      <w:pPr>
        <w:pStyle w:val="Heading2"/>
      </w:pPr>
      <w:r>
        <w:t xml:space="preserve">E1 Posicionamiento estratégico según Christensen</w:t>
      </w:r>
    </w:p>
    <w:bookmarkStart w:id="749" w:name="Xb093905903caacff1854af3f92e99c8174933b4"/>
    <w:p>
      <w:pPr>
        <w:pStyle w:val="Heading3"/>
      </w:pPr>
      <w:r>
        <w:t xml:space="preserve">E1.1 Teoría de la innovación por disrupción</w:t>
      </w:r>
    </w:p>
    <w:p>
      <w:pPr>
        <w:pStyle w:val="FirstParagraph"/>
      </w:pPr>
      <w:r>
        <w:t xml:space="preserve">La teoría de Christensen separa dos trayectorias de innovación que exigen decisiones distintas. La innovación sostenida mejora productos existentes para clientes exigentes y sigue trayectorias de mejora predecibles (Christensen, 2016). La innovación por disrupción introduce productos más simples, más baratos o más accesibles. Estos productos rinden menos en los atributos que valora la corriente principal. Por eso atraen primero a segmentos desatendidos y mejoran después hasta competir con la oferta establecida (Christensen, 2016). La diferencia no reside en la novedad técnica. Reside en la base de competencia.</w:t>
      </w:r>
    </w:p>
    <w:p>
      <w:pPr>
        <w:pStyle w:val="BodyText"/>
      </w:pPr>
      <w:r>
        <w:t xml:space="preserve">Christensen distingue dos tipos de disrupción. La disrupción de gama baja ataca la parte inferior del mercado con ofertas más económicas, suficientes para clientes a quienes la oferta establecida sobrepasa. La disrupción de mercado nuevo crea consumo donde antes no existía. Llega a personas que carecían del dinero o de la destreza para usar el producto establecido. Los dos tipos comparten un patrón. El producto nace peor en el atributo tradicional y mejor en costo, acceso o conveniencia (Christensen, 2016).</w:t>
      </w:r>
    </w:p>
    <w:p>
      <w:pPr>
        <w:pStyle w:val="BodyText"/>
      </w:pPr>
      <w:r>
        <w:t xml:space="preserve">El debate sobre el alcance de la teoría enfrenta dos posiciones. Christensen (2016) sostiene que las empresas establecidas fracasan porque atienden a sus clientes más rentables y desatienden los segmentos de menor margen. Teece (1986) responde que capturar el valor de una innovación depende de los activos complementarios y del régimen de apropiabilidad. Una oferta más barata no basta. Las organizaciones combinan ideas internas y externas para crear y capturar valor (Chesbrough, 2003). La literatura de la vigilancia del aire discute un punto equivalente. Los sensores de bajo costo han ganado espacio en la gestión de la contaminación urbana (Kumar et al., 2015). Se discute hasta dónde han llegado sus aplicaciones (Morawska et al., 2018). Para el proyecto, el debate se reduce a una pregunta de desempeño: qué calidad de dato entrega un sensor barato una vez corregido.</w:t>
      </w:r>
    </w:p>
    <w:p>
      <w:pPr>
        <w:pStyle w:val="BodyText"/>
      </w:pPr>
      <w:r>
        <w:t xml:space="preserve">El proyecto ocupa el lugar del entrante. La oferta establecida son las estaciones de referencia acreditadas. El Instituto de Hidrología, Meteorología y Estudios Ambientales (IDEAM) las reconoce para el uso regulatorio (F-INF, §6.5). El nodo del proyecto cuesta 4,5 millones de pesos colombianos (COP). El monitor gravimétrico de referencia cuesta 85,0 millones de COP (DECLARADO, líneas E01 y E03 del presupuesto). La relación es de 18,9 a 1 (CALCULADO). El proyecto no reemplaza la referencia, sino que la usa. Tres monitores, uno por departamento, colocalizan y verifican 100 nodos, es decir, 33,3 nodos por monitor (CALCULADO).</w:t>
      </w:r>
    </w:p>
    <w:p>
      <w:pPr>
        <w:pStyle w:val="BodyText"/>
      </w:pPr>
      <w:r>
        <w:t xml:space="preserve">Dos decisiones se derivan de esta lectura. Primera, la clasificación del proyecto se comprueba con evidencia de desempeño y no con el precio. Por eso las compuertas C1 y C2 usan umbrales de desempeño. Segunda, el valor del proyecto se apoya en activos complementarios (Teece, 1986). Son el protocolo de calibración, la custodia y los convenios, además del sensor. Esa apuesta coincide con la recomendación del informe de vigilancia. El informe propone competir en exactitud verificada y calibración mantenida, no en cantidad de nodos (F-INF, §6.4).</w:t>
      </w:r>
    </w:p>
    <w:bookmarkEnd w:id="749"/>
    <w:bookmarkStart w:id="756" w:name="_Toc00900323"/>
    <w:p>
      <w:pPr>
        <w:pStyle w:val="Heading3"/>
      </w:pPr>
      <w:r>
        <w:t xml:space="preserve">E1.2 Clasificación del proyecto</w:t>
      </w:r>
    </w:p>
    <w:p>
      <w:pPr>
        <w:pStyle w:val="FirstParagraph"/>
      </w:pPr>
      <w:r>
        <w:t xml:space="preserve">La Tabla X4.1 compara el proyecto con los tres tipos de innovación a partir de cinco criterios. La última columna expresa la clasificación como hipótesis de formulación (INFERIDO) y no como hecho verificado. Los costos unitarios provienen del presupuesto del proyecto (DECLARADO).</w:t>
      </w:r>
    </w:p>
    <w:p>
      <w:pPr>
        <w:pStyle w:val="TablaRotulo"/>
      </w:pPr>
      <w:bookmarkStart w:id="9420" w:name="rot_Tabla_X4_1"/>
      <w:r>
        <w:rPr>
          <w:b/>
          <w:bCs/>
        </w:rPr>
        <w:t xml:space="preserve">Tabla X4.1</w:t>
      </w:r>
      <w:bookmarkEnd w:id="9420"/>
    </w:p>
    <w:p>
      <w:pPr>
        <w:pStyle w:val="TablaTitulo"/>
      </w:pPr>
      <w:r>
        <w:rPr>
          <w:i/>
          <w:iCs/>
        </w:rPr>
        <w:t xml:space="preserve">Clasificación del tipo de innovación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1914"/>
        <w:gridCol w:w="1650"/>
        <w:gridCol w:w="1452"/>
      </w:tblGrid>
      <w:tr>
        <w:trPr>
          <w:cantSplit/>
          <w:tblHeader/>
        </w:trPr>
        <w:tc>
          <w:tcPr>
            <w:shd w:val="clear" w:color="auto" w:fill="00B050"/>
          </w:tcPr>
          <w:p>
            <w:pPr>
              <w:pStyle w:val="Tabla9"/>
              <w:jc w:val="center"/>
            </w:pPr>
            <w:r>
              <w:rPr>
                <w:b/>
                <w:color w:val="FFFFFF"/>
              </w:rPr>
              <w:t xml:space="preserve">Criterio</w:t>
            </w:r>
          </w:p>
        </w:tc>
        <w:tc>
          <w:tcPr>
            <w:shd w:val="clear" w:color="auto" w:fill="00B050"/>
          </w:tcPr>
          <w:p>
            <w:pPr>
              <w:pStyle w:val="Tabla9"/>
              <w:jc w:val="center"/>
            </w:pPr>
            <w:r>
              <w:rPr>
                <w:b/>
                <w:color w:val="FFFFFF"/>
              </w:rPr>
              <w:t xml:space="preserve">Innovación sostenida</w:t>
            </w:r>
          </w:p>
        </w:tc>
        <w:tc>
          <w:tcPr>
            <w:shd w:val="clear" w:color="auto" w:fill="00B050"/>
          </w:tcPr>
          <w:p>
            <w:pPr>
              <w:pStyle w:val="Tabla9"/>
              <w:jc w:val="center"/>
            </w:pPr>
            <w:r>
              <w:rPr>
                <w:b/>
                <w:color w:val="FFFFFF"/>
              </w:rPr>
              <w:t xml:space="preserve">Disrupción de gama baja</w:t>
            </w:r>
          </w:p>
        </w:tc>
        <w:tc>
          <w:tcPr>
            <w:shd w:val="clear" w:color="auto" w:fill="00B050"/>
          </w:tcPr>
          <w:p>
            <w:pPr>
              <w:pStyle w:val="Tabla9"/>
              <w:jc w:val="center"/>
            </w:pPr>
            <w:r>
              <w:rPr>
                <w:b/>
                <w:color w:val="FFFFFF"/>
              </w:rPr>
              <w:t xml:space="preserve">Disrupción de mercado nuevo</w:t>
            </w:r>
          </w:p>
        </w:tc>
        <w:tc>
          <w:tcPr>
            <w:shd w:val="clear" w:color="auto" w:fill="00B050"/>
          </w:tcPr>
          <w:p>
            <w:pPr>
              <w:pStyle w:val="Tabla9"/>
              <w:jc w:val="center"/>
            </w:pPr>
            <w:r>
              <w:rPr>
                <w:b/>
                <w:color w:val="FFFFFF"/>
              </w:rPr>
              <w:t xml:space="preserve">Proyecto</w:t>
            </w:r>
          </w:p>
        </w:tc>
      </w:tr>
      <w:tr>
        <w:trPr>
          <w:cantSplit/>
        </w:trPr>
        <w:tc>
          <w:tcPr/>
          <w:p>
            <w:pPr>
              <w:pStyle w:val="Tabla9"/>
              <w:jc w:val="left"/>
            </w:pPr>
            <w:r>
              <w:t xml:space="preserve">Mercado objetivo</w:t>
            </w:r>
          </w:p>
        </w:tc>
        <w:tc>
          <w:tcPr/>
          <w:p>
            <w:pPr>
              <w:pStyle w:val="Tabla9"/>
              <w:jc w:val="left"/>
            </w:pPr>
            <w:r>
              <w:t xml:space="preserve">Clientes actuales más exigentes</w:t>
            </w:r>
          </w:p>
        </w:tc>
        <w:tc>
          <w:tcPr/>
          <w:p>
            <w:pPr>
              <w:pStyle w:val="Tabla9"/>
              <w:jc w:val="left"/>
            </w:pPr>
            <w:r>
              <w:t xml:space="preserve">Segmento desatendido por ser menos rentable</w:t>
            </w:r>
          </w:p>
        </w:tc>
        <w:tc>
          <w:tcPr/>
          <w:p>
            <w:pPr>
              <w:pStyle w:val="Tabla9"/>
              <w:jc w:val="left"/>
            </w:pPr>
            <w:r>
              <w:t xml:space="preserve">No consumidores: personas que no podían acceder</w:t>
            </w:r>
          </w:p>
        </w:tc>
        <w:tc>
          <w:tcPr/>
          <w:p>
            <w:pPr>
              <w:pStyle w:val="Tabla9"/>
              <w:jc w:val="left"/>
            </w:pPr>
            <w:r>
              <w:t xml:space="preserve">Mercado nuevo: 12 municipios focalizados y 15 comités de gestión del riesgo sin medición con error conocido</w:t>
            </w:r>
          </w:p>
        </w:tc>
      </w:tr>
      <w:tr>
        <w:trPr>
          <w:cantSplit/>
        </w:trPr>
        <w:tc>
          <w:tcPr/>
          <w:p>
            <w:pPr>
              <w:pStyle w:val="Tabla9"/>
              <w:jc w:val="left"/>
            </w:pPr>
            <w:r>
              <w:t xml:space="preserve">Propuesta de valor</w:t>
            </w:r>
          </w:p>
        </w:tc>
        <w:tc>
          <w:tcPr/>
          <w:p>
            <w:pPr>
              <w:pStyle w:val="Tabla9"/>
              <w:jc w:val="left"/>
            </w:pPr>
            <w:r>
              <w:t xml:space="preserve">Mejor rendimiento en los atributos valorados</w:t>
            </w:r>
          </w:p>
        </w:tc>
        <w:tc>
          <w:tcPr/>
          <w:p>
            <w:pPr>
              <w:pStyle w:val="Tabla9"/>
              <w:jc w:val="left"/>
            </w:pPr>
            <w:r>
              <w:t xml:space="preserve">Suficientemente bueno a menor precio</w:t>
            </w:r>
          </w:p>
        </w:tc>
        <w:tc>
          <w:tcPr/>
          <w:p>
            <w:pPr>
              <w:pStyle w:val="Tabla9"/>
              <w:jc w:val="left"/>
            </w:pPr>
            <w:r>
              <w:t xml:space="preserve">Nueva forma de acceso y de conveniencia</w:t>
            </w:r>
          </w:p>
        </w:tc>
        <w:tc>
          <w:tcPr/>
          <w:p>
            <w:pPr>
              <w:pStyle w:val="Tabla9"/>
              <w:jc w:val="left"/>
            </w:pPr>
            <w:r>
              <w:t xml:space="preserve">Medición suficiente para decidir alertas (R² ≥ 0,70; NRMSE ≤ 30 %), con corrección en el gateway</w:t>
            </w:r>
          </w:p>
        </w:tc>
      </w:tr>
      <w:tr>
        <w:trPr>
          <w:cantSplit/>
        </w:trPr>
        <w:tc>
          <w:tcPr/>
          <w:p>
            <w:pPr>
              <w:pStyle w:val="Tabla9"/>
              <w:jc w:val="left"/>
            </w:pPr>
            <w:r>
              <w:t xml:space="preserve">Modelo de negocio</w:t>
            </w:r>
          </w:p>
        </w:tc>
        <w:tc>
          <w:tcPr/>
          <w:p>
            <w:pPr>
              <w:pStyle w:val="Tabla9"/>
              <w:jc w:val="left"/>
            </w:pPr>
            <w:r>
              <w:t xml:space="preserve">Compatible con el modelo existente</w:t>
            </w:r>
          </w:p>
        </w:tc>
        <w:tc>
          <w:tcPr/>
          <w:p>
            <w:pPr>
              <w:pStyle w:val="Tabla9"/>
              <w:jc w:val="left"/>
            </w:pPr>
            <w:r>
              <w:t xml:space="preserve">Requiere una estructura de costos diferente</w:t>
            </w:r>
          </w:p>
        </w:tc>
        <w:tc>
          <w:tcPr/>
          <w:p>
            <w:pPr>
              <w:pStyle w:val="Tabla9"/>
              <w:jc w:val="left"/>
            </w:pPr>
            <w:r>
              <w:t xml:space="preserve">Requiere un modelo completamente nuevo</w:t>
            </w:r>
          </w:p>
        </w:tc>
        <w:tc>
          <w:tcPr/>
          <w:p>
            <w:pPr>
              <w:pStyle w:val="Tabla9"/>
              <w:jc w:val="left"/>
            </w:pPr>
            <w:r>
              <w:t xml:space="preserve">Servicio público con custodia por tramos; nodo de 4,5 millones de COP frente a 85,0 millones de la referencia</w:t>
            </w:r>
          </w:p>
        </w:tc>
      </w:tr>
      <w:tr>
        <w:trPr>
          <w:cantSplit/>
        </w:trPr>
        <w:tc>
          <w:tcPr/>
          <w:p>
            <w:pPr>
              <w:pStyle w:val="Tabla9"/>
              <w:jc w:val="left"/>
            </w:pPr>
            <w:r>
              <w:t xml:space="preserve">Competencia</w:t>
            </w:r>
          </w:p>
        </w:tc>
        <w:tc>
          <w:tcPr/>
          <w:p>
            <w:pPr>
              <w:pStyle w:val="Tabla9"/>
              <w:jc w:val="left"/>
            </w:pPr>
            <w:r>
              <w:t xml:space="preserve">En los mismos atributos</w:t>
            </w:r>
          </w:p>
        </w:tc>
        <w:tc>
          <w:tcPr/>
          <w:p>
            <w:pPr>
              <w:pStyle w:val="Tabla9"/>
              <w:jc w:val="left"/>
            </w:pPr>
            <w:r>
              <w:t xml:space="preserve">En una base de competencia diferente</w:t>
            </w:r>
          </w:p>
        </w:tc>
        <w:tc>
          <w:tcPr/>
          <w:p>
            <w:pPr>
              <w:pStyle w:val="Tabla9"/>
              <w:jc w:val="left"/>
            </w:pPr>
            <w:r>
              <w:t xml:space="preserve">Sin competencia directa inicial</w:t>
            </w:r>
          </w:p>
        </w:tc>
        <w:tc>
          <w:tcPr/>
          <w:p>
            <w:pPr>
              <w:pStyle w:val="Tabla9"/>
              <w:jc w:val="left"/>
            </w:pPr>
            <w:r>
              <w:t xml:space="preserve">Estaciones de referencia y sensores sin calibrar; la base pasa de cobertura a exactitud verificada</w:t>
            </w:r>
          </w:p>
        </w:tc>
      </w:tr>
      <w:tr>
        <w:trPr>
          <w:cantSplit/>
        </w:trPr>
        <w:tc>
          <w:tcPr/>
          <w:p>
            <w:pPr>
              <w:pStyle w:val="Tabla9"/>
              <w:jc w:val="left"/>
            </w:pPr>
            <w:r>
              <w:t xml:space="preserve">Trayectoria</w:t>
            </w:r>
          </w:p>
        </w:tc>
        <w:tc>
          <w:tcPr/>
          <w:p>
            <w:pPr>
              <w:pStyle w:val="Tabla9"/>
              <w:jc w:val="left"/>
            </w:pPr>
            <w:r>
              <w:t xml:space="preserve">Mejora incremental predecible</w:t>
            </w:r>
          </w:p>
        </w:tc>
        <w:tc>
          <w:tcPr/>
          <w:p>
            <w:pPr>
              <w:pStyle w:val="Tabla9"/>
              <w:jc w:val="left"/>
            </w:pPr>
            <w:r>
              <w:t xml:space="preserve">Mejora desde abajo hacia arriba</w:t>
            </w:r>
          </w:p>
        </w:tc>
        <w:tc>
          <w:tcPr/>
          <w:p>
            <w:pPr>
              <w:pStyle w:val="Tabla9"/>
              <w:jc w:val="left"/>
            </w:pPr>
            <w:r>
              <w:t xml:space="preserve">Expansión del mercado total</w:t>
            </w:r>
          </w:p>
        </w:tc>
        <w:tc>
          <w:tcPr/>
          <w:p>
            <w:pPr>
              <w:pStyle w:val="Tabla9"/>
              <w:jc w:val="left"/>
            </w:pPr>
            <w:r>
              <w:t xml:space="preserve">Mejora desde abajo: del nodo no verificado (TRL 4) a la red verificada en entorno operativo (TRL 7)</w:t>
            </w:r>
          </w:p>
        </w:tc>
      </w:tr>
    </w:tbl>
    <w:p>
      <w:pPr>
        <w:pStyle w:val="TablaNota"/>
      </w:pPr>
      <w:r>
        <w:rPr>
          <w:i/>
          <w:iCs/>
        </w:rPr>
        <w:t xml:space="preserve">Nota.</w:t>
      </w:r>
      <w:r>
        <w:t xml:space="preserve"> </w:t>
      </w:r>
      <w:r>
        <w:t xml:space="preserve">Elaboración propia con datos del libro maestro (identidad, solución, tramos y presupuesto) y de F-INF. Naturaleza: INFERIDO para la clasificación; DECLARADO para los costos unitarios E01 y E03. R²: coeficiente de determinación. NRMSE: error cuadrático medio normalizado. TRL: nivel de madurez tecnológica. Decimales con coma.</w:t>
      </w:r>
    </w:p>
    <w:p>
      <w:pPr>
        <w:pStyle w:val="BodyText"/>
      </w:pPr>
      <w:r>
        <w:t xml:space="preserve">La tabla produce una clasificación mixta. El mercado objetivo y la trayectoria corresponden a una disrupción de mercado nuevo. La propuesta de valor y la competencia corresponden a una disrupción de gama baja. El modelo de negocio no encaja en ninguna columna, porque el proyecto no estima ingresos propios. Esa salvedad limita la analogía y se declara en el análisis siguiente.</w:t>
      </w:r>
    </w:p>
    <w:p>
      <w:pPr>
        <w:pStyle w:val="BodyText"/>
      </w:pPr>
      <w:r>
        <w:rPr>
          <w:b/>
          <w:bCs/>
        </w:rPr>
        <w:t xml:space="preserve">Análisis de clasificación.</w:t>
      </w:r>
      <w:r>
        <w:t xml:space="preserve"> </w:t>
      </w:r>
      <w:r>
        <w:t xml:space="preserve">El proyecto se clasifica como disrupción de mercado nuevo con rasgos de gama baja (INFERIDO). El argumento de mercado nuevo es el no consumo. De los 1.122 municipios de Colombia, 92 miden la calidad del aire (Rodríguez-Villamizar et al., 2022, p. 3). Solo 28 poseen estaciones utilizables para estimar la carga de mortalidad (Rodríguez-Villamizar et al., 2022, pp. 3 y 6). Los 1.094 restantes carecen de ellas (CALCULADO: 1.122 menos 28). La cifra describe la utilidad para un fin específico, la estimación de carga, y no la utilidad para decidir alertas.</w:t>
      </w:r>
    </w:p>
    <w:p>
      <w:pPr>
        <w:pStyle w:val="BodyText"/>
      </w:pPr>
      <w:r>
        <w:t xml:space="preserve">El argumento de gama baja es el desempeño. La evaluación multicriterio asigna a la estación de referencia una fiabilidad de 8 y a la red corregida una de 6. A la vez, otorga a la red corregida ventaja en costo, acceso, cobertura y escalabilidad (PROPUESTO, escala de 1 a 9). Ese patrón coincide con el descrito para el entrante (Christensen, 2016). El entrante cede el atributo tradicional y gana en los demás. El umbral de lo suficientemente bueno lo fija la Agencia de Protección Ambiental de Estados Unidos (EPA, 2021) para el uso informativo en sitio fijo. El proyecto adopta dos umbrales (PROPUESTO). El primero es un coeficiente de determinación (R²) de al menos 0,70. El segundo es un error cuadrático medio normalizado (NRMSE) de 30 % o menos.</w:t>
      </w:r>
    </w:p>
    <w:p>
      <w:pPr>
        <w:pStyle w:val="BodyText"/>
      </w:pPr>
      <w:r>
        <w:t xml:space="preserve">La evidencia de que la corrección alcanza ese umbral es parcial. En Seúl, una corrección con estación cercana y 35 minutos de desfase elevó el R² de menos de 0,2 a 0,81 (Bang et al., 2026, pp. 6-8). En una mina a cielo abierto, la correlación entre las partículas y la humedad fue de 0,73 (Suresh et al., 2025, p. 30). Ninguno de los dos casos ocurre en sitios de remoción de escombros. La línea base propia es VACIO y se mide en el tramo 1.</w:t>
      </w:r>
    </w:p>
    <w:p>
      <w:pPr>
        <w:pStyle w:val="BodyText"/>
      </w:pPr>
      <w:r>
        <w:t xml:space="preserve">Dos limitaciones acotan la clasificación. Primero, la teoría describe empresas con ingresos y márgenes, y el proyecto opera como servicio público con custodia distribuida. La aplicación es una analogía. Segundo, existe un precedente nacional de red de dos capas. El Sistema de Alerta Temprana de Medellín y el Valle de Aburrá (SIATA) integra 65 equipos acreditados y 450 sensores de bajo costo (Ruiz-Carrascal et al., 2026, pp. 3 y 8). El proyecto lleva ese diseño a territorios sin red previa y no lo inventa. La decisión es mantener la clasificación como hipótesis y revisarla en la compuerta C1 con la línea base medida.</w:t>
      </w:r>
    </w:p>
    <w:p>
      <w:pPr>
        <w:pStyle w:val="BodyText"/>
      </w:pPr>
      <w:r>
        <w:t xml:space="preserve">La Figura X4.1 cuantifica el no consumo con las cifras del informe de vigilancia. El panel izquierdo cuenta municipios y el panel derecho cuenta estaciones.</w:t>
      </w:r>
    </w:p>
    <w:p>
      <w:pPr>
        <w:pStyle w:val="FiguraRotulo"/>
      </w:pPr>
      <w:bookmarkStart w:id="9556" w:name="rot_Figura_X4_1"/>
      <w:r>
        <w:rPr>
          <w:b/>
          <w:bCs/>
        </w:rPr>
        <w:t xml:space="preserve">Figura X4.1</w:t>
      </w:r>
      <w:bookmarkEnd w:id="9556"/>
    </w:p>
    <w:p>
      <w:pPr>
        <w:pStyle w:val="FiguraTitulo"/>
      </w:pPr>
      <w:r>
        <w:rPr>
          <w:i/>
          <w:iCs/>
        </w:rPr>
        <w:t xml:space="preserve">Solo 28 de 1.122 municipios cuentan con estaciones utilizables</w:t>
      </w:r>
    </w:p>
    <w:p>
      <w:pPr>
        <w:pStyle w:val="BodyText"/>
      </w:pPr>
      <w:r>
        <w:drawing>
          <wp:inline>
            <wp:extent cx="5579999" cy="2102301"/>
            <wp:effectExtent b="0" l="0" r="0" t="0"/>
            <wp:docPr descr="" title="" id="751" name="Picture"/>
            <a:graphic>
              <a:graphicData uri="http://schemas.openxmlformats.org/drawingml/2006/picture">
                <pic:pic>
                  <pic:nvPicPr>
                    <pic:cNvPr descr="/tmp/claude-0/-home-user-docs/ddf38714-2a7e-502b-92b4-1008e2832422/scratchpad/proy/figs/out/cX4_f01.png" id="752" name="Picture"/>
                    <pic:cNvPicPr>
                      <a:picLocks noChangeArrowheads="1" noChangeAspect="1"/>
                    </pic:cNvPicPr>
                  </pic:nvPicPr>
                  <pic:blipFill>
                    <a:blip r:embed="rId750"/>
                    <a:stretch>
                      <a:fillRect/>
                    </a:stretch>
                  </pic:blipFill>
                  <pic:spPr bwMode="auto">
                    <a:xfrm>
                      <a:off x="0" y="0"/>
                      <a:ext cx="5579999" cy="210230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F-INF (Rodríguez-Villamizar et al., 2022, pp. 3 y 6; Murad Pedraza et al., 2026, pp. 5-6). Los 12 municipios focalizados provienen del libro maestro (SUPUESTO). Sin cálculo estadístico; gráfico de barras con valores exactos; matplotlib, tamaño 10 × 4,5 pulgadas. Script: cX4_figuras.py; sin semilla aleatoria.</w:t>
      </w:r>
    </w:p>
    <w:p>
      <w:pPr>
        <w:pStyle w:val="BodyText"/>
      </w:pPr>
      <w:r>
        <w:t xml:space="preserve">La figura muestra la magnitud del territorio de mercado nuevo. Entre 1.122 municipios, 1.030 no miden la calidad del aire (CALCULADO: 1.122 menos 92). Los 12 municipios focalizados equivalen a 1,1 % del total (CALCULADO). Esa proporción justifica un diseño por tramos y de transferencia. El proyecto produce evidencia y protocolo replicable. No produce cobertura nacional.</w:t>
      </w:r>
    </w:p>
    <w:p>
      <w:pPr>
        <w:pStyle w:val="BodyText"/>
      </w:pPr>
      <w:r>
        <w:t xml:space="preserve">La Figura X4.2 contrasta los atributos de la estación de referencia y de la red corregida según la evaluación multicriterio. Los puntajes son una propuesta sujeta a la ratificación del panel evaluador.</w:t>
      </w:r>
    </w:p>
    <w:p>
      <w:pPr>
        <w:pStyle w:val="FiguraRotulo"/>
      </w:pPr>
      <w:bookmarkStart w:id="9557" w:name="rot_Figura_X4_2"/>
      <w:r>
        <w:rPr>
          <w:b/>
          <w:bCs/>
        </w:rPr>
        <w:t xml:space="preserve">Figura X4.2</w:t>
      </w:r>
      <w:bookmarkEnd w:id="9557"/>
    </w:p>
    <w:p>
      <w:pPr>
        <w:pStyle w:val="FiguraTitulo"/>
      </w:pPr>
      <w:r>
        <w:rPr>
          <w:i/>
          <w:iCs/>
        </w:rPr>
        <w:t xml:space="preserve">La red corregida cede fiabilidad y gana costo, acceso y cobertura</w:t>
      </w:r>
    </w:p>
    <w:p>
      <w:pPr>
        <w:pStyle w:val="BodyText"/>
      </w:pPr>
      <w:r>
        <w:drawing>
          <wp:inline>
            <wp:extent cx="5579999" cy="3977037"/>
            <wp:effectExtent b="0" l="0" r="0" t="0"/>
            <wp:docPr descr="" title="" id="754" name="Picture"/>
            <a:graphic>
              <a:graphicData uri="http://schemas.openxmlformats.org/drawingml/2006/picture">
                <pic:pic>
                  <pic:nvPicPr>
                    <pic:cNvPr descr="/tmp/claude-0/-home-user-docs/ddf38714-2a7e-502b-92b4-1008e2832422/scratchpad/proy/figs/out/cX4_f02.png" id="755" name="Picture"/>
                    <pic:cNvPicPr>
                      <a:picLocks noChangeArrowheads="1" noChangeAspect="1"/>
                    </pic:cNvPicPr>
                  </pic:nvPicPr>
                  <pic:blipFill>
                    <a:blip r:embed="rId753"/>
                    <a:stretch>
                      <a:fillRect/>
                    </a:stretch>
                  </pic:blipFill>
                  <pic:spPr bwMode="auto">
                    <a:xfrm>
                      <a:off x="0" y="0"/>
                      <a:ext cx="5579999" cy="39770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evaluación multicriterio del libro maestro (puntajes PROPUESTO, escala de 1 a 9; ALT-01 estaciones fijas de referencia; ALT-03 red híbrida con corrección en gateway). Puntaje total ponderado: ALT-01 4,33; ALT-03 5,81. Matplotlib, tamaño 10 × 7 pulgadas. Script: cX4_figuras.py; sin semilla aleatoria.</w:t>
      </w:r>
    </w:p>
    <w:p>
      <w:pPr>
        <w:pStyle w:val="BodyText"/>
      </w:pPr>
      <w:r>
        <w:t xml:space="preserve">La diferencia mayor aparece en ubicuidad y escalabilidad, con cinco puntos en cada atributo. La viabilidad financiera y la accesibilidad suman tres puntos de ventaja. La referencia conserva una sola ventaja, la fiabilidad, con dos puntos. Este perfil replica la forma de la disrupción de gama baja. Por consiguiente, la estrategia debe proteger el atributo cedido, y la verificación colocalizada cumple esa función.</w:t>
      </w:r>
    </w:p>
    <w:bookmarkEnd w:id="756"/>
    <w:bookmarkStart w:id="760" w:name="X260e621b525eff864eb4a0928575dfb48f234e4"/>
    <w:p>
      <w:pPr>
        <w:pStyle w:val="Heading3"/>
      </w:pPr>
      <w:r>
        <w:t xml:space="preserve">E1.3 Trabajos por realizar (Jobs to be Done)</w:t>
      </w:r>
    </w:p>
    <w:p>
      <w:pPr>
        <w:pStyle w:val="FirstParagraph"/>
      </w:pPr>
      <w:r>
        <w:t xml:space="preserve">Christensen et al. (2016) proponen que las personas contratan productos para progresar en una circunstancia concreta. El trabajo por realizar (Jobs to be Done, JTBD) posee tres dimensiones: funcional, emocional y social. La dimensión funcional describe la tarea. La emocional describe cómo quiere sentirse la persona. La social describe cómo quiere ser percibida. Esta lectura desplaza la pregunta del perfil del cliente hacia la circunstancia que lo lleva a decidir.</w:t>
      </w:r>
    </w:p>
    <w:p>
      <w:pPr>
        <w:pStyle w:val="BodyText"/>
      </w:pPr>
      <w:r>
        <w:t xml:space="preserve">La Tabla X4.2 aplica las tres dimensiones a dos actores del proyecto: el comité de gestión del riesgo y el operario de remoción. Los trabajos son INFERIDO a partir de datos secundarios. Se validarán en los talleres de co-diseño.</w:t>
      </w:r>
    </w:p>
    <w:p>
      <w:pPr>
        <w:pStyle w:val="TablaRotulo"/>
      </w:pPr>
      <w:bookmarkStart w:id="9421" w:name="rot_Tabla_X4_2"/>
      <w:r>
        <w:rPr>
          <w:b/>
          <w:bCs/>
        </w:rPr>
        <w:t xml:space="preserve">Tabla X4.2</w:t>
      </w:r>
      <w:bookmarkEnd w:id="9421"/>
    </w:p>
    <w:p>
      <w:pPr>
        <w:pStyle w:val="TablaTitulo"/>
      </w:pPr>
      <w:r>
        <w:rPr>
          <w:i/>
          <w:iCs/>
        </w:rPr>
        <w:t xml:space="preserve">Análisis de trabajos por realizar del comité de gestión del riesgo y del operario de remoción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056"/>
        <w:gridCol w:w="1254"/>
        <w:gridCol w:w="1518"/>
        <w:gridCol w:w="1452"/>
        <w:gridCol w:w="1254"/>
        <w:gridCol w:w="1386"/>
      </w:tblGrid>
      <w:tr>
        <w:trPr>
          <w:cantSplit/>
          <w:tblHeader/>
        </w:trPr>
        <w:tc>
          <w:tcPr>
            <w:shd w:val="clear" w:color="auto" w:fill="00B050"/>
          </w:tcPr>
          <w:p>
            <w:pPr>
              <w:pStyle w:val="Tabla9"/>
              <w:jc w:val="center"/>
            </w:pPr>
            <w:r>
              <w:rPr>
                <w:b/>
                <w:color w:val="FFFFFF"/>
              </w:rPr>
              <w:t xml:space="preserve">Dimensión</w:t>
            </w:r>
          </w:p>
        </w:tc>
        <w:tc>
          <w:tcPr>
            <w:shd w:val="clear" w:color="auto" w:fill="00B050"/>
          </w:tcPr>
          <w:p>
            <w:pPr>
              <w:pStyle w:val="Tabla9"/>
              <w:jc w:val="center"/>
            </w:pPr>
            <w:r>
              <w:rPr>
                <w:b/>
                <w:color w:val="FFFFFF"/>
              </w:rPr>
              <w:t xml:space="preserve">Trabajo específico</w:t>
            </w:r>
          </w:p>
        </w:tc>
        <w:tc>
          <w:tcPr>
            <w:shd w:val="clear" w:color="auto" w:fill="00B050"/>
          </w:tcPr>
          <w:p>
            <w:pPr>
              <w:pStyle w:val="Tabla9"/>
              <w:jc w:val="center"/>
            </w:pPr>
            <w:r>
              <w:rPr>
                <w:b/>
                <w:color w:val="FFFFFF"/>
              </w:rPr>
              <w:t xml:space="preserve">Contexto de uso</w:t>
            </w:r>
          </w:p>
        </w:tc>
        <w:tc>
          <w:tcPr>
            <w:shd w:val="clear" w:color="auto" w:fill="00B050"/>
          </w:tcPr>
          <w:p>
            <w:pPr>
              <w:pStyle w:val="Tabla9"/>
              <w:jc w:val="center"/>
            </w:pPr>
            <w:r>
              <w:rPr>
                <w:b/>
                <w:color w:val="FFFFFF"/>
              </w:rPr>
              <w:t xml:space="preserve">Barreras actuales</w:t>
            </w:r>
          </w:p>
        </w:tc>
        <w:tc>
          <w:tcPr>
            <w:shd w:val="clear" w:color="auto" w:fill="00B050"/>
          </w:tcPr>
          <w:p>
            <w:pPr>
              <w:pStyle w:val="Tabla9"/>
              <w:jc w:val="center"/>
            </w:pPr>
            <w:r>
              <w:rPr>
                <w:b/>
                <w:color w:val="FFFFFF"/>
              </w:rPr>
              <w:t xml:space="preserve">Soluciones alternativas</w:t>
            </w:r>
          </w:p>
        </w:tc>
        <w:tc>
          <w:tcPr>
            <w:shd w:val="clear" w:color="auto" w:fill="00B050"/>
          </w:tcPr>
          <w:p>
            <w:pPr>
              <w:pStyle w:val="Tabla9"/>
              <w:jc w:val="center"/>
            </w:pPr>
            <w:r>
              <w:rPr>
                <w:b/>
                <w:color w:val="FFFFFF"/>
              </w:rPr>
              <w:t xml:space="preserve">Respuesta del proyecto</w:t>
            </w:r>
          </w:p>
        </w:tc>
      </w:tr>
      <w:tr>
        <w:trPr>
          <w:cantSplit/>
        </w:trPr>
        <w:tc>
          <w:tcPr/>
          <w:p>
            <w:pPr>
              <w:pStyle w:val="Tabla9"/>
              <w:jc w:val="left"/>
            </w:pPr>
            <w:r>
              <w:t xml:space="preserve">Funcional del comité</w:t>
            </w:r>
          </w:p>
        </w:tc>
        <w:tc>
          <w:tcPr/>
          <w:p>
            <w:pPr>
              <w:pStyle w:val="Tabla9"/>
              <w:jc w:val="left"/>
            </w:pPr>
            <w:r>
              <w:t xml:space="preserve">Decidir si emite, mantiene o levanta una alerta por PM2,5 y PM10</w:t>
            </w:r>
          </w:p>
        </w:tc>
        <w:tc>
          <w:tcPr/>
          <w:p>
            <w:pPr>
              <w:pStyle w:val="Tabla9"/>
              <w:jc w:val="left"/>
            </w:pPr>
            <w:r>
              <w:t xml:space="preserve">Sesión del puesto de mando ante un pico de polvo o una queja comunitaria</w:t>
            </w:r>
          </w:p>
        </w:tc>
        <w:tc>
          <w:tcPr/>
          <w:p>
            <w:pPr>
              <w:pStyle w:val="Tabla9"/>
              <w:jc w:val="left"/>
            </w:pPr>
            <w:r>
              <w:t xml:space="preserve">Sin medición con error conocido; umbrales sin validación local; alertas sin tasas de detección</w:t>
            </w:r>
          </w:p>
        </w:tc>
        <w:tc>
          <w:tcPr/>
          <w:p>
            <w:pPr>
              <w:pStyle w:val="Tabla9"/>
              <w:jc w:val="left"/>
            </w:pPr>
            <w:r>
              <w:t xml:space="preserve">Estación oficial distante; sensores sin calibrar; juicio de campo</w:t>
            </w:r>
          </w:p>
        </w:tc>
        <w:tc>
          <w:tcPr/>
          <w:p>
            <w:pPr>
              <w:pStyle w:val="Tabla9"/>
              <w:jc w:val="left"/>
            </w:pPr>
            <w:r>
              <w:t xml:space="preserve">Nodos con corrección en el gateway; tablero con índice AQHI y umbrales validados localmente</w:t>
            </w:r>
          </w:p>
        </w:tc>
      </w:tr>
      <w:tr>
        <w:trPr>
          <w:cantSplit/>
        </w:trPr>
        <w:tc>
          <w:tcPr/>
          <w:p>
            <w:pPr>
              <w:pStyle w:val="Tabla9"/>
              <w:jc w:val="left"/>
            </w:pPr>
            <w:r>
              <w:t xml:space="preserve">Emocional del comité</w:t>
            </w:r>
          </w:p>
        </w:tc>
        <w:tc>
          <w:tcPr/>
          <w:p>
            <w:pPr>
              <w:pStyle w:val="Tabla9"/>
              <w:jc w:val="left"/>
            </w:pPr>
            <w:r>
              <w:t xml:space="preserve">Decidir con confianza, sin temor a una omisión ni a una falsa alarma</w:t>
            </w:r>
          </w:p>
        </w:tc>
        <w:tc>
          <w:tcPr/>
          <w:p>
            <w:pPr>
              <w:pStyle w:val="Tabla9"/>
              <w:jc w:val="left"/>
            </w:pPr>
            <w:r>
              <w:t xml:space="preserve">Decisión con responsabilidad legal sobre la alerta</w:t>
            </w:r>
          </w:p>
        </w:tc>
        <w:tc>
          <w:tcPr/>
          <w:p>
            <w:pPr>
              <w:pStyle w:val="Tabla9"/>
              <w:jc w:val="left"/>
            </w:pPr>
            <w:r>
              <w:t xml:space="preserve">Incertidumbre sobre la calidad del dato (INFERIDO)</w:t>
            </w:r>
          </w:p>
        </w:tc>
        <w:tc>
          <w:tcPr/>
          <w:p>
            <w:pPr>
              <w:pStyle w:val="Tabla9"/>
              <w:jc w:val="left"/>
            </w:pPr>
            <w:r>
              <w:t xml:space="preserve">Postergar la decisión o aplicar el protocolo general</w:t>
            </w:r>
          </w:p>
        </w:tc>
        <w:tc>
          <w:tcPr/>
          <w:p>
            <w:pPr>
              <w:pStyle w:val="Tabla9"/>
              <w:jc w:val="left"/>
            </w:pPr>
            <w:r>
              <w:t xml:space="preserve">Rango de incertidumbre publicado y registro de cada verificación</w:t>
            </w:r>
          </w:p>
        </w:tc>
      </w:tr>
      <w:tr>
        <w:trPr>
          <w:cantSplit/>
        </w:trPr>
        <w:tc>
          <w:tcPr/>
          <w:p>
            <w:pPr>
              <w:pStyle w:val="Tabla9"/>
              <w:jc w:val="left"/>
            </w:pPr>
            <w:r>
              <w:t xml:space="preserve">Social del comité</w:t>
            </w:r>
          </w:p>
        </w:tc>
        <w:tc>
          <w:tcPr/>
          <w:p>
            <w:pPr>
              <w:pStyle w:val="Tabla9"/>
              <w:jc w:val="left"/>
            </w:pPr>
            <w:r>
              <w:t xml:space="preserve">Aparecer ante la comunidad, la constructora y la gobernación como autoridad que decide con evidencia</w:t>
            </w:r>
          </w:p>
        </w:tc>
        <w:tc>
          <w:tcPr/>
          <w:p>
            <w:pPr>
              <w:pStyle w:val="Tabla9"/>
              <w:jc w:val="left"/>
            </w:pPr>
            <w:r>
              <w:t xml:space="preserve">Reunión con constructoras y comunidad por paros de obra</w:t>
            </w:r>
          </w:p>
        </w:tc>
        <w:tc>
          <w:tcPr/>
          <w:p>
            <w:pPr>
              <w:pStyle w:val="Tabla9"/>
              <w:jc w:val="left"/>
            </w:pPr>
            <w:r>
              <w:t xml:space="preserve">Presión de las constructoras por umbrales altos (4.4-MDR.5)</w:t>
            </w:r>
          </w:p>
        </w:tc>
        <w:tc>
          <w:tcPr/>
          <w:p>
            <w:pPr>
              <w:pStyle w:val="Tabla9"/>
              <w:jc w:val="left"/>
            </w:pPr>
            <w:r>
              <w:t xml:space="preserve">Informes de terceros sin referencia común</w:t>
            </w:r>
          </w:p>
        </w:tc>
        <w:tc>
          <w:tcPr/>
          <w:p>
            <w:pPr>
              <w:pStyle w:val="Tabla9"/>
              <w:jc w:val="left"/>
            </w:pPr>
            <w:r>
              <w:t xml:space="preserve">Registro público de cambios de umbral y acta de cada decisión</w:t>
            </w:r>
          </w:p>
        </w:tc>
      </w:tr>
      <w:tr>
        <w:trPr>
          <w:cantSplit/>
        </w:trPr>
        <w:tc>
          <w:tcPr/>
          <w:p>
            <w:pPr>
              <w:pStyle w:val="Tabla9"/>
              <w:jc w:val="left"/>
            </w:pPr>
            <w:r>
              <w:t xml:space="preserve">Funcional del operario</w:t>
            </w:r>
          </w:p>
        </w:tc>
        <w:tc>
          <w:tcPr/>
          <w:p>
            <w:pPr>
              <w:pStyle w:val="Tabla9"/>
              <w:jc w:val="left"/>
            </w:pPr>
            <w:r>
              <w:t xml:space="preserve">Saber cuándo reducir o detener la actividad y cuándo reanudarla</w:t>
            </w:r>
          </w:p>
        </w:tc>
        <w:tc>
          <w:tcPr/>
          <w:p>
            <w:pPr>
              <w:pStyle w:val="Tabla9"/>
              <w:jc w:val="left"/>
            </w:pPr>
            <w:r>
              <w:t xml:space="preserve">Cuadrilla en el frente de remoción</w:t>
            </w:r>
          </w:p>
        </w:tc>
        <w:tc>
          <w:tcPr/>
          <w:p>
            <w:pPr>
              <w:pStyle w:val="Tabla9"/>
              <w:jc w:val="left"/>
            </w:pPr>
            <w:r>
              <w:t xml:space="preserve">Alerta no comprensible en sitio; regla de reanudación sin definir (VACIO)</w:t>
            </w:r>
          </w:p>
        </w:tc>
        <w:tc>
          <w:tcPr/>
          <w:p>
            <w:pPr>
              <w:pStyle w:val="Tabla9"/>
              <w:jc w:val="left"/>
            </w:pPr>
            <w:r>
              <w:t xml:space="preserve">Mascarillas N95 y criterio del supervisor</w:t>
            </w:r>
          </w:p>
        </w:tc>
        <w:tc>
          <w:tcPr/>
          <w:p>
            <w:pPr>
              <w:pStyle w:val="Tabla9"/>
              <w:jc w:val="left"/>
            </w:pPr>
            <w:r>
              <w:t xml:space="preserve">Alerta comprensible en sitio y regla de reanudación acordada con el contratista</w:t>
            </w:r>
          </w:p>
        </w:tc>
      </w:tr>
      <w:tr>
        <w:trPr>
          <w:cantSplit/>
        </w:trPr>
        <w:tc>
          <w:tcPr/>
          <w:p>
            <w:pPr>
              <w:pStyle w:val="Tabla9"/>
              <w:jc w:val="left"/>
            </w:pPr>
            <w:r>
              <w:t xml:space="preserve">Emocional del operario</w:t>
            </w:r>
          </w:p>
        </w:tc>
        <w:tc>
          <w:tcPr/>
          <w:p>
            <w:pPr>
              <w:pStyle w:val="Tabla9"/>
              <w:jc w:val="left"/>
            </w:pPr>
            <w:r>
              <w:t xml:space="preserve">Trabajar con la certeza de que el aviso es creíble</w:t>
            </w:r>
          </w:p>
        </w:tc>
        <w:tc>
          <w:tcPr/>
          <w:p>
            <w:pPr>
              <w:pStyle w:val="Tabla9"/>
              <w:jc w:val="left"/>
            </w:pPr>
            <w:r>
              <w:t xml:space="preserve">Jornada de remoción con polvo visible</w:t>
            </w:r>
          </w:p>
        </w:tc>
        <w:tc>
          <w:tcPr/>
          <w:p>
            <w:pPr>
              <w:pStyle w:val="Tabla9"/>
              <w:jc w:val="left"/>
            </w:pPr>
            <w:r>
              <w:t xml:space="preserve">Desconfianza en avisos sin referencia (INFERIDO)</w:t>
            </w:r>
          </w:p>
        </w:tc>
        <w:tc>
          <w:tcPr/>
          <w:p>
            <w:pPr>
              <w:pStyle w:val="Tabla9"/>
              <w:jc w:val="left"/>
            </w:pPr>
            <w:r>
              <w:t xml:space="preserve">Equipo de protección personal</w:t>
            </w:r>
          </w:p>
        </w:tc>
        <w:tc>
          <w:tcPr/>
          <w:p>
            <w:pPr>
              <w:pStyle w:val="Tabla9"/>
              <w:jc w:val="left"/>
            </w:pPr>
            <w:r>
              <w:t xml:space="preserve">Verificación frente a la referencia y devolución de resultados a la cuadrilla</w:t>
            </w:r>
          </w:p>
        </w:tc>
      </w:tr>
      <w:tr>
        <w:trPr>
          <w:cantSplit/>
        </w:trPr>
        <w:tc>
          <w:tcPr/>
          <w:p>
            <w:pPr>
              <w:pStyle w:val="Tabla9"/>
              <w:jc w:val="left"/>
            </w:pPr>
            <w:r>
              <w:t xml:space="preserve">Social del operario</w:t>
            </w:r>
          </w:p>
        </w:tc>
        <w:tc>
          <w:tcPr/>
          <w:p>
            <w:pPr>
              <w:pStyle w:val="Tabla9"/>
              <w:jc w:val="left"/>
            </w:pPr>
            <w:r>
              <w:t xml:space="preserve">Ser reconocido como parte de la decisión sobre los umbrales</w:t>
            </w:r>
          </w:p>
        </w:tc>
        <w:tc>
          <w:tcPr/>
          <w:p>
            <w:pPr>
              <w:pStyle w:val="Tabla9"/>
              <w:jc w:val="left"/>
            </w:pPr>
            <w:r>
              <w:t xml:space="preserve">Taller de co-diseño con la cuadrilla</w:t>
            </w:r>
          </w:p>
        </w:tc>
        <w:tc>
          <w:tcPr/>
          <w:p>
            <w:pPr>
              <w:pStyle w:val="Tabla9"/>
              <w:jc w:val="left"/>
            </w:pPr>
            <w:r>
              <w:t xml:space="preserve">Participación no registrada (VACIO)</w:t>
            </w:r>
          </w:p>
        </w:tc>
        <w:tc>
          <w:tcPr/>
          <w:p>
            <w:pPr>
              <w:pStyle w:val="Tabla9"/>
              <w:jc w:val="left"/>
            </w:pPr>
            <w:r>
              <w:t xml:space="preserve">Charlas de seguridad industrial</w:t>
            </w:r>
          </w:p>
        </w:tc>
        <w:tc>
          <w:tcPr/>
          <w:p>
            <w:pPr>
              <w:pStyle w:val="Tabla9"/>
              <w:jc w:val="left"/>
            </w:pPr>
            <w:r>
              <w:t xml:space="preserve">Taller de colaboración activa con acta firmada</w:t>
            </w:r>
          </w:p>
        </w:tc>
      </w:tr>
    </w:tbl>
    <w:p>
      <w:pPr>
        <w:pStyle w:val="TablaNota"/>
      </w:pPr>
      <w:r>
        <w:rPr>
          <w:i/>
          <w:iCs/>
        </w:rPr>
        <w:t xml:space="preserve">Nota.</w:t>
      </w:r>
      <w:r>
        <w:t xml:space="preserve"> </w:t>
      </w:r>
      <w:r>
        <w:t xml:space="preserve">Elaboración propia con datos de 4.4-MDR.5 y 4.4-MDR.11 y del libro maestro (M06: 3.000 mascarillas N95, DECLARADO). Naturaleza: INFERIDO; los trabajos no provienen de entrevistas. AQHI: índice de calidad del aire y salud.</w:t>
      </w:r>
    </w:p>
    <w:p>
      <w:pPr>
        <w:pStyle w:val="BodyText"/>
      </w:pPr>
      <w:r>
        <w:t xml:space="preserve">La tabla separa dos actores con trabajos distintos. El comité decide sobre la alerta. El operario actúa sobre ella. Ambos comparten una barrera: la medición disponible no informa su error. La participación del operario es VACIO en el expediente. Por eso el taller de co-diseño cumple una función de evidencia además de una función social.</w:t>
      </w:r>
    </w:p>
    <w:p>
      <w:pPr>
        <w:pStyle w:val="BodyText"/>
      </w:pPr>
      <w:r>
        <w:rPr>
          <w:b/>
          <w:bCs/>
        </w:rPr>
        <w:t xml:space="preserve">Análisis JTBD del proyecto.</w:t>
      </w:r>
      <w:r>
        <w:t xml:space="preserve"> </w:t>
      </w:r>
      <w:r>
        <w:t xml:space="preserve">El trabajo central del comité es decidir una alerta con una medición defendible. El proyecto supone 15 comités de gestión del riesgo, 12 municipales y 3 departamentales, con 150 funcionarios beneficiarios directos (SUPUESTO, 10 por comité). El número de operarios en sitios monitoreados es [DATO_USUARIO: operarios de remoción en sitios monitoreados]. Los trabajos se identificaron con datos secundarios y no con entrevistas ni observación. La sección 4.4-MDR.11 describe la conducta requerida en el punto de entrega. La cuadrilla reduce o detiene la actividad al superar el umbral. El funcionario del puesto de mando valida la alerta. El informe de vigilancia añade que ninguno de los cinco documentos del corpus que describen alertas reporta detección, falsas alarmas ni anticipación (F-INF, §1.3). Ninguno de los 53 estudios de índices de calidad del aire y salud proviene de América Latina (Liao et al., 2026, pp. 6 y 8).</w:t>
      </w:r>
    </w:p>
    <w:p>
      <w:pPr>
        <w:pStyle w:val="BodyText"/>
      </w:pPr>
      <w:r>
        <w:t xml:space="preserve">El debate de fondo contrapone dos formas de explicar la adopción. Christensen et al. (2016) explican la contratación de un producto por la circunstancia y el progreso buscado. Davis (1989) la explica por la utilidad y la facilidad de uso percibidas. Venkatesh et al. (2003) unifican varios modelos de aceptación e incluyen la influencia social y las condiciones facilitadoras. La tasa de adopción depende también de cinco características percibidas de la innovación (Rogers, 2003). Las dos familias no se excluyen. La primera identifica qué trabajo debe resolver el tablero. La segunda mide si el funcionario percibe que lo resuelve.</w:t>
      </w:r>
    </w:p>
    <w:p>
      <w:pPr>
        <w:pStyle w:val="BodyText"/>
      </w:pPr>
      <w:r>
        <w:t xml:space="preserve">Una advertencia vale para el operario. La participación nominal, sin poder real sobre la decisión, no equivale a colaboración (Arnstein, 1969). Por eso el proyecto exige talleres de colaboración activa con acta firmada para fijar los umbrales.</w:t>
      </w:r>
    </w:p>
    <w:p>
      <w:pPr>
        <w:pStyle w:val="BodyText"/>
      </w:pPr>
      <w:r>
        <w:t xml:space="preserve">Tres decisiones metodológicas se derivan del análisis. Primera, los talleres de co-diseño (actividad A3.1, semanas 12 a 36) validan o corrigen los seis trabajos de la tabla con entrevistas y observación. El protocolo propone una entrevista por comité, es decir, 15 entrevistas, y una observación de cuadrilla por departamento, es decir, tres observaciones (PROPUESTO). Las diferencias entre los trabajos inferidos y los observados se registran como la primera lección del proyecto. Segunda, el indicador PERS-E01 mide el trabajo funcional del comité. Calcula la proporción de comités con decisiones documentadas con base en el tablero, con meta de 75 % o más al mes 24. Tercera, la encuesta trimestral incluye ítems de utilidad y facilidad de uso percibidas para detectar si el trabajo se resuelve pero no se valora.</w:t>
      </w:r>
    </w:p>
    <w:p>
      <w:pPr>
        <w:pStyle w:val="BodyText"/>
      </w:pPr>
      <w:r>
        <w:t xml:space="preserve">La Figura X4.3 resume los trabajos de los dos actores en una sola vista. Cada celda corresponde a una fila de la Tabla X4.2.</w:t>
      </w:r>
    </w:p>
    <w:p>
      <w:pPr>
        <w:pStyle w:val="FiguraRotulo"/>
      </w:pPr>
      <w:bookmarkStart w:id="9558" w:name="rot_Figura_X4_3"/>
      <w:r>
        <w:rPr>
          <w:b/>
          <w:bCs/>
        </w:rPr>
        <w:t xml:space="preserve">Figura X4.3</w:t>
      </w:r>
      <w:bookmarkEnd w:id="9558"/>
    </w:p>
    <w:p>
      <w:pPr>
        <w:pStyle w:val="FiguraTitulo"/>
      </w:pPr>
      <w:r>
        <w:rPr>
          <w:i/>
          <w:iCs/>
        </w:rPr>
        <w:t xml:space="preserve">El comité y el operario contratan la medición para decidir y protegerse con evidencia defendible</w:t>
      </w:r>
    </w:p>
    <w:p>
      <w:pPr>
        <w:pStyle w:val="BodyText"/>
      </w:pPr>
      <w:r>
        <w:drawing>
          <wp:inline>
            <wp:extent cx="5579999" cy="3303359"/>
            <wp:effectExtent b="0" l="0" r="0" t="0"/>
            <wp:docPr descr="" title="" id="758" name="Picture"/>
            <a:graphic>
              <a:graphicData uri="http://schemas.openxmlformats.org/drawingml/2006/picture">
                <pic:pic>
                  <pic:nvPicPr>
                    <pic:cNvPr descr="/tmp/claude-0/-home-user-docs/ddf38714-2a7e-502b-92b4-1008e2832422/scratchpad/proy/figs/out/cX4_f03.png" id="759" name="Picture"/>
                    <pic:cNvPicPr>
                      <a:picLocks noChangeArrowheads="1" noChangeAspect="1"/>
                    </pic:cNvPicPr>
                  </pic:nvPicPr>
                  <pic:blipFill>
                    <a:blip r:embed="rId757"/>
                    <a:stretch>
                      <a:fillRect/>
                    </a:stretch>
                  </pic:blipFill>
                  <pic:spPr bwMode="auto">
                    <a:xfrm>
                      <a:off x="0" y="0"/>
                      <a:ext cx="5579999" cy="330335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la tabla de trabajos por realizar (INFERIDO; sin entrevistas). Diagrama de cajas; matplotlib, tamaño 10 × 7 pulgadas; sin datos numéricos. Script: cX4_figuras.py; sin semilla aleatoria.</w:t>
      </w:r>
    </w:p>
    <w:p>
      <w:pPr>
        <w:pStyle w:val="BodyText"/>
      </w:pPr>
      <w:r>
        <w:t xml:space="preserve">El diagrama muestra que los seis trabajos convergen en un mismo insumo: una medición con error conocido. Esa convergencia concentra el riesgo del proyecto en la verificación. Si la corrección falla en la compuerta C1, los seis trabajos quedan sin resolver. La estrategia de posicionamiento depende entonces de la evidencia técnica del tramo 1.</w:t>
      </w:r>
    </w:p>
    <w:bookmarkEnd w:id="760"/>
    <w:bookmarkStart w:id="761" w:name="_Toc00900324"/>
    <w:p>
      <w:pPr>
        <w:pStyle w:val="Heading3"/>
      </w:pPr>
      <w:r>
        <w:t xml:space="preserve">E1.4 Implicaciones estratégicas</w:t>
      </w:r>
    </w:p>
    <w:p>
      <w:pPr>
        <w:pStyle w:val="FirstParagraph"/>
      </w:pPr>
      <w:r>
        <w:t xml:space="preserve">La clasificación del proyecto produce consecuencias de gestión en cinco decisiones: recursos, velocidad, métricas, alianzas y comunicación. Las consecuencias se derivan del patrón de disrupción de mercado nuevo con rasgos de gama baja (Christensen, 2016). Los mercados que no existen no pueden analizarse con antelación, y conviene planificar para aprender (Christensen, 2016). Esa premisa cambia la asignación de recursos y la medición del avance.</w:t>
      </w:r>
    </w:p>
    <w:p>
      <w:pPr>
        <w:pStyle w:val="BodyText"/>
      </w:pPr>
      <w:r>
        <w:t xml:space="preserve">Dos posiciones de gestión compiten en este punto. Cooper (2008) propone un proceso de etapas y compuertas, en el que cada compuerta decide con criterios definidos si el proyecto continúa. Otra postura propone ciclos breves de construcción, medición y aprendizaje, con la decisión de perseverar o girar según la evidencia (Ries, 2011). Un tercer criterio es la reversibilidad. Conviene comprometer recursos de forma que el error se detecte pronto y se corrija a bajo costo (Collingridge, 1980). El proyecto combina las tres posturas. Las compuertas C1 y C2 son el mecanismo de Cooper. La decisión de perseverar o girar sigue la lógica de Ries. La compra por tramos aplica el criterio de Collingridge.</w:t>
      </w:r>
    </w:p>
    <w:p>
      <w:pPr>
        <w:pStyle w:val="BodyText"/>
      </w:pPr>
      <w:r>
        <w:t xml:space="preserve">La Tabla X4.3 traduce esas posturas en acciones. Cada fila usa cifras del libro maestro o decisiones del registro de formulación.</w:t>
      </w:r>
    </w:p>
    <w:p>
      <w:pPr>
        <w:pStyle w:val="TablaRotulo"/>
      </w:pPr>
      <w:bookmarkStart w:id="9422" w:name="rot_Tabla_X4_3"/>
      <w:r>
        <w:rPr>
          <w:b/>
          <w:bCs/>
        </w:rPr>
        <w:t xml:space="preserve">Tabla X4.3</w:t>
      </w:r>
      <w:bookmarkEnd w:id="9422"/>
    </w:p>
    <w:p>
      <w:pPr>
        <w:pStyle w:val="TablaTitulo"/>
      </w:pPr>
      <w:r>
        <w:rPr>
          <w:i/>
          <w:iCs/>
        </w:rPr>
        <w:t xml:space="preserve">Implicaciones de la clasificación de innovación para la gestión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82"/>
        <w:gridCol w:w="3102"/>
        <w:gridCol w:w="3036"/>
      </w:tblGrid>
      <w:tr>
        <w:trPr>
          <w:cantSplit/>
          <w:tblHeader/>
        </w:trPr>
        <w:tc>
          <w:tcPr>
            <w:shd w:val="clear" w:color="auto" w:fill="00B050"/>
          </w:tcPr>
          <w:p>
            <w:pPr>
              <w:pStyle w:val="Tabla9"/>
              <w:jc w:val="center"/>
            </w:pPr>
            <w:r>
              <w:rPr>
                <w:b/>
                <w:color w:val="FFFFFF"/>
              </w:rPr>
              <w:t xml:space="preserve">Decisión</w:t>
            </w:r>
          </w:p>
        </w:tc>
        <w:tc>
          <w:tcPr>
            <w:shd w:val="clear" w:color="auto" w:fill="00B050"/>
          </w:tcPr>
          <w:p>
            <w:pPr>
              <w:pStyle w:val="Tabla9"/>
              <w:jc w:val="center"/>
            </w:pPr>
            <w:r>
              <w:rPr>
                <w:b/>
                <w:color w:val="FFFFFF"/>
              </w:rPr>
              <w:t xml:space="preserve">Implicación según el tipo de innovación</w:t>
            </w:r>
          </w:p>
        </w:tc>
        <w:tc>
          <w:tcPr>
            <w:shd w:val="clear" w:color="auto" w:fill="00B050"/>
          </w:tcPr>
          <w:p>
            <w:pPr>
              <w:pStyle w:val="Tabla9"/>
              <w:jc w:val="center"/>
            </w:pPr>
            <w:r>
              <w:rPr>
                <w:b/>
                <w:color w:val="FFFFFF"/>
              </w:rPr>
              <w:t xml:space="preserve">Acción estratégica</w:t>
            </w:r>
          </w:p>
        </w:tc>
      </w:tr>
      <w:tr>
        <w:trPr>
          <w:cantSplit/>
        </w:trPr>
        <w:tc>
          <w:tcPr/>
          <w:p>
            <w:pPr>
              <w:pStyle w:val="Tabla9"/>
              <w:jc w:val="left"/>
            </w:pPr>
            <w:r>
              <w:t xml:space="preserve">Recursos</w:t>
            </w:r>
          </w:p>
        </w:tc>
        <w:tc>
          <w:tcPr/>
          <w:p>
            <w:pPr>
              <w:pStyle w:val="Tabla9"/>
              <w:jc w:val="left"/>
            </w:pPr>
            <w:r>
              <w:t xml:space="preserve">El desempeño depende de la verificación y no de la sofisticación del sensor</w:t>
            </w:r>
          </w:p>
        </w:tc>
        <w:tc>
          <w:tcPr/>
          <w:p>
            <w:pPr>
              <w:pStyle w:val="Tabla9"/>
              <w:jc w:val="left"/>
            </w:pPr>
            <w:r>
              <w:t xml:space="preserve">Financiar tres monitores de referencia (255,0 millones de COP) y un banco de calibración (150,0 millones de COP) antes de ampliar la red</w:t>
            </w:r>
          </w:p>
        </w:tc>
      </w:tr>
      <w:tr>
        <w:trPr>
          <w:cantSplit/>
        </w:trPr>
        <w:tc>
          <w:tcPr/>
          <w:p>
            <w:pPr>
              <w:pStyle w:val="Tabla9"/>
              <w:jc w:val="left"/>
            </w:pPr>
            <w:r>
              <w:t xml:space="preserve">Velocidad</w:t>
            </w:r>
          </w:p>
        </w:tc>
        <w:tc>
          <w:tcPr/>
          <w:p>
            <w:pPr>
              <w:pStyle w:val="Tabla9"/>
              <w:jc w:val="left"/>
            </w:pPr>
            <w:r>
              <w:t xml:space="preserve">Los mercados nuevos se descubren con el uso; el avance se condiciona a la evidencia</w:t>
            </w:r>
          </w:p>
        </w:tc>
        <w:tc>
          <w:tcPr/>
          <w:p>
            <w:pPr>
              <w:pStyle w:val="Tabla9"/>
              <w:jc w:val="left"/>
            </w:pPr>
            <w:r>
              <w:t xml:space="preserve">Desplegar 30 nodos en 12 meses y liberar la compra del tramo 2 solo si C1 se supera</w:t>
            </w:r>
          </w:p>
        </w:tc>
      </w:tr>
      <w:tr>
        <w:trPr>
          <w:cantSplit/>
        </w:trPr>
        <w:tc>
          <w:tcPr/>
          <w:p>
            <w:pPr>
              <w:pStyle w:val="Tabla9"/>
              <w:jc w:val="left"/>
            </w:pPr>
            <w:r>
              <w:t xml:space="preserve">Métricas</w:t>
            </w:r>
          </w:p>
        </w:tc>
        <w:tc>
          <w:tcPr/>
          <w:p>
            <w:pPr>
              <w:pStyle w:val="Tabla9"/>
              <w:jc w:val="left"/>
            </w:pPr>
            <w:r>
              <w:t xml:space="preserve">El umbral de lo suficientemente bueno reemplaza la precisión máxima</w:t>
            </w:r>
          </w:p>
        </w:tc>
        <w:tc>
          <w:tcPr/>
          <w:p>
            <w:pPr>
              <w:pStyle w:val="Tabla9"/>
              <w:jc w:val="left"/>
            </w:pPr>
            <w:r>
              <w:t xml:space="preserve">Medir R² ≥ 0,70 y NRMSE ≤ 30 %; medir el uso con PERS-E01 y no solo la disponibilidad</w:t>
            </w:r>
          </w:p>
        </w:tc>
      </w:tr>
      <w:tr>
        <w:trPr>
          <w:cantSplit/>
        </w:trPr>
        <w:tc>
          <w:tcPr/>
          <w:p>
            <w:pPr>
              <w:pStyle w:val="Tabla9"/>
              <w:jc w:val="left"/>
            </w:pPr>
            <w:r>
              <w:t xml:space="preserve">Alianzas</w:t>
            </w:r>
          </w:p>
        </w:tc>
        <w:tc>
          <w:tcPr/>
          <w:p>
            <w:pPr>
              <w:pStyle w:val="Tabla9"/>
              <w:jc w:val="left"/>
            </w:pPr>
            <w:r>
              <w:t xml:space="preserve">La oferta establecida controla la referencia y la acreditación</w:t>
            </w:r>
          </w:p>
        </w:tc>
        <w:tc>
          <w:tcPr/>
          <w:p>
            <w:pPr>
              <w:pStyle w:val="Tabla9"/>
              <w:jc w:val="left"/>
            </w:pPr>
            <w:r>
              <w:t xml:space="preserve">Acordar con el IDEAM y el SIATA la colocalización y el protocolo de calibración, y con la empresa tecnológica la plataforma</w:t>
            </w:r>
          </w:p>
        </w:tc>
      </w:tr>
      <w:tr>
        <w:trPr>
          <w:cantSplit/>
        </w:trPr>
        <w:tc>
          <w:tcPr/>
          <w:p>
            <w:pPr>
              <w:pStyle w:val="Tabla9"/>
              <w:jc w:val="left"/>
            </w:pPr>
            <w:r>
              <w:t xml:space="preserve">Comunicación</w:t>
            </w:r>
          </w:p>
        </w:tc>
        <w:tc>
          <w:tcPr/>
          <w:p>
            <w:pPr>
              <w:pStyle w:val="Tabla9"/>
              <w:jc w:val="left"/>
            </w:pPr>
            <w:r>
              <w:t xml:space="preserve">El producto cede exactitud absoluta y la comunicación no puede prometerla</w:t>
            </w:r>
          </w:p>
        </w:tc>
        <w:tc>
          <w:tcPr/>
          <w:p>
            <w:pPr>
              <w:pStyle w:val="Tabla9"/>
              <w:jc w:val="left"/>
            </w:pPr>
            <w:r>
              <w:t xml:space="preserve">Publicar rangos de incertidumbre y el estado de la verificación en cada lectura del tablero</w:t>
            </w:r>
          </w:p>
        </w:tc>
      </w:tr>
    </w:tbl>
    <w:p>
      <w:pPr>
        <w:pStyle w:val="TablaNota"/>
      </w:pPr>
      <w:r>
        <w:rPr>
          <w:i/>
          <w:iCs/>
        </w:rPr>
        <w:t xml:space="preserve">Nota.</w:t>
      </w:r>
      <w:r>
        <w:t xml:space="preserve"> </w:t>
      </w:r>
      <w:r>
        <w:t xml:space="preserve">Elaboración propia con datos del libro maestro (líneas E03 y E07 del presupuesto, tramos y compuertas; DECLARADO y PROPUESTO). Naturaleza de las acciones: PROPUESTO. El acuerdo con el IDEAM y el SIATA es una intención; no existe compromiso firmado.</w:t>
      </w:r>
    </w:p>
    <w:p>
      <w:pPr>
        <w:pStyle w:val="BodyText"/>
      </w:pPr>
      <w:r>
        <w:t xml:space="preserve">La tabla vincula la clasificación con decisiones verificables. Las dos primeras filas muestran que el proyecto compra evidencia antes de comprar cobertura. La tercera fila evita medir solo la disponibilidad de nodos. Una red disponible con datos de calidad desconocida no resuelve ningún trabajo de la Tabla X4.2. Las dos últimas filas reconocen que el IDEAM y el SIATA controlan activos que el proyecto no posee. Esos activos son la acreditación y los datos de referencia (F-INF, §6.5).</w:t>
      </w:r>
    </w:p>
    <w:bookmarkEnd w:id="761"/>
    <w:bookmarkEnd w:id="762"/>
    <w:bookmarkStart w:id="770" w:name="_Toc00900325"/>
    <w:p>
      <w:pPr>
        <w:pStyle w:val="Heading2"/>
      </w:pPr>
      <w:r>
        <w:t xml:space="preserve">E2 Gestión del cambio según Kotter</w:t>
      </w:r>
    </w:p>
    <w:bookmarkStart w:id="766" w:name="_Toc00900326"/>
    <w:p>
      <w:pPr>
        <w:pStyle w:val="Heading3"/>
      </w:pPr>
      <w:r>
        <w:t xml:space="preserve">E2.1 Modelo de ocho pasos de Kotter</w:t>
      </w:r>
    </w:p>
    <w:p>
      <w:pPr>
        <w:pStyle w:val="FirstParagraph"/>
      </w:pPr>
      <w:r>
        <w:t xml:space="preserve">Kotter (2012) formuló un modelo de ocho pasos para liderar el cambio organizacional. Los pasos se agrupan en tres fases. La primera crea el clima para el cambio con la urgencia, la coalición guía y la visión con su estrategia. La segunda involucra y habilita a la organización con la comunicación de la visión, el empoderamiento de la acción y las victorias de corto plazo. La tercera implementa y sostiene el cambio con la consolidación de las ganancias y el anclaje en la cultura. Omitir pasos produce solo una ilusión de velocidad (Kotter, 2012). El modelo es una secuencia y no una lista de verificación.</w:t>
      </w:r>
    </w:p>
    <w:p>
      <w:pPr>
        <w:pStyle w:val="BodyText"/>
      </w:pPr>
      <w:r>
        <w:t xml:space="preserve">El debate sobre su aplicabilidad enfrenta dos posiciones. Kotter parte de una organización con una coalición de liderazgo que conduce el cambio desde arriba. Lipsky (1980) y Elmore (1979) sostienen que el resultado de una política se decide en el punto de entrega. Allí el personal de primera línea ejerce discreción, y la conducta requerida determina los recursos y las reglas. La sección 4.4-MDR.8 recoge esa tensión. No adopta el modelo de transformación organizacional planificada como marco único, porque el sistema no depende de una sola organización. Elige un marco por eslabón. Para los incentivos usa la economía política con arquitectura de decisiones. Para la habilidad y el refuerzo del personal local usa ADKAR. Para el cumplimiento del protocolo usa el ciclo de mejora continua de planificar, ejecutar, verificar y actuar (Deming, 1986).</w:t>
      </w:r>
    </w:p>
    <w:p>
      <w:pPr>
        <w:pStyle w:val="BodyText"/>
      </w:pPr>
      <w:r>
        <w:t xml:space="preserve">El proyecto reconcilia las dos posiciones con una decisión de alcance. Los ocho pasos organizan el cambio dentro de la coalición del proyecto y dentro de cada comité de gestión del riesgo. Los marcos de 4.4-MDR.8 cubren los cuellos que Kotter no resuelve, es decir, quién financia la operación y qué ocurre con la rotación del personal. La estructura de tramos refuerza esa lectura. El proyecto aplica la secuencia por comité y por tramo, no una sola vez para toda la red. El tramo 1 cubre los meses 1 a 12. El tramo 2 cubre los meses 13 a 17. El tramo 3 cubre los meses 18 a 24.</w:t>
      </w:r>
    </w:p>
    <w:p>
      <w:pPr>
        <w:pStyle w:val="BodyText"/>
      </w:pPr>
      <w:r>
        <w:t xml:space="preserve">La Figura X4.4 ubica los ocho pasos en el calendario de 24 meses. Muestra también las compuertas C1, C2 y C3. Muestra las cinco victorias tempranas, codificadas QW1 a QW5, que se detallan más adelante.</w:t>
      </w:r>
    </w:p>
    <w:p>
      <w:pPr>
        <w:pStyle w:val="FiguraRotulo"/>
      </w:pPr>
      <w:bookmarkStart w:id="9559" w:name="rot_Figura_X4_4"/>
      <w:r>
        <w:rPr>
          <w:b/>
          <w:bCs/>
        </w:rPr>
        <w:t xml:space="preserve">Figura X4.4</w:t>
      </w:r>
      <w:bookmarkEnd w:id="9559"/>
    </w:p>
    <w:p>
      <w:pPr>
        <w:pStyle w:val="FiguraTitulo"/>
      </w:pPr>
      <w:r>
        <w:rPr>
          <w:i/>
          <w:iCs/>
        </w:rPr>
        <w:t xml:space="preserve">Los ocho pasos de Kotter se distribuyen en 24 meses y se anclan en las compuertas</w:t>
      </w:r>
    </w:p>
    <w:p>
      <w:pPr>
        <w:pStyle w:val="BodyText"/>
      </w:pPr>
      <w:r>
        <w:drawing>
          <wp:inline>
            <wp:extent cx="5579999" cy="3843999"/>
            <wp:effectExtent b="0" l="0" r="0" t="0"/>
            <wp:docPr descr="" title="" id="764" name="Picture"/>
            <a:graphic>
              <a:graphicData uri="http://schemas.openxmlformats.org/drawingml/2006/picture">
                <pic:pic>
                  <pic:nvPicPr>
                    <pic:cNvPr descr="/tmp/claude-0/-home-user-docs/ddf38714-2a7e-502b-92b4-1008e2832422/scratchpad/proy/figs/out/cX4_f04.png" id="765" name="Picture"/>
                    <pic:cNvPicPr>
                      <a:picLocks noChangeArrowheads="1" noChangeAspect="1"/>
                    </pic:cNvPicPr>
                  </pic:nvPicPr>
                  <pic:blipFill>
                    <a:blip r:embed="rId763"/>
                    <a:stretch>
                      <a:fillRect/>
                    </a:stretch>
                  </pic:blipFill>
                  <pic:spPr bwMode="auto">
                    <a:xfrm>
                      <a:off x="0" y="0"/>
                      <a:ext cx="5579999" cy="384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plan de cambio de este capítulo (meses PROPUESTO), con compuertas e hitos del cronograma del libro maestro. Barras por paso y fase; rombos para las victorias tempranas QW1 a QW5; matplotlib, tamaño 10 × 7 pulgadas. Script: cX4_figuras.py; sin semilla aleatoria.</w:t>
      </w:r>
    </w:p>
    <w:p>
      <w:pPr>
        <w:pStyle w:val="BodyText"/>
      </w:pPr>
      <w:r>
        <w:t xml:space="preserve">La figura muestra que los pasos se superponen. La comunicación del paso 4 y el empoderamiento del paso 5 se extienden hasta el cierre, porque cada tramo exige nuevas personas formadas. Las compuertas funcionan como puntos de control de la secuencia. Ningún tramo se libera si el paso previo carece de evidencia, y esa regla aplica la advertencia de Kotter contra la omisión de pasos.</w:t>
      </w:r>
    </w:p>
    <w:bookmarkEnd w:id="766"/>
    <w:bookmarkStart w:id="767" w:name="_Toc00900327"/>
    <w:p>
      <w:pPr>
        <w:pStyle w:val="Heading3"/>
      </w:pPr>
      <w:r>
        <w:t xml:space="preserve">E2.2 Aplicación al proyecto</w:t>
      </w:r>
    </w:p>
    <w:p>
      <w:pPr>
        <w:pStyle w:val="FirstParagraph"/>
      </w:pPr>
      <w:r>
        <w:t xml:space="preserve">La Tabla X4.4 asigna a cada paso una acción concreta, un responsable por rol, un mes y un indicador de éxito. Los meses siguen los hitos H0 a H8 del cronograma. Los responsables se nombran por rol del equipo, y los nombres de las personas son [DATO_USUARIO: nombres del equipo de ejecución].</w:t>
      </w:r>
    </w:p>
    <w:p>
      <w:pPr>
        <w:pStyle w:val="TablaRotulo"/>
      </w:pPr>
      <w:bookmarkStart w:id="9423" w:name="rot_Tabla_X4_4"/>
      <w:r>
        <w:rPr>
          <w:b/>
          <w:bCs/>
        </w:rPr>
        <w:t xml:space="preserve">Tabla X4.4</w:t>
      </w:r>
      <w:bookmarkEnd w:id="9423"/>
    </w:p>
    <w:p>
      <w:pPr>
        <w:pStyle w:val="TablaTitulo"/>
      </w:pPr>
      <w:r>
        <w:rPr>
          <w:i/>
          <w:iCs/>
        </w:rPr>
        <w:t xml:space="preserve">Modelo de ocho pasos de Kotter aplicado al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465"/>
        <w:gridCol w:w="1064"/>
        <w:gridCol w:w="865"/>
        <w:gridCol w:w="1530"/>
        <w:gridCol w:w="1197"/>
        <w:gridCol w:w="1197"/>
        <w:gridCol w:w="399"/>
        <w:gridCol w:w="1197"/>
      </w:tblGrid>
      <w:tr>
        <w:trPr>
          <w:cantSplit/>
          <w:tblHeader/>
        </w:trPr>
        <w:tc>
          <w:tcPr>
            <w:shd w:val="clear" w:color="auto" w:fill="00B050"/>
          </w:tcPr>
          <w:p>
            <w:pPr>
              <w:pStyle w:val="Tabla8"/>
              <w:jc w:val="center"/>
            </w:pPr>
            <w:r>
              <w:rPr>
                <w:b/>
                <w:color w:val="FFFFFF"/>
              </w:rPr>
              <w:t xml:space="preserve">Paso</w:t>
            </w:r>
          </w:p>
        </w:tc>
        <w:tc>
          <w:tcPr>
            <w:shd w:val="clear" w:color="auto" w:fill="00B050"/>
          </w:tcPr>
          <w:p>
            <w:pPr>
              <w:pStyle w:val="Tabla8"/>
              <w:jc w:val="center"/>
            </w:pPr>
            <w:r>
              <w:rPr>
                <w:b/>
                <w:color w:val="FFFFFF"/>
              </w:rPr>
              <w:t xml:space="preserve">Nombre</w:t>
            </w:r>
          </w:p>
        </w:tc>
        <w:tc>
          <w:tcPr>
            <w:shd w:val="clear" w:color="auto" w:fill="00B050"/>
          </w:tcPr>
          <w:p>
            <w:pPr>
              <w:pStyle w:val="Tabla8"/>
              <w:jc w:val="center"/>
            </w:pPr>
            <w:r>
              <w:rPr>
                <w:b/>
                <w:color w:val="FFFFFF"/>
              </w:rPr>
              <w:t xml:space="preserve">Fase</w:t>
            </w:r>
          </w:p>
        </w:tc>
        <w:tc>
          <w:tcPr>
            <w:shd w:val="clear" w:color="auto" w:fill="00B050"/>
          </w:tcPr>
          <w:p>
            <w:pPr>
              <w:pStyle w:val="Tabla8"/>
              <w:jc w:val="center"/>
            </w:pPr>
            <w:r>
              <w:rPr>
                <w:b/>
                <w:color w:val="FFFFFF"/>
              </w:rPr>
              <w:t xml:space="preserve">Objetivo</w:t>
            </w:r>
          </w:p>
        </w:tc>
        <w:tc>
          <w:tcPr>
            <w:shd w:val="clear" w:color="auto" w:fill="00B050"/>
          </w:tcPr>
          <w:p>
            <w:pPr>
              <w:pStyle w:val="Tabla8"/>
              <w:jc w:val="center"/>
            </w:pPr>
            <w:r>
              <w:rPr>
                <w:b/>
                <w:color w:val="FFFFFF"/>
              </w:rPr>
              <w:t xml:space="preserve">Acción concreta</w:t>
            </w:r>
          </w:p>
        </w:tc>
        <w:tc>
          <w:tcPr>
            <w:shd w:val="clear" w:color="auto" w:fill="00B050"/>
          </w:tcPr>
          <w:p>
            <w:pPr>
              <w:pStyle w:val="Tabla8"/>
              <w:jc w:val="center"/>
            </w:pPr>
            <w:r>
              <w:rPr>
                <w:b/>
                <w:color w:val="FFFFFF"/>
              </w:rPr>
              <w:t xml:space="preserve">Responsable</w:t>
            </w:r>
          </w:p>
        </w:tc>
        <w:tc>
          <w:tcPr>
            <w:shd w:val="clear" w:color="auto" w:fill="00B050"/>
          </w:tcPr>
          <w:p>
            <w:pPr>
              <w:pStyle w:val="Tabla8"/>
              <w:jc w:val="center"/>
            </w:pPr>
            <w:r>
              <w:rPr>
                <w:b/>
                <w:color w:val="FFFFFF"/>
              </w:rPr>
              <w:t xml:space="preserve">Mes</w:t>
            </w:r>
          </w:p>
        </w:tc>
        <w:tc>
          <w:tcPr>
            <w:shd w:val="clear" w:color="auto" w:fill="00B050"/>
          </w:tcPr>
          <w:p>
            <w:pPr>
              <w:pStyle w:val="Tabla8"/>
              <w:jc w:val="center"/>
            </w:pPr>
            <w:r>
              <w:rPr>
                <w:b/>
                <w:color w:val="FFFFFF"/>
              </w:rPr>
              <w:t xml:space="preserve">Indicador de éxito</w:t>
            </w:r>
          </w:p>
        </w:tc>
      </w:tr>
      <w:tr>
        <w:trPr>
          <w:cantSplit/>
        </w:trPr>
        <w:tc>
          <w:tcPr/>
          <w:p>
            <w:pPr>
              <w:pStyle w:val="Tabla8"/>
              <w:jc w:val="left"/>
            </w:pPr>
            <w:r>
              <w:t xml:space="preserve">1</w:t>
            </w:r>
          </w:p>
        </w:tc>
        <w:tc>
          <w:tcPr/>
          <w:p>
            <w:pPr>
              <w:pStyle w:val="Tabla8"/>
              <w:jc w:val="left"/>
            </w:pPr>
            <w:r>
              <w:t xml:space="preserve">Crear urgencia</w:t>
            </w:r>
          </w:p>
        </w:tc>
        <w:tc>
          <w:tcPr/>
          <w:p>
            <w:pPr>
              <w:pStyle w:val="Tabla8"/>
              <w:jc w:val="left"/>
            </w:pPr>
            <w:r>
              <w:t xml:space="preserve">Clima</w:t>
            </w:r>
          </w:p>
        </w:tc>
        <w:tc>
          <w:tcPr/>
          <w:p>
            <w:pPr>
              <w:pStyle w:val="Tabla8"/>
              <w:jc w:val="left"/>
            </w:pPr>
            <w:r>
              <w:t xml:space="preserve">Establecer la necesidad de mediciones verificadas</w:t>
            </w:r>
          </w:p>
        </w:tc>
        <w:tc>
          <w:tcPr/>
          <w:p>
            <w:pPr>
              <w:pStyle w:val="Tabla8"/>
              <w:jc w:val="left"/>
            </w:pPr>
            <w:r>
              <w:t xml:space="preserve">Presentar a los 15 comités los datos de F-INF (28 de 1.122 municipios con estaciones utilizables) y el caso del SIATA</w:t>
            </w:r>
          </w:p>
        </w:tc>
        <w:tc>
          <w:tcPr/>
          <w:p>
            <w:pPr>
              <w:pStyle w:val="Tabla8"/>
              <w:jc w:val="left"/>
            </w:pPr>
            <w:r>
              <w:t xml:space="preserve">Gerencia de proyecto y coordinación de apropiación social</w:t>
            </w:r>
          </w:p>
        </w:tc>
        <w:tc>
          <w:tcPr/>
          <w:p>
            <w:pPr>
              <w:pStyle w:val="Tabla8"/>
              <w:jc w:val="left"/>
            </w:pPr>
            <w:r>
              <w:t xml:space="preserve">1 a 2 (H0 en el mes 2)</w:t>
            </w:r>
          </w:p>
        </w:tc>
        <w:tc>
          <w:tcPr/>
          <w:p>
            <w:pPr>
              <w:pStyle w:val="Tabla8"/>
              <w:jc w:val="left"/>
            </w:pPr>
            <w:r>
              <w:t xml:space="preserve">15 de 15 comités con acta de sesión de apertura</w:t>
            </w:r>
          </w:p>
        </w:tc>
      </w:tr>
      <w:tr>
        <w:trPr>
          <w:cantSplit/>
        </w:trPr>
        <w:tc>
          <w:tcPr/>
          <w:p>
            <w:pPr>
              <w:pStyle w:val="Tabla8"/>
              <w:jc w:val="left"/>
            </w:pPr>
            <w:r>
              <w:t xml:space="preserve">2</w:t>
            </w:r>
          </w:p>
        </w:tc>
        <w:tc>
          <w:tcPr/>
          <w:p>
            <w:pPr>
              <w:pStyle w:val="Tabla8"/>
              <w:jc w:val="left"/>
            </w:pPr>
            <w:r>
              <w:t xml:space="preserve">Formar la coalición</w:t>
            </w:r>
          </w:p>
        </w:tc>
        <w:tc>
          <w:tcPr/>
          <w:p>
            <w:pPr>
              <w:pStyle w:val="Tabla8"/>
              <w:jc w:val="left"/>
            </w:pPr>
            <w:r>
              <w:t xml:space="preserve">Clima</w:t>
            </w:r>
          </w:p>
        </w:tc>
        <w:tc>
          <w:tcPr/>
          <w:p>
            <w:pPr>
              <w:pStyle w:val="Tabla8"/>
              <w:jc w:val="left"/>
            </w:pPr>
            <w:r>
              <w:t xml:space="preserve">Reunir el equipo de liderazgo</w:t>
            </w:r>
          </w:p>
        </w:tc>
        <w:tc>
          <w:tcPr/>
          <w:p>
            <w:pPr>
              <w:pStyle w:val="Tabla8"/>
              <w:jc w:val="left"/>
            </w:pPr>
            <w:r>
              <w:t xml:space="preserve">Designar por escrito los siete roles de la coalición guía y fijar su calendario de sesiones</w:t>
            </w:r>
          </w:p>
        </w:tc>
        <w:tc>
          <w:tcPr/>
          <w:p>
            <w:pPr>
              <w:pStyle w:val="Tabla8"/>
              <w:jc w:val="left"/>
            </w:pPr>
            <w:r>
              <w:t xml:space="preserve">Gerencia de proyecto</w:t>
            </w:r>
          </w:p>
        </w:tc>
        <w:tc>
          <w:tcPr/>
          <w:p>
            <w:pPr>
              <w:pStyle w:val="Tabla8"/>
              <w:jc w:val="left"/>
            </w:pPr>
            <w:r>
              <w:t xml:space="preserve">2 a 3</w:t>
            </w:r>
          </w:p>
        </w:tc>
        <w:tc>
          <w:tcPr/>
          <w:p>
            <w:pPr>
              <w:pStyle w:val="Tabla8"/>
              <w:jc w:val="left"/>
            </w:pPr>
            <w:r>
              <w:t xml:space="preserve">7 de 7 roles designados con acta</w:t>
            </w:r>
          </w:p>
        </w:tc>
      </w:tr>
      <w:tr>
        <w:trPr>
          <w:cantSplit/>
        </w:trPr>
        <w:tc>
          <w:tcPr/>
          <w:p>
            <w:pPr>
              <w:pStyle w:val="Tabla8"/>
              <w:jc w:val="left"/>
            </w:pPr>
            <w:r>
              <w:t xml:space="preserve">3</w:t>
            </w:r>
          </w:p>
        </w:tc>
        <w:tc>
          <w:tcPr/>
          <w:p>
            <w:pPr>
              <w:pStyle w:val="Tabla8"/>
              <w:jc w:val="left"/>
            </w:pPr>
            <w:r>
              <w:t xml:space="preserve">Desarrollar la visión</w:t>
            </w:r>
          </w:p>
        </w:tc>
        <w:tc>
          <w:tcPr/>
          <w:p>
            <w:pPr>
              <w:pStyle w:val="Tabla8"/>
              <w:jc w:val="left"/>
            </w:pPr>
            <w:r>
              <w:t xml:space="preserve">Clima</w:t>
            </w:r>
          </w:p>
        </w:tc>
        <w:tc>
          <w:tcPr/>
          <w:p>
            <w:pPr>
              <w:pStyle w:val="Tabla8"/>
              <w:jc w:val="left"/>
            </w:pPr>
            <w:r>
              <w:t xml:space="preserve">Articular el futuro deseado: decidir alertas con mediciones de error conocido</w:t>
            </w:r>
          </w:p>
        </w:tc>
        <w:tc>
          <w:tcPr/>
          <w:p>
            <w:pPr>
              <w:pStyle w:val="Tabla8"/>
              <w:jc w:val="left"/>
            </w:pPr>
            <w:r>
              <w:t xml:space="preserve">Co-diseñar umbrales y protocolo de alerta con los comités (A3.1) y redactar el documento de visión</w:t>
            </w:r>
          </w:p>
        </w:tc>
        <w:tc>
          <w:tcPr/>
          <w:p>
            <w:pPr>
              <w:pStyle w:val="Tabla8"/>
              <w:jc w:val="left"/>
            </w:pPr>
            <w:r>
              <w:t xml:space="preserve">Coordinación de apropiación social y profesional en calidad del aire y salud ambiental</w:t>
            </w:r>
          </w:p>
        </w:tc>
        <w:tc>
          <w:tcPr/>
          <w:p>
            <w:pPr>
              <w:pStyle w:val="Tabla8"/>
              <w:jc w:val="left"/>
            </w:pPr>
            <w:r>
              <w:t xml:space="preserve">3 a 9</w:t>
            </w:r>
          </w:p>
        </w:tc>
        <w:tc>
          <w:tcPr/>
          <w:p>
            <w:pPr>
              <w:pStyle w:val="Tabla8"/>
              <w:jc w:val="left"/>
            </w:pPr>
            <w:r>
              <w:t xml:space="preserve">Protocolo y umbrales propuestos con acta firmada; 3 actividades de colaboración activa o más</w:t>
            </w:r>
          </w:p>
        </w:tc>
      </w:tr>
      <w:tr>
        <w:trPr>
          <w:cantSplit/>
        </w:trPr>
        <w:tc>
          <w:tcPr/>
          <w:p>
            <w:pPr>
              <w:pStyle w:val="Tabla8"/>
              <w:jc w:val="left"/>
            </w:pPr>
            <w:r>
              <w:t xml:space="preserve">4</w:t>
            </w:r>
          </w:p>
        </w:tc>
        <w:tc>
          <w:tcPr/>
          <w:p>
            <w:pPr>
              <w:pStyle w:val="Tabla8"/>
              <w:jc w:val="left"/>
            </w:pPr>
            <w:r>
              <w:t xml:space="preserve">Comunicar la visión</w:t>
            </w:r>
          </w:p>
        </w:tc>
        <w:tc>
          <w:tcPr/>
          <w:p>
            <w:pPr>
              <w:pStyle w:val="Tabla8"/>
              <w:jc w:val="left"/>
            </w:pPr>
            <w:r>
              <w:t xml:space="preserve">Habilitar</w:t>
            </w:r>
          </w:p>
        </w:tc>
        <w:tc>
          <w:tcPr/>
          <w:p>
            <w:pPr>
              <w:pStyle w:val="Tabla8"/>
              <w:jc w:val="left"/>
            </w:pPr>
            <w:r>
              <w:t xml:space="preserve">Difundir la visión a comités, custodios y comunidades</w:t>
            </w:r>
          </w:p>
        </w:tc>
        <w:tc>
          <w:tcPr/>
          <w:p>
            <w:pPr>
              <w:pStyle w:val="Tabla8"/>
              <w:jc w:val="left"/>
            </w:pPr>
            <w:r>
              <w:t xml:space="preserve">Publicar boletines trimestrales, distribuir 5.000 cartillas y realizar 9 jornadas públicas</w:t>
            </w:r>
          </w:p>
        </w:tc>
        <w:tc>
          <w:tcPr/>
          <w:p>
            <w:pPr>
              <w:pStyle w:val="Tabla8"/>
              <w:jc w:val="left"/>
            </w:pPr>
            <w:r>
              <w:t xml:space="preserve">Coordinación y profesionales de apropiación social</w:t>
            </w:r>
          </w:p>
        </w:tc>
        <w:tc>
          <w:tcPr/>
          <w:p>
            <w:pPr>
              <w:pStyle w:val="Tabla8"/>
              <w:jc w:val="left"/>
            </w:pPr>
            <w:r>
              <w:t xml:space="preserve">3 a 24</w:t>
            </w:r>
          </w:p>
        </w:tc>
        <w:tc>
          <w:tcPr/>
          <w:p>
            <w:pPr>
              <w:pStyle w:val="Tabla8"/>
              <w:jc w:val="left"/>
            </w:pPr>
            <w:r>
              <w:t xml:space="preserve">29 actividades documentadas (PERS-P04); 5.000 cartillas distribuidas</w:t>
            </w:r>
          </w:p>
        </w:tc>
      </w:tr>
      <w:tr>
        <w:trPr>
          <w:cantSplit/>
        </w:trPr>
        <w:tc>
          <w:tcPr/>
          <w:p>
            <w:pPr>
              <w:pStyle w:val="Tabla8"/>
              <w:jc w:val="left"/>
            </w:pPr>
            <w:r>
              <w:t xml:space="preserve">5</w:t>
            </w:r>
          </w:p>
        </w:tc>
        <w:tc>
          <w:tcPr/>
          <w:p>
            <w:pPr>
              <w:pStyle w:val="Tabla8"/>
              <w:jc w:val="left"/>
            </w:pPr>
            <w:r>
              <w:t xml:space="preserve">Empoderar la acción</w:t>
            </w:r>
          </w:p>
        </w:tc>
        <w:tc>
          <w:tcPr/>
          <w:p>
            <w:pPr>
              <w:pStyle w:val="Tabla8"/>
              <w:jc w:val="left"/>
            </w:pPr>
            <w:r>
              <w:t xml:space="preserve">Habilitar</w:t>
            </w:r>
          </w:p>
        </w:tc>
        <w:tc>
          <w:tcPr/>
          <w:p>
            <w:pPr>
              <w:pStyle w:val="Tabla8"/>
              <w:jc w:val="left"/>
            </w:pPr>
            <w:r>
              <w:t xml:space="preserve">Remover las barreras de habilidad y de recursos</w:t>
            </w:r>
          </w:p>
        </w:tc>
        <w:tc>
          <w:tcPr/>
          <w:p>
            <w:pPr>
              <w:pStyle w:val="Tabla8"/>
              <w:jc w:val="left"/>
            </w:pPr>
            <w:r>
              <w:t xml:space="preserve">Formar a custodios y técnicos locales y entregar repuestos y autonomía para reponer nodos</w:t>
            </w:r>
          </w:p>
        </w:tc>
        <w:tc>
          <w:tcPr/>
          <w:p>
            <w:pPr>
              <w:pStyle w:val="Tabla8"/>
              <w:jc w:val="left"/>
            </w:pPr>
            <w:r>
              <w:t xml:space="preserve">Profesional de convenios y custodia y técnicos de campo</w:t>
            </w:r>
          </w:p>
        </w:tc>
        <w:tc>
          <w:tcPr/>
          <w:p>
            <w:pPr>
              <w:pStyle w:val="Tabla8"/>
              <w:jc w:val="left"/>
            </w:pPr>
            <w:r>
              <w:t xml:space="preserve">6 a 24</w:t>
            </w:r>
          </w:p>
        </w:tc>
        <w:tc>
          <w:tcPr/>
          <w:p>
            <w:pPr>
              <w:pStyle w:val="Tabla8"/>
              <w:jc w:val="left"/>
            </w:pPr>
            <w:r>
              <w:t xml:space="preserve">20, 40 y 60 personas certificadas (PERS-E03)</w:t>
            </w:r>
          </w:p>
        </w:tc>
      </w:tr>
      <w:tr>
        <w:trPr>
          <w:cantSplit/>
        </w:trPr>
        <w:tc>
          <w:tcPr/>
          <w:p>
            <w:pPr>
              <w:pStyle w:val="Tabla8"/>
              <w:jc w:val="left"/>
            </w:pPr>
            <w:r>
              <w:t xml:space="preserve">6</w:t>
            </w:r>
          </w:p>
        </w:tc>
        <w:tc>
          <w:tcPr/>
          <w:p>
            <w:pPr>
              <w:pStyle w:val="Tabla8"/>
              <w:jc w:val="left"/>
            </w:pPr>
            <w:r>
              <w:t xml:space="preserve">Generar victorias tempranas</w:t>
            </w:r>
          </w:p>
        </w:tc>
        <w:tc>
          <w:tcPr/>
          <w:p>
            <w:pPr>
              <w:pStyle w:val="Tabla8"/>
              <w:jc w:val="left"/>
            </w:pPr>
            <w:r>
              <w:t xml:space="preserve">Habilitar</w:t>
            </w:r>
          </w:p>
        </w:tc>
        <w:tc>
          <w:tcPr/>
          <w:p>
            <w:pPr>
              <w:pStyle w:val="Tabla8"/>
              <w:jc w:val="left"/>
            </w:pPr>
            <w:r>
              <w:t xml:space="preserve">Demostrar progreso visible</w:t>
            </w:r>
          </w:p>
        </w:tc>
        <w:tc>
          <w:tcPr/>
          <w:p>
            <w:pPr>
              <w:pStyle w:val="Tabla8"/>
              <w:jc w:val="left"/>
            </w:pPr>
            <w:r>
              <w:t xml:space="preserve">Ejecutar las cinco victorias planificadas con su evidencia</w:t>
            </w:r>
          </w:p>
        </w:tc>
        <w:tc>
          <w:tcPr/>
          <w:p>
            <w:pPr>
              <w:pStyle w:val="Tabla8"/>
              <w:jc w:val="left"/>
            </w:pPr>
            <w:r>
              <w:t xml:space="preserve">Gerencia de proyecto</w:t>
            </w:r>
          </w:p>
        </w:tc>
        <w:tc>
          <w:tcPr/>
          <w:p>
            <w:pPr>
              <w:pStyle w:val="Tabla8"/>
              <w:jc w:val="left"/>
            </w:pPr>
            <w:r>
              <w:t xml:space="preserve">7 a 17</w:t>
            </w:r>
          </w:p>
        </w:tc>
        <w:tc>
          <w:tcPr/>
          <w:p>
            <w:pPr>
              <w:pStyle w:val="Tabla8"/>
              <w:jc w:val="left"/>
            </w:pPr>
            <w:r>
              <w:t xml:space="preserve">5 de 5 victorias con evidencia</w:t>
            </w:r>
          </w:p>
        </w:tc>
      </w:tr>
      <w:tr>
        <w:trPr>
          <w:cantSplit/>
        </w:trPr>
        <w:tc>
          <w:tcPr/>
          <w:p>
            <w:pPr>
              <w:pStyle w:val="Tabla8"/>
              <w:jc w:val="left"/>
            </w:pPr>
            <w:r>
              <w:t xml:space="preserve">7</w:t>
            </w:r>
          </w:p>
        </w:tc>
        <w:tc>
          <w:tcPr/>
          <w:p>
            <w:pPr>
              <w:pStyle w:val="Tabla8"/>
              <w:jc w:val="left"/>
            </w:pPr>
            <w:r>
              <w:t xml:space="preserve">Consolidar las ganancias</w:t>
            </w:r>
          </w:p>
        </w:tc>
        <w:tc>
          <w:tcPr/>
          <w:p>
            <w:pPr>
              <w:pStyle w:val="Tabla8"/>
              <w:jc w:val="left"/>
            </w:pPr>
            <w:r>
              <w:t xml:space="preserve">Sostener</w:t>
            </w:r>
          </w:p>
        </w:tc>
        <w:tc>
          <w:tcPr/>
          <w:p>
            <w:pPr>
              <w:pStyle w:val="Tabla8"/>
              <w:jc w:val="left"/>
            </w:pPr>
            <w:r>
              <w:t xml:space="preserve">Acelerar y expandir con evidencia</w:t>
            </w:r>
          </w:p>
        </w:tc>
        <w:tc>
          <w:tcPr/>
          <w:p>
            <w:pPr>
              <w:pStyle w:val="Tabla8"/>
              <w:jc w:val="left"/>
            </w:pPr>
            <w:r>
              <w:t xml:space="preserve">Usar C1 y C2 para liberar los tramos 2 y 3 y reentrenar el modelo por departamento</w:t>
            </w:r>
          </w:p>
        </w:tc>
        <w:tc>
          <w:tcPr/>
          <w:p>
            <w:pPr>
              <w:pStyle w:val="Tabla8"/>
              <w:jc w:val="left"/>
            </w:pPr>
            <w:r>
              <w:t xml:space="preserve">Gerencia de proyecto y científico de datos</w:t>
            </w:r>
          </w:p>
        </w:tc>
        <w:tc>
          <w:tcPr/>
          <w:p>
            <w:pPr>
              <w:pStyle w:val="Tabla8"/>
              <w:jc w:val="left"/>
            </w:pPr>
            <w:r>
              <w:t xml:space="preserve">12 a 19</w:t>
            </w:r>
          </w:p>
        </w:tc>
        <w:tc>
          <w:tcPr/>
          <w:p>
            <w:pPr>
              <w:pStyle w:val="Tabla8"/>
              <w:jc w:val="left"/>
            </w:pPr>
            <w:r>
              <w:t xml:space="preserve">C1 y C2 superadas con acta; 100 nodos y 10 gateways operativos (H6)</w:t>
            </w:r>
          </w:p>
        </w:tc>
      </w:tr>
      <w:tr>
        <w:trPr>
          <w:cantSplit/>
        </w:trPr>
        <w:tc>
          <w:tcPr/>
          <w:p>
            <w:pPr>
              <w:pStyle w:val="Tabla8"/>
              <w:jc w:val="left"/>
            </w:pPr>
            <w:r>
              <w:t xml:space="preserve">8</w:t>
            </w:r>
          </w:p>
        </w:tc>
        <w:tc>
          <w:tcPr/>
          <w:p>
            <w:pPr>
              <w:pStyle w:val="Tabla8"/>
              <w:jc w:val="left"/>
            </w:pPr>
            <w:r>
              <w:t xml:space="preserve">Anclar en la cultura</w:t>
            </w:r>
          </w:p>
        </w:tc>
        <w:tc>
          <w:tcPr/>
          <w:p>
            <w:pPr>
              <w:pStyle w:val="Tabla8"/>
              <w:jc w:val="left"/>
            </w:pPr>
            <w:r>
              <w:t xml:space="preserve">Sostener</w:t>
            </w:r>
          </w:p>
        </w:tc>
        <w:tc>
          <w:tcPr/>
          <w:p>
            <w:pPr>
              <w:pStyle w:val="Tabla8"/>
              <w:jc w:val="left"/>
            </w:pPr>
            <w:r>
              <w:t xml:space="preserve">Institucionalizar el cambio</w:t>
            </w:r>
          </w:p>
        </w:tc>
        <w:tc>
          <w:tcPr/>
          <w:p>
            <w:pPr>
              <w:pStyle w:val="Tabla8"/>
              <w:jc w:val="left"/>
            </w:pPr>
            <w:r>
              <w:t xml:space="preserve">Firmar convenios de custodia por tramo, la cláusula de apertura y los actos que adoptan el protocolo</w:t>
            </w:r>
          </w:p>
        </w:tc>
        <w:tc>
          <w:tcPr/>
          <w:p>
            <w:pPr>
              <w:pStyle w:val="Tabla8"/>
              <w:jc w:val="left"/>
            </w:pPr>
            <w:r>
              <w:t xml:space="preserve">Profesional de convenios y custodia</w:t>
            </w:r>
          </w:p>
        </w:tc>
        <w:tc>
          <w:tcPr/>
          <w:p>
            <w:pPr>
              <w:pStyle w:val="Tabla8"/>
              <w:jc w:val="left"/>
            </w:pPr>
            <w:r>
              <w:t xml:space="preserve">18 a 24</w:t>
            </w:r>
          </w:p>
        </w:tc>
        <w:tc>
          <w:tcPr/>
          <w:p>
            <w:pPr>
              <w:pStyle w:val="Tabla8"/>
              <w:jc w:val="left"/>
            </w:pPr>
            <w:r>
              <w:t xml:space="preserve">Actas de entrega y cláusula firmada (H8); PERS-E01 ≥ 75 %</w:t>
            </w:r>
          </w:p>
        </w:tc>
      </w:tr>
    </w:tbl>
    <w:p>
      <w:pPr>
        <w:pStyle w:val="TablaNota"/>
      </w:pPr>
      <w:r>
        <w:rPr>
          <w:i/>
          <w:iCs/>
        </w:rPr>
        <w:t xml:space="preserve">Nota.</w:t>
      </w:r>
      <w:r>
        <w:t xml:space="preserve"> </w:t>
      </w:r>
      <w:r>
        <w:t xml:space="preserve">Elaboración propia con datos del cronograma (hitos H0 a H8; actividades A3.1 y A3.3), del presupuesto (M04, S09) y de los indicadores PERS (metas intermedias y finales). Naturaleza: PROPUESTO. Nombres de personas: [DATO_USUARIO].</w:t>
      </w:r>
    </w:p>
    <w:p>
      <w:pPr>
        <w:pStyle w:val="BodyText"/>
      </w:pPr>
      <w:r>
        <w:t xml:space="preserve">La tabla convierte el modelo en compromisos verificables. Cada indicador de éxito remite a un acta, a un hito o a un indicador PERS ya definido. El capítulo no crea cifras nuevas. Los responsables son roles con presupuesto asignado, lo que reduce el riesgo de pasos sin dueño.</w:t>
      </w:r>
    </w:p>
    <w:p>
      <w:pPr>
        <w:pStyle w:val="BodyText"/>
      </w:pPr>
      <w:r>
        <w:rPr>
          <w:b/>
          <w:bCs/>
        </w:rPr>
        <w:t xml:space="preserve">Pasos 1 a 3.</w:t>
      </w:r>
      <w:r>
        <w:t xml:space="preserve"> </w:t>
      </w:r>
      <w:r>
        <w:t xml:space="preserve">La urgencia exige evidencia creíble. El proyecto usa tres datos de F-INF. Solo 28 de 1.122 municipios cuentan con estaciones utilizables para estimar la carga (Rodríguez-Villamizar et al., 2022, pp. 3 y 6). El 90,8 % de las 5.076 estaciones de la red nacional propuesta serían sensores sin plan de calibración (Murad Pedraza et al., 2026, pp. 10-11 y 13; cálculo del analista). El SIATA muestra que una red de dos capas opera con 65 equipos acreditados y 450 sensores de bajo costo (Ruiz-Carrascal et al., 2026, pp. 3 y 8). La presentación declara el límite de cada cifra, porque exagerar la urgencia erosiona la credibilidad que el paso 2 necesita. El informe de vigilancia modela la compra de sensores como un dilema del prisionero. En ese juego, ninguna autoridad calibra si nadie lo exige. Una regla que condicione la compra a un plan de calibración cambia el equilibrio (F-INF, §6.5). El tramo 1 cumple esa función de regla. La visión resultante es una frase verificable: los comités deciden alertas con mediciones de error conocido (PROPUESTO).</w:t>
      </w:r>
    </w:p>
    <w:p>
      <w:pPr>
        <w:pStyle w:val="BodyText"/>
      </w:pPr>
      <w:r>
        <w:rPr>
          <w:b/>
          <w:bCs/>
        </w:rPr>
        <w:t xml:space="preserve">Pasos 4 a 6.</w:t>
      </w:r>
      <w:r>
        <w:t xml:space="preserve"> </w:t>
      </w:r>
      <w:r>
        <w:t xml:space="preserve">La comunicación debe convertir la visión en práctica visible. La posibilidad de prueba y la observabilidad figuran entre las características que aceleran la adopción (Rogers, 2003). El tramo 1 ofrece la prueba a escala reducida: 30 nodos y 3 gateways en 12 meses. Las victorias tempranas ofrecen la observabilidad. El empoderamiento exige habilidad y recursos. El presupuesto asigna 150,0 millones de COP a la formación y el soporte de custodios por tramo (S09, PROPUESTO). Asigna 60,0 millones de COP a repuestos y consumibles de mantenimiento (M07, PROPUESTO). La meta de 60 personas certificadas (PERS-E03) mide la capacidad instalada. El personal de primera línea adapta las reglas a su carga de trabajo (Lipsky, 1980). Por eso el protocolo de alerta se diseña con los comités y no se impone.</w:t>
      </w:r>
    </w:p>
    <w:p>
      <w:pPr>
        <w:pStyle w:val="BodyText"/>
      </w:pPr>
      <w:r>
        <w:rPr>
          <w:b/>
          <w:bCs/>
        </w:rPr>
        <w:t xml:space="preserve">Pasos 7 y 8.</w:t>
      </w:r>
      <w:r>
        <w:t xml:space="preserve"> </w:t>
      </w:r>
      <w:r>
        <w:t xml:space="preserve">Consolidar significa decidir con evidencia y no declarar victoria antes de tiempo. La declaración prematura de victoria figura entre los errores que detienen un cambio (Kotter, 2012). Las compuertas C1 y C2 operan como el freno contra ese error. C1 exige R² de al menos 0,70 y NRMSE de 30 % o menos. Exige también uso del tablero en al menos 50 % de los comités del tramo 1. C2 exige los mismos umbrales en los tres departamentos, disponibilidad mensual de 90 % o más y convenios de custodia con partida. El paso 8 es el más expuesto. Las instituciones son las reglas del juego, formales e informales (North, 1990). Anclar el cambio exige reglas formales como convenios, actos administrativos y cláusula de apertura. El riesgo R-ORG-02, que los custodios no asuman la operación, presenta nivel ALTO y probabilidad de 50 % en el registro de riesgos.</w:t>
      </w:r>
    </w:p>
    <w:bookmarkEnd w:id="767"/>
    <w:bookmarkStart w:id="768" w:name="_Toc00900328"/>
    <w:p>
      <w:pPr>
        <w:pStyle w:val="Heading3"/>
      </w:pPr>
      <w:r>
        <w:t xml:space="preserve">E2.3 Estrategia de victorias tempranas</w:t>
      </w:r>
    </w:p>
    <w:p>
      <w:pPr>
        <w:pStyle w:val="FirstParagraph"/>
      </w:pPr>
      <w:r>
        <w:t xml:space="preserve">Las victorias tempranas sostienen la credibilidad del cambio mientras los resultados finales maduran. Kotter (2012) las caracteriza con tres criterios. Una victoria es visible cuando muchas personas pueden ver el resultado. Es inequívoca cuando no admite interpretaciones alternativas. Está relacionada cuando se conecta de forma clara con el esfuerzo de cambio. Estos criterios filtran los logros que importan de los que solo ocupan espacio en un informe.</w:t>
      </w:r>
    </w:p>
    <w:p>
      <w:pPr>
        <w:pStyle w:val="BodyText"/>
      </w:pPr>
      <w:r>
        <w:t xml:space="preserve">Una segunda posición advierte sobre el costo de proclamar logros. La acción con propósito produce consecuencias no anticipadas (Merton, 1936). En este proyecto, la sección 4.4-MDR.11 anticipa una de ellas, la falsa seguridad. Un sesgo residual produce lecturas bajas y las autoridades relajan la vigilancia. Una victoria declarada sin evidencia refuerza ese riesgo. La respuesta prevista es publicar rangos de incertidumbre y mantener la referencia. Por esa razón las victorias del proyecto se definen con evidencia verificable y no con percepciones.</w:t>
      </w:r>
    </w:p>
    <w:p>
      <w:pPr>
        <w:pStyle w:val="BodyText"/>
      </w:pPr>
      <w:r>
        <w:t xml:space="preserve">La Tabla X4.5 presenta las cinco victorias. Cada una incluye un mes, un indicador y una audiencia. Los meses son PROPUESTO y respetan las actividades del cronograma.</w:t>
      </w:r>
    </w:p>
    <w:p>
      <w:pPr>
        <w:pStyle w:val="TablaRotulo"/>
      </w:pPr>
      <w:bookmarkStart w:id="9424" w:name="rot_Tabla_X4_5"/>
      <w:r>
        <w:rPr>
          <w:b/>
          <w:bCs/>
        </w:rPr>
        <w:t xml:space="preserve">Tabla X4.5</w:t>
      </w:r>
      <w:bookmarkEnd w:id="9424"/>
    </w:p>
    <w:p>
      <w:pPr>
        <w:pStyle w:val="TablaTitulo"/>
      </w:pPr>
      <w:r>
        <w:rPr>
          <w:i/>
          <w:iCs/>
        </w:rPr>
        <w:t xml:space="preserve">Victorias tempranas planificadas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12"/>
        <w:gridCol w:w="1505"/>
        <w:gridCol w:w="523"/>
        <w:gridCol w:w="1636"/>
        <w:gridCol w:w="1636"/>
        <w:gridCol w:w="1505"/>
      </w:tblGrid>
      <w:tr>
        <w:trPr>
          <w:cantSplit/>
          <w:tblHeader/>
        </w:trPr>
        <w:tc>
          <w:tcPr>
            <w:shd w:val="clear" w:color="auto" w:fill="00B050"/>
          </w:tcPr>
          <w:p>
            <w:pPr>
              <w:pStyle w:val="Tabla9"/>
              <w:jc w:val="center"/>
            </w:pPr>
            <w:r>
              <w:rPr>
                <w:b/>
                <w:color w:val="FFFFFF"/>
              </w:rPr>
              <w:t xml:space="preserve">Victoria</w:t>
            </w:r>
          </w:p>
        </w:tc>
        <w:tc>
          <w:tcPr>
            <w:shd w:val="clear" w:color="auto" w:fill="00B050"/>
          </w:tcPr>
          <w:p>
            <w:pPr>
              <w:pStyle w:val="Tabla9"/>
              <w:jc w:val="center"/>
            </w:pPr>
            <w:r>
              <w:rPr>
                <w:b/>
                <w:color w:val="FFFFFF"/>
              </w:rPr>
              <w:t xml:space="preserve">Descripción</w:t>
            </w:r>
          </w:p>
        </w:tc>
        <w:tc>
          <w:tcPr>
            <w:shd w:val="clear" w:color="auto" w:fill="00B050"/>
          </w:tcPr>
          <w:p>
            <w:pPr>
              <w:pStyle w:val="Tabla9"/>
              <w:jc w:val="center"/>
            </w:pPr>
            <w:r>
              <w:rPr>
                <w:b/>
                <w:color w:val="FFFFFF"/>
              </w:rPr>
              <w:t xml:space="preserve">Mes</w:t>
            </w:r>
          </w:p>
        </w:tc>
        <w:tc>
          <w:tcPr>
            <w:shd w:val="clear" w:color="auto" w:fill="00B050"/>
          </w:tcPr>
          <w:p>
            <w:pPr>
              <w:pStyle w:val="Tabla9"/>
              <w:jc w:val="center"/>
            </w:pPr>
            <w:r>
              <w:rPr>
                <w:b/>
                <w:color w:val="FFFFFF"/>
              </w:rPr>
              <w:t xml:space="preserve">Indicador de éxito</w:t>
            </w:r>
          </w:p>
        </w:tc>
        <w:tc>
          <w:tcPr>
            <w:shd w:val="clear" w:color="auto" w:fill="00B050"/>
          </w:tcPr>
          <w:p>
            <w:pPr>
              <w:pStyle w:val="Tabla9"/>
              <w:jc w:val="center"/>
            </w:pPr>
            <w:r>
              <w:rPr>
                <w:b/>
                <w:color w:val="FFFFFF"/>
              </w:rPr>
              <w:t xml:space="preserve">Audiencia objetivo</w:t>
            </w:r>
          </w:p>
        </w:tc>
        <w:tc>
          <w:tcPr>
            <w:shd w:val="clear" w:color="auto" w:fill="00B050"/>
          </w:tcPr>
          <w:p>
            <w:pPr>
              <w:pStyle w:val="Tabla9"/>
              <w:jc w:val="center"/>
            </w:pPr>
            <w:r>
              <w:rPr>
                <w:b/>
                <w:color w:val="FFFFFF"/>
              </w:rPr>
              <w:t xml:space="preserve">Mecanismo de comunicación</w:t>
            </w:r>
          </w:p>
        </w:tc>
      </w:tr>
      <w:tr>
        <w:trPr>
          <w:cantSplit/>
        </w:trPr>
        <w:tc>
          <w:tcPr/>
          <w:p>
            <w:pPr>
              <w:pStyle w:val="Tabla9"/>
              <w:jc w:val="left"/>
            </w:pPr>
            <w:r>
              <w:t xml:space="preserve">QW1</w:t>
            </w:r>
          </w:p>
        </w:tc>
        <w:tc>
          <w:tcPr/>
          <w:p>
            <w:pPr>
              <w:pStyle w:val="Tabla9"/>
              <w:jc w:val="left"/>
            </w:pPr>
            <w:r>
              <w:t xml:space="preserve">Primer nodo con dato pareado válido frente a la referencia</w:t>
            </w:r>
          </w:p>
        </w:tc>
        <w:tc>
          <w:tcPr/>
          <w:p>
            <w:pPr>
              <w:pStyle w:val="Tabla9"/>
              <w:jc w:val="left"/>
            </w:pPr>
            <w:r>
              <w:t xml:space="preserve">7</w:t>
            </w:r>
          </w:p>
        </w:tc>
        <w:tc>
          <w:tcPr/>
          <w:p>
            <w:pPr>
              <w:pStyle w:val="Tabla9"/>
              <w:jc w:val="left"/>
            </w:pPr>
            <w:r>
              <w:t xml:space="preserve">Al menos 1 nodo con horas-nodo válidas en PERS-R05</w:t>
            </w:r>
          </w:p>
        </w:tc>
        <w:tc>
          <w:tcPr/>
          <w:p>
            <w:pPr>
              <w:pStyle w:val="Tabla9"/>
              <w:jc w:val="left"/>
            </w:pPr>
            <w:r>
              <w:t xml:space="preserve">Equipo del proyecto, financiador y comités del tramo 1</w:t>
            </w:r>
          </w:p>
        </w:tc>
        <w:tc>
          <w:tcPr/>
          <w:p>
            <w:pPr>
              <w:pStyle w:val="Tabla9"/>
              <w:jc w:val="left"/>
            </w:pPr>
            <w:r>
              <w:t xml:space="preserve">Boletín técnico y vista del tablero</w:t>
            </w:r>
          </w:p>
        </w:tc>
      </w:tr>
      <w:tr>
        <w:trPr>
          <w:cantSplit/>
        </w:trPr>
        <w:tc>
          <w:tcPr/>
          <w:p>
            <w:pPr>
              <w:pStyle w:val="Tabla9"/>
              <w:jc w:val="left"/>
            </w:pPr>
            <w:r>
              <w:t xml:space="preserve">QW2</w:t>
            </w:r>
          </w:p>
        </w:tc>
        <w:tc>
          <w:tcPr/>
          <w:p>
            <w:pPr>
              <w:pStyle w:val="Tabla9"/>
              <w:jc w:val="left"/>
            </w:pPr>
            <w:r>
              <w:t xml:space="preserve">Primera sesión de un comité con el tablero</w:t>
            </w:r>
          </w:p>
        </w:tc>
        <w:tc>
          <w:tcPr/>
          <w:p>
            <w:pPr>
              <w:pStyle w:val="Tabla9"/>
              <w:jc w:val="left"/>
            </w:pPr>
            <w:r>
              <w:t xml:space="preserve">8</w:t>
            </w:r>
          </w:p>
        </w:tc>
        <w:tc>
          <w:tcPr/>
          <w:p>
            <w:pPr>
              <w:pStyle w:val="Tabla9"/>
              <w:jc w:val="left"/>
            </w:pPr>
            <w:r>
              <w:t xml:space="preserve">Al menos 1 acta de comité que cita una lectura del tablero (numerador de PERS-E01)</w:t>
            </w:r>
          </w:p>
        </w:tc>
        <w:tc>
          <w:tcPr/>
          <w:p>
            <w:pPr>
              <w:pStyle w:val="Tabla9"/>
              <w:jc w:val="left"/>
            </w:pPr>
            <w:r>
              <w:t xml:space="preserve">Comités y gobernaciones de los tres departamentos</w:t>
            </w:r>
          </w:p>
        </w:tc>
        <w:tc>
          <w:tcPr/>
          <w:p>
            <w:pPr>
              <w:pStyle w:val="Tabla9"/>
              <w:jc w:val="left"/>
            </w:pPr>
            <w:r>
              <w:t xml:space="preserve">Sesión en el sitio con acta y registro fotográfico</w:t>
            </w:r>
          </w:p>
        </w:tc>
      </w:tr>
      <w:tr>
        <w:trPr>
          <w:cantSplit/>
        </w:trPr>
        <w:tc>
          <w:tcPr/>
          <w:p>
            <w:pPr>
              <w:pStyle w:val="Tabla9"/>
              <w:jc w:val="left"/>
            </w:pPr>
            <w:r>
              <w:t xml:space="preserve">QW3</w:t>
            </w:r>
          </w:p>
        </w:tc>
        <w:tc>
          <w:tcPr/>
          <w:p>
            <w:pPr>
              <w:pStyle w:val="Tabla9"/>
              <w:jc w:val="left"/>
            </w:pPr>
            <w:r>
              <w:t xml:space="preserve">Línea base de error medida por departamento (H2)</w:t>
            </w:r>
          </w:p>
        </w:tc>
        <w:tc>
          <w:tcPr/>
          <w:p>
            <w:pPr>
              <w:pStyle w:val="Tabla9"/>
              <w:jc w:val="left"/>
            </w:pPr>
            <w:r>
              <w:t xml:space="preserve">10</w:t>
            </w:r>
          </w:p>
        </w:tc>
        <w:tc>
          <w:tcPr/>
          <w:p>
            <w:pPr>
              <w:pStyle w:val="Tabla9"/>
              <w:jc w:val="left"/>
            </w:pPr>
            <w:r>
              <w:t xml:space="preserve">NRMSE, R², pendiente y sesgo de línea base publicados para 3 de 3 departamentos</w:t>
            </w:r>
          </w:p>
        </w:tc>
        <w:tc>
          <w:tcPr/>
          <w:p>
            <w:pPr>
              <w:pStyle w:val="Tabla9"/>
              <w:jc w:val="left"/>
            </w:pPr>
            <w:r>
              <w:t xml:space="preserve">Comités, IDEAM y autoridades ambientales</w:t>
            </w:r>
          </w:p>
        </w:tc>
        <w:tc>
          <w:tcPr/>
          <w:p>
            <w:pPr>
              <w:pStyle w:val="Tabla9"/>
              <w:jc w:val="left"/>
            </w:pPr>
            <w:r>
              <w:t xml:space="preserve">Informe de línea base y sesión pública de presentación</w:t>
            </w:r>
          </w:p>
        </w:tc>
      </w:tr>
      <w:tr>
        <w:trPr>
          <w:cantSplit/>
        </w:trPr>
        <w:tc>
          <w:tcPr/>
          <w:p>
            <w:pPr>
              <w:pStyle w:val="Tabla9"/>
              <w:jc w:val="left"/>
            </w:pPr>
            <w:r>
              <w:t xml:space="preserve">QW4</w:t>
            </w:r>
          </w:p>
        </w:tc>
        <w:tc>
          <w:tcPr/>
          <w:p>
            <w:pPr>
              <w:pStyle w:val="Tabla9"/>
              <w:jc w:val="left"/>
            </w:pPr>
            <w:r>
              <w:t xml:space="preserve">Primera corrección validada frente a la referencia (H3)</w:t>
            </w:r>
          </w:p>
        </w:tc>
        <w:tc>
          <w:tcPr/>
          <w:p>
            <w:pPr>
              <w:pStyle w:val="Tabla9"/>
              <w:jc w:val="left"/>
            </w:pPr>
            <w:r>
              <w:t xml:space="preserve">12</w:t>
            </w:r>
          </w:p>
        </w:tc>
        <w:tc>
          <w:tcPr/>
          <w:p>
            <w:pPr>
              <w:pStyle w:val="Tabla9"/>
              <w:jc w:val="left"/>
            </w:pPr>
            <w:r>
              <w:t xml:space="preserve">R² ≥ 0,70 y NRMSE ≤ 30 % en el piloto, con acta de compuerta C1</w:t>
            </w:r>
          </w:p>
        </w:tc>
        <w:tc>
          <w:tcPr/>
          <w:p>
            <w:pPr>
              <w:pStyle w:val="Tabla9"/>
              <w:jc w:val="left"/>
            </w:pPr>
            <w:r>
              <w:t xml:space="preserve">Comités, financiador y evaluación externa</w:t>
            </w:r>
          </w:p>
        </w:tc>
        <w:tc>
          <w:tcPr/>
          <w:p>
            <w:pPr>
              <w:pStyle w:val="Tabla9"/>
              <w:jc w:val="left"/>
            </w:pPr>
            <w:r>
              <w:t xml:space="preserve">Acta de compuerta y jornada de resultados</w:t>
            </w:r>
          </w:p>
        </w:tc>
      </w:tr>
      <w:tr>
        <w:trPr>
          <w:cantSplit/>
        </w:trPr>
        <w:tc>
          <w:tcPr/>
          <w:p>
            <w:pPr>
              <w:pStyle w:val="Tabla9"/>
              <w:jc w:val="left"/>
            </w:pPr>
            <w:r>
              <w:t xml:space="preserve">QW5</w:t>
            </w:r>
          </w:p>
        </w:tc>
        <w:tc>
          <w:tcPr/>
          <w:p>
            <w:pPr>
              <w:pStyle w:val="Tabla9"/>
              <w:jc w:val="left"/>
            </w:pPr>
            <w:r>
              <w:t xml:space="preserve">Primer convenio de custodia con partida presupuestal (H5)</w:t>
            </w:r>
          </w:p>
        </w:tc>
        <w:tc>
          <w:tcPr/>
          <w:p>
            <w:pPr>
              <w:pStyle w:val="Tabla9"/>
              <w:jc w:val="left"/>
            </w:pPr>
            <w:r>
              <w:t xml:space="preserve">17</w:t>
            </w:r>
          </w:p>
        </w:tc>
        <w:tc>
          <w:tcPr/>
          <w:p>
            <w:pPr>
              <w:pStyle w:val="Tabla9"/>
              <w:jc w:val="left"/>
            </w:pPr>
            <w:r>
              <w:t xml:space="preserve">Al menos 1 convenio firmado con partida identificada</w:t>
            </w:r>
          </w:p>
        </w:tc>
        <w:tc>
          <w:tcPr/>
          <w:p>
            <w:pPr>
              <w:pStyle w:val="Tabla9"/>
              <w:jc w:val="left"/>
            </w:pPr>
            <w:r>
              <w:t xml:space="preserve">Alcaldías, gobernaciones y custodios potenciales</w:t>
            </w:r>
          </w:p>
        </w:tc>
        <w:tc>
          <w:tcPr/>
          <w:p>
            <w:pPr>
              <w:pStyle w:val="Tabla9"/>
              <w:jc w:val="left"/>
            </w:pPr>
            <w:r>
              <w:t xml:space="preserve">Firma pública y cartilla del convenio</w:t>
            </w:r>
          </w:p>
        </w:tc>
      </w:tr>
    </w:tbl>
    <w:p>
      <w:pPr>
        <w:pStyle w:val="TablaNota"/>
      </w:pPr>
      <w:r>
        <w:rPr>
          <w:i/>
          <w:iCs/>
        </w:rPr>
        <w:t xml:space="preserve">Nota.</w:t>
      </w:r>
      <w:r>
        <w:t xml:space="preserve"> </w:t>
      </w:r>
      <w:r>
        <w:t xml:space="preserve">Elaboración propia con datos del cronograma (A1.3, A1.4, A3.1, A3.2; hitos H2, H3 y H5) y de los indicadores PERS-R05 y PERS-E01. Naturaleza de los meses: PROPUESTO. Línea base de PERS-R05 y PERS-E01: VACIO hasta el tramo 1.</w:t>
      </w:r>
    </w:p>
    <w:p>
      <w:pPr>
        <w:pStyle w:val="BodyText"/>
      </w:pPr>
      <w:r>
        <w:t xml:space="preserve">Las cinco victorias recorren la cadena completa del proyecto. QW1 y QW3 pertenecen a la medición. QW2 pertenece al uso. QW4 une medición y compuerta. QW5 pertenece a la custodia. La tercera victoria posee un valor especial. Cierra una línea base que hoy es VACIO, y con ella el equipo puede declarar éxito o fracaso con una cifra. Si una victoria no se logra en su mes, el equipo lo comunica a la misma audiencia. Además activa la revisión de doble bucle descrita en la sección E3.</w:t>
      </w:r>
    </w:p>
    <w:bookmarkEnd w:id="768"/>
    <w:bookmarkStart w:id="769" w:name="_Toc00900329"/>
    <w:p>
      <w:pPr>
        <w:pStyle w:val="Heading3"/>
      </w:pPr>
      <w:r>
        <w:t xml:space="preserve">E2.4 Coalición guía</w:t>
      </w:r>
    </w:p>
    <w:p>
      <w:pPr>
        <w:pStyle w:val="FirstParagraph"/>
      </w:pPr>
      <w:r>
        <w:t xml:space="preserve">La coalición guía es el grupo que conduce el cambio y le otorga legitimidad. Sus miembros deben reunir cuatro atributos: poder de posición, experiencia, credibilidad y liderazgo (Kotter, 2012). Un grupo sin poder de posición no desbloquea decisiones. Un grupo sin experiencia toma decisiones erradas. Un grupo sin credibilidad no persuade. Un grupo sin liderazgo no coordina.</w:t>
      </w:r>
    </w:p>
    <w:p>
      <w:pPr>
        <w:pStyle w:val="BodyText"/>
      </w:pPr>
      <w:r>
        <w:t xml:space="preserve">Dos enfoques distintos describen a los actores del proyecto. El primero compone un equipo, como propone Kotter. El segundo clasifica a quienes rodean el proyecto. Mitchell et al. (1997) identifican a los grupos de interés por su poder, su legitimidad y su urgencia. Scharpf (1997) analiza a los actores por sus capacidades y orientaciones dentro de instituciones. La sección 4.4-MDR.5 aplicó la primera clasificación. No encontró evidencia para evaluar el poder, la legitimidad ni la urgencia de las alcaldías, las constructoras ni los operarios. Solo el convocante cuenta con evidencia directa de poder.</w:t>
      </w:r>
    </w:p>
    <w:p>
      <w:pPr>
        <w:pStyle w:val="BodyText"/>
      </w:pPr>
      <w:r>
        <w:t xml:space="preserve">La Tabla X4.6 compone la coalición por roles. Los niveles de poder, credibilidad, liderazgo y experiencia son una propuesta de formulación y no una evaluación con evidencia.</w:t>
      </w:r>
    </w:p>
    <w:p>
      <w:pPr>
        <w:pStyle w:val="TablaRotulo"/>
      </w:pPr>
      <w:bookmarkStart w:id="9425" w:name="rot_Tabla_X4_6"/>
      <w:r>
        <w:rPr>
          <w:b/>
          <w:bCs/>
        </w:rPr>
        <w:t xml:space="preserve">Tabla X4.6</w:t>
      </w:r>
      <w:bookmarkEnd w:id="9425"/>
    </w:p>
    <w:p>
      <w:pPr>
        <w:pStyle w:val="TablaTitulo"/>
      </w:pPr>
      <w:r>
        <w:rPr>
          <w:i/>
          <w:iCs/>
        </w:rPr>
        <w:t xml:space="preserve">Composición de la coalición guía por roles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716"/>
        <w:gridCol w:w="594"/>
        <w:gridCol w:w="1188"/>
        <w:gridCol w:w="924"/>
        <w:gridCol w:w="1056"/>
      </w:tblGrid>
      <w:tr>
        <w:trPr>
          <w:cantSplit/>
          <w:tblHeader/>
        </w:trPr>
        <w:tc>
          <w:tcPr>
            <w:shd w:val="clear" w:color="auto" w:fill="00B050"/>
          </w:tcPr>
          <w:p>
            <w:pPr>
              <w:pStyle w:val="Tabla8"/>
              <w:jc w:val="center"/>
            </w:pPr>
            <w:r>
              <w:rPr>
                <w:b/>
                <w:color w:val="FFFFFF"/>
              </w:rPr>
              <w:t xml:space="preserve">Rol</w:t>
            </w:r>
          </w:p>
        </w:tc>
        <w:tc>
          <w:tcPr>
            <w:shd w:val="clear" w:color="auto" w:fill="00B050"/>
          </w:tcPr>
          <w:p>
            <w:pPr>
              <w:pStyle w:val="Tabla8"/>
              <w:jc w:val="center"/>
            </w:pPr>
            <w:r>
              <w:rPr>
                <w:b/>
                <w:color w:val="FFFFFF"/>
              </w:rPr>
              <w:t xml:space="preserve">Cargo</w:t>
            </w:r>
          </w:p>
        </w:tc>
        <w:tc>
          <w:tcPr>
            <w:shd w:val="clear" w:color="auto" w:fill="00B050"/>
          </w:tcPr>
          <w:p>
            <w:pPr>
              <w:pStyle w:val="Tabla8"/>
              <w:jc w:val="center"/>
            </w:pPr>
            <w:r>
              <w:rPr>
                <w:b/>
                <w:color w:val="FFFFFF"/>
              </w:rPr>
              <w:t xml:space="preserve">Nombre y organización</w:t>
            </w:r>
          </w:p>
        </w:tc>
        <w:tc>
          <w:tcPr>
            <w:shd w:val="clear" w:color="auto" w:fill="00B050"/>
          </w:tcPr>
          <w:p>
            <w:pPr>
              <w:pStyle w:val="Tabla8"/>
              <w:jc w:val="center"/>
            </w:pPr>
            <w:r>
              <w:rPr>
                <w:b/>
                <w:color w:val="FFFFFF"/>
              </w:rPr>
              <w:t xml:space="preserve">Poder</w:t>
            </w:r>
          </w:p>
        </w:tc>
        <w:tc>
          <w:tcPr>
            <w:shd w:val="clear" w:color="auto" w:fill="00B050"/>
          </w:tcPr>
          <w:p>
            <w:pPr>
              <w:pStyle w:val="Tabla8"/>
              <w:jc w:val="center"/>
            </w:pPr>
            <w:r>
              <w:rPr>
                <w:b/>
                <w:color w:val="FFFFFF"/>
              </w:rPr>
              <w:t xml:space="preserve">Credibilidad</w:t>
            </w:r>
          </w:p>
        </w:tc>
        <w:tc>
          <w:tcPr>
            <w:shd w:val="clear" w:color="auto" w:fill="00B050"/>
          </w:tcPr>
          <w:p>
            <w:pPr>
              <w:pStyle w:val="Tabla8"/>
              <w:jc w:val="center"/>
            </w:pPr>
            <w:r>
              <w:rPr>
                <w:b/>
                <w:color w:val="FFFFFF"/>
              </w:rPr>
              <w:t xml:space="preserve">Liderazgo</w:t>
            </w:r>
          </w:p>
        </w:tc>
        <w:tc>
          <w:tcPr>
            <w:shd w:val="clear" w:color="auto" w:fill="00B050"/>
          </w:tcPr>
          <w:p>
            <w:pPr>
              <w:pStyle w:val="Tabla8"/>
              <w:jc w:val="center"/>
            </w:pPr>
            <w:r>
              <w:rPr>
                <w:b/>
                <w:color w:val="FFFFFF"/>
              </w:rPr>
              <w:t xml:space="preserve">Experiencia</w:t>
            </w:r>
          </w:p>
        </w:tc>
      </w:tr>
      <w:tr>
        <w:trPr>
          <w:cantSplit/>
        </w:trPr>
        <w:tc>
          <w:tcPr/>
          <w:p>
            <w:pPr>
              <w:pStyle w:val="Tabla8"/>
              <w:jc w:val="left"/>
            </w:pPr>
            <w:r>
              <w:t xml:space="preserve">Patrocinador</w:t>
            </w:r>
          </w:p>
        </w:tc>
        <w:tc>
          <w:tcPr/>
          <w:p>
            <w:pPr>
              <w:pStyle w:val="Tabla8"/>
              <w:jc w:val="left"/>
            </w:pPr>
            <w:r>
              <w:t xml:space="preserve">Gerencia de proyecto con el investigador principal de la IES</w:t>
            </w:r>
          </w:p>
        </w:tc>
        <w:tc>
          <w:tcPr/>
          <w:p>
            <w:pPr>
              <w:pStyle w:val="Tabla8"/>
              <w:jc w:val="left"/>
            </w:pPr>
            <w:r>
              <w:t xml:space="preserve">[DATO_USUARIO: nombre y organización]</w:t>
            </w:r>
          </w:p>
        </w:tc>
        <w:tc>
          <w:tcPr/>
          <w:p>
            <w:pPr>
              <w:pStyle w:val="Tabla8"/>
              <w:jc w:val="left"/>
            </w:pPr>
            <w:r>
              <w:t xml:space="preserve">Alto</w:t>
            </w:r>
          </w:p>
        </w:tc>
        <w:tc>
          <w:tcPr/>
          <w:p>
            <w:pPr>
              <w:pStyle w:val="Tabla8"/>
              <w:jc w:val="left"/>
            </w:pPr>
            <w:r>
              <w:t xml:space="preserve">Alto</w:t>
            </w:r>
          </w:p>
        </w:tc>
        <w:tc>
          <w:tcPr/>
          <w:p>
            <w:pPr>
              <w:pStyle w:val="Tabla8"/>
              <w:jc w:val="left"/>
            </w:pPr>
            <w:r>
              <w:t xml:space="preserve">Alto</w:t>
            </w:r>
          </w:p>
        </w:tc>
        <w:tc>
          <w:tcPr/>
          <w:p>
            <w:pPr>
              <w:pStyle w:val="Tabla8"/>
              <w:jc w:val="left"/>
            </w:pPr>
            <w:r>
              <w:t xml:space="preserve">Gestión de proyectos y compuertas</w:t>
            </w:r>
          </w:p>
        </w:tc>
      </w:tr>
      <w:tr>
        <w:trPr>
          <w:cantSplit/>
        </w:trPr>
        <w:tc>
          <w:tcPr/>
          <w:p>
            <w:pPr>
              <w:pStyle w:val="Tabla8"/>
              <w:jc w:val="left"/>
            </w:pPr>
            <w:r>
              <w:t xml:space="preserve">Promotor técnico de medición</w:t>
            </w:r>
          </w:p>
        </w:tc>
        <w:tc>
          <w:tcPr/>
          <w:p>
            <w:pPr>
              <w:pStyle w:val="Tabla8"/>
              <w:jc w:val="left"/>
            </w:pPr>
            <w:r>
              <w:t xml:space="preserve">Especialista en metrología y científico de datos</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Alto</w:t>
            </w:r>
          </w:p>
        </w:tc>
        <w:tc>
          <w:tcPr/>
          <w:p>
            <w:pPr>
              <w:pStyle w:val="Tabla8"/>
              <w:jc w:val="left"/>
            </w:pPr>
            <w:r>
              <w:t xml:space="preserve">Medio</w:t>
            </w:r>
          </w:p>
        </w:tc>
        <w:tc>
          <w:tcPr/>
          <w:p>
            <w:pPr>
              <w:pStyle w:val="Tabla8"/>
              <w:jc w:val="left"/>
            </w:pPr>
            <w:r>
              <w:t xml:space="preserve">Metrología, calibración y modelo de corrección</w:t>
            </w:r>
          </w:p>
        </w:tc>
      </w:tr>
      <w:tr>
        <w:trPr>
          <w:cantSplit/>
        </w:trPr>
        <w:tc>
          <w:tcPr/>
          <w:p>
            <w:pPr>
              <w:pStyle w:val="Tabla8"/>
              <w:jc w:val="left"/>
            </w:pPr>
            <w:r>
              <w:t xml:space="preserve">Promotor técnico de red</w:t>
            </w:r>
          </w:p>
        </w:tc>
        <w:tc>
          <w:tcPr/>
          <w:p>
            <w:pPr>
              <w:pStyle w:val="Tabla8"/>
              <w:jc w:val="left"/>
            </w:pPr>
            <w:r>
              <w:t xml:space="preserve">Ingenieros IoT y de campo; ingeniero de firmware y energía</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Alto</w:t>
            </w:r>
          </w:p>
        </w:tc>
        <w:tc>
          <w:tcPr/>
          <w:p>
            <w:pPr>
              <w:pStyle w:val="Tabla8"/>
              <w:jc w:val="left"/>
            </w:pPr>
            <w:r>
              <w:t xml:space="preserve">Medio</w:t>
            </w:r>
          </w:p>
        </w:tc>
        <w:tc>
          <w:tcPr/>
          <w:p>
            <w:pPr>
              <w:pStyle w:val="Tabla8"/>
              <w:jc w:val="left"/>
            </w:pPr>
            <w:r>
              <w:t xml:space="preserve">Redes IoT, energía y enlace</w:t>
            </w:r>
          </w:p>
        </w:tc>
      </w:tr>
      <w:tr>
        <w:trPr>
          <w:cantSplit/>
        </w:trPr>
        <w:tc>
          <w:tcPr/>
          <w:p>
            <w:pPr>
              <w:pStyle w:val="Tabla8"/>
              <w:jc w:val="left"/>
            </w:pPr>
            <w:r>
              <w:t xml:space="preserve">Promotor usuario</w:t>
            </w:r>
          </w:p>
        </w:tc>
        <w:tc>
          <w:tcPr/>
          <w:p>
            <w:pPr>
              <w:pStyle w:val="Tabla8"/>
              <w:jc w:val="left"/>
            </w:pPr>
            <w:r>
              <w:t xml:space="preserve">Funcionario designado por un comité de gestión del riesgo</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Alto</w:t>
            </w:r>
          </w:p>
        </w:tc>
        <w:tc>
          <w:tcPr/>
          <w:p>
            <w:pPr>
              <w:pStyle w:val="Tabla8"/>
              <w:jc w:val="left"/>
            </w:pPr>
            <w:r>
              <w:t xml:space="preserve">Medio</w:t>
            </w:r>
          </w:p>
        </w:tc>
        <w:tc>
          <w:tcPr/>
          <w:p>
            <w:pPr>
              <w:pStyle w:val="Tabla8"/>
              <w:jc w:val="left"/>
            </w:pPr>
            <w:r>
              <w:t xml:space="preserve">Gestión del riesgo y protocolos de alerta</w:t>
            </w:r>
          </w:p>
        </w:tc>
      </w:tr>
      <w:tr>
        <w:trPr>
          <w:cantSplit/>
        </w:trPr>
        <w:tc>
          <w:tcPr/>
          <w:p>
            <w:pPr>
              <w:pStyle w:val="Tabla8"/>
              <w:jc w:val="left"/>
            </w:pPr>
            <w:r>
              <w:t xml:space="preserve">Facilitador</w:t>
            </w:r>
          </w:p>
        </w:tc>
        <w:tc>
          <w:tcPr/>
          <w:p>
            <w:pPr>
              <w:pStyle w:val="Tabla8"/>
              <w:jc w:val="left"/>
            </w:pPr>
            <w:r>
              <w:t xml:space="preserve">Coordinación de apropiación social</w:t>
            </w:r>
          </w:p>
        </w:tc>
        <w:tc>
          <w:tcPr/>
          <w:p>
            <w:pPr>
              <w:pStyle w:val="Tabla8"/>
              <w:jc w:val="left"/>
            </w:pPr>
            <w:r>
              <w:t xml:space="preserve">[DATO_USUARIO: nombre y organización]</w:t>
            </w:r>
          </w:p>
        </w:tc>
        <w:tc>
          <w:tcPr/>
          <w:p>
            <w:pPr>
              <w:pStyle w:val="Tabla8"/>
              <w:jc w:val="left"/>
            </w:pPr>
            <w:r>
              <w:t xml:space="preserve">Bajo</w:t>
            </w:r>
          </w:p>
        </w:tc>
        <w:tc>
          <w:tcPr/>
          <w:p>
            <w:pPr>
              <w:pStyle w:val="Tabla8"/>
              <w:jc w:val="left"/>
            </w:pPr>
            <w:r>
              <w:t xml:space="preserve">Medio</w:t>
            </w:r>
          </w:p>
        </w:tc>
        <w:tc>
          <w:tcPr/>
          <w:p>
            <w:pPr>
              <w:pStyle w:val="Tabla8"/>
              <w:jc w:val="left"/>
            </w:pPr>
            <w:r>
              <w:t xml:space="preserve">Alto</w:t>
            </w:r>
          </w:p>
        </w:tc>
        <w:tc>
          <w:tcPr/>
          <w:p>
            <w:pPr>
              <w:pStyle w:val="Tabla8"/>
              <w:jc w:val="left"/>
            </w:pPr>
            <w:r>
              <w:t xml:space="preserve">Co-diseño y formación</w:t>
            </w:r>
          </w:p>
        </w:tc>
      </w:tr>
      <w:tr>
        <w:trPr>
          <w:cantSplit/>
        </w:trPr>
        <w:tc>
          <w:tcPr/>
          <w:p>
            <w:pPr>
              <w:pStyle w:val="Tabla8"/>
              <w:jc w:val="left"/>
            </w:pPr>
            <w:r>
              <w:t xml:space="preserve">Enlace de custodia</w:t>
            </w:r>
          </w:p>
        </w:tc>
        <w:tc>
          <w:tcPr/>
          <w:p>
            <w:pPr>
              <w:pStyle w:val="Tabla8"/>
              <w:jc w:val="left"/>
            </w:pPr>
            <w:r>
              <w:t xml:space="preserve">Profesional de convenios y custodia</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Convenios y competencia jurídica</w:t>
            </w:r>
          </w:p>
        </w:tc>
      </w:tr>
      <w:tr>
        <w:trPr>
          <w:cantSplit/>
        </w:trPr>
        <w:tc>
          <w:tcPr/>
          <w:p>
            <w:pPr>
              <w:pStyle w:val="Tabla8"/>
              <w:jc w:val="left"/>
            </w:pPr>
            <w:r>
              <w:t xml:space="preserve">Aliado tecnológico</w:t>
            </w:r>
          </w:p>
        </w:tc>
        <w:tc>
          <w:tcPr/>
          <w:p>
            <w:pPr>
              <w:pStyle w:val="Tabla8"/>
              <w:jc w:val="left"/>
            </w:pPr>
            <w:r>
              <w:t xml:space="preserve">Representante de la empresa tecnológica</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Plataforma en la nube y operación</w:t>
            </w:r>
          </w:p>
        </w:tc>
      </w:tr>
    </w:tbl>
    <w:p>
      <w:pPr>
        <w:pStyle w:val="TablaNota"/>
      </w:pPr>
      <w:r>
        <w:rPr>
          <w:i/>
          <w:iCs/>
        </w:rPr>
        <w:t xml:space="preserve">Nota.</w:t>
      </w:r>
      <w:r>
        <w:t xml:space="preserve"> </w:t>
      </w:r>
      <w:r>
        <w:t xml:space="preserve">Elaboración propia con los roles del presupuesto de personal (P03 a P14) y de la alianza supuesta. Naturaleza: PROPUESTO para los niveles; SUPUESTO para la alianza. IES: institución de educación superior. Nombres y organizaciones: [DATO_USUARIO].</w:t>
      </w:r>
    </w:p>
    <w:p>
      <w:pPr>
        <w:pStyle w:val="BodyText"/>
      </w:pPr>
      <w:r>
        <w:t xml:space="preserve">La coalición reúne siete roles con funciones complementarias. El patrocinador combina poder y credibilidad. Los tres promotores aportan experiencia en medición, en red y en uso. El facilitador aporta liderazgo con poca autoridad formal, un perfil adecuado para el co-diseño. El enlace de custodia y el aliado tecnológico cubren los dos puntos donde el proyecto depende de terceros: la continuidad y la plataforma.</w:t>
      </w:r>
    </w:p>
    <w:p>
      <w:pPr>
        <w:pStyle w:val="BodyText"/>
      </w:pPr>
      <w:r>
        <w:t xml:space="preserve">Tres reglas operan la coalición. Primera, los siete roles se designan por escrito en el acta de inicio (H0, mes 2). Segunda, la coalición revisa los supuestos críticos SC-1 a SC-4 en una sesión trimestral, como se detalla en la sección E3. Tercera, la evaluación de poder, legitimidad y urgencia de las alcaldías, las constructoras y los operarios se completa con evidencia durante el tramo 1. Hoy es NO_EVALUADO. Hasta entonces, el proyecto no clasifica a esos actores como aliados ni como obstáculos.</w:t>
      </w:r>
    </w:p>
    <w:bookmarkEnd w:id="769"/>
    <w:bookmarkEnd w:id="770"/>
    <w:bookmarkStart w:id="779" w:name="X257088da1f13bf00c44a1ab95fff67d6f9d61e5"/>
    <w:p>
      <w:pPr>
        <w:pStyle w:val="Heading2"/>
      </w:pPr>
      <w:r>
        <w:t xml:space="preserve">E3 Aprendizaje organizacional según Argyris</w:t>
      </w:r>
    </w:p>
    <w:bookmarkStart w:id="774" w:name="_Toc00900330"/>
    <w:p>
      <w:pPr>
        <w:pStyle w:val="Heading3"/>
      </w:pPr>
      <w:r>
        <w:t xml:space="preserve">E3.1 Bucle simple y bucle doble</w:t>
      </w:r>
    </w:p>
    <w:p>
      <w:pPr>
        <w:pStyle w:val="FirstParagraph"/>
      </w:pPr>
      <w:r>
        <w:t xml:space="preserve">Argyris (1999) distingue dos tipos de aprendizaje organizacional. En el bucle simple, la organización detecta un error y corrige la acción sin cuestionar los supuestos que la guían. La pregunta que lo gobierna es si la acción se ejecuta bien. En el bucle doble, la organización cuestiona y modifica los supuestos, las normas y los objetivos. La pregunta que lo gobierna es si la acción es la correcta. La distinción se sustenta en la diferencia entre la teoría que una organización declara y la teoría que de hecho aplica (Argyris y Schön, 1978). La brecha entre ambas explica por qué una organización repite errores que sus miembros reconocen.</w:t>
      </w:r>
    </w:p>
    <w:p>
      <w:pPr>
        <w:pStyle w:val="BodyText"/>
      </w:pPr>
      <w:r>
        <w:t xml:space="preserve">El debate se concentra en cuándo basta el bucle simple. Una posición fundamenta la mejora continua en ciclos de planificación, ejecución, verificación y ajuste sobre procesos estables (Deming, 1986). Schön y Rein (1994) sostienen que las controversias persistentes nacen de marcos en conflicto y no de falta de información. Corregir la acción no las resuelve. Los problemas mal estructurados carecen de un criterio definido para probar una solución (Simon, 1973). Los sistemas complicados, donde la receta se repite, difieren de los complejos, donde cada caso es distinto (Glouberman y Zimmerman, 2002).</w:t>
      </w:r>
    </w:p>
    <w:p>
      <w:pPr>
        <w:pStyle w:val="BodyText"/>
      </w:pPr>
      <w:r>
        <w:t xml:space="preserve">El proyecto contiene los dos tipos de sistema. La sección 4.4-MDR.8 clasifica la medición como COMPLICADO y la adopción y la custodia como COMPLEJO. La medición admite el bucle simple. El error de los nodos se compara cada mes con la referencia y se corrige con un nuevo ciclo de calibración. La adopción y la custodia exigen el bucle doble, porque los supuestos SC-3 y SC-4 pueden resultar falsos aunque la medición funcione. La sección 4.4-MDR.11 lo establece así. Cuando los datos contradicen un supuesto, se revisan el supuesto, las metas y la teoría en uso. Cada revisión se registra como una versión nueva de la teoría del cambio.</w:t>
      </w:r>
    </w:p>
    <w:p>
      <w:pPr>
        <w:pStyle w:val="BodyText"/>
      </w:pPr>
      <w:r>
        <w:t xml:space="preserve">La decisión metodológica es ligar cada bucle a un momento del cronograma. El bucle simple opera cada mes con los indicadores de resultado PERS-R01 a PERS-R06. El bucle doble opera en tres instancias. Son las compuertas C1 (mes 12) y C2 (mes 17), la sesión trimestral de supuestos y la evaluación externa.</w:t>
      </w:r>
    </w:p>
    <w:p>
      <w:pPr>
        <w:pStyle w:val="BodyText"/>
      </w:pPr>
      <w:r>
        <w:t xml:space="preserve">La Figura X4.5 representa los dos bucles y su vínculo con las compuertas.</w:t>
      </w:r>
    </w:p>
    <w:p>
      <w:pPr>
        <w:pStyle w:val="FiguraRotulo"/>
      </w:pPr>
      <w:bookmarkStart w:id="9560" w:name="rot_Figura_X4_5"/>
      <w:r>
        <w:rPr>
          <w:b/>
          <w:bCs/>
        </w:rPr>
        <w:t xml:space="preserve">Figura X4.5</w:t>
      </w:r>
      <w:bookmarkEnd w:id="9560"/>
    </w:p>
    <w:p>
      <w:pPr>
        <w:pStyle w:val="FiguraTitulo"/>
      </w:pPr>
      <w:r>
        <w:rPr>
          <w:i/>
          <w:iCs/>
        </w:rPr>
        <w:t xml:space="preserve">El bucle simple corrige la acción cada mes y el bucle doble revisa los supuestos en las compuertas</w:t>
      </w:r>
    </w:p>
    <w:p>
      <w:pPr>
        <w:pStyle w:val="BodyText"/>
      </w:pPr>
      <w:r>
        <w:drawing>
          <wp:inline>
            <wp:extent cx="5579999" cy="3235249"/>
            <wp:effectExtent b="0" l="0" r="0" t="0"/>
            <wp:docPr descr="" title="" id="772" name="Picture"/>
            <a:graphic>
              <a:graphicData uri="http://schemas.openxmlformats.org/drawingml/2006/picture">
                <pic:pic>
                  <pic:nvPicPr>
                    <pic:cNvPr descr="/tmp/claude-0/-home-user-docs/ddf38714-2a7e-502b-92b4-1008e2832422/scratchpad/proy/figs/out/cX4_f05.png" id="773" name="Picture"/>
                    <pic:cNvPicPr>
                      <a:picLocks noChangeArrowheads="1" noChangeAspect="1"/>
                    </pic:cNvPicPr>
                  </pic:nvPicPr>
                  <pic:blipFill>
                    <a:blip r:embed="rId771"/>
                    <a:stretch>
                      <a:fillRect/>
                    </a:stretch>
                  </pic:blipFill>
                  <pic:spPr bwMode="auto">
                    <a:xfrm>
                      <a:off x="0" y="0"/>
                      <a:ext cx="5579999" cy="323524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Argyris y Schön (1978) y de la sección 4.4-MDR.11; compuertas y evaluaciones externas del cronograma y del presupuesto (S07). Diagrama de cajas y flechas; matplotlib, tamaño 10 × 7 pulgadas; sin datos numéricos. Script: cX4_figuras.py; sin semilla aleatoria.</w:t>
      </w:r>
    </w:p>
    <w:p>
      <w:pPr>
        <w:pStyle w:val="BodyText"/>
      </w:pPr>
      <w:r>
        <w:t xml:space="preserve">La figura muestra que ambos bucles comparten la misma acción y el mismo resultado. Se diferencian en lo que cuestionan. El bucle simple modifica la acción cuando el desvío supera el umbral. El bucle doble modifica los supuestos SC-1 a SC-4 cuando el desvío persiste. Esa distinción evita un error frecuente: continuar la recalibración de nodos cuando el problema reside en la hipótesis de diseño.</w:t>
      </w:r>
    </w:p>
    <w:bookmarkEnd w:id="774"/>
    <w:bookmarkStart w:id="775" w:name="X413d7e17be6db8628ab8cb14e344ae5d3a4b779"/>
    <w:p>
      <w:pPr>
        <w:pStyle w:val="Heading3"/>
      </w:pPr>
      <w:r>
        <w:t xml:space="preserve">E3.2 Mecanismos de aprendizaje del proyecto</w:t>
      </w:r>
    </w:p>
    <w:p>
      <w:pPr>
        <w:pStyle w:val="FirstParagraph"/>
      </w:pPr>
      <w:r>
        <w:t xml:space="preserve">La Tabla X4.7 enumera los mecanismos de aprendizaje por tipo de bucle. Cada mecanismo incluye una frecuencia, participantes, un entregable y un vínculo con el cronograma. Las frecuencias son PROPUESTO.</w:t>
      </w:r>
    </w:p>
    <w:p>
      <w:pPr>
        <w:pStyle w:val="TablaRotulo"/>
      </w:pPr>
      <w:bookmarkStart w:id="9426" w:name="rot_Tabla_X4_7"/>
      <w:r>
        <w:rPr>
          <w:b/>
          <w:bCs/>
        </w:rPr>
        <w:t xml:space="preserve">Tabla X4.7</w:t>
      </w:r>
      <w:bookmarkEnd w:id="9426"/>
    </w:p>
    <w:p>
      <w:pPr>
        <w:pStyle w:val="TablaTitulo"/>
      </w:pPr>
      <w:r>
        <w:rPr>
          <w:i/>
          <w:iCs/>
        </w:rPr>
        <w:t xml:space="preserve">Mecanismos de aprendizaje por tipo de bucle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726"/>
        <w:gridCol w:w="924"/>
        <w:gridCol w:w="1320"/>
        <w:gridCol w:w="1056"/>
        <w:gridCol w:w="1320"/>
        <w:gridCol w:w="1452"/>
        <w:gridCol w:w="1122"/>
      </w:tblGrid>
      <w:tr>
        <w:trPr>
          <w:cantSplit/>
          <w:tblHeader/>
        </w:trPr>
        <w:tc>
          <w:tcPr>
            <w:shd w:val="clear" w:color="auto" w:fill="00B050"/>
          </w:tcPr>
          <w:p>
            <w:pPr>
              <w:pStyle w:val="Tabla8"/>
              <w:jc w:val="center"/>
            </w:pPr>
            <w:r>
              <w:rPr>
                <w:b/>
                <w:color w:val="FFFFFF"/>
              </w:rPr>
              <w:t xml:space="preserve">Tipo de bucle</w:t>
            </w:r>
          </w:p>
        </w:tc>
        <w:tc>
          <w:tcPr>
            <w:shd w:val="clear" w:color="auto" w:fill="00B050"/>
          </w:tcPr>
          <w:p>
            <w:pPr>
              <w:pStyle w:val="Tabla8"/>
              <w:jc w:val="center"/>
            </w:pPr>
            <w:r>
              <w:rPr>
                <w:b/>
                <w:color w:val="FFFFFF"/>
              </w:rPr>
              <w:t xml:space="preserve">Pregunta clave</w:t>
            </w:r>
          </w:p>
        </w:tc>
        <w:tc>
          <w:tcPr>
            <w:shd w:val="clear" w:color="auto" w:fill="00B050"/>
          </w:tcPr>
          <w:p>
            <w:pPr>
              <w:pStyle w:val="Tabla8"/>
              <w:jc w:val="center"/>
            </w:pPr>
            <w:r>
              <w:rPr>
                <w:b/>
                <w:color w:val="FFFFFF"/>
              </w:rPr>
              <w:t xml:space="preserve">Mecanismo</w:t>
            </w:r>
          </w:p>
        </w:tc>
        <w:tc>
          <w:tcPr>
            <w:shd w:val="clear" w:color="auto" w:fill="00B050"/>
          </w:tcPr>
          <w:p>
            <w:pPr>
              <w:pStyle w:val="Tabla8"/>
              <w:jc w:val="center"/>
            </w:pPr>
            <w:r>
              <w:rPr>
                <w:b/>
                <w:color w:val="FFFFFF"/>
              </w:rPr>
              <w:t xml:space="preserve">Frecuencia</w:t>
            </w:r>
          </w:p>
        </w:tc>
        <w:tc>
          <w:tcPr>
            <w:shd w:val="clear" w:color="auto" w:fill="00B050"/>
          </w:tcPr>
          <w:p>
            <w:pPr>
              <w:pStyle w:val="Tabla8"/>
              <w:jc w:val="center"/>
            </w:pPr>
            <w:r>
              <w:rPr>
                <w:b/>
                <w:color w:val="FFFFFF"/>
              </w:rPr>
              <w:t xml:space="preserve">Participantes</w:t>
            </w:r>
          </w:p>
        </w:tc>
        <w:tc>
          <w:tcPr>
            <w:shd w:val="clear" w:color="auto" w:fill="00B050"/>
          </w:tcPr>
          <w:p>
            <w:pPr>
              <w:pStyle w:val="Tabla8"/>
              <w:jc w:val="center"/>
            </w:pPr>
            <w:r>
              <w:rPr>
                <w:b/>
                <w:color w:val="FFFFFF"/>
              </w:rPr>
              <w:t xml:space="preserve">Entregable</w:t>
            </w:r>
          </w:p>
        </w:tc>
        <w:tc>
          <w:tcPr>
            <w:shd w:val="clear" w:color="auto" w:fill="00B050"/>
          </w:tcPr>
          <w:p>
            <w:pPr>
              <w:pStyle w:val="Tabla8"/>
              <w:jc w:val="center"/>
            </w:pPr>
            <w:r>
              <w:rPr>
                <w:b/>
                <w:color w:val="FFFFFF"/>
              </w:rPr>
              <w:t xml:space="preserve">Vínculo con el cronograma</w:t>
            </w:r>
          </w:p>
        </w:tc>
      </w:tr>
      <w:tr>
        <w:trPr>
          <w:cantSplit/>
        </w:trPr>
        <w:tc>
          <w:tcPr/>
          <w:p>
            <w:pPr>
              <w:pStyle w:val="Tabla8"/>
              <w:jc w:val="left"/>
            </w:pPr>
            <w:r>
              <w:t xml:space="preserve">Simple</w:t>
            </w:r>
          </w:p>
        </w:tc>
        <w:tc>
          <w:tcPr/>
          <w:p>
            <w:pPr>
              <w:pStyle w:val="Tabla8"/>
              <w:jc w:val="left"/>
            </w:pPr>
            <w:r>
              <w:t xml:space="preserve">¿La acción se ejecuta bien?</w:t>
            </w:r>
          </w:p>
        </w:tc>
        <w:tc>
          <w:tcPr/>
          <w:p>
            <w:pPr>
              <w:pStyle w:val="Tabla8"/>
              <w:jc w:val="left"/>
            </w:pPr>
            <w:r>
              <w:t xml:space="preserve">Retrospectiva del equipo técnico</w:t>
            </w:r>
          </w:p>
        </w:tc>
        <w:tc>
          <w:tcPr/>
          <w:p>
            <w:pPr>
              <w:pStyle w:val="Tabla8"/>
              <w:jc w:val="left"/>
            </w:pPr>
            <w:r>
              <w:t xml:space="preserve">Mensual</w:t>
            </w:r>
          </w:p>
        </w:tc>
        <w:tc>
          <w:tcPr/>
          <w:p>
            <w:pPr>
              <w:pStyle w:val="Tabla8"/>
              <w:jc w:val="left"/>
            </w:pPr>
            <w:r>
              <w:t xml:space="preserve">Especialista en metrología, científico de datos e ingenieros</w:t>
            </w:r>
          </w:p>
        </w:tc>
        <w:tc>
          <w:tcPr/>
          <w:p>
            <w:pPr>
              <w:pStyle w:val="Tabla8"/>
              <w:jc w:val="left"/>
            </w:pPr>
            <w:r>
              <w:t xml:space="preserve">Acciones de mejora registradas</w:t>
            </w:r>
          </w:p>
        </w:tc>
        <w:tc>
          <w:tcPr/>
          <w:p>
            <w:pPr>
              <w:pStyle w:val="Tabla8"/>
              <w:jc w:val="left"/>
            </w:pPr>
            <w:r>
              <w:t xml:space="preserve">Cadencia de los indicadores PERS-R</w:t>
            </w:r>
          </w:p>
        </w:tc>
      </w:tr>
      <w:tr>
        <w:trPr>
          <w:cantSplit/>
        </w:trPr>
        <w:tc>
          <w:tcPr/>
          <w:p>
            <w:pPr>
              <w:pStyle w:val="Tabla8"/>
              <w:jc w:val="left"/>
            </w:pPr>
            <w:r>
              <w:t xml:space="preserve">Simple</w:t>
            </w:r>
          </w:p>
        </w:tc>
        <w:tc>
          <w:tcPr/>
          <w:p>
            <w:pPr>
              <w:pStyle w:val="Tabla8"/>
              <w:jc w:val="left"/>
            </w:pPr>
            <w:r>
              <w:t xml:space="preserve">¿La acción se ejecuta bien?</w:t>
            </w:r>
          </w:p>
        </w:tc>
        <w:tc>
          <w:tcPr/>
          <w:p>
            <w:pPr>
              <w:pStyle w:val="Tabla8"/>
              <w:jc w:val="left"/>
            </w:pPr>
            <w:r>
              <w:t xml:space="preserve">Revisión posterior a la acción (AAR)</w:t>
            </w:r>
          </w:p>
        </w:tc>
        <w:tc>
          <w:tcPr/>
          <w:p>
            <w:pPr>
              <w:pStyle w:val="Tabla8"/>
              <w:jc w:val="left"/>
            </w:pPr>
            <w:r>
              <w:t xml:space="preserve">Tras cada hito H0 a H8</w:t>
            </w:r>
          </w:p>
        </w:tc>
        <w:tc>
          <w:tcPr/>
          <w:p>
            <w:pPr>
              <w:pStyle w:val="Tabla8"/>
              <w:jc w:val="left"/>
            </w:pPr>
            <w:r>
              <w:t xml:space="preserve">Equipo ampliado</w:t>
            </w:r>
          </w:p>
        </w:tc>
        <w:tc>
          <w:tcPr/>
          <w:p>
            <w:pPr>
              <w:pStyle w:val="Tabla8"/>
              <w:jc w:val="left"/>
            </w:pPr>
            <w:r>
              <w:t xml:space="preserve">Lecciones aprendidas</w:t>
            </w:r>
          </w:p>
        </w:tc>
        <w:tc>
          <w:tcPr/>
          <w:p>
            <w:pPr>
              <w:pStyle w:val="Tabla8"/>
              <w:jc w:val="left"/>
            </w:pPr>
            <w:r>
              <w:t xml:space="preserve">Hitos H0 a H8</w:t>
            </w:r>
          </w:p>
        </w:tc>
      </w:tr>
      <w:tr>
        <w:trPr>
          <w:cantSplit/>
        </w:trPr>
        <w:tc>
          <w:tcPr/>
          <w:p>
            <w:pPr>
              <w:pStyle w:val="Tabla8"/>
              <w:jc w:val="left"/>
            </w:pPr>
            <w:r>
              <w:t xml:space="preserve">Simple</w:t>
            </w:r>
          </w:p>
        </w:tc>
        <w:tc>
          <w:tcPr/>
          <w:p>
            <w:pPr>
              <w:pStyle w:val="Tabla8"/>
              <w:jc w:val="left"/>
            </w:pPr>
            <w:r>
              <w:t xml:space="preserve">¿La acción se ejecuta bien?</w:t>
            </w:r>
          </w:p>
        </w:tc>
        <w:tc>
          <w:tcPr/>
          <w:p>
            <w:pPr>
              <w:pStyle w:val="Tabla8"/>
              <w:jc w:val="left"/>
            </w:pPr>
            <w:r>
              <w:t xml:space="preserve">Revisión de indicadores</w:t>
            </w:r>
          </w:p>
        </w:tc>
        <w:tc>
          <w:tcPr/>
          <w:p>
            <w:pPr>
              <w:pStyle w:val="Tabla8"/>
              <w:jc w:val="left"/>
            </w:pPr>
            <w:r>
              <w:t xml:space="preserve">Mensual</w:t>
            </w:r>
          </w:p>
        </w:tc>
        <w:tc>
          <w:tcPr/>
          <w:p>
            <w:pPr>
              <w:pStyle w:val="Tabla8"/>
              <w:jc w:val="left"/>
            </w:pPr>
            <w:r>
              <w:t xml:space="preserve">Gerencia de proyecto</w:t>
            </w:r>
          </w:p>
        </w:tc>
        <w:tc>
          <w:tcPr/>
          <w:p>
            <w:pPr>
              <w:pStyle w:val="Tabla8"/>
              <w:jc w:val="left"/>
            </w:pPr>
            <w:r>
              <w:t xml:space="preserve">Informe de avance</w:t>
            </w:r>
          </w:p>
        </w:tc>
        <w:tc>
          <w:tcPr/>
          <w:p>
            <w:pPr>
              <w:pStyle w:val="Tabla8"/>
              <w:jc w:val="left"/>
            </w:pPr>
            <w:r>
              <w:t xml:space="preserve">PERS-R01 a PERS-R06</w:t>
            </w:r>
          </w:p>
        </w:tc>
      </w:tr>
      <w:tr>
        <w:trPr>
          <w:cantSplit/>
        </w:trPr>
        <w:tc>
          <w:tcPr/>
          <w:p>
            <w:pPr>
              <w:pStyle w:val="Tabla8"/>
              <w:jc w:val="left"/>
            </w:pPr>
            <w:r>
              <w:t xml:space="preserve">Doble</w:t>
            </w:r>
          </w:p>
        </w:tc>
        <w:tc>
          <w:tcPr/>
          <w:p>
            <w:pPr>
              <w:pStyle w:val="Tabla8"/>
              <w:jc w:val="left"/>
            </w:pPr>
            <w:r>
              <w:t xml:space="preserve">¿La acción es la correcta?</w:t>
            </w:r>
          </w:p>
        </w:tc>
        <w:tc>
          <w:tcPr/>
          <w:p>
            <w:pPr>
              <w:pStyle w:val="Tabla8"/>
              <w:jc w:val="left"/>
            </w:pPr>
            <w:r>
              <w:t xml:space="preserve">Revisión de compuerta</w:t>
            </w:r>
          </w:p>
        </w:tc>
        <w:tc>
          <w:tcPr/>
          <w:p>
            <w:pPr>
              <w:pStyle w:val="Tabla8"/>
              <w:jc w:val="left"/>
            </w:pPr>
            <w:r>
              <w:t xml:space="preserve">Meses 12, 17 y 24</w:t>
            </w:r>
          </w:p>
        </w:tc>
        <w:tc>
          <w:tcPr/>
          <w:p>
            <w:pPr>
              <w:pStyle w:val="Tabla8"/>
              <w:jc w:val="left"/>
            </w:pPr>
            <w:r>
              <w:t xml:space="preserve">Coalición guía y comité directivo</w:t>
            </w:r>
          </w:p>
        </w:tc>
        <w:tc>
          <w:tcPr/>
          <w:p>
            <w:pPr>
              <w:pStyle w:val="Tabla8"/>
              <w:jc w:val="left"/>
            </w:pPr>
            <w:r>
              <w:t xml:space="preserve">Decisión de perseverar, ajustar o detener</w:t>
            </w:r>
          </w:p>
        </w:tc>
        <w:tc>
          <w:tcPr/>
          <w:p>
            <w:pPr>
              <w:pStyle w:val="Tabla8"/>
              <w:jc w:val="left"/>
            </w:pPr>
            <w:r>
              <w:t xml:space="preserve">Compuertas C1, C2 y C3</w:t>
            </w:r>
          </w:p>
        </w:tc>
      </w:tr>
      <w:tr>
        <w:trPr>
          <w:cantSplit/>
        </w:trPr>
        <w:tc>
          <w:tcPr/>
          <w:p>
            <w:pPr>
              <w:pStyle w:val="Tabla8"/>
              <w:jc w:val="left"/>
            </w:pPr>
            <w:r>
              <w:t xml:space="preserve">Doble</w:t>
            </w:r>
          </w:p>
        </w:tc>
        <w:tc>
          <w:tcPr/>
          <w:p>
            <w:pPr>
              <w:pStyle w:val="Tabla8"/>
              <w:jc w:val="left"/>
            </w:pPr>
            <w:r>
              <w:t xml:space="preserve">¿La acción es la correcta?</w:t>
            </w:r>
          </w:p>
        </w:tc>
        <w:tc>
          <w:tcPr/>
          <w:p>
            <w:pPr>
              <w:pStyle w:val="Tabla8"/>
              <w:jc w:val="left"/>
            </w:pPr>
            <w:r>
              <w:t xml:space="preserve">Sesión de reflexión sobre los supuestos SC-1 a SC-4</w:t>
            </w:r>
          </w:p>
        </w:tc>
        <w:tc>
          <w:tcPr/>
          <w:p>
            <w:pPr>
              <w:pStyle w:val="Tabla8"/>
              <w:jc w:val="left"/>
            </w:pPr>
            <w:r>
              <w:t xml:space="preserve">Trimestral</w:t>
            </w:r>
          </w:p>
        </w:tc>
        <w:tc>
          <w:tcPr/>
          <w:p>
            <w:pPr>
              <w:pStyle w:val="Tabla8"/>
              <w:jc w:val="left"/>
            </w:pPr>
            <w:r>
              <w:t xml:space="preserve">Coalición guía</w:t>
            </w:r>
          </w:p>
        </w:tc>
        <w:tc>
          <w:tcPr/>
          <w:p>
            <w:pPr>
              <w:pStyle w:val="Tabla8"/>
              <w:jc w:val="left"/>
            </w:pPr>
            <w:r>
              <w:t xml:space="preserve">Nueva versión de la teoría del cambio</w:t>
            </w:r>
          </w:p>
        </w:tc>
        <w:tc>
          <w:tcPr/>
          <w:p>
            <w:pPr>
              <w:pStyle w:val="Tabla8"/>
              <w:jc w:val="left"/>
            </w:pPr>
            <w:r>
              <w:t xml:space="preserve">Revisión trimestral de 4.4-MDR.11</w:t>
            </w:r>
          </w:p>
        </w:tc>
      </w:tr>
      <w:tr>
        <w:trPr>
          <w:cantSplit/>
        </w:trPr>
        <w:tc>
          <w:tcPr/>
          <w:p>
            <w:pPr>
              <w:pStyle w:val="Tabla8"/>
              <w:jc w:val="left"/>
            </w:pPr>
            <w:r>
              <w:t xml:space="preserve">Doble</w:t>
            </w:r>
          </w:p>
        </w:tc>
        <w:tc>
          <w:tcPr/>
          <w:p>
            <w:pPr>
              <w:pStyle w:val="Tabla8"/>
              <w:jc w:val="left"/>
            </w:pPr>
            <w:r>
              <w:t xml:space="preserve">¿La acción es la correcta?</w:t>
            </w:r>
          </w:p>
        </w:tc>
        <w:tc>
          <w:tcPr/>
          <w:p>
            <w:pPr>
              <w:pStyle w:val="Tabla8"/>
              <w:jc w:val="left"/>
            </w:pPr>
            <w:r>
              <w:t xml:space="preserve">Evaluación externa independiente</w:t>
            </w:r>
          </w:p>
        </w:tc>
        <w:tc>
          <w:tcPr/>
          <w:p>
            <w:pPr>
              <w:pStyle w:val="Tabla8"/>
              <w:jc w:val="left"/>
            </w:pPr>
            <w:r>
              <w:t xml:space="preserve">Meses 12 y 24</w:t>
            </w:r>
          </w:p>
        </w:tc>
        <w:tc>
          <w:tcPr/>
          <w:p>
            <w:pPr>
              <w:pStyle w:val="Tabla8"/>
              <w:jc w:val="left"/>
            </w:pPr>
            <w:r>
              <w:t xml:space="preserve">Evaluación externa</w:t>
            </w:r>
          </w:p>
        </w:tc>
        <w:tc>
          <w:tcPr/>
          <w:p>
            <w:pPr>
              <w:pStyle w:val="Tabla8"/>
              <w:jc w:val="left"/>
            </w:pPr>
            <w:r>
              <w:t xml:space="preserve">Recomendaciones estratégicas</w:t>
            </w:r>
          </w:p>
        </w:tc>
        <w:tc>
          <w:tcPr/>
          <w:p>
            <w:pPr>
              <w:pStyle w:val="Tabla8"/>
              <w:jc w:val="left"/>
            </w:pPr>
            <w:r>
              <w:t xml:space="preserve">Servicio S07; hito H7 en el mes 23</w:t>
            </w:r>
          </w:p>
        </w:tc>
      </w:tr>
    </w:tbl>
    <w:p>
      <w:pPr>
        <w:pStyle w:val="TablaNota"/>
      </w:pPr>
      <w:r>
        <w:rPr>
          <w:i/>
          <w:iCs/>
        </w:rPr>
        <w:t xml:space="preserve">Nota.</w:t>
      </w:r>
      <w:r>
        <w:t xml:space="preserve"> </w:t>
      </w:r>
      <w:r>
        <w:t xml:space="preserve">Elaboración propia con datos del cronograma (hitos y compuertas), del presupuesto (S07) y de 4.4-MDR.11. Naturaleza: PROPUESTO. AAR: revisión posterior a la acción, por sus siglas en inglés.</w:t>
      </w:r>
    </w:p>
    <w:p>
      <w:pPr>
        <w:pStyle w:val="BodyText"/>
      </w:pPr>
      <w:r>
        <w:t xml:space="preserve">La tabla muestra tres mecanismos de bucle simple y tres de bucle doble, con igual peso. Los primeros son frecuentes y baratos. Los segundos son escasos y decisivos. La evaluación externa cumple una función adicional. Aporta la mirada independiente que 4.4-MDR.9 declara ausente, porque una sola instancia analítica ejecutó todas las funciones de esa sección.</w:t>
      </w:r>
    </w:p>
    <w:p>
      <w:pPr>
        <w:pStyle w:val="BodyText"/>
      </w:pPr>
      <w:r>
        <w:t xml:space="preserve">Dos posiciones orientan el diseño de la evaluación. Pawson y Tilley (1997) proponen la evaluación realista, que pregunta qué funciona, para quién y en qué contexto. Patton (2011) propone la evaluación de desarrollo, que acompaña la innovación en contextos complejos y apoya su adaptación. El ciclo de construcción, medición y aprendizaje añade la decisión de perseverar o girar (Ries, 2011). La sección 4.4-MDR.11 elige una ruta por pregunta. Usa el diseño contrafactual para el efecto de la corrección. Usa la evaluación realista para la adopción. Usa el análisis de contribución para la protección de personas. El proyecto añade a esa ruta la lógica de desarrollo. Revisa cada trimestre la adopción y la custodia, y revisa cada año la medición, con corte en el mes 12.</w:t>
      </w:r>
    </w:p>
    <w:p>
      <w:pPr>
        <w:pStyle w:val="BodyText"/>
      </w:pPr>
      <w:r>
        <w:t xml:space="preserve">La consecuencia es una agenda concreta. El equipo realiza 24 retrospectivas mensuales y nueve revisiones posteriores a la acción, una por hito. La coalición realiza ocho sesiones trimestrales de supuestos en 24 meses (CALCULADO a partir de la cadencia propuesta). La evaluación externa revisa el proyecto dos veces.</w:t>
      </w:r>
    </w:p>
    <w:bookmarkEnd w:id="775"/>
    <w:bookmarkStart w:id="776" w:name="_Toc00900331"/>
    <w:p>
      <w:pPr>
        <w:pStyle w:val="Heading3"/>
      </w:pPr>
      <w:r>
        <w:t xml:space="preserve">E3.3 Preguntas de doble bucle</w:t>
      </w:r>
    </w:p>
    <w:p>
      <w:pPr>
        <w:pStyle w:val="FirstParagraph"/>
      </w:pPr>
      <w:r>
        <w:t xml:space="preserve">Las preguntas de doble bucle examinan el marco del proyecto y no su ejecución. Schön y Rein (1994) explican que una controversia persistente indica marcos en conflicto. Una posición contraria sostiene que quien decide con información limitada busca una solución satisfactoria y no la mejor (Simon, 1955). Más información reduce entonces la disputa. Ambas posiciones influyen en el proyecto. Cuando falta un dato, la solución es medir. Cuando dos actores leen el mismo dato de forma distinta, la solución es revisar el marco.</w:t>
      </w:r>
    </w:p>
    <w:p>
      <w:pPr>
        <w:pStyle w:val="BodyText"/>
      </w:pPr>
      <w:r>
        <w:t xml:space="preserve">Un caso concreto ilustra la primera pregunta. El expediente aportado por el usuario declaraba como causa raíz una arquitectura dependiente de la nube. Ninguna de las 15 variables del análisis causal la representa, por lo que el proyecto la trata como hipótesis rival (INFERIDO). La causa raíz adoptada es otra: la red de bajo costo opera sin protocolo de calibración colocalizada ni corrección en el borde con custodia institucional. La pregunta de problema obliga a revisar esa elección con los datos del tramo 1.</w:t>
      </w:r>
    </w:p>
    <w:p>
      <w:pPr>
        <w:pStyle w:val="BodyText"/>
      </w:pPr>
      <w:r>
        <w:t xml:space="preserve">La Tabla X4.8 reúne diez preguntas con su indicador de alerta y su acción. Siete provienen del esquema general de áreas y tres de los supuestos SC-2, SC-3 y SC-4.</w:t>
      </w:r>
    </w:p>
    <w:p>
      <w:pPr>
        <w:pStyle w:val="TablaRotulo"/>
      </w:pPr>
      <w:bookmarkStart w:id="9427" w:name="rot_Tabla_X4_8"/>
      <w:r>
        <w:rPr>
          <w:b/>
          <w:bCs/>
        </w:rPr>
        <w:t xml:space="preserve">Tabla X4.8</w:t>
      </w:r>
      <w:bookmarkEnd w:id="9427"/>
    </w:p>
    <w:p>
      <w:pPr>
        <w:pStyle w:val="TablaTitulo"/>
      </w:pPr>
      <w:r>
        <w:rPr>
          <w:i/>
          <w:iCs/>
        </w:rPr>
        <w:t xml:space="preserve">Preguntas para las revisiones de doble bucle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1584"/>
        <w:gridCol w:w="2046"/>
        <w:gridCol w:w="2574"/>
      </w:tblGrid>
      <w:tr>
        <w:trPr>
          <w:cantSplit/>
          <w:tblHeader/>
        </w:trPr>
        <w:tc>
          <w:tcPr>
            <w:shd w:val="clear" w:color="auto" w:fill="00B050"/>
          </w:tcPr>
          <w:p>
            <w:pPr>
              <w:pStyle w:val="Tabla9"/>
              <w:jc w:val="center"/>
            </w:pPr>
            <w:r>
              <w:rPr>
                <w:b/>
                <w:color w:val="FFFFFF"/>
              </w:rPr>
              <w:t xml:space="preserve">Área</w:t>
            </w:r>
          </w:p>
        </w:tc>
        <w:tc>
          <w:tcPr>
            <w:shd w:val="clear" w:color="auto" w:fill="00B050"/>
          </w:tcPr>
          <w:p>
            <w:pPr>
              <w:pStyle w:val="Tabla9"/>
              <w:jc w:val="center"/>
            </w:pPr>
            <w:r>
              <w:rPr>
                <w:b/>
                <w:color w:val="FFFFFF"/>
              </w:rPr>
              <w:t xml:space="preserve">Pregunta de doble bucle</w:t>
            </w:r>
          </w:p>
        </w:tc>
        <w:tc>
          <w:tcPr>
            <w:shd w:val="clear" w:color="auto" w:fill="00B050"/>
          </w:tcPr>
          <w:p>
            <w:pPr>
              <w:pStyle w:val="Tabla9"/>
              <w:jc w:val="center"/>
            </w:pPr>
            <w:r>
              <w:rPr>
                <w:b/>
                <w:color w:val="FFFFFF"/>
              </w:rPr>
              <w:t xml:space="preserve">Indicador de alerta</w:t>
            </w:r>
          </w:p>
        </w:tc>
        <w:tc>
          <w:tcPr>
            <w:shd w:val="clear" w:color="auto" w:fill="00B050"/>
          </w:tcPr>
          <w:p>
            <w:pPr>
              <w:pStyle w:val="Tabla9"/>
              <w:jc w:val="center"/>
            </w:pPr>
            <w:r>
              <w:rPr>
                <w:b/>
                <w:color w:val="FFFFFF"/>
              </w:rPr>
              <w:t xml:space="preserve">Acción si hay alerta</w:t>
            </w:r>
          </w:p>
        </w:tc>
      </w:tr>
      <w:tr>
        <w:trPr>
          <w:cantSplit/>
        </w:trPr>
        <w:tc>
          <w:tcPr/>
          <w:p>
            <w:pPr>
              <w:pStyle w:val="Tabla9"/>
              <w:jc w:val="left"/>
            </w:pPr>
            <w:r>
              <w:t xml:space="preserve">Problema</w:t>
            </w:r>
          </w:p>
        </w:tc>
        <w:tc>
          <w:tcPr/>
          <w:p>
            <w:pPr>
              <w:pStyle w:val="Tabla9"/>
              <w:jc w:val="left"/>
            </w:pPr>
            <w:r>
              <w:t xml:space="preserve">¿El error de medición sin verificar (V06) es el problema que los comités necesitan resolver?</w:t>
            </w:r>
          </w:p>
        </w:tc>
        <w:tc>
          <w:tcPr/>
          <w:p>
            <w:pPr>
              <w:pStyle w:val="Tabla9"/>
              <w:jc w:val="left"/>
            </w:pPr>
            <w:r>
              <w:t xml:space="preserve">La línea base del tramo 1 ya cumple R² ≥ 0,70 y NRMSE ≤ 30 % sin corrección, o los comités señalan otro problema principal</w:t>
            </w:r>
          </w:p>
        </w:tc>
        <w:tc>
          <w:tcPr/>
          <w:p>
            <w:pPr>
              <w:pStyle w:val="Tabla9"/>
              <w:jc w:val="left"/>
            </w:pPr>
            <w:r>
              <w:t xml:space="preserve">Volver a la caracterización con los comités y revisar la causa raíz frente a la hipótesis rival</w:t>
            </w:r>
          </w:p>
        </w:tc>
      </w:tr>
      <w:tr>
        <w:trPr>
          <w:cantSplit/>
        </w:trPr>
        <w:tc>
          <w:tcPr/>
          <w:p>
            <w:pPr>
              <w:pStyle w:val="Tabla9"/>
              <w:jc w:val="left"/>
            </w:pPr>
            <w:r>
              <w:t xml:space="preserve">Solución</w:t>
            </w:r>
          </w:p>
        </w:tc>
        <w:tc>
          <w:tcPr/>
          <w:p>
            <w:pPr>
              <w:pStyle w:val="Tabla9"/>
              <w:jc w:val="left"/>
            </w:pPr>
            <w:r>
              <w:t xml:space="preserve">¿La corrección en el gateway sigue siendo la solución más apropiada?</w:t>
            </w:r>
          </w:p>
        </w:tc>
        <w:tc>
          <w:tcPr/>
          <w:p>
            <w:pPr>
              <w:pStyle w:val="Tabla9"/>
              <w:jc w:val="left"/>
            </w:pPr>
            <w:r>
              <w:t xml:space="preserve">NRMSE &gt; 30 % en dos verificaciones consecutivas (disparador de R-TEC-01)</w:t>
            </w:r>
          </w:p>
        </w:tc>
        <w:tc>
          <w:tcPr/>
          <w:p>
            <w:pPr>
              <w:pStyle w:val="Tabla9"/>
              <w:jc w:val="left"/>
            </w:pPr>
            <w:r>
              <w:t xml:space="preserve">Evaluar una alternativa técnica en C1 y no liberar la compra del tramo 2</w:t>
            </w:r>
          </w:p>
        </w:tc>
      </w:tr>
      <w:tr>
        <w:trPr>
          <w:cantSplit/>
        </w:trPr>
        <w:tc>
          <w:tcPr/>
          <w:p>
            <w:pPr>
              <w:pStyle w:val="Tabla9"/>
              <w:jc w:val="left"/>
            </w:pPr>
            <w:r>
              <w:t xml:space="preserve">Beneficiarios</w:t>
            </w:r>
          </w:p>
        </w:tc>
        <w:tc>
          <w:tcPr/>
          <w:p>
            <w:pPr>
              <w:pStyle w:val="Tabla9"/>
              <w:jc w:val="left"/>
            </w:pPr>
            <w:r>
              <w:t xml:space="preserve">¿La red llega a quienes más la necesitan?</w:t>
            </w:r>
          </w:p>
        </w:tc>
        <w:tc>
          <w:tcPr/>
          <w:p>
            <w:pPr>
              <w:pStyle w:val="Tabla9"/>
              <w:jc w:val="left"/>
            </w:pPr>
            <w:r>
              <w:t xml:space="preserve">Sitios con operarios expuestos sin nodo, o perfil de usuarios distinto del planeado</w:t>
            </w:r>
          </w:p>
        </w:tc>
        <w:tc>
          <w:tcPr/>
          <w:p>
            <w:pPr>
              <w:pStyle w:val="Tabla9"/>
              <w:jc w:val="left"/>
            </w:pPr>
            <w:r>
              <w:t xml:space="preserve">Reubicar nodos y ajustar la lista de 12 municipios [DATO_USUARIO: lista de municipios]</w:t>
            </w:r>
          </w:p>
        </w:tc>
      </w:tr>
      <w:tr>
        <w:trPr>
          <w:cantSplit/>
        </w:trPr>
        <w:tc>
          <w:tcPr/>
          <w:p>
            <w:pPr>
              <w:pStyle w:val="Tabla9"/>
              <w:jc w:val="left"/>
            </w:pPr>
            <w:r>
              <w:t xml:space="preserve">Metodología (SC-1)</w:t>
            </w:r>
          </w:p>
        </w:tc>
        <w:tc>
          <w:tcPr/>
          <w:p>
            <w:pPr>
              <w:pStyle w:val="Tabla9"/>
              <w:jc w:val="left"/>
            </w:pPr>
            <w:r>
              <w:t xml:space="preserve">¿La corrección reduce el error frente a la lectura sin corrección dinámica?</w:t>
            </w:r>
          </w:p>
        </w:tc>
        <w:tc>
          <w:tcPr/>
          <w:p>
            <w:pPr>
              <w:pStyle w:val="Tabla9"/>
              <w:jc w:val="left"/>
            </w:pPr>
            <w:r>
              <w:t xml:space="preserve">La diferencia entre ambos métodos no se distingue de cero con el sorteo completo</w:t>
            </w:r>
          </w:p>
        </w:tc>
        <w:tc>
          <w:tcPr/>
          <w:p>
            <w:pPr>
              <w:pStyle w:val="Tabla9"/>
              <w:jc w:val="left"/>
            </w:pPr>
            <w:r>
              <w:t xml:space="preserve">Revisar el diseño de la colocalización y detener la expansión en el mes 12</w:t>
            </w:r>
          </w:p>
        </w:tc>
      </w:tr>
      <w:tr>
        <w:trPr>
          <w:cantSplit/>
        </w:trPr>
        <w:tc>
          <w:tcPr/>
          <w:p>
            <w:pPr>
              <w:pStyle w:val="Tabla9"/>
              <w:jc w:val="left"/>
            </w:pPr>
            <w:r>
              <w:t xml:space="preserve">Red y energía (SC-2)</w:t>
            </w:r>
          </w:p>
        </w:tc>
        <w:tc>
          <w:tcPr/>
          <w:p>
            <w:pPr>
              <w:pStyle w:val="Tabla9"/>
              <w:jc w:val="left"/>
            </w:pPr>
            <w:r>
              <w:t xml:space="preserve">¿Los nodos conservan energía y enlace bajo polvo, humedad y maquinaria?</w:t>
            </w:r>
          </w:p>
        </w:tc>
        <w:tc>
          <w:tcPr/>
          <w:p>
            <w:pPr>
              <w:pStyle w:val="Tabla9"/>
              <w:jc w:val="left"/>
            </w:pPr>
            <w:r>
              <w:t xml:space="preserve">Disponibilidad mensual menor que 80 % durante tres meses consecutivos (umbral de revisión de 4.4-MDR.11)</w:t>
            </w:r>
          </w:p>
        </w:tc>
        <w:tc>
          <w:tcPr/>
          <w:p>
            <w:pPr>
              <w:pStyle w:val="Tabla9"/>
              <w:jc w:val="left"/>
            </w:pPr>
            <w:r>
              <w:t xml:space="preserve">Activar el enlace alterno y el plan de repuestos; revisar el diseño de energía</w:t>
            </w:r>
          </w:p>
        </w:tc>
      </w:tr>
      <w:tr>
        <w:trPr>
          <w:cantSplit/>
        </w:trPr>
        <w:tc>
          <w:tcPr/>
          <w:p>
            <w:pPr>
              <w:pStyle w:val="Tabla9"/>
              <w:jc w:val="left"/>
            </w:pPr>
            <w:r>
              <w:t xml:space="preserve">Uso (SC-3)</w:t>
            </w:r>
          </w:p>
        </w:tc>
        <w:tc>
          <w:tcPr/>
          <w:p>
            <w:pPr>
              <w:pStyle w:val="Tabla9"/>
              <w:jc w:val="left"/>
            </w:pPr>
            <w:r>
              <w:t xml:space="preserve">¿Los comités incorporan los umbrales en sus protocolos?</w:t>
            </w:r>
          </w:p>
        </w:tc>
        <w:tc>
          <w:tcPr/>
          <w:p>
            <w:pPr>
              <w:pStyle w:val="Tabla9"/>
              <w:jc w:val="left"/>
            </w:pPr>
            <w:r>
              <w:t xml:space="preserve">Ningún puesto de mando incorpora los umbrales en 12 meses</w:t>
            </w:r>
          </w:p>
        </w:tc>
        <w:tc>
          <w:tcPr/>
          <w:p>
            <w:pPr>
              <w:pStyle w:val="Tabla9"/>
              <w:jc w:val="left"/>
            </w:pPr>
            <w:r>
              <w:t xml:space="preserve">Rediseñar el co-diseño con los comités y revisar la fórmula local del índice</w:t>
            </w:r>
          </w:p>
        </w:tc>
      </w:tr>
      <w:tr>
        <w:trPr>
          <w:cantSplit/>
        </w:trPr>
        <w:tc>
          <w:tcPr/>
          <w:p>
            <w:pPr>
              <w:pStyle w:val="Tabla9"/>
              <w:jc w:val="left"/>
            </w:pPr>
            <w:r>
              <w:t xml:space="preserve">Custodia (SC-4)</w:t>
            </w:r>
          </w:p>
        </w:tc>
        <w:tc>
          <w:tcPr/>
          <w:p>
            <w:pPr>
              <w:pStyle w:val="Tabla9"/>
              <w:jc w:val="left"/>
            </w:pPr>
            <w:r>
              <w:t xml:space="preserve">¿Algún custodio demuestra capacidad de absorción antes de cada tramo?</w:t>
            </w:r>
          </w:p>
        </w:tc>
        <w:tc>
          <w:tcPr/>
          <w:p>
            <w:pPr>
              <w:pStyle w:val="Tabla9"/>
              <w:jc w:val="left"/>
            </w:pPr>
            <w:r>
              <w:t xml:space="preserve">Ningún custodio alcanza capacidad de absorción de 2 o más en el índice de 0 a 3</w:t>
            </w:r>
          </w:p>
        </w:tc>
        <w:tc>
          <w:tcPr/>
          <w:p>
            <w:pPr>
              <w:pStyle w:val="Tabla9"/>
              <w:jc w:val="left"/>
            </w:pPr>
            <w:r>
              <w:t xml:space="preserve">Activar la cláusula de apertura y buscar un custodio académico</w:t>
            </w:r>
          </w:p>
        </w:tc>
      </w:tr>
      <w:tr>
        <w:trPr>
          <w:cantSplit/>
        </w:trPr>
        <w:tc>
          <w:tcPr/>
          <w:p>
            <w:pPr>
              <w:pStyle w:val="Tabla9"/>
              <w:jc w:val="left"/>
            </w:pPr>
            <w:r>
              <w:t xml:space="preserve">Indicadores</w:t>
            </w:r>
          </w:p>
        </w:tc>
        <w:tc>
          <w:tcPr/>
          <w:p>
            <w:pPr>
              <w:pStyle w:val="Tabla9"/>
              <w:jc w:val="left"/>
            </w:pPr>
            <w:r>
              <w:t xml:space="preserve">¿Se mide lo que importa?</w:t>
            </w:r>
          </w:p>
        </w:tc>
        <w:tc>
          <w:tcPr/>
          <w:p>
            <w:pPr>
              <w:pStyle w:val="Tabla9"/>
              <w:jc w:val="left"/>
            </w:pPr>
            <w:r>
              <w:t xml:space="preserve">La disponibilidad cumple (≥ 90 %) pero el uso del tablero es menor que 50 % (PERS-E01)</w:t>
            </w:r>
          </w:p>
        </w:tc>
        <w:tc>
          <w:tcPr/>
          <w:p>
            <w:pPr>
              <w:pStyle w:val="Tabla9"/>
              <w:jc w:val="left"/>
            </w:pPr>
            <w:r>
              <w:t xml:space="preserve">Rediseñar el sistema de medición y sumar la evaluación de falsas alarmas (PERS-E02)</w:t>
            </w:r>
          </w:p>
        </w:tc>
      </w:tr>
      <w:tr>
        <w:trPr>
          <w:cantSplit/>
        </w:trPr>
        <w:tc>
          <w:tcPr/>
          <w:p>
            <w:pPr>
              <w:pStyle w:val="Tabla9"/>
              <w:jc w:val="left"/>
            </w:pPr>
            <w:r>
              <w:t xml:space="preserve">Equipo</w:t>
            </w:r>
          </w:p>
        </w:tc>
        <w:tc>
          <w:tcPr/>
          <w:p>
            <w:pPr>
              <w:pStyle w:val="Tabla9"/>
              <w:jc w:val="left"/>
            </w:pPr>
            <w:r>
              <w:t xml:space="preserve">¿El equipo posee las capacidades correctas?</w:t>
            </w:r>
          </w:p>
        </w:tc>
        <w:tc>
          <w:tcPr/>
          <w:p>
            <w:pPr>
              <w:pStyle w:val="Tabla9"/>
              <w:jc w:val="left"/>
            </w:pPr>
            <w:r>
              <w:t xml:space="preserve">Retrasos recurrentes en las actividades críticas A1.3, A1.4 y A2.3</w:t>
            </w:r>
          </w:p>
        </w:tc>
        <w:tc>
          <w:tcPr/>
          <w:p>
            <w:pPr>
              <w:pStyle w:val="Tabla9"/>
              <w:jc w:val="left"/>
            </w:pPr>
            <w:r>
              <w:t xml:space="preserve">Incorporar talento o alianzas con cargo a la reserva de contingencia</w:t>
            </w:r>
          </w:p>
        </w:tc>
      </w:tr>
      <w:tr>
        <w:trPr>
          <w:cantSplit/>
        </w:trPr>
        <w:tc>
          <w:tcPr/>
          <w:p>
            <w:pPr>
              <w:pStyle w:val="Tabla9"/>
              <w:jc w:val="left"/>
            </w:pPr>
            <w:r>
              <w:t xml:space="preserve">Entorno</w:t>
            </w:r>
          </w:p>
        </w:tc>
        <w:tc>
          <w:tcPr/>
          <w:p>
            <w:pPr>
              <w:pStyle w:val="Tabla9"/>
              <w:jc w:val="left"/>
            </w:pPr>
            <w:r>
              <w:t xml:space="preserve">¿Cambiaron las condiciones del entorno?</w:t>
            </w:r>
          </w:p>
        </w:tc>
        <w:tc>
          <w:tcPr/>
          <w:p>
            <w:pPr>
              <w:pStyle w:val="Tabla9"/>
              <w:jc w:val="left"/>
            </w:pPr>
            <w:r>
              <w:t xml:space="preserve">Cambio en los TdR, en la norma de calidad del aire, en la TRM (+10 %) o en la administración local</w:t>
            </w:r>
          </w:p>
        </w:tc>
        <w:tc>
          <w:tcPr/>
          <w:p>
            <w:pPr>
              <w:pStyle w:val="Tabla9"/>
              <w:jc w:val="left"/>
            </w:pPr>
            <w:r>
              <w:t xml:space="preserve">Analizar el impacto y ajustar los tramos y los convenios</w:t>
            </w:r>
          </w:p>
        </w:tc>
      </w:tr>
    </w:tbl>
    <w:p>
      <w:pPr>
        <w:pStyle w:val="TablaNota"/>
      </w:pPr>
      <w:r>
        <w:rPr>
          <w:i/>
          <w:iCs/>
        </w:rPr>
        <w:t xml:space="preserve">Nota.</w:t>
      </w:r>
      <w:r>
        <w:t xml:space="preserve"> </w:t>
      </w:r>
      <w:r>
        <w:t xml:space="preserve">Elaboración propia con datos de 4.4-MDR.9 (refutaciones observables de SC-1 a SC-4), 4.4-MDR.11 (umbral de revisión de la disponibilidad), del registro de riesgos (disparadores de R-TEC-01 y R-FIN-01) y de los indicadores PERS. Naturaleza: PROPUESTO. TRM: tasa representativa del mercado. La meta de disponibilidad de 90 % y el umbral de revisión de 80 % tienen funciones distintas.</w:t>
      </w:r>
    </w:p>
    <w:p>
      <w:pPr>
        <w:pStyle w:val="BodyText"/>
      </w:pPr>
      <w:r>
        <w:t xml:space="preserve">La tabla distingue la meta de la revisión. La meta de disponibilidad es de 90 % y activa el plan de contingencia del riesgo R-TEC-02. El umbral de 80 % durante tres meses consecutivos activa la revisión del supuesto SC-2. Esa revisión es una pregunta de doble bucle sobre el diseño de energía y enlace. Las diez preguntas se incorporan como lista de verificación de las compuertas y de las sesiones trimestrales. Ninguna alerta se resuelve con más datos si el problema es el marco.</w:t>
      </w:r>
    </w:p>
    <w:bookmarkEnd w:id="776"/>
    <w:bookmarkStart w:id="777" w:name="_Toc00900332"/>
    <w:p>
      <w:pPr>
        <w:pStyle w:val="Heading3"/>
      </w:pPr>
      <w:r>
        <w:t xml:space="preserve">E3.4 Rutinas defensivas y su mitigación</w:t>
      </w:r>
    </w:p>
    <w:p>
      <w:pPr>
        <w:pStyle w:val="FirstParagraph"/>
      </w:pPr>
      <w:r>
        <w:t xml:space="preserve">Las rutinas defensivas bloquean el aprendizaje de doble bucle. Se definen como políticas y acciones que protegen a las personas de la vergüenza y de la amenaza (Argyris, 1999). A la vez, impiden identificar y eliminar las causas de ambas. Esas rutinas se apoyan en un modelo de acción que busca controlar la situación, ganar y evitar sentimientos negativos (Argyris, 1999). El resultado es información que circula filtrada.</w:t>
      </w:r>
    </w:p>
    <w:p>
      <w:pPr>
        <w:pStyle w:val="BodyText"/>
      </w:pPr>
      <w:r>
        <w:t xml:space="preserve">Existen dos explicaciones rivales del fenómeno. Argyris atribuye las defensas a rutinas organizacionales y sociales que se aprenden y se refuerzan. Otra explicación atribuye los errores de juicio a heurísticas cognitivas individuales que producen sesgos sistemáticos (Tversky y Kahneman, 1974). Una tercera explica la conducta de los grupos cohesionados. La búsqueda de consenso suprime la disidencia (Janis, 1982). Las tres explicaciones convergen en una conclusión de diseño. Conviene separar la evaluación de quien ejecuta, y las contramedidas deben ser estructurales y no apelar a la buena voluntad.</w:t>
      </w:r>
    </w:p>
    <w:p>
      <w:pPr>
        <w:pStyle w:val="BodyText"/>
      </w:pPr>
      <w:r>
        <w:t xml:space="preserve">La sección 4.4-MDR.9 aplicó ese criterio con una salvedad. Declaró autorrevisión, porque una sola instancia analítica ejecutó todas las funciones, y dejó la revisión humana de los cuatro supuestos como condición de aceptación. El proyecto traslada esa lógica a la ejecución. La Tabla X4.9 identifica cinco rutinas probables en el proyecto, su manifestación, su mitigación y su responsable.</w:t>
      </w:r>
    </w:p>
    <w:p>
      <w:pPr>
        <w:pStyle w:val="TablaRotulo"/>
      </w:pPr>
      <w:bookmarkStart w:id="9428" w:name="rot_Tabla_X4_9"/>
      <w:r>
        <w:rPr>
          <w:b/>
          <w:bCs/>
        </w:rPr>
        <w:t xml:space="preserve">Tabla X4.9</w:t>
      </w:r>
      <w:bookmarkEnd w:id="9428"/>
    </w:p>
    <w:p>
      <w:pPr>
        <w:pStyle w:val="TablaTitulo"/>
      </w:pPr>
      <w:r>
        <w:rPr>
          <w:i/>
          <w:iCs/>
        </w:rPr>
        <w:t xml:space="preserve">Rutinas defensivas probables y su mitigación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96"/>
        <w:gridCol w:w="2063"/>
        <w:gridCol w:w="1930"/>
        <w:gridCol w:w="1730"/>
      </w:tblGrid>
      <w:tr>
        <w:trPr>
          <w:cantSplit/>
          <w:tblHeader/>
        </w:trPr>
        <w:tc>
          <w:tcPr>
            <w:shd w:val="clear" w:color="auto" w:fill="00B050"/>
          </w:tcPr>
          <w:p>
            <w:pPr>
              <w:pStyle w:val="Tabla9"/>
              <w:jc w:val="center"/>
            </w:pPr>
            <w:r>
              <w:rPr>
                <w:b/>
                <w:color w:val="FFFFFF"/>
              </w:rPr>
              <w:t xml:space="preserve">Rutina defensiva</w:t>
            </w:r>
          </w:p>
        </w:tc>
        <w:tc>
          <w:tcPr>
            <w:shd w:val="clear" w:color="auto" w:fill="00B050"/>
          </w:tcPr>
          <w:p>
            <w:pPr>
              <w:pStyle w:val="Tabla9"/>
              <w:jc w:val="center"/>
            </w:pPr>
            <w:r>
              <w:rPr>
                <w:b/>
                <w:color w:val="FFFFFF"/>
              </w:rPr>
              <w:t xml:space="preserve">Manifestación en el proyecto</w:t>
            </w:r>
          </w:p>
        </w:tc>
        <w:tc>
          <w:tcPr>
            <w:shd w:val="clear" w:color="auto" w:fill="00B050"/>
          </w:tcPr>
          <w:p>
            <w:pPr>
              <w:pStyle w:val="Tabla9"/>
              <w:jc w:val="center"/>
            </w:pPr>
            <w:r>
              <w:rPr>
                <w:b/>
                <w:color w:val="FFFFFF"/>
              </w:rPr>
              <w:t xml:space="preserve">Estrategia de mitigación</w:t>
            </w:r>
          </w:p>
        </w:tc>
        <w:tc>
          <w:tcPr>
            <w:shd w:val="clear" w:color="auto" w:fill="00B050"/>
          </w:tcPr>
          <w:p>
            <w:pPr>
              <w:pStyle w:val="Tabla9"/>
              <w:jc w:val="center"/>
            </w:pPr>
            <w:r>
              <w:rPr>
                <w:b/>
                <w:color w:val="FFFFFF"/>
              </w:rPr>
              <w:t xml:space="preserve">Responsable</w:t>
            </w:r>
          </w:p>
        </w:tc>
      </w:tr>
      <w:tr>
        <w:trPr>
          <w:cantSplit/>
        </w:trPr>
        <w:tc>
          <w:tcPr/>
          <w:p>
            <w:pPr>
              <w:pStyle w:val="Tabla9"/>
              <w:jc w:val="left"/>
            </w:pPr>
            <w:r>
              <w:t xml:space="preserve">Evitar la retroalimentación negativa</w:t>
            </w:r>
          </w:p>
        </w:tc>
        <w:tc>
          <w:tcPr/>
          <w:p>
            <w:pPr>
              <w:pStyle w:val="Tabla9"/>
              <w:jc w:val="left"/>
            </w:pPr>
            <w:r>
              <w:t xml:space="preserve">Reportar la red como disponible cuando los datos pareados no cumplen R² ni NRMSE</w:t>
            </w:r>
          </w:p>
        </w:tc>
        <w:tc>
          <w:tcPr/>
          <w:p>
            <w:pPr>
              <w:pStyle w:val="Tabla9"/>
              <w:jc w:val="left"/>
            </w:pPr>
            <w:r>
              <w:t xml:space="preserve">Espacio protegido para reportar fallas en la retrospectiva mensual, sin sanción</w:t>
            </w:r>
          </w:p>
        </w:tc>
        <w:tc>
          <w:tcPr/>
          <w:p>
            <w:pPr>
              <w:pStyle w:val="Tabla9"/>
              <w:jc w:val="left"/>
            </w:pPr>
            <w:r>
              <w:t xml:space="preserve">Gerencia de proyecto</w:t>
            </w:r>
          </w:p>
        </w:tc>
      </w:tr>
      <w:tr>
        <w:trPr>
          <w:cantSplit/>
        </w:trPr>
        <w:tc>
          <w:tcPr/>
          <w:p>
            <w:pPr>
              <w:pStyle w:val="Tabla9"/>
              <w:jc w:val="left"/>
            </w:pPr>
            <w:r>
              <w:t xml:space="preserve">Culpar a factores externos</w:t>
            </w:r>
          </w:p>
        </w:tc>
        <w:tc>
          <w:tcPr/>
          <w:p>
            <w:pPr>
              <w:pStyle w:val="Tabla9"/>
              <w:jc w:val="left"/>
            </w:pPr>
            <w:r>
              <w:t xml:space="preserve">Atribuir la baja disponibilidad a las lluvias o a las vías (R-EXT-01) sin revisar el diseño de energía (R-TEC-02)</w:t>
            </w:r>
          </w:p>
        </w:tc>
        <w:tc>
          <w:tcPr/>
          <w:p>
            <w:pPr>
              <w:pStyle w:val="Tabla9"/>
              <w:jc w:val="left"/>
            </w:pPr>
            <w:r>
              <w:t xml:space="preserve">Análisis de causa raíz con causas internas y externas en cada revisión posterior a la acción</w:t>
            </w:r>
          </w:p>
        </w:tc>
        <w:tc>
          <w:tcPr/>
          <w:p>
            <w:pPr>
              <w:pStyle w:val="Tabla9"/>
              <w:jc w:val="left"/>
            </w:pPr>
            <w:r>
              <w:t xml:space="preserve">Ingenieros IoT y de campo</w:t>
            </w:r>
          </w:p>
        </w:tc>
      </w:tr>
      <w:tr>
        <w:trPr>
          <w:cantSplit/>
        </w:trPr>
        <w:tc>
          <w:tcPr/>
          <w:p>
            <w:pPr>
              <w:pStyle w:val="Tabla9"/>
              <w:jc w:val="left"/>
            </w:pPr>
            <w:r>
              <w:t xml:space="preserve">Defender posiciones</w:t>
            </w:r>
          </w:p>
        </w:tc>
        <w:tc>
          <w:tcPr/>
          <w:p>
            <w:pPr>
              <w:pStyle w:val="Tabla9"/>
              <w:jc w:val="left"/>
            </w:pPr>
            <w:r>
              <w:t xml:space="preserve">Sostener que la corrección en el gateway es la única opción, sin considerar la hipótesis rival</w:t>
            </w:r>
          </w:p>
        </w:tc>
        <w:tc>
          <w:tcPr/>
          <w:p>
            <w:pPr>
              <w:pStyle w:val="Tabla9"/>
              <w:jc w:val="left"/>
            </w:pPr>
            <w:r>
              <w:t xml:space="preserve">Ejercicio de abogado del diablo con la hipótesis rival antes de C1</w:t>
            </w:r>
          </w:p>
        </w:tc>
        <w:tc>
          <w:tcPr/>
          <w:p>
            <w:pPr>
              <w:pStyle w:val="Tabla9"/>
              <w:jc w:val="left"/>
            </w:pPr>
            <w:r>
              <w:t xml:space="preserve">Facilitador de la coalición y evaluación externa</w:t>
            </w:r>
          </w:p>
        </w:tc>
      </w:tr>
      <w:tr>
        <w:trPr>
          <w:cantSplit/>
        </w:trPr>
        <w:tc>
          <w:tcPr/>
          <w:p>
            <w:pPr>
              <w:pStyle w:val="Tabla9"/>
              <w:jc w:val="left"/>
            </w:pPr>
            <w:r>
              <w:t xml:space="preserve">Información selectiva</w:t>
            </w:r>
          </w:p>
        </w:tc>
        <w:tc>
          <w:tcPr/>
          <w:p>
            <w:pPr>
              <w:pStyle w:val="Tabla9"/>
              <w:jc w:val="left"/>
            </w:pPr>
            <w:r>
              <w:t xml:space="preserve">Reportar el R² del conjunto de entrenamiento y omitir el del conjunto de validación externo (R-TEC-04)</w:t>
            </w:r>
          </w:p>
        </w:tc>
        <w:tc>
          <w:tcPr/>
          <w:p>
            <w:pPr>
              <w:pStyle w:val="Tabla9"/>
              <w:jc w:val="left"/>
            </w:pPr>
            <w:r>
              <w:t xml:space="preserve">Indicadores balanceados con meta y brecha; reporte obligatorio del conjunto externo</w:t>
            </w:r>
          </w:p>
        </w:tc>
        <w:tc>
          <w:tcPr/>
          <w:p>
            <w:pPr>
              <w:pStyle w:val="Tabla9"/>
              <w:jc w:val="left"/>
            </w:pPr>
            <w:r>
              <w:t xml:space="preserve">Científico de datos y especialista en metrología</w:t>
            </w:r>
          </w:p>
        </w:tc>
      </w:tr>
      <w:tr>
        <w:trPr>
          <w:cantSplit/>
        </w:trPr>
        <w:tc>
          <w:tcPr/>
          <w:p>
            <w:pPr>
              <w:pStyle w:val="Tabla9"/>
              <w:jc w:val="left"/>
            </w:pPr>
            <w:r>
              <w:t xml:space="preserve">Evitar el conflicto</w:t>
            </w:r>
          </w:p>
        </w:tc>
        <w:tc>
          <w:tcPr/>
          <w:p>
            <w:pPr>
              <w:pStyle w:val="Tabla9"/>
              <w:jc w:val="left"/>
            </w:pPr>
            <w:r>
              <w:t xml:space="preserve">No cuestionar la decisión de ampliar al tramo 2 ante resultados ambiguos</w:t>
            </w:r>
          </w:p>
        </w:tc>
        <w:tc>
          <w:tcPr/>
          <w:p>
            <w:pPr>
              <w:pStyle w:val="Tabla9"/>
              <w:jc w:val="left"/>
            </w:pPr>
            <w:r>
              <w:t xml:space="preserve">Registrar la discrepancia en el acta de compuerta; el patrocinador expresa primero su duda</w:t>
            </w:r>
          </w:p>
        </w:tc>
        <w:tc>
          <w:tcPr/>
          <w:p>
            <w:pPr>
              <w:pStyle w:val="Tabla9"/>
              <w:jc w:val="left"/>
            </w:pPr>
            <w:r>
              <w:t xml:space="preserve">Patrocinador</w:t>
            </w:r>
          </w:p>
        </w:tc>
      </w:tr>
    </w:tbl>
    <w:p>
      <w:pPr>
        <w:pStyle w:val="TablaNota"/>
      </w:pPr>
      <w:r>
        <w:rPr>
          <w:i/>
          <w:iCs/>
        </w:rPr>
        <w:t xml:space="preserve">Nota.</w:t>
      </w:r>
      <w:r>
        <w:t xml:space="preserve"> </w:t>
      </w:r>
      <w:r>
        <w:t xml:space="preserve">Elaboración propia con datos del registro de riesgos (R-EXT-01, R-TEC-02, R-TEC-04) y de la sección 4.4-MDR.9. Naturaleza: INFERIDO para las manifestaciones; PROPUESTO para las mitigaciones. Responsables por rol.</w:t>
      </w:r>
    </w:p>
    <w:p>
      <w:pPr>
        <w:pStyle w:val="BodyText"/>
      </w:pPr>
      <w:r>
        <w:t xml:space="preserve">Las mitigaciones comparten un rasgo: transforman la conducta defensiva en un procedimiento con registro. El acta de compuerta consigna la discrepancia. El reporte del conjunto externo impide la selección de información favorable. El abogado del diablo se ejecuta antes de la decisión y no después. El proyecto no depende de que las personas reconozcan sus defensas, sino de que el procedimiento las exponga.</w:t>
      </w:r>
    </w:p>
    <w:bookmarkEnd w:id="777"/>
    <w:bookmarkStart w:id="778" w:name="X5865324d865a256ea97b98d60bedf945abd3bc2"/>
    <w:p>
      <w:pPr>
        <w:pStyle w:val="Heading3"/>
      </w:pPr>
      <w:r>
        <w:t xml:space="preserve">E3.5 Indicadores de aprendizaje organizacional</w:t>
      </w:r>
    </w:p>
    <w:p>
      <w:pPr>
        <w:pStyle w:val="FirstParagraph"/>
      </w:pPr>
      <w:r>
        <w:t xml:space="preserve">Un proyecto que declara aprender necesita medir ese aprendizaje. Los indicadores de capacidad de aprendizaje miden la captura de lecciones, su implementación, la rapidez de respuesta, la participación y la calidad de la reflexión. El aprendizaje se vincula con la detección y la corrección de errores, lo que invita a contar las correcciones efectivas (Argyris, 1999). Sin embargo, en contextos de innovación, la cuenta de actividades no sustituye el juicio sobre la profundidad del aprendizaje (Patton, 2011). El proyecto combina ambas posturas. Usa indicadores cuantitativos y una rúbrica cualitativa evaluada por la evaluación externa.</w:t>
      </w:r>
    </w:p>
    <w:p>
      <w:pPr>
        <w:pStyle w:val="BodyText"/>
      </w:pPr>
      <w:r>
        <w:t xml:space="preserve">La Tabla X4.10 presenta seis indicadores. Los valores de meta son de referencia, PROPUESTO, y la coalición guía los ratifica en el mes 3. La línea base es VACIO y se mide en el tramo 1.</w:t>
      </w:r>
    </w:p>
    <w:p>
      <w:pPr>
        <w:pStyle w:val="TablaRotulo"/>
      </w:pPr>
      <w:bookmarkStart w:id="9429" w:name="rot_Tabla_X4_10"/>
      <w:r>
        <w:rPr>
          <w:b/>
          <w:bCs/>
        </w:rPr>
        <w:t xml:space="preserve">Tabla X4.10</w:t>
      </w:r>
      <w:bookmarkEnd w:id="9429"/>
    </w:p>
    <w:p>
      <w:pPr>
        <w:pStyle w:val="TablaTitulo"/>
      </w:pPr>
      <w:r>
        <w:rPr>
          <w:i/>
          <w:iCs/>
        </w:rPr>
        <w:t xml:space="preserve">Indicadores de capacidad de aprendizaje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29"/>
        <w:gridCol w:w="2160"/>
        <w:gridCol w:w="2225"/>
        <w:gridCol w:w="1505"/>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Definición</w:t>
            </w:r>
          </w:p>
        </w:tc>
        <w:tc>
          <w:tcPr>
            <w:shd w:val="clear" w:color="auto" w:fill="00B050"/>
          </w:tcPr>
          <w:p>
            <w:pPr>
              <w:pStyle w:val="Tabla9"/>
              <w:jc w:val="center"/>
            </w:pPr>
            <w:r>
              <w:rPr>
                <w:b/>
                <w:color w:val="FFFFFF"/>
              </w:rPr>
              <w:t xml:space="preserve">Meta</w:t>
            </w:r>
          </w:p>
        </w:tc>
        <w:tc>
          <w:tcPr>
            <w:shd w:val="clear" w:color="auto" w:fill="00B050"/>
          </w:tcPr>
          <w:p>
            <w:pPr>
              <w:pStyle w:val="Tabla9"/>
              <w:jc w:val="center"/>
            </w:pPr>
            <w:r>
              <w:rPr>
                <w:b/>
                <w:color w:val="FFFFFF"/>
              </w:rPr>
              <w:t xml:space="preserve">Frecuencia de medición</w:t>
            </w:r>
          </w:p>
        </w:tc>
      </w:tr>
      <w:tr>
        <w:trPr>
          <w:cantSplit/>
        </w:trPr>
        <w:tc>
          <w:tcPr/>
          <w:p>
            <w:pPr>
              <w:pStyle w:val="Tabla9"/>
              <w:jc w:val="left"/>
            </w:pPr>
            <w:r>
              <w:t xml:space="preserve">Tasa de captura de lecciones</w:t>
            </w:r>
          </w:p>
        </w:tc>
        <w:tc>
          <w:tcPr/>
          <w:p>
            <w:pPr>
              <w:pStyle w:val="Tabla9"/>
              <w:jc w:val="left"/>
            </w:pPr>
            <w:r>
              <w:t xml:space="preserve">Lecciones documentadas ÷ hitos completados</w:t>
            </w:r>
          </w:p>
        </w:tc>
        <w:tc>
          <w:tcPr/>
          <w:p>
            <w:pPr>
              <w:pStyle w:val="Tabla9"/>
              <w:jc w:val="left"/>
            </w:pPr>
            <w:r>
              <w:t xml:space="preserve">≥ 2 por hito (18 lecciones en los 9 hitos H0 a H8)</w:t>
            </w:r>
          </w:p>
        </w:tc>
        <w:tc>
          <w:tcPr/>
          <w:p>
            <w:pPr>
              <w:pStyle w:val="Tabla9"/>
              <w:jc w:val="left"/>
            </w:pPr>
            <w:r>
              <w:t xml:space="preserve">Trimestral</w:t>
            </w:r>
          </w:p>
        </w:tc>
      </w:tr>
      <w:tr>
        <w:trPr>
          <w:cantSplit/>
        </w:trPr>
        <w:tc>
          <w:tcPr/>
          <w:p>
            <w:pPr>
              <w:pStyle w:val="Tabla9"/>
              <w:jc w:val="left"/>
            </w:pPr>
            <w:r>
              <w:t xml:space="preserve">Tasa de implementación</w:t>
            </w:r>
          </w:p>
        </w:tc>
        <w:tc>
          <w:tcPr/>
          <w:p>
            <w:pPr>
              <w:pStyle w:val="Tabla9"/>
              <w:jc w:val="left"/>
            </w:pPr>
            <w:r>
              <w:t xml:space="preserve">Lecciones implementadas ÷ lecciones capturadas</w:t>
            </w:r>
          </w:p>
        </w:tc>
        <w:tc>
          <w:tcPr/>
          <w:p>
            <w:pPr>
              <w:pStyle w:val="Tabla9"/>
              <w:jc w:val="left"/>
            </w:pPr>
            <w:r>
              <w:t xml:space="preserve">≥ 70 %</w:t>
            </w:r>
          </w:p>
        </w:tc>
        <w:tc>
          <w:tcPr/>
          <w:p>
            <w:pPr>
              <w:pStyle w:val="Tabla9"/>
              <w:jc w:val="left"/>
            </w:pPr>
            <w:r>
              <w:t xml:space="preserve">Semestral</w:t>
            </w:r>
          </w:p>
        </w:tc>
      </w:tr>
      <w:tr>
        <w:trPr>
          <w:cantSplit/>
        </w:trPr>
        <w:tc>
          <w:tcPr/>
          <w:p>
            <w:pPr>
              <w:pStyle w:val="Tabla9"/>
              <w:jc w:val="left"/>
            </w:pPr>
            <w:r>
              <w:t xml:space="preserve">Tiempo de respuesta a alertas</w:t>
            </w:r>
          </w:p>
        </w:tc>
        <w:tc>
          <w:tcPr/>
          <w:p>
            <w:pPr>
              <w:pStyle w:val="Tabla9"/>
              <w:jc w:val="left"/>
            </w:pPr>
            <w:r>
              <w:t xml:space="preserve">Días entre el disparador y la acción correctiva</w:t>
            </w:r>
          </w:p>
        </w:tc>
        <w:tc>
          <w:tcPr/>
          <w:p>
            <w:pPr>
              <w:pStyle w:val="Tabla9"/>
              <w:jc w:val="left"/>
            </w:pPr>
            <w:r>
              <w:t xml:space="preserve">≤ 14 días</w:t>
            </w:r>
          </w:p>
        </w:tc>
        <w:tc>
          <w:tcPr/>
          <w:p>
            <w:pPr>
              <w:pStyle w:val="Tabla9"/>
              <w:jc w:val="left"/>
            </w:pPr>
            <w:r>
              <w:t xml:space="preserve">Continuo</w:t>
            </w:r>
          </w:p>
        </w:tc>
      </w:tr>
      <w:tr>
        <w:trPr>
          <w:cantSplit/>
        </w:trPr>
        <w:tc>
          <w:tcPr/>
          <w:p>
            <w:pPr>
              <w:pStyle w:val="Tabla9"/>
              <w:jc w:val="left"/>
            </w:pPr>
            <w:r>
              <w:t xml:space="preserve">Participación en retrospectivas</w:t>
            </w:r>
          </w:p>
        </w:tc>
        <w:tc>
          <w:tcPr/>
          <w:p>
            <w:pPr>
              <w:pStyle w:val="Tabla9"/>
              <w:jc w:val="left"/>
            </w:pPr>
            <w:r>
              <w:t xml:space="preserve">Porcentaje del equipo que participa de forma activa</w:t>
            </w:r>
          </w:p>
        </w:tc>
        <w:tc>
          <w:tcPr/>
          <w:p>
            <w:pPr>
              <w:pStyle w:val="Tabla9"/>
              <w:jc w:val="left"/>
            </w:pPr>
            <w:r>
              <w:t xml:space="preserve">≥ 80 %</w:t>
            </w:r>
          </w:p>
        </w:tc>
        <w:tc>
          <w:tcPr/>
          <w:p>
            <w:pPr>
              <w:pStyle w:val="Tabla9"/>
              <w:jc w:val="left"/>
            </w:pPr>
            <w:r>
              <w:t xml:space="preserve">Mensual</w:t>
            </w:r>
          </w:p>
        </w:tc>
      </w:tr>
      <w:tr>
        <w:trPr>
          <w:cantSplit/>
        </w:trPr>
        <w:tc>
          <w:tcPr/>
          <w:p>
            <w:pPr>
              <w:pStyle w:val="Tabla9"/>
              <w:jc w:val="left"/>
            </w:pPr>
            <w:r>
              <w:t xml:space="preserve">Calidad de reflexión</w:t>
            </w:r>
          </w:p>
        </w:tc>
        <w:tc>
          <w:tcPr/>
          <w:p>
            <w:pPr>
              <w:pStyle w:val="Tabla9"/>
              <w:jc w:val="left"/>
            </w:pPr>
            <w:r>
              <w:t xml:space="preserve">Profundidad del análisis en una escala de 1 a 5, evaluada con rúbrica por la evaluación externa</w:t>
            </w:r>
          </w:p>
        </w:tc>
        <w:tc>
          <w:tcPr/>
          <w:p>
            <w:pPr>
              <w:pStyle w:val="Tabla9"/>
              <w:jc w:val="left"/>
            </w:pPr>
            <w:r>
              <w:t xml:space="preserve">≥ 3,5</w:t>
            </w:r>
          </w:p>
        </w:tc>
        <w:tc>
          <w:tcPr/>
          <w:p>
            <w:pPr>
              <w:pStyle w:val="Tabla9"/>
              <w:jc w:val="left"/>
            </w:pPr>
            <w:r>
              <w:t xml:space="preserve">Trimestral</w:t>
            </w:r>
          </w:p>
        </w:tc>
      </w:tr>
      <w:tr>
        <w:trPr>
          <w:cantSplit/>
        </w:trPr>
        <w:tc>
          <w:tcPr/>
          <w:p>
            <w:pPr>
              <w:pStyle w:val="Tabla9"/>
              <w:jc w:val="left"/>
            </w:pPr>
            <w:r>
              <w:t xml:space="preserve">Revisiones de supuestos registradas</w:t>
            </w:r>
          </w:p>
        </w:tc>
        <w:tc>
          <w:tcPr/>
          <w:p>
            <w:pPr>
              <w:pStyle w:val="Tabla9"/>
              <w:jc w:val="left"/>
            </w:pPr>
            <w:r>
              <w:t xml:space="preserve">Sesiones de revisión de SC-1 a SC-4 con nueva versión de la teoría del cambio</w:t>
            </w:r>
          </w:p>
        </w:tc>
        <w:tc>
          <w:tcPr/>
          <w:p>
            <w:pPr>
              <w:pStyle w:val="Tabla9"/>
              <w:jc w:val="left"/>
            </w:pPr>
            <w:r>
              <w:t xml:space="preserve">8 sesiones en 24 meses (CALCULADO)</w:t>
            </w:r>
          </w:p>
        </w:tc>
        <w:tc>
          <w:tcPr/>
          <w:p>
            <w:pPr>
              <w:pStyle w:val="Tabla9"/>
              <w:jc w:val="left"/>
            </w:pPr>
            <w:r>
              <w:t xml:space="preserve">Trimestral</w:t>
            </w:r>
          </w:p>
        </w:tc>
      </w:tr>
    </w:tbl>
    <w:p>
      <w:pPr>
        <w:pStyle w:val="TablaNota"/>
      </w:pPr>
      <w:r>
        <w:rPr>
          <w:i/>
          <w:iCs/>
        </w:rPr>
        <w:t xml:space="preserve">Nota.</w:t>
      </w:r>
      <w:r>
        <w:t xml:space="preserve"> </w:t>
      </w:r>
      <w:r>
        <w:t xml:space="preserve">Elaboración propia. Las metas de los cinco primeros indicadores son valores de referencia del metaprompt GENESIS-CTeI y su naturaleza es PROPUESTO. La meta del sexto indicador es CALCULADO a partir de la cadencia trimestral. Línea base: VACIO, se mide en el tramo 1.</w:t>
      </w:r>
    </w:p>
    <w:p>
      <w:pPr>
        <w:pStyle w:val="BodyText"/>
      </w:pPr>
      <w:r>
        <w:t xml:space="preserve">La tabla separa el aprendizaje que se documenta del que se aplica. La captura mide el registro. La implementación y el tiempo de respuesta miden el efecto. La rúbrica de reflexión mide la profundidad. El sexto indicador ata el aprendizaje al ciclo de la teoría del cambio, porque una revisión de supuestos sin nueva versión no deja trazabilidad. Si la tasa de implementación cae bajo la meta durante dos semestres, la coalición revisa si el problema es de capacidad o de rutinas defensivas.</w:t>
      </w:r>
    </w:p>
    <w:bookmarkEnd w:id="778"/>
    <w:bookmarkEnd w:id="779"/>
    <w:bookmarkStart w:id="786" w:name="_Toc00900333"/>
    <w:p>
      <w:pPr>
        <w:pStyle w:val="Heading2"/>
      </w:pPr>
      <w:r>
        <w:t xml:space="preserve">E4 Premortem estratégico</w:t>
      </w:r>
    </w:p>
    <w:bookmarkStart w:id="780" w:name="_Toc00900334"/>
    <w:p>
      <w:pPr>
        <w:pStyle w:val="Heading3"/>
      </w:pPr>
      <w:r>
        <w:t xml:space="preserve">E4.1 Metodología del premortem</w:t>
      </w:r>
    </w:p>
    <w:p>
      <w:pPr>
        <w:pStyle w:val="FirstParagraph"/>
      </w:pPr>
      <w:r>
        <w:t xml:space="preserve">El premortem es una técnica de planificación que parte del fracaso como hecho consumado. Klein (2007) propone que el equipo imagine que el proyecto fracasó y escriba las razones. Así se revelan riesgos que el optimismo del plan oculta. A diferencia del análisis de riesgos convencional, el premortem no pregunta qué puede salir mal. Pregunta por qué salió mal. Ese cambio de pregunta legitima la disidencia dentro del equipo.</w:t>
      </w:r>
    </w:p>
    <w:p>
      <w:pPr>
        <w:pStyle w:val="BodyText"/>
      </w:pPr>
      <w:r>
        <w:t xml:space="preserve">Dos posiciones se disputan el método. La gestión del riesgo normalizada, como la que describe la norma ISO 31000 (ISO, 2018), recorre un proceso. Identifica, analiza, evalúa y trata el riesgo con criterios definidos y registro formal. El premortem, en cambio, busca romper el consenso. Tversky y Kahneman (1974) explican por qué esa ruptura es necesaria: los juicios sobre probabilidad se apoyan en heurísticas que producen sesgos sistemáticos. La cohesión del grupo suprime la crítica (Janis, 1982). Las dos posiciones no compiten, porque cubren fases distintas. El registro normalizado ordena el riesgo conocido. El premortem busca el riesgo que el grupo no se atrevió a nombrar.</w:t>
      </w:r>
    </w:p>
    <w:p>
      <w:pPr>
        <w:pStyle w:val="BodyText"/>
      </w:pPr>
      <w:r>
        <w:t xml:space="preserve">El proyecto cuenta con dos registros. El primero es el registro cuantitativo de 12 riesgos, con probabilidad, impacto y valor monetario esperado (EMV, por sus siglas en inglés). La suma de los EMV es de 636,5 millones de COP. La reserva de contingencia se fijó en 636,0 millones de COP por redondeo (CALCULADO). La admisibilidad de esa reserva como rubro depende de los TdR (VACIO). El segundo registro es el premortem de la sección 4.4-MDR.12, que enumera diez causas por fase de origen. Los dos registros no se solapan por completo, y por eso el capítulo los integra.</w:t>
      </w:r>
    </w:p>
    <w:p>
      <w:pPr>
        <w:pStyle w:val="BodyText"/>
      </w:pPr>
      <w:r>
        <w:t xml:space="preserve">La decisión metodológica es usar cada registro para lo que mide. El registro cuantitativo alimenta las acciones preventivas y los planes de contingencia con cargo a la reserva. El premortem estratégico alimenta los procedimientos de revisión. Sus causas, como un marco mal elegido o un indicador sin responsable, no se resuelven con dinero. Las secciones E4.2 y E4.3 desarrollan esa división.</w:t>
      </w:r>
    </w:p>
    <w:bookmarkEnd w:id="780"/>
    <w:bookmarkStart w:id="784" w:name="_Toc00900335"/>
    <w:p>
      <w:pPr>
        <w:pStyle w:val="Heading3"/>
      </w:pPr>
      <w:r>
        <w:t xml:space="preserve">E4.2 Ejercicio de premortem</w:t>
      </w:r>
    </w:p>
    <w:p>
      <w:pPr>
        <w:pStyle w:val="FirstParagraph"/>
      </w:pPr>
      <w:r>
        <w:t xml:space="preserve">El ejercicio sitúa al equipo en el mes 30 del calendario relativo, seis meses después del cierre del mes 24. El horizonte posproyecto de seguimiento es de 12 meses (PROPUESTO), de modo que el mes 30 cae dentro de él. En ese momento el proyecto ha fracasado. No se alcanzaron los objetivos OE1 a OE3. Los recursos se agotaron antes de tiempo. Los comités de gestión del riesgo no adoptaron el tablero. La pregunta del ejercicio es qué ocurrió.</w:t>
      </w:r>
    </w:p>
    <w:p>
      <w:pPr>
        <w:pStyle w:val="BodyText"/>
      </w:pPr>
      <w:r>
        <w:t xml:space="preserve">La Tabla X4.11 responde con las causas de fracaso del registro cuantitativo. Cada fila vincula la causa con su riesgo, su nivel, su señal de alerta temprana, su acción preventiva y su responsable por rol. La señal de alerta es el disparador que define el registro.</w:t>
      </w:r>
    </w:p>
    <w:p>
      <w:pPr>
        <w:pStyle w:val="TablaRotulo"/>
      </w:pPr>
      <w:bookmarkStart w:id="9430" w:name="rot_Tabla_X4_11"/>
      <w:r>
        <w:rPr>
          <w:b/>
          <w:bCs/>
        </w:rPr>
        <w:t xml:space="preserve">Tabla X4.11</w:t>
      </w:r>
      <w:bookmarkEnd w:id="9430"/>
    </w:p>
    <w:p>
      <w:pPr>
        <w:pStyle w:val="TablaTitulo"/>
      </w:pPr>
      <w:r>
        <w:rPr>
          <w:i/>
          <w:iCs/>
        </w:rPr>
        <w:t xml:space="preserve">Análisis de premortem: causas de fracaso del registro de riesgos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72"/>
        <w:gridCol w:w="1275"/>
        <w:gridCol w:w="939"/>
        <w:gridCol w:w="1073"/>
        <w:gridCol w:w="1275"/>
        <w:gridCol w:w="1342"/>
        <w:gridCol w:w="1141"/>
      </w:tblGrid>
      <w:tr>
        <w:trPr>
          <w:cantSplit/>
          <w:tblHeader/>
        </w:trPr>
        <w:tc>
          <w:tcPr>
            <w:shd w:val="clear" w:color="auto" w:fill="00B050"/>
          </w:tcPr>
          <w:p>
            <w:pPr>
              <w:pStyle w:val="Tabla8"/>
              <w:jc w:val="center"/>
            </w:pPr>
            <w:r>
              <w:rPr>
                <w:b/>
                <w:color w:val="FFFFFF"/>
              </w:rPr>
              <w:t xml:space="preserve">Categoría</w:t>
            </w:r>
          </w:p>
        </w:tc>
        <w:tc>
          <w:tcPr>
            <w:shd w:val="clear" w:color="auto" w:fill="00B050"/>
          </w:tcPr>
          <w:p>
            <w:pPr>
              <w:pStyle w:val="Tabla8"/>
              <w:jc w:val="center"/>
            </w:pPr>
            <w:r>
              <w:rPr>
                <w:b/>
                <w:color w:val="FFFFFF"/>
              </w:rPr>
              <w:t xml:space="preserve">Causa de fracaso</w:t>
            </w:r>
          </w:p>
        </w:tc>
        <w:tc>
          <w:tcPr>
            <w:shd w:val="clear" w:color="auto" w:fill="00B050"/>
          </w:tcPr>
          <w:p>
            <w:pPr>
              <w:pStyle w:val="Tabla8"/>
              <w:jc w:val="center"/>
            </w:pPr>
            <w:r>
              <w:rPr>
                <w:b/>
                <w:color w:val="FFFFFF"/>
              </w:rPr>
              <w:t xml:space="preserve">Riesgo</w:t>
            </w:r>
          </w:p>
        </w:tc>
        <w:tc>
          <w:tcPr>
            <w:shd w:val="clear" w:color="auto" w:fill="00B050"/>
          </w:tcPr>
          <w:p>
            <w:pPr>
              <w:pStyle w:val="Tabla8"/>
              <w:jc w:val="center"/>
            </w:pPr>
            <w:r>
              <w:rPr>
                <w:b/>
                <w:color w:val="FFFFFF"/>
              </w:rPr>
              <w:t xml:space="preserve">Nivel y probabilidad</w:t>
            </w:r>
          </w:p>
        </w:tc>
        <w:tc>
          <w:tcPr>
            <w:shd w:val="clear" w:color="auto" w:fill="00B050"/>
          </w:tcPr>
          <w:p>
            <w:pPr>
              <w:pStyle w:val="Tabla8"/>
              <w:jc w:val="center"/>
            </w:pPr>
            <w:r>
              <w:rPr>
                <w:b/>
                <w:color w:val="FFFFFF"/>
              </w:rPr>
              <w:t xml:space="preserve">Señal de alerta temprana</w:t>
            </w:r>
          </w:p>
        </w:tc>
        <w:tc>
          <w:tcPr>
            <w:shd w:val="clear" w:color="auto" w:fill="00B050"/>
          </w:tcPr>
          <w:p>
            <w:pPr>
              <w:pStyle w:val="Tabla8"/>
              <w:jc w:val="center"/>
            </w:pPr>
            <w:r>
              <w:rPr>
                <w:b/>
                <w:color w:val="FFFFFF"/>
              </w:rPr>
              <w:t xml:space="preserve">Acción preventiva</w:t>
            </w:r>
          </w:p>
        </w:tc>
        <w:tc>
          <w:tcPr>
            <w:shd w:val="clear" w:color="auto" w:fill="00B050"/>
          </w:tcPr>
          <w:p>
            <w:pPr>
              <w:pStyle w:val="Tabla8"/>
              <w:jc w:val="center"/>
            </w:pPr>
            <w:r>
              <w:rPr>
                <w:b/>
                <w:color w:val="FFFFFF"/>
              </w:rPr>
              <w:t xml:space="preserve">Responsable</w:t>
            </w:r>
          </w:p>
        </w:tc>
      </w:tr>
      <w:tr>
        <w:trPr>
          <w:cantSplit/>
        </w:trPr>
        <w:tc>
          <w:tcPr/>
          <w:p>
            <w:pPr>
              <w:pStyle w:val="Tabla8"/>
              <w:jc w:val="left"/>
            </w:pPr>
            <w:r>
              <w:t xml:space="preserve">Técnica</w:t>
            </w:r>
          </w:p>
        </w:tc>
        <w:tc>
          <w:tcPr/>
          <w:p>
            <w:pPr>
              <w:pStyle w:val="Tabla8"/>
              <w:jc w:val="left"/>
            </w:pPr>
            <w:r>
              <w:t xml:space="preserve">La humedad y el polvo saturan los cabezales ópticos y sesgan PM2,5 y PM10</w:t>
            </w:r>
          </w:p>
        </w:tc>
        <w:tc>
          <w:tcPr/>
          <w:p>
            <w:pPr>
              <w:pStyle w:val="Tabla8"/>
              <w:jc w:val="left"/>
            </w:pPr>
            <w:r>
              <w:t xml:space="preserve">R-TEC-01</w:t>
            </w:r>
          </w:p>
        </w:tc>
        <w:tc>
          <w:tcPr/>
          <w:p>
            <w:pPr>
              <w:pStyle w:val="Tabla8"/>
              <w:jc w:val="left"/>
            </w:pPr>
            <w:r>
              <w:t xml:space="preserve">EXTREMO; 60 %</w:t>
            </w:r>
          </w:p>
        </w:tc>
        <w:tc>
          <w:tcPr/>
          <w:p>
            <w:pPr>
              <w:pStyle w:val="Tabla8"/>
              <w:jc w:val="left"/>
            </w:pPr>
            <w:r>
              <w:t xml:space="preserve">NRMSE &gt; 30 % en dos verificaciones consecutivas</w:t>
            </w:r>
          </w:p>
        </w:tc>
        <w:tc>
          <w:tcPr/>
          <w:p>
            <w:pPr>
              <w:pStyle w:val="Tabla8"/>
              <w:jc w:val="left"/>
            </w:pPr>
            <w:r>
              <w:t xml:space="preserve">Modelo de corrección por humedad, banco de calibración y reposición de cabezales</w:t>
            </w:r>
          </w:p>
        </w:tc>
        <w:tc>
          <w:tcPr/>
          <w:p>
            <w:pPr>
              <w:pStyle w:val="Tabla8"/>
              <w:jc w:val="left"/>
            </w:pPr>
            <w:r>
              <w:t xml:space="preserve">Especialista en metrología</w:t>
            </w:r>
          </w:p>
        </w:tc>
      </w:tr>
      <w:tr>
        <w:trPr>
          <w:cantSplit/>
        </w:trPr>
        <w:tc>
          <w:tcPr/>
          <w:p>
            <w:pPr>
              <w:pStyle w:val="Tabla8"/>
              <w:jc w:val="left"/>
            </w:pPr>
            <w:r>
              <w:t xml:space="preserve">Técnica</w:t>
            </w:r>
          </w:p>
        </w:tc>
        <w:tc>
          <w:tcPr/>
          <w:p>
            <w:pPr>
              <w:pStyle w:val="Tabla8"/>
              <w:jc w:val="left"/>
            </w:pPr>
            <w:r>
              <w:t xml:space="preserve">El modelo de corrección no generaliza entre departamentos</w:t>
            </w:r>
          </w:p>
        </w:tc>
        <w:tc>
          <w:tcPr/>
          <w:p>
            <w:pPr>
              <w:pStyle w:val="Tabla8"/>
              <w:jc w:val="left"/>
            </w:pPr>
            <w:r>
              <w:t xml:space="preserve">R-TEC-04</w:t>
            </w:r>
          </w:p>
        </w:tc>
        <w:tc>
          <w:tcPr/>
          <w:p>
            <w:pPr>
              <w:pStyle w:val="Tabla8"/>
              <w:jc w:val="left"/>
            </w:pPr>
            <w:r>
              <w:t xml:space="preserve">ALTO; 35 %</w:t>
            </w:r>
          </w:p>
        </w:tc>
        <w:tc>
          <w:tcPr/>
          <w:p>
            <w:pPr>
              <w:pStyle w:val="Tabla8"/>
              <w:jc w:val="left"/>
            </w:pPr>
            <w:r>
              <w:t xml:space="preserve">R² &lt; 0,70 en el conjunto de validación externo</w:t>
            </w:r>
          </w:p>
        </w:tc>
        <w:tc>
          <w:tcPr/>
          <w:p>
            <w:pPr>
              <w:pStyle w:val="Tabla8"/>
              <w:jc w:val="left"/>
            </w:pPr>
            <w:r>
              <w:t xml:space="preserve">Validación cruzada por departamento y reentrenamiento por tramo</w:t>
            </w:r>
          </w:p>
        </w:tc>
        <w:tc>
          <w:tcPr/>
          <w:p>
            <w:pPr>
              <w:pStyle w:val="Tabla8"/>
              <w:jc w:val="left"/>
            </w:pPr>
            <w:r>
              <w:t xml:space="preserve">Científico de datos</w:t>
            </w:r>
          </w:p>
        </w:tc>
      </w:tr>
      <w:tr>
        <w:trPr>
          <w:cantSplit/>
        </w:trPr>
        <w:tc>
          <w:tcPr/>
          <w:p>
            <w:pPr>
              <w:pStyle w:val="Tabla8"/>
              <w:jc w:val="left"/>
            </w:pPr>
            <w:r>
              <w:t xml:space="preserve">Técnica</w:t>
            </w:r>
          </w:p>
        </w:tc>
        <w:tc>
          <w:tcPr/>
          <w:p>
            <w:pPr>
              <w:pStyle w:val="Tabla8"/>
              <w:jc w:val="left"/>
            </w:pPr>
            <w:r>
              <w:t xml:space="preserve">Las baterías se agotan antes de 14 días sin sol y los nodos dejan de transmitir</w:t>
            </w:r>
          </w:p>
        </w:tc>
        <w:tc>
          <w:tcPr/>
          <w:p>
            <w:pPr>
              <w:pStyle w:val="Tabla8"/>
              <w:jc w:val="left"/>
            </w:pPr>
            <w:r>
              <w:t xml:space="preserve">R-TEC-02</w:t>
            </w:r>
          </w:p>
        </w:tc>
        <w:tc>
          <w:tcPr/>
          <w:p>
            <w:pPr>
              <w:pStyle w:val="Tabla8"/>
              <w:jc w:val="left"/>
            </w:pPr>
            <w:r>
              <w:t xml:space="preserve">ALTO; 30 %</w:t>
            </w:r>
          </w:p>
        </w:tc>
        <w:tc>
          <w:tcPr/>
          <w:p>
            <w:pPr>
              <w:pStyle w:val="Tabla8"/>
              <w:jc w:val="left"/>
            </w:pPr>
            <w:r>
              <w:t xml:space="preserve">Disponibilidad mensual &lt; 90 %</w:t>
            </w:r>
          </w:p>
        </w:tc>
        <w:tc>
          <w:tcPr/>
          <w:p>
            <w:pPr>
              <w:pStyle w:val="Tabla8"/>
              <w:jc w:val="left"/>
            </w:pPr>
            <w:r>
              <w:t xml:space="preserve">Kits solares dimensionados, modo de bajo consumo y repuestos de batería</w:t>
            </w:r>
          </w:p>
        </w:tc>
        <w:tc>
          <w:tcPr/>
          <w:p>
            <w:pPr>
              <w:pStyle w:val="Tabla8"/>
              <w:jc w:val="left"/>
            </w:pPr>
            <w:r>
              <w:t xml:space="preserve">Ingeniero de firmware</w:t>
            </w:r>
          </w:p>
        </w:tc>
      </w:tr>
      <w:tr>
        <w:trPr>
          <w:cantSplit/>
        </w:trPr>
        <w:tc>
          <w:tcPr/>
          <w:p>
            <w:pPr>
              <w:pStyle w:val="Tabla8"/>
              <w:jc w:val="left"/>
            </w:pPr>
            <w:r>
              <w:t xml:space="preserve">Técnica</w:t>
            </w:r>
          </w:p>
        </w:tc>
        <w:tc>
          <w:tcPr/>
          <w:p>
            <w:pPr>
              <w:pStyle w:val="Tabla8"/>
              <w:jc w:val="left"/>
            </w:pPr>
            <w:r>
              <w:t xml:space="preserve">La red celular falla y los gateways pierden el enlace con la nube</w:t>
            </w:r>
          </w:p>
        </w:tc>
        <w:tc>
          <w:tcPr/>
          <w:p>
            <w:pPr>
              <w:pStyle w:val="Tabla8"/>
              <w:jc w:val="left"/>
            </w:pPr>
            <w:r>
              <w:t xml:space="preserve">R-TEC-03</w:t>
            </w:r>
          </w:p>
        </w:tc>
        <w:tc>
          <w:tcPr/>
          <w:p>
            <w:pPr>
              <w:pStyle w:val="Tabla8"/>
              <w:jc w:val="left"/>
            </w:pPr>
            <w:r>
              <w:t xml:space="preserve">ALTO; 40 %</w:t>
            </w:r>
          </w:p>
        </w:tc>
        <w:tc>
          <w:tcPr/>
          <w:p>
            <w:pPr>
              <w:pStyle w:val="Tabla8"/>
              <w:jc w:val="left"/>
            </w:pPr>
            <w:r>
              <w:t xml:space="preserve">Pérdida de paquetes &gt; 10 % durante 72 horas</w:t>
            </w:r>
          </w:p>
        </w:tc>
        <w:tc>
          <w:tcPr/>
          <w:p>
            <w:pPr>
              <w:pStyle w:val="Tabla8"/>
              <w:jc w:val="left"/>
            </w:pPr>
            <w:r>
              <w:t xml:space="preserve">Enlace satelital de respaldo y almacenamiento local de 7 días</w:t>
            </w:r>
          </w:p>
        </w:tc>
        <w:tc>
          <w:tcPr/>
          <w:p>
            <w:pPr>
              <w:pStyle w:val="Tabla8"/>
              <w:jc w:val="left"/>
            </w:pPr>
            <w:r>
              <w:t xml:space="preserve">Ingenieros IoT</w:t>
            </w:r>
          </w:p>
        </w:tc>
      </w:tr>
      <w:tr>
        <w:trPr>
          <w:cantSplit/>
        </w:trPr>
        <w:tc>
          <w:tcPr/>
          <w:p>
            <w:pPr>
              <w:pStyle w:val="Tabla8"/>
              <w:jc w:val="left"/>
            </w:pPr>
            <w:r>
              <w:t xml:space="preserve">Adopción</w:t>
            </w:r>
          </w:p>
        </w:tc>
        <w:tc>
          <w:tcPr/>
          <w:p>
            <w:pPr>
              <w:pStyle w:val="Tabla8"/>
              <w:jc w:val="left"/>
            </w:pPr>
            <w:r>
              <w:t xml:space="preserve">Los comités no adoptan el tablero ni el protocolo</w:t>
            </w:r>
          </w:p>
        </w:tc>
        <w:tc>
          <w:tcPr/>
          <w:p>
            <w:pPr>
              <w:pStyle w:val="Tabla8"/>
              <w:jc w:val="left"/>
            </w:pPr>
            <w:r>
              <w:t xml:space="preserve">R-ORG-01</w:t>
            </w:r>
          </w:p>
        </w:tc>
        <w:tc>
          <w:tcPr/>
          <w:p>
            <w:pPr>
              <w:pStyle w:val="Tabla8"/>
              <w:jc w:val="left"/>
            </w:pPr>
            <w:r>
              <w:t xml:space="preserve">ALTO; 40 %</w:t>
            </w:r>
          </w:p>
        </w:tc>
        <w:tc>
          <w:tcPr/>
          <w:p>
            <w:pPr>
              <w:pStyle w:val="Tabla8"/>
              <w:jc w:val="left"/>
            </w:pPr>
            <w:r>
              <w:t xml:space="preserve">Menos de 50 % de uso en el tramo 1</w:t>
            </w:r>
          </w:p>
        </w:tc>
        <w:tc>
          <w:tcPr/>
          <w:p>
            <w:pPr>
              <w:pStyle w:val="Tabla8"/>
              <w:jc w:val="left"/>
            </w:pPr>
            <w:r>
              <w:t xml:space="preserve">Co-diseño de umbrales, formación por comité y uso piloto con registro de decisiones</w:t>
            </w:r>
          </w:p>
        </w:tc>
        <w:tc>
          <w:tcPr/>
          <w:p>
            <w:pPr>
              <w:pStyle w:val="Tabla8"/>
              <w:jc w:val="left"/>
            </w:pPr>
            <w:r>
              <w:t xml:space="preserve">Coordinación de apropiación</w:t>
            </w:r>
          </w:p>
        </w:tc>
      </w:tr>
      <w:tr>
        <w:trPr>
          <w:cantSplit/>
        </w:trPr>
        <w:tc>
          <w:tcPr/>
          <w:p>
            <w:pPr>
              <w:pStyle w:val="Tabla8"/>
              <w:jc w:val="left"/>
            </w:pPr>
            <w:r>
              <w:t xml:space="preserve">Adopción</w:t>
            </w:r>
          </w:p>
        </w:tc>
        <w:tc>
          <w:tcPr/>
          <w:p>
            <w:pPr>
              <w:pStyle w:val="Tabla8"/>
              <w:jc w:val="left"/>
            </w:pPr>
            <w:r>
              <w:t xml:space="preserve">Los custodios no asumen la operación en el posproyecto</w:t>
            </w:r>
          </w:p>
        </w:tc>
        <w:tc>
          <w:tcPr/>
          <w:p>
            <w:pPr>
              <w:pStyle w:val="Tabla8"/>
              <w:jc w:val="left"/>
            </w:pPr>
            <w:r>
              <w:t xml:space="preserve">R-ORG-02</w:t>
            </w:r>
          </w:p>
        </w:tc>
        <w:tc>
          <w:tcPr/>
          <w:p>
            <w:pPr>
              <w:pStyle w:val="Tabla8"/>
              <w:jc w:val="left"/>
            </w:pPr>
            <w:r>
              <w:t xml:space="preserve">ALTO; 50 %</w:t>
            </w:r>
          </w:p>
        </w:tc>
        <w:tc>
          <w:tcPr/>
          <w:p>
            <w:pPr>
              <w:pStyle w:val="Tabla8"/>
              <w:jc w:val="left"/>
            </w:pPr>
            <w:r>
              <w:t xml:space="preserve">Convenio sin partida al cierre del tramo 2</w:t>
            </w:r>
          </w:p>
        </w:tc>
        <w:tc>
          <w:tcPr/>
          <w:p>
            <w:pPr>
              <w:pStyle w:val="Tabla8"/>
              <w:jc w:val="left"/>
            </w:pPr>
            <w:r>
              <w:t xml:space="preserve">Convenios por tramo, formación de custodios y cláusula de apertura</w:t>
            </w:r>
          </w:p>
        </w:tc>
        <w:tc>
          <w:tcPr/>
          <w:p>
            <w:pPr>
              <w:pStyle w:val="Tabla8"/>
              <w:jc w:val="left"/>
            </w:pPr>
            <w:r>
              <w:t xml:space="preserve">Profesional de convenios</w:t>
            </w:r>
          </w:p>
        </w:tc>
      </w:tr>
      <w:tr>
        <w:trPr>
          <w:cantSplit/>
        </w:trPr>
        <w:tc>
          <w:tcPr/>
          <w:p>
            <w:pPr>
              <w:pStyle w:val="Tabla8"/>
              <w:jc w:val="left"/>
            </w:pPr>
            <w:r>
              <w:t xml:space="preserve">Externa</w:t>
            </w:r>
          </w:p>
        </w:tc>
        <w:tc>
          <w:tcPr/>
          <w:p>
            <w:pPr>
              <w:pStyle w:val="Tabla8"/>
              <w:jc w:val="left"/>
            </w:pPr>
            <w:r>
              <w:t xml:space="preserve">Deslizamientos o réplicas bloquean vías y retrasan la instalación</w:t>
            </w:r>
          </w:p>
        </w:tc>
        <w:tc>
          <w:tcPr/>
          <w:p>
            <w:pPr>
              <w:pStyle w:val="Tabla8"/>
              <w:jc w:val="left"/>
            </w:pPr>
            <w:r>
              <w:t xml:space="preserve">R-EXT-01</w:t>
            </w:r>
          </w:p>
        </w:tc>
        <w:tc>
          <w:tcPr/>
          <w:p>
            <w:pPr>
              <w:pStyle w:val="Tabla8"/>
              <w:jc w:val="left"/>
            </w:pPr>
            <w:r>
              <w:t xml:space="preserve">ALTO; 50 %</w:t>
            </w:r>
          </w:p>
        </w:tc>
        <w:tc>
          <w:tcPr/>
          <w:p>
            <w:pPr>
              <w:pStyle w:val="Tabla8"/>
              <w:jc w:val="left"/>
            </w:pPr>
            <w:r>
              <w:t xml:space="preserve">Retraso de instalación &gt; 3 semanas</w:t>
            </w:r>
          </w:p>
        </w:tc>
        <w:tc>
          <w:tcPr/>
          <w:p>
            <w:pPr>
              <w:pStyle w:val="Tabla8"/>
              <w:jc w:val="left"/>
            </w:pPr>
            <w:r>
              <w:t xml:space="preserve">Instalación en ventanas secas, técnicos locales y holgura en el cronograma</w:t>
            </w:r>
          </w:p>
        </w:tc>
        <w:tc>
          <w:tcPr/>
          <w:p>
            <w:pPr>
              <w:pStyle w:val="Tabla8"/>
              <w:jc w:val="left"/>
            </w:pPr>
            <w:r>
              <w:t xml:space="preserve">Gerencia de proyecto</w:t>
            </w:r>
          </w:p>
        </w:tc>
      </w:tr>
      <w:tr>
        <w:trPr>
          <w:cantSplit/>
        </w:trPr>
        <w:tc>
          <w:tcPr/>
          <w:p>
            <w:pPr>
              <w:pStyle w:val="Tabla8"/>
              <w:jc w:val="left"/>
            </w:pPr>
            <w:r>
              <w:t xml:space="preserve">Externa</w:t>
            </w:r>
          </w:p>
        </w:tc>
        <w:tc>
          <w:tcPr/>
          <w:p>
            <w:pPr>
              <w:pStyle w:val="Tabla8"/>
              <w:jc w:val="left"/>
            </w:pPr>
            <w:r>
              <w:t xml:space="preserve">Robo o vandalismo de nodos en sitios de remoción</w:t>
            </w:r>
          </w:p>
        </w:tc>
        <w:tc>
          <w:tcPr/>
          <w:p>
            <w:pPr>
              <w:pStyle w:val="Tabla8"/>
              <w:jc w:val="left"/>
            </w:pPr>
            <w:r>
              <w:t xml:space="preserve">R-EXT-02</w:t>
            </w:r>
          </w:p>
        </w:tc>
        <w:tc>
          <w:tcPr/>
          <w:p>
            <w:pPr>
              <w:pStyle w:val="Tabla8"/>
              <w:jc w:val="left"/>
            </w:pPr>
            <w:r>
              <w:t xml:space="preserve">MEDIO; 40 %</w:t>
            </w:r>
          </w:p>
        </w:tc>
        <w:tc>
          <w:tcPr/>
          <w:p>
            <w:pPr>
              <w:pStyle w:val="Tabla8"/>
              <w:jc w:val="left"/>
            </w:pPr>
            <w:r>
              <w:t xml:space="preserve">Dos o más nodos perdidos en un mes</w:t>
            </w:r>
          </w:p>
        </w:tc>
        <w:tc>
          <w:tcPr/>
          <w:p>
            <w:pPr>
              <w:pStyle w:val="Tabla8"/>
              <w:jc w:val="left"/>
            </w:pPr>
            <w:r>
              <w:t xml:space="preserve">Cerramientos, custodia local por sitio y seguro de equipos de la entidad ejecutora, fuera del presupuesto SGR</w:t>
            </w:r>
          </w:p>
        </w:tc>
        <w:tc>
          <w:tcPr/>
          <w:p>
            <w:pPr>
              <w:pStyle w:val="Tabla8"/>
              <w:jc w:val="left"/>
            </w:pPr>
            <w:r>
              <w:t xml:space="preserve">Técnicos de campo</w:t>
            </w:r>
          </w:p>
        </w:tc>
      </w:tr>
      <w:tr>
        <w:trPr>
          <w:cantSplit/>
        </w:trPr>
        <w:tc>
          <w:tcPr/>
          <w:p>
            <w:pPr>
              <w:pStyle w:val="Tabla8"/>
              <w:jc w:val="left"/>
            </w:pPr>
            <w:r>
              <w:t xml:space="preserve">Recursos</w:t>
            </w:r>
          </w:p>
        </w:tc>
        <w:tc>
          <w:tcPr/>
          <w:p>
            <w:pPr>
              <w:pStyle w:val="Tabla8"/>
              <w:jc w:val="left"/>
            </w:pPr>
            <w:r>
              <w:t xml:space="preserve">La devaluación del peso encarece los equipos importados</w:t>
            </w:r>
          </w:p>
        </w:tc>
        <w:tc>
          <w:tcPr/>
          <w:p>
            <w:pPr>
              <w:pStyle w:val="Tabla8"/>
              <w:jc w:val="left"/>
            </w:pPr>
            <w:r>
              <w:t xml:space="preserve">R-FIN-01</w:t>
            </w:r>
          </w:p>
        </w:tc>
        <w:tc>
          <w:tcPr/>
          <w:p>
            <w:pPr>
              <w:pStyle w:val="Tabla8"/>
              <w:jc w:val="left"/>
            </w:pPr>
            <w:r>
              <w:t xml:space="preserve">ALTO; 55 %</w:t>
            </w:r>
          </w:p>
        </w:tc>
        <w:tc>
          <w:tcPr/>
          <w:p>
            <w:pPr>
              <w:pStyle w:val="Tabla8"/>
              <w:jc w:val="left"/>
            </w:pPr>
            <w:r>
              <w:t xml:space="preserve">TRM supera en 10 % la de la cotización</w:t>
            </w:r>
          </w:p>
        </w:tc>
        <w:tc>
          <w:tcPr/>
          <w:p>
            <w:pPr>
              <w:pStyle w:val="Tabla8"/>
              <w:jc w:val="left"/>
            </w:pPr>
            <w:r>
              <w:t xml:space="preserve">Compra por tramo con cobertura cambiaria y cotizaciones vigentes</w:t>
            </w:r>
          </w:p>
        </w:tc>
        <w:tc>
          <w:tcPr/>
          <w:p>
            <w:pPr>
              <w:pStyle w:val="Tabla8"/>
              <w:jc w:val="left"/>
            </w:pPr>
            <w:r>
              <w:t xml:space="preserve">Gerencia de proyecto</w:t>
            </w:r>
          </w:p>
        </w:tc>
      </w:tr>
      <w:tr>
        <w:trPr>
          <w:cantSplit/>
        </w:trPr>
        <w:tc>
          <w:tcPr/>
          <w:p>
            <w:pPr>
              <w:pStyle w:val="Tabla8"/>
              <w:jc w:val="left"/>
            </w:pPr>
            <w:r>
              <w:t xml:space="preserve">Recursos</w:t>
            </w:r>
          </w:p>
        </w:tc>
        <w:tc>
          <w:tcPr/>
          <w:p>
            <w:pPr>
              <w:pStyle w:val="Tabla8"/>
              <w:jc w:val="left"/>
            </w:pPr>
            <w:r>
              <w:t xml:space="preserve">La contrapartida en especie no se certifica a tiempo</w:t>
            </w:r>
          </w:p>
        </w:tc>
        <w:tc>
          <w:tcPr/>
          <w:p>
            <w:pPr>
              <w:pStyle w:val="Tabla8"/>
              <w:jc w:val="left"/>
            </w:pPr>
            <w:r>
              <w:t xml:space="preserve">R-FIN-02</w:t>
            </w:r>
          </w:p>
        </w:tc>
        <w:tc>
          <w:tcPr/>
          <w:p>
            <w:pPr>
              <w:pStyle w:val="Tabla8"/>
              <w:jc w:val="left"/>
            </w:pPr>
            <w:r>
              <w:t xml:space="preserve">MEDIO; 25 %</w:t>
            </w:r>
          </w:p>
        </w:tc>
        <w:tc>
          <w:tcPr/>
          <w:p>
            <w:pPr>
              <w:pStyle w:val="Tabla8"/>
              <w:jc w:val="left"/>
            </w:pPr>
            <w:r>
              <w:t xml:space="preserve">Certificación pendiente al mes 2</w:t>
            </w:r>
          </w:p>
        </w:tc>
        <w:tc>
          <w:tcPr/>
          <w:p>
            <w:pPr>
              <w:pStyle w:val="Tabla8"/>
              <w:jc w:val="left"/>
            </w:pPr>
            <w:r>
              <w:t xml:space="preserve">Certificación de la IES y de la empresa antes del acta de inicio</w:t>
            </w:r>
          </w:p>
        </w:tc>
        <w:tc>
          <w:tcPr/>
          <w:p>
            <w:pPr>
              <w:pStyle w:val="Tabla8"/>
              <w:jc w:val="left"/>
            </w:pPr>
            <w:r>
              <w:t xml:space="preserve">Gerencia de proyecto</w:t>
            </w:r>
          </w:p>
        </w:tc>
      </w:tr>
      <w:tr>
        <w:trPr>
          <w:cantSplit/>
        </w:trPr>
        <w:tc>
          <w:tcPr/>
          <w:p>
            <w:pPr>
              <w:pStyle w:val="Tabla8"/>
              <w:jc w:val="left"/>
            </w:pPr>
            <w:r>
              <w:t xml:space="preserve">Jurídica</w:t>
            </w:r>
          </w:p>
        </w:tc>
        <w:tc>
          <w:tcPr/>
          <w:p>
            <w:pPr>
              <w:pStyle w:val="Tabla8"/>
              <w:jc w:val="left"/>
            </w:pPr>
            <w:r>
              <w:t xml:space="preserve">Una solicitud de patente de terceros afecta la libertad de operación</w:t>
            </w:r>
          </w:p>
        </w:tc>
        <w:tc>
          <w:tcPr/>
          <w:p>
            <w:pPr>
              <w:pStyle w:val="Tabla8"/>
              <w:jc w:val="left"/>
            </w:pPr>
            <w:r>
              <w:t xml:space="preserve">R-JUR-01</w:t>
            </w:r>
          </w:p>
        </w:tc>
        <w:tc>
          <w:tcPr/>
          <w:p>
            <w:pPr>
              <w:pStyle w:val="Tabla8"/>
              <w:jc w:val="left"/>
            </w:pPr>
            <w:r>
              <w:t xml:space="preserve">MEDIO; 20 %</w:t>
            </w:r>
          </w:p>
        </w:tc>
        <w:tc>
          <w:tcPr/>
          <w:p>
            <w:pPr>
              <w:pStyle w:val="Tabla8"/>
              <w:jc w:val="left"/>
            </w:pPr>
            <w:r>
              <w:t xml:space="preserve">Solicitud con fase nacional abierta que reivindique el método</w:t>
            </w:r>
          </w:p>
        </w:tc>
        <w:tc>
          <w:tcPr/>
          <w:p>
            <w:pPr>
              <w:pStyle w:val="Tabla8"/>
              <w:jc w:val="left"/>
            </w:pPr>
            <w:r>
              <w:t xml:space="preserve">Análisis de libertad de operación y diseño alternativo del módulo afectado</w:t>
            </w:r>
          </w:p>
        </w:tc>
        <w:tc>
          <w:tcPr/>
          <w:p>
            <w:pPr>
              <w:pStyle w:val="Tabla8"/>
              <w:jc w:val="left"/>
            </w:pPr>
            <w:r>
              <w:t xml:space="preserve">Consultoría en propiedad intelectual</w:t>
            </w:r>
          </w:p>
        </w:tc>
      </w:tr>
      <w:tr>
        <w:trPr>
          <w:cantSplit/>
        </w:trPr>
        <w:tc>
          <w:tcPr/>
          <w:p>
            <w:pPr>
              <w:pStyle w:val="Tabla8"/>
              <w:jc w:val="left"/>
            </w:pPr>
            <w:r>
              <w:t xml:space="preserve">Datos</w:t>
            </w:r>
          </w:p>
        </w:tc>
        <w:tc>
          <w:tcPr/>
          <w:p>
            <w:pPr>
              <w:pStyle w:val="Tabla8"/>
              <w:jc w:val="left"/>
            </w:pPr>
            <w:r>
              <w:t xml:space="preserve">Un incidente de ciberseguridad compromete la plataforma</w:t>
            </w:r>
          </w:p>
        </w:tc>
        <w:tc>
          <w:tcPr/>
          <w:p>
            <w:pPr>
              <w:pStyle w:val="Tabla8"/>
              <w:jc w:val="left"/>
            </w:pPr>
            <w:r>
              <w:t xml:space="preserve">R-DAT-01</w:t>
            </w:r>
          </w:p>
        </w:tc>
        <w:tc>
          <w:tcPr/>
          <w:p>
            <w:pPr>
              <w:pStyle w:val="Tabla8"/>
              <w:jc w:val="left"/>
            </w:pPr>
            <w:r>
              <w:t xml:space="preserve">MEDIO; 20 %</w:t>
            </w:r>
          </w:p>
        </w:tc>
        <w:tc>
          <w:tcPr/>
          <w:p>
            <w:pPr>
              <w:pStyle w:val="Tabla8"/>
              <w:jc w:val="left"/>
            </w:pPr>
            <w:r>
              <w:t xml:space="preserve">Hallazgo crítico en la auditoría</w:t>
            </w:r>
          </w:p>
        </w:tc>
        <w:tc>
          <w:tcPr/>
          <w:p>
            <w:pPr>
              <w:pStyle w:val="Tabla8"/>
              <w:jc w:val="left"/>
            </w:pPr>
            <w:r>
              <w:t xml:space="preserve">Pruebas de penetración, segmentación y copias de respaldo</w:t>
            </w:r>
          </w:p>
        </w:tc>
        <w:tc>
          <w:tcPr/>
          <w:p>
            <w:pPr>
              <w:pStyle w:val="Tabla8"/>
              <w:jc w:val="left"/>
            </w:pPr>
            <w:r>
              <w:t xml:space="preserve">Ingenieros de software</w:t>
            </w:r>
          </w:p>
        </w:tc>
      </w:tr>
    </w:tbl>
    <w:p>
      <w:pPr>
        <w:pStyle w:val="TablaNota"/>
      </w:pPr>
      <w:r>
        <w:rPr>
          <w:i/>
          <w:iCs/>
        </w:rPr>
        <w:t xml:space="preserve">Nota.</w:t>
      </w:r>
      <w:r>
        <w:t xml:space="preserve"> </w:t>
      </w:r>
      <w:r>
        <w:t xml:space="preserve">Elaboración propia con datos del registro de riesgos del libro maestro (probabilidad, impacto, nivel y disparador). La probabilidad y el impacto son juicios de formulación sin frecuencia observada. TRM: tasa representativa del mercado. IES: institución de educación superior.</w:t>
      </w:r>
    </w:p>
    <w:p>
      <w:pPr>
        <w:pStyle w:val="BodyText"/>
      </w:pPr>
      <w:r>
        <w:t xml:space="preserve">La tabla agrupa seis categorías de causa. Las causas técnicas son cuatro y las de adopción, externas, de recursos, jurídicas y de datos suman ocho. Cada causa presenta una señal medible, lo que permite activar la respuesta con un criterio verificable y no con una percepción. Los niveles también ordenan la atención: un riesgo EXTREMO, siete ALTOS y cuatro MEDIOS.</w:t>
      </w:r>
    </w:p>
    <w:p>
      <w:pPr>
        <w:pStyle w:val="BodyText"/>
      </w:pPr>
      <w:r>
        <w:t xml:space="preserve">La literatura respalda la plausibilidad de las causas técnicas y de custodia. La humedad influye en el desempeño de un sensor de masa de partículas de bajo costo (Jayaratne et al., 2018). Calibrar ese tipo de sensor plantea retos conocidos (Giordano et al., 2021). El informe de vigilancia ubica una red en una mina y un sistema de lahares en el valle de tecnología sin negocio (F-INF, §4.6; Suresh et al., 2025; Espinoza et al., 2026). En Brasil, 16,8 % de las estaciones están inactivas o sin estado (Tavella et al., 2026, p. 6). Esos antecedentes indican que la humedad y la custodia no son riesgos marginales, y justifican que reciban la mayor atención del proyecto.</w:t>
      </w:r>
    </w:p>
    <w:p>
      <w:pPr>
        <w:pStyle w:val="BodyText"/>
      </w:pPr>
      <w:r>
        <w:t xml:space="preserve">La Figura X4.6 muestra cuánto pesa cada riesgo en el valor monetario esperado. El orden de las barras define la prioridad de la reserva.</w:t>
      </w:r>
    </w:p>
    <w:p>
      <w:pPr>
        <w:pStyle w:val="FiguraRotulo"/>
      </w:pPr>
      <w:bookmarkStart w:id="9561" w:name="rot_Figura_X4_6"/>
      <w:r>
        <w:rPr>
          <w:b/>
          <w:bCs/>
        </w:rPr>
        <w:t xml:space="preserve">Figura X4.6</w:t>
      </w:r>
      <w:bookmarkEnd w:id="9561"/>
    </w:p>
    <w:p>
      <w:pPr>
        <w:pStyle w:val="FiguraTitulo"/>
      </w:pPr>
      <w:r>
        <w:rPr>
          <w:i/>
          <w:iCs/>
        </w:rPr>
        <w:t xml:space="preserve">Dos riesgos concentran 49,5 % del valor monetario esperado de la reserva</w:t>
      </w:r>
    </w:p>
    <w:p>
      <w:pPr>
        <w:pStyle w:val="BodyText"/>
      </w:pPr>
      <w:r>
        <w:drawing>
          <wp:inline>
            <wp:extent cx="5579999" cy="3541289"/>
            <wp:effectExtent b="0" l="0" r="0" t="0"/>
            <wp:docPr descr="" title="" id="782" name="Picture"/>
            <a:graphic>
              <a:graphicData uri="http://schemas.openxmlformats.org/drawingml/2006/picture">
                <pic:pic>
                  <pic:nvPicPr>
                    <pic:cNvPr descr="/tmp/claude-0/-home-user-docs/ddf38714-2a7e-502b-92b4-1008e2832422/scratchpad/proy/figs/out/cX4_f06.png" id="783" name="Picture"/>
                    <pic:cNvPicPr>
                      <a:picLocks noChangeArrowheads="1" noChangeAspect="1"/>
                    </pic:cNvPicPr>
                  </pic:nvPicPr>
                  <pic:blipFill>
                    <a:blip r:embed="rId781"/>
                    <a:stretch>
                      <a:fillRect/>
                    </a:stretch>
                  </pic:blipFill>
                  <pic:spPr bwMode="auto">
                    <a:xfrm>
                      <a:off x="0" y="0"/>
                      <a:ext cx="5579999" cy="354128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registro de riesgos del libro maestro (EMV CALCULADO como probabilidad por impacto, en millones de COP; suma de 636,5 y reserva de 636,0 millones de COP). Barras horizontales ordenadas; el nivel se distingue por color y trama; matplotlib, tamaño 10 × 7 pulgadas. Script: cX4_figuras.py; sin semilla aleatoria.</w:t>
      </w:r>
    </w:p>
    <w:p>
      <w:pPr>
        <w:pStyle w:val="BodyText"/>
      </w:pPr>
      <w:r>
        <w:t xml:space="preserve">La figura muestra una distribución concentrada. La devaluación del peso (R-FIN-01) aporta 165,0 millones de COP y la saturación de los cabezales (R-TEC-01) aporta 150,0 millones de COP. Juntas suman 315,0 millones de COP, es decir, 49,5 % del total (CALCULADO). Por categoría, el riesgo técnico pesa 36,7 % y el financiero 29,1 % (CALCULADO). La estrategia debe vigilar dos puntos con mayor atención. Son el desempeño de la corrección frente al umbral y el tipo de cambio en cada orden de compra por tramo.</w:t>
      </w:r>
    </w:p>
    <w:p>
      <w:pPr>
        <w:pStyle w:val="BodyText"/>
      </w:pPr>
      <w:r>
        <w:t xml:space="preserve">La sección 4.4-MDR.12 aporta las causas que el registro cuantitativo no captura. La Tabla X4.12 las presenta por fase de origen y las vincula con el riesgo del registro cuando existe. Las causas sin riesgo asociado carecen de EMV y no cuentan con cargo a la reserva.</w:t>
      </w:r>
    </w:p>
    <w:p>
      <w:pPr>
        <w:pStyle w:val="TablaRotulo"/>
      </w:pPr>
      <w:bookmarkStart w:id="9431" w:name="rot_Tabla_X4_12"/>
      <w:r>
        <w:rPr>
          <w:b/>
          <w:bCs/>
        </w:rPr>
        <w:t xml:space="preserve">Tabla X4.12</w:t>
      </w:r>
      <w:bookmarkEnd w:id="9431"/>
    </w:p>
    <w:p>
      <w:pPr>
        <w:pStyle w:val="TablaTitulo"/>
      </w:pPr>
      <w:r>
        <w:rPr>
          <w:i/>
          <w:iCs/>
        </w:rPr>
        <w:t xml:space="preserve">Causas estratégicas de fracaso según el premortem de 4.4-MDR.12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52"/>
        <w:gridCol w:w="1386"/>
        <w:gridCol w:w="1056"/>
        <w:gridCol w:w="1452"/>
        <w:gridCol w:w="1386"/>
        <w:gridCol w:w="1188"/>
      </w:tblGrid>
      <w:tr>
        <w:trPr>
          <w:cantSplit/>
          <w:tblHeader/>
        </w:trPr>
        <w:tc>
          <w:tcPr>
            <w:shd w:val="clear" w:color="auto" w:fill="00B050"/>
          </w:tcPr>
          <w:p>
            <w:pPr>
              <w:pStyle w:val="Tabla9"/>
              <w:jc w:val="center"/>
            </w:pPr>
            <w:r>
              <w:rPr>
                <w:b/>
                <w:color w:val="FFFFFF"/>
              </w:rPr>
              <w:t xml:space="preserve">Fase de origen</w:t>
            </w:r>
          </w:p>
        </w:tc>
        <w:tc>
          <w:tcPr>
            <w:shd w:val="clear" w:color="auto" w:fill="00B050"/>
          </w:tcPr>
          <w:p>
            <w:pPr>
              <w:pStyle w:val="Tabla9"/>
              <w:jc w:val="center"/>
            </w:pPr>
            <w:r>
              <w:rPr>
                <w:b/>
                <w:color w:val="FFFFFF"/>
              </w:rPr>
              <w:t xml:space="preserve">Causa de fracaso</w:t>
            </w:r>
          </w:p>
        </w:tc>
        <w:tc>
          <w:tcPr>
            <w:shd w:val="clear" w:color="auto" w:fill="00B050"/>
          </w:tcPr>
          <w:p>
            <w:pPr>
              <w:pStyle w:val="Tabla9"/>
              <w:jc w:val="center"/>
            </w:pPr>
            <w:r>
              <w:rPr>
                <w:b/>
                <w:color w:val="FFFFFF"/>
              </w:rPr>
              <w:t xml:space="preserve">Riesgo vinculado</w:t>
            </w:r>
          </w:p>
        </w:tc>
        <w:tc>
          <w:tcPr>
            <w:shd w:val="clear" w:color="auto" w:fill="00B050"/>
          </w:tcPr>
          <w:p>
            <w:pPr>
              <w:pStyle w:val="Tabla9"/>
              <w:jc w:val="center"/>
            </w:pPr>
            <w:r>
              <w:rPr>
                <w:b/>
                <w:color w:val="FFFFFF"/>
              </w:rPr>
              <w:t xml:space="preserve">Señal temprana</w:t>
            </w:r>
          </w:p>
        </w:tc>
        <w:tc>
          <w:tcPr>
            <w:shd w:val="clear" w:color="auto" w:fill="00B050"/>
          </w:tcPr>
          <w:p>
            <w:pPr>
              <w:pStyle w:val="Tabla9"/>
              <w:jc w:val="center"/>
            </w:pPr>
            <w:r>
              <w:rPr>
                <w:b/>
                <w:color w:val="FFFFFF"/>
              </w:rPr>
              <w:t xml:space="preserve">Contención</w:t>
            </w:r>
          </w:p>
        </w:tc>
        <w:tc>
          <w:tcPr>
            <w:shd w:val="clear" w:color="auto" w:fill="00B050"/>
          </w:tcPr>
          <w:p>
            <w:pPr>
              <w:pStyle w:val="Tabla9"/>
              <w:jc w:val="center"/>
            </w:pPr>
            <w:r>
              <w:rPr>
                <w:b/>
                <w:color w:val="FFFFFF"/>
              </w:rPr>
              <w:t xml:space="preserve">Responsable</w:t>
            </w:r>
          </w:p>
        </w:tc>
      </w:tr>
      <w:tr>
        <w:trPr>
          <w:cantSplit/>
        </w:trPr>
        <w:tc>
          <w:tcPr/>
          <w:p>
            <w:pPr>
              <w:pStyle w:val="Tabla9"/>
              <w:jc w:val="left"/>
            </w:pPr>
            <w:r>
              <w:t xml:space="preserve">Construcción</w:t>
            </w:r>
          </w:p>
        </w:tc>
        <w:tc>
          <w:tcPr/>
          <w:p>
            <w:pPr>
              <w:pStyle w:val="Tabla9"/>
              <w:jc w:val="left"/>
            </w:pPr>
            <w:r>
              <w:t xml:space="preserve">La línea base y la meta del error no se fijaron y no se puede declarar éxito</w:t>
            </w:r>
          </w:p>
        </w:tc>
        <w:tc>
          <w:tcPr/>
          <w:p>
            <w:pPr>
              <w:pStyle w:val="Tabla9"/>
              <w:jc w:val="left"/>
            </w:pPr>
            <w:r>
              <w:t xml:space="preserve">Ninguno</w:t>
            </w:r>
          </w:p>
        </w:tc>
        <w:tc>
          <w:tcPr/>
          <w:p>
            <w:pPr>
              <w:pStyle w:val="Tabla9"/>
              <w:jc w:val="left"/>
            </w:pPr>
            <w:r>
              <w:t xml:space="preserve">Metas distintas en documentos del mismo expediente</w:t>
            </w:r>
          </w:p>
        </w:tc>
        <w:tc>
          <w:tcPr/>
          <w:p>
            <w:pPr>
              <w:pStyle w:val="Tabla9"/>
              <w:jc w:val="left"/>
            </w:pPr>
            <w:r>
              <w:t xml:space="preserve">Fijar R², NRMSE y método antes del primer hito; medir la línea base en el tramo 1</w:t>
            </w:r>
          </w:p>
        </w:tc>
        <w:tc>
          <w:tcPr/>
          <w:p>
            <w:pPr>
              <w:pStyle w:val="Tabla9"/>
              <w:jc w:val="left"/>
            </w:pPr>
            <w:r>
              <w:t xml:space="preserve">Gerencia de proyecto y especialista en metrología</w:t>
            </w:r>
          </w:p>
        </w:tc>
      </w:tr>
      <w:tr>
        <w:trPr>
          <w:cantSplit/>
        </w:trPr>
        <w:tc>
          <w:tcPr/>
          <w:p>
            <w:pPr>
              <w:pStyle w:val="Tabla9"/>
              <w:jc w:val="left"/>
            </w:pPr>
            <w:r>
              <w:t xml:space="preserve">Entorno</w:t>
            </w:r>
          </w:p>
        </w:tc>
        <w:tc>
          <w:tcPr/>
          <w:p>
            <w:pPr>
              <w:pStyle w:val="Tabla9"/>
              <w:jc w:val="left"/>
            </w:pPr>
            <w:r>
              <w:t xml:space="preserve">Los TdR prohíben el piloto o la compra por tramos</w:t>
            </w:r>
          </w:p>
        </w:tc>
        <w:tc>
          <w:tcPr/>
          <w:p>
            <w:pPr>
              <w:pStyle w:val="Tabla9"/>
              <w:jc w:val="left"/>
            </w:pPr>
            <w:r>
              <w:t xml:space="preserve">Ninguno</w:t>
            </w:r>
          </w:p>
        </w:tc>
        <w:tc>
          <w:tcPr/>
          <w:p>
            <w:pPr>
              <w:pStyle w:val="Tabla9"/>
              <w:jc w:val="left"/>
            </w:pPr>
            <w:r>
              <w:t xml:space="preserve">Observaciones del convocante al formato</w:t>
            </w:r>
          </w:p>
        </w:tc>
        <w:tc>
          <w:tcPr/>
          <w:p>
            <w:pPr>
              <w:pStyle w:val="Tabla9"/>
              <w:jc w:val="left"/>
            </w:pPr>
            <w:r>
              <w:t xml:space="preserve">Presentar el piloto como producto de conocimiento y los tramos como evidencia de alianza ejecutable</w:t>
            </w:r>
          </w:p>
        </w:tc>
        <w:tc>
          <w:tcPr/>
          <w:p>
            <w:pPr>
              <w:pStyle w:val="Tabla9"/>
              <w:jc w:val="left"/>
            </w:pPr>
            <w:r>
              <w:t xml:space="preserve">Gerencia de proyecto</w:t>
            </w:r>
          </w:p>
        </w:tc>
      </w:tr>
      <w:tr>
        <w:trPr>
          <w:cantSplit/>
        </w:trPr>
        <w:tc>
          <w:tcPr/>
          <w:p>
            <w:pPr>
              <w:pStyle w:val="Tabla9"/>
              <w:jc w:val="left"/>
            </w:pPr>
            <w:r>
              <w:t xml:space="preserve">Actores</w:t>
            </w:r>
          </w:p>
        </w:tc>
        <w:tc>
          <w:tcPr/>
          <w:p>
            <w:pPr>
              <w:pStyle w:val="Tabla9"/>
              <w:jc w:val="left"/>
            </w:pPr>
            <w:r>
              <w:t xml:space="preserve">Las alcaldías no presupuestan la operación y el cambio de administración rompe el compromiso</w:t>
            </w:r>
          </w:p>
        </w:tc>
        <w:tc>
          <w:tcPr/>
          <w:p>
            <w:pPr>
              <w:pStyle w:val="Tabla9"/>
              <w:jc w:val="left"/>
            </w:pPr>
            <w:r>
              <w:t xml:space="preserve">R-ORG-02</w:t>
            </w:r>
          </w:p>
        </w:tc>
        <w:tc>
          <w:tcPr/>
          <w:p>
            <w:pPr>
              <w:pStyle w:val="Tabla9"/>
              <w:jc w:val="left"/>
            </w:pPr>
            <w:r>
              <w:t xml:space="preserve">Cartas de compromiso sin partida</w:t>
            </w:r>
          </w:p>
        </w:tc>
        <w:tc>
          <w:tcPr/>
          <w:p>
            <w:pPr>
              <w:pStyle w:val="Tabla9"/>
              <w:jc w:val="left"/>
            </w:pPr>
            <w:r>
              <w:t xml:space="preserve">Acuerdos por tramos y ordenanzas como condición de recepción</w:t>
            </w:r>
          </w:p>
        </w:tc>
        <w:tc>
          <w:tcPr/>
          <w:p>
            <w:pPr>
              <w:pStyle w:val="Tabla9"/>
              <w:jc w:val="left"/>
            </w:pPr>
            <w:r>
              <w:t xml:space="preserve">Profesional de convenios y custodia</w:t>
            </w:r>
          </w:p>
        </w:tc>
      </w:tr>
      <w:tr>
        <w:trPr>
          <w:cantSplit/>
        </w:trPr>
        <w:tc>
          <w:tcPr/>
          <w:p>
            <w:pPr>
              <w:pStyle w:val="Tabla9"/>
              <w:jc w:val="left"/>
            </w:pPr>
            <w:r>
              <w:t xml:space="preserve">Encuadre</w:t>
            </w:r>
          </w:p>
        </w:tc>
        <w:tc>
          <w:tcPr/>
          <w:p>
            <w:pPr>
              <w:pStyle w:val="Tabla9"/>
              <w:jc w:val="left"/>
            </w:pPr>
            <w:r>
              <w:t xml:space="preserve">El dominio se clasificó mal y la revisión de supuestos resulta lenta o costosa</w:t>
            </w:r>
          </w:p>
        </w:tc>
        <w:tc>
          <w:tcPr/>
          <w:p>
            <w:pPr>
              <w:pStyle w:val="Tabla9"/>
              <w:jc w:val="left"/>
            </w:pPr>
            <w:r>
              <w:t xml:space="preserve">Ninguno</w:t>
            </w:r>
          </w:p>
        </w:tc>
        <w:tc>
          <w:tcPr/>
          <w:p>
            <w:pPr>
              <w:pStyle w:val="Tabla9"/>
              <w:jc w:val="left"/>
            </w:pPr>
            <w:r>
              <w:t xml:space="preserve">Ajustes frecuentes del plan sin resultado</w:t>
            </w:r>
          </w:p>
        </w:tc>
        <w:tc>
          <w:tcPr/>
          <w:p>
            <w:pPr>
              <w:pStyle w:val="Tabla9"/>
              <w:jc w:val="left"/>
            </w:pPr>
            <w:r>
              <w:t xml:space="preserve">Revisión trimestral con regla de parada</w:t>
            </w:r>
          </w:p>
        </w:tc>
        <w:tc>
          <w:tcPr/>
          <w:p>
            <w:pPr>
              <w:pStyle w:val="Tabla9"/>
              <w:jc w:val="left"/>
            </w:pPr>
            <w:r>
              <w:t xml:space="preserve">Coalición guía</w:t>
            </w:r>
          </w:p>
        </w:tc>
      </w:tr>
      <w:tr>
        <w:trPr>
          <w:cantSplit/>
        </w:trPr>
        <w:tc>
          <w:tcPr/>
          <w:p>
            <w:pPr>
              <w:pStyle w:val="Tabla9"/>
              <w:jc w:val="left"/>
            </w:pPr>
            <w:r>
              <w:t xml:space="preserve">Alternativas</w:t>
            </w:r>
          </w:p>
        </w:tc>
        <w:tc>
          <w:tcPr/>
          <w:p>
            <w:pPr>
              <w:pStyle w:val="Tabla9"/>
              <w:jc w:val="left"/>
            </w:pPr>
            <w:r>
              <w:t xml:space="preserve">La elección racionalizó una alternativa preferida</w:t>
            </w:r>
          </w:p>
        </w:tc>
        <w:tc>
          <w:tcPr/>
          <w:p>
            <w:pPr>
              <w:pStyle w:val="Tabla9"/>
              <w:jc w:val="left"/>
            </w:pPr>
            <w:r>
              <w:t xml:space="preserve">Ninguno</w:t>
            </w:r>
          </w:p>
        </w:tc>
        <w:tc>
          <w:tcPr/>
          <w:p>
            <w:pPr>
              <w:pStyle w:val="Tabla9"/>
              <w:jc w:val="left"/>
            </w:pPr>
            <w:r>
              <w:t xml:space="preserve">Criterios nuevos después de evaluar</w:t>
            </w:r>
          </w:p>
        </w:tc>
        <w:tc>
          <w:tcPr/>
          <w:p>
            <w:pPr>
              <w:pStyle w:val="Tabla9"/>
              <w:jc w:val="left"/>
            </w:pPr>
            <w:r>
              <w:t xml:space="preserve">Criterios registrados con versión y ratificación del panel evaluador</w:t>
            </w:r>
          </w:p>
        </w:tc>
        <w:tc>
          <w:tcPr/>
          <w:p>
            <w:pPr>
              <w:pStyle w:val="Tabla9"/>
              <w:jc w:val="left"/>
            </w:pPr>
            <w:r>
              <w:t xml:space="preserve">Gerencia de proyecto y evaluación externa</w:t>
            </w:r>
          </w:p>
        </w:tc>
      </w:tr>
      <w:tr>
        <w:trPr>
          <w:cantSplit/>
        </w:trPr>
        <w:tc>
          <w:tcPr/>
          <w:p>
            <w:pPr>
              <w:pStyle w:val="Tabla9"/>
              <w:jc w:val="left"/>
            </w:pPr>
            <w:r>
              <w:t xml:space="preserve">Teoría del cambio (SC-1)</w:t>
            </w:r>
          </w:p>
        </w:tc>
        <w:tc>
          <w:tcPr/>
          <w:p>
            <w:pPr>
              <w:pStyle w:val="Tabla9"/>
              <w:jc w:val="left"/>
            </w:pPr>
            <w:r>
              <w:t xml:space="preserve">La corrección local no reduce el error frente a la lectura sin corrección</w:t>
            </w:r>
          </w:p>
        </w:tc>
        <w:tc>
          <w:tcPr/>
          <w:p>
            <w:pPr>
              <w:pStyle w:val="Tabla9"/>
              <w:jc w:val="left"/>
            </w:pPr>
            <w:r>
              <w:t xml:space="preserve">R-TEC-01 y R-TEC-04</w:t>
            </w:r>
          </w:p>
        </w:tc>
        <w:tc>
          <w:tcPr/>
          <w:p>
            <w:pPr>
              <w:pStyle w:val="Tabla9"/>
              <w:jc w:val="left"/>
            </w:pPr>
            <w:r>
              <w:t xml:space="preserve">Diferencia no distinta de cero a mitad del piloto</w:t>
            </w:r>
          </w:p>
        </w:tc>
        <w:tc>
          <w:tcPr/>
          <w:p>
            <w:pPr>
              <w:pStyle w:val="Tabla9"/>
              <w:jc w:val="left"/>
            </w:pPr>
            <w:r>
              <w:t xml:space="preserve">Detener la expansión en la compuerta C1</w:t>
            </w:r>
          </w:p>
        </w:tc>
        <w:tc>
          <w:tcPr/>
          <w:p>
            <w:pPr>
              <w:pStyle w:val="Tabla9"/>
              <w:jc w:val="left"/>
            </w:pPr>
            <w:r>
              <w:t xml:space="preserve">Científico de datos y especialista en metrología</w:t>
            </w:r>
          </w:p>
        </w:tc>
      </w:tr>
      <w:tr>
        <w:trPr>
          <w:cantSplit/>
        </w:trPr>
        <w:tc>
          <w:tcPr/>
          <w:p>
            <w:pPr>
              <w:pStyle w:val="Tabla9"/>
              <w:jc w:val="left"/>
            </w:pPr>
            <w:r>
              <w:t xml:space="preserve">Teoría del cambio (SC-2)</w:t>
            </w:r>
          </w:p>
        </w:tc>
        <w:tc>
          <w:tcPr/>
          <w:p>
            <w:pPr>
              <w:pStyle w:val="Tabla9"/>
              <w:jc w:val="left"/>
            </w:pPr>
            <w:r>
              <w:t xml:space="preserve">Los nodos pierden energía o enlace y el gemelo no recibe datos</w:t>
            </w:r>
          </w:p>
        </w:tc>
        <w:tc>
          <w:tcPr/>
          <w:p>
            <w:pPr>
              <w:pStyle w:val="Tabla9"/>
              <w:jc w:val="left"/>
            </w:pPr>
            <w:r>
              <w:t xml:space="preserve">R-TEC-02 y R-TEC-03</w:t>
            </w:r>
          </w:p>
        </w:tc>
        <w:tc>
          <w:tcPr/>
          <w:p>
            <w:pPr>
              <w:pStyle w:val="Tabla9"/>
              <w:jc w:val="left"/>
            </w:pPr>
            <w:r>
              <w:t xml:space="preserve">Disponibilidad bajo el umbral</w:t>
            </w:r>
          </w:p>
        </w:tc>
        <w:tc>
          <w:tcPr/>
          <w:p>
            <w:pPr>
              <w:pStyle w:val="Tabla9"/>
              <w:jc w:val="left"/>
            </w:pPr>
            <w:r>
              <w:t xml:space="preserve">Repuestos y enlace alterno</w:t>
            </w:r>
          </w:p>
        </w:tc>
        <w:tc>
          <w:tcPr/>
          <w:p>
            <w:pPr>
              <w:pStyle w:val="Tabla9"/>
              <w:jc w:val="left"/>
            </w:pPr>
            <w:r>
              <w:t xml:space="preserve">Ingenieros IoT y de campo</w:t>
            </w:r>
          </w:p>
        </w:tc>
      </w:tr>
      <w:tr>
        <w:trPr>
          <w:cantSplit/>
        </w:trPr>
        <w:tc>
          <w:tcPr/>
          <w:p>
            <w:pPr>
              <w:pStyle w:val="Tabla9"/>
              <w:jc w:val="left"/>
            </w:pPr>
            <w:r>
              <w:t xml:space="preserve">Argumento</w:t>
            </w:r>
          </w:p>
        </w:tc>
        <w:tc>
          <w:tcPr/>
          <w:p>
            <w:pPr>
              <w:pStyle w:val="Tabla9"/>
              <w:jc w:val="left"/>
            </w:pPr>
            <w:r>
              <w:t xml:space="preserve">La refutación no era observable y el fallo se detecta tarde</w:t>
            </w:r>
          </w:p>
        </w:tc>
        <w:tc>
          <w:tcPr/>
          <w:p>
            <w:pPr>
              <w:pStyle w:val="Tabla9"/>
              <w:jc w:val="left"/>
            </w:pPr>
            <w:r>
              <w:t xml:space="preserve">Ninguno</w:t>
            </w:r>
          </w:p>
        </w:tc>
        <w:tc>
          <w:tcPr/>
          <w:p>
            <w:pPr>
              <w:pStyle w:val="Tabla9"/>
              <w:jc w:val="left"/>
            </w:pPr>
            <w:r>
              <w:t xml:space="preserve">Refutaciones sin indicador</w:t>
            </w:r>
          </w:p>
        </w:tc>
        <w:tc>
          <w:tcPr/>
          <w:p>
            <w:pPr>
              <w:pStyle w:val="Tabla9"/>
              <w:jc w:val="left"/>
            </w:pPr>
            <w:r>
              <w:t xml:space="preserve">Indicadores por condición de refutación</w:t>
            </w:r>
          </w:p>
        </w:tc>
        <w:tc>
          <w:tcPr/>
          <w:p>
            <w:pPr>
              <w:pStyle w:val="Tabla9"/>
              <w:jc w:val="left"/>
            </w:pPr>
            <w:r>
              <w:t xml:space="preserve">Evaluación externa</w:t>
            </w:r>
          </w:p>
        </w:tc>
      </w:tr>
      <w:tr>
        <w:trPr>
          <w:cantSplit/>
        </w:trPr>
        <w:tc>
          <w:tcPr/>
          <w:p>
            <w:pPr>
              <w:pStyle w:val="Tabla9"/>
              <w:jc w:val="left"/>
            </w:pPr>
            <w:r>
              <w:t xml:space="preserve">Sostenibilidad</w:t>
            </w:r>
          </w:p>
        </w:tc>
        <w:tc>
          <w:tcPr/>
          <w:p>
            <w:pPr>
              <w:pStyle w:val="Tabla9"/>
              <w:jc w:val="left"/>
            </w:pPr>
            <w:r>
              <w:t xml:space="preserve">Ningún custodio alcanza capacidad de absorción 2 y la fuente principal desaparece</w:t>
            </w:r>
          </w:p>
        </w:tc>
        <w:tc>
          <w:tcPr/>
          <w:p>
            <w:pPr>
              <w:pStyle w:val="Tabla9"/>
              <w:jc w:val="left"/>
            </w:pPr>
            <w:r>
              <w:t xml:space="preserve">R-ORG-02</w:t>
            </w:r>
          </w:p>
        </w:tc>
        <w:tc>
          <w:tcPr/>
          <w:p>
            <w:pPr>
              <w:pStyle w:val="Tabla9"/>
              <w:jc w:val="left"/>
            </w:pPr>
            <w:r>
              <w:t xml:space="preserve">Cobertura del costo mínimo menor que 100 %</w:t>
            </w:r>
          </w:p>
        </w:tc>
        <w:tc>
          <w:tcPr/>
          <w:p>
            <w:pPr>
              <w:pStyle w:val="Tabla9"/>
              <w:jc w:val="left"/>
            </w:pPr>
            <w:r>
              <w:t xml:space="preserve">Cláusula de apertura</w:t>
            </w:r>
          </w:p>
        </w:tc>
        <w:tc>
          <w:tcPr/>
          <w:p>
            <w:pPr>
              <w:pStyle w:val="Tabla9"/>
              <w:jc w:val="left"/>
            </w:pPr>
            <w:r>
              <w:t xml:space="preserve">Profesional de convenios y custodia</w:t>
            </w:r>
          </w:p>
        </w:tc>
      </w:tr>
      <w:tr>
        <w:trPr>
          <w:cantSplit/>
        </w:trPr>
        <w:tc>
          <w:tcPr/>
          <w:p>
            <w:pPr>
              <w:pStyle w:val="Tabla9"/>
              <w:jc w:val="left"/>
            </w:pPr>
            <w:r>
              <w:t xml:space="preserve">Ejecución</w:t>
            </w:r>
          </w:p>
        </w:tc>
        <w:tc>
          <w:tcPr/>
          <w:p>
            <w:pPr>
              <w:pStyle w:val="Tabla9"/>
              <w:jc w:val="left"/>
            </w:pPr>
            <w:r>
              <w:t xml:space="preserve">Los umbrales de revisión no se aplican por falta de responsable</w:t>
            </w:r>
          </w:p>
        </w:tc>
        <w:tc>
          <w:tcPr/>
          <w:p>
            <w:pPr>
              <w:pStyle w:val="Tabla9"/>
              <w:jc w:val="left"/>
            </w:pPr>
            <w:r>
              <w:t xml:space="preserve">Ninguno</w:t>
            </w:r>
          </w:p>
        </w:tc>
        <w:tc>
          <w:tcPr/>
          <w:p>
            <w:pPr>
              <w:pStyle w:val="Tabla9"/>
              <w:jc w:val="left"/>
            </w:pPr>
            <w:r>
              <w:t xml:space="preserve">Revisión trimestral omitida</w:t>
            </w:r>
          </w:p>
        </w:tc>
        <w:tc>
          <w:tcPr/>
          <w:p>
            <w:pPr>
              <w:pStyle w:val="Tabla9"/>
              <w:jc w:val="left"/>
            </w:pPr>
            <w:r>
              <w:t xml:space="preserve">Designar responsable en el acuerdo de alianza</w:t>
            </w:r>
          </w:p>
        </w:tc>
        <w:tc>
          <w:tcPr/>
          <w:p>
            <w:pPr>
              <w:pStyle w:val="Tabla9"/>
              <w:jc w:val="left"/>
            </w:pPr>
            <w:r>
              <w:t xml:space="preserve">Gerencia de proyecto</w:t>
            </w:r>
          </w:p>
        </w:tc>
      </w:tr>
      <w:tr>
        <w:trPr>
          <w:cantSplit/>
        </w:trPr>
        <w:tc>
          <w:tcPr/>
          <w:p>
            <w:pPr>
              <w:pStyle w:val="Tabla9"/>
              <w:jc w:val="left"/>
            </w:pPr>
            <w:r>
              <w:t xml:space="preserve">Equipo</w:t>
            </w:r>
          </w:p>
        </w:tc>
        <w:tc>
          <w:tcPr/>
          <w:p>
            <w:pPr>
              <w:pStyle w:val="Tabla9"/>
              <w:jc w:val="left"/>
            </w:pPr>
            <w:r>
              <w:t xml:space="preserve">La rotación del personal local y de los custodios rompe la capacidad instalada</w:t>
            </w:r>
          </w:p>
        </w:tc>
        <w:tc>
          <w:tcPr/>
          <w:p>
            <w:pPr>
              <w:pStyle w:val="Tabla9"/>
              <w:jc w:val="left"/>
            </w:pPr>
            <w:r>
              <w:t xml:space="preserve">Ninguno</w:t>
            </w:r>
          </w:p>
        </w:tc>
        <w:tc>
          <w:tcPr/>
          <w:p>
            <w:pPr>
              <w:pStyle w:val="Tabla9"/>
              <w:jc w:val="left"/>
            </w:pPr>
            <w:r>
              <w:t xml:space="preserve">Bajas de personas certificadas</w:t>
            </w:r>
          </w:p>
        </w:tc>
        <w:tc>
          <w:tcPr/>
          <w:p>
            <w:pPr>
              <w:pStyle w:val="Tabla9"/>
              <w:jc w:val="left"/>
            </w:pPr>
            <w:r>
              <w:t xml:space="preserve">Formación continua hasta 60 personas certificadas y documentación de procedimientos</w:t>
            </w:r>
          </w:p>
        </w:tc>
        <w:tc>
          <w:tcPr/>
          <w:p>
            <w:pPr>
              <w:pStyle w:val="Tabla9"/>
              <w:jc w:val="left"/>
            </w:pPr>
            <w:r>
              <w:t xml:space="preserve">Profesional de convenios y custodia</w:t>
            </w:r>
          </w:p>
        </w:tc>
      </w:tr>
    </w:tbl>
    <w:p>
      <w:pPr>
        <w:pStyle w:val="TablaNota"/>
      </w:pPr>
      <w:r>
        <w:rPr>
          <w:i/>
          <w:iCs/>
        </w:rPr>
        <w:t xml:space="preserve">Nota.</w:t>
      </w:r>
      <w:r>
        <w:t xml:space="preserve"> </w:t>
      </w:r>
      <w:r>
        <w:t xml:space="preserve">Elaboración propia con datos de 4.4-MDR.12 (diez causas por fase) y de 4.4-MDR.8 (rotación de personal como eslabón de adopción). Los responsables de 4.4-MDR.12 estaban por identificar; esta tabla propone roles del proyecto. Naturaleza: PROPUESTO.</w:t>
      </w:r>
    </w:p>
    <w:p>
      <w:pPr>
        <w:pStyle w:val="BodyText"/>
      </w:pPr>
      <w:r>
        <w:t xml:space="preserve">La tabla revela una asimetría. De 11 causas, siete carecen de riesgo vinculado en el registro cuantitativo. Cinco de ellas corresponden a decisiones de marco, de criterio o de seguimiento. Su contención es un procedimiento, como fijar la meta antes del primer hito, registrar criterios con versión, exigir indicadores por refutación o designar un responsable. Esa asimetría confirma la división propuesta en E4.1. El dinero cubre lo que se mide, y el procedimiento cubre lo que se decide.</w:t>
      </w:r>
    </w:p>
    <w:bookmarkEnd w:id="784"/>
    <w:bookmarkStart w:id="785" w:name="X4dfc0520e4c0a7e4661fc7df61678a107e286dc"/>
    <w:p>
      <w:pPr>
        <w:pStyle w:val="Heading3"/>
      </w:pPr>
      <w:r>
        <w:t xml:space="preserve">E4.3 Plan de contingencia por causa crítica</w:t>
      </w:r>
    </w:p>
    <w:p>
      <w:pPr>
        <w:pStyle w:val="FirstParagraph"/>
      </w:pPr>
      <w:r>
        <w:t xml:space="preserve">Un plan de contingencia convierte una causa en una respuesta ejecutable con un disparador, un recurso y un plazo. La norma ISO 31000 (ISO, 2018) integra el tratamiento del riesgo en la gobernanza y recomienda fijar criterios para decidir. Collingridge (1980) plantea una objeción de fondo. Ningún plan anticipa todos los fallos. Por eso conviene elegir opciones de bajo costo de reversión, cuyo error se detecte pronto. La primera posición confía en la anticipación. La segunda confía en la corregibilidad.</w:t>
      </w:r>
    </w:p>
    <w:p>
      <w:pPr>
        <w:pStyle w:val="BodyText"/>
      </w:pPr>
      <w:r>
        <w:t xml:space="preserve">El proyecto aplica ambas. La anticipación se materializa en los disparadores y en la reserva. La corregibilidad se materializa en las compuertas, porque cada una libera la compra del tramo siguiente. La estrategia R4 de 4.4-MDR es el despliegue por tramos con piloto de contraste y custodia distribuida. R4 detecta una falla de SC-1 en el mes 12, antes de comprometer 48 nodos y 4 gateways del tramo 2. Esa estructura limita la exposición. Una devaluación o una saturación de cabezales descubierta en el tramo 1 afecta 36 nodos comprados y no los 120 del total.</w:t>
      </w:r>
    </w:p>
    <w:p>
      <w:pPr>
        <w:pStyle w:val="BodyText"/>
      </w:pPr>
      <w:r>
        <w:t xml:space="preserve">La Tabla X4.13 presenta el plan para las 12 causas del registro. Los recursos requeridos equivalen al EMV de cada riesgo y se financian con la reserva de contingencia. Los plazos se expresan respecto de la cadencia del proyecto y no con cifras nuevas.</w:t>
      </w:r>
    </w:p>
    <w:p>
      <w:pPr>
        <w:pStyle w:val="TablaRotulo"/>
      </w:pPr>
      <w:bookmarkStart w:id="9432" w:name="rot_Tabla_X4_13"/>
      <w:r>
        <w:rPr>
          <w:b/>
          <w:bCs/>
        </w:rPr>
        <w:t xml:space="preserve">Tabla X4.13</w:t>
      </w:r>
      <w:bookmarkEnd w:id="9432"/>
    </w:p>
    <w:p>
      <w:pPr>
        <w:pStyle w:val="TablaTitulo"/>
      </w:pPr>
      <w:r>
        <w:rPr>
          <w:i/>
          <w:iCs/>
        </w:rPr>
        <w:t xml:space="preserve">Planes de contingencia por causa y recursos con cargo a la reserva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1452"/>
        <w:gridCol w:w="1584"/>
        <w:gridCol w:w="1056"/>
        <w:gridCol w:w="1188"/>
        <w:gridCol w:w="1254"/>
      </w:tblGrid>
      <w:tr>
        <w:trPr>
          <w:cantSplit/>
          <w:tblHeader/>
        </w:trPr>
        <w:tc>
          <w:tcPr>
            <w:shd w:val="clear" w:color="auto" w:fill="00B050"/>
          </w:tcPr>
          <w:p>
            <w:pPr>
              <w:pStyle w:val="Tabla9"/>
              <w:jc w:val="center"/>
            </w:pPr>
            <w:r>
              <w:rPr>
                <w:b/>
                <w:color w:val="FFFFFF"/>
              </w:rPr>
              <w:t xml:space="preserve">Causa</w:t>
            </w:r>
          </w:p>
        </w:tc>
        <w:tc>
          <w:tcPr>
            <w:shd w:val="clear" w:color="auto" w:fill="00B050"/>
          </w:tcPr>
          <w:p>
            <w:pPr>
              <w:pStyle w:val="Tabla9"/>
              <w:jc w:val="center"/>
            </w:pPr>
            <w:r>
              <w:rPr>
                <w:b/>
                <w:color w:val="FFFFFF"/>
              </w:rPr>
              <w:t xml:space="preserve">Disparador de activación</w:t>
            </w:r>
          </w:p>
        </w:tc>
        <w:tc>
          <w:tcPr>
            <w:shd w:val="clear" w:color="auto" w:fill="00B050"/>
          </w:tcPr>
          <w:p>
            <w:pPr>
              <w:pStyle w:val="Tabla9"/>
              <w:jc w:val="center"/>
            </w:pPr>
            <w:r>
              <w:rPr>
                <w:b/>
                <w:color w:val="FFFFFF"/>
              </w:rPr>
              <w:t xml:space="preserve">Plan de contingencia</w:t>
            </w:r>
          </w:p>
        </w:tc>
        <w:tc>
          <w:tcPr>
            <w:shd w:val="clear" w:color="auto" w:fill="00B050"/>
          </w:tcPr>
          <w:p>
            <w:pPr>
              <w:pStyle w:val="Tabla9"/>
              <w:jc w:val="center"/>
            </w:pPr>
            <w:r>
              <w:rPr>
                <w:b/>
                <w:color w:val="FFFFFF"/>
              </w:rPr>
              <w:t xml:space="preserve">Recursos requeridos (millones de COP)</w:t>
            </w:r>
          </w:p>
        </w:tc>
        <w:tc>
          <w:tcPr>
            <w:shd w:val="clear" w:color="auto" w:fill="00B050"/>
          </w:tcPr>
          <w:p>
            <w:pPr>
              <w:pStyle w:val="Tabla9"/>
              <w:jc w:val="center"/>
            </w:pPr>
            <w:r>
              <w:rPr>
                <w:b/>
                <w:color w:val="FFFFFF"/>
              </w:rPr>
              <w:t xml:space="preserve">Plazo de respuesta</w:t>
            </w:r>
          </w:p>
        </w:tc>
        <w:tc>
          <w:tcPr>
            <w:shd w:val="clear" w:color="auto" w:fill="00B050"/>
          </w:tcPr>
          <w:p>
            <w:pPr>
              <w:pStyle w:val="Tabla9"/>
              <w:jc w:val="center"/>
            </w:pPr>
            <w:r>
              <w:rPr>
                <w:b/>
                <w:color w:val="FFFFFF"/>
              </w:rPr>
              <w:t xml:space="preserve">Responsable</w:t>
            </w:r>
          </w:p>
        </w:tc>
      </w:tr>
      <w:tr>
        <w:trPr>
          <w:cantSplit/>
        </w:trPr>
        <w:tc>
          <w:tcPr/>
          <w:p>
            <w:pPr>
              <w:pStyle w:val="Tabla9"/>
              <w:jc w:val="left"/>
            </w:pPr>
            <w:r>
              <w:t xml:space="preserve">R-FIN-01: devaluación</w:t>
            </w:r>
          </w:p>
        </w:tc>
        <w:tc>
          <w:tcPr/>
          <w:p>
            <w:pPr>
              <w:pStyle w:val="Tabla9"/>
              <w:jc w:val="left"/>
            </w:pPr>
            <w:r>
              <w:t xml:space="preserve">TRM supera en 10 % la de la cotización</w:t>
            </w:r>
          </w:p>
        </w:tc>
        <w:tc>
          <w:tcPr/>
          <w:p>
            <w:pPr>
              <w:pStyle w:val="Tabla9"/>
              <w:jc w:val="left"/>
            </w:pPr>
            <w:r>
              <w:t xml:space="preserve">Aplicar cobertura cambiaria, renegociar cotizaciones y ajustar la compra de reserva sin reducir los 100 nodos y 10 gateways operativos</w:t>
            </w:r>
          </w:p>
        </w:tc>
        <w:tc>
          <w:tcPr/>
          <w:p>
            <w:pPr>
              <w:pStyle w:val="Tabla9"/>
              <w:jc w:val="left"/>
            </w:pPr>
            <w:r>
              <w:t xml:space="preserve">165,0</w:t>
            </w:r>
          </w:p>
        </w:tc>
        <w:tc>
          <w:tcPr/>
          <w:p>
            <w:pPr>
              <w:pStyle w:val="Tabla9"/>
              <w:jc w:val="left"/>
            </w:pPr>
            <w:r>
              <w:t xml:space="preserve">Antes de emitir la orden de compra del tramo</w:t>
            </w:r>
          </w:p>
        </w:tc>
        <w:tc>
          <w:tcPr/>
          <w:p>
            <w:pPr>
              <w:pStyle w:val="Tabla9"/>
              <w:jc w:val="left"/>
            </w:pPr>
            <w:r>
              <w:t xml:space="preserve">Gerencia de proyecto</w:t>
            </w:r>
          </w:p>
        </w:tc>
      </w:tr>
      <w:tr>
        <w:trPr>
          <w:cantSplit/>
        </w:trPr>
        <w:tc>
          <w:tcPr/>
          <w:p>
            <w:pPr>
              <w:pStyle w:val="Tabla9"/>
              <w:jc w:val="left"/>
            </w:pPr>
            <w:r>
              <w:t xml:space="preserve">R-TEC-01: saturación de cabezales</w:t>
            </w:r>
          </w:p>
        </w:tc>
        <w:tc>
          <w:tcPr/>
          <w:p>
            <w:pPr>
              <w:pStyle w:val="Tabla9"/>
              <w:jc w:val="left"/>
            </w:pPr>
            <w:r>
              <w:t xml:space="preserve">NRMSE &gt; 30 % en dos verificaciones consecutivas</w:t>
            </w:r>
          </w:p>
        </w:tc>
        <w:tc>
          <w:tcPr/>
          <w:p>
            <w:pPr>
              <w:pStyle w:val="Tabla9"/>
              <w:jc w:val="left"/>
            </w:pPr>
            <w:r>
              <w:t xml:space="preserve">Reentrenar con una nueva ventana de colocalización, reponer cabezales, repetir el ciclo en el banco de calibración y no liberar el tramo 2</w:t>
            </w:r>
          </w:p>
        </w:tc>
        <w:tc>
          <w:tcPr/>
          <w:p>
            <w:pPr>
              <w:pStyle w:val="Tabla9"/>
              <w:jc w:val="left"/>
            </w:pPr>
            <w:r>
              <w:t xml:space="preserve">150,0</w:t>
            </w:r>
          </w:p>
        </w:tc>
        <w:tc>
          <w:tcPr/>
          <w:p>
            <w:pPr>
              <w:pStyle w:val="Tabla9"/>
              <w:jc w:val="left"/>
            </w:pPr>
            <w:r>
              <w:t xml:space="preserve">Antes de la verificación mensual siguiente</w:t>
            </w:r>
          </w:p>
        </w:tc>
        <w:tc>
          <w:tcPr/>
          <w:p>
            <w:pPr>
              <w:pStyle w:val="Tabla9"/>
              <w:jc w:val="left"/>
            </w:pPr>
            <w:r>
              <w:t xml:space="preserve">Especialista en metrología</w:t>
            </w:r>
          </w:p>
        </w:tc>
      </w:tr>
      <w:tr>
        <w:trPr>
          <w:cantSplit/>
        </w:trPr>
        <w:tc>
          <w:tcPr/>
          <w:p>
            <w:pPr>
              <w:pStyle w:val="Tabla9"/>
              <w:jc w:val="left"/>
            </w:pPr>
            <w:r>
              <w:t xml:space="preserve">R-ORG-02: custodios sin partida</w:t>
            </w:r>
          </w:p>
        </w:tc>
        <w:tc>
          <w:tcPr/>
          <w:p>
            <w:pPr>
              <w:pStyle w:val="Tabla9"/>
              <w:jc w:val="left"/>
            </w:pPr>
            <w:r>
              <w:t xml:space="preserve">Convenio sin partida al cierre del tramo 2</w:t>
            </w:r>
          </w:p>
        </w:tc>
        <w:tc>
          <w:tcPr/>
          <w:p>
            <w:pPr>
              <w:pStyle w:val="Tabla9"/>
              <w:jc w:val="left"/>
            </w:pPr>
            <w:r>
              <w:t xml:space="preserve">Activar la cláusula de apertura, negociar con un custodio académico o con la autoridad ambiental y condicionar la entrega del tramo 3</w:t>
            </w:r>
          </w:p>
        </w:tc>
        <w:tc>
          <w:tcPr/>
          <w:p>
            <w:pPr>
              <w:pStyle w:val="Tabla9"/>
              <w:jc w:val="left"/>
            </w:pPr>
            <w:r>
              <w:t xml:space="preserve">60,0</w:t>
            </w:r>
          </w:p>
        </w:tc>
        <w:tc>
          <w:tcPr/>
          <w:p>
            <w:pPr>
              <w:pStyle w:val="Tabla9"/>
              <w:jc w:val="left"/>
            </w:pPr>
            <w:r>
              <w:t xml:space="preserve">En la sesión de la compuerta C2</w:t>
            </w:r>
          </w:p>
        </w:tc>
        <w:tc>
          <w:tcPr/>
          <w:p>
            <w:pPr>
              <w:pStyle w:val="Tabla9"/>
              <w:jc w:val="left"/>
            </w:pPr>
            <w:r>
              <w:t xml:space="preserve">Profesional de convenios y custodia</w:t>
            </w:r>
          </w:p>
        </w:tc>
      </w:tr>
      <w:tr>
        <w:trPr>
          <w:cantSplit/>
        </w:trPr>
        <w:tc>
          <w:tcPr/>
          <w:p>
            <w:pPr>
              <w:pStyle w:val="Tabla9"/>
              <w:jc w:val="left"/>
            </w:pPr>
            <w:r>
              <w:t xml:space="preserve">R-EXT-01: vías bloqueadas</w:t>
            </w:r>
          </w:p>
        </w:tc>
        <w:tc>
          <w:tcPr/>
          <w:p>
            <w:pPr>
              <w:pStyle w:val="Tabla9"/>
              <w:jc w:val="left"/>
            </w:pPr>
            <w:r>
              <w:t xml:space="preserve">Retraso de instalación &gt; 3 semanas</w:t>
            </w:r>
          </w:p>
        </w:tc>
        <w:tc>
          <w:tcPr/>
          <w:p>
            <w:pPr>
              <w:pStyle w:val="Tabla9"/>
              <w:jc w:val="left"/>
            </w:pPr>
            <w:r>
              <w:t xml:space="preserve">Reprogramar a ventanas secas, contratar técnicos locales y arrendar vehículos 4x4; solicitar ajuste de plazo si el retraso afecta la ruta crítica</w:t>
            </w:r>
          </w:p>
        </w:tc>
        <w:tc>
          <w:tcPr/>
          <w:p>
            <w:pPr>
              <w:pStyle w:val="Tabla9"/>
              <w:jc w:val="left"/>
            </w:pPr>
            <w:r>
              <w:t xml:space="preserve">60,0</w:t>
            </w:r>
          </w:p>
        </w:tc>
        <w:tc>
          <w:tcPr/>
          <w:p>
            <w:pPr>
              <w:pStyle w:val="Tabla9"/>
              <w:jc w:val="left"/>
            </w:pPr>
            <w:r>
              <w:t xml:space="preserve">Antes de la siguiente ventana seca</w:t>
            </w:r>
          </w:p>
        </w:tc>
        <w:tc>
          <w:tcPr/>
          <w:p>
            <w:pPr>
              <w:pStyle w:val="Tabla9"/>
              <w:jc w:val="left"/>
            </w:pPr>
            <w:r>
              <w:t xml:space="preserve">Gerencia de proyecto</w:t>
            </w:r>
          </w:p>
        </w:tc>
      </w:tr>
      <w:tr>
        <w:trPr>
          <w:cantSplit/>
        </w:trPr>
        <w:tc>
          <w:tcPr/>
          <w:p>
            <w:pPr>
              <w:pStyle w:val="Tabla9"/>
              <w:jc w:val="left"/>
            </w:pPr>
            <w:r>
              <w:t xml:space="preserve">R-ORG-01: comités sin adopción</w:t>
            </w:r>
          </w:p>
        </w:tc>
        <w:tc>
          <w:tcPr/>
          <w:p>
            <w:pPr>
              <w:pStyle w:val="Tabla9"/>
              <w:jc w:val="left"/>
            </w:pPr>
            <w:r>
              <w:t xml:space="preserve">Menos de 50 % de uso en el tramo 1</w:t>
            </w:r>
          </w:p>
        </w:tc>
        <w:tc>
          <w:tcPr/>
          <w:p>
            <w:pPr>
              <w:pStyle w:val="Tabla9"/>
              <w:jc w:val="left"/>
            </w:pPr>
            <w:r>
              <w:t xml:space="preserve">Rediseñar la presentación del tablero con los comités, agregar talleres de co-diseño y registrar decisiones en cada sesión</w:t>
            </w:r>
          </w:p>
        </w:tc>
        <w:tc>
          <w:tcPr/>
          <w:p>
            <w:pPr>
              <w:pStyle w:val="Tabla9"/>
              <w:jc w:val="left"/>
            </w:pPr>
            <w:r>
              <w:t xml:space="preserve">36,0</w:t>
            </w:r>
          </w:p>
        </w:tc>
        <w:tc>
          <w:tcPr/>
          <w:p>
            <w:pPr>
              <w:pStyle w:val="Tabla9"/>
              <w:jc w:val="left"/>
            </w:pPr>
            <w:r>
              <w:t xml:space="preserve">Antes de la compuerta C1</w:t>
            </w:r>
          </w:p>
        </w:tc>
        <w:tc>
          <w:tcPr/>
          <w:p>
            <w:pPr>
              <w:pStyle w:val="Tabla9"/>
              <w:jc w:val="left"/>
            </w:pPr>
            <w:r>
              <w:t xml:space="preserve">Coordinación de apropiación</w:t>
            </w:r>
          </w:p>
        </w:tc>
      </w:tr>
      <w:tr>
        <w:trPr>
          <w:cantSplit/>
        </w:trPr>
        <w:tc>
          <w:tcPr/>
          <w:p>
            <w:pPr>
              <w:pStyle w:val="Tabla9"/>
              <w:jc w:val="left"/>
            </w:pPr>
            <w:r>
              <w:t xml:space="preserve">R-TEC-04: modelo sin generalización</w:t>
            </w:r>
          </w:p>
        </w:tc>
        <w:tc>
          <w:tcPr/>
          <w:p>
            <w:pPr>
              <w:pStyle w:val="Tabla9"/>
              <w:jc w:val="left"/>
            </w:pPr>
            <w:r>
              <w:t xml:space="preserve">R² &lt; 0,70 en el conjunto de validación externo</w:t>
            </w:r>
          </w:p>
        </w:tc>
        <w:tc>
          <w:tcPr/>
          <w:p>
            <w:pPr>
              <w:pStyle w:val="Tabla9"/>
              <w:jc w:val="left"/>
            </w:pPr>
            <w:r>
              <w:t xml:space="preserve">Reentrenar por departamento, sumar rotaciones de referencia y evaluar variables omitidas</w:t>
            </w:r>
          </w:p>
        </w:tc>
        <w:tc>
          <w:tcPr/>
          <w:p>
            <w:pPr>
              <w:pStyle w:val="Tabla9"/>
              <w:jc w:val="left"/>
            </w:pPr>
            <w:r>
              <w:t xml:space="preserve">31,5</w:t>
            </w:r>
          </w:p>
        </w:tc>
        <w:tc>
          <w:tcPr/>
          <w:p>
            <w:pPr>
              <w:pStyle w:val="Tabla9"/>
              <w:jc w:val="left"/>
            </w:pPr>
            <w:r>
              <w:t xml:space="preserve">En el siguiente ciclo de calibración</w:t>
            </w:r>
          </w:p>
        </w:tc>
        <w:tc>
          <w:tcPr/>
          <w:p>
            <w:pPr>
              <w:pStyle w:val="Tabla9"/>
              <w:jc w:val="left"/>
            </w:pPr>
            <w:r>
              <w:t xml:space="preserve">Científico de datos</w:t>
            </w:r>
          </w:p>
        </w:tc>
      </w:tr>
      <w:tr>
        <w:trPr>
          <w:cantSplit/>
        </w:trPr>
        <w:tc>
          <w:tcPr/>
          <w:p>
            <w:pPr>
              <w:pStyle w:val="Tabla9"/>
              <w:jc w:val="left"/>
            </w:pPr>
            <w:r>
              <w:t xml:space="preserve">R-TEC-03: enlace celular caído</w:t>
            </w:r>
          </w:p>
        </w:tc>
        <w:tc>
          <w:tcPr/>
          <w:p>
            <w:pPr>
              <w:pStyle w:val="Tabla9"/>
              <w:jc w:val="left"/>
            </w:pPr>
            <w:r>
              <w:t xml:space="preserve">Pérdida de paquetes &gt; 10 % durante 72 horas</w:t>
            </w:r>
          </w:p>
        </w:tc>
        <w:tc>
          <w:tcPr/>
          <w:p>
            <w:pPr>
              <w:pStyle w:val="Tabla9"/>
              <w:jc w:val="left"/>
            </w:pPr>
            <w:r>
              <w:t xml:space="preserve">Conmutar al enlace satelital de respaldo y recuperar los datos del almacenamiento local de 7 días</w:t>
            </w:r>
          </w:p>
        </w:tc>
        <w:tc>
          <w:tcPr/>
          <w:p>
            <w:pPr>
              <w:pStyle w:val="Tabla9"/>
              <w:jc w:val="left"/>
            </w:pPr>
            <w:r>
              <w:t xml:space="preserve">28,0</w:t>
            </w:r>
          </w:p>
        </w:tc>
        <w:tc>
          <w:tcPr/>
          <w:p>
            <w:pPr>
              <w:pStyle w:val="Tabla9"/>
              <w:jc w:val="left"/>
            </w:pPr>
            <w:r>
              <w:t xml:space="preserve">De inmediato; cierre en la verificación mensual</w:t>
            </w:r>
          </w:p>
        </w:tc>
        <w:tc>
          <w:tcPr/>
          <w:p>
            <w:pPr>
              <w:pStyle w:val="Tabla9"/>
              <w:jc w:val="left"/>
            </w:pPr>
            <w:r>
              <w:t xml:space="preserve">Ingenieros IoT</w:t>
            </w:r>
          </w:p>
        </w:tc>
      </w:tr>
      <w:tr>
        <w:trPr>
          <w:cantSplit/>
        </w:trPr>
        <w:tc>
          <w:tcPr/>
          <w:p>
            <w:pPr>
              <w:pStyle w:val="Tabla9"/>
              <w:jc w:val="left"/>
            </w:pPr>
            <w:r>
              <w:t xml:space="preserve">R-TEC-02: baterías agotadas</w:t>
            </w:r>
          </w:p>
        </w:tc>
        <w:tc>
          <w:tcPr/>
          <w:p>
            <w:pPr>
              <w:pStyle w:val="Tabla9"/>
              <w:jc w:val="left"/>
            </w:pPr>
            <w:r>
              <w:t xml:space="preserve">Disponibilidad mensual &lt; 90 %</w:t>
            </w:r>
          </w:p>
        </w:tc>
        <w:tc>
          <w:tcPr/>
          <w:p>
            <w:pPr>
              <w:pStyle w:val="Tabla9"/>
              <w:jc w:val="left"/>
            </w:pPr>
            <w:r>
              <w:t xml:space="preserve">Reponer baterías desde los repuestos, activar el modo de bajo consumo y revisar el dimensionamiento solar</w:t>
            </w:r>
          </w:p>
        </w:tc>
        <w:tc>
          <w:tcPr/>
          <w:p>
            <w:pPr>
              <w:pStyle w:val="Tabla9"/>
              <w:jc w:val="left"/>
            </w:pPr>
            <w:r>
              <w:t xml:space="preserve">24,0</w:t>
            </w:r>
          </w:p>
        </w:tc>
        <w:tc>
          <w:tcPr/>
          <w:p>
            <w:pPr>
              <w:pStyle w:val="Tabla9"/>
              <w:jc w:val="left"/>
            </w:pPr>
            <w:r>
              <w:t xml:space="preserve">En la siguiente visita de campo</w:t>
            </w:r>
          </w:p>
        </w:tc>
        <w:tc>
          <w:tcPr/>
          <w:p>
            <w:pPr>
              <w:pStyle w:val="Tabla9"/>
              <w:jc w:val="left"/>
            </w:pPr>
            <w:r>
              <w:t xml:space="preserve">Ingeniero de firmware</w:t>
            </w:r>
          </w:p>
        </w:tc>
      </w:tr>
      <w:tr>
        <w:trPr>
          <w:cantSplit/>
        </w:trPr>
        <w:tc>
          <w:tcPr/>
          <w:p>
            <w:pPr>
              <w:pStyle w:val="Tabla9"/>
              <w:jc w:val="left"/>
            </w:pPr>
            <w:r>
              <w:t xml:space="preserve">R-EXT-02: robo o vandalismo</w:t>
            </w:r>
          </w:p>
        </w:tc>
        <w:tc>
          <w:tcPr/>
          <w:p>
            <w:pPr>
              <w:pStyle w:val="Tabla9"/>
              <w:jc w:val="left"/>
            </w:pPr>
            <w:r>
              <w:t xml:space="preserve">Dos o más nodos perdidos en un mes</w:t>
            </w:r>
          </w:p>
        </w:tc>
        <w:tc>
          <w:tcPr/>
          <w:p>
            <w:pPr>
              <w:pStyle w:val="Tabla9"/>
              <w:jc w:val="left"/>
            </w:pPr>
            <w:r>
              <w:t xml:space="preserve">Reponer desde los 20 nodos de reserva, activar el seguro de equipos de la entidad ejecutora y reforzar la custodia local</w:t>
            </w:r>
          </w:p>
        </w:tc>
        <w:tc>
          <w:tcPr/>
          <w:p>
            <w:pPr>
              <w:pStyle w:val="Tabla9"/>
              <w:jc w:val="left"/>
            </w:pPr>
            <w:r>
              <w:t xml:space="preserve">24,0</w:t>
            </w:r>
          </w:p>
        </w:tc>
        <w:tc>
          <w:tcPr/>
          <w:p>
            <w:pPr>
              <w:pStyle w:val="Tabla9"/>
              <w:jc w:val="left"/>
            </w:pPr>
            <w:r>
              <w:t xml:space="preserve">En la siguiente visita de campo</w:t>
            </w:r>
          </w:p>
        </w:tc>
        <w:tc>
          <w:tcPr/>
          <w:p>
            <w:pPr>
              <w:pStyle w:val="Tabla9"/>
              <w:jc w:val="left"/>
            </w:pPr>
            <w:r>
              <w:t xml:space="preserve">Técnicos de campo</w:t>
            </w:r>
          </w:p>
        </w:tc>
      </w:tr>
      <w:tr>
        <w:trPr>
          <w:cantSplit/>
        </w:trPr>
        <w:tc>
          <w:tcPr/>
          <w:p>
            <w:pPr>
              <w:pStyle w:val="Tabla9"/>
              <w:jc w:val="left"/>
            </w:pPr>
            <w:r>
              <w:t xml:space="preserve">R-FIN-02: contrapartida sin certificar</w:t>
            </w:r>
          </w:p>
        </w:tc>
        <w:tc>
          <w:tcPr/>
          <w:p>
            <w:pPr>
              <w:pStyle w:val="Tabla9"/>
              <w:jc w:val="left"/>
            </w:pPr>
            <w:r>
              <w:t xml:space="preserve">Certificación pendiente al mes 2</w:t>
            </w:r>
          </w:p>
        </w:tc>
        <w:tc>
          <w:tcPr/>
          <w:p>
            <w:pPr>
              <w:pStyle w:val="Tabla9"/>
              <w:jc w:val="left"/>
            </w:pPr>
            <w:r>
              <w:t xml:space="preserve">Obtener la certificación de la IES y de la empresa antes del acta de inicio y registrar su estado en C1</w:t>
            </w:r>
          </w:p>
        </w:tc>
        <w:tc>
          <w:tcPr/>
          <w:p>
            <w:pPr>
              <w:pStyle w:val="Tabla9"/>
              <w:jc w:val="left"/>
            </w:pPr>
            <w:r>
              <w:t xml:space="preserve">20,0</w:t>
            </w:r>
          </w:p>
        </w:tc>
        <w:tc>
          <w:tcPr/>
          <w:p>
            <w:pPr>
              <w:pStyle w:val="Tabla9"/>
              <w:jc w:val="left"/>
            </w:pPr>
            <w:r>
              <w:t xml:space="preserve">Antes del acta de inicio en el mes 2</w:t>
            </w:r>
          </w:p>
        </w:tc>
        <w:tc>
          <w:tcPr/>
          <w:p>
            <w:pPr>
              <w:pStyle w:val="Tabla9"/>
              <w:jc w:val="left"/>
            </w:pPr>
            <w:r>
              <w:t xml:space="preserve">Gerencia de proyecto</w:t>
            </w:r>
          </w:p>
        </w:tc>
      </w:tr>
      <w:tr>
        <w:trPr>
          <w:cantSplit/>
        </w:trPr>
        <w:tc>
          <w:tcPr/>
          <w:p>
            <w:pPr>
              <w:pStyle w:val="Tabla9"/>
              <w:jc w:val="left"/>
            </w:pPr>
            <w:r>
              <w:t xml:space="preserve">R-JUR-01: patente de terceros</w:t>
            </w:r>
          </w:p>
        </w:tc>
        <w:tc>
          <w:tcPr/>
          <w:p>
            <w:pPr>
              <w:pStyle w:val="Tabla9"/>
              <w:jc w:val="left"/>
            </w:pPr>
            <w:r>
              <w:t xml:space="preserve">Solicitud con fase nacional abierta que reivindique el método</w:t>
            </w:r>
          </w:p>
        </w:tc>
        <w:tc>
          <w:tcPr/>
          <w:p>
            <w:pPr>
              <w:pStyle w:val="Tabla9"/>
              <w:jc w:val="left"/>
            </w:pPr>
            <w:r>
              <w:t xml:space="preserve">Ejecutar el análisis de libertad de operación y rediseñar el módulo afectado</w:t>
            </w:r>
          </w:p>
        </w:tc>
        <w:tc>
          <w:tcPr/>
          <w:p>
            <w:pPr>
              <w:pStyle w:val="Tabla9"/>
              <w:jc w:val="left"/>
            </w:pPr>
            <w:r>
              <w:t xml:space="preserve">20,0</w:t>
            </w:r>
          </w:p>
        </w:tc>
        <w:tc>
          <w:tcPr/>
          <w:p>
            <w:pPr>
              <w:pStyle w:val="Tabla9"/>
              <w:jc w:val="left"/>
            </w:pPr>
            <w:r>
              <w:t xml:space="preserve">Antes del vencimiento del plazo de fase nacional</w:t>
            </w:r>
          </w:p>
        </w:tc>
        <w:tc>
          <w:tcPr/>
          <w:p>
            <w:pPr>
              <w:pStyle w:val="Tabla9"/>
              <w:jc w:val="left"/>
            </w:pPr>
            <w:r>
              <w:t xml:space="preserve">Consultoría en propiedad intelectual</w:t>
            </w:r>
          </w:p>
        </w:tc>
      </w:tr>
      <w:tr>
        <w:trPr>
          <w:cantSplit/>
        </w:trPr>
        <w:tc>
          <w:tcPr/>
          <w:p>
            <w:pPr>
              <w:pStyle w:val="Tabla9"/>
              <w:jc w:val="left"/>
            </w:pPr>
            <w:r>
              <w:t xml:space="preserve">R-DAT-01: incidente de ciberseguridad</w:t>
            </w:r>
          </w:p>
        </w:tc>
        <w:tc>
          <w:tcPr/>
          <w:p>
            <w:pPr>
              <w:pStyle w:val="Tabla9"/>
              <w:jc w:val="left"/>
            </w:pPr>
            <w:r>
              <w:t xml:space="preserve">Hallazgo crítico en la auditoría</w:t>
            </w:r>
          </w:p>
        </w:tc>
        <w:tc>
          <w:tcPr/>
          <w:p>
            <w:pPr>
              <w:pStyle w:val="Tabla9"/>
              <w:jc w:val="left"/>
            </w:pPr>
            <w:r>
              <w:t xml:space="preserve">Aislar el componente, restaurar desde copias de respaldo y repetir la auditoría externa</w:t>
            </w:r>
          </w:p>
        </w:tc>
        <w:tc>
          <w:tcPr/>
          <w:p>
            <w:pPr>
              <w:pStyle w:val="Tabla9"/>
              <w:jc w:val="left"/>
            </w:pPr>
            <w:r>
              <w:t xml:space="preserve">18,0</w:t>
            </w:r>
          </w:p>
        </w:tc>
        <w:tc>
          <w:tcPr/>
          <w:p>
            <w:pPr>
              <w:pStyle w:val="Tabla9"/>
              <w:jc w:val="left"/>
            </w:pPr>
            <w:r>
              <w:t xml:space="preserve">En la sesión siguiente al hallazgo</w:t>
            </w:r>
          </w:p>
        </w:tc>
        <w:tc>
          <w:tcPr/>
          <w:p>
            <w:pPr>
              <w:pStyle w:val="Tabla9"/>
              <w:jc w:val="left"/>
            </w:pPr>
            <w:r>
              <w:t xml:space="preserve">Ingenieros de software</w:t>
            </w:r>
          </w:p>
        </w:tc>
      </w:tr>
    </w:tbl>
    <w:p>
      <w:pPr>
        <w:pStyle w:val="TablaNota"/>
      </w:pPr>
      <w:r>
        <w:rPr>
          <w:i/>
          <w:iCs/>
        </w:rPr>
        <w:t xml:space="preserve">Nota.</w:t>
      </w:r>
      <w:r>
        <w:t xml:space="preserve"> </w:t>
      </w:r>
      <w:r>
        <w:t xml:space="preserve">Elaboración propia con datos del registro de riesgos (disparador, respuesta, responsable y EMV) y del presupuesto (reserva X01 de 636,0 millones de COP; suma de EMV sin redondeo de 636,5). Naturaleza: PROPUESTO para los planes; CALCULADO para los recursos. Decimales con coma.</w:t>
      </w:r>
    </w:p>
    <w:p>
      <w:pPr>
        <w:pStyle w:val="BodyText"/>
      </w:pPr>
      <w:r>
        <w:t xml:space="preserve">La tabla ordena los planes por recurso requerido y no por categoría. Los cuatro primeros planes absorben 435,0 millones de COP, es decir, 68,3 % de la suma de EMV (CALCULADO). Dos limitaciones acompañan el plan. Primera, el cronograma carece de holgura en la ruta crítica de 104 semanas. Un retraso de instalación en actividades críticas desplaza el cierre. Solo se compensa con recursos o con un ajuste de plazo, cuya admisibilidad depende de los TdR (VACIO). Segunda, la reserva cubre solo riesgos cuantificados. No cubre las causas estratégicas de la Tabla X4.12, que se tratan con procedimiento.</w:t>
      </w:r>
    </w:p>
    <w:p>
      <w:pPr>
        <w:pStyle w:val="BodyText"/>
      </w:pPr>
      <w:r>
        <w:t xml:space="preserve">La regla de uso de la reserva completa el plan. Un recurso se libera solo en tres condiciones. El disparador se activó. La gerencia de proyecto y la coalición guía aprueban el plan. El gasto queda registrado en el acta. Esa regla protege el indicador PERS-R04, que exige una desviación de la ejecución presupuestal de 5 % o menos al cierre. Si los TdR no admiten la reserva como rubro, el proyecto debe gestionar con el financiador una reasignación entre rubros. Las reglas de esa reasignación son VACIO.</w:t>
      </w:r>
    </w:p>
    <w:bookmarkEnd w:id="785"/>
    <w:bookmarkEnd w:id="786"/>
    <w:bookmarkStart w:id="795" w:name="_Toc00900336"/>
    <w:p>
      <w:pPr>
        <w:pStyle w:val="Heading2"/>
      </w:pPr>
      <w:r>
        <w:t xml:space="preserve">E5 Escenarios estratégicos</w:t>
      </w:r>
    </w:p>
    <w:bookmarkStart w:id="790" w:name="_Toc00900337"/>
    <w:p>
      <w:pPr>
        <w:pStyle w:val="Heading3"/>
      </w:pPr>
      <w:r>
        <w:t xml:space="preserve">E5.1 Metodología de escenarios</w:t>
      </w:r>
    </w:p>
    <w:p>
      <w:pPr>
        <w:pStyle w:val="FirstParagraph"/>
      </w:pPr>
      <w:r>
        <w:t xml:space="preserve">Los escenarios son herramientas de preparación y no pronósticos. Godet (2001) define un escenario como la descripción de una situación futura. Incluye la secuencia de eventos que conduce a ella desde la situación de origen. La definición exige coherencia interna y un camino identificable. No exige una probabilidad. El proyecto desarrolla cuatro escenarios: optimista, base, pesimista y de disrupción. Cada uno incluye una condición de activación, tres objetivos y tres acciones por objetivo.</w:t>
      </w:r>
    </w:p>
    <w:p>
      <w:pPr>
        <w:pStyle w:val="BodyText"/>
      </w:pPr>
      <w:r>
        <w:t xml:space="preserve">El debate metodológico se centra en el peso que se asigna a cada escenario. El informe de vigilancia tecnológica asigna probabilidades subjetivas a sus escenarios, de 30, 50 y 20 %, y calcula valores esperados. Declara que son juicios del analista y no frecuencias estimadas con datos (F-INF, §9.1). El metaprompt sugiere probabilidades de 25, 50, 20 y 5 %. Snowden y Boone (2007) sostienen otra postura. En contextos complejos, la causa y el efecto solo se reconocen en retrospectiva. El líder prueba, percibe y responde en lugar de predecir. El proyecto sigue la segunda postura. Omite las probabilidades, porque ninguna cuenta con fuente, según la decisión DEC-F11 del registro de formulación y la Norma Transversal CTeI (NTC 1.1).</w:t>
      </w:r>
    </w:p>
    <w:p>
      <w:pPr>
        <w:pStyle w:val="BodyText"/>
      </w:pPr>
      <w:r>
        <w:t xml:space="preserve">La definición de los escenarios se apoya en los cuatro supuestos críticos de la sección 4.4-MDR.8. SC-1 afirma que la corrección local reduce el error frente a la lectura sin corrección dinámica. SC-2 afirma que los nodos conservan energía y enlace. SC-3 afirma que los comités incorporan los umbrales en sus protocolos. SC-4 afirma que al menos un custodio por componente demuestra capacidad de absorción antes de cada tramo. La sección 4.4-MDR.12 formuló tres futuros como combinaciones de esos supuestos. Este capítulo los adopta y añade un cuarto escenario, definido por un evento externo y no por un supuesto interno.</w:t>
      </w:r>
    </w:p>
    <w:p>
      <w:pPr>
        <w:pStyle w:val="BodyText"/>
      </w:pPr>
      <w:r>
        <w:t xml:space="preserve">La Tabla X4.14 define las condiciones de activación. Una condición de activación es una evidencia documental, no una percepción. Cada escenario se activa en una compuerta o en una sesión no programada de la coalición guía.</w:t>
      </w:r>
    </w:p>
    <w:p>
      <w:pPr>
        <w:pStyle w:val="TablaRotulo"/>
      </w:pPr>
      <w:bookmarkStart w:id="9433" w:name="rot_Tabla_X4_14"/>
      <w:r>
        <w:rPr>
          <w:b/>
          <w:bCs/>
        </w:rPr>
        <w:t xml:space="preserve">Tabla X4.14</w:t>
      </w:r>
      <w:bookmarkEnd w:id="9433"/>
    </w:p>
    <w:p>
      <w:pPr>
        <w:pStyle w:val="TablaTitulo"/>
      </w:pPr>
      <w:r>
        <w:rPr>
          <w:i/>
          <w:iCs/>
        </w:rPr>
        <w:t xml:space="preserve">Condiciones de activación de los escenarios estratégicos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74"/>
        <w:gridCol w:w="1570"/>
        <w:gridCol w:w="1636"/>
        <w:gridCol w:w="1898"/>
        <w:gridCol w:w="1440"/>
      </w:tblGrid>
      <w:tr>
        <w:trPr>
          <w:cantSplit/>
          <w:tblHeader/>
        </w:trPr>
        <w:tc>
          <w:tcPr>
            <w:shd w:val="clear" w:color="auto" w:fill="00B050"/>
          </w:tcPr>
          <w:p>
            <w:pPr>
              <w:pStyle w:val="Tabla9"/>
              <w:jc w:val="center"/>
            </w:pPr>
            <w:r>
              <w:rPr>
                <w:b/>
                <w:color w:val="FFFFFF"/>
              </w:rPr>
              <w:t xml:space="preserve">Escenario</w:t>
            </w:r>
          </w:p>
        </w:tc>
        <w:tc>
          <w:tcPr>
            <w:shd w:val="clear" w:color="auto" w:fill="00B050"/>
          </w:tcPr>
          <w:p>
            <w:pPr>
              <w:pStyle w:val="Tabla9"/>
              <w:jc w:val="center"/>
            </w:pPr>
            <w:r>
              <w:rPr>
                <w:b/>
                <w:color w:val="FFFFFF"/>
              </w:rPr>
              <w:t xml:space="preserve">Supuestos críticos</w:t>
            </w:r>
          </w:p>
        </w:tc>
        <w:tc>
          <w:tcPr>
            <w:shd w:val="clear" w:color="auto" w:fill="00B050"/>
          </w:tcPr>
          <w:p>
            <w:pPr>
              <w:pStyle w:val="Tabla9"/>
              <w:jc w:val="center"/>
            </w:pPr>
            <w:r>
              <w:rPr>
                <w:b/>
                <w:color w:val="FFFFFF"/>
              </w:rPr>
              <w:t xml:space="preserve">Condición de activación</w:t>
            </w:r>
          </w:p>
        </w:tc>
        <w:tc>
          <w:tcPr>
            <w:shd w:val="clear" w:color="auto" w:fill="00B050"/>
          </w:tcPr>
          <w:p>
            <w:pPr>
              <w:pStyle w:val="Tabla9"/>
              <w:jc w:val="center"/>
            </w:pPr>
            <w:r>
              <w:rPr>
                <w:b/>
                <w:color w:val="FFFFFF"/>
              </w:rPr>
              <w:t xml:space="preserve">Evidencia que la confirma</w:t>
            </w:r>
          </w:p>
        </w:tc>
        <w:tc>
          <w:tcPr>
            <w:shd w:val="clear" w:color="auto" w:fill="00B050"/>
          </w:tcPr>
          <w:p>
            <w:pPr>
              <w:pStyle w:val="Tabla9"/>
              <w:jc w:val="center"/>
            </w:pPr>
            <w:r>
              <w:rPr>
                <w:b/>
                <w:color w:val="FFFFFF"/>
              </w:rPr>
              <w:t xml:space="preserve">Instancia y momento de decisión</w:t>
            </w:r>
          </w:p>
        </w:tc>
      </w:tr>
      <w:tr>
        <w:trPr>
          <w:cantSplit/>
        </w:trPr>
        <w:tc>
          <w:tcPr/>
          <w:p>
            <w:pPr>
              <w:pStyle w:val="Tabla9"/>
              <w:jc w:val="left"/>
            </w:pPr>
            <w:r>
              <w:t xml:space="preserve">Optimista</w:t>
            </w:r>
          </w:p>
        </w:tc>
        <w:tc>
          <w:tcPr/>
          <w:p>
            <w:pPr>
              <w:pStyle w:val="Tabla9"/>
              <w:jc w:val="left"/>
            </w:pPr>
            <w:r>
              <w:t xml:space="preserve">SC-1 a SC-4 se cumplen</w:t>
            </w:r>
          </w:p>
        </w:tc>
        <w:tc>
          <w:tcPr/>
          <w:p>
            <w:pPr>
              <w:pStyle w:val="Tabla9"/>
              <w:jc w:val="left"/>
            </w:pPr>
            <w:r>
              <w:t xml:space="preserve">C1 y C2 superadas; al menos un custodio con capacidad de absorción de 2 o más; uso del tablero en trayectoria hacia 75 %</w:t>
            </w:r>
          </w:p>
        </w:tc>
        <w:tc>
          <w:tcPr/>
          <w:p>
            <w:pPr>
              <w:pStyle w:val="Tabla9"/>
              <w:jc w:val="left"/>
            </w:pPr>
            <w:r>
              <w:t xml:space="preserve">Actas de C1 y C2; índice de capacidad de absorción; PERS-E01</w:t>
            </w:r>
          </w:p>
        </w:tc>
        <w:tc>
          <w:tcPr/>
          <w:p>
            <w:pPr>
              <w:pStyle w:val="Tabla9"/>
              <w:jc w:val="left"/>
            </w:pPr>
            <w:r>
              <w:t xml:space="preserve">Compuerta C2 en el mes 17 y evaluación externa del mes 24</w:t>
            </w:r>
          </w:p>
        </w:tc>
      </w:tr>
      <w:tr>
        <w:trPr>
          <w:cantSplit/>
        </w:trPr>
        <w:tc>
          <w:tcPr/>
          <w:p>
            <w:pPr>
              <w:pStyle w:val="Tabla9"/>
              <w:jc w:val="left"/>
            </w:pPr>
            <w:r>
              <w:t xml:space="preserve">Base</w:t>
            </w:r>
          </w:p>
        </w:tc>
        <w:tc>
          <w:tcPr/>
          <w:p>
            <w:pPr>
              <w:pStyle w:val="Tabla9"/>
              <w:jc w:val="left"/>
            </w:pPr>
            <w:r>
              <w:t xml:space="preserve">SC-1 a SC-3 se cumplen; SC-4 se cumple en parte de los componentes</w:t>
            </w:r>
          </w:p>
        </w:tc>
        <w:tc>
          <w:tcPr/>
          <w:p>
            <w:pPr>
              <w:pStyle w:val="Tabla9"/>
              <w:jc w:val="left"/>
            </w:pPr>
            <w:r>
              <w:t xml:space="preserve">C1 y C2 superadas; convenios con partida para parte de los componentes</w:t>
            </w:r>
          </w:p>
        </w:tc>
        <w:tc>
          <w:tcPr/>
          <w:p>
            <w:pPr>
              <w:pStyle w:val="Tabla9"/>
              <w:jc w:val="left"/>
            </w:pPr>
            <w:r>
              <w:t xml:space="preserve">Actas de compuerta; convenios por componente</w:t>
            </w:r>
          </w:p>
        </w:tc>
        <w:tc>
          <w:tcPr/>
          <w:p>
            <w:pPr>
              <w:pStyle w:val="Tabla9"/>
              <w:jc w:val="left"/>
            </w:pPr>
            <w:r>
              <w:t xml:space="preserve">Compuerta C2 en el mes 17</w:t>
            </w:r>
          </w:p>
        </w:tc>
      </w:tr>
      <w:tr>
        <w:trPr>
          <w:cantSplit/>
        </w:trPr>
        <w:tc>
          <w:tcPr/>
          <w:p>
            <w:pPr>
              <w:pStyle w:val="Tabla9"/>
              <w:jc w:val="left"/>
            </w:pPr>
            <w:r>
              <w:t xml:space="preserve">Pesimista</w:t>
            </w:r>
          </w:p>
        </w:tc>
        <w:tc>
          <w:tcPr/>
          <w:p>
            <w:pPr>
              <w:pStyle w:val="Tabla9"/>
              <w:jc w:val="left"/>
            </w:pPr>
            <w:r>
              <w:t xml:space="preserve">SC-3 y SC-4 fallan; SC-1 puede fallar</w:t>
            </w:r>
          </w:p>
        </w:tc>
        <w:tc>
          <w:tcPr/>
          <w:p>
            <w:pPr>
              <w:pStyle w:val="Tabla9"/>
              <w:jc w:val="left"/>
            </w:pPr>
            <w:r>
              <w:t xml:space="preserve">C1 no superada, uso del tablero menor que 50 % en el tramo 1 o convenio sin partida al cierre del tramo 2</w:t>
            </w:r>
          </w:p>
        </w:tc>
        <w:tc>
          <w:tcPr/>
          <w:p>
            <w:pPr>
              <w:pStyle w:val="Tabla9"/>
              <w:jc w:val="left"/>
            </w:pPr>
            <w:r>
              <w:t xml:space="preserve">Acta de C1; PERS-E01; convenios</w:t>
            </w:r>
          </w:p>
        </w:tc>
        <w:tc>
          <w:tcPr/>
          <w:p>
            <w:pPr>
              <w:pStyle w:val="Tabla9"/>
              <w:jc w:val="left"/>
            </w:pPr>
            <w:r>
              <w:t xml:space="preserve">Compuerta C1 en el mes 12 y compuerta C2 en el mes 17</w:t>
            </w:r>
          </w:p>
        </w:tc>
      </w:tr>
      <w:tr>
        <w:trPr>
          <w:cantSplit/>
        </w:trPr>
        <w:tc>
          <w:tcPr/>
          <w:p>
            <w:pPr>
              <w:pStyle w:val="Tabla9"/>
              <w:jc w:val="left"/>
            </w:pPr>
            <w:r>
              <w:t xml:space="preserve">Disrupción</w:t>
            </w:r>
          </w:p>
        </w:tc>
        <w:tc>
          <w:tcPr/>
          <w:p>
            <w:pPr>
              <w:pStyle w:val="Tabla9"/>
              <w:jc w:val="left"/>
            </w:pPr>
            <w:r>
              <w:t xml:space="preserve">Un evento externo altera varios supuestos a la vez</w:t>
            </w:r>
          </w:p>
        </w:tc>
        <w:tc>
          <w:tcPr/>
          <w:p>
            <w:pPr>
              <w:pStyle w:val="Tabla9"/>
              <w:jc w:val="left"/>
            </w:pPr>
            <w:r>
              <w:t xml:space="preserve">TdR que prohíben el piloto o los tramos; TRM sobre el disparador de forma sostenida; vías bloqueadas con retraso mayor que 3 semanas; cambio normativo</w:t>
            </w:r>
          </w:p>
        </w:tc>
        <w:tc>
          <w:tcPr/>
          <w:p>
            <w:pPr>
              <w:pStyle w:val="Tabla9"/>
              <w:jc w:val="left"/>
            </w:pPr>
            <w:r>
              <w:t xml:space="preserve">Documento del convocante; serie de la TRM; reporte de la autoridad de gestión del riesgo; acto administrativo</w:t>
            </w:r>
          </w:p>
        </w:tc>
        <w:tc>
          <w:tcPr/>
          <w:p>
            <w:pPr>
              <w:pStyle w:val="Tabla9"/>
              <w:jc w:val="left"/>
            </w:pPr>
            <w:r>
              <w:t xml:space="preserve">Sesión no programada de la coalición guía</w:t>
            </w:r>
          </w:p>
        </w:tc>
      </w:tr>
    </w:tbl>
    <w:p>
      <w:pPr>
        <w:pStyle w:val="TablaNota"/>
      </w:pPr>
      <w:r>
        <w:rPr>
          <w:i/>
          <w:iCs/>
        </w:rPr>
        <w:t xml:space="preserve">Nota.</w:t>
      </w:r>
      <w:r>
        <w:t xml:space="preserve"> </w:t>
      </w:r>
      <w:r>
        <w:t xml:space="preserve">Elaboración propia con datos de 4.4-MDR.8 (supuestos SC-1 a SC-4), 4.4-MDR.12 (tres futuros), del cronograma (compuertas) y del registro de riesgos (disparadores de R-FIN-01 y R-EXT-01). Naturaleza: PROPUESTO. Sin probabilidades, según DEC-F11. TRM: tasa representativa del mercado.</w:t>
      </w:r>
    </w:p>
    <w:p>
      <w:pPr>
        <w:pStyle w:val="BodyText"/>
      </w:pPr>
      <w:r>
        <w:t xml:space="preserve">La tabla permite decidir con evidencia en tres momentos: los meses 12, 17 y 24. Los tres primeros escenarios se activan por el resultado de las compuertas. El cuarto se activa por un hecho externo y su decisión no espera a una compuerta. Un escenario no excluye a otro en el tiempo. El proyecto puede ser base hasta el mes 17 y pesimista después, si C2 no se supera por falta de convenios con partida.</w:t>
      </w:r>
    </w:p>
    <w:p>
      <w:pPr>
        <w:pStyle w:val="BodyText"/>
      </w:pPr>
      <w:r>
        <w:t xml:space="preserve">La Figura X4.7 ubica los escenarios en un plano definido por los dos pares de supuestos. El eje horizontal agrupa SC-1 y SC-2, que describen la medición y la red. El eje vertical agrupa SC-3 y SC-4, que describen el uso y la custodia. Cada escenario ocupa una región del plano.</w:t>
      </w:r>
    </w:p>
    <w:p>
      <w:pPr>
        <w:pStyle w:val="FiguraRotulo"/>
      </w:pPr>
      <w:bookmarkStart w:id="9562" w:name="rot_Figura_X4_7"/>
      <w:r>
        <w:rPr>
          <w:b/>
          <w:bCs/>
        </w:rPr>
        <w:t xml:space="preserve">Figura X4.7</w:t>
      </w:r>
      <w:bookmarkEnd w:id="9562"/>
    </w:p>
    <w:p>
      <w:pPr>
        <w:pStyle w:val="FiguraTitulo"/>
      </w:pPr>
      <w:r>
        <w:rPr>
          <w:i/>
          <w:iCs/>
        </w:rPr>
        <w:t xml:space="preserve">Los escenarios se distinguen por el cumplimiento de los supuestos de medición y de custodia</w:t>
      </w:r>
    </w:p>
    <w:p>
      <w:pPr>
        <w:pStyle w:val="BodyText"/>
      </w:pPr>
      <w:r>
        <w:drawing>
          <wp:inline>
            <wp:extent cx="5579999" cy="3403678"/>
            <wp:effectExtent b="0" l="0" r="0" t="0"/>
            <wp:docPr descr="" title="" id="788" name="Picture"/>
            <a:graphic>
              <a:graphicData uri="http://schemas.openxmlformats.org/drawingml/2006/picture">
                <pic:pic>
                  <pic:nvPicPr>
                    <pic:cNvPr descr="/tmp/claude-0/-home-user-docs/ddf38714-2a7e-502b-92b4-1008e2832422/scratchpad/proy/figs/out/cX4_f07.png" id="789" name="Picture"/>
                    <pic:cNvPicPr>
                      <a:picLocks noChangeArrowheads="1" noChangeAspect="1"/>
                    </pic:cNvPicPr>
                  </pic:nvPicPr>
                  <pic:blipFill>
                    <a:blip r:embed="rId787"/>
                    <a:stretch>
                      <a:fillRect/>
                    </a:stretch>
                  </pic:blipFill>
                  <pic:spPr bwMode="auto">
                    <a:xfrm>
                      <a:off x="0" y="0"/>
                      <a:ext cx="5579999" cy="340367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4.4-MDR.8 y 4.4-MDR.12. Sin ejes numéricos ni probabilidades (DEC-F11); la posición indica el cumplimiento de supuestos y no una frecuencia. Diagrama de cuadrantes; matplotlib, tamaño 10 × 7 pulgadas. Script: cX4_figuras.py; sin semilla aleatoria.</w:t>
      </w:r>
    </w:p>
    <w:p>
      <w:pPr>
        <w:pStyle w:val="BodyText"/>
      </w:pPr>
      <w:r>
        <w:t xml:space="preserve">La figura aclara dos puntos. Primero, el escenario optimista exige el cumplimiento de los cuatro supuestos, y el base acepta un cumplimiento parcial de SC-4. Segundo, el cuadrante de uso institucional sin medición verificada no es un escenario del plan, sino un riesgo. Corresponde a la consecuencia no deseada de falsa seguridad que anticipa 4.4-MDR.11. El proyecto lo previene con rangos de incertidumbre y con la referencia permanente.</w:t>
      </w:r>
    </w:p>
    <w:bookmarkEnd w:id="790"/>
    <w:bookmarkStart w:id="791" w:name="_Toc00900338"/>
    <w:p>
      <w:pPr>
        <w:pStyle w:val="Heading3"/>
      </w:pPr>
      <w:r>
        <w:t xml:space="preserve">E5.2 Escenario optimista</w:t>
      </w:r>
    </w:p>
    <w:p>
      <w:pPr>
        <w:pStyle w:val="FirstParagraph"/>
      </w:pPr>
      <w:r>
        <w:t xml:space="preserve">El escenario optimista corresponde al futuro ambicioso de 4.4-MDR.12. Los cuatro supuestos críticos se cumplen. La teoría del cambio alcanza el impacto en forma de contribución, y la sostenibilidad completa la transferencia por tramos con un motor financiero diversificado. La condición de activación es que C1 y C2 se superen y que al menos un custodio demuestre capacidad de absorción de 2 o más.</w:t>
      </w:r>
    </w:p>
    <w:p>
      <w:pPr>
        <w:pStyle w:val="BodyText"/>
      </w:pPr>
      <w:r>
        <w:t xml:space="preserve">La difusión de una innovación sigue una curva por categorías de adoptantes, y la observabilidad y la compatibilidad aceleran la adopción (Rogers, 2003). Si el optimismo se confirma, la demanda de réplica puede superar la capacidad del proyecto. La expansión rápida produce consecuencias no anticipadas (Merton, 1936). La tensión entre ambas posiciones se resuelve con una regla de alcance. El proyecto solicitó 8.729,84 millones de COP, que equivalen a 62,4 % del tope declarado de 14.000 millones de COP. La holgura de 5.270,16 millones de COP no se solicitó. Esa holgura se describe como opciones de ampliación condicionadas a los TdR: más nodos, un cuarto tramo y un año adicional de custodia. Ninguna se presupuesta (DEC-F06).</w:t>
      </w:r>
    </w:p>
    <w:p>
      <w:pPr>
        <w:pStyle w:val="BodyText"/>
      </w:pPr>
      <w:r>
        <w:t xml:space="preserve">La Tabla X4.15 presenta tres objetivos con tres acciones cada uno. Las acciones son opciones PROPUESTO de 4.4-MDR.12, complementadas con las opciones de ampliación.</w:t>
      </w:r>
    </w:p>
    <w:p>
      <w:pPr>
        <w:pStyle w:val="TablaRotulo"/>
      </w:pPr>
      <w:bookmarkStart w:id="9434" w:name="rot_Tabla_X4_15"/>
      <w:r>
        <w:rPr>
          <w:b/>
          <w:bCs/>
        </w:rPr>
        <w:t xml:space="preserve">Tabla X4.15</w:t>
      </w:r>
      <w:bookmarkEnd w:id="9434"/>
    </w:p>
    <w:p>
      <w:pPr>
        <w:pStyle w:val="TablaTitulo"/>
      </w:pPr>
      <w:r>
        <w:rPr>
          <w:i/>
          <w:iCs/>
        </w:rPr>
        <w:t xml:space="preserve">Plan para el escenario optimista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14"/>
        <w:gridCol w:w="1980"/>
        <w:gridCol w:w="1914"/>
        <w:gridCol w:w="2112"/>
      </w:tblGrid>
      <w:tr>
        <w:trPr>
          <w:cantSplit/>
          <w:tblHeader/>
        </w:trPr>
        <w:tc>
          <w:tcPr>
            <w:shd w:val="clear" w:color="auto" w:fill="00B050"/>
          </w:tcPr>
          <w:p>
            <w:pPr>
              <w:pStyle w:val="Tabla9"/>
              <w:jc w:val="center"/>
            </w:pPr>
            <w:r>
              <w:rPr>
                <w:b/>
                <w:color w:val="FFFFFF"/>
              </w:rPr>
              <w:t xml:space="preserve">Objetivo</w:t>
            </w:r>
          </w:p>
        </w:tc>
        <w:tc>
          <w:tcPr>
            <w:shd w:val="clear" w:color="auto" w:fill="00B050"/>
          </w:tcPr>
          <w:p>
            <w:pPr>
              <w:pStyle w:val="Tabla9"/>
              <w:jc w:val="center"/>
            </w:pPr>
            <w:r>
              <w:rPr>
                <w:b/>
                <w:color w:val="FFFFFF"/>
              </w:rPr>
              <w:t xml:space="preserve">Acción 1</w:t>
            </w:r>
          </w:p>
        </w:tc>
        <w:tc>
          <w:tcPr>
            <w:shd w:val="clear" w:color="auto" w:fill="00B050"/>
          </w:tcPr>
          <w:p>
            <w:pPr>
              <w:pStyle w:val="Tabla9"/>
              <w:jc w:val="center"/>
            </w:pPr>
            <w:r>
              <w:rPr>
                <w:b/>
                <w:color w:val="FFFFFF"/>
              </w:rPr>
              <w:t xml:space="preserve">Acción 2</w:t>
            </w:r>
          </w:p>
        </w:tc>
        <w:tc>
          <w:tcPr>
            <w:shd w:val="clear" w:color="auto" w:fill="00B050"/>
          </w:tcPr>
          <w:p>
            <w:pPr>
              <w:pStyle w:val="Tabla9"/>
              <w:jc w:val="center"/>
            </w:pPr>
            <w:r>
              <w:rPr>
                <w:b/>
                <w:color w:val="FFFFFF"/>
              </w:rPr>
              <w:t xml:space="preserve">Acción 3</w:t>
            </w:r>
          </w:p>
        </w:tc>
      </w:tr>
      <w:tr>
        <w:trPr>
          <w:cantSplit/>
        </w:trPr>
        <w:tc>
          <w:tcPr/>
          <w:p>
            <w:pPr>
              <w:pStyle w:val="Tabla9"/>
              <w:jc w:val="left"/>
            </w:pPr>
            <w:r>
              <w:t xml:space="preserve">O1: Extender la verificación a más sitios</w:t>
            </w:r>
          </w:p>
        </w:tc>
        <w:tc>
          <w:tcPr/>
          <w:p>
            <w:pPr>
              <w:pStyle w:val="Tabla9"/>
              <w:jc w:val="left"/>
            </w:pPr>
            <w:r>
              <w:t xml:space="preserve">Compartir la red de referencia con estaciones oficiales y universidades</w:t>
            </w:r>
          </w:p>
        </w:tc>
        <w:tc>
          <w:tcPr/>
          <w:p>
            <w:pPr>
              <w:pStyle w:val="Tabla9"/>
              <w:jc w:val="left"/>
            </w:pPr>
            <w:r>
              <w:t xml:space="preserve">Desplegar nodos de referencia itinerantes</w:t>
            </w:r>
          </w:p>
        </w:tc>
        <w:tc>
          <w:tcPr/>
          <w:p>
            <w:pPr>
              <w:pStyle w:val="Tabla9"/>
              <w:jc w:val="left"/>
            </w:pPr>
            <w:r>
              <w:t xml:space="preserve">Solicitar al convocante la ampliación con más nodos o un cuarto tramo, sin presupuestar antes de los TdR</w:t>
            </w:r>
          </w:p>
        </w:tc>
      </w:tr>
      <w:tr>
        <w:trPr>
          <w:cantSplit/>
        </w:trPr>
        <w:tc>
          <w:tcPr/>
          <w:p>
            <w:pPr>
              <w:pStyle w:val="Tabla9"/>
              <w:jc w:val="left"/>
            </w:pPr>
            <w:r>
              <w:t xml:space="preserve">O2: Integrar las alertas en las rutinas de salud y de gestión del riesgo</w:t>
            </w:r>
          </w:p>
        </w:tc>
        <w:tc>
          <w:tcPr/>
          <w:p>
            <w:pPr>
              <w:pStyle w:val="Tabla9"/>
              <w:jc w:val="left"/>
            </w:pPr>
            <w:r>
              <w:t xml:space="preserve">Integrar el tablero al sistema de información de las ARL</w:t>
            </w:r>
          </w:p>
        </w:tc>
        <w:tc>
          <w:tcPr/>
          <w:p>
            <w:pPr>
              <w:pStyle w:val="Tabla9"/>
              <w:jc w:val="left"/>
            </w:pPr>
            <w:r>
              <w:t xml:space="preserve">Integrar los umbrales al protocolo de emergencia departamental</w:t>
            </w:r>
          </w:p>
        </w:tc>
        <w:tc>
          <w:tcPr/>
          <w:p>
            <w:pPr>
              <w:pStyle w:val="Tabla9"/>
              <w:jc w:val="left"/>
            </w:pPr>
            <w:r>
              <w:t xml:space="preserve">Validar localmente mensajes de riesgo con guía por grupo para las comunidades</w:t>
            </w:r>
          </w:p>
        </w:tc>
      </w:tr>
      <w:tr>
        <w:trPr>
          <w:cantSplit/>
        </w:trPr>
        <w:tc>
          <w:tcPr/>
          <w:p>
            <w:pPr>
              <w:pStyle w:val="Tabla9"/>
              <w:jc w:val="left"/>
            </w:pPr>
            <w:r>
              <w:t xml:space="preserve">O3: Consolidar el motor financiero y la transferencia completa</w:t>
            </w:r>
          </w:p>
        </w:tc>
        <w:tc>
          <w:tcPr/>
          <w:p>
            <w:pPr>
              <w:pStyle w:val="Tabla9"/>
              <w:jc w:val="left"/>
            </w:pPr>
            <w:r>
              <w:t xml:space="preserve">Constituir un fondo patrimonial o una reserva de mantenimiento con rendimiento real y fuente</w:t>
            </w:r>
          </w:p>
        </w:tc>
        <w:tc>
          <w:tcPr/>
          <w:p>
            <w:pPr>
              <w:pStyle w:val="Tabla9"/>
              <w:jc w:val="left"/>
            </w:pPr>
            <w:r>
              <w:t xml:space="preserve">Licenciar el servicio a otras entidades territoriales</w:t>
            </w:r>
          </w:p>
        </w:tc>
        <w:tc>
          <w:tcPr/>
          <w:p>
            <w:pPr>
              <w:pStyle w:val="Tabla9"/>
              <w:jc w:val="left"/>
            </w:pPr>
            <w:r>
              <w:t xml:space="preserve">Pactar un pago por resultados ligado a la disponibilidad y a la verificación</w:t>
            </w:r>
          </w:p>
        </w:tc>
      </w:tr>
    </w:tbl>
    <w:p>
      <w:pPr>
        <w:pStyle w:val="TablaNota"/>
      </w:pPr>
      <w:r>
        <w:rPr>
          <w:i/>
          <w:iCs/>
        </w:rPr>
        <w:t xml:space="preserve">Nota.</w:t>
      </w:r>
      <w:r>
        <w:t xml:space="preserve"> </w:t>
      </w:r>
      <w:r>
        <w:t xml:space="preserve">Elaboración propia con datos de 4.4-MDR.12 (futuro ambicioso) y del libro maestro (DEC-F06: holgura sin presupuestar). Naturaleza: PROPUESTO. ARL: administradoras de riesgos laborales. TdR: términos de referencia.</w:t>
      </w:r>
    </w:p>
    <w:p>
      <w:pPr>
        <w:pStyle w:val="BodyText"/>
      </w:pPr>
      <w:r>
        <w:t xml:space="preserve">El plan aprovecha el éxito sin comprometer recursos no solicitados. El objetivo O1 amplía la verificación, la condición que sostiene la credibilidad del dato. El objetivo O2 amplía el uso, la condición que justifica el gasto público. El objetivo O3 resuelve la continuidad, el punto más débil del proyecto según el registro de riesgos. Cada acción exige una condición de viabilidad, como un convenio, un mandato o un indicador verificable, y ninguna se ejecuta sin ella. La continuidad de un programa depende del diseño del proyecto, del entorno organizacional y del entorno comunitario (Shediac-Rizkallah y Bone, 1998).</w:t>
      </w:r>
    </w:p>
    <w:bookmarkEnd w:id="791"/>
    <w:bookmarkStart w:id="792" w:name="_Toc00900339"/>
    <w:p>
      <w:pPr>
        <w:pStyle w:val="Heading3"/>
      </w:pPr>
      <w:r>
        <w:t xml:space="preserve">E5.3 Escenario base</w:t>
      </w:r>
    </w:p>
    <w:p>
      <w:pPr>
        <w:pStyle w:val="FirstParagraph"/>
      </w:pPr>
      <w:r>
        <w:t xml:space="preserve">El escenario base corresponde al futuro base de 4.4-MDR.12. SC-1, SC-2 y SC-3 se cumplen, y SC-4 se cumple en parte de los componentes. La teoría del cambio llega a la incorporación de protocolos y a un servicio parcial. La sostenibilidad ejecuta tramos parciales. Es el escenario de trabajo del proyecto: el que sigue el plan con ajustes menores y exige la menor intervención estratégica.</w:t>
      </w:r>
    </w:p>
    <w:p>
      <w:pPr>
        <w:pStyle w:val="BodyText"/>
      </w:pPr>
      <w:r>
        <w:t xml:space="preserve">Dos posturas describen cómo se decide en este escenario. Lindblom (1959) defiende las comparaciones sucesivas limitadas, en las que el decisor avanza por ajustes pequeños desde la situación actual. Etzioni (1967) propone el rastreo mixto: un examen general de las opciones para detectar cambios mayores y un examen detallado de las opciones que lo ameritan. El proyecto adopta una versión de la segunda. La revisión mensual de indicadores es el ajuste incremental. La revisión trimestral de supuestos y las compuertas son el examen general.</w:t>
      </w:r>
    </w:p>
    <w:p>
      <w:pPr>
        <w:pStyle w:val="BodyText"/>
      </w:pPr>
      <w:r>
        <w:t xml:space="preserve">El escenario base exige tres cuidados. El primero es no confundir un cumplimiento parcial de SC-4 con un cumplimiento total. Los componentes sin custodio con capacidad demostrada permanecen bajo la alianza o pasan a la cláusula de apertura. El segundo es mantener el error verificado en operación, porque la deriva de los sensores no se corrige sola. El tercero es incorporar los umbrales en protocolos con efecto jurídico y no solo con acuerdos verbales.</w:t>
      </w:r>
    </w:p>
    <w:p>
      <w:pPr>
        <w:pStyle w:val="BodyText"/>
      </w:pPr>
      <w:r>
        <w:t xml:space="preserve">La Tabla X4.16 presenta el plan base. Sus acciones provienen del futuro base de 4.4-MDR.12 y son PROPUESTO.</w:t>
      </w:r>
    </w:p>
    <w:p>
      <w:pPr>
        <w:pStyle w:val="TablaRotulo"/>
      </w:pPr>
      <w:bookmarkStart w:id="9435" w:name="rot_Tabla_X4_16"/>
      <w:r>
        <w:rPr>
          <w:b/>
          <w:bCs/>
        </w:rPr>
        <w:t xml:space="preserve">Tabla X4.16</w:t>
      </w:r>
      <w:bookmarkEnd w:id="9435"/>
    </w:p>
    <w:p>
      <w:pPr>
        <w:pStyle w:val="TablaTitulo"/>
      </w:pPr>
      <w:r>
        <w:rPr>
          <w:i/>
          <w:iCs/>
        </w:rPr>
        <w:t xml:space="preserve">Plan para el escenario base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01"/>
        <w:gridCol w:w="2029"/>
        <w:gridCol w:w="2225"/>
        <w:gridCol w:w="1963"/>
      </w:tblGrid>
      <w:tr>
        <w:trPr>
          <w:cantSplit/>
          <w:tblHeader/>
        </w:trPr>
        <w:tc>
          <w:tcPr>
            <w:shd w:val="clear" w:color="auto" w:fill="00B050"/>
          </w:tcPr>
          <w:p>
            <w:pPr>
              <w:pStyle w:val="Tabla9"/>
              <w:jc w:val="center"/>
            </w:pPr>
            <w:r>
              <w:rPr>
                <w:b/>
                <w:color w:val="FFFFFF"/>
              </w:rPr>
              <w:t xml:space="preserve">Objetivo</w:t>
            </w:r>
          </w:p>
        </w:tc>
        <w:tc>
          <w:tcPr>
            <w:shd w:val="clear" w:color="auto" w:fill="00B050"/>
          </w:tcPr>
          <w:p>
            <w:pPr>
              <w:pStyle w:val="Tabla9"/>
              <w:jc w:val="center"/>
            </w:pPr>
            <w:r>
              <w:rPr>
                <w:b/>
                <w:color w:val="FFFFFF"/>
              </w:rPr>
              <w:t xml:space="preserve">Acción 1</w:t>
            </w:r>
          </w:p>
        </w:tc>
        <w:tc>
          <w:tcPr>
            <w:shd w:val="clear" w:color="auto" w:fill="00B050"/>
          </w:tcPr>
          <w:p>
            <w:pPr>
              <w:pStyle w:val="Tabla9"/>
              <w:jc w:val="center"/>
            </w:pPr>
            <w:r>
              <w:rPr>
                <w:b/>
                <w:color w:val="FFFFFF"/>
              </w:rPr>
              <w:t xml:space="preserve">Acción 2</w:t>
            </w:r>
          </w:p>
        </w:tc>
        <w:tc>
          <w:tcPr>
            <w:shd w:val="clear" w:color="auto" w:fill="00B050"/>
          </w:tcPr>
          <w:p>
            <w:pPr>
              <w:pStyle w:val="Tabla9"/>
              <w:jc w:val="center"/>
            </w:pPr>
            <w:r>
              <w:rPr>
                <w:b/>
                <w:color w:val="FFFFFF"/>
              </w:rPr>
              <w:t xml:space="preserve">Acción 3</w:t>
            </w:r>
          </w:p>
        </w:tc>
      </w:tr>
      <w:tr>
        <w:trPr>
          <w:cantSplit/>
        </w:trPr>
        <w:tc>
          <w:tcPr/>
          <w:p>
            <w:pPr>
              <w:pStyle w:val="Tabla9"/>
              <w:jc w:val="left"/>
            </w:pPr>
            <w:r>
              <w:t xml:space="preserve">O1: Mantener el error verificado en operación</w:t>
            </w:r>
          </w:p>
        </w:tc>
        <w:tc>
          <w:tcPr/>
          <w:p>
            <w:pPr>
              <w:pStyle w:val="Tabla9"/>
              <w:jc w:val="left"/>
            </w:pPr>
            <w:r>
              <w:t xml:space="preserve">Recalibrar por ventana estable con referencia permanente en un subconjunto de nodos</w:t>
            </w:r>
          </w:p>
        </w:tc>
        <w:tc>
          <w:tcPr/>
          <w:p>
            <w:pPr>
              <w:pStyle w:val="Tabla9"/>
              <w:jc w:val="left"/>
            </w:pPr>
            <w:r>
              <w:t xml:space="preserve">Recalibrar de forma periódica con técnicos locales certificados</w:t>
            </w:r>
          </w:p>
        </w:tc>
        <w:tc>
          <w:tcPr/>
          <w:p>
            <w:pPr>
              <w:pStyle w:val="Tabla9"/>
              <w:jc w:val="left"/>
            </w:pPr>
            <w:r>
              <w:t xml:space="preserve">Reentrenar el modelo con datos de referencia compartidos entre sitios</w:t>
            </w:r>
          </w:p>
        </w:tc>
      </w:tr>
      <w:tr>
        <w:trPr>
          <w:cantSplit/>
        </w:trPr>
        <w:tc>
          <w:tcPr/>
          <w:p>
            <w:pPr>
              <w:pStyle w:val="Tabla9"/>
              <w:jc w:val="left"/>
            </w:pPr>
            <w:r>
              <w:t xml:space="preserve">O2: Incorporar los umbrales en los protocolos</w:t>
            </w:r>
          </w:p>
        </w:tc>
        <w:tc>
          <w:tcPr/>
          <w:p>
            <w:pPr>
              <w:pStyle w:val="Tabla9"/>
              <w:jc w:val="left"/>
            </w:pPr>
            <w:r>
              <w:t xml:space="preserve">Ejecutar el protocolo piloto en un departamento y ampliarlo por evidencia</w:t>
            </w:r>
          </w:p>
        </w:tc>
        <w:tc>
          <w:tcPr/>
          <w:p>
            <w:pPr>
              <w:pStyle w:val="Tabla9"/>
              <w:jc w:val="left"/>
            </w:pPr>
            <w:r>
              <w:t xml:space="preserve">Obtener un acto administrativo departamental que adopte los umbrales</w:t>
            </w:r>
          </w:p>
        </w:tc>
        <w:tc>
          <w:tcPr/>
          <w:p>
            <w:pPr>
              <w:pStyle w:val="Tabla9"/>
              <w:jc w:val="left"/>
            </w:pPr>
            <w:r>
              <w:t xml:space="preserve">Incluir cláusulas ambientales que citen los umbrales en los contratos de obra</w:t>
            </w:r>
          </w:p>
        </w:tc>
      </w:tr>
      <w:tr>
        <w:trPr>
          <w:cantSplit/>
        </w:trPr>
        <w:tc>
          <w:tcPr/>
          <w:p>
            <w:pPr>
              <w:pStyle w:val="Tabla9"/>
              <w:jc w:val="left"/>
            </w:pPr>
            <w:r>
              <w:t xml:space="preserve">O3: Sostener el servicio por componente</w:t>
            </w:r>
          </w:p>
        </w:tc>
        <w:tc>
          <w:tcPr/>
          <w:p>
            <w:pPr>
              <w:pStyle w:val="Tabla9"/>
              <w:jc w:val="left"/>
            </w:pPr>
            <w:r>
              <w:t xml:space="preserve">Pactar un contrato de servicio entre las alcaldías y la institución ejecutora</w:t>
            </w:r>
          </w:p>
        </w:tc>
        <w:tc>
          <w:tcPr/>
          <w:p>
            <w:pPr>
              <w:pStyle w:val="Tabla9"/>
              <w:jc w:val="left"/>
            </w:pPr>
            <w:r>
              <w:t xml:space="preserve">Cofinanciar repuestos con las ARL y la autoridad ambiental mediante convenio</w:t>
            </w:r>
          </w:p>
        </w:tc>
        <w:tc>
          <w:tcPr/>
          <w:p>
            <w:pPr>
              <w:pStyle w:val="Tabla9"/>
              <w:jc w:val="left"/>
            </w:pPr>
            <w:r>
              <w:t xml:space="preserve">Entregar el tablero a la unidad de gestión del riesgo y el protocolo de calibración a la autoridad ambiental</w:t>
            </w:r>
          </w:p>
        </w:tc>
      </w:tr>
    </w:tbl>
    <w:p>
      <w:pPr>
        <w:pStyle w:val="TablaNota"/>
      </w:pPr>
      <w:r>
        <w:rPr>
          <w:i/>
          <w:iCs/>
        </w:rPr>
        <w:t xml:space="preserve">Nota.</w:t>
      </w:r>
      <w:r>
        <w:t xml:space="preserve"> </w:t>
      </w:r>
      <w:r>
        <w:t xml:space="preserve">Elaboración propia con datos de 4.4-MDR.12 (futuro base). Naturaleza: PROPUESTO. ARL: administradoras de riesgos laborales.</w:t>
      </w:r>
    </w:p>
    <w:p>
      <w:pPr>
        <w:pStyle w:val="BodyText"/>
      </w:pPr>
      <w:r>
        <w:t xml:space="preserve">Las nueve acciones comparten un criterio: cada una transfiere una función a quien posee competencia para sostenerla. La recalibración con técnicos locales certificados se apoya en la meta de 60 personas certificadas (PERS-E03). El acto administrativo departamental se apoya en la competencia jurídica de la gobernación. Las reglas formales fijan la conducta esperada (North, 1990). El contrato de servicio se apoya en la partida del plan operativo anual. Si alguna condición falta, la función permanece bajo la alianza y el escenario se acerca al pesimista.</w:t>
      </w:r>
    </w:p>
    <w:bookmarkEnd w:id="792"/>
    <w:bookmarkStart w:id="793" w:name="_Toc00900340"/>
    <w:p>
      <w:pPr>
        <w:pStyle w:val="Heading3"/>
      </w:pPr>
      <w:r>
        <w:t xml:space="preserve">E5.4 Escenario pesimista</w:t>
      </w:r>
    </w:p>
    <w:p>
      <w:pPr>
        <w:pStyle w:val="FirstParagraph"/>
      </w:pPr>
      <w:r>
        <w:t xml:space="preserve">El escenario pesimista toma el futuro conservador de 4.4-MDR.12. En ese futuro, SC-1 y SC-2 se cumplen y SC-3 y SC-4 fallan. El escenario añade la rama de falla de SC-1. Tres condiciones lo activan. La primera es una compuerta no superada. La segunda es un uso del tablero menor que 50 % en el tramo 1. La tercera es un convenio sin partida al cierre del tramo 2. La teoría del cambio llega solo a los resultados inmediatos y la sostenibilidad activa la cláusula de apertura.</w:t>
      </w:r>
    </w:p>
    <w:p>
      <w:pPr>
        <w:pStyle w:val="BodyText"/>
      </w:pPr>
      <w:r>
        <w:t xml:space="preserve">La literatura sobre decisión bajo riesgo advierte sobre un riesgo de este escenario. Kahneman y Tversky (1979) describen que, frente a pérdidas, las personas tienden a aceptar mayor riesgo para evitarlas. Esa tendencia favorece continuar con una inversión que ya muestra señales de fracaso. El criterio opuesto prefiere las opciones de menor costo de reversión y de detección más temprana del error (Collingridge, 1980). Las compuertas del proyecto institucionalizan el segundo criterio. Si C1 no se supera, la compra del tramo 2, de 48 nodos y 4 gateways, no se libera. El proyecto limita así la pérdida y no la agrava.</w:t>
      </w:r>
    </w:p>
    <w:p>
      <w:pPr>
        <w:pStyle w:val="BodyText"/>
      </w:pPr>
      <w:r>
        <w:t xml:space="preserve">Este escenario no equivale a un proyecto sin valor. Conserva tres productos con utilidad propia. Son una línea base de error medida con referencia en el tramo 1, un protocolo de calibración colocalizada y un uso técnico del tablero. La sección 4.4-MDR.12 los reconoce como objetivos del futuro conservador. El proyecto los trata como un piso de resultados, y su declaración exige honestidad sobre lo que no se logró.</w:t>
      </w:r>
    </w:p>
    <w:p>
      <w:pPr>
        <w:pStyle w:val="BodyText"/>
      </w:pPr>
      <w:r>
        <w:t xml:space="preserve">La Tabla X4.17 resume el plan pesimista. Las acciones provienen del futuro conservador de 4.4-MDR.12 y son PROPUESTO.</w:t>
      </w:r>
    </w:p>
    <w:p>
      <w:pPr>
        <w:pStyle w:val="TablaRotulo"/>
      </w:pPr>
      <w:bookmarkStart w:id="9436" w:name="rot_Tabla_X4_17"/>
      <w:r>
        <w:rPr>
          <w:b/>
          <w:bCs/>
        </w:rPr>
        <w:t xml:space="preserve">Tabla X4.17</w:t>
      </w:r>
      <w:bookmarkEnd w:id="9436"/>
    </w:p>
    <w:p>
      <w:pPr>
        <w:pStyle w:val="TablaTitulo"/>
      </w:pPr>
      <w:r>
        <w:rPr>
          <w:i/>
          <w:iCs/>
        </w:rPr>
        <w:t xml:space="preserve">Plan para el escenario pesimista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848"/>
        <w:gridCol w:w="1980"/>
        <w:gridCol w:w="2046"/>
        <w:gridCol w:w="2046"/>
      </w:tblGrid>
      <w:tr>
        <w:trPr>
          <w:cantSplit/>
          <w:tblHeader/>
        </w:trPr>
        <w:tc>
          <w:tcPr>
            <w:shd w:val="clear" w:color="auto" w:fill="00B050"/>
          </w:tcPr>
          <w:p>
            <w:pPr>
              <w:pStyle w:val="Tabla9"/>
              <w:jc w:val="center"/>
            </w:pPr>
            <w:r>
              <w:rPr>
                <w:b/>
                <w:color w:val="FFFFFF"/>
              </w:rPr>
              <w:t xml:space="preserve">Objetivo</w:t>
            </w:r>
          </w:p>
        </w:tc>
        <w:tc>
          <w:tcPr>
            <w:shd w:val="clear" w:color="auto" w:fill="00B050"/>
          </w:tcPr>
          <w:p>
            <w:pPr>
              <w:pStyle w:val="Tabla9"/>
              <w:jc w:val="center"/>
            </w:pPr>
            <w:r>
              <w:rPr>
                <w:b/>
                <w:color w:val="FFFFFF"/>
              </w:rPr>
              <w:t xml:space="preserve">Acción 1</w:t>
            </w:r>
          </w:p>
        </w:tc>
        <w:tc>
          <w:tcPr>
            <w:shd w:val="clear" w:color="auto" w:fill="00B050"/>
          </w:tcPr>
          <w:p>
            <w:pPr>
              <w:pStyle w:val="Tabla9"/>
              <w:jc w:val="center"/>
            </w:pPr>
            <w:r>
              <w:rPr>
                <w:b/>
                <w:color w:val="FFFFFF"/>
              </w:rPr>
              <w:t xml:space="preserve">Acción 2</w:t>
            </w:r>
          </w:p>
        </w:tc>
        <w:tc>
          <w:tcPr>
            <w:shd w:val="clear" w:color="auto" w:fill="00B050"/>
          </w:tcPr>
          <w:p>
            <w:pPr>
              <w:pStyle w:val="Tabla9"/>
              <w:jc w:val="center"/>
            </w:pPr>
            <w:r>
              <w:rPr>
                <w:b/>
                <w:color w:val="FFFFFF"/>
              </w:rPr>
              <w:t xml:space="preserve">Acción 3</w:t>
            </w:r>
          </w:p>
        </w:tc>
      </w:tr>
      <w:tr>
        <w:trPr>
          <w:cantSplit/>
        </w:trPr>
        <w:tc>
          <w:tcPr/>
          <w:p>
            <w:pPr>
              <w:pStyle w:val="Tabla9"/>
              <w:jc w:val="left"/>
            </w:pPr>
            <w:r>
              <w:t xml:space="preserve">O1: Consolidar una medición verificada con alcance reducido</w:t>
            </w:r>
          </w:p>
        </w:tc>
        <w:tc>
          <w:tcPr/>
          <w:p>
            <w:pPr>
              <w:pStyle w:val="Tabla9"/>
              <w:jc w:val="left"/>
            </w:pPr>
            <w:r>
              <w:t xml:space="preserve">Ampliar el sorteo a más nodos con la misma referencia, es decir, más réplicas de contraste</w:t>
            </w:r>
          </w:p>
        </w:tc>
        <w:tc>
          <w:tcPr/>
          <w:p>
            <w:pPr>
              <w:pStyle w:val="Tabla9"/>
              <w:jc w:val="left"/>
            </w:pPr>
            <w:r>
              <w:t xml:space="preserve">Co-ubicar nodos con estaciones oficiales como referencia externa</w:t>
            </w:r>
          </w:p>
        </w:tc>
        <w:tc>
          <w:tcPr/>
          <w:p>
            <w:pPr>
              <w:pStyle w:val="Tabla9"/>
              <w:jc w:val="left"/>
            </w:pPr>
            <w:r>
              <w:t xml:space="preserve">Aplicar corrección por reglas fijas con humedad, sin aprendizaje embebido, si el error se mantiene aceptable</w:t>
            </w:r>
          </w:p>
        </w:tc>
      </w:tr>
      <w:tr>
        <w:trPr>
          <w:cantSplit/>
        </w:trPr>
        <w:tc>
          <w:tcPr/>
          <w:p>
            <w:pPr>
              <w:pStyle w:val="Tabla9"/>
              <w:jc w:val="left"/>
            </w:pPr>
            <w:r>
              <w:t xml:space="preserve">O2: Dar uso técnico sin adopción pública</w:t>
            </w:r>
          </w:p>
        </w:tc>
        <w:tc>
          <w:tcPr/>
          <w:p>
            <w:pPr>
              <w:pStyle w:val="Tabla9"/>
              <w:jc w:val="left"/>
            </w:pPr>
            <w:r>
              <w:t xml:space="preserve">Entregar el tablero a la interventoría y a la institución ejecutora</w:t>
            </w:r>
          </w:p>
        </w:tc>
        <w:tc>
          <w:tcPr/>
          <w:p>
            <w:pPr>
              <w:pStyle w:val="Tabla9"/>
              <w:jc w:val="left"/>
            </w:pPr>
            <w:r>
              <w:t xml:space="preserve">Emitir informes a las ARL y a las constructoras para el control de la exposición ocupacional</w:t>
            </w:r>
          </w:p>
        </w:tc>
        <w:tc>
          <w:tcPr/>
          <w:p>
            <w:pPr>
              <w:pStyle w:val="Tabla9"/>
              <w:jc w:val="left"/>
            </w:pPr>
            <w:r>
              <w:t xml:space="preserve">Publicar series y boletines abiertos para universidades y comunidades</w:t>
            </w:r>
          </w:p>
        </w:tc>
      </w:tr>
      <w:tr>
        <w:trPr>
          <w:cantSplit/>
        </w:trPr>
        <w:tc>
          <w:tcPr/>
          <w:p>
            <w:pPr>
              <w:pStyle w:val="Tabla9"/>
              <w:jc w:val="left"/>
            </w:pPr>
            <w:r>
              <w:t xml:space="preserve">O3: Preservar los activos y el conocimiento</w:t>
            </w:r>
          </w:p>
        </w:tc>
        <w:tc>
          <w:tcPr/>
          <w:p>
            <w:pPr>
              <w:pStyle w:val="Tabla9"/>
              <w:jc w:val="left"/>
            </w:pPr>
            <w:r>
              <w:t xml:space="preserve">Mantener un servicio mínimo con un custodio académico</w:t>
            </w:r>
          </w:p>
        </w:tc>
        <w:tc>
          <w:tcPr/>
          <w:p>
            <w:pPr>
              <w:pStyle w:val="Tabla9"/>
              <w:jc w:val="left"/>
            </w:pPr>
            <w:r>
              <w:t xml:space="preserve">Liberar datos y código con licencia abierta y un manual de reactivación</w:t>
            </w:r>
          </w:p>
        </w:tc>
        <w:tc>
          <w:tcPr/>
          <w:p>
            <w:pPr>
              <w:pStyle w:val="Tabla9"/>
              <w:jc w:val="left"/>
            </w:pPr>
            <w:r>
              <w:t xml:space="preserve">Contratar servicios con constructoras y ARL para mantener nodos de referencia</w:t>
            </w:r>
          </w:p>
        </w:tc>
      </w:tr>
    </w:tbl>
    <w:p>
      <w:pPr>
        <w:pStyle w:val="TablaNota"/>
      </w:pPr>
      <w:r>
        <w:rPr>
          <w:i/>
          <w:iCs/>
        </w:rPr>
        <w:t xml:space="preserve">Nota.</w:t>
      </w:r>
      <w:r>
        <w:t xml:space="preserve"> </w:t>
      </w:r>
      <w:r>
        <w:t xml:space="preserve">Elaboración propia con datos de 4.4-MDR.12 (futuro conservador) y del cronograma (compuerta C1). Naturaleza: PROPUESTO. ARL: administradoras de riesgos laborales.</w:t>
      </w:r>
    </w:p>
    <w:p>
      <w:pPr>
        <w:pStyle w:val="BodyText"/>
      </w:pPr>
      <w:r>
        <w:t xml:space="preserve">El plan reduce el alcance, pero conserva el aprendizaje y los activos. Cada objetivo conlleva un riesgo propio que el proyecto debe declarar. El objetivo O1 depende de solo tres monitores de referencia presupuestados. El objetivo O2 enfrenta el riesgo de que las constructoras usen el tablero para eludir responsabilidades. El objetivo O3 depende de contratos con vigencia superior al proyecto y de un número reducido de clientes. Por esa razón el escenario exige comunicar de forma proactiva las dificultades al convocante y a los comités. La sección 4.4-MDR.5 ya advierte sobre un caso. Una constructora con poder para paralizar la obra y sin legitimidad sobre el umbral es un riesgo y no un aliado (Mitchell et al., 1997).</w:t>
      </w:r>
    </w:p>
    <w:bookmarkEnd w:id="793"/>
    <w:bookmarkStart w:id="794" w:name="_Toc00900341"/>
    <w:p>
      <w:pPr>
        <w:pStyle w:val="Heading3"/>
      </w:pPr>
      <w:r>
        <w:t xml:space="preserve">E5.5 Escenario de disrupción</w:t>
      </w:r>
    </w:p>
    <w:p>
      <w:pPr>
        <w:pStyle w:val="FirstParagraph"/>
      </w:pPr>
      <w:r>
        <w:t xml:space="preserve">El escenario de disrupción describe un evento externo que cambia el contexto del proyecto con independencia de su desempeño interno. Los eventos considerados provienen del registro de riesgos y del premortem. Son cinco. Los TdR pueden prohibir el piloto o la compra por tramos. El peso puede sufrir una devaluación sostenida. Deslizamientos o réplicas pueden bloquear el acceso a los sitios. Puede cambiar la norma. Puede aparecer una tecnología alterna certificada. La norma nacional de calidad del aire es la Resolución 2254 de 2017 (Ministerio de Ambiente y Desarrollo Sostenible, 2017). Un cambio de sus umbrales alteraría el diseño del índice. Una réplica sísmica añadiría escombros y polvo. Un desastre con escombros tiene consecuencias ambientales y de salud documentadas (Landrigan et al., 2004).</w:t>
      </w:r>
    </w:p>
    <w:p>
      <w:pPr>
        <w:pStyle w:val="BodyText"/>
      </w:pPr>
      <w:r>
        <w:t xml:space="preserve">En una crisis, el líder actúa primero para estabilizar, percibe después y responde (Snowden y Boone, 2007). Para el desarrollo ordenado de productos rige lo contrario. La decisión en cada compuerta se toma con criterios definidos (Cooper, 2008). El escenario exige combinar ambas posturas. La primera orienta las primeras horas del evento. La segunda orienta la decisión formal sobre la continuidad. El proyecto separa la contención inmediata de la decisión estratégica para no improvisar la segunda bajo la presión de la primera.</w:t>
      </w:r>
    </w:p>
    <w:p>
      <w:pPr>
        <w:pStyle w:val="BodyText"/>
      </w:pPr>
      <w:r>
        <w:t xml:space="preserve">El proyecto cuenta con dos defensas estructurales. La primera es la compra por tramos, que limita la exposición: ningún tramo se compra antes de superar la compuerta previa. La segunda es la cláusula de apertura y de salida ordenada de 4.4-MDR.10. Permite liberar datos, código y conocimiento con una licencia definida. Permite también trasladar los activos físicos a un custodio con un manual de reactivación. La gestión de desastres con sistemas heterogéneos, como el que integra nodos, gateways, nube y comités, es un campo de revisión reciente (Haris et al., 2026). Una desventaja es el calendario. La ruta crítica carece de holgura, y por eso cualquier evento que bloquee actividades críticas desplaza el cierre.</w:t>
      </w:r>
    </w:p>
    <w:p>
      <w:pPr>
        <w:pStyle w:val="BodyText"/>
      </w:pPr>
      <w:r>
        <w:t xml:space="preserve">La Tabla X4.18 presenta tres objetivos con tres acciones. Las acciones son PROPUESTO y no existen en 4.4-MDR.12, que no formuló este escenario.</w:t>
      </w:r>
    </w:p>
    <w:p>
      <w:pPr>
        <w:pStyle w:val="TablaRotulo"/>
      </w:pPr>
      <w:bookmarkStart w:id="9437" w:name="rot_Tabla_X4_18"/>
      <w:r>
        <w:rPr>
          <w:b/>
          <w:bCs/>
        </w:rPr>
        <w:t xml:space="preserve">Tabla X4.18</w:t>
      </w:r>
      <w:bookmarkEnd w:id="9437"/>
    </w:p>
    <w:p>
      <w:pPr>
        <w:pStyle w:val="TablaTitulo"/>
      </w:pPr>
      <w:r>
        <w:rPr>
          <w:i/>
          <w:iCs/>
        </w:rPr>
        <w:t xml:space="preserve">Plan para el escenario de disrupción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82"/>
        <w:gridCol w:w="2112"/>
        <w:gridCol w:w="2046"/>
        <w:gridCol w:w="1980"/>
      </w:tblGrid>
      <w:tr>
        <w:trPr>
          <w:cantSplit/>
          <w:tblHeader/>
        </w:trPr>
        <w:tc>
          <w:tcPr>
            <w:shd w:val="clear" w:color="auto" w:fill="00B050"/>
          </w:tcPr>
          <w:p>
            <w:pPr>
              <w:pStyle w:val="Tabla9"/>
              <w:jc w:val="center"/>
            </w:pPr>
            <w:r>
              <w:rPr>
                <w:b/>
                <w:color w:val="FFFFFF"/>
              </w:rPr>
              <w:t xml:space="preserve">Objetivo</w:t>
            </w:r>
          </w:p>
        </w:tc>
        <w:tc>
          <w:tcPr>
            <w:shd w:val="clear" w:color="auto" w:fill="00B050"/>
          </w:tcPr>
          <w:p>
            <w:pPr>
              <w:pStyle w:val="Tabla9"/>
              <w:jc w:val="center"/>
            </w:pPr>
            <w:r>
              <w:rPr>
                <w:b/>
                <w:color w:val="FFFFFF"/>
              </w:rPr>
              <w:t xml:space="preserve">Acción 1</w:t>
            </w:r>
          </w:p>
        </w:tc>
        <w:tc>
          <w:tcPr>
            <w:shd w:val="clear" w:color="auto" w:fill="00B050"/>
          </w:tcPr>
          <w:p>
            <w:pPr>
              <w:pStyle w:val="Tabla9"/>
              <w:jc w:val="center"/>
            </w:pPr>
            <w:r>
              <w:rPr>
                <w:b/>
                <w:color w:val="FFFFFF"/>
              </w:rPr>
              <w:t xml:space="preserve">Acción 2</w:t>
            </w:r>
          </w:p>
        </w:tc>
        <w:tc>
          <w:tcPr>
            <w:shd w:val="clear" w:color="auto" w:fill="00B050"/>
          </w:tcPr>
          <w:p>
            <w:pPr>
              <w:pStyle w:val="Tabla9"/>
              <w:jc w:val="center"/>
            </w:pPr>
            <w:r>
              <w:rPr>
                <w:b/>
                <w:color w:val="FFFFFF"/>
              </w:rPr>
              <w:t xml:space="preserve">Acción 3</w:t>
            </w:r>
          </w:p>
        </w:tc>
      </w:tr>
      <w:tr>
        <w:trPr>
          <w:cantSplit/>
        </w:trPr>
        <w:tc>
          <w:tcPr/>
          <w:p>
            <w:pPr>
              <w:pStyle w:val="Tabla9"/>
              <w:jc w:val="left"/>
            </w:pPr>
            <w:r>
              <w:t xml:space="preserve">O1: Evaluar la viabilidad de continuidad</w:t>
            </w:r>
          </w:p>
        </w:tc>
        <w:tc>
          <w:tcPr/>
          <w:p>
            <w:pPr>
              <w:pStyle w:val="Tabla9"/>
              <w:jc w:val="left"/>
            </w:pPr>
            <w:r>
              <w:t xml:space="preserve">Analizar el impacto del evento sobre los sitios, los TdR, los costos y el calendario</w:t>
            </w:r>
          </w:p>
        </w:tc>
        <w:tc>
          <w:tcPr/>
          <w:p>
            <w:pPr>
              <w:pStyle w:val="Tabla9"/>
              <w:jc w:val="left"/>
            </w:pPr>
            <w:r>
              <w:t xml:space="preserve">Consultar al convocante, a los comités y a los custodios</w:t>
            </w:r>
          </w:p>
        </w:tc>
        <w:tc>
          <w:tcPr/>
          <w:p>
            <w:pPr>
              <w:pStyle w:val="Tabla9"/>
              <w:jc w:val="left"/>
            </w:pPr>
            <w:r>
              <w:t xml:space="preserve">Decidir por acta si el proyecto continúa, se pausa o termina, con el criterio de menor costo de reversión</w:t>
            </w:r>
          </w:p>
        </w:tc>
      </w:tr>
      <w:tr>
        <w:trPr>
          <w:cantSplit/>
        </w:trPr>
        <w:tc>
          <w:tcPr/>
          <w:p>
            <w:pPr>
              <w:pStyle w:val="Tabla9"/>
              <w:jc w:val="left"/>
            </w:pPr>
            <w:r>
              <w:t xml:space="preserve">O2: Considerar un giro mayor</w:t>
            </w:r>
          </w:p>
        </w:tc>
        <w:tc>
          <w:tcPr/>
          <w:p>
            <w:pPr>
              <w:pStyle w:val="Tabla9"/>
              <w:jc w:val="left"/>
            </w:pPr>
            <w:r>
              <w:t xml:space="preserve">Identificar una aplicación alterna de la calibración colocalizada y de la corrección en el gateway</w:t>
            </w:r>
          </w:p>
        </w:tc>
        <w:tc>
          <w:tcPr/>
          <w:p>
            <w:pPr>
              <w:pStyle w:val="Tabla9"/>
              <w:jc w:val="left"/>
            </w:pPr>
            <w:r>
              <w:t xml:space="preserve">Reformular el alcance, por ejemplo con el tramo 1 como producto de conocimiento</w:t>
            </w:r>
          </w:p>
        </w:tc>
        <w:tc>
          <w:tcPr/>
          <w:p>
            <w:pPr>
              <w:pStyle w:val="Tabla9"/>
              <w:jc w:val="left"/>
            </w:pPr>
            <w:r>
              <w:t xml:space="preserve">Negociar con el convocante el cambio de enfoque</w:t>
            </w:r>
          </w:p>
        </w:tc>
      </w:tr>
      <w:tr>
        <w:trPr>
          <w:cantSplit/>
        </w:trPr>
        <w:tc>
          <w:tcPr/>
          <w:p>
            <w:pPr>
              <w:pStyle w:val="Tabla9"/>
              <w:jc w:val="left"/>
            </w:pPr>
            <w:r>
              <w:t xml:space="preserve">O3: Ejecutar un cierre ordenado si es necesario</w:t>
            </w:r>
          </w:p>
        </w:tc>
        <w:tc>
          <w:tcPr/>
          <w:p>
            <w:pPr>
              <w:pStyle w:val="Tabla9"/>
              <w:jc w:val="left"/>
            </w:pPr>
            <w:r>
              <w:t xml:space="preserve">Documentar el trabajo realizado y conservar las series de datos</w:t>
            </w:r>
          </w:p>
        </w:tc>
        <w:tc>
          <w:tcPr/>
          <w:p>
            <w:pPr>
              <w:pStyle w:val="Tabla9"/>
              <w:jc w:val="left"/>
            </w:pPr>
            <w:r>
              <w:t xml:space="preserve">Activar la cláusula de apertura y trasladar los activos físicos con un manual de reactivación</w:t>
            </w:r>
          </w:p>
        </w:tc>
        <w:tc>
          <w:tcPr/>
          <w:p>
            <w:pPr>
              <w:pStyle w:val="Tabla9"/>
              <w:jc w:val="left"/>
            </w:pPr>
            <w:r>
              <w:t xml:space="preserve">Comunicar la decisión a los comités, a los operarios, a las comunidades y al convocante</w:t>
            </w:r>
          </w:p>
        </w:tc>
      </w:tr>
    </w:tbl>
    <w:p>
      <w:pPr>
        <w:pStyle w:val="TablaNota"/>
      </w:pPr>
      <w:r>
        <w:rPr>
          <w:i/>
          <w:iCs/>
        </w:rPr>
        <w:t xml:space="preserve">Nota.</w:t>
      </w:r>
      <w:r>
        <w:t xml:space="preserve"> </w:t>
      </w:r>
      <w:r>
        <w:t xml:space="preserve">Elaboración propia con datos de 4.4-MDR.10 (cláusula de apertura y salida ordenada), del registro de riesgos y de 4.4-MDR.12 (causa de entorno). Naturaleza: PROPUESTO. Sin probabilidad, según DEC-F11.</w:t>
      </w:r>
    </w:p>
    <w:p>
      <w:pPr>
        <w:pStyle w:val="BodyText"/>
      </w:pPr>
      <w:r>
        <w:t xml:space="preserve">El plan separa tres decisiones que un evento externo suele mezclar: continuar, girar o cerrar. El primer objetivo exige una decisión formal con acta y no una reacción. El segundo reconoce que las capacidades del proyecto, la calibración colocalizada y la corrección en el borde, pueden servir en otra aplicación. El tercero asegura que, incluso si el proyecto termina, los datos, el código y el conocimiento no se pierden. Así se protege el uso del dinero público.</w:t>
      </w:r>
    </w:p>
    <w:bookmarkEnd w:id="794"/>
    <w:bookmarkEnd w:id="795"/>
    <w:bookmarkStart w:id="802" w:name="_Toc00900342"/>
    <w:p>
      <w:pPr>
        <w:pStyle w:val="Heading2"/>
      </w:pPr>
      <w:r>
        <w:t xml:space="preserve">E6 Síntesis estratégica</w:t>
      </w:r>
    </w:p>
    <w:bookmarkStart w:id="799" w:name="_Toc00900343"/>
    <w:p>
      <w:pPr>
        <w:pStyle w:val="Heading3"/>
      </w:pPr>
      <w:r>
        <w:t xml:space="preserve">E6.1 Mapa estratégico integrado</w:t>
      </w:r>
    </w:p>
    <w:p>
      <w:pPr>
        <w:pStyle w:val="FirstParagraph"/>
      </w:pPr>
      <w:r>
        <w:t xml:space="preserve">El mapa estratégico organiza en cuatro niveles lo que el capítulo desarrolló por separado. Las capacidades y los recursos sostienen los tres procesos internos: el posicionamiento de Christensen, el cambio de Kotter y el aprendizaje de Argyris. Los procesos producen resultados verificables. Los resultados contribuyen a un impacto que el proyecto no controla por completo. Esta estructura retoma la lógica de una teoría del cambio, base de la evaluación de iniciativas comunitarias complejas (Weiss, 1995).</w:t>
      </w:r>
    </w:p>
    <w:p>
      <w:pPr>
        <w:pStyle w:val="BodyText"/>
      </w:pPr>
      <w:r>
        <w:t xml:space="preserve">Dos lecturas rivales compiten sobre la forma del mapa. Funnell y Rogers (2011) proponen teorías del cambio y modelos lógicos con cadenas de resultados que se pueden anidar y desacoplar por componente. Los sistemas complejos no responden a recetas lineales (Glouberman y Zimmerman, 2002). La sección 4.4-MDR.8 resolvió el dilema con una arquitectura anidada. Descartó la arquitectura sistémica, porque exigiría modelar bucles con fichas de baja confianza. Conservó como bucle la retroalimentación principal, que es el uso institucional que justifica los contratos. El mapa de este capítulo respeta esa decisión.</w:t>
      </w:r>
    </w:p>
    <w:p>
      <w:pPr>
        <w:pStyle w:val="BodyText"/>
      </w:pPr>
      <w:r>
        <w:t xml:space="preserve">El proyecto cuenta con recursos definidos para cada nivel. La base incluye tres recursos. El primero es el equipo de 14 líneas de personal del presupuesto. El segundo son las alianzas (SUPUESTO). Participan la institución ejecutora, la empresa tecnológica, las alcaldías y la Unidad Nacional para la Gestión del Riesgo de Desastres (UNGRD). El tercero son los recursos financieros. El valor solicitado al Sistema General de Regalías (SGR) es de 8.729,84 millones de COP. La contrapartida es de 2.110 millones de COP. El total del proyecto es de 10.839,84 millones de COP. Los resultados son las metas de los tres objetivos específicos y de los productos PERS. El impacto se ubica sobre el techo de rendición de cuentas de 4.4-MDR.8, es decir, como contribución y no como compromiso.</w:t>
      </w:r>
    </w:p>
    <w:p>
      <w:pPr>
        <w:pStyle w:val="BodyText"/>
      </w:pPr>
      <w:r>
        <w:t xml:space="preserve">La Figura X4.8 presenta el mapa con sus metas.</w:t>
      </w:r>
    </w:p>
    <w:p>
      <w:pPr>
        <w:pStyle w:val="FiguraRotulo"/>
      </w:pPr>
      <w:bookmarkStart w:id="9563" w:name="rot_Figura_X4_8"/>
      <w:r>
        <w:rPr>
          <w:b/>
          <w:bCs/>
        </w:rPr>
        <w:t xml:space="preserve">Figura X4.8</w:t>
      </w:r>
      <w:bookmarkEnd w:id="9563"/>
    </w:p>
    <w:p>
      <w:pPr>
        <w:pStyle w:val="FiguraTitulo"/>
      </w:pPr>
      <w:r>
        <w:rPr>
          <w:i/>
          <w:iCs/>
        </w:rPr>
        <w:t xml:space="preserve">Los tres marcos transforman capacidades en resultados verificables y contribuyen a un impacto de continuidad</w:t>
      </w:r>
    </w:p>
    <w:p>
      <w:pPr>
        <w:pStyle w:val="BodyText"/>
      </w:pPr>
      <w:r>
        <w:drawing>
          <wp:inline>
            <wp:extent cx="5579999" cy="2860182"/>
            <wp:effectExtent b="0" l="0" r="0" t="0"/>
            <wp:docPr descr="" title="" id="797" name="Picture"/>
            <a:graphic>
              <a:graphicData uri="http://schemas.openxmlformats.org/drawingml/2006/picture">
                <pic:pic>
                  <pic:nvPicPr>
                    <pic:cNvPr descr="/tmp/claude-0/-home-user-docs/ddf38714-2a7e-502b-92b4-1008e2832422/scratchpad/proy/figs/out/cX4_f08.png" id="798" name="Picture"/>
                    <pic:cNvPicPr>
                      <a:picLocks noChangeArrowheads="1" noChangeAspect="1"/>
                    </pic:cNvPicPr>
                  </pic:nvPicPr>
                  <pic:blipFill>
                    <a:blip r:embed="rId796"/>
                    <a:stretch>
                      <a:fillRect/>
                    </a:stretch>
                  </pic:blipFill>
                  <pic:spPr bwMode="auto">
                    <a:xfrm>
                      <a:off x="0" y="0"/>
                      <a:ext cx="5579999" cy="286018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con datos del libro maestro (presupuesto, objetivos específicos, indicadores PERS) y 4.4-MDR.8 (techo de rendición de cuentas). Metas DECLARADO o PROPUESTO según el libro maestro. Diagrama por niveles; matplotlib, tamaño 10 × 7 pulgadas. Script: cX4_figuras.py; sin semilla aleatoria.</w:t>
      </w:r>
    </w:p>
    <w:p>
      <w:pPr>
        <w:pStyle w:val="BodyText"/>
      </w:pPr>
      <w:r>
        <w:t xml:space="preserve">La figura muestra que cada marco alimenta un resultado distinto y que el aprendizaje de Argyris alimenta a todos. Ese es el diseño intencional del capítulo. El posicionamiento fija el umbral de desempeño. El cambio logra el uso. El aprendizaje corrige los dos y genera conocimiento. El nivel de impacto aparece con trazo discontinuo. Se mide entre 6 y 12 meses después del cierre. Depende de custodios que hoy carecen de compromiso firmado.</w:t>
      </w:r>
    </w:p>
    <w:p>
      <w:pPr>
        <w:pStyle w:val="BodyText"/>
      </w:pPr>
      <w:r>
        <w:t xml:space="preserve">La Tabla X4.19 cierra la integración. Relaciona cada marco con su mecanismo y con la compuerta o el hito donde actúa. Añade el supuesto crítico que protege, el objetivo específico y el indicador que lo mide.</w:t>
      </w:r>
    </w:p>
    <w:p>
      <w:pPr>
        <w:pStyle w:val="TablaRotulo"/>
      </w:pPr>
      <w:bookmarkStart w:id="9438" w:name="rot_Tabla_X4_19"/>
      <w:r>
        <w:rPr>
          <w:b/>
          <w:bCs/>
        </w:rPr>
        <w:t xml:space="preserve">Tabla X4.19</w:t>
      </w:r>
      <w:bookmarkEnd w:id="9438"/>
    </w:p>
    <w:p>
      <w:pPr>
        <w:pStyle w:val="TablaTitulo"/>
      </w:pPr>
      <w:r>
        <w:rPr>
          <w:i/>
          <w:iCs/>
        </w:rPr>
        <w:t xml:space="preserve">Correspondencia entre los marcos, las compuertas, los supuestos y los indicadores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97"/>
        <w:gridCol w:w="1331"/>
        <w:gridCol w:w="1397"/>
        <w:gridCol w:w="931"/>
        <w:gridCol w:w="865"/>
        <w:gridCol w:w="865"/>
        <w:gridCol w:w="1131"/>
      </w:tblGrid>
      <w:tr>
        <w:trPr>
          <w:cantSplit/>
          <w:tblHeader/>
        </w:trPr>
        <w:tc>
          <w:tcPr>
            <w:shd w:val="clear" w:color="auto" w:fill="00B050"/>
          </w:tcPr>
          <w:p>
            <w:pPr>
              <w:pStyle w:val="Tabla8"/>
              <w:jc w:val="center"/>
            </w:pPr>
            <w:r>
              <w:rPr>
                <w:b/>
                <w:color w:val="FFFFFF"/>
              </w:rPr>
              <w:t xml:space="preserve">Marco</w:t>
            </w:r>
          </w:p>
        </w:tc>
        <w:tc>
          <w:tcPr>
            <w:shd w:val="clear" w:color="auto" w:fill="00B050"/>
          </w:tcPr>
          <w:p>
            <w:pPr>
              <w:pStyle w:val="Tabla8"/>
              <w:jc w:val="center"/>
            </w:pPr>
            <w:r>
              <w:rPr>
                <w:b/>
                <w:color w:val="FFFFFF"/>
              </w:rPr>
              <w:t xml:space="preserve">Pregunta que responde</w:t>
            </w:r>
          </w:p>
        </w:tc>
        <w:tc>
          <w:tcPr>
            <w:shd w:val="clear" w:color="auto" w:fill="00B050"/>
          </w:tcPr>
          <w:p>
            <w:pPr>
              <w:pStyle w:val="Tabla8"/>
              <w:jc w:val="center"/>
            </w:pPr>
            <w:r>
              <w:rPr>
                <w:b/>
                <w:color w:val="FFFFFF"/>
              </w:rPr>
              <w:t xml:space="preserve">Mecanismo del proyecto</w:t>
            </w:r>
          </w:p>
        </w:tc>
        <w:tc>
          <w:tcPr>
            <w:shd w:val="clear" w:color="auto" w:fill="00B050"/>
          </w:tcPr>
          <w:p>
            <w:pPr>
              <w:pStyle w:val="Tabla8"/>
              <w:jc w:val="center"/>
            </w:pPr>
            <w:r>
              <w:rPr>
                <w:b/>
                <w:color w:val="FFFFFF"/>
              </w:rPr>
              <w:t xml:space="preserve">Compuerta o hito</w:t>
            </w:r>
          </w:p>
        </w:tc>
        <w:tc>
          <w:tcPr>
            <w:shd w:val="clear" w:color="auto" w:fill="00B050"/>
          </w:tcPr>
          <w:p>
            <w:pPr>
              <w:pStyle w:val="Tabla8"/>
              <w:jc w:val="center"/>
            </w:pPr>
            <w:r>
              <w:rPr>
                <w:b/>
                <w:color w:val="FFFFFF"/>
              </w:rPr>
              <w:t xml:space="preserve">Supuesto crítico</w:t>
            </w:r>
          </w:p>
        </w:tc>
        <w:tc>
          <w:tcPr>
            <w:shd w:val="clear" w:color="auto" w:fill="00B050"/>
          </w:tcPr>
          <w:p>
            <w:pPr>
              <w:pStyle w:val="Tabla8"/>
              <w:jc w:val="center"/>
            </w:pPr>
            <w:r>
              <w:rPr>
                <w:b/>
                <w:color w:val="FFFFFF"/>
              </w:rPr>
              <w:t xml:space="preserve">Objetivo</w:t>
            </w:r>
          </w:p>
        </w:tc>
        <w:tc>
          <w:tcPr>
            <w:shd w:val="clear" w:color="auto" w:fill="00B050"/>
          </w:tcPr>
          <w:p>
            <w:pPr>
              <w:pStyle w:val="Tabla8"/>
              <w:jc w:val="center"/>
            </w:pPr>
            <w:r>
              <w:rPr>
                <w:b/>
                <w:color w:val="FFFFFF"/>
              </w:rPr>
              <w:t xml:space="preserve">Indicador</w:t>
            </w:r>
          </w:p>
        </w:tc>
      </w:tr>
      <w:tr>
        <w:trPr>
          <w:cantSplit/>
        </w:trPr>
        <w:tc>
          <w:tcPr/>
          <w:p>
            <w:pPr>
              <w:pStyle w:val="Tabla8"/>
              <w:jc w:val="left"/>
            </w:pPr>
            <w:r>
              <w:t xml:space="preserve">Christensen: posicionamiento</w:t>
            </w:r>
          </w:p>
        </w:tc>
        <w:tc>
          <w:tcPr/>
          <w:p>
            <w:pPr>
              <w:pStyle w:val="Tabla8"/>
              <w:jc w:val="left"/>
            </w:pPr>
            <w:r>
              <w:t xml:space="preserve">¿Dónde se ubica el proyecto frente a la referencia?</w:t>
            </w:r>
          </w:p>
        </w:tc>
        <w:tc>
          <w:tcPr/>
          <w:p>
            <w:pPr>
              <w:pStyle w:val="Tabla8"/>
              <w:jc w:val="left"/>
            </w:pPr>
            <w:r>
              <w:t xml:space="preserve">Umbral de lo suficientemente bueno (R² ≥ 0,70; NRMSE ≤ 30 %)</w:t>
            </w:r>
          </w:p>
        </w:tc>
        <w:tc>
          <w:tcPr/>
          <w:p>
            <w:pPr>
              <w:pStyle w:val="Tabla8"/>
              <w:jc w:val="left"/>
            </w:pPr>
            <w:r>
              <w:t xml:space="preserve">C1 en el mes 12</w:t>
            </w:r>
          </w:p>
        </w:tc>
        <w:tc>
          <w:tcPr/>
          <w:p>
            <w:pPr>
              <w:pStyle w:val="Tabla8"/>
              <w:jc w:val="left"/>
            </w:pPr>
            <w:r>
              <w:t xml:space="preserve">SC-1</w:t>
            </w:r>
          </w:p>
        </w:tc>
        <w:tc>
          <w:tcPr/>
          <w:p>
            <w:pPr>
              <w:pStyle w:val="Tabla8"/>
              <w:jc w:val="left"/>
            </w:pPr>
            <w:r>
              <w:t xml:space="preserve">OE1</w:t>
            </w:r>
          </w:p>
        </w:tc>
        <w:tc>
          <w:tcPr/>
          <w:p>
            <w:pPr>
              <w:pStyle w:val="Tabla8"/>
              <w:jc w:val="left"/>
            </w:pPr>
            <w:r>
              <w:t xml:space="preserve">PERS-R02 y PERS-R05</w:t>
            </w:r>
          </w:p>
        </w:tc>
      </w:tr>
      <w:tr>
        <w:trPr>
          <w:cantSplit/>
        </w:trPr>
        <w:tc>
          <w:tcPr/>
          <w:p>
            <w:pPr>
              <w:pStyle w:val="Tabla8"/>
              <w:jc w:val="left"/>
            </w:pPr>
            <w:r>
              <w:t xml:space="preserve">Christensen: trabajos por realizar</w:t>
            </w:r>
          </w:p>
        </w:tc>
        <w:tc>
          <w:tcPr/>
          <w:p>
            <w:pPr>
              <w:pStyle w:val="Tabla8"/>
              <w:jc w:val="left"/>
            </w:pPr>
            <w:r>
              <w:t xml:space="preserve">¿Qué trabajo resuelve el tablero?</w:t>
            </w:r>
          </w:p>
        </w:tc>
        <w:tc>
          <w:tcPr/>
          <w:p>
            <w:pPr>
              <w:pStyle w:val="Tabla8"/>
              <w:jc w:val="left"/>
            </w:pPr>
            <w:r>
              <w:t xml:space="preserve">Co-diseño con los comités y registro de decisiones</w:t>
            </w:r>
          </w:p>
        </w:tc>
        <w:tc>
          <w:tcPr/>
          <w:p>
            <w:pPr>
              <w:pStyle w:val="Tabla8"/>
              <w:jc w:val="left"/>
            </w:pPr>
            <w:r>
              <w:t xml:space="preserve">C1 y C2</w:t>
            </w:r>
          </w:p>
        </w:tc>
        <w:tc>
          <w:tcPr/>
          <w:p>
            <w:pPr>
              <w:pStyle w:val="Tabla8"/>
              <w:jc w:val="left"/>
            </w:pPr>
            <w:r>
              <w:t xml:space="preserve">SC-3</w:t>
            </w:r>
          </w:p>
        </w:tc>
        <w:tc>
          <w:tcPr/>
          <w:p>
            <w:pPr>
              <w:pStyle w:val="Tabla8"/>
              <w:jc w:val="left"/>
            </w:pPr>
            <w:r>
              <w:t xml:space="preserve">OE3</w:t>
            </w:r>
          </w:p>
        </w:tc>
        <w:tc>
          <w:tcPr/>
          <w:p>
            <w:pPr>
              <w:pStyle w:val="Tabla8"/>
              <w:jc w:val="left"/>
            </w:pPr>
            <w:r>
              <w:t xml:space="preserve">PERS-E01 y PERS-E02</w:t>
            </w:r>
          </w:p>
        </w:tc>
      </w:tr>
      <w:tr>
        <w:trPr>
          <w:cantSplit/>
        </w:trPr>
        <w:tc>
          <w:tcPr/>
          <w:p>
            <w:pPr>
              <w:pStyle w:val="Tabla8"/>
              <w:jc w:val="left"/>
            </w:pPr>
            <w:r>
              <w:t xml:space="preserve">Kotter: adopción</w:t>
            </w:r>
          </w:p>
        </w:tc>
        <w:tc>
          <w:tcPr/>
          <w:p>
            <w:pPr>
              <w:pStyle w:val="Tabla8"/>
              <w:jc w:val="left"/>
            </w:pPr>
            <w:r>
              <w:t xml:space="preserve">¿Cómo se logra el uso institucional?</w:t>
            </w:r>
          </w:p>
        </w:tc>
        <w:tc>
          <w:tcPr/>
          <w:p>
            <w:pPr>
              <w:pStyle w:val="Tabla8"/>
              <w:jc w:val="left"/>
            </w:pPr>
            <w:r>
              <w:t xml:space="preserve">Ocho pasos y cinco victorias tempranas</w:t>
            </w:r>
          </w:p>
        </w:tc>
        <w:tc>
          <w:tcPr/>
          <w:p>
            <w:pPr>
              <w:pStyle w:val="Tabla8"/>
              <w:jc w:val="left"/>
            </w:pPr>
            <w:r>
              <w:t xml:space="preserve">H0 a H5</w:t>
            </w:r>
          </w:p>
        </w:tc>
        <w:tc>
          <w:tcPr/>
          <w:p>
            <w:pPr>
              <w:pStyle w:val="Tabla8"/>
              <w:jc w:val="left"/>
            </w:pPr>
            <w:r>
              <w:t xml:space="preserve">SC-3</w:t>
            </w:r>
          </w:p>
        </w:tc>
        <w:tc>
          <w:tcPr/>
          <w:p>
            <w:pPr>
              <w:pStyle w:val="Tabla8"/>
              <w:jc w:val="left"/>
            </w:pPr>
            <w:r>
              <w:t xml:space="preserve">OE3</w:t>
            </w:r>
          </w:p>
        </w:tc>
        <w:tc>
          <w:tcPr/>
          <w:p>
            <w:pPr>
              <w:pStyle w:val="Tabla8"/>
              <w:jc w:val="left"/>
            </w:pPr>
            <w:r>
              <w:t xml:space="preserve">PERS-P04 y PERS-E03</w:t>
            </w:r>
          </w:p>
        </w:tc>
      </w:tr>
      <w:tr>
        <w:trPr>
          <w:cantSplit/>
        </w:trPr>
        <w:tc>
          <w:tcPr/>
          <w:p>
            <w:pPr>
              <w:pStyle w:val="Tabla8"/>
              <w:jc w:val="left"/>
            </w:pPr>
            <w:r>
              <w:t xml:space="preserve">Kotter: anclaje</w:t>
            </w:r>
          </w:p>
        </w:tc>
        <w:tc>
          <w:tcPr/>
          <w:p>
            <w:pPr>
              <w:pStyle w:val="Tabla8"/>
              <w:jc w:val="left"/>
            </w:pPr>
            <w:r>
              <w:t xml:space="preserve">¿Cómo se asegura la continuidad?</w:t>
            </w:r>
          </w:p>
        </w:tc>
        <w:tc>
          <w:tcPr/>
          <w:p>
            <w:pPr>
              <w:pStyle w:val="Tabla8"/>
              <w:jc w:val="left"/>
            </w:pPr>
            <w:r>
              <w:t xml:space="preserve">Convenios por tramo y cláusula de apertura</w:t>
            </w:r>
          </w:p>
        </w:tc>
        <w:tc>
          <w:tcPr/>
          <w:p>
            <w:pPr>
              <w:pStyle w:val="Tabla8"/>
              <w:jc w:val="left"/>
            </w:pPr>
            <w:r>
              <w:t xml:space="preserve">H8 en el mes 24</w:t>
            </w:r>
          </w:p>
        </w:tc>
        <w:tc>
          <w:tcPr/>
          <w:p>
            <w:pPr>
              <w:pStyle w:val="Tabla8"/>
              <w:jc w:val="left"/>
            </w:pPr>
            <w:r>
              <w:t xml:space="preserve">SC-4</w:t>
            </w:r>
          </w:p>
        </w:tc>
        <w:tc>
          <w:tcPr/>
          <w:p>
            <w:pPr>
              <w:pStyle w:val="Tabla8"/>
              <w:jc w:val="left"/>
            </w:pPr>
            <w:r>
              <w:t xml:space="preserve">OE3</w:t>
            </w:r>
          </w:p>
        </w:tc>
        <w:tc>
          <w:tcPr/>
          <w:p>
            <w:pPr>
              <w:pStyle w:val="Tabla8"/>
              <w:jc w:val="left"/>
            </w:pPr>
            <w:r>
              <w:t xml:space="preserve">PERS-S02</w:t>
            </w:r>
          </w:p>
        </w:tc>
      </w:tr>
      <w:tr>
        <w:trPr>
          <w:cantSplit/>
        </w:trPr>
        <w:tc>
          <w:tcPr/>
          <w:p>
            <w:pPr>
              <w:pStyle w:val="Tabla8"/>
              <w:jc w:val="left"/>
            </w:pPr>
            <w:r>
              <w:t xml:space="preserve">Argyris: bucle simple</w:t>
            </w:r>
          </w:p>
        </w:tc>
        <w:tc>
          <w:tcPr/>
          <w:p>
            <w:pPr>
              <w:pStyle w:val="Tabla8"/>
              <w:jc w:val="left"/>
            </w:pPr>
            <w:r>
              <w:t xml:space="preserve">¿La acción se ejecuta bien?</w:t>
            </w:r>
          </w:p>
        </w:tc>
        <w:tc>
          <w:tcPr/>
          <w:p>
            <w:pPr>
              <w:pStyle w:val="Tabla8"/>
              <w:jc w:val="left"/>
            </w:pPr>
            <w:r>
              <w:t xml:space="preserve">Retrospectiva e indicadores mensuales</w:t>
            </w:r>
          </w:p>
        </w:tc>
        <w:tc>
          <w:tcPr/>
          <w:p>
            <w:pPr>
              <w:pStyle w:val="Tabla8"/>
              <w:jc w:val="left"/>
            </w:pPr>
            <w:r>
              <w:t xml:space="preserve">Cada mes</w:t>
            </w:r>
          </w:p>
        </w:tc>
        <w:tc>
          <w:tcPr/>
          <w:p>
            <w:pPr>
              <w:pStyle w:val="Tabla8"/>
              <w:jc w:val="left"/>
            </w:pPr>
            <w:r>
              <w:t xml:space="preserve">SC-2</w:t>
            </w:r>
          </w:p>
        </w:tc>
        <w:tc>
          <w:tcPr/>
          <w:p>
            <w:pPr>
              <w:pStyle w:val="Tabla8"/>
              <w:jc w:val="left"/>
            </w:pPr>
            <w:r>
              <w:t xml:space="preserve">OE2</w:t>
            </w:r>
          </w:p>
        </w:tc>
        <w:tc>
          <w:tcPr/>
          <w:p>
            <w:pPr>
              <w:pStyle w:val="Tabla8"/>
              <w:jc w:val="left"/>
            </w:pPr>
            <w:r>
              <w:t xml:space="preserve">PERS-R01 y PERS-P01</w:t>
            </w:r>
          </w:p>
        </w:tc>
      </w:tr>
      <w:tr>
        <w:trPr>
          <w:cantSplit/>
        </w:trPr>
        <w:tc>
          <w:tcPr/>
          <w:p>
            <w:pPr>
              <w:pStyle w:val="Tabla8"/>
              <w:jc w:val="left"/>
            </w:pPr>
            <w:r>
              <w:t xml:space="preserve">Argyris: bucle doble</w:t>
            </w:r>
          </w:p>
        </w:tc>
        <w:tc>
          <w:tcPr/>
          <w:p>
            <w:pPr>
              <w:pStyle w:val="Tabla8"/>
              <w:jc w:val="left"/>
            </w:pPr>
            <w:r>
              <w:t xml:space="preserve">¿La acción es la correcta?</w:t>
            </w:r>
          </w:p>
        </w:tc>
        <w:tc>
          <w:tcPr/>
          <w:p>
            <w:pPr>
              <w:pStyle w:val="Tabla8"/>
              <w:jc w:val="left"/>
            </w:pPr>
            <w:r>
              <w:t xml:space="preserve">Revisión de supuestos y evaluación externa</w:t>
            </w:r>
          </w:p>
        </w:tc>
        <w:tc>
          <w:tcPr/>
          <w:p>
            <w:pPr>
              <w:pStyle w:val="Tabla8"/>
              <w:jc w:val="left"/>
            </w:pPr>
            <w:r>
              <w:t xml:space="preserve">C1, C2, C3 y meses 12 y 24</w:t>
            </w:r>
          </w:p>
        </w:tc>
        <w:tc>
          <w:tcPr/>
          <w:p>
            <w:pPr>
              <w:pStyle w:val="Tabla8"/>
              <w:jc w:val="left"/>
            </w:pPr>
            <w:r>
              <w:t xml:space="preserve">SC-1 a SC-4</w:t>
            </w:r>
          </w:p>
        </w:tc>
        <w:tc>
          <w:tcPr/>
          <w:p>
            <w:pPr>
              <w:pStyle w:val="Tabla8"/>
              <w:jc w:val="left"/>
            </w:pPr>
            <w:r>
              <w:t xml:space="preserve">OE1 a OE3</w:t>
            </w:r>
          </w:p>
        </w:tc>
        <w:tc>
          <w:tcPr/>
          <w:p>
            <w:pPr>
              <w:pStyle w:val="Tabla8"/>
              <w:jc w:val="left"/>
            </w:pPr>
            <w:r>
              <w:t xml:space="preserve">Indicadores de aprendizaje</w:t>
            </w:r>
          </w:p>
        </w:tc>
      </w:tr>
      <w:tr>
        <w:trPr>
          <w:cantSplit/>
        </w:trPr>
        <w:tc>
          <w:tcPr/>
          <w:p>
            <w:pPr>
              <w:pStyle w:val="Tabla8"/>
              <w:jc w:val="left"/>
            </w:pPr>
            <w:r>
              <w:t xml:space="preserve">Premortem y contingencia</w:t>
            </w:r>
          </w:p>
        </w:tc>
        <w:tc>
          <w:tcPr/>
          <w:p>
            <w:pPr>
              <w:pStyle w:val="Tabla8"/>
              <w:jc w:val="left"/>
            </w:pPr>
            <w:r>
              <w:t xml:space="preserve">¿Qué puede causar el fracaso y qué se hace?</w:t>
            </w:r>
          </w:p>
        </w:tc>
        <w:tc>
          <w:tcPr/>
          <w:p>
            <w:pPr>
              <w:pStyle w:val="Tabla8"/>
              <w:jc w:val="left"/>
            </w:pPr>
            <w:r>
              <w:t xml:space="preserve">12 disparadores y reserva de 636,0 millones de COP</w:t>
            </w:r>
          </w:p>
        </w:tc>
        <w:tc>
          <w:tcPr/>
          <w:p>
            <w:pPr>
              <w:pStyle w:val="Tabla8"/>
              <w:jc w:val="left"/>
            </w:pPr>
            <w:r>
              <w:t xml:space="preserve">Todas</w:t>
            </w:r>
          </w:p>
        </w:tc>
        <w:tc>
          <w:tcPr/>
          <w:p>
            <w:pPr>
              <w:pStyle w:val="Tabla8"/>
              <w:jc w:val="left"/>
            </w:pPr>
            <w:r>
              <w:t xml:space="preserve">SC-1 a SC-4</w:t>
            </w:r>
          </w:p>
        </w:tc>
        <w:tc>
          <w:tcPr/>
          <w:p>
            <w:pPr>
              <w:pStyle w:val="Tabla8"/>
              <w:jc w:val="left"/>
            </w:pPr>
            <w:r>
              <w:t xml:space="preserve">OE1 a OE3</w:t>
            </w:r>
          </w:p>
        </w:tc>
        <w:tc>
          <w:tcPr/>
          <w:p>
            <w:pPr>
              <w:pStyle w:val="Tabla8"/>
              <w:jc w:val="left"/>
            </w:pPr>
            <w:r>
              <w:t xml:space="preserve">PERS-R04</w:t>
            </w:r>
          </w:p>
        </w:tc>
      </w:tr>
      <w:tr>
        <w:trPr>
          <w:cantSplit/>
        </w:trPr>
        <w:tc>
          <w:tcPr/>
          <w:p>
            <w:pPr>
              <w:pStyle w:val="Tabla8"/>
              <w:jc w:val="left"/>
            </w:pPr>
            <w:r>
              <w:t xml:space="preserve">Escenarios</w:t>
            </w:r>
          </w:p>
        </w:tc>
        <w:tc>
          <w:tcPr/>
          <w:p>
            <w:pPr>
              <w:pStyle w:val="Tabla8"/>
              <w:jc w:val="left"/>
            </w:pPr>
            <w:r>
              <w:t xml:space="preserve">¿Qué futuros exigen decisiones distintas?</w:t>
            </w:r>
          </w:p>
        </w:tc>
        <w:tc>
          <w:tcPr/>
          <w:p>
            <w:pPr>
              <w:pStyle w:val="Tabla8"/>
              <w:jc w:val="left"/>
            </w:pPr>
            <w:r>
              <w:t xml:space="preserve">Cuatro escenarios con condiciones de activación</w:t>
            </w:r>
          </w:p>
        </w:tc>
        <w:tc>
          <w:tcPr/>
          <w:p>
            <w:pPr>
              <w:pStyle w:val="Tabla8"/>
              <w:jc w:val="left"/>
            </w:pPr>
            <w:r>
              <w:t xml:space="preserve">C1, C2 y C3</w:t>
            </w:r>
          </w:p>
        </w:tc>
        <w:tc>
          <w:tcPr/>
          <w:p>
            <w:pPr>
              <w:pStyle w:val="Tabla8"/>
              <w:jc w:val="left"/>
            </w:pPr>
            <w:r>
              <w:t xml:space="preserve">SC-1 a SC-4</w:t>
            </w:r>
          </w:p>
        </w:tc>
        <w:tc>
          <w:tcPr/>
          <w:p>
            <w:pPr>
              <w:pStyle w:val="Tabla8"/>
              <w:jc w:val="left"/>
            </w:pPr>
            <w:r>
              <w:t xml:space="preserve">OE1 a OE3</w:t>
            </w:r>
          </w:p>
        </w:tc>
        <w:tc>
          <w:tcPr/>
          <w:p>
            <w:pPr>
              <w:pStyle w:val="Tabla8"/>
              <w:jc w:val="left"/>
            </w:pPr>
            <w:r>
              <w:t xml:space="preserve">Actas de compuerta</w:t>
            </w:r>
          </w:p>
        </w:tc>
      </w:tr>
    </w:tbl>
    <w:p>
      <w:pPr>
        <w:pStyle w:val="TablaNota"/>
      </w:pPr>
      <w:r>
        <w:rPr>
          <w:i/>
          <w:iCs/>
        </w:rPr>
        <w:t xml:space="preserve">Nota.</w:t>
      </w:r>
      <w:r>
        <w:t xml:space="preserve"> </w:t>
      </w:r>
      <w:r>
        <w:t xml:space="preserve">Elaboración propia con datos del libro maestro (objetivos, compuertas, hitos e indicadores PERS) y de 4.4-MDR.8 (supuestos críticos). Naturaleza: PROPUESTO para la correspondencia.</w:t>
      </w:r>
    </w:p>
    <w:p>
      <w:pPr>
        <w:pStyle w:val="BodyText"/>
      </w:pPr>
      <w:r>
        <w:t xml:space="preserve">La tabla muestra que los supuestos SC-1 y SC-3 concentran el mayor número de mecanismos. SC-1 sostiene el posicionamiento de Christensen y SC-3 sostiene tanto los trabajos por realizar como el modelo de Kotter. Esa concentración explica por qué las compuertas C1 y C2 miden desempeño y uso al mismo tiempo. Un proyecto que cumple una condición sin la otra queda en el escenario pesimista. Las dos condiciones se evalúan juntas.</w:t>
      </w:r>
    </w:p>
    <w:bookmarkEnd w:id="799"/>
    <w:bookmarkStart w:id="800" w:name="_Toc00900344"/>
    <w:p>
      <w:pPr>
        <w:pStyle w:val="Heading3"/>
      </w:pPr>
      <w:r>
        <w:t xml:space="preserve">E6.2 Indicadores estratégicos clave</w:t>
      </w:r>
    </w:p>
    <w:p>
      <w:pPr>
        <w:pStyle w:val="FirstParagraph"/>
      </w:pPr>
      <w:r>
        <w:t xml:space="preserve">Un tablero de control estratégico debe medir lo que cada marco promete. La mejora se fundamenta en el conocimiento de la variación del proceso, lo que exige medir con regularidad (Deming, 1986). En contextos de innovación, los indicadores deben revisarse a medida que cambia el entendimiento (Patton, 2011). El proyecto adopta una síntesis. Fija pocos indicadores, los vincula con el sistema PERS, y revisa su pertinencia en cada sesión trimestral de supuestos.</w:t>
      </w:r>
    </w:p>
    <w:p>
      <w:pPr>
        <w:pStyle w:val="BodyText"/>
      </w:pPr>
      <w:r>
        <w:t xml:space="preserve">La Tabla X4.20 presenta nueve indicadores. Tres corresponden a Christensen, tres a Kotter, dos a Argyris y uno a la gestión. Las líneas base marcadas VACIO se miden en el tramo 1. Las metas provienen del sistema de indicadores PERS cuando existe uno equivalente.</w:t>
      </w:r>
    </w:p>
    <w:p>
      <w:pPr>
        <w:pStyle w:val="TablaRotulo"/>
      </w:pPr>
      <w:bookmarkStart w:id="9439" w:name="rot_Tabla_X4_20"/>
      <w:r>
        <w:rPr>
          <w:b/>
          <w:bCs/>
        </w:rPr>
        <w:t xml:space="preserve">Tabla X4.20</w:t>
      </w:r>
      <w:bookmarkEnd w:id="9439"/>
    </w:p>
    <w:p>
      <w:pPr>
        <w:pStyle w:val="TablaTitulo"/>
      </w:pPr>
      <w:r>
        <w:rPr>
          <w:i/>
          <w:iCs/>
        </w:rPr>
        <w:t xml:space="preserve">Tablero de control estratégico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597"/>
        <w:gridCol w:w="1331"/>
        <w:gridCol w:w="1131"/>
        <w:gridCol w:w="1331"/>
      </w:tblGrid>
      <w:tr>
        <w:trPr>
          <w:cantSplit/>
          <w:tblHeader/>
        </w:trPr>
        <w:tc>
          <w:tcPr>
            <w:shd w:val="clear" w:color="auto" w:fill="00B050"/>
          </w:tcPr>
          <w:p>
            <w:pPr>
              <w:pStyle w:val="Tabla9"/>
              <w:jc w:val="center"/>
            </w:pPr>
            <w:r>
              <w:rPr>
                <w:b/>
                <w:color w:val="FFFFFF"/>
              </w:rPr>
              <w:t xml:space="preserve">Marco</w:t>
            </w:r>
          </w:p>
        </w:tc>
        <w:tc>
          <w:tcPr>
            <w:shd w:val="clear" w:color="auto" w:fill="00B050"/>
          </w:tcPr>
          <w:p>
            <w:pPr>
              <w:pStyle w:val="Tabla9"/>
              <w:jc w:val="center"/>
            </w:pPr>
            <w:r>
              <w:rPr>
                <w:b/>
                <w:color w:val="FFFFFF"/>
              </w:rPr>
              <w:t xml:space="preserve">Indicador clave</w:t>
            </w:r>
          </w:p>
        </w:tc>
        <w:tc>
          <w:tcPr>
            <w:shd w:val="clear" w:color="auto" w:fill="00B050"/>
          </w:tcPr>
          <w:p>
            <w:pPr>
              <w:pStyle w:val="Tabla9"/>
              <w:jc w:val="center"/>
            </w:pPr>
            <w:r>
              <w:rPr>
                <w:b/>
                <w:color w:val="FFFFFF"/>
              </w:rPr>
              <w:t xml:space="preserve">Línea base</w:t>
            </w:r>
          </w:p>
        </w:tc>
        <w:tc>
          <w:tcPr>
            <w:shd w:val="clear" w:color="auto" w:fill="00B050"/>
          </w:tcPr>
          <w:p>
            <w:pPr>
              <w:pStyle w:val="Tabla9"/>
              <w:jc w:val="center"/>
            </w:pPr>
            <w:r>
              <w:rPr>
                <w:b/>
                <w:color w:val="FFFFFF"/>
              </w:rPr>
              <w:t xml:space="preserve">Meta</w:t>
            </w:r>
          </w:p>
        </w:tc>
        <w:tc>
          <w:tcPr>
            <w:shd w:val="clear" w:color="auto" w:fill="00B050"/>
          </w:tcPr>
          <w:p>
            <w:pPr>
              <w:pStyle w:val="Tabla9"/>
              <w:jc w:val="center"/>
            </w:pPr>
            <w:r>
              <w:rPr>
                <w:b/>
                <w:color w:val="FFFFFF"/>
              </w:rPr>
              <w:t xml:space="preserve">Frecuencia</w:t>
            </w:r>
          </w:p>
        </w:tc>
        <w:tc>
          <w:tcPr>
            <w:shd w:val="clear" w:color="auto" w:fill="00B050"/>
          </w:tcPr>
          <w:p>
            <w:pPr>
              <w:pStyle w:val="Tabla9"/>
              <w:jc w:val="center"/>
            </w:pPr>
            <w:r>
              <w:rPr>
                <w:b/>
                <w:color w:val="FFFFFF"/>
              </w:rPr>
              <w:t xml:space="preserve">Responsable</w:t>
            </w:r>
          </w:p>
        </w:tc>
      </w:tr>
      <w:tr>
        <w:trPr>
          <w:cantSplit/>
        </w:trPr>
        <w:tc>
          <w:tcPr/>
          <w:p>
            <w:pPr>
              <w:pStyle w:val="Tabla9"/>
              <w:jc w:val="left"/>
            </w:pPr>
            <w:r>
              <w:t xml:space="preserve">Christensen</w:t>
            </w:r>
          </w:p>
        </w:tc>
        <w:tc>
          <w:tcPr/>
          <w:p>
            <w:pPr>
              <w:pStyle w:val="Tabla9"/>
              <w:jc w:val="left"/>
            </w:pPr>
            <w:r>
              <w:t xml:space="preserve">Desempeño suficiente frente al umbral: R² y NRMSE por departamento</w:t>
            </w:r>
          </w:p>
        </w:tc>
        <w:tc>
          <w:tcPr/>
          <w:p>
            <w:pPr>
              <w:pStyle w:val="Tabla9"/>
              <w:jc w:val="left"/>
            </w:pPr>
            <w:r>
              <w:t xml:space="preserve">VACIO (se mide en el tramo 1)</w:t>
            </w:r>
          </w:p>
        </w:tc>
        <w:tc>
          <w:tcPr/>
          <w:p>
            <w:pPr>
              <w:pStyle w:val="Tabla9"/>
              <w:jc w:val="left"/>
            </w:pPr>
            <w:r>
              <w:t xml:space="preserve">R² ≥ 0,70 y NRMSE ≤ 30 % en los tres departamentos</w:t>
            </w:r>
          </w:p>
        </w:tc>
        <w:tc>
          <w:tcPr/>
          <w:p>
            <w:pPr>
              <w:pStyle w:val="Tabla9"/>
              <w:jc w:val="left"/>
            </w:pPr>
            <w:r>
              <w:t xml:space="preserve">En C1, en C2 y en el mes 24</w:t>
            </w:r>
          </w:p>
        </w:tc>
        <w:tc>
          <w:tcPr/>
          <w:p>
            <w:pPr>
              <w:pStyle w:val="Tabla9"/>
              <w:jc w:val="left"/>
            </w:pPr>
            <w:r>
              <w:t xml:space="preserve">Especialista en metrología</w:t>
            </w:r>
          </w:p>
        </w:tc>
      </w:tr>
      <w:tr>
        <w:trPr>
          <w:cantSplit/>
        </w:trPr>
        <w:tc>
          <w:tcPr/>
          <w:p>
            <w:pPr>
              <w:pStyle w:val="Tabla9"/>
              <w:jc w:val="left"/>
            </w:pPr>
            <w:r>
              <w:t xml:space="preserve">Christensen</w:t>
            </w:r>
          </w:p>
        </w:tc>
        <w:tc>
          <w:tcPr/>
          <w:p>
            <w:pPr>
              <w:pStyle w:val="Tabla9"/>
              <w:jc w:val="left"/>
            </w:pPr>
            <w:r>
              <w:t xml:space="preserve">Trabajo resuelto: comités con decisiones documentadas con el tablero (PERS-E01)</w:t>
            </w:r>
          </w:p>
        </w:tc>
        <w:tc>
          <w:tcPr/>
          <w:p>
            <w:pPr>
              <w:pStyle w:val="Tabla9"/>
              <w:jc w:val="left"/>
            </w:pPr>
            <w:r>
              <w:t xml:space="preserve">VACIO (se mide en el tramo 1)</w:t>
            </w:r>
          </w:p>
        </w:tc>
        <w:tc>
          <w:tcPr/>
          <w:p>
            <w:pPr>
              <w:pStyle w:val="Tabla9"/>
              <w:jc w:val="left"/>
            </w:pPr>
            <w:r>
              <w:t xml:space="preserve">≥ 50 % en C1 y ≥ 75 % al mes 24</w:t>
            </w:r>
          </w:p>
        </w:tc>
        <w:tc>
          <w:tcPr/>
          <w:p>
            <w:pPr>
              <w:pStyle w:val="Tabla9"/>
              <w:jc w:val="left"/>
            </w:pPr>
            <w:r>
              <w:t xml:space="preserve">Trimestral</w:t>
            </w:r>
          </w:p>
        </w:tc>
        <w:tc>
          <w:tcPr/>
          <w:p>
            <w:pPr>
              <w:pStyle w:val="Tabla9"/>
              <w:jc w:val="left"/>
            </w:pPr>
            <w:r>
              <w:t xml:space="preserve">Coordinación de apropiación social</w:t>
            </w:r>
          </w:p>
        </w:tc>
      </w:tr>
      <w:tr>
        <w:trPr>
          <w:cantSplit/>
        </w:trPr>
        <w:tc>
          <w:tcPr/>
          <w:p>
            <w:pPr>
              <w:pStyle w:val="Tabla9"/>
              <w:jc w:val="left"/>
            </w:pPr>
            <w:r>
              <w:t xml:space="preserve">Christensen</w:t>
            </w:r>
          </w:p>
        </w:tc>
        <w:tc>
          <w:tcPr/>
          <w:p>
            <w:pPr>
              <w:pStyle w:val="Tabla9"/>
              <w:jc w:val="left"/>
            </w:pPr>
            <w:r>
              <w:t xml:space="preserve">Reducción relativa de falsas alarmas (PERS-E02)</w:t>
            </w:r>
          </w:p>
        </w:tc>
        <w:tc>
          <w:tcPr/>
          <w:p>
            <w:pPr>
              <w:pStyle w:val="Tabla9"/>
              <w:jc w:val="left"/>
            </w:pPr>
            <w:r>
              <w:t xml:space="preserve">VACIO (se mide en el tramo 1)</w:t>
            </w:r>
          </w:p>
        </w:tc>
        <w:tc>
          <w:tcPr/>
          <w:p>
            <w:pPr>
              <w:pStyle w:val="Tabla9"/>
              <w:jc w:val="left"/>
            </w:pPr>
            <w:r>
              <w:t xml:space="preserve">≥ 30 % de reducción relativa</w:t>
            </w:r>
          </w:p>
        </w:tc>
        <w:tc>
          <w:tcPr/>
          <w:p>
            <w:pPr>
              <w:pStyle w:val="Tabla9"/>
              <w:jc w:val="left"/>
            </w:pPr>
            <w:r>
              <w:t xml:space="preserve">Trimestral</w:t>
            </w:r>
          </w:p>
        </w:tc>
        <w:tc>
          <w:tcPr/>
          <w:p>
            <w:pPr>
              <w:pStyle w:val="Tabla9"/>
              <w:jc w:val="left"/>
            </w:pPr>
            <w:r>
              <w:t xml:space="preserve">Profesional en calidad del aire y salud ambiental</w:t>
            </w:r>
          </w:p>
        </w:tc>
      </w:tr>
      <w:tr>
        <w:trPr>
          <w:cantSplit/>
        </w:trPr>
        <w:tc>
          <w:tcPr/>
          <w:p>
            <w:pPr>
              <w:pStyle w:val="Tabla9"/>
              <w:jc w:val="left"/>
            </w:pPr>
            <w:r>
              <w:t xml:space="preserve">Kotter</w:t>
            </w:r>
          </w:p>
        </w:tc>
        <w:tc>
          <w:tcPr/>
          <w:p>
            <w:pPr>
              <w:pStyle w:val="Tabla9"/>
              <w:jc w:val="left"/>
            </w:pPr>
            <w:r>
              <w:t xml:space="preserve">Cumplimiento de las victorias tempranas con evidencia</w:t>
            </w:r>
          </w:p>
        </w:tc>
        <w:tc>
          <w:tcPr/>
          <w:p>
            <w:pPr>
              <w:pStyle w:val="Tabla9"/>
              <w:jc w:val="left"/>
            </w:pPr>
            <w:r>
              <w:t xml:space="preserve">0 de 5 (CALCULADO)</w:t>
            </w:r>
          </w:p>
        </w:tc>
        <w:tc>
          <w:tcPr/>
          <w:p>
            <w:pPr>
              <w:pStyle w:val="Tabla9"/>
              <w:jc w:val="left"/>
            </w:pPr>
            <w:r>
              <w:t xml:space="preserve">5 de 5</w:t>
            </w:r>
          </w:p>
        </w:tc>
        <w:tc>
          <w:tcPr/>
          <w:p>
            <w:pPr>
              <w:pStyle w:val="Tabla9"/>
              <w:jc w:val="left"/>
            </w:pPr>
            <w:r>
              <w:t xml:space="preserve">Por hito</w:t>
            </w:r>
          </w:p>
        </w:tc>
        <w:tc>
          <w:tcPr/>
          <w:p>
            <w:pPr>
              <w:pStyle w:val="Tabla9"/>
              <w:jc w:val="left"/>
            </w:pPr>
            <w:r>
              <w:t xml:space="preserve">Gerencia de proyecto</w:t>
            </w:r>
          </w:p>
        </w:tc>
      </w:tr>
      <w:tr>
        <w:trPr>
          <w:cantSplit/>
        </w:trPr>
        <w:tc>
          <w:tcPr/>
          <w:p>
            <w:pPr>
              <w:pStyle w:val="Tabla9"/>
              <w:jc w:val="left"/>
            </w:pPr>
            <w:r>
              <w:t xml:space="preserve">Kotter</w:t>
            </w:r>
          </w:p>
        </w:tc>
        <w:tc>
          <w:tcPr/>
          <w:p>
            <w:pPr>
              <w:pStyle w:val="Tabla9"/>
              <w:jc w:val="left"/>
            </w:pPr>
            <w:r>
              <w:t xml:space="preserve">Personas certificadas en los custodios (PERS-E03)</w:t>
            </w:r>
          </w:p>
        </w:tc>
        <w:tc>
          <w:tcPr/>
          <w:p>
            <w:pPr>
              <w:pStyle w:val="Tabla9"/>
              <w:jc w:val="left"/>
            </w:pPr>
            <w:r>
              <w:t xml:space="preserve">0 (CALCULADO)</w:t>
            </w:r>
          </w:p>
        </w:tc>
        <w:tc>
          <w:tcPr/>
          <w:p>
            <w:pPr>
              <w:pStyle w:val="Tabla9"/>
              <w:jc w:val="left"/>
            </w:pPr>
            <w:r>
              <w:t xml:space="preserve">≥ 60 personas</w:t>
            </w:r>
          </w:p>
        </w:tc>
        <w:tc>
          <w:tcPr/>
          <w:p>
            <w:pPr>
              <w:pStyle w:val="Tabla9"/>
              <w:jc w:val="left"/>
            </w:pPr>
            <w:r>
              <w:t xml:space="preserve">Semestral</w:t>
            </w:r>
          </w:p>
        </w:tc>
        <w:tc>
          <w:tcPr/>
          <w:p>
            <w:pPr>
              <w:pStyle w:val="Tabla9"/>
              <w:jc w:val="left"/>
            </w:pPr>
            <w:r>
              <w:t xml:space="preserve">Profesional de convenios y custodia</w:t>
            </w:r>
          </w:p>
        </w:tc>
      </w:tr>
      <w:tr>
        <w:trPr>
          <w:cantSplit/>
        </w:trPr>
        <w:tc>
          <w:tcPr/>
          <w:p>
            <w:pPr>
              <w:pStyle w:val="Tabla9"/>
              <w:jc w:val="left"/>
            </w:pPr>
            <w:r>
              <w:t xml:space="preserve">Kotter</w:t>
            </w:r>
          </w:p>
        </w:tc>
        <w:tc>
          <w:tcPr/>
          <w:p>
            <w:pPr>
              <w:pStyle w:val="Tabla9"/>
              <w:jc w:val="left"/>
            </w:pPr>
            <w:r>
              <w:t xml:space="preserve">Convenios de custodia con partida</w:t>
            </w:r>
          </w:p>
        </w:tc>
        <w:tc>
          <w:tcPr/>
          <w:p>
            <w:pPr>
              <w:pStyle w:val="Tabla9"/>
              <w:jc w:val="left"/>
            </w:pPr>
            <w:r>
              <w:t xml:space="preserve">0 (CALCULADO)</w:t>
            </w:r>
          </w:p>
        </w:tc>
        <w:tc>
          <w:tcPr/>
          <w:p>
            <w:pPr>
              <w:pStyle w:val="Tabla9"/>
              <w:jc w:val="left"/>
            </w:pPr>
            <w:r>
              <w:t xml:space="preserve">Al menos 1 en el mes 17 y convenios por tramo al mes 24</w:t>
            </w:r>
          </w:p>
        </w:tc>
        <w:tc>
          <w:tcPr/>
          <w:p>
            <w:pPr>
              <w:pStyle w:val="Tabla9"/>
              <w:jc w:val="left"/>
            </w:pPr>
            <w:r>
              <w:t xml:space="preserve">Por compuerta</w:t>
            </w:r>
          </w:p>
        </w:tc>
        <w:tc>
          <w:tcPr/>
          <w:p>
            <w:pPr>
              <w:pStyle w:val="Tabla9"/>
              <w:jc w:val="left"/>
            </w:pPr>
            <w:r>
              <w:t xml:space="preserve">Profesional de convenios y custodia</w:t>
            </w:r>
          </w:p>
        </w:tc>
      </w:tr>
      <w:tr>
        <w:trPr>
          <w:cantSplit/>
        </w:trPr>
        <w:tc>
          <w:tcPr/>
          <w:p>
            <w:pPr>
              <w:pStyle w:val="Tabla9"/>
              <w:jc w:val="left"/>
            </w:pPr>
            <w:r>
              <w:t xml:space="preserve">Argyris</w:t>
            </w:r>
          </w:p>
        </w:tc>
        <w:tc>
          <w:tcPr/>
          <w:p>
            <w:pPr>
              <w:pStyle w:val="Tabla9"/>
              <w:jc w:val="left"/>
            </w:pPr>
            <w:r>
              <w:t xml:space="preserve">Lecciones capturadas e implementadas</w:t>
            </w:r>
          </w:p>
        </w:tc>
        <w:tc>
          <w:tcPr/>
          <w:p>
            <w:pPr>
              <w:pStyle w:val="Tabla9"/>
              <w:jc w:val="left"/>
            </w:pPr>
            <w:r>
              <w:t xml:space="preserve">0 de 0 (CALCULADO)</w:t>
            </w:r>
          </w:p>
        </w:tc>
        <w:tc>
          <w:tcPr/>
          <w:p>
            <w:pPr>
              <w:pStyle w:val="Tabla9"/>
              <w:jc w:val="left"/>
            </w:pPr>
            <w:r>
              <w:t xml:space="preserve">≥ 2 por hito y ≥ 70 % implementadas</w:t>
            </w:r>
          </w:p>
        </w:tc>
        <w:tc>
          <w:tcPr/>
          <w:p>
            <w:pPr>
              <w:pStyle w:val="Tabla9"/>
              <w:jc w:val="left"/>
            </w:pPr>
            <w:r>
              <w:t xml:space="preserve">Trimestral</w:t>
            </w:r>
          </w:p>
        </w:tc>
        <w:tc>
          <w:tcPr/>
          <w:p>
            <w:pPr>
              <w:pStyle w:val="Tabla9"/>
              <w:jc w:val="left"/>
            </w:pPr>
            <w:r>
              <w:t xml:space="preserve">Gerencia de proyecto</w:t>
            </w:r>
          </w:p>
        </w:tc>
      </w:tr>
      <w:tr>
        <w:trPr>
          <w:cantSplit/>
        </w:trPr>
        <w:tc>
          <w:tcPr/>
          <w:p>
            <w:pPr>
              <w:pStyle w:val="Tabla9"/>
              <w:jc w:val="left"/>
            </w:pPr>
            <w:r>
              <w:t xml:space="preserve">Argyris</w:t>
            </w:r>
          </w:p>
        </w:tc>
        <w:tc>
          <w:tcPr/>
          <w:p>
            <w:pPr>
              <w:pStyle w:val="Tabla9"/>
              <w:jc w:val="left"/>
            </w:pPr>
            <w:r>
              <w:t xml:space="preserve">Decisiones de doble bucle registradas con acta</w:t>
            </w:r>
          </w:p>
        </w:tc>
        <w:tc>
          <w:tcPr/>
          <w:p>
            <w:pPr>
              <w:pStyle w:val="Tabla9"/>
              <w:jc w:val="left"/>
            </w:pPr>
            <w:r>
              <w:t xml:space="preserve">0 (CALCULADO)</w:t>
            </w:r>
          </w:p>
        </w:tc>
        <w:tc>
          <w:tcPr/>
          <w:p>
            <w:pPr>
              <w:pStyle w:val="Tabla9"/>
              <w:jc w:val="left"/>
            </w:pPr>
            <w:r>
              <w:t xml:space="preserve">3 de 3 compuertas y 8 sesiones trimestrales</w:t>
            </w:r>
          </w:p>
        </w:tc>
        <w:tc>
          <w:tcPr/>
          <w:p>
            <w:pPr>
              <w:pStyle w:val="Tabla9"/>
              <w:jc w:val="left"/>
            </w:pPr>
            <w:r>
              <w:t xml:space="preserve">Semestral</w:t>
            </w:r>
          </w:p>
        </w:tc>
        <w:tc>
          <w:tcPr/>
          <w:p>
            <w:pPr>
              <w:pStyle w:val="Tabla9"/>
              <w:jc w:val="left"/>
            </w:pPr>
            <w:r>
              <w:t xml:space="preserve">Coalición guía</w:t>
            </w:r>
          </w:p>
        </w:tc>
      </w:tr>
      <w:tr>
        <w:trPr>
          <w:cantSplit/>
        </w:trPr>
        <w:tc>
          <w:tcPr/>
          <w:p>
            <w:pPr>
              <w:pStyle w:val="Tabla9"/>
              <w:jc w:val="left"/>
            </w:pPr>
            <w:r>
              <w:t xml:space="preserve">Gestión</w:t>
            </w:r>
          </w:p>
        </w:tc>
        <w:tc>
          <w:tcPr/>
          <w:p>
            <w:pPr>
              <w:pStyle w:val="Tabla9"/>
              <w:jc w:val="left"/>
            </w:pPr>
            <w:r>
              <w:t xml:space="preserve">Desviación de la ejecución presupuestal (PERS-R04)</w:t>
            </w:r>
          </w:p>
        </w:tc>
        <w:tc>
          <w:tcPr/>
          <w:p>
            <w:pPr>
              <w:pStyle w:val="Tabla9"/>
              <w:jc w:val="left"/>
            </w:pPr>
            <w:r>
              <w:t xml:space="preserve">0 (CALCULADO)</w:t>
            </w:r>
          </w:p>
        </w:tc>
        <w:tc>
          <w:tcPr/>
          <w:p>
            <w:pPr>
              <w:pStyle w:val="Tabla9"/>
              <w:jc w:val="left"/>
            </w:pPr>
            <w:r>
              <w:t xml:space="preserve">Desviación absoluta de 5 % o menos al cierre</w:t>
            </w:r>
          </w:p>
        </w:tc>
        <w:tc>
          <w:tcPr/>
          <w:p>
            <w:pPr>
              <w:pStyle w:val="Tabla9"/>
              <w:jc w:val="left"/>
            </w:pPr>
            <w:r>
              <w:t xml:space="preserve">Mensual</w:t>
            </w:r>
          </w:p>
        </w:tc>
        <w:tc>
          <w:tcPr/>
          <w:p>
            <w:pPr>
              <w:pStyle w:val="Tabla9"/>
              <w:jc w:val="left"/>
            </w:pPr>
            <w:r>
              <w:t xml:space="preserve">Gerencia de proyecto</w:t>
            </w:r>
          </w:p>
        </w:tc>
      </w:tr>
    </w:tbl>
    <w:p>
      <w:pPr>
        <w:pStyle w:val="TablaNota"/>
      </w:pPr>
      <w:r>
        <w:rPr>
          <w:i/>
          <w:iCs/>
        </w:rPr>
        <w:t xml:space="preserve">Nota.</w:t>
      </w:r>
      <w:r>
        <w:t xml:space="preserve"> </w:t>
      </w:r>
      <w:r>
        <w:t xml:space="preserve">Elaboración propia con datos del sistema de indicadores PERS (metas DECLARADO o PROPUESTO) y de las tablas de este capítulo. Línea base VACIO: se mide en el tramo 1. La meta de convenios y la de doble bucle son PROPUESTO. Decimales con coma.</w:t>
      </w:r>
    </w:p>
    <w:p>
      <w:pPr>
        <w:pStyle w:val="BodyText"/>
      </w:pPr>
      <w:r>
        <w:t xml:space="preserve">El tablero ofrece una lectura rápida por marco. Tres indicadores dependen de una línea base que hoy es VACIO. El proyecto no puede afirmar ningún avance sobre ellos antes del tramo 1. Los demás parten de cero por construcción. La tabla incluye un indicador de gestión, la desviación presupuestal, porque la reserva de contingencia exige disciplina de ejecución. Si un indicador cambia de pertinencia, la coalición guía lo ajusta con una nueva versión y deja constancia en el acta.</w:t>
      </w:r>
    </w:p>
    <w:bookmarkEnd w:id="800"/>
    <w:bookmarkStart w:id="801" w:name="_Toc00900345"/>
    <w:p>
      <w:pPr>
        <w:pStyle w:val="Heading3"/>
      </w:pPr>
      <w:r>
        <w:t xml:space="preserve">E6.3 Conclusiones del capítulo</w:t>
      </w:r>
    </w:p>
    <w:p>
      <w:pPr>
        <w:pStyle w:val="FirstParagraph"/>
      </w:pPr>
      <w:r>
        <w:t xml:space="preserve">La estrategia del proyecto integra tres marcos con una misma lógica de decisión por evidencia. Christensen (2016) permite clasificar el proyecto como una disrupción de mercado nuevo con rasgos de gama baja. Esa clasificación es una hipótesis (INFERIDO). Se apoya en el no consumo de 1.094 municipios sin estaciones utilizables para estimar la carga (CALCULADO; Rodríguez-Villamizar et al., 2022, pp. 3 y 6). Se apoya también en un perfil de atributos que cede fiabilidad y gana costo, acceso y cobertura. El umbral de lo suficientemente bueno es un R² de al menos 0,70 y un NRMSE de 30 % o menos. Ese umbral convierte la clasificación en una prueba verificable en la compuerta C1.</w:t>
      </w:r>
    </w:p>
    <w:p>
      <w:pPr>
        <w:pStyle w:val="BodyText"/>
      </w:pPr>
      <w:r>
        <w:t xml:space="preserve">Kotter (2012) aporta la secuencia para lograr el uso institucional. Los ocho pasos se distribuyen en 24 meses, con responsables por rol y con indicadores que remiten al sistema PERS. Las cinco victorias tempranas empiezan con el primer nodo con dato pareado en el mes 7. Terminan con el primer convenio de custodia con partida en el mes 17. La coalición guía de siete roles reúne poder, credibilidad, liderazgo y experiencia. El proyecto no puede evaluar con evidencia a las alcaldías, a las constructoras ni a los operarios antes del tramo 1.</w:t>
      </w:r>
    </w:p>
    <w:p>
      <w:pPr>
        <w:pStyle w:val="BodyText"/>
      </w:pPr>
      <w:r>
        <w:t xml:space="preserve">Argyris (1999) aporta el mecanismo de corrección. El bucle simple ajusta la acción cada mes. El bucle doble revisa los supuestos SC-1 a SC-4 en las compuertas, en una sesión trimestral y en dos evaluaciones externas. El premortem y los escenarios completan el marco. El primero identifica 12 causas cuantificadas y 11 causas estratégicas, y asigna 636,0 millones de COP de reserva a las primeras. Los segundos describen cuatro futuros sin probabilidades, cada uno con su condición de activación, tres objetivos y tres acciones.</w:t>
      </w:r>
    </w:p>
    <w:p>
      <w:pPr>
        <w:pStyle w:val="BodyText"/>
      </w:pPr>
      <w:r>
        <w:t xml:space="preserve">Tres límites acotan estas conclusiones. Primero, los términos de referencia no se aportaron, de modo que la admisibilidad de la compra por tramos y de la reserva es VACIO. Segundo, son VACIO la participación de operarios y comunidades y la evidencia de los custodios. También son VACIO las líneas base de error, de uso y de falsas alarmas. Tercero, este capítulo es una propuesta de formulación que una sola instancia analítica redactó. La revisión humana de sus metas, meses y niveles es condición de aceptación. El proyecto no promete efectos en salud. Promete mediciones verificadas, uso institucional y continuidad.</w:t>
      </w:r>
    </w:p>
    <w:bookmarkEnd w:id="801"/>
    <w:bookmarkEnd w:id="802"/>
    <w:bookmarkEnd w:id="803"/>
    <w:bookmarkStart w:id="809" w:name="_Toc00900346"/>
    <w:p>
      <w:pPr>
        <w:pStyle w:val="Heading1"/>
      </w:pPr>
      <w:r>
        <w:t xml:space="preserve">Documento 1000X-05. Modelo de negocio</w:t>
      </w:r>
    </w:p>
    <w:bookmarkStart w:id="807" w:name="_Toc00900347"/>
    <w:p>
      <w:pPr>
        <w:pStyle w:val="Heading2"/>
      </w:pPr>
      <w:r>
        <w:t xml:space="preserve">X5.1 Modelo de valor público</w:t>
      </w:r>
    </w:p>
    <w:p>
      <w:pPr>
        <w:pStyle w:val="FirstParagraph"/>
      </w:pPr>
      <w:r>
        <w:t xml:space="preserve">El proyecto no vende productos ni servicios. Su modelo de negocio es de valor público. Durante la ejecución, el Sistema General de Regalías (SGR) y la contrapartida pagan la producción de mediciones verificadas de material particulado. Después del cierre, la custodia distribuida y la financiación de los custodios sostienen la red. El lienzo de nueve bloques de la Figura X5.1 organiza esta lógica. La Tabla X5.1 describe cada bloque con su fuente y su naturaleza.</w:t>
      </w:r>
    </w:p>
    <w:p>
      <w:pPr>
        <w:pStyle w:val="FiguraRotulo"/>
      </w:pPr>
      <w:bookmarkStart w:id="9564" w:name="rot_Figura_X5_1"/>
      <w:r>
        <w:rPr>
          <w:b/>
          <w:bCs/>
        </w:rPr>
        <w:t xml:space="preserve">Figura X5.1</w:t>
      </w:r>
      <w:bookmarkEnd w:id="9564"/>
    </w:p>
    <w:p>
      <w:pPr>
        <w:pStyle w:val="FiguraTitulo"/>
      </w:pPr>
      <w:r>
        <w:rPr>
          <w:i/>
          <w:iCs/>
        </w:rPr>
        <w:t xml:space="preserve">Modelo de valor público: la financiación cubre la ejecución y la custodia sostiene la red</w:t>
      </w:r>
    </w:p>
    <w:p>
      <w:pPr>
        <w:pStyle w:val="BodyText"/>
      </w:pPr>
      <w:r>
        <w:drawing>
          <wp:inline>
            <wp:extent cx="5579999" cy="3879882"/>
            <wp:effectExtent b="0" l="0" r="0" t="0"/>
            <wp:docPr descr="" title="" id="805" name="Picture"/>
            <a:graphic>
              <a:graphicData uri="http://schemas.openxmlformats.org/drawingml/2006/picture">
                <pic:pic>
                  <pic:nvPicPr>
                    <pic:cNvPr descr="/tmp/claude-0/-home-user-docs/ddf38714-2a7e-502b-92b4-1008e2832422/scratchpad/proy/figs/out/cX5_f01.png" id="806" name="Picture"/>
                    <pic:cNvPicPr>
                      <a:picLocks noChangeArrowheads="1" noChangeAspect="1"/>
                    </pic:cNvPicPr>
                  </pic:nvPicPr>
                  <pic:blipFill>
                    <a:blip r:embed="rId804"/>
                    <a:stretch>
                      <a:fillRect/>
                    </a:stretch>
                  </pic:blipFill>
                  <pic:spPr bwMode="auto">
                    <a:xfrm>
                      <a:off x="0" y="0"/>
                      <a:ext cx="5579999" cy="387988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y de maestro.py. Lienzo de nueve bloques con numeración estándar; sin ingresos por ventas. Los nombres de entidades son [DATO_USUARIO]. Python 3 y matplotlib; script cX5_f01.py; sin semilla; corte del 13 de octubre de 2026.</w:t>
      </w:r>
    </w:p>
    <w:p>
      <w:pPr>
        <w:pStyle w:val="TablaRotulo"/>
      </w:pPr>
      <w:bookmarkStart w:id="9440" w:name="rot_Tabla_X5_1"/>
      <w:r>
        <w:rPr>
          <w:b/>
          <w:bCs/>
        </w:rPr>
        <w:t xml:space="preserve">Tabla X5.1</w:t>
      </w:r>
      <w:bookmarkEnd w:id="9440"/>
    </w:p>
    <w:p>
      <w:pPr>
        <w:pStyle w:val="TablaTitulo"/>
      </w:pPr>
      <w:r>
        <w:rPr>
          <w:i/>
          <w:iCs/>
        </w:rPr>
        <w:t xml:space="preserve">Descripción de los nueve bloques del lienzo de modelo de negocio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84"/>
        <w:gridCol w:w="2310"/>
        <w:gridCol w:w="1584"/>
        <w:gridCol w:w="2442"/>
      </w:tblGrid>
      <w:tr>
        <w:trPr>
          <w:cantSplit/>
          <w:tblHeader/>
        </w:trPr>
        <w:tc>
          <w:tcPr>
            <w:shd w:val="clear" w:color="auto" w:fill="00B050"/>
          </w:tcPr>
          <w:p>
            <w:pPr>
              <w:pStyle w:val="Tabla9"/>
              <w:jc w:val="center"/>
            </w:pPr>
            <w:r>
              <w:rPr>
                <w:b/>
                <w:color w:val="FFFFFF"/>
              </w:rPr>
              <w:t xml:space="preserve">Bloque</w:t>
            </w:r>
          </w:p>
        </w:tc>
        <w:tc>
          <w:tcPr>
            <w:shd w:val="clear" w:color="auto" w:fill="00B050"/>
          </w:tcPr>
          <w:p>
            <w:pPr>
              <w:pStyle w:val="Tabla9"/>
              <w:jc w:val="center"/>
            </w:pPr>
            <w:r>
              <w:rPr>
                <w:b/>
                <w:color w:val="FFFFFF"/>
              </w:rPr>
              <w:t xml:space="preserve">Contenido</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1. Segmentos de clientes</w:t>
            </w:r>
          </w:p>
        </w:tc>
        <w:tc>
          <w:tcPr/>
          <w:p>
            <w:pPr>
              <w:pStyle w:val="Tabla9"/>
              <w:jc w:val="left"/>
            </w:pPr>
            <w:r>
              <w:t xml:space="preserve">Primarios: 15 comités de gestión del riesgo (12 municipales y 3 departamentales) y 150 funcionarios beneficiarios. Secundarios: operarios de remoción, población expuesta, autoridades ambientales y la Unidad Nacional para la Gestión del Riesgo de Desastres (UNGRD)</w:t>
            </w:r>
          </w:p>
        </w:tc>
        <w:tc>
          <w:tcPr/>
          <w:p>
            <w:pPr>
              <w:pStyle w:val="Tabla9"/>
              <w:jc w:val="left"/>
            </w:pPr>
            <w:r>
              <w:t xml:space="preserve">Ficha §4</w:t>
            </w:r>
          </w:p>
        </w:tc>
        <w:tc>
          <w:tcPr/>
          <w:p>
            <w:pPr>
              <w:pStyle w:val="Tabla9"/>
              <w:jc w:val="left"/>
            </w:pPr>
            <w:r>
              <w:t xml:space="preserve">SUPUESTO; operarios [DATO_USUARIO]</w:t>
            </w:r>
          </w:p>
        </w:tc>
      </w:tr>
      <w:tr>
        <w:trPr>
          <w:cantSplit/>
        </w:trPr>
        <w:tc>
          <w:tcPr/>
          <w:p>
            <w:pPr>
              <w:pStyle w:val="Tabla9"/>
              <w:jc w:val="left"/>
            </w:pPr>
            <w:r>
              <w:t xml:space="preserve">2. Propuesta de valor</w:t>
            </w:r>
          </w:p>
        </w:tc>
        <w:tc>
          <w:tcPr/>
          <w:p>
            <w:pPr>
              <w:pStyle w:val="Tabla9"/>
              <w:jc w:val="left"/>
            </w:pPr>
            <w:r>
              <w:t xml:space="preserve">Mediciones de PM2,5 y PM10 con error conocido frente a una referencia (coeficiente de determinación R² ≥ 0,70 y error cuadrático medio normalizado NRMSE ≤ 30 %) para decidir alertas. Sin promesa de efectos en salud</w:t>
            </w:r>
          </w:p>
        </w:tc>
        <w:tc>
          <w:tcPr/>
          <w:p>
            <w:pPr>
              <w:pStyle w:val="Tabla9"/>
              <w:jc w:val="left"/>
            </w:pPr>
            <w:r>
              <w:t xml:space="preserve">Ficha §2 y §3</w:t>
            </w:r>
          </w:p>
        </w:tc>
        <w:tc>
          <w:tcPr/>
          <w:p>
            <w:pPr>
              <w:pStyle w:val="Tabla9"/>
              <w:jc w:val="left"/>
            </w:pPr>
            <w:r>
              <w:t xml:space="preserve">PROPUESTO</w:t>
            </w:r>
          </w:p>
        </w:tc>
      </w:tr>
      <w:tr>
        <w:trPr>
          <w:cantSplit/>
        </w:trPr>
        <w:tc>
          <w:tcPr/>
          <w:p>
            <w:pPr>
              <w:pStyle w:val="Tabla9"/>
              <w:jc w:val="left"/>
            </w:pPr>
            <w:r>
              <w:t xml:space="preserve">3. Canales</w:t>
            </w:r>
          </w:p>
        </w:tc>
        <w:tc>
          <w:tcPr/>
          <w:p>
            <w:pPr>
              <w:pStyle w:val="Tabla9"/>
              <w:jc w:val="left"/>
            </w:pPr>
            <w:r>
              <w:t xml:space="preserve">Tablero del índice de calidad del aire y salud (AQHI) y protocolo de alerta; 5.000 cartillas impresas; talleres y jornadas; convenios por tramo</w:t>
            </w:r>
          </w:p>
        </w:tc>
        <w:tc>
          <w:tcPr/>
          <w:p>
            <w:pPr>
              <w:pStyle w:val="Tabla9"/>
              <w:jc w:val="left"/>
            </w:pPr>
            <w:r>
              <w:t xml:space="preserve">Presupuesto M04; PERS-P04</w:t>
            </w:r>
          </w:p>
        </w:tc>
        <w:tc>
          <w:tcPr/>
          <w:p>
            <w:pPr>
              <w:pStyle w:val="Tabla9"/>
              <w:jc w:val="left"/>
            </w:pPr>
            <w:r>
              <w:t xml:space="preserve">DECLARADO (cartillas); PROPUESTO</w:t>
            </w:r>
          </w:p>
        </w:tc>
      </w:tr>
      <w:tr>
        <w:trPr>
          <w:cantSplit/>
        </w:trPr>
        <w:tc>
          <w:tcPr/>
          <w:p>
            <w:pPr>
              <w:pStyle w:val="Tabla9"/>
              <w:jc w:val="left"/>
            </w:pPr>
            <w:r>
              <w:t xml:space="preserve">4. Relaciones con clientes</w:t>
            </w:r>
          </w:p>
        </w:tc>
        <w:tc>
          <w:tcPr/>
          <w:p>
            <w:pPr>
              <w:pStyle w:val="Tabla9"/>
              <w:jc w:val="left"/>
            </w:pPr>
            <w:r>
              <w:t xml:space="preserve">Asistencia y co-diseño con los comités; participación comunitaria; formación de custodios con meta de 60 personas certificadas</w:t>
            </w:r>
          </w:p>
        </w:tc>
        <w:tc>
          <w:tcPr/>
          <w:p>
            <w:pPr>
              <w:pStyle w:val="Tabla9"/>
              <w:jc w:val="left"/>
            </w:pPr>
            <w:r>
              <w:t xml:space="preserve">PERS-P04 y PERS-E03</w:t>
            </w:r>
          </w:p>
        </w:tc>
        <w:tc>
          <w:tcPr/>
          <w:p>
            <w:pPr>
              <w:pStyle w:val="Tabla9"/>
              <w:jc w:val="left"/>
            </w:pPr>
            <w:r>
              <w:t xml:space="preserve">PROPUESTO</w:t>
            </w:r>
          </w:p>
        </w:tc>
      </w:tr>
      <w:tr>
        <w:trPr>
          <w:cantSplit/>
        </w:trPr>
        <w:tc>
          <w:tcPr/>
          <w:p>
            <w:pPr>
              <w:pStyle w:val="Tabla9"/>
              <w:jc w:val="left"/>
            </w:pPr>
            <w:r>
              <w:t xml:space="preserve">5. Fuentes de ingresos</w:t>
            </w:r>
          </w:p>
        </w:tc>
        <w:tc>
          <w:tcPr/>
          <w:p>
            <w:pPr>
              <w:pStyle w:val="Tabla9"/>
              <w:jc w:val="left"/>
            </w:pPr>
            <w:r>
              <w:t xml:space="preserve">Durante el proyecto: SGR de 8.729,8 y contrapartida de 2.110,0 millones. Después: custodia y financiación de custodios, con monto VACIO</w:t>
            </w:r>
          </w:p>
        </w:tc>
        <w:tc>
          <w:tcPr/>
          <w:p>
            <w:pPr>
              <w:pStyle w:val="Tabla9"/>
              <w:jc w:val="left"/>
            </w:pPr>
            <w:r>
              <w:t xml:space="preserve">Ficha §5</w:t>
            </w:r>
          </w:p>
        </w:tc>
        <w:tc>
          <w:tcPr/>
          <w:p>
            <w:pPr>
              <w:pStyle w:val="Tabla9"/>
              <w:jc w:val="left"/>
            </w:pPr>
            <w:r>
              <w:t xml:space="preserve">CALCULADO; VACIO</w:t>
            </w:r>
          </w:p>
        </w:tc>
      </w:tr>
      <w:tr>
        <w:trPr>
          <w:cantSplit/>
        </w:trPr>
        <w:tc>
          <w:tcPr/>
          <w:p>
            <w:pPr>
              <w:pStyle w:val="Tabla9"/>
              <w:jc w:val="left"/>
            </w:pPr>
            <w:r>
              <w:t xml:space="preserve">6. Recursos clave</w:t>
            </w:r>
          </w:p>
        </w:tc>
        <w:tc>
          <w:tcPr/>
          <w:p>
            <w:pPr>
              <w:pStyle w:val="Tabla9"/>
              <w:jc w:val="left"/>
            </w:pPr>
            <w:r>
              <w:t xml:space="preserve">14 líneas de personal; 100 nodos, 10 gateways y 3 referencias; modelo de corrección y datos de colocalización; recursos financieros</w:t>
            </w:r>
          </w:p>
        </w:tc>
        <w:tc>
          <w:tcPr/>
          <w:p>
            <w:pPr>
              <w:pStyle w:val="Tabla9"/>
              <w:jc w:val="left"/>
            </w:pPr>
            <w:r>
              <w:t xml:space="preserve">Ficha §2 y §5</w:t>
            </w:r>
          </w:p>
        </w:tc>
        <w:tc>
          <w:tcPr/>
          <w:p>
            <w:pPr>
              <w:pStyle w:val="Tabla9"/>
              <w:jc w:val="left"/>
            </w:pPr>
            <w:r>
              <w:t xml:space="preserve">PROPUESTO</w:t>
            </w:r>
          </w:p>
        </w:tc>
      </w:tr>
      <w:tr>
        <w:trPr>
          <w:cantSplit/>
        </w:trPr>
        <w:tc>
          <w:tcPr/>
          <w:p>
            <w:pPr>
              <w:pStyle w:val="Tabla9"/>
              <w:jc w:val="left"/>
            </w:pPr>
            <w:r>
              <w:t xml:space="preserve">7. Actividades clave</w:t>
            </w:r>
          </w:p>
        </w:tc>
        <w:tc>
          <w:tcPr/>
          <w:p>
            <w:pPr>
              <w:pStyle w:val="Tabla9"/>
              <w:jc w:val="left"/>
            </w:pPr>
            <w:r>
              <w:t xml:space="preserve">I+D+i: colocalización y modelo. Desarrollo: firmware, plataforma y gemelo digital. Transferencia: formación y convenios de custodia</w:t>
            </w:r>
          </w:p>
        </w:tc>
        <w:tc>
          <w:tcPr/>
          <w:p>
            <w:pPr>
              <w:pStyle w:val="Tabla9"/>
              <w:jc w:val="left"/>
            </w:pPr>
            <w:r>
              <w:t xml:space="preserve">Cronograma WP1 a WP3</w:t>
            </w:r>
          </w:p>
        </w:tc>
        <w:tc>
          <w:tcPr/>
          <w:p>
            <w:pPr>
              <w:pStyle w:val="Tabla9"/>
              <w:jc w:val="left"/>
            </w:pPr>
            <w:r>
              <w:t xml:space="preserve">PROPUESTO</w:t>
            </w:r>
          </w:p>
        </w:tc>
      </w:tr>
      <w:tr>
        <w:trPr>
          <w:cantSplit/>
        </w:trPr>
        <w:tc>
          <w:tcPr/>
          <w:p>
            <w:pPr>
              <w:pStyle w:val="Tabla9"/>
              <w:jc w:val="left"/>
            </w:pPr>
            <w:r>
              <w:t xml:space="preserve">8. Alianzas clave</w:t>
            </w:r>
          </w:p>
        </w:tc>
        <w:tc>
          <w:tcPr/>
          <w:p>
            <w:pPr>
              <w:pStyle w:val="Tabla9"/>
              <w:jc w:val="left"/>
            </w:pPr>
            <w:r>
              <w:t xml:space="preserve">Co-ejecutores: institución de educación superior (IES) y empresa tecnológica. Proveedores: laboratorios, equipos y nube. Aliados de transferencia: comités, UNGRD, alcaldías y custodios</w:t>
            </w:r>
          </w:p>
        </w:tc>
        <w:tc>
          <w:tcPr/>
          <w:p>
            <w:pPr>
              <w:pStyle w:val="Tabla9"/>
              <w:jc w:val="left"/>
            </w:pPr>
            <w:r>
              <w:t xml:space="preserve">Ficha §1 y §4</w:t>
            </w:r>
          </w:p>
        </w:tc>
        <w:tc>
          <w:tcPr/>
          <w:p>
            <w:pPr>
              <w:pStyle w:val="Tabla9"/>
              <w:jc w:val="left"/>
            </w:pPr>
            <w:r>
              <w:t xml:space="preserve">SUPUESTO; nombres [DATO_USUARIO]</w:t>
            </w:r>
          </w:p>
        </w:tc>
      </w:tr>
      <w:tr>
        <w:trPr>
          <w:cantSplit/>
        </w:trPr>
        <w:tc>
          <w:tcPr/>
          <w:p>
            <w:pPr>
              <w:pStyle w:val="Tabla9"/>
              <w:jc w:val="left"/>
            </w:pPr>
            <w:r>
              <w:t xml:space="preserve">9. Estructura de costos</w:t>
            </w:r>
          </w:p>
        </w:tc>
        <w:tc>
          <w:tcPr/>
          <w:p>
            <w:pPr>
              <w:pStyle w:val="Tabla9"/>
              <w:jc w:val="left"/>
            </w:pPr>
            <w:r>
              <w:t xml:space="preserve">Total de 10.839,8 millones; costos fijos de 73,2 % y variables de 19,6 % del SGR; costo marginal de un nodo de 12,3 millones</w:t>
            </w:r>
          </w:p>
        </w:tc>
        <w:tc>
          <w:tcPr/>
          <w:p>
            <w:pPr>
              <w:pStyle w:val="Tabla9"/>
              <w:jc w:val="left"/>
            </w:pPr>
            <w:r>
              <w:t xml:space="preserve">Documento 1000X-06</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la ficha maestra y de maestro.py. Los nombres de entidades y el número de operarios corresponden al usuario [DATO_USUARIO]. Decimales con coma.</w:t>
      </w:r>
    </w:p>
    <w:p>
      <w:pPr>
        <w:pStyle w:val="BodyText"/>
      </w:pPr>
      <w:r>
        <w:t xml:space="preserve">Los segmentos primarios son los 15 comités de gestión del riesgo y sus 150 funcionarios beneficiarios (SUPUESTO). Los segmentos secundarios son los operarios de remoción y la población expuesta. Su número corresponde al usuario [DATO_USUARIO: número de operarios y de habitantes]. La propuesta de valor se limita a lo medible: mediciones verificadas, uso institucional y continuidad. El proyecto no promete efectos en salud. El diferenciador es la combinación de corrección en el gateway, tramos con compuertas y custodia distribuida.</w:t>
      </w:r>
    </w:p>
    <w:p>
      <w:pPr>
        <w:pStyle w:val="BodyText"/>
      </w:pPr>
      <w:r>
        <w:t xml:space="preserve">Los canales combinan el tablero, 5.000 cartillas impresas, 20 talleres y 9 jornadas. La relación con los comités es de asistencia y co-diseño. La relación con los custodios es de formación, con una meta de 60 personas certificadas. Los recursos clave son 14 líneas de personal, 100 nodos, 10 gateways y 3 referencias gravimétricas. Las actividades clave son la colocalización, el desarrollo de la plataforma y la transferencia por convenios. Los nombres de las entidades aliadas son [DATO_USUARIO: nombres de las entidades aliadas].</w:t>
      </w:r>
    </w:p>
    <w:p>
      <w:pPr>
        <w:pStyle w:val="BodyText"/>
      </w:pPr>
      <w:r>
        <w:t xml:space="preserve">Los costos fijos explican 73,2 % del SGR y los variables 19,6 %. El costo marginal de un nodo adicional es de $ 12,3 millones (PROPUESTO). Equivale a 11,4 % del costo medio de $ 108,4 millones por nodo. Esa diferencia indica economías de escala potenciales. Se materializan solo si el personal y los custodios absorben la ampliación.</w:t>
      </w:r>
    </w:p>
    <w:p>
      <w:pPr>
        <w:pStyle w:val="BodyText"/>
      </w:pPr>
      <w:r>
        <w:t xml:space="preserve">El modelo se diferencia de uno comercial por tres rasgos. Primero, el beneficiario no paga por la medición. Segundo, el valor se mide en uso institucional y en continuidad, no en ventas. Tercero, la salida del proyecto se ordena con una cláusula de apertura y con convenios por tramo. Estos rasgos responden a la decisión de desplegar por tramos con custodia distribuida (DEC-F03).</w:t>
      </w:r>
    </w:p>
    <w:bookmarkEnd w:id="807"/>
    <w:bookmarkStart w:id="808" w:name="_Toc00900348"/>
    <w:p>
      <w:pPr>
        <w:pStyle w:val="Heading2"/>
      </w:pPr>
      <w:r>
        <w:t xml:space="preserve">X5.2 Ingresos y financiación por fase</w:t>
      </w:r>
    </w:p>
    <w:p>
      <w:pPr>
        <w:pStyle w:val="FirstParagraph"/>
      </w:pPr>
      <w:r>
        <w:t xml:space="preserve">El modelo no genera ingresos por ventas y la financiación cambia con cada fase. La Tabla X5.2 resume las fuentes. Durante la ejecución, el SGR aporta $ 8.729,8 millones y la contrapartida $ 2.110,0 millones. Después del cierre, la continuidad depende de convenios con partida y de una cláusula de apertura. Las alcaldías no aportan contrapartida (VACIO). Los términos de referencia (TdR) no se aportaron, y por eso las opciones de ampliación quedan sin presupuesto.</w:t>
      </w:r>
    </w:p>
    <w:p>
      <w:pPr>
        <w:pStyle w:val="TablaRotulo"/>
      </w:pPr>
      <w:bookmarkStart w:id="9441" w:name="rot_Tabla_X5_2"/>
      <w:r>
        <w:rPr>
          <w:b/>
          <w:bCs/>
        </w:rPr>
        <w:t xml:space="preserve">Tabla X5.2</w:t>
      </w:r>
      <w:bookmarkEnd w:id="9441"/>
    </w:p>
    <w:p>
      <w:pPr>
        <w:pStyle w:val="TablaTitulo"/>
      </w:pPr>
      <w:r>
        <w:rPr>
          <w:i/>
          <w:iCs/>
        </w:rPr>
        <w:t xml:space="preserve">Financiación del modelo por fase, en millones de COP</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54"/>
        <w:gridCol w:w="1386"/>
        <w:gridCol w:w="2046"/>
        <w:gridCol w:w="1650"/>
        <w:gridCol w:w="1584"/>
      </w:tblGrid>
      <w:tr>
        <w:trPr>
          <w:cantSplit/>
          <w:tblHeader/>
        </w:trPr>
        <w:tc>
          <w:tcPr>
            <w:shd w:val="clear" w:color="auto" w:fill="00B050"/>
          </w:tcPr>
          <w:p>
            <w:pPr>
              <w:pStyle w:val="Tabla9"/>
              <w:jc w:val="center"/>
            </w:pPr>
            <w:r>
              <w:rPr>
                <w:b/>
                <w:color w:val="FFFFFF"/>
              </w:rPr>
              <w:t xml:space="preserve">Fase</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Monto</w:t>
            </w:r>
          </w:p>
        </w:tc>
        <w:tc>
          <w:tcPr>
            <w:shd w:val="clear" w:color="auto" w:fill="00B050"/>
          </w:tcPr>
          <w:p>
            <w:pPr>
              <w:pStyle w:val="Tabla9"/>
              <w:jc w:val="center"/>
            </w:pPr>
            <w:r>
              <w:rPr>
                <w:b/>
                <w:color w:val="FFFFFF"/>
              </w:rPr>
              <w:t xml:space="preserve">Condición</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Ejecución (meses 1 a 24)</w:t>
            </w:r>
          </w:p>
        </w:tc>
        <w:tc>
          <w:tcPr/>
          <w:p>
            <w:pPr>
              <w:pStyle w:val="Tabla9"/>
              <w:jc w:val="left"/>
            </w:pPr>
            <w:r>
              <w:t xml:space="preserve">SGR</w:t>
            </w:r>
          </w:p>
        </w:tc>
        <w:tc>
          <w:tcPr/>
          <w:p>
            <w:pPr>
              <w:pStyle w:val="Tabla9"/>
              <w:jc w:val="left"/>
            </w:pPr>
            <w:r>
              <w:t xml:space="preserve">8.729,8</w:t>
            </w:r>
          </w:p>
        </w:tc>
        <w:tc>
          <w:tcPr/>
          <w:p>
            <w:pPr>
              <w:pStyle w:val="Tabla9"/>
              <w:jc w:val="left"/>
            </w:pPr>
            <w:r>
              <w:t xml:space="preserve">Las compuertas C1 y C2 liberan las compras de los tramos 2 y 3</w:t>
            </w:r>
          </w:p>
        </w:tc>
        <w:tc>
          <w:tcPr/>
          <w:p>
            <w:pPr>
              <w:pStyle w:val="Tabla9"/>
              <w:jc w:val="left"/>
            </w:pPr>
            <w:r>
              <w:t xml:space="preserve">CALCULADO</w:t>
            </w:r>
          </w:p>
        </w:tc>
      </w:tr>
      <w:tr>
        <w:trPr>
          <w:cantSplit/>
        </w:trPr>
        <w:tc>
          <w:tcPr/>
          <w:p>
            <w:pPr>
              <w:pStyle w:val="Tabla9"/>
              <w:jc w:val="left"/>
            </w:pPr>
            <w:r>
              <w:t xml:space="preserve">Ejecución (meses 1 a 24)</w:t>
            </w:r>
          </w:p>
        </w:tc>
        <w:tc>
          <w:tcPr/>
          <w:p>
            <w:pPr>
              <w:pStyle w:val="Tabla9"/>
              <w:jc w:val="left"/>
            </w:pPr>
            <w:r>
              <w:t xml:space="preserve">IES (especie)</w:t>
            </w:r>
          </w:p>
        </w:tc>
        <w:tc>
          <w:tcPr/>
          <w:p>
            <w:pPr>
              <w:pStyle w:val="Tabla9"/>
              <w:jc w:val="left"/>
            </w:pPr>
            <w:r>
              <w:t xml:space="preserve">1.100,0</w:t>
            </w:r>
          </w:p>
        </w:tc>
        <w:tc>
          <w:tcPr/>
          <w:p>
            <w:pPr>
              <w:pStyle w:val="Tabla9"/>
              <w:jc w:val="left"/>
            </w:pPr>
            <w:r>
              <w:t xml:space="preserve">Certificación pendiente</w:t>
            </w:r>
          </w:p>
        </w:tc>
        <w:tc>
          <w:tcPr/>
          <w:p>
            <w:pPr>
              <w:pStyle w:val="Tabla9"/>
              <w:jc w:val="left"/>
            </w:pPr>
            <w:r>
              <w:t xml:space="preserve">DECLARADO; desglose PROPUESTO</w:t>
            </w:r>
          </w:p>
        </w:tc>
      </w:tr>
      <w:tr>
        <w:trPr>
          <w:cantSplit/>
        </w:trPr>
        <w:tc>
          <w:tcPr/>
          <w:p>
            <w:pPr>
              <w:pStyle w:val="Tabla9"/>
              <w:jc w:val="left"/>
            </w:pPr>
            <w:r>
              <w:t xml:space="preserve">Ejecución (meses 1 a 24)</w:t>
            </w:r>
          </w:p>
        </w:tc>
        <w:tc>
          <w:tcPr/>
          <w:p>
            <w:pPr>
              <w:pStyle w:val="Tabla9"/>
              <w:jc w:val="left"/>
            </w:pPr>
            <w:r>
              <w:t xml:space="preserve">Empresa tecnológica (efectivo)</w:t>
            </w:r>
          </w:p>
        </w:tc>
        <w:tc>
          <w:tcPr/>
          <w:p>
            <w:pPr>
              <w:pStyle w:val="Tabla9"/>
              <w:jc w:val="left"/>
            </w:pPr>
            <w:r>
              <w:t xml:space="preserve">210,0</w:t>
            </w:r>
          </w:p>
        </w:tc>
        <w:tc>
          <w:tcPr/>
          <w:p>
            <w:pPr>
              <w:pStyle w:val="Tabla9"/>
              <w:jc w:val="left"/>
            </w:pPr>
            <w:r>
              <w:t xml:space="preserve">Certificación pendiente</w:t>
            </w:r>
          </w:p>
        </w:tc>
        <w:tc>
          <w:tcPr/>
          <w:p>
            <w:pPr>
              <w:pStyle w:val="Tabla9"/>
              <w:jc w:val="left"/>
            </w:pPr>
            <w:r>
              <w:t xml:space="preserve">DECLARADO</w:t>
            </w:r>
          </w:p>
        </w:tc>
      </w:tr>
      <w:tr>
        <w:trPr>
          <w:cantSplit/>
        </w:trPr>
        <w:tc>
          <w:tcPr/>
          <w:p>
            <w:pPr>
              <w:pStyle w:val="Tabla9"/>
              <w:jc w:val="left"/>
            </w:pPr>
            <w:r>
              <w:t xml:space="preserve">Ejecución (meses 1 a 24)</w:t>
            </w:r>
          </w:p>
        </w:tc>
        <w:tc>
          <w:tcPr/>
          <w:p>
            <w:pPr>
              <w:pStyle w:val="Tabla9"/>
              <w:jc w:val="left"/>
            </w:pPr>
            <w:r>
              <w:t xml:space="preserve">Empresa tecnológica (especie)</w:t>
            </w:r>
          </w:p>
        </w:tc>
        <w:tc>
          <w:tcPr/>
          <w:p>
            <w:pPr>
              <w:pStyle w:val="Tabla9"/>
              <w:jc w:val="left"/>
            </w:pPr>
            <w:r>
              <w:t xml:space="preserve">800,0</w:t>
            </w:r>
          </w:p>
        </w:tc>
        <w:tc>
          <w:tcPr/>
          <w:p>
            <w:pPr>
              <w:pStyle w:val="Tabla9"/>
              <w:jc w:val="left"/>
            </w:pPr>
            <w:r>
              <w:t xml:space="preserve">Infraestructura en la nube de la empresa</w:t>
            </w:r>
          </w:p>
        </w:tc>
        <w:tc>
          <w:tcPr/>
          <w:p>
            <w:pPr>
              <w:pStyle w:val="Tabla9"/>
              <w:jc w:val="left"/>
            </w:pPr>
            <w:r>
              <w:t xml:space="preserve">DECLARADO</w:t>
            </w:r>
          </w:p>
        </w:tc>
      </w:tr>
      <w:tr>
        <w:trPr>
          <w:cantSplit/>
        </w:trPr>
        <w:tc>
          <w:tcPr/>
          <w:p>
            <w:pPr>
              <w:pStyle w:val="Tabla9"/>
              <w:jc w:val="left"/>
            </w:pPr>
            <w:r>
              <w:t xml:space="preserve">Ejecución (meses 1 a 24)</w:t>
            </w:r>
          </w:p>
        </w:tc>
        <w:tc>
          <w:tcPr/>
          <w:p>
            <w:pPr>
              <w:pStyle w:val="Tabla9"/>
              <w:jc w:val="left"/>
            </w:pPr>
            <w:r>
              <w:t xml:space="preserve">Alcaldías</w:t>
            </w:r>
          </w:p>
        </w:tc>
        <w:tc>
          <w:tcPr/>
          <w:p>
            <w:pPr>
              <w:pStyle w:val="Tabla9"/>
              <w:jc w:val="left"/>
            </w:pPr>
            <w:r>
              <w:t xml:space="preserve">0,0</w:t>
            </w:r>
          </w:p>
        </w:tc>
        <w:tc>
          <w:tcPr/>
          <w:p>
            <w:pPr>
              <w:pStyle w:val="Tabla9"/>
              <w:jc w:val="left"/>
            </w:pPr>
            <w:r>
              <w:t xml:space="preserve">Sin aporte</w:t>
            </w:r>
          </w:p>
        </w:tc>
        <w:tc>
          <w:tcPr/>
          <w:p>
            <w:pPr>
              <w:pStyle w:val="Tabla9"/>
              <w:jc w:val="left"/>
            </w:pPr>
            <w:r>
              <w:t xml:space="preserve">VACIO</w:t>
            </w:r>
          </w:p>
        </w:tc>
      </w:tr>
      <w:tr>
        <w:trPr>
          <w:cantSplit/>
        </w:trPr>
        <w:tc>
          <w:tcPr/>
          <w:p>
            <w:pPr>
              <w:pStyle w:val="Tabla9"/>
              <w:jc w:val="left"/>
            </w:pPr>
            <w:r>
              <w:t xml:space="preserve">Posproyecto (meses 25 a 36)</w:t>
            </w:r>
          </w:p>
        </w:tc>
        <w:tc>
          <w:tcPr/>
          <w:p>
            <w:pPr>
              <w:pStyle w:val="Tabla9"/>
              <w:jc w:val="left"/>
            </w:pPr>
            <w:r>
              <w:t xml:space="preserve">Custodios y entidades territoriales</w:t>
            </w:r>
          </w:p>
        </w:tc>
        <w:tc>
          <w:tcPr/>
          <w:p>
            <w:pPr>
              <w:pStyle w:val="Tabla9"/>
              <w:jc w:val="left"/>
            </w:pPr>
            <w:r>
              <w:t xml:space="preserve">[DATO_USUARIO: monto anual de custodia]</w:t>
            </w:r>
          </w:p>
        </w:tc>
        <w:tc>
          <w:tcPr/>
          <w:p>
            <w:pPr>
              <w:pStyle w:val="Tabla9"/>
              <w:jc w:val="left"/>
            </w:pPr>
            <w:r>
              <w:t xml:space="preserve">Convenios con partida y cláusula de apertura</w:t>
            </w:r>
          </w:p>
        </w:tc>
        <w:tc>
          <w:tcPr/>
          <w:p>
            <w:pPr>
              <w:pStyle w:val="Tabla9"/>
              <w:jc w:val="left"/>
            </w:pPr>
            <w:r>
              <w:t xml:space="preserve">VACIO</w:t>
            </w:r>
          </w:p>
        </w:tc>
      </w:tr>
      <w:tr>
        <w:trPr>
          <w:cantSplit/>
        </w:trPr>
        <w:tc>
          <w:tcPr/>
          <w:p>
            <w:pPr>
              <w:pStyle w:val="Tabla9"/>
              <w:jc w:val="left"/>
            </w:pPr>
            <w:r>
              <w:t xml:space="preserve">Ampliación (años 4 y 5)</w:t>
            </w:r>
          </w:p>
        </w:tc>
        <w:tc>
          <w:tcPr/>
          <w:p>
            <w:pPr>
              <w:pStyle w:val="Tabla9"/>
              <w:jc w:val="left"/>
            </w:pPr>
            <w:r>
              <w:t xml:space="preserve">Opciones condicionadas a términos de referencia (TdR)</w:t>
            </w:r>
          </w:p>
        </w:tc>
        <w:tc>
          <w:tcPr/>
          <w:p>
            <w:pPr>
              <w:pStyle w:val="Tabla9"/>
              <w:jc w:val="left"/>
            </w:pPr>
            <w:r>
              <w:t xml:space="preserve">No presupuestado</w:t>
            </w:r>
          </w:p>
        </w:tc>
        <w:tc>
          <w:tcPr/>
          <w:p>
            <w:pPr>
              <w:pStyle w:val="Tabla9"/>
              <w:jc w:val="left"/>
            </w:pPr>
            <w:r>
              <w:t xml:space="preserve">Holgura de 5.270,2 millones no solicitada</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(§5) y de maestro.py. No se presupuestan ingresos por ventas ni licencias. El costo de sostenimiento posproyecto es NO_CALCULABLE con los datos actuales.</w:t>
      </w:r>
    </w:p>
    <w:p>
      <w:pPr>
        <w:pStyle w:val="BodyText"/>
      </w:pPr>
      <w:r>
        <w:t xml:space="preserve">El monto de la custodia posproyecto es VACIO y el costo total de sostenimiento es NO_CALCULABLE con los datos actuales. Por eso la compuerta C2 exige convenios de custodia con partida. La exigencia precede a la compra del tramo 3. La sostenibilidad de programas comunitarios depende de la financiación continua y de la capacidad institucional (Shediac-Rizkallah y Bone, 1998). La custodia distribuida requiere reglas explícitas de uso y de mantenimiento, que la teoría institucional analiza como diseño de reglas (Ostrom, 2005).</w:t>
      </w:r>
    </w:p>
    <w:p>
      <w:pPr>
        <w:pStyle w:val="BodyText"/>
      </w:pPr>
      <w:r>
        <w:t xml:space="preserve">El potencial de comercialización es limitado y no se cuantifica. El software de corrección y el gemelo digital se registran ante la Dirección Nacional de Derecho de Autor (DNDA). Ese registro crea un activo de propiedad intelectual (indicador PERS-P02). El proyecto no estima ingresos por licencias, porque ninguna fuente aporta precios ni demanda. Una decisión de licenciamiento exigiría un estudio de mercado y el acuerdo de titularidad entre las partes.</w:t>
      </w:r>
    </w:p>
    <w:bookmarkEnd w:id="808"/>
    <w:bookmarkEnd w:id="809"/>
    <w:bookmarkStart w:id="830" w:name="_Toc00900349"/>
    <w:p>
      <w:pPr>
        <w:pStyle w:val="Heading1"/>
      </w:pPr>
      <w:r>
        <w:t xml:space="preserve">Documento 1000X-06. Análisis financiero</w:t>
      </w:r>
    </w:p>
    <w:bookmarkStart w:id="810" w:name="_Toc00900350"/>
    <w:p>
      <w:pPr>
        <w:pStyle w:val="Heading2"/>
      </w:pPr>
      <w:r>
        <w:t xml:space="preserve">X6.1 Resumen de inversión</w:t>
      </w:r>
    </w:p>
    <w:p>
      <w:pPr>
        <w:pStyle w:val="FirstParagraph"/>
      </w:pPr>
      <w:r>
        <w:t xml:space="preserve">La inversión total requerida asciende a $ 10.839.840.000 y se financia con dos fuentes (CALCULADO). El Sistema General de Regalías (SGR) aporta $ 8.729.840.000, que equivalen a 80,5 % del total. La contrapartida suma $ 2.110.000.000 y cubre el 19,5 % restante. El valor solicitado representa 62,4 % del tope normativo declarado de $ 14.000.000.000. Los términos de referencia (TdR) no se aportaron. Por eso el tope sigue NO_VERIFICADO. La holgura de $ 5.270.160.000 no se solicita (DEC-F06).</w:t>
      </w:r>
    </w:p>
    <w:p>
      <w:pPr>
        <w:pStyle w:val="BodyText"/>
      </w:pPr>
      <w:r>
        <w:t xml:space="preserve">La contrapartida procede de dos aportantes. La institución de educación superior (IES) ejecutora registra $ 1.100.000.000 en especie. La empresa tecnológica aporta $ 210.000.000 en efectivo y $ 800.000.000 en especie. Las alcaldías no aportan recursos (VACIO). Las certificaciones de los aportes siguen pendientes. Los valores proceden del expediente E3 aportado por el usuario (DECLARADO), salvo el desglose de la IES (PROPUESTO).</w:t>
      </w:r>
    </w:p>
    <w:p>
      <w:pPr>
        <w:pStyle w:val="BodyText"/>
      </w:pPr>
      <w:r>
        <w:t xml:space="preserve">La Tabla X6.1 distribuye la inversión por fuente y por año de ejecución en millones de pesos colombianos (COP). El año 1 abarca los meses 1 a 12. El año 2 abarca los meses 13 a 24. El cálculo reparte cada línea del presupuesto de forma uniforme entre su mes inicial y su mes final. Las compras de nodos, cabezales y gateways siguen las fechas de cada tramo.</w:t>
      </w:r>
    </w:p>
    <w:p>
      <w:pPr>
        <w:pStyle w:val="TablaRotulo"/>
      </w:pPr>
      <w:bookmarkStart w:id="9442" w:name="rot_Tabla_X6_1"/>
      <w:r>
        <w:rPr>
          <w:b/>
          <w:bCs/>
        </w:rPr>
        <w:t xml:space="preserve">Tabla X6.1</w:t>
      </w:r>
      <w:bookmarkEnd w:id="9442"/>
    </w:p>
    <w:p>
      <w:pPr>
        <w:pStyle w:val="TablaTitulo"/>
      </w:pPr>
      <w:r>
        <w:rPr>
          <w:i/>
          <w:iCs/>
        </w:rPr>
        <w:t xml:space="preserve">Distribución de la inversión por fuente y año de ejecución, en millones de COP</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650"/>
        <w:gridCol w:w="2046"/>
        <w:gridCol w:w="1122"/>
        <w:gridCol w:w="1122"/>
        <w:gridCol w:w="1122"/>
        <w:gridCol w:w="858"/>
      </w:tblGrid>
      <w:tr>
        <w:trPr>
          <w:cantSplit/>
          <w:tblHeader/>
        </w:trPr>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Naturaleza</w:t>
            </w:r>
          </w:p>
        </w:tc>
        <w:tc>
          <w:tcPr>
            <w:shd w:val="clear" w:color="auto" w:fill="00B050"/>
          </w:tcPr>
          <w:p>
            <w:pPr>
              <w:pStyle w:val="Tabla9"/>
              <w:jc w:val="center"/>
            </w:pPr>
            <w:r>
              <w:rPr>
                <w:b/>
                <w:color w:val="FFFFFF"/>
              </w:rPr>
              <w:t xml:space="preserve">Año 1 (meses 1 a 12)</w:t>
            </w:r>
          </w:p>
        </w:tc>
        <w:tc>
          <w:tcPr>
            <w:shd w:val="clear" w:color="auto" w:fill="00B050"/>
          </w:tcPr>
          <w:p>
            <w:pPr>
              <w:pStyle w:val="Tabla9"/>
              <w:jc w:val="center"/>
            </w:pPr>
            <w:r>
              <w:rPr>
                <w:b/>
                <w:color w:val="FFFFFF"/>
              </w:rPr>
              <w:t xml:space="preserve">Año 2 (meses 13 a 24)</w:t>
            </w:r>
          </w:p>
        </w:tc>
        <w:tc>
          <w:tcPr>
            <w:shd w:val="clear" w:color="auto" w:fill="00B050"/>
          </w:tcPr>
          <w:p>
            <w:pPr>
              <w:pStyle w:val="Tabla9"/>
              <w:jc w:val="center"/>
            </w:pPr>
            <w:r>
              <w:rPr>
                <w:b/>
                <w:color w:val="FFFFFF"/>
              </w:rPr>
              <w:t xml:space="preserve">Total</w:t>
            </w:r>
          </w:p>
        </w:tc>
        <w:tc>
          <w:tcPr>
            <w:shd w:val="clear" w:color="auto" w:fill="00B050"/>
          </w:tcPr>
          <w:p>
            <w:pPr>
              <w:pStyle w:val="Tabla9"/>
              <w:jc w:val="center"/>
            </w:pPr>
            <w:r>
              <w:rPr>
                <w:b/>
                <w:color w:val="FFFFFF"/>
              </w:rPr>
              <w:t xml:space="preserve">% del total</w:t>
            </w:r>
          </w:p>
        </w:tc>
      </w:tr>
      <w:tr>
        <w:trPr>
          <w:cantSplit/>
        </w:trPr>
        <w:tc>
          <w:tcPr/>
          <w:p>
            <w:pPr>
              <w:pStyle w:val="Tabla9"/>
              <w:jc w:val="left"/>
            </w:pPr>
            <w:r>
              <w:t xml:space="preserve">SGR</w:t>
            </w:r>
          </w:p>
        </w:tc>
        <w:tc>
          <w:tcPr/>
          <w:p>
            <w:pPr>
              <w:pStyle w:val="Tabla9"/>
              <w:jc w:val="left"/>
            </w:pPr>
            <w:r>
              <w:t xml:space="preserve">CALCULADO</w:t>
            </w:r>
          </w:p>
        </w:tc>
        <w:tc>
          <w:tcPr/>
          <w:p>
            <w:pPr>
              <w:pStyle w:val="Tabla9"/>
              <w:jc w:val="left"/>
            </w:pPr>
            <w:r>
              <w:t xml:space="preserve">4.362,7</w:t>
            </w:r>
          </w:p>
        </w:tc>
        <w:tc>
          <w:tcPr/>
          <w:p>
            <w:pPr>
              <w:pStyle w:val="Tabla9"/>
              <w:jc w:val="left"/>
            </w:pPr>
            <w:r>
              <w:t xml:space="preserve">4.367,2</w:t>
            </w:r>
          </w:p>
        </w:tc>
        <w:tc>
          <w:tcPr/>
          <w:p>
            <w:pPr>
              <w:pStyle w:val="Tabla9"/>
              <w:jc w:val="left"/>
            </w:pPr>
            <w:r>
              <w:t xml:space="preserve">8.729,8</w:t>
            </w:r>
          </w:p>
        </w:tc>
        <w:tc>
          <w:tcPr/>
          <w:p>
            <w:pPr>
              <w:pStyle w:val="Tabla9"/>
              <w:jc w:val="left"/>
            </w:pPr>
            <w:r>
              <w:t xml:space="preserve">80,5</w:t>
            </w:r>
          </w:p>
        </w:tc>
      </w:tr>
      <w:tr>
        <w:trPr>
          <w:cantSplit/>
        </w:trPr>
        <w:tc>
          <w:tcPr/>
          <w:p>
            <w:pPr>
              <w:pStyle w:val="Tabla9"/>
              <w:jc w:val="left"/>
            </w:pPr>
            <w:r>
              <w:t xml:space="preserve">IES (especie)</w:t>
            </w:r>
          </w:p>
        </w:tc>
        <w:tc>
          <w:tcPr/>
          <w:p>
            <w:pPr>
              <w:pStyle w:val="Tabla9"/>
              <w:jc w:val="left"/>
            </w:pPr>
            <w:r>
              <w:t xml:space="preserve">DECLARADO; desglose PROPUESTO</w:t>
            </w:r>
          </w:p>
        </w:tc>
        <w:tc>
          <w:tcPr/>
          <w:p>
            <w:pPr>
              <w:pStyle w:val="Tabla9"/>
              <w:jc w:val="left"/>
            </w:pPr>
            <w:r>
              <w:t xml:space="preserve">550,0</w:t>
            </w:r>
          </w:p>
        </w:tc>
        <w:tc>
          <w:tcPr/>
          <w:p>
            <w:pPr>
              <w:pStyle w:val="Tabla9"/>
              <w:jc w:val="left"/>
            </w:pPr>
            <w:r>
              <w:t xml:space="preserve">550,0</w:t>
            </w:r>
          </w:p>
        </w:tc>
        <w:tc>
          <w:tcPr/>
          <w:p>
            <w:pPr>
              <w:pStyle w:val="Tabla9"/>
              <w:jc w:val="left"/>
            </w:pPr>
            <w:r>
              <w:t xml:space="preserve">1.100,0</w:t>
            </w:r>
          </w:p>
        </w:tc>
        <w:tc>
          <w:tcPr/>
          <w:p>
            <w:pPr>
              <w:pStyle w:val="Tabla9"/>
              <w:jc w:val="left"/>
            </w:pPr>
            <w:r>
              <w:t xml:space="preserve">10,1</w:t>
            </w:r>
          </w:p>
        </w:tc>
      </w:tr>
      <w:tr>
        <w:trPr>
          <w:cantSplit/>
        </w:trPr>
        <w:tc>
          <w:tcPr/>
          <w:p>
            <w:pPr>
              <w:pStyle w:val="Tabla9"/>
              <w:jc w:val="left"/>
            </w:pPr>
            <w:r>
              <w:t xml:space="preserve">Empresa tecnológica (efectivo)</w:t>
            </w:r>
          </w:p>
        </w:tc>
        <w:tc>
          <w:tcPr/>
          <w:p>
            <w:pPr>
              <w:pStyle w:val="Tabla9"/>
              <w:jc w:val="left"/>
            </w:pPr>
            <w:r>
              <w:t xml:space="preserve">DECLARADO</w:t>
            </w:r>
          </w:p>
        </w:tc>
        <w:tc>
          <w:tcPr/>
          <w:p>
            <w:pPr>
              <w:pStyle w:val="Tabla9"/>
              <w:jc w:val="left"/>
            </w:pPr>
            <w:r>
              <w:t xml:space="preserve">105,0</w:t>
            </w:r>
          </w:p>
        </w:tc>
        <w:tc>
          <w:tcPr/>
          <w:p>
            <w:pPr>
              <w:pStyle w:val="Tabla9"/>
              <w:jc w:val="left"/>
            </w:pPr>
            <w:r>
              <w:t xml:space="preserve">105,0</w:t>
            </w:r>
          </w:p>
        </w:tc>
        <w:tc>
          <w:tcPr/>
          <w:p>
            <w:pPr>
              <w:pStyle w:val="Tabla9"/>
              <w:jc w:val="left"/>
            </w:pPr>
            <w:r>
              <w:t xml:space="preserve">210,0</w:t>
            </w:r>
          </w:p>
        </w:tc>
        <w:tc>
          <w:tcPr/>
          <w:p>
            <w:pPr>
              <w:pStyle w:val="Tabla9"/>
              <w:jc w:val="left"/>
            </w:pPr>
            <w:r>
              <w:t xml:space="preserve">1,9</w:t>
            </w:r>
          </w:p>
        </w:tc>
      </w:tr>
      <w:tr>
        <w:trPr>
          <w:cantSplit/>
        </w:trPr>
        <w:tc>
          <w:tcPr/>
          <w:p>
            <w:pPr>
              <w:pStyle w:val="Tabla9"/>
              <w:jc w:val="left"/>
            </w:pPr>
            <w:r>
              <w:t xml:space="preserve">Empresa tecnológica (especie)</w:t>
            </w:r>
          </w:p>
        </w:tc>
        <w:tc>
          <w:tcPr/>
          <w:p>
            <w:pPr>
              <w:pStyle w:val="Tabla9"/>
              <w:jc w:val="left"/>
            </w:pPr>
            <w:r>
              <w:t xml:space="preserve">DECLARADO</w:t>
            </w:r>
          </w:p>
        </w:tc>
        <w:tc>
          <w:tcPr/>
          <w:p>
            <w:pPr>
              <w:pStyle w:val="Tabla9"/>
              <w:jc w:val="left"/>
            </w:pPr>
            <w:r>
              <w:t xml:space="preserve">400,0</w:t>
            </w:r>
          </w:p>
        </w:tc>
        <w:tc>
          <w:tcPr/>
          <w:p>
            <w:pPr>
              <w:pStyle w:val="Tabla9"/>
              <w:jc w:val="left"/>
            </w:pPr>
            <w:r>
              <w:t xml:space="preserve">400,0</w:t>
            </w:r>
          </w:p>
        </w:tc>
        <w:tc>
          <w:tcPr/>
          <w:p>
            <w:pPr>
              <w:pStyle w:val="Tabla9"/>
              <w:jc w:val="left"/>
            </w:pPr>
            <w:r>
              <w:t xml:space="preserve">800,0</w:t>
            </w:r>
          </w:p>
        </w:tc>
        <w:tc>
          <w:tcPr/>
          <w:p>
            <w:pPr>
              <w:pStyle w:val="Tabla9"/>
              <w:jc w:val="left"/>
            </w:pPr>
            <w:r>
              <w:t xml:space="preserve">7,4</w:t>
            </w:r>
          </w:p>
        </w:tc>
      </w:tr>
      <w:tr>
        <w:trPr>
          <w:cantSplit/>
        </w:trPr>
        <w:tc>
          <w:tcPr/>
          <w:p>
            <w:pPr>
              <w:pStyle w:val="Tabla9"/>
              <w:jc w:val="left"/>
            </w:pPr>
            <w:r>
              <w:t xml:space="preserve">Alcaldías</w:t>
            </w:r>
          </w:p>
        </w:tc>
        <w:tc>
          <w:tcPr/>
          <w:p>
            <w:pPr>
              <w:pStyle w:val="Tabla9"/>
              <w:jc w:val="left"/>
            </w:pPr>
            <w:r>
              <w:t xml:space="preserve">VACIO</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r>
      <w:tr>
        <w:trPr>
          <w:cantSplit/>
        </w:trPr>
        <w:tc>
          <w:tcPr/>
          <w:p>
            <w:pPr>
              <w:pStyle w:val="Tabla9"/>
              <w:jc w:val="left"/>
            </w:pPr>
            <w:r>
              <w:t xml:space="preserve">Total del proyecto</w:t>
            </w:r>
          </w:p>
        </w:tc>
        <w:tc>
          <w:tcPr/>
          <w:p>
            <w:pPr>
              <w:pStyle w:val="Tabla9"/>
              <w:jc w:val="left"/>
            </w:pPr>
            <w:r>
              <w:t xml:space="preserve">CALCULADO</w:t>
            </w:r>
          </w:p>
        </w:tc>
        <w:tc>
          <w:tcPr/>
          <w:p>
            <w:pPr>
              <w:pStyle w:val="Tabla9"/>
              <w:jc w:val="left"/>
            </w:pPr>
            <w:r>
              <w:t xml:space="preserve">5.417,7</w:t>
            </w:r>
          </w:p>
        </w:tc>
        <w:tc>
          <w:tcPr/>
          <w:p>
            <w:pPr>
              <w:pStyle w:val="Tabla9"/>
              <w:jc w:val="left"/>
            </w:pPr>
            <w:r>
              <w:t xml:space="preserve">5.422,2</w:t>
            </w:r>
          </w:p>
        </w:tc>
        <w:tc>
          <w:tcPr/>
          <w:p>
            <w:pPr>
              <w:pStyle w:val="Tabla9"/>
              <w:jc w:val="left"/>
            </w:pPr>
            <w:r>
              <w:t xml:space="preserve">10.839,8</w:t>
            </w:r>
          </w:p>
        </w:tc>
        <w:tc>
          <w:tcPr/>
          <w:p>
            <w:pPr>
              <w:pStyle w:val="Tabla9"/>
              <w:jc w:val="left"/>
            </w:pPr>
            <w:r>
              <w:t xml:space="preserve">100,0</w:t>
            </w:r>
          </w:p>
        </w:tc>
      </w:tr>
    </w:tbl>
    <w:p>
      <w:pPr>
        <w:pStyle w:val="TablaNota"/>
      </w:pPr>
      <w:r>
        <w:rPr>
          <w:i/>
          <w:iCs/>
        </w:rPr>
        <w:t xml:space="preserve">Nota.</w:t>
      </w:r>
      <w:r>
        <w:t xml:space="preserve"> </w:t>
      </w:r>
      <w:r>
        <w:t xml:space="preserve">Elaboración propia con datos de la ficha maestra y de maestro.py. La contrapartida se distribuye de forma uniforme en 24 meses. Las compras de nodos, cabezales y gateways siguen las fechas de cada tramo. Decimales con coma.</w:t>
      </w:r>
    </w:p>
    <w:p>
      <w:pPr>
        <w:pStyle w:val="BodyText"/>
      </w:pPr>
      <w:r>
        <w:t xml:space="preserve">El SGR se reparte casi por igual entre los dos años: $ 4.362,7 millones en el año 1 y $ 4.367,2 millones en el año 2. La contrapartida mantiene un ritmo uniforme y no concentra pagos. Esta regularidad reduce la presión sobre la caja. Sin embargo, la programación de desembolsos del SGR no se aportó (VACIO). Por esa razón el análisis trata el flujo como egreso programado y no como flujo de entrada.</w:t>
      </w:r>
    </w:p>
    <w:bookmarkEnd w:id="810"/>
    <w:bookmarkStart w:id="814" w:name="_Toc00900351"/>
    <w:p>
      <w:pPr>
        <w:pStyle w:val="Heading2"/>
      </w:pPr>
      <w:r>
        <w:t xml:space="preserve">X6.2 Análisis de costos</w:t>
      </w:r>
    </w:p>
    <w:p>
      <w:pPr>
        <w:pStyle w:val="FirstParagraph"/>
      </w:pPr>
      <w:r>
        <w:t xml:space="preserve">Los costos se clasifican por clase y por comportamiento con reglas propias (PROPUESTO). Un costo indirecto corresponde a la gestión y el control del proyecto en el paquete de trabajo WP0. Esa clase incluye la gerencia (P06) y la evaluación externa independiente (S07). También incluye la administración (O05). Los seguros se retiraron del presupuesto SGR porque la convocatoria los excluye. La importación de equipos (S11) se asigna a los costos directos, porque depende de las compras. La reserva de contingencia se presenta aparte. Un costo variable cambia con el número de nodos, gateways o sitios instalados. Los demás costos son fijos dentro del rango de 100 nodos y 10 gateways. La Tabla X6.2 y la Figura X6.1 muestran el resultado por rubro.</w:t>
      </w:r>
    </w:p>
    <w:p>
      <w:pPr>
        <w:pStyle w:val="TablaRotulo"/>
      </w:pPr>
      <w:bookmarkStart w:id="9443" w:name="rot_Tabla_X6_2"/>
      <w:r>
        <w:rPr>
          <w:b/>
          <w:bCs/>
        </w:rPr>
        <w:t xml:space="preserve">Tabla X6.2</w:t>
      </w:r>
      <w:bookmarkEnd w:id="9443"/>
    </w:p>
    <w:p>
      <w:pPr>
        <w:pStyle w:val="TablaTitulo"/>
      </w:pPr>
      <w:r>
        <w:rPr>
          <w:i/>
          <w:iCs/>
        </w:rPr>
        <w:t xml:space="preserve">Costos del SGR por rubro, clase y comportamiento, en millones de COP</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650"/>
        <w:gridCol w:w="1056"/>
        <w:gridCol w:w="1122"/>
        <w:gridCol w:w="1254"/>
        <w:gridCol w:w="1056"/>
        <w:gridCol w:w="990"/>
        <w:gridCol w:w="792"/>
      </w:tblGrid>
      <w:tr>
        <w:trPr>
          <w:cantSplit/>
          <w:tblHeader/>
        </w:trPr>
        <w:tc>
          <w:tcPr>
            <w:shd w:val="clear" w:color="auto" w:fill="00B050"/>
          </w:tcPr>
          <w:p>
            <w:pPr>
              <w:pStyle w:val="Tabla8"/>
              <w:jc w:val="center"/>
            </w:pPr>
            <w:r>
              <w:rPr>
                <w:b/>
                <w:color w:val="FFFFFF"/>
              </w:rPr>
              <w:t xml:space="preserve">Rubro</w:t>
            </w:r>
          </w:p>
        </w:tc>
        <w:tc>
          <w:tcPr>
            <w:shd w:val="clear" w:color="auto" w:fill="00B050"/>
          </w:tcPr>
          <w:p>
            <w:pPr>
              <w:pStyle w:val="Tabla8"/>
              <w:jc w:val="center"/>
            </w:pPr>
            <w:r>
              <w:rPr>
                <w:b/>
                <w:color w:val="FFFFFF"/>
              </w:rPr>
              <w:t xml:space="preserve">Directo fijo</w:t>
            </w:r>
          </w:p>
        </w:tc>
        <w:tc>
          <w:tcPr>
            <w:shd w:val="clear" w:color="auto" w:fill="00B050"/>
          </w:tcPr>
          <w:p>
            <w:pPr>
              <w:pStyle w:val="Tabla8"/>
              <w:jc w:val="center"/>
            </w:pPr>
            <w:r>
              <w:rPr>
                <w:b/>
                <w:color w:val="FFFFFF"/>
              </w:rPr>
              <w:t xml:space="preserve">Directo variable</w:t>
            </w:r>
          </w:p>
        </w:tc>
        <w:tc>
          <w:tcPr>
            <w:shd w:val="clear" w:color="auto" w:fill="00B050"/>
          </w:tcPr>
          <w:p>
            <w:pPr>
              <w:pStyle w:val="Tabla8"/>
              <w:jc w:val="center"/>
            </w:pPr>
            <w:r>
              <w:rPr>
                <w:b/>
                <w:color w:val="FFFFFF"/>
              </w:rPr>
              <w:t xml:space="preserve">Indirecto</w:t>
            </w:r>
          </w:p>
        </w:tc>
        <w:tc>
          <w:tcPr>
            <w:shd w:val="clear" w:color="auto" w:fill="00B050"/>
          </w:tcPr>
          <w:p>
            <w:pPr>
              <w:pStyle w:val="Tabla8"/>
              <w:jc w:val="center"/>
            </w:pPr>
            <w:r>
              <w:rPr>
                <w:b/>
                <w:color w:val="FFFFFF"/>
              </w:rPr>
              <w:t xml:space="preserve">Reserva</w:t>
            </w:r>
          </w:p>
        </w:tc>
        <w:tc>
          <w:tcPr>
            <w:shd w:val="clear" w:color="auto" w:fill="00B050"/>
          </w:tcPr>
          <w:p>
            <w:pPr>
              <w:pStyle w:val="Tabla8"/>
              <w:jc w:val="center"/>
            </w:pPr>
            <w:r>
              <w:rPr>
                <w:b/>
                <w:color w:val="FFFFFF"/>
              </w:rPr>
              <w:t xml:space="preserve">Total</w:t>
            </w:r>
          </w:p>
        </w:tc>
        <w:tc>
          <w:tcPr>
            <w:shd w:val="clear" w:color="auto" w:fill="00B050"/>
          </w:tcPr>
          <w:p>
            <w:pPr>
              <w:pStyle w:val="Tabla8"/>
              <w:jc w:val="center"/>
            </w:pPr>
            <w:r>
              <w:rPr>
                <w:b/>
                <w:color w:val="FFFFFF"/>
              </w:rPr>
              <w:t xml:space="preserve">% del SGR</w:t>
            </w:r>
          </w:p>
        </w:tc>
      </w:tr>
      <w:tr>
        <w:trPr>
          <w:cantSplit/>
        </w:trPr>
        <w:tc>
          <w:tcPr/>
          <w:p>
            <w:pPr>
              <w:pStyle w:val="Tabla8"/>
              <w:jc w:val="left"/>
            </w:pPr>
            <w:r>
              <w:t xml:space="preserve">Personal</w:t>
            </w:r>
          </w:p>
        </w:tc>
        <w:tc>
          <w:tcPr/>
          <w:p>
            <w:pPr>
              <w:pStyle w:val="Tabla8"/>
              <w:jc w:val="left"/>
            </w:pPr>
            <w:r>
              <w:t xml:space="preserve">4.142,9</w:t>
            </w:r>
          </w:p>
        </w:tc>
        <w:tc>
          <w:tcPr/>
          <w:p>
            <w:pPr>
              <w:pStyle w:val="Tabla8"/>
              <w:jc w:val="left"/>
            </w:pPr>
            <w:r>
              <w:t xml:space="preserve">0,0</w:t>
            </w:r>
          </w:p>
        </w:tc>
        <w:tc>
          <w:tcPr/>
          <w:p>
            <w:pPr>
              <w:pStyle w:val="Tabla8"/>
              <w:jc w:val="left"/>
            </w:pPr>
            <w:r>
              <w:t xml:space="preserve">240,0</w:t>
            </w:r>
          </w:p>
        </w:tc>
        <w:tc>
          <w:tcPr/>
          <w:p>
            <w:pPr>
              <w:pStyle w:val="Tabla8"/>
              <w:jc w:val="left"/>
            </w:pPr>
            <w:r>
              <w:t xml:space="preserve">0,0</w:t>
            </w:r>
          </w:p>
        </w:tc>
        <w:tc>
          <w:tcPr/>
          <w:p>
            <w:pPr>
              <w:pStyle w:val="Tabla8"/>
              <w:jc w:val="left"/>
            </w:pPr>
            <w:r>
              <w:t xml:space="preserve">4.382,9</w:t>
            </w:r>
          </w:p>
        </w:tc>
        <w:tc>
          <w:tcPr/>
          <w:p>
            <w:pPr>
              <w:pStyle w:val="Tabla8"/>
              <w:jc w:val="left"/>
            </w:pPr>
            <w:r>
              <w:t xml:space="preserve">50,2</w:t>
            </w:r>
          </w:p>
        </w:tc>
      </w:tr>
      <w:tr>
        <w:trPr>
          <w:cantSplit/>
        </w:trPr>
        <w:tc>
          <w:tcPr/>
          <w:p>
            <w:pPr>
              <w:pStyle w:val="Tabla8"/>
              <w:jc w:val="left"/>
            </w:pPr>
            <w:r>
              <w:t xml:space="preserve">Equipos y software</w:t>
            </w:r>
          </w:p>
        </w:tc>
        <w:tc>
          <w:tcPr/>
          <w:p>
            <w:pPr>
              <w:pStyle w:val="Tabla8"/>
              <w:jc w:val="left"/>
            </w:pPr>
            <w:r>
              <w:t xml:space="preserve">710,0</w:t>
            </w:r>
          </w:p>
        </w:tc>
        <w:tc>
          <w:tcPr/>
          <w:p>
            <w:pPr>
              <w:pStyle w:val="Tabla8"/>
              <w:jc w:val="left"/>
            </w:pPr>
            <w:r>
              <w:t xml:space="preserve">1.175,6</w:t>
            </w:r>
          </w:p>
        </w:tc>
        <w:tc>
          <w:tcPr/>
          <w:p>
            <w:pPr>
              <w:pStyle w:val="Tabla8"/>
              <w:jc w:val="left"/>
            </w:pPr>
            <w:r>
              <w:t xml:space="preserve">0,0</w:t>
            </w:r>
          </w:p>
        </w:tc>
        <w:tc>
          <w:tcPr/>
          <w:p>
            <w:pPr>
              <w:pStyle w:val="Tabla8"/>
              <w:jc w:val="left"/>
            </w:pPr>
            <w:r>
              <w:t xml:space="preserve">0,0</w:t>
            </w:r>
          </w:p>
        </w:tc>
        <w:tc>
          <w:tcPr/>
          <w:p>
            <w:pPr>
              <w:pStyle w:val="Tabla8"/>
              <w:jc w:val="left"/>
            </w:pPr>
            <w:r>
              <w:t xml:space="preserve">1.885,6</w:t>
            </w:r>
          </w:p>
        </w:tc>
        <w:tc>
          <w:tcPr/>
          <w:p>
            <w:pPr>
              <w:pStyle w:val="Tabla8"/>
              <w:jc w:val="left"/>
            </w:pPr>
            <w:r>
              <w:t xml:space="preserve">21,6</w:t>
            </w:r>
          </w:p>
        </w:tc>
      </w:tr>
      <w:tr>
        <w:trPr>
          <w:cantSplit/>
        </w:trPr>
        <w:tc>
          <w:tcPr/>
          <w:p>
            <w:pPr>
              <w:pStyle w:val="Tabla8"/>
              <w:jc w:val="left"/>
            </w:pPr>
            <w:r>
              <w:t xml:space="preserve">Materiales e insumos</w:t>
            </w:r>
          </w:p>
        </w:tc>
        <w:tc>
          <w:tcPr/>
          <w:p>
            <w:pPr>
              <w:pStyle w:val="Tabla8"/>
              <w:jc w:val="left"/>
            </w:pPr>
            <w:r>
              <w:t xml:space="preserve">140,9</w:t>
            </w:r>
          </w:p>
        </w:tc>
        <w:tc>
          <w:tcPr/>
          <w:p>
            <w:pPr>
              <w:pStyle w:val="Tabla8"/>
              <w:jc w:val="left"/>
            </w:pPr>
            <w:r>
              <w:t xml:space="preserve">102,0</w:t>
            </w:r>
          </w:p>
        </w:tc>
        <w:tc>
          <w:tcPr/>
          <w:p>
            <w:pPr>
              <w:pStyle w:val="Tabla8"/>
              <w:jc w:val="left"/>
            </w:pPr>
            <w:r>
              <w:t xml:space="preserve">0,0</w:t>
            </w:r>
          </w:p>
        </w:tc>
        <w:tc>
          <w:tcPr/>
          <w:p>
            <w:pPr>
              <w:pStyle w:val="Tabla8"/>
              <w:jc w:val="left"/>
            </w:pPr>
            <w:r>
              <w:t xml:space="preserve">0,0</w:t>
            </w:r>
          </w:p>
        </w:tc>
        <w:tc>
          <w:tcPr/>
          <w:p>
            <w:pPr>
              <w:pStyle w:val="Tabla8"/>
              <w:jc w:val="left"/>
            </w:pPr>
            <w:r>
              <w:t xml:space="preserve">242,9</w:t>
            </w:r>
          </w:p>
        </w:tc>
        <w:tc>
          <w:tcPr/>
          <w:p>
            <w:pPr>
              <w:pStyle w:val="Tabla8"/>
              <w:jc w:val="left"/>
            </w:pPr>
            <w:r>
              <w:t xml:space="preserve">2,8</w:t>
            </w:r>
          </w:p>
        </w:tc>
      </w:tr>
      <w:tr>
        <w:trPr>
          <w:cantSplit/>
        </w:trPr>
        <w:tc>
          <w:tcPr/>
          <w:p>
            <w:pPr>
              <w:pStyle w:val="Tabla8"/>
              <w:jc w:val="left"/>
            </w:pPr>
            <w:r>
              <w:t xml:space="preserve">Servicios técnicos</w:t>
            </w:r>
          </w:p>
        </w:tc>
        <w:tc>
          <w:tcPr/>
          <w:p>
            <w:pPr>
              <w:pStyle w:val="Tabla8"/>
              <w:jc w:val="left"/>
            </w:pPr>
            <w:r>
              <w:t xml:space="preserve">459,0</w:t>
            </w:r>
          </w:p>
        </w:tc>
        <w:tc>
          <w:tcPr/>
          <w:p>
            <w:pPr>
              <w:pStyle w:val="Tabla8"/>
              <w:jc w:val="left"/>
            </w:pPr>
            <w:r>
              <w:t xml:space="preserve">267,0</w:t>
            </w:r>
          </w:p>
        </w:tc>
        <w:tc>
          <w:tcPr/>
          <w:p>
            <w:pPr>
              <w:pStyle w:val="Tabla8"/>
              <w:jc w:val="left"/>
            </w:pPr>
            <w:r>
              <w:t xml:space="preserve">120,0</w:t>
            </w:r>
          </w:p>
        </w:tc>
        <w:tc>
          <w:tcPr/>
          <w:p>
            <w:pPr>
              <w:pStyle w:val="Tabla8"/>
              <w:jc w:val="left"/>
            </w:pPr>
            <w:r>
              <w:t xml:space="preserve">0,0</w:t>
            </w:r>
          </w:p>
        </w:tc>
        <w:tc>
          <w:tcPr/>
          <w:p>
            <w:pPr>
              <w:pStyle w:val="Tabla8"/>
              <w:jc w:val="left"/>
            </w:pPr>
            <w:r>
              <w:t xml:space="preserve">846,0</w:t>
            </w:r>
          </w:p>
        </w:tc>
        <w:tc>
          <w:tcPr/>
          <w:p>
            <w:pPr>
              <w:pStyle w:val="Tabla8"/>
              <w:jc w:val="left"/>
            </w:pPr>
            <w:r>
              <w:t xml:space="preserve">9,7</w:t>
            </w:r>
          </w:p>
        </w:tc>
      </w:tr>
      <w:tr>
        <w:trPr>
          <w:cantSplit/>
        </w:trPr>
        <w:tc>
          <w:tcPr/>
          <w:p>
            <w:pPr>
              <w:pStyle w:val="Tabla8"/>
              <w:jc w:val="left"/>
            </w:pPr>
            <w:r>
              <w:t xml:space="preserve">Viajes y viáticos</w:t>
            </w:r>
          </w:p>
        </w:tc>
        <w:tc>
          <w:tcPr/>
          <w:p>
            <w:pPr>
              <w:pStyle w:val="Tabla8"/>
              <w:jc w:val="left"/>
            </w:pPr>
            <w:r>
              <w:t xml:space="preserve">42,0</w:t>
            </w:r>
          </w:p>
        </w:tc>
        <w:tc>
          <w:tcPr/>
          <w:p>
            <w:pPr>
              <w:pStyle w:val="Tabla8"/>
              <w:jc w:val="left"/>
            </w:pPr>
            <w:r>
              <w:t xml:space="preserve">162,5</w:t>
            </w:r>
          </w:p>
        </w:tc>
        <w:tc>
          <w:tcPr/>
          <w:p>
            <w:pPr>
              <w:pStyle w:val="Tabla8"/>
              <w:jc w:val="left"/>
            </w:pPr>
            <w:r>
              <w:t xml:space="preserve">0,0</w:t>
            </w:r>
          </w:p>
        </w:tc>
        <w:tc>
          <w:tcPr/>
          <w:p>
            <w:pPr>
              <w:pStyle w:val="Tabla8"/>
              <w:jc w:val="left"/>
            </w:pPr>
            <w:r>
              <w:t xml:space="preserve">0,0</w:t>
            </w:r>
          </w:p>
        </w:tc>
        <w:tc>
          <w:tcPr/>
          <w:p>
            <w:pPr>
              <w:pStyle w:val="Tabla8"/>
              <w:jc w:val="left"/>
            </w:pPr>
            <w:r>
              <w:t xml:space="preserve">204,5</w:t>
            </w:r>
          </w:p>
        </w:tc>
        <w:tc>
          <w:tcPr/>
          <w:p>
            <w:pPr>
              <w:pStyle w:val="Tabla8"/>
              <w:jc w:val="left"/>
            </w:pPr>
            <w:r>
              <w:t xml:space="preserve">2,3</w:t>
            </w:r>
          </w:p>
        </w:tc>
      </w:tr>
      <w:tr>
        <w:trPr>
          <w:cantSplit/>
        </w:trPr>
        <w:tc>
          <w:tcPr/>
          <w:p>
            <w:pPr>
              <w:pStyle w:val="Tabla8"/>
              <w:jc w:val="left"/>
            </w:pPr>
            <w:r>
              <w:t xml:space="preserve">Otros rubros</w:t>
            </w:r>
          </w:p>
        </w:tc>
        <w:tc>
          <w:tcPr/>
          <w:p>
            <w:pPr>
              <w:pStyle w:val="Tabla8"/>
              <w:jc w:val="left"/>
            </w:pPr>
            <w:r>
              <w:t xml:space="preserve">172,0</w:t>
            </w:r>
          </w:p>
        </w:tc>
        <w:tc>
          <w:tcPr/>
          <w:p>
            <w:pPr>
              <w:pStyle w:val="Tabla8"/>
              <w:jc w:val="left"/>
            </w:pPr>
            <w:r>
              <w:t xml:space="preserve">0,0</w:t>
            </w:r>
          </w:p>
        </w:tc>
        <w:tc>
          <w:tcPr/>
          <w:p>
            <w:pPr>
              <w:pStyle w:val="Tabla8"/>
              <w:jc w:val="left"/>
            </w:pPr>
            <w:r>
              <w:t xml:space="preserve">360,0</w:t>
            </w:r>
          </w:p>
        </w:tc>
        <w:tc>
          <w:tcPr/>
          <w:p>
            <w:pPr>
              <w:pStyle w:val="Tabla8"/>
              <w:jc w:val="left"/>
            </w:pPr>
            <w:r>
              <w:t xml:space="preserve">0,0</w:t>
            </w:r>
          </w:p>
        </w:tc>
        <w:tc>
          <w:tcPr/>
          <w:p>
            <w:pPr>
              <w:pStyle w:val="Tabla8"/>
              <w:jc w:val="left"/>
            </w:pPr>
            <w:r>
              <w:t xml:space="preserve">532,0</w:t>
            </w:r>
          </w:p>
        </w:tc>
        <w:tc>
          <w:tcPr/>
          <w:p>
            <w:pPr>
              <w:pStyle w:val="Tabla8"/>
              <w:jc w:val="left"/>
            </w:pPr>
            <w:r>
              <w:t xml:space="preserve">6,1</w:t>
            </w:r>
          </w:p>
        </w:tc>
      </w:tr>
      <w:tr>
        <w:trPr>
          <w:cantSplit/>
        </w:trPr>
        <w:tc>
          <w:tcPr/>
          <w:p>
            <w:pPr>
              <w:pStyle w:val="Tabla8"/>
              <w:jc w:val="left"/>
            </w:pPr>
            <w:r>
              <w:t xml:space="preserve">Reserva de contingencia</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c>
          <w:tcPr/>
          <w:p>
            <w:pPr>
              <w:pStyle w:val="Tabla8"/>
              <w:jc w:val="left"/>
            </w:pPr>
            <w:r>
              <w:t xml:space="preserve">636,0</w:t>
            </w:r>
          </w:p>
        </w:tc>
        <w:tc>
          <w:tcPr/>
          <w:p>
            <w:pPr>
              <w:pStyle w:val="Tabla8"/>
              <w:jc w:val="left"/>
            </w:pPr>
            <w:r>
              <w:t xml:space="preserve">636,0</w:t>
            </w:r>
          </w:p>
        </w:tc>
        <w:tc>
          <w:tcPr/>
          <w:p>
            <w:pPr>
              <w:pStyle w:val="Tabla8"/>
              <w:jc w:val="left"/>
            </w:pPr>
            <w:r>
              <w:t xml:space="preserve">7,3</w:t>
            </w:r>
          </w:p>
        </w:tc>
      </w:tr>
      <w:tr>
        <w:trPr>
          <w:cantSplit/>
        </w:trPr>
        <w:tc>
          <w:tcPr/>
          <w:p>
            <w:pPr>
              <w:pStyle w:val="Tabla8"/>
              <w:jc w:val="left"/>
            </w:pPr>
            <w:r>
              <w:t xml:space="preserve">Total SGR</w:t>
            </w:r>
          </w:p>
        </w:tc>
        <w:tc>
          <w:tcPr/>
          <w:p>
            <w:pPr>
              <w:pStyle w:val="Tabla8"/>
              <w:jc w:val="left"/>
            </w:pPr>
            <w:r>
              <w:t xml:space="preserve">5.666,8</w:t>
            </w:r>
          </w:p>
        </w:tc>
        <w:tc>
          <w:tcPr/>
          <w:p>
            <w:pPr>
              <w:pStyle w:val="Tabla8"/>
              <w:jc w:val="left"/>
            </w:pPr>
            <w:r>
              <w:t xml:space="preserve">1.707,1</w:t>
            </w:r>
          </w:p>
        </w:tc>
        <w:tc>
          <w:tcPr/>
          <w:p>
            <w:pPr>
              <w:pStyle w:val="Tabla8"/>
              <w:jc w:val="left"/>
            </w:pPr>
            <w:r>
              <w:t xml:space="preserve">720,0</w:t>
            </w:r>
          </w:p>
        </w:tc>
        <w:tc>
          <w:tcPr/>
          <w:p>
            <w:pPr>
              <w:pStyle w:val="Tabla8"/>
              <w:jc w:val="left"/>
            </w:pPr>
            <w:r>
              <w:t xml:space="preserve">636,0</w:t>
            </w:r>
          </w:p>
        </w:tc>
        <w:tc>
          <w:tcPr/>
          <w:p>
            <w:pPr>
              <w:pStyle w:val="Tabla8"/>
              <w:jc w:val="left"/>
            </w:pPr>
            <w:r>
              <w:t xml:space="preserve">8.729,8</w:t>
            </w:r>
          </w:p>
        </w:tc>
        <w:tc>
          <w:tcPr/>
          <w:p>
            <w:pPr>
              <w:pStyle w:val="Tabla8"/>
              <w:jc w:val="left"/>
            </w:pPr>
            <w:r>
              <w:t xml:space="preserve">100,0</w:t>
            </w:r>
          </w:p>
        </w:tc>
      </w:tr>
      <w:tr>
        <w:trPr>
          <w:cantSplit/>
        </w:trPr>
        <w:tc>
          <w:tcPr/>
          <w:p>
            <w:pPr>
              <w:pStyle w:val="Tabla8"/>
              <w:jc w:val="left"/>
            </w:pPr>
            <w:r>
              <w:t xml:space="preserve">% del SGR</w:t>
            </w:r>
          </w:p>
        </w:tc>
        <w:tc>
          <w:tcPr/>
          <w:p>
            <w:pPr>
              <w:pStyle w:val="Tabla8"/>
              <w:jc w:val="left"/>
            </w:pPr>
            <w:r>
              <w:t xml:space="preserve">64,9</w:t>
            </w:r>
          </w:p>
        </w:tc>
        <w:tc>
          <w:tcPr/>
          <w:p>
            <w:pPr>
              <w:pStyle w:val="Tabla8"/>
              <w:jc w:val="left"/>
            </w:pPr>
            <w:r>
              <w:t xml:space="preserve">19,6</w:t>
            </w:r>
          </w:p>
        </w:tc>
        <w:tc>
          <w:tcPr/>
          <w:p>
            <w:pPr>
              <w:pStyle w:val="Tabla8"/>
              <w:jc w:val="left"/>
            </w:pPr>
            <w:r>
              <w:t xml:space="preserve">8,2</w:t>
            </w:r>
          </w:p>
        </w:tc>
        <w:tc>
          <w:tcPr/>
          <w:p>
            <w:pPr>
              <w:pStyle w:val="Tabla8"/>
              <w:jc w:val="left"/>
            </w:pPr>
            <w:r>
              <w:t xml:space="preserve">7,3</w:t>
            </w:r>
          </w:p>
        </w:tc>
        <w:tc>
          <w:tcPr/>
          <w:p>
            <w:pPr>
              <w:pStyle w:val="Tabla8"/>
              <w:jc w:val="left"/>
            </w:pPr>
            <w:r>
              <w:t xml:space="preserve">100,0</w:t>
            </w:r>
          </w:p>
        </w:tc>
        <w:tc>
          <w:tcPr/>
          <w:p>
            <w:pPr>
              <w:pStyle w:val="Tabla8"/>
              <w:jc w:val="left"/>
            </w:pPr>
            <w:r>
              <w:t xml:space="preserve">—</w:t>
            </w:r>
          </w:p>
        </w:tc>
      </w:tr>
    </w:tbl>
    <w:p>
      <w:pPr>
        <w:pStyle w:val="TablaNota"/>
      </w:pPr>
      <w:r>
        <w:rPr>
          <w:i/>
          <w:iCs/>
        </w:rPr>
        <w:t xml:space="preserve">Nota.</w:t>
      </w:r>
      <w:r>
        <w:t xml:space="preserve"> </w:t>
      </w:r>
      <w:r>
        <w:t xml:space="preserve">Elaboración propia con datos de maestro.py. Clasificación PROPUESTA: indirectos P06, S07 y O05; variables E01, E02, E04, E05, E06, E12, M03, M07, S05, S10, S11 y V01 a V03. Naturaleza: CALCULADO. Decimales con coma.</w:t>
      </w:r>
    </w:p>
    <w:p>
      <w:pPr>
        <w:pStyle w:val="FiguraRotulo"/>
      </w:pPr>
      <w:bookmarkStart w:id="9565" w:name="rot_Figura_X6_1"/>
      <w:r>
        <w:rPr>
          <w:b/>
          <w:bCs/>
        </w:rPr>
        <w:t xml:space="preserve">Figura X6.1</w:t>
      </w:r>
      <w:bookmarkEnd w:id="9565"/>
    </w:p>
    <w:p>
      <w:pPr>
        <w:pStyle w:val="FiguraTitulo"/>
      </w:pPr>
      <w:r>
        <w:rPr>
          <w:i/>
          <w:iCs/>
        </w:rPr>
        <w:t xml:space="preserve">El personal y los equipos suman casi siete de cada diez pesos solicitados al SGR</w:t>
      </w:r>
    </w:p>
    <w:p>
      <w:pPr>
        <w:pStyle w:val="BodyText"/>
      </w:pPr>
      <w:r>
        <w:drawing>
          <wp:inline>
            <wp:extent cx="5579999" cy="3451730"/>
            <wp:effectExtent b="0" l="0" r="0" t="0"/>
            <wp:docPr descr="" title="" id="812" name="Picture"/>
            <a:graphic>
              <a:graphicData uri="http://schemas.openxmlformats.org/drawingml/2006/picture">
                <pic:pic>
                  <pic:nvPicPr>
                    <pic:cNvPr descr="/tmp/claude-0/-home-user-docs/ddf38714-2a7e-502b-92b4-1008e2832422/scratchpad/proy/figs/out/cX6_f01.png" id="813" name="Picture"/>
                    <pic:cNvPicPr>
                      <a:picLocks noChangeArrowheads="1" noChangeAspect="1"/>
                    </pic:cNvPicPr>
                  </pic:nvPicPr>
                  <pic:blipFill>
                    <a:blip r:embed="rId811"/>
                    <a:stretch>
                      <a:fillRect/>
                    </a:stretch>
                  </pic:blipFill>
                  <pic:spPr bwMode="auto">
                    <a:xfrm>
                      <a:off x="0" y="0"/>
                      <a:ext cx="5579999" cy="34517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(huella SHA-256 del maestro 685a73f4). Clasificación directo, indirecto y reserva PROPUESTA. Python 3 y matplotlib; script cX6_figs.py; sin semilla; corte del 13 de octubre de 2026.</w:t>
      </w:r>
    </w:p>
    <w:p>
      <w:pPr>
        <w:pStyle w:val="BodyText"/>
      </w:pPr>
      <w:r>
        <w:t xml:space="preserve">Los costos directos suman $ 7.373,8 millones, que equivalen a 84,5 % del SGR. Los indirectos suman $ 720,0 millones (8,2 %). La reserva aporta 7,3 %. Los costos fijos alcanzan $ 6.386,8 millones (73,2 %) y los variables $ 1.707,1 millones (19,6 %). Esta estructura indica que el costo de la red depende sobre todo del equipo humano y de la plataforma. El número de nodos explica una fracción menor del gasto.</w:t>
      </w:r>
    </w:p>
    <w:p>
      <w:pPr>
        <w:pStyle w:val="BodyText"/>
      </w:pPr>
      <w:r>
        <w:t xml:space="preserve">Tres rubros concentran la justificación. El personal suma $ 4.382,9 millones en 14 líneas. Cinco líneas son DECLARADAS por el expediente E3 ($ 1.528,8 millones) y nueve son PROPUESTAS ($ 2.854,1 millones). Las propuestas añaden metrología, software, firmware, técnicos departamentales, análisis espacial y calidad del aire. Los equipos y el software suman $ 1.885,6 millones. Allí figuran 120 nodos, 150 cabezales, 3 monitores gravimétricos de referencia, 11 gateways y la nube reservada. Los servicios técnicos suman $ 846,0 millones. Incluyen análisis gravimétrico acreditado, evaluación externa, ensayo con laboratorio externo y formación de custodios.</w:t>
      </w:r>
    </w:p>
    <w:p>
      <w:pPr>
        <w:pStyle w:val="BodyText"/>
      </w:pPr>
      <w:r>
        <w:t xml:space="preserve">En conjunto, $ 3.542,7 millones del SGR (40,6 %) son DECLARADOS y $ 4.551,1 millones (52,1 %) son PROPUESTOS. La reserva de $ 636,0 millones es CALCULADA. Casi la mitad del valor solicitado requiere ratificación de los TdR y de los aportantes. Los equipos físicos E01 a E09 suman $ 1.626,0 millones (18,6 % del SGR). Esa base queda expuesta al tipo de cambio (R-FIN-01).</w:t>
      </w:r>
    </w:p>
    <w:bookmarkEnd w:id="814"/>
    <w:bookmarkStart w:id="815" w:name="X3e76c9c6173290a0cf1df6b59b07541cb65610e"/>
    <w:p>
      <w:pPr>
        <w:pStyle w:val="Heading2"/>
      </w:pPr>
      <w:r>
        <w:t xml:space="preserve">X6.3 Costos unitarios y costo por output y por outcome</w:t>
      </w:r>
    </w:p>
    <w:p>
      <w:pPr>
        <w:pStyle w:val="FirstParagraph"/>
      </w:pPr>
      <w:r>
        <w:t xml:space="preserve">El motor de costo-efectividad MCE36 exige declarar el costo por output y por outcome. También prohíbe convertir el costo por beneficiario en impacto. El proyecto aún no mide ningún outcome. Por eso los costos por outcome de la Tabla X6.3 son costos esperados frente a la meta y no costos observados. El análisis de costo-efectividad requiere una medida de efecto validada (Gertler et al., 2016). Un nodo-año operado equivale a 52 semanas-nodo de operación. La operación se cuenta desde el fin de la instalación de cada tramo. Las semanas 24, 62 y 82 de la red del método de la ruta crítica (CPM) marcan ese fin. El resultado es de 4.740 semanas-nodo, o 91,2 nodos-año.</w:t>
      </w:r>
    </w:p>
    <w:p>
      <w:pPr>
        <w:pStyle w:val="TablaRotulo"/>
      </w:pPr>
      <w:bookmarkStart w:id="9444" w:name="rot_Tabla_X6_3"/>
      <w:r>
        <w:rPr>
          <w:b/>
          <w:bCs/>
        </w:rPr>
        <w:t xml:space="preserve">Tabla X6.3</w:t>
      </w:r>
      <w:bookmarkEnd w:id="9444"/>
    </w:p>
    <w:p>
      <w:pPr>
        <w:pStyle w:val="TablaTitulo"/>
      </w:pPr>
      <w:r>
        <w:rPr>
          <w:i/>
          <w:iCs/>
        </w:rPr>
        <w:t xml:space="preserve">Costos unitarios y costos por output y por outcome esperado, en millones de COP salvo indicación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06"/>
        <w:gridCol w:w="2244"/>
        <w:gridCol w:w="1122"/>
        <w:gridCol w:w="1848"/>
      </w:tblGrid>
      <w:tr>
        <w:trPr>
          <w:cantSplit/>
          <w:tblHeader/>
        </w:trPr>
        <w:tc>
          <w:tcPr>
            <w:shd w:val="clear" w:color="auto" w:fill="00B050"/>
          </w:tcPr>
          <w:p>
            <w:pPr>
              <w:pStyle w:val="Tabla9"/>
              <w:jc w:val="center"/>
            </w:pPr>
            <w:r>
              <w:rPr>
                <w:b/>
                <w:color w:val="FFFFFF"/>
              </w:rPr>
              <w:t xml:space="preserve">Indicador de costo</w:t>
            </w:r>
          </w:p>
        </w:tc>
        <w:tc>
          <w:tcPr>
            <w:shd w:val="clear" w:color="auto" w:fill="00B050"/>
          </w:tcPr>
          <w:p>
            <w:pPr>
              <w:pStyle w:val="Tabla9"/>
              <w:jc w:val="center"/>
            </w:pPr>
            <w:r>
              <w:rPr>
                <w:b/>
                <w:color w:val="FFFFFF"/>
              </w:rPr>
              <w:t xml:space="preserve">Base de cálculo</w:t>
            </w:r>
          </w:p>
        </w:tc>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Costo por nodo operativo (SGR)</w:t>
            </w:r>
          </w:p>
        </w:tc>
        <w:tc>
          <w:tcPr/>
          <w:p>
            <w:pPr>
              <w:pStyle w:val="Tabla9"/>
              <w:jc w:val="left"/>
            </w:pPr>
            <w:r>
              <w:t xml:space="preserve">SGR ÷ 100 nodos</w:t>
            </w:r>
          </w:p>
        </w:tc>
        <w:tc>
          <w:tcPr/>
          <w:p>
            <w:pPr>
              <w:pStyle w:val="Tabla9"/>
              <w:jc w:val="left"/>
            </w:pPr>
            <w:r>
              <w:t xml:space="preserve">87,3</w:t>
            </w:r>
          </w:p>
        </w:tc>
        <w:tc>
          <w:tcPr/>
          <w:p>
            <w:pPr>
              <w:pStyle w:val="Tabla9"/>
              <w:jc w:val="left"/>
            </w:pPr>
            <w:r>
              <w:t xml:space="preserve">CALCULADO</w:t>
            </w:r>
          </w:p>
        </w:tc>
      </w:tr>
      <w:tr>
        <w:trPr>
          <w:cantSplit/>
        </w:trPr>
        <w:tc>
          <w:tcPr/>
          <w:p>
            <w:pPr>
              <w:pStyle w:val="Tabla9"/>
              <w:jc w:val="left"/>
            </w:pPr>
            <w:r>
              <w:t xml:space="preserve">Costo por nodo operativo (total del proyecto)</w:t>
            </w:r>
          </w:p>
        </w:tc>
        <w:tc>
          <w:tcPr/>
          <w:p>
            <w:pPr>
              <w:pStyle w:val="Tabla9"/>
              <w:jc w:val="left"/>
            </w:pPr>
            <w:r>
              <w:t xml:space="preserve">Total ÷ 100 nodos</w:t>
            </w:r>
          </w:p>
        </w:tc>
        <w:tc>
          <w:tcPr/>
          <w:p>
            <w:pPr>
              <w:pStyle w:val="Tabla9"/>
              <w:jc w:val="left"/>
            </w:pPr>
            <w:r>
              <w:t xml:space="preserve">108,4</w:t>
            </w:r>
          </w:p>
        </w:tc>
        <w:tc>
          <w:tcPr/>
          <w:p>
            <w:pPr>
              <w:pStyle w:val="Tabla9"/>
              <w:jc w:val="left"/>
            </w:pPr>
            <w:r>
              <w:t xml:space="preserve">CALCULADO</w:t>
            </w:r>
          </w:p>
        </w:tc>
      </w:tr>
      <w:tr>
        <w:trPr>
          <w:cantSplit/>
        </w:trPr>
        <w:tc>
          <w:tcPr/>
          <w:p>
            <w:pPr>
              <w:pStyle w:val="Tabla9"/>
              <w:jc w:val="left"/>
            </w:pPr>
            <w:r>
              <w:t xml:space="preserve">Costo por gateway operativo (SGR)</w:t>
            </w:r>
          </w:p>
        </w:tc>
        <w:tc>
          <w:tcPr/>
          <w:p>
            <w:pPr>
              <w:pStyle w:val="Tabla9"/>
              <w:jc w:val="left"/>
            </w:pPr>
            <w:r>
              <w:t xml:space="preserve">SGR ÷ 10 gateways</w:t>
            </w:r>
          </w:p>
        </w:tc>
        <w:tc>
          <w:tcPr/>
          <w:p>
            <w:pPr>
              <w:pStyle w:val="Tabla9"/>
              <w:jc w:val="left"/>
            </w:pPr>
            <w:r>
              <w:t xml:space="preserve">873,0</w:t>
            </w:r>
          </w:p>
        </w:tc>
        <w:tc>
          <w:tcPr/>
          <w:p>
            <w:pPr>
              <w:pStyle w:val="Tabla9"/>
              <w:jc w:val="left"/>
            </w:pPr>
            <w:r>
              <w:t xml:space="preserve">CALCULADO</w:t>
            </w:r>
          </w:p>
        </w:tc>
      </w:tr>
      <w:tr>
        <w:trPr>
          <w:cantSplit/>
        </w:trPr>
        <w:tc>
          <w:tcPr/>
          <w:p>
            <w:pPr>
              <w:pStyle w:val="Tabla9"/>
              <w:jc w:val="left"/>
            </w:pPr>
            <w:r>
              <w:t xml:space="preserve">Costo por gateway operativo (total del proyecto)</w:t>
            </w:r>
          </w:p>
        </w:tc>
        <w:tc>
          <w:tcPr/>
          <w:p>
            <w:pPr>
              <w:pStyle w:val="Tabla9"/>
              <w:jc w:val="left"/>
            </w:pPr>
            <w:r>
              <w:t xml:space="preserve">Total ÷ 10 gateways</w:t>
            </w:r>
          </w:p>
        </w:tc>
        <w:tc>
          <w:tcPr/>
          <w:p>
            <w:pPr>
              <w:pStyle w:val="Tabla9"/>
              <w:jc w:val="left"/>
            </w:pPr>
            <w:r>
              <w:t xml:space="preserve">1.084,0</w:t>
            </w:r>
          </w:p>
        </w:tc>
        <w:tc>
          <w:tcPr/>
          <w:p>
            <w:pPr>
              <w:pStyle w:val="Tabla9"/>
              <w:jc w:val="left"/>
            </w:pPr>
            <w:r>
              <w:t xml:space="preserve">CALCULADO</w:t>
            </w:r>
          </w:p>
        </w:tc>
      </w:tr>
      <w:tr>
        <w:trPr>
          <w:cantSplit/>
        </w:trPr>
        <w:tc>
          <w:tcPr/>
          <w:p>
            <w:pPr>
              <w:pStyle w:val="Tabla9"/>
              <w:jc w:val="left"/>
            </w:pPr>
            <w:r>
              <w:t xml:space="preserve">Costo por nodo-año operado (SGR)</w:t>
            </w:r>
          </w:p>
        </w:tc>
        <w:tc>
          <w:tcPr/>
          <w:p>
            <w:pPr>
              <w:pStyle w:val="Tabla9"/>
              <w:jc w:val="left"/>
            </w:pPr>
            <w:r>
              <w:t xml:space="preserve">SGR ÷ 91,2 nodos-año</w:t>
            </w:r>
          </w:p>
        </w:tc>
        <w:tc>
          <w:tcPr/>
          <w:p>
            <w:pPr>
              <w:pStyle w:val="Tabla9"/>
              <w:jc w:val="left"/>
            </w:pPr>
            <w:r>
              <w:t xml:space="preserve">95,8</w:t>
            </w:r>
          </w:p>
        </w:tc>
        <w:tc>
          <w:tcPr/>
          <w:p>
            <w:pPr>
              <w:pStyle w:val="Tabla9"/>
              <w:jc w:val="left"/>
            </w:pPr>
            <w:r>
              <w:t xml:space="preserve">CALCULADO</w:t>
            </w:r>
          </w:p>
        </w:tc>
      </w:tr>
      <w:tr>
        <w:trPr>
          <w:cantSplit/>
        </w:trPr>
        <w:tc>
          <w:tcPr/>
          <w:p>
            <w:pPr>
              <w:pStyle w:val="Tabla9"/>
              <w:jc w:val="left"/>
            </w:pPr>
            <w:r>
              <w:t xml:space="preserve">Costo por nodo-año operado (total del proyecto)</w:t>
            </w:r>
          </w:p>
        </w:tc>
        <w:tc>
          <w:tcPr/>
          <w:p>
            <w:pPr>
              <w:pStyle w:val="Tabla9"/>
              <w:jc w:val="left"/>
            </w:pPr>
            <w:r>
              <w:t xml:space="preserve">Total ÷ 91,2 nodos-año</w:t>
            </w:r>
          </w:p>
        </w:tc>
        <w:tc>
          <w:tcPr/>
          <w:p>
            <w:pPr>
              <w:pStyle w:val="Tabla9"/>
              <w:jc w:val="left"/>
            </w:pPr>
            <w:r>
              <w:t xml:space="preserve">118,9</w:t>
            </w:r>
          </w:p>
        </w:tc>
        <w:tc>
          <w:tcPr/>
          <w:p>
            <w:pPr>
              <w:pStyle w:val="Tabla9"/>
              <w:jc w:val="left"/>
            </w:pPr>
            <w:r>
              <w:t xml:space="preserve">CALCULADO</w:t>
            </w:r>
          </w:p>
        </w:tc>
      </w:tr>
      <w:tr>
        <w:trPr>
          <w:cantSplit/>
        </w:trPr>
        <w:tc>
          <w:tcPr/>
          <w:p>
            <w:pPr>
              <w:pStyle w:val="Tabla9"/>
              <w:jc w:val="left"/>
            </w:pPr>
            <w:r>
              <w:t xml:space="preserve">Costo marginal de un nodo adicional</w:t>
            </w:r>
          </w:p>
        </w:tc>
        <w:tc>
          <w:tcPr/>
          <w:p>
            <w:pPr>
              <w:pStyle w:val="Tabla9"/>
              <w:jc w:val="left"/>
            </w:pPr>
            <w:r>
              <w:t xml:space="preserve">Equipo, instalación y fracción de gateway y conectividad</w:t>
            </w:r>
          </w:p>
        </w:tc>
        <w:tc>
          <w:tcPr/>
          <w:p>
            <w:pPr>
              <w:pStyle w:val="Tabla9"/>
              <w:jc w:val="left"/>
            </w:pPr>
            <w:r>
              <w:t xml:space="preserve">12,3</w:t>
            </w:r>
          </w:p>
        </w:tc>
        <w:tc>
          <w:tcPr/>
          <w:p>
            <w:pPr>
              <w:pStyle w:val="Tabla9"/>
              <w:jc w:val="left"/>
            </w:pPr>
            <w:r>
              <w:t xml:space="preserve">PROPUESTO</w:t>
            </w:r>
          </w:p>
        </w:tc>
      </w:tr>
      <w:tr>
        <w:trPr>
          <w:cantSplit/>
        </w:trPr>
        <w:tc>
          <w:tcPr/>
          <w:p>
            <w:pPr>
              <w:pStyle w:val="Tabla9"/>
              <w:jc w:val="left"/>
            </w:pPr>
            <w:r>
              <w:t xml:space="preserve">Costo por output PERS-R02: ciclo de calibración</w:t>
            </w:r>
          </w:p>
        </w:tc>
        <w:tc>
          <w:tcPr/>
          <w:p>
            <w:pPr>
              <w:pStyle w:val="Tabla9"/>
              <w:jc w:val="left"/>
            </w:pPr>
            <w:r>
              <w:t xml:space="preserve">WP1 ÷ 6 ciclos</w:t>
            </w:r>
          </w:p>
        </w:tc>
        <w:tc>
          <w:tcPr/>
          <w:p>
            <w:pPr>
              <w:pStyle w:val="Tabla9"/>
              <w:jc w:val="left"/>
            </w:pPr>
            <w:r>
              <w:t xml:space="preserve">288,7</w:t>
            </w:r>
          </w:p>
        </w:tc>
        <w:tc>
          <w:tcPr/>
          <w:p>
            <w:pPr>
              <w:pStyle w:val="Tabla9"/>
              <w:jc w:val="left"/>
            </w:pPr>
            <w:r>
              <w:t xml:space="preserve">CALCULADO</w:t>
            </w:r>
          </w:p>
        </w:tc>
      </w:tr>
      <w:tr>
        <w:trPr>
          <w:cantSplit/>
        </w:trPr>
        <w:tc>
          <w:tcPr/>
          <w:p>
            <w:pPr>
              <w:pStyle w:val="Tabla9"/>
              <w:jc w:val="left"/>
            </w:pPr>
            <w:r>
              <w:t xml:space="preserve">Costo máximo por output PERS-R05: hora-nodo válida</w:t>
            </w:r>
          </w:p>
        </w:tc>
        <w:tc>
          <w:tcPr/>
          <w:p>
            <w:pPr>
              <w:pStyle w:val="Tabla9"/>
              <w:jc w:val="left"/>
            </w:pPr>
            <w:r>
              <w:t xml:space="preserve">WP1 ÷ 60.000 horas-nodo (en COP)</w:t>
            </w:r>
          </w:p>
        </w:tc>
        <w:tc>
          <w:tcPr/>
          <w:p>
            <w:pPr>
              <w:pStyle w:val="Tabla9"/>
              <w:jc w:val="left"/>
            </w:pPr>
            <w:r>
              <w:t xml:space="preserve">28.871</w:t>
            </w:r>
          </w:p>
        </w:tc>
        <w:tc>
          <w:tcPr/>
          <w:p>
            <w:pPr>
              <w:pStyle w:val="Tabla9"/>
              <w:jc w:val="left"/>
            </w:pPr>
            <w:r>
              <w:t xml:space="preserve">CALCULADO</w:t>
            </w:r>
          </w:p>
        </w:tc>
      </w:tr>
      <w:tr>
        <w:trPr>
          <w:cantSplit/>
        </w:trPr>
        <w:tc>
          <w:tcPr/>
          <w:p>
            <w:pPr>
              <w:pStyle w:val="Tabla9"/>
              <w:jc w:val="left"/>
            </w:pPr>
            <w:r>
              <w:t xml:space="preserve">Costo por output PERS-P04: actividad de apropiación</w:t>
            </w:r>
          </w:p>
        </w:tc>
        <w:tc>
          <w:tcPr/>
          <w:p>
            <w:pPr>
              <w:pStyle w:val="Tabla9"/>
              <w:jc w:val="left"/>
            </w:pPr>
            <w:r>
              <w:t xml:space="preserve">WP3 ÷ 29 actividades</w:t>
            </w:r>
          </w:p>
        </w:tc>
        <w:tc>
          <w:tcPr/>
          <w:p>
            <w:pPr>
              <w:pStyle w:val="Tabla9"/>
              <w:jc w:val="left"/>
            </w:pPr>
            <w:r>
              <w:t xml:space="preserve">47,6</w:t>
            </w:r>
          </w:p>
        </w:tc>
        <w:tc>
          <w:tcPr/>
          <w:p>
            <w:pPr>
              <w:pStyle w:val="Tabla9"/>
              <w:jc w:val="left"/>
            </w:pPr>
            <w:r>
              <w:t xml:space="preserve">CALCULADO</w:t>
            </w:r>
          </w:p>
        </w:tc>
      </w:tr>
      <w:tr>
        <w:trPr>
          <w:cantSplit/>
        </w:trPr>
        <w:tc>
          <w:tcPr/>
          <w:p>
            <w:pPr>
              <w:pStyle w:val="Tabla9"/>
              <w:jc w:val="left"/>
            </w:pPr>
            <w:r>
              <w:t xml:space="preserve">Costo esperado por outcome PERS-E03: persona certificada</w:t>
            </w:r>
          </w:p>
        </w:tc>
        <w:tc>
          <w:tcPr/>
          <w:p>
            <w:pPr>
              <w:pStyle w:val="Tabla9"/>
              <w:jc w:val="left"/>
            </w:pPr>
            <w:r>
              <w:t xml:space="preserve">S09 ÷ 60 personas</w:t>
            </w:r>
          </w:p>
        </w:tc>
        <w:tc>
          <w:tcPr/>
          <w:p>
            <w:pPr>
              <w:pStyle w:val="Tabla9"/>
              <w:jc w:val="left"/>
            </w:pPr>
            <w:r>
              <w:t xml:space="preserve">2,5</w:t>
            </w:r>
          </w:p>
        </w:tc>
        <w:tc>
          <w:tcPr/>
          <w:p>
            <w:pPr>
              <w:pStyle w:val="Tabla9"/>
              <w:jc w:val="left"/>
            </w:pPr>
            <w:r>
              <w:t xml:space="preserve">CALCULADO</w:t>
            </w:r>
          </w:p>
        </w:tc>
      </w:tr>
      <w:tr>
        <w:trPr>
          <w:cantSplit/>
        </w:trPr>
        <w:tc>
          <w:tcPr/>
          <w:p>
            <w:pPr>
              <w:pStyle w:val="Tabla9"/>
              <w:jc w:val="left"/>
            </w:pPr>
            <w:r>
              <w:t xml:space="preserve">Costo esperado por outcome PERS-E01: comité que usa el tablero</w:t>
            </w:r>
          </w:p>
        </w:tc>
        <w:tc>
          <w:tcPr/>
          <w:p>
            <w:pPr>
              <w:pStyle w:val="Tabla9"/>
              <w:jc w:val="left"/>
            </w:pPr>
            <w:r>
              <w:t xml:space="preserve">WP3 ÷ 12 comités</w:t>
            </w:r>
          </w:p>
        </w:tc>
        <w:tc>
          <w:tcPr/>
          <w:p>
            <w:pPr>
              <w:pStyle w:val="Tabla9"/>
              <w:jc w:val="left"/>
            </w:pPr>
            <w:r>
              <w:t xml:space="preserve">115,1</w:t>
            </w:r>
          </w:p>
        </w:tc>
        <w:tc>
          <w:tcPr/>
          <w:p>
            <w:pPr>
              <w:pStyle w:val="Tabla9"/>
              <w:jc w:val="left"/>
            </w:pPr>
            <w:r>
              <w:t xml:space="preserve">CALCULADO</w:t>
            </w:r>
          </w:p>
        </w:tc>
      </w:tr>
      <w:tr>
        <w:trPr>
          <w:cantSplit/>
        </w:trPr>
        <w:tc>
          <w:tcPr/>
          <w:p>
            <w:pPr>
              <w:pStyle w:val="Tabla9"/>
              <w:jc w:val="left"/>
            </w:pPr>
            <w:r>
              <w:t xml:space="preserve">Costo por beneficiario directo (SUPUESTO)</w:t>
            </w:r>
          </w:p>
        </w:tc>
        <w:tc>
          <w:tcPr/>
          <w:p>
            <w:pPr>
              <w:pStyle w:val="Tabla9"/>
              <w:jc w:val="left"/>
            </w:pPr>
            <w:r>
              <w:t xml:space="preserve">Total ÷ 150 funcionarios</w:t>
            </w:r>
          </w:p>
        </w:tc>
        <w:tc>
          <w:tcPr/>
          <w:p>
            <w:pPr>
              <w:pStyle w:val="Tabla9"/>
              <w:jc w:val="left"/>
            </w:pPr>
            <w:r>
              <w:t xml:space="preserve">72,3</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maestro.py e indicadores.py. WP1 = 1.732,3 y WP3 = 1.381,5 millones, sin gestión ni reserva. Los costos por outcome son costos esperados frente a la meta, no observados. Los costos por gateway y por nodo no son aditivos. Decimales con coma.</w:t>
      </w:r>
    </w:p>
    <w:p>
      <w:pPr>
        <w:pStyle w:val="BodyText"/>
      </w:pPr>
      <w:r>
        <w:t xml:space="preserve">Cada nodo operativo cuesta $ 108,4 millones en el total del proyecto y $ 87,3 millones en el SGR. La cifra incluye personal, plataforma y custodia, no solo equipo. El costo marginal de un nodo adicional es de $ 12,3 millones (PROPUESTO). Equivale a 11,4 % del costo medio. La diferencia confirma la estructura de costos fijos. Ampliar la red cuesta menos por nodo que construirla, siempre que el personal y los custodios absorban la ampliación. Esa capacidad no se estima (VACIO).</w:t>
      </w:r>
    </w:p>
    <w:p>
      <w:pPr>
        <w:pStyle w:val="BodyText"/>
      </w:pPr>
      <w:r>
        <w:t xml:space="preserve">Los costos por output y por outcome esperado completan el cuadro. Un ciclo de calibración cuesta $ 288,7 millones. Una persona certificada en custodia cuesta $ 2,5 millones y un comité que use el tablero cuesta $ 115,1 millones, ambos en términos esperados. La hora-nodo válida cuesta como máximo 28.871 COP, porque la meta de 60.000 horas es un mínimo. El costo por beneficiario directo de $ 72,3 millones usa 150 funcionarios (SUPUESTO) y no mide impacto.</w:t>
      </w:r>
    </w:p>
    <w:bookmarkEnd w:id="815"/>
    <w:bookmarkStart w:id="819" w:name="_Toc00900352"/>
    <w:p>
      <w:pPr>
        <w:pStyle w:val="Heading2"/>
      </w:pPr>
      <w:r>
        <w:t xml:space="preserve">X6.4 Comparación con las alternativas</w:t>
      </w:r>
    </w:p>
    <w:p>
      <w:pPr>
        <w:pStyle w:val="FirstParagraph"/>
      </w:pPr>
      <w:r>
        <w:t xml:space="preserve">El análisis multicriterio del paso 6 evaluó cuatro alternativas. Los puntajes ponderados son 4,48 para ALT-00, 4,33 para ALT-01, 5,15 para ALT-02 y 5,81 para ALT-03. Los puntajes son PROPUESTOS y están sujetos a ratificación del panel evaluador. Este documento compara además el costo unitario de la capa de medición por punto. La Tabla X6.4 y la Figura X6.2 aplican reglas idénticas a las cuatro alternativas.</w:t>
      </w:r>
    </w:p>
    <w:p>
      <w:pPr>
        <w:pStyle w:val="BodyText"/>
      </w:pPr>
      <w:r>
        <w:t xml:space="preserve">El nodo instalado cuesta $ 6,7 millones. Esa cifra suma el nodo (E01), el kit solar (E05), el cerramiento (M03) y la instalación (S05). La energía y el enlace se costean con un gateway por cada 10 nodos. ALT-03 añade el módulo satelital. La verificación divide entre 100 puntos el costo de los 3 monitores de referencia, del análisis gravimétrico y de los filtros. ALT-03 suma además el banco de calibración y el ensayo con laboratorio externo, porque sus compuertas exigen umbrales verificados. La verificación frente a una referencia es la base de la corrección de sensores de bajo costo (Giordano et al., 2021).</w:t>
      </w:r>
    </w:p>
    <w:p>
      <w:pPr>
        <w:pStyle w:val="BodyText"/>
      </w:pPr>
      <w:r>
        <w:t xml:space="preserve">El costo de ALT-01 es un valor de referencia PROPUESTO, porque no existe cotización de estaciones fijas en los sitios de remoción (VACIO). El cálculo suma el monitor de referencia (E03, $ 85,0 millones) y su instalación (S05, $ 1,2 millones). Añade un gateway como energía y enlace (E04, $ 28,0 millones). El resultado es de $ 114,2 millones por punto.</w:t>
      </w:r>
    </w:p>
    <w:p>
      <w:pPr>
        <w:pStyle w:val="TablaRotulo"/>
      </w:pPr>
      <w:bookmarkStart w:id="9445" w:name="rot_Tabla_X6_4"/>
      <w:r>
        <w:rPr>
          <w:b/>
          <w:bCs/>
        </w:rPr>
        <w:t xml:space="preserve">Tabla X6.4</w:t>
      </w:r>
      <w:bookmarkEnd w:id="9445"/>
    </w:p>
    <w:p>
      <w:pPr>
        <w:pStyle w:val="TablaTitulo"/>
      </w:pPr>
      <w:r>
        <w:rPr>
          <w:i/>
          <w:iCs/>
        </w:rPr>
        <w:t xml:space="preserve">Costo unitario de la capa de medición por punto en las alternativas ALT-00 a ALT-03, en millones de COP</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98"/>
        <w:gridCol w:w="931"/>
        <w:gridCol w:w="665"/>
        <w:gridCol w:w="1064"/>
        <w:gridCol w:w="598"/>
        <w:gridCol w:w="732"/>
        <w:gridCol w:w="665"/>
        <w:gridCol w:w="1131"/>
        <w:gridCol w:w="1131"/>
      </w:tblGrid>
      <w:tr>
        <w:trPr>
          <w:cantSplit/>
          <w:tblHeader/>
        </w:trPr>
        <w:tc>
          <w:tcPr>
            <w:shd w:val="clear" w:color="auto" w:fill="00B050"/>
          </w:tcPr>
          <w:p>
            <w:pPr>
              <w:pStyle w:val="Tabla8"/>
              <w:jc w:val="center"/>
            </w:pPr>
            <w:r>
              <w:rPr>
                <w:b/>
                <w:color w:val="FFFFFF"/>
              </w:rPr>
              <w:t xml:space="preserve">Alternativa</w:t>
            </w:r>
          </w:p>
        </w:tc>
        <w:tc>
          <w:tcPr>
            <w:shd w:val="clear" w:color="auto" w:fill="00B050"/>
          </w:tcPr>
          <w:p>
            <w:pPr>
              <w:pStyle w:val="Tabla8"/>
              <w:jc w:val="center"/>
            </w:pPr>
            <w:r>
              <w:rPr>
                <w:b/>
                <w:color w:val="FFFFFF"/>
              </w:rPr>
              <w:t xml:space="preserve">Equipo e instalación</w:t>
            </w:r>
          </w:p>
        </w:tc>
        <w:tc>
          <w:tcPr>
            <w:shd w:val="clear" w:color="auto" w:fill="00B050"/>
          </w:tcPr>
          <w:p>
            <w:pPr>
              <w:pStyle w:val="Tabla8"/>
              <w:jc w:val="center"/>
            </w:pPr>
            <w:r>
              <w:rPr>
                <w:b/>
                <w:color w:val="FFFFFF"/>
              </w:rPr>
              <w:t xml:space="preserve">Energía y enlace</w:t>
            </w:r>
          </w:p>
        </w:tc>
        <w:tc>
          <w:tcPr>
            <w:shd w:val="clear" w:color="auto" w:fill="00B050"/>
          </w:tcPr>
          <w:p>
            <w:pPr>
              <w:pStyle w:val="Tabla8"/>
              <w:jc w:val="center"/>
            </w:pPr>
            <w:r>
              <w:rPr>
                <w:b/>
                <w:color w:val="FFFFFF"/>
              </w:rPr>
              <w:t xml:space="preserve">Verificación</w:t>
            </w:r>
          </w:p>
        </w:tc>
        <w:tc>
          <w:tcPr>
            <w:shd w:val="clear" w:color="auto" w:fill="00B050"/>
          </w:tcPr>
          <w:p>
            <w:pPr>
              <w:pStyle w:val="Tabla8"/>
              <w:jc w:val="center"/>
            </w:pPr>
            <w:r>
              <w:rPr>
                <w:b/>
                <w:color w:val="FFFFFF"/>
              </w:rPr>
              <w:t xml:space="preserve">Total por punto</w:t>
            </w:r>
          </w:p>
        </w:tc>
        <w:tc>
          <w:tcPr>
            <w:shd w:val="clear" w:color="auto" w:fill="00B050"/>
          </w:tcPr>
          <w:p>
            <w:pPr>
              <w:pStyle w:val="Tabla8"/>
              <w:jc w:val="center"/>
            </w:pPr>
            <w:r>
              <w:rPr>
                <w:b/>
                <w:color w:val="FFFFFF"/>
              </w:rPr>
              <w:t xml:space="preserve">Costo de 100 puntos</w:t>
            </w:r>
          </w:p>
        </w:tc>
        <w:tc>
          <w:tcPr>
            <w:shd w:val="clear" w:color="auto" w:fill="00B050"/>
          </w:tcPr>
          <w:p>
            <w:pPr>
              <w:pStyle w:val="Tabla8"/>
              <w:jc w:val="center"/>
            </w:pPr>
            <w:r>
              <w:rPr>
                <w:b/>
                <w:color w:val="FFFFFF"/>
              </w:rPr>
              <w:t xml:space="preserve">Razón frente a ALT-03</w:t>
            </w:r>
          </w:p>
        </w:tc>
        <w:tc>
          <w:tcPr>
            <w:shd w:val="clear" w:color="auto" w:fill="00B050"/>
          </w:tcPr>
          <w:p>
            <w:pPr>
              <w:pStyle w:val="Tabla8"/>
              <w:jc w:val="center"/>
            </w:pPr>
            <w:r>
              <w:rPr>
                <w:b/>
                <w:color w:val="FFFFFF"/>
              </w:rPr>
              <w:t xml:space="preserve">Puntaje multicriterio</w:t>
            </w:r>
          </w:p>
        </w:tc>
        <w:tc>
          <w:tcPr>
            <w:shd w:val="clear" w:color="auto" w:fill="00B050"/>
          </w:tcPr>
          <w:p>
            <w:pPr>
              <w:pStyle w:val="Tabla8"/>
              <w:jc w:val="center"/>
            </w:pPr>
            <w:r>
              <w:rPr>
                <w:b/>
                <w:color w:val="FFFFFF"/>
              </w:rPr>
              <w:t xml:space="preserve">Naturaleza</w:t>
            </w:r>
          </w:p>
        </w:tc>
      </w:tr>
      <w:tr>
        <w:trPr>
          <w:cantSplit/>
        </w:trPr>
        <w:tc>
          <w:tcPr/>
          <w:p>
            <w:pPr>
              <w:pStyle w:val="Tabla8"/>
              <w:jc w:val="left"/>
            </w:pPr>
            <w:r>
              <w:t xml:space="preserve">ALT-00: Statu quo</w:t>
            </w:r>
          </w:p>
        </w:tc>
        <w:tc>
          <w:tcPr/>
          <w:p>
            <w:pPr>
              <w:pStyle w:val="Tabla8"/>
              <w:jc w:val="left"/>
            </w:pPr>
            <w:r>
              <w:t xml:space="preserve">6,70</w:t>
            </w:r>
          </w:p>
        </w:tc>
        <w:tc>
          <w:tcPr/>
          <w:p>
            <w:pPr>
              <w:pStyle w:val="Tabla8"/>
              <w:jc w:val="left"/>
            </w:pPr>
            <w:r>
              <w:t xml:space="preserve">0,00</w:t>
            </w:r>
          </w:p>
        </w:tc>
        <w:tc>
          <w:tcPr/>
          <w:p>
            <w:pPr>
              <w:pStyle w:val="Tabla8"/>
              <w:jc w:val="left"/>
            </w:pPr>
            <w:r>
              <w:t xml:space="preserve">0,00</w:t>
            </w:r>
          </w:p>
        </w:tc>
        <w:tc>
          <w:tcPr/>
          <w:p>
            <w:pPr>
              <w:pStyle w:val="Tabla8"/>
              <w:jc w:val="left"/>
            </w:pPr>
            <w:r>
              <w:t xml:space="preserve">6,70</w:t>
            </w:r>
          </w:p>
        </w:tc>
        <w:tc>
          <w:tcPr/>
          <w:p>
            <w:pPr>
              <w:pStyle w:val="Tabla8"/>
              <w:jc w:val="left"/>
            </w:pPr>
            <w:r>
              <w:t xml:space="preserve">670,0</w:t>
            </w:r>
          </w:p>
        </w:tc>
        <w:tc>
          <w:tcPr/>
          <w:p>
            <w:pPr>
              <w:pStyle w:val="Tabla8"/>
              <w:jc w:val="left"/>
            </w:pPr>
            <w:r>
              <w:t xml:space="preserve">0,42</w:t>
            </w:r>
          </w:p>
        </w:tc>
        <w:tc>
          <w:tcPr/>
          <w:p>
            <w:pPr>
              <w:pStyle w:val="Tabla8"/>
              <w:jc w:val="left"/>
            </w:pPr>
            <w:r>
              <w:t xml:space="preserve">4,48</w:t>
            </w:r>
          </w:p>
        </w:tc>
        <w:tc>
          <w:tcPr/>
          <w:p>
            <w:pPr>
              <w:pStyle w:val="Tabla8"/>
              <w:jc w:val="left"/>
            </w:pPr>
            <w:r>
              <w:t xml:space="preserve">CALCULADO</w:t>
            </w:r>
          </w:p>
        </w:tc>
      </w:tr>
      <w:tr>
        <w:trPr>
          <w:cantSplit/>
        </w:trPr>
        <w:tc>
          <w:tcPr/>
          <w:p>
            <w:pPr>
              <w:pStyle w:val="Tabla8"/>
              <w:jc w:val="left"/>
            </w:pPr>
            <w:r>
              <w:t xml:space="preserve">ALT-01: Estaciones fijas de referencia</w:t>
            </w:r>
          </w:p>
        </w:tc>
        <w:tc>
          <w:tcPr/>
          <w:p>
            <w:pPr>
              <w:pStyle w:val="Tabla8"/>
              <w:jc w:val="left"/>
            </w:pPr>
            <w:r>
              <w:t xml:space="preserve">86,20</w:t>
            </w:r>
          </w:p>
        </w:tc>
        <w:tc>
          <w:tcPr/>
          <w:p>
            <w:pPr>
              <w:pStyle w:val="Tabla8"/>
              <w:jc w:val="left"/>
            </w:pPr>
            <w:r>
              <w:t xml:space="preserve">28,00</w:t>
            </w:r>
          </w:p>
        </w:tc>
        <w:tc>
          <w:tcPr/>
          <w:p>
            <w:pPr>
              <w:pStyle w:val="Tabla8"/>
              <w:jc w:val="left"/>
            </w:pPr>
            <w:r>
              <w:t xml:space="preserve">0,00</w:t>
            </w:r>
          </w:p>
        </w:tc>
        <w:tc>
          <w:tcPr/>
          <w:p>
            <w:pPr>
              <w:pStyle w:val="Tabla8"/>
              <w:jc w:val="left"/>
            </w:pPr>
            <w:r>
              <w:t xml:space="preserve">114,20</w:t>
            </w:r>
          </w:p>
        </w:tc>
        <w:tc>
          <w:tcPr/>
          <w:p>
            <w:pPr>
              <w:pStyle w:val="Tabla8"/>
              <w:jc w:val="left"/>
            </w:pPr>
            <w:r>
              <w:t xml:space="preserve">11.420,0</w:t>
            </w:r>
          </w:p>
        </w:tc>
        <w:tc>
          <w:tcPr/>
          <w:p>
            <w:pPr>
              <w:pStyle w:val="Tabla8"/>
              <w:jc w:val="left"/>
            </w:pPr>
            <w:r>
              <w:t xml:space="preserve">7,18</w:t>
            </w:r>
          </w:p>
        </w:tc>
        <w:tc>
          <w:tcPr/>
          <w:p>
            <w:pPr>
              <w:pStyle w:val="Tabla8"/>
              <w:jc w:val="left"/>
            </w:pPr>
            <w:r>
              <w:t xml:space="preserve">4,33</w:t>
            </w:r>
          </w:p>
        </w:tc>
        <w:tc>
          <w:tcPr/>
          <w:p>
            <w:pPr>
              <w:pStyle w:val="Tabla8"/>
              <w:jc w:val="left"/>
            </w:pPr>
            <w:r>
              <w:t xml:space="preserve">PROPUESTO</w:t>
            </w:r>
          </w:p>
        </w:tc>
      </w:tr>
      <w:tr>
        <w:trPr>
          <w:cantSplit/>
        </w:trPr>
        <w:tc>
          <w:tcPr/>
          <w:p>
            <w:pPr>
              <w:pStyle w:val="Tabla8"/>
              <w:jc w:val="left"/>
            </w:pPr>
            <w:r>
              <w:t xml:space="preserve">ALT-02: Calibración centralizada en la nube</w:t>
            </w:r>
          </w:p>
        </w:tc>
        <w:tc>
          <w:tcPr/>
          <w:p>
            <w:pPr>
              <w:pStyle w:val="Tabla8"/>
              <w:jc w:val="left"/>
            </w:pPr>
            <w:r>
              <w:t xml:space="preserve">6,70</w:t>
            </w:r>
          </w:p>
        </w:tc>
        <w:tc>
          <w:tcPr/>
          <w:p>
            <w:pPr>
              <w:pStyle w:val="Tabla8"/>
              <w:jc w:val="left"/>
            </w:pPr>
            <w:r>
              <w:t xml:space="preserve">2,92</w:t>
            </w:r>
          </w:p>
        </w:tc>
        <w:tc>
          <w:tcPr/>
          <w:p>
            <w:pPr>
              <w:pStyle w:val="Tabla8"/>
              <w:jc w:val="left"/>
            </w:pPr>
            <w:r>
              <w:t xml:space="preserve">3,53</w:t>
            </w:r>
          </w:p>
        </w:tc>
        <w:tc>
          <w:tcPr/>
          <w:p>
            <w:pPr>
              <w:pStyle w:val="Tabla8"/>
              <w:jc w:val="left"/>
            </w:pPr>
            <w:r>
              <w:t xml:space="preserve">13,15</w:t>
            </w:r>
          </w:p>
        </w:tc>
        <w:tc>
          <w:tcPr/>
          <w:p>
            <w:pPr>
              <w:pStyle w:val="Tabla8"/>
              <w:jc w:val="left"/>
            </w:pPr>
            <w:r>
              <w:t xml:space="preserve">1.315,4</w:t>
            </w:r>
          </w:p>
        </w:tc>
        <w:tc>
          <w:tcPr/>
          <w:p>
            <w:pPr>
              <w:pStyle w:val="Tabla8"/>
              <w:jc w:val="left"/>
            </w:pPr>
            <w:r>
              <w:t xml:space="preserve">0,83</w:t>
            </w:r>
          </w:p>
        </w:tc>
        <w:tc>
          <w:tcPr/>
          <w:p>
            <w:pPr>
              <w:pStyle w:val="Tabla8"/>
              <w:jc w:val="left"/>
            </w:pPr>
            <w:r>
              <w:t xml:space="preserve">5,15</w:t>
            </w:r>
          </w:p>
        </w:tc>
        <w:tc>
          <w:tcPr/>
          <w:p>
            <w:pPr>
              <w:pStyle w:val="Tabla8"/>
              <w:jc w:val="left"/>
            </w:pPr>
            <w:r>
              <w:t xml:space="preserve">PROPUESTO</w:t>
            </w:r>
          </w:p>
        </w:tc>
      </w:tr>
      <w:tr>
        <w:trPr>
          <w:cantSplit/>
        </w:trPr>
        <w:tc>
          <w:tcPr/>
          <w:p>
            <w:pPr>
              <w:pStyle w:val="Tabla8"/>
              <w:jc w:val="left"/>
            </w:pPr>
            <w:r>
              <w:t xml:space="preserve">ALT-03: Híbrida por tramos</w:t>
            </w:r>
          </w:p>
        </w:tc>
        <w:tc>
          <w:tcPr/>
          <w:p>
            <w:pPr>
              <w:pStyle w:val="Tabla8"/>
              <w:jc w:val="left"/>
            </w:pPr>
            <w:r>
              <w:t xml:space="preserve">6,70</w:t>
            </w:r>
          </w:p>
        </w:tc>
        <w:tc>
          <w:tcPr/>
          <w:p>
            <w:pPr>
              <w:pStyle w:val="Tabla8"/>
              <w:jc w:val="left"/>
            </w:pPr>
            <w:r>
              <w:t xml:space="preserve">3,27</w:t>
            </w:r>
          </w:p>
        </w:tc>
        <w:tc>
          <w:tcPr/>
          <w:p>
            <w:pPr>
              <w:pStyle w:val="Tabla8"/>
              <w:jc w:val="left"/>
            </w:pPr>
            <w:r>
              <w:t xml:space="preserve">5,93</w:t>
            </w:r>
          </w:p>
        </w:tc>
        <w:tc>
          <w:tcPr/>
          <w:p>
            <w:pPr>
              <w:pStyle w:val="Tabla8"/>
              <w:jc w:val="left"/>
            </w:pPr>
            <w:r>
              <w:t xml:space="preserve">15,90</w:t>
            </w:r>
          </w:p>
        </w:tc>
        <w:tc>
          <w:tcPr/>
          <w:p>
            <w:pPr>
              <w:pStyle w:val="Tabla8"/>
              <w:jc w:val="left"/>
            </w:pPr>
            <w:r>
              <w:t xml:space="preserve">1.590,4</w:t>
            </w:r>
          </w:p>
        </w:tc>
        <w:tc>
          <w:tcPr/>
          <w:p>
            <w:pPr>
              <w:pStyle w:val="Tabla8"/>
              <w:jc w:val="left"/>
            </w:pPr>
            <w:r>
              <w:t xml:space="preserve">1,00</w:t>
            </w:r>
          </w:p>
        </w:tc>
        <w:tc>
          <w:tcPr/>
          <w:p>
            <w:pPr>
              <w:pStyle w:val="Tabla8"/>
              <w:jc w:val="left"/>
            </w:pPr>
            <w:r>
              <w:t xml:space="preserve">5,81</w:t>
            </w:r>
          </w:p>
        </w:tc>
        <w:tc>
          <w:tcPr/>
          <w:p>
            <w:pPr>
              <w:pStyle w:val="Tabla8"/>
              <w:jc w:val="left"/>
            </w:pPr>
            <w:r>
              <w:t xml:space="preserve">CALCULADO</w:t>
            </w:r>
          </w:p>
        </w:tc>
      </w:tr>
    </w:tbl>
    <w:p>
      <w:pPr>
        <w:pStyle w:val="TablaNota"/>
      </w:pPr>
      <w:r>
        <w:rPr>
          <w:i/>
          <w:iCs/>
        </w:rPr>
        <w:t xml:space="preserve">Nota.</w:t>
      </w:r>
      <w:r>
        <w:t xml:space="preserve"> </w:t>
      </w:r>
      <w:r>
        <w:t xml:space="preserve">Elaboración propia con datos de maestro.py y alternativas.py. El costo de ALT-01 es un valor de referencia PROPUESTO: monitor de referencia (E03) más instalación (S05) más gateway como energía y enlace (E04). El presupuesto de ALT-03 incluye 20 nodos y un gateway de reserva: 17,28 por punto. Los puntajes son PROPUESTOS y están sujetos a ratificación. Decimales con coma.</w:t>
      </w:r>
    </w:p>
    <w:p>
      <w:pPr>
        <w:pStyle w:val="FiguraRotulo"/>
      </w:pPr>
      <w:bookmarkStart w:id="9566" w:name="rot_Figura_X6_2"/>
      <w:r>
        <w:rPr>
          <w:b/>
          <w:bCs/>
        </w:rPr>
        <w:t xml:space="preserve">Figura X6.2</w:t>
      </w:r>
      <w:bookmarkEnd w:id="9566"/>
    </w:p>
    <w:p>
      <w:pPr>
        <w:pStyle w:val="FiguraTitulo"/>
      </w:pPr>
      <w:r>
        <w:rPr>
          <w:i/>
          <w:iCs/>
        </w:rPr>
        <w:t xml:space="preserve">La estación fija de referencia cuesta 7,2 veces el costo por punto de la red híbrida</w:t>
      </w:r>
    </w:p>
    <w:p>
      <w:pPr>
        <w:pStyle w:val="BodyText"/>
      </w:pPr>
      <w:r>
        <w:drawing>
          <wp:inline>
            <wp:extent cx="5579999" cy="2730356"/>
            <wp:effectExtent b="0" l="0" r="0" t="0"/>
            <wp:docPr descr="" title="" id="817" name="Picture"/>
            <a:graphic>
              <a:graphicData uri="http://schemas.openxmlformats.org/drawingml/2006/picture">
                <pic:pic>
                  <pic:nvPicPr>
                    <pic:cNvPr descr="/tmp/claude-0/-home-user-docs/ddf38714-2a7e-502b-92b4-1008e2832422/scratchpad/proy/figs/out/cX6_f02.png" id="818" name="Picture"/>
                    <pic:cNvPicPr>
                      <a:picLocks noChangeArrowheads="1" noChangeAspect="1"/>
                    </pic:cNvPicPr>
                  </pic:nvPicPr>
                  <pic:blipFill>
                    <a:blip r:embed="rId816"/>
                    <a:stretch>
                      <a:fillRect/>
                    </a:stretch>
                  </pic:blipFill>
                  <pic:spPr bwMode="auto">
                    <a:xfrm>
                      <a:off x="0" y="0"/>
                      <a:ext cx="5579999" cy="273035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y alternativas.py. Los costos de ALT-01 y ALT-02 son valores de referencia PROPUESTOS. Python 3 y matplotlib; script cX6_figs.py; sin semilla; corte del 13 de octubre de 2026.</w:t>
      </w:r>
    </w:p>
    <w:p>
      <w:pPr>
        <w:pStyle w:val="BodyText"/>
      </w:pPr>
      <w:r>
        <w:t xml:space="preserve">ALT-03 cuesta $ 15,9 millones por punto, 2,4 veces el costo de ALT-00. ALT-00 presenta el menor costo, pero entrega lecturas de calidad desconocida. Su costo por punto verificado no existe. ALT-02 cuesta 83 % de ALT-03 y deja la corrección en la nube. ALT-01 cuesta 7,2 veces ALT-03 por punto. Con el rubro de equipos y software de $ 1.885,6 millones, ALT-01 financiaría 16 estaciones y no 100 puntos. El presupuesto de ALT-03 incluye 20 nodos y un gateway de reserva y eleva el costo a $ 17,3 millones por punto. El costo es solo uno de los criterios: la viabilidad financiera pesa 12 % en el análisis multicriterio.</w:t>
      </w:r>
    </w:p>
    <w:bookmarkEnd w:id="819"/>
    <w:bookmarkStart w:id="820" w:name="Xf14c79def039af4275dab36b4df861e78ba0a22"/>
    <w:p>
      <w:pPr>
        <w:pStyle w:val="Heading2"/>
      </w:pPr>
      <w:r>
        <w:t xml:space="preserve">X6.5 Costo-beneficio e indicadores de rentabilidad</w:t>
      </w:r>
    </w:p>
    <w:p>
      <w:pPr>
        <w:pStyle w:val="FirstParagraph"/>
      </w:pPr>
      <w:r>
        <w:t xml:space="preserve">El proyecto no genera ingresos propios durante la ejecución ni después. Su modelo es de valor público: la financiación cubre la ejecución y la custodia posterior depende de convenios. Por esa razón cinco indicadores son NO_APLICA. Son el valor presente neto (VPN) y la tasa interna de retorno (TIR). Son también el período de recuperación, el retorno sobre la inversión y el punto de equilibrio. Calcularlos exige flujos de ingreso o beneficios monetizados que ninguna fuente aporta (Boardman et al., 2018). La razón costo-beneficio es NO_CALCULABLE. El proyecto no promete efectos en salud y no valora en pesos la reducción de falsas alarmas. La Tabla X6.5 resume el estado de cada indicador.</w:t>
      </w:r>
    </w:p>
    <w:p>
      <w:pPr>
        <w:pStyle w:val="TablaRotulo"/>
      </w:pPr>
      <w:bookmarkStart w:id="9446" w:name="rot_Tabla_X6_5"/>
      <w:r>
        <w:rPr>
          <w:b/>
          <w:bCs/>
        </w:rPr>
        <w:t xml:space="preserve">Tabla X6.5</w:t>
      </w:r>
      <w:bookmarkEnd w:id="9446"/>
    </w:p>
    <w:p>
      <w:pPr>
        <w:pStyle w:val="TablaTitulo"/>
      </w:pPr>
      <w:r>
        <w:rPr>
          <w:i/>
          <w:iCs/>
        </w:rPr>
        <w:t xml:space="preserve">Estado de los indicadores de rentabilidad y de costo-beneficio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28"/>
        <w:gridCol w:w="2529"/>
        <w:gridCol w:w="2662"/>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Razón</w:t>
            </w:r>
          </w:p>
        </w:tc>
      </w:tr>
      <w:tr>
        <w:trPr>
          <w:cantSplit/>
        </w:trPr>
        <w:tc>
          <w:tcPr/>
          <w:p>
            <w:pPr>
              <w:pStyle w:val="Tabla9"/>
              <w:jc w:val="left"/>
            </w:pPr>
            <w:r>
              <w:t xml:space="preserve">Valor presente neto (VPN)</w:t>
            </w:r>
          </w:p>
        </w:tc>
        <w:tc>
          <w:tcPr/>
          <w:p>
            <w:pPr>
              <w:pStyle w:val="Tabla9"/>
              <w:jc w:val="left"/>
            </w:pPr>
            <w:r>
              <w:t xml:space="preserve">NO_APLICA</w:t>
            </w:r>
          </w:p>
        </w:tc>
        <w:tc>
          <w:tcPr/>
          <w:p>
            <w:pPr>
              <w:pStyle w:val="Tabla9"/>
              <w:jc w:val="left"/>
            </w:pPr>
            <w:r>
              <w:t xml:space="preserve">El proyecto no genera ingresos propios</w:t>
            </w:r>
          </w:p>
        </w:tc>
      </w:tr>
      <w:tr>
        <w:trPr>
          <w:cantSplit/>
        </w:trPr>
        <w:tc>
          <w:tcPr/>
          <w:p>
            <w:pPr>
              <w:pStyle w:val="Tabla9"/>
              <w:jc w:val="left"/>
            </w:pPr>
            <w:r>
              <w:t xml:space="preserve">Tasa interna de retorno (TIR)</w:t>
            </w:r>
          </w:p>
        </w:tc>
        <w:tc>
          <w:tcPr/>
          <w:p>
            <w:pPr>
              <w:pStyle w:val="Tabla9"/>
              <w:jc w:val="left"/>
            </w:pPr>
            <w:r>
              <w:t xml:space="preserve">NO_APLICA</w:t>
            </w:r>
          </w:p>
        </w:tc>
        <w:tc>
          <w:tcPr/>
          <w:p>
            <w:pPr>
              <w:pStyle w:val="Tabla9"/>
              <w:jc w:val="left"/>
            </w:pPr>
            <w:r>
              <w:t xml:space="preserve">Sin flujos de ingreso no existe tasa que anule el VPN</w:t>
            </w:r>
          </w:p>
        </w:tc>
      </w:tr>
      <w:tr>
        <w:trPr>
          <w:cantSplit/>
        </w:trPr>
        <w:tc>
          <w:tcPr/>
          <w:p>
            <w:pPr>
              <w:pStyle w:val="Tabla9"/>
              <w:jc w:val="left"/>
            </w:pPr>
            <w:r>
              <w:t xml:space="preserve">Período de recuperación</w:t>
            </w:r>
          </w:p>
        </w:tc>
        <w:tc>
          <w:tcPr/>
          <w:p>
            <w:pPr>
              <w:pStyle w:val="Tabla9"/>
              <w:jc w:val="left"/>
            </w:pPr>
            <w:r>
              <w:t xml:space="preserve">NO_APLICA</w:t>
            </w:r>
          </w:p>
        </w:tc>
        <w:tc>
          <w:tcPr/>
          <w:p>
            <w:pPr>
              <w:pStyle w:val="Tabla9"/>
              <w:jc w:val="left"/>
            </w:pPr>
            <w:r>
              <w:t xml:space="preserve">Sin ingresos no hay recuperación de la inversión</w:t>
            </w:r>
          </w:p>
        </w:tc>
      </w:tr>
      <w:tr>
        <w:trPr>
          <w:cantSplit/>
        </w:trPr>
        <w:tc>
          <w:tcPr/>
          <w:p>
            <w:pPr>
              <w:pStyle w:val="Tabla9"/>
              <w:jc w:val="left"/>
            </w:pPr>
            <w:r>
              <w:t xml:space="preserve">Retorno sobre la inversión (ROI)</w:t>
            </w:r>
          </w:p>
        </w:tc>
        <w:tc>
          <w:tcPr/>
          <w:p>
            <w:pPr>
              <w:pStyle w:val="Tabla9"/>
              <w:jc w:val="left"/>
            </w:pPr>
            <w:r>
              <w:t xml:space="preserve">NO_APLICA</w:t>
            </w:r>
          </w:p>
        </w:tc>
        <w:tc>
          <w:tcPr/>
          <w:p>
            <w:pPr>
              <w:pStyle w:val="Tabla9"/>
              <w:jc w:val="left"/>
            </w:pPr>
            <w:r>
              <w:t xml:space="preserve">Sin ingresos ni beneficios monetizados</w:t>
            </w:r>
          </w:p>
        </w:tc>
      </w:tr>
      <w:tr>
        <w:trPr>
          <w:cantSplit/>
        </w:trPr>
        <w:tc>
          <w:tcPr/>
          <w:p>
            <w:pPr>
              <w:pStyle w:val="Tabla9"/>
              <w:jc w:val="left"/>
            </w:pPr>
            <w:r>
              <w:t xml:space="preserve">Punto de equilibrio</w:t>
            </w:r>
          </w:p>
        </w:tc>
        <w:tc>
          <w:tcPr/>
          <w:p>
            <w:pPr>
              <w:pStyle w:val="Tabla9"/>
              <w:jc w:val="left"/>
            </w:pPr>
            <w:r>
              <w:t xml:space="preserve">NO_APLICA</w:t>
            </w:r>
          </w:p>
        </w:tc>
        <w:tc>
          <w:tcPr/>
          <w:p>
            <w:pPr>
              <w:pStyle w:val="Tabla9"/>
              <w:jc w:val="left"/>
            </w:pPr>
            <w:r>
              <w:t xml:space="preserve">No hay venta de producto ni de servicio</w:t>
            </w:r>
          </w:p>
        </w:tc>
      </w:tr>
      <w:tr>
        <w:trPr>
          <w:cantSplit/>
        </w:trPr>
        <w:tc>
          <w:tcPr/>
          <w:p>
            <w:pPr>
              <w:pStyle w:val="Tabla9"/>
              <w:jc w:val="left"/>
            </w:pPr>
            <w:r>
              <w:t xml:space="preserve">Razón costo-beneficio</w:t>
            </w:r>
          </w:p>
        </w:tc>
        <w:tc>
          <w:tcPr/>
          <w:p>
            <w:pPr>
              <w:pStyle w:val="Tabla9"/>
              <w:jc w:val="left"/>
            </w:pPr>
            <w:r>
              <w:t xml:space="preserve">NO_CALCULABLE</w:t>
            </w:r>
          </w:p>
        </w:tc>
        <w:tc>
          <w:tcPr/>
          <w:p>
            <w:pPr>
              <w:pStyle w:val="Tabla9"/>
              <w:jc w:val="left"/>
            </w:pPr>
            <w:r>
              <w:t xml:space="preserve">Ninguna fuente valora en pesos los beneficios; el proyecto no promete efectos en salud</w:t>
            </w:r>
          </w:p>
        </w:tc>
      </w:tr>
      <w:tr>
        <w:trPr>
          <w:cantSplit/>
        </w:trPr>
        <w:tc>
          <w:tcPr/>
          <w:p>
            <w:pPr>
              <w:pStyle w:val="Tabla9"/>
              <w:jc w:val="left"/>
            </w:pPr>
            <w:r>
              <w:t xml:space="preserve">Costo-efectividad (MCE36)</w:t>
            </w:r>
          </w:p>
        </w:tc>
        <w:tc>
          <w:tcPr/>
          <w:p>
            <w:pPr>
              <w:pStyle w:val="Tabla9"/>
              <w:jc w:val="left"/>
            </w:pPr>
            <w:r>
              <w:t xml:space="preserve">CALCULADO</w:t>
            </w:r>
          </w:p>
        </w:tc>
        <w:tc>
          <w:tcPr/>
          <w:p>
            <w:pPr>
              <w:pStyle w:val="Tabla9"/>
              <w:jc w:val="left"/>
            </w:pPr>
            <w:r>
              <w:t xml:space="preserve">Costo por output y por outcome esperado en la tabla de costos unitarios</w:t>
            </w:r>
          </w:p>
        </w:tc>
      </w:tr>
    </w:tbl>
    <w:p>
      <w:pPr>
        <w:pStyle w:val="TablaNota"/>
      </w:pPr>
      <w:r>
        <w:rPr>
          <w:i/>
          <w:iCs/>
        </w:rPr>
        <w:t xml:space="preserve">Nota.</w:t>
      </w:r>
      <w:r>
        <w:t xml:space="preserve"> </w:t>
      </w:r>
      <w:r>
        <w:t xml:space="preserve">Elaboración propia. El modelo de negocio es de valor público: financiación durante el proyecto y custodia posterior, sin ingresos inventados. Naturaleza: PROPUESTO.</w:t>
      </w:r>
    </w:p>
    <w:p>
      <w:pPr>
        <w:pStyle w:val="BodyText"/>
      </w:pPr>
      <w:r>
        <w:t xml:space="preserve">La comparación de eficiencia descansa en el costo-efectividad de la Tabla X6.3 y en la comparación de alternativas de la Tabla X6.4. Esta decisión evita cifras de retorno sin fuente. Si los TdR exigen una razón costo-beneficio, la valoración de beneficios requiere un estudio específico. Ese estudio queda fuera de la formulación actual.</w:t>
      </w:r>
    </w:p>
    <w:bookmarkEnd w:id="820"/>
    <w:bookmarkStart w:id="824" w:name="_Toc00900353"/>
    <w:p>
      <w:pPr>
        <w:pStyle w:val="Heading2"/>
      </w:pPr>
      <w:r>
        <w:t xml:space="preserve">X6.6 Análisis de sensibilidad</w:t>
      </w:r>
    </w:p>
    <w:p>
      <w:pPr>
        <w:pStyle w:val="FirstParagraph"/>
      </w:pPr>
      <w:r>
        <w:t xml:space="preserve">La sensibilidad evalúa cuatro variables con cambios de 10 % y 20 % en ambos sentidos. El tipo de cambio afecta los equipos físicos E01 a E09, que suman $ 1.626,0 millones. El costo de personal afecta las 14 líneas de personal. El plazo afecta los costos que dependen de la duración. Esos costos son personal, nube, software, planes de datos y administración, y suman $ 5.057,4 millones. La reserva varía sobre su valor de $ 636,0 millones. Cada variable cambia sola y las demás permanecen en la base. La Tabla X6.6 y la Figura X6.3 presentan el resultado.</w:t>
      </w:r>
    </w:p>
    <w:p>
      <w:pPr>
        <w:pStyle w:val="TablaRotulo"/>
      </w:pPr>
      <w:bookmarkStart w:id="9447" w:name="rot_Tabla_X6_6"/>
      <w:r>
        <w:rPr>
          <w:b/>
          <w:bCs/>
        </w:rPr>
        <w:t xml:space="preserve">Tabla X6.6</w:t>
      </w:r>
      <w:bookmarkEnd w:id="9447"/>
    </w:p>
    <w:p>
      <w:pPr>
        <w:pStyle w:val="TablaTitulo"/>
      </w:pPr>
      <w:r>
        <w:rPr>
          <w:i/>
          <w:iCs/>
        </w:rPr>
        <w:t xml:space="preserve">Variación del valor solicitado al SGR por variable y nivel de cambio, en millones de COP</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42"/>
        <w:gridCol w:w="939"/>
        <w:gridCol w:w="939"/>
        <w:gridCol w:w="738"/>
        <w:gridCol w:w="738"/>
        <w:gridCol w:w="939"/>
        <w:gridCol w:w="1141"/>
        <w:gridCol w:w="1141"/>
      </w:tblGrid>
      <w:tr>
        <w:trPr>
          <w:cantSplit/>
          <w:tblHeader/>
        </w:trPr>
        <w:tc>
          <w:tcPr>
            <w:shd w:val="clear" w:color="auto" w:fill="00B050"/>
          </w:tcPr>
          <w:p>
            <w:pPr>
              <w:pStyle w:val="Tabla8"/>
              <w:jc w:val="center"/>
            </w:pPr>
            <w:r>
              <w:rPr>
                <w:b/>
                <w:color w:val="FFFFFF"/>
              </w:rPr>
              <w:t xml:space="preserve">Variable</w:t>
            </w:r>
          </w:p>
        </w:tc>
        <w:tc>
          <w:tcPr>
            <w:shd w:val="clear" w:color="auto" w:fill="00B050"/>
          </w:tcPr>
          <w:p>
            <w:pPr>
              <w:pStyle w:val="Tabla8"/>
              <w:jc w:val="center"/>
            </w:pPr>
            <w:r>
              <w:rPr>
                <w:b/>
                <w:color w:val="FFFFFF"/>
              </w:rPr>
              <w:t xml:space="preserve">Base expuesta</w:t>
            </w:r>
          </w:p>
        </w:tc>
        <w:tc>
          <w:tcPr>
            <w:shd w:val="clear" w:color="auto" w:fill="00B050"/>
          </w:tcPr>
          <w:p>
            <w:pPr>
              <w:pStyle w:val="Tabla8"/>
              <w:jc w:val="center"/>
            </w:pPr>
            <w:r>
              <w:rPr>
                <w:b/>
                <w:color w:val="FFFFFF"/>
              </w:rPr>
              <w:t xml:space="preserve">−20 %</w:t>
            </w:r>
          </w:p>
        </w:tc>
        <w:tc>
          <w:tcPr>
            <w:shd w:val="clear" w:color="auto" w:fill="00B050"/>
          </w:tcPr>
          <w:p>
            <w:pPr>
              <w:pStyle w:val="Tabla8"/>
              <w:jc w:val="center"/>
            </w:pPr>
            <w:r>
              <w:rPr>
                <w:b/>
                <w:color w:val="FFFFFF"/>
              </w:rPr>
              <w:t xml:space="preserve">−10 %</w:t>
            </w:r>
          </w:p>
        </w:tc>
        <w:tc>
          <w:tcPr>
            <w:shd w:val="clear" w:color="auto" w:fill="00B050"/>
          </w:tcPr>
          <w:p>
            <w:pPr>
              <w:pStyle w:val="Tabla8"/>
              <w:jc w:val="center"/>
            </w:pPr>
            <w:r>
              <w:rPr>
                <w:b/>
                <w:color w:val="FFFFFF"/>
              </w:rPr>
              <w:t xml:space="preserve">+10 %</w:t>
            </w:r>
          </w:p>
        </w:tc>
        <w:tc>
          <w:tcPr>
            <w:shd w:val="clear" w:color="auto" w:fill="00B050"/>
          </w:tcPr>
          <w:p>
            <w:pPr>
              <w:pStyle w:val="Tabla8"/>
              <w:jc w:val="center"/>
            </w:pPr>
            <w:r>
              <w:rPr>
                <w:b/>
                <w:color w:val="FFFFFF"/>
              </w:rPr>
              <w:t xml:space="preserve">+20 %</w:t>
            </w:r>
          </w:p>
        </w:tc>
        <w:tc>
          <w:tcPr>
            <w:shd w:val="clear" w:color="auto" w:fill="00B050"/>
          </w:tcPr>
          <w:p>
            <w:pPr>
              <w:pStyle w:val="Tabla8"/>
              <w:jc w:val="center"/>
            </w:pPr>
            <w:r>
              <w:rPr>
                <w:b/>
                <w:color w:val="FFFFFF"/>
              </w:rPr>
              <w:t xml:space="preserve">Intervalo total</w:t>
            </w:r>
          </w:p>
        </w:tc>
        <w:tc>
          <w:tcPr>
            <w:shd w:val="clear" w:color="auto" w:fill="00B050"/>
          </w:tcPr>
          <w:p>
            <w:pPr>
              <w:pStyle w:val="Tabla8"/>
              <w:jc w:val="center"/>
            </w:pPr>
            <w:r>
              <w:rPr>
                <w:b/>
                <w:color w:val="FFFFFF"/>
              </w:rPr>
              <w:t xml:space="preserve">Líneas expuestas</w:t>
            </w:r>
          </w:p>
        </w:tc>
      </w:tr>
      <w:tr>
        <w:trPr>
          <w:cantSplit/>
        </w:trPr>
        <w:tc>
          <w:tcPr/>
          <w:p>
            <w:pPr>
              <w:pStyle w:val="Tabla8"/>
              <w:jc w:val="left"/>
            </w:pPr>
            <w:r>
              <w:t xml:space="preserve">Plazo de ejecución</w:t>
            </w:r>
          </w:p>
        </w:tc>
        <w:tc>
          <w:tcPr/>
          <w:p>
            <w:pPr>
              <w:pStyle w:val="Tabla8"/>
              <w:jc w:val="left"/>
            </w:pPr>
            <w:r>
              <w:t xml:space="preserve">5.057,4</w:t>
            </w:r>
          </w:p>
        </w:tc>
        <w:tc>
          <w:tcPr/>
          <w:p>
            <w:pPr>
              <w:pStyle w:val="Tabla8"/>
              <w:jc w:val="left"/>
            </w:pPr>
            <w:r>
              <w:t xml:space="preserve">−1.011,5</w:t>
            </w:r>
          </w:p>
        </w:tc>
        <w:tc>
          <w:tcPr/>
          <w:p>
            <w:pPr>
              <w:pStyle w:val="Tabla8"/>
              <w:jc w:val="left"/>
            </w:pPr>
            <w:r>
              <w:t xml:space="preserve">−505,7</w:t>
            </w:r>
          </w:p>
        </w:tc>
        <w:tc>
          <w:tcPr/>
          <w:p>
            <w:pPr>
              <w:pStyle w:val="Tabla8"/>
              <w:jc w:val="left"/>
            </w:pPr>
            <w:r>
              <w:t xml:space="preserve">+505,7</w:t>
            </w:r>
          </w:p>
        </w:tc>
        <w:tc>
          <w:tcPr/>
          <w:p>
            <w:pPr>
              <w:pStyle w:val="Tabla8"/>
              <w:jc w:val="left"/>
            </w:pPr>
            <w:r>
              <w:t xml:space="preserve">+1.011,5</w:t>
            </w:r>
          </w:p>
        </w:tc>
        <w:tc>
          <w:tcPr/>
          <w:p>
            <w:pPr>
              <w:pStyle w:val="Tabla8"/>
              <w:jc w:val="left"/>
            </w:pPr>
            <w:r>
              <w:t xml:space="preserve">2.023,0</w:t>
            </w:r>
          </w:p>
        </w:tc>
        <w:tc>
          <w:tcPr/>
          <w:p>
            <w:pPr>
              <w:pStyle w:val="Tabla8"/>
              <w:jc w:val="left"/>
            </w:pPr>
            <w:r>
              <w:t xml:space="preserve">Personal, E10, E11, E12, S10 y O05</w:t>
            </w:r>
          </w:p>
        </w:tc>
      </w:tr>
      <w:tr>
        <w:trPr>
          <w:cantSplit/>
        </w:trPr>
        <w:tc>
          <w:tcPr/>
          <w:p>
            <w:pPr>
              <w:pStyle w:val="Tabla8"/>
              <w:jc w:val="left"/>
            </w:pPr>
            <w:r>
              <w:t xml:space="preserve">Costo de personal</w:t>
            </w:r>
          </w:p>
        </w:tc>
        <w:tc>
          <w:tcPr/>
          <w:p>
            <w:pPr>
              <w:pStyle w:val="Tabla8"/>
              <w:jc w:val="left"/>
            </w:pPr>
            <w:r>
              <w:t xml:space="preserve">4.382,9</w:t>
            </w:r>
          </w:p>
        </w:tc>
        <w:tc>
          <w:tcPr/>
          <w:p>
            <w:pPr>
              <w:pStyle w:val="Tabla8"/>
              <w:jc w:val="left"/>
            </w:pPr>
            <w:r>
              <w:t xml:space="preserve">−876,6</w:t>
            </w:r>
          </w:p>
        </w:tc>
        <w:tc>
          <w:tcPr/>
          <w:p>
            <w:pPr>
              <w:pStyle w:val="Tabla8"/>
              <w:jc w:val="left"/>
            </w:pPr>
            <w:r>
              <w:t xml:space="preserve">−438,3</w:t>
            </w:r>
          </w:p>
        </w:tc>
        <w:tc>
          <w:tcPr/>
          <w:p>
            <w:pPr>
              <w:pStyle w:val="Tabla8"/>
              <w:jc w:val="left"/>
            </w:pPr>
            <w:r>
              <w:t xml:space="preserve">+438,3</w:t>
            </w:r>
          </w:p>
        </w:tc>
        <w:tc>
          <w:tcPr/>
          <w:p>
            <w:pPr>
              <w:pStyle w:val="Tabla8"/>
              <w:jc w:val="left"/>
            </w:pPr>
            <w:r>
              <w:t xml:space="preserve">+876,6</w:t>
            </w:r>
          </w:p>
        </w:tc>
        <w:tc>
          <w:tcPr/>
          <w:p>
            <w:pPr>
              <w:pStyle w:val="Tabla8"/>
              <w:jc w:val="left"/>
            </w:pPr>
            <w:r>
              <w:t xml:space="preserve">1.753,2</w:t>
            </w:r>
          </w:p>
        </w:tc>
        <w:tc>
          <w:tcPr/>
          <w:p>
            <w:pPr>
              <w:pStyle w:val="Tabla8"/>
              <w:jc w:val="left"/>
            </w:pPr>
            <w:r>
              <w:t xml:space="preserve">Líneas P01 a P14</w:t>
            </w:r>
          </w:p>
        </w:tc>
      </w:tr>
      <w:tr>
        <w:trPr>
          <w:cantSplit/>
        </w:trPr>
        <w:tc>
          <w:tcPr/>
          <w:p>
            <w:pPr>
              <w:pStyle w:val="Tabla8"/>
              <w:jc w:val="left"/>
            </w:pPr>
            <w:r>
              <w:t xml:space="preserve">Tipo de cambio de equipos importados</w:t>
            </w:r>
          </w:p>
        </w:tc>
        <w:tc>
          <w:tcPr/>
          <w:p>
            <w:pPr>
              <w:pStyle w:val="Tabla8"/>
              <w:jc w:val="left"/>
            </w:pPr>
            <w:r>
              <w:t xml:space="preserve">1.626,0</w:t>
            </w:r>
          </w:p>
        </w:tc>
        <w:tc>
          <w:tcPr/>
          <w:p>
            <w:pPr>
              <w:pStyle w:val="Tabla8"/>
              <w:jc w:val="left"/>
            </w:pPr>
            <w:r>
              <w:t xml:space="preserve">−325,2</w:t>
            </w:r>
          </w:p>
        </w:tc>
        <w:tc>
          <w:tcPr/>
          <w:p>
            <w:pPr>
              <w:pStyle w:val="Tabla8"/>
              <w:jc w:val="left"/>
            </w:pPr>
            <w:r>
              <w:t xml:space="preserve">−162,6</w:t>
            </w:r>
          </w:p>
        </w:tc>
        <w:tc>
          <w:tcPr/>
          <w:p>
            <w:pPr>
              <w:pStyle w:val="Tabla8"/>
              <w:jc w:val="left"/>
            </w:pPr>
            <w:r>
              <w:t xml:space="preserve">+162,6</w:t>
            </w:r>
          </w:p>
        </w:tc>
        <w:tc>
          <w:tcPr/>
          <w:p>
            <w:pPr>
              <w:pStyle w:val="Tabla8"/>
              <w:jc w:val="left"/>
            </w:pPr>
            <w:r>
              <w:t xml:space="preserve">+325,2</w:t>
            </w:r>
          </w:p>
        </w:tc>
        <w:tc>
          <w:tcPr/>
          <w:p>
            <w:pPr>
              <w:pStyle w:val="Tabla8"/>
              <w:jc w:val="left"/>
            </w:pPr>
            <w:r>
              <w:t xml:space="preserve">650,4</w:t>
            </w:r>
          </w:p>
        </w:tc>
        <w:tc>
          <w:tcPr/>
          <w:p>
            <w:pPr>
              <w:pStyle w:val="Tabla8"/>
              <w:jc w:val="left"/>
            </w:pPr>
            <w:r>
              <w:t xml:space="preserve">Equipos físicos E01 a E09</w:t>
            </w:r>
          </w:p>
        </w:tc>
      </w:tr>
      <w:tr>
        <w:trPr>
          <w:cantSplit/>
        </w:trPr>
        <w:tc>
          <w:tcPr/>
          <w:p>
            <w:pPr>
              <w:pStyle w:val="Tabla8"/>
              <w:jc w:val="left"/>
            </w:pPr>
            <w:r>
              <w:t xml:space="preserve">Reserva de contingencia</w:t>
            </w:r>
          </w:p>
        </w:tc>
        <w:tc>
          <w:tcPr/>
          <w:p>
            <w:pPr>
              <w:pStyle w:val="Tabla8"/>
              <w:jc w:val="left"/>
            </w:pPr>
            <w:r>
              <w:t xml:space="preserve">636,0</w:t>
            </w:r>
          </w:p>
        </w:tc>
        <w:tc>
          <w:tcPr/>
          <w:p>
            <w:pPr>
              <w:pStyle w:val="Tabla8"/>
              <w:jc w:val="left"/>
            </w:pPr>
            <w:r>
              <w:t xml:space="preserve">−127,2</w:t>
            </w:r>
          </w:p>
        </w:tc>
        <w:tc>
          <w:tcPr/>
          <w:p>
            <w:pPr>
              <w:pStyle w:val="Tabla8"/>
              <w:jc w:val="left"/>
            </w:pPr>
            <w:r>
              <w:t xml:space="preserve">−63,6</w:t>
            </w:r>
          </w:p>
        </w:tc>
        <w:tc>
          <w:tcPr/>
          <w:p>
            <w:pPr>
              <w:pStyle w:val="Tabla8"/>
              <w:jc w:val="left"/>
            </w:pPr>
            <w:r>
              <w:t xml:space="preserve">+63,6</w:t>
            </w:r>
          </w:p>
        </w:tc>
        <w:tc>
          <w:tcPr/>
          <w:p>
            <w:pPr>
              <w:pStyle w:val="Tabla8"/>
              <w:jc w:val="left"/>
            </w:pPr>
            <w:r>
              <w:t xml:space="preserve">+127,2</w:t>
            </w:r>
          </w:p>
        </w:tc>
        <w:tc>
          <w:tcPr/>
          <w:p>
            <w:pPr>
              <w:pStyle w:val="Tabla8"/>
              <w:jc w:val="left"/>
            </w:pPr>
            <w:r>
              <w:t xml:space="preserve">254,4</w:t>
            </w:r>
          </w:p>
        </w:tc>
        <w:tc>
          <w:tcPr/>
          <w:p>
            <w:pPr>
              <w:pStyle w:val="Tabla8"/>
              <w:jc w:val="left"/>
            </w:pPr>
            <w:r>
              <w:t xml:space="preserve">Línea X01</w:t>
            </w:r>
          </w:p>
        </w:tc>
      </w:tr>
    </w:tbl>
    <w:p>
      <w:pPr>
        <w:pStyle w:val="TablaNota"/>
      </w:pPr>
      <w:r>
        <w:rPr>
          <w:i/>
          <w:iCs/>
        </w:rPr>
        <w:t xml:space="preserve">Nota.</w:t>
      </w:r>
      <w:r>
        <w:t xml:space="preserve"> </w:t>
      </w:r>
      <w:r>
        <w:t xml:space="preserve">Elaboración propia con datos de maestro.py. Una variable cambia a la vez y las demás permanecen en su base. El plazo y el personal comparten líneas de costo. Naturaleza: CALCULADO con reglas de exposición PROPUESTAS. Decimales con coma.</w:t>
      </w:r>
    </w:p>
    <w:p>
      <w:pPr>
        <w:pStyle w:val="FiguraRotulo"/>
      </w:pPr>
      <w:bookmarkStart w:id="9567" w:name="rot_Figura_X6_3"/>
      <w:r>
        <w:rPr>
          <w:b/>
          <w:bCs/>
        </w:rPr>
        <w:t xml:space="preserve">Figura X6.3</w:t>
      </w:r>
      <w:bookmarkEnd w:id="9567"/>
    </w:p>
    <w:p>
      <w:pPr>
        <w:pStyle w:val="FiguraTitulo"/>
      </w:pPr>
      <w:r>
        <w:rPr>
          <w:i/>
          <w:iCs/>
        </w:rPr>
        <w:t xml:space="preserve">El plazo y el personal generan las mayores variaciones del valor solicitado</w:t>
      </w:r>
    </w:p>
    <w:p>
      <w:pPr>
        <w:pStyle w:val="BodyText"/>
      </w:pPr>
      <w:r>
        <w:drawing>
          <wp:inline>
            <wp:extent cx="5579999" cy="2975552"/>
            <wp:effectExtent b="0" l="0" r="0" t="0"/>
            <wp:docPr descr="" title="" id="822" name="Picture"/>
            <a:graphic>
              <a:graphicData uri="http://schemas.openxmlformats.org/drawingml/2006/picture">
                <pic:pic>
                  <pic:nvPicPr>
                    <pic:cNvPr descr="/tmp/claude-0/-home-user-docs/ddf38714-2a7e-502b-92b4-1008e2832422/scratchpad/proy/figs/out/cX6_f03.png" id="823" name="Picture"/>
                    <pic:cNvPicPr>
                      <a:picLocks noChangeArrowheads="1" noChangeAspect="1"/>
                    </pic:cNvPicPr>
                  </pic:nvPicPr>
                  <pic:blipFill>
                    <a:blip r:embed="rId821"/>
                    <a:stretch>
                      <a:fillRect/>
                    </a:stretch>
                  </pic:blipFill>
                  <pic:spPr bwMode="auto">
                    <a:xfrm>
                      <a:off x="0" y="0"/>
                      <a:ext cx="5579999" cy="297555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Variación de una variable a la vez sobre la base de 8.729,8 millones de COP; exposición de cada variable según la tabla de sensibilidad. Python 3 y matplotlib; script cX6_figs.py; sin semilla; corte del 13 de octubre de 2026.</w:t>
      </w:r>
    </w:p>
    <w:p>
      <w:pPr>
        <w:pStyle w:val="BodyText"/>
      </w:pPr>
      <w:r>
        <w:t xml:space="preserve">El plazo domina la sensibilidad. Un aumento de 20 % equivale a 4,8 meses y suma $ 1.011,5 millones, o 11,6 % del SGR. Cada mes adicional cuesta $ 210,7 millones en costos dependientes del plazo. El personal sigue con $ 876,6 millones por cada 20 % de variación. El tipo de cambio mueve $ 325,2 millones, menos que las dos variables anteriores. La reserva de $ 636,0 millones cubre una devaluación de 20 %. No cubre un aumento de 20 % en el plazo ni en el personal.</w:t>
      </w:r>
    </w:p>
    <w:p>
      <w:pPr>
        <w:pStyle w:val="BodyText"/>
      </w:pPr>
      <w:r>
        <w:t xml:space="preserve">La Tabla X6.7 combina las variables en cinco escenarios ILUSTRATIVOS. Ningún escenario lleva una probabilidad asignada, porque ninguna fuente la respalda.</w:t>
      </w:r>
    </w:p>
    <w:p>
      <w:pPr>
        <w:pStyle w:val="TablaRotulo"/>
      </w:pPr>
      <w:bookmarkStart w:id="9448" w:name="rot_Tabla_X6_7"/>
      <w:r>
        <w:rPr>
          <w:b/>
          <w:bCs/>
        </w:rPr>
        <w:t xml:space="preserve">Tabla X6.7</w:t>
      </w:r>
      <w:bookmarkEnd w:id="9448"/>
    </w:p>
    <w:p>
      <w:pPr>
        <w:pStyle w:val="TablaTitulo"/>
      </w:pPr>
      <w:r>
        <w:rPr>
          <w:i/>
          <w:iCs/>
        </w:rPr>
        <w:t xml:space="preserve">Escenarios de sensibilidad del valor solicitado al SGR, en millones de COP</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850"/>
        <w:gridCol w:w="1701"/>
        <w:gridCol w:w="1178"/>
        <w:gridCol w:w="1243"/>
        <w:gridCol w:w="1178"/>
        <w:gridCol w:w="720"/>
        <w:gridCol w:w="1047"/>
      </w:tblGrid>
      <w:tr>
        <w:trPr>
          <w:cantSplit/>
          <w:tblHeader/>
        </w:trPr>
        <w:tc>
          <w:tcPr>
            <w:shd w:val="clear" w:color="auto" w:fill="00B050"/>
          </w:tcPr>
          <w:p>
            <w:pPr>
              <w:pStyle w:val="Tabla8"/>
              <w:jc w:val="center"/>
            </w:pPr>
            <w:r>
              <w:rPr>
                <w:b/>
                <w:color w:val="FFFFFF"/>
              </w:rPr>
              <w:t xml:space="preserve">Código</w:t>
            </w:r>
          </w:p>
        </w:tc>
        <w:tc>
          <w:tcPr>
            <w:shd w:val="clear" w:color="auto" w:fill="00B050"/>
          </w:tcPr>
          <w:p>
            <w:pPr>
              <w:pStyle w:val="Tabla8"/>
              <w:jc w:val="center"/>
            </w:pPr>
            <w:r>
              <w:rPr>
                <w:b/>
                <w:color w:val="FFFFFF"/>
              </w:rPr>
              <w:t xml:space="preserve">Escenario</w:t>
            </w:r>
          </w:p>
        </w:tc>
        <w:tc>
          <w:tcPr>
            <w:shd w:val="clear" w:color="auto" w:fill="00B050"/>
          </w:tcPr>
          <w:p>
            <w:pPr>
              <w:pStyle w:val="Tabla8"/>
              <w:jc w:val="center"/>
            </w:pPr>
            <w:r>
              <w:rPr>
                <w:b/>
                <w:color w:val="FFFFFF"/>
              </w:rPr>
              <w:t xml:space="preserve">Variación</w:t>
            </w:r>
          </w:p>
        </w:tc>
        <w:tc>
          <w:tcPr>
            <w:shd w:val="clear" w:color="auto" w:fill="00B050"/>
          </w:tcPr>
          <w:p>
            <w:pPr>
              <w:pStyle w:val="Tabla8"/>
              <w:jc w:val="center"/>
            </w:pPr>
            <w:r>
              <w:rPr>
                <w:b/>
                <w:color w:val="FFFFFF"/>
              </w:rPr>
              <w:t xml:space="preserve">SGR resultante</w:t>
            </w:r>
          </w:p>
        </w:tc>
        <w:tc>
          <w:tcPr>
            <w:shd w:val="clear" w:color="auto" w:fill="00B050"/>
          </w:tcPr>
          <w:p>
            <w:pPr>
              <w:pStyle w:val="Tabla8"/>
              <w:jc w:val="center"/>
            </w:pPr>
            <w:r>
              <w:rPr>
                <w:b/>
                <w:color w:val="FFFFFF"/>
              </w:rPr>
              <w:t xml:space="preserve">% del tope declarado</w:t>
            </w:r>
          </w:p>
        </w:tc>
        <w:tc>
          <w:tcPr>
            <w:shd w:val="clear" w:color="auto" w:fill="00B050"/>
          </w:tcPr>
          <w:p>
            <w:pPr>
              <w:pStyle w:val="Tabla8"/>
              <w:jc w:val="center"/>
            </w:pPr>
            <w:r>
              <w:rPr>
                <w:b/>
                <w:color w:val="FFFFFF"/>
              </w:rPr>
              <w:t xml:space="preserve">SGR por nodo</w:t>
            </w:r>
          </w:p>
        </w:tc>
        <w:tc>
          <w:tcPr>
            <w:shd w:val="clear" w:color="auto" w:fill="00B050"/>
          </w:tcPr>
          <w:p>
            <w:pPr>
              <w:pStyle w:val="Tabla8"/>
              <w:jc w:val="center"/>
            </w:pPr>
            <w:r>
              <w:rPr>
                <w:b/>
                <w:color w:val="FFFFFF"/>
              </w:rPr>
              <w:t xml:space="preserve">Frente a la reserva de 636,0</w:t>
            </w:r>
          </w:p>
        </w:tc>
      </w:tr>
      <w:tr>
        <w:trPr>
          <w:cantSplit/>
        </w:trPr>
        <w:tc>
          <w:tcPr/>
          <w:p>
            <w:pPr>
              <w:pStyle w:val="Tabla8"/>
              <w:jc w:val="left"/>
            </w:pPr>
            <w:r>
              <w:t xml:space="preserve">E0</w:t>
            </w:r>
          </w:p>
        </w:tc>
        <w:tc>
          <w:tcPr/>
          <w:p>
            <w:pPr>
              <w:pStyle w:val="Tabla8"/>
              <w:jc w:val="left"/>
            </w:pPr>
            <w:r>
              <w:t xml:space="preserve">Base de la ficha</w:t>
            </w:r>
          </w:p>
        </w:tc>
        <w:tc>
          <w:tcPr/>
          <w:p>
            <w:pPr>
              <w:pStyle w:val="Tabla8"/>
              <w:jc w:val="left"/>
            </w:pPr>
            <w:r>
              <w:t xml:space="preserve">0,0</w:t>
            </w:r>
          </w:p>
        </w:tc>
        <w:tc>
          <w:tcPr/>
          <w:p>
            <w:pPr>
              <w:pStyle w:val="Tabla8"/>
              <w:jc w:val="left"/>
            </w:pPr>
            <w:r>
              <w:t xml:space="preserve">8.729,8</w:t>
            </w:r>
          </w:p>
        </w:tc>
        <w:tc>
          <w:tcPr/>
          <w:p>
            <w:pPr>
              <w:pStyle w:val="Tabla8"/>
              <w:jc w:val="left"/>
            </w:pPr>
            <w:r>
              <w:t xml:space="preserve">62,4</w:t>
            </w:r>
          </w:p>
        </w:tc>
        <w:tc>
          <w:tcPr/>
          <w:p>
            <w:pPr>
              <w:pStyle w:val="Tabla8"/>
              <w:jc w:val="left"/>
            </w:pPr>
            <w:r>
              <w:t xml:space="preserve">87,3</w:t>
            </w:r>
          </w:p>
        </w:tc>
        <w:tc>
          <w:tcPr/>
          <w:p>
            <w:pPr>
              <w:pStyle w:val="Tabla8"/>
              <w:jc w:val="left"/>
            </w:pPr>
            <w:r>
              <w:t xml:space="preserve">No aplica</w:t>
            </w:r>
          </w:p>
        </w:tc>
      </w:tr>
      <w:tr>
        <w:trPr>
          <w:cantSplit/>
        </w:trPr>
        <w:tc>
          <w:tcPr/>
          <w:p>
            <w:pPr>
              <w:pStyle w:val="Tabla8"/>
              <w:jc w:val="left"/>
            </w:pPr>
            <w:r>
              <w:t xml:space="preserve">E1</w:t>
            </w:r>
          </w:p>
        </w:tc>
        <w:tc>
          <w:tcPr/>
          <w:p>
            <w:pPr>
              <w:pStyle w:val="Tabla8"/>
              <w:jc w:val="left"/>
            </w:pPr>
            <w:r>
              <w:t xml:space="preserve">Favorable: tipo de cambio −10 %</w:t>
            </w:r>
          </w:p>
        </w:tc>
        <w:tc>
          <w:tcPr/>
          <w:p>
            <w:pPr>
              <w:pStyle w:val="Tabla8"/>
              <w:jc w:val="left"/>
            </w:pPr>
            <w:r>
              <w:t xml:space="preserve">−162,6</w:t>
            </w:r>
          </w:p>
        </w:tc>
        <w:tc>
          <w:tcPr/>
          <w:p>
            <w:pPr>
              <w:pStyle w:val="Tabla8"/>
              <w:jc w:val="left"/>
            </w:pPr>
            <w:r>
              <w:t xml:space="preserve">8.567,2</w:t>
            </w:r>
          </w:p>
        </w:tc>
        <w:tc>
          <w:tcPr/>
          <w:p>
            <w:pPr>
              <w:pStyle w:val="Tabla8"/>
              <w:jc w:val="left"/>
            </w:pPr>
            <w:r>
              <w:t xml:space="preserve">61,2</w:t>
            </w:r>
          </w:p>
        </w:tc>
        <w:tc>
          <w:tcPr/>
          <w:p>
            <w:pPr>
              <w:pStyle w:val="Tabla8"/>
              <w:jc w:val="left"/>
            </w:pPr>
            <w:r>
              <w:t xml:space="preserve">85,7</w:t>
            </w:r>
          </w:p>
        </w:tc>
        <w:tc>
          <w:tcPr/>
          <w:p>
            <w:pPr>
              <w:pStyle w:val="Tabla8"/>
              <w:jc w:val="left"/>
            </w:pPr>
            <w:r>
              <w:t xml:space="preserve">Sin uso de reserva</w:t>
            </w:r>
          </w:p>
        </w:tc>
      </w:tr>
      <w:tr>
        <w:trPr>
          <w:cantSplit/>
        </w:trPr>
        <w:tc>
          <w:tcPr/>
          <w:p>
            <w:pPr>
              <w:pStyle w:val="Tabla8"/>
              <w:jc w:val="left"/>
            </w:pPr>
            <w:r>
              <w:t xml:space="preserve">E2</w:t>
            </w:r>
          </w:p>
        </w:tc>
        <w:tc>
          <w:tcPr/>
          <w:p>
            <w:pPr>
              <w:pStyle w:val="Tabla8"/>
              <w:jc w:val="left"/>
            </w:pPr>
            <w:r>
              <w:t xml:space="preserve">Devaluación: tipo de cambio +20 %</w:t>
            </w:r>
          </w:p>
        </w:tc>
        <w:tc>
          <w:tcPr/>
          <w:p>
            <w:pPr>
              <w:pStyle w:val="Tabla8"/>
              <w:jc w:val="left"/>
            </w:pPr>
            <w:r>
              <w:t xml:space="preserve">+325,2</w:t>
            </w:r>
          </w:p>
        </w:tc>
        <w:tc>
          <w:tcPr/>
          <w:p>
            <w:pPr>
              <w:pStyle w:val="Tabla8"/>
              <w:jc w:val="left"/>
            </w:pPr>
            <w:r>
              <w:t xml:space="preserve">9.055,0</w:t>
            </w:r>
          </w:p>
        </w:tc>
        <w:tc>
          <w:tcPr/>
          <w:p>
            <w:pPr>
              <w:pStyle w:val="Tabla8"/>
              <w:jc w:val="left"/>
            </w:pPr>
            <w:r>
              <w:t xml:space="preserve">64,7</w:t>
            </w:r>
          </w:p>
        </w:tc>
        <w:tc>
          <w:tcPr/>
          <w:p>
            <w:pPr>
              <w:pStyle w:val="Tabla8"/>
              <w:jc w:val="left"/>
            </w:pPr>
            <w:r>
              <w:t xml:space="preserve">90,6</w:t>
            </w:r>
          </w:p>
        </w:tc>
        <w:tc>
          <w:tcPr/>
          <w:p>
            <w:pPr>
              <w:pStyle w:val="Tabla8"/>
              <w:jc w:val="left"/>
            </w:pPr>
            <w:r>
              <w:t xml:space="preserve">Cubre la reserva</w:t>
            </w:r>
          </w:p>
        </w:tc>
      </w:tr>
      <w:tr>
        <w:trPr>
          <w:cantSplit/>
        </w:trPr>
        <w:tc>
          <w:tcPr/>
          <w:p>
            <w:pPr>
              <w:pStyle w:val="Tabla8"/>
              <w:jc w:val="left"/>
            </w:pPr>
            <w:r>
              <w:t xml:space="preserve">E3</w:t>
            </w:r>
          </w:p>
        </w:tc>
        <w:tc>
          <w:tcPr/>
          <w:p>
            <w:pPr>
              <w:pStyle w:val="Tabla8"/>
              <w:jc w:val="left"/>
            </w:pPr>
            <w:r>
              <w:t xml:space="preserve">Presión de costos: personal +10 % y plazo +10 %</w:t>
            </w:r>
          </w:p>
        </w:tc>
        <w:tc>
          <w:tcPr/>
          <w:p>
            <w:pPr>
              <w:pStyle w:val="Tabla8"/>
              <w:jc w:val="left"/>
            </w:pPr>
            <w:r>
              <w:t xml:space="preserve">+987,9</w:t>
            </w:r>
          </w:p>
        </w:tc>
        <w:tc>
          <w:tcPr/>
          <w:p>
            <w:pPr>
              <w:pStyle w:val="Tabla8"/>
              <w:jc w:val="left"/>
            </w:pPr>
            <w:r>
              <w:t xml:space="preserve">9.717,7</w:t>
            </w:r>
          </w:p>
        </w:tc>
        <w:tc>
          <w:tcPr/>
          <w:p>
            <w:pPr>
              <w:pStyle w:val="Tabla8"/>
              <w:jc w:val="left"/>
            </w:pPr>
            <w:r>
              <w:t xml:space="preserve">69,4</w:t>
            </w:r>
          </w:p>
        </w:tc>
        <w:tc>
          <w:tcPr/>
          <w:p>
            <w:pPr>
              <w:pStyle w:val="Tabla8"/>
              <w:jc w:val="left"/>
            </w:pPr>
            <w:r>
              <w:t xml:space="preserve">97,2</w:t>
            </w:r>
          </w:p>
        </w:tc>
        <w:tc>
          <w:tcPr/>
          <w:p>
            <w:pPr>
              <w:pStyle w:val="Tabla8"/>
              <w:jc w:val="left"/>
            </w:pPr>
            <w:r>
              <w:t xml:space="preserve">Déficit de 351,9</w:t>
            </w:r>
          </w:p>
        </w:tc>
      </w:tr>
      <w:tr>
        <w:trPr>
          <w:cantSplit/>
        </w:trPr>
        <w:tc>
          <w:tcPr/>
          <w:p>
            <w:pPr>
              <w:pStyle w:val="Tabla8"/>
              <w:jc w:val="left"/>
            </w:pPr>
            <w:r>
              <w:t xml:space="preserve">E4</w:t>
            </w:r>
          </w:p>
        </w:tc>
        <w:tc>
          <w:tcPr/>
          <w:p>
            <w:pPr>
              <w:pStyle w:val="Tabla8"/>
              <w:jc w:val="left"/>
            </w:pPr>
            <w:r>
              <w:t xml:space="preserve">Adverso combinado: tipo de cambio, personal y plazo +20 %</w:t>
            </w:r>
          </w:p>
        </w:tc>
        <w:tc>
          <w:tcPr/>
          <w:p>
            <w:pPr>
              <w:pStyle w:val="Tabla8"/>
              <w:jc w:val="left"/>
            </w:pPr>
            <w:r>
              <w:t xml:space="preserve">+2.388,6</w:t>
            </w:r>
          </w:p>
        </w:tc>
        <w:tc>
          <w:tcPr/>
          <w:p>
            <w:pPr>
              <w:pStyle w:val="Tabla8"/>
              <w:jc w:val="left"/>
            </w:pPr>
            <w:r>
              <w:t xml:space="preserve">11.118,4</w:t>
            </w:r>
          </w:p>
        </w:tc>
        <w:tc>
          <w:tcPr/>
          <w:p>
            <w:pPr>
              <w:pStyle w:val="Tabla8"/>
              <w:jc w:val="left"/>
            </w:pPr>
            <w:r>
              <w:t xml:space="preserve">79,4</w:t>
            </w:r>
          </w:p>
        </w:tc>
        <w:tc>
          <w:tcPr/>
          <w:p>
            <w:pPr>
              <w:pStyle w:val="Tabla8"/>
              <w:jc w:val="left"/>
            </w:pPr>
            <w:r>
              <w:t xml:space="preserve">111,2</w:t>
            </w:r>
          </w:p>
        </w:tc>
        <w:tc>
          <w:tcPr/>
          <w:p>
            <w:pPr>
              <w:pStyle w:val="Tabla8"/>
              <w:jc w:val="left"/>
            </w:pPr>
            <w:r>
              <w:t xml:space="preserve">Déficit de 1.752,6</w:t>
            </w:r>
          </w:p>
        </w:tc>
      </w:tr>
    </w:tbl>
    <w:p>
      <w:pPr>
        <w:pStyle w:val="TablaNota"/>
      </w:pPr>
      <w:r>
        <w:rPr>
          <w:i/>
          <w:iCs/>
        </w:rPr>
        <w:t xml:space="preserve">Nota.</w:t>
      </w:r>
      <w:r>
        <w:t xml:space="preserve"> </w:t>
      </w:r>
      <w:r>
        <w:t xml:space="preserve">Elaboración propia con datos de maestro.py. El tope de $ 14.000.000.000 es DECLARADO y NO_VERIFICADO. El SGR por nodo divide entre 100 nodos operativos. Los escenarios son ILUSTRATIVOS y no tienen probabilidad asignada. Decimales con coma.</w:t>
      </w:r>
    </w:p>
    <w:p>
      <w:pPr>
        <w:pStyle w:val="BodyText"/>
      </w:pPr>
      <w:r>
        <w:t xml:space="preserve">El escenario E2 de devaluación suma $ 325,2 millones y la reserva lo cubre. El escenario E3 de presión de costos suma $ 987,9 millones y deja un déficit de $ 351,9 millones. El escenario E4 adverso combinado eleva el SGR a $ 11.118,4 millones, equivalentes a 79,4 % del tope declarado, y deja un déficit de $ 1.752,6 millones. El tope no está verificado y la holgura no se presupuesta. Por eso cualquier aumento exige la admisibilidad que fijen los TdR. Si los 12 riesgos del registro se materializaran con su impacto completo, el costo adicional sería de $ 1.450,0 millones, o 2,3 veces la reserva.</w:t>
      </w:r>
    </w:p>
    <w:bookmarkEnd w:id="824"/>
    <w:bookmarkStart w:id="828" w:name="_Toc00900354"/>
    <w:p>
      <w:pPr>
        <w:pStyle w:val="Heading2"/>
      </w:pPr>
      <w:r>
        <w:t xml:space="preserve">X6.7 Flujo de caja semestral y curva S</w:t>
      </w:r>
    </w:p>
    <w:p>
      <w:pPr>
        <w:pStyle w:val="FirstParagraph"/>
      </w:pPr>
      <w:r>
        <w:t xml:space="preserve">El flujo de caja se calcula por semestre sobre egresos programados. La Tabla X6.8 muestra los egresos del SGR y de la contrapartida, los ingresos propios y la ejecución acumulada. Los ingresos propios son cero porque el proyecto no los genera (NO_APLICA). La Figura X6.4 presenta la curva S mensual.</w:t>
      </w:r>
    </w:p>
    <w:p>
      <w:pPr>
        <w:pStyle w:val="TablaRotulo"/>
      </w:pPr>
      <w:bookmarkStart w:id="9449" w:name="rot_Tabla_X6_8"/>
      <w:r>
        <w:rPr>
          <w:b/>
          <w:bCs/>
        </w:rPr>
        <w:t xml:space="preserve">Tabla X6.8</w:t>
      </w:r>
      <w:bookmarkEnd w:id="9449"/>
    </w:p>
    <w:p>
      <w:pPr>
        <w:pStyle w:val="TablaTitulo"/>
      </w:pPr>
      <w:r>
        <w:rPr>
          <w:i/>
          <w:iCs/>
        </w:rPr>
        <w:t xml:space="preserve">Flujo de caja semestral del proyecto, en millones de COP</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82"/>
        <w:gridCol w:w="1254"/>
        <w:gridCol w:w="1254"/>
        <w:gridCol w:w="1254"/>
        <w:gridCol w:w="1254"/>
        <w:gridCol w:w="1122"/>
      </w:tblGrid>
      <w:tr>
        <w:trPr>
          <w:cantSplit/>
          <w:tblHeader/>
        </w:trPr>
        <w:tc>
          <w:tcPr>
            <w:shd w:val="clear" w:color="auto" w:fill="00B050"/>
          </w:tcPr>
          <w:p>
            <w:pPr>
              <w:pStyle w:val="Tabla9"/>
              <w:jc w:val="center"/>
            </w:pPr>
            <w:r>
              <w:rPr>
                <w:b/>
                <w:color w:val="FFFFFF"/>
              </w:rPr>
              <w:t xml:space="preserve">Concepto</w:t>
            </w:r>
          </w:p>
        </w:tc>
        <w:tc>
          <w:tcPr>
            <w:shd w:val="clear" w:color="auto" w:fill="00B050"/>
          </w:tcPr>
          <w:p>
            <w:pPr>
              <w:pStyle w:val="Tabla9"/>
              <w:jc w:val="center"/>
            </w:pPr>
            <w:r>
              <w:rPr>
                <w:b/>
                <w:color w:val="FFFFFF"/>
              </w:rPr>
              <w:t xml:space="preserve">Semestre 1 (meses 1 a 6)</w:t>
            </w:r>
          </w:p>
        </w:tc>
        <w:tc>
          <w:tcPr>
            <w:shd w:val="clear" w:color="auto" w:fill="00B050"/>
          </w:tcPr>
          <w:p>
            <w:pPr>
              <w:pStyle w:val="Tabla9"/>
              <w:jc w:val="center"/>
            </w:pPr>
            <w:r>
              <w:rPr>
                <w:b/>
                <w:color w:val="FFFFFF"/>
              </w:rPr>
              <w:t xml:space="preserve">Semestre 2 (meses 7 a 12)</w:t>
            </w:r>
          </w:p>
        </w:tc>
        <w:tc>
          <w:tcPr>
            <w:shd w:val="clear" w:color="auto" w:fill="00B050"/>
          </w:tcPr>
          <w:p>
            <w:pPr>
              <w:pStyle w:val="Tabla9"/>
              <w:jc w:val="center"/>
            </w:pPr>
            <w:r>
              <w:rPr>
                <w:b/>
                <w:color w:val="FFFFFF"/>
              </w:rPr>
              <w:t xml:space="preserve">Semestre 3 (meses 13 a 18)</w:t>
            </w:r>
          </w:p>
        </w:tc>
        <w:tc>
          <w:tcPr>
            <w:shd w:val="clear" w:color="auto" w:fill="00B050"/>
          </w:tcPr>
          <w:p>
            <w:pPr>
              <w:pStyle w:val="Tabla9"/>
              <w:jc w:val="center"/>
            </w:pPr>
            <w:r>
              <w:rPr>
                <w:b/>
                <w:color w:val="FFFFFF"/>
              </w:rPr>
              <w:t xml:space="preserve">Semestre 4 (meses 19 a 24)</w:t>
            </w:r>
          </w:p>
        </w:tc>
        <w:tc>
          <w:tcPr>
            <w:shd w:val="clear" w:color="auto" w:fill="00B050"/>
          </w:tcPr>
          <w:p>
            <w:pPr>
              <w:pStyle w:val="Tabla9"/>
              <w:jc w:val="center"/>
            </w:pPr>
            <w:r>
              <w:rPr>
                <w:b/>
                <w:color w:val="FFFFFF"/>
              </w:rPr>
              <w:t xml:space="preserve">Total</w:t>
            </w:r>
          </w:p>
        </w:tc>
      </w:tr>
      <w:tr>
        <w:trPr>
          <w:cantSplit/>
        </w:trPr>
        <w:tc>
          <w:tcPr/>
          <w:p>
            <w:pPr>
              <w:pStyle w:val="Tabla9"/>
              <w:jc w:val="left"/>
            </w:pPr>
            <w:r>
              <w:t xml:space="preserve">Egresos SGR</w:t>
            </w:r>
          </w:p>
        </w:tc>
        <w:tc>
          <w:tcPr/>
          <w:p>
            <w:pPr>
              <w:pStyle w:val="Tabla9"/>
              <w:jc w:val="left"/>
            </w:pPr>
            <w:r>
              <w:t xml:space="preserve">2.557,9</w:t>
            </w:r>
          </w:p>
        </w:tc>
        <w:tc>
          <w:tcPr/>
          <w:p>
            <w:pPr>
              <w:pStyle w:val="Tabla9"/>
              <w:jc w:val="left"/>
            </w:pPr>
            <w:r>
              <w:t xml:space="preserve">1.804,7</w:t>
            </w:r>
          </w:p>
        </w:tc>
        <w:tc>
          <w:tcPr/>
          <w:p>
            <w:pPr>
              <w:pStyle w:val="Tabla9"/>
              <w:jc w:val="left"/>
            </w:pPr>
            <w:r>
              <w:t xml:space="preserve">2.497,2</w:t>
            </w:r>
          </w:p>
        </w:tc>
        <w:tc>
          <w:tcPr/>
          <w:p>
            <w:pPr>
              <w:pStyle w:val="Tabla9"/>
              <w:jc w:val="left"/>
            </w:pPr>
            <w:r>
              <w:t xml:space="preserve">1.869,9</w:t>
            </w:r>
          </w:p>
        </w:tc>
        <w:tc>
          <w:tcPr/>
          <w:p>
            <w:pPr>
              <w:pStyle w:val="Tabla9"/>
              <w:jc w:val="left"/>
            </w:pPr>
            <w:r>
              <w:t xml:space="preserve">8.729,8</w:t>
            </w:r>
          </w:p>
        </w:tc>
      </w:tr>
      <w:tr>
        <w:trPr>
          <w:cantSplit/>
        </w:trPr>
        <w:tc>
          <w:tcPr/>
          <w:p>
            <w:pPr>
              <w:pStyle w:val="Tabla9"/>
              <w:jc w:val="left"/>
            </w:pPr>
            <w:r>
              <w:t xml:space="preserve">Egresos de contrapartida</w:t>
            </w:r>
          </w:p>
        </w:tc>
        <w:tc>
          <w:tcPr/>
          <w:p>
            <w:pPr>
              <w:pStyle w:val="Tabla9"/>
              <w:jc w:val="left"/>
            </w:pPr>
            <w:r>
              <w:t xml:space="preserve">527,5</w:t>
            </w:r>
          </w:p>
        </w:tc>
        <w:tc>
          <w:tcPr/>
          <w:p>
            <w:pPr>
              <w:pStyle w:val="Tabla9"/>
              <w:jc w:val="left"/>
            </w:pPr>
            <w:r>
              <w:t xml:space="preserve">527,5</w:t>
            </w:r>
          </w:p>
        </w:tc>
        <w:tc>
          <w:tcPr/>
          <w:p>
            <w:pPr>
              <w:pStyle w:val="Tabla9"/>
              <w:jc w:val="left"/>
            </w:pPr>
            <w:r>
              <w:t xml:space="preserve">527,5</w:t>
            </w:r>
          </w:p>
        </w:tc>
        <w:tc>
          <w:tcPr/>
          <w:p>
            <w:pPr>
              <w:pStyle w:val="Tabla9"/>
              <w:jc w:val="left"/>
            </w:pPr>
            <w:r>
              <w:t xml:space="preserve">527,5</w:t>
            </w:r>
          </w:p>
        </w:tc>
        <w:tc>
          <w:tcPr/>
          <w:p>
            <w:pPr>
              <w:pStyle w:val="Tabla9"/>
              <w:jc w:val="left"/>
            </w:pPr>
            <w:r>
              <w:t xml:space="preserve">2.110,0</w:t>
            </w:r>
          </w:p>
        </w:tc>
      </w:tr>
      <w:tr>
        <w:trPr>
          <w:cantSplit/>
        </w:trPr>
        <w:tc>
          <w:tcPr/>
          <w:p>
            <w:pPr>
              <w:pStyle w:val="Tabla9"/>
              <w:jc w:val="left"/>
            </w:pPr>
            <w:r>
              <w:t xml:space="preserve">Egresos totales</w:t>
            </w:r>
          </w:p>
        </w:tc>
        <w:tc>
          <w:tcPr/>
          <w:p>
            <w:pPr>
              <w:pStyle w:val="Tabla9"/>
              <w:jc w:val="left"/>
            </w:pPr>
            <w:r>
              <w:t xml:space="preserve">3.085,4</w:t>
            </w:r>
          </w:p>
        </w:tc>
        <w:tc>
          <w:tcPr/>
          <w:p>
            <w:pPr>
              <w:pStyle w:val="Tabla9"/>
              <w:jc w:val="left"/>
            </w:pPr>
            <w:r>
              <w:t xml:space="preserve">2.332,2</w:t>
            </w:r>
          </w:p>
        </w:tc>
        <w:tc>
          <w:tcPr/>
          <w:p>
            <w:pPr>
              <w:pStyle w:val="Tabla9"/>
              <w:jc w:val="left"/>
            </w:pPr>
            <w:r>
              <w:t xml:space="preserve">3.024,7</w:t>
            </w:r>
          </w:p>
        </w:tc>
        <w:tc>
          <w:tcPr/>
          <w:p>
            <w:pPr>
              <w:pStyle w:val="Tabla9"/>
              <w:jc w:val="left"/>
            </w:pPr>
            <w:r>
              <w:t xml:space="preserve">2.397,4</w:t>
            </w:r>
          </w:p>
        </w:tc>
        <w:tc>
          <w:tcPr/>
          <w:p>
            <w:pPr>
              <w:pStyle w:val="Tabla9"/>
              <w:jc w:val="left"/>
            </w:pPr>
            <w:r>
              <w:t xml:space="preserve">10.839,8</w:t>
            </w:r>
          </w:p>
        </w:tc>
      </w:tr>
      <w:tr>
        <w:trPr>
          <w:cantSplit/>
        </w:trPr>
        <w:tc>
          <w:tcPr/>
          <w:p>
            <w:pPr>
              <w:pStyle w:val="Tabla9"/>
              <w:jc w:val="left"/>
            </w:pPr>
            <w:r>
              <w:t xml:space="preserve">Ingresos propios</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r>
      <w:tr>
        <w:trPr>
          <w:cantSplit/>
        </w:trPr>
        <w:tc>
          <w:tcPr/>
          <w:p>
            <w:pPr>
              <w:pStyle w:val="Tabla9"/>
              <w:jc w:val="left"/>
            </w:pPr>
            <w:r>
              <w:t xml:space="preserve">Egreso total acumulado</w:t>
            </w:r>
          </w:p>
        </w:tc>
        <w:tc>
          <w:tcPr/>
          <w:p>
            <w:pPr>
              <w:pStyle w:val="Tabla9"/>
              <w:jc w:val="left"/>
            </w:pPr>
            <w:r>
              <w:t xml:space="preserve">3.085,4</w:t>
            </w:r>
          </w:p>
        </w:tc>
        <w:tc>
          <w:tcPr/>
          <w:p>
            <w:pPr>
              <w:pStyle w:val="Tabla9"/>
              <w:jc w:val="left"/>
            </w:pPr>
            <w:r>
              <w:t xml:space="preserve">5.417,7</w:t>
            </w:r>
          </w:p>
        </w:tc>
        <w:tc>
          <w:tcPr/>
          <w:p>
            <w:pPr>
              <w:pStyle w:val="Tabla9"/>
              <w:jc w:val="left"/>
            </w:pPr>
            <w:r>
              <w:t xml:space="preserve">8.442,4</w:t>
            </w:r>
          </w:p>
        </w:tc>
        <w:tc>
          <w:tcPr/>
          <w:p>
            <w:pPr>
              <w:pStyle w:val="Tabla9"/>
              <w:jc w:val="left"/>
            </w:pPr>
            <w:r>
              <w:t xml:space="preserve">10.839,8</w:t>
            </w:r>
          </w:p>
        </w:tc>
        <w:tc>
          <w:tcPr/>
          <w:p>
            <w:pPr>
              <w:pStyle w:val="Tabla9"/>
              <w:jc w:val="left"/>
            </w:pPr>
            <w:r>
              <w:t xml:space="preserve">10.839,8</w:t>
            </w:r>
          </w:p>
        </w:tc>
      </w:tr>
      <w:tr>
        <w:trPr>
          <w:cantSplit/>
        </w:trPr>
        <w:tc>
          <w:tcPr/>
          <w:p>
            <w:pPr>
              <w:pStyle w:val="Tabla9"/>
              <w:jc w:val="left"/>
            </w:pPr>
            <w:r>
              <w:t xml:space="preserve">Ejecución acumulada (%)</w:t>
            </w:r>
          </w:p>
        </w:tc>
        <w:tc>
          <w:tcPr/>
          <w:p>
            <w:pPr>
              <w:pStyle w:val="Tabla9"/>
              <w:jc w:val="left"/>
            </w:pPr>
            <w:r>
              <w:t xml:space="preserve">28,5</w:t>
            </w:r>
          </w:p>
        </w:tc>
        <w:tc>
          <w:tcPr/>
          <w:p>
            <w:pPr>
              <w:pStyle w:val="Tabla9"/>
              <w:jc w:val="left"/>
            </w:pPr>
            <w:r>
              <w:t xml:space="preserve">50,0</w:t>
            </w:r>
          </w:p>
        </w:tc>
        <w:tc>
          <w:tcPr/>
          <w:p>
            <w:pPr>
              <w:pStyle w:val="Tabla9"/>
              <w:jc w:val="left"/>
            </w:pPr>
            <w:r>
              <w:t xml:space="preserve">77,9</w:t>
            </w:r>
          </w:p>
        </w:tc>
        <w:tc>
          <w:tcPr/>
          <w:p>
            <w:pPr>
              <w:pStyle w:val="Tabla9"/>
              <w:jc w:val="left"/>
            </w:pPr>
            <w:r>
              <w:t xml:space="preserve">100,0</w:t>
            </w:r>
          </w:p>
        </w:tc>
        <w:tc>
          <w:tcPr/>
          <w:p>
            <w:pPr>
              <w:pStyle w:val="Tabla9"/>
              <w:jc w:val="left"/>
            </w:pPr>
            <w:r>
              <w:t xml:space="preserve">—</w:t>
            </w:r>
          </w:p>
        </w:tc>
      </w:tr>
    </w:tbl>
    <w:p>
      <w:pPr>
        <w:pStyle w:val="TablaNota"/>
      </w:pPr>
      <w:r>
        <w:rPr>
          <w:i/>
          <w:iCs/>
        </w:rPr>
        <w:t xml:space="preserve">Nota.</w:t>
      </w:r>
      <w:r>
        <w:t xml:space="preserve"> </w:t>
      </w:r>
      <w:r>
        <w:t xml:space="preserve">Elaboración propia con datos de maestro.py. Egreso programado, no desembolso: la programación de desembolsos del SGR no se aportó (VACIO). La reserva de contingencia se distribuye de forma uniforme. Naturaleza: CALCULADO. Decimales con coma.</w:t>
      </w:r>
    </w:p>
    <w:p>
      <w:pPr>
        <w:pStyle w:val="FiguraRotulo"/>
      </w:pPr>
      <w:bookmarkStart w:id="9568" w:name="rot_Figura_X6_4"/>
      <w:r>
        <w:rPr>
          <w:b/>
          <w:bCs/>
        </w:rPr>
        <w:t xml:space="preserve">Figura X6.4</w:t>
      </w:r>
      <w:bookmarkEnd w:id="9568"/>
    </w:p>
    <w:p>
      <w:pPr>
        <w:pStyle w:val="FiguraTitulo"/>
      </w:pPr>
      <w:r>
        <w:rPr>
          <w:i/>
          <w:iCs/>
        </w:rPr>
        <w:t xml:space="preserve">El 50,0 % de la inversión programada se ejecuta en los primeros 12 meses</w:t>
      </w:r>
    </w:p>
    <w:p>
      <w:pPr>
        <w:pStyle w:val="BodyText"/>
      </w:pPr>
      <w:r>
        <w:drawing>
          <wp:inline>
            <wp:extent cx="5579999" cy="3662397"/>
            <wp:effectExtent b="0" l="0" r="0" t="0"/>
            <wp:docPr descr="" title="" id="826" name="Picture"/>
            <a:graphic>
              <a:graphicData uri="http://schemas.openxmlformats.org/drawingml/2006/picture">
                <pic:pic>
                  <pic:nvPicPr>
                    <pic:cNvPr descr="/tmp/claude-0/-home-user-docs/ddf38714-2a7e-502b-92b4-1008e2832422/scratchpad/proy/figs/out/cX6_f04.png" id="827" name="Picture"/>
                    <pic:cNvPicPr>
                      <a:picLocks noChangeArrowheads="1" noChangeAspect="1"/>
                    </pic:cNvPicPr>
                  </pic:nvPicPr>
                  <pic:blipFill>
                    <a:blip r:embed="rId825"/>
                    <a:stretch>
                      <a:fillRect/>
                    </a:stretch>
                  </pic:blipFill>
                  <pic:spPr bwMode="auto">
                    <a:xfrm>
                      <a:off x="0" y="0"/>
                      <a:ext cx="5579999" cy="366239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Ejecución acumulada mensual con distribución uniforme por línea y compras por tramo en los meses 5, 13 y 18. Python 3 y matplotlib; script cX6_figs.py; sin semilla; corte del 13 de octubre de 2026.</w:t>
      </w:r>
    </w:p>
    <w:p>
      <w:pPr>
        <w:pStyle w:val="BodyText"/>
      </w:pPr>
      <w:r>
        <w:t xml:space="preserve">La ejecución llega a 28,5 % al mes 6, 50,0 % al mes 12 y 77,9 % al mes 18. El SGR presenta tres picos mensuales que coinciden con las compras de cada tramo. El pico es de $ 755,5 millones en el mes 5, de $ 685,7 millones en el mes 13 y de $ 607,1 millones en el mes 18. La compra del tramo 2 ocurre después de la compuerta C1 y la del tramo 3 después de la compuerta C2. La curva refleja así el control de las compuertas. La reserva se distribuye de forma uniforme ($ 26,5 millones por mes), pero solo se ejecuta si un riesgo se materializa. Sin ella, la ejecución programada del SGR sería de $ 8.093,8 millones.</w:t>
      </w:r>
    </w:p>
    <w:bookmarkEnd w:id="828"/>
    <w:bookmarkStart w:id="829" w:name="_Toc00900355"/>
    <w:p>
      <w:pPr>
        <w:pStyle w:val="Heading2"/>
      </w:pPr>
      <w:r>
        <w:t xml:space="preserve">X6.8 Conclusiones financieras</w:t>
      </w:r>
    </w:p>
    <w:p>
      <w:pPr>
        <w:pStyle w:val="FirstParagraph"/>
      </w:pPr>
      <w:r>
        <w:t xml:space="preserve">El análisis permite cuatro conclusiones. Primera, el SGR financia 80,5 % de la inversión de $ 10.839.840.000 y la contrapartida financia 19,5 %. El valor solicitado equivale a 62,4 % del tope declarado. Segunda, los costos fijos explican 73,2 % del SGR, de modo que el costo por nodo depende de la plataforma y del equipo humano. Tercera, el plazo y el personal generan las mayores variaciones del SGR, y la reserva solo cubre una devaluación de 20 %. Cuarta, los indicadores de rentabilidad son NO_APLICA. La eficiencia se juzga con el costo por output, el costo esperado por outcome y la comparación de alternativas.</w:t>
      </w:r>
    </w:p>
    <w:bookmarkEnd w:id="829"/>
    <w:bookmarkEnd w:id="830"/>
    <w:bookmarkStart w:id="836" w:name="_Toc00900356"/>
    <w:p>
      <w:pPr>
        <w:pStyle w:val="Heading1"/>
      </w:pPr>
      <w:r>
        <w:t xml:space="preserve">Documento 1000X-07. Roadmap tecnológico</w:t>
      </w:r>
    </w:p>
    <w:bookmarkStart w:id="834" w:name="_Toc00900357"/>
    <w:p>
      <w:pPr>
        <w:pStyle w:val="Heading2"/>
      </w:pPr>
      <w:r>
        <w:t xml:space="preserve">X7.1 Carriles y horizontes</w:t>
      </w:r>
    </w:p>
    <w:p>
      <w:pPr>
        <w:pStyle w:val="FirstParagraph"/>
      </w:pPr>
      <w:r>
        <w:t xml:space="preserve">El roadmap ordena la evolución tecnológica del proyecto en cuatro carriles y tres horizontes. Los carriles son mercado y necesidades, productos y servicios, tecnologías, y recursos y capacidades. Hay tres horizontes. El año 1 abarca los meses 1 a 12. Los años 2 y 3 abarcan los meses 13 a 36. Los años 4 y 5 o más comienzan en el mes 37. El proyecto financiado dura 24 meses. El seguimiento posproyecto de 12 meses cubre los meses 25 a 36 (PROPUESTO). Los años 4 y 5 quedan fuera del plazo y del presupuesto, de modo que su contenido es condicionado. La Figura X7.1 presenta el conjunto y la Tabla X7.1 detalla cada celda.</w:t>
      </w:r>
    </w:p>
    <w:p>
      <w:pPr>
        <w:pStyle w:val="FiguraRotulo"/>
      </w:pPr>
      <w:bookmarkStart w:id="9569" w:name="rot_Figura_X7_1"/>
      <w:r>
        <w:rPr>
          <w:b/>
          <w:bCs/>
        </w:rPr>
        <w:t xml:space="preserve">Figura X7.1</w:t>
      </w:r>
      <w:bookmarkEnd w:id="9569"/>
    </w:p>
    <w:p>
      <w:pPr>
        <w:pStyle w:val="FiguraTitulo"/>
      </w:pPr>
      <w:r>
        <w:rPr>
          <w:i/>
          <w:iCs/>
        </w:rPr>
        <w:t xml:space="preserve">El TRL pasa de 4 a 7 en 24 meses y el TRL 8 queda condicionado a evaluación independiente</w:t>
      </w:r>
    </w:p>
    <w:p>
      <w:pPr>
        <w:pStyle w:val="BodyText"/>
      </w:pPr>
      <w:r>
        <w:drawing>
          <wp:inline>
            <wp:extent cx="5579999" cy="3696561"/>
            <wp:effectExtent b="0" l="0" r="0" t="0"/>
            <wp:docPr descr="" title="" id="832" name="Picture"/>
            <a:graphic>
              <a:graphicData uri="http://schemas.openxmlformats.org/drawingml/2006/picture">
                <pic:pic>
                  <pic:nvPicPr>
                    <pic:cNvPr descr="/tmp/claude-0/-home-user-docs/ddf38714-2a7e-502b-92b4-1008e2832422/scratchpad/proy/figs/out/cX7_f01.png" id="833" name="Picture"/>
                    <pic:cNvPicPr>
                      <a:picLocks noChangeArrowheads="1" noChangeAspect="1"/>
                    </pic:cNvPicPr>
                  </pic:nvPicPr>
                  <pic:blipFill>
                    <a:blip r:embed="rId831"/>
                    <a:stretch>
                      <a:fillRect/>
                    </a:stretch>
                  </pic:blipFill>
                  <pic:spPr bwMode="auto">
                    <a:xfrm>
                      <a:off x="0" y="0"/>
                      <a:ext cx="5579999" cy="36965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fechas e hitos de la ficha maestra (cronograma de 104 semanas y compuertas C1, C2 y C3). El seguimiento posproyecto y los años 4 a 5 son PROPUESTOS o condicionados; el estilo de borde y relleno distingue las tres condiciones. Python 3 y matplotlib; script cX7_f01.py; sin semilla; corte del 13 de octubre de 2026.</w:t>
      </w:r>
    </w:p>
    <w:p>
      <w:pPr>
        <w:pStyle w:val="TablaRotulo"/>
      </w:pPr>
      <w:bookmarkStart w:id="9450" w:name="rot_Tabla_X7_1"/>
      <w:r>
        <w:rPr>
          <w:b/>
          <w:bCs/>
        </w:rPr>
        <w:t xml:space="preserve">Tabla X7.1</w:t>
      </w:r>
      <w:bookmarkEnd w:id="9450"/>
    </w:p>
    <w:p>
      <w:pPr>
        <w:pStyle w:val="TablaTitulo"/>
      </w:pPr>
      <w:r>
        <w:rPr>
          <w:i/>
          <w:iCs/>
        </w:rPr>
        <w:t xml:space="preserve">Matriz de carriles y horizontes del roadmap tecnológico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74"/>
        <w:gridCol w:w="1570"/>
        <w:gridCol w:w="1832"/>
        <w:gridCol w:w="1570"/>
        <w:gridCol w:w="1570"/>
      </w:tblGrid>
      <w:tr>
        <w:trPr>
          <w:cantSplit/>
          <w:tblHeader/>
        </w:trPr>
        <w:tc>
          <w:tcPr>
            <w:shd w:val="clear" w:color="auto" w:fill="00B050"/>
          </w:tcPr>
          <w:p>
            <w:pPr>
              <w:pStyle w:val="Tabla9"/>
              <w:jc w:val="center"/>
            </w:pPr>
            <w:r>
              <w:rPr>
                <w:b/>
                <w:color w:val="FFFFFF"/>
              </w:rPr>
              <w:t xml:space="preserve">Carril</w:t>
            </w:r>
          </w:p>
        </w:tc>
        <w:tc>
          <w:tcPr>
            <w:shd w:val="clear" w:color="auto" w:fill="00B050"/>
          </w:tcPr>
          <w:p>
            <w:pPr>
              <w:pStyle w:val="Tabla9"/>
              <w:jc w:val="center"/>
            </w:pPr>
            <w:r>
              <w:rPr>
                <w:b/>
                <w:color w:val="FFFFFF"/>
              </w:rPr>
              <w:t xml:space="preserve">Año 1 (meses 1 a 12)</w:t>
            </w:r>
          </w:p>
        </w:tc>
        <w:tc>
          <w:tcPr>
            <w:shd w:val="clear" w:color="auto" w:fill="00B050"/>
          </w:tcPr>
          <w:p>
            <w:pPr>
              <w:pStyle w:val="Tabla9"/>
              <w:jc w:val="center"/>
            </w:pPr>
            <w:r>
              <w:rPr>
                <w:b/>
                <w:color w:val="FFFFFF"/>
              </w:rPr>
              <w:t xml:space="preserve">Años 2 y 3: meses 13 a 24</w:t>
            </w:r>
          </w:p>
        </w:tc>
        <w:tc>
          <w:tcPr>
            <w:shd w:val="clear" w:color="auto" w:fill="00B050"/>
          </w:tcPr>
          <w:p>
            <w:pPr>
              <w:pStyle w:val="Tabla9"/>
              <w:jc w:val="center"/>
            </w:pPr>
            <w:r>
              <w:rPr>
                <w:b/>
                <w:color w:val="FFFFFF"/>
              </w:rPr>
              <w:t xml:space="preserve">Años 2 y 3: meses 25 a 36</w:t>
            </w:r>
          </w:p>
        </w:tc>
        <w:tc>
          <w:tcPr>
            <w:shd w:val="clear" w:color="auto" w:fill="00B050"/>
          </w:tcPr>
          <w:p>
            <w:pPr>
              <w:pStyle w:val="Tabla9"/>
              <w:jc w:val="center"/>
            </w:pPr>
            <w:r>
              <w:rPr>
                <w:b/>
                <w:color w:val="FFFFFF"/>
              </w:rPr>
              <w:t xml:space="preserve">Años 4 y 5 o más</w:t>
            </w:r>
          </w:p>
        </w:tc>
      </w:tr>
      <w:tr>
        <w:trPr>
          <w:cantSplit/>
        </w:trPr>
        <w:tc>
          <w:tcPr/>
          <w:p>
            <w:pPr>
              <w:pStyle w:val="Tabla9"/>
              <w:jc w:val="left"/>
            </w:pPr>
            <w:r>
              <w:t xml:space="preserve">Mercado y necesidades</w:t>
            </w:r>
          </w:p>
        </w:tc>
        <w:tc>
          <w:tcPr/>
          <w:p>
            <w:pPr>
              <w:pStyle w:val="Tabla9"/>
              <w:jc w:val="left"/>
            </w:pPr>
            <w:r>
              <w:t xml:space="preserve">Línea base de error por departamento y umbrales locales en co-diseño</w:t>
            </w:r>
          </w:p>
        </w:tc>
        <w:tc>
          <w:tcPr/>
          <w:p>
            <w:pPr>
              <w:pStyle w:val="Tabla9"/>
              <w:jc w:val="left"/>
            </w:pPr>
            <w:r>
              <w:t xml:space="preserve">Uso del tablero por 15 comités (≥ 75 % al mes 24) y convenios con partida</w:t>
            </w:r>
          </w:p>
        </w:tc>
        <w:tc>
          <w:tcPr/>
          <w:p>
            <w:pPr>
              <w:pStyle w:val="Tabla9"/>
              <w:jc w:val="left"/>
            </w:pPr>
            <w:r>
              <w:t xml:space="preserve">Activación del protocolo (≥ 80 %) y continuidad de la red (≥ 70 %), medidas tras el cierre</w:t>
            </w:r>
          </w:p>
        </w:tc>
        <w:tc>
          <w:tcPr/>
          <w:p>
            <w:pPr>
              <w:pStyle w:val="Tabla9"/>
              <w:jc w:val="left"/>
            </w:pPr>
            <w:r>
              <w:t xml:space="preserve">Otras zonas de posdesastre y otras redes, condicionado a TdR y custodios</w:t>
            </w:r>
          </w:p>
        </w:tc>
      </w:tr>
      <w:tr>
        <w:trPr>
          <w:cantSplit/>
        </w:trPr>
        <w:tc>
          <w:tcPr/>
          <w:p>
            <w:pPr>
              <w:pStyle w:val="Tabla9"/>
              <w:jc w:val="left"/>
            </w:pPr>
            <w:r>
              <w:t xml:space="preserve">Productos y servicios</w:t>
            </w:r>
          </w:p>
        </w:tc>
        <w:tc>
          <w:tcPr/>
          <w:p>
            <w:pPr>
              <w:pStyle w:val="Tabla9"/>
              <w:jc w:val="left"/>
            </w:pPr>
            <w:r>
              <w:t xml:space="preserve">Versión 1.0: 30 nodos, 3 gateways, modelo de corrección y tablero piloto</w:t>
            </w:r>
          </w:p>
        </w:tc>
        <w:tc>
          <w:tcPr/>
          <w:p>
            <w:pPr>
              <w:pStyle w:val="Tabla9"/>
              <w:jc w:val="left"/>
            </w:pPr>
            <w:r>
              <w:t xml:space="preserve">Versión 2.0 (70 nodos, mes 17) y versión 3.0 (100 nodos y 10 gateways, mes 19); registro DNDA</w:t>
            </w:r>
          </w:p>
        </w:tc>
        <w:tc>
          <w:tcPr/>
          <w:p>
            <w:pPr>
              <w:pStyle w:val="Tabla9"/>
              <w:jc w:val="left"/>
            </w:pPr>
            <w:r>
              <w:t xml:space="preserve">Versión 3.x operada por custodios y evaluación externa posproyecto</w:t>
            </w:r>
          </w:p>
        </w:tc>
        <w:tc>
          <w:tcPr/>
          <w:p>
            <w:pPr>
              <w:pStyle w:val="Tabla9"/>
              <w:jc w:val="left"/>
            </w:pPr>
            <w:r>
              <w:t xml:space="preserve">Opciones sin presupuestar: más nodos, un cuarto tramo y un año adicional de custodia</w:t>
            </w:r>
          </w:p>
        </w:tc>
      </w:tr>
      <w:tr>
        <w:trPr>
          <w:cantSplit/>
        </w:trPr>
        <w:tc>
          <w:tcPr/>
          <w:p>
            <w:pPr>
              <w:pStyle w:val="Tabla9"/>
              <w:jc w:val="left"/>
            </w:pPr>
            <w:r>
              <w:t xml:space="preserve">Tecnologías</w:t>
            </w:r>
          </w:p>
        </w:tc>
        <w:tc>
          <w:tcPr/>
          <w:p>
            <w:pPr>
              <w:pStyle w:val="Tabla9"/>
              <w:jc w:val="left"/>
            </w:pPr>
            <w:r>
              <w:t xml:space="preserve">Actuales: sensor óptico, LoRa, celular y solar. A desarrollar: corrección en el gateway</w:t>
            </w:r>
          </w:p>
        </w:tc>
        <w:tc>
          <w:tcPr/>
          <w:p>
            <w:pPr>
              <w:pStyle w:val="Tabla9"/>
              <w:jc w:val="left"/>
            </w:pPr>
            <w:r>
              <w:t xml:space="preserve">Reentrenamiento por departamento, enlace satelital alterno y ensayo independiente</w:t>
            </w:r>
          </w:p>
        </w:tc>
        <w:tc>
          <w:tcPr/>
          <w:p>
            <w:pPr>
              <w:pStyle w:val="Tabla9"/>
              <w:jc w:val="left"/>
            </w:pPr>
            <w:r>
              <w:t xml:space="preserve">Mantenimiento del modelo con datos de la custodia</w:t>
            </w:r>
          </w:p>
        </w:tc>
        <w:tc>
          <w:tcPr/>
          <w:p>
            <w:pPr>
              <w:pStyle w:val="Tabla9"/>
              <w:jc w:val="left"/>
            </w:pPr>
            <w:r>
              <w:t xml:space="preserve">A evaluar con evidencia: corrección en el nodo (fuera de alcance, DEC-F02)</w:t>
            </w:r>
          </w:p>
        </w:tc>
      </w:tr>
      <w:tr>
        <w:trPr>
          <w:cantSplit/>
        </w:trPr>
        <w:tc>
          <w:tcPr/>
          <w:p>
            <w:pPr>
              <w:pStyle w:val="Tabla9"/>
              <w:jc w:val="left"/>
            </w:pPr>
            <w:r>
              <w:t xml:space="preserve">Recursos y capacidades</w:t>
            </w:r>
          </w:p>
        </w:tc>
        <w:tc>
          <w:tcPr/>
          <w:p>
            <w:pPr>
              <w:pStyle w:val="Tabla9"/>
              <w:jc w:val="left"/>
            </w:pPr>
            <w:r>
              <w:t xml:space="preserve">Equipo contratado (mes 2), 3 referencias gravimétricas y banco de calibración</w:t>
            </w:r>
          </w:p>
        </w:tc>
        <w:tc>
          <w:tcPr/>
          <w:p>
            <w:pPr>
              <w:pStyle w:val="Tabla9"/>
              <w:jc w:val="left"/>
            </w:pPr>
            <w:r>
              <w:t xml:space="preserve">60 personas certificadas y 29 actividades de apropiación social</w:t>
            </w:r>
          </w:p>
        </w:tc>
        <w:tc>
          <w:tcPr/>
          <w:p>
            <w:pPr>
              <w:pStyle w:val="Tabla9"/>
              <w:jc w:val="left"/>
            </w:pPr>
            <w:r>
              <w:t xml:space="preserve">Custodios con partida y competencia (≥ 70 % a 12 meses)</w:t>
            </w:r>
          </w:p>
        </w:tc>
        <w:tc>
          <w:tcPr/>
          <w:p>
            <w:pPr>
              <w:pStyle w:val="Tabla9"/>
              <w:jc w:val="left"/>
            </w:pPr>
            <w:r>
              <w:t xml:space="preserve">Alianzas: comités, UNGRD, alcaldías, custodios y laboratorios</w:t>
            </w:r>
          </w:p>
        </w:tc>
      </w:tr>
    </w:tbl>
    <w:p>
      <w:pPr>
        <w:pStyle w:val="TablaNota"/>
      </w:pPr>
      <w:r>
        <w:rPr>
          <w:i/>
          <w:iCs/>
        </w:rPr>
        <w:t xml:space="preserve">Nota.</w:t>
      </w:r>
      <w:r>
        <w:t xml:space="preserve"> </w:t>
      </w:r>
      <w:r>
        <w:t xml:space="preserve">Elaboración propia con datos de la ficha maestra e indicadores PERS. Naturaleza: PROPUESTO. El seguimiento de los meses 25 a 36 y los años 4 y 5 son PROPUESTOS o condicionados a los términos de referencia.</w:t>
      </w:r>
    </w:p>
    <w:p>
      <w:pPr>
        <w:pStyle w:val="BodyText"/>
      </w:pPr>
      <w:r>
        <w:t xml:space="preserve">El carril de mercado y necesidades parte de una necesidad documentada. Solo 28 de 1.122 municipios cuentan con estaciones utilizables para estimar la carga (Rodríguez-Villamizar et al., 2022, pp. 3 y 6). Además, 90,8 % de las 5.076 estaciones de la red nacional propuesta serían sensores sin plan de calibración (Murad Pedraza et al., 2026, pp. 10-11 y 13). Esa proporción es un cálculo del analista (CALCULADO). En el año 1 el proyecto mide la línea base de error por departamento. En los años 2 y 3 convierte esa medición en uso institucional. Los años 4 y 5 dependen de que existan custodios con financiación.</w:t>
      </w:r>
    </w:p>
    <w:p>
      <w:pPr>
        <w:pStyle w:val="BodyText"/>
      </w:pPr>
      <w:r>
        <w:t xml:space="preserve">El carril de productos define tres versiones. La versión 1.0 es el piloto del tramo 1, con 30 nodos y 3 gateways. La versión 2.0 amplía la red a 70 nodos al mes 17. La versión 3.0 completa 100 nodos y 10 gateways al mes 19. Además, registra el software ante la Dirección Nacional de Derecho de Autor (DNDA). Después del cierre, los custodios operan la versión 3.x. Las opciones de ampliación, como más nodos o un cuarto tramo, no están presupuestadas.</w:t>
      </w:r>
    </w:p>
    <w:p>
      <w:pPr>
        <w:pStyle w:val="BodyText"/>
      </w:pPr>
      <w:r>
        <w:t xml:space="preserve">El carril de tecnologías separa lo existente, lo que se desarrolla y lo que se evalúa. Existen el sensor óptico de bajo costo, la transmisión LoRa, la red celular y la energía solar. Se desarrollan la corrección en el gateway, el gemelo digital y el tablero. La corrección ocurre en un solo lugar, el gateway (DEC-F02). La corrección en el nodo queda fuera del alcance y solo se reevaluaría con evidencia de desempeño del gateway.</w:t>
      </w:r>
    </w:p>
    <w:p>
      <w:pPr>
        <w:pStyle w:val="BodyText"/>
      </w:pPr>
      <w:r>
        <w:t xml:space="preserve">El carril de recursos y capacidades pasa del personal contratado al mes 2 a una capacidad instalada en los custodios. La meta es contar con 60 personas certificadas o más. El proyecto compromete 29 actividades de apropiación social, 20 talleres y 9 jornadas. Las alianzas requeridas son cinco. La primera es la Unidad Nacional para la Gestión del Riesgo de Desastres (UNGRD). Las otras son los comités de gestión del riesgo, las alcaldías, los custodios y los laboratorios.</w:t>
      </w:r>
    </w:p>
    <w:bookmarkEnd w:id="834"/>
    <w:bookmarkStart w:id="835" w:name="_Toc00900358"/>
    <w:p>
      <w:pPr>
        <w:pStyle w:val="Heading2"/>
      </w:pPr>
      <w:r>
        <w:t xml:space="preserve">X7.2 Escala de madurez tecnológica</w:t>
      </w:r>
    </w:p>
    <w:p>
      <w:pPr>
        <w:pStyle w:val="FirstParagraph"/>
      </w:pPr>
      <w:r>
        <w:t xml:space="preserve">El nivel de madurez tecnológica (TRL) describe una tecnología en nueve niveles (Mankins, 1995). El proyecto parte del TRL 4 y llega al TRL 7 (PROPUESTO). El expediente E3 declaraba el TRL 8. La ficha maestra fija el TRL 7, porque el sistema se demuestra en un entorno operativo sin calificación formal. La Tabla X7.2 asocia cada nivel con su evidencia y su compuerta.</w:t>
      </w:r>
    </w:p>
    <w:p>
      <w:pPr>
        <w:pStyle w:val="TablaRotulo"/>
      </w:pPr>
      <w:bookmarkStart w:id="9451" w:name="rot_Tabla_X7_2"/>
      <w:r>
        <w:rPr>
          <w:b/>
          <w:bCs/>
        </w:rPr>
        <w:t xml:space="preserve">Tabla X7.2</w:t>
      </w:r>
      <w:bookmarkEnd w:id="9451"/>
    </w:p>
    <w:p>
      <w:pPr>
        <w:pStyle w:val="TablaTitulo"/>
      </w:pPr>
      <w:r>
        <w:rPr>
          <w:i/>
          <w:iCs/>
        </w:rPr>
        <w:t xml:space="preserve">Escala TRL del proyecto con evidencia de salida, hito y mes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660"/>
        <w:gridCol w:w="1518"/>
        <w:gridCol w:w="1848"/>
        <w:gridCol w:w="1188"/>
        <w:gridCol w:w="990"/>
        <w:gridCol w:w="1716"/>
      </w:tblGrid>
      <w:tr>
        <w:trPr>
          <w:cantSplit/>
          <w:tblHeader/>
        </w:trPr>
        <w:tc>
          <w:tcPr>
            <w:shd w:val="clear" w:color="auto" w:fill="00B050"/>
          </w:tcPr>
          <w:p>
            <w:pPr>
              <w:pStyle w:val="Tabla9"/>
              <w:jc w:val="center"/>
            </w:pPr>
            <w:r>
              <w:rPr>
                <w:b/>
                <w:color w:val="FFFFFF"/>
              </w:rPr>
              <w:t xml:space="preserve">TRL</w:t>
            </w:r>
          </w:p>
        </w:tc>
        <w:tc>
          <w:tcPr>
            <w:shd w:val="clear" w:color="auto" w:fill="00B050"/>
          </w:tcPr>
          <w:p>
            <w:pPr>
              <w:pStyle w:val="Tabla9"/>
              <w:jc w:val="center"/>
            </w:pPr>
            <w:r>
              <w:rPr>
                <w:b/>
                <w:color w:val="FFFFFF"/>
              </w:rPr>
              <w:t xml:space="preserve">Definición</w:t>
            </w:r>
          </w:p>
        </w:tc>
        <w:tc>
          <w:tcPr>
            <w:shd w:val="clear" w:color="auto" w:fill="00B050"/>
          </w:tcPr>
          <w:p>
            <w:pPr>
              <w:pStyle w:val="Tabla9"/>
              <w:jc w:val="center"/>
            </w:pPr>
            <w:r>
              <w:rPr>
                <w:b/>
                <w:color w:val="FFFFFF"/>
              </w:rPr>
              <w:t xml:space="preserve">Evidencia de salida</w:t>
            </w:r>
          </w:p>
        </w:tc>
        <w:tc>
          <w:tcPr>
            <w:shd w:val="clear" w:color="auto" w:fill="00B050"/>
          </w:tcPr>
          <w:p>
            <w:pPr>
              <w:pStyle w:val="Tabla9"/>
              <w:jc w:val="center"/>
            </w:pPr>
            <w:r>
              <w:rPr>
                <w:b/>
                <w:color w:val="FFFFFF"/>
              </w:rPr>
              <w:t xml:space="preserve">Hito o compuerta</w:t>
            </w:r>
          </w:p>
        </w:tc>
        <w:tc>
          <w:tcPr>
            <w:shd w:val="clear" w:color="auto" w:fill="00B050"/>
          </w:tcPr>
          <w:p>
            <w:pPr>
              <w:pStyle w:val="Tabla9"/>
              <w:jc w:val="center"/>
            </w:pPr>
            <w:r>
              <w:rPr>
                <w:b/>
                <w:color w:val="FFFFFF"/>
              </w:rPr>
              <w:t xml:space="preserve">Mes</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4</w:t>
            </w:r>
          </w:p>
        </w:tc>
        <w:tc>
          <w:tcPr/>
          <w:p>
            <w:pPr>
              <w:pStyle w:val="Tabla9"/>
              <w:jc w:val="left"/>
            </w:pPr>
            <w:r>
              <w:t xml:space="preserve">Validación de componentes en laboratorio</w:t>
            </w:r>
          </w:p>
        </w:tc>
        <w:tc>
          <w:tcPr/>
          <w:p>
            <w:pPr>
              <w:pStyle w:val="Tabla9"/>
              <w:jc w:val="left"/>
            </w:pPr>
            <w:r>
              <w:t xml:space="preserve">Caracterización de nodos y referencias en el banco de calibración</w:t>
            </w:r>
          </w:p>
        </w:tc>
        <w:tc>
          <w:tcPr/>
          <w:p>
            <w:pPr>
              <w:pStyle w:val="Tabla9"/>
              <w:jc w:val="left"/>
            </w:pPr>
            <w:r>
              <w:t xml:space="preserve">Inicio y H1</w:t>
            </w:r>
          </w:p>
        </w:tc>
        <w:tc>
          <w:tcPr/>
          <w:p>
            <w:pPr>
              <w:pStyle w:val="Tabla9"/>
              <w:jc w:val="left"/>
            </w:pPr>
            <w:r>
              <w:t xml:space="preserve">0 a 4</w:t>
            </w:r>
          </w:p>
        </w:tc>
        <w:tc>
          <w:tcPr/>
          <w:p>
            <w:pPr>
              <w:pStyle w:val="Tabla9"/>
              <w:jc w:val="left"/>
            </w:pPr>
            <w:r>
              <w:t xml:space="preserve">DECLARADO (TRL inicial)</w:t>
            </w:r>
          </w:p>
        </w:tc>
      </w:tr>
      <w:tr>
        <w:trPr>
          <w:cantSplit/>
        </w:trPr>
        <w:tc>
          <w:tcPr/>
          <w:p>
            <w:pPr>
              <w:pStyle w:val="Tabla9"/>
              <w:jc w:val="left"/>
            </w:pPr>
            <w:r>
              <w:t xml:space="preserve">5</w:t>
            </w:r>
          </w:p>
        </w:tc>
        <w:tc>
          <w:tcPr/>
          <w:p>
            <w:pPr>
              <w:pStyle w:val="Tabla9"/>
              <w:jc w:val="left"/>
            </w:pPr>
            <w:r>
              <w:t xml:space="preserve">Validación de componentes en entorno relevante</w:t>
            </w:r>
          </w:p>
        </w:tc>
        <w:tc>
          <w:tcPr/>
          <w:p>
            <w:pPr>
              <w:pStyle w:val="Tabla9"/>
              <w:jc w:val="left"/>
            </w:pPr>
            <w:r>
              <w:t xml:space="preserve">Línea base de error medida; NRMSE y R² frente a referencia en el piloto</w:t>
            </w:r>
          </w:p>
        </w:tc>
        <w:tc>
          <w:tcPr/>
          <w:p>
            <w:pPr>
              <w:pStyle w:val="Tabla9"/>
              <w:jc w:val="left"/>
            </w:pPr>
            <w:r>
              <w:t xml:space="preserve">H2 y C1</w:t>
            </w:r>
          </w:p>
        </w:tc>
        <w:tc>
          <w:tcPr/>
          <w:p>
            <w:pPr>
              <w:pStyle w:val="Tabla9"/>
              <w:jc w:val="left"/>
            </w:pPr>
            <w:r>
              <w:t xml:space="preserve">10 y 12</w:t>
            </w:r>
          </w:p>
        </w:tc>
        <w:tc>
          <w:tcPr/>
          <w:p>
            <w:pPr>
              <w:pStyle w:val="Tabla9"/>
              <w:jc w:val="left"/>
            </w:pPr>
            <w:r>
              <w:t xml:space="preserve">PROPUESTO</w:t>
            </w:r>
          </w:p>
        </w:tc>
      </w:tr>
      <w:tr>
        <w:trPr>
          <w:cantSplit/>
        </w:trPr>
        <w:tc>
          <w:tcPr/>
          <w:p>
            <w:pPr>
              <w:pStyle w:val="Tabla9"/>
              <w:jc w:val="left"/>
            </w:pPr>
            <w:r>
              <w:t xml:space="preserve">6</w:t>
            </w:r>
          </w:p>
        </w:tc>
        <w:tc>
          <w:tcPr/>
          <w:p>
            <w:pPr>
              <w:pStyle w:val="Tabla9"/>
              <w:jc w:val="left"/>
            </w:pPr>
            <w:r>
              <w:t xml:space="preserve">Demostración de prototipo en entorno relevante</w:t>
            </w:r>
          </w:p>
        </w:tc>
        <w:tc>
          <w:tcPr/>
          <w:p>
            <w:pPr>
              <w:pStyle w:val="Tabla9"/>
              <w:jc w:val="left"/>
            </w:pPr>
            <w:r>
              <w:t xml:space="preserve">Tramo 2 verificado; uso del tablero y convenios de custodia</w:t>
            </w:r>
          </w:p>
        </w:tc>
        <w:tc>
          <w:tcPr/>
          <w:p>
            <w:pPr>
              <w:pStyle w:val="Tabla9"/>
              <w:jc w:val="left"/>
            </w:pPr>
            <w:r>
              <w:t xml:space="preserve">H4 y C2</w:t>
            </w:r>
          </w:p>
        </w:tc>
        <w:tc>
          <w:tcPr/>
          <w:p>
            <w:pPr>
              <w:pStyle w:val="Tabla9"/>
              <w:jc w:val="left"/>
            </w:pPr>
            <w:r>
              <w:t xml:space="preserve">16 y 17</w:t>
            </w:r>
          </w:p>
        </w:tc>
        <w:tc>
          <w:tcPr/>
          <w:p>
            <w:pPr>
              <w:pStyle w:val="Tabla9"/>
              <w:jc w:val="left"/>
            </w:pPr>
            <w:r>
              <w:t xml:space="preserve">PROPUESTO</w:t>
            </w:r>
          </w:p>
        </w:tc>
      </w:tr>
      <w:tr>
        <w:trPr>
          <w:cantSplit/>
        </w:trPr>
        <w:tc>
          <w:tcPr/>
          <w:p>
            <w:pPr>
              <w:pStyle w:val="Tabla9"/>
              <w:jc w:val="left"/>
            </w:pPr>
            <w:r>
              <w:t xml:space="preserve">7</w:t>
            </w:r>
          </w:p>
        </w:tc>
        <w:tc>
          <w:tcPr/>
          <w:p>
            <w:pPr>
              <w:pStyle w:val="Tabla9"/>
              <w:jc w:val="left"/>
            </w:pPr>
            <w:r>
              <w:t xml:space="preserve">Demostración de prototipo en entorno operativo</w:t>
            </w:r>
          </w:p>
        </w:tc>
        <w:tc>
          <w:tcPr/>
          <w:p>
            <w:pPr>
              <w:pStyle w:val="Tabla9"/>
              <w:jc w:val="left"/>
            </w:pPr>
            <w:r>
              <w:t xml:space="preserve">Inventario de 100 nodos y 10 gateways; ensayo independiente</w:t>
            </w:r>
          </w:p>
        </w:tc>
        <w:tc>
          <w:tcPr/>
          <w:p>
            <w:pPr>
              <w:pStyle w:val="Tabla9"/>
              <w:jc w:val="left"/>
            </w:pPr>
            <w:r>
              <w:t xml:space="preserve">H6, H7 y H8</w:t>
            </w:r>
          </w:p>
        </w:tc>
        <w:tc>
          <w:tcPr/>
          <w:p>
            <w:pPr>
              <w:pStyle w:val="Tabla9"/>
              <w:jc w:val="left"/>
            </w:pPr>
            <w:r>
              <w:t xml:space="preserve">19, 23 y 24</w:t>
            </w:r>
          </w:p>
        </w:tc>
        <w:tc>
          <w:tcPr/>
          <w:p>
            <w:pPr>
              <w:pStyle w:val="Tabla9"/>
              <w:jc w:val="left"/>
            </w:pPr>
            <w:r>
              <w:t xml:space="preserve">PROPUESTO (TRL final)</w:t>
            </w:r>
          </w:p>
        </w:tc>
      </w:tr>
      <w:tr>
        <w:trPr>
          <w:cantSplit/>
        </w:trPr>
        <w:tc>
          <w:tcPr/>
          <w:p>
            <w:pPr>
              <w:pStyle w:val="Tabla9"/>
              <w:jc w:val="left"/>
            </w:pPr>
            <w:r>
              <w:t xml:space="preserve">8</w:t>
            </w:r>
          </w:p>
        </w:tc>
        <w:tc>
          <w:tcPr/>
          <w:p>
            <w:pPr>
              <w:pStyle w:val="Tabla9"/>
              <w:jc w:val="left"/>
            </w:pPr>
            <w:r>
              <w:t xml:space="preserve">Sistema completo calificado</w:t>
            </w:r>
          </w:p>
        </w:tc>
        <w:tc>
          <w:tcPr/>
          <w:p>
            <w:pPr>
              <w:pStyle w:val="Tabla9"/>
              <w:jc w:val="left"/>
            </w:pPr>
            <w:r>
              <w:t xml:space="preserve">Evaluación de desempeño independiente con calificación</w:t>
            </w:r>
          </w:p>
        </w:tc>
        <w:tc>
          <w:tcPr/>
          <w:p>
            <w:pPr>
              <w:pStyle w:val="Tabla9"/>
              <w:jc w:val="left"/>
            </w:pPr>
            <w:r>
              <w:t xml:space="preserve">Posterior al cierre</w:t>
            </w:r>
          </w:p>
        </w:tc>
        <w:tc>
          <w:tcPr/>
          <w:p>
            <w:pPr>
              <w:pStyle w:val="Tabla9"/>
              <w:jc w:val="left"/>
            </w:pPr>
            <w:r>
              <w:t xml:space="preserve">Después del mes 24</w:t>
            </w:r>
          </w:p>
        </w:tc>
        <w:tc>
          <w:tcPr/>
          <w:p>
            <w:pPr>
              <w:pStyle w:val="Tabla9"/>
              <w:jc w:val="left"/>
            </w:pPr>
            <w:r>
              <w:t xml:space="preserve">PROPUESTO (condicionado)</w:t>
            </w:r>
          </w:p>
        </w:tc>
      </w:tr>
    </w:tbl>
    <w:p>
      <w:pPr>
        <w:pStyle w:val="TablaNota"/>
      </w:pPr>
      <w:r>
        <w:rPr>
          <w:i/>
          <w:iCs/>
        </w:rPr>
        <w:t xml:space="preserve">Nota.</w:t>
      </w:r>
      <w:r>
        <w:t xml:space="preserve"> </w:t>
      </w:r>
      <w:r>
        <w:t xml:space="preserve">Elaboración propia con definiciones de Mankins (1995) y con hitos de la ficha maestra. El TRL 8 está condicionado a una evaluación independiente que el plazo no cubre (DEC-F05).</w:t>
      </w:r>
    </w:p>
    <w:p>
      <w:pPr>
        <w:pStyle w:val="BodyText"/>
      </w:pPr>
      <w:r>
        <w:t xml:space="preserve">El ensayo independiente del mes 23 verifica el desempeño, pero no califica el sistema completo. El TRL 8 requiere una evaluación de desempeño independiente que el plazo de 24 meses no cubre (DEC-F05). Esa evaluación es la primera condición para los años 4 y 5. Las otras condiciones son los términos de referencia, la financiación de los custodios y la continuidad de la red. Mientras no se cumplan, el horizonte 3 se mantiene como opción y no como compromiso.</w:t>
      </w:r>
    </w:p>
    <w:bookmarkEnd w:id="835"/>
    <w:bookmarkEnd w:id="836"/>
    <w:bookmarkStart w:id="843" w:name="_Toc00900359"/>
    <w:p>
      <w:pPr>
        <w:pStyle w:val="Heading1"/>
      </w:pPr>
      <w:r>
        <w:t xml:space="preserve">Documento 1000X-08. Mapa de interesados</w:t>
      </w:r>
    </w:p>
    <w:bookmarkStart w:id="837" w:name="_Toc00900360"/>
    <w:p>
      <w:pPr>
        <w:pStyle w:val="Heading2"/>
      </w:pPr>
      <w:r>
        <w:t xml:space="preserve">X8.1 Identificación de los interesados</w:t>
      </w:r>
    </w:p>
    <w:p>
      <w:pPr>
        <w:pStyle w:val="FirstParagraph"/>
      </w:pPr>
      <w:r>
        <w:t xml:space="preserve">El proyecto involucra a 18 interesados en tres grupos. Cuatro son internos, nueve son externos primarios y cinco son externos secundarios. Los internos son la entidad ejecutora, la gerencia de proyecto y los equipos técnico y social. Los externos primarios reciben resultados, financian o custodian la red. Los externos secundarios verifican, abastecen o evalúan. La Tabla X8.1 registra a cada uno con un rol genérico, porque los nombres corresponden al usuario.</w:t>
      </w:r>
    </w:p>
    <w:p>
      <w:pPr>
        <w:pStyle w:val="BodyText"/>
      </w:pPr>
      <w:r>
        <w:t xml:space="preserve">Los interesados internos responden por la ejecución. La institución de educación superior (IES) ejecutora responde ante el financiador por los resultados y aporta $ 1.100.000.000 en especie. La gerencia de proyecto controla plazo, presupuesto y compuertas. El equipo técnico valida el modelo de corrección y opera la red. El equipo social co-diseña los umbrales con los comités y negocia los convenios de custodia.</w:t>
      </w:r>
    </w:p>
    <w:p>
      <w:pPr>
        <w:pStyle w:val="BodyText"/>
      </w:pPr>
      <w:r>
        <w:t xml:space="preserve">Los externos primarios reciben el resultado o lo habilitan. El financiador es el Sistema General de Regalías (SGR) con el Ministerio de Ciencia, Tecnología e Innovación (MinCiencias). Recibe resultados verificables e informes de seguimiento. La empresa tecnológica aporta $ 210.000.000 en efectivo y $ 800.000.000 en especie, con certificaciones pendientes. La Unidad Nacional para la Gestión del Riesgo de Desastres (UNGRD) articula el protocolo con el sistema nacional.</w:t>
      </w:r>
    </w:p>
    <w:p>
      <w:pPr>
        <w:pStyle w:val="BodyText"/>
      </w:pPr>
      <w:r>
        <w:t xml:space="preserve">La identificación usa el modelo de saliencia de Mitchell et al. (1997). El modelo clasifica a los interesados por poder, legitimidad y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Los operarios y la población poseen legitimidad y urgencia, pero poco poder.</w:t>
      </w:r>
    </w:p>
    <w:p>
      <w:pPr>
        <w:pStyle w:val="TablaRotulo"/>
      </w:pPr>
      <w:bookmarkStart w:id="9452" w:name="rot_Tabla_X8_1"/>
      <w:r>
        <w:rPr>
          <w:b/>
          <w:bCs/>
        </w:rPr>
        <w:t xml:space="preserve">Tabla X8.1</w:t>
      </w:r>
      <w:bookmarkEnd w:id="9452"/>
    </w:p>
    <w:p>
      <w:pPr>
        <w:pStyle w:val="TablaTitulo"/>
      </w:pPr>
      <w:r>
        <w:rPr>
          <w:i/>
          <w:iCs/>
        </w:rPr>
        <w:t xml:space="preserve">Registro de interesados con roles genéricos y nombres pendientes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32"/>
        <w:gridCol w:w="1331"/>
        <w:gridCol w:w="1930"/>
        <w:gridCol w:w="2395"/>
        <w:gridCol w:w="1730"/>
      </w:tblGrid>
      <w:tr>
        <w:trPr>
          <w:cantSplit/>
          <w:tblHeader/>
        </w:trPr>
        <w:tc>
          <w:tcPr>
            <w:shd w:val="clear" w:color="auto" w:fill="00B050"/>
          </w:tcPr>
          <w:p>
            <w:pPr>
              <w:pStyle w:val="Tabla9"/>
              <w:jc w:val="center"/>
            </w:pPr>
            <w:r>
              <w:rPr>
                <w:b/>
                <w:color w:val="FFFFFF"/>
              </w:rPr>
              <w:t xml:space="preserve">Id</w:t>
            </w:r>
          </w:p>
        </w:tc>
        <w:tc>
          <w:tcPr>
            <w:shd w:val="clear" w:color="auto" w:fill="00B050"/>
          </w:tcPr>
          <w:p>
            <w:pPr>
              <w:pStyle w:val="Tabla9"/>
              <w:jc w:val="center"/>
            </w:pPr>
            <w:r>
              <w:rPr>
                <w:b/>
                <w:color w:val="FFFFFF"/>
              </w:rPr>
              <w:t xml:space="preserve">Grupo</w:t>
            </w:r>
          </w:p>
        </w:tc>
        <w:tc>
          <w:tcPr>
            <w:shd w:val="clear" w:color="auto" w:fill="00B050"/>
          </w:tcPr>
          <w:p>
            <w:pPr>
              <w:pStyle w:val="Tabla9"/>
              <w:jc w:val="center"/>
            </w:pPr>
            <w:r>
              <w:rPr>
                <w:b/>
                <w:color w:val="FFFFFF"/>
              </w:rPr>
              <w:t xml:space="preserve">Rol genérico</w:t>
            </w:r>
          </w:p>
        </w:tc>
        <w:tc>
          <w:tcPr>
            <w:shd w:val="clear" w:color="auto" w:fill="00B050"/>
          </w:tcPr>
          <w:p>
            <w:pPr>
              <w:pStyle w:val="Tabla9"/>
              <w:jc w:val="center"/>
            </w:pPr>
            <w:r>
              <w:rPr>
                <w:b/>
                <w:color w:val="FFFFFF"/>
              </w:rPr>
              <w:t xml:space="preserve">Nombre</w:t>
            </w:r>
          </w:p>
        </w:tc>
        <w:tc>
          <w:tcPr>
            <w:shd w:val="clear" w:color="auto" w:fill="00B050"/>
          </w:tcPr>
          <w:p>
            <w:pPr>
              <w:pStyle w:val="Tabla9"/>
              <w:jc w:val="center"/>
            </w:pPr>
            <w:r>
              <w:rPr>
                <w:b/>
                <w:color w:val="FFFFFF"/>
              </w:rPr>
              <w:t xml:space="preserve">Aporte o expectativa principal</w:t>
            </w:r>
          </w:p>
        </w:tc>
      </w:tr>
      <w:tr>
        <w:trPr>
          <w:cantSplit/>
        </w:trPr>
        <w:tc>
          <w:tcPr/>
          <w:p>
            <w:pPr>
              <w:pStyle w:val="Tabla9"/>
              <w:jc w:val="left"/>
            </w:pPr>
            <w:r>
              <w:t xml:space="preserve">S01</w:t>
            </w:r>
          </w:p>
        </w:tc>
        <w:tc>
          <w:tcPr/>
          <w:p>
            <w:pPr>
              <w:pStyle w:val="Tabla9"/>
              <w:jc w:val="left"/>
            </w:pPr>
            <w:r>
              <w:t xml:space="preserve">Interno</w:t>
            </w:r>
          </w:p>
        </w:tc>
        <w:tc>
          <w:tcPr/>
          <w:p>
            <w:pPr>
              <w:pStyle w:val="Tabla9"/>
              <w:jc w:val="left"/>
            </w:pPr>
            <w:r>
              <w:t xml:space="preserve">Entidad ejecutora (IES con acreditación de alta calidad)</w:t>
            </w:r>
          </w:p>
        </w:tc>
        <w:tc>
          <w:tcPr/>
          <w:p>
            <w:pPr>
              <w:pStyle w:val="Tabla9"/>
              <w:jc w:val="left"/>
            </w:pPr>
            <w:r>
              <w:t xml:space="preserve">[DATO_USUARIO: nombre de la IES ejecutora]</w:t>
            </w:r>
          </w:p>
        </w:tc>
        <w:tc>
          <w:tcPr/>
          <w:p>
            <w:pPr>
              <w:pStyle w:val="Tabla9"/>
              <w:jc w:val="left"/>
            </w:pPr>
            <w:r>
              <w:t xml:space="preserve">Ejecuta, aporta 1.100 millones en especie y responde por los resultados</w:t>
            </w:r>
          </w:p>
        </w:tc>
      </w:tr>
      <w:tr>
        <w:trPr>
          <w:cantSplit/>
        </w:trPr>
        <w:tc>
          <w:tcPr/>
          <w:p>
            <w:pPr>
              <w:pStyle w:val="Tabla9"/>
              <w:jc w:val="left"/>
            </w:pPr>
            <w:r>
              <w:t xml:space="preserve">S02</w:t>
            </w:r>
          </w:p>
        </w:tc>
        <w:tc>
          <w:tcPr/>
          <w:p>
            <w:pPr>
              <w:pStyle w:val="Tabla9"/>
              <w:jc w:val="left"/>
            </w:pPr>
            <w:r>
              <w:t xml:space="preserve">Interno</w:t>
            </w:r>
          </w:p>
        </w:tc>
        <w:tc>
          <w:tcPr/>
          <w:p>
            <w:pPr>
              <w:pStyle w:val="Tabla9"/>
              <w:jc w:val="left"/>
            </w:pPr>
            <w:r>
              <w:t xml:space="preserve">Gerencia de proyecto</w:t>
            </w:r>
          </w:p>
        </w:tc>
        <w:tc>
          <w:tcPr/>
          <w:p>
            <w:pPr>
              <w:pStyle w:val="Tabla9"/>
              <w:jc w:val="left"/>
            </w:pPr>
            <w:r>
              <w:t xml:space="preserve">[DATO_USUARIO: nombre de la persona gerente]</w:t>
            </w:r>
          </w:p>
        </w:tc>
        <w:tc>
          <w:tcPr/>
          <w:p>
            <w:pPr>
              <w:pStyle w:val="Tabla9"/>
              <w:jc w:val="left"/>
            </w:pPr>
            <w:r>
              <w:t xml:space="preserve">Cumple plazos, presupuesto y compuertas</w:t>
            </w:r>
          </w:p>
        </w:tc>
      </w:tr>
      <w:tr>
        <w:trPr>
          <w:cantSplit/>
        </w:trPr>
        <w:tc>
          <w:tcPr/>
          <w:p>
            <w:pPr>
              <w:pStyle w:val="Tabla9"/>
              <w:jc w:val="left"/>
            </w:pPr>
            <w:r>
              <w:t xml:space="preserve">S03</w:t>
            </w:r>
          </w:p>
        </w:tc>
        <w:tc>
          <w:tcPr/>
          <w:p>
            <w:pPr>
              <w:pStyle w:val="Tabla9"/>
              <w:jc w:val="left"/>
            </w:pPr>
            <w:r>
              <w:t xml:space="preserve">Interno</w:t>
            </w:r>
          </w:p>
        </w:tc>
        <w:tc>
          <w:tcPr/>
          <w:p>
            <w:pPr>
              <w:pStyle w:val="Tabla9"/>
              <w:jc w:val="left"/>
            </w:pPr>
            <w:r>
              <w:t xml:space="preserve">Equipo técnico (datos, metrología, IoT, firmware, software y análisis espacial)</w:t>
            </w:r>
          </w:p>
        </w:tc>
        <w:tc>
          <w:tcPr/>
          <w:p>
            <w:pPr>
              <w:pStyle w:val="Tabla9"/>
              <w:jc w:val="left"/>
            </w:pPr>
            <w:r>
              <w:t xml:space="preserve">[DATO_USUARIO: nombres del equipo técnico]</w:t>
            </w:r>
          </w:p>
        </w:tc>
        <w:tc>
          <w:tcPr/>
          <w:p>
            <w:pPr>
              <w:pStyle w:val="Tabla9"/>
              <w:jc w:val="left"/>
            </w:pPr>
            <w:r>
              <w:t xml:space="preserve">Valida el modelo de corrección y opera la red</w:t>
            </w:r>
          </w:p>
        </w:tc>
      </w:tr>
      <w:tr>
        <w:trPr>
          <w:cantSplit/>
        </w:trPr>
        <w:tc>
          <w:tcPr/>
          <w:p>
            <w:pPr>
              <w:pStyle w:val="Tabla9"/>
              <w:jc w:val="left"/>
            </w:pPr>
            <w:r>
              <w:t xml:space="preserve">S04</w:t>
            </w:r>
          </w:p>
        </w:tc>
        <w:tc>
          <w:tcPr/>
          <w:p>
            <w:pPr>
              <w:pStyle w:val="Tabla9"/>
              <w:jc w:val="left"/>
            </w:pPr>
            <w:r>
              <w:t xml:space="preserve">Interno</w:t>
            </w:r>
          </w:p>
        </w:tc>
        <w:tc>
          <w:tcPr/>
          <w:p>
            <w:pPr>
              <w:pStyle w:val="Tabla9"/>
              <w:jc w:val="left"/>
            </w:pPr>
            <w:r>
              <w:t xml:space="preserve">Equipo de apropiación social, calidad del aire y convenios</w:t>
            </w:r>
          </w:p>
        </w:tc>
        <w:tc>
          <w:tcPr/>
          <w:p>
            <w:pPr>
              <w:pStyle w:val="Tabla9"/>
              <w:jc w:val="left"/>
            </w:pPr>
            <w:r>
              <w:t xml:space="preserve">[DATO_USUARIO: nombres del equipo]</w:t>
            </w:r>
          </w:p>
        </w:tc>
        <w:tc>
          <w:tcPr/>
          <w:p>
            <w:pPr>
              <w:pStyle w:val="Tabla9"/>
              <w:jc w:val="left"/>
            </w:pPr>
            <w:r>
              <w:t xml:space="preserve">Co-diseña con los comités y negocia los convenios</w:t>
            </w:r>
          </w:p>
        </w:tc>
      </w:tr>
      <w:tr>
        <w:trPr>
          <w:cantSplit/>
        </w:trPr>
        <w:tc>
          <w:tcPr/>
          <w:p>
            <w:pPr>
              <w:pStyle w:val="Tabla9"/>
              <w:jc w:val="left"/>
            </w:pPr>
            <w:r>
              <w:t xml:space="preserve">S05</w:t>
            </w:r>
          </w:p>
        </w:tc>
        <w:tc>
          <w:tcPr/>
          <w:p>
            <w:pPr>
              <w:pStyle w:val="Tabla9"/>
              <w:jc w:val="left"/>
            </w:pPr>
            <w:r>
              <w:t xml:space="preserve">Externo primario</w:t>
            </w:r>
          </w:p>
        </w:tc>
        <w:tc>
          <w:tcPr/>
          <w:p>
            <w:pPr>
              <w:pStyle w:val="Tabla9"/>
              <w:jc w:val="left"/>
            </w:pPr>
            <w:r>
              <w:t xml:space="preserve">Empresa tecnológica aliada</w:t>
            </w:r>
          </w:p>
        </w:tc>
        <w:tc>
          <w:tcPr/>
          <w:p>
            <w:pPr>
              <w:pStyle w:val="Tabla9"/>
              <w:jc w:val="left"/>
            </w:pPr>
            <w:r>
              <w:t xml:space="preserve">[DATO_USUARIO: nombre de la empresa]</w:t>
            </w:r>
          </w:p>
        </w:tc>
        <w:tc>
          <w:tcPr/>
          <w:p>
            <w:pPr>
              <w:pStyle w:val="Tabla9"/>
              <w:jc w:val="left"/>
            </w:pPr>
            <w:r>
              <w:t xml:space="preserve">Aporta 210 millones en efectivo y 800 millones en especie</w:t>
            </w:r>
          </w:p>
        </w:tc>
      </w:tr>
      <w:tr>
        <w:trPr>
          <w:cantSplit/>
        </w:trPr>
        <w:tc>
          <w:tcPr/>
          <w:p>
            <w:pPr>
              <w:pStyle w:val="Tabla9"/>
              <w:jc w:val="left"/>
            </w:pPr>
            <w:r>
              <w:t xml:space="preserve">S06</w:t>
            </w:r>
          </w:p>
        </w:tc>
        <w:tc>
          <w:tcPr/>
          <w:p>
            <w:pPr>
              <w:pStyle w:val="Tabla9"/>
              <w:jc w:val="left"/>
            </w:pPr>
            <w:r>
              <w:t xml:space="preserve">Externo primario</w:t>
            </w:r>
          </w:p>
        </w:tc>
        <w:tc>
          <w:tcPr/>
          <w:p>
            <w:pPr>
              <w:pStyle w:val="Tabla9"/>
              <w:jc w:val="left"/>
            </w:pPr>
            <w:r>
              <w:t xml:space="preserve">Financiador</w:t>
            </w:r>
          </w:p>
        </w:tc>
        <w:tc>
          <w:tcPr/>
          <w:p>
            <w:pPr>
              <w:pStyle w:val="Tabla9"/>
              <w:jc w:val="left"/>
            </w:pPr>
            <w:r>
              <w:t xml:space="preserve">SGR y MinCiencias</w:t>
            </w:r>
          </w:p>
        </w:tc>
        <w:tc>
          <w:tcPr/>
          <w:p>
            <w:pPr>
              <w:pStyle w:val="Tabla9"/>
              <w:jc w:val="left"/>
            </w:pPr>
            <w:r>
              <w:t xml:space="preserve">Recibe resultados verificables y ejecución presupuestal</w:t>
            </w:r>
          </w:p>
        </w:tc>
      </w:tr>
      <w:tr>
        <w:trPr>
          <w:cantSplit/>
        </w:trPr>
        <w:tc>
          <w:tcPr/>
          <w:p>
            <w:pPr>
              <w:pStyle w:val="Tabla9"/>
              <w:jc w:val="left"/>
            </w:pPr>
            <w:r>
              <w:t xml:space="preserve">S07</w:t>
            </w:r>
          </w:p>
        </w:tc>
        <w:tc>
          <w:tcPr/>
          <w:p>
            <w:pPr>
              <w:pStyle w:val="Tabla9"/>
              <w:jc w:val="left"/>
            </w:pPr>
            <w:r>
              <w:t xml:space="preserve">Externo primario</w:t>
            </w:r>
          </w:p>
        </w:tc>
        <w:tc>
          <w:tcPr/>
          <w:p>
            <w:pPr>
              <w:pStyle w:val="Tabla9"/>
              <w:jc w:val="left"/>
            </w:pPr>
            <w:r>
              <w:t xml:space="preserve">Comités municipales de gestión del riesgo (12)</w:t>
            </w:r>
          </w:p>
        </w:tc>
        <w:tc>
          <w:tcPr/>
          <w:p>
            <w:pPr>
              <w:pStyle w:val="Tabla9"/>
              <w:jc w:val="left"/>
            </w:pPr>
            <w:r>
              <w:t xml:space="preserve">[DATO_USUARIO: lista de municipios]</w:t>
            </w:r>
          </w:p>
        </w:tc>
        <w:tc>
          <w:tcPr/>
          <w:p>
            <w:pPr>
              <w:pStyle w:val="Tabla9"/>
              <w:jc w:val="left"/>
            </w:pPr>
            <w:r>
              <w:t xml:space="preserve">Usan el tablero en decisiones documentadas</w:t>
            </w:r>
          </w:p>
        </w:tc>
      </w:tr>
      <w:tr>
        <w:trPr>
          <w:cantSplit/>
        </w:trPr>
        <w:tc>
          <w:tcPr/>
          <w:p>
            <w:pPr>
              <w:pStyle w:val="Tabla9"/>
              <w:jc w:val="left"/>
            </w:pPr>
            <w:r>
              <w:t xml:space="preserve">S08</w:t>
            </w:r>
          </w:p>
        </w:tc>
        <w:tc>
          <w:tcPr/>
          <w:p>
            <w:pPr>
              <w:pStyle w:val="Tabla9"/>
              <w:jc w:val="left"/>
            </w:pPr>
            <w:r>
              <w:t xml:space="preserve">Externo primario</w:t>
            </w:r>
          </w:p>
        </w:tc>
        <w:tc>
          <w:tcPr/>
          <w:p>
            <w:pPr>
              <w:pStyle w:val="Tabla9"/>
              <w:jc w:val="left"/>
            </w:pPr>
            <w:r>
              <w:t xml:space="preserve">Comités departamentales de gestión del riesgo (3)</w:t>
            </w:r>
          </w:p>
        </w:tc>
        <w:tc>
          <w:tcPr/>
          <w:p>
            <w:pPr>
              <w:pStyle w:val="Tabla9"/>
              <w:jc w:val="left"/>
            </w:pPr>
            <w:r>
              <w:t xml:space="preserve">[DATO_USUARIO: nombres de los comités]</w:t>
            </w:r>
          </w:p>
        </w:tc>
        <w:tc>
          <w:tcPr/>
          <w:p>
            <w:pPr>
              <w:pStyle w:val="Tabla9"/>
              <w:jc w:val="left"/>
            </w:pPr>
            <w:r>
              <w:t xml:space="preserve">Coordinan la respuesta departamental</w:t>
            </w:r>
          </w:p>
        </w:tc>
      </w:tr>
      <w:tr>
        <w:trPr>
          <w:cantSplit/>
        </w:trPr>
        <w:tc>
          <w:tcPr/>
          <w:p>
            <w:pPr>
              <w:pStyle w:val="Tabla9"/>
              <w:jc w:val="left"/>
            </w:pPr>
            <w:r>
              <w:t xml:space="preserve">S09</w:t>
            </w:r>
          </w:p>
        </w:tc>
        <w:tc>
          <w:tcPr/>
          <w:p>
            <w:pPr>
              <w:pStyle w:val="Tabla9"/>
              <w:jc w:val="left"/>
            </w:pPr>
            <w:r>
              <w:t xml:space="preserve">Externo primario</w:t>
            </w:r>
          </w:p>
        </w:tc>
        <w:tc>
          <w:tcPr/>
          <w:p>
            <w:pPr>
              <w:pStyle w:val="Tabla9"/>
              <w:jc w:val="left"/>
            </w:pPr>
            <w:r>
              <w:t xml:space="preserve">Unidad Nacional para la Gestión del Riesgo de Desastres (UNGRD)</w:t>
            </w:r>
          </w:p>
        </w:tc>
        <w:tc>
          <w:tcPr/>
          <w:p>
            <w:pPr>
              <w:pStyle w:val="Tabla9"/>
              <w:jc w:val="left"/>
            </w:pPr>
            <w:r>
              <w:t xml:space="preserve">[DATO_USUARIO: dependencia y contacto]</w:t>
            </w:r>
          </w:p>
        </w:tc>
        <w:tc>
          <w:tcPr/>
          <w:p>
            <w:pPr>
              <w:pStyle w:val="Tabla9"/>
              <w:jc w:val="left"/>
            </w:pPr>
            <w:r>
              <w:t xml:space="preserve">Articula el protocolo con el sistema nacional</w:t>
            </w:r>
          </w:p>
        </w:tc>
      </w:tr>
      <w:tr>
        <w:trPr>
          <w:cantSplit/>
        </w:trPr>
        <w:tc>
          <w:tcPr/>
          <w:p>
            <w:pPr>
              <w:pStyle w:val="Tabla9"/>
              <w:jc w:val="left"/>
            </w:pPr>
            <w:r>
              <w:t xml:space="preserve">S10</w:t>
            </w:r>
          </w:p>
        </w:tc>
        <w:tc>
          <w:tcPr/>
          <w:p>
            <w:pPr>
              <w:pStyle w:val="Tabla9"/>
              <w:jc w:val="left"/>
            </w:pPr>
            <w:r>
              <w:t xml:space="preserve">Externo primario</w:t>
            </w:r>
          </w:p>
        </w:tc>
        <w:tc>
          <w:tcPr/>
          <w:p>
            <w:pPr>
              <w:pStyle w:val="Tabla9"/>
              <w:jc w:val="left"/>
            </w:pPr>
            <w:r>
              <w:t xml:space="preserve">Alcaldías de los municipios focalizados</w:t>
            </w:r>
          </w:p>
        </w:tc>
        <w:tc>
          <w:tcPr/>
          <w:p>
            <w:pPr>
              <w:pStyle w:val="Tabla9"/>
              <w:jc w:val="left"/>
            </w:pPr>
            <w:r>
              <w:t xml:space="preserve">[DATO_USUARIO: nombres de las alcaldías]</w:t>
            </w:r>
          </w:p>
        </w:tc>
        <w:tc>
          <w:tcPr/>
          <w:p>
            <w:pPr>
              <w:pStyle w:val="Tabla9"/>
              <w:jc w:val="left"/>
            </w:pPr>
            <w:r>
              <w:t xml:space="preserve">Deciden las partidas de custodia y no aportan contrapartida (VACIO)</w:t>
            </w:r>
          </w:p>
        </w:tc>
      </w:tr>
      <w:tr>
        <w:trPr>
          <w:cantSplit/>
        </w:trPr>
        <w:tc>
          <w:tcPr/>
          <w:p>
            <w:pPr>
              <w:pStyle w:val="Tabla9"/>
              <w:jc w:val="left"/>
            </w:pPr>
            <w:r>
              <w:t xml:space="preserve">S11</w:t>
            </w:r>
          </w:p>
        </w:tc>
        <w:tc>
          <w:tcPr/>
          <w:p>
            <w:pPr>
              <w:pStyle w:val="Tabla9"/>
              <w:jc w:val="left"/>
            </w:pPr>
            <w:r>
              <w:t xml:space="preserve">Externo primario</w:t>
            </w:r>
          </w:p>
        </w:tc>
        <w:tc>
          <w:tcPr/>
          <w:p>
            <w:pPr>
              <w:pStyle w:val="Tabla9"/>
              <w:jc w:val="left"/>
            </w:pPr>
            <w:r>
              <w:t xml:space="preserve">Custodios designados por tramo</w:t>
            </w:r>
          </w:p>
        </w:tc>
        <w:tc>
          <w:tcPr/>
          <w:p>
            <w:pPr>
              <w:pStyle w:val="Tabla9"/>
              <w:jc w:val="left"/>
            </w:pPr>
            <w:r>
              <w:t xml:space="preserve">[DATO_USUARIO: entidades custodias]</w:t>
            </w:r>
          </w:p>
        </w:tc>
        <w:tc>
          <w:tcPr/>
          <w:p>
            <w:pPr>
              <w:pStyle w:val="Tabla9"/>
              <w:jc w:val="left"/>
            </w:pPr>
            <w:r>
              <w:t xml:space="preserve">Operan la red después del cierre</w:t>
            </w:r>
          </w:p>
        </w:tc>
      </w:tr>
      <w:tr>
        <w:trPr>
          <w:cantSplit/>
        </w:trPr>
        <w:tc>
          <w:tcPr/>
          <w:p>
            <w:pPr>
              <w:pStyle w:val="Tabla9"/>
              <w:jc w:val="left"/>
            </w:pPr>
            <w:r>
              <w:t xml:space="preserve">S12</w:t>
            </w:r>
          </w:p>
        </w:tc>
        <w:tc>
          <w:tcPr/>
          <w:p>
            <w:pPr>
              <w:pStyle w:val="Tabla9"/>
              <w:jc w:val="left"/>
            </w:pPr>
            <w:r>
              <w:t xml:space="preserve">Externo primario</w:t>
            </w:r>
          </w:p>
        </w:tc>
        <w:tc>
          <w:tcPr/>
          <w:p>
            <w:pPr>
              <w:pStyle w:val="Tabla9"/>
              <w:jc w:val="left"/>
            </w:pPr>
            <w:r>
              <w:t xml:space="preserve">Operarios de remoción en sitios monitoreados</w:t>
            </w:r>
          </w:p>
        </w:tc>
        <w:tc>
          <w:tcPr/>
          <w:p>
            <w:pPr>
              <w:pStyle w:val="Tabla9"/>
              <w:jc w:val="left"/>
            </w:pPr>
            <w:r>
              <w:t xml:space="preserve">[DATO_USUARIO: número y organizaciones]</w:t>
            </w:r>
          </w:p>
        </w:tc>
        <w:tc>
          <w:tcPr/>
          <w:p>
            <w:pPr>
              <w:pStyle w:val="Tabla9"/>
              <w:jc w:val="left"/>
            </w:pPr>
            <w:r>
              <w:t xml:space="preserve">Reciben mediciones para proteger su trabajo</w:t>
            </w:r>
          </w:p>
        </w:tc>
      </w:tr>
      <w:tr>
        <w:trPr>
          <w:cantSplit/>
        </w:trPr>
        <w:tc>
          <w:tcPr/>
          <w:p>
            <w:pPr>
              <w:pStyle w:val="Tabla9"/>
              <w:jc w:val="left"/>
            </w:pPr>
            <w:r>
              <w:t xml:space="preserve">S13</w:t>
            </w:r>
          </w:p>
        </w:tc>
        <w:tc>
          <w:tcPr/>
          <w:p>
            <w:pPr>
              <w:pStyle w:val="Tabla9"/>
              <w:jc w:val="left"/>
            </w:pPr>
            <w:r>
              <w:t xml:space="preserve">Externo primario</w:t>
            </w:r>
          </w:p>
        </w:tc>
        <w:tc>
          <w:tcPr/>
          <w:p>
            <w:pPr>
              <w:pStyle w:val="Tabla9"/>
              <w:jc w:val="left"/>
            </w:pPr>
            <w:r>
              <w:t xml:space="preserve">Población expuesta en los municipios focalizados</w:t>
            </w:r>
          </w:p>
        </w:tc>
        <w:tc>
          <w:tcPr/>
          <w:p>
            <w:pPr>
              <w:pStyle w:val="Tabla9"/>
              <w:jc w:val="left"/>
            </w:pPr>
            <w:r>
              <w:t xml:space="preserve">No aplica (grupo)</w:t>
            </w:r>
          </w:p>
        </w:tc>
        <w:tc>
          <w:tcPr/>
          <w:p>
            <w:pPr>
              <w:pStyle w:val="Tabla9"/>
              <w:jc w:val="left"/>
            </w:pPr>
            <w:r>
              <w:t xml:space="preserve">Recibe información comprensible del índice</w:t>
            </w:r>
          </w:p>
        </w:tc>
      </w:tr>
      <w:tr>
        <w:trPr>
          <w:cantSplit/>
        </w:trPr>
        <w:tc>
          <w:tcPr/>
          <w:p>
            <w:pPr>
              <w:pStyle w:val="Tabla9"/>
              <w:jc w:val="left"/>
            </w:pPr>
            <w:r>
              <w:t xml:space="preserve">S14</w:t>
            </w:r>
          </w:p>
        </w:tc>
        <w:tc>
          <w:tcPr/>
          <w:p>
            <w:pPr>
              <w:pStyle w:val="Tabla9"/>
              <w:jc w:val="left"/>
            </w:pPr>
            <w:r>
              <w:t xml:space="preserve">Externo secundario</w:t>
            </w:r>
          </w:p>
        </w:tc>
        <w:tc>
          <w:tcPr/>
          <w:p>
            <w:pPr>
              <w:pStyle w:val="Tabla9"/>
              <w:jc w:val="left"/>
            </w:pPr>
            <w:r>
              <w:t xml:space="preserve">Autoridades ambientales y red nacional de calidad del aire</w:t>
            </w:r>
          </w:p>
        </w:tc>
        <w:tc>
          <w:tcPr/>
          <w:p>
            <w:pPr>
              <w:pStyle w:val="Tabla9"/>
              <w:jc w:val="left"/>
            </w:pPr>
            <w:r>
              <w:t xml:space="preserve">[DATO_USUARIO: entidades]</w:t>
            </w:r>
          </w:p>
        </w:tc>
        <w:tc>
          <w:tcPr/>
          <w:p>
            <w:pPr>
              <w:pStyle w:val="Tabla9"/>
              <w:jc w:val="left"/>
            </w:pPr>
            <w:r>
              <w:t xml:space="preserve">Verifican datos y normas aplicables</w:t>
            </w:r>
          </w:p>
        </w:tc>
      </w:tr>
      <w:tr>
        <w:trPr>
          <w:cantSplit/>
        </w:trPr>
        <w:tc>
          <w:tcPr/>
          <w:p>
            <w:pPr>
              <w:pStyle w:val="Tabla9"/>
              <w:jc w:val="left"/>
            </w:pPr>
            <w:r>
              <w:t xml:space="preserve">S15</w:t>
            </w:r>
          </w:p>
        </w:tc>
        <w:tc>
          <w:tcPr/>
          <w:p>
            <w:pPr>
              <w:pStyle w:val="Tabla9"/>
              <w:jc w:val="left"/>
            </w:pPr>
            <w:r>
              <w:t xml:space="preserve">Externo secundario</w:t>
            </w:r>
          </w:p>
        </w:tc>
        <w:tc>
          <w:tcPr/>
          <w:p>
            <w:pPr>
              <w:pStyle w:val="Tabla9"/>
              <w:jc w:val="left"/>
            </w:pPr>
            <w:r>
              <w:t xml:space="preserve">Laboratorio acreditado y laboratorio externo</w:t>
            </w:r>
          </w:p>
        </w:tc>
        <w:tc>
          <w:tcPr/>
          <w:p>
            <w:pPr>
              <w:pStyle w:val="Tabla9"/>
              <w:jc w:val="left"/>
            </w:pPr>
            <w:r>
              <w:t xml:space="preserve">[DATO_USUARIO: laboratorios]</w:t>
            </w:r>
          </w:p>
        </w:tc>
        <w:tc>
          <w:tcPr/>
          <w:p>
            <w:pPr>
              <w:pStyle w:val="Tabla9"/>
              <w:jc w:val="left"/>
            </w:pPr>
            <w:r>
              <w:t xml:space="preserve">Prestan análisis gravimétrico y ensayo de desempeño</w:t>
            </w:r>
          </w:p>
        </w:tc>
      </w:tr>
      <w:tr>
        <w:trPr>
          <w:cantSplit/>
        </w:trPr>
        <w:tc>
          <w:tcPr/>
          <w:p>
            <w:pPr>
              <w:pStyle w:val="Tabla9"/>
              <w:jc w:val="left"/>
            </w:pPr>
            <w:r>
              <w:t xml:space="preserve">S16</w:t>
            </w:r>
          </w:p>
        </w:tc>
        <w:tc>
          <w:tcPr/>
          <w:p>
            <w:pPr>
              <w:pStyle w:val="Tabla9"/>
              <w:jc w:val="left"/>
            </w:pPr>
            <w:r>
              <w:t xml:space="preserve">Externo secundario</w:t>
            </w:r>
          </w:p>
        </w:tc>
        <w:tc>
          <w:tcPr/>
          <w:p>
            <w:pPr>
              <w:pStyle w:val="Tabla9"/>
              <w:jc w:val="left"/>
            </w:pPr>
            <w:r>
              <w:t xml:space="preserve">Proveedores de equipos y de nube</w:t>
            </w:r>
          </w:p>
        </w:tc>
        <w:tc>
          <w:tcPr/>
          <w:p>
            <w:pPr>
              <w:pStyle w:val="Tabla9"/>
              <w:jc w:val="left"/>
            </w:pPr>
            <w:r>
              <w:t xml:space="preserve">[DATO_USUARIO: proveedores]</w:t>
            </w:r>
          </w:p>
        </w:tc>
        <w:tc>
          <w:tcPr/>
          <w:p>
            <w:pPr>
              <w:pStyle w:val="Tabla9"/>
              <w:jc w:val="left"/>
            </w:pPr>
            <w:r>
              <w:t xml:space="preserve">Entregan en plazo según los lotes por tramo</w:t>
            </w:r>
          </w:p>
        </w:tc>
      </w:tr>
      <w:tr>
        <w:trPr>
          <w:cantSplit/>
        </w:trPr>
        <w:tc>
          <w:tcPr/>
          <w:p>
            <w:pPr>
              <w:pStyle w:val="Tabla9"/>
              <w:jc w:val="left"/>
            </w:pPr>
            <w:r>
              <w:t xml:space="preserve">S17</w:t>
            </w:r>
          </w:p>
        </w:tc>
        <w:tc>
          <w:tcPr/>
          <w:p>
            <w:pPr>
              <w:pStyle w:val="Tabla9"/>
              <w:jc w:val="left"/>
            </w:pPr>
            <w:r>
              <w:t xml:space="preserve">Externo secundario</w:t>
            </w:r>
          </w:p>
        </w:tc>
        <w:tc>
          <w:tcPr/>
          <w:p>
            <w:pPr>
              <w:pStyle w:val="Tabla9"/>
              <w:jc w:val="left"/>
            </w:pPr>
            <w:r>
              <w:t xml:space="preserve">Comunidad científica y medios de divulgación</w:t>
            </w:r>
          </w:p>
        </w:tc>
        <w:tc>
          <w:tcPr/>
          <w:p>
            <w:pPr>
              <w:pStyle w:val="Tabla9"/>
              <w:jc w:val="left"/>
            </w:pPr>
            <w:r>
              <w:t xml:space="preserve">No aplica (grupo)</w:t>
            </w:r>
          </w:p>
        </w:tc>
        <w:tc>
          <w:tcPr/>
          <w:p>
            <w:pPr>
              <w:pStyle w:val="Tabla9"/>
              <w:jc w:val="left"/>
            </w:pPr>
            <w:r>
              <w:t xml:space="preserve">Reciben artículos y piezas de divulgación</w:t>
            </w:r>
          </w:p>
        </w:tc>
      </w:tr>
      <w:tr>
        <w:trPr>
          <w:cantSplit/>
        </w:trPr>
        <w:tc>
          <w:tcPr/>
          <w:p>
            <w:pPr>
              <w:pStyle w:val="Tabla9"/>
              <w:jc w:val="left"/>
            </w:pPr>
            <w:r>
              <w:t xml:space="preserve">S18</w:t>
            </w:r>
          </w:p>
        </w:tc>
        <w:tc>
          <w:tcPr/>
          <w:p>
            <w:pPr>
              <w:pStyle w:val="Tabla9"/>
              <w:jc w:val="left"/>
            </w:pPr>
            <w:r>
              <w:t xml:space="preserve">Externo secundario</w:t>
            </w:r>
          </w:p>
        </w:tc>
        <w:tc>
          <w:tcPr/>
          <w:p>
            <w:pPr>
              <w:pStyle w:val="Tabla9"/>
              <w:jc w:val="left"/>
            </w:pPr>
            <w:r>
              <w:t xml:space="preserve">Evaluación externa independiente</w:t>
            </w:r>
          </w:p>
        </w:tc>
        <w:tc>
          <w:tcPr/>
          <w:p>
            <w:pPr>
              <w:pStyle w:val="Tabla9"/>
              <w:jc w:val="left"/>
            </w:pPr>
            <w:r>
              <w:t xml:space="preserve">[DATO_USUARIO: evaluador]</w:t>
            </w:r>
          </w:p>
        </w:tc>
        <w:tc>
          <w:tcPr/>
          <w:p>
            <w:pPr>
              <w:pStyle w:val="Tabla9"/>
              <w:jc w:val="left"/>
            </w:pPr>
            <w:r>
              <w:t xml:space="preserve">Verifica los resultados en los meses 12 y 24</w:t>
            </w:r>
          </w:p>
        </w:tc>
      </w:tr>
    </w:tbl>
    <w:p>
      <w:pPr>
        <w:pStyle w:val="TablaNota"/>
      </w:pPr>
      <w:r>
        <w:rPr>
          <w:i/>
          <w:iCs/>
        </w:rPr>
        <w:t xml:space="preserve">Nota.</w:t>
      </w:r>
      <w:r>
        <w:t xml:space="preserve"> </w:t>
      </w:r>
      <w:r>
        <w:t xml:space="preserve">Elaboración propia con datos de la ficha maestra. Los roles son genéricos y los nombres corresponden al usuario [DATO_USUARIO]. El territorio y la alianza son SUPUESTOS por instrucción del usuario. Cifras de contrapartida DECLARADAS en el expediente E3.</w:t>
      </w:r>
    </w:p>
    <w:p>
      <w:pPr>
        <w:pStyle w:val="BodyText"/>
      </w:pPr>
      <w:r>
        <w:t xml:space="preserve">El territorio incluye 12 municipios, 4 por departamento (SUPUESTO). Los comités focalizados son 15, de los cuales 12 son municipales y 3 departamentales (SUPUESTO). Los funcionarios beneficiarios directos son 150, con 10 por comité (SUPUESTO). El número de operarios de remoción en los sitios monitoreados es [DATO_USUARIO: número de operarios]. Los nombres de las entidades y del personal siguen pendientes [DATO_USUARIO: nombres de los interesados].</w:t>
      </w:r>
    </w:p>
    <w:p>
      <w:pPr>
        <w:pStyle w:val="BodyText"/>
      </w:pPr>
      <w:r>
        <w:t xml:space="preserve">El registro muestra tres condiciones que afectan la gestión. Las alcaldías no aportan contrapartida (VACIO) y deciden las partidas de custodia. Los custodios asumen la red después del cierre. Los comités deciden si usan el tablero. Estas condiciones corresponden a los riesgos R-ORG-01 y R-ORG-02, que suman un valor monetario esperado de $ 96,0 millones (CALCULADO).</w:t>
      </w:r>
    </w:p>
    <w:bookmarkEnd w:id="837"/>
    <w:bookmarkStart w:id="841" w:name="_Toc00900361"/>
    <w:p>
      <w:pPr>
        <w:pStyle w:val="Heading2"/>
      </w:pPr>
      <w:r>
        <w:t xml:space="preserve">X8.2 Análisis de poder e interés</w:t>
      </w:r>
    </w:p>
    <w:p>
      <w:pPr>
        <w:pStyle w:val="FirstParagraph"/>
      </w:pPr>
      <w:r>
        <w:t xml:space="preserve">La matriz clasifica a cada interesado con dos valores en una escala de 1 a 10. El poder mide la capacidad de afectar la ejecución, los recursos o la continuidad. El interés mide cuánto afecta el resultado del proyecto al interesado. Un valor de 6 o más es alto. Las posiciones de la Figura X8.1 son PROPUESTAS por el equipo formulador y no provienen de una consulta. Requieren validación con el equipo de proyecto y con el financiador. La Tabla X8.2 resume los cuatro cuadrantes y su estrategia.</w:t>
      </w:r>
    </w:p>
    <w:p>
      <w:pPr>
        <w:pStyle w:val="FiguraRotulo"/>
      </w:pPr>
      <w:bookmarkStart w:id="9570" w:name="rot_Figura_X8_1"/>
      <w:r>
        <w:rPr>
          <w:b/>
          <w:bCs/>
        </w:rPr>
        <w:t xml:space="preserve">Figura X8.1</w:t>
      </w:r>
      <w:bookmarkEnd w:id="9570"/>
    </w:p>
    <w:p>
      <w:pPr>
        <w:pStyle w:val="FiguraTitulo"/>
      </w:pPr>
      <w:r>
        <w:rPr>
          <w:i/>
          <w:iCs/>
        </w:rPr>
        <w:t xml:space="preserve">8 de 18 interesados exigen gestión cercana y las alcaldías deben pasar a ese cuadrante antes de C2</w:t>
      </w:r>
    </w:p>
    <w:p>
      <w:pPr>
        <w:pStyle w:val="BodyText"/>
      </w:pPr>
      <w:r>
        <w:drawing>
          <wp:inline>
            <wp:extent cx="5579999" cy="3537907"/>
            <wp:effectExtent b="0" l="0" r="0" t="0"/>
            <wp:docPr descr="" title="" id="839" name="Picture"/>
            <a:graphic>
              <a:graphicData uri="http://schemas.openxmlformats.org/drawingml/2006/picture">
                <pic:pic>
                  <pic:nvPicPr>
                    <pic:cNvPr descr="/tmp/claude-0/-home-user-docs/ddf38714-2a7e-502b-92b4-1008e2832422/scratchpad/proy/figs/out/cX8_f01.png" id="840" name="Picture"/>
                    <pic:cNvPicPr>
                      <a:picLocks noChangeArrowheads="1" noChangeAspect="1"/>
                    </pic:cNvPicPr>
                  </pic:nvPicPr>
                  <pic:blipFill>
                    <a:blip r:embed="rId838"/>
                    <a:stretch>
                      <a:fillRect/>
                    </a:stretch>
                  </pic:blipFill>
                  <pic:spPr bwMode="auto">
                    <a:xfrm>
                      <a:off x="0" y="0"/>
                      <a:ext cx="5579999" cy="353790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posiciones PROPUESTAS de la tabla de registro (poder e interés, escala de 1 a 10, umbral de 6). Eje horizontal: interés; eje vertical: poder. Python 3 y matplotlib; script cX8_f01.py; sin semilla; corte del 13 de octubre de 2026.</w:t>
      </w:r>
    </w:p>
    <w:p>
      <w:pPr>
        <w:pStyle w:val="TablaRotulo"/>
      </w:pPr>
      <w:bookmarkStart w:id="9453" w:name="rot_Tabla_X8_2"/>
      <w:r>
        <w:rPr>
          <w:b/>
          <w:bCs/>
        </w:rPr>
        <w:t xml:space="preserve">Tabla X8.2</w:t>
      </w:r>
      <w:bookmarkEnd w:id="9453"/>
    </w:p>
    <w:p>
      <w:pPr>
        <w:pStyle w:val="TablaTitulo"/>
      </w:pPr>
      <w:r>
        <w:rPr>
          <w:i/>
          <w:iCs/>
        </w:rPr>
        <w:t xml:space="preserve">Clasificación de los interesados por cuadrante de poder e interés y estrategia asociada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924"/>
        <w:gridCol w:w="1782"/>
        <w:gridCol w:w="2310"/>
      </w:tblGrid>
      <w:tr>
        <w:trPr>
          <w:cantSplit/>
          <w:tblHeader/>
        </w:trPr>
        <w:tc>
          <w:tcPr>
            <w:shd w:val="clear" w:color="auto" w:fill="00B050"/>
          </w:tcPr>
          <w:p>
            <w:pPr>
              <w:pStyle w:val="Tabla9"/>
              <w:jc w:val="center"/>
            </w:pPr>
            <w:r>
              <w:rPr>
                <w:b/>
                <w:color w:val="FFFFFF"/>
              </w:rPr>
              <w:t xml:space="preserve">Cuadrante</w:t>
            </w:r>
          </w:p>
        </w:tc>
        <w:tc>
          <w:tcPr>
            <w:shd w:val="clear" w:color="auto" w:fill="00B050"/>
          </w:tcPr>
          <w:p>
            <w:pPr>
              <w:pStyle w:val="Tabla9"/>
              <w:jc w:val="center"/>
            </w:pPr>
            <w:r>
              <w:rPr>
                <w:b/>
                <w:color w:val="FFFFFF"/>
              </w:rPr>
              <w:t xml:space="preserve">Criterio</w:t>
            </w:r>
          </w:p>
        </w:tc>
        <w:tc>
          <w:tcPr>
            <w:shd w:val="clear" w:color="auto" w:fill="00B050"/>
          </w:tcPr>
          <w:p>
            <w:pPr>
              <w:pStyle w:val="Tabla9"/>
              <w:jc w:val="center"/>
            </w:pPr>
            <w:r>
              <w:rPr>
                <w:b/>
                <w:color w:val="FFFFFF"/>
              </w:rPr>
              <w:t xml:space="preserve">Número</w:t>
            </w:r>
          </w:p>
        </w:tc>
        <w:tc>
          <w:tcPr>
            <w:shd w:val="clear" w:color="auto" w:fill="00B050"/>
          </w:tcPr>
          <w:p>
            <w:pPr>
              <w:pStyle w:val="Tabla9"/>
              <w:jc w:val="center"/>
            </w:pPr>
            <w:r>
              <w:rPr>
                <w:b/>
                <w:color w:val="FFFFFF"/>
              </w:rPr>
              <w:t xml:space="preserve">Interesados</w:t>
            </w:r>
          </w:p>
        </w:tc>
        <w:tc>
          <w:tcPr>
            <w:shd w:val="clear" w:color="auto" w:fill="00B050"/>
          </w:tcPr>
          <w:p>
            <w:pPr>
              <w:pStyle w:val="Tabla9"/>
              <w:jc w:val="center"/>
            </w:pPr>
            <w:r>
              <w:rPr>
                <w:b/>
                <w:color w:val="FFFFFF"/>
              </w:rPr>
              <w:t xml:space="preserve">Estrategia</w:t>
            </w:r>
          </w:p>
        </w:tc>
      </w:tr>
      <w:tr>
        <w:trPr>
          <w:cantSplit/>
        </w:trPr>
        <w:tc>
          <w:tcPr/>
          <w:p>
            <w:pPr>
              <w:pStyle w:val="Tabla9"/>
              <w:jc w:val="left"/>
            </w:pPr>
            <w:r>
              <w:t xml:space="preserve">Gestionar de cerca</w:t>
            </w:r>
          </w:p>
        </w:tc>
        <w:tc>
          <w:tcPr/>
          <w:p>
            <w:pPr>
              <w:pStyle w:val="Tabla9"/>
              <w:jc w:val="left"/>
            </w:pPr>
            <w:r>
              <w:t xml:space="preserve">Poder ≥ 6 e interés ≥ 6</w:t>
            </w:r>
          </w:p>
        </w:tc>
        <w:tc>
          <w:tcPr/>
          <w:p>
            <w:pPr>
              <w:pStyle w:val="Tabla9"/>
              <w:jc w:val="left"/>
            </w:pPr>
            <w:r>
              <w:t xml:space="preserve">8</w:t>
            </w:r>
          </w:p>
        </w:tc>
        <w:tc>
          <w:tcPr/>
          <w:p>
            <w:pPr>
              <w:pStyle w:val="Tabla9"/>
              <w:jc w:val="left"/>
            </w:pPr>
            <w:r>
              <w:t xml:space="preserve">S01, S02, S05, S06, S07, S08, S09, S11</w:t>
            </w:r>
          </w:p>
        </w:tc>
        <w:tc>
          <w:tcPr/>
          <w:p>
            <w:pPr>
              <w:pStyle w:val="Tabla9"/>
              <w:jc w:val="left"/>
            </w:pPr>
            <w:r>
              <w:t xml:space="preserve">Decisiones conjuntas, reunión mensual y revisión en cada compuerta</w:t>
            </w:r>
          </w:p>
        </w:tc>
      </w:tr>
      <w:tr>
        <w:trPr>
          <w:cantSplit/>
        </w:trPr>
        <w:tc>
          <w:tcPr/>
          <w:p>
            <w:pPr>
              <w:pStyle w:val="Tabla9"/>
              <w:jc w:val="left"/>
            </w:pPr>
            <w:r>
              <w:t xml:space="preserve">Mantener satisfecho</w:t>
            </w:r>
          </w:p>
        </w:tc>
        <w:tc>
          <w:tcPr/>
          <w:p>
            <w:pPr>
              <w:pStyle w:val="Tabla9"/>
              <w:jc w:val="left"/>
            </w:pPr>
            <w:r>
              <w:t xml:space="preserve">Poder ≥ 6 e interés ≤ 5</w:t>
            </w:r>
          </w:p>
        </w:tc>
        <w:tc>
          <w:tcPr/>
          <w:p>
            <w:pPr>
              <w:pStyle w:val="Tabla9"/>
              <w:jc w:val="left"/>
            </w:pPr>
            <w:r>
              <w:t xml:space="preserve">3</w:t>
            </w:r>
          </w:p>
        </w:tc>
        <w:tc>
          <w:tcPr/>
          <w:p>
            <w:pPr>
              <w:pStyle w:val="Tabla9"/>
              <w:jc w:val="left"/>
            </w:pPr>
            <w:r>
              <w:t xml:space="preserve">S10, S14, S18</w:t>
            </w:r>
          </w:p>
        </w:tc>
        <w:tc>
          <w:tcPr/>
          <w:p>
            <w:pPr>
              <w:pStyle w:val="Tabla9"/>
              <w:jc w:val="left"/>
            </w:pPr>
            <w:r>
              <w:t xml:space="preserve">Información breve y verificable; consulta antes de cada compuerta</w:t>
            </w:r>
          </w:p>
        </w:tc>
      </w:tr>
      <w:tr>
        <w:trPr>
          <w:cantSplit/>
        </w:trPr>
        <w:tc>
          <w:tcPr/>
          <w:p>
            <w:pPr>
              <w:pStyle w:val="Tabla9"/>
              <w:jc w:val="left"/>
            </w:pPr>
            <w:r>
              <w:t xml:space="preserve">Mantener informado</w:t>
            </w:r>
          </w:p>
        </w:tc>
        <w:tc>
          <w:tcPr/>
          <w:p>
            <w:pPr>
              <w:pStyle w:val="Tabla9"/>
              <w:jc w:val="left"/>
            </w:pPr>
            <w:r>
              <w:t xml:space="preserve">Poder ≤ 5 e interés ≥ 6</w:t>
            </w:r>
          </w:p>
        </w:tc>
        <w:tc>
          <w:tcPr/>
          <w:p>
            <w:pPr>
              <w:pStyle w:val="Tabla9"/>
              <w:jc w:val="left"/>
            </w:pPr>
            <w:r>
              <w:t xml:space="preserve">4</w:t>
            </w:r>
          </w:p>
        </w:tc>
        <w:tc>
          <w:tcPr/>
          <w:p>
            <w:pPr>
              <w:pStyle w:val="Tabla9"/>
              <w:jc w:val="left"/>
            </w:pPr>
            <w:r>
              <w:t xml:space="preserve">S03, S04, S12, S13</w:t>
            </w:r>
          </w:p>
        </w:tc>
        <w:tc>
          <w:tcPr/>
          <w:p>
            <w:pPr>
              <w:pStyle w:val="Tabla9"/>
              <w:jc w:val="left"/>
            </w:pPr>
            <w:r>
              <w:t xml:space="preserve">Participación en talleres, cartillas y jornadas; canales sencillos</w:t>
            </w:r>
          </w:p>
        </w:tc>
      </w:tr>
      <w:tr>
        <w:trPr>
          <w:cantSplit/>
        </w:trPr>
        <w:tc>
          <w:tcPr/>
          <w:p>
            <w:pPr>
              <w:pStyle w:val="Tabla9"/>
              <w:jc w:val="left"/>
            </w:pPr>
            <w:r>
              <w:t xml:space="preserve">Monitorear</w:t>
            </w:r>
          </w:p>
        </w:tc>
        <w:tc>
          <w:tcPr/>
          <w:p>
            <w:pPr>
              <w:pStyle w:val="Tabla9"/>
              <w:jc w:val="left"/>
            </w:pPr>
            <w:r>
              <w:t xml:space="preserve">Poder ≤ 5 e interés ≤ 5</w:t>
            </w:r>
          </w:p>
        </w:tc>
        <w:tc>
          <w:tcPr/>
          <w:p>
            <w:pPr>
              <w:pStyle w:val="Tabla9"/>
              <w:jc w:val="left"/>
            </w:pPr>
            <w:r>
              <w:t xml:space="preserve">3</w:t>
            </w:r>
          </w:p>
        </w:tc>
        <w:tc>
          <w:tcPr/>
          <w:p>
            <w:pPr>
              <w:pStyle w:val="Tabla9"/>
              <w:jc w:val="left"/>
            </w:pPr>
            <w:r>
              <w:t xml:space="preserve">S15, S16, S17</w:t>
            </w:r>
          </w:p>
        </w:tc>
        <w:tc>
          <w:tcPr/>
          <w:p>
            <w:pPr>
              <w:pStyle w:val="Tabla9"/>
              <w:jc w:val="left"/>
            </w:pPr>
            <w:r>
              <w:t xml:space="preserve">Seguimiento por hito y comunicación por contrato o por publicación</w:t>
            </w:r>
          </w:p>
        </w:tc>
      </w:tr>
    </w:tbl>
    <w:p>
      <w:pPr>
        <w:pStyle w:val="TablaNota"/>
      </w:pPr>
      <w:r>
        <w:rPr>
          <w:i/>
          <w:iCs/>
        </w:rPr>
        <w:t xml:space="preserve">Nota.</w:t>
      </w:r>
      <w:r>
        <w:t xml:space="preserve"> </w:t>
      </w:r>
      <w:r>
        <w:t xml:space="preserve">Elaboración propia. Las posiciones de poder e interés (escala de 1 a 10) son PROPUESTAS y requieren validación del equipo de proyecto y del financiador. Decimales con coma.</w:t>
      </w:r>
    </w:p>
    <w:p>
      <w:pPr>
        <w:pStyle w:val="BodyText"/>
      </w:pPr>
      <w:r>
        <w:t xml:space="preserve">Ocho interesados exigen gestión cercana: la IES, la gerencia, la empresa, el financiador, los dos tipos de comités, la UNGRD y los custodios. Tres requieren mantenerse satisfechos: las alcaldías, las autoridades ambientales y la evaluación externa. Cuatro requieren información: los equipos técnico y social, los operarios y la población. Tres requieren monitoreo.</w:t>
      </w:r>
    </w:p>
    <w:p>
      <w:pPr>
        <w:pStyle w:val="BodyText"/>
      </w:pPr>
      <w:r>
        <w:t xml:space="preserve">Cada cuadrante recibe una estrategia distinta. Los interesados de gestión cercana participan en las decisiones y revisan cada compuerta con evidencia. Las autoridades ambientales y la evaluación externa influyen en la validez de los datos y de la evaluación, pero participan poco en la ejecución. Reciben informes breves y se consultan antes de cada compuerta. Los equipos, los operarios y la población reciben información por canales sencillos y participan en talleres. Los laboratorios, los proveedores y la comunidad científica se gestionan por contrato y por publicación.</w:t>
      </w:r>
    </w:p>
    <w:p>
      <w:pPr>
        <w:pStyle w:val="BodyText"/>
      </w:pPr>
      <w:r>
        <w:t xml:space="preserve">La posición de las alcaldías es la más sensible. Su poder es alto (8) y su interés es bajo (4). Las alcaldías deciden las partidas de custodia y no aportan contrapartida (VACIO). La compuerta C2 exige convenios de custodia con partida. Por eso la estrategia busca desplazar a las alcaldías al cuadrante de gestión cercana antes de C2.</w:t>
      </w:r>
    </w:p>
    <w:p>
      <w:pPr>
        <w:pStyle w:val="BodyText"/>
      </w:pPr>
      <w:r>
        <w:t xml:space="preserve">El poder de los operarios y de la población es bajo. Por eso quedan en el cuadrante de información. Sin embargo, su legitimidad y su urgencia justifican una participación más amplia que la informativa (Mitchell et al., 1997). La escalera de participación ciudadana distingue niveles desde la información hasta el control ciudadano (Arnstein, 1969). El proyecto compromete al menos tres actividades de colaboración activa con acta firmada.</w:t>
      </w:r>
    </w:p>
    <w:bookmarkEnd w:id="841"/>
    <w:bookmarkStart w:id="842" w:name="_Toc00900362"/>
    <w:p>
      <w:pPr>
        <w:pStyle w:val="Heading2"/>
      </w:pPr>
      <w:r>
        <w:t xml:space="preserve">X8.3 Plan de gestión de interesados</w:t>
      </w:r>
    </w:p>
    <w:p>
      <w:pPr>
        <w:pStyle w:val="FirstParagraph"/>
      </w:pPr>
      <w:r>
        <w:t xml:space="preserve">El plan fija para cada grupo la estrategia de comunicación, el canal, la frecuencia y el responsable de la relación. Los responsables son roles del presupuesto de la ficha maestra y no personas. Las frecuencias son PROPUESTAS. La Tabla X8.3 presenta el plan completo.</w:t>
      </w:r>
    </w:p>
    <w:p>
      <w:pPr>
        <w:pStyle w:val="TablaRotulo"/>
      </w:pPr>
      <w:bookmarkStart w:id="9454" w:name="rot_Tabla_X8_3"/>
      <w:r>
        <w:rPr>
          <w:b/>
          <w:bCs/>
        </w:rPr>
        <w:t xml:space="preserve">Tabla X8.3</w:t>
      </w:r>
      <w:bookmarkEnd w:id="9454"/>
    </w:p>
    <w:p>
      <w:pPr>
        <w:pStyle w:val="TablaTitulo"/>
      </w:pPr>
      <w:r>
        <w:rPr>
          <w:i/>
          <w:iCs/>
        </w:rPr>
        <w:t xml:space="preserve">Plan de gestión de interesados con estrategia, canal, frecuencia y responsable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70"/>
        <w:gridCol w:w="1636"/>
        <w:gridCol w:w="1505"/>
        <w:gridCol w:w="1505"/>
        <w:gridCol w:w="1701"/>
      </w:tblGrid>
      <w:tr>
        <w:trPr>
          <w:cantSplit/>
          <w:tblHeader/>
        </w:trPr>
        <w:tc>
          <w:tcPr>
            <w:shd w:val="clear" w:color="auto" w:fill="00B050"/>
          </w:tcPr>
          <w:p>
            <w:pPr>
              <w:pStyle w:val="Tabla9"/>
              <w:jc w:val="center"/>
            </w:pPr>
            <w:r>
              <w:rPr>
                <w:b/>
                <w:color w:val="FFFFFF"/>
              </w:rPr>
              <w:t xml:space="preserve">Interesados</w:t>
            </w:r>
          </w:p>
        </w:tc>
        <w:tc>
          <w:tcPr>
            <w:shd w:val="clear" w:color="auto" w:fill="00B050"/>
          </w:tcPr>
          <w:p>
            <w:pPr>
              <w:pStyle w:val="Tabla9"/>
              <w:jc w:val="center"/>
            </w:pPr>
            <w:r>
              <w:rPr>
                <w:b/>
                <w:color w:val="FFFFFF"/>
              </w:rPr>
              <w:t xml:space="preserve">Estrategia de comunicación</w:t>
            </w:r>
          </w:p>
        </w:tc>
        <w:tc>
          <w:tcPr>
            <w:shd w:val="clear" w:color="auto" w:fill="00B050"/>
          </w:tcPr>
          <w:p>
            <w:pPr>
              <w:pStyle w:val="Tabla9"/>
              <w:jc w:val="center"/>
            </w:pPr>
            <w:r>
              <w:rPr>
                <w:b/>
                <w:color w:val="FFFFFF"/>
              </w:rPr>
              <w:t xml:space="preserve">Canal</w:t>
            </w:r>
          </w:p>
        </w:tc>
        <w:tc>
          <w:tcPr>
            <w:shd w:val="clear" w:color="auto" w:fill="00B050"/>
          </w:tcPr>
          <w:p>
            <w:pPr>
              <w:pStyle w:val="Tabla9"/>
              <w:jc w:val="center"/>
            </w:pPr>
            <w:r>
              <w:rPr>
                <w:b/>
                <w:color w:val="FFFFFF"/>
              </w:rPr>
              <w:t xml:space="preserve">Frecuencia</w:t>
            </w:r>
          </w:p>
        </w:tc>
        <w:tc>
          <w:tcPr>
            <w:shd w:val="clear" w:color="auto" w:fill="00B050"/>
          </w:tcPr>
          <w:p>
            <w:pPr>
              <w:pStyle w:val="Tabla9"/>
              <w:jc w:val="center"/>
            </w:pPr>
            <w:r>
              <w:rPr>
                <w:b/>
                <w:color w:val="FFFFFF"/>
              </w:rPr>
              <w:t xml:space="preserve">Responsable de la relación (rol)</w:t>
            </w:r>
          </w:p>
        </w:tc>
      </w:tr>
      <w:tr>
        <w:trPr>
          <w:cantSplit/>
        </w:trPr>
        <w:tc>
          <w:tcPr/>
          <w:p>
            <w:pPr>
              <w:pStyle w:val="Tabla9"/>
              <w:jc w:val="left"/>
            </w:pPr>
            <w:r>
              <w:t xml:space="preserve">S06 Financiador</w:t>
            </w:r>
          </w:p>
        </w:tc>
        <w:tc>
          <w:tcPr/>
          <w:p>
            <w:pPr>
              <w:pStyle w:val="Tabla9"/>
              <w:jc w:val="left"/>
            </w:pPr>
            <w:r>
              <w:t xml:space="preserve">Informes de seguimiento y actas de compuerta con evidencia</w:t>
            </w:r>
          </w:p>
        </w:tc>
        <w:tc>
          <w:tcPr/>
          <w:p>
            <w:pPr>
              <w:pStyle w:val="Tabla9"/>
              <w:jc w:val="left"/>
            </w:pPr>
            <w:r>
              <w:t xml:space="preserve">Informe escrito y reunión de compuerta</w:t>
            </w:r>
          </w:p>
        </w:tc>
        <w:tc>
          <w:tcPr/>
          <w:p>
            <w:pPr>
              <w:pStyle w:val="Tabla9"/>
              <w:jc w:val="left"/>
            </w:pPr>
            <w:r>
              <w:t xml:space="preserve">Mensual; en C1, C2 y C3</w:t>
            </w:r>
          </w:p>
        </w:tc>
        <w:tc>
          <w:tcPr/>
          <w:p>
            <w:pPr>
              <w:pStyle w:val="Tabla9"/>
              <w:jc w:val="left"/>
            </w:pPr>
            <w:r>
              <w:t xml:space="preserve">Gerencia de proyecto</w:t>
            </w:r>
          </w:p>
        </w:tc>
      </w:tr>
      <w:tr>
        <w:trPr>
          <w:cantSplit/>
        </w:trPr>
        <w:tc>
          <w:tcPr/>
          <w:p>
            <w:pPr>
              <w:pStyle w:val="Tabla9"/>
              <w:jc w:val="left"/>
            </w:pPr>
            <w:r>
              <w:t xml:space="preserve">S01 y S05 IES y empresa</w:t>
            </w:r>
          </w:p>
        </w:tc>
        <w:tc>
          <w:tcPr/>
          <w:p>
            <w:pPr>
              <w:pStyle w:val="Tabla9"/>
              <w:jc w:val="left"/>
            </w:pPr>
            <w:r>
              <w:t xml:space="preserve">Decisiones de ejecución y verificación de la contrapartida</w:t>
            </w:r>
          </w:p>
        </w:tc>
        <w:tc>
          <w:tcPr/>
          <w:p>
            <w:pPr>
              <w:pStyle w:val="Tabla9"/>
              <w:jc w:val="left"/>
            </w:pPr>
            <w:r>
              <w:t xml:space="preserve">Comité directivo</w:t>
            </w:r>
          </w:p>
        </w:tc>
        <w:tc>
          <w:tcPr/>
          <w:p>
            <w:pPr>
              <w:pStyle w:val="Tabla9"/>
              <w:jc w:val="left"/>
            </w:pPr>
            <w:r>
              <w:t xml:space="preserve">Mensual</w:t>
            </w:r>
          </w:p>
        </w:tc>
        <w:tc>
          <w:tcPr/>
          <w:p>
            <w:pPr>
              <w:pStyle w:val="Tabla9"/>
              <w:jc w:val="left"/>
            </w:pPr>
            <w:r>
              <w:t xml:space="preserve">Gerencia de proyecto</w:t>
            </w:r>
          </w:p>
        </w:tc>
      </w:tr>
      <w:tr>
        <w:trPr>
          <w:cantSplit/>
        </w:trPr>
        <w:tc>
          <w:tcPr/>
          <w:p>
            <w:pPr>
              <w:pStyle w:val="Tabla9"/>
              <w:jc w:val="left"/>
            </w:pPr>
            <w:r>
              <w:t xml:space="preserve">S02, S03 y S04 Equipo</w:t>
            </w:r>
          </w:p>
        </w:tc>
        <w:tc>
          <w:tcPr/>
          <w:p>
            <w:pPr>
              <w:pStyle w:val="Tabla9"/>
              <w:jc w:val="left"/>
            </w:pPr>
            <w:r>
              <w:t xml:space="preserve">Coordinación técnica, social y de convenios</w:t>
            </w:r>
          </w:p>
        </w:tc>
        <w:tc>
          <w:tcPr/>
          <w:p>
            <w:pPr>
              <w:pStyle w:val="Tabla9"/>
              <w:jc w:val="left"/>
            </w:pPr>
            <w:r>
              <w:t xml:space="preserve">Reunión de equipo y tablero interno</w:t>
            </w:r>
          </w:p>
        </w:tc>
        <w:tc>
          <w:tcPr/>
          <w:p>
            <w:pPr>
              <w:pStyle w:val="Tabla9"/>
              <w:jc w:val="left"/>
            </w:pPr>
            <w:r>
              <w:t xml:space="preserve">Semanal</w:t>
            </w:r>
          </w:p>
        </w:tc>
        <w:tc>
          <w:tcPr/>
          <w:p>
            <w:pPr>
              <w:pStyle w:val="Tabla9"/>
              <w:jc w:val="left"/>
            </w:pPr>
            <w:r>
              <w:t xml:space="preserve">Gerencia de proyecto</w:t>
            </w:r>
          </w:p>
        </w:tc>
      </w:tr>
      <w:tr>
        <w:trPr>
          <w:cantSplit/>
        </w:trPr>
        <w:tc>
          <w:tcPr/>
          <w:p>
            <w:pPr>
              <w:pStyle w:val="Tabla9"/>
              <w:jc w:val="left"/>
            </w:pPr>
            <w:r>
              <w:t xml:space="preserve">S07 y S08 Comités</w:t>
            </w:r>
          </w:p>
        </w:tc>
        <w:tc>
          <w:tcPr/>
          <w:p>
            <w:pPr>
              <w:pStyle w:val="Tabla9"/>
              <w:jc w:val="left"/>
            </w:pPr>
            <w:r>
              <w:t xml:space="preserve">Co-diseño de umbrales, formación y registro de decisiones</w:t>
            </w:r>
          </w:p>
        </w:tc>
        <w:tc>
          <w:tcPr/>
          <w:p>
            <w:pPr>
              <w:pStyle w:val="Tabla9"/>
              <w:jc w:val="left"/>
            </w:pPr>
            <w:r>
              <w:t xml:space="preserve">Talleres y sesiones del comité</w:t>
            </w:r>
          </w:p>
        </w:tc>
        <w:tc>
          <w:tcPr/>
          <w:p>
            <w:pPr>
              <w:pStyle w:val="Tabla9"/>
              <w:jc w:val="left"/>
            </w:pPr>
            <w:r>
              <w:t xml:space="preserve">Trimestral; taller por tramo</w:t>
            </w:r>
          </w:p>
        </w:tc>
        <w:tc>
          <w:tcPr/>
          <w:p>
            <w:pPr>
              <w:pStyle w:val="Tabla9"/>
              <w:jc w:val="left"/>
            </w:pPr>
            <w:r>
              <w:t xml:space="preserve">Coordinación de apropiación social</w:t>
            </w:r>
          </w:p>
        </w:tc>
      </w:tr>
      <w:tr>
        <w:trPr>
          <w:cantSplit/>
        </w:trPr>
        <w:tc>
          <w:tcPr/>
          <w:p>
            <w:pPr>
              <w:pStyle w:val="Tabla9"/>
              <w:jc w:val="left"/>
            </w:pPr>
            <w:r>
              <w:t xml:space="preserve">S09 UNGRD</w:t>
            </w:r>
          </w:p>
        </w:tc>
        <w:tc>
          <w:tcPr/>
          <w:p>
            <w:pPr>
              <w:pStyle w:val="Tabla9"/>
              <w:jc w:val="left"/>
            </w:pPr>
            <w:r>
              <w:t xml:space="preserve">Articulación del protocolo de alerta</w:t>
            </w:r>
          </w:p>
        </w:tc>
        <w:tc>
          <w:tcPr/>
          <w:p>
            <w:pPr>
              <w:pStyle w:val="Tabla9"/>
              <w:jc w:val="left"/>
            </w:pPr>
            <w:r>
              <w:t xml:space="preserve">Reunión técnica y nota informativa</w:t>
            </w:r>
          </w:p>
        </w:tc>
        <w:tc>
          <w:tcPr/>
          <w:p>
            <w:pPr>
              <w:pStyle w:val="Tabla9"/>
              <w:jc w:val="left"/>
            </w:pPr>
            <w:r>
              <w:t xml:space="preserve">Semestral; en C1 y C2</w:t>
            </w:r>
          </w:p>
        </w:tc>
        <w:tc>
          <w:tcPr/>
          <w:p>
            <w:pPr>
              <w:pStyle w:val="Tabla9"/>
              <w:jc w:val="left"/>
            </w:pPr>
            <w:r>
              <w:t xml:space="preserve">Investigador principal</w:t>
            </w:r>
          </w:p>
        </w:tc>
      </w:tr>
      <w:tr>
        <w:trPr>
          <w:cantSplit/>
        </w:trPr>
        <w:tc>
          <w:tcPr/>
          <w:p>
            <w:pPr>
              <w:pStyle w:val="Tabla9"/>
              <w:jc w:val="left"/>
            </w:pPr>
            <w:r>
              <w:t xml:space="preserve">S10 y S11 Alcaldías y custodios</w:t>
            </w:r>
          </w:p>
        </w:tc>
        <w:tc>
          <w:tcPr/>
          <w:p>
            <w:pPr>
              <w:pStyle w:val="Tabla9"/>
              <w:jc w:val="left"/>
            </w:pPr>
            <w:r>
              <w:t xml:space="preserve">Convenios por tramo, partida y formación</w:t>
            </w:r>
          </w:p>
        </w:tc>
        <w:tc>
          <w:tcPr/>
          <w:p>
            <w:pPr>
              <w:pStyle w:val="Tabla9"/>
              <w:jc w:val="left"/>
            </w:pPr>
            <w:r>
              <w:t xml:space="preserve">Mesas de convenio y capacitación</w:t>
            </w:r>
          </w:p>
        </w:tc>
        <w:tc>
          <w:tcPr/>
          <w:p>
            <w:pPr>
              <w:pStyle w:val="Tabla9"/>
              <w:jc w:val="left"/>
            </w:pPr>
            <w:r>
              <w:t xml:space="preserve">Mensual en negociación; trimestral después</w:t>
            </w:r>
          </w:p>
        </w:tc>
        <w:tc>
          <w:tcPr/>
          <w:p>
            <w:pPr>
              <w:pStyle w:val="Tabla9"/>
              <w:jc w:val="left"/>
            </w:pPr>
            <w:r>
              <w:t xml:space="preserve">Profesional de convenios y custodia</w:t>
            </w:r>
          </w:p>
        </w:tc>
      </w:tr>
      <w:tr>
        <w:trPr>
          <w:cantSplit/>
        </w:trPr>
        <w:tc>
          <w:tcPr/>
          <w:p>
            <w:pPr>
              <w:pStyle w:val="Tabla9"/>
              <w:jc w:val="left"/>
            </w:pPr>
            <w:r>
              <w:t xml:space="preserve">S12 y S13 Operarios y población</w:t>
            </w:r>
          </w:p>
        </w:tc>
        <w:tc>
          <w:tcPr/>
          <w:p>
            <w:pPr>
              <w:pStyle w:val="Tabla9"/>
              <w:jc w:val="left"/>
            </w:pPr>
            <w:r>
              <w:t xml:space="preserve">Cartillas, jornadas y explicación del índice</w:t>
            </w:r>
          </w:p>
        </w:tc>
        <w:tc>
          <w:tcPr/>
          <w:p>
            <w:pPr>
              <w:pStyle w:val="Tabla9"/>
              <w:jc w:val="left"/>
            </w:pPr>
            <w:r>
              <w:t xml:space="preserve">Cartillas impresas y jornadas públicas</w:t>
            </w:r>
          </w:p>
        </w:tc>
        <w:tc>
          <w:tcPr/>
          <w:p>
            <w:pPr>
              <w:pStyle w:val="Tabla9"/>
              <w:jc w:val="left"/>
            </w:pPr>
            <w:r>
              <w:t xml:space="preserve">Por jornada (9) y por tramo</w:t>
            </w:r>
          </w:p>
        </w:tc>
        <w:tc>
          <w:tcPr/>
          <w:p>
            <w:pPr>
              <w:pStyle w:val="Tabla9"/>
              <w:jc w:val="left"/>
            </w:pPr>
            <w:r>
              <w:t xml:space="preserve">Profesionales de apropiación social</w:t>
            </w:r>
          </w:p>
        </w:tc>
      </w:tr>
      <w:tr>
        <w:trPr>
          <w:cantSplit/>
        </w:trPr>
        <w:tc>
          <w:tcPr/>
          <w:p>
            <w:pPr>
              <w:pStyle w:val="Tabla9"/>
              <w:jc w:val="left"/>
            </w:pPr>
            <w:r>
              <w:t xml:space="preserve">S14 Autoridades ambientales</w:t>
            </w:r>
          </w:p>
        </w:tc>
        <w:tc>
          <w:tcPr/>
          <w:p>
            <w:pPr>
              <w:pStyle w:val="Tabla9"/>
              <w:jc w:val="left"/>
            </w:pPr>
            <w:r>
              <w:t xml:space="preserve">Reporte técnico de desempeño y de referencias</w:t>
            </w:r>
          </w:p>
        </w:tc>
        <w:tc>
          <w:tcPr/>
          <w:p>
            <w:pPr>
              <w:pStyle w:val="Tabla9"/>
              <w:jc w:val="left"/>
            </w:pPr>
            <w:r>
              <w:t xml:space="preserve">Informe técnico</w:t>
            </w:r>
          </w:p>
        </w:tc>
        <w:tc>
          <w:tcPr/>
          <w:p>
            <w:pPr>
              <w:pStyle w:val="Tabla9"/>
              <w:jc w:val="left"/>
            </w:pPr>
            <w:r>
              <w:t xml:space="preserve">Semestral</w:t>
            </w:r>
          </w:p>
        </w:tc>
        <w:tc>
          <w:tcPr/>
          <w:p>
            <w:pPr>
              <w:pStyle w:val="Tabla9"/>
              <w:jc w:val="left"/>
            </w:pPr>
            <w:r>
              <w:t xml:space="preserve">Profesional en calidad del aire y salud ambiental</w:t>
            </w:r>
          </w:p>
        </w:tc>
      </w:tr>
      <w:tr>
        <w:trPr>
          <w:cantSplit/>
        </w:trPr>
        <w:tc>
          <w:tcPr/>
          <w:p>
            <w:pPr>
              <w:pStyle w:val="Tabla9"/>
              <w:jc w:val="left"/>
            </w:pPr>
            <w:r>
              <w:t xml:space="preserve">S15 y S16 Laboratorios y proveedores</w:t>
            </w:r>
          </w:p>
        </w:tc>
        <w:tc>
          <w:tcPr/>
          <w:p>
            <w:pPr>
              <w:pStyle w:val="Tabla9"/>
              <w:jc w:val="left"/>
            </w:pPr>
            <w:r>
              <w:t xml:space="preserve">Cronograma de ensayos y de compras por lote</w:t>
            </w:r>
          </w:p>
        </w:tc>
        <w:tc>
          <w:tcPr/>
          <w:p>
            <w:pPr>
              <w:pStyle w:val="Tabla9"/>
              <w:jc w:val="left"/>
            </w:pPr>
            <w:r>
              <w:t xml:space="preserve">Contrato y acta de entrega</w:t>
            </w:r>
          </w:p>
        </w:tc>
        <w:tc>
          <w:tcPr/>
          <w:p>
            <w:pPr>
              <w:pStyle w:val="Tabla9"/>
              <w:jc w:val="left"/>
            </w:pPr>
            <w:r>
              <w:t xml:space="preserve">Compras en los meses 5, 13 y 18; ensayo en el mes 23</w:t>
            </w:r>
          </w:p>
        </w:tc>
        <w:tc>
          <w:tcPr/>
          <w:p>
            <w:pPr>
              <w:pStyle w:val="Tabla9"/>
              <w:jc w:val="left"/>
            </w:pPr>
            <w:r>
              <w:t xml:space="preserve">Especialista en metrología y gerencia</w:t>
            </w:r>
          </w:p>
        </w:tc>
      </w:tr>
      <w:tr>
        <w:trPr>
          <w:cantSplit/>
        </w:trPr>
        <w:tc>
          <w:tcPr/>
          <w:p>
            <w:pPr>
              <w:pStyle w:val="Tabla9"/>
              <w:jc w:val="left"/>
            </w:pPr>
            <w:r>
              <w:t xml:space="preserve">S17 Comunidad científica y medios</w:t>
            </w:r>
          </w:p>
        </w:tc>
        <w:tc>
          <w:tcPr/>
          <w:p>
            <w:pPr>
              <w:pStyle w:val="Tabla9"/>
              <w:jc w:val="left"/>
            </w:pPr>
            <w:r>
              <w:t xml:space="preserve">Artículos y piezas de divulgación</w:t>
            </w:r>
          </w:p>
        </w:tc>
        <w:tc>
          <w:tcPr/>
          <w:p>
            <w:pPr>
              <w:pStyle w:val="Tabla9"/>
              <w:jc w:val="left"/>
            </w:pPr>
            <w:r>
              <w:t xml:space="preserve">Revistas y boletines</w:t>
            </w:r>
          </w:p>
        </w:tc>
        <w:tc>
          <w:tcPr/>
          <w:p>
            <w:pPr>
              <w:pStyle w:val="Tabla9"/>
              <w:jc w:val="left"/>
            </w:pPr>
            <w:r>
              <w:t xml:space="preserve">Semestral</w:t>
            </w:r>
          </w:p>
        </w:tc>
        <w:tc>
          <w:tcPr/>
          <w:p>
            <w:pPr>
              <w:pStyle w:val="Tabla9"/>
              <w:jc w:val="left"/>
            </w:pPr>
            <w:r>
              <w:t xml:space="preserve">Investigador principal</w:t>
            </w:r>
          </w:p>
        </w:tc>
      </w:tr>
      <w:tr>
        <w:trPr>
          <w:cantSplit/>
        </w:trPr>
        <w:tc>
          <w:tcPr/>
          <w:p>
            <w:pPr>
              <w:pStyle w:val="Tabla9"/>
              <w:jc w:val="left"/>
            </w:pPr>
            <w:r>
              <w:t xml:space="preserve">S18 Evaluación externa</w:t>
            </w:r>
          </w:p>
        </w:tc>
        <w:tc>
          <w:tcPr/>
          <w:p>
            <w:pPr>
              <w:pStyle w:val="Tabla9"/>
              <w:jc w:val="left"/>
            </w:pPr>
            <w:r>
              <w:t xml:space="preserve">Acceso a datos y evidencias</w:t>
            </w:r>
          </w:p>
        </w:tc>
        <w:tc>
          <w:tcPr/>
          <w:p>
            <w:pPr>
              <w:pStyle w:val="Tabla9"/>
              <w:jc w:val="left"/>
            </w:pPr>
            <w:r>
              <w:t xml:space="preserve">Sesión de evaluación</w:t>
            </w:r>
          </w:p>
        </w:tc>
        <w:tc>
          <w:tcPr/>
          <w:p>
            <w:pPr>
              <w:pStyle w:val="Tabla9"/>
              <w:jc w:val="left"/>
            </w:pPr>
            <w:r>
              <w:t xml:space="preserve">Meses 12 y 24</w:t>
            </w:r>
          </w:p>
        </w:tc>
        <w:tc>
          <w:tcPr/>
          <w:p>
            <w:pPr>
              <w:pStyle w:val="Tabla9"/>
              <w:jc w:val="left"/>
            </w:pPr>
            <w:r>
              <w:t xml:space="preserve">Gerencia de proyecto</w:t>
            </w:r>
          </w:p>
        </w:tc>
      </w:tr>
    </w:tbl>
    <w:p>
      <w:pPr>
        <w:pStyle w:val="TablaNota"/>
      </w:pPr>
      <w:r>
        <w:rPr>
          <w:i/>
          <w:iCs/>
        </w:rPr>
        <w:t xml:space="preserve">Nota.</w:t>
      </w:r>
      <w:r>
        <w:t xml:space="preserve"> </w:t>
      </w:r>
      <w:r>
        <w:t xml:space="preserve">Elaboración propia. Las frecuencias son PROPUESTAS. Los responsables son roles del presupuesto de la ficha maestra; los nombres son [DATO_USUARIO: nombres del personal responsable]. Meses de compra y ensayo según el cronograma de la ficha.</w:t>
      </w:r>
    </w:p>
    <w:p>
      <w:pPr>
        <w:pStyle w:val="BodyText"/>
      </w:pPr>
      <w:r>
        <w:t xml:space="preserve">La gerencia de proyecto concentra la relación con el financiador, la IES, la empresa y el equipo. La coordinación de apropiación social conduce la relación con los comités. El profesional de convenios conduce la relación con alcaldías y custodios. Esta distribución separa la rendición de cuentas de la gestión del uso institucional y de la custodia. Esos dos asuntos son los riesgos organizacionales del registro.</w:t>
      </w:r>
    </w:p>
    <w:p>
      <w:pPr>
        <w:pStyle w:val="BodyText"/>
      </w:pPr>
      <w:r>
        <w:t xml:space="preserve">La frecuencia trimestral con los comités coincide con la medición trimestral del indicador PERS-E01. Ese indicador exige un uso institucional del tablero de 75 % o más al mes 24. El seguimiento semestral del indicador PERS-E03 usa los registros de formación de los custodios. La meta es contar con 60 personas certificadas o más.</w:t>
      </w:r>
    </w:p>
    <w:p>
      <w:pPr>
        <w:pStyle w:val="BodyText"/>
      </w:pPr>
      <w:r>
        <w:t xml:space="preserve">Dos disparadores activan el escalamiento. El primero es un uso del tablero menor de 50 % en el tramo 1 (R-ORG-01). El segundo es un convenio sin partida al cierre del tramo 2 (R-ORG-02). El responsable informa a la gerencia en el ciclo mensual siguiente. La gerencia convoca una mesa adicional con el comité o la alcaldía afectada antes de la compuerta correspondiente. Estas reglas son PROPUESTAS.</w:t>
      </w:r>
    </w:p>
    <w:p>
      <w:pPr>
        <w:pStyle w:val="BodyText"/>
      </w:pPr>
      <w:r>
        <w:t xml:space="preserve">Cada interacción se documenta con acta y lista de asistencia. El tratamiento de los datos personales de las listas sigue la normativa vigente de protección de datos. El mapa se revisa en cada compuerta, en los meses 12, 17 y 24, porque las posiciones cambian con la ejecución. La revisión actualiza el registro, la matriz y el plan.</w:t>
      </w:r>
    </w:p>
    <w:bookmarkEnd w:id="842"/>
    <w:bookmarkEnd w:id="843"/>
    <w:bookmarkStart w:id="862" w:name="_Toc00900363"/>
    <w:p>
      <w:pPr>
        <w:pStyle w:val="Heading1"/>
      </w:pPr>
      <w:r>
        <w:t xml:space="preserve">Documento 1000X-09. Tablero de riesgos</w:t>
      </w:r>
    </w:p>
    <w:bookmarkStart w:id="847" w:name="_Toc00900364"/>
    <w:p>
      <w:pPr>
        <w:pStyle w:val="Heading2"/>
      </w:pPr>
      <w:r>
        <w:t xml:space="preserve">X9.1 Semáforo e indicadores del registro</w:t>
      </w:r>
    </w:p>
    <w:p>
      <w:pPr>
        <w:pStyle w:val="FirstParagraph"/>
      </w:pPr>
      <w:r>
        <w:t xml:space="preserve">El tablero resume el registro de 12 riesgos de la ficha maestra. Cada riesgo lleva una probabilidad (P) y un impacto (I) en una escala de 1 a 5. El producto P×I define el nivel. El nivel es EXTREMO desde 20, ALTO de 12 a 19, MEDIO de 6 a 11 y BAJO por debajo de 6. El semáforo agrupa los niveles en tres colores. El rojo reúne EXTREMO y ALTO, el amarillo corresponde a MEDIO y el verde a BAJO. La Tabla X9.1 y la Figura X9.1 presentan los indicadores al inicio de la ejecución.</w:t>
      </w:r>
    </w:p>
    <w:p>
      <w:pPr>
        <w:pStyle w:val="TablaRotulo"/>
      </w:pPr>
      <w:bookmarkStart w:id="9455" w:name="rot_Tabla_X9_1"/>
      <w:r>
        <w:rPr>
          <w:b/>
          <w:bCs/>
        </w:rPr>
        <w:t xml:space="preserve">Tabla X9.1</w:t>
      </w:r>
      <w:bookmarkEnd w:id="9455"/>
    </w:p>
    <w:p>
      <w:pPr>
        <w:pStyle w:val="TablaTitulo"/>
      </w:pPr>
      <w:r>
        <w:rPr>
          <w:i/>
          <w:iCs/>
        </w:rPr>
        <w:t xml:space="preserve">Indicadores y semáforo del registro de riesgos al inicio de la ejecución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10"/>
        <w:gridCol w:w="858"/>
        <w:gridCol w:w="2904"/>
        <w:gridCol w:w="1848"/>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Detalle</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Riesgos identificados</w:t>
            </w:r>
          </w:p>
        </w:tc>
        <w:tc>
          <w:tcPr/>
          <w:p>
            <w:pPr>
              <w:pStyle w:val="Tabla9"/>
              <w:jc w:val="left"/>
            </w:pPr>
            <w:r>
              <w:t xml:space="preserve">12</w:t>
            </w:r>
          </w:p>
        </w:tc>
        <w:tc>
          <w:tcPr/>
          <w:p>
            <w:pPr>
              <w:pStyle w:val="Tabla9"/>
              <w:jc w:val="left"/>
            </w:pPr>
            <w:r>
              <w:t xml:space="preserve">Todos los del registro de la ficha §7</w:t>
            </w:r>
          </w:p>
        </w:tc>
        <w:tc>
          <w:tcPr/>
          <w:p>
            <w:pPr>
              <w:pStyle w:val="Tabla9"/>
              <w:jc w:val="left"/>
            </w:pPr>
            <w:r>
              <w:t xml:space="preserve">CALCULADO</w:t>
            </w:r>
          </w:p>
        </w:tc>
      </w:tr>
      <w:tr>
        <w:trPr>
          <w:cantSplit/>
        </w:trPr>
        <w:tc>
          <w:tcPr/>
          <w:p>
            <w:pPr>
              <w:pStyle w:val="Tabla9"/>
              <w:jc w:val="left"/>
            </w:pPr>
            <w:r>
              <w:t xml:space="preserve">Riesgos activos</w:t>
            </w:r>
          </w:p>
        </w:tc>
        <w:tc>
          <w:tcPr/>
          <w:p>
            <w:pPr>
              <w:pStyle w:val="Tabla9"/>
              <w:jc w:val="left"/>
            </w:pPr>
            <w:r>
              <w:t xml:space="preserve">12</w:t>
            </w:r>
          </w:p>
        </w:tc>
        <w:tc>
          <w:tcPr/>
          <w:p>
            <w:pPr>
              <w:pStyle w:val="Tabla9"/>
              <w:jc w:val="left"/>
            </w:pPr>
            <w:r>
              <w:t xml:space="preserve">Todos requieren seguimiento desde el acta de inicio</w:t>
            </w:r>
          </w:p>
        </w:tc>
        <w:tc>
          <w:tcPr/>
          <w:p>
            <w:pPr>
              <w:pStyle w:val="Tabla9"/>
              <w:jc w:val="left"/>
            </w:pPr>
            <w:r>
              <w:t xml:space="preserve">PROPUESTO</w:t>
            </w:r>
          </w:p>
        </w:tc>
      </w:tr>
      <w:tr>
        <w:trPr>
          <w:cantSplit/>
        </w:trPr>
        <w:tc>
          <w:tcPr/>
          <w:p>
            <w:pPr>
              <w:pStyle w:val="Tabla9"/>
              <w:jc w:val="left"/>
            </w:pPr>
            <w:r>
              <w:t xml:space="preserve">Riesgos materializados</w:t>
            </w:r>
          </w:p>
        </w:tc>
        <w:tc>
          <w:tcPr/>
          <w:p>
            <w:pPr>
              <w:pStyle w:val="Tabla9"/>
              <w:jc w:val="left"/>
            </w:pPr>
            <w:r>
              <w:t xml:space="preserve">0</w:t>
            </w:r>
          </w:p>
        </w:tc>
        <w:tc>
          <w:tcPr/>
          <w:p>
            <w:pPr>
              <w:pStyle w:val="Tabla9"/>
              <w:jc w:val="left"/>
            </w:pPr>
            <w:r>
              <w:t xml:space="preserve">La ejecución no ha iniciado</w:t>
            </w:r>
          </w:p>
        </w:tc>
        <w:tc>
          <w:tcPr/>
          <w:p>
            <w:pPr>
              <w:pStyle w:val="Tabla9"/>
              <w:jc w:val="left"/>
            </w:pPr>
            <w:r>
              <w:t xml:space="preserve">PROPUESTO</w:t>
            </w:r>
          </w:p>
        </w:tc>
      </w:tr>
      <w:tr>
        <w:trPr>
          <w:cantSplit/>
        </w:trPr>
        <w:tc>
          <w:tcPr/>
          <w:p>
            <w:pPr>
              <w:pStyle w:val="Tabla9"/>
              <w:jc w:val="left"/>
            </w:pPr>
            <w:r>
              <w:t xml:space="preserve">Riesgos mitigados</w:t>
            </w:r>
          </w:p>
        </w:tc>
        <w:tc>
          <w:tcPr/>
          <w:p>
            <w:pPr>
              <w:pStyle w:val="Tabla9"/>
              <w:jc w:val="left"/>
            </w:pPr>
            <w:r>
              <w:t xml:space="preserve">0</w:t>
            </w:r>
          </w:p>
        </w:tc>
        <w:tc>
          <w:tcPr/>
          <w:p>
            <w:pPr>
              <w:pStyle w:val="Tabla9"/>
              <w:jc w:val="left"/>
            </w:pPr>
            <w:r>
              <w:t xml:space="preserve">Las medidas están PLANIFICADAS y sin ejecutar</w:t>
            </w:r>
          </w:p>
        </w:tc>
        <w:tc>
          <w:tcPr/>
          <w:p>
            <w:pPr>
              <w:pStyle w:val="Tabla9"/>
              <w:jc w:val="left"/>
            </w:pPr>
            <w:r>
              <w:t xml:space="preserve">PROPUESTO</w:t>
            </w:r>
          </w:p>
        </w:tc>
      </w:tr>
      <w:tr>
        <w:trPr>
          <w:cantSplit/>
        </w:trPr>
        <w:tc>
          <w:tcPr/>
          <w:p>
            <w:pPr>
              <w:pStyle w:val="Tabla9"/>
              <w:jc w:val="left"/>
            </w:pPr>
            <w:r>
              <w:t xml:space="preserve">Semáforo rojo (P×I ≥ 12)</w:t>
            </w:r>
          </w:p>
        </w:tc>
        <w:tc>
          <w:tcPr/>
          <w:p>
            <w:pPr>
              <w:pStyle w:val="Tabla9"/>
              <w:jc w:val="left"/>
            </w:pPr>
            <w:r>
              <w:t xml:space="preserve">8</w:t>
            </w:r>
          </w:p>
        </w:tc>
        <w:tc>
          <w:tcPr/>
          <w:p>
            <w:pPr>
              <w:pStyle w:val="Tabla9"/>
              <w:jc w:val="left"/>
            </w:pPr>
            <w:r>
              <w:t xml:space="preserve">EXTREMO: R-TEC-01. ALTO: R-TEC-02, R-TEC-03, R-TEC-04, R-ORG-01, R-ORG-02, R-EXT-01, R-FIN-01</w:t>
            </w:r>
          </w:p>
        </w:tc>
        <w:tc>
          <w:tcPr/>
          <w:p>
            <w:pPr>
              <w:pStyle w:val="Tabla9"/>
              <w:jc w:val="left"/>
            </w:pPr>
            <w:r>
              <w:t xml:space="preserve">CALCULADO</w:t>
            </w:r>
          </w:p>
        </w:tc>
      </w:tr>
      <w:tr>
        <w:trPr>
          <w:cantSplit/>
        </w:trPr>
        <w:tc>
          <w:tcPr/>
          <w:p>
            <w:pPr>
              <w:pStyle w:val="Tabla9"/>
              <w:jc w:val="left"/>
            </w:pPr>
            <w:r>
              <w:t xml:space="preserve">Semáforo amarillo (P×I de 6 a 11)</w:t>
            </w:r>
          </w:p>
        </w:tc>
        <w:tc>
          <w:tcPr/>
          <w:p>
            <w:pPr>
              <w:pStyle w:val="Tabla9"/>
              <w:jc w:val="left"/>
            </w:pPr>
            <w:r>
              <w:t xml:space="preserve">4</w:t>
            </w:r>
          </w:p>
        </w:tc>
        <w:tc>
          <w:tcPr/>
          <w:p>
            <w:pPr>
              <w:pStyle w:val="Tabla9"/>
              <w:jc w:val="left"/>
            </w:pPr>
            <w:r>
              <w:t xml:space="preserve">MEDIO: R-EXT-02, R-FIN-02, R-JUR-01, R-DAT-01</w:t>
            </w:r>
          </w:p>
        </w:tc>
        <w:tc>
          <w:tcPr/>
          <w:p>
            <w:pPr>
              <w:pStyle w:val="Tabla9"/>
              <w:jc w:val="left"/>
            </w:pPr>
            <w:r>
              <w:t xml:space="preserve">CALCULADO</w:t>
            </w:r>
          </w:p>
        </w:tc>
      </w:tr>
      <w:tr>
        <w:trPr>
          <w:cantSplit/>
        </w:trPr>
        <w:tc>
          <w:tcPr/>
          <w:p>
            <w:pPr>
              <w:pStyle w:val="Tabla9"/>
              <w:jc w:val="left"/>
            </w:pPr>
            <w:r>
              <w:t xml:space="preserve">Semáforo verde (P×I ≤ 5)</w:t>
            </w:r>
          </w:p>
        </w:tc>
        <w:tc>
          <w:tcPr/>
          <w:p>
            <w:pPr>
              <w:pStyle w:val="Tabla9"/>
              <w:jc w:val="left"/>
            </w:pPr>
            <w:r>
              <w:t xml:space="preserve">0</w:t>
            </w:r>
          </w:p>
        </w:tc>
        <w:tc>
          <w:tcPr/>
          <w:p>
            <w:pPr>
              <w:pStyle w:val="Tabla9"/>
              <w:jc w:val="left"/>
            </w:pPr>
            <w:r>
              <w:t xml:space="preserve">BAJO: ninguno</w:t>
            </w:r>
          </w:p>
        </w:tc>
        <w:tc>
          <w:tcPr/>
          <w:p>
            <w:pPr>
              <w:pStyle w:val="Tabla9"/>
              <w:jc w:val="left"/>
            </w:pPr>
            <w:r>
              <w:t xml:space="preserve">CALCULADO</w:t>
            </w:r>
          </w:p>
        </w:tc>
      </w:tr>
      <w:tr>
        <w:trPr>
          <w:cantSplit/>
        </w:trPr>
        <w:tc>
          <w:tcPr/>
          <w:p>
            <w:pPr>
              <w:pStyle w:val="Tabla9"/>
              <w:jc w:val="left"/>
            </w:pPr>
            <w:r>
              <w:t xml:space="preserve">EMV de los riesgos en rojo (millones de COP)</w:t>
            </w:r>
          </w:p>
        </w:tc>
        <w:tc>
          <w:tcPr/>
          <w:p>
            <w:pPr>
              <w:pStyle w:val="Tabla9"/>
              <w:jc w:val="left"/>
            </w:pPr>
            <w:r>
              <w:t xml:space="preserve">554,5</w:t>
            </w:r>
          </w:p>
        </w:tc>
        <w:tc>
          <w:tcPr/>
          <w:p>
            <w:pPr>
              <w:pStyle w:val="Tabla9"/>
              <w:jc w:val="left"/>
            </w:pPr>
            <w:r>
              <w:t xml:space="preserve">87,1 % de la suma de EMV</w:t>
            </w:r>
          </w:p>
        </w:tc>
        <w:tc>
          <w:tcPr/>
          <w:p>
            <w:pPr>
              <w:pStyle w:val="Tabla9"/>
              <w:jc w:val="left"/>
            </w:pPr>
            <w:r>
              <w:t xml:space="preserve">CALCULADO</w:t>
            </w:r>
          </w:p>
        </w:tc>
      </w:tr>
      <w:tr>
        <w:trPr>
          <w:cantSplit/>
        </w:trPr>
        <w:tc>
          <w:tcPr/>
          <w:p>
            <w:pPr>
              <w:pStyle w:val="Tabla9"/>
              <w:jc w:val="left"/>
            </w:pPr>
            <w:r>
              <w:t xml:space="preserve">EMV de los riesgos en amarillo (millones de COP)</w:t>
            </w:r>
          </w:p>
        </w:tc>
        <w:tc>
          <w:tcPr/>
          <w:p>
            <w:pPr>
              <w:pStyle w:val="Tabla9"/>
              <w:jc w:val="left"/>
            </w:pPr>
            <w:r>
              <w:t xml:space="preserve">82,0</w:t>
            </w:r>
          </w:p>
        </w:tc>
        <w:tc>
          <w:tcPr/>
          <w:p>
            <w:pPr>
              <w:pStyle w:val="Tabla9"/>
              <w:jc w:val="left"/>
            </w:pPr>
            <w:r>
              <w:t xml:space="preserve">12,9 % de la suma de EMV</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del registro de riesgos de la ficha maestra (§7). La probabilidad y el impacto son estimaciones PROPUESTAS; P×I y EMV son CALCULADOS. El estado inicial es la línea base del tablero. Decimales con coma.</w:t>
      </w:r>
    </w:p>
    <w:p>
      <w:pPr>
        <w:pStyle w:val="FiguraRotulo"/>
      </w:pPr>
      <w:bookmarkStart w:id="9571" w:name="rot_Figura_X9_1"/>
      <w:r>
        <w:rPr>
          <w:b/>
          <w:bCs/>
        </w:rPr>
        <w:t xml:space="preserve">Figura X9.1</w:t>
      </w:r>
      <w:bookmarkEnd w:id="9571"/>
    </w:p>
    <w:p>
      <w:pPr>
        <w:pStyle w:val="FiguraTitulo"/>
      </w:pPr>
      <w:r>
        <w:rPr>
          <w:i/>
          <w:iCs/>
        </w:rPr>
        <w:t xml:space="preserve">8 de los 12 riesgos están en rojo y ninguno se ha materializado al inicio</w:t>
      </w:r>
    </w:p>
    <w:p>
      <w:pPr>
        <w:pStyle w:val="BodyText"/>
      </w:pPr>
      <w:r>
        <w:drawing>
          <wp:inline>
            <wp:extent cx="5579999" cy="3676542"/>
            <wp:effectExtent b="0" l="0" r="0" t="0"/>
            <wp:docPr descr="" title="" id="845" name="Picture"/>
            <a:graphic>
              <a:graphicData uri="http://schemas.openxmlformats.org/drawingml/2006/picture">
                <pic:pic>
                  <pic:nvPicPr>
                    <pic:cNvPr descr="/tmp/claude-0/-home-user-docs/ddf38714-2a7e-502b-92b4-1008e2832422/scratchpad/proy/figs/out/cX9_f01.png" id="846" name="Picture"/>
                    <pic:cNvPicPr>
                      <a:picLocks noChangeArrowheads="1" noChangeAspect="1"/>
                    </pic:cNvPicPr>
                  </pic:nvPicPr>
                  <pic:blipFill>
                    <a:blip r:embed="rId844"/>
                    <a:stretch>
                      <a:fillRect/>
                    </a:stretch>
                  </pic:blipFill>
                  <pic:spPr bwMode="auto">
                    <a:xfrm>
                      <a:off x="0" y="0"/>
                      <a:ext cx="5579999" cy="367654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registro de riesgos de la ficha maestra (§7). Semáforo según P×I; los niveles usan trama y etiqueta además del color. Python 3 y matplotlib; script cX9_figs.py; sin semilla; corte del 13 de octubre de 2026.</w:t>
      </w:r>
    </w:p>
    <w:p>
      <w:pPr>
        <w:pStyle w:val="BodyText"/>
      </w:pPr>
      <w:r>
        <w:t xml:space="preserve">Ocho de los 12 riesgos están en rojo: uno es EXTREMO (R-TEC-01) y 7 son ALTOS. Cuatro riesgos están en amarillo y ninguno en verde. Los 12 riesgos están activos, porque cada uno requiere seguimiento desde el acta de inicio. Ninguno se ha materializado ni mitigado, porque el proyecto no ha iniciado la ejecución. Estos valores son la línea base del tablero. Los riesgos en rojo concentran $ 554,5 millones de valor monetario esperado (EMV), que equivalen a 87,1 % de la suma. Las estimaciones de P e I vienen de la ficha maestra y son PROPUESTAS. El nivel y el EMV son CALCULADOS.</w:t>
      </w:r>
    </w:p>
    <w:bookmarkEnd w:id="847"/>
    <w:bookmarkStart w:id="848" w:name="_Toc00900365"/>
    <w:p>
      <w:pPr>
        <w:pStyle w:val="Heading2"/>
      </w:pPr>
      <w:r>
        <w:t xml:space="preserve">X9.2 Los cinco riesgos principales</w:t>
      </w:r>
    </w:p>
    <w:p>
      <w:pPr>
        <w:pStyle w:val="FirstParagraph"/>
      </w:pPr>
      <w:r>
        <w:t xml:space="preserve">Los riesgos se ordenan por P×I y, en caso de empate, por EMV. El orden resulta en R-TEC-01 con 20 puntos, R-FIN-01 y R-ORG-02 con 16, R-ORG-01 con 15 y R-EXT-01 con 12. Cuatro riesgos empatan en 12 puntos. R-EXT-01 ocupa el quinto lugar porque su EMV de $ 60,0 millones supera al de los otros tres. Los mismos cinco riesgos ocupan los cinco primeros lugares por EMV. La Tabla X9.2 detalla la respuesta, el disparador, el responsable y el estado de cada uno.</w:t>
      </w:r>
    </w:p>
    <w:p>
      <w:pPr>
        <w:pStyle w:val="BodyText"/>
      </w:pPr>
      <w:r>
        <w:t xml:space="preserve">El disparador de R-TEC-01 usa el error cuadrático medio normalizado (NRMSE) frente a la referencia. Los demás disparadores usan umbrales de la ficha. Cubren tipo de cambio, convenios, uso del tablero y retraso de instalación.</w:t>
      </w:r>
    </w:p>
    <w:p>
      <w:pPr>
        <w:pStyle w:val="TablaRotulo"/>
      </w:pPr>
      <w:bookmarkStart w:id="9456" w:name="rot_Tabla_X9_2"/>
      <w:r>
        <w:rPr>
          <w:b/>
          <w:bCs/>
        </w:rPr>
        <w:t xml:space="preserve">Tabla X9.2</w:t>
      </w:r>
      <w:bookmarkEnd w:id="9456"/>
    </w:p>
    <w:p>
      <w:pPr>
        <w:pStyle w:val="TablaTitulo"/>
      </w:pPr>
      <w:r>
        <w:rPr>
          <w:i/>
          <w:iCs/>
        </w:rPr>
        <w:t xml:space="preserve">Cinco riesgos principales con respuesta, disparador, responsable y estado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528"/>
        <w:gridCol w:w="990"/>
        <w:gridCol w:w="1056"/>
        <w:gridCol w:w="792"/>
        <w:gridCol w:w="990"/>
        <w:gridCol w:w="1188"/>
        <w:gridCol w:w="1056"/>
        <w:gridCol w:w="1320"/>
      </w:tblGrid>
      <w:tr>
        <w:trPr>
          <w:cantSplit/>
          <w:tblHeader/>
        </w:trPr>
        <w:tc>
          <w:tcPr>
            <w:shd w:val="clear" w:color="auto" w:fill="00B050"/>
          </w:tcPr>
          <w:p>
            <w:pPr>
              <w:pStyle w:val="Tabla8"/>
              <w:jc w:val="center"/>
            </w:pPr>
            <w:r>
              <w:rPr>
                <w:b/>
                <w:color w:val="FFFFFF"/>
              </w:rPr>
              <w:t xml:space="preserve">Orden</w:t>
            </w:r>
          </w:p>
        </w:tc>
        <w:tc>
          <w:tcPr>
            <w:shd w:val="clear" w:color="auto" w:fill="00B050"/>
          </w:tcPr>
          <w:p>
            <w:pPr>
              <w:pStyle w:val="Tabla8"/>
              <w:jc w:val="center"/>
            </w:pPr>
            <w:r>
              <w:rPr>
                <w:b/>
                <w:color w:val="FFFFFF"/>
              </w:rPr>
              <w:t xml:space="preserve">Riesgo</w:t>
            </w:r>
          </w:p>
        </w:tc>
        <w:tc>
          <w:tcPr>
            <w:shd w:val="clear" w:color="auto" w:fill="00B050"/>
          </w:tcPr>
          <w:p>
            <w:pPr>
              <w:pStyle w:val="Tabla8"/>
              <w:jc w:val="center"/>
            </w:pPr>
            <w:r>
              <w:rPr>
                <w:b/>
                <w:color w:val="FFFFFF"/>
              </w:rPr>
              <w:t xml:space="preserve">P×I (nivel)</w:t>
            </w:r>
          </w:p>
        </w:tc>
        <w:tc>
          <w:tcPr>
            <w:shd w:val="clear" w:color="auto" w:fill="00B050"/>
          </w:tcPr>
          <w:p>
            <w:pPr>
              <w:pStyle w:val="Tabla8"/>
              <w:jc w:val="center"/>
            </w:pPr>
            <w:r>
              <w:rPr>
                <w:b/>
                <w:color w:val="FFFFFF"/>
              </w:rPr>
              <w:t xml:space="preserve">EMV (millones de COP)</w:t>
            </w:r>
          </w:p>
        </w:tc>
        <w:tc>
          <w:tcPr>
            <w:shd w:val="clear" w:color="auto" w:fill="00B050"/>
          </w:tcPr>
          <w:p>
            <w:pPr>
              <w:pStyle w:val="Tabla8"/>
              <w:jc w:val="center"/>
            </w:pPr>
            <w:r>
              <w:rPr>
                <w:b/>
                <w:color w:val="FFFFFF"/>
              </w:rPr>
              <w:t xml:space="preserve">Respuesta planificada</w:t>
            </w:r>
          </w:p>
        </w:tc>
        <w:tc>
          <w:tcPr>
            <w:shd w:val="clear" w:color="auto" w:fill="00B050"/>
          </w:tcPr>
          <w:p>
            <w:pPr>
              <w:pStyle w:val="Tabla8"/>
              <w:jc w:val="center"/>
            </w:pPr>
            <w:r>
              <w:rPr>
                <w:b/>
                <w:color w:val="FFFFFF"/>
              </w:rPr>
              <w:t xml:space="preserve">Disparador</w:t>
            </w:r>
          </w:p>
        </w:tc>
        <w:tc>
          <w:tcPr>
            <w:shd w:val="clear" w:color="auto" w:fill="00B050"/>
          </w:tcPr>
          <w:p>
            <w:pPr>
              <w:pStyle w:val="Tabla8"/>
              <w:jc w:val="center"/>
            </w:pPr>
            <w:r>
              <w:rPr>
                <w:b/>
                <w:color w:val="FFFFFF"/>
              </w:rPr>
              <w:t xml:space="preserve">Responsable (rol)</w:t>
            </w:r>
          </w:p>
        </w:tc>
        <w:tc>
          <w:tcPr>
            <w:shd w:val="clear" w:color="auto" w:fill="00B050"/>
          </w:tcPr>
          <w:p>
            <w:pPr>
              <w:pStyle w:val="Tabla8"/>
              <w:jc w:val="center"/>
            </w:pPr>
            <w:r>
              <w:rPr>
                <w:b/>
                <w:color w:val="FFFFFF"/>
              </w:rPr>
              <w:t xml:space="preserve">Estado</w:t>
            </w:r>
          </w:p>
        </w:tc>
      </w:tr>
      <w:tr>
        <w:trPr>
          <w:cantSplit/>
        </w:trPr>
        <w:tc>
          <w:tcPr/>
          <w:p>
            <w:pPr>
              <w:pStyle w:val="Tabla8"/>
              <w:jc w:val="left"/>
            </w:pPr>
            <w:r>
              <w:t xml:space="preserve">1</w:t>
            </w:r>
          </w:p>
        </w:tc>
        <w:tc>
          <w:tcPr/>
          <w:p>
            <w:pPr>
              <w:pStyle w:val="Tabla8"/>
              <w:jc w:val="left"/>
            </w:pPr>
            <w:r>
              <w:t xml:space="preserve">R-TEC-01: Humedad y polvo sesgan las lecturas de partículas</w:t>
            </w:r>
          </w:p>
        </w:tc>
        <w:tc>
          <w:tcPr/>
          <w:p>
            <w:pPr>
              <w:pStyle w:val="Tabla8"/>
              <w:jc w:val="left"/>
            </w:pPr>
            <w:r>
              <w:t xml:space="preserve">20 (EXTREMO)</w:t>
            </w:r>
          </w:p>
        </w:tc>
        <w:tc>
          <w:tcPr/>
          <w:p>
            <w:pPr>
              <w:pStyle w:val="Tabla8"/>
              <w:jc w:val="left"/>
            </w:pPr>
            <w:r>
              <w:t xml:space="preserve">150,0</w:t>
            </w:r>
          </w:p>
        </w:tc>
        <w:tc>
          <w:tcPr/>
          <w:p>
            <w:pPr>
              <w:pStyle w:val="Tabla8"/>
              <w:jc w:val="left"/>
            </w:pPr>
            <w:r>
              <w:t xml:space="preserve">Modelo de corrección por humedad, banco de calibración y reposición de cabezales.</w:t>
            </w:r>
          </w:p>
        </w:tc>
        <w:tc>
          <w:tcPr/>
          <w:p>
            <w:pPr>
              <w:pStyle w:val="Tabla8"/>
              <w:jc w:val="left"/>
            </w:pPr>
            <w:r>
              <w:t xml:space="preserve">NRMSE &gt; 30 % en dos verificaciones consecutivas</w:t>
            </w:r>
          </w:p>
        </w:tc>
        <w:tc>
          <w:tcPr/>
          <w:p>
            <w:pPr>
              <w:pStyle w:val="Tabla8"/>
              <w:jc w:val="left"/>
            </w:pPr>
            <w:r>
              <w:t xml:space="preserve">Especialista en metrología</w:t>
            </w:r>
          </w:p>
        </w:tc>
        <w:tc>
          <w:tcPr/>
          <w:p>
            <w:pPr>
              <w:pStyle w:val="Tabla8"/>
              <w:jc w:val="left"/>
            </w:pPr>
            <w:r>
              <w:t xml:space="preserve">PLANIFICADA</w:t>
            </w:r>
          </w:p>
        </w:tc>
      </w:tr>
      <w:tr>
        <w:trPr>
          <w:cantSplit/>
        </w:trPr>
        <w:tc>
          <w:tcPr/>
          <w:p>
            <w:pPr>
              <w:pStyle w:val="Tabla8"/>
              <w:jc w:val="left"/>
            </w:pPr>
            <w:r>
              <w:t xml:space="preserve">2</w:t>
            </w:r>
          </w:p>
        </w:tc>
        <w:tc>
          <w:tcPr/>
          <w:p>
            <w:pPr>
              <w:pStyle w:val="Tabla8"/>
              <w:jc w:val="left"/>
            </w:pPr>
            <w:r>
              <w:t xml:space="preserve">R-FIN-01: Devaluación encarece equipos importados</w:t>
            </w:r>
          </w:p>
        </w:tc>
        <w:tc>
          <w:tcPr/>
          <w:p>
            <w:pPr>
              <w:pStyle w:val="Tabla8"/>
              <w:jc w:val="left"/>
            </w:pPr>
            <w:r>
              <w:t xml:space="preserve">16 (ALTO)</w:t>
            </w:r>
          </w:p>
        </w:tc>
        <w:tc>
          <w:tcPr/>
          <w:p>
            <w:pPr>
              <w:pStyle w:val="Tabla8"/>
              <w:jc w:val="left"/>
            </w:pPr>
            <w:r>
              <w:t xml:space="preserve">165,0</w:t>
            </w:r>
          </w:p>
        </w:tc>
        <w:tc>
          <w:tcPr/>
          <w:p>
            <w:pPr>
              <w:pStyle w:val="Tabla8"/>
              <w:jc w:val="left"/>
            </w:pPr>
            <w:r>
              <w:t xml:space="preserve">Compra por tramo con cobertura cambiaria y cotizaciones vigentes.</w:t>
            </w:r>
          </w:p>
        </w:tc>
        <w:tc>
          <w:tcPr/>
          <w:p>
            <w:pPr>
              <w:pStyle w:val="Tabla8"/>
              <w:jc w:val="left"/>
            </w:pPr>
            <w:r>
              <w:t xml:space="preserve">El tipo de cambio supera en 10 % el de la cotización</w:t>
            </w:r>
          </w:p>
        </w:tc>
        <w:tc>
          <w:tcPr/>
          <w:p>
            <w:pPr>
              <w:pStyle w:val="Tabla8"/>
              <w:jc w:val="left"/>
            </w:pPr>
            <w:r>
              <w:t xml:space="preserve">Gerencia de proyecto</w:t>
            </w:r>
          </w:p>
        </w:tc>
        <w:tc>
          <w:tcPr/>
          <w:p>
            <w:pPr>
              <w:pStyle w:val="Tabla8"/>
              <w:jc w:val="left"/>
            </w:pPr>
            <w:r>
              <w:t xml:space="preserve">PLANIFICADA</w:t>
            </w:r>
          </w:p>
        </w:tc>
      </w:tr>
      <w:tr>
        <w:trPr>
          <w:cantSplit/>
        </w:trPr>
        <w:tc>
          <w:tcPr/>
          <w:p>
            <w:pPr>
              <w:pStyle w:val="Tabla8"/>
              <w:jc w:val="left"/>
            </w:pPr>
            <w:r>
              <w:t xml:space="preserve">3</w:t>
            </w:r>
          </w:p>
        </w:tc>
        <w:tc>
          <w:tcPr/>
          <w:p>
            <w:pPr>
              <w:pStyle w:val="Tabla8"/>
              <w:jc w:val="left"/>
            </w:pPr>
            <w:r>
              <w:t xml:space="preserve">R-ORG-02: Custodios no asumen la operación posproyecto</w:t>
            </w:r>
          </w:p>
        </w:tc>
        <w:tc>
          <w:tcPr/>
          <w:p>
            <w:pPr>
              <w:pStyle w:val="Tabla8"/>
              <w:jc w:val="left"/>
            </w:pPr>
            <w:r>
              <w:t xml:space="preserve">16 (ALTO)</w:t>
            </w:r>
          </w:p>
        </w:tc>
        <w:tc>
          <w:tcPr/>
          <w:p>
            <w:pPr>
              <w:pStyle w:val="Tabla8"/>
              <w:jc w:val="left"/>
            </w:pPr>
            <w:r>
              <w:t xml:space="preserve">60,0</w:t>
            </w:r>
          </w:p>
        </w:tc>
        <w:tc>
          <w:tcPr/>
          <w:p>
            <w:pPr>
              <w:pStyle w:val="Tabla8"/>
              <w:jc w:val="left"/>
            </w:pPr>
            <w:r>
              <w:t xml:space="preserve">Convenios por tramo, formación de custodios y cláusula de apertura.</w:t>
            </w:r>
          </w:p>
        </w:tc>
        <w:tc>
          <w:tcPr/>
          <w:p>
            <w:pPr>
              <w:pStyle w:val="Tabla8"/>
              <w:jc w:val="left"/>
            </w:pPr>
            <w:r>
              <w:t xml:space="preserve">Convenio sin partida al cierre del tramo 2</w:t>
            </w:r>
          </w:p>
        </w:tc>
        <w:tc>
          <w:tcPr/>
          <w:p>
            <w:pPr>
              <w:pStyle w:val="Tabla8"/>
              <w:jc w:val="left"/>
            </w:pPr>
            <w:r>
              <w:t xml:space="preserve">Profesional de convenios</w:t>
            </w:r>
          </w:p>
        </w:tc>
        <w:tc>
          <w:tcPr/>
          <w:p>
            <w:pPr>
              <w:pStyle w:val="Tabla8"/>
              <w:jc w:val="left"/>
            </w:pPr>
            <w:r>
              <w:t xml:space="preserve">PLANIFICADA</w:t>
            </w:r>
          </w:p>
        </w:tc>
      </w:tr>
      <w:tr>
        <w:trPr>
          <w:cantSplit/>
        </w:trPr>
        <w:tc>
          <w:tcPr/>
          <w:p>
            <w:pPr>
              <w:pStyle w:val="Tabla8"/>
              <w:jc w:val="left"/>
            </w:pPr>
            <w:r>
              <w:t xml:space="preserve">4</w:t>
            </w:r>
          </w:p>
        </w:tc>
        <w:tc>
          <w:tcPr/>
          <w:p>
            <w:pPr>
              <w:pStyle w:val="Tabla8"/>
              <w:jc w:val="left"/>
            </w:pPr>
            <w:r>
              <w:t xml:space="preserve">R-ORG-01: Comités no adoptan el tablero ni el protocolo</w:t>
            </w:r>
          </w:p>
        </w:tc>
        <w:tc>
          <w:tcPr/>
          <w:p>
            <w:pPr>
              <w:pStyle w:val="Tabla8"/>
              <w:jc w:val="left"/>
            </w:pPr>
            <w:r>
              <w:t xml:space="preserve">15 (ALTO)</w:t>
            </w:r>
          </w:p>
        </w:tc>
        <w:tc>
          <w:tcPr/>
          <w:p>
            <w:pPr>
              <w:pStyle w:val="Tabla8"/>
              <w:jc w:val="left"/>
            </w:pPr>
            <w:r>
              <w:t xml:space="preserve">36,0</w:t>
            </w:r>
          </w:p>
        </w:tc>
        <w:tc>
          <w:tcPr/>
          <w:p>
            <w:pPr>
              <w:pStyle w:val="Tabla8"/>
              <w:jc w:val="left"/>
            </w:pPr>
            <w:r>
              <w:t xml:space="preserve">Co-diseño de umbrales, formación por comité y uso piloto con registro de decisiones.</w:t>
            </w:r>
          </w:p>
        </w:tc>
        <w:tc>
          <w:tcPr/>
          <w:p>
            <w:pPr>
              <w:pStyle w:val="Tabla8"/>
              <w:jc w:val="left"/>
            </w:pPr>
            <w:r>
              <w:t xml:space="preserve">Menos de 50 % de uso en el tramo 1</w:t>
            </w:r>
          </w:p>
        </w:tc>
        <w:tc>
          <w:tcPr/>
          <w:p>
            <w:pPr>
              <w:pStyle w:val="Tabla8"/>
              <w:jc w:val="left"/>
            </w:pPr>
            <w:r>
              <w:t xml:space="preserve">Coordinación de apropiación</w:t>
            </w:r>
          </w:p>
        </w:tc>
        <w:tc>
          <w:tcPr/>
          <w:p>
            <w:pPr>
              <w:pStyle w:val="Tabla8"/>
              <w:jc w:val="left"/>
            </w:pPr>
            <w:r>
              <w:t xml:space="preserve">PLANIFICADA</w:t>
            </w:r>
          </w:p>
        </w:tc>
      </w:tr>
      <w:tr>
        <w:trPr>
          <w:cantSplit/>
        </w:trPr>
        <w:tc>
          <w:tcPr/>
          <w:p>
            <w:pPr>
              <w:pStyle w:val="Tabla8"/>
              <w:jc w:val="left"/>
            </w:pPr>
            <w:r>
              <w:t xml:space="preserve">5</w:t>
            </w:r>
          </w:p>
        </w:tc>
        <w:tc>
          <w:tcPr/>
          <w:p>
            <w:pPr>
              <w:pStyle w:val="Tabla8"/>
              <w:jc w:val="left"/>
            </w:pPr>
            <w:r>
              <w:t xml:space="preserve">R-EXT-01: Vías bloqueadas retrasan la instalación</w:t>
            </w:r>
          </w:p>
        </w:tc>
        <w:tc>
          <w:tcPr/>
          <w:p>
            <w:pPr>
              <w:pStyle w:val="Tabla8"/>
              <w:jc w:val="left"/>
            </w:pPr>
            <w:r>
              <w:t xml:space="preserve">12 (ALTO)</w:t>
            </w:r>
          </w:p>
        </w:tc>
        <w:tc>
          <w:tcPr/>
          <w:p>
            <w:pPr>
              <w:pStyle w:val="Tabla8"/>
              <w:jc w:val="left"/>
            </w:pPr>
            <w:r>
              <w:t xml:space="preserve">60,0</w:t>
            </w:r>
          </w:p>
        </w:tc>
        <w:tc>
          <w:tcPr/>
          <w:p>
            <w:pPr>
              <w:pStyle w:val="Tabla8"/>
              <w:jc w:val="left"/>
            </w:pPr>
            <w:r>
              <w:t xml:space="preserve">Instalación en ventanas secas, técnicos locales y holgura en el cronograma.</w:t>
            </w:r>
          </w:p>
        </w:tc>
        <w:tc>
          <w:tcPr/>
          <w:p>
            <w:pPr>
              <w:pStyle w:val="Tabla8"/>
              <w:jc w:val="left"/>
            </w:pPr>
            <w:r>
              <w:t xml:space="preserve">Retraso de instalación &gt; 3 semanas</w:t>
            </w:r>
          </w:p>
        </w:tc>
        <w:tc>
          <w:tcPr/>
          <w:p>
            <w:pPr>
              <w:pStyle w:val="Tabla8"/>
              <w:jc w:val="left"/>
            </w:pPr>
            <w:r>
              <w:t xml:space="preserve">Gerencia de proyecto</w:t>
            </w:r>
          </w:p>
        </w:tc>
        <w:tc>
          <w:tcPr/>
          <w:p>
            <w:pPr>
              <w:pStyle w:val="Tabla8"/>
              <w:jc w:val="left"/>
            </w:pPr>
            <w:r>
              <w:t xml:space="preserve">PLANIFICADA</w:t>
            </w:r>
          </w:p>
        </w:tc>
      </w:tr>
    </w:tbl>
    <w:p>
      <w:pPr>
        <w:pStyle w:val="TablaNota"/>
      </w:pPr>
      <w:r>
        <w:rPr>
          <w:i/>
          <w:iCs/>
        </w:rPr>
        <w:t xml:space="preserve">Nota.</w:t>
      </w:r>
      <w:r>
        <w:t xml:space="preserve"> </w:t>
      </w:r>
      <w:r>
        <w:t xml:space="preserve">Elaboración propia con datos del registro de la ficha maestra. Orden por P×I y, en empate, por EMV. Los responsables son roles del presupuesto; los nombres son [DATO_USUARIO: nombres del personal responsable]. Decimales con coma.</w:t>
      </w:r>
    </w:p>
    <w:p>
      <w:pPr>
        <w:pStyle w:val="BodyText"/>
      </w:pPr>
      <w:r>
        <w:t xml:space="preserve">Los cinco riesgos suman $ 471,0 millones de EMV, o 74,0 % de la suma. Dos de ellos explican la mitad de la reserva. R-FIN-01 aporta $ 165,0 millones y R-TEC-01 aporta $ 150,0 millones, que juntos equivalen a 49,5 %. El estado inicial de las cinco respuestas es PLANIFICADA. Los responsables son roles del presupuesto y cada uno informa su disparador cada mes.</w:t>
      </w:r>
    </w:p>
    <w:bookmarkEnd w:id="848"/>
    <w:bookmarkStart w:id="852" w:name="_Toc00900366"/>
    <w:p>
      <w:pPr>
        <w:pStyle w:val="Heading2"/>
      </w:pPr>
      <w:r>
        <w:t xml:space="preserve">X9.3 Mapa de calor</w:t>
      </w:r>
    </w:p>
    <w:p>
      <w:pPr>
        <w:pStyle w:val="FirstParagraph"/>
      </w:pPr>
      <w:r>
        <w:t xml:space="preserve">La Tabla X9.3 y la Figura X9.2 ubican cada riesgo según su probabilidad y su impacto. La posición sale de los valores de la ficha y no de una nueva valoración. El color y la trama de cada celda indican el nivel de P×I. Las celdas vacías conservan su nivel para que el tablero muestre el espacio de decisión completo.</w:t>
      </w:r>
    </w:p>
    <w:p>
      <w:pPr>
        <w:pStyle w:val="TablaRotulo"/>
      </w:pPr>
      <w:bookmarkStart w:id="9457" w:name="rot_Tabla_X9_3"/>
      <w:r>
        <w:rPr>
          <w:b/>
          <w:bCs/>
        </w:rPr>
        <w:t xml:space="preserve">Tabla X9.3</w:t>
      </w:r>
      <w:bookmarkEnd w:id="9457"/>
    </w:p>
    <w:p>
      <w:pPr>
        <w:pStyle w:val="TablaTitulo"/>
      </w:pPr>
      <w:r>
        <w:rPr>
          <w:i/>
          <w:iCs/>
        </w:rPr>
        <w:t xml:space="preserve">Posición de los riesgos en la matriz de probabilidad e impacto de 5 por 5</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64"/>
        <w:gridCol w:w="1064"/>
        <w:gridCol w:w="1197"/>
        <w:gridCol w:w="1264"/>
        <w:gridCol w:w="1597"/>
        <w:gridCol w:w="1530"/>
      </w:tblGrid>
      <w:tr>
        <w:trPr>
          <w:cantSplit/>
          <w:tblHeader/>
        </w:trPr>
        <w:tc>
          <w:tcPr>
            <w:shd w:val="clear" w:color="auto" w:fill="00B050"/>
          </w:tcPr>
          <w:p>
            <w:pPr>
              <w:pStyle w:val="Tabla9"/>
              <w:jc w:val="center"/>
            </w:pPr>
            <w:r>
              <w:rPr>
                <w:b/>
                <w:color w:val="FFFFFF"/>
              </w:rPr>
              <w:t xml:space="preserve">P (filas) e I (columnas)</w:t>
            </w:r>
          </w:p>
        </w:tc>
        <w:tc>
          <w:tcPr>
            <w:shd w:val="clear" w:color="auto" w:fill="00B050"/>
          </w:tcPr>
          <w:p>
            <w:pPr>
              <w:pStyle w:val="Tabla9"/>
              <w:jc w:val="center"/>
            </w:pPr>
            <w:r>
              <w:rPr>
                <w:b/>
                <w:color w:val="FFFFFF"/>
              </w:rPr>
              <w:t xml:space="preserve">I = 1</w:t>
            </w:r>
          </w:p>
        </w:tc>
        <w:tc>
          <w:tcPr>
            <w:shd w:val="clear" w:color="auto" w:fill="00B050"/>
          </w:tcPr>
          <w:p>
            <w:pPr>
              <w:pStyle w:val="Tabla9"/>
              <w:jc w:val="center"/>
            </w:pPr>
            <w:r>
              <w:rPr>
                <w:b/>
                <w:color w:val="FFFFFF"/>
              </w:rPr>
              <w:t xml:space="preserve">I = 2</w:t>
            </w:r>
          </w:p>
        </w:tc>
        <w:tc>
          <w:tcPr>
            <w:shd w:val="clear" w:color="auto" w:fill="00B050"/>
          </w:tcPr>
          <w:p>
            <w:pPr>
              <w:pStyle w:val="Tabla9"/>
              <w:jc w:val="center"/>
            </w:pPr>
            <w:r>
              <w:rPr>
                <w:b/>
                <w:color w:val="FFFFFF"/>
              </w:rPr>
              <w:t xml:space="preserve">I = 3</w:t>
            </w:r>
          </w:p>
        </w:tc>
        <w:tc>
          <w:tcPr>
            <w:shd w:val="clear" w:color="auto" w:fill="00B050"/>
          </w:tcPr>
          <w:p>
            <w:pPr>
              <w:pStyle w:val="Tabla9"/>
              <w:jc w:val="center"/>
            </w:pPr>
            <w:r>
              <w:rPr>
                <w:b/>
                <w:color w:val="FFFFFF"/>
              </w:rPr>
              <w:t xml:space="preserve">I = 4</w:t>
            </w:r>
          </w:p>
        </w:tc>
        <w:tc>
          <w:tcPr>
            <w:shd w:val="clear" w:color="auto" w:fill="00B050"/>
          </w:tcPr>
          <w:p>
            <w:pPr>
              <w:pStyle w:val="Tabla9"/>
              <w:jc w:val="center"/>
            </w:pPr>
            <w:r>
              <w:rPr>
                <w:b/>
                <w:color w:val="FFFFFF"/>
              </w:rPr>
              <w:t xml:space="preserve">I = 5</w:t>
            </w:r>
          </w:p>
        </w:tc>
      </w:tr>
      <w:tr>
        <w:trPr>
          <w:cantSplit/>
        </w:trPr>
        <w:tc>
          <w:tcPr/>
          <w:p>
            <w:pPr>
              <w:pStyle w:val="Tabla9"/>
              <w:jc w:val="left"/>
            </w:pPr>
            <w:r>
              <w:t xml:space="preserve">P = 5</w:t>
            </w:r>
          </w:p>
        </w:tc>
        <w:tc>
          <w:tcPr/>
          <w:p>
            <w:pPr>
              <w:pStyle w:val="Tabla9"/>
              <w:jc w:val="left"/>
            </w:pPr>
            <w:r>
              <w:t xml:space="preserve">vacía (BAJO, 5)</w:t>
            </w:r>
          </w:p>
        </w:tc>
        <w:tc>
          <w:tcPr/>
          <w:p>
            <w:pPr>
              <w:pStyle w:val="Tabla9"/>
              <w:jc w:val="left"/>
            </w:pPr>
            <w:r>
              <w:t xml:space="preserve">vacía (MEDIO, 10)</w:t>
            </w:r>
          </w:p>
        </w:tc>
        <w:tc>
          <w:tcPr/>
          <w:p>
            <w:pPr>
              <w:pStyle w:val="Tabla9"/>
              <w:jc w:val="left"/>
            </w:pPr>
            <w:r>
              <w:t xml:space="preserve">vacía (ALTO, 15)</w:t>
            </w:r>
          </w:p>
        </w:tc>
        <w:tc>
          <w:tcPr/>
          <w:p>
            <w:pPr>
              <w:pStyle w:val="Tabla9"/>
              <w:jc w:val="left"/>
            </w:pPr>
            <w:r>
              <w:t xml:space="preserve">vacía (EXTREMO, 20)</w:t>
            </w:r>
          </w:p>
        </w:tc>
        <w:tc>
          <w:tcPr/>
          <w:p>
            <w:pPr>
              <w:pStyle w:val="Tabla9"/>
              <w:jc w:val="left"/>
            </w:pPr>
            <w:r>
              <w:t xml:space="preserve">vacía (EXTREMO, 25)</w:t>
            </w:r>
          </w:p>
        </w:tc>
      </w:tr>
      <w:tr>
        <w:trPr>
          <w:cantSplit/>
        </w:trPr>
        <w:tc>
          <w:tcPr/>
          <w:p>
            <w:pPr>
              <w:pStyle w:val="Tabla9"/>
              <w:jc w:val="left"/>
            </w:pPr>
            <w:r>
              <w:t xml:space="preserve">P = 4</w:t>
            </w:r>
          </w:p>
        </w:tc>
        <w:tc>
          <w:tcPr/>
          <w:p>
            <w:pPr>
              <w:pStyle w:val="Tabla9"/>
              <w:jc w:val="left"/>
            </w:pPr>
            <w:r>
              <w:t xml:space="preserve">vacía (BAJO, 4)</w:t>
            </w:r>
          </w:p>
        </w:tc>
        <w:tc>
          <w:tcPr/>
          <w:p>
            <w:pPr>
              <w:pStyle w:val="Tabla9"/>
              <w:jc w:val="left"/>
            </w:pPr>
            <w:r>
              <w:t xml:space="preserve">vacía (MEDIO, 8)</w:t>
            </w:r>
          </w:p>
        </w:tc>
        <w:tc>
          <w:tcPr/>
          <w:p>
            <w:pPr>
              <w:pStyle w:val="Tabla9"/>
              <w:jc w:val="left"/>
            </w:pPr>
            <w:r>
              <w:t xml:space="preserve">R-EXT-01 (ALTO, 12)</w:t>
            </w:r>
          </w:p>
        </w:tc>
        <w:tc>
          <w:tcPr/>
          <w:p>
            <w:pPr>
              <w:pStyle w:val="Tabla9"/>
              <w:jc w:val="left"/>
            </w:pPr>
            <w:r>
              <w:t xml:space="preserve">R-ORG-02, R-FIN-01 (ALTO, 16)</w:t>
            </w:r>
          </w:p>
        </w:tc>
        <w:tc>
          <w:tcPr/>
          <w:p>
            <w:pPr>
              <w:pStyle w:val="Tabla9"/>
              <w:jc w:val="left"/>
            </w:pPr>
            <w:r>
              <w:t xml:space="preserve">R-TEC-01 (EXTREMO, 20)</w:t>
            </w:r>
          </w:p>
        </w:tc>
      </w:tr>
      <w:tr>
        <w:trPr>
          <w:cantSplit/>
        </w:trPr>
        <w:tc>
          <w:tcPr/>
          <w:p>
            <w:pPr>
              <w:pStyle w:val="Tabla9"/>
              <w:jc w:val="left"/>
            </w:pPr>
            <w:r>
              <w:t xml:space="preserve">P = 3</w:t>
            </w:r>
          </w:p>
        </w:tc>
        <w:tc>
          <w:tcPr/>
          <w:p>
            <w:pPr>
              <w:pStyle w:val="Tabla9"/>
              <w:jc w:val="left"/>
            </w:pPr>
            <w:r>
              <w:t xml:space="preserve">vacía (BAJO, 3)</w:t>
            </w:r>
          </w:p>
        </w:tc>
        <w:tc>
          <w:tcPr/>
          <w:p>
            <w:pPr>
              <w:pStyle w:val="Tabla9"/>
              <w:jc w:val="left"/>
            </w:pPr>
            <w:r>
              <w:t xml:space="preserve">vacía (MEDIO, 6)</w:t>
            </w:r>
          </w:p>
        </w:tc>
        <w:tc>
          <w:tcPr/>
          <w:p>
            <w:pPr>
              <w:pStyle w:val="Tabla9"/>
              <w:jc w:val="left"/>
            </w:pPr>
            <w:r>
              <w:t xml:space="preserve">R-EXT-02 (MEDIO, 9)</w:t>
            </w:r>
          </w:p>
        </w:tc>
        <w:tc>
          <w:tcPr/>
          <w:p>
            <w:pPr>
              <w:pStyle w:val="Tabla9"/>
              <w:jc w:val="left"/>
            </w:pPr>
            <w:r>
              <w:t xml:space="preserve">R-TEC-02, R-TEC-03, R-TEC-04 (ALTO, 12)</w:t>
            </w:r>
          </w:p>
        </w:tc>
        <w:tc>
          <w:tcPr/>
          <w:p>
            <w:pPr>
              <w:pStyle w:val="Tabla9"/>
              <w:jc w:val="left"/>
            </w:pPr>
            <w:r>
              <w:t xml:space="preserve">R-ORG-01 (ALTO, 15)</w:t>
            </w:r>
          </w:p>
        </w:tc>
      </w:tr>
      <w:tr>
        <w:trPr>
          <w:cantSplit/>
        </w:trPr>
        <w:tc>
          <w:tcPr/>
          <w:p>
            <w:pPr>
              <w:pStyle w:val="Tabla9"/>
              <w:jc w:val="left"/>
            </w:pPr>
            <w:r>
              <w:t xml:space="preserve">P = 2</w:t>
            </w:r>
          </w:p>
        </w:tc>
        <w:tc>
          <w:tcPr/>
          <w:p>
            <w:pPr>
              <w:pStyle w:val="Tabla9"/>
              <w:jc w:val="left"/>
            </w:pPr>
            <w:r>
              <w:t xml:space="preserve">vacía (BAJO, 2)</w:t>
            </w:r>
          </w:p>
        </w:tc>
        <w:tc>
          <w:tcPr/>
          <w:p>
            <w:pPr>
              <w:pStyle w:val="Tabla9"/>
              <w:jc w:val="left"/>
            </w:pPr>
            <w:r>
              <w:t xml:space="preserve">vacía (BAJO, 4)</w:t>
            </w:r>
          </w:p>
        </w:tc>
        <w:tc>
          <w:tcPr/>
          <w:p>
            <w:pPr>
              <w:pStyle w:val="Tabla9"/>
              <w:jc w:val="left"/>
            </w:pPr>
            <w:r>
              <w:t xml:space="preserve">vacía (MEDIO, 6)</w:t>
            </w:r>
          </w:p>
        </w:tc>
        <w:tc>
          <w:tcPr/>
          <w:p>
            <w:pPr>
              <w:pStyle w:val="Tabla9"/>
              <w:jc w:val="left"/>
            </w:pPr>
            <w:r>
              <w:t xml:space="preserve">R-FIN-02, R-JUR-01, R-DAT-01 (MEDIO, 8)</w:t>
            </w:r>
          </w:p>
        </w:tc>
        <w:tc>
          <w:tcPr/>
          <w:p>
            <w:pPr>
              <w:pStyle w:val="Tabla9"/>
              <w:jc w:val="left"/>
            </w:pPr>
            <w:r>
              <w:t xml:space="preserve">vacía (MEDIO, 10)</w:t>
            </w:r>
          </w:p>
        </w:tc>
      </w:tr>
      <w:tr>
        <w:trPr>
          <w:cantSplit/>
        </w:trPr>
        <w:tc>
          <w:tcPr/>
          <w:p>
            <w:pPr>
              <w:pStyle w:val="Tabla9"/>
              <w:jc w:val="left"/>
            </w:pPr>
            <w:r>
              <w:t xml:space="preserve">P = 1</w:t>
            </w:r>
          </w:p>
        </w:tc>
        <w:tc>
          <w:tcPr/>
          <w:p>
            <w:pPr>
              <w:pStyle w:val="Tabla9"/>
              <w:jc w:val="left"/>
            </w:pPr>
            <w:r>
              <w:t xml:space="preserve">vacía (BAJO, 1)</w:t>
            </w:r>
          </w:p>
        </w:tc>
        <w:tc>
          <w:tcPr/>
          <w:p>
            <w:pPr>
              <w:pStyle w:val="Tabla9"/>
              <w:jc w:val="left"/>
            </w:pPr>
            <w:r>
              <w:t xml:space="preserve">vacía (BAJO, 2)</w:t>
            </w:r>
          </w:p>
        </w:tc>
        <w:tc>
          <w:tcPr/>
          <w:p>
            <w:pPr>
              <w:pStyle w:val="Tabla9"/>
              <w:jc w:val="left"/>
            </w:pPr>
            <w:r>
              <w:t xml:space="preserve">vacía (BAJO, 3)</w:t>
            </w:r>
          </w:p>
        </w:tc>
        <w:tc>
          <w:tcPr/>
          <w:p>
            <w:pPr>
              <w:pStyle w:val="Tabla9"/>
              <w:jc w:val="left"/>
            </w:pPr>
            <w:r>
              <w:t xml:space="preserve">vacía (BAJO, 4)</w:t>
            </w:r>
          </w:p>
        </w:tc>
        <w:tc>
          <w:tcPr/>
          <w:p>
            <w:pPr>
              <w:pStyle w:val="Tabla9"/>
              <w:jc w:val="left"/>
            </w:pPr>
            <w:r>
              <w:t xml:space="preserve">vacía (BAJO, 5)</w:t>
            </w:r>
          </w:p>
        </w:tc>
      </w:tr>
    </w:tbl>
    <w:p>
      <w:pPr>
        <w:pStyle w:val="TablaNota"/>
      </w:pPr>
      <w:r>
        <w:rPr>
          <w:i/>
          <w:iCs/>
        </w:rPr>
        <w:t xml:space="preserve">Nota.</w:t>
      </w:r>
      <w:r>
        <w:t xml:space="preserve"> </w:t>
      </w:r>
      <w:r>
        <w:t xml:space="preserve">Elaboración propia con P e I del registro de la ficha maestra. Cada celda indica los riesgos, el nivel y el producto P×I. Naturaleza: CALCULADO a partir de estimaciones PROPUESTAS.</w:t>
      </w:r>
    </w:p>
    <w:p>
      <w:pPr>
        <w:pStyle w:val="FiguraRotulo"/>
      </w:pPr>
      <w:bookmarkStart w:id="9572" w:name="rot_Figura_X9_2"/>
      <w:r>
        <w:rPr>
          <w:b/>
          <w:bCs/>
        </w:rPr>
        <w:t xml:space="preserve">Figura X9.2</w:t>
      </w:r>
      <w:bookmarkEnd w:id="9572"/>
    </w:p>
    <w:p>
      <w:pPr>
        <w:pStyle w:val="FiguraTitulo"/>
      </w:pPr>
      <w:r>
        <w:rPr>
          <w:i/>
          <w:iCs/>
        </w:rPr>
        <w:t xml:space="preserve">8 de los 12 riesgos ocupan celdas de nivel ALTO o EXTREMO en la matriz 5×5</w:t>
      </w:r>
    </w:p>
    <w:p>
      <w:pPr>
        <w:pStyle w:val="BodyText"/>
      </w:pPr>
      <w:r>
        <w:drawing>
          <wp:inline>
            <wp:extent cx="5579999" cy="3342233"/>
            <wp:effectExtent b="0" l="0" r="0" t="0"/>
            <wp:docPr descr="" title="" id="850" name="Picture"/>
            <a:graphic>
              <a:graphicData uri="http://schemas.openxmlformats.org/drawingml/2006/picture">
                <pic:pic>
                  <pic:nvPicPr>
                    <pic:cNvPr descr="/tmp/claude-0/-home-user-docs/ddf38714-2a7e-502b-92b4-1008e2832422/scratchpad/proy/figs/out/cX9_f02.png" id="851" name="Picture"/>
                    <pic:cNvPicPr>
                      <a:picLocks noChangeArrowheads="1" noChangeAspect="1"/>
                    </pic:cNvPicPr>
                  </pic:nvPicPr>
                  <pic:blipFill>
                    <a:blip r:embed="rId849"/>
                    <a:stretch>
                      <a:fillRect/>
                    </a:stretch>
                  </pic:blipFill>
                  <pic:spPr bwMode="auto">
                    <a:xfrm>
                      <a:off x="0" y="0"/>
                      <a:ext cx="5579999" cy="33422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P e I del registro de la ficha maestra (§7). Nivel según P×I: EXTREMO desde 20, ALTO de 12 a 19, MEDIO de 6 a 11, BAJO menor de 6. Python 3 y matplotlib; script cX9_figs.py; sin semilla; corte del 13 de octubre de 2026.</w:t>
      </w:r>
    </w:p>
    <w:p>
      <w:pPr>
        <w:pStyle w:val="BodyText"/>
      </w:pPr>
      <w:r>
        <w:t xml:space="preserve">Ningún riesgo ocupa las filas P = 1 ni P = 5, ni las columnas I = 1 ni I = 2. El impacto se concentra en el nivel 4, con 8 riesgos, mientras que dos riesgos presentan impacto 5 y dos impacto 3. La celda de P = 4 e I = 4 reúne dos riesgos. La celda de P = 3 e I = 4 reúne tres técnicos. La celda de P = 2 e I = 4 reúne tres riesgos de nivel MEDIO. La matriz no distingue entre riesgos de una misma celda. Para ese fin el tablero usa el EMV.</w:t>
      </w:r>
    </w:p>
    <w:bookmarkEnd w:id="852"/>
    <w:bookmarkStart w:id="856" w:name="_Toc00900367"/>
    <w:p>
      <w:pPr>
        <w:pStyle w:val="Heading2"/>
      </w:pPr>
      <w:r>
        <w:t xml:space="preserve">X9.4 Tendencia del índice de riesgo</w:t>
      </w:r>
    </w:p>
    <w:p>
      <w:pPr>
        <w:pStyle w:val="FirstParagraph"/>
      </w:pPr>
      <w:r>
        <w:t xml:space="preserve">El índice de riesgo es la suma de P×I de los riesgos abiertos. Parte de 148 puntos al inicio. La trayectoria de la Tabla X9.4 y de la Figura X9.3 es una hipótesis PROPUESTA y no una medición. Dos reglas la definen. Primera, la probabilidad baja un nivel en la compuerta cuyo criterio verifica la medida de mitigación del riesgo, con piso en P = 2. Segunda, un riesgo sale del índice cuando termina la actividad que lo expone. R-FIN-02 sale al mes 2, R-FIN-01 al mes 18 y R-EXT-01 al mes 19.</w:t>
      </w:r>
    </w:p>
    <w:p>
      <w:pPr>
        <w:pStyle w:val="BodyText"/>
      </w:pPr>
      <w:r>
        <w:t xml:space="preserve">La compuerta C1 reduce la probabilidad de R-TEC-01 por el criterio de R² y NRMSE. También reduce la de R-ORG-01 por el criterio de uso del tablero. La compuerta C2 reduce R-TEC-01 por su verificación en los tres departamentos y reduce R-TEC-02, R-TEC-03 y R-TEC-04 por el criterio de disponibilidad. También reduce R-ORG-02 por los convenios de custodia con partida.</w:t>
      </w:r>
    </w:p>
    <w:p>
      <w:pPr>
        <w:pStyle w:val="TablaRotulo"/>
      </w:pPr>
      <w:bookmarkStart w:id="9458" w:name="rot_Tabla_X9_4"/>
      <w:r>
        <w:rPr>
          <w:b/>
          <w:bCs/>
        </w:rPr>
        <w:t xml:space="preserve">Tabla X9.4</w:t>
      </w:r>
      <w:bookmarkEnd w:id="9458"/>
    </w:p>
    <w:p>
      <w:pPr>
        <w:pStyle w:val="TablaTitulo"/>
      </w:pPr>
      <w:r>
        <w:rPr>
          <w:i/>
          <w:iCs/>
        </w:rPr>
        <w:t xml:space="preserve">Trayectoria planificada del índice de riesgo por tramo (hipótesis PROPUESTA)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43"/>
        <w:gridCol w:w="850"/>
        <w:gridCol w:w="1243"/>
        <w:gridCol w:w="1178"/>
        <w:gridCol w:w="850"/>
        <w:gridCol w:w="850"/>
        <w:gridCol w:w="850"/>
        <w:gridCol w:w="850"/>
      </w:tblGrid>
      <w:tr>
        <w:trPr>
          <w:cantSplit/>
          <w:tblHeader/>
        </w:trPr>
        <w:tc>
          <w:tcPr>
            <w:shd w:val="clear" w:color="auto" w:fill="00B050"/>
          </w:tcPr>
          <w:p>
            <w:pPr>
              <w:pStyle w:val="Tabla8"/>
              <w:jc w:val="center"/>
            </w:pPr>
            <w:r>
              <w:rPr>
                <w:b/>
                <w:color w:val="FFFFFF"/>
              </w:rPr>
              <w:t xml:space="preserve">Riesgo</w:t>
            </w:r>
          </w:p>
        </w:tc>
        <w:tc>
          <w:tcPr>
            <w:shd w:val="clear" w:color="auto" w:fill="00B050"/>
          </w:tcPr>
          <w:p>
            <w:pPr>
              <w:pStyle w:val="Tabla8"/>
              <w:jc w:val="center"/>
            </w:pPr>
            <w:r>
              <w:rPr>
                <w:b/>
                <w:color w:val="FFFFFF"/>
              </w:rPr>
              <w:t xml:space="preserve">Valor inicial</w:t>
            </w:r>
          </w:p>
        </w:tc>
        <w:tc>
          <w:tcPr>
            <w:shd w:val="clear" w:color="auto" w:fill="00B050"/>
          </w:tcPr>
          <w:p>
            <w:pPr>
              <w:pStyle w:val="Tabla8"/>
              <w:jc w:val="center"/>
            </w:pPr>
            <w:r>
              <w:rPr>
                <w:b/>
                <w:color w:val="FFFFFF"/>
              </w:rPr>
              <w:t xml:space="preserve">Compuertas que reducen P</w:t>
            </w:r>
          </w:p>
        </w:tc>
        <w:tc>
          <w:tcPr>
            <w:shd w:val="clear" w:color="auto" w:fill="00B050"/>
          </w:tcPr>
          <w:p>
            <w:pPr>
              <w:pStyle w:val="Tabla8"/>
              <w:jc w:val="center"/>
            </w:pPr>
            <w:r>
              <w:rPr>
                <w:b/>
                <w:color w:val="FFFFFF"/>
              </w:rPr>
              <w:t xml:space="preserve">Ventana de exposición</w:t>
            </w:r>
          </w:p>
        </w:tc>
        <w:tc>
          <w:tcPr>
            <w:shd w:val="clear" w:color="auto" w:fill="00B050"/>
          </w:tcPr>
          <w:p>
            <w:pPr>
              <w:pStyle w:val="Tabla8"/>
              <w:jc w:val="center"/>
            </w:pPr>
            <w:r>
              <w:rPr>
                <w:b/>
                <w:color w:val="FFFFFF"/>
              </w:rPr>
              <w:t xml:space="preserve">Inicio (mes 0)</w:t>
            </w:r>
          </w:p>
        </w:tc>
        <w:tc>
          <w:tcPr>
            <w:shd w:val="clear" w:color="auto" w:fill="00B050"/>
          </w:tcPr>
          <w:p>
            <w:pPr>
              <w:pStyle w:val="Tabla8"/>
              <w:jc w:val="center"/>
            </w:pPr>
            <w:r>
              <w:rPr>
                <w:b/>
                <w:color w:val="FFFFFF"/>
              </w:rPr>
              <w:t xml:space="preserve">Cierre tramo 1 (C1, mes 12)</w:t>
            </w:r>
          </w:p>
        </w:tc>
        <w:tc>
          <w:tcPr>
            <w:shd w:val="clear" w:color="auto" w:fill="00B050"/>
          </w:tcPr>
          <w:p>
            <w:pPr>
              <w:pStyle w:val="Tabla8"/>
              <w:jc w:val="center"/>
            </w:pPr>
            <w:r>
              <w:rPr>
                <w:b/>
                <w:color w:val="FFFFFF"/>
              </w:rPr>
              <w:t xml:space="preserve">Cierre tramo 2 (C2, mes 17)</w:t>
            </w:r>
          </w:p>
        </w:tc>
        <w:tc>
          <w:tcPr>
            <w:shd w:val="clear" w:color="auto" w:fill="00B050"/>
          </w:tcPr>
          <w:p>
            <w:pPr>
              <w:pStyle w:val="Tabla8"/>
              <w:jc w:val="center"/>
            </w:pPr>
            <w:r>
              <w:rPr>
                <w:b/>
                <w:color w:val="FFFFFF"/>
              </w:rPr>
              <w:t xml:space="preserve">Cierre tramo 3 (C3, mes 24)</w:t>
            </w:r>
          </w:p>
        </w:tc>
      </w:tr>
      <w:tr>
        <w:trPr>
          <w:cantSplit/>
        </w:trPr>
        <w:tc>
          <w:tcPr/>
          <w:p>
            <w:pPr>
              <w:pStyle w:val="Tabla8"/>
              <w:jc w:val="left"/>
            </w:pPr>
            <w:r>
              <w:t xml:space="preserve">R-TEC-01</w:t>
            </w:r>
          </w:p>
        </w:tc>
        <w:tc>
          <w:tcPr/>
          <w:p>
            <w:pPr>
              <w:pStyle w:val="Tabla8"/>
              <w:jc w:val="left"/>
            </w:pPr>
            <w:r>
              <w:t xml:space="preserve">P 4 × I 5 = 20</w:t>
            </w:r>
          </w:p>
        </w:tc>
        <w:tc>
          <w:tcPr/>
          <w:p>
            <w:pPr>
              <w:pStyle w:val="Tabla8"/>
              <w:jc w:val="left"/>
            </w:pPr>
            <w:r>
              <w:t xml:space="preserve">C1, C2</w:t>
            </w:r>
          </w:p>
        </w:tc>
        <w:tc>
          <w:tcPr/>
          <w:p>
            <w:pPr>
              <w:pStyle w:val="Tabla8"/>
              <w:jc w:val="left"/>
            </w:pPr>
            <w:r>
              <w:t xml:space="preserve">Hasta el cierre</w:t>
            </w:r>
          </w:p>
        </w:tc>
        <w:tc>
          <w:tcPr/>
          <w:p>
            <w:pPr>
              <w:pStyle w:val="Tabla8"/>
              <w:jc w:val="left"/>
            </w:pPr>
            <w:r>
              <w:t xml:space="preserve">20</w:t>
            </w:r>
          </w:p>
        </w:tc>
        <w:tc>
          <w:tcPr/>
          <w:p>
            <w:pPr>
              <w:pStyle w:val="Tabla8"/>
              <w:jc w:val="left"/>
            </w:pPr>
            <w:r>
              <w:t xml:space="preserve">15</w:t>
            </w:r>
          </w:p>
        </w:tc>
        <w:tc>
          <w:tcPr/>
          <w:p>
            <w:pPr>
              <w:pStyle w:val="Tabla8"/>
              <w:jc w:val="left"/>
            </w:pPr>
            <w:r>
              <w:t xml:space="preserve">10</w:t>
            </w:r>
          </w:p>
        </w:tc>
        <w:tc>
          <w:tcPr/>
          <w:p>
            <w:pPr>
              <w:pStyle w:val="Tabla8"/>
              <w:jc w:val="left"/>
            </w:pPr>
            <w:r>
              <w:t xml:space="preserve">10</w:t>
            </w:r>
          </w:p>
        </w:tc>
      </w:tr>
      <w:tr>
        <w:trPr>
          <w:cantSplit/>
        </w:trPr>
        <w:tc>
          <w:tcPr/>
          <w:p>
            <w:pPr>
              <w:pStyle w:val="Tabla8"/>
              <w:jc w:val="left"/>
            </w:pPr>
            <w:r>
              <w:t xml:space="preserve">R-TEC-02</w:t>
            </w:r>
          </w:p>
        </w:tc>
        <w:tc>
          <w:tcPr/>
          <w:p>
            <w:pPr>
              <w:pStyle w:val="Tabla8"/>
              <w:jc w:val="left"/>
            </w:pPr>
            <w:r>
              <w:t xml:space="preserve">P 3 × I 4 = 12</w:t>
            </w:r>
          </w:p>
        </w:tc>
        <w:tc>
          <w:tcPr/>
          <w:p>
            <w:pPr>
              <w:pStyle w:val="Tabla8"/>
              <w:jc w:val="left"/>
            </w:pPr>
            <w:r>
              <w:t xml:space="preserve">C2</w:t>
            </w:r>
          </w:p>
        </w:tc>
        <w:tc>
          <w:tcPr/>
          <w:p>
            <w:pPr>
              <w:pStyle w:val="Tabla8"/>
              <w:jc w:val="left"/>
            </w:pPr>
            <w:r>
              <w:t xml:space="preserve">Hasta el cierre</w:t>
            </w:r>
          </w:p>
        </w:tc>
        <w:tc>
          <w:tcPr/>
          <w:p>
            <w:pPr>
              <w:pStyle w:val="Tabla8"/>
              <w:jc w:val="left"/>
            </w:pPr>
            <w:r>
              <w:t xml:space="preserve">12</w:t>
            </w:r>
          </w:p>
        </w:tc>
        <w:tc>
          <w:tcPr/>
          <w:p>
            <w:pPr>
              <w:pStyle w:val="Tabla8"/>
              <w:jc w:val="left"/>
            </w:pPr>
            <w:r>
              <w:t xml:space="preserve">12</w:t>
            </w:r>
          </w:p>
        </w:tc>
        <w:tc>
          <w:tcPr/>
          <w:p>
            <w:pPr>
              <w:pStyle w:val="Tabla8"/>
              <w:jc w:val="left"/>
            </w:pPr>
            <w:r>
              <w:t xml:space="preserve">8</w:t>
            </w:r>
          </w:p>
        </w:tc>
        <w:tc>
          <w:tcPr/>
          <w:p>
            <w:pPr>
              <w:pStyle w:val="Tabla8"/>
              <w:jc w:val="left"/>
            </w:pPr>
            <w:r>
              <w:t xml:space="preserve">8</w:t>
            </w:r>
          </w:p>
        </w:tc>
      </w:tr>
      <w:tr>
        <w:trPr>
          <w:cantSplit/>
        </w:trPr>
        <w:tc>
          <w:tcPr/>
          <w:p>
            <w:pPr>
              <w:pStyle w:val="Tabla8"/>
              <w:jc w:val="left"/>
            </w:pPr>
            <w:r>
              <w:t xml:space="preserve">R-TEC-03</w:t>
            </w:r>
          </w:p>
        </w:tc>
        <w:tc>
          <w:tcPr/>
          <w:p>
            <w:pPr>
              <w:pStyle w:val="Tabla8"/>
              <w:jc w:val="left"/>
            </w:pPr>
            <w:r>
              <w:t xml:space="preserve">P 3 × I 4 = 12</w:t>
            </w:r>
          </w:p>
        </w:tc>
        <w:tc>
          <w:tcPr/>
          <w:p>
            <w:pPr>
              <w:pStyle w:val="Tabla8"/>
              <w:jc w:val="left"/>
            </w:pPr>
            <w:r>
              <w:t xml:space="preserve">C2</w:t>
            </w:r>
          </w:p>
        </w:tc>
        <w:tc>
          <w:tcPr/>
          <w:p>
            <w:pPr>
              <w:pStyle w:val="Tabla8"/>
              <w:jc w:val="left"/>
            </w:pPr>
            <w:r>
              <w:t xml:space="preserve">Hasta el cierre</w:t>
            </w:r>
          </w:p>
        </w:tc>
        <w:tc>
          <w:tcPr/>
          <w:p>
            <w:pPr>
              <w:pStyle w:val="Tabla8"/>
              <w:jc w:val="left"/>
            </w:pPr>
            <w:r>
              <w:t xml:space="preserve">12</w:t>
            </w:r>
          </w:p>
        </w:tc>
        <w:tc>
          <w:tcPr/>
          <w:p>
            <w:pPr>
              <w:pStyle w:val="Tabla8"/>
              <w:jc w:val="left"/>
            </w:pPr>
            <w:r>
              <w:t xml:space="preserve">12</w:t>
            </w:r>
          </w:p>
        </w:tc>
        <w:tc>
          <w:tcPr/>
          <w:p>
            <w:pPr>
              <w:pStyle w:val="Tabla8"/>
              <w:jc w:val="left"/>
            </w:pPr>
            <w:r>
              <w:t xml:space="preserve">8</w:t>
            </w:r>
          </w:p>
        </w:tc>
        <w:tc>
          <w:tcPr/>
          <w:p>
            <w:pPr>
              <w:pStyle w:val="Tabla8"/>
              <w:jc w:val="left"/>
            </w:pPr>
            <w:r>
              <w:t xml:space="preserve">8</w:t>
            </w:r>
          </w:p>
        </w:tc>
      </w:tr>
      <w:tr>
        <w:trPr>
          <w:cantSplit/>
        </w:trPr>
        <w:tc>
          <w:tcPr/>
          <w:p>
            <w:pPr>
              <w:pStyle w:val="Tabla8"/>
              <w:jc w:val="left"/>
            </w:pPr>
            <w:r>
              <w:t xml:space="preserve">R-TEC-04</w:t>
            </w:r>
          </w:p>
        </w:tc>
        <w:tc>
          <w:tcPr/>
          <w:p>
            <w:pPr>
              <w:pStyle w:val="Tabla8"/>
              <w:jc w:val="left"/>
            </w:pPr>
            <w:r>
              <w:t xml:space="preserve">P 3 × I 4 = 12</w:t>
            </w:r>
          </w:p>
        </w:tc>
        <w:tc>
          <w:tcPr/>
          <w:p>
            <w:pPr>
              <w:pStyle w:val="Tabla8"/>
              <w:jc w:val="left"/>
            </w:pPr>
            <w:r>
              <w:t xml:space="preserve">C2</w:t>
            </w:r>
          </w:p>
        </w:tc>
        <w:tc>
          <w:tcPr/>
          <w:p>
            <w:pPr>
              <w:pStyle w:val="Tabla8"/>
              <w:jc w:val="left"/>
            </w:pPr>
            <w:r>
              <w:t xml:space="preserve">Hasta el cierre</w:t>
            </w:r>
          </w:p>
        </w:tc>
        <w:tc>
          <w:tcPr/>
          <w:p>
            <w:pPr>
              <w:pStyle w:val="Tabla8"/>
              <w:jc w:val="left"/>
            </w:pPr>
            <w:r>
              <w:t xml:space="preserve">12</w:t>
            </w:r>
          </w:p>
        </w:tc>
        <w:tc>
          <w:tcPr/>
          <w:p>
            <w:pPr>
              <w:pStyle w:val="Tabla8"/>
              <w:jc w:val="left"/>
            </w:pPr>
            <w:r>
              <w:t xml:space="preserve">12</w:t>
            </w:r>
          </w:p>
        </w:tc>
        <w:tc>
          <w:tcPr/>
          <w:p>
            <w:pPr>
              <w:pStyle w:val="Tabla8"/>
              <w:jc w:val="left"/>
            </w:pPr>
            <w:r>
              <w:t xml:space="preserve">8</w:t>
            </w:r>
          </w:p>
        </w:tc>
        <w:tc>
          <w:tcPr/>
          <w:p>
            <w:pPr>
              <w:pStyle w:val="Tabla8"/>
              <w:jc w:val="left"/>
            </w:pPr>
            <w:r>
              <w:t xml:space="preserve">8</w:t>
            </w:r>
          </w:p>
        </w:tc>
      </w:tr>
      <w:tr>
        <w:trPr>
          <w:cantSplit/>
        </w:trPr>
        <w:tc>
          <w:tcPr/>
          <w:p>
            <w:pPr>
              <w:pStyle w:val="Tabla8"/>
              <w:jc w:val="left"/>
            </w:pPr>
            <w:r>
              <w:t xml:space="preserve">R-ORG-01</w:t>
            </w:r>
          </w:p>
        </w:tc>
        <w:tc>
          <w:tcPr/>
          <w:p>
            <w:pPr>
              <w:pStyle w:val="Tabla8"/>
              <w:jc w:val="left"/>
            </w:pPr>
            <w:r>
              <w:t xml:space="preserve">P 3 × I 5 = 15</w:t>
            </w:r>
          </w:p>
        </w:tc>
        <w:tc>
          <w:tcPr/>
          <w:p>
            <w:pPr>
              <w:pStyle w:val="Tabla8"/>
              <w:jc w:val="left"/>
            </w:pPr>
            <w:r>
              <w:t xml:space="preserve">C1</w:t>
            </w:r>
          </w:p>
        </w:tc>
        <w:tc>
          <w:tcPr/>
          <w:p>
            <w:pPr>
              <w:pStyle w:val="Tabla8"/>
              <w:jc w:val="left"/>
            </w:pPr>
            <w:r>
              <w:t xml:space="preserve">Hasta el cierre</w:t>
            </w:r>
          </w:p>
        </w:tc>
        <w:tc>
          <w:tcPr/>
          <w:p>
            <w:pPr>
              <w:pStyle w:val="Tabla8"/>
              <w:jc w:val="left"/>
            </w:pPr>
            <w:r>
              <w:t xml:space="preserve">15</w:t>
            </w:r>
          </w:p>
        </w:tc>
        <w:tc>
          <w:tcPr/>
          <w:p>
            <w:pPr>
              <w:pStyle w:val="Tabla8"/>
              <w:jc w:val="left"/>
            </w:pPr>
            <w:r>
              <w:t xml:space="preserve">10</w:t>
            </w:r>
          </w:p>
        </w:tc>
        <w:tc>
          <w:tcPr/>
          <w:p>
            <w:pPr>
              <w:pStyle w:val="Tabla8"/>
              <w:jc w:val="left"/>
            </w:pPr>
            <w:r>
              <w:t xml:space="preserve">10</w:t>
            </w:r>
          </w:p>
        </w:tc>
        <w:tc>
          <w:tcPr/>
          <w:p>
            <w:pPr>
              <w:pStyle w:val="Tabla8"/>
              <w:jc w:val="left"/>
            </w:pPr>
            <w:r>
              <w:t xml:space="preserve">10</w:t>
            </w:r>
          </w:p>
        </w:tc>
      </w:tr>
      <w:tr>
        <w:trPr>
          <w:cantSplit/>
        </w:trPr>
        <w:tc>
          <w:tcPr/>
          <w:p>
            <w:pPr>
              <w:pStyle w:val="Tabla8"/>
              <w:jc w:val="left"/>
            </w:pPr>
            <w:r>
              <w:t xml:space="preserve">R-ORG-02</w:t>
            </w:r>
          </w:p>
        </w:tc>
        <w:tc>
          <w:tcPr/>
          <w:p>
            <w:pPr>
              <w:pStyle w:val="Tabla8"/>
              <w:jc w:val="left"/>
            </w:pPr>
            <w:r>
              <w:t xml:space="preserve">P 4 × I 4 = 16</w:t>
            </w:r>
          </w:p>
        </w:tc>
        <w:tc>
          <w:tcPr/>
          <w:p>
            <w:pPr>
              <w:pStyle w:val="Tabla8"/>
              <w:jc w:val="left"/>
            </w:pPr>
            <w:r>
              <w:t xml:space="preserve">C2</w:t>
            </w:r>
          </w:p>
        </w:tc>
        <w:tc>
          <w:tcPr/>
          <w:p>
            <w:pPr>
              <w:pStyle w:val="Tabla8"/>
              <w:jc w:val="left"/>
            </w:pPr>
            <w:r>
              <w:t xml:space="preserve">Hasta el cierre</w:t>
            </w:r>
          </w:p>
        </w:tc>
        <w:tc>
          <w:tcPr/>
          <w:p>
            <w:pPr>
              <w:pStyle w:val="Tabla8"/>
              <w:jc w:val="left"/>
            </w:pPr>
            <w:r>
              <w:t xml:space="preserve">16</w:t>
            </w:r>
          </w:p>
        </w:tc>
        <w:tc>
          <w:tcPr/>
          <w:p>
            <w:pPr>
              <w:pStyle w:val="Tabla8"/>
              <w:jc w:val="left"/>
            </w:pPr>
            <w:r>
              <w:t xml:space="preserve">16</w:t>
            </w:r>
          </w:p>
        </w:tc>
        <w:tc>
          <w:tcPr/>
          <w:p>
            <w:pPr>
              <w:pStyle w:val="Tabla8"/>
              <w:jc w:val="left"/>
            </w:pPr>
            <w:r>
              <w:t xml:space="preserve">12</w:t>
            </w:r>
          </w:p>
        </w:tc>
        <w:tc>
          <w:tcPr/>
          <w:p>
            <w:pPr>
              <w:pStyle w:val="Tabla8"/>
              <w:jc w:val="left"/>
            </w:pPr>
            <w:r>
              <w:t xml:space="preserve">12</w:t>
            </w:r>
          </w:p>
        </w:tc>
      </w:tr>
      <w:tr>
        <w:trPr>
          <w:cantSplit/>
        </w:trPr>
        <w:tc>
          <w:tcPr/>
          <w:p>
            <w:pPr>
              <w:pStyle w:val="Tabla8"/>
              <w:jc w:val="left"/>
            </w:pPr>
            <w:r>
              <w:t xml:space="preserve">R-EXT-01</w:t>
            </w:r>
          </w:p>
        </w:tc>
        <w:tc>
          <w:tcPr/>
          <w:p>
            <w:pPr>
              <w:pStyle w:val="Tabla8"/>
              <w:jc w:val="left"/>
            </w:pPr>
            <w:r>
              <w:t xml:space="preserve">P 4 × I 3 = 12</w:t>
            </w:r>
          </w:p>
        </w:tc>
        <w:tc>
          <w:tcPr/>
          <w:p>
            <w:pPr>
              <w:pStyle w:val="Tabla8"/>
              <w:jc w:val="left"/>
            </w:pPr>
            <w:r>
              <w:t xml:space="preserve">Ninguna</w:t>
            </w:r>
          </w:p>
        </w:tc>
        <w:tc>
          <w:tcPr/>
          <w:p>
            <w:pPr>
              <w:pStyle w:val="Tabla8"/>
              <w:jc w:val="left"/>
            </w:pPr>
            <w:r>
              <w:t xml:space="preserve">Hasta el mes 19</w:t>
            </w:r>
          </w:p>
        </w:tc>
        <w:tc>
          <w:tcPr/>
          <w:p>
            <w:pPr>
              <w:pStyle w:val="Tabla8"/>
              <w:jc w:val="left"/>
            </w:pPr>
            <w:r>
              <w:t xml:space="preserve">12</w:t>
            </w:r>
          </w:p>
        </w:tc>
        <w:tc>
          <w:tcPr/>
          <w:p>
            <w:pPr>
              <w:pStyle w:val="Tabla8"/>
              <w:jc w:val="left"/>
            </w:pPr>
            <w:r>
              <w:t xml:space="preserve">12</w:t>
            </w:r>
          </w:p>
        </w:tc>
        <w:tc>
          <w:tcPr/>
          <w:p>
            <w:pPr>
              <w:pStyle w:val="Tabla8"/>
              <w:jc w:val="left"/>
            </w:pPr>
            <w:r>
              <w:t xml:space="preserve">12</w:t>
            </w:r>
          </w:p>
        </w:tc>
        <w:tc>
          <w:tcPr/>
          <w:p>
            <w:pPr>
              <w:pStyle w:val="Tabla8"/>
              <w:jc w:val="left"/>
            </w:pPr>
            <w:r>
              <w:t xml:space="preserve">0</w:t>
            </w:r>
          </w:p>
        </w:tc>
      </w:tr>
      <w:tr>
        <w:trPr>
          <w:cantSplit/>
        </w:trPr>
        <w:tc>
          <w:tcPr/>
          <w:p>
            <w:pPr>
              <w:pStyle w:val="Tabla8"/>
              <w:jc w:val="left"/>
            </w:pPr>
            <w:r>
              <w:t xml:space="preserve">R-EXT-02</w:t>
            </w:r>
          </w:p>
        </w:tc>
        <w:tc>
          <w:tcPr/>
          <w:p>
            <w:pPr>
              <w:pStyle w:val="Tabla8"/>
              <w:jc w:val="left"/>
            </w:pPr>
            <w:r>
              <w:t xml:space="preserve">P 3 × I 3 = 9</w:t>
            </w:r>
          </w:p>
        </w:tc>
        <w:tc>
          <w:tcPr/>
          <w:p>
            <w:pPr>
              <w:pStyle w:val="Tabla8"/>
              <w:jc w:val="left"/>
            </w:pPr>
            <w:r>
              <w:t xml:space="preserve">Ninguna</w:t>
            </w:r>
          </w:p>
        </w:tc>
        <w:tc>
          <w:tcPr/>
          <w:p>
            <w:pPr>
              <w:pStyle w:val="Tabla8"/>
              <w:jc w:val="left"/>
            </w:pPr>
            <w:r>
              <w:t xml:space="preserve">Hasta el cierre</w:t>
            </w:r>
          </w:p>
        </w:tc>
        <w:tc>
          <w:tcPr/>
          <w:p>
            <w:pPr>
              <w:pStyle w:val="Tabla8"/>
              <w:jc w:val="left"/>
            </w:pPr>
            <w:r>
              <w:t xml:space="preserve">9</w:t>
            </w:r>
          </w:p>
        </w:tc>
        <w:tc>
          <w:tcPr/>
          <w:p>
            <w:pPr>
              <w:pStyle w:val="Tabla8"/>
              <w:jc w:val="left"/>
            </w:pPr>
            <w:r>
              <w:t xml:space="preserve">9</w:t>
            </w:r>
          </w:p>
        </w:tc>
        <w:tc>
          <w:tcPr/>
          <w:p>
            <w:pPr>
              <w:pStyle w:val="Tabla8"/>
              <w:jc w:val="left"/>
            </w:pPr>
            <w:r>
              <w:t xml:space="preserve">9</w:t>
            </w:r>
          </w:p>
        </w:tc>
        <w:tc>
          <w:tcPr/>
          <w:p>
            <w:pPr>
              <w:pStyle w:val="Tabla8"/>
              <w:jc w:val="left"/>
            </w:pPr>
            <w:r>
              <w:t xml:space="preserve">9</w:t>
            </w:r>
          </w:p>
        </w:tc>
      </w:tr>
      <w:tr>
        <w:trPr>
          <w:cantSplit/>
        </w:trPr>
        <w:tc>
          <w:tcPr/>
          <w:p>
            <w:pPr>
              <w:pStyle w:val="Tabla8"/>
              <w:jc w:val="left"/>
            </w:pPr>
            <w:r>
              <w:t xml:space="preserve">R-FIN-01</w:t>
            </w:r>
          </w:p>
        </w:tc>
        <w:tc>
          <w:tcPr/>
          <w:p>
            <w:pPr>
              <w:pStyle w:val="Tabla8"/>
              <w:jc w:val="left"/>
            </w:pPr>
            <w:r>
              <w:t xml:space="preserve">P 4 × I 4 = 16</w:t>
            </w:r>
          </w:p>
        </w:tc>
        <w:tc>
          <w:tcPr/>
          <w:p>
            <w:pPr>
              <w:pStyle w:val="Tabla8"/>
              <w:jc w:val="left"/>
            </w:pPr>
            <w:r>
              <w:t xml:space="preserve">Ninguna</w:t>
            </w:r>
          </w:p>
        </w:tc>
        <w:tc>
          <w:tcPr/>
          <w:p>
            <w:pPr>
              <w:pStyle w:val="Tabla8"/>
              <w:jc w:val="left"/>
            </w:pPr>
            <w:r>
              <w:t xml:space="preserve">Hasta el mes 18</w:t>
            </w:r>
          </w:p>
        </w:tc>
        <w:tc>
          <w:tcPr/>
          <w:p>
            <w:pPr>
              <w:pStyle w:val="Tabla8"/>
              <w:jc w:val="left"/>
            </w:pPr>
            <w:r>
              <w:t xml:space="preserve">16</w:t>
            </w:r>
          </w:p>
        </w:tc>
        <w:tc>
          <w:tcPr/>
          <w:p>
            <w:pPr>
              <w:pStyle w:val="Tabla8"/>
              <w:jc w:val="left"/>
            </w:pPr>
            <w:r>
              <w:t xml:space="preserve">16</w:t>
            </w:r>
          </w:p>
        </w:tc>
        <w:tc>
          <w:tcPr/>
          <w:p>
            <w:pPr>
              <w:pStyle w:val="Tabla8"/>
              <w:jc w:val="left"/>
            </w:pPr>
            <w:r>
              <w:t xml:space="preserve">16</w:t>
            </w:r>
          </w:p>
        </w:tc>
        <w:tc>
          <w:tcPr/>
          <w:p>
            <w:pPr>
              <w:pStyle w:val="Tabla8"/>
              <w:jc w:val="left"/>
            </w:pPr>
            <w:r>
              <w:t xml:space="preserve">0</w:t>
            </w:r>
          </w:p>
        </w:tc>
      </w:tr>
      <w:tr>
        <w:trPr>
          <w:cantSplit/>
        </w:trPr>
        <w:tc>
          <w:tcPr/>
          <w:p>
            <w:pPr>
              <w:pStyle w:val="Tabla8"/>
              <w:jc w:val="left"/>
            </w:pPr>
            <w:r>
              <w:t xml:space="preserve">R-FIN-02</w:t>
            </w:r>
          </w:p>
        </w:tc>
        <w:tc>
          <w:tcPr/>
          <w:p>
            <w:pPr>
              <w:pStyle w:val="Tabla8"/>
              <w:jc w:val="left"/>
            </w:pPr>
            <w:r>
              <w:t xml:space="preserve">P 2 × I 4 = 8</w:t>
            </w:r>
          </w:p>
        </w:tc>
        <w:tc>
          <w:tcPr/>
          <w:p>
            <w:pPr>
              <w:pStyle w:val="Tabla8"/>
              <w:jc w:val="left"/>
            </w:pPr>
            <w:r>
              <w:t xml:space="preserve">Ninguna</w:t>
            </w:r>
          </w:p>
        </w:tc>
        <w:tc>
          <w:tcPr/>
          <w:p>
            <w:pPr>
              <w:pStyle w:val="Tabla8"/>
              <w:jc w:val="left"/>
            </w:pPr>
            <w:r>
              <w:t xml:space="preserve">Hasta el mes 2</w:t>
            </w:r>
          </w:p>
        </w:tc>
        <w:tc>
          <w:tcPr/>
          <w:p>
            <w:pPr>
              <w:pStyle w:val="Tabla8"/>
              <w:jc w:val="left"/>
            </w:pPr>
            <w:r>
              <w:t xml:space="preserve">8</w:t>
            </w:r>
          </w:p>
        </w:tc>
        <w:tc>
          <w:tcPr/>
          <w:p>
            <w:pPr>
              <w:pStyle w:val="Tabla8"/>
              <w:jc w:val="left"/>
            </w:pPr>
            <w:r>
              <w:t xml:space="preserve">0</w:t>
            </w:r>
          </w:p>
        </w:tc>
        <w:tc>
          <w:tcPr/>
          <w:p>
            <w:pPr>
              <w:pStyle w:val="Tabla8"/>
              <w:jc w:val="left"/>
            </w:pPr>
            <w:r>
              <w:t xml:space="preserve">0</w:t>
            </w:r>
          </w:p>
        </w:tc>
        <w:tc>
          <w:tcPr/>
          <w:p>
            <w:pPr>
              <w:pStyle w:val="Tabla8"/>
              <w:jc w:val="left"/>
            </w:pPr>
            <w:r>
              <w:t xml:space="preserve">0</w:t>
            </w:r>
          </w:p>
        </w:tc>
      </w:tr>
      <w:tr>
        <w:trPr>
          <w:cantSplit/>
        </w:trPr>
        <w:tc>
          <w:tcPr/>
          <w:p>
            <w:pPr>
              <w:pStyle w:val="Tabla8"/>
              <w:jc w:val="left"/>
            </w:pPr>
            <w:r>
              <w:t xml:space="preserve">R-JUR-01</w:t>
            </w:r>
          </w:p>
        </w:tc>
        <w:tc>
          <w:tcPr/>
          <w:p>
            <w:pPr>
              <w:pStyle w:val="Tabla8"/>
              <w:jc w:val="left"/>
            </w:pPr>
            <w:r>
              <w:t xml:space="preserve">P 2 × I 4 = 8</w:t>
            </w:r>
          </w:p>
        </w:tc>
        <w:tc>
          <w:tcPr/>
          <w:p>
            <w:pPr>
              <w:pStyle w:val="Tabla8"/>
              <w:jc w:val="left"/>
            </w:pPr>
            <w:r>
              <w:t xml:space="preserve">Ninguna</w:t>
            </w:r>
          </w:p>
        </w:tc>
        <w:tc>
          <w:tcPr/>
          <w:p>
            <w:pPr>
              <w:pStyle w:val="Tabla8"/>
              <w:jc w:val="left"/>
            </w:pPr>
            <w:r>
              <w:t xml:space="preserve">Hasta el cierre</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r>
      <w:tr>
        <w:trPr>
          <w:cantSplit/>
        </w:trPr>
        <w:tc>
          <w:tcPr/>
          <w:p>
            <w:pPr>
              <w:pStyle w:val="Tabla8"/>
              <w:jc w:val="left"/>
            </w:pPr>
            <w:r>
              <w:t xml:space="preserve">R-DAT-01</w:t>
            </w:r>
          </w:p>
        </w:tc>
        <w:tc>
          <w:tcPr/>
          <w:p>
            <w:pPr>
              <w:pStyle w:val="Tabla8"/>
              <w:jc w:val="left"/>
            </w:pPr>
            <w:r>
              <w:t xml:space="preserve">P 2 × I 4 = 8</w:t>
            </w:r>
          </w:p>
        </w:tc>
        <w:tc>
          <w:tcPr/>
          <w:p>
            <w:pPr>
              <w:pStyle w:val="Tabla8"/>
              <w:jc w:val="left"/>
            </w:pPr>
            <w:r>
              <w:t xml:space="preserve">Ninguna</w:t>
            </w:r>
          </w:p>
        </w:tc>
        <w:tc>
          <w:tcPr/>
          <w:p>
            <w:pPr>
              <w:pStyle w:val="Tabla8"/>
              <w:jc w:val="left"/>
            </w:pPr>
            <w:r>
              <w:t xml:space="preserve">Hasta el cierre</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r>
      <w:tr>
        <w:trPr>
          <w:cantSplit/>
        </w:trPr>
        <w:tc>
          <w:tcPr/>
          <w:p>
            <w:pPr>
              <w:pStyle w:val="Tabla8"/>
              <w:jc w:val="left"/>
            </w:pPr>
            <w:r>
              <w:t xml:space="preserve">Índice de riesgo (suma)</w:t>
            </w:r>
          </w:p>
        </w:tc>
        <w:tc>
          <w:tcPr/>
          <w:p>
            <w:pPr>
              <w:pStyle w:val="Tabla8"/>
            </w:pPr>
          </w:p>
        </w:tc>
        <w:tc>
          <w:tcPr/>
          <w:p>
            <w:pPr>
              <w:pStyle w:val="Tabla8"/>
            </w:pPr>
          </w:p>
        </w:tc>
        <w:tc>
          <w:tcPr/>
          <w:p>
            <w:pPr>
              <w:pStyle w:val="Tabla8"/>
            </w:pPr>
          </w:p>
        </w:tc>
        <w:tc>
          <w:tcPr/>
          <w:p>
            <w:pPr>
              <w:pStyle w:val="Tabla8"/>
              <w:jc w:val="left"/>
            </w:pPr>
            <w:r>
              <w:t xml:space="preserve">148</w:t>
            </w:r>
          </w:p>
        </w:tc>
        <w:tc>
          <w:tcPr/>
          <w:p>
            <w:pPr>
              <w:pStyle w:val="Tabla8"/>
              <w:jc w:val="left"/>
            </w:pPr>
            <w:r>
              <w:t xml:space="preserve">130</w:t>
            </w:r>
          </w:p>
        </w:tc>
        <w:tc>
          <w:tcPr/>
          <w:p>
            <w:pPr>
              <w:pStyle w:val="Tabla8"/>
              <w:jc w:val="left"/>
            </w:pPr>
            <w:r>
              <w:t xml:space="preserve">109</w:t>
            </w:r>
          </w:p>
        </w:tc>
        <w:tc>
          <w:tcPr/>
          <w:p>
            <w:pPr>
              <w:pStyle w:val="Tabla8"/>
              <w:jc w:val="left"/>
            </w:pPr>
            <w:r>
              <w:t xml:space="preserve">81</w:t>
            </w:r>
          </w:p>
        </w:tc>
      </w:tr>
      <w:tr>
        <w:trPr>
          <w:cantSplit/>
        </w:trPr>
        <w:tc>
          <w:tcPr/>
          <w:p>
            <w:pPr>
              <w:pStyle w:val="Tabla8"/>
              <w:jc w:val="left"/>
            </w:pPr>
            <w:r>
              <w:t xml:space="preserve">Porcentaje del índice inicial</w:t>
            </w:r>
          </w:p>
        </w:tc>
        <w:tc>
          <w:tcPr/>
          <w:p>
            <w:pPr>
              <w:pStyle w:val="Tabla8"/>
            </w:pPr>
          </w:p>
        </w:tc>
        <w:tc>
          <w:tcPr/>
          <w:p>
            <w:pPr>
              <w:pStyle w:val="Tabla8"/>
            </w:pPr>
          </w:p>
        </w:tc>
        <w:tc>
          <w:tcPr/>
          <w:p>
            <w:pPr>
              <w:pStyle w:val="Tabla8"/>
            </w:pPr>
          </w:p>
        </w:tc>
        <w:tc>
          <w:tcPr/>
          <w:p>
            <w:pPr>
              <w:pStyle w:val="Tabla8"/>
              <w:jc w:val="left"/>
            </w:pPr>
            <w:r>
              <w:t xml:space="preserve">100,0</w:t>
            </w:r>
          </w:p>
        </w:tc>
        <w:tc>
          <w:tcPr/>
          <w:p>
            <w:pPr>
              <w:pStyle w:val="Tabla8"/>
              <w:jc w:val="left"/>
            </w:pPr>
            <w:r>
              <w:t xml:space="preserve">87,8</w:t>
            </w:r>
          </w:p>
        </w:tc>
        <w:tc>
          <w:tcPr/>
          <w:p>
            <w:pPr>
              <w:pStyle w:val="Tabla8"/>
              <w:jc w:val="left"/>
            </w:pPr>
            <w:r>
              <w:t xml:space="preserve">73,6</w:t>
            </w:r>
          </w:p>
        </w:tc>
        <w:tc>
          <w:tcPr/>
          <w:p>
            <w:pPr>
              <w:pStyle w:val="Tabla8"/>
              <w:jc w:val="left"/>
            </w:pPr>
            <w:r>
              <w:t xml:space="preserve">54,7</w:t>
            </w:r>
          </w:p>
        </w:tc>
      </w:tr>
      <w:tr>
        <w:trPr>
          <w:cantSplit/>
        </w:trPr>
        <w:tc>
          <w:tcPr/>
          <w:p>
            <w:pPr>
              <w:pStyle w:val="Tabla8"/>
              <w:jc w:val="left"/>
            </w:pPr>
            <w:r>
              <w:t xml:space="preserve">Variación frente al punto anterior (%)</w:t>
            </w:r>
          </w:p>
        </w:tc>
        <w:tc>
          <w:tcPr/>
          <w:p>
            <w:pPr>
              <w:pStyle w:val="Tabla8"/>
            </w:pPr>
          </w:p>
        </w:tc>
        <w:tc>
          <w:tcPr/>
          <w:p>
            <w:pPr>
              <w:pStyle w:val="Tabla8"/>
            </w:pPr>
          </w:p>
        </w:tc>
        <w:tc>
          <w:tcPr/>
          <w:p>
            <w:pPr>
              <w:pStyle w:val="Tabla8"/>
            </w:pPr>
          </w:p>
        </w:tc>
        <w:tc>
          <w:tcPr/>
          <w:p>
            <w:pPr>
              <w:pStyle w:val="Tabla8"/>
              <w:jc w:val="left"/>
            </w:pPr>
            <w:r>
              <w:t xml:space="preserve">—</w:t>
            </w:r>
          </w:p>
        </w:tc>
        <w:tc>
          <w:tcPr/>
          <w:p>
            <w:pPr>
              <w:pStyle w:val="Tabla8"/>
              <w:jc w:val="left"/>
            </w:pPr>
            <w:r>
              <w:t xml:space="preserve">−12,2</w:t>
            </w:r>
          </w:p>
        </w:tc>
        <w:tc>
          <w:tcPr/>
          <w:p>
            <w:pPr>
              <w:pStyle w:val="Tabla8"/>
              <w:jc w:val="left"/>
            </w:pPr>
            <w:r>
              <w:t xml:space="preserve">−16,2</w:t>
            </w:r>
          </w:p>
        </w:tc>
        <w:tc>
          <w:tcPr/>
          <w:p>
            <w:pPr>
              <w:pStyle w:val="Tabla8"/>
              <w:jc w:val="left"/>
            </w:pPr>
            <w:r>
              <w:t xml:space="preserve">−25,7</w:t>
            </w:r>
          </w:p>
        </w:tc>
      </w:tr>
    </w:tbl>
    <w:p>
      <w:pPr>
        <w:pStyle w:val="TablaNota"/>
      </w:pPr>
      <w:r>
        <w:rPr>
          <w:i/>
          <w:iCs/>
        </w:rPr>
        <w:t xml:space="preserve">Nota.</w:t>
      </w:r>
      <w:r>
        <w:t xml:space="preserve"> </w:t>
      </w:r>
      <w:r>
        <w:t xml:space="preserve">Elaboración propia. Regla PROPUESTA: P baja un nivel en la compuerta cuyo criterio verifica la mitigación, con piso P = 2; un riesgo sale del índice al terminar su exposición. El índice es la suma de P×I de los riesgos abiertos. No es una medición ni una probabilidad.</w:t>
      </w:r>
    </w:p>
    <w:p>
      <w:pPr>
        <w:pStyle w:val="FiguraRotulo"/>
      </w:pPr>
      <w:bookmarkStart w:id="9573" w:name="rot_Figura_X9_3"/>
      <w:r>
        <w:rPr>
          <w:b/>
          <w:bCs/>
        </w:rPr>
        <w:t xml:space="preserve">Figura X9.3</w:t>
      </w:r>
      <w:bookmarkEnd w:id="9573"/>
    </w:p>
    <w:p>
      <w:pPr>
        <w:pStyle w:val="FiguraTitulo"/>
      </w:pPr>
      <w:r>
        <w:rPr>
          <w:i/>
          <w:iCs/>
        </w:rPr>
        <w:t xml:space="preserve">El índice de riesgo planificado baja de 148 a 81 puntos, una reducción de 45,3 %</w:t>
      </w:r>
    </w:p>
    <w:p>
      <w:pPr>
        <w:pStyle w:val="BodyText"/>
      </w:pPr>
      <w:r>
        <w:drawing>
          <wp:inline>
            <wp:extent cx="5579999" cy="3640099"/>
            <wp:effectExtent b="0" l="0" r="0" t="0"/>
            <wp:docPr descr="" title="" id="854" name="Picture"/>
            <a:graphic>
              <a:graphicData uri="http://schemas.openxmlformats.org/drawingml/2006/picture">
                <pic:pic>
                  <pic:nvPicPr>
                    <pic:cNvPr descr="/tmp/claude-0/-home-user-docs/ddf38714-2a7e-502b-92b4-1008e2832422/scratchpad/proy/figs/out/cX9_f03.png" id="855" name="Picture"/>
                    <pic:cNvPicPr>
                      <a:picLocks noChangeArrowheads="1" noChangeAspect="1"/>
                    </pic:cNvPicPr>
                  </pic:nvPicPr>
                  <pic:blipFill>
                    <a:blip r:embed="rId853"/>
                    <a:stretch>
                      <a:fillRect/>
                    </a:stretch>
                  </pic:blipFill>
                  <pic:spPr bwMode="auto">
                    <a:xfrm>
                      <a:off x="0" y="0"/>
                      <a:ext cx="5579999" cy="36400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reglas de la tabla de tendencia (PROPUESTO). Índice igual a la suma de P×I de los riesgos abiertos, apilado por nivel. Python 3 y matplotlib; script cX9_figs.py; sin semilla; corte del 13 de octubre de 2026.</w:t>
      </w:r>
    </w:p>
    <w:p>
      <w:pPr>
        <w:pStyle w:val="BodyText"/>
      </w:pPr>
      <w:r>
        <w:t xml:space="preserve">El índice baja de 148 a 130 puntos en C1, a 109 en C2 y a 81 en C3. Las variaciones frente al punto anterior son de 12,2 %, 16,2 % y 25,7 %. La reducción total es de 45,3 %. La mejora de C1 y C2 proviene de menores probabilidades y de la salida de R-FIN-02. La mejora de C3 suma 28 puntos y proviene solo de que terminan las exposiciones de R-FIN-01 y R-EXT-01. La trayectoria depende de las compuertas: si C1 o C2 no se aprueban, la reducción planificada no ocurre. El tablero compara cada mes el índice real con esta trayectoria.</w:t>
      </w:r>
    </w:p>
    <w:bookmarkEnd w:id="856"/>
    <w:bookmarkStart w:id="860" w:name="_Toc00900368"/>
    <w:p>
      <w:pPr>
        <w:pStyle w:val="Heading2"/>
      </w:pPr>
      <w:r>
        <w:t xml:space="preserve">X9.5 Reservas de contingencia</w:t>
      </w:r>
    </w:p>
    <w:p>
      <w:pPr>
        <w:pStyle w:val="FirstParagraph"/>
      </w:pPr>
      <w:r>
        <w:t xml:space="preserve">La reserva de contingencia es de $ 636.000.000, equivalente a la suma de los EMV de los 12 riesgos redondeada desde 636,5 millones (CALCULADO). Representa 7,3 % del valor solicitado al SGR. Su admisibilidad como rubro depende de los términos de referencia (VACIO). La reserva utilizada es cero al inicio y la disponible es de $ 636,0 millones. La Tabla X9.5 y la Figura X9.4 muestran el total, el uso y la composición por categoría.</w:t>
      </w:r>
    </w:p>
    <w:p>
      <w:pPr>
        <w:pStyle w:val="TablaRotulo"/>
      </w:pPr>
      <w:bookmarkStart w:id="9459" w:name="rot_Tabla_X9_5"/>
      <w:r>
        <w:rPr>
          <w:b/>
          <w:bCs/>
        </w:rPr>
        <w:t xml:space="preserve">Tabla X9.5</w:t>
      </w:r>
      <w:bookmarkEnd w:id="9459"/>
    </w:p>
    <w:p>
      <w:pPr>
        <w:pStyle w:val="TablaTitulo"/>
      </w:pPr>
      <w:r>
        <w:rPr>
          <w:i/>
          <w:iCs/>
        </w:rPr>
        <w:t xml:space="preserve">Reserva de contingencia: total, utilizada y disponible, y composición por categoría de riesgo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128"/>
        <w:gridCol w:w="1530"/>
        <w:gridCol w:w="1197"/>
        <w:gridCol w:w="2063"/>
      </w:tblGrid>
      <w:tr>
        <w:trPr>
          <w:cantSplit/>
          <w:tblHeader/>
        </w:trPr>
        <w:tc>
          <w:tcPr>
            <w:shd w:val="clear" w:color="auto" w:fill="00B050"/>
          </w:tcPr>
          <w:p>
            <w:pPr>
              <w:pStyle w:val="Tabla9"/>
              <w:jc w:val="center"/>
            </w:pPr>
            <w:r>
              <w:rPr>
                <w:b/>
                <w:color w:val="FFFFFF"/>
              </w:rPr>
              <w:t xml:space="preserve">Concepto</w:t>
            </w:r>
          </w:p>
        </w:tc>
        <w:tc>
          <w:tcPr>
            <w:shd w:val="clear" w:color="auto" w:fill="00B050"/>
          </w:tcPr>
          <w:p>
            <w:pPr>
              <w:pStyle w:val="Tabla9"/>
              <w:jc w:val="center"/>
            </w:pPr>
            <w:r>
              <w:rPr>
                <w:b/>
                <w:color w:val="FFFFFF"/>
              </w:rPr>
              <w:t xml:space="preserve">Millones de COP</w:t>
            </w:r>
          </w:p>
        </w:tc>
        <w:tc>
          <w:tcPr>
            <w:shd w:val="clear" w:color="auto" w:fill="00B050"/>
          </w:tcPr>
          <w:p>
            <w:pPr>
              <w:pStyle w:val="Tabla9"/>
              <w:jc w:val="center"/>
            </w:pPr>
            <w:r>
              <w:rPr>
                <w:b/>
                <w:color w:val="FFFFFF"/>
              </w:rPr>
              <w:t xml:space="preserve">% de la suma de EMV</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Reserva total (suma de EMV redondeada)</w:t>
            </w:r>
          </w:p>
        </w:tc>
        <w:tc>
          <w:tcPr/>
          <w:p>
            <w:pPr>
              <w:pStyle w:val="Tabla9"/>
              <w:jc w:val="left"/>
            </w:pPr>
            <w:r>
              <w:t xml:space="preserve">636,0</w:t>
            </w:r>
          </w:p>
        </w:tc>
        <w:tc>
          <w:tcPr/>
          <w:p>
            <w:pPr>
              <w:pStyle w:val="Tabla9"/>
              <w:jc w:val="left"/>
            </w:pPr>
            <w:r>
              <w:t xml:space="preserve">99,9</w:t>
            </w:r>
          </w:p>
        </w:tc>
        <w:tc>
          <w:tcPr/>
          <w:p>
            <w:pPr>
              <w:pStyle w:val="Tabla9"/>
              <w:jc w:val="left"/>
            </w:pPr>
            <w:r>
              <w:t xml:space="preserve">CALCULADO</w:t>
            </w:r>
          </w:p>
        </w:tc>
      </w:tr>
      <w:tr>
        <w:trPr>
          <w:cantSplit/>
        </w:trPr>
        <w:tc>
          <w:tcPr/>
          <w:p>
            <w:pPr>
              <w:pStyle w:val="Tabla9"/>
              <w:jc w:val="left"/>
            </w:pPr>
            <w:r>
              <w:t xml:space="preserve">Reserva utilizada al inicio</w:t>
            </w:r>
          </w:p>
        </w:tc>
        <w:tc>
          <w:tcPr/>
          <w:p>
            <w:pPr>
              <w:pStyle w:val="Tabla9"/>
              <w:jc w:val="left"/>
            </w:pPr>
            <w:r>
              <w:t xml:space="preserve">0,0</w:t>
            </w:r>
          </w:p>
        </w:tc>
        <w:tc>
          <w:tcPr/>
          <w:p>
            <w:pPr>
              <w:pStyle w:val="Tabla9"/>
              <w:jc w:val="left"/>
            </w:pPr>
            <w:r>
              <w:t xml:space="preserve">0,0</w:t>
            </w:r>
          </w:p>
        </w:tc>
        <w:tc>
          <w:tcPr/>
          <w:p>
            <w:pPr>
              <w:pStyle w:val="Tabla9"/>
              <w:jc w:val="left"/>
            </w:pPr>
            <w:r>
              <w:t xml:space="preserve">PROPUESTO</w:t>
            </w:r>
          </w:p>
        </w:tc>
      </w:tr>
      <w:tr>
        <w:trPr>
          <w:cantSplit/>
        </w:trPr>
        <w:tc>
          <w:tcPr/>
          <w:p>
            <w:pPr>
              <w:pStyle w:val="Tabla9"/>
              <w:jc w:val="left"/>
            </w:pPr>
            <w:r>
              <w:t xml:space="preserve">Reserva disponible</w:t>
            </w:r>
          </w:p>
        </w:tc>
        <w:tc>
          <w:tcPr/>
          <w:p>
            <w:pPr>
              <w:pStyle w:val="Tabla9"/>
              <w:jc w:val="left"/>
            </w:pPr>
            <w:r>
              <w:t xml:space="preserve">636,0</w:t>
            </w:r>
          </w:p>
        </w:tc>
        <w:tc>
          <w:tcPr/>
          <w:p>
            <w:pPr>
              <w:pStyle w:val="Tabla9"/>
              <w:jc w:val="left"/>
            </w:pPr>
            <w:r>
              <w:t xml:space="preserve">99,9</w:t>
            </w:r>
          </w:p>
        </w:tc>
        <w:tc>
          <w:tcPr/>
          <w:p>
            <w:pPr>
              <w:pStyle w:val="Tabla9"/>
              <w:jc w:val="left"/>
            </w:pPr>
            <w:r>
              <w:t xml:space="preserve">CALCULADO</w:t>
            </w:r>
          </w:p>
        </w:tc>
      </w:tr>
      <w:tr>
        <w:trPr>
          <w:cantSplit/>
        </w:trPr>
        <w:tc>
          <w:tcPr/>
          <w:p>
            <w:pPr>
              <w:pStyle w:val="Tabla9"/>
              <w:jc w:val="left"/>
            </w:pPr>
            <w:r>
              <w:t xml:space="preserve">Suma de EMV sin redondeo</w:t>
            </w:r>
          </w:p>
        </w:tc>
        <w:tc>
          <w:tcPr/>
          <w:p>
            <w:pPr>
              <w:pStyle w:val="Tabla9"/>
              <w:jc w:val="left"/>
            </w:pPr>
            <w:r>
              <w:t xml:space="preserve">636,5</w:t>
            </w:r>
          </w:p>
        </w:tc>
        <w:tc>
          <w:tcPr/>
          <w:p>
            <w:pPr>
              <w:pStyle w:val="Tabla9"/>
              <w:jc w:val="left"/>
            </w:pPr>
            <w:r>
              <w:t xml:space="preserve">100,0</w:t>
            </w:r>
          </w:p>
        </w:tc>
        <w:tc>
          <w:tcPr/>
          <w:p>
            <w:pPr>
              <w:pStyle w:val="Tabla9"/>
              <w:jc w:val="left"/>
            </w:pPr>
            <w:r>
              <w:t xml:space="preserve">CALCULADO</w:t>
            </w:r>
          </w:p>
        </w:tc>
      </w:tr>
      <w:tr>
        <w:trPr>
          <w:cantSplit/>
        </w:trPr>
        <w:tc>
          <w:tcPr/>
          <w:p>
            <w:pPr>
              <w:pStyle w:val="Tabla9"/>
              <w:jc w:val="left"/>
            </w:pPr>
            <w:r>
              <w:t xml:space="preserve">EMV de los riesgos técnicos</w:t>
            </w:r>
          </w:p>
        </w:tc>
        <w:tc>
          <w:tcPr/>
          <w:p>
            <w:pPr>
              <w:pStyle w:val="Tabla9"/>
              <w:jc w:val="left"/>
            </w:pPr>
            <w:r>
              <w:t xml:space="preserve">233,5</w:t>
            </w:r>
          </w:p>
        </w:tc>
        <w:tc>
          <w:tcPr/>
          <w:p>
            <w:pPr>
              <w:pStyle w:val="Tabla9"/>
              <w:jc w:val="left"/>
            </w:pPr>
            <w:r>
              <w:t xml:space="preserve">36,7</w:t>
            </w:r>
          </w:p>
        </w:tc>
        <w:tc>
          <w:tcPr/>
          <w:p>
            <w:pPr>
              <w:pStyle w:val="Tabla9"/>
              <w:jc w:val="left"/>
            </w:pPr>
            <w:r>
              <w:t xml:space="preserve">CALCULADO</w:t>
            </w:r>
          </w:p>
        </w:tc>
      </w:tr>
      <w:tr>
        <w:trPr>
          <w:cantSplit/>
        </w:trPr>
        <w:tc>
          <w:tcPr/>
          <w:p>
            <w:pPr>
              <w:pStyle w:val="Tabla9"/>
              <w:jc w:val="left"/>
            </w:pPr>
            <w:r>
              <w:t xml:space="preserve">EMV de los riesgos organizacionales</w:t>
            </w:r>
          </w:p>
        </w:tc>
        <w:tc>
          <w:tcPr/>
          <w:p>
            <w:pPr>
              <w:pStyle w:val="Tabla9"/>
              <w:jc w:val="left"/>
            </w:pPr>
            <w:r>
              <w:t xml:space="preserve">96,0</w:t>
            </w:r>
          </w:p>
        </w:tc>
        <w:tc>
          <w:tcPr/>
          <w:p>
            <w:pPr>
              <w:pStyle w:val="Tabla9"/>
              <w:jc w:val="left"/>
            </w:pPr>
            <w:r>
              <w:t xml:space="preserve">15,1</w:t>
            </w:r>
          </w:p>
        </w:tc>
        <w:tc>
          <w:tcPr/>
          <w:p>
            <w:pPr>
              <w:pStyle w:val="Tabla9"/>
              <w:jc w:val="left"/>
            </w:pPr>
            <w:r>
              <w:t xml:space="preserve">CALCULADO</w:t>
            </w:r>
          </w:p>
        </w:tc>
      </w:tr>
      <w:tr>
        <w:trPr>
          <w:cantSplit/>
        </w:trPr>
        <w:tc>
          <w:tcPr/>
          <w:p>
            <w:pPr>
              <w:pStyle w:val="Tabla9"/>
              <w:jc w:val="left"/>
            </w:pPr>
            <w:r>
              <w:t xml:space="preserve">EMV de los riesgos externos</w:t>
            </w:r>
          </w:p>
        </w:tc>
        <w:tc>
          <w:tcPr/>
          <w:p>
            <w:pPr>
              <w:pStyle w:val="Tabla9"/>
              <w:jc w:val="left"/>
            </w:pPr>
            <w:r>
              <w:t xml:space="preserve">84,0</w:t>
            </w:r>
          </w:p>
        </w:tc>
        <w:tc>
          <w:tcPr/>
          <w:p>
            <w:pPr>
              <w:pStyle w:val="Tabla9"/>
              <w:jc w:val="left"/>
            </w:pPr>
            <w:r>
              <w:t xml:space="preserve">13,2</w:t>
            </w:r>
          </w:p>
        </w:tc>
        <w:tc>
          <w:tcPr/>
          <w:p>
            <w:pPr>
              <w:pStyle w:val="Tabla9"/>
              <w:jc w:val="left"/>
            </w:pPr>
            <w:r>
              <w:t xml:space="preserve">CALCULADO</w:t>
            </w:r>
          </w:p>
        </w:tc>
      </w:tr>
      <w:tr>
        <w:trPr>
          <w:cantSplit/>
        </w:trPr>
        <w:tc>
          <w:tcPr/>
          <w:p>
            <w:pPr>
              <w:pStyle w:val="Tabla9"/>
              <w:jc w:val="left"/>
            </w:pPr>
            <w:r>
              <w:t xml:space="preserve">EMV de los riesgos financieros</w:t>
            </w:r>
          </w:p>
        </w:tc>
        <w:tc>
          <w:tcPr/>
          <w:p>
            <w:pPr>
              <w:pStyle w:val="Tabla9"/>
              <w:jc w:val="left"/>
            </w:pPr>
            <w:r>
              <w:t xml:space="preserve">185,0</w:t>
            </w:r>
          </w:p>
        </w:tc>
        <w:tc>
          <w:tcPr/>
          <w:p>
            <w:pPr>
              <w:pStyle w:val="Tabla9"/>
              <w:jc w:val="left"/>
            </w:pPr>
            <w:r>
              <w:t xml:space="preserve">29,1</w:t>
            </w:r>
          </w:p>
        </w:tc>
        <w:tc>
          <w:tcPr/>
          <w:p>
            <w:pPr>
              <w:pStyle w:val="Tabla9"/>
              <w:jc w:val="left"/>
            </w:pPr>
            <w:r>
              <w:t xml:space="preserve">CALCULADO</w:t>
            </w:r>
          </w:p>
        </w:tc>
      </w:tr>
      <w:tr>
        <w:trPr>
          <w:cantSplit/>
        </w:trPr>
        <w:tc>
          <w:tcPr/>
          <w:p>
            <w:pPr>
              <w:pStyle w:val="Tabla9"/>
              <w:jc w:val="left"/>
            </w:pPr>
            <w:r>
              <w:t xml:space="preserve">EMV de los riesgos jurídicos</w:t>
            </w:r>
          </w:p>
        </w:tc>
        <w:tc>
          <w:tcPr/>
          <w:p>
            <w:pPr>
              <w:pStyle w:val="Tabla9"/>
              <w:jc w:val="left"/>
            </w:pPr>
            <w:r>
              <w:t xml:space="preserve">20,0</w:t>
            </w:r>
          </w:p>
        </w:tc>
        <w:tc>
          <w:tcPr/>
          <w:p>
            <w:pPr>
              <w:pStyle w:val="Tabla9"/>
              <w:jc w:val="left"/>
            </w:pPr>
            <w:r>
              <w:t xml:space="preserve">3,1</w:t>
            </w:r>
          </w:p>
        </w:tc>
        <w:tc>
          <w:tcPr/>
          <w:p>
            <w:pPr>
              <w:pStyle w:val="Tabla9"/>
              <w:jc w:val="left"/>
            </w:pPr>
            <w:r>
              <w:t xml:space="preserve">CALCULADO</w:t>
            </w:r>
          </w:p>
        </w:tc>
      </w:tr>
      <w:tr>
        <w:trPr>
          <w:cantSplit/>
        </w:trPr>
        <w:tc>
          <w:tcPr/>
          <w:p>
            <w:pPr>
              <w:pStyle w:val="Tabla9"/>
              <w:jc w:val="left"/>
            </w:pPr>
            <w:r>
              <w:t xml:space="preserve">EMV de los riesgos de datos</w:t>
            </w:r>
          </w:p>
        </w:tc>
        <w:tc>
          <w:tcPr/>
          <w:p>
            <w:pPr>
              <w:pStyle w:val="Tabla9"/>
              <w:jc w:val="left"/>
            </w:pPr>
            <w:r>
              <w:t xml:space="preserve">18,0</w:t>
            </w:r>
          </w:p>
        </w:tc>
        <w:tc>
          <w:tcPr/>
          <w:p>
            <w:pPr>
              <w:pStyle w:val="Tabla9"/>
              <w:jc w:val="left"/>
            </w:pPr>
            <w:r>
              <w:t xml:space="preserve">2,8</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maestro.py. La reserva equivale a 7,3 % del SGR solicitado. Su admisibilidad como rubro depende de los términos de referencia (VACIO). Decimales con coma.</w:t>
      </w:r>
    </w:p>
    <w:p>
      <w:pPr>
        <w:pStyle w:val="FiguraRotulo"/>
      </w:pPr>
      <w:bookmarkStart w:id="9574" w:name="rot_Figura_X9_4"/>
      <w:r>
        <w:rPr>
          <w:b/>
          <w:bCs/>
        </w:rPr>
        <w:t xml:space="preserve">Figura X9.4</w:t>
      </w:r>
      <w:bookmarkEnd w:id="9574"/>
    </w:p>
    <w:p>
      <w:pPr>
        <w:pStyle w:val="FiguraTitulo"/>
      </w:pPr>
      <w:r>
        <w:rPr>
          <w:i/>
          <w:iCs/>
        </w:rPr>
        <w:t xml:space="preserve">La reserva de 636,0 millones está disponible en su totalidad al inicio</w:t>
      </w:r>
    </w:p>
    <w:p>
      <w:pPr>
        <w:pStyle w:val="BodyText"/>
      </w:pPr>
      <w:r>
        <w:drawing>
          <wp:inline>
            <wp:extent cx="5579999" cy="3765524"/>
            <wp:effectExtent b="0" l="0" r="0" t="0"/>
            <wp:docPr descr="" title="" id="858" name="Picture"/>
            <a:graphic>
              <a:graphicData uri="http://schemas.openxmlformats.org/drawingml/2006/picture">
                <pic:pic>
                  <pic:nvPicPr>
                    <pic:cNvPr descr="/tmp/claude-0/-home-user-docs/ddf38714-2a7e-502b-92b4-1008e2832422/scratchpad/proy/figs/out/cX9_f04.png" id="859" name="Picture"/>
                    <pic:cNvPicPr>
                      <a:picLocks noChangeArrowheads="1" noChangeAspect="1"/>
                    </pic:cNvPicPr>
                  </pic:nvPicPr>
                  <pic:blipFill>
                    <a:blip r:embed="rId857"/>
                    <a:stretch>
                      <a:fillRect/>
                    </a:stretch>
                  </pic:blipFill>
                  <pic:spPr bwMode="auto">
                    <a:xfrm>
                      <a:off x="0" y="0"/>
                      <a:ext cx="5579999" cy="376552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EMV igual a probabilidad por impacto de cada riesgo; la reserva redondeada es la suma de los 12 EMV. Python 3 y matplotlib; script cX9_figs.py; sin semilla; corte del 13 de octubre de 2026.</w:t>
      </w:r>
    </w:p>
    <w:p>
      <w:pPr>
        <w:pStyle w:val="BodyText"/>
      </w:pPr>
      <w:r>
        <w:t xml:space="preserve">Los riesgos técnicos y financieros concentran $ 418,5 millones, o 65,8 % de la suma de EMV. La reserva cubre el valor esperado, no el impacto completo. Si los 12 riesgos se materializaran con su impacto completo, el costo adicional sería de $ 1.450,0 millones. La reserva cubriría 43,9 % de ese monto. El tablero registra cada uso de la reserva con su disparador y con la aprobación de la gerencia de proyecto.</w:t>
      </w:r>
    </w:p>
    <w:bookmarkEnd w:id="860"/>
    <w:bookmarkStart w:id="861" w:name="_Toc00900369"/>
    <w:p>
      <w:pPr>
        <w:pStyle w:val="Heading2"/>
      </w:pPr>
      <w:r>
        <w:t xml:space="preserve">X9.6 Actualización y uso del tablero</w:t>
      </w:r>
    </w:p>
    <w:p>
      <w:pPr>
        <w:pStyle w:val="FirstParagraph"/>
      </w:pPr>
      <w:r>
        <w:t xml:space="preserve">El tablero se actualiza cada mes con el informe técnico y en cada compuerta. La gerencia de proyecto valida los cambios de P e I. Cada responsable informa el estado de su respuesta con cuatro valores: PLANIFICADA, EN EJECUCION, VERIFICADA y MATERIALIZADA. La Organización Internacional de Normalización (ISO) recomienda el seguimiento y la revisión periódicos del riesgo (ISO, 2018). La guía del Project Management Institute (PMI) trata la incertidumbre y el riesgo como un dominio de desempeño (PMI, 2021). Estas frecuencias y estados son PROPUESTOS y requieren ratificación del comité de seguimiento.</w:t>
      </w:r>
    </w:p>
    <w:bookmarkEnd w:id="861"/>
    <w:bookmarkEnd w:id="862"/>
    <w:bookmarkStart w:id="871" w:name="X481cf1cbd0037063606960add59515ac92c26e0"/>
    <w:p>
      <w:pPr>
        <w:pStyle w:val="Heading1"/>
      </w:pPr>
      <w:r>
        <w:t xml:space="preserve">Documento 1000X-10. Checklist de cumplimiento</w:t>
      </w:r>
    </w:p>
    <w:p>
      <w:pPr>
        <w:pStyle w:val="FirstParagraph"/>
      </w:pPr>
      <w:r>
        <w:t xml:space="preserve">El checklist verifica los requisitos antes de la entrega. Tiene seis secciones, más una séptima que recoge los requisitos del Anexo 2 de la convocatoria. Cada ítem recibe un estado: CUMPLE, PARCIAL, NO CUMPLE, VACIO, NO_VERIFICADO o NO_EJECUTADO. VACIO indica que el dato solo lo posee el usuario. NO_EJECUTADO indica una verificación que esta corrida no realizó. El checklist termina con dos bloqueos finales del metaprompt. Si alguno está activo, el paquete no se aprueba para radicación.</w:t>
      </w:r>
    </w:p>
    <w:p>
      <w:pPr>
        <w:pStyle w:val="BodyText"/>
      </w:pPr>
      <w:r>
        <w:t xml:space="preserve">La verificación es mecánica y documental. Comprueba que el contenido exista, que sus cifras coincidan con la ficha maestra y que sus vacíos estén declarados. No comprueba la verdad de las fuentes, la validez de las probabilidades ni la admisibilidad frente a términos de referencia que no se aportaron. Un estado CUMPLE significa que el documento contiene el elemento. No significa que un evaluador lo apruebe.</w:t>
      </w:r>
    </w:p>
    <w:bookmarkStart w:id="863" w:name="_Toc00900370"/>
    <w:p>
      <w:pPr>
        <w:pStyle w:val="Heading2"/>
      </w:pPr>
      <w:r>
        <w:t xml:space="preserve">X10.1 Requisitos administrativos</w:t>
      </w:r>
    </w:p>
    <w:p>
      <w:pPr>
        <w:pStyle w:val="FirstParagraph"/>
      </w:pPr>
      <w:r>
        <w:t xml:space="preserve">Los requisitos administrativos dependen de documentos que el usuario y las entidades poseen. La Tabla X10.1 registra siete ítems. Ninguno se cumple, porque ningún documento administrativo se aportó.</w:t>
      </w:r>
    </w:p>
    <w:p>
      <w:pPr>
        <w:pStyle w:val="TablaRotulo"/>
      </w:pPr>
      <w:bookmarkStart w:id="9460" w:name="rot_Tabla_X10_1"/>
      <w:r>
        <w:rPr>
          <w:b/>
          <w:bCs/>
        </w:rPr>
        <w:t xml:space="preserve">Tabla X10.1</w:t>
      </w:r>
      <w:bookmarkEnd w:id="9460"/>
    </w:p>
    <w:p>
      <w:pPr>
        <w:pStyle w:val="TablaTitulo"/>
      </w:pPr>
      <w:r>
        <w:rPr>
          <w:i/>
          <w:iCs/>
        </w:rPr>
        <w:t xml:space="preserve">Verificación de requisitos administrativos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12"/>
        <w:gridCol w:w="1056"/>
        <w:gridCol w:w="2112"/>
        <w:gridCol w:w="2640"/>
      </w:tblGrid>
      <w:tr>
        <w:trPr>
          <w:cantSplit/>
          <w:tblHeader/>
        </w:trPr>
        <w:tc>
          <w:tcPr>
            <w:shd w:val="clear" w:color="auto" w:fill="00B050"/>
          </w:tcPr>
          <w:p>
            <w:pPr>
              <w:pStyle w:val="Tabla9"/>
              <w:jc w:val="center"/>
            </w:pPr>
            <w:r>
              <w:rPr>
                <w:b/>
                <w:color w:val="FFFFFF"/>
              </w:rPr>
              <w:t xml:space="preserve">Ítem</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Evidencia o ubicación</w:t>
            </w:r>
          </w:p>
        </w:tc>
        <w:tc>
          <w:tcPr>
            <w:shd w:val="clear" w:color="auto" w:fill="00B050"/>
          </w:tcPr>
          <w:p>
            <w:pPr>
              <w:pStyle w:val="Tabla9"/>
              <w:jc w:val="center"/>
            </w:pPr>
            <w:r>
              <w:rPr>
                <w:b/>
                <w:color w:val="FFFFFF"/>
              </w:rPr>
              <w:t xml:space="preserve">Brecha o acción</w:t>
            </w:r>
          </w:p>
        </w:tc>
      </w:tr>
      <w:tr>
        <w:trPr>
          <w:cantSplit/>
        </w:trPr>
        <w:tc>
          <w:tcPr/>
          <w:p>
            <w:pPr>
              <w:pStyle w:val="Tabla9"/>
              <w:jc w:val="left"/>
            </w:pPr>
            <w:r>
              <w:t xml:space="preserve">Formulario diligenciado completamente</w:t>
            </w:r>
          </w:p>
        </w:tc>
        <w:tc>
          <w:tcPr/>
          <w:p>
            <w:pPr>
              <w:pStyle w:val="Tabla9"/>
              <w:jc w:val="left"/>
            </w:pPr>
            <w:r>
              <w:t xml:space="preserve">VACIO</w:t>
            </w:r>
          </w:p>
        </w:tc>
        <w:tc>
          <w:tcPr/>
          <w:p>
            <w:pPr>
              <w:pStyle w:val="Tabla9"/>
              <w:jc w:val="left"/>
            </w:pPr>
            <w:r>
              <w:t xml:space="preserve">Paso 1 reúne los datos de identificación; el formulario de la plataforma no se aportó</w:t>
            </w:r>
          </w:p>
        </w:tc>
        <w:tc>
          <w:tcPr/>
          <w:p>
            <w:pPr>
              <w:pStyle w:val="Tabla9"/>
              <w:jc w:val="left"/>
            </w:pPr>
            <w:r>
              <w:t xml:space="preserve">Diligenciar el formulario con el código SIGP [DATO_USUARIO: código]</w:t>
            </w:r>
          </w:p>
        </w:tc>
      </w:tr>
      <w:tr>
        <w:trPr>
          <w:cantSplit/>
        </w:trPr>
        <w:tc>
          <w:tcPr/>
          <w:p>
            <w:pPr>
              <w:pStyle w:val="Tabla9"/>
              <w:jc w:val="left"/>
            </w:pPr>
            <w:r>
              <w:t xml:space="preserve">Cartas de compromiso de todas las entidades</w:t>
            </w:r>
          </w:p>
        </w:tc>
        <w:tc>
          <w:tcPr/>
          <w:p>
            <w:pPr>
              <w:pStyle w:val="Tabla9"/>
              <w:jc w:val="left"/>
            </w:pPr>
            <w:r>
              <w:t xml:space="preserve">VACIO</w:t>
            </w:r>
          </w:p>
        </w:tc>
        <w:tc>
          <w:tcPr/>
          <w:p>
            <w:pPr>
              <w:pStyle w:val="Tabla9"/>
              <w:jc w:val="left"/>
            </w:pPr>
            <w:r>
              <w:t xml:space="preserve">Anexo A, tabla de cartas requeridas</w:t>
            </w:r>
          </w:p>
        </w:tc>
        <w:tc>
          <w:tcPr/>
          <w:p>
            <w:pPr>
              <w:pStyle w:val="Tabla9"/>
              <w:jc w:val="left"/>
            </w:pPr>
            <w:r>
              <w:t xml:space="preserve">Obtener las ocho cartas del anexo A</w:t>
            </w:r>
          </w:p>
        </w:tc>
      </w:tr>
      <w:tr>
        <w:trPr>
          <w:cantSplit/>
        </w:trPr>
        <w:tc>
          <w:tcPr/>
          <w:p>
            <w:pPr>
              <w:pStyle w:val="Tabla9"/>
              <w:jc w:val="left"/>
            </w:pPr>
            <w:r>
              <w:t xml:space="preserve">Avales institucionales</w:t>
            </w:r>
          </w:p>
        </w:tc>
        <w:tc>
          <w:tcPr/>
          <w:p>
            <w:pPr>
              <w:pStyle w:val="Tabla9"/>
              <w:jc w:val="left"/>
            </w:pPr>
            <w:r>
              <w:t xml:space="preserve">VACIO</w:t>
            </w:r>
          </w:p>
        </w:tc>
        <w:tc>
          <w:tcPr/>
          <w:p>
            <w:pPr>
              <w:pStyle w:val="Tabla9"/>
              <w:jc w:val="left"/>
            </w:pPr>
            <w:r>
              <w:t xml:space="preserve">Anexo A, fila A1</w:t>
            </w:r>
          </w:p>
        </w:tc>
        <w:tc>
          <w:tcPr/>
          <w:p>
            <w:pPr>
              <w:pStyle w:val="Tabla9"/>
              <w:jc w:val="left"/>
            </w:pPr>
            <w:r>
              <w:t xml:space="preserve">Obtener la carta aval de la entidad ejecutora</w:t>
            </w:r>
          </w:p>
        </w:tc>
      </w:tr>
      <w:tr>
        <w:trPr>
          <w:cantSplit/>
        </w:trPr>
        <w:tc>
          <w:tcPr/>
          <w:p>
            <w:pPr>
              <w:pStyle w:val="Tabla9"/>
              <w:jc w:val="left"/>
            </w:pPr>
            <w:r>
              <w:t xml:space="preserve">Certificados de grupos de investigación</w:t>
            </w:r>
          </w:p>
        </w:tc>
        <w:tc>
          <w:tcPr/>
          <w:p>
            <w:pPr>
              <w:pStyle w:val="Tabla9"/>
              <w:jc w:val="left"/>
            </w:pPr>
            <w:r>
              <w:t xml:space="preserve">VACIO</w:t>
            </w:r>
          </w:p>
        </w:tc>
        <w:tc>
          <w:tcPr/>
          <w:p>
            <w:pPr>
              <w:pStyle w:val="Tabla9"/>
              <w:jc w:val="left"/>
            </w:pPr>
            <w:r>
              <w:t xml:space="preserve">Anexo D</w:t>
            </w:r>
          </w:p>
        </w:tc>
        <w:tc>
          <w:tcPr/>
          <w:p>
            <w:pPr>
              <w:pStyle w:val="Tabla9"/>
              <w:jc w:val="left"/>
            </w:pPr>
            <w:r>
              <w:t xml:space="preserve">Aportar certificados de vigencia</w:t>
            </w:r>
          </w:p>
        </w:tc>
      </w:tr>
      <w:tr>
        <w:trPr>
          <w:cantSplit/>
        </w:trPr>
        <w:tc>
          <w:tcPr/>
          <w:p>
            <w:pPr>
              <w:pStyle w:val="Tabla9"/>
              <w:jc w:val="left"/>
            </w:pPr>
            <w:r>
              <w:t xml:space="preserve">Hojas de vida en el formato requerido</w:t>
            </w:r>
          </w:p>
        </w:tc>
        <w:tc>
          <w:tcPr/>
          <w:p>
            <w:pPr>
              <w:pStyle w:val="Tabla9"/>
              <w:jc w:val="left"/>
            </w:pPr>
            <w:r>
              <w:t xml:space="preserve">VACIO</w:t>
            </w:r>
          </w:p>
        </w:tc>
        <w:tc>
          <w:tcPr/>
          <w:p>
            <w:pPr>
              <w:pStyle w:val="Tabla9"/>
              <w:jc w:val="left"/>
            </w:pPr>
            <w:r>
              <w:t xml:space="preserve">Anexo B</w:t>
            </w:r>
          </w:p>
        </w:tc>
        <w:tc>
          <w:tcPr/>
          <w:p>
            <w:pPr>
              <w:pStyle w:val="Tabla9"/>
              <w:jc w:val="left"/>
            </w:pPr>
            <w:r>
              <w:t xml:space="preserve">Aportar 29 hojas de vida y las de contrapartida</w:t>
            </w:r>
          </w:p>
        </w:tc>
      </w:tr>
      <w:tr>
        <w:trPr>
          <w:cantSplit/>
        </w:trPr>
        <w:tc>
          <w:tcPr/>
          <w:p>
            <w:pPr>
              <w:pStyle w:val="Tabla9"/>
              <w:jc w:val="left"/>
            </w:pPr>
            <w:r>
              <w:t xml:space="preserve">RUT o NIT de las entidades</w:t>
            </w:r>
          </w:p>
        </w:tc>
        <w:tc>
          <w:tcPr/>
          <w:p>
            <w:pPr>
              <w:pStyle w:val="Tabla9"/>
              <w:jc w:val="left"/>
            </w:pPr>
            <w:r>
              <w:t xml:space="preserve">VACIO</w:t>
            </w:r>
          </w:p>
        </w:tc>
        <w:tc>
          <w:tcPr/>
          <w:p>
            <w:pPr>
              <w:pStyle w:val="Tabla9"/>
              <w:jc w:val="left"/>
            </w:pPr>
            <w:r>
              <w:t xml:space="preserve">Anexo J, fila J10</w:t>
            </w:r>
          </w:p>
        </w:tc>
        <w:tc>
          <w:tcPr/>
          <w:p>
            <w:pPr>
              <w:pStyle w:val="Tabla9"/>
              <w:jc w:val="left"/>
            </w:pPr>
            <w:r>
              <w:t xml:space="preserve">Aportar los documentos tributarios</w:t>
            </w:r>
          </w:p>
        </w:tc>
      </w:tr>
      <w:tr>
        <w:trPr>
          <w:cantSplit/>
        </w:trPr>
        <w:tc>
          <w:tcPr/>
          <w:p>
            <w:pPr>
              <w:pStyle w:val="Tabla9"/>
              <w:jc w:val="left"/>
            </w:pPr>
            <w:r>
              <w:t xml:space="preserve">Certificados de existencia y representación</w:t>
            </w:r>
          </w:p>
        </w:tc>
        <w:tc>
          <w:tcPr/>
          <w:p>
            <w:pPr>
              <w:pStyle w:val="Tabla9"/>
              <w:jc w:val="left"/>
            </w:pPr>
            <w:r>
              <w:t xml:space="preserve">VACIO</w:t>
            </w:r>
          </w:p>
        </w:tc>
        <w:tc>
          <w:tcPr/>
          <w:p>
            <w:pPr>
              <w:pStyle w:val="Tabla9"/>
              <w:jc w:val="left"/>
            </w:pPr>
            <w:r>
              <w:t xml:space="preserve">Anexo J, fila J10</w:t>
            </w:r>
          </w:p>
        </w:tc>
        <w:tc>
          <w:tcPr/>
          <w:p>
            <w:pPr>
              <w:pStyle w:val="Tabla9"/>
              <w:jc w:val="left"/>
            </w:pPr>
            <w:r>
              <w:t xml:space="preserve">Aportar los certificados vigentes</w:t>
            </w:r>
          </w:p>
        </w:tc>
      </w:tr>
    </w:tbl>
    <w:p>
      <w:pPr>
        <w:pStyle w:val="TablaNota"/>
      </w:pPr>
      <w:r>
        <w:rPr>
          <w:i/>
          <w:iCs/>
        </w:rPr>
        <w:t xml:space="preserve">Nota.</w:t>
      </w:r>
      <w:r>
        <w:t xml:space="preserve"> </w:t>
      </w:r>
      <w:r>
        <w:t xml:space="preserve">Elaboración propia con la lista del metaprompt (documento 1000X-10, sección CK.1) y los anexos A, B, D y J. Todos los documentos son VACIO [DATO_USUARIO: documentos administrativos].</w:t>
      </w:r>
    </w:p>
    <w:bookmarkEnd w:id="863"/>
    <w:bookmarkStart w:id="864" w:name="_Toc00900371"/>
    <w:p>
      <w:pPr>
        <w:pStyle w:val="Heading2"/>
      </w:pPr>
      <w:r>
        <w:t xml:space="preserve">X10.2 Requisitos técnicos</w:t>
      </w:r>
    </w:p>
    <w:p>
      <w:pPr>
        <w:pStyle w:val="FirstParagraph"/>
      </w:pPr>
      <w:r>
        <w:t xml:space="preserve">Los requisitos técnicos dependen del contenido que este documento sí contiene. La Tabla X10.2 registra ocho ítems. Cinco se cumplen y tres se cumplen en parte. Las brechas provienen de la falta de cotizaciones, de líneas base por medir y de la falta de reserva de plazo.</w:t>
      </w:r>
    </w:p>
    <w:p>
      <w:pPr>
        <w:pStyle w:val="TablaRotulo"/>
      </w:pPr>
      <w:bookmarkStart w:id="9461" w:name="rot_Tabla_X10_2"/>
      <w:r>
        <w:rPr>
          <w:b/>
          <w:bCs/>
        </w:rPr>
        <w:t xml:space="preserve">Tabla X10.2</w:t>
      </w:r>
      <w:bookmarkEnd w:id="9461"/>
    </w:p>
    <w:p>
      <w:pPr>
        <w:pStyle w:val="TablaTitulo"/>
      </w:pPr>
      <w:r>
        <w:rPr>
          <w:i/>
          <w:iCs/>
        </w:rPr>
        <w:t xml:space="preserve">Verificación de requisitos técnicos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1452"/>
        <w:gridCol w:w="1782"/>
        <w:gridCol w:w="2640"/>
      </w:tblGrid>
      <w:tr>
        <w:trPr>
          <w:cantSplit/>
          <w:tblHeader/>
        </w:trPr>
        <w:tc>
          <w:tcPr>
            <w:shd w:val="clear" w:color="auto" w:fill="00B050"/>
          </w:tcPr>
          <w:p>
            <w:pPr>
              <w:pStyle w:val="Tabla9"/>
              <w:jc w:val="center"/>
            </w:pPr>
            <w:r>
              <w:rPr>
                <w:b/>
                <w:color w:val="FFFFFF"/>
              </w:rPr>
              <w:t xml:space="preserve">Ítem</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Evidencia o ubicación</w:t>
            </w:r>
          </w:p>
        </w:tc>
        <w:tc>
          <w:tcPr>
            <w:shd w:val="clear" w:color="auto" w:fill="00B050"/>
          </w:tcPr>
          <w:p>
            <w:pPr>
              <w:pStyle w:val="Tabla9"/>
              <w:jc w:val="center"/>
            </w:pPr>
            <w:r>
              <w:rPr>
                <w:b/>
                <w:color w:val="FFFFFF"/>
              </w:rPr>
              <w:t xml:space="preserve">Brecha o acción</w:t>
            </w:r>
          </w:p>
        </w:tc>
      </w:tr>
      <w:tr>
        <w:trPr>
          <w:cantSplit/>
        </w:trPr>
        <w:tc>
          <w:tcPr/>
          <w:p>
            <w:pPr>
              <w:pStyle w:val="Tabla9"/>
              <w:jc w:val="left"/>
            </w:pPr>
            <w:r>
              <w:t xml:space="preserve">Problema claramente formulado con datos</w:t>
            </w:r>
          </w:p>
        </w:tc>
        <w:tc>
          <w:tcPr/>
          <w:p>
            <w:pPr>
              <w:pStyle w:val="Tabla9"/>
              <w:jc w:val="left"/>
            </w:pPr>
            <w:r>
              <w:t xml:space="preserve">CUMPLE</w:t>
            </w:r>
          </w:p>
        </w:tc>
        <w:tc>
          <w:tcPr/>
          <w:p>
            <w:pPr>
              <w:pStyle w:val="Tabla9"/>
              <w:jc w:val="left"/>
            </w:pPr>
            <w:r>
              <w:t xml:space="preserve">Capítulo 1; Pasos 4 y 5; sección 4.5</w:t>
            </w:r>
          </w:p>
        </w:tc>
        <w:tc>
          <w:tcPr/>
          <w:p>
            <w:pPr>
              <w:pStyle w:val="Tabla9"/>
              <w:jc w:val="left"/>
            </w:pPr>
            <w:r>
              <w:t xml:space="preserve">La línea base de error se mide en el tramo 1</w:t>
            </w:r>
          </w:p>
        </w:tc>
      </w:tr>
      <w:tr>
        <w:trPr>
          <w:cantSplit/>
        </w:trPr>
        <w:tc>
          <w:tcPr/>
          <w:p>
            <w:pPr>
              <w:pStyle w:val="Tabla9"/>
              <w:jc w:val="left"/>
            </w:pPr>
            <w:r>
              <w:t xml:space="preserve">Objetivos definidos con meta y plazo</w:t>
            </w:r>
          </w:p>
        </w:tc>
        <w:tc>
          <w:tcPr/>
          <w:p>
            <w:pPr>
              <w:pStyle w:val="Tabla9"/>
              <w:jc w:val="left"/>
            </w:pPr>
            <w:r>
              <w:t xml:space="preserve">CUMPLE</w:t>
            </w:r>
          </w:p>
        </w:tc>
        <w:tc>
          <w:tcPr/>
          <w:p>
            <w:pPr>
              <w:pStyle w:val="Tabla9"/>
              <w:jc w:val="left"/>
            </w:pPr>
            <w:r>
              <w:t xml:space="preserve">Capítulo 3; Paso 6.1</w:t>
            </w:r>
          </w:p>
        </w:tc>
        <w:tc>
          <w:tcPr/>
          <w:p>
            <w:pPr>
              <w:pStyle w:val="Tabla9"/>
              <w:jc w:val="left"/>
            </w:pPr>
            <w:r>
              <w:t xml:space="preserve">Sin acción</w:t>
            </w:r>
          </w:p>
        </w:tc>
      </w:tr>
      <w:tr>
        <w:trPr>
          <w:cantSplit/>
        </w:trPr>
        <w:tc>
          <w:tcPr/>
          <w:p>
            <w:pPr>
              <w:pStyle w:val="Tabla9"/>
              <w:jc w:val="left"/>
            </w:pPr>
            <w:r>
              <w:t xml:space="preserve">Metodología detallada</w:t>
            </w:r>
          </w:p>
        </w:tc>
        <w:tc>
          <w:tcPr/>
          <w:p>
            <w:pPr>
              <w:pStyle w:val="Tabla9"/>
              <w:jc w:val="left"/>
            </w:pPr>
            <w:r>
              <w:t xml:space="preserve">PARCIAL</w:t>
            </w:r>
          </w:p>
        </w:tc>
        <w:tc>
          <w:tcPr/>
          <w:p>
            <w:pPr>
              <w:pStyle w:val="Tabla9"/>
              <w:jc w:val="left"/>
            </w:pPr>
            <w:r>
              <w:t xml:space="preserve">Capítulo 6</w:t>
            </w:r>
          </w:p>
        </w:tc>
        <w:tc>
          <w:tcPr/>
          <w:p>
            <w:pPr>
              <w:pStyle w:val="Tabla9"/>
              <w:jc w:val="left"/>
            </w:pPr>
            <w:r>
              <w:t xml:space="preserve">Añadir la actividad de administración y apoyo a la supervisión por objetivo (anexo N)</w:t>
            </w:r>
          </w:p>
        </w:tc>
      </w:tr>
      <w:tr>
        <w:trPr>
          <w:cantSplit/>
        </w:trPr>
        <w:tc>
          <w:tcPr/>
          <w:p>
            <w:pPr>
              <w:pStyle w:val="Tabla9"/>
              <w:jc w:val="left"/>
            </w:pPr>
            <w:r>
              <w:t xml:space="preserve">Cronograma completo con hitos</w:t>
            </w:r>
          </w:p>
        </w:tc>
        <w:tc>
          <w:tcPr/>
          <w:p>
            <w:pPr>
              <w:pStyle w:val="Tabla9"/>
              <w:jc w:val="left"/>
            </w:pPr>
            <w:r>
              <w:t xml:space="preserve">CUMPLE</w:t>
            </w:r>
          </w:p>
        </w:tc>
        <w:tc>
          <w:tcPr/>
          <w:p>
            <w:pPr>
              <w:pStyle w:val="Tabla9"/>
              <w:jc w:val="left"/>
            </w:pPr>
            <w:r>
              <w:t xml:space="preserve">Capítulo 9; anexo H</w:t>
            </w:r>
          </w:p>
        </w:tc>
        <w:tc>
          <w:tcPr/>
          <w:p>
            <w:pPr>
              <w:pStyle w:val="Tabla9"/>
              <w:jc w:val="left"/>
            </w:pPr>
            <w:r>
              <w:t xml:space="preserve">Convertir a meses en la radicación</w:t>
            </w:r>
          </w:p>
        </w:tc>
      </w:tr>
      <w:tr>
        <w:trPr>
          <w:cantSplit/>
        </w:trPr>
        <w:tc>
          <w:tcPr/>
          <w:p>
            <w:pPr>
              <w:pStyle w:val="Tabla9"/>
              <w:jc w:val="left"/>
            </w:pPr>
            <w:r>
              <w:t xml:space="preserve">Presupuesto justificado por rubro</w:t>
            </w:r>
          </w:p>
        </w:tc>
        <w:tc>
          <w:tcPr/>
          <w:p>
            <w:pPr>
              <w:pStyle w:val="Tabla9"/>
              <w:jc w:val="left"/>
            </w:pPr>
            <w:r>
              <w:t xml:space="preserve">PARCIAL</w:t>
            </w:r>
          </w:p>
        </w:tc>
        <w:tc>
          <w:tcPr/>
          <w:p>
            <w:pPr>
              <w:pStyle w:val="Tabla9"/>
              <w:jc w:val="left"/>
            </w:pPr>
            <w:r>
              <w:t xml:space="preserve">Capítulo 8; anexos C y G</w:t>
            </w:r>
          </w:p>
        </w:tc>
        <w:tc>
          <w:tcPr/>
          <w:p>
            <w:pPr>
              <w:pStyle w:val="Tabla9"/>
              <w:jc w:val="left"/>
            </w:pPr>
            <w:r>
              <w:t xml:space="preserve">Obtener cotizaciones; 100 % del valor solicitado carece de soporte de mercado</w:t>
            </w:r>
          </w:p>
        </w:tc>
      </w:tr>
      <w:tr>
        <w:trPr>
          <w:cantSplit/>
        </w:trPr>
        <w:tc>
          <w:tcPr/>
          <w:p>
            <w:pPr>
              <w:pStyle w:val="Tabla9"/>
              <w:jc w:val="left"/>
            </w:pPr>
            <w:r>
              <w:t xml:space="preserve">Indicadores con fichas técnicas</w:t>
            </w:r>
          </w:p>
        </w:tc>
        <w:tc>
          <w:tcPr/>
          <w:p>
            <w:pPr>
              <w:pStyle w:val="Tabla9"/>
              <w:jc w:val="left"/>
            </w:pPr>
            <w:r>
              <w:t xml:space="preserve">CUMPLE</w:t>
            </w:r>
          </w:p>
        </w:tc>
        <w:tc>
          <w:tcPr/>
          <w:p>
            <w:pPr>
              <w:pStyle w:val="Tabla9"/>
              <w:jc w:val="left"/>
            </w:pPr>
            <w:r>
              <w:t xml:space="preserve">Capítulo 12; Paso 7</w:t>
            </w:r>
          </w:p>
        </w:tc>
        <w:tc>
          <w:tcPr/>
          <w:p>
            <w:pPr>
              <w:pStyle w:val="Tabla9"/>
              <w:jc w:val="left"/>
            </w:pPr>
            <w:r>
              <w:t xml:space="preserve">Medir las cinco líneas base VACIO</w:t>
            </w:r>
          </w:p>
        </w:tc>
      </w:tr>
      <w:tr>
        <w:trPr>
          <w:cantSplit/>
        </w:trPr>
        <w:tc>
          <w:tcPr/>
          <w:p>
            <w:pPr>
              <w:pStyle w:val="Tabla9"/>
              <w:jc w:val="left"/>
            </w:pPr>
            <w:r>
              <w:t xml:space="preserve">Marco lógico completo</w:t>
            </w:r>
          </w:p>
        </w:tc>
        <w:tc>
          <w:tcPr/>
          <w:p>
            <w:pPr>
              <w:pStyle w:val="Tabla9"/>
              <w:jc w:val="left"/>
            </w:pPr>
            <w:r>
              <w:t xml:space="preserve">CUMPLE</w:t>
            </w:r>
          </w:p>
        </w:tc>
        <w:tc>
          <w:tcPr/>
          <w:p>
            <w:pPr>
              <w:pStyle w:val="Tabla9"/>
              <w:jc w:val="left"/>
            </w:pPr>
            <w:r>
              <w:t xml:space="preserve">Capítulo 18</w:t>
            </w:r>
          </w:p>
        </w:tc>
        <w:tc>
          <w:tcPr/>
          <w:p>
            <w:pPr>
              <w:pStyle w:val="Tabla9"/>
              <w:jc w:val="left"/>
            </w:pPr>
            <w:r>
              <w:t xml:space="preserve">Sin acción</w:t>
            </w:r>
          </w:p>
        </w:tc>
      </w:tr>
      <w:tr>
        <w:trPr>
          <w:cantSplit/>
        </w:trPr>
        <w:tc>
          <w:tcPr/>
          <w:p>
            <w:pPr>
              <w:pStyle w:val="Tabla9"/>
              <w:jc w:val="left"/>
            </w:pPr>
            <w:r>
              <w:t xml:space="preserve">Plan de riesgos</w:t>
            </w:r>
          </w:p>
        </w:tc>
        <w:tc>
          <w:tcPr/>
          <w:p>
            <w:pPr>
              <w:pStyle w:val="Tabla9"/>
              <w:jc w:val="left"/>
            </w:pPr>
            <w:r>
              <w:t xml:space="preserve">PARCIAL</w:t>
            </w:r>
          </w:p>
        </w:tc>
        <w:tc>
          <w:tcPr/>
          <w:p>
            <w:pPr>
              <w:pStyle w:val="Tabla9"/>
              <w:jc w:val="left"/>
            </w:pPr>
            <w:r>
              <w:t xml:space="preserve">Capítulo 10; tabla del anexo N</w:t>
            </w:r>
          </w:p>
        </w:tc>
        <w:tc>
          <w:tcPr/>
          <w:p>
            <w:pPr>
              <w:pStyle w:val="Tabla9"/>
              <w:jc w:val="left"/>
            </w:pPr>
            <w:r>
              <w:t xml:space="preserve">Añadir el riesgo sanitario del personal de campo</w:t>
            </w:r>
          </w:p>
        </w:tc>
      </w:tr>
    </w:tbl>
    <w:p>
      <w:pPr>
        <w:pStyle w:val="TablaNota"/>
      </w:pPr>
      <w:r>
        <w:rPr>
          <w:i/>
          <w:iCs/>
        </w:rPr>
        <w:t xml:space="preserve">Nota.</w:t>
      </w:r>
      <w:r>
        <w:t xml:space="preserve"> </w:t>
      </w:r>
      <w:r>
        <w:t xml:space="preserve">Elaboración propia con la lista del metaprompt (sección CK.2) y los capítulos indicados. Estados determinados por la existencia del contenido en este documento.</w:t>
      </w:r>
    </w:p>
    <w:bookmarkEnd w:id="864"/>
    <w:bookmarkStart w:id="865" w:name="_Toc00900372"/>
    <w:p>
      <w:pPr>
        <w:pStyle w:val="Heading2"/>
      </w:pPr>
      <w:r>
        <w:t xml:space="preserve">X10.3 Requisitos de formato</w:t>
      </w:r>
    </w:p>
    <w:p>
      <w:pPr>
        <w:pStyle w:val="FirstParagraph"/>
      </w:pPr>
      <w:r>
        <w:t xml:space="preserve">Los requisitos de formato se verifican sobre el archivo entregado. La Tabla X10.3 registra siete ítems. El límite de extensión no se verificó, porque los términos de referencia no lo informan. La paginación, la tabla de contenido y las listas de tablas y figuras son automáticas.</w:t>
      </w:r>
    </w:p>
    <w:p>
      <w:pPr>
        <w:pStyle w:val="TablaRotulo"/>
      </w:pPr>
      <w:bookmarkStart w:id="9462" w:name="rot_Tabla_X10_3"/>
      <w:r>
        <w:rPr>
          <w:b/>
          <w:bCs/>
        </w:rPr>
        <w:t xml:space="preserve">Tabla X10.3</w:t>
      </w:r>
      <w:bookmarkEnd w:id="9462"/>
    </w:p>
    <w:p>
      <w:pPr>
        <w:pStyle w:val="TablaTitulo"/>
      </w:pPr>
      <w:r>
        <w:rPr>
          <w:i/>
          <w:iCs/>
        </w:rPr>
        <w:t xml:space="preserve">Verificación de requisitos de formato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01"/>
        <w:gridCol w:w="2290"/>
        <w:gridCol w:w="1440"/>
        <w:gridCol w:w="2487"/>
      </w:tblGrid>
      <w:tr>
        <w:trPr>
          <w:cantSplit/>
          <w:tblHeader/>
        </w:trPr>
        <w:tc>
          <w:tcPr>
            <w:shd w:val="clear" w:color="auto" w:fill="00B050"/>
          </w:tcPr>
          <w:p>
            <w:pPr>
              <w:pStyle w:val="Tabla9"/>
              <w:jc w:val="center"/>
            </w:pPr>
            <w:r>
              <w:rPr>
                <w:b/>
                <w:color w:val="FFFFFF"/>
              </w:rPr>
              <w:t xml:space="preserve">Ítem</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Evidencia o ubicación</w:t>
            </w:r>
          </w:p>
        </w:tc>
        <w:tc>
          <w:tcPr>
            <w:shd w:val="clear" w:color="auto" w:fill="00B050"/>
          </w:tcPr>
          <w:p>
            <w:pPr>
              <w:pStyle w:val="Tabla9"/>
              <w:jc w:val="center"/>
            </w:pPr>
            <w:r>
              <w:rPr>
                <w:b/>
                <w:color w:val="FFFFFF"/>
              </w:rPr>
              <w:t xml:space="preserve">Brecha o acción</w:t>
            </w:r>
          </w:p>
        </w:tc>
      </w:tr>
      <w:tr>
        <w:trPr>
          <w:cantSplit/>
        </w:trPr>
        <w:tc>
          <w:tcPr/>
          <w:p>
            <w:pPr>
              <w:pStyle w:val="Tabla9"/>
              <w:jc w:val="left"/>
            </w:pPr>
            <w:r>
              <w:t xml:space="preserve">Extensión dentro del límite de páginas o palabras</w:t>
            </w:r>
          </w:p>
        </w:tc>
        <w:tc>
          <w:tcPr/>
          <w:p>
            <w:pPr>
              <w:pStyle w:val="Tabla9"/>
              <w:jc w:val="left"/>
            </w:pPr>
            <w:r>
              <w:t xml:space="preserve">NO_VERIFICADO</w:t>
            </w:r>
          </w:p>
        </w:tc>
        <w:tc>
          <w:tcPr/>
          <w:p>
            <w:pPr>
              <w:pStyle w:val="Tabla9"/>
              <w:jc w:val="left"/>
            </w:pPr>
            <w:r>
              <w:t xml:space="preserve">Los términos de referencia no se aportaron</w:t>
            </w:r>
          </w:p>
        </w:tc>
        <w:tc>
          <w:tcPr/>
          <w:p>
            <w:pPr>
              <w:pStyle w:val="Tabla9"/>
              <w:jc w:val="left"/>
            </w:pPr>
            <w:r>
              <w:t xml:space="preserve">Confirmar el límite; el PDF entregado informa el número de páginas</w:t>
            </w:r>
          </w:p>
        </w:tc>
      </w:tr>
      <w:tr>
        <w:trPr>
          <w:cantSplit/>
        </w:trPr>
        <w:tc>
          <w:tcPr/>
          <w:p>
            <w:pPr>
              <w:pStyle w:val="Tabla9"/>
              <w:jc w:val="left"/>
            </w:pPr>
            <w:r>
              <w:t xml:space="preserve">Formato de archivo correcto</w:t>
            </w:r>
          </w:p>
        </w:tc>
        <w:tc>
          <w:tcPr/>
          <w:p>
            <w:pPr>
              <w:pStyle w:val="Tabla9"/>
              <w:jc w:val="left"/>
            </w:pPr>
            <w:r>
              <w:t xml:space="preserve">PARCIAL</w:t>
            </w:r>
          </w:p>
        </w:tc>
        <w:tc>
          <w:tcPr/>
          <w:p>
            <w:pPr>
              <w:pStyle w:val="Tabla9"/>
              <w:jc w:val="left"/>
            </w:pPr>
            <w:r>
              <w:t xml:space="preserve">Se entregan DOCX y PDF; el formato de la plataforma no se aportó</w:t>
            </w:r>
          </w:p>
        </w:tc>
        <w:tc>
          <w:tcPr/>
          <w:p>
            <w:pPr>
              <w:pStyle w:val="Tabla9"/>
              <w:jc w:val="left"/>
            </w:pPr>
            <w:r>
              <w:t xml:space="preserve">Confirmar el formato exigido</w:t>
            </w:r>
          </w:p>
        </w:tc>
      </w:tr>
      <w:tr>
        <w:trPr>
          <w:cantSplit/>
        </w:trPr>
        <w:tc>
          <w:tcPr/>
          <w:p>
            <w:pPr>
              <w:pStyle w:val="Tabla9"/>
              <w:jc w:val="left"/>
            </w:pPr>
            <w:r>
              <w:t xml:space="preserve">Numeración de páginas</w:t>
            </w:r>
          </w:p>
        </w:tc>
        <w:tc>
          <w:tcPr/>
          <w:p>
            <w:pPr>
              <w:pStyle w:val="Tabla9"/>
              <w:jc w:val="left"/>
            </w:pPr>
            <w:r>
              <w:t xml:space="preserve">CUMPLE</w:t>
            </w:r>
          </w:p>
        </w:tc>
        <w:tc>
          <w:tcPr/>
          <w:p>
            <w:pPr>
              <w:pStyle w:val="Tabla9"/>
              <w:jc w:val="left"/>
            </w:pPr>
            <w:r>
              <w:t xml:space="preserve">Encabezado con número de página</w:t>
            </w:r>
          </w:p>
        </w:tc>
        <w:tc>
          <w:tcPr/>
          <w:p>
            <w:pPr>
              <w:pStyle w:val="Tabla9"/>
              <w:jc w:val="left"/>
            </w:pPr>
            <w:r>
              <w:t xml:space="preserve">Sin acción</w:t>
            </w:r>
          </w:p>
        </w:tc>
      </w:tr>
      <w:tr>
        <w:trPr>
          <w:cantSplit/>
        </w:trPr>
        <w:tc>
          <w:tcPr/>
          <w:p>
            <w:pPr>
              <w:pStyle w:val="Tabla9"/>
              <w:jc w:val="left"/>
            </w:pPr>
            <w:r>
              <w:t xml:space="preserve">Tabla de contenido</w:t>
            </w:r>
          </w:p>
        </w:tc>
        <w:tc>
          <w:tcPr/>
          <w:p>
            <w:pPr>
              <w:pStyle w:val="Tabla9"/>
              <w:jc w:val="left"/>
            </w:pPr>
            <w:r>
              <w:t xml:space="preserve">CUMPLE</w:t>
            </w:r>
          </w:p>
        </w:tc>
        <w:tc>
          <w:tcPr/>
          <w:p>
            <w:pPr>
              <w:pStyle w:val="Tabla9"/>
              <w:jc w:val="left"/>
            </w:pPr>
            <w:r>
              <w:t xml:space="preserve">Índice automático con enlaces</w:t>
            </w:r>
          </w:p>
        </w:tc>
        <w:tc>
          <w:tcPr/>
          <w:p>
            <w:pPr>
              <w:pStyle w:val="Tabla9"/>
              <w:jc w:val="left"/>
            </w:pPr>
            <w:r>
              <w:t xml:space="preserve">Actualizar campos en Word</w:t>
            </w:r>
          </w:p>
        </w:tc>
      </w:tr>
      <w:tr>
        <w:trPr>
          <w:cantSplit/>
        </w:trPr>
        <w:tc>
          <w:tcPr/>
          <w:p>
            <w:pPr>
              <w:pStyle w:val="Tabla9"/>
              <w:jc w:val="left"/>
            </w:pPr>
            <w:r>
              <w:t xml:space="preserve">Lista de tablas y figuras</w:t>
            </w:r>
          </w:p>
        </w:tc>
        <w:tc>
          <w:tcPr/>
          <w:p>
            <w:pPr>
              <w:pStyle w:val="Tabla9"/>
              <w:jc w:val="left"/>
            </w:pPr>
            <w:r>
              <w:t xml:space="preserve">CUMPLE</w:t>
            </w:r>
          </w:p>
        </w:tc>
        <w:tc>
          <w:tcPr/>
          <w:p>
            <w:pPr>
              <w:pStyle w:val="Tabla9"/>
              <w:jc w:val="left"/>
            </w:pPr>
            <w:r>
              <w:t xml:space="preserve">Índices de tablas y de figuras</w:t>
            </w:r>
          </w:p>
        </w:tc>
        <w:tc>
          <w:tcPr/>
          <w:p>
            <w:pPr>
              <w:pStyle w:val="Tabla9"/>
              <w:jc w:val="left"/>
            </w:pPr>
            <w:r>
              <w:t xml:space="preserve">Actualizar campos en Word</w:t>
            </w:r>
          </w:p>
        </w:tc>
      </w:tr>
      <w:tr>
        <w:trPr>
          <w:cantSplit/>
        </w:trPr>
        <w:tc>
          <w:tcPr/>
          <w:p>
            <w:pPr>
              <w:pStyle w:val="Tabla9"/>
              <w:jc w:val="left"/>
            </w:pPr>
            <w:r>
              <w:t xml:space="preserve">Referencias en formato APA 7</w:t>
            </w:r>
          </w:p>
        </w:tc>
        <w:tc>
          <w:tcPr/>
          <w:p>
            <w:pPr>
              <w:pStyle w:val="Tabla9"/>
              <w:jc w:val="left"/>
            </w:pPr>
            <w:r>
              <w:t xml:space="preserve">PARCIAL</w:t>
            </w:r>
          </w:p>
        </w:tc>
        <w:tc>
          <w:tcPr/>
          <w:p>
            <w:pPr>
              <w:pStyle w:val="Tabla9"/>
              <w:jc w:val="left"/>
            </w:pPr>
            <w:r>
              <w:t xml:space="preserve">Capítulo 19: solo obras citadas, con sangría francesa</w:t>
            </w:r>
          </w:p>
        </w:tc>
        <w:tc>
          <w:tcPr/>
          <w:p>
            <w:pPr>
              <w:pStyle w:val="Tabla9"/>
              <w:jc w:val="left"/>
            </w:pPr>
            <w:r>
              <w:t xml:space="preserve">72 referencias NO_VERIFICADO; verificar DOI y páginas</w:t>
            </w:r>
          </w:p>
        </w:tc>
      </w:tr>
      <w:tr>
        <w:trPr>
          <w:cantSplit/>
        </w:trPr>
        <w:tc>
          <w:tcPr/>
          <w:p>
            <w:pPr>
              <w:pStyle w:val="Tabla9"/>
              <w:jc w:val="left"/>
            </w:pPr>
            <w:r>
              <w:t xml:space="preserve">Anexos etiquetados correctamente</w:t>
            </w:r>
          </w:p>
        </w:tc>
        <w:tc>
          <w:tcPr/>
          <w:p>
            <w:pPr>
              <w:pStyle w:val="Tabla9"/>
              <w:jc w:val="left"/>
            </w:pPr>
            <w:r>
              <w:t xml:space="preserve">CUMPLE</w:t>
            </w:r>
          </w:p>
        </w:tc>
        <w:tc>
          <w:tcPr/>
          <w:p>
            <w:pPr>
              <w:pStyle w:val="Tabla9"/>
              <w:jc w:val="left"/>
            </w:pPr>
            <w:r>
              <w:t xml:space="preserve">Anexos A a N en el capítulo 20</w:t>
            </w:r>
          </w:p>
        </w:tc>
        <w:tc>
          <w:tcPr/>
          <w:p>
            <w:pPr>
              <w:pStyle w:val="Tabla9"/>
              <w:jc w:val="left"/>
            </w:pPr>
            <w:r>
              <w:t xml:space="preserve">Sin acción</w:t>
            </w:r>
          </w:p>
        </w:tc>
      </w:tr>
    </w:tbl>
    <w:p>
      <w:pPr>
        <w:pStyle w:val="TablaNota"/>
      </w:pPr>
      <w:r>
        <w:rPr>
          <w:i/>
          <w:iCs/>
        </w:rPr>
        <w:t xml:space="preserve">Nota.</w:t>
      </w:r>
      <w:r>
        <w:t xml:space="preserve"> </w:t>
      </w:r>
      <w:r>
        <w:t xml:space="preserve">Elaboración propia con la lista del metaprompt (sección CK.3) y el archivo ensamblado. El recuento de páginas es el del PDF entregado.</w:t>
      </w:r>
    </w:p>
    <w:bookmarkEnd w:id="865"/>
    <w:bookmarkStart w:id="866" w:name="_Toc00900373"/>
    <w:p>
      <w:pPr>
        <w:pStyle w:val="Heading2"/>
      </w:pPr>
      <w:r>
        <w:t xml:space="preserve">X10.4 Coherencia del proyecto</w:t>
      </w:r>
    </w:p>
    <w:p>
      <w:pPr>
        <w:pStyle w:val="FirstParagraph"/>
      </w:pPr>
      <w:r>
        <w:t xml:space="preserve">La coherencia comprueba que las partes del documento se sostengan entre sí. La Tabla X10.4 registra seis ítems. Uno se cumple, cuatro se cumplen en parte y uno depende de datos del usuario. El hallazgo más importante es que el nivel de madurez tecnológica, 7, no coincide con la prioridad del Anexo 2.</w:t>
      </w:r>
    </w:p>
    <w:p>
      <w:pPr>
        <w:pStyle w:val="TablaRotulo"/>
      </w:pPr>
      <w:bookmarkStart w:id="9463" w:name="rot_Tabla_X10_4"/>
      <w:r>
        <w:rPr>
          <w:b/>
          <w:bCs/>
        </w:rPr>
        <w:t xml:space="preserve">Tabla X10.4</w:t>
      </w:r>
      <w:bookmarkEnd w:id="9463"/>
    </w:p>
    <w:p>
      <w:pPr>
        <w:pStyle w:val="TablaTitulo"/>
      </w:pPr>
      <w:r>
        <w:rPr>
          <w:i/>
          <w:iCs/>
        </w:rPr>
        <w:t xml:space="preserve">Verificación de coherencia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14"/>
        <w:gridCol w:w="1452"/>
        <w:gridCol w:w="2310"/>
        <w:gridCol w:w="2244"/>
      </w:tblGrid>
      <w:tr>
        <w:trPr>
          <w:cantSplit/>
          <w:tblHeader/>
        </w:trPr>
        <w:tc>
          <w:tcPr>
            <w:shd w:val="clear" w:color="auto" w:fill="00B050"/>
          </w:tcPr>
          <w:p>
            <w:pPr>
              <w:pStyle w:val="Tabla9"/>
              <w:jc w:val="center"/>
            </w:pPr>
            <w:r>
              <w:rPr>
                <w:b/>
                <w:color w:val="FFFFFF"/>
              </w:rPr>
              <w:t xml:space="preserve">Ítem</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Evidencia o ubicación</w:t>
            </w:r>
          </w:p>
        </w:tc>
        <w:tc>
          <w:tcPr>
            <w:shd w:val="clear" w:color="auto" w:fill="00B050"/>
          </w:tcPr>
          <w:p>
            <w:pPr>
              <w:pStyle w:val="Tabla9"/>
              <w:jc w:val="center"/>
            </w:pPr>
            <w:r>
              <w:rPr>
                <w:b/>
                <w:color w:val="FFFFFF"/>
              </w:rPr>
              <w:t xml:space="preserve">Brecha o acción</w:t>
            </w:r>
          </w:p>
        </w:tc>
      </w:tr>
      <w:tr>
        <w:trPr>
          <w:cantSplit/>
        </w:trPr>
        <w:tc>
          <w:tcPr/>
          <w:p>
            <w:pPr>
              <w:pStyle w:val="Tabla9"/>
              <w:jc w:val="left"/>
            </w:pPr>
            <w:r>
              <w:t xml:space="preserve">Alineación entre problema, objetivos e indicadores</w:t>
            </w:r>
          </w:p>
        </w:tc>
        <w:tc>
          <w:tcPr/>
          <w:p>
            <w:pPr>
              <w:pStyle w:val="Tabla9"/>
              <w:jc w:val="left"/>
            </w:pPr>
            <w:r>
              <w:t xml:space="preserve">CUMPLE</w:t>
            </w:r>
          </w:p>
        </w:tc>
        <w:tc>
          <w:tcPr/>
          <w:p>
            <w:pPr>
              <w:pStyle w:val="Tabla9"/>
              <w:jc w:val="left"/>
            </w:pPr>
            <w:r>
              <w:t xml:space="preserve">Capítulos 1, 3, 12 y 18; trazabilidad de indicadores</w:t>
            </w:r>
          </w:p>
        </w:tc>
        <w:tc>
          <w:tcPr/>
          <w:p>
            <w:pPr>
              <w:pStyle w:val="Tabla9"/>
              <w:jc w:val="left"/>
            </w:pPr>
            <w:r>
              <w:t xml:space="preserve">Sin acción</w:t>
            </w:r>
          </w:p>
        </w:tc>
      </w:tr>
      <w:tr>
        <w:trPr>
          <w:cantSplit/>
        </w:trPr>
        <w:tc>
          <w:tcPr/>
          <w:p>
            <w:pPr>
              <w:pStyle w:val="Tabla9"/>
              <w:jc w:val="left"/>
            </w:pPr>
            <w:r>
              <w:t xml:space="preserve">El presupuesto corresponde con las actividades</w:t>
            </w:r>
          </w:p>
        </w:tc>
        <w:tc>
          <w:tcPr/>
          <w:p>
            <w:pPr>
              <w:pStyle w:val="Tabla9"/>
              <w:jc w:val="left"/>
            </w:pPr>
            <w:r>
              <w:t xml:space="preserve">PARCIAL</w:t>
            </w:r>
          </w:p>
        </w:tc>
        <w:tc>
          <w:tcPr/>
          <w:p>
            <w:pPr>
              <w:pStyle w:val="Tabla9"/>
              <w:jc w:val="left"/>
            </w:pPr>
            <w:r>
              <w:t xml:space="preserve">Capítulo 8 y anexo G: cada línea pertenece a un paquete de trabajo</w:t>
            </w:r>
          </w:p>
        </w:tc>
        <w:tc>
          <w:tcPr/>
          <w:p>
            <w:pPr>
              <w:pStyle w:val="Tabla9"/>
              <w:jc w:val="left"/>
            </w:pPr>
            <w:r>
              <w:t xml:space="preserve">Separar la administración por objetivo</w:t>
            </w:r>
          </w:p>
        </w:tc>
      </w:tr>
      <w:tr>
        <w:trPr>
          <w:cantSplit/>
        </w:trPr>
        <w:tc>
          <w:tcPr/>
          <w:p>
            <w:pPr>
              <w:pStyle w:val="Tabla9"/>
              <w:jc w:val="left"/>
            </w:pPr>
            <w:r>
              <w:t xml:space="preserve">El cronograma es realista</w:t>
            </w:r>
          </w:p>
        </w:tc>
        <w:tc>
          <w:tcPr/>
          <w:p>
            <w:pPr>
              <w:pStyle w:val="Tabla9"/>
              <w:jc w:val="left"/>
            </w:pPr>
            <w:r>
              <w:t xml:space="preserve">PARCIAL</w:t>
            </w:r>
          </w:p>
        </w:tc>
        <w:tc>
          <w:tcPr/>
          <w:p>
            <w:pPr>
              <w:pStyle w:val="Tabla9"/>
              <w:jc w:val="left"/>
            </w:pPr>
            <w:r>
              <w:t xml:space="preserve">Capítulo 9: ruta crítica de 104 semanas sin reserva de plazo</w:t>
            </w:r>
          </w:p>
        </w:tc>
        <w:tc>
          <w:tcPr/>
          <w:p>
            <w:pPr>
              <w:pStyle w:val="Tabla9"/>
              <w:jc w:val="left"/>
            </w:pPr>
            <w:r>
              <w:t xml:space="preserve">Añadir una reserva de plazo o aceptar el riesgo</w:t>
            </w:r>
          </w:p>
        </w:tc>
      </w:tr>
      <w:tr>
        <w:trPr>
          <w:cantSplit/>
        </w:trPr>
        <w:tc>
          <w:tcPr/>
          <w:p>
            <w:pPr>
              <w:pStyle w:val="Tabla9"/>
              <w:jc w:val="left"/>
            </w:pPr>
            <w:r>
              <w:t xml:space="preserve">El equipo tiene las capacidades requeridas</w:t>
            </w:r>
          </w:p>
        </w:tc>
        <w:tc>
          <w:tcPr/>
          <w:p>
            <w:pPr>
              <w:pStyle w:val="Tabla9"/>
              <w:jc w:val="left"/>
            </w:pPr>
            <w:r>
              <w:t xml:space="preserve">VACIO</w:t>
            </w:r>
          </w:p>
        </w:tc>
        <w:tc>
          <w:tcPr/>
          <w:p>
            <w:pPr>
              <w:pStyle w:val="Tabla9"/>
              <w:jc w:val="left"/>
            </w:pPr>
            <w:r>
              <w:t xml:space="preserve">Capítulo 17 y anexo B: perfiles PROPUESTO</w:t>
            </w:r>
          </w:p>
        </w:tc>
        <w:tc>
          <w:tcPr/>
          <w:p>
            <w:pPr>
              <w:pStyle w:val="Tabla9"/>
              <w:jc w:val="left"/>
            </w:pPr>
            <w:r>
              <w:t xml:space="preserve">Aportar hojas de vida</w:t>
            </w:r>
          </w:p>
        </w:tc>
      </w:tr>
      <w:tr>
        <w:trPr>
          <w:cantSplit/>
        </w:trPr>
        <w:tc>
          <w:tcPr/>
          <w:p>
            <w:pPr>
              <w:pStyle w:val="Tabla9"/>
              <w:jc w:val="left"/>
            </w:pPr>
            <w:r>
              <w:t xml:space="preserve">El TRL es coherente con la tipología</w:t>
            </w:r>
          </w:p>
        </w:tc>
        <w:tc>
          <w:tcPr/>
          <w:p>
            <w:pPr>
              <w:pStyle w:val="Tabla9"/>
              <w:jc w:val="left"/>
            </w:pPr>
            <w:r>
              <w:t xml:space="preserve">PARCIAL</w:t>
            </w:r>
          </w:p>
        </w:tc>
        <w:tc>
          <w:tcPr/>
          <w:p>
            <w:pPr>
              <w:pStyle w:val="Tabla9"/>
              <w:jc w:val="left"/>
            </w:pPr>
            <w:r>
              <w:t xml:space="preserve">Capítulo 6: TRL 4 a 7</w:t>
            </w:r>
          </w:p>
        </w:tc>
        <w:tc>
          <w:tcPr/>
          <w:p>
            <w:pPr>
              <w:pStyle w:val="Tabla9"/>
              <w:jc w:val="left"/>
            </w:pPr>
            <w:r>
              <w:t xml:space="preserve">El Anexo 2 prioriza TRL 9; decidir (hallazgo G1)</w:t>
            </w:r>
          </w:p>
        </w:tc>
      </w:tr>
      <w:tr>
        <w:trPr>
          <w:cantSplit/>
        </w:trPr>
        <w:tc>
          <w:tcPr/>
          <w:p>
            <w:pPr>
              <w:pStyle w:val="Tabla9"/>
              <w:jc w:val="left"/>
            </w:pPr>
            <w:r>
              <w:t xml:space="preserve">Los resultados son medibles y alcanzables</w:t>
            </w:r>
          </w:p>
        </w:tc>
        <w:tc>
          <w:tcPr/>
          <w:p>
            <w:pPr>
              <w:pStyle w:val="Tabla9"/>
              <w:jc w:val="left"/>
            </w:pPr>
            <w:r>
              <w:t xml:space="preserve">PARCIAL</w:t>
            </w:r>
          </w:p>
        </w:tc>
        <w:tc>
          <w:tcPr/>
          <w:p>
            <w:pPr>
              <w:pStyle w:val="Tabla9"/>
              <w:jc w:val="left"/>
            </w:pPr>
            <w:r>
              <w:t xml:space="preserve">Capítulo 12: 10 de 15 indicadores con línea base calculada</w:t>
            </w:r>
          </w:p>
        </w:tc>
        <w:tc>
          <w:tcPr/>
          <w:p>
            <w:pPr>
              <w:pStyle w:val="Tabla9"/>
              <w:jc w:val="left"/>
            </w:pPr>
            <w:r>
              <w:t xml:space="preserve">Medir líneas base de cinco indicadores</w:t>
            </w:r>
          </w:p>
        </w:tc>
      </w:tr>
    </w:tbl>
    <w:p>
      <w:pPr>
        <w:pStyle w:val="TablaNota"/>
      </w:pPr>
      <w:r>
        <w:rPr>
          <w:i/>
          <w:iCs/>
        </w:rPr>
        <w:t xml:space="preserve">Nota.</w:t>
      </w:r>
      <w:r>
        <w:t xml:space="preserve"> </w:t>
      </w:r>
      <w:r>
        <w:t xml:space="preserve">Elaboración propia con la lista del metaprompt (sección CK.4). Los hallazgos G1 a G8 están en el anexo N.</w:t>
      </w:r>
    </w:p>
    <w:bookmarkEnd w:id="866"/>
    <w:bookmarkStart w:id="867" w:name="_Toc00900374"/>
    <w:p>
      <w:pPr>
        <w:pStyle w:val="Heading2"/>
      </w:pPr>
      <w:r>
        <w:t xml:space="preserve">X10.5 Criterios de evaluación</w:t>
      </w:r>
    </w:p>
    <w:p>
      <w:pPr>
        <w:pStyle w:val="FirstParagraph"/>
      </w:pPr>
      <w:r>
        <w:t xml:space="preserve">Los criterios de evaluación son los cinco que el metaprompt asigna a una convocatoria del SGR, con los pesos que él declara. Los pesos son un supuesto, porque los términos de referencia no se aportaron. La Tabla X10.5 registra la evidencia incluida para cada criterio y el estado.</w:t>
      </w:r>
    </w:p>
    <w:p>
      <w:pPr>
        <w:pStyle w:val="TablaRotulo"/>
      </w:pPr>
      <w:bookmarkStart w:id="9464" w:name="rot_Tabla_X10_5"/>
      <w:r>
        <w:rPr>
          <w:b/>
          <w:bCs/>
        </w:rPr>
        <w:t xml:space="preserve">Tabla X10.5</w:t>
      </w:r>
      <w:bookmarkEnd w:id="9464"/>
    </w:p>
    <w:p>
      <w:pPr>
        <w:pStyle w:val="TablaTitulo"/>
      </w:pPr>
      <w:r>
        <w:rPr>
          <w:i/>
          <w:iCs/>
        </w:rPr>
        <w:t xml:space="preserve">Verificación de criterios de evaluación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1320"/>
        <w:gridCol w:w="2772"/>
        <w:gridCol w:w="1782"/>
      </w:tblGrid>
      <w:tr>
        <w:trPr>
          <w:cantSplit/>
          <w:tblHeader/>
        </w:trPr>
        <w:tc>
          <w:tcPr>
            <w:shd w:val="clear" w:color="auto" w:fill="00B050"/>
          </w:tcPr>
          <w:p>
            <w:pPr>
              <w:pStyle w:val="Tabla9"/>
              <w:jc w:val="center"/>
            </w:pPr>
            <w:r>
              <w:rPr>
                <w:b/>
                <w:color w:val="FFFFFF"/>
              </w:rPr>
              <w:t xml:space="preserve">Ítem</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Evidencia o ubicación</w:t>
            </w:r>
          </w:p>
        </w:tc>
        <w:tc>
          <w:tcPr>
            <w:shd w:val="clear" w:color="auto" w:fill="00B050"/>
          </w:tcPr>
          <w:p>
            <w:pPr>
              <w:pStyle w:val="Tabla9"/>
              <w:jc w:val="center"/>
            </w:pPr>
            <w:r>
              <w:rPr>
                <w:b/>
                <w:color w:val="FFFFFF"/>
              </w:rPr>
              <w:t xml:space="preserve">Brecha o acción</w:t>
            </w:r>
          </w:p>
        </w:tc>
      </w:tr>
      <w:tr>
        <w:trPr>
          <w:cantSplit/>
        </w:trPr>
        <w:tc>
          <w:tcPr/>
          <w:p>
            <w:pPr>
              <w:pStyle w:val="Tabla9"/>
              <w:jc w:val="left"/>
            </w:pPr>
            <w:r>
              <w:t xml:space="preserve">Criterio 1, pertinencia y articulación territorial (20 a 25 %): evidencia incluida</w:t>
            </w:r>
          </w:p>
        </w:tc>
        <w:tc>
          <w:tcPr/>
          <w:p>
            <w:pPr>
              <w:pStyle w:val="Tabla9"/>
              <w:jc w:val="left"/>
            </w:pPr>
            <w:r>
              <w:t xml:space="preserve">PARCIAL</w:t>
            </w:r>
          </w:p>
        </w:tc>
        <w:tc>
          <w:tcPr/>
          <w:p>
            <w:pPr>
              <w:pStyle w:val="Tabla9"/>
              <w:jc w:val="left"/>
            </w:pPr>
            <w:r>
              <w:t xml:space="preserve">Paso 5.0 y capítulo 5; PDD y Anexo 4 sin aportar</w:t>
            </w:r>
          </w:p>
        </w:tc>
        <w:tc>
          <w:tcPr/>
          <w:p>
            <w:pPr>
              <w:pStyle w:val="Tabla9"/>
              <w:jc w:val="left"/>
            </w:pPr>
            <w:r>
              <w:t xml:space="preserve">Aportar el PDD, el Anexo 4 y los reportes de afectación</w:t>
            </w:r>
          </w:p>
        </w:tc>
      </w:tr>
      <w:tr>
        <w:trPr>
          <w:cantSplit/>
        </w:trPr>
        <w:tc>
          <w:tcPr/>
          <w:p>
            <w:pPr>
              <w:pStyle w:val="Tabla9"/>
              <w:jc w:val="left"/>
            </w:pPr>
            <w:r>
              <w:t xml:space="preserve">Criterio 2, fortalecimiento regional de CTeI (25 a 27 %): evidencia incluida</w:t>
            </w:r>
          </w:p>
        </w:tc>
        <w:tc>
          <w:tcPr/>
          <w:p>
            <w:pPr>
              <w:pStyle w:val="Tabla9"/>
              <w:jc w:val="left"/>
            </w:pPr>
            <w:r>
              <w:t xml:space="preserve">PARCIAL</w:t>
            </w:r>
          </w:p>
        </w:tc>
        <w:tc>
          <w:tcPr/>
          <w:p>
            <w:pPr>
              <w:pStyle w:val="Tabla9"/>
              <w:jc w:val="left"/>
            </w:pPr>
            <w:r>
              <w:t xml:space="preserve">Capítulos 11, 12 y 16: productos tipificados MMG 2021</w:t>
            </w:r>
          </w:p>
        </w:tc>
        <w:tc>
          <w:tcPr/>
          <w:p>
            <w:pPr>
              <w:pStyle w:val="Tabla9"/>
              <w:jc w:val="left"/>
            </w:pPr>
            <w:r>
              <w:t xml:space="preserve">Verificar la tipología con el catálogo MGA (anexo N)</w:t>
            </w:r>
          </w:p>
        </w:tc>
      </w:tr>
      <w:tr>
        <w:trPr>
          <w:cantSplit/>
        </w:trPr>
        <w:tc>
          <w:tcPr/>
          <w:p>
            <w:pPr>
              <w:pStyle w:val="Tabla9"/>
              <w:jc w:val="left"/>
            </w:pPr>
            <w:r>
              <w:t xml:space="preserve">Criterio 3, calidad técnica (20 a 25 %): evidencia incluida</w:t>
            </w:r>
          </w:p>
        </w:tc>
        <w:tc>
          <w:tcPr/>
          <w:p>
            <w:pPr>
              <w:pStyle w:val="Tabla9"/>
              <w:jc w:val="left"/>
            </w:pPr>
            <w:r>
              <w:t xml:space="preserve">CUMPLE</w:t>
            </w:r>
          </w:p>
        </w:tc>
        <w:tc>
          <w:tcPr/>
          <w:p>
            <w:pPr>
              <w:pStyle w:val="Tabla9"/>
              <w:jc w:val="left"/>
            </w:pPr>
            <w:r>
              <w:t xml:space="preserve">Capítulos 6, 7 y 12; Pasos 4 a 7</w:t>
            </w:r>
          </w:p>
        </w:tc>
        <w:tc>
          <w:tcPr/>
          <w:p>
            <w:pPr>
              <w:pStyle w:val="Tabla9"/>
              <w:jc w:val="left"/>
            </w:pPr>
            <w:r>
              <w:t xml:space="preserve">Ratificar las 105 fichas del análisis estructural</w:t>
            </w:r>
          </w:p>
        </w:tc>
      </w:tr>
      <w:tr>
        <w:trPr>
          <w:cantSplit/>
        </w:trPr>
        <w:tc>
          <w:tcPr/>
          <w:p>
            <w:pPr>
              <w:pStyle w:val="Tabla9"/>
              <w:jc w:val="left"/>
            </w:pPr>
            <w:r>
              <w:t xml:space="preserve">Criterio 4, impacto esperado (15 a 20 %): evidencia incluida</w:t>
            </w:r>
          </w:p>
        </w:tc>
        <w:tc>
          <w:tcPr/>
          <w:p>
            <w:pPr>
              <w:pStyle w:val="Tabla9"/>
              <w:jc w:val="left"/>
            </w:pPr>
            <w:r>
              <w:t xml:space="preserve">PARCIAL</w:t>
            </w:r>
          </w:p>
        </w:tc>
        <w:tc>
          <w:tcPr/>
          <w:p>
            <w:pPr>
              <w:pStyle w:val="Tabla9"/>
              <w:jc w:val="left"/>
            </w:pPr>
            <w:r>
              <w:t xml:space="preserve">Capítulo 13: impactos institucionales sin efectos en salud</w:t>
            </w:r>
          </w:p>
        </w:tc>
        <w:tc>
          <w:tcPr/>
          <w:p>
            <w:pPr>
              <w:pStyle w:val="Tabla9"/>
              <w:jc w:val="left"/>
            </w:pPr>
            <w:r>
              <w:t xml:space="preserve">Medir líneas base de E01, E02, S01 y S02</w:t>
            </w:r>
          </w:p>
        </w:tc>
      </w:tr>
      <w:tr>
        <w:trPr>
          <w:cantSplit/>
        </w:trPr>
        <w:tc>
          <w:tcPr/>
          <w:p>
            <w:pPr>
              <w:pStyle w:val="Tabla9"/>
              <w:jc w:val="left"/>
            </w:pPr>
            <w:r>
              <w:t xml:space="preserve">Criterio 5, viabilidad presupuestal (10 a 15 %): evidencia incluida</w:t>
            </w:r>
          </w:p>
        </w:tc>
        <w:tc>
          <w:tcPr/>
          <w:p>
            <w:pPr>
              <w:pStyle w:val="Tabla9"/>
              <w:jc w:val="left"/>
            </w:pPr>
            <w:r>
              <w:t xml:space="preserve">PARCIAL</w:t>
            </w:r>
          </w:p>
        </w:tc>
        <w:tc>
          <w:tcPr/>
          <w:p>
            <w:pPr>
              <w:pStyle w:val="Tabla9"/>
              <w:jc w:val="left"/>
            </w:pPr>
            <w:r>
              <w:t xml:space="preserve">Capítulo 8: validación meta-recurso-cronograma sin alertas</w:t>
            </w:r>
          </w:p>
        </w:tc>
        <w:tc>
          <w:tcPr/>
          <w:p>
            <w:pPr>
              <w:pStyle w:val="Tabla9"/>
              <w:jc w:val="left"/>
            </w:pPr>
            <w:r>
              <w:t xml:space="preserve">Cotizaciones y certificación de contrapartida</w:t>
            </w:r>
          </w:p>
        </w:tc>
      </w:tr>
    </w:tbl>
    <w:p>
      <w:pPr>
        <w:pStyle w:val="TablaNota"/>
      </w:pPr>
      <w:r>
        <w:rPr>
          <w:i/>
          <w:iCs/>
        </w:rPr>
        <w:t xml:space="preserve">Nota.</w:t>
      </w:r>
      <w:r>
        <w:t xml:space="preserve"> </w:t>
      </w:r>
      <w:r>
        <w:t xml:space="preserve">Elaboración propia con los criterios y los pesos del metaprompt, que son SUPUESTO y NO_VERIFICADO. CTeI: ciencia, tecnología e innovación. Los estados reflejan la evidencia presente en este documento.</w:t>
      </w:r>
    </w:p>
    <w:bookmarkEnd w:id="867"/>
    <w:bookmarkStart w:id="868" w:name="_Toc00900375"/>
    <w:p>
      <w:pPr>
        <w:pStyle w:val="Heading2"/>
      </w:pPr>
      <w:r>
        <w:t xml:space="preserve">X10.6 Revisión final</w:t>
      </w:r>
    </w:p>
    <w:p>
      <w:pPr>
        <w:pStyle w:val="FirstParagraph"/>
      </w:pPr>
      <w:r>
        <w:t xml:space="preserve">La revisión final combina controles mecánicos y controles humanos. Esta corrida ejecutó los mecánicos y dejó pendientes los humanos. La Tabla X10.6 registra seis ítems. El control de redacción verificó oraciones de 25 palabras o menos, palabras enfáticas, marcadores de omisión y citas frente al banco de referencias. No sustituye la lectura de una persona.</w:t>
      </w:r>
    </w:p>
    <w:p>
      <w:pPr>
        <w:pStyle w:val="TablaRotulo"/>
      </w:pPr>
      <w:bookmarkStart w:id="9465" w:name="rot_Tabla_X10_6"/>
      <w:r>
        <w:rPr>
          <w:b/>
          <w:bCs/>
        </w:rPr>
        <w:t xml:space="preserve">Tabla X10.6</w:t>
      </w:r>
      <w:bookmarkEnd w:id="9465"/>
    </w:p>
    <w:p>
      <w:pPr>
        <w:pStyle w:val="TablaTitulo"/>
      </w:pPr>
      <w:r>
        <w:rPr>
          <w:i/>
          <w:iCs/>
        </w:rPr>
        <w:t xml:space="preserve">Verificación de la revisión final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914"/>
        <w:gridCol w:w="2244"/>
        <w:gridCol w:w="2046"/>
        <w:gridCol w:w="1716"/>
      </w:tblGrid>
      <w:tr>
        <w:trPr>
          <w:cantSplit/>
          <w:tblHeader/>
        </w:trPr>
        <w:tc>
          <w:tcPr>
            <w:shd w:val="clear" w:color="auto" w:fill="00B050"/>
          </w:tcPr>
          <w:p>
            <w:pPr>
              <w:pStyle w:val="Tabla9"/>
              <w:jc w:val="center"/>
            </w:pPr>
            <w:r>
              <w:rPr>
                <w:b/>
                <w:color w:val="FFFFFF"/>
              </w:rPr>
              <w:t xml:space="preserve">Ítem</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Evidencia o ubicación</w:t>
            </w:r>
          </w:p>
        </w:tc>
        <w:tc>
          <w:tcPr>
            <w:shd w:val="clear" w:color="auto" w:fill="00B050"/>
          </w:tcPr>
          <w:p>
            <w:pPr>
              <w:pStyle w:val="Tabla9"/>
              <w:jc w:val="center"/>
            </w:pPr>
            <w:r>
              <w:rPr>
                <w:b/>
                <w:color w:val="FFFFFF"/>
              </w:rPr>
              <w:t xml:space="preserve">Brecha o acción</w:t>
            </w:r>
          </w:p>
        </w:tc>
      </w:tr>
      <w:tr>
        <w:trPr>
          <w:cantSplit/>
        </w:trPr>
        <w:tc>
          <w:tcPr/>
          <w:p>
            <w:pPr>
              <w:pStyle w:val="Tabla9"/>
              <w:jc w:val="left"/>
            </w:pPr>
            <w:r>
              <w:t xml:space="preserve">Revisión ortográfica y gramatical</w:t>
            </w:r>
          </w:p>
        </w:tc>
        <w:tc>
          <w:tcPr/>
          <w:p>
            <w:pPr>
              <w:pStyle w:val="Tabla9"/>
              <w:jc w:val="left"/>
            </w:pPr>
            <w:r>
              <w:t xml:space="preserve">PARCIAL</w:t>
            </w:r>
          </w:p>
        </w:tc>
        <w:tc>
          <w:tcPr/>
          <w:p>
            <w:pPr>
              <w:pStyle w:val="Tabla9"/>
              <w:jc w:val="left"/>
            </w:pPr>
            <w:r>
              <w:t xml:space="preserve">Verificador mecánico de redacción por capítulo; sin revisión humana</w:t>
            </w:r>
          </w:p>
        </w:tc>
        <w:tc>
          <w:tcPr/>
          <w:p>
            <w:pPr>
              <w:pStyle w:val="Tabla9"/>
              <w:jc w:val="left"/>
            </w:pPr>
            <w:r>
              <w:t xml:space="preserve">Lectura de corrección de estilo</w:t>
            </w:r>
          </w:p>
        </w:tc>
      </w:tr>
      <w:tr>
        <w:trPr>
          <w:cantSplit/>
        </w:trPr>
        <w:tc>
          <w:tcPr/>
          <w:p>
            <w:pPr>
              <w:pStyle w:val="Tabla9"/>
              <w:jc w:val="left"/>
            </w:pPr>
            <w:r>
              <w:t xml:space="preserve">Verificación de datos y cifras</w:t>
            </w:r>
          </w:p>
        </w:tc>
        <w:tc>
          <w:tcPr/>
          <w:p>
            <w:pPr>
              <w:pStyle w:val="Tabla9"/>
              <w:jc w:val="left"/>
            </w:pPr>
            <w:r>
              <w:t xml:space="preserve">CUMPLE</w:t>
            </w:r>
          </w:p>
        </w:tc>
        <w:tc>
          <w:tcPr/>
          <w:p>
            <w:pPr>
              <w:pStyle w:val="Tabla9"/>
              <w:jc w:val="left"/>
            </w:pPr>
            <w:r>
              <w:t xml:space="preserve">Cifras tomadas de la ficha maestra y de maestro.py; aserciones de coherencia en el código</w:t>
            </w:r>
          </w:p>
        </w:tc>
        <w:tc>
          <w:tcPr/>
          <w:p>
            <w:pPr>
              <w:pStyle w:val="Tabla9"/>
              <w:jc w:val="left"/>
            </w:pPr>
            <w:r>
              <w:t xml:space="preserve">Repetir tras cualquier cambio de cifras</w:t>
            </w:r>
          </w:p>
        </w:tc>
      </w:tr>
      <w:tr>
        <w:trPr>
          <w:cantSplit/>
        </w:trPr>
        <w:tc>
          <w:tcPr/>
          <w:p>
            <w:pPr>
              <w:pStyle w:val="Tabla9"/>
              <w:jc w:val="left"/>
            </w:pPr>
            <w:r>
              <w:t xml:space="preserve">Consistencia de terminología</w:t>
            </w:r>
          </w:p>
        </w:tc>
        <w:tc>
          <w:tcPr/>
          <w:p>
            <w:pPr>
              <w:pStyle w:val="Tabla9"/>
              <w:jc w:val="left"/>
            </w:pPr>
            <w:r>
              <w:t xml:space="preserve">PARCIAL</w:t>
            </w:r>
          </w:p>
        </w:tc>
        <w:tc>
          <w:tcPr/>
          <w:p>
            <w:pPr>
              <w:pStyle w:val="Tabla9"/>
              <w:jc w:val="left"/>
            </w:pPr>
            <w:r>
              <w:t xml:space="preserve">Glosario implícito en la ficha maestra</w:t>
            </w:r>
          </w:p>
        </w:tc>
        <w:tc>
          <w:tcPr/>
          <w:p>
            <w:pPr>
              <w:pStyle w:val="Tabla9"/>
              <w:jc w:val="left"/>
            </w:pPr>
            <w:r>
              <w:t xml:space="preserve">Revisión humana de términos y siglas</w:t>
            </w:r>
          </w:p>
        </w:tc>
      </w:tr>
      <w:tr>
        <w:trPr>
          <w:cantSplit/>
        </w:trPr>
        <w:tc>
          <w:tcPr/>
          <w:p>
            <w:pPr>
              <w:pStyle w:val="Tabla9"/>
              <w:jc w:val="left"/>
            </w:pPr>
            <w:r>
              <w:t xml:space="preserve">Lectura por tercero independiente</w:t>
            </w:r>
          </w:p>
        </w:tc>
        <w:tc>
          <w:tcPr/>
          <w:p>
            <w:pPr>
              <w:pStyle w:val="Tabla9"/>
              <w:jc w:val="left"/>
            </w:pPr>
            <w:r>
              <w:t xml:space="preserve">NO_EJECUTADO</w:t>
            </w:r>
          </w:p>
        </w:tc>
        <w:tc>
          <w:tcPr/>
          <w:p>
            <w:pPr>
              <w:pStyle w:val="Tabla9"/>
              <w:jc w:val="left"/>
            </w:pPr>
            <w:r>
              <w:t xml:space="preserve">No se realizó</w:t>
            </w:r>
          </w:p>
        </w:tc>
        <w:tc>
          <w:tcPr/>
          <w:p>
            <w:pPr>
              <w:pStyle w:val="Tabla9"/>
              <w:jc w:val="left"/>
            </w:pPr>
            <w:r>
              <w:t xml:space="preserve">Asignar un lector externo</w:t>
            </w:r>
          </w:p>
        </w:tc>
      </w:tr>
      <w:tr>
        <w:trPr>
          <w:cantSplit/>
        </w:trPr>
        <w:tc>
          <w:tcPr/>
          <w:p>
            <w:pPr>
              <w:pStyle w:val="Tabla9"/>
              <w:jc w:val="left"/>
            </w:pPr>
            <w:r>
              <w:t xml:space="preserve">Copia de respaldo de los archivos</w:t>
            </w:r>
          </w:p>
        </w:tc>
        <w:tc>
          <w:tcPr/>
          <w:p>
            <w:pPr>
              <w:pStyle w:val="Tabla9"/>
              <w:jc w:val="left"/>
            </w:pPr>
            <w:r>
              <w:t xml:space="preserve">CUMPLE</w:t>
            </w:r>
          </w:p>
        </w:tc>
        <w:tc>
          <w:tcPr/>
          <w:p>
            <w:pPr>
              <w:pStyle w:val="Tabla9"/>
              <w:jc w:val="left"/>
            </w:pPr>
            <w:r>
              <w:t xml:space="preserve">Repositorio con control de versiones y respaldo ZIP de las secciones 4.3 a 4.5</w:t>
            </w:r>
          </w:p>
        </w:tc>
        <w:tc>
          <w:tcPr/>
          <w:p>
            <w:pPr>
              <w:pStyle w:val="Tabla9"/>
              <w:jc w:val="left"/>
            </w:pPr>
            <w:r>
              <w:t xml:space="preserve">Actualizar el respaldo con este documento</w:t>
            </w:r>
          </w:p>
        </w:tc>
      </w:tr>
      <w:tr>
        <w:trPr>
          <w:cantSplit/>
        </w:trPr>
        <w:tc>
          <w:tcPr/>
          <w:p>
            <w:pPr>
              <w:pStyle w:val="Tabla9"/>
              <w:jc w:val="left"/>
            </w:pPr>
            <w:r>
              <w:t xml:space="preserve">Prueba de carga en plataforma</w:t>
            </w:r>
          </w:p>
        </w:tc>
        <w:tc>
          <w:tcPr/>
          <w:p>
            <w:pPr>
              <w:pStyle w:val="Tabla9"/>
              <w:jc w:val="left"/>
            </w:pPr>
            <w:r>
              <w:t xml:space="preserve">NO_EJECUTADO</w:t>
            </w:r>
          </w:p>
        </w:tc>
        <w:tc>
          <w:tcPr/>
          <w:p>
            <w:pPr>
              <w:pStyle w:val="Tabla9"/>
              <w:jc w:val="left"/>
            </w:pPr>
            <w:r>
              <w:t xml:space="preserve">La plataforma no es accesible desde esta corrida</w:t>
            </w:r>
          </w:p>
        </w:tc>
        <w:tc>
          <w:tcPr/>
          <w:p>
            <w:pPr>
              <w:pStyle w:val="Tabla9"/>
              <w:jc w:val="left"/>
            </w:pPr>
            <w:r>
              <w:t xml:space="preserve">Probar la carga en el SIGP</w:t>
            </w:r>
          </w:p>
        </w:tc>
      </w:tr>
    </w:tbl>
    <w:p>
      <w:pPr>
        <w:pStyle w:val="TablaNota"/>
      </w:pPr>
      <w:r>
        <w:rPr>
          <w:i/>
          <w:iCs/>
        </w:rPr>
        <w:t xml:space="preserve">Nota.</w:t>
      </w:r>
      <w:r>
        <w:t xml:space="preserve"> </w:t>
      </w:r>
      <w:r>
        <w:t xml:space="preserve">Elaboración propia con la lista del metaprompt (sección CK.6). Las verificaciones NO_EJECUTADO requieren a una persona o a un sistema externo.</w:t>
      </w:r>
    </w:p>
    <w:bookmarkEnd w:id="868"/>
    <w:bookmarkStart w:id="869" w:name="Xb65a215e839e48f7c216231947d4ea813ee1c62"/>
    <w:p>
      <w:pPr>
        <w:pStyle w:val="Heading2"/>
      </w:pPr>
      <w:r>
        <w:t xml:space="preserve">X10.7 Requisitos del Anexo 2 de la convocatoria</w:t>
      </w:r>
    </w:p>
    <w:p>
      <w:pPr>
        <w:pStyle w:val="FirstParagraph"/>
      </w:pPr>
      <w:r>
        <w:t xml:space="preserve">El Anexo 2 añade requisitos que el metaprompt no contempla. El anexo N los cruza sección por sección. La Tabla X10.7 resume los ocho hallazgos y su estado. Dos son de fondo: la madurez tecnológica de nivel 9 y el mínimo de 1 % de recursos para transferencia.</w:t>
      </w:r>
    </w:p>
    <w:p>
      <w:pPr>
        <w:pStyle w:val="TablaRotulo"/>
      </w:pPr>
      <w:bookmarkStart w:id="9466" w:name="rot_Tabla_X10_7"/>
      <w:r>
        <w:rPr>
          <w:b/>
          <w:bCs/>
        </w:rPr>
        <w:t xml:space="preserve">Tabla X10.7</w:t>
      </w:r>
      <w:bookmarkEnd w:id="9466"/>
    </w:p>
    <w:p>
      <w:pPr>
        <w:pStyle w:val="TablaTitulo"/>
      </w:pPr>
      <w:r>
        <w:rPr>
          <w:i/>
          <w:iCs/>
        </w:rPr>
        <w:t xml:space="preserve">Verificación de los hallazgos derivados del Anexo 2</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12"/>
        <w:gridCol w:w="2376"/>
        <w:gridCol w:w="1452"/>
        <w:gridCol w:w="1980"/>
      </w:tblGrid>
      <w:tr>
        <w:trPr>
          <w:cantSplit/>
          <w:tblHeader/>
        </w:trPr>
        <w:tc>
          <w:tcPr>
            <w:shd w:val="clear" w:color="auto" w:fill="00B050"/>
          </w:tcPr>
          <w:p>
            <w:pPr>
              <w:pStyle w:val="Tabla9"/>
              <w:jc w:val="center"/>
            </w:pPr>
            <w:r>
              <w:rPr>
                <w:b/>
                <w:color w:val="FFFFFF"/>
              </w:rPr>
              <w:t xml:space="preserve">Ítem</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Evidencia o ubicación</w:t>
            </w:r>
          </w:p>
        </w:tc>
        <w:tc>
          <w:tcPr>
            <w:shd w:val="clear" w:color="auto" w:fill="00B050"/>
          </w:tcPr>
          <w:p>
            <w:pPr>
              <w:pStyle w:val="Tabla9"/>
              <w:jc w:val="center"/>
            </w:pPr>
            <w:r>
              <w:rPr>
                <w:b/>
                <w:color w:val="FFFFFF"/>
              </w:rPr>
              <w:t xml:space="preserve">Brecha o acción</w:t>
            </w:r>
          </w:p>
        </w:tc>
      </w:tr>
      <w:tr>
        <w:trPr>
          <w:cantSplit/>
        </w:trPr>
        <w:tc>
          <w:tcPr/>
          <w:p>
            <w:pPr>
              <w:pStyle w:val="Tabla9"/>
              <w:jc w:val="left"/>
            </w:pPr>
            <w:r>
              <w:t xml:space="preserve">G1: madurez tecnológica prioritaria de nivel 9</w:t>
            </w:r>
          </w:p>
        </w:tc>
        <w:tc>
          <w:tcPr/>
          <w:p>
            <w:pPr>
              <w:pStyle w:val="Tabla9"/>
              <w:jc w:val="left"/>
            </w:pPr>
            <w:r>
              <w:t xml:space="preserve">NO CUMPLE</w:t>
            </w:r>
          </w:p>
        </w:tc>
        <w:tc>
          <w:tcPr/>
          <w:p>
            <w:pPr>
              <w:pStyle w:val="Tabla9"/>
              <w:jc w:val="left"/>
            </w:pPr>
            <w:r>
              <w:t xml:space="preserve">Capítulo 6: TRL 4 a 7; anexo N</w:t>
            </w:r>
          </w:p>
        </w:tc>
        <w:tc>
          <w:tcPr/>
          <w:p>
            <w:pPr>
              <w:pStyle w:val="Tabla9"/>
              <w:jc w:val="left"/>
            </w:pPr>
            <w:r>
              <w:t xml:space="preserve">Decidir TRL objetivo y reunir evidencias del TRL de entrada</w:t>
            </w:r>
          </w:p>
        </w:tc>
      </w:tr>
      <w:tr>
        <w:trPr>
          <w:cantSplit/>
        </w:trPr>
        <w:tc>
          <w:tcPr/>
          <w:p>
            <w:pPr>
              <w:pStyle w:val="Tabla9"/>
              <w:jc w:val="left"/>
            </w:pPr>
            <w:r>
              <w:t xml:space="preserve">G2: 1 % de recursos para transferencia, adopción y valoración</w:t>
            </w:r>
          </w:p>
        </w:tc>
        <w:tc>
          <w:tcPr/>
          <w:p>
            <w:pPr>
              <w:pStyle w:val="Tabla9"/>
              <w:jc w:val="left"/>
            </w:pPr>
            <w:r>
              <w:t xml:space="preserve">PARCIAL</w:t>
            </w:r>
          </w:p>
        </w:tc>
        <w:tc>
          <w:tcPr/>
          <w:p>
            <w:pPr>
              <w:pStyle w:val="Tabla9"/>
              <w:jc w:val="left"/>
            </w:pPr>
            <w:r>
              <w:t xml:space="preserve">Capítulo 15; líneas S02, O03 y S09; anexo N</w:t>
            </w:r>
          </w:p>
        </w:tc>
        <w:tc>
          <w:tcPr/>
          <w:p>
            <w:pPr>
              <w:pStyle w:val="Tabla9"/>
              <w:jc w:val="left"/>
            </w:pPr>
            <w:r>
              <w:t xml:space="preserve">Redactar el plan en el formato del Anexo 2 y confirmar la base de cálculo</w:t>
            </w:r>
          </w:p>
        </w:tc>
      </w:tr>
      <w:tr>
        <w:trPr>
          <w:cantSplit/>
        </w:trPr>
        <w:tc>
          <w:tcPr/>
          <w:p>
            <w:pPr>
              <w:pStyle w:val="Tabla9"/>
              <w:jc w:val="left"/>
            </w:pPr>
            <w:r>
              <w:t xml:space="preserve">G3: actividad de administración y apoyo a la supervisión por objetivo</w:t>
            </w:r>
          </w:p>
        </w:tc>
        <w:tc>
          <w:tcPr/>
          <w:p>
            <w:pPr>
              <w:pStyle w:val="Tabla9"/>
              <w:jc w:val="left"/>
            </w:pPr>
            <w:r>
              <w:t xml:space="preserve">NO CUMPLE</w:t>
            </w:r>
          </w:p>
        </w:tc>
        <w:tc>
          <w:tcPr/>
          <w:p>
            <w:pPr>
              <w:pStyle w:val="Tabla9"/>
              <w:jc w:val="left"/>
            </w:pPr>
            <w:r>
              <w:t xml:space="preserve">Capítulo 9; anexo N, cadena de valor</w:t>
            </w:r>
          </w:p>
        </w:tc>
        <w:tc>
          <w:tcPr/>
          <w:p>
            <w:pPr>
              <w:pStyle w:val="Tabla9"/>
              <w:jc w:val="left"/>
            </w:pPr>
            <w:r>
              <w:t xml:space="preserve">Separar WP0 en tres actividades</w:t>
            </w:r>
          </w:p>
        </w:tc>
      </w:tr>
      <w:tr>
        <w:trPr>
          <w:cantSplit/>
        </w:trPr>
        <w:tc>
          <w:tcPr/>
          <w:p>
            <w:pPr>
              <w:pStyle w:val="Tabla9"/>
              <w:jc w:val="left"/>
            </w:pPr>
            <w:r>
              <w:t xml:space="preserve">G4: afectación por la emergencia con soporte oficial</w:t>
            </w:r>
          </w:p>
        </w:tc>
        <w:tc>
          <w:tcPr/>
          <w:p>
            <w:pPr>
              <w:pStyle w:val="Tabla9"/>
              <w:jc w:val="left"/>
            </w:pPr>
            <w:r>
              <w:t xml:space="preserve">VACIO</w:t>
            </w:r>
          </w:p>
        </w:tc>
        <w:tc>
          <w:tcPr/>
          <w:p>
            <w:pPr>
              <w:pStyle w:val="Tabla9"/>
              <w:jc w:val="left"/>
            </w:pPr>
            <w:r>
              <w:t xml:space="preserve">Paso 5.0; anexo J, fila J6</w:t>
            </w:r>
          </w:p>
        </w:tc>
        <w:tc>
          <w:tcPr/>
          <w:p>
            <w:pPr>
              <w:pStyle w:val="Tabla9"/>
              <w:jc w:val="left"/>
            </w:pPr>
            <w:r>
              <w:t xml:space="preserve">Aportar reportes y municipios afectados</w:t>
            </w:r>
          </w:p>
        </w:tc>
      </w:tr>
      <w:tr>
        <w:trPr>
          <w:cantSplit/>
        </w:trPr>
        <w:tc>
          <w:tcPr/>
          <w:p>
            <w:pPr>
              <w:pStyle w:val="Tabla9"/>
              <w:jc w:val="left"/>
            </w:pPr>
            <w:r>
              <w:t xml:space="preserve">G5: productos del catálogo MGA, programa 3906</w:t>
            </w:r>
          </w:p>
        </w:tc>
        <w:tc>
          <w:tcPr/>
          <w:p>
            <w:pPr>
              <w:pStyle w:val="Tabla9"/>
              <w:jc w:val="left"/>
            </w:pPr>
            <w:r>
              <w:t xml:space="preserve">PARCIAL</w:t>
            </w:r>
          </w:p>
        </w:tc>
        <w:tc>
          <w:tcPr/>
          <w:p>
            <w:pPr>
              <w:pStyle w:val="Tabla9"/>
              <w:jc w:val="left"/>
            </w:pPr>
            <w:r>
              <w:t xml:space="preserve">Capítulo 11; anexo N</w:t>
            </w:r>
          </w:p>
        </w:tc>
        <w:tc>
          <w:tcPr/>
          <w:p>
            <w:pPr>
              <w:pStyle w:val="Tabla9"/>
              <w:jc w:val="left"/>
            </w:pPr>
            <w:r>
              <w:t xml:space="preserve">Verificar el catálogo y adoptar la asignación</w:t>
            </w:r>
          </w:p>
        </w:tc>
      </w:tr>
      <w:tr>
        <w:trPr>
          <w:cantSplit/>
        </w:trPr>
        <w:tc>
          <w:tcPr/>
          <w:p>
            <w:pPr>
              <w:pStyle w:val="Tabla9"/>
              <w:jc w:val="left"/>
            </w:pPr>
            <w:r>
              <w:t xml:space="preserve">G6: máximo seis palabras clave</w:t>
            </w:r>
          </w:p>
        </w:tc>
        <w:tc>
          <w:tcPr/>
          <w:p>
            <w:pPr>
              <w:pStyle w:val="Tabla9"/>
              <w:jc w:val="left"/>
            </w:pPr>
            <w:r>
              <w:t xml:space="preserve">NO CUMPLE</w:t>
            </w:r>
          </w:p>
        </w:tc>
        <w:tc>
          <w:tcPr/>
          <w:p>
            <w:pPr>
              <w:pStyle w:val="Tabla9"/>
              <w:jc w:val="left"/>
            </w:pPr>
            <w:r>
              <w:t xml:space="preserve">Paso 1 lista siete</w:t>
            </w:r>
          </w:p>
        </w:tc>
        <w:tc>
          <w:tcPr/>
          <w:p>
            <w:pPr>
              <w:pStyle w:val="Tabla9"/>
              <w:jc w:val="left"/>
            </w:pPr>
            <w:r>
              <w:t xml:space="preserve">Retirar una palabra</w:t>
            </w:r>
          </w:p>
        </w:tc>
      </w:tr>
      <w:tr>
        <w:trPr>
          <w:cantSplit/>
        </w:trPr>
        <w:tc>
          <w:tcPr/>
          <w:p>
            <w:pPr>
              <w:pStyle w:val="Tabla9"/>
              <w:jc w:val="left"/>
            </w:pPr>
            <w:r>
              <w:t xml:space="preserve">G7: una entidad no es cooperante y beneficiaria a la vez</w:t>
            </w:r>
          </w:p>
        </w:tc>
        <w:tc>
          <w:tcPr/>
          <w:p>
            <w:pPr>
              <w:pStyle w:val="Tabla9"/>
              <w:jc w:val="left"/>
            </w:pPr>
            <w:r>
              <w:t xml:space="preserve">NO_VERIFICADO</w:t>
            </w:r>
          </w:p>
        </w:tc>
        <w:tc>
          <w:tcPr/>
          <w:p>
            <w:pPr>
              <w:pStyle w:val="Tabla9"/>
              <w:jc w:val="left"/>
            </w:pPr>
            <w:r>
              <w:t xml:space="preserve">Documento 1000X-08</w:t>
            </w:r>
          </w:p>
        </w:tc>
        <w:tc>
          <w:tcPr/>
          <w:p>
            <w:pPr>
              <w:pStyle w:val="Tabla9"/>
              <w:jc w:val="left"/>
            </w:pPr>
            <w:r>
              <w:t xml:space="preserve">Reclasificar a los participantes</w:t>
            </w:r>
          </w:p>
        </w:tc>
      </w:tr>
      <w:tr>
        <w:trPr>
          <w:cantSplit/>
        </w:trPr>
        <w:tc>
          <w:tcPr/>
          <w:p>
            <w:pPr>
              <w:pStyle w:val="Tabla9"/>
              <w:jc w:val="left"/>
            </w:pPr>
            <w:r>
              <w:t xml:space="preserve">G8: riesgos sanitarios en el registro</w:t>
            </w:r>
          </w:p>
        </w:tc>
        <w:tc>
          <w:tcPr/>
          <w:p>
            <w:pPr>
              <w:pStyle w:val="Tabla9"/>
              <w:jc w:val="left"/>
            </w:pPr>
            <w:r>
              <w:t xml:space="preserve">NO CUMPLE</w:t>
            </w:r>
          </w:p>
        </w:tc>
        <w:tc>
          <w:tcPr/>
          <w:p>
            <w:pPr>
              <w:pStyle w:val="Tabla9"/>
              <w:jc w:val="left"/>
            </w:pPr>
            <w:r>
              <w:t xml:space="preserve">Capítulo 10</w:t>
            </w:r>
          </w:p>
        </w:tc>
        <w:tc>
          <w:tcPr/>
          <w:p>
            <w:pPr>
              <w:pStyle w:val="Tabla9"/>
              <w:jc w:val="left"/>
            </w:pPr>
            <w:r>
              <w:t xml:space="preserve">Añadir el riesgo de exposición del personal de campo</w:t>
            </w:r>
          </w:p>
        </w:tc>
      </w:tr>
    </w:tbl>
    <w:p>
      <w:pPr>
        <w:pStyle w:val="TablaNota"/>
      </w:pPr>
      <w:r>
        <w:rPr>
          <w:i/>
          <w:iCs/>
        </w:rPr>
        <w:t xml:space="preserve">Nota.</w:t>
      </w:r>
      <w:r>
        <w:t xml:space="preserve"> </w:t>
      </w:r>
      <w:r>
        <w:t xml:space="preserve">Elaboración propia con el Anexo 2 de la convocatoria y el anexo N. Estados: NO CUMPLE indica un requisito explícito del Anexo 2 que el documento no satisface hoy.</w:t>
      </w:r>
    </w:p>
    <w:bookmarkEnd w:id="869"/>
    <w:bookmarkStart w:id="870" w:name="_Toc00900376"/>
    <w:p>
      <w:pPr>
        <w:pStyle w:val="Heading2"/>
      </w:pPr>
      <w:r>
        <w:t xml:space="preserve">X10.8 Bloqueos finales del paquete</w:t>
      </w:r>
    </w:p>
    <w:p>
      <w:pPr>
        <w:pStyle w:val="FirstParagraph"/>
      </w:pPr>
      <w:r>
        <w:t xml:space="preserve">El metaprompt fija dos bloqueos finales. El primero es toda alerta de compromiso débil emitida por el control jurídico de las cartas que permanezca sin subsanar. El segundo es todo reporte de brecha no resuelta que no exhiba una decisión humana registrada. La Tabla X10.8 muestra el resultado. Ambos bloqueos están activos.</w:t>
      </w:r>
    </w:p>
    <w:p>
      <w:pPr>
        <w:pStyle w:val="TablaRotulo"/>
      </w:pPr>
      <w:bookmarkStart w:id="9467" w:name="rot_Tabla_X10_8"/>
      <w:r>
        <w:rPr>
          <w:b/>
          <w:bCs/>
        </w:rPr>
        <w:t xml:space="preserve">Tabla X10.8</w:t>
      </w:r>
      <w:bookmarkEnd w:id="9467"/>
    </w:p>
    <w:p>
      <w:pPr>
        <w:pStyle w:val="TablaTitulo"/>
      </w:pPr>
      <w:r>
        <w:rPr>
          <w:i/>
          <w:iCs/>
        </w:rPr>
        <w:t xml:space="preserve">Verificación de los bloqueos finales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178"/>
        <w:gridCol w:w="1320"/>
        <w:gridCol w:w="2376"/>
        <w:gridCol w:w="2046"/>
      </w:tblGrid>
      <w:tr>
        <w:trPr>
          <w:cantSplit/>
          <w:tblHeader/>
        </w:trPr>
        <w:tc>
          <w:tcPr>
            <w:shd w:val="clear" w:color="auto" w:fill="00B050"/>
          </w:tcPr>
          <w:p>
            <w:pPr>
              <w:pStyle w:val="Tabla9"/>
              <w:jc w:val="center"/>
            </w:pPr>
            <w:r>
              <w:rPr>
                <w:b/>
                <w:color w:val="FFFFFF"/>
              </w:rPr>
              <w:t xml:space="preserve">Ítem</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Evidencia o ubicación</w:t>
            </w:r>
          </w:p>
        </w:tc>
        <w:tc>
          <w:tcPr>
            <w:shd w:val="clear" w:color="auto" w:fill="00B050"/>
          </w:tcPr>
          <w:p>
            <w:pPr>
              <w:pStyle w:val="Tabla9"/>
              <w:jc w:val="center"/>
            </w:pPr>
            <w:r>
              <w:rPr>
                <w:b/>
                <w:color w:val="FFFFFF"/>
              </w:rPr>
              <w:t xml:space="preserve">Brecha o acción</w:t>
            </w:r>
          </w:p>
        </w:tc>
      </w:tr>
      <w:tr>
        <w:trPr>
          <w:cantSplit/>
        </w:trPr>
        <w:tc>
          <w:tcPr/>
          <w:p>
            <w:pPr>
              <w:pStyle w:val="Tabla9"/>
              <w:jc w:val="left"/>
            </w:pPr>
            <w:r>
              <w:t xml:space="preserve">Alertas de compromiso débil sin subsanar (aserción AS-18)</w:t>
            </w:r>
          </w:p>
        </w:tc>
        <w:tc>
          <w:tcPr/>
          <w:p>
            <w:pPr>
              <w:pStyle w:val="Tabla9"/>
              <w:jc w:val="left"/>
            </w:pPr>
            <w:r>
              <w:t xml:space="preserve">NO CUMPLE</w:t>
            </w:r>
          </w:p>
        </w:tc>
        <w:tc>
          <w:tcPr/>
          <w:p>
            <w:pPr>
              <w:pStyle w:val="Tabla9"/>
              <w:jc w:val="left"/>
            </w:pPr>
            <w:r>
              <w:t xml:space="preserve">Anexo A: ocho documentos VACIO; las cartas de las alcaldías sin partida son las más débiles</w:t>
            </w:r>
          </w:p>
        </w:tc>
        <w:tc>
          <w:tcPr/>
          <w:p>
            <w:pPr>
              <w:pStyle w:val="Tabla9"/>
              <w:jc w:val="left"/>
            </w:pPr>
            <w:r>
              <w:t xml:space="preserve">Subsanar las alertas con cartas completas</w:t>
            </w:r>
          </w:p>
        </w:tc>
      </w:tr>
      <w:tr>
        <w:trPr>
          <w:cantSplit/>
        </w:trPr>
        <w:tc>
          <w:tcPr/>
          <w:p>
            <w:pPr>
              <w:pStyle w:val="Tabla9"/>
              <w:jc w:val="left"/>
            </w:pPr>
            <w:r>
              <w:t xml:space="preserve">Reportes de brecha no resuelta con decisión humana (aserción AS-07)</w:t>
            </w:r>
          </w:p>
        </w:tc>
        <w:tc>
          <w:tcPr/>
          <w:p>
            <w:pPr>
              <w:pStyle w:val="Tabla9"/>
              <w:jc w:val="left"/>
            </w:pPr>
            <w:r>
              <w:t xml:space="preserve">NO CUMPLE</w:t>
            </w:r>
          </w:p>
        </w:tc>
        <w:tc>
          <w:tcPr/>
          <w:p>
            <w:pPr>
              <w:pStyle w:val="Tabla9"/>
              <w:jc w:val="left"/>
            </w:pPr>
            <w:r>
              <w:t xml:space="preserve">Tabla de reportes de brecha de este documento: seis reportes sin decisión</w:t>
            </w:r>
          </w:p>
        </w:tc>
        <w:tc>
          <w:tcPr/>
          <w:p>
            <w:pPr>
              <w:pStyle w:val="Tabla9"/>
              <w:jc w:val="left"/>
            </w:pPr>
            <w:r>
              <w:t xml:space="preserve">Registrar la decisión (a), (b) o (c) en cada reporte</w:t>
            </w:r>
          </w:p>
        </w:tc>
      </w:tr>
    </w:tbl>
    <w:p>
      <w:pPr>
        <w:pStyle w:val="TablaNota"/>
      </w:pPr>
      <w:r>
        <w:rPr>
          <w:i/>
          <w:iCs/>
        </w:rPr>
        <w:t xml:space="preserve">Nota.</w:t>
      </w:r>
      <w:r>
        <w:t xml:space="preserve"> </w:t>
      </w:r>
      <w:r>
        <w:t xml:space="preserve">Elaboración propia con las reglas del metaprompt (documento 1000X-10). NO CUMPLE indica bloqueo activo: el paquete no se aprueba para radicación.</w:t>
      </w:r>
    </w:p>
    <w:p>
      <w:pPr>
        <w:pStyle w:val="BodyText"/>
      </w:pPr>
      <w:r>
        <w:t xml:space="preserve">Los reportes de brecha no resuelta siguen la plantilla del metaprompt. Cada reporte nombra el criterio incumplido, resume los intentos correctivos y pide una decisión del formulador. En esta corrida ningún intento correctivo fue posible, porque el dato faltante lo posee el usuario. La Tabla X10.9 presenta los seis reportes.</w:t>
      </w:r>
    </w:p>
    <w:p>
      <w:pPr>
        <w:pStyle w:val="TablaRotulo"/>
      </w:pPr>
      <w:bookmarkStart w:id="9468" w:name="rot_Tabla_X10_9"/>
      <w:r>
        <w:rPr>
          <w:b/>
          <w:bCs/>
        </w:rPr>
        <w:t xml:space="preserve">Tabla X10.9</w:t>
      </w:r>
      <w:bookmarkEnd w:id="9468"/>
    </w:p>
    <w:p>
      <w:pPr>
        <w:pStyle w:val="TablaTitulo"/>
      </w:pPr>
      <w:r>
        <w:rPr>
          <w:i/>
          <w:iCs/>
        </w:rPr>
        <w:t xml:space="preserve">Reportes de brecha no resuelta y decisión humana requerida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046"/>
        <w:gridCol w:w="1056"/>
        <w:gridCol w:w="2046"/>
        <w:gridCol w:w="2772"/>
      </w:tblGrid>
      <w:tr>
        <w:trPr>
          <w:cantSplit/>
          <w:tblHeader/>
        </w:trPr>
        <w:tc>
          <w:tcPr>
            <w:shd w:val="clear" w:color="auto" w:fill="00B050"/>
          </w:tcPr>
          <w:p>
            <w:pPr>
              <w:pStyle w:val="Tabla9"/>
              <w:jc w:val="center"/>
            </w:pPr>
            <w:r>
              <w:rPr>
                <w:b/>
                <w:color w:val="FFFFFF"/>
              </w:rPr>
              <w:t xml:space="preserve">Ítem</w:t>
            </w:r>
          </w:p>
        </w:tc>
        <w:tc>
          <w:tcPr>
            <w:shd w:val="clear" w:color="auto" w:fill="00B050"/>
          </w:tcPr>
          <w:p>
            <w:pPr>
              <w:pStyle w:val="Tabla9"/>
              <w:jc w:val="center"/>
            </w:pPr>
            <w:r>
              <w:rPr>
                <w:b/>
                <w:color w:val="FFFFFF"/>
              </w:rPr>
              <w:t xml:space="preserve">Estado</w:t>
            </w:r>
          </w:p>
        </w:tc>
        <w:tc>
          <w:tcPr>
            <w:shd w:val="clear" w:color="auto" w:fill="00B050"/>
          </w:tcPr>
          <w:p>
            <w:pPr>
              <w:pStyle w:val="Tabla9"/>
              <w:jc w:val="center"/>
            </w:pPr>
            <w:r>
              <w:rPr>
                <w:b/>
                <w:color w:val="FFFFFF"/>
              </w:rPr>
              <w:t xml:space="preserve">Evidencia o ubicación</w:t>
            </w:r>
          </w:p>
        </w:tc>
        <w:tc>
          <w:tcPr>
            <w:shd w:val="clear" w:color="auto" w:fill="00B050"/>
          </w:tcPr>
          <w:p>
            <w:pPr>
              <w:pStyle w:val="Tabla9"/>
              <w:jc w:val="center"/>
            </w:pPr>
            <w:r>
              <w:rPr>
                <w:b/>
                <w:color w:val="FFFFFF"/>
              </w:rPr>
              <w:t xml:space="preserve">Brecha o acción</w:t>
            </w:r>
          </w:p>
        </w:tc>
      </w:tr>
      <w:tr>
        <w:trPr>
          <w:cantSplit/>
        </w:trPr>
        <w:tc>
          <w:tcPr/>
          <w:p>
            <w:pPr>
              <w:pStyle w:val="Tabla9"/>
              <w:jc w:val="left"/>
            </w:pPr>
            <w:r>
              <w:t xml:space="preserve">B1: nivel de madurez tecnológica (TRL 7 frente a la prioridad de TRL 9)</w:t>
            </w:r>
          </w:p>
        </w:tc>
        <w:tc>
          <w:tcPr/>
          <w:p>
            <w:pPr>
              <w:pStyle w:val="Tabla9"/>
              <w:jc w:val="left"/>
            </w:pPr>
            <w:r>
              <w:t xml:space="preserve">VACIO</w:t>
            </w:r>
          </w:p>
        </w:tc>
        <w:tc>
          <w:tcPr/>
          <w:p>
            <w:pPr>
              <w:pStyle w:val="Tabla9"/>
              <w:jc w:val="left"/>
            </w:pPr>
            <w:r>
              <w:t xml:space="preserve">Intentos: ninguno posible; la decisión modifica el cronograma y el presupuesto. Decisión requerida: (a) aceptar TRL 7 con reserva; (b) aportar información y rediseñar; (c) eliminar el componente</w:t>
            </w:r>
          </w:p>
        </w:tc>
        <w:tc>
          <w:tcPr/>
          <w:p>
            <w:pPr>
              <w:pStyle w:val="Tabla9"/>
              <w:jc w:val="left"/>
            </w:pPr>
            <w:r>
              <w:t xml:space="preserve">[DATO_USUARIO: decisión (a), (b) o (c), fecha y justificación]</w:t>
            </w:r>
          </w:p>
        </w:tc>
      </w:tr>
      <w:tr>
        <w:trPr>
          <w:cantSplit/>
        </w:trPr>
        <w:tc>
          <w:tcPr/>
          <w:p>
            <w:pPr>
              <w:pStyle w:val="Tabla9"/>
              <w:jc w:val="left"/>
            </w:pPr>
            <w:r>
              <w:t xml:space="preserve">B2: cartas de compromiso con partida de las alcaldías</w:t>
            </w:r>
          </w:p>
        </w:tc>
        <w:tc>
          <w:tcPr/>
          <w:p>
            <w:pPr>
              <w:pStyle w:val="Tabla9"/>
              <w:jc w:val="left"/>
            </w:pPr>
            <w:r>
              <w:t xml:space="preserve">VACIO</w:t>
            </w:r>
          </w:p>
        </w:tc>
        <w:tc>
          <w:tcPr/>
          <w:p>
            <w:pPr>
              <w:pStyle w:val="Tabla9"/>
              <w:jc w:val="left"/>
            </w:pPr>
            <w:r>
              <w:t xml:space="preserve">Intentos: ninguno posible; las cartas las emiten las entidades. Decisión requerida: (a), (b) o (c)</w:t>
            </w:r>
          </w:p>
        </w:tc>
        <w:tc>
          <w:tcPr/>
          <w:p>
            <w:pPr>
              <w:pStyle w:val="Tabla9"/>
              <w:jc w:val="left"/>
            </w:pPr>
            <w:r>
              <w:t xml:space="preserve">[DATO_USUARIO: decisión, fecha y justificación]</w:t>
            </w:r>
          </w:p>
        </w:tc>
      </w:tr>
      <w:tr>
        <w:trPr>
          <w:cantSplit/>
        </w:trPr>
        <w:tc>
          <w:tcPr/>
          <w:p>
            <w:pPr>
              <w:pStyle w:val="Tabla9"/>
              <w:jc w:val="left"/>
            </w:pPr>
            <w:r>
              <w:t xml:space="preserve">B3: cotizaciones de mercado de equipos y servicios</w:t>
            </w:r>
          </w:p>
        </w:tc>
        <w:tc>
          <w:tcPr/>
          <w:p>
            <w:pPr>
              <w:pStyle w:val="Tabla9"/>
              <w:jc w:val="left"/>
            </w:pPr>
            <w:r>
              <w:t xml:space="preserve">VACIO</w:t>
            </w:r>
          </w:p>
        </w:tc>
        <w:tc>
          <w:tcPr/>
          <w:p>
            <w:pPr>
              <w:pStyle w:val="Tabla9"/>
              <w:jc w:val="left"/>
            </w:pPr>
            <w:r>
              <w:t xml:space="preserve">Intentos: ninguno posible; los proveedores deben cotizar. Decisión requerida: (a), (b) o (c)</w:t>
            </w:r>
          </w:p>
        </w:tc>
        <w:tc>
          <w:tcPr/>
          <w:p>
            <w:pPr>
              <w:pStyle w:val="Tabla9"/>
              <w:jc w:val="left"/>
            </w:pPr>
            <w:r>
              <w:t xml:space="preserve">[DATO_USUARIO: decisión, fecha y justificación]</w:t>
            </w:r>
          </w:p>
        </w:tc>
      </w:tr>
      <w:tr>
        <w:trPr>
          <w:cantSplit/>
        </w:trPr>
        <w:tc>
          <w:tcPr/>
          <w:p>
            <w:pPr>
              <w:pStyle w:val="Tabla9"/>
              <w:jc w:val="left"/>
            </w:pPr>
            <w:r>
              <w:t xml:space="preserve">B4: línea base de error de los nodos</w:t>
            </w:r>
          </w:p>
        </w:tc>
        <w:tc>
          <w:tcPr/>
          <w:p>
            <w:pPr>
              <w:pStyle w:val="Tabla9"/>
              <w:jc w:val="left"/>
            </w:pPr>
            <w:r>
              <w:t xml:space="preserve">VACIO</w:t>
            </w:r>
          </w:p>
        </w:tc>
        <w:tc>
          <w:tcPr/>
          <w:p>
            <w:pPr>
              <w:pStyle w:val="Tabla9"/>
              <w:jc w:val="left"/>
            </w:pPr>
            <w:r>
              <w:t xml:space="preserve">Intentos: ninguno posible antes del tramo 1. Decisión requerida: (a) aceptar con reserva; (b), (c)</w:t>
            </w:r>
          </w:p>
        </w:tc>
        <w:tc>
          <w:tcPr/>
          <w:p>
            <w:pPr>
              <w:pStyle w:val="Tabla9"/>
              <w:jc w:val="left"/>
            </w:pPr>
            <w:r>
              <w:t xml:space="preserve">[DATO_USUARIO: decisión, fecha y justificación]</w:t>
            </w:r>
          </w:p>
        </w:tc>
      </w:tr>
      <w:tr>
        <w:trPr>
          <w:cantSplit/>
        </w:trPr>
        <w:tc>
          <w:tcPr/>
          <w:p>
            <w:pPr>
              <w:pStyle w:val="Tabla9"/>
              <w:jc w:val="left"/>
            </w:pPr>
            <w:r>
              <w:t xml:space="preserve">B5: afectación por la emergencia y municipios afectados</w:t>
            </w:r>
          </w:p>
        </w:tc>
        <w:tc>
          <w:tcPr/>
          <w:p>
            <w:pPr>
              <w:pStyle w:val="Tabla9"/>
              <w:jc w:val="left"/>
            </w:pPr>
            <w:r>
              <w:t xml:space="preserve">VACIO</w:t>
            </w:r>
          </w:p>
        </w:tc>
        <w:tc>
          <w:tcPr/>
          <w:p>
            <w:pPr>
              <w:pStyle w:val="Tabla9"/>
              <w:jc w:val="left"/>
            </w:pPr>
            <w:r>
              <w:t xml:space="preserve">Intentos: ninguno posible; exige reportes oficiales. Decisión requerida: (a), (b) o (c)</w:t>
            </w:r>
          </w:p>
        </w:tc>
        <w:tc>
          <w:tcPr/>
          <w:p>
            <w:pPr>
              <w:pStyle w:val="Tabla9"/>
              <w:jc w:val="left"/>
            </w:pPr>
            <w:r>
              <w:t xml:space="preserve">[DATO_USUARIO: decisión, fecha y justificación]</w:t>
            </w:r>
          </w:p>
        </w:tc>
      </w:tr>
      <w:tr>
        <w:trPr>
          <w:cantSplit/>
        </w:trPr>
        <w:tc>
          <w:tcPr/>
          <w:p>
            <w:pPr>
              <w:pStyle w:val="Tabla9"/>
              <w:jc w:val="left"/>
            </w:pPr>
            <w:r>
              <w:t xml:space="preserve">B6: certificación de la contrapartida</w:t>
            </w:r>
          </w:p>
        </w:tc>
        <w:tc>
          <w:tcPr/>
          <w:p>
            <w:pPr>
              <w:pStyle w:val="Tabla9"/>
              <w:jc w:val="left"/>
            </w:pPr>
            <w:r>
              <w:t xml:space="preserve">VACIO</w:t>
            </w:r>
          </w:p>
        </w:tc>
        <w:tc>
          <w:tcPr/>
          <w:p>
            <w:pPr>
              <w:pStyle w:val="Tabla9"/>
              <w:jc w:val="left"/>
            </w:pPr>
            <w:r>
              <w:t xml:space="preserve">Intentos: ninguno posible; exige certificados contables. Decisión requerida: (a), (b) o (c)</w:t>
            </w:r>
          </w:p>
        </w:tc>
        <w:tc>
          <w:tcPr/>
          <w:p>
            <w:pPr>
              <w:pStyle w:val="Tabla9"/>
              <w:jc w:val="left"/>
            </w:pPr>
            <w:r>
              <w:t xml:space="preserve">[DATO_USUARIO: decisión, fecha y justificación]</w:t>
            </w:r>
          </w:p>
        </w:tc>
      </w:tr>
    </w:tbl>
    <w:p>
      <w:pPr>
        <w:pStyle w:val="TablaNota"/>
      </w:pPr>
      <w:r>
        <w:rPr>
          <w:i/>
          <w:iCs/>
        </w:rPr>
        <w:t xml:space="preserve">Nota.</w:t>
      </w:r>
      <w:r>
        <w:t xml:space="preserve"> </w:t>
      </w:r>
      <w:r>
        <w:t xml:space="preserve">Elaboración propia con la plantilla Reporte de Brecha No Resuelta del metaprompt. El campo Brecha o acción contiene la decisión humana pendiente. Las opciones son: (a) aceptar el componente con reserva declarada; (b) aportar información adicional y relanzar el ciclo correctivo; (c) eliminar el componente.</w:t>
      </w:r>
    </w:p>
    <w:p>
      <w:pPr>
        <w:pStyle w:val="BodyText"/>
      </w:pPr>
      <w:r>
        <w:t xml:space="preserve">El conteo de las secciones X10.1 a X10.8 da 55 ítems. De ellos, 13 cumplen y 17 cumplen en parte. Otros 6 no cumplen y 15 dependen de datos del usuario. Quedan 2 sin verificar y 2 sin ejecutar. El paquete no está listo para radicación. La ruta más corta para desbloquearlo consiste en tres acciones del usuario. Debe aportar los documentos de la convocatoria, decidir el nivel de madurez tecnológica y obtener las cartas con partida.</w:t>
      </w:r>
    </w:p>
    <w:bookmarkEnd w:id="870"/>
    <w:bookmarkEnd w:id="871"/>
    <w:bookmarkStart w:id="876" w:name="_Toc00900377"/>
    <w:p>
      <w:pPr>
        <w:pStyle w:val="Heading1"/>
      </w:pPr>
      <w:r>
        <w:t xml:space="preserve">Cierre del documento</w:t>
      </w:r>
    </w:p>
    <w:p>
      <w:pPr>
        <w:pStyle w:val="FirstParagraph"/>
      </w:pPr>
      <w:r>
        <w:t xml:space="preserve">El cierre sigue el orden fijado por el metaprompt: autoauditoría (F-01), vacíos y contradicciones (F-02), valor estratégico (F-03) y traspaso (F-04). Cada bloque declara lo que se verificó y lo que no. Ningún resultado se presenta como validación independiente, porque ninguna revisión externa ocurrió.</w:t>
      </w:r>
    </w:p>
    <w:bookmarkStart w:id="872" w:name="_Toc00900378"/>
    <w:p>
      <w:pPr>
        <w:pStyle w:val="Heading2"/>
      </w:pPr>
      <w:r>
        <w:t xml:space="preserve">F-01 Autoauditoría</w:t>
      </w:r>
    </w:p>
    <w:p>
      <w:pPr>
        <w:pStyle w:val="FirstParagraph"/>
      </w:pPr>
      <w:r>
        <w:t xml:space="preserve">La autoauditoría compara cada capítulo con los mínimos de extensión del metaprompt. Los capítulos 1 a 21 suman 96.196 palabras de prosa, 191 tablas y 68 figuras, frente a mínimos de 73.500 palabras, 87 tablas y 44 figuras. La Tabla FC.1 presenta el detalle. Las palabras se cuentan sin las tablas, las notas ni las listas de referencias.</w:t>
      </w:r>
    </w:p>
    <w:p>
      <w:pPr>
        <w:pStyle w:val="TablaRotulo"/>
      </w:pPr>
      <w:bookmarkStart w:id="9469" w:name="rot_Tabla_FC_1"/>
      <w:r>
        <w:rPr>
          <w:b/>
          <w:bCs/>
        </w:rPr>
        <w:t xml:space="preserve">Tabla FC.1</w:t>
      </w:r>
      <w:bookmarkEnd w:id="9469"/>
    </w:p>
    <w:p>
      <w:pPr>
        <w:pStyle w:val="TablaTitulo"/>
      </w:pPr>
      <w:r>
        <w:rPr>
          <w:i/>
          <w:iCs/>
        </w:rPr>
        <w:t xml:space="preserve">Cumplimiento de los mínimos de extensión por capítulo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22"/>
        <w:gridCol w:w="1056"/>
        <w:gridCol w:w="1056"/>
        <w:gridCol w:w="858"/>
        <w:gridCol w:w="858"/>
        <w:gridCol w:w="924"/>
        <w:gridCol w:w="924"/>
        <w:gridCol w:w="1122"/>
      </w:tblGrid>
      <w:tr>
        <w:trPr>
          <w:cantSplit/>
          <w:tblHeader/>
        </w:trPr>
        <w:tc>
          <w:tcPr>
            <w:shd w:val="clear" w:color="auto" w:fill="00B050"/>
          </w:tcPr>
          <w:p>
            <w:pPr>
              <w:pStyle w:val="Tabla8"/>
              <w:jc w:val="center"/>
            </w:pPr>
            <w:r>
              <w:rPr>
                <w:b/>
                <w:color w:val="FFFFFF"/>
              </w:rPr>
              <w:t xml:space="preserve">Capítulo</w:t>
            </w:r>
          </w:p>
        </w:tc>
        <w:tc>
          <w:tcPr>
            <w:shd w:val="clear" w:color="auto" w:fill="00B050"/>
          </w:tcPr>
          <w:p>
            <w:pPr>
              <w:pStyle w:val="Tabla8"/>
              <w:jc w:val="center"/>
            </w:pPr>
            <w:r>
              <w:rPr>
                <w:b/>
                <w:color w:val="FFFFFF"/>
              </w:rPr>
              <w:t xml:space="preserve">Palabras</w:t>
            </w:r>
          </w:p>
        </w:tc>
        <w:tc>
          <w:tcPr>
            <w:shd w:val="clear" w:color="auto" w:fill="00B050"/>
          </w:tcPr>
          <w:p>
            <w:pPr>
              <w:pStyle w:val="Tabla8"/>
              <w:jc w:val="center"/>
            </w:pPr>
            <w:r>
              <w:rPr>
                <w:b/>
                <w:color w:val="FFFFFF"/>
              </w:rPr>
              <w:t xml:space="preserve">Mínimo de palabras</w:t>
            </w:r>
          </w:p>
        </w:tc>
        <w:tc>
          <w:tcPr>
            <w:shd w:val="clear" w:color="auto" w:fill="00B050"/>
          </w:tcPr>
          <w:p>
            <w:pPr>
              <w:pStyle w:val="Tabla8"/>
              <w:jc w:val="center"/>
            </w:pPr>
            <w:r>
              <w:rPr>
                <w:b/>
                <w:color w:val="FFFFFF"/>
              </w:rPr>
              <w:t xml:space="preserve">Tablas</w:t>
            </w:r>
          </w:p>
        </w:tc>
        <w:tc>
          <w:tcPr>
            <w:shd w:val="clear" w:color="auto" w:fill="00B050"/>
          </w:tcPr>
          <w:p>
            <w:pPr>
              <w:pStyle w:val="Tabla8"/>
              <w:jc w:val="center"/>
            </w:pPr>
            <w:r>
              <w:rPr>
                <w:b/>
                <w:color w:val="FFFFFF"/>
              </w:rPr>
              <w:t xml:space="preserve">Mínimo de tablas</w:t>
            </w:r>
          </w:p>
        </w:tc>
        <w:tc>
          <w:tcPr>
            <w:shd w:val="clear" w:color="auto" w:fill="00B050"/>
          </w:tcPr>
          <w:p>
            <w:pPr>
              <w:pStyle w:val="Tabla8"/>
              <w:jc w:val="center"/>
            </w:pPr>
            <w:r>
              <w:rPr>
                <w:b/>
                <w:color w:val="FFFFFF"/>
              </w:rPr>
              <w:t xml:space="preserve">Figuras</w:t>
            </w:r>
          </w:p>
        </w:tc>
        <w:tc>
          <w:tcPr>
            <w:shd w:val="clear" w:color="auto" w:fill="00B050"/>
          </w:tcPr>
          <w:p>
            <w:pPr>
              <w:pStyle w:val="Tabla8"/>
              <w:jc w:val="center"/>
            </w:pPr>
            <w:r>
              <w:rPr>
                <w:b/>
                <w:color w:val="FFFFFF"/>
              </w:rPr>
              <w:t xml:space="preserve">Mínimo de figuras</w:t>
            </w:r>
          </w:p>
        </w:tc>
        <w:tc>
          <w:tcPr>
            <w:shd w:val="clear" w:color="auto" w:fill="00B050"/>
          </w:tcPr>
          <w:p>
            <w:pPr>
              <w:pStyle w:val="Tabla8"/>
              <w:jc w:val="center"/>
            </w:pPr>
            <w:r>
              <w:rPr>
                <w:b/>
                <w:color w:val="FFFFFF"/>
              </w:rPr>
              <w:t xml:space="preserve">Estado</w:t>
            </w:r>
          </w:p>
        </w:tc>
      </w:tr>
      <w:tr>
        <w:trPr>
          <w:cantSplit/>
        </w:trPr>
        <w:tc>
          <w:tcPr/>
          <w:p>
            <w:pPr>
              <w:pStyle w:val="Tabla8"/>
              <w:jc w:val="left"/>
            </w:pPr>
            <w:r>
              <w:t xml:space="preserve">Capítulo 1</w:t>
            </w:r>
          </w:p>
        </w:tc>
        <w:tc>
          <w:tcPr/>
          <w:p>
            <w:pPr>
              <w:pStyle w:val="Tabla8"/>
              <w:jc w:val="left"/>
            </w:pPr>
            <w:r>
              <w:t xml:space="preserve">7.135</w:t>
            </w:r>
          </w:p>
        </w:tc>
        <w:tc>
          <w:tcPr/>
          <w:p>
            <w:pPr>
              <w:pStyle w:val="Tabla8"/>
              <w:jc w:val="left"/>
            </w:pPr>
            <w:r>
              <w:t xml:space="preserve">5.000</w:t>
            </w:r>
          </w:p>
        </w:tc>
        <w:tc>
          <w:tcPr/>
          <w:p>
            <w:pPr>
              <w:pStyle w:val="Tabla8"/>
              <w:jc w:val="left"/>
            </w:pPr>
            <w:r>
              <w:t xml:space="preserve">5</w:t>
            </w:r>
          </w:p>
        </w:tc>
        <w:tc>
          <w:tcPr/>
          <w:p>
            <w:pPr>
              <w:pStyle w:val="Tabla8"/>
              <w:jc w:val="left"/>
            </w:pPr>
            <w:r>
              <w:t xml:space="preserve">5</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p>
            <w:pPr>
              <w:pStyle w:val="Tabla8"/>
              <w:jc w:val="left"/>
            </w:pPr>
            <w:r>
              <w:t xml:space="preserve">Capítulo 2</w:t>
            </w:r>
          </w:p>
        </w:tc>
        <w:tc>
          <w:tcPr/>
          <w:p>
            <w:pPr>
              <w:pStyle w:val="Tabla8"/>
              <w:jc w:val="left"/>
            </w:pPr>
            <w:r>
              <w:t xml:space="preserve">15.000</w:t>
            </w:r>
          </w:p>
        </w:tc>
        <w:tc>
          <w:tcPr/>
          <w:p>
            <w:pPr>
              <w:pStyle w:val="Tabla8"/>
              <w:jc w:val="left"/>
            </w:pPr>
            <w:r>
              <w:t xml:space="preserve">12.000</w:t>
            </w:r>
          </w:p>
        </w:tc>
        <w:tc>
          <w:tcPr/>
          <w:p>
            <w:pPr>
              <w:pStyle w:val="Tabla8"/>
              <w:jc w:val="left"/>
            </w:pPr>
            <w:r>
              <w:t xml:space="preserve">40</w:t>
            </w:r>
          </w:p>
        </w:tc>
        <w:tc>
          <w:tcPr/>
          <w:p>
            <w:pPr>
              <w:pStyle w:val="Tabla8"/>
              <w:jc w:val="left"/>
            </w:pPr>
            <w:r>
              <w:t xml:space="preserve">21</w:t>
            </w:r>
          </w:p>
        </w:tc>
        <w:tc>
          <w:tcPr/>
          <w:p>
            <w:pPr>
              <w:pStyle w:val="Tabla8"/>
              <w:jc w:val="left"/>
            </w:pPr>
            <w:r>
              <w:t xml:space="preserve">17</w:t>
            </w:r>
          </w:p>
        </w:tc>
        <w:tc>
          <w:tcPr/>
          <w:p>
            <w:pPr>
              <w:pStyle w:val="Tabla8"/>
              <w:jc w:val="left"/>
            </w:pPr>
            <w:r>
              <w:t xml:space="preserve">13</w:t>
            </w:r>
          </w:p>
        </w:tc>
        <w:tc>
          <w:tcPr/>
          <w:p>
            <w:pPr>
              <w:pStyle w:val="Tabla8"/>
              <w:jc w:val="left"/>
            </w:pPr>
            <w:r>
              <w:t xml:space="preserve">CUMPLE</w:t>
            </w:r>
          </w:p>
        </w:tc>
      </w:tr>
      <w:tr>
        <w:trPr>
          <w:cantSplit/>
        </w:trPr>
        <w:tc>
          <w:tcPr/>
          <w:p>
            <w:pPr>
              <w:pStyle w:val="Tabla8"/>
              <w:jc w:val="left"/>
            </w:pPr>
            <w:r>
              <w:t xml:space="preserve">Capítulo 3</w:t>
            </w:r>
          </w:p>
        </w:tc>
        <w:tc>
          <w:tcPr/>
          <w:p>
            <w:pPr>
              <w:pStyle w:val="Tabla8"/>
              <w:jc w:val="left"/>
            </w:pPr>
            <w:r>
              <w:t xml:space="preserve">2.967</w:t>
            </w:r>
          </w:p>
        </w:tc>
        <w:tc>
          <w:tcPr/>
          <w:p>
            <w:pPr>
              <w:pStyle w:val="Tabla8"/>
              <w:jc w:val="left"/>
            </w:pPr>
            <w:r>
              <w:t xml:space="preserve">1.500</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p>
            <w:pPr>
              <w:pStyle w:val="Tabla8"/>
              <w:jc w:val="left"/>
            </w:pPr>
            <w:r>
              <w:t xml:space="preserve">Capítulo 4</w:t>
            </w:r>
          </w:p>
        </w:tc>
        <w:tc>
          <w:tcPr/>
          <w:p>
            <w:pPr>
              <w:pStyle w:val="Tabla8"/>
              <w:jc w:val="left"/>
            </w:pPr>
            <w:r>
              <w:t xml:space="preserve">8.746</w:t>
            </w:r>
          </w:p>
        </w:tc>
        <w:tc>
          <w:tcPr/>
          <w:p>
            <w:pPr>
              <w:pStyle w:val="Tabla8"/>
              <w:jc w:val="left"/>
            </w:pPr>
            <w:r>
              <w:t xml:space="preserve">8.000</w:t>
            </w:r>
          </w:p>
        </w:tc>
        <w:tc>
          <w:tcPr/>
          <w:p>
            <w:pPr>
              <w:pStyle w:val="Tabla8"/>
              <w:jc w:val="left"/>
            </w:pPr>
            <w:r>
              <w:t xml:space="preserve">6</w:t>
            </w:r>
          </w:p>
        </w:tc>
        <w:tc>
          <w:tcPr/>
          <w:p>
            <w:pPr>
              <w:pStyle w:val="Tabla8"/>
              <w:jc w:val="left"/>
            </w:pPr>
            <w:r>
              <w:t xml:space="preserve">4</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p>
            <w:pPr>
              <w:pStyle w:val="Tabla8"/>
              <w:jc w:val="left"/>
            </w:pPr>
            <w:r>
              <w:t xml:space="preserve">Capítulo 5</w:t>
            </w:r>
          </w:p>
        </w:tc>
        <w:tc>
          <w:tcPr/>
          <w:p>
            <w:pPr>
              <w:pStyle w:val="Tabla8"/>
              <w:jc w:val="left"/>
            </w:pPr>
            <w:r>
              <w:t xml:space="preserve">6.048</w:t>
            </w:r>
          </w:p>
        </w:tc>
        <w:tc>
          <w:tcPr/>
          <w:p>
            <w:pPr>
              <w:pStyle w:val="Tabla8"/>
              <w:jc w:val="left"/>
            </w:pPr>
            <w:r>
              <w:t xml:space="preserve">5.000</w:t>
            </w:r>
          </w:p>
        </w:tc>
        <w:tc>
          <w:tcPr/>
          <w:p>
            <w:pPr>
              <w:pStyle w:val="Tabla8"/>
              <w:jc w:val="left"/>
            </w:pPr>
            <w:r>
              <w:t xml:space="preserve">8</w:t>
            </w:r>
          </w:p>
        </w:tc>
        <w:tc>
          <w:tcPr/>
          <w:p>
            <w:pPr>
              <w:pStyle w:val="Tabla8"/>
              <w:jc w:val="left"/>
            </w:pPr>
            <w:r>
              <w:t xml:space="preserve">7</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p>
            <w:pPr>
              <w:pStyle w:val="Tabla8"/>
              <w:jc w:val="left"/>
            </w:pPr>
            <w:r>
              <w:t xml:space="preserve">Capítulo 6</w:t>
            </w:r>
          </w:p>
        </w:tc>
        <w:tc>
          <w:tcPr/>
          <w:p>
            <w:pPr>
              <w:pStyle w:val="Tabla8"/>
              <w:jc w:val="left"/>
            </w:pPr>
            <w:r>
              <w:t xml:space="preserve">10.088</w:t>
            </w:r>
          </w:p>
        </w:tc>
        <w:tc>
          <w:tcPr/>
          <w:p>
            <w:pPr>
              <w:pStyle w:val="Tabla8"/>
              <w:jc w:val="left"/>
            </w:pPr>
            <w:r>
              <w:t xml:space="preserve">8.000</w:t>
            </w:r>
          </w:p>
        </w:tc>
        <w:tc>
          <w:tcPr/>
          <w:p>
            <w:pPr>
              <w:pStyle w:val="Tabla8"/>
              <w:jc w:val="left"/>
            </w:pPr>
            <w:r>
              <w:t xml:space="preserve">10</w:t>
            </w:r>
          </w:p>
        </w:tc>
        <w:tc>
          <w:tcPr/>
          <w:p>
            <w:pPr>
              <w:pStyle w:val="Tabla8"/>
              <w:jc w:val="left"/>
            </w:pPr>
            <w:r>
              <w:t xml:space="preserve">6</w:t>
            </w:r>
          </w:p>
        </w:tc>
        <w:tc>
          <w:tcPr/>
          <w:p>
            <w:pPr>
              <w:pStyle w:val="Tabla8"/>
              <w:jc w:val="left"/>
            </w:pPr>
            <w:r>
              <w:t xml:space="preserve">4</w:t>
            </w:r>
          </w:p>
        </w:tc>
        <w:tc>
          <w:tcPr/>
          <w:p>
            <w:pPr>
              <w:pStyle w:val="Tabla8"/>
              <w:jc w:val="left"/>
            </w:pPr>
            <w:r>
              <w:t xml:space="preserve">4</w:t>
            </w:r>
          </w:p>
        </w:tc>
        <w:tc>
          <w:tcPr/>
          <w:p>
            <w:pPr>
              <w:pStyle w:val="Tabla8"/>
              <w:jc w:val="left"/>
            </w:pPr>
            <w:r>
              <w:t xml:space="preserve">CUMPLE</w:t>
            </w:r>
          </w:p>
        </w:tc>
      </w:tr>
      <w:tr>
        <w:trPr>
          <w:cantSplit/>
        </w:trPr>
        <w:tc>
          <w:tcPr/>
          <w:p>
            <w:pPr>
              <w:pStyle w:val="Tabla8"/>
              <w:jc w:val="left"/>
            </w:pPr>
            <w:r>
              <w:t xml:space="preserve">Capítulo 7</w:t>
            </w:r>
          </w:p>
        </w:tc>
        <w:tc>
          <w:tcPr/>
          <w:p>
            <w:pPr>
              <w:pStyle w:val="Tabla8"/>
              <w:jc w:val="left"/>
            </w:pPr>
            <w:r>
              <w:t xml:space="preserve">2.060</w:t>
            </w:r>
          </w:p>
        </w:tc>
        <w:tc>
          <w:tcPr/>
          <w:p>
            <w:pPr>
              <w:pStyle w:val="Tabla8"/>
              <w:jc w:val="left"/>
            </w:pPr>
            <w:r>
              <w:t xml:space="preserve">2.000</w:t>
            </w:r>
          </w:p>
        </w:tc>
        <w:tc>
          <w:tcPr/>
          <w:p>
            <w:pPr>
              <w:pStyle w:val="Tabla8"/>
              <w:jc w:val="left"/>
            </w:pPr>
            <w:r>
              <w:t xml:space="preserve">4</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p>
            <w:pPr>
              <w:pStyle w:val="Tabla8"/>
              <w:jc w:val="left"/>
            </w:pPr>
            <w:r>
              <w:t xml:space="preserve">Capítulo 8</w:t>
            </w:r>
          </w:p>
        </w:tc>
        <w:tc>
          <w:tcPr/>
          <w:p>
            <w:pPr>
              <w:pStyle w:val="Tabla8"/>
              <w:jc w:val="left"/>
            </w:pPr>
            <w:r>
              <w:t xml:space="preserve">2.741</w:t>
            </w:r>
          </w:p>
        </w:tc>
        <w:tc>
          <w:tcPr/>
          <w:p>
            <w:pPr>
              <w:pStyle w:val="Tabla8"/>
              <w:jc w:val="left"/>
            </w:pPr>
            <w:r>
              <w:t xml:space="preserve">2.500</w:t>
            </w:r>
          </w:p>
        </w:tc>
        <w:tc>
          <w:tcPr/>
          <w:p>
            <w:pPr>
              <w:pStyle w:val="Tabla8"/>
              <w:jc w:val="left"/>
            </w:pPr>
            <w:r>
              <w:t xml:space="preserve">12</w:t>
            </w:r>
          </w:p>
        </w:tc>
        <w:tc>
          <w:tcPr/>
          <w:p>
            <w:pPr>
              <w:pStyle w:val="Tabla8"/>
              <w:jc w:val="left"/>
            </w:pPr>
            <w:r>
              <w:t xml:space="preserve">8</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p>
            <w:pPr>
              <w:pStyle w:val="Tabla8"/>
              <w:jc w:val="left"/>
            </w:pPr>
            <w:r>
              <w:t xml:space="preserve">Capítulo 9</w:t>
            </w:r>
          </w:p>
        </w:tc>
        <w:tc>
          <w:tcPr/>
          <w:p>
            <w:pPr>
              <w:pStyle w:val="Tabla8"/>
              <w:jc w:val="left"/>
            </w:pPr>
            <w:r>
              <w:t xml:space="preserve">1.874</w:t>
            </w:r>
          </w:p>
        </w:tc>
        <w:tc>
          <w:tcPr/>
          <w:p>
            <w:pPr>
              <w:pStyle w:val="Tabla8"/>
              <w:jc w:val="left"/>
            </w:pPr>
            <w:r>
              <w:t xml:space="preserve">1.500</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p>
            <w:pPr>
              <w:pStyle w:val="Tabla8"/>
              <w:jc w:val="left"/>
            </w:pPr>
            <w:r>
              <w:t xml:space="preserve">Capítulo 10</w:t>
            </w:r>
          </w:p>
        </w:tc>
        <w:tc>
          <w:tcPr/>
          <w:p>
            <w:pPr>
              <w:pStyle w:val="Tabla8"/>
              <w:jc w:val="left"/>
            </w:pPr>
            <w:r>
              <w:t xml:space="preserve">2.022</w:t>
            </w:r>
          </w:p>
        </w:tc>
        <w:tc>
          <w:tcPr/>
          <w:p>
            <w:pPr>
              <w:pStyle w:val="Tabla8"/>
              <w:jc w:val="left"/>
            </w:pPr>
            <w:r>
              <w:t xml:space="preserve">2.000</w:t>
            </w:r>
          </w:p>
        </w:tc>
        <w:tc>
          <w:tcPr/>
          <w:p>
            <w:pPr>
              <w:pStyle w:val="Tabla8"/>
              <w:jc w:val="left"/>
            </w:pPr>
            <w:r>
              <w:t xml:space="preserve">6</w:t>
            </w:r>
          </w:p>
        </w:tc>
        <w:tc>
          <w:tcPr/>
          <w:p>
            <w:pPr>
              <w:pStyle w:val="Tabla8"/>
              <w:jc w:val="left"/>
            </w:pPr>
            <w:r>
              <w:t xml:space="preserve">5</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p>
            <w:pPr>
              <w:pStyle w:val="Tabla8"/>
              <w:jc w:val="left"/>
            </w:pPr>
            <w:r>
              <w:t xml:space="preserve">Capítulo 11</w:t>
            </w:r>
          </w:p>
        </w:tc>
        <w:tc>
          <w:tcPr/>
          <w:p>
            <w:pPr>
              <w:pStyle w:val="Tabla8"/>
              <w:jc w:val="left"/>
            </w:pPr>
            <w:r>
              <w:t xml:space="preserve">2.669</w:t>
            </w:r>
          </w:p>
        </w:tc>
        <w:tc>
          <w:tcPr/>
          <w:p>
            <w:pPr>
              <w:pStyle w:val="Tabla8"/>
              <w:jc w:val="left"/>
            </w:pPr>
            <w:r>
              <w:t xml:space="preserve">2.000</w:t>
            </w:r>
          </w:p>
        </w:tc>
        <w:tc>
          <w:tcPr/>
          <w:p>
            <w:pPr>
              <w:pStyle w:val="Tabla8"/>
              <w:jc w:val="left"/>
            </w:pPr>
            <w:r>
              <w:t xml:space="preserve">5</w:t>
            </w:r>
          </w:p>
        </w:tc>
        <w:tc>
          <w:tcPr/>
          <w:p>
            <w:pPr>
              <w:pStyle w:val="Tabla8"/>
              <w:jc w:val="left"/>
            </w:pPr>
            <w:r>
              <w:t xml:space="preserve">4</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p>
            <w:pPr>
              <w:pStyle w:val="Tabla8"/>
              <w:jc w:val="left"/>
            </w:pPr>
            <w:r>
              <w:t xml:space="preserve">Capítulo 12</w:t>
            </w:r>
          </w:p>
        </w:tc>
        <w:tc>
          <w:tcPr/>
          <w:p>
            <w:pPr>
              <w:pStyle w:val="Tabla8"/>
              <w:jc w:val="left"/>
            </w:pPr>
            <w:r>
              <w:t xml:space="preserve">3.663</w:t>
            </w:r>
          </w:p>
        </w:tc>
        <w:tc>
          <w:tcPr/>
          <w:p>
            <w:pPr>
              <w:pStyle w:val="Tabla8"/>
              <w:jc w:val="left"/>
            </w:pPr>
            <w:r>
              <w:t xml:space="preserve">3.500</w:t>
            </w:r>
          </w:p>
        </w:tc>
        <w:tc>
          <w:tcPr/>
          <w:p>
            <w:pPr>
              <w:pStyle w:val="Tabla8"/>
              <w:jc w:val="left"/>
            </w:pPr>
            <w:r>
              <w:t xml:space="preserve">22</w:t>
            </w:r>
          </w:p>
        </w:tc>
        <w:tc>
          <w:tcPr/>
          <w:p>
            <w:pPr>
              <w:pStyle w:val="Tabla8"/>
              <w:jc w:val="left"/>
            </w:pPr>
            <w:r>
              <w:t xml:space="preserve">18</w:t>
            </w:r>
          </w:p>
        </w:tc>
        <w:tc>
          <w:tcPr/>
          <w:p>
            <w:pPr>
              <w:pStyle w:val="Tabla8"/>
              <w:jc w:val="left"/>
            </w:pPr>
            <w:r>
              <w:t xml:space="preserve">5</w:t>
            </w:r>
          </w:p>
        </w:tc>
        <w:tc>
          <w:tcPr/>
          <w:p>
            <w:pPr>
              <w:pStyle w:val="Tabla8"/>
              <w:jc w:val="left"/>
            </w:pPr>
            <w:r>
              <w:t xml:space="preserve">5</w:t>
            </w:r>
          </w:p>
        </w:tc>
        <w:tc>
          <w:tcPr/>
          <w:p>
            <w:pPr>
              <w:pStyle w:val="Tabla8"/>
              <w:jc w:val="left"/>
            </w:pPr>
            <w:r>
              <w:t xml:space="preserve">CUMPLE</w:t>
            </w:r>
          </w:p>
        </w:tc>
      </w:tr>
      <w:tr>
        <w:trPr>
          <w:cantSplit/>
        </w:trPr>
        <w:tc>
          <w:tcPr/>
          <w:p>
            <w:pPr>
              <w:pStyle w:val="Tabla8"/>
              <w:jc w:val="left"/>
            </w:pPr>
            <w:r>
              <w:t xml:space="preserve">Capítulo 13</w:t>
            </w:r>
          </w:p>
        </w:tc>
        <w:tc>
          <w:tcPr/>
          <w:p>
            <w:pPr>
              <w:pStyle w:val="Tabla8"/>
              <w:jc w:val="left"/>
            </w:pPr>
            <w:r>
              <w:t xml:space="preserve">6.704</w:t>
            </w:r>
          </w:p>
        </w:tc>
        <w:tc>
          <w:tcPr/>
          <w:p>
            <w:pPr>
              <w:pStyle w:val="Tabla8"/>
              <w:jc w:val="left"/>
            </w:pPr>
            <w:r>
              <w:t xml:space="preserve">4.000</w:t>
            </w:r>
          </w:p>
        </w:tc>
        <w:tc>
          <w:tcPr/>
          <w:p>
            <w:pPr>
              <w:pStyle w:val="Tabla8"/>
              <w:jc w:val="left"/>
            </w:pPr>
            <w:r>
              <w:t xml:space="preserve">11</w:t>
            </w:r>
          </w:p>
        </w:tc>
        <w:tc>
          <w:tcPr/>
          <w:p>
            <w:pPr>
              <w:pStyle w:val="Tabla8"/>
              <w:jc w:val="left"/>
            </w:pPr>
            <w:r>
              <w:t xml:space="preserve">8</w:t>
            </w:r>
          </w:p>
        </w:tc>
        <w:tc>
          <w:tcPr/>
          <w:p>
            <w:pPr>
              <w:pStyle w:val="Tabla8"/>
              <w:jc w:val="left"/>
            </w:pPr>
            <w:r>
              <w:t xml:space="preserve">6</w:t>
            </w:r>
          </w:p>
        </w:tc>
        <w:tc>
          <w:tcPr/>
          <w:p>
            <w:pPr>
              <w:pStyle w:val="Tabla8"/>
              <w:jc w:val="left"/>
            </w:pPr>
            <w:r>
              <w:t xml:space="preserve">5</w:t>
            </w:r>
          </w:p>
        </w:tc>
        <w:tc>
          <w:tcPr/>
          <w:p>
            <w:pPr>
              <w:pStyle w:val="Tabla8"/>
              <w:jc w:val="left"/>
            </w:pPr>
            <w:r>
              <w:t xml:space="preserve">CUMPLE</w:t>
            </w:r>
          </w:p>
        </w:tc>
      </w:tr>
      <w:tr>
        <w:trPr>
          <w:cantSplit/>
        </w:trPr>
        <w:tc>
          <w:tcPr/>
          <w:p>
            <w:pPr>
              <w:pStyle w:val="Tabla8"/>
              <w:jc w:val="left"/>
            </w:pPr>
            <w:r>
              <w:t xml:space="preserve">Capítulo 14</w:t>
            </w:r>
          </w:p>
        </w:tc>
        <w:tc>
          <w:tcPr/>
          <w:p>
            <w:pPr>
              <w:pStyle w:val="Tabla8"/>
              <w:jc w:val="left"/>
            </w:pPr>
            <w:r>
              <w:t xml:space="preserve">4.507</w:t>
            </w:r>
          </w:p>
        </w:tc>
        <w:tc>
          <w:tcPr/>
          <w:p>
            <w:pPr>
              <w:pStyle w:val="Tabla8"/>
              <w:jc w:val="left"/>
            </w:pPr>
            <w:r>
              <w:t xml:space="preserve">3.500</w:t>
            </w:r>
          </w:p>
        </w:tc>
        <w:tc>
          <w:tcPr/>
          <w:p>
            <w:pPr>
              <w:pStyle w:val="Tabla8"/>
              <w:jc w:val="left"/>
            </w:pPr>
            <w:r>
              <w:t xml:space="preserve">11</w:t>
            </w:r>
          </w:p>
        </w:tc>
        <w:tc>
          <w:tcPr/>
          <w:p>
            <w:pPr>
              <w:pStyle w:val="Tabla8"/>
              <w:jc w:val="left"/>
            </w:pPr>
            <w:r>
              <w:t xml:space="preserve">4</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p>
            <w:pPr>
              <w:pStyle w:val="Tabla8"/>
              <w:jc w:val="left"/>
            </w:pPr>
            <w:r>
              <w:t xml:space="preserve">Capítulo 15</w:t>
            </w:r>
          </w:p>
        </w:tc>
        <w:tc>
          <w:tcPr/>
          <w:p>
            <w:pPr>
              <w:pStyle w:val="Tabla8"/>
              <w:jc w:val="left"/>
            </w:pPr>
            <w:r>
              <w:t xml:space="preserve">3.816</w:t>
            </w:r>
          </w:p>
        </w:tc>
        <w:tc>
          <w:tcPr/>
          <w:p>
            <w:pPr>
              <w:pStyle w:val="Tabla8"/>
              <w:jc w:val="left"/>
            </w:pPr>
            <w:r>
              <w:t xml:space="preserve">3.500</w:t>
            </w:r>
          </w:p>
        </w:tc>
        <w:tc>
          <w:tcPr/>
          <w:p>
            <w:pPr>
              <w:pStyle w:val="Tabla8"/>
              <w:jc w:val="left"/>
            </w:pPr>
            <w:r>
              <w:t xml:space="preserve">6</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p>
            <w:pPr>
              <w:pStyle w:val="Tabla8"/>
              <w:jc w:val="left"/>
            </w:pPr>
            <w:r>
              <w:t xml:space="preserve">Capítulo 16</w:t>
            </w:r>
          </w:p>
        </w:tc>
        <w:tc>
          <w:tcPr/>
          <w:p>
            <w:pPr>
              <w:pStyle w:val="Tabla8"/>
              <w:jc w:val="left"/>
            </w:pPr>
            <w:r>
              <w:t xml:space="preserve">5.731</w:t>
            </w:r>
          </w:p>
        </w:tc>
        <w:tc>
          <w:tcPr/>
          <w:p>
            <w:pPr>
              <w:pStyle w:val="Tabla8"/>
              <w:jc w:val="left"/>
            </w:pPr>
            <w:r>
              <w:t xml:space="preserve">3.500</w:t>
            </w:r>
          </w:p>
        </w:tc>
        <w:tc>
          <w:tcPr/>
          <w:p>
            <w:pPr>
              <w:pStyle w:val="Tabla8"/>
              <w:jc w:val="left"/>
            </w:pPr>
            <w:r>
              <w:t xml:space="preserve">6</w:t>
            </w:r>
          </w:p>
        </w:tc>
        <w:tc>
          <w:tcPr/>
          <w:p>
            <w:pPr>
              <w:pStyle w:val="Tabla8"/>
              <w:jc w:val="left"/>
            </w:pPr>
            <w:r>
              <w:t xml:space="preserve">6</w:t>
            </w:r>
          </w:p>
        </w:tc>
        <w:tc>
          <w:tcPr/>
          <w:p>
            <w:pPr>
              <w:pStyle w:val="Tabla8"/>
              <w:jc w:val="left"/>
            </w:pPr>
            <w:r>
              <w:t xml:space="preserve">4</w:t>
            </w:r>
          </w:p>
        </w:tc>
        <w:tc>
          <w:tcPr/>
          <w:p>
            <w:pPr>
              <w:pStyle w:val="Tabla8"/>
              <w:jc w:val="left"/>
            </w:pPr>
            <w:r>
              <w:t xml:space="preserve">4</w:t>
            </w:r>
          </w:p>
        </w:tc>
        <w:tc>
          <w:tcPr/>
          <w:p>
            <w:pPr>
              <w:pStyle w:val="Tabla8"/>
              <w:jc w:val="left"/>
            </w:pPr>
            <w:r>
              <w:t xml:space="preserve">CUMPLE</w:t>
            </w:r>
          </w:p>
        </w:tc>
      </w:tr>
      <w:tr>
        <w:trPr>
          <w:cantSplit/>
        </w:trPr>
        <w:tc>
          <w:tcPr/>
          <w:p>
            <w:pPr>
              <w:pStyle w:val="Tabla8"/>
              <w:jc w:val="left"/>
            </w:pPr>
            <w:r>
              <w:t xml:space="preserve">Capítulo 17</w:t>
            </w:r>
          </w:p>
        </w:tc>
        <w:tc>
          <w:tcPr/>
          <w:p>
            <w:pPr>
              <w:pStyle w:val="Tabla8"/>
              <w:jc w:val="left"/>
            </w:pPr>
            <w:r>
              <w:t xml:space="preserve">3.422</w:t>
            </w:r>
          </w:p>
        </w:tc>
        <w:tc>
          <w:tcPr/>
          <w:p>
            <w:pPr>
              <w:pStyle w:val="Tabla8"/>
              <w:jc w:val="left"/>
            </w:pPr>
            <w:r>
              <w:t xml:space="preserve">2.000</w:t>
            </w:r>
          </w:p>
        </w:tc>
        <w:tc>
          <w:tcPr/>
          <w:p>
            <w:pPr>
              <w:pStyle w:val="Tabla8"/>
              <w:jc w:val="left"/>
            </w:pPr>
            <w:r>
              <w:t xml:space="preserve">4</w:t>
            </w:r>
          </w:p>
        </w:tc>
        <w:tc>
          <w:tcPr/>
          <w:p>
            <w:pPr>
              <w:pStyle w:val="Tabla8"/>
              <w:jc w:val="left"/>
            </w:pPr>
            <w:r>
              <w:t xml:space="preserve">4</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p>
            <w:pPr>
              <w:pStyle w:val="Tabla8"/>
              <w:jc w:val="left"/>
            </w:pPr>
            <w:r>
              <w:t xml:space="preserve">Capítulo 18</w:t>
            </w:r>
          </w:p>
        </w:tc>
        <w:tc>
          <w:tcPr/>
          <w:p>
            <w:pPr>
              <w:pStyle w:val="Tabla8"/>
              <w:jc w:val="left"/>
            </w:pPr>
            <w:r>
              <w:t xml:space="preserve">1.823</w:t>
            </w:r>
          </w:p>
        </w:tc>
        <w:tc>
          <w:tcPr/>
          <w:p>
            <w:pPr>
              <w:pStyle w:val="Tabla8"/>
              <w:jc w:val="left"/>
            </w:pPr>
            <w:r>
              <w:t xml:space="preserve">1.500</w:t>
            </w:r>
          </w:p>
        </w:tc>
        <w:tc>
          <w:tcPr/>
          <w:p>
            <w:pPr>
              <w:pStyle w:val="Tabla8"/>
              <w:jc w:val="left"/>
            </w:pPr>
            <w:r>
              <w:t xml:space="preserve">3</w:t>
            </w:r>
          </w:p>
        </w:tc>
        <w:tc>
          <w:tcPr/>
          <w:p>
            <w:pPr>
              <w:pStyle w:val="Tabla8"/>
              <w:jc w:val="left"/>
            </w:pPr>
            <w:r>
              <w:t xml:space="preserve">2</w:t>
            </w:r>
          </w:p>
        </w:tc>
        <w:tc>
          <w:tcPr/>
          <w:p>
            <w:pPr>
              <w:pStyle w:val="Tabla8"/>
              <w:jc w:val="left"/>
            </w:pPr>
            <w:r>
              <w:t xml:space="preserve">1</w:t>
            </w:r>
          </w:p>
        </w:tc>
        <w:tc>
          <w:tcPr/>
          <w:p>
            <w:pPr>
              <w:pStyle w:val="Tabla8"/>
              <w:jc w:val="left"/>
            </w:pPr>
            <w:r>
              <w:t xml:space="preserve">1</w:t>
            </w:r>
          </w:p>
        </w:tc>
        <w:tc>
          <w:tcPr/>
          <w:p>
            <w:pPr>
              <w:pStyle w:val="Tabla8"/>
              <w:jc w:val="left"/>
            </w:pPr>
            <w:r>
              <w:t xml:space="preserve">CUMPLE</w:t>
            </w:r>
          </w:p>
        </w:tc>
      </w:tr>
      <w:tr>
        <w:trPr>
          <w:cantSplit/>
        </w:trPr>
        <w:tc>
          <w:tcPr/>
          <w:p>
            <w:pPr>
              <w:pStyle w:val="Tabla8"/>
              <w:jc w:val="left"/>
            </w:pPr>
            <w:r>
              <w:t xml:space="preserve">Capítulo 19</w:t>
            </w:r>
          </w:p>
        </w:tc>
        <w:tc>
          <w:tcPr/>
          <w:p>
            <w:pPr>
              <w:pStyle w:val="Tabla8"/>
              <w:jc w:val="left"/>
            </w:pPr>
            <w:r>
              <w:t xml:space="preserve">465</w:t>
            </w:r>
          </w:p>
        </w:tc>
        <w:tc>
          <w:tcPr/>
          <w:p>
            <w:pPr>
              <w:pStyle w:val="Tabla8"/>
              <w:jc w:val="left"/>
            </w:pPr>
            <w:r>
              <w:t xml:space="preserve">0</w:t>
            </w:r>
          </w:p>
        </w:tc>
        <w:tc>
          <w:tcPr/>
          <w:p>
            <w:pPr>
              <w:pStyle w:val="Tabla8"/>
              <w:jc w:val="left"/>
            </w:pPr>
            <w:r>
              <w:t xml:space="preserve">1</w:t>
            </w:r>
          </w:p>
        </w:tc>
        <w:tc>
          <w:tcPr/>
          <w:p>
            <w:pPr>
              <w:pStyle w:val="Tabla8"/>
              <w:jc w:val="left"/>
            </w:pPr>
            <w:r>
              <w:t xml:space="preserve">1</w:t>
            </w:r>
          </w:p>
        </w:tc>
        <w:tc>
          <w:tcPr/>
          <w:p>
            <w:pPr>
              <w:pStyle w:val="Tabla8"/>
              <w:jc w:val="left"/>
            </w:pPr>
            <w:r>
              <w:t xml:space="preserve">0</w:t>
            </w:r>
          </w:p>
        </w:tc>
        <w:tc>
          <w:tcPr/>
          <w:p>
            <w:pPr>
              <w:pStyle w:val="Tabla8"/>
              <w:jc w:val="left"/>
            </w:pPr>
            <w:r>
              <w:t xml:space="preserve">0</w:t>
            </w:r>
          </w:p>
        </w:tc>
        <w:tc>
          <w:tcPr/>
          <w:p>
            <w:pPr>
              <w:pStyle w:val="Tabla8"/>
              <w:jc w:val="left"/>
            </w:pPr>
            <w:r>
              <w:t xml:space="preserve">CUMPLE</w:t>
            </w:r>
          </w:p>
        </w:tc>
      </w:tr>
      <w:tr>
        <w:trPr>
          <w:cantSplit/>
        </w:trPr>
        <w:tc>
          <w:tcPr/>
          <w:p>
            <w:pPr>
              <w:pStyle w:val="Tabla8"/>
              <w:jc w:val="left"/>
            </w:pPr>
            <w:r>
              <w:t xml:space="preserve">Capítulo 20</w:t>
            </w:r>
          </w:p>
        </w:tc>
        <w:tc>
          <w:tcPr/>
          <w:p>
            <w:pPr>
              <w:pStyle w:val="Tabla8"/>
              <w:jc w:val="left"/>
            </w:pPr>
            <w:r>
              <w:t xml:space="preserve">2.163</w:t>
            </w:r>
          </w:p>
        </w:tc>
        <w:tc>
          <w:tcPr/>
          <w:p>
            <w:pPr>
              <w:pStyle w:val="Tabla8"/>
              <w:jc w:val="left"/>
            </w:pPr>
            <w:r>
              <w:t xml:space="preserve">0</w:t>
            </w:r>
          </w:p>
        </w:tc>
        <w:tc>
          <w:tcPr/>
          <w:p>
            <w:pPr>
              <w:pStyle w:val="Tabla8"/>
              <w:jc w:val="left"/>
            </w:pPr>
            <w:r>
              <w:t xml:space="preserve">18</w:t>
            </w:r>
          </w:p>
        </w:tc>
        <w:tc>
          <w:tcPr/>
          <w:p>
            <w:pPr>
              <w:pStyle w:val="Tabla8"/>
              <w:jc w:val="left"/>
            </w:pPr>
            <w:r>
              <w:t xml:space="preserve">0</w:t>
            </w:r>
          </w:p>
        </w:tc>
        <w:tc>
          <w:tcPr/>
          <w:p>
            <w:pPr>
              <w:pStyle w:val="Tabla8"/>
              <w:jc w:val="left"/>
            </w:pPr>
            <w:r>
              <w:t xml:space="preserve">0</w:t>
            </w:r>
          </w:p>
        </w:tc>
        <w:tc>
          <w:tcPr/>
          <w:p>
            <w:pPr>
              <w:pStyle w:val="Tabla8"/>
              <w:jc w:val="left"/>
            </w:pPr>
            <w:r>
              <w:t xml:space="preserve">0</w:t>
            </w:r>
          </w:p>
        </w:tc>
        <w:tc>
          <w:tcPr/>
          <w:p>
            <w:pPr>
              <w:pStyle w:val="Tabla8"/>
              <w:jc w:val="left"/>
            </w:pPr>
            <w:r>
              <w:t xml:space="preserve">CUMPLE</w:t>
            </w:r>
          </w:p>
        </w:tc>
      </w:tr>
      <w:tr>
        <w:trPr>
          <w:cantSplit/>
        </w:trPr>
        <w:tc>
          <w:tcPr/>
          <w:p>
            <w:pPr>
              <w:pStyle w:val="Tabla8"/>
              <w:jc w:val="left"/>
            </w:pPr>
            <w:r>
              <w:t xml:space="preserve">Capítulo 21</w:t>
            </w:r>
          </w:p>
        </w:tc>
        <w:tc>
          <w:tcPr/>
          <w:p>
            <w:pPr>
              <w:pStyle w:val="Tabla8"/>
              <w:jc w:val="left"/>
            </w:pPr>
            <w:r>
              <w:t xml:space="preserve">2.552</w:t>
            </w:r>
          </w:p>
        </w:tc>
        <w:tc>
          <w:tcPr/>
          <w:p>
            <w:pPr>
              <w:pStyle w:val="Tabla8"/>
              <w:jc w:val="left"/>
            </w:pPr>
            <w:r>
              <w:t xml:space="preserve">2.500</w:t>
            </w:r>
          </w:p>
        </w:tc>
        <w:tc>
          <w:tcPr/>
          <w:p>
            <w:pPr>
              <w:pStyle w:val="Tabla8"/>
              <w:jc w:val="left"/>
            </w:pPr>
            <w:r>
              <w:t xml:space="preserve">7</w:t>
            </w:r>
          </w:p>
        </w:tc>
        <w:tc>
          <w:tcPr/>
          <w:p>
            <w:pPr>
              <w:pStyle w:val="Tabla8"/>
              <w:jc w:val="left"/>
            </w:pPr>
            <w:r>
              <w:t xml:space="preserve">6</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p>
            <w:pPr>
              <w:pStyle w:val="Tabla8"/>
              <w:jc w:val="left"/>
            </w:pPr>
            <w:r>
              <w:t xml:space="preserve">Total capítulos 1 a 21</w:t>
            </w:r>
          </w:p>
        </w:tc>
        <w:tc>
          <w:tcPr/>
          <w:p>
            <w:pPr>
              <w:pStyle w:val="Tabla8"/>
              <w:jc w:val="left"/>
            </w:pPr>
            <w:r>
              <w:t xml:space="preserve">96.196</w:t>
            </w:r>
          </w:p>
        </w:tc>
        <w:tc>
          <w:tcPr/>
          <w:p>
            <w:pPr>
              <w:pStyle w:val="Tabla8"/>
              <w:jc w:val="left"/>
            </w:pPr>
            <w:r>
              <w:t xml:space="preserve">73.500</w:t>
            </w:r>
          </w:p>
        </w:tc>
        <w:tc>
          <w:tcPr/>
          <w:p>
            <w:pPr>
              <w:pStyle w:val="Tabla8"/>
              <w:jc w:val="left"/>
            </w:pPr>
            <w:r>
              <w:t xml:space="preserve">191</w:t>
            </w:r>
          </w:p>
        </w:tc>
        <w:tc>
          <w:tcPr/>
          <w:p>
            <w:pPr>
              <w:pStyle w:val="Tabla8"/>
              <w:jc w:val="left"/>
            </w:pPr>
            <w:r>
              <w:t xml:space="preserve">87</w:t>
            </w:r>
          </w:p>
        </w:tc>
        <w:tc>
          <w:tcPr/>
          <w:p>
            <w:pPr>
              <w:pStyle w:val="Tabla8"/>
              <w:jc w:val="left"/>
            </w:pPr>
            <w:r>
              <w:t xml:space="preserve">68</w:t>
            </w:r>
          </w:p>
        </w:tc>
        <w:tc>
          <w:tcPr/>
          <w:p>
            <w:pPr>
              <w:pStyle w:val="Tabla8"/>
              <w:jc w:val="left"/>
            </w:pPr>
            <w:r>
              <w:t xml:space="preserve">44</w:t>
            </w:r>
          </w:p>
        </w:tc>
        <w:tc>
          <w:tcPr/>
          <w:p>
            <w:pPr>
              <w:pStyle w:val="Tabla8"/>
              <w:jc w:val="left"/>
            </w:pPr>
            <w:r>
              <w:t xml:space="preserve">CUMPLE</w:t>
            </w:r>
          </w:p>
        </w:tc>
      </w:tr>
    </w:tbl>
    <w:p>
      <w:pPr>
        <w:pStyle w:val="TablaNota"/>
      </w:pPr>
      <w:r>
        <w:rPr>
          <w:i/>
          <w:iCs/>
        </w:rPr>
        <w:t xml:space="preserve">Nota.</w:t>
      </w:r>
      <w:r>
        <w:t xml:space="preserve"> </w:t>
      </w:r>
      <w:r>
        <w:t xml:space="preserve">Elaboración propia con el verificador mecánico del proyecto (check_cap.py). El capítulo 2 reúne sus dos partes; el capítulo 19 incluye la lista de referencias aparte; el capítulo 20 incluye el anexo N y no cuenta los anexos K a M, que son datos. Los mínimos provienen del metaprompt y de las plantillas por capítulo. Naturaleza: CALCULADO. Decimales con coma y miles con punto.</w:t>
      </w:r>
    </w:p>
    <w:p>
      <w:pPr>
        <w:pStyle w:val="BodyText"/>
      </w:pPr>
      <w:r>
        <w:t xml:space="preserve">La verificación mecánica comprueba oraciones de 25 palabras o menos, palabras enfáticas, marcadores de omisión, citas frente al banco, menciones previas de tablas y figuras y archivos de figuras. El verificador no reporta problemas, con dos excepciones declaradas. El Paso 4 conserva nueve secuencias de más de 25 palabras: cuatro supuestos en formato SI-ENTONCES-PORQUE con sus fundamentos y tres líneas técnicas de comprobación del SVG, que el metaprompt exceptúa o que se conservan por fidelidad. El capítulo 19 menciona una tabla que se define en su segundo archivo. El paquete 1000X suma 17.370 palabras de prosa, y el capítulo de estrategia suma 9.907, frente a mínimos de 15.000 y 8.000. Los pasos 0 a 7 suman 23.151 palabras de prosa y 173 tablas.</w:t>
      </w:r>
    </w:p>
    <w:p>
      <w:pPr>
        <w:pStyle w:val="BodyText"/>
      </w:pPr>
      <w:r>
        <w:t xml:space="preserve">Seis controles no se ejecutaron. El control AP-11-V de anclaje por unidad y el programa verificador_ntc.py quedan NO_EJECUTADO. Las pruebas de rechazo del metaprompt contra esta salida no se corrieron. La revisión RS-99 se ejecutó de forma parcial, con los controles mecánicos y sin lectura humana completa. La validación empírica de comprensión y eficacia decisional exige casos reales. La revisión visual del DOCX se hizo en LibreOffice, no en Microsoft Word.</w:t>
      </w:r>
    </w:p>
    <w:p>
      <w:pPr>
        <w:pStyle w:val="BodyText"/>
      </w:pPr>
      <w:r>
        <w:t xml:space="preserve">Los invariantes del proyecto se conservan. Hay una definición del lugar de calibración, el gateway. Hay una meta de error, R² de 0,70 o más y NRMSE de 30 % o menos, con línea base medida en el tramo 1. El TRL va de 4 a 7. La duración es de 24 meses y 104 semanas. La red tiene 100 nodos y 10 gateways operativos, con 120 y 11 comprados. Las cifras presupuestales coinciden con la ficha maestra. Ninguna afirmación causal sobre salud aparece. Ninguna probabilidad carece de fuente, con la excepción de las del registro de riesgos, que son PROPUESTO.</w:t>
      </w:r>
    </w:p>
    <w:bookmarkEnd w:id="872"/>
    <w:bookmarkStart w:id="873" w:name="_Toc00900379"/>
    <w:p>
      <w:pPr>
        <w:pStyle w:val="Heading2"/>
      </w:pPr>
      <w:r>
        <w:t xml:space="preserve">F-02 ¿Qué se me escapa?</w:t>
      </w:r>
    </w:p>
    <w:p>
      <w:pPr>
        <w:pStyle w:val="FirstParagraph"/>
      </w:pPr>
      <w:r>
        <w:t xml:space="preserve">Los vacíos con efecto sobre la decisión se resumen en la Tabla FC.2. Cada fila indica el efecto, la decisión que depende del vacío, quién posee el dato y la vía de obtención. El plazo se da como NO_ESTIMADO cuando no hay base para estimarlo. La lista no inventa vacíos para llenar el apartado. Incluye los hallazgos que el Anexo 2 hizo visibles después de la primera entrega.</w:t>
      </w:r>
    </w:p>
    <w:p>
      <w:pPr>
        <w:pStyle w:val="TablaRotulo"/>
      </w:pPr>
      <w:bookmarkStart w:id="9470" w:name="rot_Tabla_FC_2"/>
      <w:r>
        <w:rPr>
          <w:b/>
          <w:bCs/>
        </w:rPr>
        <w:t xml:space="preserve">Tabla FC.2</w:t>
      </w:r>
      <w:bookmarkEnd w:id="9470"/>
    </w:p>
    <w:p>
      <w:pPr>
        <w:pStyle w:val="TablaTitulo"/>
      </w:pPr>
      <w:r>
        <w:rPr>
          <w:i/>
          <w:iCs/>
        </w:rPr>
        <w:t xml:space="preserve">Vacíos y contradicciones con efecto sobre la decisión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96"/>
        <w:gridCol w:w="1584"/>
        <w:gridCol w:w="1254"/>
        <w:gridCol w:w="1188"/>
        <w:gridCol w:w="990"/>
        <w:gridCol w:w="1122"/>
        <w:gridCol w:w="1386"/>
      </w:tblGrid>
      <w:tr>
        <w:trPr>
          <w:cantSplit/>
          <w:tblHeader/>
        </w:trPr>
        <w:tc>
          <w:tcPr>
            <w:shd w:val="clear" w:color="auto" w:fill="00B050"/>
          </w:tcPr>
          <w:p>
            <w:pPr>
              <w:pStyle w:val="Tabla8"/>
              <w:jc w:val="center"/>
            </w:pPr>
            <w:r>
              <w:rPr>
                <w:b/>
                <w:color w:val="FFFFFF"/>
              </w:rPr>
              <w:t xml:space="preserve">Id</w:t>
            </w:r>
          </w:p>
        </w:tc>
        <w:tc>
          <w:tcPr>
            <w:shd w:val="clear" w:color="auto" w:fill="00B050"/>
          </w:tcPr>
          <w:p>
            <w:pPr>
              <w:pStyle w:val="Tabla8"/>
              <w:jc w:val="center"/>
            </w:pPr>
            <w:r>
              <w:rPr>
                <w:b/>
                <w:color w:val="FFFFFF"/>
              </w:rPr>
              <w:t xml:space="preserve">Vacío o contradicción</w:t>
            </w:r>
          </w:p>
        </w:tc>
        <w:tc>
          <w:tcPr>
            <w:shd w:val="clear" w:color="auto" w:fill="00B050"/>
          </w:tcPr>
          <w:p>
            <w:pPr>
              <w:pStyle w:val="Tabla8"/>
              <w:jc w:val="center"/>
            </w:pPr>
            <w:r>
              <w:rPr>
                <w:b/>
                <w:color w:val="FFFFFF"/>
              </w:rPr>
              <w:t xml:space="preserve">Efecto</w:t>
            </w:r>
          </w:p>
        </w:tc>
        <w:tc>
          <w:tcPr>
            <w:shd w:val="clear" w:color="auto" w:fill="00B050"/>
          </w:tcPr>
          <w:p>
            <w:pPr>
              <w:pStyle w:val="Tabla8"/>
              <w:jc w:val="center"/>
            </w:pPr>
            <w:r>
              <w:rPr>
                <w:b/>
                <w:color w:val="FFFFFF"/>
              </w:rPr>
              <w:t xml:space="preserve">Decisión que depende</w:t>
            </w:r>
          </w:p>
        </w:tc>
        <w:tc>
          <w:tcPr>
            <w:shd w:val="clear" w:color="auto" w:fill="00B050"/>
          </w:tcPr>
          <w:p>
            <w:pPr>
              <w:pStyle w:val="Tabla8"/>
              <w:jc w:val="center"/>
            </w:pPr>
            <w:r>
              <w:rPr>
                <w:b/>
                <w:color w:val="FFFFFF"/>
              </w:rPr>
              <w:t xml:space="preserve">Tenedor del dato</w:t>
            </w:r>
          </w:p>
        </w:tc>
        <w:tc>
          <w:tcPr>
            <w:shd w:val="clear" w:color="auto" w:fill="00B050"/>
          </w:tcPr>
          <w:p>
            <w:pPr>
              <w:pStyle w:val="Tabla8"/>
              <w:jc w:val="center"/>
            </w:pPr>
            <w:r>
              <w:rPr>
                <w:b/>
                <w:color w:val="FFFFFF"/>
              </w:rPr>
              <w:t xml:space="preserve">Vía de obtención</w:t>
            </w:r>
          </w:p>
        </w:tc>
        <w:tc>
          <w:tcPr>
            <w:shd w:val="clear" w:color="auto" w:fill="00B050"/>
          </w:tcPr>
          <w:p>
            <w:pPr>
              <w:pStyle w:val="Tabla8"/>
              <w:jc w:val="center"/>
            </w:pPr>
            <w:r>
              <w:rPr>
                <w:b/>
                <w:color w:val="FFFFFF"/>
              </w:rPr>
              <w:t xml:space="preserve">Plazo</w:t>
            </w:r>
          </w:p>
        </w:tc>
      </w:tr>
      <w:tr>
        <w:trPr>
          <w:cantSplit/>
        </w:trPr>
        <w:tc>
          <w:tcPr/>
          <w:p>
            <w:pPr>
              <w:pStyle w:val="Tabla8"/>
              <w:jc w:val="left"/>
            </w:pPr>
            <w:r>
              <w:t xml:space="preserve">V1</w:t>
            </w:r>
          </w:p>
        </w:tc>
        <w:tc>
          <w:tcPr/>
          <w:p>
            <w:pPr>
              <w:pStyle w:val="Tabla8"/>
              <w:jc w:val="left"/>
            </w:pPr>
            <w:r>
              <w:t xml:space="preserve">Términos de referencia completos y anexos 4, 10 y 12 no aportados</w:t>
            </w:r>
          </w:p>
        </w:tc>
        <w:tc>
          <w:tcPr/>
          <w:p>
            <w:pPr>
              <w:pStyle w:val="Tabla8"/>
              <w:jc w:val="left"/>
            </w:pPr>
            <w:r>
              <w:t xml:space="preserve">Línea temática, topes, rubros admisibles y demanda territorial sin verificar</w:t>
            </w:r>
          </w:p>
        </w:tc>
        <w:tc>
          <w:tcPr/>
          <w:p>
            <w:pPr>
              <w:pStyle w:val="Tabla8"/>
              <w:jc w:val="left"/>
            </w:pPr>
            <w:r>
              <w:t xml:space="preserve">Radicar o no; forma del presupuesto</w:t>
            </w:r>
          </w:p>
        </w:tc>
        <w:tc>
          <w:tcPr/>
          <w:p>
            <w:pPr>
              <w:pStyle w:val="Tabla8"/>
              <w:jc w:val="left"/>
            </w:pPr>
            <w:r>
              <w:t xml:space="preserve">Usuario</w:t>
            </w:r>
          </w:p>
        </w:tc>
        <w:tc>
          <w:tcPr/>
          <w:p>
            <w:pPr>
              <w:pStyle w:val="Tabla8"/>
              <w:jc w:val="left"/>
            </w:pPr>
            <w:r>
              <w:t xml:space="preserve">Aportar los documentos</w:t>
            </w:r>
          </w:p>
        </w:tc>
        <w:tc>
          <w:tcPr/>
          <w:p>
            <w:pPr>
              <w:pStyle w:val="Tabla8"/>
              <w:jc w:val="left"/>
            </w:pPr>
            <w:r>
              <w:t xml:space="preserve">NO_ESTIMADO</w:t>
            </w:r>
          </w:p>
        </w:tc>
      </w:tr>
      <w:tr>
        <w:trPr>
          <w:cantSplit/>
        </w:trPr>
        <w:tc>
          <w:tcPr/>
          <w:p>
            <w:pPr>
              <w:pStyle w:val="Tabla8"/>
              <w:jc w:val="left"/>
            </w:pPr>
            <w:r>
              <w:t xml:space="preserve">V2</w:t>
            </w:r>
          </w:p>
        </w:tc>
        <w:tc>
          <w:tcPr/>
          <w:p>
            <w:pPr>
              <w:pStyle w:val="Tabla8"/>
              <w:jc w:val="left"/>
            </w:pPr>
            <w:r>
              <w:t xml:space="preserve">Madurez tecnológica final de 7 frente a la prioridad de nivel 9 del Anexo 2</w:t>
            </w:r>
          </w:p>
        </w:tc>
        <w:tc>
          <w:tcPr/>
          <w:p>
            <w:pPr>
              <w:pStyle w:val="Tabla8"/>
              <w:jc w:val="left"/>
            </w:pPr>
            <w:r>
              <w:t xml:space="preserve">Posible pérdida de elegibilidad o de puntaje</w:t>
            </w:r>
          </w:p>
        </w:tc>
        <w:tc>
          <w:tcPr/>
          <w:p>
            <w:pPr>
              <w:pStyle w:val="Tabla8"/>
              <w:jc w:val="left"/>
            </w:pPr>
            <w:r>
              <w:t xml:space="preserve">Mantener TRL 7 o rediseñar el cronograma y el presupuesto</w:t>
            </w:r>
          </w:p>
        </w:tc>
        <w:tc>
          <w:tcPr/>
          <w:p>
            <w:pPr>
              <w:pStyle w:val="Tabla8"/>
              <w:jc w:val="left"/>
            </w:pPr>
            <w:r>
              <w:t xml:space="preserve">Usuario y comité directivo</w:t>
            </w:r>
          </w:p>
        </w:tc>
        <w:tc>
          <w:tcPr/>
          <w:p>
            <w:pPr>
              <w:pStyle w:val="Tabla8"/>
              <w:jc w:val="left"/>
            </w:pPr>
            <w:r>
              <w:t xml:space="preserve">Decidir y reunir evidencias del TRL 4</w:t>
            </w:r>
          </w:p>
        </w:tc>
        <w:tc>
          <w:tcPr/>
          <w:p>
            <w:pPr>
              <w:pStyle w:val="Tabla8"/>
              <w:jc w:val="left"/>
            </w:pPr>
            <w:r>
              <w:t xml:space="preserve">NO_ESTIMADO</w:t>
            </w:r>
          </w:p>
        </w:tc>
      </w:tr>
      <w:tr>
        <w:trPr>
          <w:cantSplit/>
        </w:trPr>
        <w:tc>
          <w:tcPr/>
          <w:p>
            <w:pPr>
              <w:pStyle w:val="Tabla8"/>
              <w:jc w:val="left"/>
            </w:pPr>
            <w:r>
              <w:t xml:space="preserve">V3</w:t>
            </w:r>
          </w:p>
        </w:tc>
        <w:tc>
          <w:tcPr/>
          <w:p>
            <w:pPr>
              <w:pStyle w:val="Tabla8"/>
              <w:jc w:val="left"/>
            </w:pPr>
            <w:r>
              <w:t xml:space="preserve">Afectación por la emergencia y municipios afectados sin soporte oficial</w:t>
            </w:r>
          </w:p>
        </w:tc>
        <w:tc>
          <w:tcPr/>
          <w:p>
            <w:pPr>
              <w:pStyle w:val="Tabla8"/>
              <w:jc w:val="left"/>
            </w:pPr>
            <w:r>
              <w:t xml:space="preserve">Requisito de la convocatoria sin cumplir</w:t>
            </w:r>
          </w:p>
        </w:tc>
        <w:tc>
          <w:tcPr/>
          <w:p>
            <w:pPr>
              <w:pStyle w:val="Tabla8"/>
              <w:jc w:val="left"/>
            </w:pPr>
            <w:r>
              <w:t xml:space="preserve">Territorio del proyecto</w:t>
            </w:r>
          </w:p>
        </w:tc>
        <w:tc>
          <w:tcPr/>
          <w:p>
            <w:pPr>
              <w:pStyle w:val="Tabla8"/>
              <w:jc w:val="left"/>
            </w:pPr>
            <w:r>
              <w:t xml:space="preserve">Usuario</w:t>
            </w:r>
          </w:p>
        </w:tc>
        <w:tc>
          <w:tcPr/>
          <w:p>
            <w:pPr>
              <w:pStyle w:val="Tabla8"/>
              <w:jc w:val="left"/>
            </w:pPr>
            <w:r>
              <w:t xml:space="preserve">Aportar reportes oficiales</w:t>
            </w:r>
          </w:p>
        </w:tc>
        <w:tc>
          <w:tcPr/>
          <w:p>
            <w:pPr>
              <w:pStyle w:val="Tabla8"/>
              <w:jc w:val="left"/>
            </w:pPr>
            <w:r>
              <w:t xml:space="preserve">NO_ESTIMADO</w:t>
            </w:r>
          </w:p>
        </w:tc>
      </w:tr>
      <w:tr>
        <w:trPr>
          <w:cantSplit/>
        </w:trPr>
        <w:tc>
          <w:tcPr/>
          <w:p>
            <w:pPr>
              <w:pStyle w:val="Tabla8"/>
              <w:jc w:val="left"/>
            </w:pPr>
            <w:r>
              <w:t xml:space="preserve">V4</w:t>
            </w:r>
          </w:p>
        </w:tc>
        <w:tc>
          <w:tcPr/>
          <w:p>
            <w:pPr>
              <w:pStyle w:val="Tabla8"/>
              <w:jc w:val="left"/>
            </w:pPr>
            <w:r>
              <w:t xml:space="preserve">Cartas de compromiso con partida, sobre todo de las alcaldías</w:t>
            </w:r>
          </w:p>
        </w:tc>
        <w:tc>
          <w:tcPr/>
          <w:p>
            <w:pPr>
              <w:pStyle w:val="Tabla8"/>
              <w:jc w:val="left"/>
            </w:pPr>
            <w:r>
              <w:t xml:space="preserve">Custodia posproyecto sin respaldo; bloqueo AS-18</w:t>
            </w:r>
          </w:p>
        </w:tc>
        <w:tc>
          <w:tcPr/>
          <w:p>
            <w:pPr>
              <w:pStyle w:val="Tabla8"/>
              <w:jc w:val="left"/>
            </w:pPr>
            <w:r>
              <w:t xml:space="preserve">Liberar el tramo 3; transferir</w:t>
            </w:r>
          </w:p>
        </w:tc>
        <w:tc>
          <w:tcPr/>
          <w:p>
            <w:pPr>
              <w:pStyle w:val="Tabla8"/>
              <w:jc w:val="left"/>
            </w:pPr>
            <w:r>
              <w:t xml:space="preserve">Alcaldías y entidades</w:t>
            </w:r>
          </w:p>
        </w:tc>
        <w:tc>
          <w:tcPr/>
          <w:p>
            <w:pPr>
              <w:pStyle w:val="Tabla8"/>
              <w:jc w:val="left"/>
            </w:pPr>
            <w:r>
              <w:t xml:space="preserve">Obtener cartas</w:t>
            </w:r>
          </w:p>
        </w:tc>
        <w:tc>
          <w:tcPr/>
          <w:p>
            <w:pPr>
              <w:pStyle w:val="Tabla8"/>
              <w:jc w:val="left"/>
            </w:pPr>
            <w:r>
              <w:t xml:space="preserve">NO_ESTIMADO</w:t>
            </w:r>
          </w:p>
        </w:tc>
      </w:tr>
      <w:tr>
        <w:trPr>
          <w:cantSplit/>
        </w:trPr>
        <w:tc>
          <w:tcPr/>
          <w:p>
            <w:pPr>
              <w:pStyle w:val="Tabla8"/>
              <w:jc w:val="left"/>
            </w:pPr>
            <w:r>
              <w:t xml:space="preserve">V5</w:t>
            </w:r>
          </w:p>
        </w:tc>
        <w:tc>
          <w:tcPr/>
          <w:p>
            <w:pPr>
              <w:pStyle w:val="Tabla8"/>
              <w:jc w:val="left"/>
            </w:pPr>
            <w:r>
              <w:t xml:space="preserve">Cotizaciones de mercado de equipos y servicios</w:t>
            </w:r>
          </w:p>
        </w:tc>
        <w:tc>
          <w:tcPr/>
          <w:p>
            <w:pPr>
              <w:pStyle w:val="Tabla8"/>
              <w:jc w:val="left"/>
            </w:pPr>
            <w:r>
              <w:t xml:space="preserve">100 % del valor solicitado sin soporte</w:t>
            </w:r>
          </w:p>
        </w:tc>
        <w:tc>
          <w:tcPr/>
          <w:p>
            <w:pPr>
              <w:pStyle w:val="Tabla8"/>
              <w:jc w:val="left"/>
            </w:pPr>
            <w:r>
              <w:t xml:space="preserve">Monto solicitado</w:t>
            </w:r>
          </w:p>
        </w:tc>
        <w:tc>
          <w:tcPr/>
          <w:p>
            <w:pPr>
              <w:pStyle w:val="Tabla8"/>
              <w:jc w:val="left"/>
            </w:pPr>
            <w:r>
              <w:t xml:space="preserve">Proveedores</w:t>
            </w:r>
          </w:p>
        </w:tc>
        <w:tc>
          <w:tcPr/>
          <w:p>
            <w:pPr>
              <w:pStyle w:val="Tabla8"/>
              <w:jc w:val="left"/>
            </w:pPr>
            <w:r>
              <w:t xml:space="preserve">Solicitar cotizaciones vigentes</w:t>
            </w:r>
          </w:p>
        </w:tc>
        <w:tc>
          <w:tcPr/>
          <w:p>
            <w:pPr>
              <w:pStyle w:val="Tabla8"/>
              <w:jc w:val="left"/>
            </w:pPr>
            <w:r>
              <w:t xml:space="preserve">NO_ESTIMADO</w:t>
            </w:r>
          </w:p>
        </w:tc>
      </w:tr>
      <w:tr>
        <w:trPr>
          <w:cantSplit/>
        </w:trPr>
        <w:tc>
          <w:tcPr/>
          <w:p>
            <w:pPr>
              <w:pStyle w:val="Tabla8"/>
              <w:jc w:val="left"/>
            </w:pPr>
            <w:r>
              <w:t xml:space="preserve">V6</w:t>
            </w:r>
          </w:p>
        </w:tc>
        <w:tc>
          <w:tcPr/>
          <w:p>
            <w:pPr>
              <w:pStyle w:val="Tabla8"/>
              <w:jc w:val="left"/>
            </w:pPr>
            <w:r>
              <w:t xml:space="preserve">Línea base de error de los nodos en sitios de remoción</w:t>
            </w:r>
          </w:p>
        </w:tc>
        <w:tc>
          <w:tcPr/>
          <w:p>
            <w:pPr>
              <w:pStyle w:val="Tabla8"/>
              <w:jc w:val="left"/>
            </w:pPr>
            <w:r>
              <w:t xml:space="preserve">Meta de NRMSE sin punto de partida</w:t>
            </w:r>
          </w:p>
        </w:tc>
        <w:tc>
          <w:tcPr/>
          <w:p>
            <w:pPr>
              <w:pStyle w:val="Tabla8"/>
              <w:jc w:val="left"/>
            </w:pPr>
            <w:r>
              <w:t xml:space="preserve">Compuerta C1</w:t>
            </w:r>
          </w:p>
        </w:tc>
        <w:tc>
          <w:tcPr/>
          <w:p>
            <w:pPr>
              <w:pStyle w:val="Tabla8"/>
              <w:jc w:val="left"/>
            </w:pPr>
            <w:r>
              <w:t xml:space="preserve">Equipo del proyecto</w:t>
            </w:r>
          </w:p>
        </w:tc>
        <w:tc>
          <w:tcPr/>
          <w:p>
            <w:pPr>
              <w:pStyle w:val="Tabla8"/>
              <w:jc w:val="left"/>
            </w:pPr>
            <w:r>
              <w:t xml:space="preserve">Medir en el tramo 1</w:t>
            </w:r>
          </w:p>
        </w:tc>
        <w:tc>
          <w:tcPr/>
          <w:p>
            <w:pPr>
              <w:pStyle w:val="Tabla8"/>
              <w:jc w:val="left"/>
            </w:pPr>
            <w:r>
              <w:t xml:space="preserve">Mes 12</w:t>
            </w:r>
          </w:p>
        </w:tc>
      </w:tr>
      <w:tr>
        <w:trPr>
          <w:cantSplit/>
        </w:trPr>
        <w:tc>
          <w:tcPr/>
          <w:p>
            <w:pPr>
              <w:pStyle w:val="Tabla8"/>
              <w:jc w:val="left"/>
            </w:pPr>
            <w:r>
              <w:t xml:space="preserve">V7</w:t>
            </w:r>
          </w:p>
        </w:tc>
        <w:tc>
          <w:tcPr/>
          <w:p>
            <w:pPr>
              <w:pStyle w:val="Tabla8"/>
              <w:jc w:val="left"/>
            </w:pPr>
            <w:r>
              <w:t xml:space="preserve">Ratificación de las 105 fichas del análisis estructural</w:t>
            </w:r>
          </w:p>
        </w:tc>
        <w:tc>
          <w:tcPr/>
          <w:p>
            <w:pPr>
              <w:pStyle w:val="Tabla8"/>
              <w:jc w:val="left"/>
            </w:pPr>
            <w:r>
              <w:t xml:space="preserve">Las relaciones causales siguen siendo hipótesis</w:t>
            </w:r>
          </w:p>
        </w:tc>
        <w:tc>
          <w:tcPr/>
          <w:p>
            <w:pPr>
              <w:pStyle w:val="Tabla8"/>
              <w:jc w:val="left"/>
            </w:pPr>
            <w:r>
              <w:t xml:space="preserve">Prioridad de las causas</w:t>
            </w:r>
          </w:p>
        </w:tc>
        <w:tc>
          <w:tcPr/>
          <w:p>
            <w:pPr>
              <w:pStyle w:val="Tabla8"/>
              <w:jc w:val="left"/>
            </w:pPr>
            <w:r>
              <w:t xml:space="preserve">Panel de revisión</w:t>
            </w:r>
          </w:p>
        </w:tc>
        <w:tc>
          <w:tcPr/>
          <w:p>
            <w:pPr>
              <w:pStyle w:val="Tabla8"/>
              <w:jc w:val="left"/>
            </w:pPr>
            <w:r>
              <w:t xml:space="preserve">Adjudicación independiente</w:t>
            </w:r>
          </w:p>
        </w:tc>
        <w:tc>
          <w:tcPr/>
          <w:p>
            <w:pPr>
              <w:pStyle w:val="Tabla8"/>
              <w:jc w:val="left"/>
            </w:pPr>
            <w:r>
              <w:t xml:space="preserve">NO_ESTIMADO</w:t>
            </w:r>
          </w:p>
        </w:tc>
      </w:tr>
      <w:tr>
        <w:trPr>
          <w:cantSplit/>
        </w:trPr>
        <w:tc>
          <w:tcPr/>
          <w:p>
            <w:pPr>
              <w:pStyle w:val="Tabla8"/>
              <w:jc w:val="left"/>
            </w:pPr>
            <w:r>
              <w:t xml:space="preserve">V8</w:t>
            </w:r>
          </w:p>
        </w:tc>
        <w:tc>
          <w:tcPr/>
          <w:p>
            <w:pPr>
              <w:pStyle w:val="Tabla8"/>
              <w:jc w:val="left"/>
            </w:pPr>
            <w:r>
              <w:t xml:space="preserve">Referencias NO_VERIFICADO y cuartil de las revistas</w:t>
            </w:r>
          </w:p>
        </w:tc>
        <w:tc>
          <w:tcPr/>
          <w:p>
            <w:pPr>
              <w:pStyle w:val="Tabla8"/>
              <w:jc w:val="left"/>
            </w:pPr>
            <w:r>
              <w:t xml:space="preserve">No se puede declarar el criterio de 60 % en Q1 y Q2</w:t>
            </w:r>
          </w:p>
        </w:tc>
        <w:tc>
          <w:tcPr/>
          <w:p>
            <w:pPr>
              <w:pStyle w:val="Tabla8"/>
              <w:jc w:val="left"/>
            </w:pPr>
            <w:r>
              <w:t xml:space="preserve">Calidad de la bibliografía</w:t>
            </w:r>
          </w:p>
        </w:tc>
        <w:tc>
          <w:tcPr/>
          <w:p>
            <w:pPr>
              <w:pStyle w:val="Tabla8"/>
              <w:jc w:val="left"/>
            </w:pPr>
            <w:r>
              <w:t xml:space="preserve">Equipo editorial</w:t>
            </w:r>
          </w:p>
        </w:tc>
        <w:tc>
          <w:tcPr/>
          <w:p>
            <w:pPr>
              <w:pStyle w:val="Tabla8"/>
              <w:jc w:val="left"/>
            </w:pPr>
            <w:r>
              <w:t xml:space="preserve">Consultar SJR o JCR y verificar DOI</w:t>
            </w:r>
          </w:p>
        </w:tc>
        <w:tc>
          <w:tcPr/>
          <w:p>
            <w:pPr>
              <w:pStyle w:val="Tabla8"/>
              <w:jc w:val="left"/>
            </w:pPr>
            <w:r>
              <w:t xml:space="preserve">NO_ESTIMADO</w:t>
            </w:r>
          </w:p>
        </w:tc>
      </w:tr>
      <w:tr>
        <w:trPr>
          <w:cantSplit/>
        </w:trPr>
        <w:tc>
          <w:tcPr/>
          <w:p>
            <w:pPr>
              <w:pStyle w:val="Tabla8"/>
              <w:jc w:val="left"/>
            </w:pPr>
            <w:r>
              <w:t xml:space="preserve">V9</w:t>
            </w:r>
          </w:p>
        </w:tc>
        <w:tc>
          <w:tcPr/>
          <w:p>
            <w:pPr>
              <w:pStyle w:val="Tabla8"/>
              <w:jc w:val="left"/>
            </w:pPr>
            <w:r>
              <w:t xml:space="preserve">Actualidad de la bibliografía por debajo de 70 % en los últimos cinco años</w:t>
            </w:r>
          </w:p>
        </w:tc>
        <w:tc>
          <w:tcPr/>
          <w:p>
            <w:pPr>
              <w:pStyle w:val="Tabla8"/>
              <w:jc w:val="left"/>
            </w:pPr>
            <w:r>
              <w:t xml:space="preserve">No cumple el criterio del metaprompt</w:t>
            </w:r>
          </w:p>
        </w:tc>
        <w:tc>
          <w:tcPr/>
          <w:p>
            <w:pPr>
              <w:pStyle w:val="Tabla8"/>
              <w:jc w:val="left"/>
            </w:pPr>
            <w:r>
              <w:t xml:space="preserve">Calidad de la bibliografía</w:t>
            </w:r>
          </w:p>
        </w:tc>
        <w:tc>
          <w:tcPr/>
          <w:p>
            <w:pPr>
              <w:pStyle w:val="Tabla8"/>
              <w:jc w:val="left"/>
            </w:pPr>
            <w:r>
              <w:t xml:space="preserve">Equipo editorial</w:t>
            </w:r>
          </w:p>
        </w:tc>
        <w:tc>
          <w:tcPr/>
          <w:p>
            <w:pPr>
              <w:pStyle w:val="Tabla8"/>
              <w:jc w:val="left"/>
            </w:pPr>
            <w:r>
              <w:t xml:space="preserve">Añadir literatura de 2022 a 2026</w:t>
            </w:r>
          </w:p>
        </w:tc>
        <w:tc>
          <w:tcPr/>
          <w:p>
            <w:pPr>
              <w:pStyle w:val="Tabla8"/>
              <w:jc w:val="left"/>
            </w:pPr>
            <w:r>
              <w:t xml:space="preserve">NO_ESTIMADO</w:t>
            </w:r>
          </w:p>
        </w:tc>
      </w:tr>
      <w:tr>
        <w:trPr>
          <w:cantSplit/>
        </w:trPr>
        <w:tc>
          <w:tcPr/>
          <w:p>
            <w:pPr>
              <w:pStyle w:val="Tabla8"/>
              <w:jc w:val="left"/>
            </w:pPr>
            <w:r>
              <w:t xml:space="preserve">V10</w:t>
            </w:r>
          </w:p>
        </w:tc>
        <w:tc>
          <w:tcPr/>
          <w:p>
            <w:pPr>
              <w:pStyle w:val="Tabla8"/>
              <w:jc w:val="left"/>
            </w:pPr>
            <w:r>
              <w:t xml:space="preserve">Financiación de la medición posproyecto de PERS-S01 y PERS-S02</w:t>
            </w:r>
          </w:p>
        </w:tc>
        <w:tc>
          <w:tcPr/>
          <w:p>
            <w:pPr>
              <w:pStyle w:val="Tabla8"/>
              <w:jc w:val="left"/>
            </w:pPr>
            <w:r>
              <w:t xml:space="preserve">Los impactos no pueden verificarse</w:t>
            </w:r>
          </w:p>
        </w:tc>
        <w:tc>
          <w:tcPr/>
          <w:p>
            <w:pPr>
              <w:pStyle w:val="Tabla8"/>
              <w:jc w:val="left"/>
            </w:pPr>
            <w:r>
              <w:t xml:space="preserve">Valor de los indicadores S</w:t>
            </w:r>
          </w:p>
        </w:tc>
        <w:tc>
          <w:tcPr/>
          <w:p>
            <w:pPr>
              <w:pStyle w:val="Tabla8"/>
              <w:jc w:val="left"/>
            </w:pPr>
            <w:r>
              <w:t xml:space="preserve">Entidad ejecutora y financiador</w:t>
            </w:r>
          </w:p>
        </w:tc>
        <w:tc>
          <w:tcPr/>
          <w:p>
            <w:pPr>
              <w:pStyle w:val="Tabla8"/>
              <w:jc w:val="left"/>
            </w:pPr>
            <w:r>
              <w:t xml:space="preserve">Reservar contrapartida o ampliar recursos</w:t>
            </w:r>
          </w:p>
        </w:tc>
        <w:tc>
          <w:tcPr/>
          <w:p>
            <w:pPr>
              <w:pStyle w:val="Tabla8"/>
              <w:jc w:val="left"/>
            </w:pPr>
            <w:r>
              <w:t xml:space="preserve">NO_ESTIMADO</w:t>
            </w:r>
          </w:p>
        </w:tc>
      </w:tr>
      <w:tr>
        <w:trPr>
          <w:cantSplit/>
        </w:trPr>
        <w:tc>
          <w:tcPr/>
          <w:p>
            <w:pPr>
              <w:pStyle w:val="Tabla8"/>
              <w:jc w:val="left"/>
            </w:pPr>
            <w:r>
              <w:t xml:space="preserve">V11</w:t>
            </w:r>
          </w:p>
        </w:tc>
        <w:tc>
          <w:tcPr/>
          <w:p>
            <w:pPr>
              <w:pStyle w:val="Tabla8"/>
              <w:jc w:val="left"/>
            </w:pPr>
            <w:r>
              <w:t xml:space="preserve">Costo de sostenimiento, capacidad de absorción y fondo de la custodia</w:t>
            </w:r>
          </w:p>
        </w:tc>
        <w:tc>
          <w:tcPr/>
          <w:p>
            <w:pPr>
              <w:pStyle w:val="Tabla8"/>
              <w:jc w:val="left"/>
            </w:pPr>
            <w:r>
              <w:t xml:space="preserve">Sostenibilidad económica no calculable</w:t>
            </w:r>
          </w:p>
        </w:tc>
        <w:tc>
          <w:tcPr/>
          <w:p>
            <w:pPr>
              <w:pStyle w:val="Tabla8"/>
              <w:jc w:val="left"/>
            </w:pPr>
            <w:r>
              <w:t xml:space="preserve">Transferencia por tramos</w:t>
            </w:r>
          </w:p>
        </w:tc>
        <w:tc>
          <w:tcPr/>
          <w:p>
            <w:pPr>
              <w:pStyle w:val="Tabla8"/>
              <w:jc w:val="left"/>
            </w:pPr>
            <w:r>
              <w:t xml:space="preserve">Custodios</w:t>
            </w:r>
          </w:p>
        </w:tc>
        <w:tc>
          <w:tcPr/>
          <w:p>
            <w:pPr>
              <w:pStyle w:val="Tabla8"/>
              <w:jc w:val="left"/>
            </w:pPr>
            <w:r>
              <w:t xml:space="preserve">Cotizar el costo total y evaluar la capacidad</w:t>
            </w:r>
          </w:p>
        </w:tc>
        <w:tc>
          <w:tcPr/>
          <w:p>
            <w:pPr>
              <w:pStyle w:val="Tabla8"/>
              <w:jc w:val="left"/>
            </w:pPr>
            <w:r>
              <w:t xml:space="preserve">NO_ESTIMADO</w:t>
            </w:r>
          </w:p>
        </w:tc>
      </w:tr>
      <w:tr>
        <w:trPr>
          <w:cantSplit/>
        </w:trPr>
        <w:tc>
          <w:tcPr/>
          <w:p>
            <w:pPr>
              <w:pStyle w:val="Tabla8"/>
              <w:jc w:val="left"/>
            </w:pPr>
            <w:r>
              <w:t xml:space="preserve">V12</w:t>
            </w:r>
          </w:p>
        </w:tc>
        <w:tc>
          <w:tcPr/>
          <w:p>
            <w:pPr>
              <w:pStyle w:val="Tabla8"/>
              <w:jc w:val="left"/>
            </w:pPr>
            <w:r>
              <w:t xml:space="preserve">Verificación humana de redacción y lectura independiente</w:t>
            </w:r>
          </w:p>
        </w:tc>
        <w:tc>
          <w:tcPr/>
          <w:p>
            <w:pPr>
              <w:pStyle w:val="Tabla8"/>
              <w:jc w:val="left"/>
            </w:pPr>
            <w:r>
              <w:t xml:space="preserve">Errores no detectados por el verificador mecánico</w:t>
            </w:r>
          </w:p>
        </w:tc>
        <w:tc>
          <w:tcPr/>
          <w:p>
            <w:pPr>
              <w:pStyle w:val="Tabla8"/>
              <w:jc w:val="left"/>
            </w:pPr>
            <w:r>
              <w:t xml:space="preserve">Calidad del texto</w:t>
            </w:r>
          </w:p>
        </w:tc>
        <w:tc>
          <w:tcPr/>
          <w:p>
            <w:pPr>
              <w:pStyle w:val="Tabla8"/>
              <w:jc w:val="left"/>
            </w:pPr>
            <w:r>
              <w:t xml:space="preserve">Revisor externo</w:t>
            </w:r>
          </w:p>
        </w:tc>
        <w:tc>
          <w:tcPr/>
          <w:p>
            <w:pPr>
              <w:pStyle w:val="Tabla8"/>
              <w:jc w:val="left"/>
            </w:pPr>
            <w:r>
              <w:t xml:space="preserve">Asignar un lector</w:t>
            </w:r>
          </w:p>
        </w:tc>
        <w:tc>
          <w:tcPr/>
          <w:p>
            <w:pPr>
              <w:pStyle w:val="Tabla8"/>
              <w:jc w:val="left"/>
            </w:pPr>
            <w:r>
              <w:t xml:space="preserve">NO_ESTIMADO</w:t>
            </w:r>
          </w:p>
        </w:tc>
      </w:tr>
    </w:tbl>
    <w:p>
      <w:pPr>
        <w:pStyle w:val="TablaNota"/>
      </w:pPr>
      <w:r>
        <w:rPr>
          <w:i/>
          <w:iCs/>
        </w:rPr>
        <w:t xml:space="preserve">Nota.</w:t>
      </w:r>
      <w:r>
        <w:t xml:space="preserve"> </w:t>
      </w:r>
      <w:r>
        <w:t xml:space="preserve">Elaboración propia con los capítulos 10, 12, 19 y 20, el anexo N y el documento 1000X-10. Tenedor: quien posee el dato o decide. NO_ESTIMADO: sin base para estimar el plazo. Los vacíos V2 y V3 provienen del Anexo 2 de la convocatoria, que el usuario aportó después de la primera entrega.</w:t>
      </w:r>
    </w:p>
    <w:p>
      <w:pPr>
        <w:pStyle w:val="BodyText"/>
      </w:pPr>
      <w:r>
        <w:t xml:space="preserve">Hay dos contradicciones que el documento no resuelve por sí solo. La primera es entre el TRL final de 7 y la prioridad de nivel 9 del Anexo 2. La segunda es entre las siete palabras clave del Paso 1 y el máximo de seis que fija el Anexo 2. La primera es de fondo y pide una decisión del usuario. La segunda se corrige al retirar una palabra. Las dos están registradas en el anexo N y en el checklist.</w:t>
      </w:r>
    </w:p>
    <w:bookmarkEnd w:id="873"/>
    <w:bookmarkStart w:id="874" w:name="_Toc00900380"/>
    <w:p>
      <w:pPr>
        <w:pStyle w:val="Heading2"/>
      </w:pPr>
      <w:r>
        <w:t xml:space="preserve">F-03 Valor estratégico</w:t>
      </w:r>
    </w:p>
    <w:p>
      <w:pPr>
        <w:pStyle w:val="FirstParagraph"/>
      </w:pPr>
      <w:r>
        <w:t xml:space="preserve">El documento habilita tres decisiones. La primera es radicar o no con la evidencia disponible: el checklist muestra que dos bloqueos están activos y que la ruta para levantarlos depende de datos del usuario. La segunda es el nivel de madurez tecnológica, que el Anexo 2 pone en tensión. La tercera es el modo de despliegue, por tramos con compuertas, que limita la exposición financiera antes de tener evidencia de desempeño. La utilidad es potencial. El documento no afirma ahorros, impactos en salud ni probabilidades de adjudicación.</w:t>
      </w:r>
    </w:p>
    <w:p>
      <w:pPr>
        <w:pStyle w:val="BodyText"/>
      </w:pPr>
      <w:r>
        <w:t xml:space="preserve">La lógica causal queda trazable de punta a punta. El árbol de problemas identifica el error de medición sin verificar como problema central. Los objetivos lo traducen en tres líneas de trabajo. El presupuesto, el cronograma, los indicadores y el acta de constitución repiten las mismas cifras. La continuidad posproyecto se apoya en convenios de custodia por tramo y en una cláusula de apertura. Esa cadena permite que un panel de evaluación revise cada eslabón y, si lo desea, rechace uno sin invalidar los demás.</w:t>
      </w:r>
    </w:p>
    <w:bookmarkEnd w:id="874"/>
    <w:bookmarkStart w:id="875" w:name="_Toc00900381"/>
    <w:p>
      <w:pPr>
        <w:pStyle w:val="Heading2"/>
      </w:pPr>
      <w:r>
        <w:t xml:space="preserve">F-04 Traspaso</w:t>
      </w:r>
    </w:p>
    <w:p>
      <w:pPr>
        <w:pStyle w:val="FirstParagraph"/>
      </w:pPr>
      <w:r>
        <w:t xml:space="preserve">El traspaso entrega los productos, las restricciones, los pendientes y la siguiente acción. La Tabla FC.3 lista los productos con su archivo. Todos están en el repositorio, en la rama de trabajo, dentro del directorio genesis-e4-e3p00.</w:t>
      </w:r>
    </w:p>
    <w:p>
      <w:pPr>
        <w:pStyle w:val="TablaRotulo"/>
      </w:pPr>
      <w:bookmarkStart w:id="9471" w:name="rot_Tabla_FC_3"/>
      <w:r>
        <w:rPr>
          <w:b/>
          <w:bCs/>
        </w:rPr>
        <w:t xml:space="preserve">Tabla FC.3</w:t>
      </w:r>
      <w:bookmarkEnd w:id="9471"/>
    </w:p>
    <w:p>
      <w:pPr>
        <w:pStyle w:val="TablaTitulo"/>
      </w:pPr>
      <w:r>
        <w:rPr>
          <w:i/>
          <w:iCs/>
        </w:rPr>
        <w:t xml:space="preserve">Productos entregados y archivo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70"/>
        <w:gridCol w:w="2225"/>
        <w:gridCol w:w="4123"/>
      </w:tblGrid>
      <w:tr>
        <w:trPr>
          <w:cantSplit/>
          <w:tblHeader/>
        </w:trPr>
        <w:tc>
          <w:tcPr>
            <w:shd w:val="clear" w:color="auto" w:fill="00B050"/>
          </w:tcPr>
          <w:p>
            <w:pPr>
              <w:pStyle w:val="Tabla9"/>
              <w:jc w:val="center"/>
            </w:pPr>
            <w:r>
              <w:rPr>
                <w:b/>
                <w:color w:val="FFFFFF"/>
              </w:rPr>
              <w:t xml:space="preserve">Producto</w:t>
            </w:r>
          </w:p>
        </w:tc>
        <w:tc>
          <w:tcPr>
            <w:shd w:val="clear" w:color="auto" w:fill="00B050"/>
          </w:tcPr>
          <w:p>
            <w:pPr>
              <w:pStyle w:val="Tabla9"/>
              <w:jc w:val="center"/>
            </w:pPr>
            <w:r>
              <w:rPr>
                <w:b/>
                <w:color w:val="FFFFFF"/>
              </w:rPr>
              <w:t xml:space="preserve">Contenido</w:t>
            </w:r>
          </w:p>
        </w:tc>
        <w:tc>
          <w:tcPr>
            <w:shd w:val="clear" w:color="auto" w:fill="00B050"/>
          </w:tcPr>
          <w:p>
            <w:pPr>
              <w:pStyle w:val="Tabla9"/>
              <w:jc w:val="center"/>
            </w:pPr>
            <w:r>
              <w:rPr>
                <w:b/>
                <w:color w:val="FFFFFF"/>
              </w:rPr>
              <w:t xml:space="preserve">Archivo</w:t>
            </w:r>
          </w:p>
        </w:tc>
      </w:tr>
      <w:tr>
        <w:trPr>
          <w:cantSplit/>
        </w:trPr>
        <w:tc>
          <w:tcPr/>
          <w:p>
            <w:pPr>
              <w:pStyle w:val="Tabla9"/>
              <w:jc w:val="left"/>
            </w:pPr>
            <w:r>
              <w:t xml:space="preserve">Documento único en Word</w:t>
            </w:r>
          </w:p>
        </w:tc>
        <w:tc>
          <w:tcPr/>
          <w:p>
            <w:pPr>
              <w:pStyle w:val="Tabla9"/>
              <w:jc w:val="left"/>
            </w:pPr>
            <w:r>
              <w:t xml:space="preserve">Pasos 0 a 7, capítulos 1 a 21, paquete 1000X y cierre</w:t>
            </w:r>
          </w:p>
        </w:tc>
        <w:tc>
          <w:tcPr/>
          <w:p>
            <w:pPr>
              <w:pStyle w:val="Tabla9"/>
              <w:jc w:val="left"/>
            </w:pPr>
            <w:r>
              <w:t xml:space="preserve">PROYECTO_COMPLETO/DOCUMENTO/PROYECTO_COMPLETO_SGR_CONV56_AIRE.docx</w:t>
            </w:r>
          </w:p>
        </w:tc>
      </w:tr>
      <w:tr>
        <w:trPr>
          <w:cantSplit/>
        </w:trPr>
        <w:tc>
          <w:tcPr/>
          <w:p>
            <w:pPr>
              <w:pStyle w:val="Tabla9"/>
              <w:jc w:val="left"/>
            </w:pPr>
            <w:r>
              <w:t xml:space="preserve">Documento único en PDF</w:t>
            </w:r>
          </w:p>
        </w:tc>
        <w:tc>
          <w:tcPr/>
          <w:p>
            <w:pPr>
              <w:pStyle w:val="Tabla9"/>
              <w:jc w:val="left"/>
            </w:pPr>
            <w:r>
              <w:t xml:space="preserve">Versión de lectura fija con marcadores de navegación</w:t>
            </w:r>
          </w:p>
        </w:tc>
        <w:tc>
          <w:tcPr/>
          <w:p>
            <w:pPr>
              <w:pStyle w:val="Tabla9"/>
              <w:jc w:val="left"/>
            </w:pPr>
            <w:r>
              <w:t xml:space="preserve">PROYECTO_COMPLETO/DOCUMENTO/PROYECTO_COMPLETO_SGR_CONV56_AIRE.pdf</w:t>
            </w:r>
          </w:p>
        </w:tc>
      </w:tr>
      <w:tr>
        <w:trPr>
          <w:cantSplit/>
        </w:trPr>
        <w:tc>
          <w:tcPr/>
          <w:p>
            <w:pPr>
              <w:pStyle w:val="Tabla9"/>
              <w:jc w:val="left"/>
            </w:pPr>
            <w:r>
              <w:t xml:space="preserve">Pitch deck</w:t>
            </w:r>
          </w:p>
        </w:tc>
        <w:tc>
          <w:tcPr/>
          <w:p>
            <w:pPr>
              <w:pStyle w:val="Tabla9"/>
              <w:jc w:val="left"/>
            </w:pPr>
            <w:r>
              <w:t xml:space="preserve">15 diapositivas del documento 1000X-03</w:t>
            </w:r>
          </w:p>
        </w:tc>
        <w:tc>
          <w:tcPr/>
          <w:p>
            <w:pPr>
              <w:pStyle w:val="Tabla9"/>
              <w:jc w:val="left"/>
            </w:pPr>
            <w:r>
              <w:t xml:space="preserve">PROYECTO_COMPLETO/DOCUMENTO/PITCH_DECK_SGR_CONV56_AIRE.pptx</w:t>
            </w:r>
          </w:p>
        </w:tc>
      </w:tr>
      <w:tr>
        <w:trPr>
          <w:cantSplit/>
        </w:trPr>
        <w:tc>
          <w:tcPr/>
          <w:p>
            <w:pPr>
              <w:pStyle w:val="Tabla9"/>
              <w:jc w:val="left"/>
            </w:pPr>
            <w:r>
              <w:t xml:space="preserve">Fuentes de trabajo</w:t>
            </w:r>
          </w:p>
        </w:tc>
        <w:tc>
          <w:tcPr/>
          <w:p>
            <w:pPr>
              <w:pStyle w:val="Tabla9"/>
              <w:jc w:val="left"/>
            </w:pPr>
            <w:r>
              <w:t xml:space="preserve">Markdown con directivas, generadores de tablas y figuras, libro maestro y banco de referencias</w:t>
            </w:r>
          </w:p>
        </w:tc>
        <w:tc>
          <w:tcPr/>
          <w:p>
            <w:pPr>
              <w:pStyle w:val="Tabla9"/>
              <w:jc w:val="left"/>
            </w:pPr>
            <w:r>
              <w:t xml:space="preserve">PROYECTO_COMPLETO/FUENTES/</w:t>
            </w:r>
          </w:p>
        </w:tc>
      </w:tr>
      <w:tr>
        <w:trPr>
          <w:cantSplit/>
        </w:trPr>
        <w:tc>
          <w:tcPr/>
          <w:p>
            <w:pPr>
              <w:pStyle w:val="Tabla9"/>
              <w:jc w:val="left"/>
            </w:pPr>
            <w:r>
              <w:t xml:space="preserve">Documento unificado 4.3 a 4.5</w:t>
            </w:r>
          </w:p>
        </w:tc>
        <w:tc>
          <w:tcPr/>
          <w:p>
            <w:pPr>
              <w:pStyle w:val="Tabla9"/>
              <w:jc w:val="left"/>
            </w:pPr>
            <w:r>
              <w:t xml:space="preserve">Vista derivada de la primera entrega</w:t>
            </w:r>
          </w:p>
        </w:tc>
        <w:tc>
          <w:tcPr/>
          <w:p>
            <w:pPr>
              <w:pStyle w:val="Tabla9"/>
              <w:jc w:val="left"/>
            </w:pPr>
            <w:r>
              <w:t xml:space="preserve">DOCUMENTO_UNIFICADO/</w:t>
            </w:r>
          </w:p>
        </w:tc>
      </w:tr>
    </w:tbl>
    <w:p>
      <w:pPr>
        <w:pStyle w:val="TablaNota"/>
      </w:pPr>
      <w:r>
        <w:rPr>
          <w:i/>
          <w:iCs/>
        </w:rPr>
        <w:t xml:space="preserve">Nota.</w:t>
      </w:r>
      <w:r>
        <w:t xml:space="preserve"> </w:t>
      </w:r>
      <w:r>
        <w:t xml:space="preserve">Elaboración propia. Las rutas son relativas al directorio genesis-e4-e3p00 del repositorio. El documento único es una vista derivada y no modifica el respaldo de las secciones 4.3 a 4.5.</w:t>
      </w:r>
    </w:p>
    <w:p>
      <w:pPr>
        <w:pStyle w:val="BodyText"/>
      </w:pPr>
      <w:r>
        <w:t xml:space="preserve">Las restricciones son cuatro. El territorio y la alianza son supuestos por instrucción del usuario. Las cifras de la ficha maestra no cambian sin una decisión registrada. Los datos que solo posee el usuario aparecen como [DATO_USUARIO]. El documento está en estado de borrador con vacíos y no es un paquete de radicación.</w:t>
      </w:r>
    </w:p>
    <w:p>
      <w:pPr>
        <w:pStyle w:val="BodyText"/>
      </w:pPr>
      <w:r>
        <w:t xml:space="preserve">La siguiente acción es de tres pasos. Primero, el usuario decide el nivel de madurez tecnológica y registra la decisión en el reporte B1 del checklist. Segundo, aporta los términos de referencia, los anexos 4, 10 y 12, los reportes de afectación y las cartas. Tercero, se actualiza el documento con esos insumos y se vuelven a ejecutar los verificadores. La condición de aceptación es que los dos bloqueos finales del checklist queden sin alertas activas.</w:t>
      </w:r>
    </w:p>
    <w:p>
      <w:pPr>
        <w:pStyle w:val="BodyText"/>
      </w:pPr>
      <w:r>
        <w:t xml:space="preserve">La decisión DEC-F16 registra que el Anexo 2 gobierna la estructura de radicación y que el metaprompt gobierna la estructura de trabajo. La decisión DEC-F17 registra que las fichas completas de los 15 indicadores viven en el capítulo 12 y que el Paso 7 contiene el diseño y el registro. La decisión DEC-F18 registra que el capítulo 19 contiene solo las obras citadas, con las condiciones de verificación declaradas.</w:t>
      </w:r>
    </w:p>
    <w:p>
      <w:pPr>
        <w:pStyle w:val="BodyText"/>
      </w:pPr>
      <w:r>
        <w:t xml:space="preserve">Cuatro decisiones posteriores al cierre de esta autoauditoría modifican el traspaso. La decisión DEC-F19 define la alianza de cuatro actores. La decisión DEC-F20 fija el cierre de radicación en el 3 de noviembre de 2026 a las 4:00 p. m. La decisión DEC-F21 ajusta el presupuesto a la guía financiera de la convocatoria: retira los seguros, incorpora el posdoctorado y limita la movilidad al 2 % del valor solicitado. La decisión DEC-F22 separa el documento técnico de 30 secciones, que se radica, del expediente completo, que se entrega comprimido. Los cinco pendientes que solo la alianza resuelve figuran en la sección S.13.</w:t>
      </w:r>
    </w:p>
    <w:bookmarkEnd w:id="875"/>
    <w:bookmarkEnd w:id="876"/>
    <w:sectPr>
      <w:headerReference r:id="rId9" w:type="default"/>
      <w:headerReference r:id="rId11" w:type="first"/>
      <w:headerReference r:id="rId10" w:type="even"/>
      <w:footerReference r:id="rId13" w:type="default"/>
      <w:footerReference r:id="rId12" w:type="first"/>
      <w:footerReference r:id="rId14" w:type="even"/>
      <w:pgSz w:h="15840" w:orient="portrait" w:w="12240"/>
      <w:pgMar w:bottom="1417" w:footer="709" w:header="709" w:left="1133" w:right="1133" w:top="141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alibri"/>
  <w:font w:name="Courier New"/>
  <w:font w:name="Verdana"/>
  <w:font w:name="Arial Narrow"/>
  <w:font w:name="Helvetica Neue"/>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E">
    <w:pPr>
      <w:tabs>
        <w:tab w:val="center" w:leader="none" w:pos="4419"/>
        <w:tab w:val="right" w:leader="none" w:pos="8838"/>
      </w:tabs>
      <w:ind w:hanging="2"/>
      <w:rPr>
        <w:rFonts w:ascii="Calibri" w:cs="Calibri" w:eastAsia="Calibri" w:hAnsi="Calibri"/>
        <w:color w:val="000000"/>
        <w:sz w:val="24"/>
        <w:szCs w:val="24"/>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Pr id="2" name="Shape 2"/>
                    <wps:cNvSpPr/>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ind w:hanging="2"/>
      <w:jc w:val="center"/>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4">
    <w:pPr>
      <w:tabs>
        <w:tab w:val="center" w:leader="none" w:pos="4419"/>
        <w:tab w:val="right" w:leader="none" w:pos="8838"/>
      </w:tabs>
      <w:ind w:hanging="2"/>
      <w:rPr>
        <w:rFonts w:ascii="Calibri" w:cs="Calibri" w:eastAsia="Calibri" w:hAnsi="Calibri"/>
        <w:color w:val="000000"/>
        <w:sz w:val="24"/>
        <w:szCs w:val="24"/>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5">
    <w:pPr>
      <w:tabs>
        <w:tab w:val="center" w:leader="none" w:pos="4419"/>
        <w:tab w:val="right" w:leader="none" w:pos="8838"/>
      </w:tabs>
      <w:ind w:hanging="2"/>
      <w:rPr>
        <w:rFonts w:ascii="Calibri" w:cs="Calibri" w:eastAsia="Calibri" w:hAnsi="Calibri"/>
        <w:color w:val="000000"/>
        <w:sz w:val="24"/>
        <w:szCs w:val="24"/>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D">
    <w:pPr>
      <w:tabs>
        <w:tab w:val="center" w:leader="none" w:pos="4419"/>
        <w:tab w:val="right" w:leader="none" w:pos="8838"/>
      </w:tabs>
      <w:ind w:hanging="2"/>
      <w:rPr>
        <w:rFonts w:ascii="Calibri" w:cs="Calibri" w:eastAsia="Calibri" w:hAnsi="Calibri"/>
        <w:color w:val="000000"/>
        <w:sz w:val="24"/>
        <w:szCs w:val="24"/>
      </w:rPr>
    </w:pP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283" w:left="567"/>
      </w:pPr>
      <w:rPr>
        <w:rFonts w:ascii="Noto Sans Symbols" w:cs="Noto Sans Symbols" w:eastAsia="Noto Sans Symbols" w:hAnsi="Noto Sans Symbols"/>
      </w:rPr>
    </w:lvl>
    <w:lvl w:ilvl="1">
      <w:start w:val="1"/>
      <w:numFmt w:val="bullet"/>
      <w:lvlText w:val="o"/>
      <w:lvlJc w:val="left"/>
      <w:pPr>
        <w:ind w:hanging="283" w:left="907"/>
      </w:pPr>
      <w:rPr>
        <w:rFonts w:ascii="Courier New" w:cs="Courier New" w:eastAsia="Courier New" w:hAnsi="Courier New"/>
      </w:rPr>
    </w:lvl>
    <w:lvl w:ilvl="2">
      <w:start w:val="1"/>
      <w:numFmt w:val="bullet"/>
      <w:lvlText w:val="▪"/>
      <w:lvlJc w:val="left"/>
      <w:pPr>
        <w:ind w:hanging="283" w:left="1247"/>
      </w:pPr>
      <w:rPr>
        <w:rFonts w:ascii="Noto Sans Symbols" w:cs="Noto Sans Symbols" w:eastAsia="Noto Sans Symbols" w:hAnsi="Noto Sans Symbols"/>
      </w:rPr>
    </w:lvl>
    <w:lvl w:ilvl="3">
      <w:start w:val="1"/>
      <w:numFmt w:val="bullet"/>
      <w:lvlText w:val="●"/>
      <w:lvlJc w:val="left"/>
      <w:pPr>
        <w:ind w:hanging="283" w:left="1587"/>
      </w:pPr>
      <w:rPr>
        <w:rFonts w:ascii="Noto Sans Symbols" w:cs="Noto Sans Symbols" w:eastAsia="Noto Sans Symbols" w:hAnsi="Noto Sans Symbols"/>
      </w:rPr>
    </w:lvl>
    <w:lvl w:ilvl="4">
      <w:start w:val="1"/>
      <w:numFmt w:val="bullet"/>
      <w:lvlText w:val="o"/>
      <w:lvlJc w:val="left"/>
      <w:pPr>
        <w:ind w:hanging="283" w:left="1927"/>
      </w:pPr>
      <w:rPr>
        <w:rFonts w:ascii="Courier New" w:cs="Courier New" w:eastAsia="Courier New" w:hAnsi="Courier New"/>
      </w:rPr>
    </w:lvl>
    <w:lvl w:ilvl="5">
      <w:start w:val="1"/>
      <w:numFmt w:val="bullet"/>
      <w:lvlText w:val="▪"/>
      <w:lvlJc w:val="left"/>
      <w:pPr>
        <w:ind w:hanging="283" w:left="2267"/>
      </w:pPr>
      <w:rPr>
        <w:rFonts w:ascii="Noto Sans Symbols" w:cs="Noto Sans Symbols" w:eastAsia="Noto Sans Symbols" w:hAnsi="Noto Sans Symbols"/>
      </w:rPr>
    </w:lvl>
    <w:lvl w:ilvl="6">
      <w:start w:val="1"/>
      <w:numFmt w:val="bullet"/>
      <w:lvlText w:val="●"/>
      <w:lvlJc w:val="left"/>
      <w:pPr>
        <w:ind w:hanging="283" w:left="2607"/>
      </w:pPr>
      <w:rPr>
        <w:rFonts w:ascii="Noto Sans Symbols" w:cs="Noto Sans Symbols" w:eastAsia="Noto Sans Symbols" w:hAnsi="Noto Sans Symbols"/>
      </w:rPr>
    </w:lvl>
    <w:lvl w:ilvl="7">
      <w:start w:val="1"/>
      <w:numFmt w:val="bullet"/>
      <w:lvlText w:val="o"/>
      <w:lvlJc w:val="left"/>
      <w:pPr>
        <w:ind w:hanging="283" w:left="2947"/>
      </w:pPr>
      <w:rPr>
        <w:rFonts w:ascii="Courier New" w:cs="Courier New" w:eastAsia="Courier New" w:hAnsi="Courier New"/>
      </w:rPr>
    </w:lvl>
    <w:lvl w:ilvl="8">
      <w:start w:val="1"/>
      <w:numFmt w:val="bullet"/>
      <w:lvlText w:val="▪"/>
      <w:lvlJc w:val="left"/>
      <w:pPr>
        <w:ind w:hanging="283" w:left="3287"/>
      </w:pPr>
      <w:rPr>
        <w:rFonts w:ascii="Noto Sans Symbols" w:cs="Noto Sans Symbols" w:eastAsia="Noto Sans Symbols" w:hAnsi="Noto Sans Symbols"/>
      </w:rPr>
    </w:lvl>
  </w:abstractNum>
  <w:abstractNum w:abstractNumId="2">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3">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4">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5">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6">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7">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8">
    <w:lvl w:ilvl="0">
      <w:start w:val="1"/>
      <w:numFmt w:val="decimal"/>
      <w:lvlText w:val="%1."/>
      <w:lvlJc w:val="left"/>
      <w:pPr>
        <w:ind w:hanging="283" w:left="567"/>
      </w:pPr>
      <w:rPr/>
    </w:lvl>
    <w:lvl w:ilvl="1">
      <w:start w:val="1"/>
      <w:numFmt w:val="decimal"/>
      <w:lvlText w:val="%2."/>
      <w:lvlJc w:val="left"/>
      <w:pPr>
        <w:ind w:hanging="283" w:left="907"/>
      </w:pPr>
      <w:rPr/>
    </w:lvl>
    <w:lvl w:ilvl="2">
      <w:start w:val="1"/>
      <w:numFmt w:val="decimal"/>
      <w:lvlText w:val="%3."/>
      <w:lvlJc w:val="left"/>
      <w:pPr>
        <w:ind w:hanging="283" w:left="1247"/>
      </w:pPr>
      <w:rPr/>
    </w:lvl>
    <w:lvl w:ilvl="3">
      <w:start w:val="1"/>
      <w:numFmt w:val="decimal"/>
      <w:lvlText w:val="%4."/>
      <w:lvlJc w:val="left"/>
      <w:pPr>
        <w:ind w:hanging="283" w:left="1587"/>
      </w:pPr>
      <w:rPr/>
    </w:lvl>
    <w:lvl w:ilvl="4">
      <w:start w:val="1"/>
      <w:numFmt w:val="decimal"/>
      <w:lvlText w:val="%5."/>
      <w:lvlJc w:val="left"/>
      <w:pPr>
        <w:ind w:hanging="283" w:left="1927"/>
      </w:pPr>
      <w:rPr/>
    </w:lvl>
    <w:lvl w:ilvl="5">
      <w:start w:val="1"/>
      <w:numFmt w:val="decimal"/>
      <w:lvlText w:val="%6."/>
      <w:lvlJc w:val="left"/>
      <w:pPr>
        <w:ind w:hanging="283" w:left="2267"/>
      </w:pPr>
      <w:rPr/>
    </w:lvl>
    <w:lvl w:ilvl="6">
      <w:start w:val="1"/>
      <w:numFmt w:val="decimal"/>
      <w:lvlText w:val="%7."/>
      <w:lvlJc w:val="left"/>
      <w:pPr>
        <w:ind w:hanging="283" w:left="2607"/>
      </w:pPr>
      <w:rPr/>
    </w:lvl>
    <w:lvl w:ilvl="7">
      <w:start w:val="1"/>
      <w:numFmt w:val="decimal"/>
      <w:lvlText w:val="%8."/>
      <w:lvlJc w:val="left"/>
      <w:pPr>
        <w:ind w:hanging="283" w:left="2947"/>
      </w:pPr>
      <w:rPr/>
    </w:lvl>
    <w:lvl w:ilvl="8">
      <w:start w:val="1"/>
      <w:numFmt w:val="decimal"/>
      <w:lvlText w:val="%9."/>
      <w:lvlJc w:val="left"/>
      <w:pPr>
        <w:ind w:hanging="283" w:left="3287"/>
      </w:pPr>
      <w:rPr/>
    </w:lvl>
  </w:abstractNum>
  <w:abstractNum w:abstractNumId="9">
    <w:lvl w:ilvl="0">
      <w:start w:val="1"/>
      <w:numFmt w:val="bullet"/>
      <w:lvlText w:val="●"/>
      <w:lvlJc w:val="left"/>
      <w:pPr>
        <w:ind w:hanging="283" w:left="567"/>
      </w:pPr>
      <w:rPr>
        <w:rFonts w:ascii="Noto Sans Symbols" w:cs="Noto Sans Symbols" w:eastAsia="Noto Sans Symbols" w:hAnsi="Noto Sans Symbols"/>
        <w:sz w:val="20"/>
        <w:szCs w:val="20"/>
      </w:rPr>
    </w:lvl>
    <w:lvl w:ilvl="1">
      <w:start w:val="1"/>
      <w:numFmt w:val="bullet"/>
      <w:lvlText w:val="o"/>
      <w:lvlJc w:val="left"/>
      <w:pPr>
        <w:ind w:hanging="283" w:left="907"/>
      </w:pPr>
      <w:rPr>
        <w:rFonts w:ascii="Courier New" w:cs="Courier New" w:eastAsia="Courier New" w:hAnsi="Courier New"/>
        <w:sz w:val="20"/>
        <w:szCs w:val="20"/>
      </w:rPr>
    </w:lvl>
    <w:lvl w:ilvl="2">
      <w:start w:val="1"/>
      <w:numFmt w:val="bullet"/>
      <w:lvlText w:val="▪"/>
      <w:lvlJc w:val="left"/>
      <w:pPr>
        <w:ind w:hanging="283" w:left="1247"/>
      </w:pPr>
      <w:rPr>
        <w:rFonts w:ascii="Noto Sans Symbols" w:cs="Noto Sans Symbols" w:eastAsia="Noto Sans Symbols" w:hAnsi="Noto Sans Symbols"/>
        <w:sz w:val="20"/>
        <w:szCs w:val="20"/>
      </w:rPr>
    </w:lvl>
    <w:lvl w:ilvl="3">
      <w:start w:val="1"/>
      <w:numFmt w:val="bullet"/>
      <w:lvlText w:val="▪"/>
      <w:lvlJc w:val="left"/>
      <w:pPr>
        <w:ind w:hanging="283" w:left="1587"/>
      </w:pPr>
      <w:rPr>
        <w:rFonts w:ascii="Noto Sans Symbols" w:cs="Noto Sans Symbols" w:eastAsia="Noto Sans Symbols" w:hAnsi="Noto Sans Symbols"/>
        <w:sz w:val="20"/>
        <w:szCs w:val="20"/>
      </w:rPr>
    </w:lvl>
    <w:lvl w:ilvl="4">
      <w:start w:val="1"/>
      <w:numFmt w:val="bullet"/>
      <w:lvlText w:val="▪"/>
      <w:lvlJc w:val="left"/>
      <w:pPr>
        <w:ind w:hanging="283" w:left="1927"/>
      </w:pPr>
      <w:rPr>
        <w:rFonts w:ascii="Noto Sans Symbols" w:cs="Noto Sans Symbols" w:eastAsia="Noto Sans Symbols" w:hAnsi="Noto Sans Symbols"/>
        <w:sz w:val="20"/>
        <w:szCs w:val="20"/>
      </w:rPr>
    </w:lvl>
    <w:lvl w:ilvl="5">
      <w:start w:val="1"/>
      <w:numFmt w:val="bullet"/>
      <w:lvlText w:val="▪"/>
      <w:lvlJc w:val="left"/>
      <w:pPr>
        <w:ind w:hanging="283" w:left="2267"/>
      </w:pPr>
      <w:rPr>
        <w:rFonts w:ascii="Noto Sans Symbols" w:cs="Noto Sans Symbols" w:eastAsia="Noto Sans Symbols" w:hAnsi="Noto Sans Symbols"/>
        <w:sz w:val="20"/>
        <w:szCs w:val="20"/>
      </w:rPr>
    </w:lvl>
    <w:lvl w:ilvl="6">
      <w:start w:val="1"/>
      <w:numFmt w:val="bullet"/>
      <w:lvlText w:val="▪"/>
      <w:lvlJc w:val="left"/>
      <w:pPr>
        <w:ind w:hanging="283" w:left="2607"/>
      </w:pPr>
      <w:rPr>
        <w:rFonts w:ascii="Noto Sans Symbols" w:cs="Noto Sans Symbols" w:eastAsia="Noto Sans Symbols" w:hAnsi="Noto Sans Symbols"/>
        <w:sz w:val="20"/>
        <w:szCs w:val="20"/>
      </w:rPr>
    </w:lvl>
    <w:lvl w:ilvl="7">
      <w:start w:val="1"/>
      <w:numFmt w:val="bullet"/>
      <w:lvlText w:val="▪"/>
      <w:lvlJc w:val="left"/>
      <w:pPr>
        <w:ind w:hanging="283" w:left="2947"/>
      </w:pPr>
      <w:rPr>
        <w:rFonts w:ascii="Noto Sans Symbols" w:cs="Noto Sans Symbols" w:eastAsia="Noto Sans Symbols" w:hAnsi="Noto Sans Symbols"/>
        <w:sz w:val="20"/>
        <w:szCs w:val="20"/>
      </w:rPr>
    </w:lvl>
    <w:lvl w:ilvl="8">
      <w:start w:val="1"/>
      <w:numFmt w:val="bullet"/>
      <w:lvlText w:val="▪"/>
      <w:lvlJc w:val="left"/>
      <w:pPr>
        <w:ind w:hanging="283" w:left="3287"/>
      </w:pPr>
      <w:rPr>
        <w:rFonts w:ascii="Noto Sans Symbols" w:cs="Noto Sans Symbols" w:eastAsia="Noto Sans Symbols" w:hAnsi="Noto Sans Symbols"/>
        <w:sz w:val="20"/>
        <w:szCs w:val="20"/>
      </w:rPr>
    </w:lvl>
  </w:abstractNum>
  <w:abstractNum w:abstractNumId="10">
    <w:lvl w:ilvl="0">
      <w:start w:val="1"/>
      <w:numFmt w:val="decimal"/>
      <w:lvlText w:val="%1."/>
      <w:lvlJc w:val="left"/>
      <w:pPr>
        <w:ind w:hanging="283" w:left="567"/>
      </w:pPr>
      <w:rPr/>
    </w:lvl>
    <w:lvl w:ilvl="1">
      <w:start w:val="1"/>
      <w:numFmt w:val="lowerLetter"/>
      <w:lvlText w:val="%2."/>
      <w:lvlJc w:val="left"/>
      <w:pPr>
        <w:ind w:hanging="283" w:left="907"/>
      </w:pPr>
      <w:rPr/>
    </w:lvl>
    <w:lvl w:ilvl="2">
      <w:start w:val="1"/>
      <w:numFmt w:val="lowerRoman"/>
      <w:lvlText w:val="%3."/>
      <w:lvlJc w:val="right"/>
      <w:pPr>
        <w:ind w:hanging="283" w:left="1247"/>
      </w:pPr>
      <w:rPr/>
    </w:lvl>
    <w:lvl w:ilvl="3">
      <w:start w:val="1"/>
      <w:numFmt w:val="decimal"/>
      <w:lvlText w:val="%4."/>
      <w:lvlJc w:val="left"/>
      <w:pPr>
        <w:ind w:hanging="283" w:left="1587"/>
      </w:pPr>
      <w:rPr/>
    </w:lvl>
    <w:lvl w:ilvl="4">
      <w:start w:val="1"/>
      <w:numFmt w:val="lowerLetter"/>
      <w:lvlText w:val="%5."/>
      <w:lvlJc w:val="left"/>
      <w:pPr>
        <w:ind w:hanging="283" w:left="1927"/>
      </w:pPr>
      <w:rPr/>
    </w:lvl>
    <w:lvl w:ilvl="5">
      <w:start w:val="1"/>
      <w:numFmt w:val="lowerRoman"/>
      <w:lvlText w:val="%6."/>
      <w:lvlJc w:val="right"/>
      <w:pPr>
        <w:ind w:hanging="283" w:left="2267"/>
      </w:pPr>
      <w:rPr/>
    </w:lvl>
    <w:lvl w:ilvl="6">
      <w:start w:val="1"/>
      <w:numFmt w:val="decimal"/>
      <w:lvlText w:val="%7."/>
      <w:lvlJc w:val="left"/>
      <w:pPr>
        <w:ind w:hanging="283" w:left="2607"/>
      </w:pPr>
      <w:rPr/>
    </w:lvl>
    <w:lvl w:ilvl="7">
      <w:start w:val="1"/>
      <w:numFmt w:val="lowerLetter"/>
      <w:lvlText w:val="%8."/>
      <w:lvlJc w:val="left"/>
      <w:pPr>
        <w:ind w:hanging="283" w:left="2947"/>
      </w:pPr>
      <w:rPr/>
    </w:lvl>
    <w:lvl w:ilvl="8">
      <w:start w:val="1"/>
      <w:numFmt w:val="lowerRoman"/>
      <w:lvlText w:val="%9."/>
      <w:lvlJc w:val="right"/>
      <w:pPr>
        <w:ind w:hanging="283" w:left="3287"/>
      </w:pPr>
      <w:rPr/>
    </w:lvl>
  </w:abstractNum>
  <w:abstractNum w:abstractNumId="11">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12">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13">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14">
    <w:lvl w:ilvl="0">
      <w:start w:val="1"/>
      <w:numFmt w:val="upperLetter"/>
      <w:lvlText w:val="%1."/>
      <w:lvlJc w:val="left"/>
      <w:pPr>
        <w:ind w:hanging="283" w:left="567"/>
      </w:pPr>
      <w:rPr>
        <w:rFonts w:ascii="Arial" w:cs="Arial" w:eastAsia="Arial" w:hAnsi="Arial"/>
        <w:sz w:val="22"/>
        <w:szCs w:val="22"/>
      </w:rPr>
    </w:lvl>
    <w:lvl w:ilvl="1">
      <w:start w:val="1"/>
      <w:numFmt w:val="lowerLetter"/>
      <w:lvlText w:val="%2."/>
      <w:lvlJc w:val="left"/>
      <w:pPr>
        <w:ind w:hanging="283" w:left="907"/>
      </w:pPr>
      <w:rPr/>
    </w:lvl>
    <w:lvl w:ilvl="2">
      <w:start w:val="1"/>
      <w:numFmt w:val="lowerRoman"/>
      <w:lvlText w:val="%3."/>
      <w:lvlJc w:val="right"/>
      <w:pPr>
        <w:ind w:hanging="283" w:left="1247"/>
      </w:pPr>
      <w:rPr/>
    </w:lvl>
    <w:lvl w:ilvl="3">
      <w:start w:val="1"/>
      <w:numFmt w:val="decimal"/>
      <w:lvlText w:val="%4."/>
      <w:lvlJc w:val="left"/>
      <w:pPr>
        <w:ind w:hanging="283" w:left="1587"/>
      </w:pPr>
      <w:rPr/>
    </w:lvl>
    <w:lvl w:ilvl="4">
      <w:start w:val="1"/>
      <w:numFmt w:val="lowerLetter"/>
      <w:lvlText w:val="%5."/>
      <w:lvlJc w:val="left"/>
      <w:pPr>
        <w:ind w:hanging="283" w:left="1927"/>
      </w:pPr>
      <w:rPr/>
    </w:lvl>
    <w:lvl w:ilvl="5">
      <w:start w:val="1"/>
      <w:numFmt w:val="lowerRoman"/>
      <w:lvlText w:val="%6."/>
      <w:lvlJc w:val="right"/>
      <w:pPr>
        <w:ind w:hanging="283" w:left="2267"/>
      </w:pPr>
      <w:rPr/>
    </w:lvl>
    <w:lvl w:ilvl="6">
      <w:start w:val="1"/>
      <w:numFmt w:val="decimal"/>
      <w:lvlText w:val="%7."/>
      <w:lvlJc w:val="left"/>
      <w:pPr>
        <w:ind w:hanging="283" w:left="2607"/>
      </w:pPr>
      <w:rPr/>
    </w:lvl>
    <w:lvl w:ilvl="7">
      <w:start w:val="1"/>
      <w:numFmt w:val="lowerLetter"/>
      <w:lvlText w:val="%8."/>
      <w:lvlJc w:val="left"/>
      <w:pPr>
        <w:ind w:hanging="283" w:left="2947"/>
      </w:pPr>
      <w:rPr/>
    </w:lvl>
    <w:lvl w:ilvl="8">
      <w:start w:val="1"/>
      <w:numFmt w:val="lowerRoman"/>
      <w:lvlText w:val="%9."/>
      <w:lvlJc w:val="right"/>
      <w:pPr>
        <w:ind w:hanging="283" w:left="3287"/>
      </w:pPr>
      <w:rPr/>
    </w:lvl>
  </w:abstractNum>
  <w:abstractNum w:abstractNumId="15">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16">
    <w:lvl w:ilvl="0">
      <w:start w:val="1"/>
      <w:numFmt w:val="bullet"/>
      <w:lvlText w:val="●"/>
      <w:lvlJc w:val="left"/>
      <w:pPr>
        <w:ind w:hanging="283" w:left="567"/>
      </w:pPr>
      <w:rPr>
        <w:strike w:val="0"/>
        <w:u w:val="none"/>
      </w:rPr>
    </w:lvl>
    <w:lvl w:ilvl="1">
      <w:start w:val="1"/>
      <w:numFmt w:val="bullet"/>
      <w:lvlText w:val="○"/>
      <w:lvlJc w:val="left"/>
      <w:pPr>
        <w:ind w:hanging="283" w:left="907"/>
      </w:pPr>
      <w:rPr>
        <w:strike w:val="0"/>
        <w:u w:val="none"/>
      </w:rPr>
    </w:lvl>
    <w:lvl w:ilvl="2">
      <w:start w:val="1"/>
      <w:numFmt w:val="bullet"/>
      <w:lvlText w:val="■"/>
      <w:lvlJc w:val="left"/>
      <w:pPr>
        <w:ind w:hanging="283" w:left="1247"/>
      </w:pPr>
      <w:rPr>
        <w:strike w:val="0"/>
        <w:u w:val="none"/>
      </w:rPr>
    </w:lvl>
    <w:lvl w:ilvl="3">
      <w:start w:val="1"/>
      <w:numFmt w:val="bullet"/>
      <w:lvlText w:val="●"/>
      <w:lvlJc w:val="left"/>
      <w:pPr>
        <w:ind w:hanging="283" w:left="1587"/>
      </w:pPr>
      <w:rPr>
        <w:strike w:val="0"/>
        <w:u w:val="none"/>
      </w:rPr>
    </w:lvl>
    <w:lvl w:ilvl="4">
      <w:start w:val="1"/>
      <w:numFmt w:val="bullet"/>
      <w:lvlText w:val="○"/>
      <w:lvlJc w:val="left"/>
      <w:pPr>
        <w:ind w:hanging="283" w:left="1927"/>
      </w:pPr>
      <w:rPr>
        <w:strike w:val="0"/>
        <w:u w:val="none"/>
      </w:rPr>
    </w:lvl>
    <w:lvl w:ilvl="5">
      <w:start w:val="1"/>
      <w:numFmt w:val="bullet"/>
      <w:lvlText w:val="■"/>
      <w:lvlJc w:val="left"/>
      <w:pPr>
        <w:ind w:hanging="283" w:left="2267"/>
      </w:pPr>
      <w:rPr>
        <w:strike w:val="0"/>
        <w:u w:val="none"/>
      </w:rPr>
    </w:lvl>
    <w:lvl w:ilvl="6">
      <w:start w:val="1"/>
      <w:numFmt w:val="bullet"/>
      <w:lvlText w:val="●"/>
      <w:lvlJc w:val="left"/>
      <w:pPr>
        <w:ind w:hanging="283" w:left="2607"/>
      </w:pPr>
      <w:rPr>
        <w:strike w:val="0"/>
        <w:u w:val="none"/>
      </w:rPr>
    </w:lvl>
    <w:lvl w:ilvl="7">
      <w:start w:val="1"/>
      <w:numFmt w:val="bullet"/>
      <w:lvlText w:val="○"/>
      <w:lvlJc w:val="left"/>
      <w:pPr>
        <w:ind w:hanging="283" w:left="2947"/>
      </w:pPr>
      <w:rPr>
        <w:strike w:val="0"/>
        <w:u w:val="none"/>
      </w:rPr>
    </w:lvl>
    <w:lvl w:ilvl="8">
      <w:start w:val="1"/>
      <w:numFmt w:val="bullet"/>
      <w:lvlText w:val="■"/>
      <w:lvlJc w:val="left"/>
      <w:pPr>
        <w:ind w:hanging="283" w:left="3287"/>
      </w:pPr>
      <w:rPr>
        <w:strike w:val="0"/>
        <w:u w:val="none"/>
      </w:rPr>
    </w:lvl>
  </w:abstractNum>
  <w:abstractNum w:abstractNumId="17">
    <w:lvl w:ilvl="0">
      <w:start w:val="1"/>
      <w:numFmt w:val="bullet"/>
      <w:lvlText w:val="●"/>
      <w:lvlJc w:val="left"/>
      <w:pPr>
        <w:ind w:hanging="283" w:left="567"/>
      </w:pPr>
      <w:rPr>
        <w:rFonts w:ascii="Noto Sans Symbols" w:cs="Noto Sans Symbols" w:eastAsia="Noto Sans Symbols" w:hAnsi="Noto Sans Symbols"/>
        <w:strike w:val="0"/>
        <w:u w:val="none"/>
      </w:rPr>
    </w:lvl>
    <w:lvl w:ilvl="1">
      <w:start w:val="1"/>
      <w:numFmt w:val="bullet"/>
      <w:lvlText w:val="○"/>
      <w:lvlJc w:val="left"/>
      <w:pPr>
        <w:ind w:hanging="283" w:left="907"/>
      </w:pPr>
      <w:rPr>
        <w:strike w:val="0"/>
        <w:u w:val="none"/>
      </w:rPr>
    </w:lvl>
    <w:lvl w:ilvl="2">
      <w:start w:val="1"/>
      <w:numFmt w:val="bullet"/>
      <w:lvlText w:val="■"/>
      <w:lvlJc w:val="left"/>
      <w:pPr>
        <w:ind w:hanging="283" w:left="1247"/>
      </w:pPr>
      <w:rPr>
        <w:strike w:val="0"/>
        <w:u w:val="none"/>
      </w:rPr>
    </w:lvl>
    <w:lvl w:ilvl="3">
      <w:start w:val="1"/>
      <w:numFmt w:val="bullet"/>
      <w:lvlText w:val="●"/>
      <w:lvlJc w:val="left"/>
      <w:pPr>
        <w:ind w:hanging="283" w:left="1587"/>
      </w:pPr>
      <w:rPr>
        <w:strike w:val="0"/>
        <w:u w:val="none"/>
      </w:rPr>
    </w:lvl>
    <w:lvl w:ilvl="4">
      <w:start w:val="1"/>
      <w:numFmt w:val="bullet"/>
      <w:lvlText w:val="○"/>
      <w:lvlJc w:val="left"/>
      <w:pPr>
        <w:ind w:hanging="283" w:left="1927"/>
      </w:pPr>
      <w:rPr>
        <w:strike w:val="0"/>
        <w:u w:val="none"/>
      </w:rPr>
    </w:lvl>
    <w:lvl w:ilvl="5">
      <w:start w:val="1"/>
      <w:numFmt w:val="bullet"/>
      <w:lvlText w:val="■"/>
      <w:lvlJc w:val="left"/>
      <w:pPr>
        <w:ind w:hanging="283" w:left="2267"/>
      </w:pPr>
      <w:rPr>
        <w:strike w:val="0"/>
        <w:u w:val="none"/>
      </w:rPr>
    </w:lvl>
    <w:lvl w:ilvl="6">
      <w:start w:val="1"/>
      <w:numFmt w:val="bullet"/>
      <w:lvlText w:val="●"/>
      <w:lvlJc w:val="left"/>
      <w:pPr>
        <w:ind w:hanging="283" w:left="2607"/>
      </w:pPr>
      <w:rPr>
        <w:strike w:val="0"/>
        <w:u w:val="none"/>
      </w:rPr>
    </w:lvl>
    <w:lvl w:ilvl="7">
      <w:start w:val="1"/>
      <w:numFmt w:val="bullet"/>
      <w:lvlText w:val="○"/>
      <w:lvlJc w:val="left"/>
      <w:pPr>
        <w:ind w:hanging="283" w:left="2947"/>
      </w:pPr>
      <w:rPr>
        <w:strike w:val="0"/>
        <w:u w:val="none"/>
      </w:rPr>
    </w:lvl>
    <w:lvl w:ilvl="8">
      <w:start w:val="1"/>
      <w:numFmt w:val="bullet"/>
      <w:lvlText w:val="■"/>
      <w:lvlJc w:val="left"/>
      <w:pPr>
        <w:ind w:hanging="283" w:left="3287"/>
      </w:pPr>
      <w:rPr>
        <w:strike w:val="0"/>
        <w:u w:val="none"/>
      </w:rPr>
    </w:lvl>
  </w:abstractNum>
  <w:abstractNum w:abstractNumId="18">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19">
    <w:lvl w:ilvl="0">
      <w:start w:val="1"/>
      <w:numFmt w:val="bullet"/>
      <w:lvlText w:val="●"/>
      <w:lvlJc w:val="left"/>
      <w:pPr>
        <w:ind w:hanging="283" w:left="567"/>
      </w:pPr>
      <w:rPr>
        <w:rFonts w:ascii="Noto Sans Symbols" w:cs="Noto Sans Symbols" w:eastAsia="Noto Sans Symbols" w:hAnsi="Noto Sans Symbols"/>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20">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21">
    <w:lvl w:ilvl="0">
      <w:start w:val="4"/>
      <w:numFmt w:val="decimal"/>
      <w:lvlText w:val="%1"/>
      <w:lvlJc w:val="left"/>
      <w:pPr>
        <w:ind w:hanging="283" w:left="567"/>
      </w:pPr>
      <w:rPr>
        <w:rFonts w:ascii="Verdana" w:cs="Verdana" w:eastAsia="Verdana" w:hAnsi="Verdana"/>
        <w:color w:val="000000"/>
        <w:sz w:val="17"/>
        <w:szCs w:val="17"/>
      </w:rPr>
    </w:lvl>
    <w:lvl w:ilvl="1">
      <w:start w:val="1"/>
      <w:numFmt w:val="decimal"/>
      <w:lvlText w:val="%1.%2"/>
      <w:lvlJc w:val="left"/>
      <w:pPr>
        <w:ind w:hanging="283" w:left="907"/>
      </w:pPr>
      <w:rPr>
        <w:rFonts w:ascii="Verdana" w:cs="Verdana" w:eastAsia="Verdana" w:hAnsi="Verdana"/>
        <w:b w:val="1"/>
        <w:bCs w:val="1"/>
        <w:color w:val="000000"/>
        <w:sz w:val="17"/>
        <w:szCs w:val="17"/>
      </w:rPr>
    </w:lvl>
    <w:lvl w:ilvl="2">
      <w:start w:val="1"/>
      <w:numFmt w:val="decimal"/>
      <w:lvlText w:val="%1.%2.%3"/>
      <w:lvlJc w:val="left"/>
      <w:pPr>
        <w:ind w:hanging="283" w:left="1247"/>
      </w:pPr>
      <w:rPr>
        <w:rFonts w:ascii="Verdana" w:cs="Verdana" w:eastAsia="Verdana" w:hAnsi="Verdana"/>
        <w:color w:val="000000"/>
        <w:sz w:val="17"/>
        <w:szCs w:val="17"/>
      </w:rPr>
    </w:lvl>
    <w:lvl w:ilvl="3">
      <w:start w:val="1"/>
      <w:numFmt w:val="decimal"/>
      <w:lvlText w:val="%1.%2.%3.%4"/>
      <w:lvlJc w:val="left"/>
      <w:pPr>
        <w:ind w:hanging="283" w:left="1587"/>
      </w:pPr>
      <w:rPr>
        <w:rFonts w:ascii="Verdana" w:cs="Verdana" w:eastAsia="Verdana" w:hAnsi="Verdana"/>
        <w:color w:val="000000"/>
        <w:sz w:val="17"/>
        <w:szCs w:val="17"/>
      </w:rPr>
    </w:lvl>
    <w:lvl w:ilvl="4">
      <w:start w:val="1"/>
      <w:numFmt w:val="decimal"/>
      <w:lvlText w:val="%1.%2.%3.%4.%5"/>
      <w:lvlJc w:val="left"/>
      <w:pPr>
        <w:ind w:hanging="283" w:left="1927"/>
      </w:pPr>
      <w:rPr>
        <w:rFonts w:ascii="Verdana" w:cs="Verdana" w:eastAsia="Verdana" w:hAnsi="Verdana"/>
        <w:color w:val="000000"/>
        <w:sz w:val="17"/>
        <w:szCs w:val="17"/>
      </w:rPr>
    </w:lvl>
    <w:lvl w:ilvl="5">
      <w:start w:val="1"/>
      <w:numFmt w:val="decimal"/>
      <w:lvlText w:val="%1.%2.%3.%4.%5.%6"/>
      <w:lvlJc w:val="left"/>
      <w:pPr>
        <w:ind w:hanging="283" w:left="2267"/>
      </w:pPr>
      <w:rPr>
        <w:rFonts w:ascii="Verdana" w:cs="Verdana" w:eastAsia="Verdana" w:hAnsi="Verdana"/>
        <w:color w:val="000000"/>
        <w:sz w:val="17"/>
        <w:szCs w:val="17"/>
      </w:rPr>
    </w:lvl>
    <w:lvl w:ilvl="6">
      <w:start w:val="1"/>
      <w:numFmt w:val="decimal"/>
      <w:lvlText w:val="%1.%2.%3.%4.%5.%6.%7"/>
      <w:lvlJc w:val="left"/>
      <w:pPr>
        <w:ind w:hanging="283" w:left="2607"/>
      </w:pPr>
      <w:rPr>
        <w:rFonts w:ascii="Verdana" w:cs="Verdana" w:eastAsia="Verdana" w:hAnsi="Verdana"/>
        <w:color w:val="000000"/>
        <w:sz w:val="17"/>
        <w:szCs w:val="17"/>
      </w:rPr>
    </w:lvl>
    <w:lvl w:ilvl="7">
      <w:start w:val="1"/>
      <w:numFmt w:val="decimal"/>
      <w:lvlText w:val="%1.%2.%3.%4.%5.%6.%7.%8"/>
      <w:lvlJc w:val="left"/>
      <w:pPr>
        <w:ind w:hanging="283" w:left="2947"/>
      </w:pPr>
      <w:rPr>
        <w:rFonts w:ascii="Verdana" w:cs="Verdana" w:eastAsia="Verdana" w:hAnsi="Verdana"/>
        <w:color w:val="000000"/>
        <w:sz w:val="17"/>
        <w:szCs w:val="17"/>
      </w:rPr>
    </w:lvl>
    <w:lvl w:ilvl="8">
      <w:start w:val="1"/>
      <w:numFmt w:val="decimal"/>
      <w:lvlText w:val="%1.%2.%3.%4.%5.%6.%7.%8.%9"/>
      <w:lvlJc w:val="left"/>
      <w:pPr>
        <w:ind w:hanging="283" w:left="3287"/>
      </w:pPr>
      <w:rPr>
        <w:rFonts w:ascii="Verdana" w:cs="Verdana" w:eastAsia="Verdana" w:hAnsi="Verdana"/>
        <w:color w:val="000000"/>
        <w:sz w:val="17"/>
        <w:szCs w:val="17"/>
      </w:rPr>
    </w:lvl>
  </w:abstractNum>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abstractNum w:abstractNumId="99201">
    <w:nsid w:val="00A99201"/>
    <w:multiLevelType w:val="multilevel"/>
    <w:lvl w:ilvl="0">
      <w:start w:val="1"/>
      <w:numFmt w:val="decimal"/>
      <w:lvlText w:val="%1."/>
      <w:lvlJc w:val="left"/>
      <w:pPr>
        <w:ind w:left="567" w:hanging="283"/>
      </w:pPr>
    </w:lvl>
    <w:lvl w:ilvl="1">
      <w:start w:val="1"/>
      <w:numFmt w:val="lowerLetter"/>
      <w:lvlText w:val="%2."/>
      <w:lvlJc w:val="left"/>
      <w:pPr>
        <w:ind w:left="907" w:hanging="283"/>
      </w:pPr>
    </w:lvl>
    <w:lvl w:ilvl="2">
      <w:start w:val="1"/>
      <w:numFmt w:val="lowerRoman"/>
      <w:lvlText w:val="%3."/>
      <w:lvlJc w:val="left"/>
      <w:pPr>
        <w:ind w:left="1247" w:hanging="283"/>
      </w:pPr>
    </w:lvl>
    <w:lvl w:ilvl="3">
      <w:start w:val="1"/>
      <w:numFmt w:val="decimal"/>
      <w:lvlText w:val="%4."/>
      <w:lvlJc w:val="left"/>
      <w:pPr>
        <w:ind w:left="1587" w:hanging="283"/>
      </w:pPr>
    </w:lvl>
    <w:lvl w:ilvl="4">
      <w:start w:val="1"/>
      <w:numFmt w:val="lowerLetter"/>
      <w:lvlText w:val="%5."/>
      <w:lvlJc w:val="left"/>
      <w:pPr>
        <w:ind w:left="1927" w:hanging="283"/>
      </w:pPr>
    </w:lvl>
    <w:lvl w:ilvl="5">
      <w:start w:val="1"/>
      <w:numFmt w:val="lowerRoman"/>
      <w:lvlText w:val="%6."/>
      <w:lvlJc w:val="left"/>
      <w:pPr>
        <w:ind w:left="2267" w:hanging="283"/>
      </w:pPr>
    </w:lvl>
    <w:lvl w:ilvl="6">
      <w:start w:val="1"/>
      <w:numFmt w:val="decimal"/>
      <w:lvlText w:val="%7."/>
      <w:lvlJc w:val="left"/>
      <w:pPr>
        <w:ind w:left="2607" w:hanging="283"/>
      </w:pPr>
    </w:lvl>
    <w:lvl w:ilvl="7">
      <w:start w:val="1"/>
      <w:numFmt w:val="lowerLetter"/>
      <w:lvlText w:val="%8."/>
      <w:lvlJc w:val="left"/>
      <w:pPr>
        <w:ind w:left="2947" w:hanging="283"/>
      </w:pPr>
    </w:lvl>
    <w:lvl w:ilvl="8">
      <w:start w:val="1"/>
      <w:numFmt w:val="lowerRoman"/>
      <w:lvlText w:val="%9."/>
      <w:lvlJc w:val="left"/>
      <w:pPr>
        <w:ind w:left="3287" w:hanging="283"/>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52" w:lineRule="auto"/>
      <w:ind w:firstLine="0"/>
      <w:jc w:val="both"/>
    </w:pPr>
    <w:rPr>
      <w:rFonts w:ascii="Arial" w:cs="Arial" w:eastAsia="Arial" w:hAnsi="Arial"/>
      <w:color w:val="000000"/>
      <w:sz w:val="21"/>
    </w:rPr>
  </w:style>
  <w:style w:styleId="BodyText" w:type="paragraph">
    <w:name w:val="Body Text"/>
    <w:basedOn w:val="Normal"/>
    <w:link w:val="BodyTextChar"/>
    <w:qFormat/>
    <w:pPr>
      <w:spacing w:after="120" w:before="0" w:line="259" w:lineRule="auto"/>
      <w:ind w:firstLine="0"/>
      <w:jc w:val="both"/>
    </w:pPr>
    <w:rPr>
      <w:rFonts w:ascii="Arial" w:cs="Arial" w:eastAsia="Arial" w:hAnsi="Arial"/>
      <w:color w:val="000000"/>
      <w:sz w:val="21"/>
    </w:rPr>
  </w:style>
  <w:style w:customStyle="1" w:styleId="FirstParagraph" w:type="paragraph">
    <w:name w:val="First Paragraph"/>
    <w:basedOn w:val="BodyText"/>
    <w:next w:val="BodyText"/>
    <w:qFormat/>
    <w:pPr>
      <w:spacing w:after="120" w:before="0" w:line="259" w:lineRule="auto"/>
      <w:ind w:firstLine="0"/>
      <w:jc w:val="both"/>
    </w:pPr>
    <w:rPr>
      <w:rFonts w:ascii="Arial" w:cs="Arial" w:eastAsia="Arial" w:hAnsi="Arial"/>
      <w:color w:val="000000"/>
      <w:sz w:val="21"/>
    </w:rPr>
  </w:style>
  <w:style w:customStyle="1" w:styleId="Compact" w:type="paragraph">
    <w:name w:val="Compact"/>
    <w:basedOn w:val="BodyText"/>
    <w:qFormat/>
    <w:pPr>
      <w:spacing w:after="40" w:before="0" w:line="240" w:lineRule="auto"/>
      <w:ind w:firstLine="0"/>
      <w:jc w:val="left"/>
    </w:pPr>
    <w:rPr>
      <w:rFonts w:ascii="Arial" w:cs="Arial" w:eastAsia="Arial" w:hAnsi="Arial"/>
      <w:color w:val="000000"/>
      <w:sz w:val="20"/>
    </w:rPr>
  </w:style>
  <w:style w:styleId="Title" w:type="paragraph">
    <w:name w:val="Title"/>
    <w:basedOn w:val="Normal"/>
    <w:next w:val="BodyText"/>
    <w:qFormat/>
    <w:pPr>
      <w:keepLines/>
      <w:spacing w:after="120" w:before="360" w:line="264" w:lineRule="auto"/>
      <w:jc w:val="center"/>
    </w:pPr>
    <w:rPr>
      <w:rFonts w:ascii="Arial" w:cs="Arial" w:eastAsia="Arial" w:hAnsi="Arial"/>
      <w:b/>
      <w:bCs/>
      <w:color w:val="000000"/>
      <w:sz w:val="30"/>
      <w:szCs w:val="36"/>
    </w:rPr>
  </w:style>
  <w:style w:styleId="Subtitle" w:type="paragraph">
    <w:name w:val="Subtitle"/>
    <w:basedOn w:val="Title"/>
    <w:next w:val="BodyText"/>
    <w:qFormat/>
    <w:pPr>
      <w:keepLines/>
      <w:spacing w:after="240" w:before="0" w:line="264" w:lineRule="auto"/>
      <w:jc w:val="center"/>
    </w:pPr>
    <w:rPr>
      <w:rFonts w:ascii="Arial" w:cs="Arial" w:eastAsia="Arial" w:hAnsi="Arial"/>
      <w:b/>
      <w:color w:val="000000"/>
      <w:sz w:val="24"/>
      <w:szCs w:val="30"/>
    </w:rPr>
  </w:style>
  <w:style w:customStyle="1" w:styleId="Author" w:type="paragraph">
    <w:name w:val="Author"/>
    <w:next w:val="BodyText"/>
    <w:qFormat/>
    <w:pPr>
      <w:keepLines/>
      <w:spacing w:after="80" w:before="0" w:line="264" w:lineRule="auto"/>
      <w:jc w:val="center"/>
    </w:pPr>
    <w:rPr>
      <w:rFonts w:ascii="Arial" w:cs="Arial" w:eastAsia="Arial" w:hAnsi="Arial"/>
      <w:color w:val="000000"/>
      <w:sz w:val="22"/>
    </w:rPr>
  </w:style>
  <w:style w:styleId="Date" w:type="paragraph">
    <w:name w:val="Date"/>
    <w:next w:val="BodyText"/>
    <w:qFormat/>
    <w:pPr>
      <w:keepLines/>
      <w:spacing w:after="80" w:before="0" w:line="264" w:lineRule="auto"/>
      <w:jc w:val="center"/>
    </w:pPr>
    <w:rPr>
      <w:rFonts w:ascii="Arial" w:cs="Arial" w:eastAsia="Arial" w:hAnsi="Arial"/>
      <w:color w:val="000000"/>
      <w:sz w:val="22"/>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20" w:line="252" w:lineRule="auto"/>
      <w:ind w:firstLine="0"/>
      <w:jc w:val="left"/>
      <w:outlineLvl w:val="0"/>
    </w:pPr>
    <w:rPr>
      <w:rFonts w:ascii="Arial" w:cs="Arial" w:eastAsia="Arial" w:hAnsi="Arial"/>
      <w:b/>
      <w:bCs/>
      <w:i w:val="0"/>
      <w:caps/>
      <w:color w:val="000000"/>
      <w:sz w:val="24"/>
      <w:szCs w:val="32"/>
    </w:rPr>
  </w:style>
  <w:style w:styleId="Heading2" w:type="paragraph">
    <w:name w:val="Heading 2"/>
    <w:basedOn w:val="Normal"/>
    <w:next w:val="BodyText"/>
    <w:uiPriority w:val="9"/>
    <w:unhideWhenUsed/>
    <w:qFormat/>
    <w:pPr>
      <w:keepNext/>
      <w:keepLines/>
      <w:spacing w:after="80" w:before="240" w:line="252"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60" w:before="200" w:line="252" w:lineRule="auto"/>
      <w:ind w:firstLine="0"/>
      <w:jc w:val="left"/>
      <w:outlineLvl w:val="2"/>
    </w:pPr>
    <w:rPr>
      <w:rFonts w:ascii="Arial" w:cs="Arial" w:eastAsia="Arial" w:hAnsi="Arial"/>
      <w:b/>
      <w:bCs/>
      <w:i/>
      <w:color w:val="000000"/>
      <w:sz w:val="21"/>
      <w:szCs w:val="24"/>
    </w:rPr>
  </w:style>
  <w:style w:styleId="Heading4" w:type="paragraph">
    <w:name w:val="Heading 4"/>
    <w:basedOn w:val="Normal"/>
    <w:next w:val="BodyText"/>
    <w:uiPriority w:val="9"/>
    <w:unhideWhenUsed/>
    <w:qFormat/>
    <w:pPr>
      <w:keepNext/>
      <w:keepLines/>
      <w:spacing w:after="40" w:before="160" w:line="252" w:lineRule="auto"/>
      <w:ind w:firstLine="0"/>
      <w:jc w:val="left"/>
      <w:outlineLvl w:val="3"/>
    </w:pPr>
    <w:rPr>
      <w:rFonts w:ascii="Arial" w:cs="Arial" w:eastAsia="Arial" w:hAnsi="Arial"/>
      <w:b/>
      <w:bCs/>
      <w:i w:val="0"/>
      <w:color w:val="000000"/>
      <w:sz w:val="21"/>
      <w:szCs w:val="24"/>
    </w:rPr>
  </w:style>
  <w:style w:styleId="Heading5" w:type="paragraph">
    <w:name w:val="Heading 5"/>
    <w:basedOn w:val="Normal"/>
    <w:next w:val="BodyText"/>
    <w:uiPriority w:val="9"/>
    <w:unhideWhenUsed/>
    <w:qFormat/>
    <w:pPr>
      <w:keepNext/>
      <w:keepLines/>
      <w:spacing w:after="40" w:before="120" w:line="252" w:lineRule="auto"/>
      <w:ind w:firstLine="0"/>
      <w:jc w:val="left"/>
      <w:outlineLvl w:val="4"/>
    </w:pPr>
    <w:rPr>
      <w:rFonts w:ascii="Arial" w:cs="Arial" w:eastAsia="Arial" w:hAnsi="Arial"/>
      <w:b w:val="0"/>
      <w:i/>
      <w:iCs/>
      <w:color w:val="000000"/>
      <w:sz w:val="21"/>
      <w:szCs w:val="24"/>
    </w:rPr>
  </w:style>
  <w:style w:styleId="Heading6" w:type="paragraph">
    <w:name w:val="Heading 6"/>
    <w:basedOn w:val="Normal"/>
    <w:next w:val="BodyText"/>
    <w:uiPriority w:val="9"/>
    <w:unhideWhenUsed/>
    <w:qFormat/>
    <w:pPr>
      <w:keepNext/>
      <w:keepLines/>
      <w:spacing w:after="40" w:before="120" w:line="252" w:lineRule="auto"/>
      <w:ind w:firstLine="0"/>
      <w:jc w:val="left"/>
      <w:outlineLvl w:val="5"/>
    </w:pPr>
    <w:rPr>
      <w:rFonts w:ascii="Arial" w:cs="Arial" w:eastAsia="Arial" w:hAnsi="Arial"/>
      <w:b w:val="0"/>
      <w:i/>
      <w:color w:val="000000"/>
      <w:sz w:val="20"/>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40" w:line="264" w:lineRule="auto"/>
      <w:ind w:firstLine="0" w:left="567" w:right="480"/>
      <w:jc w:val="both"/>
    </w:pPr>
    <w:rPr>
      <w:rFonts w:ascii="Arial" w:cs="Arial" w:eastAsia="Arial" w:hAnsi="Arial"/>
      <w:i w:val="0"/>
      <w:color w:val="000000"/>
      <w:sz w:val="20"/>
    </w:rPr>
  </w:style>
  <w:style w:styleId="FootnoteText" w:type="paragraph">
    <w:name w:val="Footnote Text"/>
    <w:basedOn w:val="Normal"/>
    <w:next w:val="FootnoteText"/>
    <w:uiPriority w:val="9"/>
    <w:unhideWhenUsed/>
    <w:qFormat/>
    <w:rPr>
      <w:rFonts w:ascii="Arial" w:cs="Arial" w:eastAsia="Arial" w:hAnsi="Arial"/>
      <w:color w:val="000000"/>
      <w:sz w:val="17"/>
    </w:rPr>
  </w:style>
  <w:style w:default="1" w:styleId="DefaultParagraphFont" w:type="character">
    <w:name w:val="Default Paragraph Font"/>
    <w:semiHidden/>
    <w:unhideWhenUsed/>
  </w:style>
  <w:style w:type="table" w:styleId="TableNormal">
    <w:name w:val="Normal Table"/>
    <w:uiPriority w:val="99"/>
    <w:semiHidden/>
    <w:unhideWhenUsed/>
    <w:tblPr>
      <w:tblInd w:w="0" w:type="dxa"/>
      <w:tblCellMar>
        <w:top w:w="0" w:type="dxa"/>
        <w:left w:w="108" w:type="dxa"/>
        <w:bottom w:w="0" w:type="dxa"/>
        <w:right w:w="108" w:type="dxa"/>
      </w:tblCellMar>
    </w:tbl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after="60" w:before="40" w:line="240" w:lineRule="auto"/>
    </w:pPr>
    <w:rPr>
      <w:rFonts w:ascii="Arial" w:cs="Arial" w:eastAsia="Arial" w:hAnsi="Arial"/>
      <w:i/>
      <w:color w:val="000000"/>
      <w:sz w:val="18"/>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18"/>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spacing w:after="160" w:before="120" w:line="240" w:lineRule="auto"/>
      <w:jc w:val="left"/>
      <w:outlineLvl w:val="9"/>
    </w:pPr>
    <w:rPr>
      <w:rFonts w:ascii="Arial" w:cs="Arial" w:eastAsia="Arial" w:hAnsi="Arial"/>
      <w:b/>
      <w:bCs w:val="0"/>
      <w:color w:val="000000"/>
      <w:sz w:val="24"/>
    </w:rPr>
  </w:style>
  <w:style w:customStyle="1" w:styleId="TablaRotulo" w:type="paragraph">
    <w:name w:val="TablaRotulo"/>
    <w:basedOn w:val="Normal"/>
    <w:pPr>
      <w:keepNext/>
      <w:spacing w:after="0" w:before="200" w:line="240" w:lineRule="auto"/>
      <w:ind w:firstLine="0"/>
      <w:jc w:val="left"/>
    </w:pPr>
    <w:rPr>
      <w:rFonts w:ascii="Arial" w:cs="Arial" w:eastAsia="Arial" w:hAnsi="Arial"/>
      <w:b/>
      <w:i w:val="0"/>
      <w:color w:val="000000"/>
      <w:sz w:val="20"/>
    </w:rPr>
  </w:style>
  <w:style w:customStyle="1" w:styleId="TablaTitulo" w:type="paragraph">
    <w:name w:val="TablaTitulo"/>
    <w:basedOn w:val="Normal"/>
    <w:pPr>
      <w:keepNext/>
      <w:spacing w:after="60" w:before="0" w:line="240" w:lineRule="auto"/>
      <w:ind w:firstLine="0"/>
      <w:jc w:val="left"/>
    </w:pPr>
    <w:rPr>
      <w:rFonts w:ascii="Arial" w:cs="Arial" w:eastAsia="Arial" w:hAnsi="Arial"/>
      <w:b w:val="0"/>
      <w:i/>
      <w:color w:val="000000"/>
      <w:sz w:val="20"/>
    </w:rPr>
  </w:style>
  <w:style w:customStyle="1" w:styleId="TablaNota" w:type="paragraph">
    <w:name w:val="TablaNota"/>
    <w:basedOn w:val="Normal"/>
    <w:pPr>
      <w:spacing w:after="160" w:before="60" w:line="240" w:lineRule="auto"/>
      <w:ind w:firstLine="0"/>
      <w:jc w:val="both"/>
    </w:pPr>
    <w:rPr>
      <w:rFonts w:ascii="Arial" w:cs="Arial" w:eastAsia="Arial" w:hAnsi="Arial"/>
      <w:b w:val="0"/>
      <w:i w:val="0"/>
      <w:color w:val="000000"/>
      <w:sz w:val="17"/>
    </w:rPr>
  </w:style>
  <w:style w:customStyle="1" w:styleId="FiguraRotulo" w:type="paragraph">
    <w:name w:val="FiguraRotulo"/>
    <w:basedOn w:val="Normal"/>
    <w:pPr>
      <w:keepNext/>
      <w:spacing w:after="0" w:before="200" w:line="240" w:lineRule="auto"/>
      <w:ind w:firstLine="0"/>
      <w:jc w:val="left"/>
    </w:pPr>
    <w:rPr>
      <w:rFonts w:ascii="Arial" w:cs="Arial" w:eastAsia="Arial" w:hAnsi="Arial"/>
      <w:b/>
      <w:i w:val="0"/>
      <w:color w:val="000000"/>
      <w:sz w:val="20"/>
    </w:rPr>
  </w:style>
  <w:style w:customStyle="1" w:styleId="FiguraTitulo" w:type="paragraph">
    <w:name w:val="FiguraTitulo"/>
    <w:basedOn w:val="Normal"/>
    <w:pPr>
      <w:keepNext/>
      <w:spacing w:after="60" w:before="0" w:line="240" w:lineRule="auto"/>
      <w:ind w:firstLine="0"/>
      <w:jc w:val="left"/>
    </w:pPr>
    <w:rPr>
      <w:rFonts w:ascii="Arial" w:cs="Arial" w:eastAsia="Arial" w:hAnsi="Arial"/>
      <w:b w:val="0"/>
      <w:i/>
      <w:color w:val="000000"/>
      <w:sz w:val="20"/>
    </w:rPr>
  </w:style>
  <w:style w:customStyle="1" w:styleId="FiguraNota" w:type="paragraph">
    <w:name w:val="FiguraNota"/>
    <w:basedOn w:val="Normal"/>
    <w:pPr>
      <w:spacing w:after="200" w:before="40" w:line="240" w:lineRule="auto"/>
      <w:ind w:firstLine="0"/>
      <w:jc w:val="both"/>
    </w:pPr>
    <w:rPr>
      <w:rFonts w:ascii="Arial" w:cs="Arial" w:eastAsia="Arial" w:hAnsi="Arial"/>
      <w:b w:val="0"/>
      <w:i w:val="0"/>
      <w:color w:val="000000"/>
      <w:sz w:val="17"/>
    </w:rPr>
  </w:style>
  <w:style w:customStyle="1" w:styleId="Tabla9" w:type="paragraph">
    <w:name w:val="Tabla9"/>
    <w:basedOn w:val="Compact"/>
    <w:pPr>
      <w:spacing w:after="0" w:before="0" w:line="240" w:lineRule="auto"/>
      <w:ind w:firstLine="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jc w:val="left"/>
    </w:pPr>
    <w:rPr>
      <w:rFonts w:ascii="Arial" w:cs="Arial" w:eastAsia="Arial" w:hAnsi="Arial"/>
      <w:color w:val="000000"/>
      <w:sz w:val="12"/>
    </w:rPr>
  </w:style>
  <w:style w:customStyle="1" w:styleId="Referencia" w:type="paragraph">
    <w:name w:val="Referencia"/>
    <w:basedOn w:val="Normal"/>
    <w:pPr>
      <w:spacing w:after="100" w:before="0" w:line="240" w:lineRule="auto"/>
      <w:ind w:hanging="567" w:left="567"/>
      <w:jc w:val="left"/>
    </w:pPr>
    <w:rPr>
      <w:rFonts w:ascii="Arial" w:cs="Arial" w:eastAsia="Arial" w:hAnsi="Arial"/>
      <w:color w:val="000000"/>
      <w:sz w:val="20"/>
    </w:rPr>
  </w:style>
  <w:style w:customStyle="1" w:styleId="Codigo" w:type="paragraph">
    <w:name w:val="Codigo"/>
    <w:basedOn w:val="Normal"/>
    <w:pPr>
      <w:spacing w:after="0" w:before="0" w:line="240" w:lineRule="auto"/>
      <w:jc w:val="left"/>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jc w:val="left"/>
    </w:pPr>
    <w:rPr>
      <w:rFonts w:ascii="Courier New" w:cs="Courier New" w:eastAsia="Courier New" w:hAnsi="Courier New"/>
      <w:color w:val="000000"/>
      <w:sz w:val="13"/>
    </w:rPr>
  </w:style>
  <w:style w:customStyle="1" w:styleId="TOC1" w:type="paragraph">
    <w:name w:val="TOC 1"/>
    <w:basedOn w:val="Normal"/>
    <w:pPr>
      <w:spacing w:after="0" w:before="80" w:line="240" w:lineRule="auto"/>
      <w:ind w:left="0"/>
      <w:jc w:val="left"/>
    </w:pPr>
    <w:rPr>
      <w:rFonts w:ascii="Arial" w:cs="Arial" w:eastAsia="Arial" w:hAnsi="Arial"/>
      <w:b/>
      <w:color w:val="000000"/>
      <w:sz w:val="21"/>
    </w:rPr>
  </w:style>
  <w:style w:customStyle="1" w:styleId="TOC2" w:type="paragraph">
    <w:name w:val="TOC 2"/>
    <w:basedOn w:val="Normal"/>
    <w:pPr>
      <w:spacing w:after="0" w:before="0" w:line="240" w:lineRule="auto"/>
      <w:ind w:left="283"/>
      <w:jc w:val="left"/>
    </w:pPr>
    <w:rPr>
      <w:rFonts w:ascii="Arial" w:cs="Arial" w:eastAsia="Arial" w:hAnsi="Arial"/>
      <w:b w:val="0"/>
      <w:color w:val="000000"/>
      <w:sz w:val="20"/>
    </w:rPr>
  </w:style>
  <w:style w:customStyle="1" w:styleId="TOC3" w:type="paragraph">
    <w:name w:val="TOC 3"/>
    <w:basedOn w:val="Normal"/>
    <w:pPr>
      <w:spacing w:after="0" w:before="0" w:line="240" w:lineRule="auto"/>
      <w:ind w:left="567"/>
      <w:jc w:val="left"/>
    </w:pPr>
    <w:rPr>
      <w:rFonts w:ascii="Arial" w:cs="Arial" w:eastAsia="Arial" w:hAnsi="Arial"/>
      <w:b w:val="0"/>
      <w:color w:val="000000"/>
      <w:sz w:val="19"/>
    </w:rPr>
  </w:style>
  <w:style w:customStyle="1" w:styleId="Indice" w:type="paragraph">
    <w:name w:val="Indice"/>
    <w:basedOn w:val="Normal"/>
    <w:pPr>
      <w:spacing w:after="0" w:before="0" w:line="240" w:lineRule="auto"/>
      <w:ind w:left="0"/>
      <w:jc w:val="left"/>
    </w:pPr>
    <w:rPr>
      <w:rFonts w:ascii="Arial" w:cs="Arial" w:eastAsia="Arial" w:hAnsi="Arial"/>
      <w:color w:val="000000"/>
      <w:sz w:val="20"/>
    </w:rPr>
  </w:style>
  <w:style w:customStyle="1" w:styleId="Indice2" w:type="paragraph">
    <w:name w:val="Indice2"/>
    <w:basedOn w:val="Normal"/>
    <w:pPr>
      <w:spacing w:after="0" w:before="0" w:line="240" w:lineRule="auto"/>
      <w:ind w:left="0"/>
      <w:jc w:val="left"/>
    </w:pPr>
    <w:rPr>
      <w:rFonts w:ascii="Arial" w:cs="Arial" w:eastAsia="Arial" w:hAnsi="Arial"/>
      <w:color w:val="00000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header" Target="header1.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oter" Target="footer2.xml"/><Relationship Id="rId14" Type="http://schemas.openxmlformats.org/officeDocument/2006/relationships/footer" Target="footer1.xml"/><Relationship Id="rId534" Type="http://schemas.openxmlformats.org/officeDocument/2006/relationships/image" Target="media/rId534.png"/><Relationship Id="rId539" Type="http://schemas.openxmlformats.org/officeDocument/2006/relationships/image" Target="media/rId539.png"/><Relationship Id="rId543" Type="http://schemas.openxmlformats.org/officeDocument/2006/relationships/image" Target="media/rId543.png"/><Relationship Id="rId549" Type="http://schemas.openxmlformats.org/officeDocument/2006/relationships/image" Target="media/rId549.png"/><Relationship Id="rId554" Type="http://schemas.openxmlformats.org/officeDocument/2006/relationships/image" Target="media/rId554.png"/><Relationship Id="rId560" Type="http://schemas.openxmlformats.org/officeDocument/2006/relationships/image" Target="media/rId560.png"/><Relationship Id="rId565" Type="http://schemas.openxmlformats.org/officeDocument/2006/relationships/image" Target="media/rId565.png"/><Relationship Id="rId569" Type="http://schemas.openxmlformats.org/officeDocument/2006/relationships/image" Target="media/rId569.png"/><Relationship Id="rId574" Type="http://schemas.openxmlformats.org/officeDocument/2006/relationships/image" Target="media/rId574.png"/><Relationship Id="rId577" Type="http://schemas.openxmlformats.org/officeDocument/2006/relationships/image" Target="media/rId577.png"/><Relationship Id="rId582" Type="http://schemas.openxmlformats.org/officeDocument/2006/relationships/image" Target="media/rId582.png"/><Relationship Id="rId587" Type="http://schemas.openxmlformats.org/officeDocument/2006/relationships/image" Target="media/rId587.png"/><Relationship Id="rId591" Type="http://schemas.openxmlformats.org/officeDocument/2006/relationships/image" Target="media/rId591.png"/><Relationship Id="rId596" Type="http://schemas.openxmlformats.org/officeDocument/2006/relationships/image" Target="media/rId596.png"/><Relationship Id="rId599" Type="http://schemas.openxmlformats.org/officeDocument/2006/relationships/image" Target="media/rId599.png"/><Relationship Id="rId603" Type="http://schemas.openxmlformats.org/officeDocument/2006/relationships/image" Target="media/rId603.png"/><Relationship Id="rId609" Type="http://schemas.openxmlformats.org/officeDocument/2006/relationships/image" Target="media/rId609.png"/><Relationship Id="rId614" Type="http://schemas.openxmlformats.org/officeDocument/2006/relationships/image" Target="media/rId614.png"/><Relationship Id="rId620" Type="http://schemas.openxmlformats.org/officeDocument/2006/relationships/image" Target="media/rId620.png"/><Relationship Id="rId625" Type="http://schemas.openxmlformats.org/officeDocument/2006/relationships/image" Target="media/rId625.png"/><Relationship Id="rId631" Type="http://schemas.openxmlformats.org/officeDocument/2006/relationships/image" Target="media/rId631.png"/><Relationship Id="rId636" Type="http://schemas.openxmlformats.org/officeDocument/2006/relationships/image" Target="media/rId636.png"/><Relationship Id="rId641" Type="http://schemas.openxmlformats.org/officeDocument/2006/relationships/image" Target="media/rId641.png"/><Relationship Id="rId644" Type="http://schemas.openxmlformats.org/officeDocument/2006/relationships/image" Target="media/rId644.png"/><Relationship Id="rId649" Type="http://schemas.openxmlformats.org/officeDocument/2006/relationships/image" Target="media/rId649.png"/><Relationship Id="rId666" Type="http://schemas.openxmlformats.org/officeDocument/2006/relationships/image" Target="media/rId666.png"/><Relationship Id="rId683" Type="http://schemas.openxmlformats.org/officeDocument/2006/relationships/image" Target="media/rId683.png"/><Relationship Id="rId258" Type="http://schemas.openxmlformats.org/officeDocument/2006/relationships/image" Target="media/rId258.png"/><Relationship Id="rId270" Type="http://schemas.openxmlformats.org/officeDocument/2006/relationships/image" Target="media/rId270.png"/><Relationship Id="rId282" Type="http://schemas.openxmlformats.org/officeDocument/2006/relationships/image" Target="media/rId282.png"/><Relationship Id="rId715" Type="http://schemas.openxmlformats.org/officeDocument/2006/relationships/image" Target="media/rId715.png"/><Relationship Id="rId720" Type="http://schemas.openxmlformats.org/officeDocument/2006/relationships/image" Target="media/rId720.png"/><Relationship Id="rId362" Type="http://schemas.openxmlformats.org/officeDocument/2006/relationships/image" Target="media/rId362.png"/><Relationship Id="rId365" Type="http://schemas.openxmlformats.org/officeDocument/2006/relationships/image" Target="media/rId365.png"/><Relationship Id="rId372" Type="http://schemas.openxmlformats.org/officeDocument/2006/relationships/image" Target="media/rId372.png"/><Relationship Id="rId304" Type="http://schemas.openxmlformats.org/officeDocument/2006/relationships/image" Target="media/rId304.png"/><Relationship Id="rId312" Type="http://schemas.openxmlformats.org/officeDocument/2006/relationships/image" Target="media/rId312.png"/><Relationship Id="rId324" Type="http://schemas.openxmlformats.org/officeDocument/2006/relationships/image" Target="media/rId324.png"/><Relationship Id="rId308" Type="http://schemas.openxmlformats.org/officeDocument/2006/relationships/image" Target="media/rId308.png"/><Relationship Id="rId316" Type="http://schemas.openxmlformats.org/officeDocument/2006/relationships/image" Target="media/rId316.png"/><Relationship Id="rId320" Type="http://schemas.openxmlformats.org/officeDocument/2006/relationships/image" Target="media/rId320.png"/><Relationship Id="rId336" Type="http://schemas.openxmlformats.org/officeDocument/2006/relationships/image" Target="media/rId336.png"/><Relationship Id="rId332" Type="http://schemas.openxmlformats.org/officeDocument/2006/relationships/image" Target="media/rId332.png"/><Relationship Id="rId300" Type="http://schemas.openxmlformats.org/officeDocument/2006/relationships/image" Target="media/rId300.png"/><Relationship Id="rId348" Type="http://schemas.openxmlformats.org/officeDocument/2006/relationships/image" Target="media/rId348.png"/><Relationship Id="rId292" Type="http://schemas.openxmlformats.org/officeDocument/2006/relationships/image" Target="media/rId292.png"/><Relationship Id="rId296" Type="http://schemas.openxmlformats.org/officeDocument/2006/relationships/image" Target="media/rId296.png"/><Relationship Id="rId328" Type="http://schemas.openxmlformats.org/officeDocument/2006/relationships/image" Target="media/rId328.png"/><Relationship Id="rId340" Type="http://schemas.openxmlformats.org/officeDocument/2006/relationships/image" Target="media/rId340.png"/><Relationship Id="rId380" Type="http://schemas.openxmlformats.org/officeDocument/2006/relationships/image" Target="media/rId380.png"/><Relationship Id="rId384" Type="http://schemas.openxmlformats.org/officeDocument/2006/relationships/image" Target="media/rId384.png"/><Relationship Id="rId396" Type="http://schemas.openxmlformats.org/officeDocument/2006/relationships/image" Target="media/rId396.png"/><Relationship Id="rId402" Type="http://schemas.openxmlformats.org/officeDocument/2006/relationships/image" Target="media/rId402.png"/><Relationship Id="rId415" Type="http://schemas.openxmlformats.org/officeDocument/2006/relationships/image" Target="media/rId415.png"/><Relationship Id="rId427" Type="http://schemas.openxmlformats.org/officeDocument/2006/relationships/image" Target="media/rId427.png"/><Relationship Id="rId439" Type="http://schemas.openxmlformats.org/officeDocument/2006/relationships/image" Target="media/rId439.png"/><Relationship Id="rId446" Type="http://schemas.openxmlformats.org/officeDocument/2006/relationships/image" Target="media/rId446.png"/><Relationship Id="rId457" Type="http://schemas.openxmlformats.org/officeDocument/2006/relationships/image" Target="media/rId457.png"/><Relationship Id="rId464" Type="http://schemas.openxmlformats.org/officeDocument/2006/relationships/image" Target="media/rId464.png"/><Relationship Id="rId481" Type="http://schemas.openxmlformats.org/officeDocument/2006/relationships/image" Target="media/rId481.png"/><Relationship Id="rId488" Type="http://schemas.openxmlformats.org/officeDocument/2006/relationships/image" Target="media/rId488.png"/><Relationship Id="rId494" Type="http://schemas.openxmlformats.org/officeDocument/2006/relationships/image" Target="media/rId494.png"/><Relationship Id="rId499" Type="http://schemas.openxmlformats.org/officeDocument/2006/relationships/image" Target="media/rId499.png"/><Relationship Id="rId504" Type="http://schemas.openxmlformats.org/officeDocument/2006/relationships/image" Target="media/rId504.png"/><Relationship Id="rId514" Type="http://schemas.openxmlformats.org/officeDocument/2006/relationships/image" Target="media/rId514.png"/><Relationship Id="rId517" Type="http://schemas.openxmlformats.org/officeDocument/2006/relationships/image" Target="media/rId517.png"/><Relationship Id="rId522" Type="http://schemas.openxmlformats.org/officeDocument/2006/relationships/image" Target="media/rId522.png"/><Relationship Id="rId527" Type="http://schemas.openxmlformats.org/officeDocument/2006/relationships/image" Target="media/rId527.png"/><Relationship Id="rId104" Type="http://schemas.openxmlformats.org/officeDocument/2006/relationships/image" Target="media/rId104.png"/><Relationship Id="rId134" Type="http://schemas.openxmlformats.org/officeDocument/2006/relationships/image" Target="media/rId134.png"/><Relationship Id="rId193" Type="http://schemas.openxmlformats.org/officeDocument/2006/relationships/image" Target="media/rId193.png"/><Relationship Id="rId213" Type="http://schemas.openxmlformats.org/officeDocument/2006/relationships/image" Target="media/rId213.png"/><Relationship Id="rId196" Type="http://schemas.openxmlformats.org/officeDocument/2006/relationships/image" Target="media/rId196.png"/><Relationship Id="rId152" Type="http://schemas.openxmlformats.org/officeDocument/2006/relationships/image" Target="media/rId152.png"/><Relationship Id="rId185" Type="http://schemas.openxmlformats.org/officeDocument/2006/relationships/image" Target="media/rId185.png"/><Relationship Id="rId165" Type="http://schemas.openxmlformats.org/officeDocument/2006/relationships/image" Target="media/rId165.png"/><Relationship Id="rId168" Type="http://schemas.openxmlformats.org/officeDocument/2006/relationships/image" Target="media/rId168.png"/><Relationship Id="rId171" Type="http://schemas.openxmlformats.org/officeDocument/2006/relationships/image" Target="media/rId171.png"/><Relationship Id="rId174" Type="http://schemas.openxmlformats.org/officeDocument/2006/relationships/image" Target="media/rId174.png"/><Relationship Id="rId177" Type="http://schemas.openxmlformats.org/officeDocument/2006/relationships/image" Target="media/rId177.png"/><Relationship Id="rId232" Type="http://schemas.openxmlformats.org/officeDocument/2006/relationships/image" Target="media/rId232.png"/><Relationship Id="rId242" Type="http://schemas.openxmlformats.org/officeDocument/2006/relationships/image" Target="media/rId242.png"/><Relationship Id="rId247" Type="http://schemas.openxmlformats.org/officeDocument/2006/relationships/image" Target="media/rId247.png"/><Relationship Id="rId736" Type="http://schemas.openxmlformats.org/officeDocument/2006/relationships/image" Target="media/rId736.png"/><Relationship Id="rId750" Type="http://schemas.openxmlformats.org/officeDocument/2006/relationships/image" Target="media/rId750.png"/><Relationship Id="rId753" Type="http://schemas.openxmlformats.org/officeDocument/2006/relationships/image" Target="media/rId753.png"/><Relationship Id="rId757" Type="http://schemas.openxmlformats.org/officeDocument/2006/relationships/image" Target="media/rId757.png"/><Relationship Id="rId763" Type="http://schemas.openxmlformats.org/officeDocument/2006/relationships/image" Target="media/rId763.png"/><Relationship Id="rId771" Type="http://schemas.openxmlformats.org/officeDocument/2006/relationships/image" Target="media/rId771.png"/><Relationship Id="rId781" Type="http://schemas.openxmlformats.org/officeDocument/2006/relationships/image" Target="media/rId781.png"/><Relationship Id="rId787" Type="http://schemas.openxmlformats.org/officeDocument/2006/relationships/image" Target="media/rId787.png"/><Relationship Id="rId796" Type="http://schemas.openxmlformats.org/officeDocument/2006/relationships/image" Target="media/rId796.png"/><Relationship Id="rId804" Type="http://schemas.openxmlformats.org/officeDocument/2006/relationships/image" Target="media/rId804.png"/><Relationship Id="rId811" Type="http://schemas.openxmlformats.org/officeDocument/2006/relationships/image" Target="media/rId811.png"/><Relationship Id="rId816" Type="http://schemas.openxmlformats.org/officeDocument/2006/relationships/image" Target="media/rId816.png"/><Relationship Id="rId821" Type="http://schemas.openxmlformats.org/officeDocument/2006/relationships/image" Target="media/rId821.png"/><Relationship Id="rId825" Type="http://schemas.openxmlformats.org/officeDocument/2006/relationships/image" Target="media/rId825.png"/><Relationship Id="rId831" Type="http://schemas.openxmlformats.org/officeDocument/2006/relationships/image" Target="media/rId831.png"/><Relationship Id="rId838" Type="http://schemas.openxmlformats.org/officeDocument/2006/relationships/image" Target="media/rId838.png"/><Relationship Id="rId844" Type="http://schemas.openxmlformats.org/officeDocument/2006/relationships/image" Target="media/rId844.png"/><Relationship Id="rId849" Type="http://schemas.openxmlformats.org/officeDocument/2006/relationships/image" Target="media/rId849.png"/><Relationship Id="rId853" Type="http://schemas.openxmlformats.org/officeDocument/2006/relationships/image" Target="media/rId853.png"/><Relationship Id="rId857" Type="http://schemas.openxmlformats.org/officeDocument/2006/relationships/image" Target="media/rId857.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 IoT híbrida Edge-Cloud y gemelo digital para la gestión anticipada del riesgo por material particulado posterremoto</dc:title>
  <dc:creator/>
  <dc:language>es-CO</dc:language>
  <cp:keywords/>
  <dcterms:created xsi:type="dcterms:W3CDTF">2026-10-16T21:08:30Z</dcterms:created>
  <dcterms:modified xsi:type="dcterms:W3CDTF">2026-10-16T21:08:30Z</dcterms:modified>
  <dc:subject>Convocatoria 56 del SGR · GENESIS-CTeI 36.10 RC2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Contenido</vt:lpwstr>
  </property>
</Properties>
</file>